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charts/chart10.xml" ContentType="application/vnd.openxmlformats-officedocument.drawingml.chart+xml"/>
  <Override PartName="/word/charts/style2.xml" ContentType="application/vnd.ms-office.chartstyle+xml"/>
  <Override PartName="/word/charts/colors2.xml" ContentType="application/vnd.ms-office.chartcolorstyle+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charts/chart11.xml" ContentType="application/vnd.openxmlformats-officedocument.drawingml.chart+xml"/>
  <Override PartName="/word/charts/style3.xml" ContentType="application/vnd.ms-office.chartstyle+xml"/>
  <Override PartName="/word/charts/colors3.xml" ContentType="application/vnd.ms-office.chartcolorstyle+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header24.xml" ContentType="application/vnd.openxmlformats-officedocument.wordprocessingml.header+xml"/>
  <Override PartName="/word/charts/chart12.xml" ContentType="application/vnd.openxmlformats-officedocument.drawingml.chart+xml"/>
  <Override PartName="/word/charts/style4.xml" ContentType="application/vnd.ms-office.chartstyle+xml"/>
  <Override PartName="/word/charts/colors4.xml" ContentType="application/vnd.ms-office.chartcolorstyle+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footer13.xml" ContentType="application/vnd.openxmlformats-officedocument.wordprocessingml.footer+xml"/>
  <Override PartName="/word/header29.xml" ContentType="application/vnd.openxmlformats-officedocument.wordprocessingml.header+xml"/>
  <Override PartName="/word/charts/chart13.xml" ContentType="application/vnd.openxmlformats-officedocument.drawingml.chart+xml"/>
  <Override PartName="/word/charts/style5.xml" ContentType="application/vnd.ms-office.chartstyle+xml"/>
  <Override PartName="/word/charts/colors5.xml" ContentType="application/vnd.ms-office.chartcolorstyle+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footer15.xml" ContentType="application/vnd.openxmlformats-officedocument.wordprocessingml.footer+xml"/>
  <Override PartName="/word/header35.xml" ContentType="application/vnd.openxmlformats-officedocument.wordprocessingml.header+xml"/>
  <Override PartName="/word/charts/chart14.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5.xml" ContentType="application/vnd.openxmlformats-officedocument.drawingml.chart+xml"/>
  <Override PartName="/word/charts/style7.xml" ContentType="application/vnd.ms-office.chartstyle+xml"/>
  <Override PartName="/word/charts/colors7.xml" ContentType="application/vnd.ms-office.chartcolorstyle+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6.xml" ContentType="application/vnd.openxmlformats-officedocument.wordprocessingml.footer+xml"/>
  <Override PartName="/word/header40.xml" ContentType="application/vnd.openxmlformats-officedocument.wordprocessingml.header+xml"/>
  <Override PartName="/word/footer17.xml" ContentType="application/vnd.openxmlformats-officedocument.wordprocessingml.footer+xml"/>
  <Override PartName="/word/header41.xml" ContentType="application/vnd.openxmlformats-officedocument.wordprocessingml.header+xml"/>
  <Override PartName="/word/charts/chart16.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7.xml" ContentType="application/vnd.openxmlformats-officedocument.drawingml.chart+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8.xml" ContentType="application/vnd.openxmlformats-officedocument.wordprocessingml.footer+xml"/>
  <Override PartName="/word/header45.xml" ContentType="application/vnd.openxmlformats-officedocument.wordprocessingml.header+xml"/>
  <Override PartName="/word/charts/chart18.xml" ContentType="application/vnd.openxmlformats-officedocument.drawingml.chart+xml"/>
  <Override PartName="/word/charts/chart1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3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3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8.xml" ContentType="application/vnd.openxmlformats-officedocument.drawingml.chart+xml"/>
  <Override PartName="/word/charts/style28.xml" ContentType="application/vnd.ms-office.chartstyle+xml"/>
  <Override PartName="/word/charts/colors28.xml" ContentType="application/vnd.ms-office.chartcolorstyle+xml"/>
  <Override PartName="/word/header4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1E32E4" w14:textId="77777777" w:rsidR="003A13DD" w:rsidRPr="008A14A7" w:rsidRDefault="003648D5" w:rsidP="008A14A7">
      <w:pPr>
        <w:jc w:val="center"/>
        <w:rPr>
          <w:rFonts w:ascii="Arial" w:hAnsi="Arial" w:cs="Arial"/>
          <w:color w:val="1F497D"/>
          <w:sz w:val="32"/>
          <w:szCs w:val="32"/>
        </w:rPr>
      </w:pPr>
      <w:bookmarkStart w:id="0" w:name="_Hlk68798234"/>
      <w:bookmarkEnd w:id="0"/>
      <w:r w:rsidRPr="008A14A7">
        <w:rPr>
          <w:rFonts w:ascii="Arial" w:hAnsi="Arial" w:cs="Arial"/>
          <w:color w:val="1F497D"/>
          <w:sz w:val="32"/>
          <w:szCs w:val="32"/>
        </w:rPr>
        <w:t>Framework ID: SRSS/2018/FWC/002</w:t>
      </w:r>
    </w:p>
    <w:p w14:paraId="5293352F" w14:textId="77777777" w:rsidR="003A13DD" w:rsidRPr="003516DC" w:rsidRDefault="003A13DD">
      <w:pPr>
        <w:jc w:val="center"/>
        <w:rPr>
          <w:rFonts w:ascii="Arial" w:hAnsi="Arial" w:cs="Arial"/>
          <w:b/>
          <w:color w:val="1F497D"/>
          <w:sz w:val="32"/>
          <w:szCs w:val="32"/>
        </w:rPr>
      </w:pPr>
    </w:p>
    <w:p w14:paraId="746C3C8A" w14:textId="77777777" w:rsidR="003A13DD" w:rsidRPr="003516DC" w:rsidRDefault="003648D5">
      <w:pPr>
        <w:jc w:val="center"/>
        <w:rPr>
          <w:rFonts w:ascii="Arial" w:hAnsi="Arial" w:cs="Arial"/>
          <w:color w:val="1F497D"/>
          <w:sz w:val="32"/>
          <w:szCs w:val="32"/>
        </w:rPr>
      </w:pPr>
      <w:r w:rsidRPr="003516DC">
        <w:rPr>
          <w:rFonts w:ascii="Arial" w:hAnsi="Arial" w:cs="Arial"/>
          <w:color w:val="1F497D"/>
          <w:sz w:val="32"/>
          <w:szCs w:val="32"/>
        </w:rPr>
        <w:t>SPECIFIC CONTRACT: REFORM/SC2020/109</w:t>
      </w:r>
    </w:p>
    <w:p w14:paraId="775B6C9F" w14:textId="77777777" w:rsidR="003A13DD" w:rsidRPr="003516DC" w:rsidRDefault="003A13DD">
      <w:pPr>
        <w:jc w:val="center"/>
        <w:rPr>
          <w:rFonts w:ascii="Arial" w:hAnsi="Arial" w:cs="Arial"/>
          <w:color w:val="1F497D"/>
        </w:rPr>
      </w:pPr>
    </w:p>
    <w:p w14:paraId="0962FE96" w14:textId="51902C6C" w:rsidR="003A13DD" w:rsidRPr="003516DC" w:rsidRDefault="003648D5">
      <w:pPr>
        <w:jc w:val="center"/>
        <w:rPr>
          <w:rFonts w:ascii="Arial" w:hAnsi="Arial" w:cs="Arial"/>
          <w:color w:val="1F497D"/>
          <w:sz w:val="48"/>
          <w:szCs w:val="48"/>
        </w:rPr>
      </w:pPr>
      <w:r w:rsidRPr="003516DC">
        <w:rPr>
          <w:rFonts w:ascii="Arial" w:hAnsi="Arial" w:cs="Arial"/>
          <w:color w:val="1F497D"/>
          <w:sz w:val="48"/>
          <w:szCs w:val="48"/>
        </w:rPr>
        <w:t>Support to the preparation of Territorial Just Transition Plans in Romania</w:t>
      </w:r>
      <w:r w:rsidRPr="003516DC">
        <w:rPr>
          <w:rFonts w:ascii="Arial" w:hAnsi="Arial" w:cs="Arial"/>
          <w:noProof/>
          <w:lang w:val="en-US" w:eastAsia="en-US"/>
        </w:rPr>
        <w:drawing>
          <wp:anchor distT="0" distB="0" distL="114300" distR="114300" simplePos="0" relativeHeight="251658240" behindDoc="0" locked="0" layoutInCell="1" hidden="0" allowOverlap="1" wp14:anchorId="718DC52D" wp14:editId="66D23E17">
            <wp:simplePos x="0" y="0"/>
            <wp:positionH relativeFrom="column">
              <wp:posOffset>-971549</wp:posOffset>
            </wp:positionH>
            <wp:positionV relativeFrom="paragraph">
              <wp:posOffset>996950</wp:posOffset>
            </wp:positionV>
            <wp:extent cx="7571105" cy="3898900"/>
            <wp:effectExtent l="0" t="0" r="0" b="0"/>
            <wp:wrapTopAndBottom distT="0" dist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7571105" cy="3898900"/>
                    </a:xfrm>
                    <a:prstGeom prst="rect">
                      <a:avLst/>
                    </a:prstGeom>
                    <a:ln/>
                  </pic:spPr>
                </pic:pic>
              </a:graphicData>
            </a:graphic>
          </wp:anchor>
        </w:drawing>
      </w:r>
    </w:p>
    <w:p w14:paraId="35CD667B" w14:textId="77777777" w:rsidR="003A13DD" w:rsidRPr="003516DC" w:rsidRDefault="003A13DD">
      <w:pPr>
        <w:jc w:val="center"/>
        <w:rPr>
          <w:rFonts w:ascii="Arial" w:hAnsi="Arial" w:cs="Arial"/>
          <w:b/>
          <w:color w:val="1F497D"/>
        </w:rPr>
      </w:pPr>
    </w:p>
    <w:p w14:paraId="23E15A0C" w14:textId="77777777" w:rsidR="003A13DD" w:rsidRPr="003516DC" w:rsidRDefault="003A13DD">
      <w:pPr>
        <w:jc w:val="center"/>
        <w:rPr>
          <w:rFonts w:ascii="Arial" w:hAnsi="Arial" w:cs="Arial"/>
          <w:b/>
          <w:color w:val="1F497D"/>
        </w:rPr>
      </w:pPr>
    </w:p>
    <w:p w14:paraId="17483E47" w14:textId="77777777" w:rsidR="003A13DD" w:rsidRPr="003516DC" w:rsidRDefault="003A13DD">
      <w:pPr>
        <w:jc w:val="center"/>
        <w:rPr>
          <w:rFonts w:ascii="Arial" w:hAnsi="Arial" w:cs="Arial"/>
          <w:b/>
          <w:color w:val="1F497D"/>
        </w:rPr>
      </w:pPr>
    </w:p>
    <w:p w14:paraId="4989DAF2" w14:textId="2E2B5D37" w:rsidR="003A13DD" w:rsidRPr="003516DC" w:rsidRDefault="003648D5">
      <w:pPr>
        <w:jc w:val="center"/>
        <w:rPr>
          <w:rFonts w:ascii="Arial" w:hAnsi="Arial" w:cs="Arial"/>
          <w:b/>
          <w:color w:val="1F497D"/>
          <w:sz w:val="44"/>
          <w:szCs w:val="44"/>
        </w:rPr>
      </w:pPr>
      <w:r w:rsidRPr="003516DC">
        <w:rPr>
          <w:rFonts w:ascii="Arial" w:hAnsi="Arial" w:cs="Arial"/>
          <w:b/>
          <w:color w:val="1F497D"/>
          <w:sz w:val="44"/>
          <w:szCs w:val="44"/>
        </w:rPr>
        <w:t>D</w:t>
      </w:r>
      <w:r w:rsidR="00CB5668" w:rsidRPr="003516DC">
        <w:rPr>
          <w:rFonts w:ascii="Arial" w:hAnsi="Arial" w:cs="Arial"/>
          <w:b/>
          <w:color w:val="1F497D"/>
          <w:sz w:val="44"/>
          <w:szCs w:val="44"/>
        </w:rPr>
        <w:t>4</w:t>
      </w:r>
      <w:r w:rsidRPr="003516DC">
        <w:rPr>
          <w:rFonts w:ascii="Arial" w:hAnsi="Arial" w:cs="Arial"/>
          <w:b/>
          <w:color w:val="1F497D"/>
          <w:sz w:val="44"/>
          <w:szCs w:val="44"/>
        </w:rPr>
        <w:t xml:space="preserve">. </w:t>
      </w:r>
      <w:r w:rsidR="001B3EE0" w:rsidRPr="003516DC">
        <w:rPr>
          <w:rFonts w:ascii="Arial" w:hAnsi="Arial" w:cs="Arial"/>
          <w:b/>
          <w:color w:val="1F497D"/>
          <w:sz w:val="44"/>
          <w:szCs w:val="44"/>
        </w:rPr>
        <w:t xml:space="preserve">REPORT ON </w:t>
      </w:r>
      <w:r w:rsidR="00CB5668" w:rsidRPr="003516DC">
        <w:rPr>
          <w:rFonts w:ascii="Arial" w:hAnsi="Arial" w:cs="Arial"/>
          <w:b/>
          <w:color w:val="1F497D"/>
          <w:sz w:val="44"/>
          <w:szCs w:val="44"/>
        </w:rPr>
        <w:t xml:space="preserve">CHALLENGES, NEEDS AND </w:t>
      </w:r>
      <w:r w:rsidR="000C7DB1" w:rsidRPr="003516DC">
        <w:rPr>
          <w:rFonts w:ascii="Arial" w:hAnsi="Arial" w:cs="Arial"/>
          <w:b/>
          <w:color w:val="1F497D"/>
          <w:sz w:val="44"/>
          <w:szCs w:val="44"/>
        </w:rPr>
        <w:t>POSSIBLE ACTIONS FOR</w:t>
      </w:r>
      <w:r w:rsidR="00CB5668" w:rsidRPr="003516DC">
        <w:rPr>
          <w:rFonts w:ascii="Arial" w:hAnsi="Arial" w:cs="Arial"/>
          <w:b/>
          <w:color w:val="1F497D"/>
          <w:sz w:val="44"/>
          <w:szCs w:val="44"/>
        </w:rPr>
        <w:t xml:space="preserve"> THE MOST AFFECTED TERRITORIES</w:t>
      </w:r>
      <w:r w:rsidRPr="003516DC">
        <w:rPr>
          <w:rFonts w:ascii="Arial" w:hAnsi="Arial" w:cs="Arial"/>
          <w:b/>
          <w:color w:val="1F497D"/>
          <w:sz w:val="44"/>
          <w:szCs w:val="44"/>
        </w:rPr>
        <w:t xml:space="preserve"> (</w:t>
      </w:r>
      <w:r w:rsidR="00CD34EE">
        <w:rPr>
          <w:rFonts w:ascii="Arial" w:hAnsi="Arial" w:cs="Arial"/>
          <w:b/>
          <w:color w:val="1F497D"/>
          <w:sz w:val="44"/>
          <w:szCs w:val="44"/>
        </w:rPr>
        <w:t>FINAL</w:t>
      </w:r>
      <w:r w:rsidRPr="003516DC">
        <w:rPr>
          <w:rFonts w:ascii="Arial" w:hAnsi="Arial" w:cs="Arial"/>
          <w:b/>
          <w:color w:val="1F497D"/>
          <w:sz w:val="44"/>
          <w:szCs w:val="44"/>
        </w:rPr>
        <w:t>)</w:t>
      </w:r>
    </w:p>
    <w:p w14:paraId="48A155BF" w14:textId="77777777" w:rsidR="003A13DD" w:rsidRPr="003516DC" w:rsidRDefault="003A13DD">
      <w:pPr>
        <w:jc w:val="center"/>
        <w:rPr>
          <w:rFonts w:ascii="Arial" w:hAnsi="Arial" w:cs="Arial"/>
          <w:color w:val="1F497D"/>
        </w:rPr>
      </w:pPr>
    </w:p>
    <w:p w14:paraId="70636670" w14:textId="3C9B9E62" w:rsidR="003A13DD" w:rsidRPr="003516DC" w:rsidRDefault="00832A34">
      <w:pPr>
        <w:jc w:val="center"/>
        <w:rPr>
          <w:rFonts w:ascii="Arial" w:hAnsi="Arial" w:cs="Arial"/>
          <w:b/>
          <w:sz w:val="32"/>
          <w:szCs w:val="32"/>
        </w:rPr>
      </w:pPr>
      <w:r>
        <w:rPr>
          <w:rFonts w:ascii="Arial" w:hAnsi="Arial" w:cs="Arial"/>
          <w:b/>
          <w:color w:val="1F497D"/>
          <w:sz w:val="32"/>
          <w:szCs w:val="32"/>
        </w:rPr>
        <w:t>02.12.2021</w:t>
      </w:r>
    </w:p>
    <w:p w14:paraId="305DBFAA" w14:textId="77777777" w:rsidR="003A13DD" w:rsidRPr="003516DC" w:rsidRDefault="003A13DD">
      <w:pPr>
        <w:rPr>
          <w:rFonts w:ascii="Arial" w:hAnsi="Arial" w:cs="Arial"/>
        </w:rPr>
        <w:sectPr w:rsidR="003A13DD" w:rsidRPr="003516DC">
          <w:headerReference w:type="default" r:id="rId9"/>
          <w:footerReference w:type="default" r:id="rId10"/>
          <w:headerReference w:type="first" r:id="rId11"/>
          <w:footerReference w:type="first" r:id="rId12"/>
          <w:pgSz w:w="11909" w:h="16834"/>
          <w:pgMar w:top="1440" w:right="1440" w:bottom="1440" w:left="1530" w:header="720" w:footer="720" w:gutter="0"/>
          <w:pgNumType w:start="1"/>
          <w:cols w:space="720"/>
          <w:titlePg/>
        </w:sectPr>
      </w:pPr>
    </w:p>
    <w:p w14:paraId="178EA2AB" w14:textId="77777777" w:rsidR="003A13DD" w:rsidRPr="003516DC" w:rsidRDefault="003A13DD">
      <w:pPr>
        <w:rPr>
          <w:rFonts w:ascii="Arial" w:hAnsi="Arial" w:cs="Arial"/>
        </w:rPr>
      </w:pPr>
    </w:p>
    <w:p w14:paraId="56033FA7" w14:textId="77777777" w:rsidR="00AF6E6D" w:rsidRPr="003516DC" w:rsidRDefault="00AF6E6D" w:rsidP="00AF6E6D">
      <w:pPr>
        <w:spacing w:before="41"/>
        <w:ind w:left="3716" w:right="3900"/>
        <w:jc w:val="center"/>
        <w:rPr>
          <w:rFonts w:ascii="Arial" w:hAnsi="Arial" w:cs="Arial"/>
          <w:sz w:val="20"/>
          <w:lang w:val="cs"/>
        </w:rPr>
      </w:pPr>
      <w:r w:rsidRPr="003516DC">
        <w:rPr>
          <w:rFonts w:ascii="Arial" w:hAnsi="Arial" w:cs="Arial"/>
          <w:b/>
          <w:sz w:val="20"/>
          <w:lang w:val="cs"/>
        </w:rPr>
        <w:t>D</w:t>
      </w:r>
      <w:r w:rsidRPr="003516DC">
        <w:rPr>
          <w:rFonts w:ascii="Arial" w:hAnsi="Arial" w:cs="Arial"/>
          <w:b/>
          <w:spacing w:val="-1"/>
          <w:sz w:val="20"/>
          <w:lang w:val="cs"/>
        </w:rPr>
        <w:t>i</w:t>
      </w:r>
      <w:r w:rsidRPr="003516DC">
        <w:rPr>
          <w:rFonts w:ascii="Arial" w:hAnsi="Arial" w:cs="Arial"/>
          <w:b/>
          <w:sz w:val="20"/>
          <w:lang w:val="cs"/>
        </w:rPr>
        <w:t>sc</w:t>
      </w:r>
      <w:r w:rsidRPr="003516DC">
        <w:rPr>
          <w:rFonts w:ascii="Arial" w:hAnsi="Arial" w:cs="Arial"/>
          <w:b/>
          <w:spacing w:val="-1"/>
          <w:sz w:val="20"/>
          <w:lang w:val="cs"/>
        </w:rPr>
        <w:t>l</w:t>
      </w:r>
      <w:r w:rsidRPr="003516DC">
        <w:rPr>
          <w:rFonts w:ascii="Arial" w:hAnsi="Arial" w:cs="Arial"/>
          <w:b/>
          <w:sz w:val="20"/>
          <w:lang w:val="cs"/>
        </w:rPr>
        <w:t>aimer</w:t>
      </w:r>
    </w:p>
    <w:p w14:paraId="55ADD916" w14:textId="77777777" w:rsidR="00AF6E6D" w:rsidRPr="003516DC" w:rsidRDefault="00AF6E6D" w:rsidP="00AF6E6D">
      <w:pPr>
        <w:spacing w:before="61" w:line="258" w:lineRule="auto"/>
        <w:ind w:left="100" w:right="242"/>
        <w:jc w:val="center"/>
        <w:rPr>
          <w:rFonts w:ascii="Arial" w:hAnsi="Arial" w:cs="Arial"/>
        </w:rPr>
      </w:pPr>
      <w:r w:rsidRPr="003516DC">
        <w:rPr>
          <w:rFonts w:ascii="Arial" w:hAnsi="Arial" w:cs="Arial"/>
          <w:spacing w:val="1"/>
          <w:sz w:val="20"/>
          <w:lang w:val="cs"/>
        </w:rPr>
        <w:t>T</w:t>
      </w:r>
      <w:r w:rsidRPr="003516DC">
        <w:rPr>
          <w:rFonts w:ascii="Arial" w:hAnsi="Arial" w:cs="Arial"/>
          <w:sz w:val="20"/>
          <w:lang w:val="cs"/>
        </w:rPr>
        <w:t>his</w:t>
      </w:r>
      <w:r w:rsidRPr="003516DC">
        <w:rPr>
          <w:rFonts w:ascii="Arial" w:hAnsi="Arial" w:cs="Arial"/>
          <w:spacing w:val="5"/>
          <w:sz w:val="20"/>
          <w:lang w:val="cs"/>
        </w:rPr>
        <w:t xml:space="preserve"> </w:t>
      </w:r>
      <w:r w:rsidRPr="003516DC">
        <w:rPr>
          <w:rFonts w:ascii="Arial" w:hAnsi="Arial" w:cs="Arial"/>
          <w:spacing w:val="1"/>
          <w:sz w:val="20"/>
          <w:lang w:val="cs"/>
        </w:rPr>
        <w:t>R</w:t>
      </w:r>
      <w:r w:rsidRPr="003516DC">
        <w:rPr>
          <w:rFonts w:ascii="Arial" w:hAnsi="Arial" w:cs="Arial"/>
          <w:spacing w:val="-1"/>
          <w:sz w:val="20"/>
          <w:lang w:val="cs"/>
        </w:rPr>
        <w:t>e</w:t>
      </w:r>
      <w:r w:rsidRPr="003516DC">
        <w:rPr>
          <w:rFonts w:ascii="Arial" w:hAnsi="Arial" w:cs="Arial"/>
          <w:sz w:val="20"/>
          <w:lang w:val="cs"/>
        </w:rPr>
        <w:t>p</w:t>
      </w:r>
      <w:r w:rsidRPr="003516DC">
        <w:rPr>
          <w:rFonts w:ascii="Arial" w:hAnsi="Arial" w:cs="Arial"/>
          <w:spacing w:val="1"/>
          <w:sz w:val="20"/>
          <w:lang w:val="cs"/>
        </w:rPr>
        <w:t>o</w:t>
      </w:r>
      <w:r w:rsidRPr="003516DC">
        <w:rPr>
          <w:rFonts w:ascii="Arial" w:hAnsi="Arial" w:cs="Arial"/>
          <w:sz w:val="20"/>
          <w:lang w:val="cs"/>
        </w:rPr>
        <w:t>rt</w:t>
      </w:r>
      <w:r w:rsidRPr="003516DC">
        <w:rPr>
          <w:rFonts w:ascii="Arial" w:hAnsi="Arial" w:cs="Arial"/>
          <w:spacing w:val="4"/>
          <w:sz w:val="20"/>
          <w:lang w:val="cs"/>
        </w:rPr>
        <w:t xml:space="preserve"> </w:t>
      </w:r>
      <w:r w:rsidRPr="003516DC">
        <w:rPr>
          <w:rFonts w:ascii="Arial" w:hAnsi="Arial" w:cs="Arial"/>
          <w:spacing w:val="2"/>
          <w:sz w:val="20"/>
          <w:lang w:val="cs"/>
        </w:rPr>
        <w:t>w</w:t>
      </w:r>
      <w:r w:rsidRPr="003516DC">
        <w:rPr>
          <w:rFonts w:ascii="Arial" w:hAnsi="Arial" w:cs="Arial"/>
          <w:sz w:val="20"/>
          <w:lang w:val="cs"/>
        </w:rPr>
        <w:t>as</w:t>
      </w:r>
      <w:r w:rsidRPr="003516DC">
        <w:rPr>
          <w:rFonts w:ascii="Arial" w:hAnsi="Arial" w:cs="Arial"/>
          <w:spacing w:val="6"/>
          <w:sz w:val="20"/>
          <w:lang w:val="cs"/>
        </w:rPr>
        <w:t xml:space="preserve"> </w:t>
      </w:r>
      <w:r w:rsidRPr="003516DC">
        <w:rPr>
          <w:rFonts w:ascii="Arial" w:hAnsi="Arial" w:cs="Arial"/>
          <w:sz w:val="20"/>
          <w:lang w:val="cs"/>
        </w:rPr>
        <w:t>p</w:t>
      </w:r>
      <w:r w:rsidRPr="003516DC">
        <w:rPr>
          <w:rFonts w:ascii="Arial" w:hAnsi="Arial" w:cs="Arial"/>
          <w:spacing w:val="3"/>
          <w:sz w:val="20"/>
          <w:lang w:val="cs"/>
        </w:rPr>
        <w:t>r</w:t>
      </w:r>
      <w:r w:rsidRPr="003516DC">
        <w:rPr>
          <w:rFonts w:ascii="Arial" w:hAnsi="Arial" w:cs="Arial"/>
          <w:spacing w:val="-1"/>
          <w:sz w:val="20"/>
          <w:lang w:val="cs"/>
        </w:rPr>
        <w:t>e</w:t>
      </w:r>
      <w:r w:rsidRPr="003516DC">
        <w:rPr>
          <w:rFonts w:ascii="Arial" w:hAnsi="Arial" w:cs="Arial"/>
          <w:sz w:val="20"/>
          <w:lang w:val="cs"/>
        </w:rPr>
        <w:t>pa</w:t>
      </w:r>
      <w:r w:rsidRPr="003516DC">
        <w:rPr>
          <w:rFonts w:ascii="Arial" w:hAnsi="Arial" w:cs="Arial"/>
          <w:spacing w:val="3"/>
          <w:sz w:val="20"/>
          <w:lang w:val="cs"/>
        </w:rPr>
        <w:t>r</w:t>
      </w:r>
      <w:r w:rsidRPr="003516DC">
        <w:rPr>
          <w:rFonts w:ascii="Arial" w:hAnsi="Arial" w:cs="Arial"/>
          <w:spacing w:val="-1"/>
          <w:sz w:val="20"/>
          <w:lang w:val="cs"/>
        </w:rPr>
        <w:t>e</w:t>
      </w:r>
      <w:r w:rsidRPr="003516DC">
        <w:rPr>
          <w:rFonts w:ascii="Arial" w:hAnsi="Arial" w:cs="Arial"/>
          <w:sz w:val="20"/>
          <w:lang w:val="cs"/>
        </w:rPr>
        <w:t>d</w:t>
      </w:r>
      <w:r w:rsidRPr="003516DC">
        <w:rPr>
          <w:rFonts w:ascii="Arial" w:hAnsi="Arial" w:cs="Arial"/>
          <w:spacing w:val="5"/>
          <w:sz w:val="20"/>
          <w:lang w:val="cs"/>
        </w:rPr>
        <w:t xml:space="preserve"> </w:t>
      </w:r>
      <w:r w:rsidRPr="003516DC">
        <w:rPr>
          <w:rFonts w:ascii="Arial" w:hAnsi="Arial" w:cs="Arial"/>
          <w:sz w:val="20"/>
          <w:lang w:val="cs"/>
        </w:rPr>
        <w:t>with</w:t>
      </w:r>
      <w:r w:rsidRPr="003516DC">
        <w:rPr>
          <w:rFonts w:ascii="Arial" w:hAnsi="Arial" w:cs="Arial"/>
          <w:spacing w:val="5"/>
          <w:sz w:val="20"/>
          <w:lang w:val="cs"/>
        </w:rPr>
        <w:t xml:space="preserve"> </w:t>
      </w:r>
      <w:r w:rsidRPr="003516DC">
        <w:rPr>
          <w:rFonts w:ascii="Arial" w:hAnsi="Arial" w:cs="Arial"/>
          <w:sz w:val="20"/>
        </w:rPr>
        <w:t>funding from the</w:t>
      </w:r>
      <w:r w:rsidRPr="003516DC">
        <w:rPr>
          <w:rFonts w:ascii="Arial" w:hAnsi="Arial" w:cs="Arial"/>
          <w:spacing w:val="6"/>
          <w:sz w:val="20"/>
          <w:lang w:val="cs"/>
        </w:rPr>
        <w:t xml:space="preserve"> </w:t>
      </w:r>
      <w:r w:rsidRPr="003516DC">
        <w:rPr>
          <w:rFonts w:ascii="Arial" w:hAnsi="Arial" w:cs="Arial"/>
          <w:sz w:val="20"/>
          <w:lang w:val="cs"/>
        </w:rPr>
        <w:t>Eur</w:t>
      </w:r>
      <w:r w:rsidRPr="003516DC">
        <w:rPr>
          <w:rFonts w:ascii="Arial" w:hAnsi="Arial" w:cs="Arial"/>
          <w:spacing w:val="1"/>
          <w:sz w:val="20"/>
          <w:lang w:val="cs"/>
        </w:rPr>
        <w:t>o</w:t>
      </w:r>
      <w:r w:rsidRPr="003516DC">
        <w:rPr>
          <w:rFonts w:ascii="Arial" w:hAnsi="Arial" w:cs="Arial"/>
          <w:spacing w:val="3"/>
          <w:sz w:val="20"/>
          <w:lang w:val="cs"/>
        </w:rPr>
        <w:t>p</w:t>
      </w:r>
      <w:r w:rsidRPr="003516DC">
        <w:rPr>
          <w:rFonts w:ascii="Arial" w:hAnsi="Arial" w:cs="Arial"/>
          <w:spacing w:val="-1"/>
          <w:sz w:val="20"/>
          <w:lang w:val="cs"/>
        </w:rPr>
        <w:t>e</w:t>
      </w:r>
      <w:r w:rsidRPr="003516DC">
        <w:rPr>
          <w:rFonts w:ascii="Arial" w:hAnsi="Arial" w:cs="Arial"/>
          <w:sz w:val="20"/>
          <w:lang w:val="cs"/>
        </w:rPr>
        <w:t>an</w:t>
      </w:r>
      <w:r w:rsidRPr="003516DC">
        <w:rPr>
          <w:rFonts w:ascii="Arial" w:hAnsi="Arial" w:cs="Arial"/>
          <w:spacing w:val="3"/>
          <w:sz w:val="20"/>
          <w:lang w:val="cs"/>
        </w:rPr>
        <w:t xml:space="preserve"> </w:t>
      </w:r>
      <w:r w:rsidRPr="003516DC">
        <w:rPr>
          <w:rFonts w:ascii="Arial" w:hAnsi="Arial" w:cs="Arial"/>
          <w:sz w:val="20"/>
          <w:lang w:val="cs"/>
        </w:rPr>
        <w:t>Union</w:t>
      </w:r>
      <w:r w:rsidRPr="003516DC">
        <w:rPr>
          <w:rFonts w:ascii="Arial" w:hAnsi="Arial" w:cs="Arial"/>
          <w:spacing w:val="5"/>
          <w:sz w:val="20"/>
          <w:lang w:val="cs"/>
        </w:rPr>
        <w:t xml:space="preserve"> </w:t>
      </w:r>
      <w:r w:rsidRPr="003516DC">
        <w:rPr>
          <w:rFonts w:ascii="Arial" w:hAnsi="Arial" w:cs="Arial"/>
          <w:sz w:val="20"/>
          <w:lang w:val="cs"/>
        </w:rPr>
        <w:t>v</w:t>
      </w:r>
      <w:r w:rsidRPr="003516DC">
        <w:rPr>
          <w:rFonts w:ascii="Arial" w:hAnsi="Arial" w:cs="Arial"/>
          <w:spacing w:val="3"/>
          <w:sz w:val="20"/>
          <w:lang w:val="cs"/>
        </w:rPr>
        <w:t>i</w:t>
      </w:r>
      <w:r w:rsidRPr="003516DC">
        <w:rPr>
          <w:rFonts w:ascii="Arial" w:hAnsi="Arial" w:cs="Arial"/>
          <w:sz w:val="20"/>
          <w:lang w:val="cs"/>
        </w:rPr>
        <w:t>a</w:t>
      </w:r>
      <w:r w:rsidRPr="003516DC">
        <w:rPr>
          <w:rFonts w:ascii="Arial" w:hAnsi="Arial" w:cs="Arial"/>
          <w:spacing w:val="6"/>
          <w:sz w:val="20"/>
          <w:lang w:val="cs"/>
        </w:rPr>
        <w:t xml:space="preserve"> </w:t>
      </w:r>
      <w:r w:rsidRPr="003516DC">
        <w:rPr>
          <w:rFonts w:ascii="Arial" w:hAnsi="Arial" w:cs="Arial"/>
          <w:sz w:val="20"/>
          <w:lang w:val="cs"/>
        </w:rPr>
        <w:t>t</w:t>
      </w:r>
      <w:r w:rsidRPr="003516DC">
        <w:rPr>
          <w:rFonts w:ascii="Arial" w:hAnsi="Arial" w:cs="Arial"/>
          <w:spacing w:val="2"/>
          <w:sz w:val="20"/>
          <w:lang w:val="cs"/>
        </w:rPr>
        <w:t>h</w:t>
      </w:r>
      <w:r w:rsidRPr="003516DC">
        <w:rPr>
          <w:rFonts w:ascii="Arial" w:hAnsi="Arial" w:cs="Arial"/>
          <w:sz w:val="20"/>
          <w:lang w:val="cs"/>
        </w:rPr>
        <w:t>e</w:t>
      </w:r>
      <w:r w:rsidRPr="003516DC">
        <w:rPr>
          <w:rFonts w:ascii="Arial" w:hAnsi="Arial" w:cs="Arial"/>
          <w:spacing w:val="6"/>
          <w:sz w:val="20"/>
          <w:lang w:val="cs"/>
        </w:rPr>
        <w:t xml:space="preserve"> </w:t>
      </w:r>
      <w:r w:rsidRPr="003516DC">
        <w:rPr>
          <w:rFonts w:ascii="Arial" w:hAnsi="Arial" w:cs="Arial"/>
          <w:sz w:val="20"/>
          <w:lang w:val="cs"/>
        </w:rPr>
        <w:t>Str</w:t>
      </w:r>
      <w:r w:rsidRPr="003516DC">
        <w:rPr>
          <w:rFonts w:ascii="Arial" w:hAnsi="Arial" w:cs="Arial"/>
          <w:spacing w:val="2"/>
          <w:sz w:val="20"/>
          <w:lang w:val="cs"/>
        </w:rPr>
        <w:t>u</w:t>
      </w:r>
      <w:r w:rsidRPr="003516DC">
        <w:rPr>
          <w:rFonts w:ascii="Arial" w:hAnsi="Arial" w:cs="Arial"/>
          <w:spacing w:val="-1"/>
          <w:sz w:val="20"/>
          <w:lang w:val="cs"/>
        </w:rPr>
        <w:t>c</w:t>
      </w:r>
      <w:r w:rsidRPr="003516DC">
        <w:rPr>
          <w:rFonts w:ascii="Arial" w:hAnsi="Arial" w:cs="Arial"/>
          <w:sz w:val="20"/>
          <w:lang w:val="cs"/>
        </w:rPr>
        <w:t>tu</w:t>
      </w:r>
      <w:r w:rsidRPr="003516DC">
        <w:rPr>
          <w:rFonts w:ascii="Arial" w:hAnsi="Arial" w:cs="Arial"/>
          <w:spacing w:val="2"/>
          <w:sz w:val="20"/>
          <w:lang w:val="cs"/>
        </w:rPr>
        <w:t>r</w:t>
      </w:r>
      <w:r w:rsidRPr="003516DC">
        <w:rPr>
          <w:rFonts w:ascii="Arial" w:hAnsi="Arial" w:cs="Arial"/>
          <w:sz w:val="20"/>
          <w:lang w:val="cs"/>
        </w:rPr>
        <w:t xml:space="preserve">al </w:t>
      </w:r>
      <w:r w:rsidRPr="003516DC">
        <w:rPr>
          <w:rFonts w:ascii="Arial" w:hAnsi="Arial" w:cs="Arial"/>
          <w:spacing w:val="1"/>
          <w:sz w:val="20"/>
          <w:lang w:val="cs"/>
        </w:rPr>
        <w:t>R</w:t>
      </w:r>
      <w:r w:rsidRPr="003516DC">
        <w:rPr>
          <w:rFonts w:ascii="Arial" w:hAnsi="Arial" w:cs="Arial"/>
          <w:spacing w:val="-1"/>
          <w:sz w:val="20"/>
          <w:lang w:val="cs"/>
        </w:rPr>
        <w:t>e</w:t>
      </w:r>
      <w:r w:rsidRPr="003516DC">
        <w:rPr>
          <w:rFonts w:ascii="Arial" w:hAnsi="Arial" w:cs="Arial"/>
          <w:sz w:val="20"/>
          <w:lang w:val="cs"/>
        </w:rPr>
        <w:t>f</w:t>
      </w:r>
      <w:r w:rsidRPr="003516DC">
        <w:rPr>
          <w:rFonts w:ascii="Arial" w:hAnsi="Arial" w:cs="Arial"/>
          <w:spacing w:val="1"/>
          <w:sz w:val="20"/>
          <w:lang w:val="cs"/>
        </w:rPr>
        <w:t>o</w:t>
      </w:r>
      <w:r w:rsidRPr="003516DC">
        <w:rPr>
          <w:rFonts w:ascii="Arial" w:hAnsi="Arial" w:cs="Arial"/>
          <w:sz w:val="20"/>
          <w:lang w:val="cs"/>
        </w:rPr>
        <w:t xml:space="preserve">rm  </w:t>
      </w:r>
      <w:r w:rsidRPr="003516DC">
        <w:rPr>
          <w:rFonts w:ascii="Arial" w:hAnsi="Arial" w:cs="Arial"/>
          <w:spacing w:val="7"/>
          <w:sz w:val="20"/>
          <w:lang w:val="cs"/>
        </w:rPr>
        <w:t xml:space="preserve"> </w:t>
      </w:r>
      <w:r w:rsidRPr="003516DC">
        <w:rPr>
          <w:rFonts w:ascii="Arial" w:hAnsi="Arial" w:cs="Arial"/>
          <w:sz w:val="20"/>
          <w:lang w:val="cs"/>
        </w:rPr>
        <w:t>Sup</w:t>
      </w:r>
      <w:r w:rsidRPr="003516DC">
        <w:rPr>
          <w:rFonts w:ascii="Arial" w:hAnsi="Arial" w:cs="Arial"/>
          <w:spacing w:val="1"/>
          <w:sz w:val="20"/>
          <w:lang w:val="cs"/>
        </w:rPr>
        <w:t>po</w:t>
      </w:r>
      <w:r w:rsidRPr="003516DC">
        <w:rPr>
          <w:rFonts w:ascii="Arial" w:hAnsi="Arial" w:cs="Arial"/>
          <w:sz w:val="20"/>
          <w:lang w:val="cs"/>
        </w:rPr>
        <w:t xml:space="preserve">rt  </w:t>
      </w:r>
      <w:r w:rsidRPr="003516DC">
        <w:rPr>
          <w:rFonts w:ascii="Arial" w:hAnsi="Arial" w:cs="Arial"/>
          <w:spacing w:val="4"/>
          <w:sz w:val="20"/>
          <w:lang w:val="cs"/>
        </w:rPr>
        <w:t xml:space="preserve"> </w:t>
      </w:r>
      <w:r w:rsidRPr="003516DC">
        <w:rPr>
          <w:rFonts w:ascii="Arial" w:hAnsi="Arial" w:cs="Arial"/>
          <w:spacing w:val="1"/>
          <w:sz w:val="20"/>
          <w:lang w:val="cs"/>
        </w:rPr>
        <w:t>P</w:t>
      </w:r>
      <w:r w:rsidRPr="003516DC">
        <w:rPr>
          <w:rFonts w:ascii="Arial" w:hAnsi="Arial" w:cs="Arial"/>
          <w:sz w:val="20"/>
          <w:lang w:val="cs"/>
        </w:rPr>
        <w:t>r</w:t>
      </w:r>
      <w:r w:rsidRPr="003516DC">
        <w:rPr>
          <w:rFonts w:ascii="Arial" w:hAnsi="Arial" w:cs="Arial"/>
          <w:spacing w:val="1"/>
          <w:sz w:val="20"/>
          <w:lang w:val="cs"/>
        </w:rPr>
        <w:t>o</w:t>
      </w:r>
      <w:r w:rsidRPr="003516DC">
        <w:rPr>
          <w:rFonts w:ascii="Arial" w:hAnsi="Arial" w:cs="Arial"/>
          <w:sz w:val="20"/>
          <w:lang w:val="cs"/>
        </w:rPr>
        <w:t>gr</w:t>
      </w:r>
      <w:r w:rsidRPr="003516DC">
        <w:rPr>
          <w:rFonts w:ascii="Arial" w:hAnsi="Arial" w:cs="Arial"/>
          <w:spacing w:val="2"/>
          <w:sz w:val="20"/>
          <w:lang w:val="cs"/>
        </w:rPr>
        <w:t>a</w:t>
      </w:r>
      <w:r w:rsidRPr="003516DC">
        <w:rPr>
          <w:rFonts w:ascii="Arial" w:hAnsi="Arial" w:cs="Arial"/>
          <w:spacing w:val="1"/>
          <w:sz w:val="20"/>
          <w:lang w:val="cs"/>
        </w:rPr>
        <w:t>mm</w:t>
      </w:r>
      <w:r w:rsidRPr="003516DC">
        <w:rPr>
          <w:rFonts w:ascii="Arial" w:hAnsi="Arial" w:cs="Arial"/>
          <w:sz w:val="20"/>
        </w:rPr>
        <w:t>e</w:t>
      </w:r>
      <w:r w:rsidRPr="003516DC">
        <w:rPr>
          <w:rFonts w:ascii="Arial" w:hAnsi="Arial" w:cs="Arial"/>
          <w:sz w:val="20"/>
          <w:lang w:val="cs"/>
        </w:rPr>
        <w:t xml:space="preserve"> and in </w:t>
      </w:r>
      <w:r w:rsidRPr="003516DC">
        <w:rPr>
          <w:rFonts w:ascii="Arial" w:hAnsi="Arial" w:cs="Arial"/>
          <w:spacing w:val="-1"/>
          <w:sz w:val="20"/>
          <w:lang w:val="cs"/>
        </w:rPr>
        <w:t>c</w:t>
      </w:r>
      <w:r w:rsidRPr="003516DC">
        <w:rPr>
          <w:rFonts w:ascii="Arial" w:hAnsi="Arial" w:cs="Arial"/>
          <w:spacing w:val="1"/>
          <w:sz w:val="20"/>
          <w:lang w:val="cs"/>
        </w:rPr>
        <w:t>oo</w:t>
      </w:r>
      <w:r w:rsidRPr="003516DC">
        <w:rPr>
          <w:rFonts w:ascii="Arial" w:hAnsi="Arial" w:cs="Arial"/>
          <w:sz w:val="20"/>
          <w:lang w:val="cs"/>
        </w:rPr>
        <w:t>per</w:t>
      </w:r>
      <w:r w:rsidRPr="003516DC">
        <w:rPr>
          <w:rFonts w:ascii="Arial" w:hAnsi="Arial" w:cs="Arial"/>
          <w:spacing w:val="2"/>
          <w:sz w:val="20"/>
          <w:lang w:val="cs"/>
        </w:rPr>
        <w:t>a</w:t>
      </w:r>
      <w:r w:rsidRPr="003516DC">
        <w:rPr>
          <w:rFonts w:ascii="Arial" w:hAnsi="Arial" w:cs="Arial"/>
          <w:sz w:val="20"/>
          <w:lang w:val="cs"/>
        </w:rPr>
        <w:t>ti</w:t>
      </w:r>
      <w:r w:rsidRPr="003516DC">
        <w:rPr>
          <w:rFonts w:ascii="Arial" w:hAnsi="Arial" w:cs="Arial"/>
          <w:spacing w:val="3"/>
          <w:sz w:val="20"/>
          <w:lang w:val="cs"/>
        </w:rPr>
        <w:t>o</w:t>
      </w:r>
      <w:r w:rsidRPr="003516DC">
        <w:rPr>
          <w:rFonts w:ascii="Arial" w:hAnsi="Arial" w:cs="Arial"/>
          <w:sz w:val="20"/>
          <w:lang w:val="cs"/>
        </w:rPr>
        <w:t>n with t</w:t>
      </w:r>
      <w:r w:rsidRPr="003516DC">
        <w:rPr>
          <w:rFonts w:ascii="Arial" w:hAnsi="Arial" w:cs="Arial"/>
          <w:spacing w:val="2"/>
          <w:sz w:val="20"/>
          <w:lang w:val="cs"/>
        </w:rPr>
        <w:t>h</w:t>
      </w:r>
      <w:r w:rsidRPr="003516DC">
        <w:rPr>
          <w:rFonts w:ascii="Arial" w:hAnsi="Arial" w:cs="Arial"/>
          <w:sz w:val="20"/>
          <w:lang w:val="cs"/>
        </w:rPr>
        <w:t xml:space="preserve">e </w:t>
      </w:r>
      <w:r w:rsidRPr="003516DC">
        <w:rPr>
          <w:rFonts w:ascii="Arial" w:hAnsi="Arial" w:cs="Arial"/>
          <w:spacing w:val="2"/>
          <w:sz w:val="20"/>
        </w:rPr>
        <w:t>Directorate General for Structural Reform Support of the European Commission</w:t>
      </w:r>
      <w:r w:rsidRPr="003516DC">
        <w:rPr>
          <w:rFonts w:ascii="Arial" w:hAnsi="Arial" w:cs="Arial"/>
          <w:sz w:val="20"/>
        </w:rPr>
        <w:t>.</w:t>
      </w:r>
      <w:r w:rsidRPr="003516DC">
        <w:rPr>
          <w:rFonts w:ascii="Arial" w:hAnsi="Arial" w:cs="Arial"/>
          <w:spacing w:val="3"/>
          <w:sz w:val="20"/>
          <w:lang w:val="cs"/>
        </w:rPr>
        <w:t xml:space="preserve"> </w:t>
      </w:r>
      <w:r w:rsidRPr="003516DC">
        <w:rPr>
          <w:rFonts w:ascii="Arial" w:hAnsi="Arial" w:cs="Arial"/>
          <w:spacing w:val="1"/>
          <w:sz w:val="20"/>
          <w:lang w:val="cs"/>
        </w:rPr>
        <w:t>T</w:t>
      </w:r>
      <w:r w:rsidRPr="003516DC">
        <w:rPr>
          <w:rFonts w:ascii="Arial" w:hAnsi="Arial" w:cs="Arial"/>
          <w:sz w:val="20"/>
          <w:lang w:val="cs"/>
        </w:rPr>
        <w:t>he vi</w:t>
      </w:r>
      <w:r w:rsidRPr="003516DC">
        <w:rPr>
          <w:rFonts w:ascii="Arial" w:hAnsi="Arial" w:cs="Arial"/>
          <w:spacing w:val="-1"/>
          <w:sz w:val="20"/>
          <w:lang w:val="cs"/>
        </w:rPr>
        <w:t>e</w:t>
      </w:r>
      <w:r w:rsidRPr="003516DC">
        <w:rPr>
          <w:rFonts w:ascii="Arial" w:hAnsi="Arial" w:cs="Arial"/>
          <w:spacing w:val="2"/>
          <w:sz w:val="20"/>
          <w:lang w:val="cs"/>
        </w:rPr>
        <w:t>w</w:t>
      </w:r>
      <w:r w:rsidRPr="003516DC">
        <w:rPr>
          <w:rFonts w:ascii="Arial" w:hAnsi="Arial" w:cs="Arial"/>
          <w:sz w:val="20"/>
          <w:lang w:val="cs"/>
        </w:rPr>
        <w:t xml:space="preserve">s </w:t>
      </w:r>
      <w:r w:rsidRPr="003516DC">
        <w:rPr>
          <w:rFonts w:ascii="Arial" w:hAnsi="Arial" w:cs="Arial"/>
          <w:spacing w:val="-1"/>
          <w:sz w:val="20"/>
          <w:lang w:val="cs"/>
        </w:rPr>
        <w:t>e</w:t>
      </w:r>
      <w:r w:rsidRPr="003516DC">
        <w:rPr>
          <w:rFonts w:ascii="Arial" w:hAnsi="Arial" w:cs="Arial"/>
          <w:sz w:val="20"/>
          <w:lang w:val="cs"/>
        </w:rPr>
        <w:t>xpr</w:t>
      </w:r>
      <w:r w:rsidRPr="003516DC">
        <w:rPr>
          <w:rFonts w:ascii="Arial" w:hAnsi="Arial" w:cs="Arial"/>
          <w:spacing w:val="2"/>
          <w:sz w:val="20"/>
          <w:lang w:val="cs"/>
        </w:rPr>
        <w:t>e</w:t>
      </w:r>
      <w:r w:rsidRPr="003516DC">
        <w:rPr>
          <w:rFonts w:ascii="Arial" w:hAnsi="Arial" w:cs="Arial"/>
          <w:sz w:val="20"/>
          <w:lang w:val="cs"/>
        </w:rPr>
        <w:t>s</w:t>
      </w:r>
      <w:r w:rsidRPr="003516DC">
        <w:rPr>
          <w:rFonts w:ascii="Arial" w:hAnsi="Arial" w:cs="Arial"/>
          <w:spacing w:val="1"/>
          <w:sz w:val="20"/>
          <w:lang w:val="cs"/>
        </w:rPr>
        <w:t>s</w:t>
      </w:r>
      <w:r w:rsidRPr="003516DC">
        <w:rPr>
          <w:rFonts w:ascii="Arial" w:hAnsi="Arial" w:cs="Arial"/>
          <w:spacing w:val="-1"/>
          <w:sz w:val="20"/>
          <w:lang w:val="cs"/>
        </w:rPr>
        <w:t>e</w:t>
      </w:r>
      <w:r w:rsidRPr="003516DC">
        <w:rPr>
          <w:rFonts w:ascii="Arial" w:hAnsi="Arial" w:cs="Arial"/>
          <w:sz w:val="20"/>
          <w:lang w:val="cs"/>
        </w:rPr>
        <w:t>d</w:t>
      </w:r>
      <w:r w:rsidRPr="003516DC">
        <w:rPr>
          <w:rFonts w:ascii="Arial" w:hAnsi="Arial" w:cs="Arial"/>
          <w:spacing w:val="1"/>
          <w:sz w:val="20"/>
          <w:lang w:val="cs"/>
        </w:rPr>
        <w:t xml:space="preserve"> </w:t>
      </w:r>
      <w:r w:rsidRPr="003516DC">
        <w:rPr>
          <w:rFonts w:ascii="Arial" w:hAnsi="Arial" w:cs="Arial"/>
          <w:sz w:val="20"/>
          <w:lang w:val="cs"/>
        </w:rPr>
        <w:t>in</w:t>
      </w:r>
      <w:r w:rsidRPr="003516DC">
        <w:rPr>
          <w:rFonts w:ascii="Arial" w:hAnsi="Arial" w:cs="Arial"/>
          <w:spacing w:val="8"/>
          <w:sz w:val="20"/>
          <w:lang w:val="cs"/>
        </w:rPr>
        <w:t xml:space="preserve"> </w:t>
      </w:r>
      <w:r w:rsidRPr="003516DC">
        <w:rPr>
          <w:rFonts w:ascii="Arial" w:hAnsi="Arial" w:cs="Arial"/>
          <w:sz w:val="20"/>
          <w:lang w:val="cs"/>
        </w:rPr>
        <w:t>th</w:t>
      </w:r>
      <w:r w:rsidRPr="003516DC">
        <w:rPr>
          <w:rFonts w:ascii="Arial" w:hAnsi="Arial" w:cs="Arial"/>
          <w:spacing w:val="2"/>
          <w:sz w:val="20"/>
          <w:lang w:val="cs"/>
        </w:rPr>
        <w:t>i</w:t>
      </w:r>
      <w:r w:rsidRPr="003516DC">
        <w:rPr>
          <w:rFonts w:ascii="Arial" w:hAnsi="Arial" w:cs="Arial"/>
          <w:sz w:val="20"/>
          <w:lang w:val="cs"/>
        </w:rPr>
        <w:t>s</w:t>
      </w:r>
      <w:r w:rsidRPr="003516DC">
        <w:rPr>
          <w:rFonts w:ascii="Arial" w:hAnsi="Arial" w:cs="Arial"/>
          <w:spacing w:val="6"/>
          <w:sz w:val="20"/>
          <w:lang w:val="cs"/>
        </w:rPr>
        <w:t xml:space="preserve"> </w:t>
      </w:r>
      <w:r w:rsidRPr="003516DC">
        <w:rPr>
          <w:rFonts w:ascii="Arial" w:hAnsi="Arial" w:cs="Arial"/>
          <w:sz w:val="20"/>
          <w:lang w:val="cs"/>
        </w:rPr>
        <w:t>r</w:t>
      </w:r>
      <w:r w:rsidRPr="003516DC">
        <w:rPr>
          <w:rFonts w:ascii="Arial" w:hAnsi="Arial" w:cs="Arial"/>
          <w:spacing w:val="-1"/>
          <w:sz w:val="20"/>
          <w:lang w:val="cs"/>
        </w:rPr>
        <w:t>e</w:t>
      </w:r>
      <w:r w:rsidRPr="003516DC">
        <w:rPr>
          <w:rFonts w:ascii="Arial" w:hAnsi="Arial" w:cs="Arial"/>
          <w:sz w:val="20"/>
          <w:lang w:val="cs"/>
        </w:rPr>
        <w:t>p</w:t>
      </w:r>
      <w:r w:rsidRPr="003516DC">
        <w:rPr>
          <w:rFonts w:ascii="Arial" w:hAnsi="Arial" w:cs="Arial"/>
          <w:spacing w:val="1"/>
          <w:sz w:val="20"/>
          <w:lang w:val="cs"/>
        </w:rPr>
        <w:t>o</w:t>
      </w:r>
      <w:r w:rsidRPr="003516DC">
        <w:rPr>
          <w:rFonts w:ascii="Arial" w:hAnsi="Arial" w:cs="Arial"/>
          <w:sz w:val="20"/>
          <w:lang w:val="cs"/>
        </w:rPr>
        <w:t>rt</w:t>
      </w:r>
      <w:r w:rsidRPr="003516DC">
        <w:rPr>
          <w:rFonts w:ascii="Arial" w:hAnsi="Arial" w:cs="Arial"/>
          <w:spacing w:val="5"/>
          <w:sz w:val="20"/>
          <w:lang w:val="cs"/>
        </w:rPr>
        <w:t xml:space="preserve"> </w:t>
      </w:r>
      <w:r w:rsidRPr="003516DC">
        <w:rPr>
          <w:rFonts w:ascii="Arial" w:hAnsi="Arial" w:cs="Arial"/>
          <w:sz w:val="20"/>
          <w:lang w:val="cs"/>
        </w:rPr>
        <w:t>a</w:t>
      </w:r>
      <w:r w:rsidRPr="003516DC">
        <w:rPr>
          <w:rFonts w:ascii="Arial" w:hAnsi="Arial" w:cs="Arial"/>
          <w:spacing w:val="2"/>
          <w:sz w:val="20"/>
          <w:lang w:val="cs"/>
        </w:rPr>
        <w:t>r</w:t>
      </w:r>
      <w:r w:rsidRPr="003516DC">
        <w:rPr>
          <w:rFonts w:ascii="Arial" w:hAnsi="Arial" w:cs="Arial"/>
          <w:sz w:val="20"/>
          <w:lang w:val="cs"/>
        </w:rPr>
        <w:t>e</w:t>
      </w:r>
      <w:r w:rsidRPr="003516DC">
        <w:rPr>
          <w:rFonts w:ascii="Arial" w:hAnsi="Arial" w:cs="Arial"/>
          <w:spacing w:val="8"/>
          <w:sz w:val="20"/>
          <w:lang w:val="cs"/>
        </w:rPr>
        <w:t xml:space="preserve"> </w:t>
      </w:r>
      <w:r w:rsidRPr="003516DC">
        <w:rPr>
          <w:rFonts w:ascii="Arial" w:hAnsi="Arial" w:cs="Arial"/>
          <w:sz w:val="20"/>
          <w:lang w:val="cs"/>
        </w:rPr>
        <w:t>those</w:t>
      </w:r>
      <w:r w:rsidRPr="003516DC">
        <w:rPr>
          <w:rFonts w:ascii="Arial" w:hAnsi="Arial" w:cs="Arial"/>
          <w:spacing w:val="4"/>
          <w:sz w:val="20"/>
          <w:lang w:val="cs"/>
        </w:rPr>
        <w:t xml:space="preserve"> </w:t>
      </w:r>
      <w:r w:rsidRPr="003516DC">
        <w:rPr>
          <w:rFonts w:ascii="Arial" w:hAnsi="Arial" w:cs="Arial"/>
          <w:spacing w:val="1"/>
          <w:sz w:val="20"/>
          <w:lang w:val="cs"/>
        </w:rPr>
        <w:t>o</w:t>
      </w:r>
      <w:r w:rsidRPr="003516DC">
        <w:rPr>
          <w:rFonts w:ascii="Arial" w:hAnsi="Arial" w:cs="Arial"/>
          <w:sz w:val="20"/>
          <w:lang w:val="cs"/>
        </w:rPr>
        <w:t>f</w:t>
      </w:r>
      <w:r w:rsidRPr="003516DC">
        <w:rPr>
          <w:rFonts w:ascii="Arial" w:hAnsi="Arial" w:cs="Arial"/>
          <w:spacing w:val="8"/>
          <w:sz w:val="20"/>
          <w:lang w:val="cs"/>
        </w:rPr>
        <w:t xml:space="preserve"> </w:t>
      </w:r>
      <w:r w:rsidRPr="003516DC">
        <w:rPr>
          <w:rFonts w:ascii="Arial" w:hAnsi="Arial" w:cs="Arial"/>
          <w:sz w:val="20"/>
          <w:lang w:val="cs"/>
        </w:rPr>
        <w:t>t</w:t>
      </w:r>
      <w:r w:rsidRPr="003516DC">
        <w:rPr>
          <w:rFonts w:ascii="Arial" w:hAnsi="Arial" w:cs="Arial"/>
          <w:spacing w:val="2"/>
          <w:sz w:val="20"/>
          <w:lang w:val="cs"/>
        </w:rPr>
        <w:t>h</w:t>
      </w:r>
      <w:r w:rsidRPr="003516DC">
        <w:rPr>
          <w:rFonts w:ascii="Arial" w:hAnsi="Arial" w:cs="Arial"/>
          <w:sz w:val="20"/>
          <w:lang w:val="cs"/>
        </w:rPr>
        <w:t>e</w:t>
      </w:r>
      <w:r w:rsidRPr="003516DC">
        <w:rPr>
          <w:rFonts w:ascii="Arial" w:hAnsi="Arial" w:cs="Arial"/>
          <w:spacing w:val="6"/>
          <w:sz w:val="20"/>
          <w:lang w:val="cs"/>
        </w:rPr>
        <w:t xml:space="preserve"> </w:t>
      </w:r>
      <w:r w:rsidRPr="003516DC">
        <w:rPr>
          <w:rFonts w:ascii="Arial" w:hAnsi="Arial" w:cs="Arial"/>
          <w:spacing w:val="-1"/>
          <w:sz w:val="20"/>
          <w:lang w:val="cs"/>
        </w:rPr>
        <w:t>c</w:t>
      </w:r>
      <w:r w:rsidRPr="003516DC">
        <w:rPr>
          <w:rFonts w:ascii="Arial" w:hAnsi="Arial" w:cs="Arial"/>
          <w:spacing w:val="1"/>
          <w:sz w:val="20"/>
          <w:lang w:val="cs"/>
        </w:rPr>
        <w:t>o</w:t>
      </w:r>
      <w:r w:rsidRPr="003516DC">
        <w:rPr>
          <w:rFonts w:ascii="Arial" w:hAnsi="Arial" w:cs="Arial"/>
          <w:sz w:val="20"/>
          <w:lang w:val="cs"/>
        </w:rPr>
        <w:t>ns</w:t>
      </w:r>
      <w:r w:rsidRPr="003516DC">
        <w:rPr>
          <w:rFonts w:ascii="Arial" w:hAnsi="Arial" w:cs="Arial"/>
          <w:spacing w:val="2"/>
          <w:sz w:val="20"/>
          <w:lang w:val="cs"/>
        </w:rPr>
        <w:t>u</w:t>
      </w:r>
      <w:r w:rsidRPr="003516DC">
        <w:rPr>
          <w:rFonts w:ascii="Arial" w:hAnsi="Arial" w:cs="Arial"/>
          <w:sz w:val="20"/>
          <w:lang w:val="cs"/>
        </w:rPr>
        <w:t>lt</w:t>
      </w:r>
      <w:r w:rsidRPr="003516DC">
        <w:rPr>
          <w:rFonts w:ascii="Arial" w:hAnsi="Arial" w:cs="Arial"/>
          <w:spacing w:val="-1"/>
          <w:sz w:val="20"/>
          <w:lang w:val="cs"/>
        </w:rPr>
        <w:t>a</w:t>
      </w:r>
      <w:r w:rsidRPr="003516DC">
        <w:rPr>
          <w:rFonts w:ascii="Arial" w:hAnsi="Arial" w:cs="Arial"/>
          <w:spacing w:val="2"/>
          <w:sz w:val="20"/>
          <w:lang w:val="cs"/>
        </w:rPr>
        <w:t>n</w:t>
      </w:r>
      <w:r w:rsidRPr="003516DC">
        <w:rPr>
          <w:rFonts w:ascii="Arial" w:hAnsi="Arial" w:cs="Arial"/>
          <w:sz w:val="20"/>
          <w:lang w:val="cs"/>
        </w:rPr>
        <w:t>ts</w:t>
      </w:r>
      <w:r w:rsidRPr="003516DC">
        <w:rPr>
          <w:rFonts w:ascii="Arial" w:hAnsi="Arial" w:cs="Arial"/>
          <w:spacing w:val="-1"/>
          <w:sz w:val="20"/>
          <w:lang w:val="cs"/>
        </w:rPr>
        <w:t xml:space="preserve"> </w:t>
      </w:r>
      <w:r w:rsidRPr="003516DC">
        <w:rPr>
          <w:rFonts w:ascii="Arial" w:hAnsi="Arial" w:cs="Arial"/>
          <w:spacing w:val="2"/>
          <w:sz w:val="20"/>
          <w:lang w:val="cs"/>
        </w:rPr>
        <w:t>a</w:t>
      </w:r>
      <w:r w:rsidRPr="003516DC">
        <w:rPr>
          <w:rFonts w:ascii="Arial" w:hAnsi="Arial" w:cs="Arial"/>
          <w:sz w:val="20"/>
          <w:lang w:val="cs"/>
        </w:rPr>
        <w:t>nd</w:t>
      </w:r>
      <w:r w:rsidRPr="003516DC">
        <w:rPr>
          <w:rFonts w:ascii="Arial" w:hAnsi="Arial" w:cs="Arial"/>
          <w:spacing w:val="7"/>
          <w:sz w:val="20"/>
          <w:lang w:val="cs"/>
        </w:rPr>
        <w:t xml:space="preserve"> </w:t>
      </w:r>
      <w:r w:rsidRPr="003516DC">
        <w:rPr>
          <w:rFonts w:ascii="Arial" w:hAnsi="Arial" w:cs="Arial"/>
          <w:sz w:val="20"/>
          <w:lang w:val="cs"/>
        </w:rPr>
        <w:t>do</w:t>
      </w:r>
      <w:r w:rsidRPr="003516DC">
        <w:rPr>
          <w:rFonts w:ascii="Arial" w:hAnsi="Arial" w:cs="Arial"/>
          <w:spacing w:val="9"/>
          <w:sz w:val="20"/>
          <w:lang w:val="cs"/>
        </w:rPr>
        <w:t xml:space="preserve"> </w:t>
      </w:r>
      <w:r w:rsidRPr="003516DC">
        <w:rPr>
          <w:rFonts w:ascii="Arial" w:hAnsi="Arial" w:cs="Arial"/>
          <w:sz w:val="20"/>
          <w:lang w:val="cs"/>
        </w:rPr>
        <w:t>n</w:t>
      </w:r>
      <w:r w:rsidRPr="003516DC">
        <w:rPr>
          <w:rFonts w:ascii="Arial" w:hAnsi="Arial" w:cs="Arial"/>
          <w:spacing w:val="1"/>
          <w:sz w:val="20"/>
          <w:lang w:val="cs"/>
        </w:rPr>
        <w:t>o</w:t>
      </w:r>
      <w:r w:rsidRPr="003516DC">
        <w:rPr>
          <w:rFonts w:ascii="Arial" w:hAnsi="Arial" w:cs="Arial"/>
          <w:sz w:val="20"/>
          <w:lang w:val="cs"/>
        </w:rPr>
        <w:t>t</w:t>
      </w:r>
      <w:r w:rsidRPr="003516DC">
        <w:rPr>
          <w:rFonts w:ascii="Arial" w:hAnsi="Arial" w:cs="Arial"/>
          <w:spacing w:val="7"/>
          <w:sz w:val="20"/>
          <w:lang w:val="cs"/>
        </w:rPr>
        <w:t xml:space="preserve"> </w:t>
      </w:r>
      <w:r w:rsidRPr="003516DC">
        <w:rPr>
          <w:rFonts w:ascii="Arial" w:hAnsi="Arial" w:cs="Arial"/>
          <w:sz w:val="20"/>
          <w:lang w:val="cs"/>
        </w:rPr>
        <w:t>n</w:t>
      </w:r>
      <w:r w:rsidRPr="003516DC">
        <w:rPr>
          <w:rFonts w:ascii="Arial" w:hAnsi="Arial" w:cs="Arial"/>
          <w:spacing w:val="-1"/>
          <w:sz w:val="20"/>
          <w:lang w:val="cs"/>
        </w:rPr>
        <w:t>e</w:t>
      </w:r>
      <w:r w:rsidRPr="003516DC">
        <w:rPr>
          <w:rFonts w:ascii="Arial" w:hAnsi="Arial" w:cs="Arial"/>
          <w:spacing w:val="1"/>
          <w:sz w:val="20"/>
          <w:lang w:val="cs"/>
        </w:rPr>
        <w:t>c</w:t>
      </w:r>
      <w:r w:rsidRPr="003516DC">
        <w:rPr>
          <w:rFonts w:ascii="Arial" w:hAnsi="Arial" w:cs="Arial"/>
          <w:spacing w:val="-1"/>
          <w:sz w:val="20"/>
          <w:lang w:val="cs"/>
        </w:rPr>
        <w:t>e</w:t>
      </w:r>
      <w:r w:rsidRPr="003516DC">
        <w:rPr>
          <w:rFonts w:ascii="Arial" w:hAnsi="Arial" w:cs="Arial"/>
          <w:sz w:val="20"/>
          <w:lang w:val="cs"/>
        </w:rPr>
        <w:t>s</w:t>
      </w:r>
      <w:r w:rsidRPr="003516DC">
        <w:rPr>
          <w:rFonts w:ascii="Arial" w:hAnsi="Arial" w:cs="Arial"/>
          <w:spacing w:val="1"/>
          <w:sz w:val="20"/>
          <w:lang w:val="cs"/>
        </w:rPr>
        <w:t>s</w:t>
      </w:r>
      <w:r w:rsidRPr="003516DC">
        <w:rPr>
          <w:rFonts w:ascii="Arial" w:hAnsi="Arial" w:cs="Arial"/>
          <w:sz w:val="20"/>
          <w:lang w:val="cs"/>
        </w:rPr>
        <w:t>ari</w:t>
      </w:r>
      <w:r w:rsidRPr="003516DC">
        <w:rPr>
          <w:rFonts w:ascii="Arial" w:hAnsi="Arial" w:cs="Arial"/>
          <w:spacing w:val="-1"/>
          <w:sz w:val="20"/>
          <w:lang w:val="cs"/>
        </w:rPr>
        <w:t>l</w:t>
      </w:r>
      <w:r w:rsidRPr="003516DC">
        <w:rPr>
          <w:rFonts w:ascii="Arial" w:hAnsi="Arial" w:cs="Arial"/>
          <w:sz w:val="20"/>
          <w:lang w:val="cs"/>
        </w:rPr>
        <w:t>y</w:t>
      </w:r>
      <w:r w:rsidRPr="003516DC">
        <w:rPr>
          <w:rFonts w:ascii="Arial" w:hAnsi="Arial" w:cs="Arial"/>
          <w:spacing w:val="-1"/>
          <w:sz w:val="20"/>
          <w:lang w:val="cs"/>
        </w:rPr>
        <w:t xml:space="preserve"> </w:t>
      </w:r>
      <w:r w:rsidRPr="003516DC">
        <w:rPr>
          <w:rFonts w:ascii="Arial" w:hAnsi="Arial" w:cs="Arial"/>
          <w:spacing w:val="2"/>
          <w:sz w:val="20"/>
          <w:lang w:val="cs"/>
        </w:rPr>
        <w:t>r</w:t>
      </w:r>
      <w:r w:rsidRPr="003516DC">
        <w:rPr>
          <w:rFonts w:ascii="Arial" w:hAnsi="Arial" w:cs="Arial"/>
          <w:spacing w:val="-1"/>
          <w:sz w:val="20"/>
          <w:lang w:val="cs"/>
        </w:rPr>
        <w:t>e</w:t>
      </w:r>
      <w:r w:rsidRPr="003516DC">
        <w:rPr>
          <w:rFonts w:ascii="Arial" w:hAnsi="Arial" w:cs="Arial"/>
          <w:sz w:val="20"/>
          <w:lang w:val="cs"/>
        </w:rPr>
        <w:t>f</w:t>
      </w:r>
      <w:r w:rsidRPr="003516DC">
        <w:rPr>
          <w:rFonts w:ascii="Arial" w:hAnsi="Arial" w:cs="Arial"/>
          <w:spacing w:val="2"/>
          <w:sz w:val="20"/>
          <w:lang w:val="cs"/>
        </w:rPr>
        <w:t>l</w:t>
      </w:r>
      <w:r w:rsidRPr="003516DC">
        <w:rPr>
          <w:rFonts w:ascii="Arial" w:hAnsi="Arial" w:cs="Arial"/>
          <w:spacing w:val="-1"/>
          <w:sz w:val="20"/>
          <w:lang w:val="cs"/>
        </w:rPr>
        <w:t>e</w:t>
      </w:r>
      <w:r w:rsidRPr="003516DC">
        <w:rPr>
          <w:rFonts w:ascii="Arial" w:hAnsi="Arial" w:cs="Arial"/>
          <w:spacing w:val="1"/>
          <w:sz w:val="20"/>
          <w:lang w:val="cs"/>
        </w:rPr>
        <w:t>c</w:t>
      </w:r>
      <w:r w:rsidRPr="003516DC">
        <w:rPr>
          <w:rFonts w:ascii="Arial" w:hAnsi="Arial" w:cs="Arial"/>
          <w:sz w:val="20"/>
          <w:lang w:val="cs"/>
        </w:rPr>
        <w:t>t</w:t>
      </w:r>
      <w:r w:rsidRPr="003516DC">
        <w:rPr>
          <w:rFonts w:ascii="Arial" w:hAnsi="Arial" w:cs="Arial"/>
          <w:spacing w:val="12"/>
          <w:sz w:val="20"/>
          <w:lang w:val="cs"/>
        </w:rPr>
        <w:t xml:space="preserve"> </w:t>
      </w:r>
      <w:r w:rsidRPr="003516DC">
        <w:rPr>
          <w:rFonts w:ascii="Arial" w:hAnsi="Arial" w:cs="Arial"/>
          <w:sz w:val="20"/>
          <w:lang w:val="cs"/>
        </w:rPr>
        <w:t>those</w:t>
      </w:r>
      <w:r w:rsidRPr="003516DC">
        <w:rPr>
          <w:rFonts w:ascii="Arial" w:hAnsi="Arial" w:cs="Arial"/>
          <w:spacing w:val="4"/>
          <w:sz w:val="20"/>
          <w:lang w:val="cs"/>
        </w:rPr>
        <w:t xml:space="preserve"> </w:t>
      </w:r>
      <w:r w:rsidRPr="003516DC">
        <w:rPr>
          <w:rFonts w:ascii="Arial" w:hAnsi="Arial" w:cs="Arial"/>
          <w:spacing w:val="1"/>
          <w:sz w:val="20"/>
          <w:lang w:val="cs"/>
        </w:rPr>
        <w:t>o</w:t>
      </w:r>
      <w:r w:rsidRPr="003516DC">
        <w:rPr>
          <w:rFonts w:ascii="Arial" w:hAnsi="Arial" w:cs="Arial"/>
          <w:sz w:val="20"/>
          <w:lang w:val="cs"/>
        </w:rPr>
        <w:t>f</w:t>
      </w:r>
      <w:r w:rsidRPr="003516DC">
        <w:rPr>
          <w:rFonts w:ascii="Arial" w:hAnsi="Arial" w:cs="Arial"/>
          <w:spacing w:val="8"/>
          <w:sz w:val="20"/>
          <w:lang w:val="cs"/>
        </w:rPr>
        <w:t xml:space="preserve"> </w:t>
      </w:r>
      <w:r w:rsidRPr="003516DC">
        <w:rPr>
          <w:rFonts w:ascii="Arial" w:hAnsi="Arial" w:cs="Arial"/>
          <w:sz w:val="20"/>
          <w:lang w:val="cs"/>
        </w:rPr>
        <w:t>t</w:t>
      </w:r>
      <w:r w:rsidRPr="003516DC">
        <w:rPr>
          <w:rFonts w:ascii="Arial" w:hAnsi="Arial" w:cs="Arial"/>
          <w:spacing w:val="2"/>
          <w:sz w:val="20"/>
          <w:lang w:val="cs"/>
        </w:rPr>
        <w:t>h</w:t>
      </w:r>
      <w:r w:rsidRPr="003516DC">
        <w:rPr>
          <w:rFonts w:ascii="Arial" w:hAnsi="Arial" w:cs="Arial"/>
          <w:sz w:val="20"/>
          <w:lang w:val="cs"/>
        </w:rPr>
        <w:t>e Eur</w:t>
      </w:r>
      <w:r w:rsidRPr="003516DC">
        <w:rPr>
          <w:rFonts w:ascii="Arial" w:hAnsi="Arial" w:cs="Arial"/>
          <w:spacing w:val="1"/>
          <w:sz w:val="20"/>
          <w:lang w:val="cs"/>
        </w:rPr>
        <w:t>o</w:t>
      </w:r>
      <w:r w:rsidRPr="003516DC">
        <w:rPr>
          <w:rFonts w:ascii="Arial" w:hAnsi="Arial" w:cs="Arial"/>
          <w:sz w:val="20"/>
          <w:lang w:val="cs"/>
        </w:rPr>
        <w:t>pe</w:t>
      </w:r>
      <w:r w:rsidRPr="003516DC">
        <w:rPr>
          <w:rFonts w:ascii="Arial" w:hAnsi="Arial" w:cs="Arial"/>
          <w:spacing w:val="-1"/>
          <w:sz w:val="20"/>
          <w:lang w:val="cs"/>
        </w:rPr>
        <w:t>a</w:t>
      </w:r>
      <w:r w:rsidRPr="003516DC">
        <w:rPr>
          <w:rFonts w:ascii="Arial" w:hAnsi="Arial" w:cs="Arial"/>
          <w:sz w:val="20"/>
          <w:lang w:val="cs"/>
        </w:rPr>
        <w:t>n</w:t>
      </w:r>
      <w:r w:rsidRPr="003516DC">
        <w:rPr>
          <w:rFonts w:ascii="Arial" w:hAnsi="Arial" w:cs="Arial"/>
          <w:spacing w:val="-8"/>
          <w:sz w:val="20"/>
          <w:lang w:val="cs"/>
        </w:rPr>
        <w:t xml:space="preserve"> </w:t>
      </w:r>
      <w:r w:rsidRPr="003516DC">
        <w:rPr>
          <w:rFonts w:ascii="Arial" w:hAnsi="Arial" w:cs="Arial"/>
          <w:spacing w:val="2"/>
          <w:sz w:val="20"/>
          <w:lang w:val="cs"/>
        </w:rPr>
        <w:t>U</w:t>
      </w:r>
      <w:r w:rsidRPr="003516DC">
        <w:rPr>
          <w:rFonts w:ascii="Arial" w:hAnsi="Arial" w:cs="Arial"/>
          <w:sz w:val="20"/>
          <w:lang w:val="cs"/>
        </w:rPr>
        <w:t>ni</w:t>
      </w:r>
      <w:r w:rsidRPr="003516DC">
        <w:rPr>
          <w:rFonts w:ascii="Arial" w:hAnsi="Arial" w:cs="Arial"/>
          <w:spacing w:val="1"/>
          <w:sz w:val="20"/>
          <w:lang w:val="cs"/>
        </w:rPr>
        <w:t>o</w:t>
      </w:r>
      <w:r w:rsidRPr="003516DC">
        <w:rPr>
          <w:rFonts w:ascii="Arial" w:hAnsi="Arial" w:cs="Arial"/>
          <w:sz w:val="20"/>
          <w:lang w:val="cs"/>
        </w:rPr>
        <w:t>n</w:t>
      </w:r>
    </w:p>
    <w:p w14:paraId="096DFEA8" w14:textId="77777777" w:rsidR="003A13DD" w:rsidRPr="003516DC" w:rsidRDefault="003A13DD">
      <w:pPr>
        <w:spacing w:line="200" w:lineRule="auto"/>
        <w:rPr>
          <w:rFonts w:ascii="Arial" w:hAnsi="Arial" w:cs="Arial"/>
        </w:rPr>
      </w:pPr>
    </w:p>
    <w:p w14:paraId="5BCF2874" w14:textId="77777777" w:rsidR="003A13DD" w:rsidRPr="003516DC" w:rsidRDefault="003A13DD">
      <w:pPr>
        <w:spacing w:line="200" w:lineRule="auto"/>
        <w:rPr>
          <w:rFonts w:ascii="Arial" w:hAnsi="Arial" w:cs="Arial"/>
        </w:rPr>
      </w:pPr>
    </w:p>
    <w:p w14:paraId="354FD789" w14:textId="77777777" w:rsidR="003A13DD" w:rsidRPr="003516DC" w:rsidRDefault="003A13DD">
      <w:pPr>
        <w:spacing w:line="200" w:lineRule="auto"/>
        <w:rPr>
          <w:rFonts w:ascii="Arial" w:hAnsi="Arial" w:cs="Arial"/>
        </w:rPr>
      </w:pPr>
    </w:p>
    <w:p w14:paraId="530C841A" w14:textId="77777777" w:rsidR="003A13DD" w:rsidRPr="003516DC" w:rsidRDefault="003A13DD">
      <w:pPr>
        <w:spacing w:line="200" w:lineRule="auto"/>
        <w:rPr>
          <w:rFonts w:ascii="Arial" w:hAnsi="Arial" w:cs="Arial"/>
        </w:rPr>
      </w:pPr>
    </w:p>
    <w:p w14:paraId="2234B16A" w14:textId="77777777" w:rsidR="003A13DD" w:rsidRPr="003516DC" w:rsidRDefault="003A13DD">
      <w:pPr>
        <w:spacing w:line="200" w:lineRule="auto"/>
        <w:rPr>
          <w:rFonts w:ascii="Arial" w:hAnsi="Arial" w:cs="Arial"/>
        </w:rPr>
      </w:pPr>
    </w:p>
    <w:p w14:paraId="5A86EC6C" w14:textId="77777777" w:rsidR="003A13DD" w:rsidRPr="003516DC" w:rsidRDefault="003648D5">
      <w:pPr>
        <w:ind w:left="2850" w:right="-20"/>
        <w:rPr>
          <w:rFonts w:ascii="Arial" w:hAnsi="Arial" w:cs="Arial"/>
        </w:rPr>
      </w:pPr>
      <w:r w:rsidRPr="003516DC">
        <w:rPr>
          <w:rFonts w:ascii="Arial" w:hAnsi="Arial" w:cs="Arial"/>
          <w:noProof/>
          <w:lang w:val="en-US" w:eastAsia="en-US"/>
        </w:rPr>
        <w:drawing>
          <wp:inline distT="0" distB="0" distL="0" distR="0" wp14:anchorId="2AA4E42E" wp14:editId="12D27ACD">
            <wp:extent cx="1898650" cy="1149350"/>
            <wp:effectExtent l="0" t="0" r="0" b="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1898650" cy="1149350"/>
                    </a:xfrm>
                    <a:prstGeom prst="rect">
                      <a:avLst/>
                    </a:prstGeom>
                    <a:ln/>
                  </pic:spPr>
                </pic:pic>
              </a:graphicData>
            </a:graphic>
          </wp:inline>
        </w:drawing>
      </w:r>
    </w:p>
    <w:p w14:paraId="0528DEED" w14:textId="77777777" w:rsidR="003A13DD" w:rsidRPr="003516DC" w:rsidRDefault="003A13DD">
      <w:pPr>
        <w:spacing w:before="9" w:line="190" w:lineRule="auto"/>
        <w:rPr>
          <w:rFonts w:ascii="Arial" w:hAnsi="Arial" w:cs="Arial"/>
        </w:rPr>
      </w:pPr>
    </w:p>
    <w:p w14:paraId="0BFCEEF6" w14:textId="77777777" w:rsidR="003A13DD" w:rsidRPr="003516DC" w:rsidRDefault="003A13DD">
      <w:pPr>
        <w:spacing w:line="200" w:lineRule="auto"/>
        <w:rPr>
          <w:rFonts w:ascii="Arial" w:hAnsi="Arial" w:cs="Arial"/>
        </w:rPr>
      </w:pPr>
    </w:p>
    <w:p w14:paraId="01680413" w14:textId="77777777" w:rsidR="003A13DD" w:rsidRPr="003516DC" w:rsidRDefault="003A13DD">
      <w:pPr>
        <w:spacing w:line="200" w:lineRule="auto"/>
        <w:rPr>
          <w:rFonts w:ascii="Arial" w:hAnsi="Arial" w:cs="Arial"/>
        </w:rPr>
      </w:pPr>
    </w:p>
    <w:p w14:paraId="0E7102EE" w14:textId="77777777" w:rsidR="003A13DD" w:rsidRPr="003516DC" w:rsidRDefault="003A13DD">
      <w:pPr>
        <w:spacing w:line="200" w:lineRule="auto"/>
        <w:rPr>
          <w:rFonts w:ascii="Arial" w:hAnsi="Arial" w:cs="Arial"/>
        </w:rPr>
      </w:pPr>
    </w:p>
    <w:p w14:paraId="208A1684" w14:textId="77777777" w:rsidR="003A13DD" w:rsidRPr="003516DC" w:rsidRDefault="003A13DD">
      <w:pPr>
        <w:spacing w:line="200" w:lineRule="auto"/>
        <w:rPr>
          <w:rFonts w:ascii="Arial" w:hAnsi="Arial" w:cs="Arial"/>
        </w:rPr>
      </w:pPr>
    </w:p>
    <w:p w14:paraId="6C8E91D1" w14:textId="77777777" w:rsidR="003A13DD" w:rsidRPr="003516DC" w:rsidRDefault="003A13DD">
      <w:pPr>
        <w:spacing w:line="200" w:lineRule="auto"/>
        <w:rPr>
          <w:rFonts w:ascii="Arial" w:hAnsi="Arial" w:cs="Arial"/>
        </w:rPr>
      </w:pPr>
    </w:p>
    <w:p w14:paraId="347CE88A" w14:textId="77777777" w:rsidR="003A13DD" w:rsidRPr="003516DC" w:rsidRDefault="003A13DD">
      <w:pPr>
        <w:spacing w:line="200" w:lineRule="auto"/>
        <w:rPr>
          <w:rFonts w:ascii="Arial" w:hAnsi="Arial" w:cs="Arial"/>
        </w:rPr>
      </w:pPr>
    </w:p>
    <w:p w14:paraId="36F1BDB1" w14:textId="77777777" w:rsidR="003A13DD" w:rsidRPr="003516DC" w:rsidRDefault="003A13DD">
      <w:pPr>
        <w:spacing w:line="200" w:lineRule="auto"/>
        <w:rPr>
          <w:rFonts w:ascii="Arial" w:hAnsi="Arial" w:cs="Arial"/>
        </w:rPr>
      </w:pPr>
    </w:p>
    <w:p w14:paraId="7306F4AE" w14:textId="77777777" w:rsidR="003A13DD" w:rsidRPr="003516DC" w:rsidRDefault="003A13DD">
      <w:pPr>
        <w:spacing w:line="200" w:lineRule="auto"/>
        <w:rPr>
          <w:rFonts w:ascii="Arial" w:hAnsi="Arial" w:cs="Arial"/>
        </w:rPr>
      </w:pPr>
    </w:p>
    <w:p w14:paraId="6CE5BF0E" w14:textId="77777777" w:rsidR="003A13DD" w:rsidRPr="003516DC" w:rsidRDefault="003A13DD">
      <w:pPr>
        <w:spacing w:line="200" w:lineRule="auto"/>
        <w:rPr>
          <w:rFonts w:ascii="Arial" w:hAnsi="Arial" w:cs="Arial"/>
        </w:rPr>
      </w:pPr>
    </w:p>
    <w:p w14:paraId="44DF6210" w14:textId="77777777" w:rsidR="003A13DD" w:rsidRPr="003516DC" w:rsidRDefault="003A13DD">
      <w:pPr>
        <w:spacing w:line="200" w:lineRule="auto"/>
        <w:rPr>
          <w:rFonts w:ascii="Arial" w:hAnsi="Arial" w:cs="Arial"/>
        </w:rPr>
      </w:pPr>
    </w:p>
    <w:p w14:paraId="48C1E1E5" w14:textId="77777777" w:rsidR="003A13DD" w:rsidRPr="003516DC" w:rsidRDefault="003A13DD">
      <w:pPr>
        <w:spacing w:line="200" w:lineRule="auto"/>
        <w:rPr>
          <w:rFonts w:ascii="Arial" w:hAnsi="Arial" w:cs="Arial"/>
        </w:rPr>
      </w:pPr>
    </w:p>
    <w:p w14:paraId="5103DF1D" w14:textId="77777777" w:rsidR="003A13DD" w:rsidRPr="003516DC" w:rsidRDefault="003A13DD">
      <w:pPr>
        <w:spacing w:line="200" w:lineRule="auto"/>
        <w:rPr>
          <w:rFonts w:ascii="Arial" w:hAnsi="Arial" w:cs="Arial"/>
        </w:rPr>
      </w:pPr>
    </w:p>
    <w:p w14:paraId="1C933BF8" w14:textId="77777777" w:rsidR="003A13DD" w:rsidRPr="003516DC" w:rsidRDefault="003A13DD">
      <w:pPr>
        <w:spacing w:line="200" w:lineRule="auto"/>
        <w:rPr>
          <w:rFonts w:ascii="Arial" w:hAnsi="Arial" w:cs="Arial"/>
        </w:rPr>
      </w:pPr>
    </w:p>
    <w:p w14:paraId="57706A2A" w14:textId="77777777" w:rsidR="003A13DD" w:rsidRPr="003516DC" w:rsidRDefault="003A13DD">
      <w:pPr>
        <w:spacing w:line="200" w:lineRule="auto"/>
        <w:rPr>
          <w:rFonts w:ascii="Arial" w:hAnsi="Arial" w:cs="Arial"/>
        </w:rPr>
      </w:pPr>
    </w:p>
    <w:p w14:paraId="0EA5BBA1" w14:textId="77777777" w:rsidR="003A13DD" w:rsidRPr="003516DC" w:rsidRDefault="003A13DD">
      <w:pPr>
        <w:spacing w:line="200" w:lineRule="auto"/>
        <w:rPr>
          <w:rFonts w:ascii="Arial" w:hAnsi="Arial" w:cs="Arial"/>
        </w:rPr>
      </w:pPr>
    </w:p>
    <w:p w14:paraId="071BD853" w14:textId="77777777" w:rsidR="003A13DD" w:rsidRPr="003516DC" w:rsidRDefault="003A13DD">
      <w:pPr>
        <w:spacing w:line="200" w:lineRule="auto"/>
        <w:rPr>
          <w:rFonts w:ascii="Arial" w:hAnsi="Arial" w:cs="Arial"/>
        </w:rPr>
      </w:pPr>
    </w:p>
    <w:p w14:paraId="52468A8B" w14:textId="77777777" w:rsidR="003A13DD" w:rsidRPr="003516DC" w:rsidRDefault="003A13DD">
      <w:pPr>
        <w:spacing w:line="200" w:lineRule="auto"/>
        <w:rPr>
          <w:rFonts w:ascii="Arial" w:hAnsi="Arial" w:cs="Arial"/>
        </w:rPr>
      </w:pPr>
    </w:p>
    <w:p w14:paraId="773DDEA5" w14:textId="77777777" w:rsidR="003A13DD" w:rsidRPr="003516DC" w:rsidRDefault="003A13DD">
      <w:pPr>
        <w:spacing w:line="200" w:lineRule="auto"/>
        <w:rPr>
          <w:rFonts w:ascii="Arial" w:hAnsi="Arial" w:cs="Arial"/>
        </w:rPr>
      </w:pPr>
    </w:p>
    <w:p w14:paraId="1B934C37" w14:textId="77777777" w:rsidR="003A13DD" w:rsidRPr="003516DC" w:rsidRDefault="003A13DD">
      <w:pPr>
        <w:spacing w:line="200" w:lineRule="auto"/>
        <w:rPr>
          <w:rFonts w:ascii="Arial" w:hAnsi="Arial" w:cs="Arial"/>
        </w:rPr>
      </w:pPr>
    </w:p>
    <w:p w14:paraId="7CDF9F96" w14:textId="77777777" w:rsidR="003A13DD" w:rsidRPr="003516DC" w:rsidRDefault="003A13DD">
      <w:pPr>
        <w:spacing w:line="200" w:lineRule="auto"/>
        <w:rPr>
          <w:rFonts w:ascii="Arial" w:hAnsi="Arial" w:cs="Arial"/>
        </w:rPr>
      </w:pPr>
    </w:p>
    <w:p w14:paraId="29FA33E1" w14:textId="77777777" w:rsidR="003A13DD" w:rsidRPr="003516DC" w:rsidRDefault="003A13DD">
      <w:pPr>
        <w:spacing w:line="200" w:lineRule="auto"/>
        <w:rPr>
          <w:rFonts w:ascii="Arial" w:hAnsi="Arial" w:cs="Arial"/>
        </w:rPr>
      </w:pPr>
    </w:p>
    <w:p w14:paraId="7EA51846" w14:textId="77777777" w:rsidR="003A13DD" w:rsidRPr="003516DC" w:rsidRDefault="003A13DD">
      <w:pPr>
        <w:spacing w:line="200" w:lineRule="auto"/>
        <w:rPr>
          <w:rFonts w:ascii="Arial" w:hAnsi="Arial" w:cs="Arial"/>
        </w:rPr>
      </w:pPr>
    </w:p>
    <w:p w14:paraId="1EA137F5" w14:textId="77777777" w:rsidR="003A13DD" w:rsidRPr="003516DC" w:rsidRDefault="003A13DD">
      <w:pPr>
        <w:spacing w:line="200" w:lineRule="auto"/>
        <w:rPr>
          <w:rFonts w:ascii="Arial" w:hAnsi="Arial" w:cs="Arial"/>
        </w:rPr>
      </w:pPr>
    </w:p>
    <w:p w14:paraId="29EC75AA" w14:textId="77777777" w:rsidR="003A13DD" w:rsidRPr="003516DC" w:rsidRDefault="003A13DD">
      <w:pPr>
        <w:spacing w:line="200" w:lineRule="auto"/>
        <w:rPr>
          <w:rFonts w:ascii="Arial" w:hAnsi="Arial" w:cs="Arial"/>
        </w:rPr>
      </w:pPr>
    </w:p>
    <w:p w14:paraId="6F6AD56B" w14:textId="77777777" w:rsidR="003A13DD" w:rsidRPr="003516DC" w:rsidRDefault="003A13DD">
      <w:pPr>
        <w:spacing w:line="200" w:lineRule="auto"/>
        <w:rPr>
          <w:rFonts w:ascii="Arial" w:hAnsi="Arial" w:cs="Arial"/>
        </w:rPr>
      </w:pPr>
    </w:p>
    <w:p w14:paraId="708A61D4" w14:textId="77777777" w:rsidR="003A13DD" w:rsidRPr="003516DC" w:rsidRDefault="003A13DD">
      <w:pPr>
        <w:spacing w:line="200" w:lineRule="auto"/>
        <w:rPr>
          <w:rFonts w:ascii="Arial" w:hAnsi="Arial" w:cs="Arial"/>
        </w:rPr>
      </w:pPr>
    </w:p>
    <w:p w14:paraId="07D7FAE1" w14:textId="77777777" w:rsidR="003A13DD" w:rsidRPr="003516DC" w:rsidRDefault="003A13DD">
      <w:pPr>
        <w:spacing w:line="200" w:lineRule="auto"/>
        <w:rPr>
          <w:rFonts w:ascii="Arial" w:hAnsi="Arial" w:cs="Arial"/>
        </w:rPr>
      </w:pPr>
    </w:p>
    <w:p w14:paraId="03C03CC5" w14:textId="77777777" w:rsidR="003A13DD" w:rsidRPr="003516DC" w:rsidRDefault="003A13DD">
      <w:pPr>
        <w:spacing w:line="200" w:lineRule="auto"/>
        <w:rPr>
          <w:rFonts w:ascii="Arial" w:hAnsi="Arial" w:cs="Arial"/>
        </w:rPr>
      </w:pPr>
    </w:p>
    <w:p w14:paraId="00E7F96F" w14:textId="77777777" w:rsidR="003A13DD" w:rsidRPr="003516DC" w:rsidRDefault="003A13DD">
      <w:pPr>
        <w:spacing w:line="200" w:lineRule="auto"/>
        <w:rPr>
          <w:rFonts w:ascii="Arial" w:hAnsi="Arial" w:cs="Arial"/>
        </w:rPr>
      </w:pPr>
    </w:p>
    <w:p w14:paraId="5E58BCB6" w14:textId="77777777" w:rsidR="003A13DD" w:rsidRPr="003516DC" w:rsidRDefault="003A13DD">
      <w:pPr>
        <w:jc w:val="center"/>
        <w:rPr>
          <w:rFonts w:ascii="Arial" w:hAnsi="Arial" w:cs="Arial"/>
        </w:rPr>
      </w:pPr>
    </w:p>
    <w:p w14:paraId="0D4C8476" w14:textId="0194D247" w:rsidR="003A13DD" w:rsidRDefault="003A13DD">
      <w:pPr>
        <w:jc w:val="center"/>
        <w:rPr>
          <w:rFonts w:ascii="Arial" w:hAnsi="Arial" w:cs="Arial"/>
        </w:rPr>
      </w:pPr>
    </w:p>
    <w:p w14:paraId="4553ABE9" w14:textId="35F6D360" w:rsidR="00CD34EE" w:rsidRDefault="00CD34EE">
      <w:pPr>
        <w:jc w:val="center"/>
        <w:rPr>
          <w:rFonts w:ascii="Arial" w:hAnsi="Arial" w:cs="Arial"/>
        </w:rPr>
      </w:pPr>
    </w:p>
    <w:p w14:paraId="5917E4FD" w14:textId="04B892F5" w:rsidR="00CD34EE" w:rsidRDefault="00CD34EE">
      <w:pPr>
        <w:jc w:val="center"/>
        <w:rPr>
          <w:rFonts w:ascii="Arial" w:hAnsi="Arial" w:cs="Arial"/>
        </w:rPr>
      </w:pPr>
    </w:p>
    <w:p w14:paraId="37EA7AB3" w14:textId="77777777" w:rsidR="00CD34EE" w:rsidRPr="003516DC" w:rsidRDefault="00CD34EE">
      <w:pPr>
        <w:jc w:val="center"/>
        <w:rPr>
          <w:rFonts w:ascii="Arial" w:hAnsi="Arial" w:cs="Arial"/>
        </w:rPr>
      </w:pPr>
    </w:p>
    <w:p w14:paraId="4B8268DA" w14:textId="77777777" w:rsidR="003A13DD" w:rsidRPr="003516DC" w:rsidRDefault="003A13DD">
      <w:pPr>
        <w:rPr>
          <w:rFonts w:ascii="Arial" w:hAnsi="Arial" w:cs="Arial"/>
        </w:rPr>
      </w:pPr>
    </w:p>
    <w:p w14:paraId="64FD3FB2" w14:textId="77777777" w:rsidR="003A13DD" w:rsidRPr="003516DC" w:rsidRDefault="003A13DD">
      <w:pPr>
        <w:jc w:val="center"/>
        <w:rPr>
          <w:rFonts w:ascii="Arial" w:hAnsi="Arial" w:cs="Arial"/>
        </w:rPr>
      </w:pPr>
    </w:p>
    <w:p w14:paraId="62817AF6" w14:textId="77777777" w:rsidR="003A13DD" w:rsidRPr="003516DC" w:rsidRDefault="003648D5">
      <w:pPr>
        <w:jc w:val="center"/>
        <w:rPr>
          <w:rFonts w:ascii="Arial" w:hAnsi="Arial" w:cs="Arial"/>
          <w:sz w:val="20"/>
          <w:szCs w:val="20"/>
        </w:rPr>
      </w:pPr>
      <w:r w:rsidRPr="003516DC">
        <w:rPr>
          <w:rFonts w:ascii="Arial" w:hAnsi="Arial" w:cs="Arial"/>
          <w:sz w:val="20"/>
          <w:szCs w:val="20"/>
        </w:rPr>
        <w:t>This project is implemented by Frankfurt School of Finance &amp; Management (as part of the AARC Consortium) in cooperation with Eurom, MKBT: Make Better and Cambridge Econometrics</w:t>
      </w:r>
    </w:p>
    <w:p w14:paraId="1C570D68" w14:textId="77777777" w:rsidR="003A13DD" w:rsidRPr="003516DC" w:rsidRDefault="003A13DD">
      <w:pPr>
        <w:rPr>
          <w:rFonts w:ascii="Arial" w:hAnsi="Arial" w:cs="Arial"/>
        </w:rPr>
        <w:sectPr w:rsidR="003A13DD" w:rsidRPr="003516DC">
          <w:headerReference w:type="default" r:id="rId14"/>
          <w:footerReference w:type="default" r:id="rId15"/>
          <w:headerReference w:type="first" r:id="rId16"/>
          <w:footerReference w:type="first" r:id="rId17"/>
          <w:pgSz w:w="11909" w:h="16834"/>
          <w:pgMar w:top="1440" w:right="1440" w:bottom="1440" w:left="1530" w:header="720" w:footer="720" w:gutter="0"/>
          <w:pgNumType w:start="1"/>
          <w:cols w:space="720"/>
          <w:titlePg/>
        </w:sectPr>
      </w:pPr>
    </w:p>
    <w:p w14:paraId="52AA00AF" w14:textId="77777777" w:rsidR="003A13DD" w:rsidRPr="003516DC" w:rsidRDefault="003A13DD">
      <w:pPr>
        <w:widowControl w:val="0"/>
        <w:pBdr>
          <w:top w:val="nil"/>
          <w:left w:val="nil"/>
          <w:bottom w:val="nil"/>
          <w:right w:val="nil"/>
          <w:between w:val="nil"/>
        </w:pBdr>
        <w:rPr>
          <w:rFonts w:ascii="Arial" w:hAnsi="Arial" w:cs="Arial"/>
        </w:rPr>
      </w:pPr>
    </w:p>
    <w:tbl>
      <w:tblPr>
        <w:tblStyle w:val="16"/>
        <w:tblW w:w="5000" w:type="pct"/>
        <w:tblLook w:val="04A0" w:firstRow="1" w:lastRow="0" w:firstColumn="1" w:lastColumn="0" w:noHBand="0" w:noVBand="1"/>
      </w:tblPr>
      <w:tblGrid>
        <w:gridCol w:w="2095"/>
        <w:gridCol w:w="6844"/>
      </w:tblGrid>
      <w:tr w:rsidR="00E145DA" w:rsidRPr="001916C2" w14:paraId="2E67C078" w14:textId="77777777" w:rsidTr="009C2D9B">
        <w:tc>
          <w:tcPr>
            <w:tcW w:w="1155" w:type="pct"/>
          </w:tcPr>
          <w:p w14:paraId="342181F2" w14:textId="41AC43EC" w:rsidR="009C2D9B" w:rsidRPr="001916C2" w:rsidRDefault="009C2D9B" w:rsidP="00CD34EE">
            <w:pPr>
              <w:keepNext/>
              <w:keepLines/>
              <w:spacing w:before="120" w:after="240"/>
              <w:rPr>
                <w:rFonts w:ascii="Arial" w:hAnsi="Arial" w:cs="Arial"/>
                <w:b/>
                <w:smallCaps/>
                <w:color w:val="4F81BD" w:themeColor="accent1"/>
                <w:sz w:val="28"/>
                <w:szCs w:val="28"/>
              </w:rPr>
            </w:pPr>
            <w:r w:rsidRPr="001916C2">
              <w:rPr>
                <w:rFonts w:ascii="Arial" w:hAnsi="Arial" w:cs="Arial"/>
                <w:b/>
                <w:smallCaps/>
                <w:color w:val="4F81BD" w:themeColor="accent1"/>
                <w:sz w:val="28"/>
                <w:szCs w:val="28"/>
              </w:rPr>
              <w:t>Abbreviations</w:t>
            </w:r>
          </w:p>
        </w:tc>
        <w:tc>
          <w:tcPr>
            <w:tcW w:w="3845" w:type="pct"/>
          </w:tcPr>
          <w:p w14:paraId="0482F117" w14:textId="77777777" w:rsidR="009C2D9B" w:rsidRPr="001916C2" w:rsidRDefault="009C2D9B" w:rsidP="009C2D9B">
            <w:pPr>
              <w:keepNext/>
              <w:keepLines/>
              <w:spacing w:before="120"/>
              <w:rPr>
                <w:rFonts w:ascii="Arial" w:hAnsi="Arial" w:cs="Arial"/>
                <w:b/>
                <w:smallCaps/>
                <w:color w:val="4F81BD" w:themeColor="accent1"/>
                <w:sz w:val="28"/>
                <w:szCs w:val="28"/>
              </w:rPr>
            </w:pPr>
          </w:p>
        </w:tc>
      </w:tr>
      <w:tr w:rsidR="00E145DA" w:rsidRPr="003516DC" w14:paraId="7BBA26A9" w14:textId="77777777" w:rsidTr="009C2D9B">
        <w:tc>
          <w:tcPr>
            <w:tcW w:w="1155" w:type="pct"/>
          </w:tcPr>
          <w:p w14:paraId="5D4F8F8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ADR</w:t>
            </w:r>
          </w:p>
        </w:tc>
        <w:tc>
          <w:tcPr>
            <w:tcW w:w="3845" w:type="pct"/>
          </w:tcPr>
          <w:p w14:paraId="50417F36"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Regional Development Agency </w:t>
            </w:r>
            <w:r w:rsidRPr="003516DC">
              <w:rPr>
                <w:rFonts w:ascii="Arial" w:hAnsi="Arial" w:cs="Arial"/>
                <w:i/>
                <w:iCs/>
                <w:sz w:val="20"/>
                <w:szCs w:val="20"/>
              </w:rPr>
              <w:t>/ Agen</w:t>
            </w:r>
            <w:r w:rsidRPr="003516DC">
              <w:rPr>
                <w:rFonts w:ascii="Arial" w:hAnsi="Arial" w:cs="Arial"/>
                <w:i/>
                <w:iCs/>
                <w:color w:val="000000"/>
                <w:sz w:val="20"/>
                <w:szCs w:val="20"/>
              </w:rPr>
              <w:t>ț</w:t>
            </w:r>
            <w:r w:rsidRPr="003516DC">
              <w:rPr>
                <w:rFonts w:ascii="Arial" w:hAnsi="Arial" w:cs="Arial"/>
                <w:i/>
                <w:iCs/>
                <w:sz w:val="20"/>
                <w:szCs w:val="20"/>
              </w:rPr>
              <w:t>ia pentru Dezvoltare Regională</w:t>
            </w:r>
          </w:p>
        </w:tc>
      </w:tr>
      <w:tr w:rsidR="00E145DA" w:rsidRPr="003516DC" w14:paraId="1AAD0B08" w14:textId="77777777" w:rsidTr="009C2D9B">
        <w:tc>
          <w:tcPr>
            <w:tcW w:w="1155" w:type="pct"/>
          </w:tcPr>
          <w:p w14:paraId="2F6A1EC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ADRSV</w:t>
            </w:r>
          </w:p>
        </w:tc>
        <w:tc>
          <w:tcPr>
            <w:tcW w:w="3845" w:type="pct"/>
          </w:tcPr>
          <w:p w14:paraId="152A813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Regional Development Agency South-West </w:t>
            </w:r>
            <w:r w:rsidRPr="003516DC">
              <w:rPr>
                <w:rFonts w:ascii="Arial" w:hAnsi="Arial" w:cs="Arial"/>
                <w:i/>
                <w:iCs/>
                <w:sz w:val="20"/>
                <w:szCs w:val="20"/>
              </w:rPr>
              <w:t>/ Agen</w:t>
            </w:r>
            <w:r w:rsidRPr="003516DC">
              <w:rPr>
                <w:rFonts w:ascii="Arial" w:hAnsi="Arial" w:cs="Arial"/>
                <w:i/>
                <w:iCs/>
                <w:color w:val="000000"/>
                <w:sz w:val="20"/>
                <w:szCs w:val="20"/>
              </w:rPr>
              <w:t>ț</w:t>
            </w:r>
            <w:r w:rsidRPr="003516DC">
              <w:rPr>
                <w:rFonts w:ascii="Arial" w:hAnsi="Arial" w:cs="Arial"/>
                <w:i/>
                <w:iCs/>
                <w:sz w:val="20"/>
                <w:szCs w:val="20"/>
              </w:rPr>
              <w:t>ia pentru Dezvoltare Regională Sud-Vest Oltenia</w:t>
            </w:r>
          </w:p>
        </w:tc>
      </w:tr>
      <w:tr w:rsidR="00E145DA" w:rsidRPr="003516DC" w14:paraId="29BA54BA" w14:textId="77777777" w:rsidTr="009C2D9B">
        <w:tc>
          <w:tcPr>
            <w:tcW w:w="1155" w:type="pct"/>
          </w:tcPr>
          <w:p w14:paraId="7B8CEDC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AJOFM</w:t>
            </w:r>
          </w:p>
        </w:tc>
        <w:tc>
          <w:tcPr>
            <w:tcW w:w="3845" w:type="pct"/>
          </w:tcPr>
          <w:p w14:paraId="688AA3C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Employment County Association </w:t>
            </w:r>
            <w:r w:rsidRPr="003516DC">
              <w:rPr>
                <w:rFonts w:ascii="Arial" w:hAnsi="Arial" w:cs="Arial"/>
                <w:i/>
                <w:iCs/>
                <w:color w:val="000000"/>
                <w:sz w:val="20"/>
                <w:szCs w:val="20"/>
              </w:rPr>
              <w:t>/ Agentia Judeteana pentru Ocuparea Fortei de Munca</w:t>
            </w:r>
          </w:p>
        </w:tc>
      </w:tr>
      <w:tr w:rsidR="00E145DA" w:rsidRPr="003516DC" w14:paraId="35322EBC" w14:textId="77777777" w:rsidTr="009C2D9B">
        <w:tc>
          <w:tcPr>
            <w:tcW w:w="1155" w:type="pct"/>
          </w:tcPr>
          <w:p w14:paraId="6C511CF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ANPM</w:t>
            </w:r>
          </w:p>
        </w:tc>
        <w:tc>
          <w:tcPr>
            <w:tcW w:w="3845" w:type="pct"/>
          </w:tcPr>
          <w:p w14:paraId="7ED10ED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National Agency for Environmental Protection / </w:t>
            </w:r>
            <w:r w:rsidRPr="003516DC">
              <w:rPr>
                <w:rFonts w:ascii="Arial" w:hAnsi="Arial" w:cs="Arial"/>
                <w:i/>
                <w:iCs/>
                <w:color w:val="000000"/>
                <w:sz w:val="20"/>
                <w:szCs w:val="20"/>
              </w:rPr>
              <w:t xml:space="preserve">Agentia </w:t>
            </w:r>
            <w:r w:rsidRPr="003516DC">
              <w:rPr>
                <w:rFonts w:ascii="Arial" w:hAnsi="Arial" w:cs="Arial"/>
                <w:i/>
                <w:iCs/>
                <w:color w:val="000000"/>
                <w:sz w:val="20"/>
                <w:szCs w:val="20"/>
                <w:lang w:val="ro-RO"/>
              </w:rPr>
              <w:t>Națională</w:t>
            </w:r>
            <w:r w:rsidRPr="003516DC">
              <w:rPr>
                <w:rFonts w:ascii="Arial" w:hAnsi="Arial" w:cs="Arial"/>
                <w:i/>
                <w:iCs/>
                <w:color w:val="000000"/>
                <w:sz w:val="20"/>
                <w:szCs w:val="20"/>
              </w:rPr>
              <w:t xml:space="preserve"> pentru Protectia Mediului</w:t>
            </w:r>
          </w:p>
        </w:tc>
      </w:tr>
      <w:tr w:rsidR="00E145DA" w:rsidRPr="003516DC" w14:paraId="30A47AD1" w14:textId="77777777" w:rsidTr="009C2D9B">
        <w:tc>
          <w:tcPr>
            <w:tcW w:w="1155" w:type="pct"/>
          </w:tcPr>
          <w:p w14:paraId="6137AECC"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ANRE</w:t>
            </w:r>
          </w:p>
        </w:tc>
        <w:tc>
          <w:tcPr>
            <w:tcW w:w="3845" w:type="pct"/>
          </w:tcPr>
          <w:p w14:paraId="3039B368" w14:textId="77777777" w:rsidR="009C2D9B" w:rsidRPr="003516DC" w:rsidRDefault="009C2D9B" w:rsidP="009C2D9B">
            <w:pPr>
              <w:rPr>
                <w:rFonts w:ascii="Arial" w:hAnsi="Arial" w:cs="Arial"/>
                <w:i/>
                <w:iCs/>
                <w:color w:val="000000"/>
                <w:sz w:val="20"/>
                <w:szCs w:val="20"/>
              </w:rPr>
            </w:pPr>
            <w:r w:rsidRPr="003516DC">
              <w:rPr>
                <w:rFonts w:ascii="Arial" w:hAnsi="Arial" w:cs="Arial"/>
                <w:color w:val="000000"/>
                <w:sz w:val="20"/>
                <w:szCs w:val="20"/>
              </w:rPr>
              <w:t xml:space="preserve">Romanian Energy Regulatory Authority / </w:t>
            </w:r>
            <w:r w:rsidRPr="003516DC">
              <w:rPr>
                <w:rFonts w:ascii="Arial" w:hAnsi="Arial" w:cs="Arial"/>
                <w:i/>
                <w:iCs/>
                <w:color w:val="000000"/>
                <w:sz w:val="20"/>
                <w:szCs w:val="20"/>
              </w:rPr>
              <w:t>Autoritatea Națională de Reglementare în Domeniul Energiei</w:t>
            </w:r>
          </w:p>
        </w:tc>
      </w:tr>
      <w:tr w:rsidR="00E145DA" w:rsidRPr="003516DC" w14:paraId="37CE5010" w14:textId="77777777" w:rsidTr="009C2D9B">
        <w:tc>
          <w:tcPr>
            <w:tcW w:w="1155" w:type="pct"/>
          </w:tcPr>
          <w:p w14:paraId="31087C3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APDF</w:t>
            </w:r>
          </w:p>
        </w:tc>
        <w:tc>
          <w:tcPr>
            <w:tcW w:w="3845" w:type="pct"/>
          </w:tcPr>
          <w:p w14:paraId="2D913C98" w14:textId="77777777" w:rsidR="009C2D9B" w:rsidRPr="003516DC" w:rsidRDefault="009C2D9B" w:rsidP="009C2D9B">
            <w:pPr>
              <w:rPr>
                <w:rFonts w:ascii="Arial" w:hAnsi="Arial" w:cs="Arial"/>
                <w:i/>
                <w:iCs/>
                <w:color w:val="000000"/>
                <w:sz w:val="20"/>
                <w:szCs w:val="20"/>
              </w:rPr>
            </w:pPr>
            <w:r w:rsidRPr="003516DC">
              <w:rPr>
                <w:rFonts w:ascii="Arial" w:hAnsi="Arial" w:cs="Arial"/>
                <w:color w:val="000000"/>
                <w:sz w:val="20"/>
                <w:szCs w:val="20"/>
              </w:rPr>
              <w:t xml:space="preserve">Danube River Ports Administration / </w:t>
            </w:r>
            <w:r w:rsidRPr="003516DC">
              <w:rPr>
                <w:rFonts w:ascii="Arial" w:hAnsi="Arial" w:cs="Arial"/>
                <w:i/>
                <w:iCs/>
                <w:color w:val="000000"/>
                <w:sz w:val="20"/>
                <w:szCs w:val="20"/>
              </w:rPr>
              <w:t>Compania Națională Administrația Porturilor Dunării Fluviale</w:t>
            </w:r>
          </w:p>
        </w:tc>
      </w:tr>
      <w:tr w:rsidR="00E145DA" w:rsidRPr="003516DC" w14:paraId="4D68D66C" w14:textId="77777777" w:rsidTr="009C2D9B">
        <w:tc>
          <w:tcPr>
            <w:tcW w:w="1155" w:type="pct"/>
          </w:tcPr>
          <w:p w14:paraId="00E23C2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APM</w:t>
            </w:r>
          </w:p>
        </w:tc>
        <w:tc>
          <w:tcPr>
            <w:tcW w:w="3845" w:type="pct"/>
          </w:tcPr>
          <w:p w14:paraId="022B2CF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Agency for Environmental Protection </w:t>
            </w:r>
            <w:r w:rsidRPr="003516DC">
              <w:rPr>
                <w:rFonts w:ascii="Arial" w:hAnsi="Arial" w:cs="Arial"/>
                <w:i/>
                <w:iCs/>
                <w:color w:val="000000"/>
                <w:sz w:val="20"/>
                <w:szCs w:val="20"/>
              </w:rPr>
              <w:t>/ Agentia pentru Protectia Mediului</w:t>
            </w:r>
          </w:p>
        </w:tc>
      </w:tr>
      <w:tr w:rsidR="00E145DA" w:rsidRPr="003516DC" w14:paraId="7FCBD8CA" w14:textId="77777777" w:rsidTr="009C2D9B">
        <w:tc>
          <w:tcPr>
            <w:tcW w:w="1155" w:type="pct"/>
          </w:tcPr>
          <w:p w14:paraId="49F6D8A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ATU</w:t>
            </w:r>
          </w:p>
        </w:tc>
        <w:tc>
          <w:tcPr>
            <w:tcW w:w="3845" w:type="pct"/>
          </w:tcPr>
          <w:p w14:paraId="1DE1F04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Administrative Territorial Unit / </w:t>
            </w:r>
            <w:r w:rsidRPr="003516DC">
              <w:rPr>
                <w:rFonts w:ascii="Arial" w:hAnsi="Arial" w:cs="Arial"/>
                <w:i/>
                <w:iCs/>
                <w:color w:val="000000"/>
                <w:sz w:val="20"/>
                <w:szCs w:val="20"/>
              </w:rPr>
              <w:t>Unitate Administrativ Teritorială</w:t>
            </w:r>
          </w:p>
        </w:tc>
      </w:tr>
      <w:tr w:rsidR="00E145DA" w:rsidRPr="003516DC" w14:paraId="633EB375" w14:textId="77777777" w:rsidTr="009C2D9B">
        <w:tc>
          <w:tcPr>
            <w:tcW w:w="1155" w:type="pct"/>
          </w:tcPr>
          <w:p w14:paraId="4EB4075E" w14:textId="45045AA7" w:rsidR="000325C0" w:rsidRPr="003516DC" w:rsidRDefault="006F402E" w:rsidP="009C2D9B">
            <w:pPr>
              <w:rPr>
                <w:rFonts w:ascii="Arial" w:hAnsi="Arial" w:cs="Arial"/>
                <w:color w:val="000000"/>
                <w:sz w:val="20"/>
                <w:szCs w:val="20"/>
              </w:rPr>
            </w:pPr>
            <w:r>
              <w:rPr>
                <w:rFonts w:ascii="Arial" w:hAnsi="Arial" w:cs="Arial"/>
                <w:color w:val="000000"/>
                <w:sz w:val="20"/>
                <w:szCs w:val="20"/>
              </w:rPr>
              <w:t>B</w:t>
            </w:r>
            <w:r w:rsidR="000325C0">
              <w:rPr>
                <w:rFonts w:ascii="Arial" w:hAnsi="Arial" w:cs="Arial"/>
                <w:color w:val="000000"/>
                <w:sz w:val="20"/>
                <w:szCs w:val="20"/>
              </w:rPr>
              <w:t>n</w:t>
            </w:r>
          </w:p>
        </w:tc>
        <w:tc>
          <w:tcPr>
            <w:tcW w:w="3845" w:type="pct"/>
          </w:tcPr>
          <w:p w14:paraId="6B8B8A1F" w14:textId="5F323F47" w:rsidR="000325C0" w:rsidRPr="003516DC" w:rsidRDefault="000325C0" w:rsidP="009C2D9B">
            <w:pPr>
              <w:rPr>
                <w:rFonts w:ascii="Arial" w:hAnsi="Arial" w:cs="Arial"/>
                <w:color w:val="000000"/>
                <w:sz w:val="20"/>
                <w:szCs w:val="20"/>
              </w:rPr>
            </w:pPr>
            <w:r>
              <w:rPr>
                <w:rFonts w:ascii="Arial" w:hAnsi="Arial" w:cs="Arial"/>
                <w:color w:val="000000"/>
                <w:sz w:val="20"/>
                <w:szCs w:val="20"/>
              </w:rPr>
              <w:t>Billion</w:t>
            </w:r>
          </w:p>
        </w:tc>
      </w:tr>
      <w:tr w:rsidR="00E145DA" w:rsidRPr="003516DC" w14:paraId="150E644D" w14:textId="77777777" w:rsidTr="009C2D9B">
        <w:tc>
          <w:tcPr>
            <w:tcW w:w="1155" w:type="pct"/>
          </w:tcPr>
          <w:p w14:paraId="4A48A70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BNEF</w:t>
            </w:r>
          </w:p>
        </w:tc>
        <w:tc>
          <w:tcPr>
            <w:tcW w:w="3845" w:type="pct"/>
          </w:tcPr>
          <w:p w14:paraId="603CBC3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Bloomberg New Energy Finance</w:t>
            </w:r>
          </w:p>
        </w:tc>
      </w:tr>
      <w:tr w:rsidR="00E145DA" w:rsidRPr="003516DC" w14:paraId="6CE6A4C5" w14:textId="77777777" w:rsidTr="009C2D9B">
        <w:tc>
          <w:tcPr>
            <w:tcW w:w="1155" w:type="pct"/>
          </w:tcPr>
          <w:p w14:paraId="642AA64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BPO</w:t>
            </w:r>
          </w:p>
        </w:tc>
        <w:tc>
          <w:tcPr>
            <w:tcW w:w="3845" w:type="pct"/>
          </w:tcPr>
          <w:p w14:paraId="5339D67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Business Process Outsourcing</w:t>
            </w:r>
          </w:p>
        </w:tc>
      </w:tr>
      <w:tr w:rsidR="00E145DA" w:rsidRPr="00BB6C48" w14:paraId="09D17834" w14:textId="77777777" w:rsidTr="009C2D9B">
        <w:tc>
          <w:tcPr>
            <w:tcW w:w="1155" w:type="pct"/>
          </w:tcPr>
          <w:p w14:paraId="674C033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BTEX</w:t>
            </w:r>
          </w:p>
        </w:tc>
        <w:tc>
          <w:tcPr>
            <w:tcW w:w="3845" w:type="pct"/>
          </w:tcPr>
          <w:p w14:paraId="6A243350" w14:textId="77777777" w:rsidR="009C2D9B" w:rsidRPr="003516DC" w:rsidRDefault="009C2D9B" w:rsidP="009C2D9B">
            <w:pPr>
              <w:rPr>
                <w:rFonts w:ascii="Arial" w:hAnsi="Arial" w:cs="Arial"/>
                <w:color w:val="000000"/>
                <w:sz w:val="20"/>
                <w:szCs w:val="20"/>
                <w:lang w:val="de-DE"/>
              </w:rPr>
            </w:pPr>
            <w:r w:rsidRPr="003516DC">
              <w:rPr>
                <w:rFonts w:ascii="Arial" w:hAnsi="Arial" w:cs="Arial"/>
                <w:color w:val="000000"/>
                <w:sz w:val="20"/>
                <w:szCs w:val="20"/>
                <w:lang w:val="de-DE"/>
              </w:rPr>
              <w:t>Benzene, Toluene, Ethylbenzene and Xylene</w:t>
            </w:r>
          </w:p>
        </w:tc>
      </w:tr>
      <w:tr w:rsidR="00E145DA" w:rsidRPr="003516DC" w14:paraId="57A78048" w14:textId="77777777" w:rsidTr="009C2D9B">
        <w:tc>
          <w:tcPr>
            <w:tcW w:w="1155" w:type="pct"/>
          </w:tcPr>
          <w:p w14:paraId="43FD2B3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CC</w:t>
            </w:r>
          </w:p>
        </w:tc>
        <w:tc>
          <w:tcPr>
            <w:tcW w:w="3845" w:type="pct"/>
          </w:tcPr>
          <w:p w14:paraId="626F01D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County Council / </w:t>
            </w:r>
            <w:r w:rsidRPr="003516DC">
              <w:rPr>
                <w:rFonts w:ascii="Arial" w:hAnsi="Arial" w:cs="Arial"/>
                <w:i/>
                <w:iCs/>
                <w:color w:val="000000"/>
                <w:sz w:val="20"/>
                <w:szCs w:val="20"/>
              </w:rPr>
              <w:t>Consiliu Județean</w:t>
            </w:r>
          </w:p>
        </w:tc>
      </w:tr>
      <w:tr w:rsidR="00E145DA" w:rsidRPr="003516DC" w14:paraId="5C075A04" w14:textId="77777777" w:rsidTr="009C2D9B">
        <w:tc>
          <w:tcPr>
            <w:tcW w:w="1155" w:type="pct"/>
          </w:tcPr>
          <w:p w14:paraId="4FF133C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CE</w:t>
            </w:r>
          </w:p>
        </w:tc>
        <w:tc>
          <w:tcPr>
            <w:tcW w:w="3845" w:type="pct"/>
          </w:tcPr>
          <w:p w14:paraId="735D440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Energy Complex / </w:t>
            </w:r>
            <w:r w:rsidRPr="003516DC">
              <w:rPr>
                <w:rFonts w:ascii="Arial" w:hAnsi="Arial" w:cs="Arial"/>
                <w:i/>
                <w:iCs/>
                <w:color w:val="000000"/>
                <w:sz w:val="20"/>
                <w:szCs w:val="20"/>
              </w:rPr>
              <w:t>Complex Energetic</w:t>
            </w:r>
          </w:p>
        </w:tc>
      </w:tr>
      <w:tr w:rsidR="00E145DA" w:rsidRPr="003516DC" w14:paraId="58A4B156" w14:textId="77777777" w:rsidTr="009C2D9B">
        <w:tc>
          <w:tcPr>
            <w:tcW w:w="1155" w:type="pct"/>
          </w:tcPr>
          <w:p w14:paraId="2115425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CEDEFOP</w:t>
            </w:r>
          </w:p>
        </w:tc>
        <w:tc>
          <w:tcPr>
            <w:tcW w:w="3845" w:type="pct"/>
          </w:tcPr>
          <w:p w14:paraId="479FCDB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European Centre for the Development of Vocational Training</w:t>
            </w:r>
          </w:p>
        </w:tc>
      </w:tr>
      <w:tr w:rsidR="00E145DA" w:rsidRPr="003516DC" w14:paraId="2449F724" w14:textId="77777777" w:rsidTr="009C2D9B">
        <w:tc>
          <w:tcPr>
            <w:tcW w:w="1155" w:type="pct"/>
          </w:tcPr>
          <w:p w14:paraId="41341CB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CEH</w:t>
            </w:r>
          </w:p>
        </w:tc>
        <w:tc>
          <w:tcPr>
            <w:tcW w:w="3845" w:type="pct"/>
          </w:tcPr>
          <w:p w14:paraId="073F591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Hunedoara Energy Complex / </w:t>
            </w:r>
            <w:r w:rsidRPr="003516DC">
              <w:rPr>
                <w:rFonts w:ascii="Arial" w:hAnsi="Arial" w:cs="Arial"/>
                <w:i/>
                <w:iCs/>
                <w:color w:val="000000"/>
                <w:sz w:val="20"/>
                <w:szCs w:val="20"/>
              </w:rPr>
              <w:t>Complexul Energetic Hunedoara</w:t>
            </w:r>
          </w:p>
        </w:tc>
      </w:tr>
      <w:tr w:rsidR="00E145DA" w:rsidRPr="003516DC" w14:paraId="0CADCA27" w14:textId="77777777" w:rsidTr="009C2D9B">
        <w:tc>
          <w:tcPr>
            <w:tcW w:w="1155" w:type="pct"/>
          </w:tcPr>
          <w:p w14:paraId="449AD88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CEO</w:t>
            </w:r>
          </w:p>
        </w:tc>
        <w:tc>
          <w:tcPr>
            <w:tcW w:w="3845" w:type="pct"/>
          </w:tcPr>
          <w:p w14:paraId="037077B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Oltenia Energy Complex / </w:t>
            </w:r>
            <w:r w:rsidRPr="003516DC">
              <w:rPr>
                <w:rFonts w:ascii="Arial" w:hAnsi="Arial" w:cs="Arial"/>
                <w:i/>
                <w:iCs/>
                <w:color w:val="000000"/>
                <w:sz w:val="20"/>
                <w:szCs w:val="20"/>
              </w:rPr>
              <w:t>Complexul Energetic Oltenia</w:t>
            </w:r>
          </w:p>
        </w:tc>
      </w:tr>
      <w:tr w:rsidR="00E145DA" w:rsidRPr="003516DC" w14:paraId="16EF574C" w14:textId="77777777" w:rsidTr="009C2D9B">
        <w:tc>
          <w:tcPr>
            <w:tcW w:w="1155" w:type="pct"/>
          </w:tcPr>
          <w:p w14:paraId="0230FAC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CEROPE</w:t>
            </w:r>
          </w:p>
        </w:tc>
        <w:tc>
          <w:tcPr>
            <w:tcW w:w="3845" w:type="pct"/>
          </w:tcPr>
          <w:p w14:paraId="2C10ADFC"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Romanian Center for Economic Policies / </w:t>
            </w:r>
            <w:r w:rsidRPr="003516DC">
              <w:rPr>
                <w:rFonts w:ascii="Arial" w:hAnsi="Arial" w:cs="Arial"/>
                <w:i/>
                <w:iCs/>
                <w:color w:val="000000"/>
                <w:sz w:val="20"/>
                <w:szCs w:val="20"/>
              </w:rPr>
              <w:t>Centrul Român de Politici Economice</w:t>
            </w:r>
          </w:p>
        </w:tc>
      </w:tr>
      <w:tr w:rsidR="00E145DA" w:rsidRPr="003516DC" w14:paraId="5C98B013" w14:textId="77777777" w:rsidTr="009C2D9B">
        <w:tc>
          <w:tcPr>
            <w:tcW w:w="1155" w:type="pct"/>
          </w:tcPr>
          <w:p w14:paraId="2CD43C6A" w14:textId="1AECCADA" w:rsidR="00BC0636" w:rsidRPr="003516DC" w:rsidRDefault="00BC0636" w:rsidP="009C2D9B">
            <w:pPr>
              <w:rPr>
                <w:rFonts w:ascii="Arial" w:hAnsi="Arial" w:cs="Arial"/>
                <w:color w:val="000000"/>
                <w:sz w:val="20"/>
                <w:szCs w:val="20"/>
              </w:rPr>
            </w:pPr>
            <w:r w:rsidRPr="003516DC">
              <w:rPr>
                <w:rFonts w:ascii="Arial" w:hAnsi="Arial" w:cs="Arial"/>
                <w:color w:val="000000"/>
                <w:sz w:val="20"/>
                <w:szCs w:val="20"/>
              </w:rPr>
              <w:t>CfD</w:t>
            </w:r>
          </w:p>
        </w:tc>
        <w:tc>
          <w:tcPr>
            <w:tcW w:w="3845" w:type="pct"/>
          </w:tcPr>
          <w:p w14:paraId="651E75C3" w14:textId="341E89DD" w:rsidR="00BC0636" w:rsidRPr="003516DC" w:rsidRDefault="00BC0636" w:rsidP="009C2D9B">
            <w:pPr>
              <w:rPr>
                <w:rFonts w:ascii="Arial" w:hAnsi="Arial" w:cs="Arial"/>
                <w:color w:val="000000"/>
                <w:sz w:val="20"/>
                <w:szCs w:val="20"/>
              </w:rPr>
            </w:pPr>
            <w:r w:rsidRPr="003516DC">
              <w:rPr>
                <w:rFonts w:ascii="Arial" w:hAnsi="Arial" w:cs="Arial"/>
                <w:color w:val="000000"/>
                <w:sz w:val="20"/>
                <w:szCs w:val="20"/>
              </w:rPr>
              <w:t>Contracts-for Difference</w:t>
            </w:r>
          </w:p>
        </w:tc>
      </w:tr>
      <w:tr w:rsidR="00E145DA" w:rsidRPr="003516DC" w14:paraId="7AABDBE4" w14:textId="77777777" w:rsidTr="009C2D9B">
        <w:tc>
          <w:tcPr>
            <w:tcW w:w="1155" w:type="pct"/>
          </w:tcPr>
          <w:p w14:paraId="76F4B24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CJ</w:t>
            </w:r>
          </w:p>
        </w:tc>
        <w:tc>
          <w:tcPr>
            <w:tcW w:w="3845" w:type="pct"/>
          </w:tcPr>
          <w:p w14:paraId="2469674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County Council </w:t>
            </w:r>
            <w:r w:rsidRPr="003516DC">
              <w:rPr>
                <w:rFonts w:ascii="Arial" w:hAnsi="Arial" w:cs="Arial"/>
                <w:i/>
                <w:iCs/>
                <w:color w:val="000000"/>
                <w:sz w:val="20"/>
                <w:szCs w:val="20"/>
              </w:rPr>
              <w:t>/ Consiliu Județean</w:t>
            </w:r>
          </w:p>
        </w:tc>
      </w:tr>
      <w:tr w:rsidR="00E145DA" w:rsidRPr="003516DC" w14:paraId="2E20144C" w14:textId="77777777" w:rsidTr="009C2D9B">
        <w:tc>
          <w:tcPr>
            <w:tcW w:w="1155" w:type="pct"/>
          </w:tcPr>
          <w:p w14:paraId="2E1FB68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CMA</w:t>
            </w:r>
          </w:p>
        </w:tc>
        <w:tc>
          <w:tcPr>
            <w:tcW w:w="3845" w:type="pct"/>
          </w:tcPr>
          <w:p w14:paraId="11A97CA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Craiova Metropolitan Area</w:t>
            </w:r>
          </w:p>
        </w:tc>
      </w:tr>
      <w:tr w:rsidR="00E145DA" w:rsidRPr="003516DC" w14:paraId="0C02C5D0" w14:textId="77777777" w:rsidTr="009C2D9B">
        <w:tc>
          <w:tcPr>
            <w:tcW w:w="1155" w:type="pct"/>
          </w:tcPr>
          <w:p w14:paraId="1FB7643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CO</w:t>
            </w:r>
          </w:p>
        </w:tc>
        <w:tc>
          <w:tcPr>
            <w:tcW w:w="3845" w:type="pct"/>
          </w:tcPr>
          <w:p w14:paraId="598CDCE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Carbon Monoxide</w:t>
            </w:r>
          </w:p>
        </w:tc>
      </w:tr>
      <w:tr w:rsidR="00E145DA" w:rsidRPr="003516DC" w14:paraId="60AF52F5" w14:textId="77777777" w:rsidTr="009C2D9B">
        <w:tc>
          <w:tcPr>
            <w:tcW w:w="1155" w:type="pct"/>
          </w:tcPr>
          <w:p w14:paraId="616B6BC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CO</w:t>
            </w:r>
            <w:r w:rsidRPr="00782BFD">
              <w:rPr>
                <w:rFonts w:ascii="Arial" w:hAnsi="Arial" w:cs="Arial"/>
                <w:color w:val="000000"/>
                <w:sz w:val="20"/>
                <w:szCs w:val="20"/>
                <w:vertAlign w:val="subscript"/>
              </w:rPr>
              <w:t>2</w:t>
            </w:r>
          </w:p>
        </w:tc>
        <w:tc>
          <w:tcPr>
            <w:tcW w:w="3845" w:type="pct"/>
          </w:tcPr>
          <w:p w14:paraId="711228AC"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Carbon Dioxide</w:t>
            </w:r>
          </w:p>
        </w:tc>
      </w:tr>
      <w:tr w:rsidR="00E145DA" w:rsidRPr="003516DC" w14:paraId="06212099" w14:textId="77777777" w:rsidTr="009C2D9B">
        <w:tc>
          <w:tcPr>
            <w:tcW w:w="1155" w:type="pct"/>
          </w:tcPr>
          <w:p w14:paraId="410E603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COSME</w:t>
            </w:r>
          </w:p>
        </w:tc>
        <w:tc>
          <w:tcPr>
            <w:tcW w:w="3845" w:type="pct"/>
          </w:tcPr>
          <w:p w14:paraId="5F8ED8D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 Programme for the Competitiveness of Enterprises and SMEs</w:t>
            </w:r>
          </w:p>
        </w:tc>
      </w:tr>
      <w:tr w:rsidR="00E145DA" w:rsidRPr="003516DC" w14:paraId="15EF803D" w14:textId="77777777" w:rsidTr="009C2D9B">
        <w:tc>
          <w:tcPr>
            <w:tcW w:w="1155" w:type="pct"/>
          </w:tcPr>
          <w:p w14:paraId="3FEC506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CRFPA</w:t>
            </w:r>
          </w:p>
        </w:tc>
        <w:tc>
          <w:tcPr>
            <w:tcW w:w="3845" w:type="pct"/>
          </w:tcPr>
          <w:p w14:paraId="67D5F39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Regional Center for Adult Vocational Training / </w:t>
            </w:r>
            <w:r w:rsidRPr="003516DC">
              <w:rPr>
                <w:rFonts w:ascii="Arial" w:hAnsi="Arial" w:cs="Arial"/>
                <w:i/>
                <w:iCs/>
                <w:color w:val="000000"/>
                <w:sz w:val="20"/>
                <w:szCs w:val="20"/>
              </w:rPr>
              <w:t>Centrul Regional de Formare Profesională a Adulților Dolj</w:t>
            </w:r>
          </w:p>
        </w:tc>
      </w:tr>
      <w:tr w:rsidR="00E145DA" w:rsidRPr="003516DC" w14:paraId="0BF0C7B7" w14:textId="77777777" w:rsidTr="009C2D9B">
        <w:tc>
          <w:tcPr>
            <w:tcW w:w="1155" w:type="pct"/>
          </w:tcPr>
          <w:p w14:paraId="2017727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w:t>
            </w:r>
          </w:p>
        </w:tc>
        <w:tc>
          <w:tcPr>
            <w:tcW w:w="3845" w:type="pct"/>
          </w:tcPr>
          <w:p w14:paraId="3E8EEB9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Deliverable</w:t>
            </w:r>
          </w:p>
        </w:tc>
      </w:tr>
      <w:tr w:rsidR="00E145DA" w:rsidRPr="003516DC" w14:paraId="6A1F5B69" w14:textId="77777777" w:rsidTr="009C2D9B">
        <w:tc>
          <w:tcPr>
            <w:tcW w:w="1155" w:type="pct"/>
          </w:tcPr>
          <w:p w14:paraId="2F2A726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DG</w:t>
            </w:r>
          </w:p>
        </w:tc>
        <w:tc>
          <w:tcPr>
            <w:tcW w:w="3845" w:type="pct"/>
          </w:tcPr>
          <w:p w14:paraId="0A729DE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Directorate General</w:t>
            </w:r>
          </w:p>
        </w:tc>
      </w:tr>
      <w:tr w:rsidR="00E145DA" w:rsidRPr="003516DC" w14:paraId="153EC590" w14:textId="77777777" w:rsidTr="009C2D9B">
        <w:tc>
          <w:tcPr>
            <w:tcW w:w="1155" w:type="pct"/>
          </w:tcPr>
          <w:p w14:paraId="5002BE7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DSO</w:t>
            </w:r>
          </w:p>
        </w:tc>
        <w:tc>
          <w:tcPr>
            <w:tcW w:w="3845" w:type="pct"/>
          </w:tcPr>
          <w:p w14:paraId="14517D4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Distribution System Operator</w:t>
            </w:r>
          </w:p>
        </w:tc>
      </w:tr>
      <w:tr w:rsidR="00E145DA" w:rsidRPr="003516DC" w14:paraId="28109E7E" w14:textId="77777777" w:rsidTr="009C2D9B">
        <w:tc>
          <w:tcPr>
            <w:tcW w:w="1155" w:type="pct"/>
          </w:tcPr>
          <w:p w14:paraId="242DD97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E3ME</w:t>
            </w:r>
          </w:p>
        </w:tc>
        <w:tc>
          <w:tcPr>
            <w:tcW w:w="3845" w:type="pct"/>
          </w:tcPr>
          <w:p w14:paraId="0DFC6DE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Dynamic, computer-based, global macroeconomic model</w:t>
            </w:r>
          </w:p>
        </w:tc>
      </w:tr>
      <w:tr w:rsidR="00E145DA" w:rsidRPr="003516DC" w14:paraId="35E65A2C" w14:textId="77777777" w:rsidTr="009C2D9B">
        <w:tc>
          <w:tcPr>
            <w:tcW w:w="1155" w:type="pct"/>
          </w:tcPr>
          <w:p w14:paraId="209D195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EC</w:t>
            </w:r>
          </w:p>
        </w:tc>
        <w:tc>
          <w:tcPr>
            <w:tcW w:w="3845" w:type="pct"/>
          </w:tcPr>
          <w:p w14:paraId="45E323E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European Commission</w:t>
            </w:r>
          </w:p>
        </w:tc>
      </w:tr>
      <w:tr w:rsidR="00E145DA" w:rsidRPr="003516DC" w14:paraId="0D489FA6" w14:textId="77777777" w:rsidTr="009C2D9B">
        <w:tc>
          <w:tcPr>
            <w:tcW w:w="1155" w:type="pct"/>
          </w:tcPr>
          <w:p w14:paraId="611E155C"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EIB</w:t>
            </w:r>
          </w:p>
        </w:tc>
        <w:tc>
          <w:tcPr>
            <w:tcW w:w="3845" w:type="pct"/>
          </w:tcPr>
          <w:p w14:paraId="5A26604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European Investment Bank</w:t>
            </w:r>
          </w:p>
        </w:tc>
      </w:tr>
      <w:tr w:rsidR="00E145DA" w:rsidRPr="003516DC" w14:paraId="3FE3A267" w14:textId="77777777" w:rsidTr="009C2D9B">
        <w:tc>
          <w:tcPr>
            <w:tcW w:w="1155" w:type="pct"/>
          </w:tcPr>
          <w:p w14:paraId="36214F97" w14:textId="77777777" w:rsidR="009C2D9B" w:rsidRPr="003516DC" w:rsidRDefault="009C2D9B" w:rsidP="009C2D9B">
            <w:pPr>
              <w:rPr>
                <w:rFonts w:ascii="Arial" w:hAnsi="Arial" w:cs="Arial"/>
                <w:sz w:val="20"/>
                <w:szCs w:val="20"/>
              </w:rPr>
            </w:pPr>
            <w:r w:rsidRPr="003516DC">
              <w:rPr>
                <w:rFonts w:ascii="Arial" w:hAnsi="Arial" w:cs="Arial"/>
                <w:sz w:val="20"/>
                <w:szCs w:val="20"/>
              </w:rPr>
              <w:t>EEOP</w:t>
            </w:r>
          </w:p>
        </w:tc>
        <w:tc>
          <w:tcPr>
            <w:tcW w:w="3845" w:type="pct"/>
          </w:tcPr>
          <w:p w14:paraId="36F714B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Education and Employment Operational Programme</w:t>
            </w:r>
          </w:p>
        </w:tc>
      </w:tr>
      <w:tr w:rsidR="00E145DA" w:rsidRPr="003516DC" w14:paraId="138B1525" w14:textId="77777777" w:rsidTr="009C2D9B">
        <w:tc>
          <w:tcPr>
            <w:tcW w:w="1155" w:type="pct"/>
          </w:tcPr>
          <w:p w14:paraId="1ADA1A0B" w14:textId="77777777" w:rsidR="009C2D9B" w:rsidRPr="003516DC" w:rsidRDefault="009C2D9B" w:rsidP="009C2D9B">
            <w:pPr>
              <w:rPr>
                <w:rFonts w:ascii="Arial" w:hAnsi="Arial" w:cs="Arial"/>
                <w:sz w:val="20"/>
                <w:szCs w:val="20"/>
              </w:rPr>
            </w:pPr>
            <w:r w:rsidRPr="003516DC">
              <w:rPr>
                <w:rFonts w:ascii="Arial" w:hAnsi="Arial" w:cs="Arial"/>
                <w:sz w:val="20"/>
                <w:szCs w:val="20"/>
              </w:rPr>
              <w:t>EFSI</w:t>
            </w:r>
          </w:p>
        </w:tc>
        <w:tc>
          <w:tcPr>
            <w:tcW w:w="3845" w:type="pct"/>
          </w:tcPr>
          <w:p w14:paraId="3C25DC8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European Fund for Strategic Investments</w:t>
            </w:r>
          </w:p>
        </w:tc>
      </w:tr>
      <w:tr w:rsidR="00E145DA" w:rsidRPr="003516DC" w14:paraId="5AECEB9D" w14:textId="77777777" w:rsidTr="009C2D9B">
        <w:tc>
          <w:tcPr>
            <w:tcW w:w="1155" w:type="pct"/>
          </w:tcPr>
          <w:p w14:paraId="59B6F2F3" w14:textId="77777777" w:rsidR="009C2D9B" w:rsidRPr="003516DC" w:rsidRDefault="009C2D9B" w:rsidP="009C2D9B">
            <w:pPr>
              <w:rPr>
                <w:rFonts w:ascii="Arial" w:hAnsi="Arial" w:cs="Arial"/>
                <w:sz w:val="20"/>
                <w:szCs w:val="20"/>
              </w:rPr>
            </w:pPr>
            <w:r w:rsidRPr="003516DC">
              <w:rPr>
                <w:rFonts w:ascii="Arial" w:hAnsi="Arial" w:cs="Arial"/>
                <w:sz w:val="20"/>
                <w:szCs w:val="20"/>
              </w:rPr>
              <w:t>ESF</w:t>
            </w:r>
          </w:p>
        </w:tc>
        <w:tc>
          <w:tcPr>
            <w:tcW w:w="3845" w:type="pct"/>
          </w:tcPr>
          <w:p w14:paraId="5A932B3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European Social Fund </w:t>
            </w:r>
          </w:p>
        </w:tc>
      </w:tr>
      <w:tr w:rsidR="00E145DA" w:rsidRPr="003516DC" w14:paraId="6A4A37CC" w14:textId="77777777" w:rsidTr="009C2D9B">
        <w:tc>
          <w:tcPr>
            <w:tcW w:w="1155" w:type="pct"/>
          </w:tcPr>
          <w:p w14:paraId="4E17C6B1"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ETS</w:t>
            </w:r>
          </w:p>
        </w:tc>
        <w:tc>
          <w:tcPr>
            <w:tcW w:w="3845" w:type="pct"/>
          </w:tcPr>
          <w:p w14:paraId="012E5A4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Emissions Trading System</w:t>
            </w:r>
          </w:p>
        </w:tc>
      </w:tr>
      <w:tr w:rsidR="00E145DA" w:rsidRPr="003516DC" w14:paraId="2292AC15" w14:textId="77777777" w:rsidTr="009C2D9B">
        <w:tc>
          <w:tcPr>
            <w:tcW w:w="1155" w:type="pct"/>
          </w:tcPr>
          <w:p w14:paraId="3C4B7D6E"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EU</w:t>
            </w:r>
          </w:p>
        </w:tc>
        <w:tc>
          <w:tcPr>
            <w:tcW w:w="3845" w:type="pct"/>
          </w:tcPr>
          <w:p w14:paraId="3717AE9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European Union</w:t>
            </w:r>
          </w:p>
        </w:tc>
      </w:tr>
      <w:tr w:rsidR="00E145DA" w:rsidRPr="003516DC" w14:paraId="08E5D75D" w14:textId="77777777" w:rsidTr="009C2D9B">
        <w:tc>
          <w:tcPr>
            <w:tcW w:w="1155" w:type="pct"/>
          </w:tcPr>
          <w:p w14:paraId="6FE05C72" w14:textId="77777777" w:rsidR="009C2D9B" w:rsidRPr="003516DC" w:rsidRDefault="009C2D9B" w:rsidP="009C2D9B">
            <w:pPr>
              <w:rPr>
                <w:rFonts w:ascii="Arial" w:hAnsi="Arial" w:cs="Arial"/>
                <w:sz w:val="20"/>
                <w:szCs w:val="20"/>
              </w:rPr>
            </w:pPr>
            <w:r w:rsidRPr="003516DC">
              <w:rPr>
                <w:rFonts w:ascii="Arial" w:hAnsi="Arial" w:cs="Arial"/>
                <w:sz w:val="20"/>
                <w:szCs w:val="20"/>
              </w:rPr>
              <w:t>EUA</w:t>
            </w:r>
          </w:p>
        </w:tc>
        <w:tc>
          <w:tcPr>
            <w:tcW w:w="3845" w:type="pct"/>
          </w:tcPr>
          <w:p w14:paraId="0D4771C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European Union emission Allowances </w:t>
            </w:r>
          </w:p>
        </w:tc>
      </w:tr>
      <w:tr w:rsidR="00E145DA" w:rsidRPr="003516DC" w14:paraId="190A2FE9" w14:textId="77777777" w:rsidTr="009C2D9B">
        <w:tc>
          <w:tcPr>
            <w:tcW w:w="1155" w:type="pct"/>
          </w:tcPr>
          <w:p w14:paraId="7483B0F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EUR</w:t>
            </w:r>
          </w:p>
        </w:tc>
        <w:tc>
          <w:tcPr>
            <w:tcW w:w="3845" w:type="pct"/>
          </w:tcPr>
          <w:p w14:paraId="7B2A18E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Euro</w:t>
            </w:r>
          </w:p>
        </w:tc>
      </w:tr>
      <w:tr w:rsidR="00E145DA" w:rsidRPr="003516DC" w14:paraId="3274C4B0" w14:textId="77777777" w:rsidTr="009C2D9B">
        <w:tc>
          <w:tcPr>
            <w:tcW w:w="1155" w:type="pct"/>
          </w:tcPr>
          <w:p w14:paraId="36DCB6F7" w14:textId="77777777" w:rsidR="009C2D9B" w:rsidRPr="003516DC" w:rsidRDefault="009C2D9B" w:rsidP="009C2D9B">
            <w:pPr>
              <w:rPr>
                <w:rFonts w:ascii="Arial" w:hAnsi="Arial" w:cs="Arial"/>
                <w:sz w:val="20"/>
                <w:szCs w:val="20"/>
              </w:rPr>
            </w:pPr>
            <w:r w:rsidRPr="003516DC">
              <w:rPr>
                <w:rFonts w:ascii="Arial" w:hAnsi="Arial" w:cs="Arial"/>
                <w:sz w:val="20"/>
                <w:szCs w:val="20"/>
              </w:rPr>
              <w:t>FDI</w:t>
            </w:r>
          </w:p>
        </w:tc>
        <w:tc>
          <w:tcPr>
            <w:tcW w:w="3845" w:type="pct"/>
          </w:tcPr>
          <w:p w14:paraId="4C63F9D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Foreign Direct Investment</w:t>
            </w:r>
          </w:p>
        </w:tc>
      </w:tr>
      <w:tr w:rsidR="00E145DA" w:rsidRPr="003516DC" w14:paraId="0AF91569" w14:textId="77777777" w:rsidTr="009C2D9B">
        <w:tc>
          <w:tcPr>
            <w:tcW w:w="1155" w:type="pct"/>
          </w:tcPr>
          <w:p w14:paraId="44AA5905" w14:textId="77777777" w:rsidR="009C2D9B" w:rsidRPr="003516DC" w:rsidRDefault="009C2D9B" w:rsidP="009C2D9B">
            <w:pPr>
              <w:rPr>
                <w:rFonts w:ascii="Arial" w:hAnsi="Arial" w:cs="Arial"/>
                <w:sz w:val="20"/>
                <w:szCs w:val="20"/>
              </w:rPr>
            </w:pPr>
            <w:r w:rsidRPr="003516DC">
              <w:rPr>
                <w:rFonts w:ascii="Arial" w:hAnsi="Arial" w:cs="Arial"/>
                <w:sz w:val="20"/>
                <w:szCs w:val="20"/>
              </w:rPr>
              <w:t>FTE</w:t>
            </w:r>
          </w:p>
        </w:tc>
        <w:tc>
          <w:tcPr>
            <w:tcW w:w="3845" w:type="pct"/>
          </w:tcPr>
          <w:p w14:paraId="562600C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Full-time equivalent</w:t>
            </w:r>
          </w:p>
        </w:tc>
      </w:tr>
      <w:tr w:rsidR="00E145DA" w:rsidRPr="003516DC" w14:paraId="655D5526" w14:textId="77777777" w:rsidTr="009C2D9B">
        <w:tc>
          <w:tcPr>
            <w:tcW w:w="1155" w:type="pct"/>
          </w:tcPr>
          <w:p w14:paraId="10B71053"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GDP</w:t>
            </w:r>
          </w:p>
        </w:tc>
        <w:tc>
          <w:tcPr>
            <w:tcW w:w="3845" w:type="pct"/>
          </w:tcPr>
          <w:p w14:paraId="59F9F5F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Gross Domestic Product</w:t>
            </w:r>
          </w:p>
        </w:tc>
      </w:tr>
      <w:tr w:rsidR="00E145DA" w:rsidRPr="003516DC" w14:paraId="50841094" w14:textId="77777777" w:rsidTr="009C2D9B">
        <w:tc>
          <w:tcPr>
            <w:tcW w:w="1155" w:type="pct"/>
          </w:tcPr>
          <w:p w14:paraId="489885E5" w14:textId="77777777" w:rsidR="009C2D9B" w:rsidRPr="003516DC" w:rsidRDefault="009C2D9B" w:rsidP="009C2D9B">
            <w:pPr>
              <w:rPr>
                <w:rFonts w:ascii="Arial" w:hAnsi="Arial" w:cs="Arial"/>
                <w:sz w:val="20"/>
                <w:szCs w:val="20"/>
              </w:rPr>
            </w:pPr>
            <w:r w:rsidRPr="003516DC">
              <w:rPr>
                <w:rFonts w:ascii="Arial" w:hAnsi="Arial" w:cs="Arial"/>
                <w:sz w:val="20"/>
                <w:szCs w:val="20"/>
              </w:rPr>
              <w:t>GDPR</w:t>
            </w:r>
          </w:p>
        </w:tc>
        <w:tc>
          <w:tcPr>
            <w:tcW w:w="3845" w:type="pct"/>
          </w:tcPr>
          <w:p w14:paraId="1E557C08" w14:textId="77777777" w:rsidR="009C2D9B" w:rsidRPr="003516DC" w:rsidRDefault="009C2D9B" w:rsidP="009C2D9B">
            <w:pPr>
              <w:rPr>
                <w:rFonts w:ascii="Arial" w:hAnsi="Arial" w:cs="Arial"/>
                <w:sz w:val="20"/>
                <w:szCs w:val="20"/>
              </w:rPr>
            </w:pPr>
            <w:r w:rsidRPr="003516DC">
              <w:rPr>
                <w:rFonts w:ascii="Arial" w:hAnsi="Arial" w:cs="Arial"/>
                <w:sz w:val="20"/>
                <w:szCs w:val="20"/>
              </w:rPr>
              <w:t>General Data Protection Regulation</w:t>
            </w:r>
          </w:p>
        </w:tc>
      </w:tr>
      <w:tr w:rsidR="00E145DA" w:rsidRPr="00BB6C48" w14:paraId="0E05C93C" w14:textId="77777777" w:rsidTr="009C2D9B">
        <w:tc>
          <w:tcPr>
            <w:tcW w:w="1155" w:type="pct"/>
          </w:tcPr>
          <w:p w14:paraId="757CD727" w14:textId="77777777" w:rsidR="009C2D9B" w:rsidRPr="003516DC" w:rsidRDefault="009C2D9B" w:rsidP="009C2D9B">
            <w:pPr>
              <w:rPr>
                <w:rFonts w:ascii="Arial" w:hAnsi="Arial" w:cs="Arial"/>
                <w:sz w:val="20"/>
                <w:szCs w:val="20"/>
              </w:rPr>
            </w:pPr>
            <w:r w:rsidRPr="003516DC">
              <w:rPr>
                <w:rFonts w:ascii="Arial" w:hAnsi="Arial" w:cs="Arial"/>
                <w:sz w:val="20"/>
                <w:szCs w:val="20"/>
              </w:rPr>
              <w:t>GES</w:t>
            </w:r>
          </w:p>
        </w:tc>
        <w:tc>
          <w:tcPr>
            <w:tcW w:w="3845" w:type="pct"/>
          </w:tcPr>
          <w:p w14:paraId="5156E7C1" w14:textId="77777777" w:rsidR="009C2D9B" w:rsidRPr="003516DC" w:rsidRDefault="009C2D9B" w:rsidP="009C2D9B">
            <w:pPr>
              <w:rPr>
                <w:rFonts w:ascii="Arial" w:hAnsi="Arial" w:cs="Arial"/>
                <w:sz w:val="20"/>
                <w:szCs w:val="20"/>
                <w:lang w:val="fr-FR"/>
              </w:rPr>
            </w:pPr>
            <w:r w:rsidRPr="003516DC">
              <w:rPr>
                <w:rFonts w:ascii="Arial" w:hAnsi="Arial" w:cs="Arial"/>
                <w:sz w:val="20"/>
                <w:szCs w:val="20"/>
                <w:lang w:val="fr-FR"/>
              </w:rPr>
              <w:t xml:space="preserve">Greenhouse Gas Emissions / </w:t>
            </w:r>
            <w:r w:rsidRPr="003516DC">
              <w:rPr>
                <w:rFonts w:ascii="Arial" w:hAnsi="Arial" w:cs="Arial"/>
                <w:i/>
                <w:iCs/>
                <w:sz w:val="20"/>
                <w:szCs w:val="20"/>
                <w:lang w:val="fr-FR"/>
              </w:rPr>
              <w:t>Emisii de Gaze cu Efect de Seră</w:t>
            </w:r>
            <w:r w:rsidRPr="003516DC">
              <w:rPr>
                <w:rFonts w:ascii="Arial" w:hAnsi="Arial" w:cs="Arial"/>
                <w:sz w:val="20"/>
                <w:szCs w:val="20"/>
                <w:lang w:val="fr-FR"/>
              </w:rPr>
              <w:t xml:space="preserve"> </w:t>
            </w:r>
          </w:p>
        </w:tc>
      </w:tr>
      <w:tr w:rsidR="00E145DA" w:rsidRPr="003516DC" w14:paraId="0439D211" w14:textId="77777777" w:rsidTr="009C2D9B">
        <w:tc>
          <w:tcPr>
            <w:tcW w:w="1155" w:type="pct"/>
          </w:tcPr>
          <w:p w14:paraId="0F05A86A"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GHG</w:t>
            </w:r>
          </w:p>
        </w:tc>
        <w:tc>
          <w:tcPr>
            <w:tcW w:w="3845" w:type="pct"/>
          </w:tcPr>
          <w:p w14:paraId="671AA506"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Greenhouse Gas</w:t>
            </w:r>
          </w:p>
        </w:tc>
      </w:tr>
      <w:tr w:rsidR="00E145DA" w:rsidRPr="003516DC" w14:paraId="4F2EC21E" w14:textId="77777777" w:rsidTr="009C2D9B">
        <w:tc>
          <w:tcPr>
            <w:tcW w:w="1155" w:type="pct"/>
          </w:tcPr>
          <w:p w14:paraId="393C8575" w14:textId="77777777" w:rsidR="009C2D9B" w:rsidRPr="003516DC" w:rsidRDefault="009C2D9B" w:rsidP="009C2D9B">
            <w:pPr>
              <w:rPr>
                <w:rFonts w:ascii="Arial" w:hAnsi="Arial" w:cs="Arial"/>
                <w:sz w:val="20"/>
                <w:szCs w:val="20"/>
              </w:rPr>
            </w:pPr>
            <w:r w:rsidRPr="003516DC">
              <w:rPr>
                <w:rFonts w:ascii="Arial" w:hAnsi="Arial" w:cs="Arial"/>
                <w:sz w:val="20"/>
                <w:szCs w:val="20"/>
              </w:rPr>
              <w:t>GNI</w:t>
            </w:r>
          </w:p>
        </w:tc>
        <w:tc>
          <w:tcPr>
            <w:tcW w:w="3845" w:type="pct"/>
          </w:tcPr>
          <w:p w14:paraId="61D8A495" w14:textId="77777777" w:rsidR="009C2D9B" w:rsidRPr="003516DC" w:rsidRDefault="009C2D9B" w:rsidP="009C2D9B">
            <w:pPr>
              <w:rPr>
                <w:rFonts w:ascii="Arial" w:hAnsi="Arial" w:cs="Arial"/>
                <w:sz w:val="20"/>
                <w:szCs w:val="20"/>
              </w:rPr>
            </w:pPr>
            <w:r w:rsidRPr="003516DC">
              <w:rPr>
                <w:rFonts w:ascii="Arial" w:hAnsi="Arial" w:cs="Arial"/>
                <w:sz w:val="20"/>
                <w:szCs w:val="20"/>
              </w:rPr>
              <w:t>Gross National Income</w:t>
            </w:r>
          </w:p>
        </w:tc>
      </w:tr>
      <w:tr w:rsidR="00E145DA" w:rsidRPr="003516DC" w14:paraId="6FA165D9" w14:textId="77777777" w:rsidTr="009C2D9B">
        <w:tc>
          <w:tcPr>
            <w:tcW w:w="1155" w:type="pct"/>
          </w:tcPr>
          <w:p w14:paraId="4FD9D882" w14:textId="77777777" w:rsidR="009C2D9B" w:rsidRPr="003516DC" w:rsidRDefault="009C2D9B" w:rsidP="009C2D9B">
            <w:pPr>
              <w:rPr>
                <w:rFonts w:ascii="Arial" w:hAnsi="Arial" w:cs="Arial"/>
                <w:sz w:val="20"/>
                <w:szCs w:val="20"/>
              </w:rPr>
            </w:pPr>
            <w:r w:rsidRPr="003516DC">
              <w:rPr>
                <w:rFonts w:ascii="Arial" w:hAnsi="Arial" w:cs="Arial"/>
                <w:sz w:val="20"/>
                <w:szCs w:val="20"/>
              </w:rPr>
              <w:t>GO</w:t>
            </w:r>
          </w:p>
        </w:tc>
        <w:tc>
          <w:tcPr>
            <w:tcW w:w="3845" w:type="pct"/>
          </w:tcPr>
          <w:p w14:paraId="7353C45F" w14:textId="77777777" w:rsidR="009C2D9B" w:rsidRPr="003516DC" w:rsidRDefault="009C2D9B" w:rsidP="009C2D9B">
            <w:pPr>
              <w:rPr>
                <w:rFonts w:ascii="Arial" w:hAnsi="Arial" w:cs="Arial"/>
                <w:sz w:val="20"/>
                <w:szCs w:val="20"/>
              </w:rPr>
            </w:pPr>
            <w:r w:rsidRPr="003516DC">
              <w:rPr>
                <w:rFonts w:ascii="Arial" w:hAnsi="Arial" w:cs="Arial"/>
                <w:sz w:val="20"/>
                <w:szCs w:val="20"/>
              </w:rPr>
              <w:t>General Objective</w:t>
            </w:r>
          </w:p>
        </w:tc>
      </w:tr>
      <w:tr w:rsidR="00E145DA" w:rsidRPr="003516DC" w14:paraId="1D8EAD6D" w14:textId="77777777" w:rsidTr="009C2D9B">
        <w:tc>
          <w:tcPr>
            <w:tcW w:w="1155" w:type="pct"/>
          </w:tcPr>
          <w:p w14:paraId="1DCD210F" w14:textId="77777777" w:rsidR="009C2D9B" w:rsidRPr="003516DC" w:rsidRDefault="009C2D9B" w:rsidP="009C2D9B">
            <w:pPr>
              <w:rPr>
                <w:rFonts w:ascii="Arial" w:hAnsi="Arial" w:cs="Arial"/>
                <w:sz w:val="20"/>
                <w:szCs w:val="20"/>
              </w:rPr>
            </w:pPr>
            <w:r w:rsidRPr="003516DC">
              <w:rPr>
                <w:rFonts w:ascii="Arial" w:hAnsi="Arial" w:cs="Arial"/>
                <w:sz w:val="20"/>
                <w:szCs w:val="20"/>
              </w:rPr>
              <w:t>GVA</w:t>
            </w:r>
          </w:p>
        </w:tc>
        <w:tc>
          <w:tcPr>
            <w:tcW w:w="3845" w:type="pct"/>
          </w:tcPr>
          <w:p w14:paraId="6179ED3A" w14:textId="77777777" w:rsidR="009C2D9B" w:rsidRPr="003516DC" w:rsidRDefault="009C2D9B" w:rsidP="009C2D9B">
            <w:pPr>
              <w:rPr>
                <w:rFonts w:ascii="Arial" w:hAnsi="Arial" w:cs="Arial"/>
                <w:sz w:val="20"/>
                <w:szCs w:val="20"/>
              </w:rPr>
            </w:pPr>
            <w:r w:rsidRPr="003516DC">
              <w:rPr>
                <w:rFonts w:ascii="Arial" w:hAnsi="Arial" w:cs="Arial"/>
                <w:sz w:val="20"/>
                <w:szCs w:val="20"/>
              </w:rPr>
              <w:t>Gross Value Added</w:t>
            </w:r>
          </w:p>
        </w:tc>
      </w:tr>
      <w:tr w:rsidR="00E145DA" w:rsidRPr="003516DC" w14:paraId="01EB40E8" w14:textId="77777777" w:rsidTr="009C2D9B">
        <w:tc>
          <w:tcPr>
            <w:tcW w:w="1155" w:type="pct"/>
          </w:tcPr>
          <w:p w14:paraId="05A002E5" w14:textId="77777777" w:rsidR="009C2D9B" w:rsidRPr="003516DC" w:rsidRDefault="009C2D9B" w:rsidP="009C2D9B">
            <w:pPr>
              <w:rPr>
                <w:rFonts w:ascii="Arial" w:hAnsi="Arial" w:cs="Arial"/>
                <w:sz w:val="20"/>
                <w:szCs w:val="20"/>
              </w:rPr>
            </w:pPr>
            <w:r w:rsidRPr="003516DC">
              <w:rPr>
                <w:rFonts w:ascii="Arial" w:hAnsi="Arial" w:cs="Arial"/>
                <w:sz w:val="20"/>
                <w:szCs w:val="20"/>
              </w:rPr>
              <w:t>GW</w:t>
            </w:r>
          </w:p>
        </w:tc>
        <w:tc>
          <w:tcPr>
            <w:tcW w:w="3845" w:type="pct"/>
          </w:tcPr>
          <w:p w14:paraId="669BCBED" w14:textId="77777777" w:rsidR="009C2D9B" w:rsidRPr="003516DC" w:rsidRDefault="009C2D9B" w:rsidP="009C2D9B">
            <w:pPr>
              <w:rPr>
                <w:rFonts w:ascii="Arial" w:hAnsi="Arial" w:cs="Arial"/>
                <w:sz w:val="20"/>
                <w:szCs w:val="20"/>
              </w:rPr>
            </w:pPr>
            <w:r w:rsidRPr="003516DC">
              <w:rPr>
                <w:rFonts w:ascii="Arial" w:hAnsi="Arial" w:cs="Arial"/>
                <w:sz w:val="20"/>
                <w:szCs w:val="20"/>
              </w:rPr>
              <w:t>Gigawatt</w:t>
            </w:r>
          </w:p>
        </w:tc>
      </w:tr>
      <w:tr w:rsidR="00E145DA" w:rsidRPr="003516DC" w14:paraId="5746C49E" w14:textId="77777777" w:rsidTr="009C2D9B">
        <w:tc>
          <w:tcPr>
            <w:tcW w:w="1155" w:type="pct"/>
          </w:tcPr>
          <w:p w14:paraId="3925B6C9" w14:textId="77777777" w:rsidR="009C2D9B" w:rsidRPr="003516DC" w:rsidRDefault="009C2D9B" w:rsidP="009C2D9B">
            <w:pPr>
              <w:rPr>
                <w:rFonts w:ascii="Arial" w:hAnsi="Arial" w:cs="Arial"/>
                <w:sz w:val="20"/>
                <w:szCs w:val="20"/>
              </w:rPr>
            </w:pPr>
            <w:r w:rsidRPr="003516DC">
              <w:rPr>
                <w:rFonts w:ascii="Arial" w:hAnsi="Arial" w:cs="Arial"/>
                <w:sz w:val="20"/>
                <w:szCs w:val="20"/>
              </w:rPr>
              <w:t>HORECA</w:t>
            </w:r>
          </w:p>
        </w:tc>
        <w:tc>
          <w:tcPr>
            <w:tcW w:w="3845" w:type="pct"/>
          </w:tcPr>
          <w:p w14:paraId="76E200D4"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Hotel, Restaurant and Catering sector </w:t>
            </w:r>
          </w:p>
        </w:tc>
      </w:tr>
      <w:tr w:rsidR="00E145DA" w:rsidRPr="003516DC" w14:paraId="55AEBDF6" w14:textId="77777777" w:rsidTr="009C2D9B">
        <w:tc>
          <w:tcPr>
            <w:tcW w:w="1155" w:type="pct"/>
          </w:tcPr>
          <w:p w14:paraId="50F1C820" w14:textId="77777777" w:rsidR="009C2D9B" w:rsidRPr="003516DC" w:rsidRDefault="009C2D9B" w:rsidP="009C2D9B">
            <w:pPr>
              <w:rPr>
                <w:rFonts w:ascii="Arial" w:hAnsi="Arial" w:cs="Arial"/>
                <w:sz w:val="20"/>
                <w:szCs w:val="20"/>
              </w:rPr>
            </w:pPr>
            <w:r w:rsidRPr="003516DC">
              <w:rPr>
                <w:rFonts w:ascii="Arial" w:hAnsi="Arial" w:cs="Arial"/>
                <w:sz w:val="20"/>
                <w:szCs w:val="20"/>
              </w:rPr>
              <w:lastRenderedPageBreak/>
              <w:t>HORIZON</w:t>
            </w:r>
          </w:p>
        </w:tc>
        <w:tc>
          <w:tcPr>
            <w:tcW w:w="3845" w:type="pct"/>
          </w:tcPr>
          <w:p w14:paraId="66974E96" w14:textId="77777777" w:rsidR="009C2D9B" w:rsidRPr="003516DC" w:rsidRDefault="009C2D9B" w:rsidP="009C2D9B">
            <w:pPr>
              <w:rPr>
                <w:rFonts w:ascii="Arial" w:hAnsi="Arial" w:cs="Arial"/>
                <w:sz w:val="20"/>
                <w:szCs w:val="20"/>
              </w:rPr>
            </w:pPr>
            <w:r w:rsidRPr="003516DC">
              <w:rPr>
                <w:rFonts w:ascii="Arial" w:hAnsi="Arial" w:cs="Arial"/>
                <w:sz w:val="20"/>
                <w:szCs w:val="20"/>
              </w:rPr>
              <w:t>EU funding programme for research and innovation</w:t>
            </w:r>
          </w:p>
        </w:tc>
      </w:tr>
      <w:tr w:rsidR="00E145DA" w:rsidRPr="003516DC" w14:paraId="37D20C63" w14:textId="77777777" w:rsidTr="009C2D9B">
        <w:tc>
          <w:tcPr>
            <w:tcW w:w="1155" w:type="pct"/>
          </w:tcPr>
          <w:p w14:paraId="2BBA6EAB" w14:textId="77777777" w:rsidR="009C2D9B" w:rsidRPr="003516DC" w:rsidRDefault="009C2D9B" w:rsidP="009C2D9B">
            <w:pPr>
              <w:rPr>
                <w:rFonts w:ascii="Arial" w:hAnsi="Arial" w:cs="Arial"/>
                <w:sz w:val="20"/>
                <w:szCs w:val="20"/>
              </w:rPr>
            </w:pPr>
            <w:r w:rsidRPr="003516DC">
              <w:rPr>
                <w:rFonts w:ascii="Arial" w:hAnsi="Arial" w:cs="Arial"/>
                <w:sz w:val="20"/>
                <w:szCs w:val="20"/>
              </w:rPr>
              <w:t>ICT</w:t>
            </w:r>
          </w:p>
        </w:tc>
        <w:tc>
          <w:tcPr>
            <w:tcW w:w="3845" w:type="pct"/>
          </w:tcPr>
          <w:p w14:paraId="2A3469F8"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Information and Communication Technologies</w:t>
            </w:r>
          </w:p>
        </w:tc>
      </w:tr>
      <w:tr w:rsidR="00E145DA" w:rsidRPr="003516DC" w14:paraId="25AC6304" w14:textId="77777777" w:rsidTr="009C2D9B">
        <w:tc>
          <w:tcPr>
            <w:tcW w:w="1155" w:type="pct"/>
          </w:tcPr>
          <w:p w14:paraId="1031FBC6" w14:textId="77777777" w:rsidR="009C2D9B" w:rsidRPr="003516DC" w:rsidRDefault="009C2D9B" w:rsidP="009C2D9B">
            <w:pPr>
              <w:rPr>
                <w:rFonts w:ascii="Arial" w:hAnsi="Arial" w:cs="Arial"/>
                <w:sz w:val="20"/>
                <w:szCs w:val="20"/>
              </w:rPr>
            </w:pPr>
            <w:r w:rsidRPr="003516DC">
              <w:rPr>
                <w:rFonts w:ascii="Arial" w:hAnsi="Arial" w:cs="Arial"/>
                <w:sz w:val="20"/>
                <w:szCs w:val="20"/>
              </w:rPr>
              <w:t>IGDFIOP</w:t>
            </w:r>
          </w:p>
        </w:tc>
        <w:tc>
          <w:tcPr>
            <w:tcW w:w="3845" w:type="pct"/>
          </w:tcPr>
          <w:p w14:paraId="68948B2E" w14:textId="06808206" w:rsidR="009C2D9B" w:rsidRPr="003516DC" w:rsidRDefault="009C2D9B" w:rsidP="009C2D9B">
            <w:pPr>
              <w:rPr>
                <w:rFonts w:ascii="Arial" w:hAnsi="Arial" w:cs="Arial"/>
                <w:color w:val="000000"/>
                <w:sz w:val="20"/>
                <w:szCs w:val="20"/>
              </w:rPr>
            </w:pPr>
            <w:r w:rsidRPr="003516DC">
              <w:rPr>
                <w:rFonts w:ascii="Arial" w:hAnsi="Arial" w:cs="Arial"/>
                <w:sz w:val="20"/>
                <w:szCs w:val="20"/>
              </w:rPr>
              <w:t>Intelligent Growth, Digiti</w:t>
            </w:r>
            <w:r w:rsidR="004E7B64">
              <w:rPr>
                <w:rFonts w:ascii="Arial" w:hAnsi="Arial" w:cs="Arial"/>
                <w:sz w:val="20"/>
                <w:szCs w:val="20"/>
              </w:rPr>
              <w:t>sation</w:t>
            </w:r>
            <w:r w:rsidRPr="003516DC">
              <w:rPr>
                <w:rFonts w:ascii="Arial" w:hAnsi="Arial" w:cs="Arial"/>
                <w:sz w:val="20"/>
                <w:szCs w:val="20"/>
              </w:rPr>
              <w:t xml:space="preserve"> and Financial Instruments Operational Program</w:t>
            </w:r>
          </w:p>
        </w:tc>
      </w:tr>
      <w:tr w:rsidR="00E145DA" w:rsidRPr="003516DC" w14:paraId="6AE43CBC" w14:textId="77777777" w:rsidTr="009C2D9B">
        <w:tc>
          <w:tcPr>
            <w:tcW w:w="1155" w:type="pct"/>
          </w:tcPr>
          <w:p w14:paraId="615F5B3B" w14:textId="77777777" w:rsidR="009C2D9B" w:rsidRPr="003516DC" w:rsidRDefault="009C2D9B" w:rsidP="009C2D9B">
            <w:pPr>
              <w:rPr>
                <w:rFonts w:ascii="Arial" w:hAnsi="Arial" w:cs="Arial"/>
                <w:sz w:val="20"/>
                <w:szCs w:val="20"/>
              </w:rPr>
            </w:pPr>
            <w:r w:rsidRPr="003516DC">
              <w:rPr>
                <w:rFonts w:ascii="Arial" w:hAnsi="Arial" w:cs="Arial"/>
                <w:sz w:val="20"/>
                <w:szCs w:val="20"/>
              </w:rPr>
              <w:t>ILO</w:t>
            </w:r>
          </w:p>
        </w:tc>
        <w:tc>
          <w:tcPr>
            <w:tcW w:w="3845" w:type="pct"/>
          </w:tcPr>
          <w:p w14:paraId="223BCAEA" w14:textId="6AE39A43"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International Labour Organi</w:t>
            </w:r>
            <w:r w:rsidR="004E7B64">
              <w:rPr>
                <w:rFonts w:ascii="Arial" w:hAnsi="Arial" w:cs="Arial"/>
                <w:color w:val="000000"/>
                <w:sz w:val="20"/>
                <w:szCs w:val="20"/>
              </w:rPr>
              <w:t>sation</w:t>
            </w:r>
          </w:p>
        </w:tc>
      </w:tr>
      <w:tr w:rsidR="00E145DA" w:rsidRPr="003516DC" w14:paraId="0672C81E" w14:textId="77777777" w:rsidTr="009C2D9B">
        <w:tc>
          <w:tcPr>
            <w:tcW w:w="1155" w:type="pct"/>
          </w:tcPr>
          <w:p w14:paraId="50FAEE4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IMM</w:t>
            </w:r>
          </w:p>
        </w:tc>
        <w:tc>
          <w:tcPr>
            <w:tcW w:w="3845" w:type="pct"/>
          </w:tcPr>
          <w:p w14:paraId="459529D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Small and Medium Enterprises </w:t>
            </w:r>
            <w:r w:rsidRPr="003516DC">
              <w:rPr>
                <w:rFonts w:ascii="Arial" w:hAnsi="Arial" w:cs="Arial"/>
                <w:i/>
                <w:iCs/>
                <w:color w:val="000000"/>
                <w:sz w:val="20"/>
                <w:szCs w:val="20"/>
              </w:rPr>
              <w:t>/ Intreprinderi Mici și Mijlocii</w:t>
            </w:r>
          </w:p>
        </w:tc>
      </w:tr>
      <w:tr w:rsidR="00E145DA" w:rsidRPr="003516DC" w14:paraId="1B7F4F9A" w14:textId="77777777" w:rsidTr="009C2D9B">
        <w:tc>
          <w:tcPr>
            <w:tcW w:w="1155" w:type="pct"/>
          </w:tcPr>
          <w:p w14:paraId="7C73E469" w14:textId="77777777" w:rsidR="009C2D9B" w:rsidRPr="003516DC" w:rsidRDefault="009C2D9B" w:rsidP="009C2D9B">
            <w:pPr>
              <w:rPr>
                <w:rFonts w:ascii="Arial" w:hAnsi="Arial" w:cs="Arial"/>
                <w:sz w:val="20"/>
                <w:szCs w:val="20"/>
              </w:rPr>
            </w:pPr>
            <w:r w:rsidRPr="003516DC">
              <w:rPr>
                <w:rFonts w:ascii="Arial" w:hAnsi="Arial" w:cs="Arial"/>
                <w:sz w:val="20"/>
                <w:szCs w:val="20"/>
              </w:rPr>
              <w:t>INS</w:t>
            </w:r>
          </w:p>
        </w:tc>
        <w:tc>
          <w:tcPr>
            <w:tcW w:w="3845" w:type="pct"/>
          </w:tcPr>
          <w:p w14:paraId="050E9539"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National Institute of Statistics / </w:t>
            </w:r>
            <w:r w:rsidRPr="003516DC">
              <w:rPr>
                <w:rFonts w:ascii="Arial" w:hAnsi="Arial" w:cs="Arial"/>
                <w:i/>
                <w:iCs/>
                <w:sz w:val="20"/>
                <w:szCs w:val="20"/>
              </w:rPr>
              <w:t>Institutul Național de Statistică</w:t>
            </w:r>
            <w:r w:rsidRPr="003516DC">
              <w:rPr>
                <w:rFonts w:ascii="Arial" w:hAnsi="Arial" w:cs="Arial"/>
                <w:sz w:val="20"/>
                <w:szCs w:val="20"/>
              </w:rPr>
              <w:t xml:space="preserve"> </w:t>
            </w:r>
          </w:p>
        </w:tc>
      </w:tr>
      <w:tr w:rsidR="00E145DA" w:rsidRPr="003516DC" w14:paraId="5BC2A56B" w14:textId="77777777" w:rsidTr="009C2D9B">
        <w:tc>
          <w:tcPr>
            <w:tcW w:w="1155" w:type="pct"/>
          </w:tcPr>
          <w:p w14:paraId="7E1D7AA4" w14:textId="77777777" w:rsidR="009C2D9B" w:rsidRPr="003516DC" w:rsidRDefault="009C2D9B" w:rsidP="009C2D9B">
            <w:pPr>
              <w:rPr>
                <w:rFonts w:ascii="Arial" w:hAnsi="Arial" w:cs="Arial"/>
                <w:sz w:val="20"/>
                <w:szCs w:val="20"/>
              </w:rPr>
            </w:pPr>
            <w:r w:rsidRPr="003516DC">
              <w:rPr>
                <w:rFonts w:ascii="Arial" w:hAnsi="Arial" w:cs="Arial"/>
                <w:sz w:val="20"/>
                <w:szCs w:val="20"/>
              </w:rPr>
              <w:t>IO</w:t>
            </w:r>
          </w:p>
        </w:tc>
        <w:tc>
          <w:tcPr>
            <w:tcW w:w="3845" w:type="pct"/>
          </w:tcPr>
          <w:p w14:paraId="4BF6F285" w14:textId="77777777" w:rsidR="009C2D9B" w:rsidRPr="003516DC" w:rsidRDefault="009C2D9B" w:rsidP="009C2D9B">
            <w:pPr>
              <w:rPr>
                <w:rFonts w:ascii="Arial" w:hAnsi="Arial" w:cs="Arial"/>
                <w:sz w:val="20"/>
                <w:szCs w:val="20"/>
              </w:rPr>
            </w:pPr>
            <w:r w:rsidRPr="003516DC">
              <w:rPr>
                <w:rFonts w:ascii="Arial" w:hAnsi="Arial" w:cs="Arial"/>
                <w:sz w:val="20"/>
                <w:szCs w:val="20"/>
              </w:rPr>
              <w:t>Input-output method</w:t>
            </w:r>
          </w:p>
        </w:tc>
      </w:tr>
      <w:tr w:rsidR="00E145DA" w:rsidRPr="003516DC" w14:paraId="4274B3E9" w14:textId="77777777" w:rsidTr="009C2D9B">
        <w:tc>
          <w:tcPr>
            <w:tcW w:w="1155" w:type="pct"/>
          </w:tcPr>
          <w:p w14:paraId="5550D030" w14:textId="77777777" w:rsidR="009C2D9B" w:rsidRPr="003516DC" w:rsidRDefault="009C2D9B" w:rsidP="009C2D9B">
            <w:pPr>
              <w:rPr>
                <w:rFonts w:ascii="Arial" w:hAnsi="Arial" w:cs="Arial"/>
                <w:sz w:val="20"/>
                <w:szCs w:val="20"/>
              </w:rPr>
            </w:pPr>
            <w:r w:rsidRPr="003516DC">
              <w:rPr>
                <w:rFonts w:ascii="Arial" w:hAnsi="Arial" w:cs="Arial"/>
                <w:sz w:val="20"/>
                <w:szCs w:val="20"/>
              </w:rPr>
              <w:t>IRENA</w:t>
            </w:r>
          </w:p>
        </w:tc>
        <w:tc>
          <w:tcPr>
            <w:tcW w:w="3845" w:type="pct"/>
          </w:tcPr>
          <w:p w14:paraId="184FA4DF" w14:textId="77777777" w:rsidR="009C2D9B" w:rsidRPr="003516DC" w:rsidRDefault="009C2D9B" w:rsidP="009C2D9B">
            <w:pPr>
              <w:rPr>
                <w:rFonts w:ascii="Arial" w:hAnsi="Arial" w:cs="Arial"/>
                <w:sz w:val="20"/>
                <w:szCs w:val="20"/>
              </w:rPr>
            </w:pPr>
            <w:r w:rsidRPr="003516DC">
              <w:rPr>
                <w:rFonts w:ascii="Arial" w:hAnsi="Arial" w:cs="Arial"/>
                <w:sz w:val="20"/>
                <w:szCs w:val="20"/>
              </w:rPr>
              <w:t>International Renewable Energy Agency</w:t>
            </w:r>
          </w:p>
        </w:tc>
      </w:tr>
      <w:tr w:rsidR="00E145DA" w:rsidRPr="003516DC" w14:paraId="059753E6" w14:textId="77777777" w:rsidTr="009C2D9B">
        <w:tc>
          <w:tcPr>
            <w:tcW w:w="1155" w:type="pct"/>
          </w:tcPr>
          <w:p w14:paraId="1226D4A1"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ISJ</w:t>
            </w:r>
          </w:p>
        </w:tc>
        <w:tc>
          <w:tcPr>
            <w:tcW w:w="3845" w:type="pct"/>
          </w:tcPr>
          <w:p w14:paraId="76B7D5F0"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County School Inspectorate </w:t>
            </w:r>
            <w:r w:rsidRPr="003516DC">
              <w:rPr>
                <w:rFonts w:ascii="Arial" w:hAnsi="Arial" w:cs="Arial"/>
                <w:i/>
                <w:iCs/>
                <w:sz w:val="20"/>
                <w:szCs w:val="20"/>
              </w:rPr>
              <w:t>/ Inspectoratul Scolar Judetean</w:t>
            </w:r>
          </w:p>
        </w:tc>
      </w:tr>
      <w:tr w:rsidR="00E145DA" w:rsidRPr="003516DC" w14:paraId="61FFB347" w14:textId="77777777" w:rsidTr="009C2D9B">
        <w:tc>
          <w:tcPr>
            <w:tcW w:w="1155" w:type="pct"/>
          </w:tcPr>
          <w:p w14:paraId="197A4DD6"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ITI</w:t>
            </w:r>
          </w:p>
        </w:tc>
        <w:tc>
          <w:tcPr>
            <w:tcW w:w="3845" w:type="pct"/>
          </w:tcPr>
          <w:p w14:paraId="0408D5D3"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Integrated Territorial Investments</w:t>
            </w:r>
          </w:p>
        </w:tc>
      </w:tr>
      <w:tr w:rsidR="00E145DA" w:rsidRPr="003516DC" w14:paraId="3AE923A7" w14:textId="77777777" w:rsidTr="009C2D9B">
        <w:tc>
          <w:tcPr>
            <w:tcW w:w="1155" w:type="pct"/>
          </w:tcPr>
          <w:p w14:paraId="298D8A67"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IT&amp;C</w:t>
            </w:r>
          </w:p>
        </w:tc>
        <w:tc>
          <w:tcPr>
            <w:tcW w:w="3845" w:type="pct"/>
          </w:tcPr>
          <w:p w14:paraId="36036291"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Information Technology and Communication</w:t>
            </w:r>
          </w:p>
        </w:tc>
      </w:tr>
      <w:tr w:rsidR="00E145DA" w:rsidRPr="003516DC" w14:paraId="51A4D6C7" w14:textId="77777777" w:rsidTr="009C2D9B">
        <w:tc>
          <w:tcPr>
            <w:tcW w:w="1155" w:type="pct"/>
          </w:tcPr>
          <w:p w14:paraId="1D09826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JASMINE</w:t>
            </w:r>
          </w:p>
        </w:tc>
        <w:tc>
          <w:tcPr>
            <w:tcW w:w="3845" w:type="pct"/>
          </w:tcPr>
          <w:p w14:paraId="10DB8C5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Joint Action to Support Micro-finance Institutions in Europe</w:t>
            </w:r>
          </w:p>
        </w:tc>
      </w:tr>
      <w:tr w:rsidR="00E145DA" w:rsidRPr="003516DC" w14:paraId="0636FCBE" w14:textId="77777777" w:rsidTr="009C2D9B">
        <w:tc>
          <w:tcPr>
            <w:tcW w:w="1155" w:type="pct"/>
          </w:tcPr>
          <w:p w14:paraId="3BD067F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JASPERS</w:t>
            </w:r>
          </w:p>
        </w:tc>
        <w:tc>
          <w:tcPr>
            <w:tcW w:w="3845" w:type="pct"/>
          </w:tcPr>
          <w:p w14:paraId="45310FC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Joint Assistance to Support Projects in European Regions</w:t>
            </w:r>
          </w:p>
        </w:tc>
      </w:tr>
      <w:tr w:rsidR="00E145DA" w:rsidRPr="003516DC" w14:paraId="5CC59A31" w14:textId="77777777" w:rsidTr="009C2D9B">
        <w:tc>
          <w:tcPr>
            <w:tcW w:w="1155" w:type="pct"/>
          </w:tcPr>
          <w:p w14:paraId="068AC86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JTF</w:t>
            </w:r>
          </w:p>
        </w:tc>
        <w:tc>
          <w:tcPr>
            <w:tcW w:w="3845" w:type="pct"/>
          </w:tcPr>
          <w:p w14:paraId="15363CC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Just Transition Fund</w:t>
            </w:r>
          </w:p>
        </w:tc>
      </w:tr>
      <w:tr w:rsidR="00E145DA" w:rsidRPr="003516DC" w14:paraId="26F62BAC" w14:textId="77777777" w:rsidTr="009C2D9B">
        <w:tc>
          <w:tcPr>
            <w:tcW w:w="1155" w:type="pct"/>
          </w:tcPr>
          <w:p w14:paraId="23B9411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JTM</w:t>
            </w:r>
          </w:p>
        </w:tc>
        <w:tc>
          <w:tcPr>
            <w:tcW w:w="3845" w:type="pct"/>
          </w:tcPr>
          <w:p w14:paraId="1502C96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Just Transition Mechanism</w:t>
            </w:r>
          </w:p>
        </w:tc>
      </w:tr>
      <w:tr w:rsidR="00E145DA" w:rsidRPr="003516DC" w14:paraId="68631A10" w14:textId="77777777" w:rsidTr="009C2D9B">
        <w:tc>
          <w:tcPr>
            <w:tcW w:w="1155" w:type="pct"/>
          </w:tcPr>
          <w:p w14:paraId="4CF62D7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JTP</w:t>
            </w:r>
          </w:p>
        </w:tc>
        <w:tc>
          <w:tcPr>
            <w:tcW w:w="3845" w:type="pct"/>
          </w:tcPr>
          <w:p w14:paraId="1B3C039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Just Transition Plan</w:t>
            </w:r>
          </w:p>
        </w:tc>
      </w:tr>
      <w:tr w:rsidR="00E145DA" w:rsidRPr="003516DC" w14:paraId="422D551D" w14:textId="77777777" w:rsidTr="009C2D9B">
        <w:tc>
          <w:tcPr>
            <w:tcW w:w="1155" w:type="pct"/>
          </w:tcPr>
          <w:p w14:paraId="3CEBBFF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KIS</w:t>
            </w:r>
          </w:p>
        </w:tc>
        <w:tc>
          <w:tcPr>
            <w:tcW w:w="3845" w:type="pct"/>
          </w:tcPr>
          <w:p w14:paraId="3B302CA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Knowledge Intensive Services</w:t>
            </w:r>
          </w:p>
        </w:tc>
      </w:tr>
      <w:tr w:rsidR="00E145DA" w:rsidRPr="003516DC" w14:paraId="04D3FBBF" w14:textId="77777777" w:rsidTr="009C2D9B">
        <w:tc>
          <w:tcPr>
            <w:tcW w:w="1155" w:type="pct"/>
          </w:tcPr>
          <w:p w14:paraId="6027029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LCOE</w:t>
            </w:r>
          </w:p>
        </w:tc>
        <w:tc>
          <w:tcPr>
            <w:tcW w:w="3845" w:type="pct"/>
          </w:tcPr>
          <w:p w14:paraId="539B3884" w14:textId="184CACC5" w:rsidR="009C2D9B" w:rsidRPr="003516DC" w:rsidRDefault="009C2D9B" w:rsidP="000068BB">
            <w:pPr>
              <w:rPr>
                <w:rFonts w:ascii="Arial" w:hAnsi="Arial" w:cs="Arial"/>
                <w:color w:val="000000"/>
                <w:sz w:val="20"/>
                <w:szCs w:val="20"/>
              </w:rPr>
            </w:pPr>
            <w:r w:rsidRPr="003516DC">
              <w:rPr>
                <w:rFonts w:ascii="Arial" w:hAnsi="Arial" w:cs="Arial"/>
                <w:color w:val="000000"/>
                <w:sz w:val="20"/>
                <w:szCs w:val="20"/>
              </w:rPr>
              <w:t>Leveli</w:t>
            </w:r>
            <w:r w:rsidR="000068BB" w:rsidRPr="003516DC">
              <w:rPr>
                <w:rFonts w:ascii="Arial" w:hAnsi="Arial" w:cs="Arial"/>
                <w:color w:val="000000"/>
                <w:sz w:val="20"/>
                <w:szCs w:val="20"/>
              </w:rPr>
              <w:t>s</w:t>
            </w:r>
            <w:r w:rsidRPr="003516DC">
              <w:rPr>
                <w:rFonts w:ascii="Arial" w:hAnsi="Arial" w:cs="Arial"/>
                <w:color w:val="000000"/>
                <w:sz w:val="20"/>
                <w:szCs w:val="20"/>
              </w:rPr>
              <w:t>ed Cost of E</w:t>
            </w:r>
            <w:r w:rsidR="000068BB" w:rsidRPr="003516DC">
              <w:rPr>
                <w:rFonts w:ascii="Arial" w:hAnsi="Arial" w:cs="Arial"/>
                <w:color w:val="000000"/>
                <w:sz w:val="20"/>
                <w:szCs w:val="20"/>
              </w:rPr>
              <w:t xml:space="preserve">lectricity </w:t>
            </w:r>
          </w:p>
        </w:tc>
      </w:tr>
      <w:tr w:rsidR="00E145DA" w:rsidRPr="003516DC" w14:paraId="4588D9D6" w14:textId="77777777" w:rsidTr="009C2D9B">
        <w:tc>
          <w:tcPr>
            <w:tcW w:w="1155" w:type="pct"/>
          </w:tcPr>
          <w:p w14:paraId="536D6F0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LDI</w:t>
            </w:r>
          </w:p>
        </w:tc>
        <w:tc>
          <w:tcPr>
            <w:tcW w:w="3845" w:type="pct"/>
          </w:tcPr>
          <w:p w14:paraId="284A4D6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Liability Driven Investment </w:t>
            </w:r>
          </w:p>
        </w:tc>
      </w:tr>
      <w:tr w:rsidR="00E145DA" w:rsidRPr="003516DC" w14:paraId="68DA9659" w14:textId="77777777" w:rsidTr="009C2D9B">
        <w:tc>
          <w:tcPr>
            <w:tcW w:w="1155" w:type="pct"/>
          </w:tcPr>
          <w:p w14:paraId="48506C7E" w14:textId="53169042" w:rsidR="000325C0" w:rsidRPr="003516DC" w:rsidRDefault="006F402E" w:rsidP="009C2D9B">
            <w:pPr>
              <w:rPr>
                <w:rFonts w:ascii="Arial" w:hAnsi="Arial" w:cs="Arial"/>
                <w:color w:val="000000"/>
                <w:sz w:val="20"/>
                <w:szCs w:val="20"/>
              </w:rPr>
            </w:pPr>
            <w:r>
              <w:rPr>
                <w:rFonts w:ascii="Arial" w:hAnsi="Arial" w:cs="Arial"/>
                <w:color w:val="000000"/>
                <w:sz w:val="20"/>
                <w:szCs w:val="20"/>
              </w:rPr>
              <w:t>M</w:t>
            </w:r>
          </w:p>
        </w:tc>
        <w:tc>
          <w:tcPr>
            <w:tcW w:w="3845" w:type="pct"/>
          </w:tcPr>
          <w:p w14:paraId="505F089F" w14:textId="772972FD" w:rsidR="000325C0" w:rsidRPr="003516DC" w:rsidRDefault="000325C0" w:rsidP="009C2D9B">
            <w:pPr>
              <w:rPr>
                <w:rFonts w:ascii="Arial" w:hAnsi="Arial" w:cs="Arial"/>
                <w:color w:val="000000"/>
                <w:sz w:val="20"/>
                <w:szCs w:val="20"/>
              </w:rPr>
            </w:pPr>
            <w:r>
              <w:rPr>
                <w:rFonts w:ascii="Arial" w:hAnsi="Arial" w:cs="Arial"/>
                <w:color w:val="000000"/>
                <w:sz w:val="20"/>
                <w:szCs w:val="20"/>
              </w:rPr>
              <w:t>Million</w:t>
            </w:r>
          </w:p>
        </w:tc>
      </w:tr>
      <w:tr w:rsidR="00E145DA" w:rsidRPr="003516DC" w14:paraId="6A0DE115" w14:textId="77777777" w:rsidTr="009C2D9B">
        <w:tc>
          <w:tcPr>
            <w:tcW w:w="1155" w:type="pct"/>
          </w:tcPr>
          <w:p w14:paraId="2E19CA0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MF</w:t>
            </w:r>
          </w:p>
        </w:tc>
        <w:tc>
          <w:tcPr>
            <w:tcW w:w="3845" w:type="pct"/>
          </w:tcPr>
          <w:p w14:paraId="2E681582" w14:textId="39C6CDCB"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Moderni</w:t>
            </w:r>
            <w:r w:rsidR="004E7B64">
              <w:rPr>
                <w:rFonts w:ascii="Arial" w:hAnsi="Arial" w:cs="Arial"/>
                <w:color w:val="000000"/>
                <w:sz w:val="20"/>
                <w:szCs w:val="20"/>
              </w:rPr>
              <w:t>sation</w:t>
            </w:r>
            <w:r w:rsidRPr="003516DC">
              <w:rPr>
                <w:rFonts w:ascii="Arial" w:hAnsi="Arial" w:cs="Arial"/>
                <w:color w:val="000000"/>
                <w:sz w:val="20"/>
                <w:szCs w:val="20"/>
              </w:rPr>
              <w:t xml:space="preserve"> Fund</w:t>
            </w:r>
          </w:p>
        </w:tc>
      </w:tr>
      <w:tr w:rsidR="00E145DA" w:rsidRPr="003516DC" w14:paraId="513B9928" w14:textId="77777777" w:rsidTr="009C2D9B">
        <w:tc>
          <w:tcPr>
            <w:tcW w:w="1155" w:type="pct"/>
          </w:tcPr>
          <w:p w14:paraId="3180E00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MFI</w:t>
            </w:r>
          </w:p>
        </w:tc>
        <w:tc>
          <w:tcPr>
            <w:tcW w:w="3845" w:type="pct"/>
          </w:tcPr>
          <w:p w14:paraId="38207BD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Micro-finance Institution</w:t>
            </w:r>
          </w:p>
        </w:tc>
      </w:tr>
      <w:tr w:rsidR="00E145DA" w:rsidRPr="003516DC" w14:paraId="2340B4CF" w14:textId="77777777" w:rsidTr="009C2D9B">
        <w:tc>
          <w:tcPr>
            <w:tcW w:w="1155" w:type="pct"/>
          </w:tcPr>
          <w:p w14:paraId="766F7A41" w14:textId="4AC066DF"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w:t>
            </w:r>
            <w:r w:rsidR="003751DC">
              <w:rPr>
                <w:rFonts w:ascii="Arial" w:hAnsi="Arial" w:cs="Arial"/>
                <w:color w:val="000000"/>
                <w:sz w:val="20"/>
                <w:szCs w:val="20"/>
              </w:rPr>
              <w:t>EIP</w:t>
            </w:r>
          </w:p>
        </w:tc>
        <w:tc>
          <w:tcPr>
            <w:tcW w:w="3845" w:type="pct"/>
          </w:tcPr>
          <w:p w14:paraId="2DB210F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Ministry of European Investments and Projects / </w:t>
            </w:r>
            <w:r w:rsidRPr="003516DC">
              <w:rPr>
                <w:rFonts w:ascii="Arial" w:hAnsi="Arial" w:cs="Arial"/>
                <w:i/>
                <w:iCs/>
                <w:color w:val="000000"/>
                <w:sz w:val="20"/>
                <w:szCs w:val="20"/>
              </w:rPr>
              <w:t>Ministerul Investițiilor și Proiectelor Europene</w:t>
            </w:r>
          </w:p>
        </w:tc>
      </w:tr>
      <w:tr w:rsidR="00E145DA" w:rsidRPr="003516DC" w14:paraId="77B58E44" w14:textId="77777777" w:rsidTr="009C2D9B">
        <w:tc>
          <w:tcPr>
            <w:tcW w:w="1155" w:type="pct"/>
          </w:tcPr>
          <w:p w14:paraId="0465391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MKBT</w:t>
            </w:r>
          </w:p>
        </w:tc>
        <w:tc>
          <w:tcPr>
            <w:tcW w:w="3845" w:type="pct"/>
          </w:tcPr>
          <w:p w14:paraId="3A4B598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Make Better </w:t>
            </w:r>
          </w:p>
        </w:tc>
      </w:tr>
      <w:tr w:rsidR="00E145DA" w:rsidRPr="003516DC" w14:paraId="4A047A94" w14:textId="77777777" w:rsidTr="009C2D9B">
        <w:tc>
          <w:tcPr>
            <w:tcW w:w="1155" w:type="pct"/>
          </w:tcPr>
          <w:p w14:paraId="0B1FAFD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MW</w:t>
            </w:r>
          </w:p>
        </w:tc>
        <w:tc>
          <w:tcPr>
            <w:tcW w:w="3845" w:type="pct"/>
          </w:tcPr>
          <w:p w14:paraId="59A92BDC" w14:textId="77777777" w:rsidR="009C2D9B" w:rsidRPr="003516DC" w:rsidRDefault="009C2D9B" w:rsidP="009C2D9B">
            <w:pPr>
              <w:rPr>
                <w:rFonts w:ascii="Arial" w:hAnsi="Arial" w:cs="Arial"/>
                <w:sz w:val="20"/>
                <w:szCs w:val="20"/>
              </w:rPr>
            </w:pPr>
            <w:r w:rsidRPr="003516DC">
              <w:rPr>
                <w:rFonts w:ascii="Arial" w:hAnsi="Arial" w:cs="Arial"/>
                <w:sz w:val="20"/>
                <w:szCs w:val="20"/>
              </w:rPr>
              <w:t>Megawatt</w:t>
            </w:r>
          </w:p>
        </w:tc>
      </w:tr>
      <w:tr w:rsidR="00E145DA" w:rsidRPr="003516DC" w14:paraId="0521D1FA" w14:textId="77777777" w:rsidTr="009C2D9B">
        <w:tc>
          <w:tcPr>
            <w:tcW w:w="1155" w:type="pct"/>
          </w:tcPr>
          <w:p w14:paraId="28DF499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N2O</w:t>
            </w:r>
          </w:p>
        </w:tc>
        <w:tc>
          <w:tcPr>
            <w:tcW w:w="3845" w:type="pct"/>
          </w:tcPr>
          <w:p w14:paraId="19163CA9" w14:textId="77777777" w:rsidR="009C2D9B" w:rsidRPr="003516DC" w:rsidRDefault="009C2D9B" w:rsidP="009C2D9B">
            <w:pPr>
              <w:rPr>
                <w:rFonts w:ascii="Arial" w:hAnsi="Arial" w:cs="Arial"/>
                <w:sz w:val="20"/>
                <w:szCs w:val="20"/>
              </w:rPr>
            </w:pPr>
            <w:r w:rsidRPr="003516DC">
              <w:rPr>
                <w:rFonts w:ascii="Arial" w:hAnsi="Arial" w:cs="Arial"/>
                <w:sz w:val="20"/>
                <w:szCs w:val="20"/>
              </w:rPr>
              <w:t>Nitrous Oxide</w:t>
            </w:r>
          </w:p>
        </w:tc>
      </w:tr>
      <w:tr w:rsidR="00E145DA" w:rsidRPr="003516DC" w14:paraId="76CDCF98" w14:textId="77777777" w:rsidTr="009C2D9B">
        <w:tc>
          <w:tcPr>
            <w:tcW w:w="1155" w:type="pct"/>
          </w:tcPr>
          <w:p w14:paraId="7D81083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NACE</w:t>
            </w:r>
          </w:p>
        </w:tc>
        <w:tc>
          <w:tcPr>
            <w:tcW w:w="3845" w:type="pct"/>
          </w:tcPr>
          <w:p w14:paraId="5A25CA46" w14:textId="77777777" w:rsidR="009C2D9B" w:rsidRPr="003516DC" w:rsidRDefault="009C2D9B" w:rsidP="009C2D9B">
            <w:pPr>
              <w:rPr>
                <w:rFonts w:ascii="Arial" w:hAnsi="Arial" w:cs="Arial"/>
                <w:sz w:val="20"/>
                <w:szCs w:val="20"/>
              </w:rPr>
            </w:pPr>
            <w:r w:rsidRPr="003516DC">
              <w:rPr>
                <w:rFonts w:ascii="Arial" w:hAnsi="Arial" w:cs="Arial"/>
                <w:sz w:val="20"/>
                <w:szCs w:val="20"/>
              </w:rPr>
              <w:t>Statistical Classification of Economic Activities in the European Community</w:t>
            </w:r>
          </w:p>
        </w:tc>
      </w:tr>
      <w:tr w:rsidR="00E145DA" w:rsidRPr="003516DC" w14:paraId="27A41E60" w14:textId="77777777" w:rsidTr="009C2D9B">
        <w:tc>
          <w:tcPr>
            <w:tcW w:w="1155" w:type="pct"/>
          </w:tcPr>
          <w:p w14:paraId="50A1F73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NECP</w:t>
            </w:r>
          </w:p>
        </w:tc>
        <w:tc>
          <w:tcPr>
            <w:tcW w:w="3845" w:type="pct"/>
          </w:tcPr>
          <w:p w14:paraId="70953877"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National Energy and Climate Plan</w:t>
            </w:r>
          </w:p>
        </w:tc>
      </w:tr>
      <w:tr w:rsidR="00E145DA" w:rsidRPr="003516DC" w14:paraId="4BFFB1CB" w14:textId="77777777" w:rsidTr="009C2D9B">
        <w:tc>
          <w:tcPr>
            <w:tcW w:w="1155" w:type="pct"/>
          </w:tcPr>
          <w:p w14:paraId="5E2E072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NGO</w:t>
            </w:r>
          </w:p>
        </w:tc>
        <w:tc>
          <w:tcPr>
            <w:tcW w:w="3845" w:type="pct"/>
          </w:tcPr>
          <w:p w14:paraId="26D4C7B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Non-Governmental Organisation</w:t>
            </w:r>
          </w:p>
        </w:tc>
      </w:tr>
      <w:tr w:rsidR="00E145DA" w:rsidRPr="003516DC" w14:paraId="6BF24EDA" w14:textId="77777777" w:rsidTr="009C2D9B">
        <w:tc>
          <w:tcPr>
            <w:tcW w:w="1155" w:type="pct"/>
          </w:tcPr>
          <w:p w14:paraId="2B54968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NIS</w:t>
            </w:r>
          </w:p>
        </w:tc>
        <w:tc>
          <w:tcPr>
            <w:tcW w:w="3845" w:type="pct"/>
          </w:tcPr>
          <w:p w14:paraId="6720AF4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National Institute of Statistics</w:t>
            </w:r>
          </w:p>
        </w:tc>
      </w:tr>
      <w:tr w:rsidR="00E145DA" w:rsidRPr="003516DC" w14:paraId="4B708BC9" w14:textId="77777777" w:rsidTr="009C2D9B">
        <w:tc>
          <w:tcPr>
            <w:tcW w:w="1155" w:type="pct"/>
          </w:tcPr>
          <w:p w14:paraId="49C7E347" w14:textId="08AD67CF" w:rsidR="009C2D9B" w:rsidRPr="003516DC" w:rsidRDefault="009C2D9B" w:rsidP="009C2D9B">
            <w:pPr>
              <w:rPr>
                <w:rFonts w:ascii="Arial" w:hAnsi="Arial" w:cs="Arial"/>
                <w:color w:val="0A0A0A"/>
                <w:sz w:val="20"/>
                <w:szCs w:val="20"/>
              </w:rPr>
            </w:pPr>
            <w:r w:rsidRPr="003516DC">
              <w:rPr>
                <w:rFonts w:ascii="Arial" w:hAnsi="Arial" w:cs="Arial"/>
                <w:color w:val="0A0A0A"/>
                <w:sz w:val="20"/>
                <w:szCs w:val="20"/>
              </w:rPr>
              <w:t>N</w:t>
            </w:r>
            <w:r w:rsidR="006132A8" w:rsidRPr="003516DC">
              <w:rPr>
                <w:rFonts w:ascii="Arial" w:hAnsi="Arial" w:cs="Arial"/>
                <w:color w:val="0A0A0A"/>
                <w:sz w:val="20"/>
                <w:szCs w:val="20"/>
              </w:rPr>
              <w:t>o</w:t>
            </w:r>
            <w:r w:rsidRPr="003516DC">
              <w:rPr>
                <w:rFonts w:ascii="Arial" w:hAnsi="Arial" w:cs="Arial"/>
                <w:color w:val="0A0A0A"/>
                <w:sz w:val="20"/>
                <w:szCs w:val="20"/>
              </w:rPr>
              <w:t>x</w:t>
            </w:r>
          </w:p>
        </w:tc>
        <w:tc>
          <w:tcPr>
            <w:tcW w:w="3845" w:type="pct"/>
          </w:tcPr>
          <w:p w14:paraId="1466EBCB" w14:textId="77777777" w:rsidR="009C2D9B" w:rsidRPr="003516DC" w:rsidRDefault="009C2D9B" w:rsidP="009C2D9B">
            <w:pPr>
              <w:rPr>
                <w:rFonts w:ascii="Arial" w:hAnsi="Arial" w:cs="Arial"/>
                <w:color w:val="0A0A0A"/>
                <w:sz w:val="20"/>
                <w:szCs w:val="20"/>
                <w:lang w:val="fr-FR"/>
              </w:rPr>
            </w:pPr>
            <w:r w:rsidRPr="003516DC">
              <w:rPr>
                <w:rFonts w:ascii="Arial" w:hAnsi="Arial" w:cs="Arial"/>
                <w:color w:val="0A0A0A"/>
                <w:sz w:val="20"/>
                <w:szCs w:val="20"/>
                <w:lang w:val="fr-FR"/>
              </w:rPr>
              <w:t>Nitrogen Oxides</w:t>
            </w:r>
          </w:p>
        </w:tc>
      </w:tr>
      <w:tr w:rsidR="00E145DA" w:rsidRPr="003516DC" w14:paraId="3BEBEF6A" w14:textId="77777777" w:rsidTr="009C2D9B">
        <w:tc>
          <w:tcPr>
            <w:tcW w:w="1155" w:type="pct"/>
          </w:tcPr>
          <w:p w14:paraId="37AF6AF9" w14:textId="77777777" w:rsidR="009C2D9B" w:rsidRPr="003516DC" w:rsidRDefault="009C2D9B" w:rsidP="009C2D9B">
            <w:pPr>
              <w:rPr>
                <w:rFonts w:ascii="Arial" w:hAnsi="Arial" w:cs="Arial"/>
                <w:color w:val="0A0A0A"/>
                <w:sz w:val="20"/>
                <w:szCs w:val="20"/>
              </w:rPr>
            </w:pPr>
            <w:r w:rsidRPr="003516DC">
              <w:rPr>
                <w:rFonts w:ascii="Arial" w:hAnsi="Arial" w:cs="Arial"/>
                <w:color w:val="0A0A0A"/>
                <w:sz w:val="20"/>
                <w:szCs w:val="20"/>
              </w:rPr>
              <w:t>NO2</w:t>
            </w:r>
          </w:p>
        </w:tc>
        <w:tc>
          <w:tcPr>
            <w:tcW w:w="3845" w:type="pct"/>
          </w:tcPr>
          <w:p w14:paraId="5FA79AD6" w14:textId="77777777" w:rsidR="009C2D9B" w:rsidRPr="003516DC" w:rsidRDefault="009C2D9B" w:rsidP="009C2D9B">
            <w:pPr>
              <w:rPr>
                <w:rFonts w:ascii="Arial" w:hAnsi="Arial" w:cs="Arial"/>
                <w:color w:val="0A0A0A"/>
                <w:sz w:val="20"/>
                <w:szCs w:val="20"/>
                <w:lang w:val="fr-FR"/>
              </w:rPr>
            </w:pPr>
            <w:r w:rsidRPr="003516DC">
              <w:rPr>
                <w:rFonts w:ascii="Arial" w:hAnsi="Arial" w:cs="Arial"/>
                <w:color w:val="0A0A0A"/>
                <w:sz w:val="20"/>
                <w:szCs w:val="20"/>
                <w:lang w:val="fr-FR"/>
              </w:rPr>
              <w:t>Nitrogen Dioxide</w:t>
            </w:r>
          </w:p>
        </w:tc>
      </w:tr>
      <w:tr w:rsidR="00E145DA" w:rsidRPr="003516DC" w14:paraId="75A687C4" w14:textId="77777777" w:rsidTr="009C2D9B">
        <w:tc>
          <w:tcPr>
            <w:tcW w:w="1155" w:type="pct"/>
          </w:tcPr>
          <w:p w14:paraId="654C9005" w14:textId="77777777" w:rsidR="009C2D9B" w:rsidRPr="003516DC" w:rsidRDefault="009C2D9B" w:rsidP="009C2D9B">
            <w:pPr>
              <w:rPr>
                <w:rFonts w:ascii="Arial" w:hAnsi="Arial" w:cs="Arial"/>
                <w:color w:val="0A0A0A"/>
                <w:sz w:val="20"/>
                <w:szCs w:val="20"/>
              </w:rPr>
            </w:pPr>
            <w:r w:rsidRPr="003516DC">
              <w:rPr>
                <w:rFonts w:ascii="Arial" w:hAnsi="Arial" w:cs="Arial"/>
                <w:color w:val="0A0A0A"/>
                <w:sz w:val="20"/>
                <w:szCs w:val="20"/>
              </w:rPr>
              <w:t>NPRR</w:t>
            </w:r>
          </w:p>
        </w:tc>
        <w:tc>
          <w:tcPr>
            <w:tcW w:w="3845" w:type="pct"/>
          </w:tcPr>
          <w:p w14:paraId="453DF9D7" w14:textId="62A959BE" w:rsidR="009C2D9B" w:rsidRPr="003516DC" w:rsidRDefault="009C2D9B" w:rsidP="009C2D9B">
            <w:pPr>
              <w:rPr>
                <w:rFonts w:ascii="Arial" w:hAnsi="Arial" w:cs="Arial"/>
                <w:color w:val="0A0A0A"/>
                <w:sz w:val="20"/>
                <w:szCs w:val="20"/>
              </w:rPr>
            </w:pPr>
            <w:r w:rsidRPr="003516DC">
              <w:rPr>
                <w:rFonts w:ascii="Arial" w:hAnsi="Arial" w:cs="Arial"/>
                <w:sz w:val="20"/>
                <w:szCs w:val="20"/>
              </w:rPr>
              <w:t>National P</w:t>
            </w:r>
            <w:r w:rsidR="00D206E5">
              <w:rPr>
                <w:rFonts w:ascii="Arial" w:hAnsi="Arial" w:cs="Arial"/>
                <w:sz w:val="20"/>
                <w:szCs w:val="20"/>
              </w:rPr>
              <w:t xml:space="preserve">rogramme </w:t>
            </w:r>
            <w:r w:rsidRPr="003516DC">
              <w:rPr>
                <w:rFonts w:ascii="Arial" w:hAnsi="Arial" w:cs="Arial"/>
                <w:sz w:val="20"/>
                <w:szCs w:val="20"/>
              </w:rPr>
              <w:t>for Recovery and Resilience /</w:t>
            </w:r>
            <w:r w:rsidRPr="003516DC">
              <w:rPr>
                <w:rFonts w:ascii="Arial" w:hAnsi="Arial" w:cs="Arial"/>
                <w:i/>
                <w:iCs/>
                <w:sz w:val="20"/>
                <w:szCs w:val="20"/>
              </w:rPr>
              <w:t xml:space="preserve"> Planul Național de Redresare și Reziliență</w:t>
            </w:r>
          </w:p>
        </w:tc>
      </w:tr>
      <w:tr w:rsidR="00E145DA" w:rsidRPr="003516DC" w14:paraId="719B406D" w14:textId="77777777" w:rsidTr="009C2D9B">
        <w:tc>
          <w:tcPr>
            <w:tcW w:w="1155" w:type="pct"/>
          </w:tcPr>
          <w:p w14:paraId="10B3622B" w14:textId="77777777" w:rsidR="009C2D9B" w:rsidRPr="003516DC" w:rsidRDefault="009C2D9B" w:rsidP="009C2D9B">
            <w:pPr>
              <w:rPr>
                <w:rFonts w:ascii="Arial" w:hAnsi="Arial" w:cs="Arial"/>
                <w:color w:val="0A0A0A"/>
                <w:sz w:val="20"/>
                <w:szCs w:val="20"/>
              </w:rPr>
            </w:pPr>
            <w:r w:rsidRPr="003516DC">
              <w:rPr>
                <w:rFonts w:ascii="Arial" w:hAnsi="Arial" w:cs="Arial"/>
                <w:color w:val="0A0A0A"/>
                <w:sz w:val="20"/>
                <w:szCs w:val="20"/>
              </w:rPr>
              <w:t>NTRO</w:t>
            </w:r>
          </w:p>
        </w:tc>
        <w:tc>
          <w:tcPr>
            <w:tcW w:w="3845" w:type="pct"/>
          </w:tcPr>
          <w:p w14:paraId="4CC9B7C1" w14:textId="77777777" w:rsidR="009C2D9B" w:rsidRPr="003516DC" w:rsidRDefault="009C2D9B" w:rsidP="009C2D9B">
            <w:pPr>
              <w:rPr>
                <w:rFonts w:ascii="Arial" w:hAnsi="Arial" w:cs="Arial"/>
                <w:color w:val="0A0A0A"/>
                <w:sz w:val="20"/>
                <w:szCs w:val="20"/>
              </w:rPr>
            </w:pPr>
            <w:r w:rsidRPr="003516DC">
              <w:rPr>
                <w:rFonts w:ascii="Arial" w:hAnsi="Arial" w:cs="Arial"/>
                <w:color w:val="0A0A0A"/>
                <w:sz w:val="20"/>
                <w:szCs w:val="20"/>
              </w:rPr>
              <w:t xml:space="preserve">National Trade Register Office / </w:t>
            </w:r>
            <w:r w:rsidRPr="003516DC">
              <w:rPr>
                <w:rFonts w:ascii="Arial" w:hAnsi="Arial" w:cs="Arial"/>
                <w:i/>
                <w:iCs/>
                <w:color w:val="0A0A0A"/>
                <w:sz w:val="20"/>
                <w:szCs w:val="20"/>
              </w:rPr>
              <w:t>Oficiul Național al Registrului Comerțului</w:t>
            </w:r>
          </w:p>
        </w:tc>
      </w:tr>
      <w:tr w:rsidR="00E145DA" w:rsidRPr="00BB6C48" w14:paraId="3AFCCEE5" w14:textId="77777777" w:rsidTr="009C2D9B">
        <w:tc>
          <w:tcPr>
            <w:tcW w:w="1155" w:type="pct"/>
          </w:tcPr>
          <w:p w14:paraId="6C038337" w14:textId="77777777" w:rsidR="009C2D9B" w:rsidRPr="003516DC" w:rsidRDefault="009C2D9B" w:rsidP="009C2D9B">
            <w:pPr>
              <w:rPr>
                <w:rFonts w:ascii="Arial" w:hAnsi="Arial" w:cs="Arial"/>
                <w:color w:val="000000"/>
                <w:sz w:val="20"/>
                <w:szCs w:val="20"/>
              </w:rPr>
            </w:pPr>
            <w:r w:rsidRPr="003516DC">
              <w:rPr>
                <w:rFonts w:ascii="Arial" w:hAnsi="Arial" w:cs="Arial"/>
                <w:color w:val="0A0A0A"/>
                <w:sz w:val="20"/>
                <w:szCs w:val="20"/>
              </w:rPr>
              <w:t>NUTS</w:t>
            </w:r>
          </w:p>
        </w:tc>
        <w:tc>
          <w:tcPr>
            <w:tcW w:w="3845" w:type="pct"/>
          </w:tcPr>
          <w:p w14:paraId="5DCDCB4A" w14:textId="77777777" w:rsidR="009C2D9B" w:rsidRPr="003516DC" w:rsidRDefault="009C2D9B" w:rsidP="009C2D9B">
            <w:pPr>
              <w:rPr>
                <w:rFonts w:ascii="Arial" w:hAnsi="Arial" w:cs="Arial"/>
                <w:color w:val="000000"/>
                <w:sz w:val="20"/>
                <w:szCs w:val="20"/>
                <w:lang w:val="fr-FR"/>
              </w:rPr>
            </w:pPr>
            <w:r w:rsidRPr="003516DC">
              <w:rPr>
                <w:rFonts w:ascii="Arial" w:hAnsi="Arial" w:cs="Arial"/>
                <w:color w:val="0A0A0A"/>
                <w:sz w:val="20"/>
                <w:szCs w:val="20"/>
                <w:lang w:val="fr-FR"/>
              </w:rPr>
              <w:t>Nomenclature des Unités Territoriales Statistiques</w:t>
            </w:r>
          </w:p>
        </w:tc>
      </w:tr>
      <w:tr w:rsidR="00E145DA" w:rsidRPr="003516DC" w14:paraId="43E28690" w14:textId="77777777" w:rsidTr="009C2D9B">
        <w:tc>
          <w:tcPr>
            <w:tcW w:w="1155" w:type="pct"/>
          </w:tcPr>
          <w:p w14:paraId="0F99E81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NZEB</w:t>
            </w:r>
          </w:p>
        </w:tc>
        <w:tc>
          <w:tcPr>
            <w:tcW w:w="3845" w:type="pct"/>
          </w:tcPr>
          <w:p w14:paraId="1E692CA5"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Near Zero Energy Building </w:t>
            </w:r>
          </w:p>
        </w:tc>
      </w:tr>
      <w:tr w:rsidR="00E145DA" w:rsidRPr="003516DC" w14:paraId="761BC190" w14:textId="77777777" w:rsidTr="009C2D9B">
        <w:tc>
          <w:tcPr>
            <w:tcW w:w="1155" w:type="pct"/>
          </w:tcPr>
          <w:p w14:paraId="64512D3C"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OECD</w:t>
            </w:r>
          </w:p>
        </w:tc>
        <w:tc>
          <w:tcPr>
            <w:tcW w:w="3845" w:type="pct"/>
          </w:tcPr>
          <w:p w14:paraId="1941385B" w14:textId="77777777" w:rsidR="009C2D9B" w:rsidRPr="003516DC" w:rsidRDefault="009C2D9B" w:rsidP="009C2D9B">
            <w:pPr>
              <w:rPr>
                <w:rFonts w:ascii="Arial" w:hAnsi="Arial" w:cs="Arial"/>
                <w:sz w:val="20"/>
                <w:szCs w:val="20"/>
              </w:rPr>
            </w:pPr>
            <w:r w:rsidRPr="003516DC">
              <w:rPr>
                <w:rFonts w:ascii="Arial" w:hAnsi="Arial" w:cs="Arial"/>
                <w:sz w:val="20"/>
                <w:szCs w:val="20"/>
              </w:rPr>
              <w:t>Organisation for Economic Co-operation and Development</w:t>
            </w:r>
          </w:p>
        </w:tc>
      </w:tr>
      <w:tr w:rsidR="00E145DA" w:rsidRPr="003516DC" w14:paraId="51B53FC7" w14:textId="77777777" w:rsidTr="009C2D9B">
        <w:tc>
          <w:tcPr>
            <w:tcW w:w="1155" w:type="pct"/>
          </w:tcPr>
          <w:p w14:paraId="21DDAE9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OPJT</w:t>
            </w:r>
          </w:p>
        </w:tc>
        <w:tc>
          <w:tcPr>
            <w:tcW w:w="3845" w:type="pct"/>
          </w:tcPr>
          <w:p w14:paraId="507FCBAB"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Operational Programme Just Transition</w:t>
            </w:r>
          </w:p>
        </w:tc>
      </w:tr>
      <w:tr w:rsidR="00E145DA" w:rsidRPr="003516DC" w14:paraId="5E6AE26D" w14:textId="77777777" w:rsidTr="009C2D9B">
        <w:tc>
          <w:tcPr>
            <w:tcW w:w="1155" w:type="pct"/>
          </w:tcPr>
          <w:p w14:paraId="69F47C2D" w14:textId="0245646E" w:rsidR="00BE58A2" w:rsidRPr="003516DC" w:rsidRDefault="00BE58A2" w:rsidP="009C2D9B">
            <w:pPr>
              <w:rPr>
                <w:rFonts w:ascii="Arial" w:hAnsi="Arial" w:cs="Arial"/>
                <w:color w:val="000000"/>
                <w:sz w:val="20"/>
                <w:szCs w:val="20"/>
              </w:rPr>
            </w:pPr>
            <w:r>
              <w:rPr>
                <w:rFonts w:ascii="Arial" w:hAnsi="Arial" w:cs="Arial"/>
                <w:color w:val="000000"/>
                <w:sz w:val="20"/>
                <w:szCs w:val="20"/>
              </w:rPr>
              <w:t>PG</w:t>
            </w:r>
          </w:p>
        </w:tc>
        <w:tc>
          <w:tcPr>
            <w:tcW w:w="3845" w:type="pct"/>
          </w:tcPr>
          <w:p w14:paraId="634CB172" w14:textId="394C0C0D" w:rsidR="00BE58A2" w:rsidRPr="003516DC" w:rsidRDefault="00BE58A2" w:rsidP="009C2D9B">
            <w:pPr>
              <w:rPr>
                <w:rFonts w:ascii="Arial" w:hAnsi="Arial" w:cs="Arial"/>
                <w:sz w:val="20"/>
                <w:szCs w:val="20"/>
              </w:rPr>
            </w:pPr>
            <w:r>
              <w:rPr>
                <w:rFonts w:ascii="Arial" w:hAnsi="Arial" w:cs="Arial"/>
                <w:sz w:val="20"/>
                <w:szCs w:val="20"/>
              </w:rPr>
              <w:t>Power Generation</w:t>
            </w:r>
          </w:p>
        </w:tc>
      </w:tr>
      <w:tr w:rsidR="00E145DA" w:rsidRPr="003516DC" w14:paraId="2A1A0ADC" w14:textId="77777777" w:rsidTr="009C2D9B">
        <w:tc>
          <w:tcPr>
            <w:tcW w:w="1155" w:type="pct"/>
          </w:tcPr>
          <w:p w14:paraId="315C9B4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PM10</w:t>
            </w:r>
          </w:p>
        </w:tc>
        <w:tc>
          <w:tcPr>
            <w:tcW w:w="3845" w:type="pct"/>
          </w:tcPr>
          <w:p w14:paraId="48BD8813" w14:textId="77777777" w:rsidR="009C2D9B" w:rsidRPr="003516DC" w:rsidRDefault="009C2D9B" w:rsidP="009C2D9B">
            <w:pPr>
              <w:rPr>
                <w:rFonts w:ascii="Arial" w:hAnsi="Arial" w:cs="Arial"/>
                <w:sz w:val="20"/>
                <w:szCs w:val="20"/>
              </w:rPr>
            </w:pPr>
            <w:r w:rsidRPr="003516DC">
              <w:rPr>
                <w:rFonts w:ascii="Arial" w:hAnsi="Arial" w:cs="Arial"/>
                <w:sz w:val="20"/>
                <w:szCs w:val="20"/>
              </w:rPr>
              <w:t>Particulate Matter</w:t>
            </w:r>
          </w:p>
        </w:tc>
      </w:tr>
      <w:tr w:rsidR="00E145DA" w:rsidRPr="003516DC" w14:paraId="44FBC653" w14:textId="77777777" w:rsidTr="009C2D9B">
        <w:tc>
          <w:tcPr>
            <w:tcW w:w="1155" w:type="pct"/>
          </w:tcPr>
          <w:p w14:paraId="441F581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PNIESC</w:t>
            </w:r>
          </w:p>
        </w:tc>
        <w:tc>
          <w:tcPr>
            <w:tcW w:w="3845" w:type="pct"/>
          </w:tcPr>
          <w:p w14:paraId="0184213D"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National Energy and Climate Plan / </w:t>
            </w:r>
            <w:r w:rsidRPr="003516DC">
              <w:rPr>
                <w:rFonts w:ascii="Arial" w:hAnsi="Arial" w:cs="Arial"/>
                <w:i/>
                <w:iCs/>
                <w:sz w:val="20"/>
                <w:szCs w:val="20"/>
              </w:rPr>
              <w:t>Planul Național Integrat în domeniul Energiei și Schimbarilor Climatice</w:t>
            </w:r>
          </w:p>
        </w:tc>
      </w:tr>
      <w:tr w:rsidR="00E145DA" w:rsidRPr="003516DC" w14:paraId="5F58B044" w14:textId="77777777" w:rsidTr="009C2D9B">
        <w:tc>
          <w:tcPr>
            <w:tcW w:w="1155" w:type="pct"/>
          </w:tcPr>
          <w:p w14:paraId="09F43B9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PNRR</w:t>
            </w:r>
          </w:p>
        </w:tc>
        <w:tc>
          <w:tcPr>
            <w:tcW w:w="3845" w:type="pct"/>
          </w:tcPr>
          <w:p w14:paraId="799EE233" w14:textId="028F5DDD" w:rsidR="009C2D9B" w:rsidRPr="003516DC" w:rsidRDefault="009C2D9B" w:rsidP="009C2D9B">
            <w:pPr>
              <w:rPr>
                <w:rFonts w:ascii="Arial" w:hAnsi="Arial" w:cs="Arial"/>
                <w:sz w:val="20"/>
                <w:szCs w:val="20"/>
              </w:rPr>
            </w:pPr>
            <w:r w:rsidRPr="003516DC">
              <w:rPr>
                <w:rFonts w:ascii="Arial" w:hAnsi="Arial" w:cs="Arial"/>
                <w:sz w:val="20"/>
                <w:szCs w:val="20"/>
              </w:rPr>
              <w:t>National P</w:t>
            </w:r>
            <w:r w:rsidR="00D206E5">
              <w:rPr>
                <w:rFonts w:ascii="Arial" w:hAnsi="Arial" w:cs="Arial"/>
                <w:sz w:val="20"/>
                <w:szCs w:val="20"/>
              </w:rPr>
              <w:t xml:space="preserve">rogramme </w:t>
            </w:r>
            <w:r w:rsidRPr="003516DC">
              <w:rPr>
                <w:rFonts w:ascii="Arial" w:hAnsi="Arial" w:cs="Arial"/>
                <w:sz w:val="20"/>
                <w:szCs w:val="20"/>
              </w:rPr>
              <w:t>for Recovery and Resilience /</w:t>
            </w:r>
            <w:r w:rsidRPr="003516DC">
              <w:rPr>
                <w:rFonts w:ascii="Arial" w:hAnsi="Arial" w:cs="Arial"/>
                <w:i/>
                <w:iCs/>
                <w:sz w:val="20"/>
                <w:szCs w:val="20"/>
              </w:rPr>
              <w:t xml:space="preserve"> Planul Național de Redresare și Reziliență</w:t>
            </w:r>
          </w:p>
        </w:tc>
      </w:tr>
      <w:tr w:rsidR="00E145DA" w:rsidRPr="003516DC" w14:paraId="601069E6" w14:textId="77777777" w:rsidTr="009C2D9B">
        <w:tc>
          <w:tcPr>
            <w:tcW w:w="1155" w:type="pct"/>
          </w:tcPr>
          <w:p w14:paraId="686F16B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PO</w:t>
            </w:r>
          </w:p>
        </w:tc>
        <w:tc>
          <w:tcPr>
            <w:tcW w:w="3845" w:type="pct"/>
          </w:tcPr>
          <w:p w14:paraId="08C7478C"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Operational Programme</w:t>
            </w:r>
          </w:p>
        </w:tc>
      </w:tr>
      <w:tr w:rsidR="00E145DA" w:rsidRPr="003516DC" w14:paraId="77C44095" w14:textId="77777777" w:rsidTr="009C2D9B">
        <w:tc>
          <w:tcPr>
            <w:tcW w:w="1155" w:type="pct"/>
          </w:tcPr>
          <w:p w14:paraId="70BB848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POCA</w:t>
            </w:r>
          </w:p>
        </w:tc>
        <w:tc>
          <w:tcPr>
            <w:tcW w:w="3845" w:type="pct"/>
          </w:tcPr>
          <w:p w14:paraId="64D919EB"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Administrative Capacity Operational Programme </w:t>
            </w:r>
            <w:r w:rsidRPr="003516DC">
              <w:rPr>
                <w:rFonts w:ascii="Arial" w:hAnsi="Arial" w:cs="Arial"/>
                <w:i/>
                <w:iCs/>
                <w:sz w:val="20"/>
                <w:szCs w:val="20"/>
              </w:rPr>
              <w:t>/ Programul Operațional Capacitate Administrativ</w:t>
            </w:r>
            <w:r w:rsidRPr="003516DC">
              <w:rPr>
                <w:rFonts w:ascii="Arial" w:hAnsi="Arial" w:cs="Arial"/>
                <w:i/>
                <w:iCs/>
                <w:color w:val="000000"/>
                <w:sz w:val="20"/>
                <w:szCs w:val="20"/>
              </w:rPr>
              <w:t>ă</w:t>
            </w:r>
          </w:p>
        </w:tc>
      </w:tr>
      <w:tr w:rsidR="00E145DA" w:rsidRPr="003516DC" w14:paraId="7A5231C4" w14:textId="77777777" w:rsidTr="009C2D9B">
        <w:tc>
          <w:tcPr>
            <w:tcW w:w="1155" w:type="pct"/>
          </w:tcPr>
          <w:p w14:paraId="3EEE89C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POR</w:t>
            </w:r>
          </w:p>
        </w:tc>
        <w:tc>
          <w:tcPr>
            <w:tcW w:w="3845" w:type="pct"/>
          </w:tcPr>
          <w:p w14:paraId="602804EF"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Regional Operational Programme / </w:t>
            </w:r>
            <w:r w:rsidRPr="003516DC">
              <w:rPr>
                <w:rFonts w:ascii="Arial" w:hAnsi="Arial" w:cs="Arial"/>
                <w:i/>
                <w:iCs/>
                <w:sz w:val="20"/>
                <w:szCs w:val="20"/>
              </w:rPr>
              <w:t>Programul Operațional Regional</w:t>
            </w:r>
            <w:r w:rsidRPr="003516DC">
              <w:rPr>
                <w:rFonts w:ascii="Arial" w:hAnsi="Arial" w:cs="Arial"/>
                <w:sz w:val="20"/>
                <w:szCs w:val="20"/>
              </w:rPr>
              <w:t xml:space="preserve"> </w:t>
            </w:r>
          </w:p>
        </w:tc>
      </w:tr>
      <w:tr w:rsidR="00E145DA" w:rsidRPr="003516DC" w14:paraId="68E1687F" w14:textId="77777777" w:rsidTr="009C2D9B">
        <w:tc>
          <w:tcPr>
            <w:tcW w:w="1155" w:type="pct"/>
          </w:tcPr>
          <w:p w14:paraId="3E4C3074"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POTJ</w:t>
            </w:r>
          </w:p>
        </w:tc>
        <w:tc>
          <w:tcPr>
            <w:tcW w:w="3845" w:type="pct"/>
          </w:tcPr>
          <w:p w14:paraId="0BEB9C8C"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Operational Programme Just Transition / </w:t>
            </w:r>
            <w:r w:rsidRPr="003516DC">
              <w:rPr>
                <w:rFonts w:ascii="Arial" w:hAnsi="Arial" w:cs="Arial"/>
                <w:i/>
                <w:iCs/>
                <w:sz w:val="20"/>
                <w:szCs w:val="20"/>
              </w:rPr>
              <w:t>Programul Operațional Tranziție Justă</w:t>
            </w:r>
          </w:p>
        </w:tc>
      </w:tr>
      <w:tr w:rsidR="00E145DA" w:rsidRPr="003516DC" w14:paraId="5D60659A" w14:textId="77777777" w:rsidTr="009C2D9B">
        <w:tc>
          <w:tcPr>
            <w:tcW w:w="1155" w:type="pct"/>
          </w:tcPr>
          <w:p w14:paraId="2A72AE7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PTTJ</w:t>
            </w:r>
          </w:p>
        </w:tc>
        <w:tc>
          <w:tcPr>
            <w:tcW w:w="3845" w:type="pct"/>
          </w:tcPr>
          <w:p w14:paraId="0C9C25BC" w14:textId="77777777" w:rsidR="009C2D9B" w:rsidRPr="003516DC" w:rsidRDefault="009C2D9B" w:rsidP="009C2D9B">
            <w:pPr>
              <w:rPr>
                <w:rFonts w:ascii="Arial" w:hAnsi="Arial" w:cs="Arial"/>
                <w:sz w:val="20"/>
                <w:szCs w:val="20"/>
              </w:rPr>
            </w:pPr>
            <w:r w:rsidRPr="003516DC">
              <w:rPr>
                <w:rFonts w:ascii="Arial" w:hAnsi="Arial" w:cs="Arial"/>
                <w:sz w:val="20"/>
                <w:szCs w:val="20"/>
              </w:rPr>
              <w:t xml:space="preserve">Territorial Just Transition Plan / </w:t>
            </w:r>
            <w:r w:rsidRPr="003516DC">
              <w:rPr>
                <w:rFonts w:ascii="Arial" w:hAnsi="Arial" w:cs="Arial"/>
                <w:i/>
                <w:iCs/>
                <w:sz w:val="20"/>
                <w:szCs w:val="20"/>
              </w:rPr>
              <w:t>Planul Teritorial pentru o Tranziție Justă</w:t>
            </w:r>
          </w:p>
        </w:tc>
      </w:tr>
      <w:tr w:rsidR="00E145DA" w:rsidRPr="003516DC" w14:paraId="583A97D6" w14:textId="77777777" w:rsidTr="009C2D9B">
        <w:tc>
          <w:tcPr>
            <w:tcW w:w="1155" w:type="pct"/>
          </w:tcPr>
          <w:p w14:paraId="5626A9A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PV</w:t>
            </w:r>
          </w:p>
        </w:tc>
        <w:tc>
          <w:tcPr>
            <w:tcW w:w="3845" w:type="pct"/>
          </w:tcPr>
          <w:p w14:paraId="244723F1" w14:textId="77777777" w:rsidR="009C2D9B" w:rsidRPr="003516DC" w:rsidRDefault="009C2D9B" w:rsidP="009C2D9B">
            <w:pPr>
              <w:rPr>
                <w:rFonts w:ascii="Arial" w:hAnsi="Arial" w:cs="Arial"/>
                <w:sz w:val="20"/>
                <w:szCs w:val="20"/>
              </w:rPr>
            </w:pPr>
            <w:r w:rsidRPr="003516DC">
              <w:rPr>
                <w:rFonts w:ascii="Arial" w:hAnsi="Arial" w:cs="Arial"/>
                <w:sz w:val="20"/>
                <w:szCs w:val="20"/>
              </w:rPr>
              <w:t>Photovoltaic</w:t>
            </w:r>
          </w:p>
        </w:tc>
      </w:tr>
      <w:tr w:rsidR="00E145DA" w:rsidRPr="003516DC" w14:paraId="73427685" w14:textId="77777777" w:rsidTr="009C2D9B">
        <w:tc>
          <w:tcPr>
            <w:tcW w:w="1155" w:type="pct"/>
          </w:tcPr>
          <w:p w14:paraId="5ADFCAE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RCO</w:t>
            </w:r>
          </w:p>
        </w:tc>
        <w:tc>
          <w:tcPr>
            <w:tcW w:w="3845" w:type="pct"/>
          </w:tcPr>
          <w:p w14:paraId="5678CC4C" w14:textId="77777777" w:rsidR="009C2D9B" w:rsidRPr="003516DC" w:rsidRDefault="009C2D9B" w:rsidP="009C2D9B">
            <w:pPr>
              <w:rPr>
                <w:rFonts w:ascii="Arial" w:hAnsi="Arial" w:cs="Arial"/>
                <w:sz w:val="20"/>
                <w:szCs w:val="20"/>
              </w:rPr>
            </w:pPr>
            <w:r w:rsidRPr="003516DC">
              <w:rPr>
                <w:rFonts w:ascii="Arial" w:hAnsi="Arial" w:cs="Arial"/>
                <w:sz w:val="20"/>
                <w:szCs w:val="20"/>
              </w:rPr>
              <w:t>Regional Policy Common Output Indicators</w:t>
            </w:r>
          </w:p>
        </w:tc>
      </w:tr>
      <w:tr w:rsidR="00E145DA" w:rsidRPr="003516DC" w14:paraId="09D32144" w14:textId="77777777" w:rsidTr="009C2D9B">
        <w:tc>
          <w:tcPr>
            <w:tcW w:w="1155" w:type="pct"/>
          </w:tcPr>
          <w:p w14:paraId="57C9B04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RCR</w:t>
            </w:r>
          </w:p>
        </w:tc>
        <w:tc>
          <w:tcPr>
            <w:tcW w:w="3845" w:type="pct"/>
          </w:tcPr>
          <w:p w14:paraId="6F7C2CE4" w14:textId="77777777" w:rsidR="009C2D9B" w:rsidRPr="003516DC" w:rsidRDefault="009C2D9B" w:rsidP="009C2D9B">
            <w:pPr>
              <w:rPr>
                <w:rFonts w:ascii="Arial" w:hAnsi="Arial" w:cs="Arial"/>
                <w:sz w:val="20"/>
                <w:szCs w:val="20"/>
              </w:rPr>
            </w:pPr>
            <w:r w:rsidRPr="003516DC">
              <w:rPr>
                <w:rFonts w:ascii="Arial" w:hAnsi="Arial" w:cs="Arial"/>
                <w:sz w:val="20"/>
                <w:szCs w:val="20"/>
              </w:rPr>
              <w:t>Regional Policy Common Result Indicators</w:t>
            </w:r>
          </w:p>
        </w:tc>
      </w:tr>
      <w:tr w:rsidR="00E145DA" w:rsidRPr="003516DC" w14:paraId="67FBF2EC" w14:textId="77777777" w:rsidTr="009C2D9B">
        <w:tc>
          <w:tcPr>
            <w:tcW w:w="1155" w:type="pct"/>
          </w:tcPr>
          <w:p w14:paraId="03AFD9B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RDAs</w:t>
            </w:r>
          </w:p>
        </w:tc>
        <w:tc>
          <w:tcPr>
            <w:tcW w:w="3845" w:type="pct"/>
          </w:tcPr>
          <w:p w14:paraId="0C3F0052"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Regional Development Agencies</w:t>
            </w:r>
          </w:p>
        </w:tc>
      </w:tr>
      <w:tr w:rsidR="00E145DA" w:rsidRPr="003516DC" w14:paraId="63DF11F2" w14:textId="77777777" w:rsidTr="009C2D9B">
        <w:tc>
          <w:tcPr>
            <w:tcW w:w="1155" w:type="pct"/>
          </w:tcPr>
          <w:p w14:paraId="47A33D3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RDI</w:t>
            </w:r>
          </w:p>
        </w:tc>
        <w:tc>
          <w:tcPr>
            <w:tcW w:w="3845" w:type="pct"/>
          </w:tcPr>
          <w:p w14:paraId="5C70865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Research, Development and Innovation</w:t>
            </w:r>
          </w:p>
        </w:tc>
      </w:tr>
      <w:tr w:rsidR="00E145DA" w:rsidRPr="003516DC" w14:paraId="7C5A6E91" w14:textId="77777777" w:rsidTr="009C2D9B">
        <w:tc>
          <w:tcPr>
            <w:tcW w:w="1155" w:type="pct"/>
          </w:tcPr>
          <w:p w14:paraId="7FC0564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lastRenderedPageBreak/>
              <w:t>RES</w:t>
            </w:r>
          </w:p>
        </w:tc>
        <w:tc>
          <w:tcPr>
            <w:tcW w:w="3845" w:type="pct"/>
          </w:tcPr>
          <w:p w14:paraId="10BB4BD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Renewable Energy Sources</w:t>
            </w:r>
          </w:p>
        </w:tc>
      </w:tr>
      <w:tr w:rsidR="00E145DA" w:rsidRPr="003516DC" w14:paraId="36FEE504" w14:textId="77777777" w:rsidTr="009C2D9B">
        <w:tc>
          <w:tcPr>
            <w:tcW w:w="1155" w:type="pct"/>
          </w:tcPr>
          <w:p w14:paraId="3450B89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RIS</w:t>
            </w:r>
          </w:p>
        </w:tc>
        <w:tc>
          <w:tcPr>
            <w:tcW w:w="3845" w:type="pct"/>
          </w:tcPr>
          <w:p w14:paraId="17C68C3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Research and Innovation Strategy </w:t>
            </w:r>
          </w:p>
        </w:tc>
      </w:tr>
      <w:tr w:rsidR="00E145DA" w:rsidRPr="003516DC" w14:paraId="16498B69" w14:textId="77777777" w:rsidTr="009C2D9B">
        <w:tc>
          <w:tcPr>
            <w:tcW w:w="1155" w:type="pct"/>
          </w:tcPr>
          <w:p w14:paraId="6BA490A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RO125</w:t>
            </w:r>
          </w:p>
        </w:tc>
        <w:tc>
          <w:tcPr>
            <w:tcW w:w="3845" w:type="pct"/>
          </w:tcPr>
          <w:p w14:paraId="234E84CE" w14:textId="6330376A" w:rsidR="009C2D9B" w:rsidRPr="003516DC" w:rsidRDefault="00350AA9" w:rsidP="009C2D9B">
            <w:pPr>
              <w:rPr>
                <w:rFonts w:ascii="Arial" w:hAnsi="Arial" w:cs="Arial"/>
                <w:color w:val="000000"/>
                <w:sz w:val="20"/>
                <w:szCs w:val="20"/>
              </w:rPr>
            </w:pPr>
            <w:r w:rsidRPr="003516DC">
              <w:rPr>
                <w:rFonts w:ascii="Arial" w:hAnsi="Arial" w:cs="Arial"/>
                <w:color w:val="000000"/>
                <w:sz w:val="20"/>
                <w:szCs w:val="20"/>
              </w:rPr>
              <w:t xml:space="preserve">NUTS code Mureș </w:t>
            </w:r>
            <w:r w:rsidR="00687575">
              <w:rPr>
                <w:rFonts w:ascii="Arial" w:hAnsi="Arial" w:cs="Arial"/>
                <w:color w:val="000000"/>
                <w:sz w:val="20"/>
                <w:szCs w:val="20"/>
              </w:rPr>
              <w:t>C</w:t>
            </w:r>
            <w:r w:rsidR="009C2D9B" w:rsidRPr="003516DC">
              <w:rPr>
                <w:rFonts w:ascii="Arial" w:hAnsi="Arial" w:cs="Arial"/>
                <w:color w:val="000000"/>
                <w:sz w:val="20"/>
                <w:szCs w:val="20"/>
              </w:rPr>
              <w:t>ounty</w:t>
            </w:r>
          </w:p>
        </w:tc>
      </w:tr>
      <w:tr w:rsidR="00E145DA" w:rsidRPr="003516DC" w14:paraId="0AC0A8F4" w14:textId="77777777" w:rsidTr="009C2D9B">
        <w:tc>
          <w:tcPr>
            <w:tcW w:w="1155" w:type="pct"/>
          </w:tcPr>
          <w:p w14:paraId="1E75F3F1"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RO224</w:t>
            </w:r>
          </w:p>
        </w:tc>
        <w:tc>
          <w:tcPr>
            <w:tcW w:w="3845" w:type="pct"/>
          </w:tcPr>
          <w:p w14:paraId="2E1C3241" w14:textId="4BCACFC6"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NUTS code </w:t>
            </w:r>
            <w:r w:rsidR="003751DC">
              <w:rPr>
                <w:rFonts w:ascii="Arial" w:hAnsi="Arial" w:cs="Arial"/>
                <w:color w:val="000000"/>
                <w:sz w:val="20"/>
                <w:szCs w:val="20"/>
              </w:rPr>
              <w:t>Galați</w:t>
            </w:r>
            <w:r w:rsidRPr="003516DC">
              <w:rPr>
                <w:rFonts w:ascii="Arial" w:hAnsi="Arial" w:cs="Arial"/>
                <w:color w:val="000000"/>
                <w:sz w:val="20"/>
                <w:szCs w:val="20"/>
              </w:rPr>
              <w:t xml:space="preserve"> </w:t>
            </w:r>
            <w:r w:rsidR="00687575">
              <w:rPr>
                <w:rFonts w:ascii="Arial" w:hAnsi="Arial" w:cs="Arial"/>
                <w:color w:val="000000"/>
                <w:sz w:val="20"/>
                <w:szCs w:val="20"/>
              </w:rPr>
              <w:t>C</w:t>
            </w:r>
            <w:r w:rsidRPr="003516DC">
              <w:rPr>
                <w:rFonts w:ascii="Arial" w:hAnsi="Arial" w:cs="Arial"/>
                <w:color w:val="000000"/>
                <w:sz w:val="20"/>
                <w:szCs w:val="20"/>
              </w:rPr>
              <w:t>ounty</w:t>
            </w:r>
          </w:p>
        </w:tc>
      </w:tr>
      <w:tr w:rsidR="00E145DA" w:rsidRPr="003516DC" w14:paraId="4F35308F" w14:textId="77777777" w:rsidTr="009C2D9B">
        <w:tc>
          <w:tcPr>
            <w:tcW w:w="1155" w:type="pct"/>
          </w:tcPr>
          <w:p w14:paraId="1C1E5B1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RO316</w:t>
            </w:r>
          </w:p>
        </w:tc>
        <w:tc>
          <w:tcPr>
            <w:tcW w:w="3845" w:type="pct"/>
          </w:tcPr>
          <w:p w14:paraId="5399D2B4" w14:textId="3E91B8D8" w:rsidR="009C2D9B" w:rsidRPr="003516DC" w:rsidRDefault="009C2D9B" w:rsidP="00350AA9">
            <w:pPr>
              <w:rPr>
                <w:rFonts w:ascii="Arial" w:hAnsi="Arial" w:cs="Arial"/>
                <w:color w:val="000000"/>
                <w:sz w:val="20"/>
                <w:szCs w:val="20"/>
              </w:rPr>
            </w:pPr>
            <w:r w:rsidRPr="003516DC">
              <w:rPr>
                <w:rFonts w:ascii="Arial" w:hAnsi="Arial" w:cs="Arial"/>
                <w:color w:val="000000"/>
                <w:sz w:val="20"/>
                <w:szCs w:val="20"/>
              </w:rPr>
              <w:t xml:space="preserve">NUTS code Prahova </w:t>
            </w:r>
            <w:r w:rsidR="00687575">
              <w:rPr>
                <w:rFonts w:ascii="Arial" w:hAnsi="Arial" w:cs="Arial"/>
                <w:color w:val="000000"/>
                <w:sz w:val="20"/>
                <w:szCs w:val="20"/>
              </w:rPr>
              <w:t>C</w:t>
            </w:r>
            <w:r w:rsidRPr="003516DC">
              <w:rPr>
                <w:rFonts w:ascii="Arial" w:hAnsi="Arial" w:cs="Arial"/>
                <w:color w:val="000000"/>
                <w:sz w:val="20"/>
                <w:szCs w:val="20"/>
              </w:rPr>
              <w:t>ounty</w:t>
            </w:r>
          </w:p>
        </w:tc>
      </w:tr>
      <w:tr w:rsidR="00E145DA" w:rsidRPr="003516DC" w14:paraId="0F96BA12" w14:textId="77777777" w:rsidTr="009C2D9B">
        <w:tc>
          <w:tcPr>
            <w:tcW w:w="1155" w:type="pct"/>
          </w:tcPr>
          <w:p w14:paraId="4694D0B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RO411</w:t>
            </w:r>
          </w:p>
        </w:tc>
        <w:tc>
          <w:tcPr>
            <w:tcW w:w="3845" w:type="pct"/>
          </w:tcPr>
          <w:p w14:paraId="5618C6FD" w14:textId="776D0F1B" w:rsidR="009C2D9B" w:rsidRPr="003516DC" w:rsidRDefault="00350AA9" w:rsidP="009C2D9B">
            <w:pPr>
              <w:rPr>
                <w:rFonts w:ascii="Arial" w:hAnsi="Arial" w:cs="Arial"/>
                <w:color w:val="000000"/>
                <w:sz w:val="20"/>
                <w:szCs w:val="20"/>
              </w:rPr>
            </w:pPr>
            <w:r w:rsidRPr="003516DC">
              <w:rPr>
                <w:rFonts w:ascii="Arial" w:hAnsi="Arial" w:cs="Arial"/>
                <w:color w:val="000000"/>
                <w:sz w:val="20"/>
                <w:szCs w:val="20"/>
              </w:rPr>
              <w:t xml:space="preserve">NUTS code Dolj </w:t>
            </w:r>
            <w:r w:rsidR="00687575">
              <w:rPr>
                <w:rFonts w:ascii="Arial" w:hAnsi="Arial" w:cs="Arial"/>
                <w:color w:val="000000"/>
                <w:sz w:val="20"/>
                <w:szCs w:val="20"/>
              </w:rPr>
              <w:t>C</w:t>
            </w:r>
            <w:r w:rsidR="009C2D9B" w:rsidRPr="003516DC">
              <w:rPr>
                <w:rFonts w:ascii="Arial" w:hAnsi="Arial" w:cs="Arial"/>
                <w:color w:val="000000"/>
                <w:sz w:val="20"/>
                <w:szCs w:val="20"/>
              </w:rPr>
              <w:t>ounty</w:t>
            </w:r>
          </w:p>
        </w:tc>
      </w:tr>
      <w:tr w:rsidR="00E145DA" w:rsidRPr="003516DC" w14:paraId="4E537ADB" w14:textId="77777777" w:rsidTr="009C2D9B">
        <w:tc>
          <w:tcPr>
            <w:tcW w:w="1155" w:type="pct"/>
          </w:tcPr>
          <w:p w14:paraId="246CF61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RO412</w:t>
            </w:r>
          </w:p>
        </w:tc>
        <w:tc>
          <w:tcPr>
            <w:tcW w:w="3845" w:type="pct"/>
          </w:tcPr>
          <w:p w14:paraId="0328C67E" w14:textId="2DE97A71" w:rsidR="009C2D9B" w:rsidRPr="003516DC" w:rsidRDefault="009C2D9B" w:rsidP="00350AA9">
            <w:pPr>
              <w:rPr>
                <w:rFonts w:ascii="Arial" w:hAnsi="Arial" w:cs="Arial"/>
                <w:color w:val="000000"/>
                <w:sz w:val="20"/>
                <w:szCs w:val="20"/>
              </w:rPr>
            </w:pPr>
            <w:r w:rsidRPr="003516DC">
              <w:rPr>
                <w:rFonts w:ascii="Arial" w:hAnsi="Arial" w:cs="Arial"/>
                <w:color w:val="000000"/>
                <w:sz w:val="20"/>
                <w:szCs w:val="20"/>
              </w:rPr>
              <w:t xml:space="preserve">NUTS code Gorj </w:t>
            </w:r>
            <w:r w:rsidR="00687575">
              <w:rPr>
                <w:rFonts w:ascii="Arial" w:hAnsi="Arial" w:cs="Arial"/>
                <w:color w:val="000000"/>
                <w:sz w:val="20"/>
                <w:szCs w:val="20"/>
              </w:rPr>
              <w:t>C</w:t>
            </w:r>
            <w:r w:rsidRPr="003516DC">
              <w:rPr>
                <w:rFonts w:ascii="Arial" w:hAnsi="Arial" w:cs="Arial"/>
                <w:color w:val="000000"/>
                <w:sz w:val="20"/>
                <w:szCs w:val="20"/>
              </w:rPr>
              <w:t>ounty</w:t>
            </w:r>
          </w:p>
        </w:tc>
      </w:tr>
      <w:tr w:rsidR="00E145DA" w:rsidRPr="003516DC" w14:paraId="5C282D70" w14:textId="77777777" w:rsidTr="009C2D9B">
        <w:tc>
          <w:tcPr>
            <w:tcW w:w="1155" w:type="pct"/>
          </w:tcPr>
          <w:p w14:paraId="739D0E6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RO423</w:t>
            </w:r>
          </w:p>
        </w:tc>
        <w:tc>
          <w:tcPr>
            <w:tcW w:w="3845" w:type="pct"/>
          </w:tcPr>
          <w:p w14:paraId="6B3E9D5F" w14:textId="710B0FCC" w:rsidR="009C2D9B" w:rsidRPr="003516DC" w:rsidRDefault="009C2D9B" w:rsidP="00350AA9">
            <w:pPr>
              <w:rPr>
                <w:rFonts w:ascii="Arial" w:hAnsi="Arial" w:cs="Arial"/>
                <w:color w:val="000000"/>
                <w:sz w:val="20"/>
                <w:szCs w:val="20"/>
              </w:rPr>
            </w:pPr>
            <w:r w:rsidRPr="003516DC">
              <w:rPr>
                <w:rFonts w:ascii="Arial" w:hAnsi="Arial" w:cs="Arial"/>
                <w:color w:val="000000"/>
                <w:sz w:val="20"/>
                <w:szCs w:val="20"/>
              </w:rPr>
              <w:t xml:space="preserve">NUTS code Hunedoara </w:t>
            </w:r>
            <w:r w:rsidR="00687575">
              <w:rPr>
                <w:rFonts w:ascii="Arial" w:hAnsi="Arial" w:cs="Arial"/>
                <w:color w:val="000000"/>
                <w:sz w:val="20"/>
                <w:szCs w:val="20"/>
              </w:rPr>
              <w:t>C</w:t>
            </w:r>
            <w:r w:rsidRPr="003516DC">
              <w:rPr>
                <w:rFonts w:ascii="Arial" w:hAnsi="Arial" w:cs="Arial"/>
                <w:color w:val="000000"/>
                <w:sz w:val="20"/>
                <w:szCs w:val="20"/>
              </w:rPr>
              <w:t>ounty</w:t>
            </w:r>
          </w:p>
        </w:tc>
      </w:tr>
      <w:tr w:rsidR="00E145DA" w:rsidRPr="003516DC" w14:paraId="64F3785E" w14:textId="77777777" w:rsidTr="009C2D9B">
        <w:tc>
          <w:tcPr>
            <w:tcW w:w="1155" w:type="pct"/>
          </w:tcPr>
          <w:p w14:paraId="0C63F92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RON</w:t>
            </w:r>
          </w:p>
        </w:tc>
        <w:tc>
          <w:tcPr>
            <w:tcW w:w="3845" w:type="pct"/>
          </w:tcPr>
          <w:p w14:paraId="72593FD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Romanian currency</w:t>
            </w:r>
          </w:p>
        </w:tc>
      </w:tr>
      <w:tr w:rsidR="00E145DA" w:rsidRPr="003516DC" w14:paraId="60E301DE" w14:textId="77777777" w:rsidTr="009C2D9B">
        <w:tc>
          <w:tcPr>
            <w:tcW w:w="1155" w:type="pct"/>
          </w:tcPr>
          <w:p w14:paraId="6B5D96D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ROP</w:t>
            </w:r>
          </w:p>
        </w:tc>
        <w:tc>
          <w:tcPr>
            <w:tcW w:w="3845" w:type="pct"/>
          </w:tcPr>
          <w:p w14:paraId="006FECFB"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Regional Operational Programme / </w:t>
            </w:r>
            <w:r w:rsidRPr="003516DC">
              <w:rPr>
                <w:rFonts w:ascii="Arial" w:hAnsi="Arial" w:cs="Arial"/>
                <w:i/>
                <w:iCs/>
                <w:sz w:val="20"/>
                <w:szCs w:val="20"/>
              </w:rPr>
              <w:t>Programul Operațional Regional</w:t>
            </w:r>
          </w:p>
        </w:tc>
      </w:tr>
      <w:tr w:rsidR="00E145DA" w:rsidRPr="003516DC" w14:paraId="1E963211" w14:textId="77777777" w:rsidTr="009C2D9B">
        <w:tc>
          <w:tcPr>
            <w:tcW w:w="1155" w:type="pct"/>
          </w:tcPr>
          <w:p w14:paraId="7FCB93B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RWEA</w:t>
            </w:r>
          </w:p>
        </w:tc>
        <w:tc>
          <w:tcPr>
            <w:tcW w:w="3845" w:type="pct"/>
          </w:tcPr>
          <w:p w14:paraId="3FEDBDC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Romanian Wind Energy Association</w:t>
            </w:r>
          </w:p>
        </w:tc>
      </w:tr>
      <w:tr w:rsidR="00E145DA" w:rsidRPr="003516DC" w14:paraId="1D22D660" w14:textId="77777777" w:rsidTr="009C2D9B">
        <w:tc>
          <w:tcPr>
            <w:tcW w:w="1155" w:type="pct"/>
          </w:tcPr>
          <w:p w14:paraId="030B878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SACET</w:t>
            </w:r>
          </w:p>
        </w:tc>
        <w:tc>
          <w:tcPr>
            <w:tcW w:w="3845" w:type="pct"/>
          </w:tcPr>
          <w:p w14:paraId="6C5BE9B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 xml:space="preserve">Centralized Heat Supply System / </w:t>
            </w:r>
            <w:r w:rsidRPr="003516DC">
              <w:rPr>
                <w:rFonts w:ascii="Arial" w:hAnsi="Arial" w:cs="Arial"/>
                <w:i/>
                <w:iCs/>
                <w:color w:val="000000"/>
                <w:sz w:val="20"/>
                <w:szCs w:val="20"/>
              </w:rPr>
              <w:t>Sistem de Alimentare Centralizată cu Energie Termică</w:t>
            </w:r>
          </w:p>
        </w:tc>
      </w:tr>
      <w:tr w:rsidR="00E145DA" w:rsidRPr="003516DC" w14:paraId="4B1F169B" w14:textId="77777777" w:rsidTr="009C2D9B">
        <w:tc>
          <w:tcPr>
            <w:tcW w:w="1155" w:type="pct"/>
          </w:tcPr>
          <w:p w14:paraId="5C86DBD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SDOP</w:t>
            </w:r>
          </w:p>
        </w:tc>
        <w:tc>
          <w:tcPr>
            <w:tcW w:w="3845" w:type="pct"/>
          </w:tcPr>
          <w:p w14:paraId="3CACC56F"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Sustainable Development Operational Program</w:t>
            </w:r>
          </w:p>
        </w:tc>
      </w:tr>
      <w:tr w:rsidR="00E145DA" w:rsidRPr="003516DC" w14:paraId="013EC6FA" w14:textId="77777777" w:rsidTr="009C2D9B">
        <w:tc>
          <w:tcPr>
            <w:tcW w:w="1155" w:type="pct"/>
          </w:tcPr>
          <w:p w14:paraId="02B305A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SDS</w:t>
            </w:r>
          </w:p>
        </w:tc>
        <w:tc>
          <w:tcPr>
            <w:tcW w:w="3845" w:type="pct"/>
          </w:tcPr>
          <w:p w14:paraId="28EC0313"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Sustainable Development Strategy</w:t>
            </w:r>
          </w:p>
        </w:tc>
      </w:tr>
      <w:tr w:rsidR="00E145DA" w:rsidRPr="003516DC" w14:paraId="5E070CB4" w14:textId="77777777" w:rsidTr="009C2D9B">
        <w:tc>
          <w:tcPr>
            <w:tcW w:w="1155" w:type="pct"/>
          </w:tcPr>
          <w:p w14:paraId="60640B7B"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SME</w:t>
            </w:r>
          </w:p>
        </w:tc>
        <w:tc>
          <w:tcPr>
            <w:tcW w:w="3845" w:type="pct"/>
          </w:tcPr>
          <w:p w14:paraId="7919636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Small and Medium Enterprises</w:t>
            </w:r>
          </w:p>
        </w:tc>
      </w:tr>
      <w:tr w:rsidR="00E145DA" w:rsidRPr="003516DC" w14:paraId="7619EB46" w14:textId="77777777" w:rsidTr="009C2D9B">
        <w:tc>
          <w:tcPr>
            <w:tcW w:w="1155" w:type="pct"/>
          </w:tcPr>
          <w:p w14:paraId="4F7F4EB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SMR</w:t>
            </w:r>
          </w:p>
        </w:tc>
        <w:tc>
          <w:tcPr>
            <w:tcW w:w="3845" w:type="pct"/>
          </w:tcPr>
          <w:p w14:paraId="61FB05C9"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South Muntenia Region</w:t>
            </w:r>
          </w:p>
        </w:tc>
      </w:tr>
      <w:tr w:rsidR="00E145DA" w:rsidRPr="003516DC" w14:paraId="39A9C755" w14:textId="77777777" w:rsidTr="009C2D9B">
        <w:tc>
          <w:tcPr>
            <w:tcW w:w="1155" w:type="pct"/>
          </w:tcPr>
          <w:p w14:paraId="5B63D4EA"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SNCDI</w:t>
            </w:r>
          </w:p>
        </w:tc>
        <w:tc>
          <w:tcPr>
            <w:tcW w:w="3845" w:type="pct"/>
          </w:tcPr>
          <w:p w14:paraId="1FEBF1D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National Strategy for Research, Development and Innovation / Strategia Națională de Cercetare, Dezvoltare și Inovare</w:t>
            </w:r>
          </w:p>
        </w:tc>
      </w:tr>
      <w:tr w:rsidR="00E145DA" w:rsidRPr="003516DC" w14:paraId="45CD439E" w14:textId="77777777" w:rsidTr="009C2D9B">
        <w:tc>
          <w:tcPr>
            <w:tcW w:w="1155" w:type="pct"/>
          </w:tcPr>
          <w:p w14:paraId="4150D5E1"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SO</w:t>
            </w:r>
          </w:p>
        </w:tc>
        <w:tc>
          <w:tcPr>
            <w:tcW w:w="3845" w:type="pct"/>
          </w:tcPr>
          <w:p w14:paraId="5529F5F3"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Strategic Objective</w:t>
            </w:r>
          </w:p>
        </w:tc>
      </w:tr>
      <w:tr w:rsidR="00E145DA" w:rsidRPr="003516DC" w14:paraId="2EF2C135" w14:textId="77777777" w:rsidTr="009C2D9B">
        <w:tc>
          <w:tcPr>
            <w:tcW w:w="1155" w:type="pct"/>
          </w:tcPr>
          <w:p w14:paraId="6EA7E42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SRSS</w:t>
            </w:r>
          </w:p>
        </w:tc>
        <w:tc>
          <w:tcPr>
            <w:tcW w:w="3845" w:type="pct"/>
          </w:tcPr>
          <w:p w14:paraId="39E8B19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Structural Reform Support Service</w:t>
            </w:r>
          </w:p>
        </w:tc>
      </w:tr>
      <w:tr w:rsidR="00E145DA" w:rsidRPr="003516DC" w14:paraId="7B4A7549" w14:textId="77777777" w:rsidTr="009C2D9B">
        <w:tc>
          <w:tcPr>
            <w:tcW w:w="1155" w:type="pct"/>
          </w:tcPr>
          <w:p w14:paraId="31EADAAF" w14:textId="77777777" w:rsidR="009C2D9B" w:rsidRPr="003516DC" w:rsidRDefault="009C2D9B" w:rsidP="009C2D9B">
            <w:pPr>
              <w:rPr>
                <w:rFonts w:ascii="Arial" w:hAnsi="Arial" w:cs="Arial"/>
                <w:sz w:val="20"/>
                <w:szCs w:val="20"/>
              </w:rPr>
            </w:pPr>
            <w:r w:rsidRPr="003516DC">
              <w:rPr>
                <w:rFonts w:ascii="Arial" w:hAnsi="Arial" w:cs="Arial"/>
                <w:sz w:val="20"/>
                <w:szCs w:val="20"/>
              </w:rPr>
              <w:t>SRTL</w:t>
            </w:r>
          </w:p>
        </w:tc>
        <w:tc>
          <w:tcPr>
            <w:tcW w:w="3845" w:type="pct"/>
          </w:tcPr>
          <w:p w14:paraId="19D4298B" w14:textId="77777777" w:rsidR="009C2D9B" w:rsidRPr="003516DC" w:rsidRDefault="009C2D9B" w:rsidP="009C2D9B">
            <w:pPr>
              <w:rPr>
                <w:rFonts w:ascii="Arial" w:hAnsi="Arial" w:cs="Arial"/>
                <w:sz w:val="20"/>
                <w:szCs w:val="20"/>
              </w:rPr>
            </w:pPr>
            <w:r w:rsidRPr="003516DC">
              <w:rPr>
                <w:rFonts w:ascii="Arial" w:hAnsi="Arial" w:cs="Arial"/>
                <w:sz w:val="20"/>
                <w:szCs w:val="20"/>
              </w:rPr>
              <w:t>Long Term Renovation Strategy / Strategia de Renovare pe Termen Lung</w:t>
            </w:r>
          </w:p>
        </w:tc>
      </w:tr>
      <w:tr w:rsidR="00E145DA" w:rsidRPr="003516DC" w14:paraId="4F188AEA" w14:textId="77777777" w:rsidTr="009C2D9B">
        <w:tc>
          <w:tcPr>
            <w:tcW w:w="1155" w:type="pct"/>
          </w:tcPr>
          <w:p w14:paraId="72826FC5"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START</w:t>
            </w:r>
          </w:p>
        </w:tc>
        <w:tc>
          <w:tcPr>
            <w:tcW w:w="3845" w:type="pct"/>
          </w:tcPr>
          <w:p w14:paraId="1106DB52"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Secretariat’s Technical Assistance to Regions in Transition</w:t>
            </w:r>
          </w:p>
        </w:tc>
      </w:tr>
      <w:tr w:rsidR="00E145DA" w:rsidRPr="003516DC" w14:paraId="1FEB755B" w14:textId="77777777" w:rsidTr="009C2D9B">
        <w:tc>
          <w:tcPr>
            <w:tcW w:w="1155" w:type="pct"/>
          </w:tcPr>
          <w:p w14:paraId="7B9620B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SW / SV</w:t>
            </w:r>
          </w:p>
        </w:tc>
        <w:tc>
          <w:tcPr>
            <w:tcW w:w="3845" w:type="pct"/>
          </w:tcPr>
          <w:p w14:paraId="4971703B" w14:textId="77777777" w:rsidR="009C2D9B" w:rsidRPr="003516DC" w:rsidRDefault="009C2D9B" w:rsidP="009C2D9B">
            <w:pPr>
              <w:rPr>
                <w:rFonts w:ascii="Arial" w:hAnsi="Arial" w:cs="Arial"/>
                <w:sz w:val="20"/>
                <w:szCs w:val="20"/>
              </w:rPr>
            </w:pPr>
            <w:r w:rsidRPr="003516DC">
              <w:rPr>
                <w:rFonts w:ascii="Arial" w:hAnsi="Arial" w:cs="Arial"/>
                <w:sz w:val="20"/>
                <w:szCs w:val="20"/>
              </w:rPr>
              <w:t>South-West / Sud-Vest</w:t>
            </w:r>
          </w:p>
        </w:tc>
      </w:tr>
      <w:tr w:rsidR="00E145DA" w:rsidRPr="003516DC" w14:paraId="425AC84F" w14:textId="77777777" w:rsidTr="009C2D9B">
        <w:tc>
          <w:tcPr>
            <w:tcW w:w="1155" w:type="pct"/>
          </w:tcPr>
          <w:p w14:paraId="2701E97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SWOT</w:t>
            </w:r>
          </w:p>
        </w:tc>
        <w:tc>
          <w:tcPr>
            <w:tcW w:w="3845" w:type="pct"/>
          </w:tcPr>
          <w:p w14:paraId="0F657589" w14:textId="77777777" w:rsidR="009C2D9B" w:rsidRPr="003516DC" w:rsidRDefault="009C2D9B" w:rsidP="009C2D9B">
            <w:pPr>
              <w:rPr>
                <w:rFonts w:ascii="Arial" w:hAnsi="Arial" w:cs="Arial"/>
                <w:sz w:val="20"/>
                <w:szCs w:val="20"/>
              </w:rPr>
            </w:pPr>
            <w:r w:rsidRPr="003516DC">
              <w:rPr>
                <w:rFonts w:ascii="Arial" w:hAnsi="Arial" w:cs="Arial"/>
                <w:sz w:val="20"/>
                <w:szCs w:val="20"/>
              </w:rPr>
              <w:t>Strengths, Weaknesses, Opportunities, and Threats Analysis</w:t>
            </w:r>
          </w:p>
        </w:tc>
      </w:tr>
      <w:tr w:rsidR="00E145DA" w:rsidRPr="003516DC" w14:paraId="66D906C4" w14:textId="77777777" w:rsidTr="009C2D9B">
        <w:tc>
          <w:tcPr>
            <w:tcW w:w="1155" w:type="pct"/>
          </w:tcPr>
          <w:p w14:paraId="1CB0381E" w14:textId="518D8A17" w:rsidR="00F0549A" w:rsidRPr="003516DC" w:rsidRDefault="00F0549A" w:rsidP="009C2D9B">
            <w:pPr>
              <w:rPr>
                <w:rFonts w:ascii="Arial" w:hAnsi="Arial" w:cs="Arial"/>
                <w:color w:val="000000"/>
                <w:sz w:val="20"/>
                <w:szCs w:val="20"/>
              </w:rPr>
            </w:pPr>
            <w:r>
              <w:rPr>
                <w:rFonts w:ascii="Arial" w:hAnsi="Arial" w:cs="Arial"/>
                <w:color w:val="000000"/>
                <w:sz w:val="20"/>
                <w:szCs w:val="20"/>
              </w:rPr>
              <w:t>TAU</w:t>
            </w:r>
          </w:p>
        </w:tc>
        <w:tc>
          <w:tcPr>
            <w:tcW w:w="3845" w:type="pct"/>
          </w:tcPr>
          <w:p w14:paraId="2F659384" w14:textId="72150E1C" w:rsidR="00F0549A" w:rsidRPr="003516DC" w:rsidRDefault="00F0549A" w:rsidP="009C2D9B">
            <w:pPr>
              <w:rPr>
                <w:rFonts w:ascii="Arial" w:hAnsi="Arial" w:cs="Arial"/>
                <w:sz w:val="20"/>
                <w:szCs w:val="20"/>
              </w:rPr>
            </w:pPr>
            <w:r>
              <w:rPr>
                <w:rFonts w:ascii="Arial" w:hAnsi="Arial" w:cs="Arial"/>
                <w:sz w:val="20"/>
                <w:szCs w:val="20"/>
              </w:rPr>
              <w:t>Territorial Administrative Unit</w:t>
            </w:r>
          </w:p>
        </w:tc>
      </w:tr>
      <w:tr w:rsidR="00E145DA" w:rsidRPr="003516DC" w14:paraId="33EF917A" w14:textId="77777777" w:rsidTr="009C2D9B">
        <w:tc>
          <w:tcPr>
            <w:tcW w:w="1155" w:type="pct"/>
          </w:tcPr>
          <w:p w14:paraId="2FC359BD"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TA</w:t>
            </w:r>
          </w:p>
        </w:tc>
        <w:tc>
          <w:tcPr>
            <w:tcW w:w="3845" w:type="pct"/>
          </w:tcPr>
          <w:p w14:paraId="745675BC"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Technical Assistance</w:t>
            </w:r>
          </w:p>
        </w:tc>
      </w:tr>
      <w:tr w:rsidR="00E145DA" w:rsidRPr="003516DC" w14:paraId="36B0DD28" w14:textId="77777777" w:rsidTr="009C2D9B">
        <w:tc>
          <w:tcPr>
            <w:tcW w:w="1155" w:type="pct"/>
          </w:tcPr>
          <w:p w14:paraId="08ACC99E"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TEN-T</w:t>
            </w:r>
          </w:p>
        </w:tc>
        <w:tc>
          <w:tcPr>
            <w:tcW w:w="3845" w:type="pct"/>
          </w:tcPr>
          <w:p w14:paraId="67BF7322" w14:textId="77777777" w:rsidR="009C2D9B" w:rsidRPr="003516DC" w:rsidRDefault="009C2D9B" w:rsidP="009C2D9B">
            <w:pPr>
              <w:rPr>
                <w:rFonts w:ascii="Arial" w:hAnsi="Arial" w:cs="Arial"/>
                <w:sz w:val="20"/>
                <w:szCs w:val="20"/>
              </w:rPr>
            </w:pPr>
            <w:r w:rsidRPr="003516DC">
              <w:rPr>
                <w:rFonts w:ascii="Arial" w:hAnsi="Arial" w:cs="Arial"/>
                <w:sz w:val="20"/>
                <w:szCs w:val="20"/>
              </w:rPr>
              <w:t>Trans-European Transport Network</w:t>
            </w:r>
          </w:p>
        </w:tc>
      </w:tr>
      <w:tr w:rsidR="00E145DA" w:rsidRPr="003516DC" w14:paraId="16C882E3" w14:textId="77777777" w:rsidTr="009C2D9B">
        <w:tc>
          <w:tcPr>
            <w:tcW w:w="1155" w:type="pct"/>
          </w:tcPr>
          <w:p w14:paraId="3A21206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TJTP</w:t>
            </w:r>
          </w:p>
        </w:tc>
        <w:tc>
          <w:tcPr>
            <w:tcW w:w="3845" w:type="pct"/>
          </w:tcPr>
          <w:p w14:paraId="23E4ACDE"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Territorial Just Transition Plan</w:t>
            </w:r>
          </w:p>
        </w:tc>
      </w:tr>
      <w:tr w:rsidR="00E145DA" w:rsidRPr="003516DC" w14:paraId="22EA382C" w14:textId="77777777" w:rsidTr="009C2D9B">
        <w:tc>
          <w:tcPr>
            <w:tcW w:w="1155" w:type="pct"/>
          </w:tcPr>
          <w:p w14:paraId="255207D2"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ToR</w:t>
            </w:r>
          </w:p>
        </w:tc>
        <w:tc>
          <w:tcPr>
            <w:tcW w:w="3845" w:type="pct"/>
          </w:tcPr>
          <w:p w14:paraId="5702D675"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Terms of Reference</w:t>
            </w:r>
          </w:p>
        </w:tc>
      </w:tr>
      <w:tr w:rsidR="00E145DA" w:rsidRPr="003516DC" w14:paraId="4F583DCC" w14:textId="77777777" w:rsidTr="009C2D9B">
        <w:tc>
          <w:tcPr>
            <w:tcW w:w="1155" w:type="pct"/>
          </w:tcPr>
          <w:p w14:paraId="0E79B885"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UAT</w:t>
            </w:r>
          </w:p>
        </w:tc>
        <w:tc>
          <w:tcPr>
            <w:tcW w:w="3845" w:type="pct"/>
          </w:tcPr>
          <w:p w14:paraId="6EA87332"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 xml:space="preserve">Territorial Administrative Unit </w:t>
            </w:r>
            <w:r w:rsidRPr="003516DC">
              <w:rPr>
                <w:rFonts w:ascii="Arial" w:hAnsi="Arial" w:cs="Arial"/>
                <w:i/>
                <w:iCs/>
                <w:sz w:val="20"/>
                <w:szCs w:val="20"/>
              </w:rPr>
              <w:t>/ Unitate Administrativ Teritorial</w:t>
            </w:r>
            <w:r w:rsidRPr="003516DC">
              <w:rPr>
                <w:rFonts w:ascii="Arial" w:hAnsi="Arial" w:cs="Arial"/>
                <w:i/>
                <w:iCs/>
                <w:color w:val="000000"/>
                <w:sz w:val="20"/>
                <w:szCs w:val="20"/>
              </w:rPr>
              <w:t>ă</w:t>
            </w:r>
          </w:p>
        </w:tc>
      </w:tr>
      <w:tr w:rsidR="00E145DA" w:rsidRPr="003516DC" w14:paraId="7D0335BC" w14:textId="77777777" w:rsidTr="009C2D9B">
        <w:tc>
          <w:tcPr>
            <w:tcW w:w="1155" w:type="pct"/>
          </w:tcPr>
          <w:p w14:paraId="0747A609"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USA</w:t>
            </w:r>
          </w:p>
        </w:tc>
        <w:tc>
          <w:tcPr>
            <w:tcW w:w="3845" w:type="pct"/>
          </w:tcPr>
          <w:p w14:paraId="62B96276"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United States of America</w:t>
            </w:r>
          </w:p>
        </w:tc>
      </w:tr>
      <w:tr w:rsidR="00E145DA" w:rsidRPr="003516DC" w14:paraId="1740E4B7" w14:textId="77777777" w:rsidTr="009C2D9B">
        <w:tc>
          <w:tcPr>
            <w:tcW w:w="1155" w:type="pct"/>
          </w:tcPr>
          <w:p w14:paraId="7F316A9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USD</w:t>
            </w:r>
          </w:p>
        </w:tc>
        <w:tc>
          <w:tcPr>
            <w:tcW w:w="3845" w:type="pct"/>
          </w:tcPr>
          <w:p w14:paraId="25D27E38"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United States Dollar</w:t>
            </w:r>
          </w:p>
        </w:tc>
      </w:tr>
      <w:tr w:rsidR="00E145DA" w:rsidRPr="003516DC" w14:paraId="5340735B" w14:textId="77777777" w:rsidTr="009C2D9B">
        <w:tc>
          <w:tcPr>
            <w:tcW w:w="1155" w:type="pct"/>
          </w:tcPr>
          <w:p w14:paraId="2F930710"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VAT</w:t>
            </w:r>
          </w:p>
        </w:tc>
        <w:tc>
          <w:tcPr>
            <w:tcW w:w="3845" w:type="pct"/>
          </w:tcPr>
          <w:p w14:paraId="3682CEB3"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Value-added Tax</w:t>
            </w:r>
          </w:p>
        </w:tc>
      </w:tr>
      <w:tr w:rsidR="00E145DA" w:rsidRPr="003516DC" w14:paraId="76F25FF6" w14:textId="77777777" w:rsidTr="009C2D9B">
        <w:tc>
          <w:tcPr>
            <w:tcW w:w="1155" w:type="pct"/>
          </w:tcPr>
          <w:p w14:paraId="6A964B17"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WEEE</w:t>
            </w:r>
          </w:p>
        </w:tc>
        <w:tc>
          <w:tcPr>
            <w:tcW w:w="3845" w:type="pct"/>
          </w:tcPr>
          <w:p w14:paraId="22CB93D0" w14:textId="77777777" w:rsidR="009C2D9B" w:rsidRPr="003516DC" w:rsidRDefault="009C2D9B" w:rsidP="009C2D9B">
            <w:pPr>
              <w:rPr>
                <w:rFonts w:ascii="Arial" w:hAnsi="Arial" w:cs="Arial"/>
                <w:color w:val="000000"/>
                <w:sz w:val="20"/>
                <w:szCs w:val="20"/>
              </w:rPr>
            </w:pPr>
            <w:r w:rsidRPr="003516DC">
              <w:rPr>
                <w:rFonts w:ascii="Arial" w:hAnsi="Arial" w:cs="Arial"/>
                <w:sz w:val="20"/>
                <w:szCs w:val="20"/>
              </w:rPr>
              <w:t>Waste Electrical and Electronic Equipment</w:t>
            </w:r>
          </w:p>
        </w:tc>
      </w:tr>
      <w:tr w:rsidR="00E145DA" w:rsidRPr="003516DC" w14:paraId="1702CFF5" w14:textId="77777777" w:rsidTr="009C2D9B">
        <w:tc>
          <w:tcPr>
            <w:tcW w:w="1155" w:type="pct"/>
          </w:tcPr>
          <w:p w14:paraId="4B58528F" w14:textId="77777777" w:rsidR="009C2D9B" w:rsidRPr="003516DC" w:rsidRDefault="009C2D9B" w:rsidP="009C2D9B">
            <w:pPr>
              <w:rPr>
                <w:rFonts w:ascii="Arial" w:hAnsi="Arial" w:cs="Arial"/>
                <w:color w:val="000000"/>
                <w:sz w:val="20"/>
                <w:szCs w:val="20"/>
              </w:rPr>
            </w:pPr>
            <w:r w:rsidRPr="003516DC">
              <w:rPr>
                <w:rFonts w:ascii="Arial" w:hAnsi="Arial" w:cs="Arial"/>
                <w:color w:val="000000"/>
                <w:sz w:val="20"/>
                <w:szCs w:val="20"/>
              </w:rPr>
              <w:t>WWF</w:t>
            </w:r>
          </w:p>
        </w:tc>
        <w:tc>
          <w:tcPr>
            <w:tcW w:w="3845" w:type="pct"/>
          </w:tcPr>
          <w:p w14:paraId="16640AE6" w14:textId="77777777" w:rsidR="009C2D9B" w:rsidRPr="003516DC" w:rsidRDefault="009C2D9B" w:rsidP="009C2D9B">
            <w:pPr>
              <w:rPr>
                <w:rFonts w:ascii="Arial" w:hAnsi="Arial" w:cs="Arial"/>
                <w:sz w:val="20"/>
                <w:szCs w:val="20"/>
              </w:rPr>
            </w:pPr>
            <w:r w:rsidRPr="003516DC">
              <w:rPr>
                <w:rFonts w:ascii="Arial" w:hAnsi="Arial" w:cs="Arial"/>
                <w:sz w:val="20"/>
                <w:szCs w:val="20"/>
              </w:rPr>
              <w:t>World Wide Fund for Nature</w:t>
            </w:r>
          </w:p>
        </w:tc>
      </w:tr>
      <w:tr w:rsidR="00E145DA" w:rsidRPr="003516DC" w14:paraId="57A1B4AA" w14:textId="77777777" w:rsidTr="009C2D9B">
        <w:tc>
          <w:tcPr>
            <w:tcW w:w="1155" w:type="pct"/>
          </w:tcPr>
          <w:p w14:paraId="61F09888" w14:textId="77777777" w:rsidR="009C2D9B" w:rsidRPr="003516DC" w:rsidRDefault="009C2D9B" w:rsidP="009C2D9B">
            <w:pPr>
              <w:rPr>
                <w:rFonts w:ascii="Arial" w:hAnsi="Arial" w:cs="Arial"/>
                <w:color w:val="000000"/>
                <w:sz w:val="20"/>
                <w:szCs w:val="20"/>
              </w:rPr>
            </w:pPr>
          </w:p>
        </w:tc>
        <w:tc>
          <w:tcPr>
            <w:tcW w:w="3845" w:type="pct"/>
          </w:tcPr>
          <w:p w14:paraId="661891E4" w14:textId="77777777" w:rsidR="009C2D9B" w:rsidRPr="003516DC" w:rsidRDefault="009C2D9B" w:rsidP="009C2D9B">
            <w:pPr>
              <w:rPr>
                <w:rFonts w:ascii="Arial" w:hAnsi="Arial" w:cs="Arial"/>
                <w:color w:val="000000"/>
                <w:sz w:val="20"/>
                <w:szCs w:val="20"/>
              </w:rPr>
            </w:pPr>
          </w:p>
        </w:tc>
      </w:tr>
    </w:tbl>
    <w:p w14:paraId="76A0ADF9" w14:textId="77777777" w:rsidR="003A13DD" w:rsidRPr="003516DC" w:rsidRDefault="003A13DD">
      <w:pPr>
        <w:rPr>
          <w:rFonts w:ascii="Arial" w:hAnsi="Arial" w:cs="Arial"/>
        </w:rPr>
        <w:sectPr w:rsidR="003A13DD" w:rsidRPr="003516DC" w:rsidSect="007F5984">
          <w:pgSz w:w="11909" w:h="16834"/>
          <w:pgMar w:top="1440" w:right="1440" w:bottom="1440" w:left="1530" w:header="720" w:footer="720" w:gutter="0"/>
          <w:pgNumType w:fmt="lowerRoman" w:start="1"/>
          <w:cols w:space="720"/>
        </w:sectPr>
      </w:pPr>
    </w:p>
    <w:p w14:paraId="0D3F301B" w14:textId="77777777" w:rsidR="003A13DD" w:rsidRPr="001916C2" w:rsidRDefault="003648D5" w:rsidP="007F5984">
      <w:pPr>
        <w:keepNext/>
        <w:keepLines/>
        <w:pBdr>
          <w:top w:val="nil"/>
          <w:left w:val="nil"/>
          <w:bottom w:val="nil"/>
          <w:right w:val="nil"/>
          <w:between w:val="nil"/>
        </w:pBdr>
        <w:spacing w:before="120"/>
        <w:rPr>
          <w:rFonts w:ascii="Arial" w:hAnsi="Arial" w:cs="Arial"/>
          <w:b/>
          <w:smallCaps/>
          <w:color w:val="4F81BD" w:themeColor="accent1"/>
          <w:sz w:val="28"/>
          <w:szCs w:val="28"/>
        </w:rPr>
      </w:pPr>
      <w:r w:rsidRPr="001916C2">
        <w:rPr>
          <w:rFonts w:ascii="Arial" w:hAnsi="Arial" w:cs="Arial"/>
          <w:b/>
          <w:smallCaps/>
          <w:color w:val="4F81BD" w:themeColor="accent1"/>
          <w:sz w:val="28"/>
          <w:szCs w:val="28"/>
        </w:rPr>
        <w:lastRenderedPageBreak/>
        <w:t>Table of Contents</w:t>
      </w:r>
    </w:p>
    <w:p w14:paraId="2F4F315A" w14:textId="20995300" w:rsidR="004E2DCB" w:rsidRDefault="001C7238">
      <w:pPr>
        <w:pStyle w:val="TOC1"/>
        <w:rPr>
          <w:rFonts w:asciiTheme="minorHAnsi" w:eastAsiaTheme="minorEastAsia" w:hAnsiTheme="minorHAnsi" w:cstheme="minorBidi"/>
          <w:b w:val="0"/>
          <w:lang w:val="en-US"/>
        </w:rPr>
      </w:pPr>
      <w:r>
        <w:rPr>
          <w:strike/>
        </w:rPr>
        <w:fldChar w:fldCharType="begin"/>
      </w:r>
      <w:r>
        <w:rPr>
          <w:strike/>
        </w:rPr>
        <w:instrText xml:space="preserve"> TOC \o "1-2" \h \z \u </w:instrText>
      </w:r>
      <w:r>
        <w:rPr>
          <w:strike/>
        </w:rPr>
        <w:fldChar w:fldCharType="separate"/>
      </w:r>
      <w:hyperlink w:anchor="_Toc90725841" w:history="1">
        <w:r w:rsidR="004E2DCB" w:rsidRPr="00FE5E7F">
          <w:rPr>
            <w:rStyle w:val="Hyperlink"/>
          </w:rPr>
          <w:t>Executive Summary</w:t>
        </w:r>
        <w:r w:rsidR="004E2DCB">
          <w:rPr>
            <w:webHidden/>
          </w:rPr>
          <w:tab/>
        </w:r>
        <w:r w:rsidR="004E2DCB">
          <w:rPr>
            <w:webHidden/>
          </w:rPr>
          <w:fldChar w:fldCharType="begin"/>
        </w:r>
        <w:r w:rsidR="004E2DCB">
          <w:rPr>
            <w:webHidden/>
          </w:rPr>
          <w:instrText xml:space="preserve"> PAGEREF _Toc90725841 \h </w:instrText>
        </w:r>
        <w:r w:rsidR="004E2DCB">
          <w:rPr>
            <w:webHidden/>
          </w:rPr>
        </w:r>
        <w:r w:rsidR="004E2DCB">
          <w:rPr>
            <w:webHidden/>
          </w:rPr>
          <w:fldChar w:fldCharType="separate"/>
        </w:r>
        <w:r w:rsidR="004E2DCB">
          <w:rPr>
            <w:webHidden/>
          </w:rPr>
          <w:t>1</w:t>
        </w:r>
        <w:r w:rsidR="004E2DCB">
          <w:rPr>
            <w:webHidden/>
          </w:rPr>
          <w:fldChar w:fldCharType="end"/>
        </w:r>
      </w:hyperlink>
    </w:p>
    <w:p w14:paraId="0C251A66" w14:textId="705C0855" w:rsidR="004E2DCB" w:rsidRDefault="000B273D">
      <w:pPr>
        <w:pStyle w:val="TOC1"/>
        <w:rPr>
          <w:rFonts w:asciiTheme="minorHAnsi" w:eastAsiaTheme="minorEastAsia" w:hAnsiTheme="minorHAnsi" w:cstheme="minorBidi"/>
          <w:b w:val="0"/>
          <w:lang w:val="en-US"/>
        </w:rPr>
      </w:pPr>
      <w:hyperlink w:anchor="_Toc90725842" w:history="1">
        <w:r w:rsidR="004E2DCB" w:rsidRPr="00FE5E7F">
          <w:rPr>
            <w:rStyle w:val="Hyperlink"/>
          </w:rPr>
          <w:t>1</w:t>
        </w:r>
        <w:r w:rsidR="004E2DCB">
          <w:rPr>
            <w:rFonts w:asciiTheme="minorHAnsi" w:eastAsiaTheme="minorEastAsia" w:hAnsiTheme="minorHAnsi" w:cstheme="minorBidi"/>
            <w:b w:val="0"/>
            <w:lang w:val="en-US"/>
          </w:rPr>
          <w:tab/>
        </w:r>
        <w:r w:rsidR="004E2DCB" w:rsidRPr="00FE5E7F">
          <w:rPr>
            <w:rStyle w:val="Hyperlink"/>
          </w:rPr>
          <w:t>Context</w:t>
        </w:r>
        <w:r w:rsidR="004E2DCB">
          <w:rPr>
            <w:webHidden/>
          </w:rPr>
          <w:tab/>
        </w:r>
        <w:r w:rsidR="004E2DCB">
          <w:rPr>
            <w:webHidden/>
          </w:rPr>
          <w:fldChar w:fldCharType="begin"/>
        </w:r>
        <w:r w:rsidR="004E2DCB">
          <w:rPr>
            <w:webHidden/>
          </w:rPr>
          <w:instrText xml:space="preserve"> PAGEREF _Toc90725842 \h </w:instrText>
        </w:r>
        <w:r w:rsidR="004E2DCB">
          <w:rPr>
            <w:webHidden/>
          </w:rPr>
        </w:r>
        <w:r w:rsidR="004E2DCB">
          <w:rPr>
            <w:webHidden/>
          </w:rPr>
          <w:fldChar w:fldCharType="separate"/>
        </w:r>
        <w:r w:rsidR="004E2DCB">
          <w:rPr>
            <w:webHidden/>
          </w:rPr>
          <w:t>8</w:t>
        </w:r>
        <w:r w:rsidR="004E2DCB">
          <w:rPr>
            <w:webHidden/>
          </w:rPr>
          <w:fldChar w:fldCharType="end"/>
        </w:r>
      </w:hyperlink>
    </w:p>
    <w:p w14:paraId="06726039" w14:textId="4E63F6A7" w:rsidR="004E2DCB" w:rsidRDefault="000B273D">
      <w:pPr>
        <w:pStyle w:val="TOC2"/>
        <w:rPr>
          <w:rFonts w:asciiTheme="minorHAnsi" w:eastAsiaTheme="minorEastAsia" w:hAnsiTheme="minorHAnsi" w:cstheme="minorBidi"/>
          <w:noProof/>
          <w:lang w:val="en-US"/>
        </w:rPr>
      </w:pPr>
      <w:hyperlink w:anchor="_Toc90725843" w:history="1">
        <w:r w:rsidR="004E2DCB" w:rsidRPr="00FE5E7F">
          <w:rPr>
            <w:rStyle w:val="Hyperlink"/>
            <w:noProof/>
          </w:rPr>
          <w:t>1.1</w:t>
        </w:r>
        <w:r w:rsidR="004E2DCB">
          <w:rPr>
            <w:rFonts w:asciiTheme="minorHAnsi" w:eastAsiaTheme="minorEastAsia" w:hAnsiTheme="minorHAnsi" w:cstheme="minorBidi"/>
            <w:noProof/>
            <w:lang w:val="en-US"/>
          </w:rPr>
          <w:tab/>
        </w:r>
        <w:r w:rsidR="004E2DCB" w:rsidRPr="00FE5E7F">
          <w:rPr>
            <w:rStyle w:val="Hyperlink"/>
            <w:noProof/>
          </w:rPr>
          <w:t>Analysis of existing efforts and their results with regards to the transition to a climate-neutral economy and an outlook on planned measures</w:t>
        </w:r>
        <w:r w:rsidR="004E2DCB">
          <w:rPr>
            <w:noProof/>
            <w:webHidden/>
          </w:rPr>
          <w:tab/>
        </w:r>
        <w:r w:rsidR="004E2DCB">
          <w:rPr>
            <w:noProof/>
            <w:webHidden/>
          </w:rPr>
          <w:fldChar w:fldCharType="begin"/>
        </w:r>
        <w:r w:rsidR="004E2DCB">
          <w:rPr>
            <w:noProof/>
            <w:webHidden/>
          </w:rPr>
          <w:instrText xml:space="preserve"> PAGEREF _Toc90725843 \h </w:instrText>
        </w:r>
        <w:r w:rsidR="004E2DCB">
          <w:rPr>
            <w:noProof/>
            <w:webHidden/>
          </w:rPr>
        </w:r>
        <w:r w:rsidR="004E2DCB">
          <w:rPr>
            <w:noProof/>
            <w:webHidden/>
          </w:rPr>
          <w:fldChar w:fldCharType="separate"/>
        </w:r>
        <w:r w:rsidR="004E2DCB">
          <w:rPr>
            <w:noProof/>
            <w:webHidden/>
          </w:rPr>
          <w:t>8</w:t>
        </w:r>
        <w:r w:rsidR="004E2DCB">
          <w:rPr>
            <w:noProof/>
            <w:webHidden/>
          </w:rPr>
          <w:fldChar w:fldCharType="end"/>
        </w:r>
      </w:hyperlink>
    </w:p>
    <w:p w14:paraId="6CE221C7" w14:textId="375AC5EA" w:rsidR="004E2DCB" w:rsidRDefault="000B273D">
      <w:pPr>
        <w:pStyle w:val="TOC2"/>
        <w:rPr>
          <w:rFonts w:asciiTheme="minorHAnsi" w:eastAsiaTheme="minorEastAsia" w:hAnsiTheme="minorHAnsi" w:cstheme="minorBidi"/>
          <w:noProof/>
          <w:lang w:val="en-US"/>
        </w:rPr>
      </w:pPr>
      <w:hyperlink w:anchor="_Toc90725844" w:history="1">
        <w:r w:rsidR="004E2DCB" w:rsidRPr="00FE5E7F">
          <w:rPr>
            <w:rStyle w:val="Hyperlink"/>
            <w:noProof/>
          </w:rPr>
          <w:t>1.2</w:t>
        </w:r>
        <w:r w:rsidR="004E2DCB">
          <w:rPr>
            <w:rFonts w:asciiTheme="minorHAnsi" w:eastAsiaTheme="minorEastAsia" w:hAnsiTheme="minorHAnsi" w:cstheme="minorBidi"/>
            <w:noProof/>
            <w:lang w:val="en-US"/>
          </w:rPr>
          <w:tab/>
        </w:r>
        <w:r w:rsidR="004E2DCB" w:rsidRPr="00FE5E7F">
          <w:rPr>
            <w:rStyle w:val="Hyperlink"/>
            <w:noProof/>
          </w:rPr>
          <w:t>National transition process to climate neutrality</w:t>
        </w:r>
        <w:r w:rsidR="004E2DCB">
          <w:rPr>
            <w:noProof/>
            <w:webHidden/>
          </w:rPr>
          <w:tab/>
        </w:r>
        <w:r w:rsidR="004E2DCB">
          <w:rPr>
            <w:noProof/>
            <w:webHidden/>
          </w:rPr>
          <w:fldChar w:fldCharType="begin"/>
        </w:r>
        <w:r w:rsidR="004E2DCB">
          <w:rPr>
            <w:noProof/>
            <w:webHidden/>
          </w:rPr>
          <w:instrText xml:space="preserve"> PAGEREF _Toc90725844 \h </w:instrText>
        </w:r>
        <w:r w:rsidR="004E2DCB">
          <w:rPr>
            <w:noProof/>
            <w:webHidden/>
          </w:rPr>
        </w:r>
        <w:r w:rsidR="004E2DCB">
          <w:rPr>
            <w:noProof/>
            <w:webHidden/>
          </w:rPr>
          <w:fldChar w:fldCharType="separate"/>
        </w:r>
        <w:r w:rsidR="004E2DCB">
          <w:rPr>
            <w:noProof/>
            <w:webHidden/>
          </w:rPr>
          <w:t>11</w:t>
        </w:r>
        <w:r w:rsidR="004E2DCB">
          <w:rPr>
            <w:noProof/>
            <w:webHidden/>
          </w:rPr>
          <w:fldChar w:fldCharType="end"/>
        </w:r>
      </w:hyperlink>
    </w:p>
    <w:p w14:paraId="3A36BC8A" w14:textId="7AE4A212" w:rsidR="004E2DCB" w:rsidRDefault="000B273D">
      <w:pPr>
        <w:pStyle w:val="TOC2"/>
        <w:rPr>
          <w:rFonts w:asciiTheme="minorHAnsi" w:eastAsiaTheme="minorEastAsia" w:hAnsiTheme="minorHAnsi" w:cstheme="minorBidi"/>
          <w:noProof/>
          <w:lang w:val="en-US"/>
        </w:rPr>
      </w:pPr>
      <w:hyperlink w:anchor="_Toc90725845" w:history="1">
        <w:r w:rsidR="004E2DCB" w:rsidRPr="00FE5E7F">
          <w:rPr>
            <w:rStyle w:val="Hyperlink"/>
            <w:noProof/>
          </w:rPr>
          <w:t>1.3</w:t>
        </w:r>
        <w:r w:rsidR="004E2DCB">
          <w:rPr>
            <w:rFonts w:asciiTheme="minorHAnsi" w:eastAsiaTheme="minorEastAsia" w:hAnsiTheme="minorHAnsi" w:cstheme="minorBidi"/>
            <w:noProof/>
            <w:lang w:val="en-US"/>
          </w:rPr>
          <w:tab/>
        </w:r>
        <w:r w:rsidR="004E2DCB" w:rsidRPr="00FE5E7F">
          <w:rPr>
            <w:rStyle w:val="Hyperlink"/>
            <w:noProof/>
          </w:rPr>
          <w:t>Primary impact on Transition Regions for national transition to climate neutrality and key transition steps</w:t>
        </w:r>
        <w:r w:rsidR="004E2DCB">
          <w:rPr>
            <w:noProof/>
            <w:webHidden/>
          </w:rPr>
          <w:tab/>
        </w:r>
        <w:r w:rsidR="004E2DCB">
          <w:rPr>
            <w:noProof/>
            <w:webHidden/>
          </w:rPr>
          <w:fldChar w:fldCharType="begin"/>
        </w:r>
        <w:r w:rsidR="004E2DCB">
          <w:rPr>
            <w:noProof/>
            <w:webHidden/>
          </w:rPr>
          <w:instrText xml:space="preserve"> PAGEREF _Toc90725845 \h </w:instrText>
        </w:r>
        <w:r w:rsidR="004E2DCB">
          <w:rPr>
            <w:noProof/>
            <w:webHidden/>
          </w:rPr>
        </w:r>
        <w:r w:rsidR="004E2DCB">
          <w:rPr>
            <w:noProof/>
            <w:webHidden/>
          </w:rPr>
          <w:fldChar w:fldCharType="separate"/>
        </w:r>
        <w:r w:rsidR="004E2DCB">
          <w:rPr>
            <w:noProof/>
            <w:webHidden/>
          </w:rPr>
          <w:t>11</w:t>
        </w:r>
        <w:r w:rsidR="004E2DCB">
          <w:rPr>
            <w:noProof/>
            <w:webHidden/>
          </w:rPr>
          <w:fldChar w:fldCharType="end"/>
        </w:r>
      </w:hyperlink>
    </w:p>
    <w:p w14:paraId="60EBCDAD" w14:textId="5787DA0C" w:rsidR="004E2DCB" w:rsidRDefault="000B273D">
      <w:pPr>
        <w:pStyle w:val="TOC2"/>
        <w:rPr>
          <w:rFonts w:asciiTheme="minorHAnsi" w:eastAsiaTheme="minorEastAsia" w:hAnsiTheme="minorHAnsi" w:cstheme="minorBidi"/>
          <w:noProof/>
          <w:lang w:val="en-US"/>
        </w:rPr>
      </w:pPr>
      <w:hyperlink w:anchor="_Toc90725846" w:history="1">
        <w:r w:rsidR="004E2DCB" w:rsidRPr="00FE5E7F">
          <w:rPr>
            <w:rStyle w:val="Hyperlink"/>
            <w:noProof/>
          </w:rPr>
          <w:t>1.4</w:t>
        </w:r>
        <w:r w:rsidR="004E2DCB">
          <w:rPr>
            <w:rFonts w:asciiTheme="minorHAnsi" w:eastAsiaTheme="minorEastAsia" w:hAnsiTheme="minorHAnsi" w:cstheme="minorBidi"/>
            <w:noProof/>
            <w:lang w:val="en-US"/>
          </w:rPr>
          <w:tab/>
        </w:r>
        <w:r w:rsidR="004E2DCB" w:rsidRPr="00FE5E7F">
          <w:rPr>
            <w:rStyle w:val="Hyperlink"/>
            <w:noProof/>
          </w:rPr>
          <w:t>Good practices from other EU member states</w:t>
        </w:r>
        <w:r w:rsidR="004E2DCB">
          <w:rPr>
            <w:noProof/>
            <w:webHidden/>
          </w:rPr>
          <w:tab/>
        </w:r>
        <w:r w:rsidR="004E2DCB">
          <w:rPr>
            <w:noProof/>
            <w:webHidden/>
          </w:rPr>
          <w:fldChar w:fldCharType="begin"/>
        </w:r>
        <w:r w:rsidR="004E2DCB">
          <w:rPr>
            <w:noProof/>
            <w:webHidden/>
          </w:rPr>
          <w:instrText xml:space="preserve"> PAGEREF _Toc90725846 \h </w:instrText>
        </w:r>
        <w:r w:rsidR="004E2DCB">
          <w:rPr>
            <w:noProof/>
            <w:webHidden/>
          </w:rPr>
        </w:r>
        <w:r w:rsidR="004E2DCB">
          <w:rPr>
            <w:noProof/>
            <w:webHidden/>
          </w:rPr>
          <w:fldChar w:fldCharType="separate"/>
        </w:r>
        <w:r w:rsidR="004E2DCB">
          <w:rPr>
            <w:noProof/>
            <w:webHidden/>
          </w:rPr>
          <w:t>16</w:t>
        </w:r>
        <w:r w:rsidR="004E2DCB">
          <w:rPr>
            <w:noProof/>
            <w:webHidden/>
          </w:rPr>
          <w:fldChar w:fldCharType="end"/>
        </w:r>
      </w:hyperlink>
    </w:p>
    <w:p w14:paraId="513E53FE" w14:textId="2C65356C" w:rsidR="004E2DCB" w:rsidRDefault="000B273D">
      <w:pPr>
        <w:pStyle w:val="TOC1"/>
        <w:rPr>
          <w:rFonts w:asciiTheme="minorHAnsi" w:eastAsiaTheme="minorEastAsia" w:hAnsiTheme="minorHAnsi" w:cstheme="minorBidi"/>
          <w:b w:val="0"/>
          <w:lang w:val="en-US"/>
        </w:rPr>
      </w:pPr>
      <w:hyperlink w:anchor="_Toc90725847" w:history="1">
        <w:r w:rsidR="004E2DCB" w:rsidRPr="00FE5E7F">
          <w:rPr>
            <w:rStyle w:val="Hyperlink"/>
          </w:rPr>
          <w:t>2</w:t>
        </w:r>
        <w:r w:rsidR="004E2DCB">
          <w:rPr>
            <w:rFonts w:asciiTheme="minorHAnsi" w:eastAsiaTheme="minorEastAsia" w:hAnsiTheme="minorHAnsi" w:cstheme="minorBidi"/>
            <w:b w:val="0"/>
            <w:lang w:val="en-US"/>
          </w:rPr>
          <w:tab/>
        </w:r>
        <w:r w:rsidR="004E2DCB" w:rsidRPr="00FE5E7F">
          <w:rPr>
            <w:rStyle w:val="Hyperlink"/>
          </w:rPr>
          <w:t>Relevant Trends and Challenges for the Transition Regions</w:t>
        </w:r>
        <w:r w:rsidR="004E2DCB">
          <w:rPr>
            <w:webHidden/>
          </w:rPr>
          <w:tab/>
        </w:r>
        <w:r w:rsidR="004E2DCB">
          <w:rPr>
            <w:webHidden/>
          </w:rPr>
          <w:fldChar w:fldCharType="begin"/>
        </w:r>
        <w:r w:rsidR="004E2DCB">
          <w:rPr>
            <w:webHidden/>
          </w:rPr>
          <w:instrText xml:space="preserve"> PAGEREF _Toc90725847 \h </w:instrText>
        </w:r>
        <w:r w:rsidR="004E2DCB">
          <w:rPr>
            <w:webHidden/>
          </w:rPr>
        </w:r>
        <w:r w:rsidR="004E2DCB">
          <w:rPr>
            <w:webHidden/>
          </w:rPr>
          <w:fldChar w:fldCharType="separate"/>
        </w:r>
        <w:r w:rsidR="004E2DCB">
          <w:rPr>
            <w:webHidden/>
          </w:rPr>
          <w:t>17</w:t>
        </w:r>
        <w:r w:rsidR="004E2DCB">
          <w:rPr>
            <w:webHidden/>
          </w:rPr>
          <w:fldChar w:fldCharType="end"/>
        </w:r>
      </w:hyperlink>
    </w:p>
    <w:p w14:paraId="5F29118F" w14:textId="4610C417" w:rsidR="004E2DCB" w:rsidRDefault="000B273D">
      <w:pPr>
        <w:pStyle w:val="TOC2"/>
        <w:rPr>
          <w:rFonts w:asciiTheme="minorHAnsi" w:eastAsiaTheme="minorEastAsia" w:hAnsiTheme="minorHAnsi" w:cstheme="minorBidi"/>
          <w:noProof/>
          <w:lang w:val="en-US"/>
        </w:rPr>
      </w:pPr>
      <w:hyperlink w:anchor="_Toc90725848" w:history="1">
        <w:r w:rsidR="004E2DCB" w:rsidRPr="00FE5E7F">
          <w:rPr>
            <w:rStyle w:val="Hyperlink"/>
            <w:noProof/>
          </w:rPr>
          <w:t>2.1</w:t>
        </w:r>
        <w:r w:rsidR="004E2DCB">
          <w:rPr>
            <w:rFonts w:asciiTheme="minorHAnsi" w:eastAsiaTheme="minorEastAsia" w:hAnsiTheme="minorHAnsi" w:cstheme="minorBidi"/>
            <w:noProof/>
            <w:lang w:val="en-US"/>
          </w:rPr>
          <w:tab/>
        </w:r>
        <w:r w:rsidR="004E2DCB" w:rsidRPr="00FE5E7F">
          <w:rPr>
            <w:rStyle w:val="Hyperlink"/>
            <w:noProof/>
          </w:rPr>
          <w:t>Circular economy</w:t>
        </w:r>
        <w:r w:rsidR="004E2DCB">
          <w:rPr>
            <w:noProof/>
            <w:webHidden/>
          </w:rPr>
          <w:tab/>
        </w:r>
        <w:r w:rsidR="004E2DCB">
          <w:rPr>
            <w:noProof/>
            <w:webHidden/>
          </w:rPr>
          <w:fldChar w:fldCharType="begin"/>
        </w:r>
        <w:r w:rsidR="004E2DCB">
          <w:rPr>
            <w:noProof/>
            <w:webHidden/>
          </w:rPr>
          <w:instrText xml:space="preserve"> PAGEREF _Toc90725848 \h </w:instrText>
        </w:r>
        <w:r w:rsidR="004E2DCB">
          <w:rPr>
            <w:noProof/>
            <w:webHidden/>
          </w:rPr>
        </w:r>
        <w:r w:rsidR="004E2DCB">
          <w:rPr>
            <w:noProof/>
            <w:webHidden/>
          </w:rPr>
          <w:fldChar w:fldCharType="separate"/>
        </w:r>
        <w:r w:rsidR="004E2DCB">
          <w:rPr>
            <w:noProof/>
            <w:webHidden/>
          </w:rPr>
          <w:t>17</w:t>
        </w:r>
        <w:r w:rsidR="004E2DCB">
          <w:rPr>
            <w:noProof/>
            <w:webHidden/>
          </w:rPr>
          <w:fldChar w:fldCharType="end"/>
        </w:r>
      </w:hyperlink>
    </w:p>
    <w:p w14:paraId="4593966E" w14:textId="68234F26" w:rsidR="004E2DCB" w:rsidRDefault="000B273D">
      <w:pPr>
        <w:pStyle w:val="TOC2"/>
        <w:rPr>
          <w:rFonts w:asciiTheme="minorHAnsi" w:eastAsiaTheme="minorEastAsia" w:hAnsiTheme="minorHAnsi" w:cstheme="minorBidi"/>
          <w:noProof/>
          <w:lang w:val="en-US"/>
        </w:rPr>
      </w:pPr>
      <w:hyperlink w:anchor="_Toc90725849" w:history="1">
        <w:r w:rsidR="004E2DCB" w:rsidRPr="00FE5E7F">
          <w:rPr>
            <w:rStyle w:val="Hyperlink"/>
            <w:noProof/>
          </w:rPr>
          <w:t>2.2</w:t>
        </w:r>
        <w:r w:rsidR="004E2DCB">
          <w:rPr>
            <w:rFonts w:asciiTheme="minorHAnsi" w:eastAsiaTheme="minorEastAsia" w:hAnsiTheme="minorHAnsi" w:cstheme="minorBidi"/>
            <w:noProof/>
            <w:lang w:val="en-US"/>
          </w:rPr>
          <w:tab/>
        </w:r>
        <w:r w:rsidR="004E2DCB" w:rsidRPr="00FE5E7F">
          <w:rPr>
            <w:rStyle w:val="Hyperlink"/>
            <w:noProof/>
          </w:rPr>
          <w:t>Renewable energy production and auxiliary services</w:t>
        </w:r>
        <w:r w:rsidR="004E2DCB">
          <w:rPr>
            <w:noProof/>
            <w:webHidden/>
          </w:rPr>
          <w:tab/>
        </w:r>
        <w:r w:rsidR="004E2DCB">
          <w:rPr>
            <w:noProof/>
            <w:webHidden/>
          </w:rPr>
          <w:fldChar w:fldCharType="begin"/>
        </w:r>
        <w:r w:rsidR="004E2DCB">
          <w:rPr>
            <w:noProof/>
            <w:webHidden/>
          </w:rPr>
          <w:instrText xml:space="preserve"> PAGEREF _Toc90725849 \h </w:instrText>
        </w:r>
        <w:r w:rsidR="004E2DCB">
          <w:rPr>
            <w:noProof/>
            <w:webHidden/>
          </w:rPr>
        </w:r>
        <w:r w:rsidR="004E2DCB">
          <w:rPr>
            <w:noProof/>
            <w:webHidden/>
          </w:rPr>
          <w:fldChar w:fldCharType="separate"/>
        </w:r>
        <w:r w:rsidR="004E2DCB">
          <w:rPr>
            <w:noProof/>
            <w:webHidden/>
          </w:rPr>
          <w:t>19</w:t>
        </w:r>
        <w:r w:rsidR="004E2DCB">
          <w:rPr>
            <w:noProof/>
            <w:webHidden/>
          </w:rPr>
          <w:fldChar w:fldCharType="end"/>
        </w:r>
      </w:hyperlink>
    </w:p>
    <w:p w14:paraId="49FEE0FD" w14:textId="317C97D8" w:rsidR="004E2DCB" w:rsidRDefault="000B273D">
      <w:pPr>
        <w:pStyle w:val="TOC2"/>
        <w:rPr>
          <w:rFonts w:asciiTheme="minorHAnsi" w:eastAsiaTheme="minorEastAsia" w:hAnsiTheme="minorHAnsi" w:cstheme="minorBidi"/>
          <w:noProof/>
          <w:lang w:val="en-US"/>
        </w:rPr>
      </w:pPr>
      <w:hyperlink w:anchor="_Toc90725850" w:history="1">
        <w:r w:rsidR="004E2DCB" w:rsidRPr="00FE5E7F">
          <w:rPr>
            <w:rStyle w:val="Hyperlink"/>
            <w:noProof/>
          </w:rPr>
          <w:t>2.3</w:t>
        </w:r>
        <w:r w:rsidR="004E2DCB">
          <w:rPr>
            <w:rFonts w:asciiTheme="minorHAnsi" w:eastAsiaTheme="minorEastAsia" w:hAnsiTheme="minorHAnsi" w:cstheme="minorBidi"/>
            <w:noProof/>
            <w:lang w:val="en-US"/>
          </w:rPr>
          <w:tab/>
        </w:r>
        <w:r w:rsidR="004E2DCB" w:rsidRPr="00FE5E7F">
          <w:rPr>
            <w:rStyle w:val="Hyperlink"/>
            <w:noProof/>
          </w:rPr>
          <w:t>ETS support potential in the framework of the JTF</w:t>
        </w:r>
        <w:r w:rsidR="004E2DCB">
          <w:rPr>
            <w:noProof/>
            <w:webHidden/>
          </w:rPr>
          <w:tab/>
        </w:r>
        <w:r w:rsidR="004E2DCB">
          <w:rPr>
            <w:noProof/>
            <w:webHidden/>
          </w:rPr>
          <w:fldChar w:fldCharType="begin"/>
        </w:r>
        <w:r w:rsidR="004E2DCB">
          <w:rPr>
            <w:noProof/>
            <w:webHidden/>
          </w:rPr>
          <w:instrText xml:space="preserve"> PAGEREF _Toc90725850 \h </w:instrText>
        </w:r>
        <w:r w:rsidR="004E2DCB">
          <w:rPr>
            <w:noProof/>
            <w:webHidden/>
          </w:rPr>
        </w:r>
        <w:r w:rsidR="004E2DCB">
          <w:rPr>
            <w:noProof/>
            <w:webHidden/>
          </w:rPr>
          <w:fldChar w:fldCharType="separate"/>
        </w:r>
        <w:r w:rsidR="004E2DCB">
          <w:rPr>
            <w:noProof/>
            <w:webHidden/>
          </w:rPr>
          <w:t>22</w:t>
        </w:r>
        <w:r w:rsidR="004E2DCB">
          <w:rPr>
            <w:noProof/>
            <w:webHidden/>
          </w:rPr>
          <w:fldChar w:fldCharType="end"/>
        </w:r>
      </w:hyperlink>
    </w:p>
    <w:p w14:paraId="520A1A62" w14:textId="3C87F75D" w:rsidR="004E2DCB" w:rsidRDefault="000B273D">
      <w:pPr>
        <w:pStyle w:val="TOC2"/>
        <w:rPr>
          <w:rFonts w:asciiTheme="minorHAnsi" w:eastAsiaTheme="minorEastAsia" w:hAnsiTheme="minorHAnsi" w:cstheme="minorBidi"/>
          <w:noProof/>
          <w:lang w:val="en-US"/>
        </w:rPr>
      </w:pPr>
      <w:hyperlink w:anchor="_Toc90725851" w:history="1">
        <w:r w:rsidR="004E2DCB" w:rsidRPr="00FE5E7F">
          <w:rPr>
            <w:rStyle w:val="Hyperlink"/>
            <w:noProof/>
          </w:rPr>
          <w:t>2.4</w:t>
        </w:r>
        <w:r w:rsidR="004E2DCB">
          <w:rPr>
            <w:rFonts w:asciiTheme="minorHAnsi" w:eastAsiaTheme="minorEastAsia" w:hAnsiTheme="minorHAnsi" w:cstheme="minorBidi"/>
            <w:noProof/>
            <w:lang w:val="en-US"/>
          </w:rPr>
          <w:tab/>
        </w:r>
        <w:r w:rsidR="004E2DCB" w:rsidRPr="00FE5E7F">
          <w:rPr>
            <w:rStyle w:val="Hyperlink"/>
            <w:noProof/>
          </w:rPr>
          <w:t>Energy poverty, energy efficiency in buildings and district heating</w:t>
        </w:r>
        <w:r w:rsidR="004E2DCB">
          <w:rPr>
            <w:noProof/>
            <w:webHidden/>
          </w:rPr>
          <w:tab/>
        </w:r>
        <w:r w:rsidR="004E2DCB">
          <w:rPr>
            <w:noProof/>
            <w:webHidden/>
          </w:rPr>
          <w:fldChar w:fldCharType="begin"/>
        </w:r>
        <w:r w:rsidR="004E2DCB">
          <w:rPr>
            <w:noProof/>
            <w:webHidden/>
          </w:rPr>
          <w:instrText xml:space="preserve"> PAGEREF _Toc90725851 \h </w:instrText>
        </w:r>
        <w:r w:rsidR="004E2DCB">
          <w:rPr>
            <w:noProof/>
            <w:webHidden/>
          </w:rPr>
        </w:r>
        <w:r w:rsidR="004E2DCB">
          <w:rPr>
            <w:noProof/>
            <w:webHidden/>
          </w:rPr>
          <w:fldChar w:fldCharType="separate"/>
        </w:r>
        <w:r w:rsidR="004E2DCB">
          <w:rPr>
            <w:noProof/>
            <w:webHidden/>
          </w:rPr>
          <w:t>29</w:t>
        </w:r>
        <w:r w:rsidR="004E2DCB">
          <w:rPr>
            <w:noProof/>
            <w:webHidden/>
          </w:rPr>
          <w:fldChar w:fldCharType="end"/>
        </w:r>
      </w:hyperlink>
    </w:p>
    <w:p w14:paraId="68A2FE96" w14:textId="739BC0F8" w:rsidR="004E2DCB" w:rsidRDefault="000B273D">
      <w:pPr>
        <w:pStyle w:val="TOC2"/>
        <w:rPr>
          <w:rFonts w:asciiTheme="minorHAnsi" w:eastAsiaTheme="minorEastAsia" w:hAnsiTheme="minorHAnsi" w:cstheme="minorBidi"/>
          <w:noProof/>
          <w:lang w:val="en-US"/>
        </w:rPr>
      </w:pPr>
      <w:hyperlink w:anchor="_Toc90725852" w:history="1">
        <w:r w:rsidR="004E2DCB" w:rsidRPr="00FE5E7F">
          <w:rPr>
            <w:rStyle w:val="Hyperlink"/>
            <w:noProof/>
          </w:rPr>
          <w:t>2.5</w:t>
        </w:r>
        <w:r w:rsidR="004E2DCB">
          <w:rPr>
            <w:rFonts w:asciiTheme="minorHAnsi" w:eastAsiaTheme="minorEastAsia" w:hAnsiTheme="minorHAnsi" w:cstheme="minorBidi"/>
            <w:noProof/>
            <w:lang w:val="en-US"/>
          </w:rPr>
          <w:tab/>
        </w:r>
        <w:r w:rsidR="004E2DCB" w:rsidRPr="00FE5E7F">
          <w:rPr>
            <w:rStyle w:val="Hyperlink"/>
            <w:noProof/>
          </w:rPr>
          <w:t>Tourism support potential in the framework of the JTF</w:t>
        </w:r>
        <w:r w:rsidR="004E2DCB">
          <w:rPr>
            <w:noProof/>
            <w:webHidden/>
          </w:rPr>
          <w:tab/>
        </w:r>
        <w:r w:rsidR="004E2DCB">
          <w:rPr>
            <w:noProof/>
            <w:webHidden/>
          </w:rPr>
          <w:fldChar w:fldCharType="begin"/>
        </w:r>
        <w:r w:rsidR="004E2DCB">
          <w:rPr>
            <w:noProof/>
            <w:webHidden/>
          </w:rPr>
          <w:instrText xml:space="preserve"> PAGEREF _Toc90725852 \h </w:instrText>
        </w:r>
        <w:r w:rsidR="004E2DCB">
          <w:rPr>
            <w:noProof/>
            <w:webHidden/>
          </w:rPr>
        </w:r>
        <w:r w:rsidR="004E2DCB">
          <w:rPr>
            <w:noProof/>
            <w:webHidden/>
          </w:rPr>
          <w:fldChar w:fldCharType="separate"/>
        </w:r>
        <w:r w:rsidR="004E2DCB">
          <w:rPr>
            <w:noProof/>
            <w:webHidden/>
          </w:rPr>
          <w:t>41</w:t>
        </w:r>
        <w:r w:rsidR="004E2DCB">
          <w:rPr>
            <w:noProof/>
            <w:webHidden/>
          </w:rPr>
          <w:fldChar w:fldCharType="end"/>
        </w:r>
      </w:hyperlink>
    </w:p>
    <w:p w14:paraId="500DAA4A" w14:textId="5538CC45" w:rsidR="004E2DCB" w:rsidRDefault="000B273D">
      <w:pPr>
        <w:pStyle w:val="TOC2"/>
        <w:rPr>
          <w:rFonts w:asciiTheme="minorHAnsi" w:eastAsiaTheme="minorEastAsia" w:hAnsiTheme="minorHAnsi" w:cstheme="minorBidi"/>
          <w:noProof/>
          <w:lang w:val="en-US"/>
        </w:rPr>
      </w:pPr>
      <w:hyperlink w:anchor="_Toc90725853" w:history="1">
        <w:r w:rsidR="004E2DCB" w:rsidRPr="00FE5E7F">
          <w:rPr>
            <w:rStyle w:val="Hyperlink"/>
            <w:noProof/>
          </w:rPr>
          <w:t>2.6</w:t>
        </w:r>
        <w:r w:rsidR="004E2DCB">
          <w:rPr>
            <w:rFonts w:asciiTheme="minorHAnsi" w:eastAsiaTheme="minorEastAsia" w:hAnsiTheme="minorHAnsi" w:cstheme="minorBidi"/>
            <w:noProof/>
            <w:lang w:val="en-US"/>
          </w:rPr>
          <w:tab/>
        </w:r>
        <w:r w:rsidR="004E2DCB" w:rsidRPr="00FE5E7F">
          <w:rPr>
            <w:rStyle w:val="Hyperlink"/>
            <w:noProof/>
          </w:rPr>
          <w:t>Description and brief analysis of large enterprises</w:t>
        </w:r>
        <w:r w:rsidR="004E2DCB">
          <w:rPr>
            <w:noProof/>
            <w:webHidden/>
          </w:rPr>
          <w:tab/>
        </w:r>
        <w:r w:rsidR="004E2DCB">
          <w:rPr>
            <w:noProof/>
            <w:webHidden/>
          </w:rPr>
          <w:fldChar w:fldCharType="begin"/>
        </w:r>
        <w:r w:rsidR="004E2DCB">
          <w:rPr>
            <w:noProof/>
            <w:webHidden/>
          </w:rPr>
          <w:instrText xml:space="preserve"> PAGEREF _Toc90725853 \h </w:instrText>
        </w:r>
        <w:r w:rsidR="004E2DCB">
          <w:rPr>
            <w:noProof/>
            <w:webHidden/>
          </w:rPr>
        </w:r>
        <w:r w:rsidR="004E2DCB">
          <w:rPr>
            <w:noProof/>
            <w:webHidden/>
          </w:rPr>
          <w:fldChar w:fldCharType="separate"/>
        </w:r>
        <w:r w:rsidR="004E2DCB">
          <w:rPr>
            <w:noProof/>
            <w:webHidden/>
          </w:rPr>
          <w:t>42</w:t>
        </w:r>
        <w:r w:rsidR="004E2DCB">
          <w:rPr>
            <w:noProof/>
            <w:webHidden/>
          </w:rPr>
          <w:fldChar w:fldCharType="end"/>
        </w:r>
      </w:hyperlink>
    </w:p>
    <w:p w14:paraId="374AC501" w14:textId="4F1D5C31" w:rsidR="004E2DCB" w:rsidRDefault="000B273D">
      <w:pPr>
        <w:pStyle w:val="TOC2"/>
        <w:rPr>
          <w:rFonts w:asciiTheme="minorHAnsi" w:eastAsiaTheme="minorEastAsia" w:hAnsiTheme="minorHAnsi" w:cstheme="minorBidi"/>
          <w:noProof/>
          <w:lang w:val="en-US"/>
        </w:rPr>
      </w:pPr>
      <w:hyperlink w:anchor="_Toc90725854" w:history="1">
        <w:r w:rsidR="004E2DCB" w:rsidRPr="00FE5E7F">
          <w:rPr>
            <w:rStyle w:val="Hyperlink"/>
            <w:noProof/>
          </w:rPr>
          <w:t>2.7</w:t>
        </w:r>
        <w:r w:rsidR="004E2DCB">
          <w:rPr>
            <w:rFonts w:asciiTheme="minorHAnsi" w:eastAsiaTheme="minorEastAsia" w:hAnsiTheme="minorHAnsi" w:cstheme="minorBidi"/>
            <w:noProof/>
            <w:lang w:val="en-US"/>
          </w:rPr>
          <w:tab/>
        </w:r>
        <w:r w:rsidR="004E2DCB" w:rsidRPr="00FE5E7F">
          <w:rPr>
            <w:rStyle w:val="Hyperlink"/>
            <w:noProof/>
          </w:rPr>
          <w:t>Challenges related to skills mismatch in the affected regions</w:t>
        </w:r>
        <w:r w:rsidR="004E2DCB">
          <w:rPr>
            <w:noProof/>
            <w:webHidden/>
          </w:rPr>
          <w:tab/>
        </w:r>
        <w:r w:rsidR="004E2DCB">
          <w:rPr>
            <w:noProof/>
            <w:webHidden/>
          </w:rPr>
          <w:fldChar w:fldCharType="begin"/>
        </w:r>
        <w:r w:rsidR="004E2DCB">
          <w:rPr>
            <w:noProof/>
            <w:webHidden/>
          </w:rPr>
          <w:instrText xml:space="preserve"> PAGEREF _Toc90725854 \h </w:instrText>
        </w:r>
        <w:r w:rsidR="004E2DCB">
          <w:rPr>
            <w:noProof/>
            <w:webHidden/>
          </w:rPr>
        </w:r>
        <w:r w:rsidR="004E2DCB">
          <w:rPr>
            <w:noProof/>
            <w:webHidden/>
          </w:rPr>
          <w:fldChar w:fldCharType="separate"/>
        </w:r>
        <w:r w:rsidR="004E2DCB">
          <w:rPr>
            <w:noProof/>
            <w:webHidden/>
          </w:rPr>
          <w:t>45</w:t>
        </w:r>
        <w:r w:rsidR="004E2DCB">
          <w:rPr>
            <w:noProof/>
            <w:webHidden/>
          </w:rPr>
          <w:fldChar w:fldCharType="end"/>
        </w:r>
      </w:hyperlink>
    </w:p>
    <w:p w14:paraId="4A749553" w14:textId="6080733E" w:rsidR="004E2DCB" w:rsidRDefault="000B273D">
      <w:pPr>
        <w:pStyle w:val="TOC2"/>
        <w:rPr>
          <w:rFonts w:asciiTheme="minorHAnsi" w:eastAsiaTheme="minorEastAsia" w:hAnsiTheme="minorHAnsi" w:cstheme="minorBidi"/>
          <w:noProof/>
          <w:lang w:val="en-US"/>
        </w:rPr>
      </w:pPr>
      <w:hyperlink w:anchor="_Toc90725855" w:history="1">
        <w:r w:rsidR="004E2DCB" w:rsidRPr="00FE5E7F">
          <w:rPr>
            <w:rStyle w:val="Hyperlink"/>
            <w:noProof/>
          </w:rPr>
          <w:t>2.8</w:t>
        </w:r>
        <w:r w:rsidR="004E2DCB">
          <w:rPr>
            <w:rFonts w:asciiTheme="minorHAnsi" w:eastAsiaTheme="minorEastAsia" w:hAnsiTheme="minorHAnsi" w:cstheme="minorBidi"/>
            <w:noProof/>
            <w:lang w:val="en-US"/>
          </w:rPr>
          <w:tab/>
        </w:r>
        <w:r w:rsidR="004E2DCB" w:rsidRPr="00FE5E7F">
          <w:rPr>
            <w:rStyle w:val="Hyperlink"/>
            <w:noProof/>
          </w:rPr>
          <w:t>Modelled knockon effects of different expenditure scenarios</w:t>
        </w:r>
        <w:r w:rsidR="004E2DCB">
          <w:rPr>
            <w:noProof/>
            <w:webHidden/>
          </w:rPr>
          <w:tab/>
        </w:r>
        <w:r w:rsidR="004E2DCB">
          <w:rPr>
            <w:noProof/>
            <w:webHidden/>
          </w:rPr>
          <w:fldChar w:fldCharType="begin"/>
        </w:r>
        <w:r w:rsidR="004E2DCB">
          <w:rPr>
            <w:noProof/>
            <w:webHidden/>
          </w:rPr>
          <w:instrText xml:space="preserve"> PAGEREF _Toc90725855 \h </w:instrText>
        </w:r>
        <w:r w:rsidR="004E2DCB">
          <w:rPr>
            <w:noProof/>
            <w:webHidden/>
          </w:rPr>
        </w:r>
        <w:r w:rsidR="004E2DCB">
          <w:rPr>
            <w:noProof/>
            <w:webHidden/>
          </w:rPr>
          <w:fldChar w:fldCharType="separate"/>
        </w:r>
        <w:r w:rsidR="004E2DCB">
          <w:rPr>
            <w:noProof/>
            <w:webHidden/>
          </w:rPr>
          <w:t>49</w:t>
        </w:r>
        <w:r w:rsidR="004E2DCB">
          <w:rPr>
            <w:noProof/>
            <w:webHidden/>
          </w:rPr>
          <w:fldChar w:fldCharType="end"/>
        </w:r>
      </w:hyperlink>
    </w:p>
    <w:p w14:paraId="75916272" w14:textId="21842369" w:rsidR="004E2DCB" w:rsidRDefault="000B273D">
      <w:pPr>
        <w:pStyle w:val="TOC1"/>
        <w:rPr>
          <w:rFonts w:asciiTheme="minorHAnsi" w:eastAsiaTheme="minorEastAsia" w:hAnsiTheme="minorHAnsi" w:cstheme="minorBidi"/>
          <w:b w:val="0"/>
          <w:lang w:val="en-US"/>
        </w:rPr>
      </w:pPr>
      <w:hyperlink w:anchor="_Toc90725856" w:history="1">
        <w:r w:rsidR="004E2DCB" w:rsidRPr="00FE5E7F">
          <w:rPr>
            <w:rStyle w:val="Hyperlink"/>
          </w:rPr>
          <w:t>3</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Hunedoara County</w:t>
        </w:r>
        <w:r w:rsidR="004E2DCB">
          <w:rPr>
            <w:webHidden/>
          </w:rPr>
          <w:tab/>
        </w:r>
        <w:r w:rsidR="004E2DCB">
          <w:rPr>
            <w:webHidden/>
          </w:rPr>
          <w:fldChar w:fldCharType="begin"/>
        </w:r>
        <w:r w:rsidR="004E2DCB">
          <w:rPr>
            <w:webHidden/>
          </w:rPr>
          <w:instrText xml:space="preserve"> PAGEREF _Toc90725856 \h </w:instrText>
        </w:r>
        <w:r w:rsidR="004E2DCB">
          <w:rPr>
            <w:webHidden/>
          </w:rPr>
        </w:r>
        <w:r w:rsidR="004E2DCB">
          <w:rPr>
            <w:webHidden/>
          </w:rPr>
          <w:fldChar w:fldCharType="separate"/>
        </w:r>
        <w:r w:rsidR="004E2DCB">
          <w:rPr>
            <w:webHidden/>
          </w:rPr>
          <w:t>55</w:t>
        </w:r>
        <w:r w:rsidR="004E2DCB">
          <w:rPr>
            <w:webHidden/>
          </w:rPr>
          <w:fldChar w:fldCharType="end"/>
        </w:r>
      </w:hyperlink>
    </w:p>
    <w:p w14:paraId="657AB2B0" w14:textId="32317FF9" w:rsidR="004E2DCB" w:rsidRDefault="000B273D">
      <w:pPr>
        <w:pStyle w:val="TOC2"/>
        <w:rPr>
          <w:rFonts w:asciiTheme="minorHAnsi" w:eastAsiaTheme="minorEastAsia" w:hAnsiTheme="minorHAnsi" w:cstheme="minorBidi"/>
          <w:noProof/>
          <w:lang w:val="en-US"/>
        </w:rPr>
      </w:pPr>
      <w:hyperlink w:anchor="_Toc90725857" w:history="1">
        <w:r w:rsidR="004E2DCB" w:rsidRPr="00FE5E7F">
          <w:rPr>
            <w:rStyle w:val="Hyperlink"/>
            <w:noProof/>
          </w:rPr>
          <w:t>3.1</w:t>
        </w:r>
        <w:r w:rsidR="004E2DCB">
          <w:rPr>
            <w:rFonts w:asciiTheme="minorHAnsi" w:eastAsiaTheme="minorEastAsia" w:hAnsiTheme="minorHAnsi" w:cstheme="minorBidi"/>
            <w:noProof/>
            <w:lang w:val="en-US"/>
          </w:rPr>
          <w:tab/>
        </w:r>
        <w:r w:rsidR="004E2DCB" w:rsidRPr="00FE5E7F">
          <w:rPr>
            <w:rStyle w:val="Hyperlink"/>
            <w:noProof/>
          </w:rPr>
          <w:t>Logic of the intervention for Hunedoara County</w:t>
        </w:r>
        <w:r w:rsidR="004E2DCB">
          <w:rPr>
            <w:noProof/>
            <w:webHidden/>
          </w:rPr>
          <w:tab/>
        </w:r>
        <w:r w:rsidR="004E2DCB">
          <w:rPr>
            <w:noProof/>
            <w:webHidden/>
          </w:rPr>
          <w:fldChar w:fldCharType="begin"/>
        </w:r>
        <w:r w:rsidR="004E2DCB">
          <w:rPr>
            <w:noProof/>
            <w:webHidden/>
          </w:rPr>
          <w:instrText xml:space="preserve"> PAGEREF _Toc90725857 \h </w:instrText>
        </w:r>
        <w:r w:rsidR="004E2DCB">
          <w:rPr>
            <w:noProof/>
            <w:webHidden/>
          </w:rPr>
        </w:r>
        <w:r w:rsidR="004E2DCB">
          <w:rPr>
            <w:noProof/>
            <w:webHidden/>
          </w:rPr>
          <w:fldChar w:fldCharType="separate"/>
        </w:r>
        <w:r w:rsidR="004E2DCB">
          <w:rPr>
            <w:noProof/>
            <w:webHidden/>
          </w:rPr>
          <w:t>55</w:t>
        </w:r>
        <w:r w:rsidR="004E2DCB">
          <w:rPr>
            <w:noProof/>
            <w:webHidden/>
          </w:rPr>
          <w:fldChar w:fldCharType="end"/>
        </w:r>
      </w:hyperlink>
    </w:p>
    <w:p w14:paraId="2F25ECC5" w14:textId="39226EEC" w:rsidR="004E2DCB" w:rsidRDefault="000B273D">
      <w:pPr>
        <w:pStyle w:val="TOC2"/>
        <w:rPr>
          <w:rFonts w:asciiTheme="minorHAnsi" w:eastAsiaTheme="minorEastAsia" w:hAnsiTheme="minorHAnsi" w:cstheme="minorBidi"/>
          <w:noProof/>
          <w:lang w:val="en-US"/>
        </w:rPr>
      </w:pPr>
      <w:hyperlink w:anchor="_Toc90725858" w:history="1">
        <w:r w:rsidR="004E2DCB" w:rsidRPr="00FE5E7F">
          <w:rPr>
            <w:rStyle w:val="Hyperlink"/>
            <w:noProof/>
          </w:rPr>
          <w:t>3.2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_Toc90725858 \h </w:instrText>
        </w:r>
        <w:r w:rsidR="004E2DCB">
          <w:rPr>
            <w:noProof/>
            <w:webHidden/>
          </w:rPr>
        </w:r>
        <w:r w:rsidR="004E2DCB">
          <w:rPr>
            <w:noProof/>
            <w:webHidden/>
          </w:rPr>
          <w:fldChar w:fldCharType="separate"/>
        </w:r>
        <w:r w:rsidR="004E2DCB">
          <w:rPr>
            <w:noProof/>
            <w:webHidden/>
          </w:rPr>
          <w:t>57</w:t>
        </w:r>
        <w:r w:rsidR="004E2DCB">
          <w:rPr>
            <w:noProof/>
            <w:webHidden/>
          </w:rPr>
          <w:fldChar w:fldCharType="end"/>
        </w:r>
      </w:hyperlink>
    </w:p>
    <w:p w14:paraId="5CF90B72" w14:textId="0AE87B56" w:rsidR="004E2DCB" w:rsidRDefault="000B273D">
      <w:pPr>
        <w:pStyle w:val="TOC2"/>
        <w:rPr>
          <w:rFonts w:asciiTheme="minorHAnsi" w:eastAsiaTheme="minorEastAsia" w:hAnsiTheme="minorHAnsi" w:cstheme="minorBidi"/>
          <w:noProof/>
          <w:lang w:val="en-US"/>
        </w:rPr>
      </w:pPr>
      <w:hyperlink w:anchor="_Toc90725859" w:history="1">
        <w:r w:rsidR="004E2DCB" w:rsidRPr="00FE5E7F">
          <w:rPr>
            <w:rStyle w:val="Hyperlink"/>
            <w:noProof/>
          </w:rPr>
          <w:t>3.3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_Toc90725859 \h </w:instrText>
        </w:r>
        <w:r w:rsidR="004E2DCB">
          <w:rPr>
            <w:noProof/>
            <w:webHidden/>
          </w:rPr>
        </w:r>
        <w:r w:rsidR="004E2DCB">
          <w:rPr>
            <w:noProof/>
            <w:webHidden/>
          </w:rPr>
          <w:fldChar w:fldCharType="separate"/>
        </w:r>
        <w:r w:rsidR="004E2DCB">
          <w:rPr>
            <w:noProof/>
            <w:webHidden/>
          </w:rPr>
          <w:t>69</w:t>
        </w:r>
        <w:r w:rsidR="004E2DCB">
          <w:rPr>
            <w:noProof/>
            <w:webHidden/>
          </w:rPr>
          <w:fldChar w:fldCharType="end"/>
        </w:r>
      </w:hyperlink>
    </w:p>
    <w:p w14:paraId="5938F200" w14:textId="38B5E92C" w:rsidR="004E2DCB" w:rsidRDefault="000B273D">
      <w:pPr>
        <w:pStyle w:val="TOC2"/>
        <w:rPr>
          <w:rFonts w:asciiTheme="minorHAnsi" w:eastAsiaTheme="minorEastAsia" w:hAnsiTheme="minorHAnsi" w:cstheme="minorBidi"/>
          <w:noProof/>
          <w:lang w:val="en-US"/>
        </w:rPr>
      </w:pPr>
      <w:hyperlink w:anchor="_Toc90725860" w:history="1">
        <w:r w:rsidR="004E2DCB" w:rsidRPr="00FE5E7F">
          <w:rPr>
            <w:rStyle w:val="Hyperlink"/>
            <w:noProof/>
          </w:rPr>
          <w:t>3.4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Hunedoara County</w:t>
        </w:r>
        <w:r w:rsidR="004E2DCB">
          <w:rPr>
            <w:noProof/>
            <w:webHidden/>
          </w:rPr>
          <w:tab/>
        </w:r>
        <w:r w:rsidR="004E2DCB">
          <w:rPr>
            <w:noProof/>
            <w:webHidden/>
          </w:rPr>
          <w:fldChar w:fldCharType="begin"/>
        </w:r>
        <w:r w:rsidR="004E2DCB">
          <w:rPr>
            <w:noProof/>
            <w:webHidden/>
          </w:rPr>
          <w:instrText xml:space="preserve"> PAGEREF _Toc90725860 \h </w:instrText>
        </w:r>
        <w:r w:rsidR="004E2DCB">
          <w:rPr>
            <w:noProof/>
            <w:webHidden/>
          </w:rPr>
        </w:r>
        <w:r w:rsidR="004E2DCB">
          <w:rPr>
            <w:noProof/>
            <w:webHidden/>
          </w:rPr>
          <w:fldChar w:fldCharType="separate"/>
        </w:r>
        <w:r w:rsidR="004E2DCB">
          <w:rPr>
            <w:noProof/>
            <w:webHidden/>
          </w:rPr>
          <w:t>72</w:t>
        </w:r>
        <w:r w:rsidR="004E2DCB">
          <w:rPr>
            <w:noProof/>
            <w:webHidden/>
          </w:rPr>
          <w:fldChar w:fldCharType="end"/>
        </w:r>
      </w:hyperlink>
    </w:p>
    <w:p w14:paraId="78A8BED1" w14:textId="05A9F62F" w:rsidR="004E2DCB" w:rsidRDefault="000B273D">
      <w:pPr>
        <w:pStyle w:val="TOC2"/>
        <w:rPr>
          <w:rFonts w:asciiTheme="minorHAnsi" w:eastAsiaTheme="minorEastAsia" w:hAnsiTheme="minorHAnsi" w:cstheme="minorBidi"/>
          <w:noProof/>
          <w:lang w:val="en-US"/>
        </w:rPr>
      </w:pPr>
      <w:hyperlink w:anchor="_Toc90725861" w:history="1">
        <w:r w:rsidR="004E2DCB" w:rsidRPr="00FE5E7F">
          <w:rPr>
            <w:rStyle w:val="Hyperlink"/>
            <w:noProof/>
          </w:rPr>
          <w:t>3.5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Hunedoara County</w:t>
        </w:r>
        <w:r w:rsidR="004E2DCB">
          <w:rPr>
            <w:noProof/>
            <w:webHidden/>
          </w:rPr>
          <w:tab/>
        </w:r>
        <w:r w:rsidR="004E2DCB">
          <w:rPr>
            <w:noProof/>
            <w:webHidden/>
          </w:rPr>
          <w:fldChar w:fldCharType="begin"/>
        </w:r>
        <w:r w:rsidR="004E2DCB">
          <w:rPr>
            <w:noProof/>
            <w:webHidden/>
          </w:rPr>
          <w:instrText xml:space="preserve"> PAGEREF _Toc90725861 \h </w:instrText>
        </w:r>
        <w:r w:rsidR="004E2DCB">
          <w:rPr>
            <w:noProof/>
            <w:webHidden/>
          </w:rPr>
        </w:r>
        <w:r w:rsidR="004E2DCB">
          <w:rPr>
            <w:noProof/>
            <w:webHidden/>
          </w:rPr>
          <w:fldChar w:fldCharType="separate"/>
        </w:r>
        <w:r w:rsidR="004E2DCB">
          <w:rPr>
            <w:noProof/>
            <w:webHidden/>
          </w:rPr>
          <w:t>74</w:t>
        </w:r>
        <w:r w:rsidR="004E2DCB">
          <w:rPr>
            <w:noProof/>
            <w:webHidden/>
          </w:rPr>
          <w:fldChar w:fldCharType="end"/>
        </w:r>
      </w:hyperlink>
    </w:p>
    <w:p w14:paraId="7CAD4970" w14:textId="1377ADD2" w:rsidR="004E2DCB" w:rsidRDefault="000B273D">
      <w:pPr>
        <w:pStyle w:val="TOC2"/>
        <w:rPr>
          <w:rFonts w:asciiTheme="minorHAnsi" w:eastAsiaTheme="minorEastAsia" w:hAnsiTheme="minorHAnsi" w:cstheme="minorBidi"/>
          <w:noProof/>
          <w:lang w:val="en-US"/>
        </w:rPr>
      </w:pPr>
      <w:hyperlink w:anchor="_Toc90725862" w:history="1">
        <w:r w:rsidR="004E2DCB" w:rsidRPr="00FE5E7F">
          <w:rPr>
            <w:rStyle w:val="Hyperlink"/>
            <w:noProof/>
          </w:rPr>
          <w:t>3.6</w:t>
        </w:r>
        <w:r w:rsidR="004E2DCB">
          <w:rPr>
            <w:rFonts w:asciiTheme="minorHAnsi" w:eastAsiaTheme="minorEastAsia" w:hAnsiTheme="minorHAnsi" w:cstheme="minorBidi"/>
            <w:noProof/>
            <w:lang w:val="en-US"/>
          </w:rPr>
          <w:tab/>
        </w:r>
        <w:r w:rsidR="004E2DCB" w:rsidRPr="00FE5E7F">
          <w:rPr>
            <w:rStyle w:val="Hyperlink"/>
            <w:noProof/>
          </w:rPr>
          <w:t>Type of operations needed in Hunedoara County</w:t>
        </w:r>
        <w:r w:rsidR="004E2DCB">
          <w:rPr>
            <w:noProof/>
            <w:webHidden/>
          </w:rPr>
          <w:tab/>
        </w:r>
        <w:r w:rsidR="004E2DCB">
          <w:rPr>
            <w:noProof/>
            <w:webHidden/>
          </w:rPr>
          <w:fldChar w:fldCharType="begin"/>
        </w:r>
        <w:r w:rsidR="004E2DCB">
          <w:rPr>
            <w:noProof/>
            <w:webHidden/>
          </w:rPr>
          <w:instrText xml:space="preserve"> PAGEREF _Toc90725862 \h </w:instrText>
        </w:r>
        <w:r w:rsidR="004E2DCB">
          <w:rPr>
            <w:noProof/>
            <w:webHidden/>
          </w:rPr>
        </w:r>
        <w:r w:rsidR="004E2DCB">
          <w:rPr>
            <w:noProof/>
            <w:webHidden/>
          </w:rPr>
          <w:fldChar w:fldCharType="separate"/>
        </w:r>
        <w:r w:rsidR="004E2DCB">
          <w:rPr>
            <w:noProof/>
            <w:webHidden/>
          </w:rPr>
          <w:t>75</w:t>
        </w:r>
        <w:r w:rsidR="004E2DCB">
          <w:rPr>
            <w:noProof/>
            <w:webHidden/>
          </w:rPr>
          <w:fldChar w:fldCharType="end"/>
        </w:r>
      </w:hyperlink>
    </w:p>
    <w:p w14:paraId="1EE75516" w14:textId="00144F7C" w:rsidR="004E2DCB" w:rsidRDefault="000B273D">
      <w:pPr>
        <w:pStyle w:val="TOC2"/>
        <w:rPr>
          <w:rFonts w:asciiTheme="minorHAnsi" w:eastAsiaTheme="minorEastAsia" w:hAnsiTheme="minorHAnsi" w:cstheme="minorBidi"/>
          <w:noProof/>
          <w:lang w:val="en-US"/>
        </w:rPr>
      </w:pPr>
      <w:hyperlink w:anchor="_Toc90725863" w:history="1">
        <w:r w:rsidR="004E2DCB" w:rsidRPr="00FE5E7F">
          <w:rPr>
            <w:rStyle w:val="Hyperlink"/>
            <w:noProof/>
          </w:rPr>
          <w:t>3.7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_Toc90725863 \h </w:instrText>
        </w:r>
        <w:r w:rsidR="004E2DCB">
          <w:rPr>
            <w:noProof/>
            <w:webHidden/>
          </w:rPr>
        </w:r>
        <w:r w:rsidR="004E2DCB">
          <w:rPr>
            <w:noProof/>
            <w:webHidden/>
          </w:rPr>
          <w:fldChar w:fldCharType="separate"/>
        </w:r>
        <w:r w:rsidR="004E2DCB">
          <w:rPr>
            <w:noProof/>
            <w:webHidden/>
          </w:rPr>
          <w:t>81</w:t>
        </w:r>
        <w:r w:rsidR="004E2DCB">
          <w:rPr>
            <w:noProof/>
            <w:webHidden/>
          </w:rPr>
          <w:fldChar w:fldCharType="end"/>
        </w:r>
      </w:hyperlink>
    </w:p>
    <w:p w14:paraId="2BB7E929" w14:textId="0131260E" w:rsidR="004E2DCB" w:rsidRDefault="000B273D">
      <w:pPr>
        <w:pStyle w:val="TOC2"/>
        <w:rPr>
          <w:rFonts w:asciiTheme="minorHAnsi" w:eastAsiaTheme="minorEastAsia" w:hAnsiTheme="minorHAnsi" w:cstheme="minorBidi"/>
          <w:noProof/>
          <w:lang w:val="en-US"/>
        </w:rPr>
      </w:pPr>
      <w:hyperlink w:anchor="_Toc90725864" w:history="1">
        <w:r w:rsidR="004E2DCB" w:rsidRPr="00FE5E7F">
          <w:rPr>
            <w:rStyle w:val="Hyperlink"/>
            <w:noProof/>
          </w:rPr>
          <w:t>3.8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_Toc90725864 \h </w:instrText>
        </w:r>
        <w:r w:rsidR="004E2DCB">
          <w:rPr>
            <w:noProof/>
            <w:webHidden/>
          </w:rPr>
        </w:r>
        <w:r w:rsidR="004E2DCB">
          <w:rPr>
            <w:noProof/>
            <w:webHidden/>
          </w:rPr>
          <w:fldChar w:fldCharType="separate"/>
        </w:r>
        <w:r w:rsidR="004E2DCB">
          <w:rPr>
            <w:noProof/>
            <w:webHidden/>
          </w:rPr>
          <w:t>83</w:t>
        </w:r>
        <w:r w:rsidR="004E2DCB">
          <w:rPr>
            <w:noProof/>
            <w:webHidden/>
          </w:rPr>
          <w:fldChar w:fldCharType="end"/>
        </w:r>
      </w:hyperlink>
    </w:p>
    <w:p w14:paraId="49789E43" w14:textId="58122178" w:rsidR="004E2DCB" w:rsidRDefault="000B273D">
      <w:pPr>
        <w:pStyle w:val="TOC1"/>
        <w:rPr>
          <w:rFonts w:asciiTheme="minorHAnsi" w:eastAsiaTheme="minorEastAsia" w:hAnsiTheme="minorHAnsi" w:cstheme="minorBidi"/>
          <w:b w:val="0"/>
          <w:lang w:val="en-US"/>
        </w:rPr>
      </w:pPr>
      <w:hyperlink w:anchor="_Toc90725865" w:history="1">
        <w:r w:rsidR="004E2DCB" w:rsidRPr="00FE5E7F">
          <w:rPr>
            <w:rStyle w:val="Hyperlink"/>
          </w:rPr>
          <w:t>4</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Dolj County</w:t>
        </w:r>
        <w:r w:rsidR="004E2DCB">
          <w:rPr>
            <w:webHidden/>
          </w:rPr>
          <w:tab/>
        </w:r>
        <w:r w:rsidR="004E2DCB">
          <w:rPr>
            <w:webHidden/>
          </w:rPr>
          <w:fldChar w:fldCharType="begin"/>
        </w:r>
        <w:r w:rsidR="004E2DCB">
          <w:rPr>
            <w:webHidden/>
          </w:rPr>
          <w:instrText xml:space="preserve"> PAGEREF _Toc90725865 \h </w:instrText>
        </w:r>
        <w:r w:rsidR="004E2DCB">
          <w:rPr>
            <w:webHidden/>
          </w:rPr>
        </w:r>
        <w:r w:rsidR="004E2DCB">
          <w:rPr>
            <w:webHidden/>
          </w:rPr>
          <w:fldChar w:fldCharType="separate"/>
        </w:r>
        <w:r w:rsidR="004E2DCB">
          <w:rPr>
            <w:webHidden/>
          </w:rPr>
          <w:t>89</w:t>
        </w:r>
        <w:r w:rsidR="004E2DCB">
          <w:rPr>
            <w:webHidden/>
          </w:rPr>
          <w:fldChar w:fldCharType="end"/>
        </w:r>
      </w:hyperlink>
    </w:p>
    <w:p w14:paraId="335C5E69" w14:textId="3E43F4EE" w:rsidR="004E2DCB" w:rsidRDefault="000B273D">
      <w:pPr>
        <w:pStyle w:val="TOC2"/>
        <w:rPr>
          <w:rFonts w:asciiTheme="minorHAnsi" w:eastAsiaTheme="minorEastAsia" w:hAnsiTheme="minorHAnsi" w:cstheme="minorBidi"/>
          <w:noProof/>
          <w:lang w:val="en-US"/>
        </w:rPr>
      </w:pPr>
      <w:hyperlink w:anchor="_Toc90725866" w:history="1">
        <w:r w:rsidR="004E2DCB" w:rsidRPr="00FE5E7F">
          <w:rPr>
            <w:rStyle w:val="Hyperlink"/>
            <w:noProof/>
          </w:rPr>
          <w:t>4.1</w:t>
        </w:r>
        <w:r w:rsidR="004E2DCB">
          <w:rPr>
            <w:rFonts w:asciiTheme="minorHAnsi" w:eastAsiaTheme="minorEastAsia" w:hAnsiTheme="minorHAnsi" w:cstheme="minorBidi"/>
            <w:noProof/>
            <w:lang w:val="en-US"/>
          </w:rPr>
          <w:tab/>
        </w:r>
        <w:r w:rsidR="004E2DCB" w:rsidRPr="00FE5E7F">
          <w:rPr>
            <w:rStyle w:val="Hyperlink"/>
            <w:noProof/>
          </w:rPr>
          <w:t>Logic of the intervention for Dolj County</w:t>
        </w:r>
        <w:r w:rsidR="004E2DCB">
          <w:rPr>
            <w:noProof/>
            <w:webHidden/>
          </w:rPr>
          <w:tab/>
        </w:r>
        <w:r w:rsidR="004E2DCB">
          <w:rPr>
            <w:noProof/>
            <w:webHidden/>
          </w:rPr>
          <w:fldChar w:fldCharType="begin"/>
        </w:r>
        <w:r w:rsidR="004E2DCB">
          <w:rPr>
            <w:noProof/>
            <w:webHidden/>
          </w:rPr>
          <w:instrText xml:space="preserve"> PAGEREF _Toc90725866 \h </w:instrText>
        </w:r>
        <w:r w:rsidR="004E2DCB">
          <w:rPr>
            <w:noProof/>
            <w:webHidden/>
          </w:rPr>
        </w:r>
        <w:r w:rsidR="004E2DCB">
          <w:rPr>
            <w:noProof/>
            <w:webHidden/>
          </w:rPr>
          <w:fldChar w:fldCharType="separate"/>
        </w:r>
        <w:r w:rsidR="004E2DCB">
          <w:rPr>
            <w:noProof/>
            <w:webHidden/>
          </w:rPr>
          <w:t>89</w:t>
        </w:r>
        <w:r w:rsidR="004E2DCB">
          <w:rPr>
            <w:noProof/>
            <w:webHidden/>
          </w:rPr>
          <w:fldChar w:fldCharType="end"/>
        </w:r>
      </w:hyperlink>
    </w:p>
    <w:p w14:paraId="799EB576" w14:textId="2731D656" w:rsidR="004E2DCB" w:rsidRDefault="000B273D">
      <w:pPr>
        <w:pStyle w:val="TOC2"/>
        <w:rPr>
          <w:rFonts w:asciiTheme="minorHAnsi" w:eastAsiaTheme="minorEastAsia" w:hAnsiTheme="minorHAnsi" w:cstheme="minorBidi"/>
          <w:noProof/>
          <w:lang w:val="en-US"/>
        </w:rPr>
      </w:pPr>
      <w:hyperlink w:anchor="_Toc90725867" w:history="1">
        <w:r w:rsidR="004E2DCB" w:rsidRPr="00FE5E7F">
          <w:rPr>
            <w:rStyle w:val="Hyperlink"/>
            <w:noProof/>
          </w:rPr>
          <w:t>4.2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_Toc90725867 \h </w:instrText>
        </w:r>
        <w:r w:rsidR="004E2DCB">
          <w:rPr>
            <w:noProof/>
            <w:webHidden/>
          </w:rPr>
        </w:r>
        <w:r w:rsidR="004E2DCB">
          <w:rPr>
            <w:noProof/>
            <w:webHidden/>
          </w:rPr>
          <w:fldChar w:fldCharType="separate"/>
        </w:r>
        <w:r w:rsidR="004E2DCB">
          <w:rPr>
            <w:noProof/>
            <w:webHidden/>
          </w:rPr>
          <w:t>91</w:t>
        </w:r>
        <w:r w:rsidR="004E2DCB">
          <w:rPr>
            <w:noProof/>
            <w:webHidden/>
          </w:rPr>
          <w:fldChar w:fldCharType="end"/>
        </w:r>
      </w:hyperlink>
    </w:p>
    <w:p w14:paraId="58A46F78" w14:textId="09E1657D" w:rsidR="004E2DCB" w:rsidRDefault="000B273D">
      <w:pPr>
        <w:pStyle w:val="TOC2"/>
        <w:rPr>
          <w:rFonts w:asciiTheme="minorHAnsi" w:eastAsiaTheme="minorEastAsia" w:hAnsiTheme="minorHAnsi" w:cstheme="minorBidi"/>
          <w:noProof/>
          <w:lang w:val="en-US"/>
        </w:rPr>
      </w:pPr>
      <w:hyperlink w:anchor="_Toc90725868" w:history="1">
        <w:r w:rsidR="004E2DCB" w:rsidRPr="00FE5E7F">
          <w:rPr>
            <w:rStyle w:val="Hyperlink"/>
            <w:noProof/>
          </w:rPr>
          <w:t>4.3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_Toc90725868 \h </w:instrText>
        </w:r>
        <w:r w:rsidR="004E2DCB">
          <w:rPr>
            <w:noProof/>
            <w:webHidden/>
          </w:rPr>
        </w:r>
        <w:r w:rsidR="004E2DCB">
          <w:rPr>
            <w:noProof/>
            <w:webHidden/>
          </w:rPr>
          <w:fldChar w:fldCharType="separate"/>
        </w:r>
        <w:r w:rsidR="004E2DCB">
          <w:rPr>
            <w:noProof/>
            <w:webHidden/>
          </w:rPr>
          <w:t>103</w:t>
        </w:r>
        <w:r w:rsidR="004E2DCB">
          <w:rPr>
            <w:noProof/>
            <w:webHidden/>
          </w:rPr>
          <w:fldChar w:fldCharType="end"/>
        </w:r>
      </w:hyperlink>
    </w:p>
    <w:p w14:paraId="37553552" w14:textId="4FF4D1A6" w:rsidR="004E2DCB" w:rsidRDefault="000B273D">
      <w:pPr>
        <w:pStyle w:val="TOC2"/>
        <w:rPr>
          <w:rFonts w:asciiTheme="minorHAnsi" w:eastAsiaTheme="minorEastAsia" w:hAnsiTheme="minorHAnsi" w:cstheme="minorBidi"/>
          <w:noProof/>
          <w:lang w:val="en-US"/>
        </w:rPr>
      </w:pPr>
      <w:hyperlink w:anchor="_Toc90725869" w:history="1">
        <w:r w:rsidR="004E2DCB" w:rsidRPr="00FE5E7F">
          <w:rPr>
            <w:rStyle w:val="Hyperlink"/>
            <w:noProof/>
          </w:rPr>
          <w:t>4.4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Dolj county</w:t>
        </w:r>
        <w:r w:rsidR="004E2DCB">
          <w:rPr>
            <w:noProof/>
            <w:webHidden/>
          </w:rPr>
          <w:tab/>
        </w:r>
        <w:r w:rsidR="004E2DCB">
          <w:rPr>
            <w:noProof/>
            <w:webHidden/>
          </w:rPr>
          <w:fldChar w:fldCharType="begin"/>
        </w:r>
        <w:r w:rsidR="004E2DCB">
          <w:rPr>
            <w:noProof/>
            <w:webHidden/>
          </w:rPr>
          <w:instrText xml:space="preserve"> PAGEREF _Toc90725869 \h </w:instrText>
        </w:r>
        <w:r w:rsidR="004E2DCB">
          <w:rPr>
            <w:noProof/>
            <w:webHidden/>
          </w:rPr>
        </w:r>
        <w:r w:rsidR="004E2DCB">
          <w:rPr>
            <w:noProof/>
            <w:webHidden/>
          </w:rPr>
          <w:fldChar w:fldCharType="separate"/>
        </w:r>
        <w:r w:rsidR="004E2DCB">
          <w:rPr>
            <w:noProof/>
            <w:webHidden/>
          </w:rPr>
          <w:t>105</w:t>
        </w:r>
        <w:r w:rsidR="004E2DCB">
          <w:rPr>
            <w:noProof/>
            <w:webHidden/>
          </w:rPr>
          <w:fldChar w:fldCharType="end"/>
        </w:r>
      </w:hyperlink>
    </w:p>
    <w:p w14:paraId="5AEB65C0" w14:textId="47B8C0C4" w:rsidR="004E2DCB" w:rsidRDefault="000B273D">
      <w:pPr>
        <w:pStyle w:val="TOC2"/>
        <w:rPr>
          <w:rFonts w:asciiTheme="minorHAnsi" w:eastAsiaTheme="minorEastAsia" w:hAnsiTheme="minorHAnsi" w:cstheme="minorBidi"/>
          <w:noProof/>
          <w:lang w:val="en-US"/>
        </w:rPr>
      </w:pPr>
      <w:hyperlink w:anchor="_Toc90725870" w:history="1">
        <w:r w:rsidR="004E2DCB" w:rsidRPr="00FE5E7F">
          <w:rPr>
            <w:rStyle w:val="Hyperlink"/>
            <w:noProof/>
          </w:rPr>
          <w:t>4.5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Dolj county</w:t>
        </w:r>
        <w:r w:rsidR="004E2DCB">
          <w:rPr>
            <w:noProof/>
            <w:webHidden/>
          </w:rPr>
          <w:tab/>
        </w:r>
        <w:r w:rsidR="004E2DCB">
          <w:rPr>
            <w:noProof/>
            <w:webHidden/>
          </w:rPr>
          <w:fldChar w:fldCharType="begin"/>
        </w:r>
        <w:r w:rsidR="004E2DCB">
          <w:rPr>
            <w:noProof/>
            <w:webHidden/>
          </w:rPr>
          <w:instrText xml:space="preserve"> PAGEREF _Toc90725870 \h </w:instrText>
        </w:r>
        <w:r w:rsidR="004E2DCB">
          <w:rPr>
            <w:noProof/>
            <w:webHidden/>
          </w:rPr>
        </w:r>
        <w:r w:rsidR="004E2DCB">
          <w:rPr>
            <w:noProof/>
            <w:webHidden/>
          </w:rPr>
          <w:fldChar w:fldCharType="separate"/>
        </w:r>
        <w:r w:rsidR="004E2DCB">
          <w:rPr>
            <w:noProof/>
            <w:webHidden/>
          </w:rPr>
          <w:t>107</w:t>
        </w:r>
        <w:r w:rsidR="004E2DCB">
          <w:rPr>
            <w:noProof/>
            <w:webHidden/>
          </w:rPr>
          <w:fldChar w:fldCharType="end"/>
        </w:r>
      </w:hyperlink>
    </w:p>
    <w:p w14:paraId="13AB6439" w14:textId="2D10A0BE" w:rsidR="004E2DCB" w:rsidRDefault="000B273D">
      <w:pPr>
        <w:pStyle w:val="TOC2"/>
        <w:rPr>
          <w:rFonts w:asciiTheme="minorHAnsi" w:eastAsiaTheme="minorEastAsia" w:hAnsiTheme="minorHAnsi" w:cstheme="minorBidi"/>
          <w:noProof/>
          <w:lang w:val="en-US"/>
        </w:rPr>
      </w:pPr>
      <w:hyperlink w:anchor="_Toc90725871" w:history="1">
        <w:r w:rsidR="004E2DCB" w:rsidRPr="00FE5E7F">
          <w:rPr>
            <w:rStyle w:val="Hyperlink"/>
            <w:noProof/>
          </w:rPr>
          <w:t>4.6</w:t>
        </w:r>
        <w:r w:rsidR="004E2DCB">
          <w:rPr>
            <w:rFonts w:asciiTheme="minorHAnsi" w:eastAsiaTheme="minorEastAsia" w:hAnsiTheme="minorHAnsi" w:cstheme="minorBidi"/>
            <w:noProof/>
            <w:lang w:val="en-US"/>
          </w:rPr>
          <w:tab/>
        </w:r>
        <w:r w:rsidR="004E2DCB" w:rsidRPr="00FE5E7F">
          <w:rPr>
            <w:rStyle w:val="Hyperlink"/>
            <w:noProof/>
          </w:rPr>
          <w:t>Type of operations needed in Dolj county</w:t>
        </w:r>
        <w:r w:rsidR="004E2DCB">
          <w:rPr>
            <w:noProof/>
            <w:webHidden/>
          </w:rPr>
          <w:tab/>
        </w:r>
        <w:r w:rsidR="004E2DCB">
          <w:rPr>
            <w:noProof/>
            <w:webHidden/>
          </w:rPr>
          <w:fldChar w:fldCharType="begin"/>
        </w:r>
        <w:r w:rsidR="004E2DCB">
          <w:rPr>
            <w:noProof/>
            <w:webHidden/>
          </w:rPr>
          <w:instrText xml:space="preserve"> PAGEREF _Toc90725871 \h </w:instrText>
        </w:r>
        <w:r w:rsidR="004E2DCB">
          <w:rPr>
            <w:noProof/>
            <w:webHidden/>
          </w:rPr>
        </w:r>
        <w:r w:rsidR="004E2DCB">
          <w:rPr>
            <w:noProof/>
            <w:webHidden/>
          </w:rPr>
          <w:fldChar w:fldCharType="separate"/>
        </w:r>
        <w:r w:rsidR="004E2DCB">
          <w:rPr>
            <w:noProof/>
            <w:webHidden/>
          </w:rPr>
          <w:t>108</w:t>
        </w:r>
        <w:r w:rsidR="004E2DCB">
          <w:rPr>
            <w:noProof/>
            <w:webHidden/>
          </w:rPr>
          <w:fldChar w:fldCharType="end"/>
        </w:r>
      </w:hyperlink>
    </w:p>
    <w:p w14:paraId="3130A0A5" w14:textId="25A10712" w:rsidR="004E2DCB" w:rsidRDefault="000B273D">
      <w:pPr>
        <w:pStyle w:val="TOC2"/>
        <w:rPr>
          <w:rFonts w:asciiTheme="minorHAnsi" w:eastAsiaTheme="minorEastAsia" w:hAnsiTheme="minorHAnsi" w:cstheme="minorBidi"/>
          <w:noProof/>
          <w:lang w:val="en-US"/>
        </w:rPr>
      </w:pPr>
      <w:hyperlink w:anchor="_Toc90725872" w:history="1">
        <w:r w:rsidR="004E2DCB" w:rsidRPr="00FE5E7F">
          <w:rPr>
            <w:rStyle w:val="Hyperlink"/>
            <w:noProof/>
          </w:rPr>
          <w:t>4.7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_Toc90725872 \h </w:instrText>
        </w:r>
        <w:r w:rsidR="004E2DCB">
          <w:rPr>
            <w:noProof/>
            <w:webHidden/>
          </w:rPr>
        </w:r>
        <w:r w:rsidR="004E2DCB">
          <w:rPr>
            <w:noProof/>
            <w:webHidden/>
          </w:rPr>
          <w:fldChar w:fldCharType="separate"/>
        </w:r>
        <w:r w:rsidR="004E2DCB">
          <w:rPr>
            <w:noProof/>
            <w:webHidden/>
          </w:rPr>
          <w:t>116</w:t>
        </w:r>
        <w:r w:rsidR="004E2DCB">
          <w:rPr>
            <w:noProof/>
            <w:webHidden/>
          </w:rPr>
          <w:fldChar w:fldCharType="end"/>
        </w:r>
      </w:hyperlink>
    </w:p>
    <w:p w14:paraId="318FADCA" w14:textId="1AD45EF0" w:rsidR="004E2DCB" w:rsidRDefault="000B273D">
      <w:pPr>
        <w:pStyle w:val="TOC2"/>
        <w:rPr>
          <w:rFonts w:asciiTheme="minorHAnsi" w:eastAsiaTheme="minorEastAsia" w:hAnsiTheme="minorHAnsi" w:cstheme="minorBidi"/>
          <w:noProof/>
          <w:lang w:val="en-US"/>
        </w:rPr>
      </w:pPr>
      <w:hyperlink w:anchor="_Toc90725873" w:history="1">
        <w:r w:rsidR="004E2DCB" w:rsidRPr="00FE5E7F">
          <w:rPr>
            <w:rStyle w:val="Hyperlink"/>
            <w:noProof/>
          </w:rPr>
          <w:t>4.8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_Toc90725873 \h </w:instrText>
        </w:r>
        <w:r w:rsidR="004E2DCB">
          <w:rPr>
            <w:noProof/>
            <w:webHidden/>
          </w:rPr>
        </w:r>
        <w:r w:rsidR="004E2DCB">
          <w:rPr>
            <w:noProof/>
            <w:webHidden/>
          </w:rPr>
          <w:fldChar w:fldCharType="separate"/>
        </w:r>
        <w:r w:rsidR="004E2DCB">
          <w:rPr>
            <w:noProof/>
            <w:webHidden/>
          </w:rPr>
          <w:t>118</w:t>
        </w:r>
        <w:r w:rsidR="004E2DCB">
          <w:rPr>
            <w:noProof/>
            <w:webHidden/>
          </w:rPr>
          <w:fldChar w:fldCharType="end"/>
        </w:r>
      </w:hyperlink>
    </w:p>
    <w:p w14:paraId="700ADBAC" w14:textId="6097B37D" w:rsidR="004E2DCB" w:rsidRDefault="000B273D">
      <w:pPr>
        <w:pStyle w:val="TOC1"/>
        <w:rPr>
          <w:rFonts w:asciiTheme="minorHAnsi" w:eastAsiaTheme="minorEastAsia" w:hAnsiTheme="minorHAnsi" w:cstheme="minorBidi"/>
          <w:b w:val="0"/>
          <w:lang w:val="en-US"/>
        </w:rPr>
      </w:pPr>
      <w:hyperlink w:anchor="_Toc90725874" w:history="1">
        <w:r w:rsidR="004E2DCB" w:rsidRPr="00FE5E7F">
          <w:rPr>
            <w:rStyle w:val="Hyperlink"/>
          </w:rPr>
          <w:t>5</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Gorj County</w:t>
        </w:r>
        <w:r w:rsidR="004E2DCB">
          <w:rPr>
            <w:webHidden/>
          </w:rPr>
          <w:tab/>
        </w:r>
        <w:r w:rsidR="004E2DCB">
          <w:rPr>
            <w:webHidden/>
          </w:rPr>
          <w:fldChar w:fldCharType="begin"/>
        </w:r>
        <w:r w:rsidR="004E2DCB">
          <w:rPr>
            <w:webHidden/>
          </w:rPr>
          <w:instrText xml:space="preserve"> PAGEREF _Toc90725874 \h </w:instrText>
        </w:r>
        <w:r w:rsidR="004E2DCB">
          <w:rPr>
            <w:webHidden/>
          </w:rPr>
        </w:r>
        <w:r w:rsidR="004E2DCB">
          <w:rPr>
            <w:webHidden/>
          </w:rPr>
          <w:fldChar w:fldCharType="separate"/>
        </w:r>
        <w:r w:rsidR="004E2DCB">
          <w:rPr>
            <w:webHidden/>
          </w:rPr>
          <w:t>125</w:t>
        </w:r>
        <w:r w:rsidR="004E2DCB">
          <w:rPr>
            <w:webHidden/>
          </w:rPr>
          <w:fldChar w:fldCharType="end"/>
        </w:r>
      </w:hyperlink>
    </w:p>
    <w:p w14:paraId="6B9A45A6" w14:textId="5916B901" w:rsidR="004E2DCB" w:rsidRDefault="000B273D">
      <w:pPr>
        <w:pStyle w:val="TOC2"/>
        <w:rPr>
          <w:rFonts w:asciiTheme="minorHAnsi" w:eastAsiaTheme="minorEastAsia" w:hAnsiTheme="minorHAnsi" w:cstheme="minorBidi"/>
          <w:noProof/>
          <w:lang w:val="en-US"/>
        </w:rPr>
      </w:pPr>
      <w:hyperlink w:anchor="_Toc90725875" w:history="1">
        <w:r w:rsidR="004E2DCB" w:rsidRPr="00FE5E7F">
          <w:rPr>
            <w:rStyle w:val="Hyperlink"/>
            <w:noProof/>
          </w:rPr>
          <w:t>5.1</w:t>
        </w:r>
        <w:r w:rsidR="004E2DCB">
          <w:rPr>
            <w:rFonts w:asciiTheme="minorHAnsi" w:eastAsiaTheme="minorEastAsia" w:hAnsiTheme="minorHAnsi" w:cstheme="minorBidi"/>
            <w:noProof/>
            <w:lang w:val="en-US"/>
          </w:rPr>
          <w:tab/>
        </w:r>
        <w:r w:rsidR="004E2DCB" w:rsidRPr="00FE5E7F">
          <w:rPr>
            <w:rStyle w:val="Hyperlink"/>
            <w:noProof/>
          </w:rPr>
          <w:t>Logic of the intervention for Gorj County</w:t>
        </w:r>
        <w:r w:rsidR="004E2DCB">
          <w:rPr>
            <w:noProof/>
            <w:webHidden/>
          </w:rPr>
          <w:tab/>
        </w:r>
        <w:r w:rsidR="004E2DCB">
          <w:rPr>
            <w:noProof/>
            <w:webHidden/>
          </w:rPr>
          <w:fldChar w:fldCharType="begin"/>
        </w:r>
        <w:r w:rsidR="004E2DCB">
          <w:rPr>
            <w:noProof/>
            <w:webHidden/>
          </w:rPr>
          <w:instrText xml:space="preserve"> PAGEREF _Toc90725875 \h </w:instrText>
        </w:r>
        <w:r w:rsidR="004E2DCB">
          <w:rPr>
            <w:noProof/>
            <w:webHidden/>
          </w:rPr>
        </w:r>
        <w:r w:rsidR="004E2DCB">
          <w:rPr>
            <w:noProof/>
            <w:webHidden/>
          </w:rPr>
          <w:fldChar w:fldCharType="separate"/>
        </w:r>
        <w:r w:rsidR="004E2DCB">
          <w:rPr>
            <w:noProof/>
            <w:webHidden/>
          </w:rPr>
          <w:t>125</w:t>
        </w:r>
        <w:r w:rsidR="004E2DCB">
          <w:rPr>
            <w:noProof/>
            <w:webHidden/>
          </w:rPr>
          <w:fldChar w:fldCharType="end"/>
        </w:r>
      </w:hyperlink>
    </w:p>
    <w:p w14:paraId="186EEE5D" w14:textId="5DAFA726" w:rsidR="004E2DCB" w:rsidRDefault="000B273D">
      <w:pPr>
        <w:pStyle w:val="TOC2"/>
        <w:rPr>
          <w:rFonts w:asciiTheme="minorHAnsi" w:eastAsiaTheme="minorEastAsia" w:hAnsiTheme="minorHAnsi" w:cstheme="minorBidi"/>
          <w:noProof/>
          <w:lang w:val="en-US"/>
        </w:rPr>
      </w:pPr>
      <w:hyperlink w:anchor="_Toc90725876" w:history="1">
        <w:r w:rsidR="004E2DCB" w:rsidRPr="00FE5E7F">
          <w:rPr>
            <w:rStyle w:val="Hyperlink"/>
            <w:noProof/>
          </w:rPr>
          <w:t>5.2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_Toc90725876 \h </w:instrText>
        </w:r>
        <w:r w:rsidR="004E2DCB">
          <w:rPr>
            <w:noProof/>
            <w:webHidden/>
          </w:rPr>
        </w:r>
        <w:r w:rsidR="004E2DCB">
          <w:rPr>
            <w:noProof/>
            <w:webHidden/>
          </w:rPr>
          <w:fldChar w:fldCharType="separate"/>
        </w:r>
        <w:r w:rsidR="004E2DCB">
          <w:rPr>
            <w:noProof/>
            <w:webHidden/>
          </w:rPr>
          <w:t>127</w:t>
        </w:r>
        <w:r w:rsidR="004E2DCB">
          <w:rPr>
            <w:noProof/>
            <w:webHidden/>
          </w:rPr>
          <w:fldChar w:fldCharType="end"/>
        </w:r>
      </w:hyperlink>
    </w:p>
    <w:p w14:paraId="72BB1F67" w14:textId="426CA40D" w:rsidR="004E2DCB" w:rsidRDefault="000B273D">
      <w:pPr>
        <w:pStyle w:val="TOC2"/>
        <w:rPr>
          <w:rFonts w:asciiTheme="minorHAnsi" w:eastAsiaTheme="minorEastAsia" w:hAnsiTheme="minorHAnsi" w:cstheme="minorBidi"/>
          <w:noProof/>
          <w:lang w:val="en-US"/>
        </w:rPr>
      </w:pPr>
      <w:hyperlink w:anchor="_Toc90725877" w:history="1">
        <w:r w:rsidR="004E2DCB" w:rsidRPr="00FE5E7F">
          <w:rPr>
            <w:rStyle w:val="Hyperlink"/>
            <w:noProof/>
          </w:rPr>
          <w:t>5.3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_Toc90725877 \h </w:instrText>
        </w:r>
        <w:r w:rsidR="004E2DCB">
          <w:rPr>
            <w:noProof/>
            <w:webHidden/>
          </w:rPr>
        </w:r>
        <w:r w:rsidR="004E2DCB">
          <w:rPr>
            <w:noProof/>
            <w:webHidden/>
          </w:rPr>
          <w:fldChar w:fldCharType="separate"/>
        </w:r>
        <w:r w:rsidR="004E2DCB">
          <w:rPr>
            <w:noProof/>
            <w:webHidden/>
          </w:rPr>
          <w:t>137</w:t>
        </w:r>
        <w:r w:rsidR="004E2DCB">
          <w:rPr>
            <w:noProof/>
            <w:webHidden/>
          </w:rPr>
          <w:fldChar w:fldCharType="end"/>
        </w:r>
      </w:hyperlink>
    </w:p>
    <w:p w14:paraId="0FB0A669" w14:textId="255A0D06" w:rsidR="004E2DCB" w:rsidRDefault="000B273D">
      <w:pPr>
        <w:pStyle w:val="TOC2"/>
        <w:rPr>
          <w:rFonts w:asciiTheme="minorHAnsi" w:eastAsiaTheme="minorEastAsia" w:hAnsiTheme="minorHAnsi" w:cstheme="minorBidi"/>
          <w:noProof/>
          <w:lang w:val="en-US"/>
        </w:rPr>
      </w:pPr>
      <w:hyperlink w:anchor="_Toc90725878" w:history="1">
        <w:r w:rsidR="004E2DCB" w:rsidRPr="00FE5E7F">
          <w:rPr>
            <w:rStyle w:val="Hyperlink"/>
            <w:noProof/>
          </w:rPr>
          <w:t>5.4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Gorj County</w:t>
        </w:r>
        <w:r w:rsidR="004E2DCB">
          <w:rPr>
            <w:noProof/>
            <w:webHidden/>
          </w:rPr>
          <w:tab/>
        </w:r>
        <w:r w:rsidR="004E2DCB">
          <w:rPr>
            <w:noProof/>
            <w:webHidden/>
          </w:rPr>
          <w:fldChar w:fldCharType="begin"/>
        </w:r>
        <w:r w:rsidR="004E2DCB">
          <w:rPr>
            <w:noProof/>
            <w:webHidden/>
          </w:rPr>
          <w:instrText xml:space="preserve"> PAGEREF _Toc90725878 \h </w:instrText>
        </w:r>
        <w:r w:rsidR="004E2DCB">
          <w:rPr>
            <w:noProof/>
            <w:webHidden/>
          </w:rPr>
        </w:r>
        <w:r w:rsidR="004E2DCB">
          <w:rPr>
            <w:noProof/>
            <w:webHidden/>
          </w:rPr>
          <w:fldChar w:fldCharType="separate"/>
        </w:r>
        <w:r w:rsidR="004E2DCB">
          <w:rPr>
            <w:noProof/>
            <w:webHidden/>
          </w:rPr>
          <w:t>140</w:t>
        </w:r>
        <w:r w:rsidR="004E2DCB">
          <w:rPr>
            <w:noProof/>
            <w:webHidden/>
          </w:rPr>
          <w:fldChar w:fldCharType="end"/>
        </w:r>
      </w:hyperlink>
    </w:p>
    <w:p w14:paraId="06ECC484" w14:textId="7E222AD9" w:rsidR="004E2DCB" w:rsidRDefault="000B273D">
      <w:pPr>
        <w:pStyle w:val="TOC2"/>
        <w:rPr>
          <w:rFonts w:asciiTheme="minorHAnsi" w:eastAsiaTheme="minorEastAsia" w:hAnsiTheme="minorHAnsi" w:cstheme="minorBidi"/>
          <w:noProof/>
          <w:lang w:val="en-US"/>
        </w:rPr>
      </w:pPr>
      <w:hyperlink w:anchor="_Toc90725879" w:history="1">
        <w:r w:rsidR="004E2DCB" w:rsidRPr="00FE5E7F">
          <w:rPr>
            <w:rStyle w:val="Hyperlink"/>
            <w:noProof/>
          </w:rPr>
          <w:t>5.5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Gorj County</w:t>
        </w:r>
        <w:r w:rsidR="004E2DCB">
          <w:rPr>
            <w:noProof/>
            <w:webHidden/>
          </w:rPr>
          <w:tab/>
        </w:r>
        <w:r w:rsidR="004E2DCB">
          <w:rPr>
            <w:noProof/>
            <w:webHidden/>
          </w:rPr>
          <w:fldChar w:fldCharType="begin"/>
        </w:r>
        <w:r w:rsidR="004E2DCB">
          <w:rPr>
            <w:noProof/>
            <w:webHidden/>
          </w:rPr>
          <w:instrText xml:space="preserve"> PAGEREF _Toc90725879 \h </w:instrText>
        </w:r>
        <w:r w:rsidR="004E2DCB">
          <w:rPr>
            <w:noProof/>
            <w:webHidden/>
          </w:rPr>
        </w:r>
        <w:r w:rsidR="004E2DCB">
          <w:rPr>
            <w:noProof/>
            <w:webHidden/>
          </w:rPr>
          <w:fldChar w:fldCharType="separate"/>
        </w:r>
        <w:r w:rsidR="004E2DCB">
          <w:rPr>
            <w:noProof/>
            <w:webHidden/>
          </w:rPr>
          <w:t>141</w:t>
        </w:r>
        <w:r w:rsidR="004E2DCB">
          <w:rPr>
            <w:noProof/>
            <w:webHidden/>
          </w:rPr>
          <w:fldChar w:fldCharType="end"/>
        </w:r>
      </w:hyperlink>
    </w:p>
    <w:p w14:paraId="443BC289" w14:textId="3814D411" w:rsidR="004E2DCB" w:rsidRDefault="000B273D">
      <w:pPr>
        <w:pStyle w:val="TOC2"/>
        <w:rPr>
          <w:rFonts w:asciiTheme="minorHAnsi" w:eastAsiaTheme="minorEastAsia" w:hAnsiTheme="minorHAnsi" w:cstheme="minorBidi"/>
          <w:noProof/>
          <w:lang w:val="en-US"/>
        </w:rPr>
      </w:pPr>
      <w:hyperlink w:anchor="_Toc90725880" w:history="1">
        <w:r w:rsidR="004E2DCB" w:rsidRPr="00FE5E7F">
          <w:rPr>
            <w:rStyle w:val="Hyperlink"/>
            <w:noProof/>
          </w:rPr>
          <w:t>5.6</w:t>
        </w:r>
        <w:r w:rsidR="004E2DCB">
          <w:rPr>
            <w:rFonts w:asciiTheme="minorHAnsi" w:eastAsiaTheme="minorEastAsia" w:hAnsiTheme="minorHAnsi" w:cstheme="minorBidi"/>
            <w:noProof/>
            <w:lang w:val="en-US"/>
          </w:rPr>
          <w:tab/>
        </w:r>
        <w:r w:rsidR="004E2DCB" w:rsidRPr="00FE5E7F">
          <w:rPr>
            <w:rStyle w:val="Hyperlink"/>
            <w:noProof/>
          </w:rPr>
          <w:t>Type of operations needed in Gorj County</w:t>
        </w:r>
        <w:r w:rsidR="004E2DCB">
          <w:rPr>
            <w:noProof/>
            <w:webHidden/>
          </w:rPr>
          <w:tab/>
        </w:r>
        <w:r w:rsidR="004E2DCB">
          <w:rPr>
            <w:noProof/>
            <w:webHidden/>
          </w:rPr>
          <w:fldChar w:fldCharType="begin"/>
        </w:r>
        <w:r w:rsidR="004E2DCB">
          <w:rPr>
            <w:noProof/>
            <w:webHidden/>
          </w:rPr>
          <w:instrText xml:space="preserve"> PAGEREF _Toc90725880 \h </w:instrText>
        </w:r>
        <w:r w:rsidR="004E2DCB">
          <w:rPr>
            <w:noProof/>
            <w:webHidden/>
          </w:rPr>
        </w:r>
        <w:r w:rsidR="004E2DCB">
          <w:rPr>
            <w:noProof/>
            <w:webHidden/>
          </w:rPr>
          <w:fldChar w:fldCharType="separate"/>
        </w:r>
        <w:r w:rsidR="004E2DCB">
          <w:rPr>
            <w:noProof/>
            <w:webHidden/>
          </w:rPr>
          <w:t>143</w:t>
        </w:r>
        <w:r w:rsidR="004E2DCB">
          <w:rPr>
            <w:noProof/>
            <w:webHidden/>
          </w:rPr>
          <w:fldChar w:fldCharType="end"/>
        </w:r>
      </w:hyperlink>
    </w:p>
    <w:p w14:paraId="43A2DFA8" w14:textId="71A9D870" w:rsidR="004E2DCB" w:rsidRDefault="000B273D">
      <w:pPr>
        <w:pStyle w:val="TOC2"/>
        <w:rPr>
          <w:rFonts w:asciiTheme="minorHAnsi" w:eastAsiaTheme="minorEastAsia" w:hAnsiTheme="minorHAnsi" w:cstheme="minorBidi"/>
          <w:noProof/>
          <w:lang w:val="en-US"/>
        </w:rPr>
      </w:pPr>
      <w:hyperlink w:anchor="_Toc90725881" w:history="1">
        <w:r w:rsidR="004E2DCB" w:rsidRPr="00FE5E7F">
          <w:rPr>
            <w:rStyle w:val="Hyperlink"/>
            <w:noProof/>
          </w:rPr>
          <w:t>5.7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_Toc90725881 \h </w:instrText>
        </w:r>
        <w:r w:rsidR="004E2DCB">
          <w:rPr>
            <w:noProof/>
            <w:webHidden/>
          </w:rPr>
        </w:r>
        <w:r w:rsidR="004E2DCB">
          <w:rPr>
            <w:noProof/>
            <w:webHidden/>
          </w:rPr>
          <w:fldChar w:fldCharType="separate"/>
        </w:r>
        <w:r w:rsidR="004E2DCB">
          <w:rPr>
            <w:noProof/>
            <w:webHidden/>
          </w:rPr>
          <w:t>147</w:t>
        </w:r>
        <w:r w:rsidR="004E2DCB">
          <w:rPr>
            <w:noProof/>
            <w:webHidden/>
          </w:rPr>
          <w:fldChar w:fldCharType="end"/>
        </w:r>
      </w:hyperlink>
    </w:p>
    <w:p w14:paraId="5A6AFA5C" w14:textId="153685E6" w:rsidR="004E2DCB" w:rsidRDefault="000B273D">
      <w:pPr>
        <w:pStyle w:val="TOC2"/>
        <w:rPr>
          <w:rFonts w:asciiTheme="minorHAnsi" w:eastAsiaTheme="minorEastAsia" w:hAnsiTheme="minorHAnsi" w:cstheme="minorBidi"/>
          <w:noProof/>
          <w:lang w:val="en-US"/>
        </w:rPr>
      </w:pPr>
      <w:hyperlink w:anchor="_Toc90725882" w:history="1">
        <w:r w:rsidR="004E2DCB" w:rsidRPr="00FE5E7F">
          <w:rPr>
            <w:rStyle w:val="Hyperlink"/>
            <w:noProof/>
          </w:rPr>
          <w:t>5.8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_Toc90725882 \h </w:instrText>
        </w:r>
        <w:r w:rsidR="004E2DCB">
          <w:rPr>
            <w:noProof/>
            <w:webHidden/>
          </w:rPr>
        </w:r>
        <w:r w:rsidR="004E2DCB">
          <w:rPr>
            <w:noProof/>
            <w:webHidden/>
          </w:rPr>
          <w:fldChar w:fldCharType="separate"/>
        </w:r>
        <w:r w:rsidR="004E2DCB">
          <w:rPr>
            <w:noProof/>
            <w:webHidden/>
          </w:rPr>
          <w:t>149</w:t>
        </w:r>
        <w:r w:rsidR="004E2DCB">
          <w:rPr>
            <w:noProof/>
            <w:webHidden/>
          </w:rPr>
          <w:fldChar w:fldCharType="end"/>
        </w:r>
      </w:hyperlink>
    </w:p>
    <w:p w14:paraId="55137C74" w14:textId="37667536" w:rsidR="004E2DCB" w:rsidRDefault="000B273D">
      <w:pPr>
        <w:pStyle w:val="TOC1"/>
        <w:rPr>
          <w:rFonts w:asciiTheme="minorHAnsi" w:eastAsiaTheme="minorEastAsia" w:hAnsiTheme="minorHAnsi" w:cstheme="minorBidi"/>
          <w:b w:val="0"/>
          <w:lang w:val="en-US"/>
        </w:rPr>
      </w:pPr>
      <w:hyperlink w:anchor="_Toc90725883" w:history="1">
        <w:r w:rsidR="004E2DCB" w:rsidRPr="00FE5E7F">
          <w:rPr>
            <w:rStyle w:val="Hyperlink"/>
          </w:rPr>
          <w:t>6</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Prahova County</w:t>
        </w:r>
        <w:r w:rsidR="004E2DCB">
          <w:rPr>
            <w:webHidden/>
          </w:rPr>
          <w:tab/>
        </w:r>
        <w:r w:rsidR="004E2DCB">
          <w:rPr>
            <w:webHidden/>
          </w:rPr>
          <w:fldChar w:fldCharType="begin"/>
        </w:r>
        <w:r w:rsidR="004E2DCB">
          <w:rPr>
            <w:webHidden/>
          </w:rPr>
          <w:instrText xml:space="preserve"> PAGEREF _Toc90725883 \h </w:instrText>
        </w:r>
        <w:r w:rsidR="004E2DCB">
          <w:rPr>
            <w:webHidden/>
          </w:rPr>
        </w:r>
        <w:r w:rsidR="004E2DCB">
          <w:rPr>
            <w:webHidden/>
          </w:rPr>
          <w:fldChar w:fldCharType="separate"/>
        </w:r>
        <w:r w:rsidR="004E2DCB">
          <w:rPr>
            <w:webHidden/>
          </w:rPr>
          <w:t>154</w:t>
        </w:r>
        <w:r w:rsidR="004E2DCB">
          <w:rPr>
            <w:webHidden/>
          </w:rPr>
          <w:fldChar w:fldCharType="end"/>
        </w:r>
      </w:hyperlink>
    </w:p>
    <w:p w14:paraId="679A5098" w14:textId="476C4E15" w:rsidR="004E2DCB" w:rsidRDefault="000B273D">
      <w:pPr>
        <w:pStyle w:val="TOC2"/>
        <w:rPr>
          <w:rFonts w:asciiTheme="minorHAnsi" w:eastAsiaTheme="minorEastAsia" w:hAnsiTheme="minorHAnsi" w:cstheme="minorBidi"/>
          <w:noProof/>
          <w:lang w:val="en-US"/>
        </w:rPr>
      </w:pPr>
      <w:hyperlink w:anchor="_Toc90725884" w:history="1">
        <w:r w:rsidR="004E2DCB" w:rsidRPr="00FE5E7F">
          <w:rPr>
            <w:rStyle w:val="Hyperlink"/>
            <w:noProof/>
          </w:rPr>
          <w:t>6.1</w:t>
        </w:r>
        <w:r w:rsidR="004E2DCB">
          <w:rPr>
            <w:rFonts w:asciiTheme="minorHAnsi" w:eastAsiaTheme="minorEastAsia" w:hAnsiTheme="minorHAnsi" w:cstheme="minorBidi"/>
            <w:noProof/>
            <w:lang w:val="en-US"/>
          </w:rPr>
          <w:tab/>
        </w:r>
        <w:r w:rsidR="004E2DCB" w:rsidRPr="00FE5E7F">
          <w:rPr>
            <w:rStyle w:val="Hyperlink"/>
            <w:noProof/>
          </w:rPr>
          <w:t>Logic of the intervention for Prahova County</w:t>
        </w:r>
        <w:r w:rsidR="004E2DCB">
          <w:rPr>
            <w:noProof/>
            <w:webHidden/>
          </w:rPr>
          <w:tab/>
        </w:r>
        <w:r w:rsidR="004E2DCB">
          <w:rPr>
            <w:noProof/>
            <w:webHidden/>
          </w:rPr>
          <w:fldChar w:fldCharType="begin"/>
        </w:r>
        <w:r w:rsidR="004E2DCB">
          <w:rPr>
            <w:noProof/>
            <w:webHidden/>
          </w:rPr>
          <w:instrText xml:space="preserve"> PAGEREF _Toc90725884 \h </w:instrText>
        </w:r>
        <w:r w:rsidR="004E2DCB">
          <w:rPr>
            <w:noProof/>
            <w:webHidden/>
          </w:rPr>
        </w:r>
        <w:r w:rsidR="004E2DCB">
          <w:rPr>
            <w:noProof/>
            <w:webHidden/>
          </w:rPr>
          <w:fldChar w:fldCharType="separate"/>
        </w:r>
        <w:r w:rsidR="004E2DCB">
          <w:rPr>
            <w:noProof/>
            <w:webHidden/>
          </w:rPr>
          <w:t>154</w:t>
        </w:r>
        <w:r w:rsidR="004E2DCB">
          <w:rPr>
            <w:noProof/>
            <w:webHidden/>
          </w:rPr>
          <w:fldChar w:fldCharType="end"/>
        </w:r>
      </w:hyperlink>
    </w:p>
    <w:p w14:paraId="2612CAFC" w14:textId="43689A3E" w:rsidR="004E2DCB" w:rsidRDefault="000B273D">
      <w:pPr>
        <w:pStyle w:val="TOC2"/>
        <w:rPr>
          <w:rFonts w:asciiTheme="minorHAnsi" w:eastAsiaTheme="minorEastAsia" w:hAnsiTheme="minorHAnsi" w:cstheme="minorBidi"/>
          <w:noProof/>
          <w:lang w:val="en-US"/>
        </w:rPr>
      </w:pPr>
      <w:hyperlink w:anchor="_Toc90725885" w:history="1">
        <w:r w:rsidR="004E2DCB" w:rsidRPr="00FE5E7F">
          <w:rPr>
            <w:rStyle w:val="Hyperlink"/>
            <w:noProof/>
          </w:rPr>
          <w:t>6.2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_Toc90725885 \h </w:instrText>
        </w:r>
        <w:r w:rsidR="004E2DCB">
          <w:rPr>
            <w:noProof/>
            <w:webHidden/>
          </w:rPr>
        </w:r>
        <w:r w:rsidR="004E2DCB">
          <w:rPr>
            <w:noProof/>
            <w:webHidden/>
          </w:rPr>
          <w:fldChar w:fldCharType="separate"/>
        </w:r>
        <w:r w:rsidR="004E2DCB">
          <w:rPr>
            <w:noProof/>
            <w:webHidden/>
          </w:rPr>
          <w:t>156</w:t>
        </w:r>
        <w:r w:rsidR="004E2DCB">
          <w:rPr>
            <w:noProof/>
            <w:webHidden/>
          </w:rPr>
          <w:fldChar w:fldCharType="end"/>
        </w:r>
      </w:hyperlink>
    </w:p>
    <w:p w14:paraId="3A01F160" w14:textId="2E6F7A00" w:rsidR="004E2DCB" w:rsidRDefault="000B273D">
      <w:pPr>
        <w:pStyle w:val="TOC2"/>
        <w:rPr>
          <w:rFonts w:asciiTheme="minorHAnsi" w:eastAsiaTheme="minorEastAsia" w:hAnsiTheme="minorHAnsi" w:cstheme="minorBidi"/>
          <w:noProof/>
          <w:lang w:val="en-US"/>
        </w:rPr>
      </w:pPr>
      <w:hyperlink w:anchor="_Toc90725886" w:history="1">
        <w:r w:rsidR="004E2DCB" w:rsidRPr="00FE5E7F">
          <w:rPr>
            <w:rStyle w:val="Hyperlink"/>
            <w:noProof/>
          </w:rPr>
          <w:t>6.3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_Toc90725886 \h </w:instrText>
        </w:r>
        <w:r w:rsidR="004E2DCB">
          <w:rPr>
            <w:noProof/>
            <w:webHidden/>
          </w:rPr>
        </w:r>
        <w:r w:rsidR="004E2DCB">
          <w:rPr>
            <w:noProof/>
            <w:webHidden/>
          </w:rPr>
          <w:fldChar w:fldCharType="separate"/>
        </w:r>
        <w:r w:rsidR="004E2DCB">
          <w:rPr>
            <w:noProof/>
            <w:webHidden/>
          </w:rPr>
          <w:t>167</w:t>
        </w:r>
        <w:r w:rsidR="004E2DCB">
          <w:rPr>
            <w:noProof/>
            <w:webHidden/>
          </w:rPr>
          <w:fldChar w:fldCharType="end"/>
        </w:r>
      </w:hyperlink>
    </w:p>
    <w:p w14:paraId="7795C2D1" w14:textId="09A48988" w:rsidR="004E2DCB" w:rsidRDefault="000B273D">
      <w:pPr>
        <w:pStyle w:val="TOC2"/>
        <w:rPr>
          <w:rFonts w:asciiTheme="minorHAnsi" w:eastAsiaTheme="minorEastAsia" w:hAnsiTheme="minorHAnsi" w:cstheme="minorBidi"/>
          <w:noProof/>
          <w:lang w:val="en-US"/>
        </w:rPr>
      </w:pPr>
      <w:hyperlink w:anchor="_Toc90725887" w:history="1">
        <w:r w:rsidR="004E2DCB" w:rsidRPr="00FE5E7F">
          <w:rPr>
            <w:rStyle w:val="Hyperlink"/>
            <w:noProof/>
          </w:rPr>
          <w:t>6.4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Prahova County</w:t>
        </w:r>
        <w:r w:rsidR="004E2DCB">
          <w:rPr>
            <w:noProof/>
            <w:webHidden/>
          </w:rPr>
          <w:tab/>
        </w:r>
        <w:r w:rsidR="004E2DCB">
          <w:rPr>
            <w:noProof/>
            <w:webHidden/>
          </w:rPr>
          <w:fldChar w:fldCharType="begin"/>
        </w:r>
        <w:r w:rsidR="004E2DCB">
          <w:rPr>
            <w:noProof/>
            <w:webHidden/>
          </w:rPr>
          <w:instrText xml:space="preserve"> PAGEREF _Toc90725887 \h </w:instrText>
        </w:r>
        <w:r w:rsidR="004E2DCB">
          <w:rPr>
            <w:noProof/>
            <w:webHidden/>
          </w:rPr>
        </w:r>
        <w:r w:rsidR="004E2DCB">
          <w:rPr>
            <w:noProof/>
            <w:webHidden/>
          </w:rPr>
          <w:fldChar w:fldCharType="separate"/>
        </w:r>
        <w:r w:rsidR="004E2DCB">
          <w:rPr>
            <w:noProof/>
            <w:webHidden/>
          </w:rPr>
          <w:t>170</w:t>
        </w:r>
        <w:r w:rsidR="004E2DCB">
          <w:rPr>
            <w:noProof/>
            <w:webHidden/>
          </w:rPr>
          <w:fldChar w:fldCharType="end"/>
        </w:r>
      </w:hyperlink>
    </w:p>
    <w:p w14:paraId="475FCF0D" w14:textId="19BB2316" w:rsidR="004E2DCB" w:rsidRDefault="000B273D">
      <w:pPr>
        <w:pStyle w:val="TOC2"/>
        <w:rPr>
          <w:rFonts w:asciiTheme="minorHAnsi" w:eastAsiaTheme="minorEastAsia" w:hAnsiTheme="minorHAnsi" w:cstheme="minorBidi"/>
          <w:noProof/>
          <w:lang w:val="en-US"/>
        </w:rPr>
      </w:pPr>
      <w:hyperlink w:anchor="_Toc90725888" w:history="1">
        <w:r w:rsidR="004E2DCB" w:rsidRPr="00FE5E7F">
          <w:rPr>
            <w:rStyle w:val="Hyperlink"/>
            <w:noProof/>
          </w:rPr>
          <w:t>6.5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Prahova County</w:t>
        </w:r>
        <w:r w:rsidR="004E2DCB">
          <w:rPr>
            <w:noProof/>
            <w:webHidden/>
          </w:rPr>
          <w:tab/>
        </w:r>
        <w:r w:rsidR="004E2DCB">
          <w:rPr>
            <w:noProof/>
            <w:webHidden/>
          </w:rPr>
          <w:fldChar w:fldCharType="begin"/>
        </w:r>
        <w:r w:rsidR="004E2DCB">
          <w:rPr>
            <w:noProof/>
            <w:webHidden/>
          </w:rPr>
          <w:instrText xml:space="preserve"> PAGEREF _Toc90725888 \h </w:instrText>
        </w:r>
        <w:r w:rsidR="004E2DCB">
          <w:rPr>
            <w:noProof/>
            <w:webHidden/>
          </w:rPr>
        </w:r>
        <w:r w:rsidR="004E2DCB">
          <w:rPr>
            <w:noProof/>
            <w:webHidden/>
          </w:rPr>
          <w:fldChar w:fldCharType="separate"/>
        </w:r>
        <w:r w:rsidR="004E2DCB">
          <w:rPr>
            <w:noProof/>
            <w:webHidden/>
          </w:rPr>
          <w:t>171</w:t>
        </w:r>
        <w:r w:rsidR="004E2DCB">
          <w:rPr>
            <w:noProof/>
            <w:webHidden/>
          </w:rPr>
          <w:fldChar w:fldCharType="end"/>
        </w:r>
      </w:hyperlink>
    </w:p>
    <w:p w14:paraId="4196FAC4" w14:textId="4E2B36A9" w:rsidR="004E2DCB" w:rsidRDefault="000B273D">
      <w:pPr>
        <w:pStyle w:val="TOC2"/>
        <w:rPr>
          <w:rFonts w:asciiTheme="minorHAnsi" w:eastAsiaTheme="minorEastAsia" w:hAnsiTheme="minorHAnsi" w:cstheme="minorBidi"/>
          <w:noProof/>
          <w:lang w:val="en-US"/>
        </w:rPr>
      </w:pPr>
      <w:hyperlink w:anchor="_Toc90725889" w:history="1">
        <w:r w:rsidR="004E2DCB" w:rsidRPr="00FE5E7F">
          <w:rPr>
            <w:rStyle w:val="Hyperlink"/>
            <w:noProof/>
          </w:rPr>
          <w:t>6.6</w:t>
        </w:r>
        <w:r w:rsidR="004E2DCB">
          <w:rPr>
            <w:rFonts w:asciiTheme="minorHAnsi" w:eastAsiaTheme="minorEastAsia" w:hAnsiTheme="minorHAnsi" w:cstheme="minorBidi"/>
            <w:noProof/>
            <w:lang w:val="en-US"/>
          </w:rPr>
          <w:tab/>
        </w:r>
        <w:r w:rsidR="004E2DCB" w:rsidRPr="00FE5E7F">
          <w:rPr>
            <w:rStyle w:val="Hyperlink"/>
            <w:noProof/>
          </w:rPr>
          <w:t>Type of operations needed in Prahova County</w:t>
        </w:r>
        <w:r w:rsidR="004E2DCB">
          <w:rPr>
            <w:noProof/>
            <w:webHidden/>
          </w:rPr>
          <w:tab/>
        </w:r>
        <w:r w:rsidR="004E2DCB">
          <w:rPr>
            <w:noProof/>
            <w:webHidden/>
          </w:rPr>
          <w:fldChar w:fldCharType="begin"/>
        </w:r>
        <w:r w:rsidR="004E2DCB">
          <w:rPr>
            <w:noProof/>
            <w:webHidden/>
          </w:rPr>
          <w:instrText xml:space="preserve"> PAGEREF _Toc90725889 \h </w:instrText>
        </w:r>
        <w:r w:rsidR="004E2DCB">
          <w:rPr>
            <w:noProof/>
            <w:webHidden/>
          </w:rPr>
        </w:r>
        <w:r w:rsidR="004E2DCB">
          <w:rPr>
            <w:noProof/>
            <w:webHidden/>
          </w:rPr>
          <w:fldChar w:fldCharType="separate"/>
        </w:r>
        <w:r w:rsidR="004E2DCB">
          <w:rPr>
            <w:noProof/>
            <w:webHidden/>
          </w:rPr>
          <w:t>173</w:t>
        </w:r>
        <w:r w:rsidR="004E2DCB">
          <w:rPr>
            <w:noProof/>
            <w:webHidden/>
          </w:rPr>
          <w:fldChar w:fldCharType="end"/>
        </w:r>
      </w:hyperlink>
    </w:p>
    <w:p w14:paraId="581F1143" w14:textId="628C3A0A" w:rsidR="004E2DCB" w:rsidRDefault="000B273D">
      <w:pPr>
        <w:pStyle w:val="TOC2"/>
        <w:rPr>
          <w:rFonts w:asciiTheme="minorHAnsi" w:eastAsiaTheme="minorEastAsia" w:hAnsiTheme="minorHAnsi" w:cstheme="minorBidi"/>
          <w:noProof/>
          <w:lang w:val="en-US"/>
        </w:rPr>
      </w:pPr>
      <w:hyperlink w:anchor="_Toc90725890" w:history="1">
        <w:r w:rsidR="004E2DCB" w:rsidRPr="00FE5E7F">
          <w:rPr>
            <w:rStyle w:val="Hyperlink"/>
            <w:noProof/>
          </w:rPr>
          <w:t>6.7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_Toc90725890 \h </w:instrText>
        </w:r>
        <w:r w:rsidR="004E2DCB">
          <w:rPr>
            <w:noProof/>
            <w:webHidden/>
          </w:rPr>
        </w:r>
        <w:r w:rsidR="004E2DCB">
          <w:rPr>
            <w:noProof/>
            <w:webHidden/>
          </w:rPr>
          <w:fldChar w:fldCharType="separate"/>
        </w:r>
        <w:r w:rsidR="004E2DCB">
          <w:rPr>
            <w:noProof/>
            <w:webHidden/>
          </w:rPr>
          <w:t>178</w:t>
        </w:r>
        <w:r w:rsidR="004E2DCB">
          <w:rPr>
            <w:noProof/>
            <w:webHidden/>
          </w:rPr>
          <w:fldChar w:fldCharType="end"/>
        </w:r>
      </w:hyperlink>
    </w:p>
    <w:p w14:paraId="3AE60BEF" w14:textId="683CFEAA" w:rsidR="004E2DCB" w:rsidRDefault="000B273D">
      <w:pPr>
        <w:pStyle w:val="TOC2"/>
        <w:rPr>
          <w:rFonts w:asciiTheme="minorHAnsi" w:eastAsiaTheme="minorEastAsia" w:hAnsiTheme="minorHAnsi" w:cstheme="minorBidi"/>
          <w:noProof/>
          <w:lang w:val="en-US"/>
        </w:rPr>
      </w:pPr>
      <w:hyperlink w:anchor="_Toc90725891" w:history="1">
        <w:r w:rsidR="004E2DCB" w:rsidRPr="00FE5E7F">
          <w:rPr>
            <w:rStyle w:val="Hyperlink"/>
            <w:noProof/>
          </w:rPr>
          <w:t>6.8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_Toc90725891 \h </w:instrText>
        </w:r>
        <w:r w:rsidR="004E2DCB">
          <w:rPr>
            <w:noProof/>
            <w:webHidden/>
          </w:rPr>
        </w:r>
        <w:r w:rsidR="004E2DCB">
          <w:rPr>
            <w:noProof/>
            <w:webHidden/>
          </w:rPr>
          <w:fldChar w:fldCharType="separate"/>
        </w:r>
        <w:r w:rsidR="004E2DCB">
          <w:rPr>
            <w:noProof/>
            <w:webHidden/>
          </w:rPr>
          <w:t>181</w:t>
        </w:r>
        <w:r w:rsidR="004E2DCB">
          <w:rPr>
            <w:noProof/>
            <w:webHidden/>
          </w:rPr>
          <w:fldChar w:fldCharType="end"/>
        </w:r>
      </w:hyperlink>
    </w:p>
    <w:p w14:paraId="2664AC70" w14:textId="78F8A154" w:rsidR="004E2DCB" w:rsidRDefault="000B273D">
      <w:pPr>
        <w:pStyle w:val="TOC1"/>
        <w:rPr>
          <w:rFonts w:asciiTheme="minorHAnsi" w:eastAsiaTheme="minorEastAsia" w:hAnsiTheme="minorHAnsi" w:cstheme="minorBidi"/>
          <w:b w:val="0"/>
          <w:lang w:val="en-US"/>
        </w:rPr>
      </w:pPr>
      <w:hyperlink w:anchor="_Toc90725892" w:history="1">
        <w:r w:rsidR="004E2DCB" w:rsidRPr="00FE5E7F">
          <w:rPr>
            <w:rStyle w:val="Hyperlink"/>
          </w:rPr>
          <w:t>7</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Mureș County</w:t>
        </w:r>
        <w:r w:rsidR="004E2DCB">
          <w:rPr>
            <w:webHidden/>
          </w:rPr>
          <w:tab/>
        </w:r>
        <w:r w:rsidR="004E2DCB">
          <w:rPr>
            <w:webHidden/>
          </w:rPr>
          <w:fldChar w:fldCharType="begin"/>
        </w:r>
        <w:r w:rsidR="004E2DCB">
          <w:rPr>
            <w:webHidden/>
          </w:rPr>
          <w:instrText xml:space="preserve"> PAGEREF _Toc90725892 \h </w:instrText>
        </w:r>
        <w:r w:rsidR="004E2DCB">
          <w:rPr>
            <w:webHidden/>
          </w:rPr>
        </w:r>
        <w:r w:rsidR="004E2DCB">
          <w:rPr>
            <w:webHidden/>
          </w:rPr>
          <w:fldChar w:fldCharType="separate"/>
        </w:r>
        <w:r w:rsidR="004E2DCB">
          <w:rPr>
            <w:webHidden/>
          </w:rPr>
          <w:t>187</w:t>
        </w:r>
        <w:r w:rsidR="004E2DCB">
          <w:rPr>
            <w:webHidden/>
          </w:rPr>
          <w:fldChar w:fldCharType="end"/>
        </w:r>
      </w:hyperlink>
    </w:p>
    <w:p w14:paraId="7F380BA4" w14:textId="57026A54" w:rsidR="004E2DCB" w:rsidRDefault="000B273D">
      <w:pPr>
        <w:pStyle w:val="TOC2"/>
        <w:rPr>
          <w:rFonts w:asciiTheme="minorHAnsi" w:eastAsiaTheme="minorEastAsia" w:hAnsiTheme="minorHAnsi" w:cstheme="minorBidi"/>
          <w:noProof/>
          <w:lang w:val="en-US"/>
        </w:rPr>
      </w:pPr>
      <w:hyperlink w:anchor="_Toc90725893" w:history="1">
        <w:r w:rsidR="004E2DCB" w:rsidRPr="00FE5E7F">
          <w:rPr>
            <w:rStyle w:val="Hyperlink"/>
            <w:noProof/>
          </w:rPr>
          <w:t>7.1</w:t>
        </w:r>
        <w:r w:rsidR="004E2DCB">
          <w:rPr>
            <w:rFonts w:asciiTheme="minorHAnsi" w:eastAsiaTheme="minorEastAsia" w:hAnsiTheme="minorHAnsi" w:cstheme="minorBidi"/>
            <w:noProof/>
            <w:lang w:val="en-US"/>
          </w:rPr>
          <w:tab/>
        </w:r>
        <w:r w:rsidR="004E2DCB" w:rsidRPr="00FE5E7F">
          <w:rPr>
            <w:rStyle w:val="Hyperlink"/>
            <w:noProof/>
          </w:rPr>
          <w:t>Logic of the intervention for Mureș County</w:t>
        </w:r>
        <w:r w:rsidR="004E2DCB">
          <w:rPr>
            <w:noProof/>
            <w:webHidden/>
          </w:rPr>
          <w:tab/>
        </w:r>
        <w:r w:rsidR="004E2DCB">
          <w:rPr>
            <w:noProof/>
            <w:webHidden/>
          </w:rPr>
          <w:fldChar w:fldCharType="begin"/>
        </w:r>
        <w:r w:rsidR="004E2DCB">
          <w:rPr>
            <w:noProof/>
            <w:webHidden/>
          </w:rPr>
          <w:instrText xml:space="preserve"> PAGEREF _Toc90725893 \h </w:instrText>
        </w:r>
        <w:r w:rsidR="004E2DCB">
          <w:rPr>
            <w:noProof/>
            <w:webHidden/>
          </w:rPr>
        </w:r>
        <w:r w:rsidR="004E2DCB">
          <w:rPr>
            <w:noProof/>
            <w:webHidden/>
          </w:rPr>
          <w:fldChar w:fldCharType="separate"/>
        </w:r>
        <w:r w:rsidR="004E2DCB">
          <w:rPr>
            <w:noProof/>
            <w:webHidden/>
          </w:rPr>
          <w:t>187</w:t>
        </w:r>
        <w:r w:rsidR="004E2DCB">
          <w:rPr>
            <w:noProof/>
            <w:webHidden/>
          </w:rPr>
          <w:fldChar w:fldCharType="end"/>
        </w:r>
      </w:hyperlink>
    </w:p>
    <w:p w14:paraId="2423934F" w14:textId="42679B9E" w:rsidR="004E2DCB" w:rsidRDefault="000B273D">
      <w:pPr>
        <w:pStyle w:val="TOC2"/>
        <w:rPr>
          <w:rFonts w:asciiTheme="minorHAnsi" w:eastAsiaTheme="minorEastAsia" w:hAnsiTheme="minorHAnsi" w:cstheme="minorBidi"/>
          <w:noProof/>
          <w:lang w:val="en-US"/>
        </w:rPr>
      </w:pPr>
      <w:hyperlink w:anchor="_Toc90725894" w:history="1">
        <w:r w:rsidR="004E2DCB" w:rsidRPr="00FE5E7F">
          <w:rPr>
            <w:rStyle w:val="Hyperlink"/>
            <w:noProof/>
          </w:rPr>
          <w:t>7.2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_Toc90725894 \h </w:instrText>
        </w:r>
        <w:r w:rsidR="004E2DCB">
          <w:rPr>
            <w:noProof/>
            <w:webHidden/>
          </w:rPr>
        </w:r>
        <w:r w:rsidR="004E2DCB">
          <w:rPr>
            <w:noProof/>
            <w:webHidden/>
          </w:rPr>
          <w:fldChar w:fldCharType="separate"/>
        </w:r>
        <w:r w:rsidR="004E2DCB">
          <w:rPr>
            <w:noProof/>
            <w:webHidden/>
          </w:rPr>
          <w:t>189</w:t>
        </w:r>
        <w:r w:rsidR="004E2DCB">
          <w:rPr>
            <w:noProof/>
            <w:webHidden/>
          </w:rPr>
          <w:fldChar w:fldCharType="end"/>
        </w:r>
      </w:hyperlink>
    </w:p>
    <w:p w14:paraId="03D6F394" w14:textId="7789AD4E" w:rsidR="004E2DCB" w:rsidRDefault="000B273D">
      <w:pPr>
        <w:pStyle w:val="TOC2"/>
        <w:rPr>
          <w:rFonts w:asciiTheme="minorHAnsi" w:eastAsiaTheme="minorEastAsia" w:hAnsiTheme="minorHAnsi" w:cstheme="minorBidi"/>
          <w:noProof/>
          <w:lang w:val="en-US"/>
        </w:rPr>
      </w:pPr>
      <w:hyperlink w:anchor="_Toc90725895" w:history="1">
        <w:r w:rsidR="004E2DCB" w:rsidRPr="00FE5E7F">
          <w:rPr>
            <w:rStyle w:val="Hyperlink"/>
            <w:noProof/>
          </w:rPr>
          <w:t>7.3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_Toc90725895 \h </w:instrText>
        </w:r>
        <w:r w:rsidR="004E2DCB">
          <w:rPr>
            <w:noProof/>
            <w:webHidden/>
          </w:rPr>
        </w:r>
        <w:r w:rsidR="004E2DCB">
          <w:rPr>
            <w:noProof/>
            <w:webHidden/>
          </w:rPr>
          <w:fldChar w:fldCharType="separate"/>
        </w:r>
        <w:r w:rsidR="004E2DCB">
          <w:rPr>
            <w:noProof/>
            <w:webHidden/>
          </w:rPr>
          <w:t>200</w:t>
        </w:r>
        <w:r w:rsidR="004E2DCB">
          <w:rPr>
            <w:noProof/>
            <w:webHidden/>
          </w:rPr>
          <w:fldChar w:fldCharType="end"/>
        </w:r>
      </w:hyperlink>
    </w:p>
    <w:p w14:paraId="684B18E1" w14:textId="7E97C1F8" w:rsidR="004E2DCB" w:rsidRDefault="000B273D">
      <w:pPr>
        <w:pStyle w:val="TOC2"/>
        <w:rPr>
          <w:rFonts w:asciiTheme="minorHAnsi" w:eastAsiaTheme="minorEastAsia" w:hAnsiTheme="minorHAnsi" w:cstheme="minorBidi"/>
          <w:noProof/>
          <w:lang w:val="en-US"/>
        </w:rPr>
      </w:pPr>
      <w:hyperlink w:anchor="_Toc90725896" w:history="1">
        <w:r w:rsidR="004E2DCB" w:rsidRPr="00FE5E7F">
          <w:rPr>
            <w:rStyle w:val="Hyperlink"/>
            <w:noProof/>
          </w:rPr>
          <w:t>7.4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Mureș County</w:t>
        </w:r>
        <w:r w:rsidR="004E2DCB">
          <w:rPr>
            <w:noProof/>
            <w:webHidden/>
          </w:rPr>
          <w:tab/>
        </w:r>
        <w:r w:rsidR="004E2DCB">
          <w:rPr>
            <w:noProof/>
            <w:webHidden/>
          </w:rPr>
          <w:fldChar w:fldCharType="begin"/>
        </w:r>
        <w:r w:rsidR="004E2DCB">
          <w:rPr>
            <w:noProof/>
            <w:webHidden/>
          </w:rPr>
          <w:instrText xml:space="preserve"> PAGEREF _Toc90725896 \h </w:instrText>
        </w:r>
        <w:r w:rsidR="004E2DCB">
          <w:rPr>
            <w:noProof/>
            <w:webHidden/>
          </w:rPr>
        </w:r>
        <w:r w:rsidR="004E2DCB">
          <w:rPr>
            <w:noProof/>
            <w:webHidden/>
          </w:rPr>
          <w:fldChar w:fldCharType="separate"/>
        </w:r>
        <w:r w:rsidR="004E2DCB">
          <w:rPr>
            <w:noProof/>
            <w:webHidden/>
          </w:rPr>
          <w:t>201</w:t>
        </w:r>
        <w:r w:rsidR="004E2DCB">
          <w:rPr>
            <w:noProof/>
            <w:webHidden/>
          </w:rPr>
          <w:fldChar w:fldCharType="end"/>
        </w:r>
      </w:hyperlink>
    </w:p>
    <w:p w14:paraId="24065EB6" w14:textId="618E9B8F" w:rsidR="004E2DCB" w:rsidRDefault="000B273D">
      <w:pPr>
        <w:pStyle w:val="TOC2"/>
        <w:rPr>
          <w:rFonts w:asciiTheme="minorHAnsi" w:eastAsiaTheme="minorEastAsia" w:hAnsiTheme="minorHAnsi" w:cstheme="minorBidi"/>
          <w:noProof/>
          <w:lang w:val="en-US"/>
        </w:rPr>
      </w:pPr>
      <w:hyperlink w:anchor="_Toc90725897" w:history="1">
        <w:r w:rsidR="004E2DCB" w:rsidRPr="00FE5E7F">
          <w:rPr>
            <w:rStyle w:val="Hyperlink"/>
            <w:noProof/>
          </w:rPr>
          <w:t>7.5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Mureș County</w:t>
        </w:r>
        <w:r w:rsidR="004E2DCB">
          <w:rPr>
            <w:noProof/>
            <w:webHidden/>
          </w:rPr>
          <w:tab/>
        </w:r>
        <w:r w:rsidR="004E2DCB">
          <w:rPr>
            <w:noProof/>
            <w:webHidden/>
          </w:rPr>
          <w:fldChar w:fldCharType="begin"/>
        </w:r>
        <w:r w:rsidR="004E2DCB">
          <w:rPr>
            <w:noProof/>
            <w:webHidden/>
          </w:rPr>
          <w:instrText xml:space="preserve"> PAGEREF _Toc90725897 \h </w:instrText>
        </w:r>
        <w:r w:rsidR="004E2DCB">
          <w:rPr>
            <w:noProof/>
            <w:webHidden/>
          </w:rPr>
        </w:r>
        <w:r w:rsidR="004E2DCB">
          <w:rPr>
            <w:noProof/>
            <w:webHidden/>
          </w:rPr>
          <w:fldChar w:fldCharType="separate"/>
        </w:r>
        <w:r w:rsidR="004E2DCB">
          <w:rPr>
            <w:noProof/>
            <w:webHidden/>
          </w:rPr>
          <w:t>203</w:t>
        </w:r>
        <w:r w:rsidR="004E2DCB">
          <w:rPr>
            <w:noProof/>
            <w:webHidden/>
          </w:rPr>
          <w:fldChar w:fldCharType="end"/>
        </w:r>
      </w:hyperlink>
    </w:p>
    <w:p w14:paraId="236C1FF8" w14:textId="7EE43DF1" w:rsidR="004E2DCB" w:rsidRDefault="000B273D">
      <w:pPr>
        <w:pStyle w:val="TOC2"/>
        <w:rPr>
          <w:rFonts w:asciiTheme="minorHAnsi" w:eastAsiaTheme="minorEastAsia" w:hAnsiTheme="minorHAnsi" w:cstheme="minorBidi"/>
          <w:noProof/>
          <w:lang w:val="en-US"/>
        </w:rPr>
      </w:pPr>
      <w:hyperlink w:anchor="_Toc90725898" w:history="1">
        <w:r w:rsidR="004E2DCB" w:rsidRPr="00FE5E7F">
          <w:rPr>
            <w:rStyle w:val="Hyperlink"/>
            <w:noProof/>
          </w:rPr>
          <w:t>7.6</w:t>
        </w:r>
        <w:r w:rsidR="004E2DCB">
          <w:rPr>
            <w:rFonts w:asciiTheme="minorHAnsi" w:eastAsiaTheme="minorEastAsia" w:hAnsiTheme="minorHAnsi" w:cstheme="minorBidi"/>
            <w:noProof/>
            <w:lang w:val="en-US"/>
          </w:rPr>
          <w:tab/>
        </w:r>
        <w:r w:rsidR="004E2DCB" w:rsidRPr="00FE5E7F">
          <w:rPr>
            <w:rStyle w:val="Hyperlink"/>
            <w:noProof/>
          </w:rPr>
          <w:t>Type of operations needed in Mureș County</w:t>
        </w:r>
        <w:r w:rsidR="004E2DCB">
          <w:rPr>
            <w:noProof/>
            <w:webHidden/>
          </w:rPr>
          <w:tab/>
        </w:r>
        <w:r w:rsidR="004E2DCB">
          <w:rPr>
            <w:noProof/>
            <w:webHidden/>
          </w:rPr>
          <w:fldChar w:fldCharType="begin"/>
        </w:r>
        <w:r w:rsidR="004E2DCB">
          <w:rPr>
            <w:noProof/>
            <w:webHidden/>
          </w:rPr>
          <w:instrText xml:space="preserve"> PAGEREF _Toc90725898 \h </w:instrText>
        </w:r>
        <w:r w:rsidR="004E2DCB">
          <w:rPr>
            <w:noProof/>
            <w:webHidden/>
          </w:rPr>
        </w:r>
        <w:r w:rsidR="004E2DCB">
          <w:rPr>
            <w:noProof/>
            <w:webHidden/>
          </w:rPr>
          <w:fldChar w:fldCharType="separate"/>
        </w:r>
        <w:r w:rsidR="004E2DCB">
          <w:rPr>
            <w:noProof/>
            <w:webHidden/>
          </w:rPr>
          <w:t>204</w:t>
        </w:r>
        <w:r w:rsidR="004E2DCB">
          <w:rPr>
            <w:noProof/>
            <w:webHidden/>
          </w:rPr>
          <w:fldChar w:fldCharType="end"/>
        </w:r>
      </w:hyperlink>
    </w:p>
    <w:p w14:paraId="06133B3F" w14:textId="0AEAE307" w:rsidR="004E2DCB" w:rsidRDefault="000B273D">
      <w:pPr>
        <w:pStyle w:val="TOC2"/>
        <w:rPr>
          <w:rFonts w:asciiTheme="minorHAnsi" w:eastAsiaTheme="minorEastAsia" w:hAnsiTheme="minorHAnsi" w:cstheme="minorBidi"/>
          <w:noProof/>
          <w:lang w:val="en-US"/>
        </w:rPr>
      </w:pPr>
      <w:hyperlink w:anchor="_Toc90725899" w:history="1">
        <w:r w:rsidR="004E2DCB" w:rsidRPr="00FE5E7F">
          <w:rPr>
            <w:rStyle w:val="Hyperlink"/>
            <w:noProof/>
          </w:rPr>
          <w:t>7.7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_Toc90725899 \h </w:instrText>
        </w:r>
        <w:r w:rsidR="004E2DCB">
          <w:rPr>
            <w:noProof/>
            <w:webHidden/>
          </w:rPr>
        </w:r>
        <w:r w:rsidR="004E2DCB">
          <w:rPr>
            <w:noProof/>
            <w:webHidden/>
          </w:rPr>
          <w:fldChar w:fldCharType="separate"/>
        </w:r>
        <w:r w:rsidR="004E2DCB">
          <w:rPr>
            <w:noProof/>
            <w:webHidden/>
          </w:rPr>
          <w:t>208</w:t>
        </w:r>
        <w:r w:rsidR="004E2DCB">
          <w:rPr>
            <w:noProof/>
            <w:webHidden/>
          </w:rPr>
          <w:fldChar w:fldCharType="end"/>
        </w:r>
      </w:hyperlink>
    </w:p>
    <w:p w14:paraId="2AD4A4AC" w14:textId="6F975AFB" w:rsidR="004E2DCB" w:rsidRDefault="000B273D">
      <w:pPr>
        <w:pStyle w:val="TOC2"/>
        <w:rPr>
          <w:rFonts w:asciiTheme="minorHAnsi" w:eastAsiaTheme="minorEastAsia" w:hAnsiTheme="minorHAnsi" w:cstheme="minorBidi"/>
          <w:noProof/>
          <w:lang w:val="en-US"/>
        </w:rPr>
      </w:pPr>
      <w:hyperlink w:anchor="_Toc90725900" w:history="1">
        <w:r w:rsidR="004E2DCB" w:rsidRPr="00FE5E7F">
          <w:rPr>
            <w:rStyle w:val="Hyperlink"/>
            <w:noProof/>
          </w:rPr>
          <w:t>7.8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_Toc90725900 \h </w:instrText>
        </w:r>
        <w:r w:rsidR="004E2DCB">
          <w:rPr>
            <w:noProof/>
            <w:webHidden/>
          </w:rPr>
        </w:r>
        <w:r w:rsidR="004E2DCB">
          <w:rPr>
            <w:noProof/>
            <w:webHidden/>
          </w:rPr>
          <w:fldChar w:fldCharType="separate"/>
        </w:r>
        <w:r w:rsidR="004E2DCB">
          <w:rPr>
            <w:noProof/>
            <w:webHidden/>
          </w:rPr>
          <w:t>210</w:t>
        </w:r>
        <w:r w:rsidR="004E2DCB">
          <w:rPr>
            <w:noProof/>
            <w:webHidden/>
          </w:rPr>
          <w:fldChar w:fldCharType="end"/>
        </w:r>
      </w:hyperlink>
    </w:p>
    <w:p w14:paraId="3ABE2A95" w14:textId="2B6F72D8" w:rsidR="004E2DCB" w:rsidRDefault="000B273D">
      <w:pPr>
        <w:pStyle w:val="TOC1"/>
        <w:rPr>
          <w:rFonts w:asciiTheme="minorHAnsi" w:eastAsiaTheme="minorEastAsia" w:hAnsiTheme="minorHAnsi" w:cstheme="minorBidi"/>
          <w:b w:val="0"/>
          <w:lang w:val="en-US"/>
        </w:rPr>
      </w:pPr>
      <w:hyperlink w:anchor="_Toc90725901" w:history="1">
        <w:r w:rsidR="004E2DCB" w:rsidRPr="00FE5E7F">
          <w:rPr>
            <w:rStyle w:val="Hyperlink"/>
          </w:rPr>
          <w:t>8</w:t>
        </w:r>
        <w:r w:rsidR="004E2DCB">
          <w:rPr>
            <w:rFonts w:asciiTheme="minorHAnsi" w:eastAsiaTheme="minorEastAsia" w:hAnsiTheme="minorHAnsi" w:cstheme="minorBidi"/>
            <w:b w:val="0"/>
            <w:lang w:val="en-US"/>
          </w:rPr>
          <w:tab/>
        </w:r>
        <w:r w:rsidR="004E2DCB" w:rsidRPr="00FE5E7F">
          <w:rPr>
            <w:rStyle w:val="Hyperlink"/>
          </w:rPr>
          <w:t>Just Transition Assessment, Actions and Investment Needs for Galați county</w:t>
        </w:r>
        <w:r w:rsidR="004E2DCB">
          <w:rPr>
            <w:webHidden/>
          </w:rPr>
          <w:tab/>
        </w:r>
        <w:r w:rsidR="004E2DCB">
          <w:rPr>
            <w:webHidden/>
          </w:rPr>
          <w:fldChar w:fldCharType="begin"/>
        </w:r>
        <w:r w:rsidR="004E2DCB">
          <w:rPr>
            <w:webHidden/>
          </w:rPr>
          <w:instrText xml:space="preserve"> PAGEREF _Toc90725901 \h </w:instrText>
        </w:r>
        <w:r w:rsidR="004E2DCB">
          <w:rPr>
            <w:webHidden/>
          </w:rPr>
        </w:r>
        <w:r w:rsidR="004E2DCB">
          <w:rPr>
            <w:webHidden/>
          </w:rPr>
          <w:fldChar w:fldCharType="separate"/>
        </w:r>
        <w:r w:rsidR="004E2DCB">
          <w:rPr>
            <w:webHidden/>
          </w:rPr>
          <w:t>215</w:t>
        </w:r>
        <w:r w:rsidR="004E2DCB">
          <w:rPr>
            <w:webHidden/>
          </w:rPr>
          <w:fldChar w:fldCharType="end"/>
        </w:r>
      </w:hyperlink>
    </w:p>
    <w:p w14:paraId="2C7476A3" w14:textId="08355054" w:rsidR="004E2DCB" w:rsidRDefault="000B273D">
      <w:pPr>
        <w:pStyle w:val="TOC2"/>
        <w:rPr>
          <w:rFonts w:asciiTheme="minorHAnsi" w:eastAsiaTheme="minorEastAsia" w:hAnsiTheme="minorHAnsi" w:cstheme="minorBidi"/>
          <w:noProof/>
          <w:lang w:val="en-US"/>
        </w:rPr>
      </w:pPr>
      <w:hyperlink w:anchor="_Toc90725902" w:history="1">
        <w:r w:rsidR="004E2DCB" w:rsidRPr="00FE5E7F">
          <w:rPr>
            <w:rStyle w:val="Hyperlink"/>
            <w:noProof/>
          </w:rPr>
          <w:t>8.1</w:t>
        </w:r>
        <w:r w:rsidR="004E2DCB">
          <w:rPr>
            <w:rFonts w:asciiTheme="minorHAnsi" w:eastAsiaTheme="minorEastAsia" w:hAnsiTheme="minorHAnsi" w:cstheme="minorBidi"/>
            <w:noProof/>
            <w:lang w:val="en-US"/>
          </w:rPr>
          <w:tab/>
        </w:r>
        <w:r w:rsidR="004E2DCB" w:rsidRPr="00FE5E7F">
          <w:rPr>
            <w:rStyle w:val="Hyperlink"/>
            <w:noProof/>
          </w:rPr>
          <w:t>Logic of the intervention for Galați County</w:t>
        </w:r>
        <w:r w:rsidR="004E2DCB">
          <w:rPr>
            <w:noProof/>
            <w:webHidden/>
          </w:rPr>
          <w:tab/>
        </w:r>
        <w:r w:rsidR="004E2DCB">
          <w:rPr>
            <w:noProof/>
            <w:webHidden/>
          </w:rPr>
          <w:fldChar w:fldCharType="begin"/>
        </w:r>
        <w:r w:rsidR="004E2DCB">
          <w:rPr>
            <w:noProof/>
            <w:webHidden/>
          </w:rPr>
          <w:instrText xml:space="preserve"> PAGEREF _Toc90725902 \h </w:instrText>
        </w:r>
        <w:r w:rsidR="004E2DCB">
          <w:rPr>
            <w:noProof/>
            <w:webHidden/>
          </w:rPr>
        </w:r>
        <w:r w:rsidR="004E2DCB">
          <w:rPr>
            <w:noProof/>
            <w:webHidden/>
          </w:rPr>
          <w:fldChar w:fldCharType="separate"/>
        </w:r>
        <w:r w:rsidR="004E2DCB">
          <w:rPr>
            <w:noProof/>
            <w:webHidden/>
          </w:rPr>
          <w:t>215</w:t>
        </w:r>
        <w:r w:rsidR="004E2DCB">
          <w:rPr>
            <w:noProof/>
            <w:webHidden/>
          </w:rPr>
          <w:fldChar w:fldCharType="end"/>
        </w:r>
      </w:hyperlink>
    </w:p>
    <w:p w14:paraId="0AF82342" w14:textId="4807BBD7" w:rsidR="004E2DCB" w:rsidRDefault="000B273D">
      <w:pPr>
        <w:pStyle w:val="TOC2"/>
        <w:rPr>
          <w:rFonts w:asciiTheme="minorHAnsi" w:eastAsiaTheme="minorEastAsia" w:hAnsiTheme="minorHAnsi" w:cstheme="minorBidi"/>
          <w:noProof/>
          <w:lang w:val="en-US"/>
        </w:rPr>
      </w:pPr>
      <w:hyperlink w:anchor="_Toc90725903" w:history="1">
        <w:r w:rsidR="004E2DCB" w:rsidRPr="00FE5E7F">
          <w:rPr>
            <w:rStyle w:val="Hyperlink"/>
            <w:noProof/>
          </w:rPr>
          <w:t>8.2</w:t>
        </w:r>
        <w:r w:rsidR="004E2DCB">
          <w:rPr>
            <w:rFonts w:asciiTheme="minorHAnsi" w:eastAsiaTheme="minorEastAsia" w:hAnsiTheme="minorHAnsi" w:cstheme="minorBidi"/>
            <w:noProof/>
            <w:lang w:val="en-US"/>
          </w:rPr>
          <w:tab/>
        </w:r>
        <w:r w:rsidR="004E2DCB" w:rsidRPr="00FE5E7F">
          <w:rPr>
            <w:rStyle w:val="Hyperlink"/>
            <w:noProof/>
          </w:rPr>
          <w:t>Assessment of the transition challenges at the political-administrative, economic and employment, environmental, socio-cultural and digital/ technological levels</w:t>
        </w:r>
        <w:r w:rsidR="004E2DCB">
          <w:rPr>
            <w:noProof/>
            <w:webHidden/>
          </w:rPr>
          <w:tab/>
        </w:r>
        <w:r w:rsidR="004E2DCB">
          <w:rPr>
            <w:noProof/>
            <w:webHidden/>
          </w:rPr>
          <w:fldChar w:fldCharType="begin"/>
        </w:r>
        <w:r w:rsidR="004E2DCB">
          <w:rPr>
            <w:noProof/>
            <w:webHidden/>
          </w:rPr>
          <w:instrText xml:space="preserve"> PAGEREF _Toc90725903 \h </w:instrText>
        </w:r>
        <w:r w:rsidR="004E2DCB">
          <w:rPr>
            <w:noProof/>
            <w:webHidden/>
          </w:rPr>
        </w:r>
        <w:r w:rsidR="004E2DCB">
          <w:rPr>
            <w:noProof/>
            <w:webHidden/>
          </w:rPr>
          <w:fldChar w:fldCharType="separate"/>
        </w:r>
        <w:r w:rsidR="004E2DCB">
          <w:rPr>
            <w:noProof/>
            <w:webHidden/>
          </w:rPr>
          <w:t>217</w:t>
        </w:r>
        <w:r w:rsidR="004E2DCB">
          <w:rPr>
            <w:noProof/>
            <w:webHidden/>
          </w:rPr>
          <w:fldChar w:fldCharType="end"/>
        </w:r>
      </w:hyperlink>
    </w:p>
    <w:p w14:paraId="6C6D5EDC" w14:textId="1A60D867" w:rsidR="004E2DCB" w:rsidRDefault="000B273D">
      <w:pPr>
        <w:pStyle w:val="TOC2"/>
        <w:rPr>
          <w:rFonts w:asciiTheme="minorHAnsi" w:eastAsiaTheme="minorEastAsia" w:hAnsiTheme="minorHAnsi" w:cstheme="minorBidi"/>
          <w:noProof/>
          <w:lang w:val="en-US"/>
        </w:rPr>
      </w:pPr>
      <w:hyperlink w:anchor="_Toc90725904" w:history="1">
        <w:r w:rsidR="004E2DCB" w:rsidRPr="00FE5E7F">
          <w:rPr>
            <w:rStyle w:val="Hyperlink"/>
            <w:noProof/>
          </w:rPr>
          <w:t>8.3</w:t>
        </w:r>
        <w:r w:rsidR="004E2DCB">
          <w:rPr>
            <w:rFonts w:asciiTheme="minorHAnsi" w:eastAsiaTheme="minorEastAsia" w:hAnsiTheme="minorHAnsi" w:cstheme="minorBidi"/>
            <w:noProof/>
            <w:lang w:val="en-US"/>
          </w:rPr>
          <w:tab/>
        </w:r>
        <w:r w:rsidR="004E2DCB" w:rsidRPr="00FE5E7F">
          <w:rPr>
            <w:rStyle w:val="Hyperlink"/>
            <w:noProof/>
          </w:rPr>
          <w:t>SWOT analysis and strategic outlook</w:t>
        </w:r>
        <w:r w:rsidR="004E2DCB">
          <w:rPr>
            <w:noProof/>
            <w:webHidden/>
          </w:rPr>
          <w:tab/>
        </w:r>
        <w:r w:rsidR="004E2DCB">
          <w:rPr>
            <w:noProof/>
            <w:webHidden/>
          </w:rPr>
          <w:fldChar w:fldCharType="begin"/>
        </w:r>
        <w:r w:rsidR="004E2DCB">
          <w:rPr>
            <w:noProof/>
            <w:webHidden/>
          </w:rPr>
          <w:instrText xml:space="preserve"> PAGEREF _Toc90725904 \h </w:instrText>
        </w:r>
        <w:r w:rsidR="004E2DCB">
          <w:rPr>
            <w:noProof/>
            <w:webHidden/>
          </w:rPr>
        </w:r>
        <w:r w:rsidR="004E2DCB">
          <w:rPr>
            <w:noProof/>
            <w:webHidden/>
          </w:rPr>
          <w:fldChar w:fldCharType="separate"/>
        </w:r>
        <w:r w:rsidR="004E2DCB">
          <w:rPr>
            <w:noProof/>
            <w:webHidden/>
          </w:rPr>
          <w:t>229</w:t>
        </w:r>
        <w:r w:rsidR="004E2DCB">
          <w:rPr>
            <w:noProof/>
            <w:webHidden/>
          </w:rPr>
          <w:fldChar w:fldCharType="end"/>
        </w:r>
      </w:hyperlink>
    </w:p>
    <w:p w14:paraId="3ADD0D7E" w14:textId="2620748B" w:rsidR="004E2DCB" w:rsidRDefault="000B273D">
      <w:pPr>
        <w:pStyle w:val="TOC2"/>
        <w:rPr>
          <w:rFonts w:asciiTheme="minorHAnsi" w:eastAsiaTheme="minorEastAsia" w:hAnsiTheme="minorHAnsi" w:cstheme="minorBidi"/>
          <w:noProof/>
          <w:lang w:val="en-US"/>
        </w:rPr>
      </w:pPr>
      <w:hyperlink w:anchor="_Toc90725905" w:history="1">
        <w:r w:rsidR="004E2DCB" w:rsidRPr="00FE5E7F">
          <w:rPr>
            <w:rStyle w:val="Hyperlink"/>
            <w:noProof/>
          </w:rPr>
          <w:t>8.4</w:t>
        </w:r>
        <w:r w:rsidR="004E2DCB">
          <w:rPr>
            <w:rFonts w:asciiTheme="minorHAnsi" w:eastAsiaTheme="minorEastAsia" w:hAnsiTheme="minorHAnsi" w:cstheme="minorBidi"/>
            <w:noProof/>
            <w:lang w:val="en-US"/>
          </w:rPr>
          <w:tab/>
        </w:r>
        <w:r w:rsidR="004E2DCB" w:rsidRPr="00FE5E7F">
          <w:rPr>
            <w:rStyle w:val="Hyperlink"/>
            <w:noProof/>
          </w:rPr>
          <w:t>Results of occupational mismatch analysis in Galați County</w:t>
        </w:r>
        <w:r w:rsidR="004E2DCB">
          <w:rPr>
            <w:noProof/>
            <w:webHidden/>
          </w:rPr>
          <w:tab/>
        </w:r>
        <w:r w:rsidR="004E2DCB">
          <w:rPr>
            <w:noProof/>
            <w:webHidden/>
          </w:rPr>
          <w:fldChar w:fldCharType="begin"/>
        </w:r>
        <w:r w:rsidR="004E2DCB">
          <w:rPr>
            <w:noProof/>
            <w:webHidden/>
          </w:rPr>
          <w:instrText xml:space="preserve"> PAGEREF _Toc90725905 \h </w:instrText>
        </w:r>
        <w:r w:rsidR="004E2DCB">
          <w:rPr>
            <w:noProof/>
            <w:webHidden/>
          </w:rPr>
        </w:r>
        <w:r w:rsidR="004E2DCB">
          <w:rPr>
            <w:noProof/>
            <w:webHidden/>
          </w:rPr>
          <w:fldChar w:fldCharType="separate"/>
        </w:r>
        <w:r w:rsidR="004E2DCB">
          <w:rPr>
            <w:noProof/>
            <w:webHidden/>
          </w:rPr>
          <w:t>231</w:t>
        </w:r>
        <w:r w:rsidR="004E2DCB">
          <w:rPr>
            <w:noProof/>
            <w:webHidden/>
          </w:rPr>
          <w:fldChar w:fldCharType="end"/>
        </w:r>
      </w:hyperlink>
    </w:p>
    <w:p w14:paraId="4D5B6015" w14:textId="581E210D" w:rsidR="004E2DCB" w:rsidRDefault="000B273D">
      <w:pPr>
        <w:pStyle w:val="TOC2"/>
        <w:rPr>
          <w:rFonts w:asciiTheme="minorHAnsi" w:eastAsiaTheme="minorEastAsia" w:hAnsiTheme="minorHAnsi" w:cstheme="minorBidi"/>
          <w:noProof/>
          <w:lang w:val="en-US"/>
        </w:rPr>
      </w:pPr>
      <w:hyperlink w:anchor="_Toc90725906" w:history="1">
        <w:r w:rsidR="004E2DCB" w:rsidRPr="00FE5E7F">
          <w:rPr>
            <w:rStyle w:val="Hyperlink"/>
            <w:noProof/>
          </w:rPr>
          <w:t>8.5</w:t>
        </w:r>
        <w:r w:rsidR="004E2DCB">
          <w:rPr>
            <w:rFonts w:asciiTheme="minorHAnsi" w:eastAsiaTheme="minorEastAsia" w:hAnsiTheme="minorHAnsi" w:cstheme="minorBidi"/>
            <w:noProof/>
            <w:lang w:val="en-US"/>
          </w:rPr>
          <w:tab/>
        </w:r>
        <w:r w:rsidR="004E2DCB" w:rsidRPr="00FE5E7F">
          <w:rPr>
            <w:rStyle w:val="Hyperlink"/>
            <w:noProof/>
          </w:rPr>
          <w:t>Employment and GVA impact by illustrative action in Galați County</w:t>
        </w:r>
        <w:r w:rsidR="004E2DCB">
          <w:rPr>
            <w:noProof/>
            <w:webHidden/>
          </w:rPr>
          <w:tab/>
        </w:r>
        <w:r w:rsidR="004E2DCB">
          <w:rPr>
            <w:noProof/>
            <w:webHidden/>
          </w:rPr>
          <w:fldChar w:fldCharType="begin"/>
        </w:r>
        <w:r w:rsidR="004E2DCB">
          <w:rPr>
            <w:noProof/>
            <w:webHidden/>
          </w:rPr>
          <w:instrText xml:space="preserve"> PAGEREF _Toc90725906 \h </w:instrText>
        </w:r>
        <w:r w:rsidR="004E2DCB">
          <w:rPr>
            <w:noProof/>
            <w:webHidden/>
          </w:rPr>
        </w:r>
        <w:r w:rsidR="004E2DCB">
          <w:rPr>
            <w:noProof/>
            <w:webHidden/>
          </w:rPr>
          <w:fldChar w:fldCharType="separate"/>
        </w:r>
        <w:r w:rsidR="004E2DCB">
          <w:rPr>
            <w:noProof/>
            <w:webHidden/>
          </w:rPr>
          <w:t>232</w:t>
        </w:r>
        <w:r w:rsidR="004E2DCB">
          <w:rPr>
            <w:noProof/>
            <w:webHidden/>
          </w:rPr>
          <w:fldChar w:fldCharType="end"/>
        </w:r>
      </w:hyperlink>
    </w:p>
    <w:p w14:paraId="4581E024" w14:textId="1EDA1B86" w:rsidR="004E2DCB" w:rsidRDefault="000B273D">
      <w:pPr>
        <w:pStyle w:val="TOC2"/>
        <w:rPr>
          <w:rFonts w:asciiTheme="minorHAnsi" w:eastAsiaTheme="minorEastAsia" w:hAnsiTheme="minorHAnsi" w:cstheme="minorBidi"/>
          <w:noProof/>
          <w:lang w:val="en-US"/>
        </w:rPr>
      </w:pPr>
      <w:hyperlink w:anchor="_Toc90725907" w:history="1">
        <w:r w:rsidR="004E2DCB" w:rsidRPr="00FE5E7F">
          <w:rPr>
            <w:rStyle w:val="Hyperlink"/>
            <w:noProof/>
          </w:rPr>
          <w:t>8.6</w:t>
        </w:r>
        <w:r w:rsidR="004E2DCB">
          <w:rPr>
            <w:rFonts w:asciiTheme="minorHAnsi" w:eastAsiaTheme="minorEastAsia" w:hAnsiTheme="minorHAnsi" w:cstheme="minorBidi"/>
            <w:noProof/>
            <w:lang w:val="en-US"/>
          </w:rPr>
          <w:tab/>
        </w:r>
        <w:r w:rsidR="004E2DCB" w:rsidRPr="00FE5E7F">
          <w:rPr>
            <w:rStyle w:val="Hyperlink"/>
            <w:noProof/>
          </w:rPr>
          <w:t>Type of operations needed in Galați county</w:t>
        </w:r>
        <w:r w:rsidR="004E2DCB">
          <w:rPr>
            <w:noProof/>
            <w:webHidden/>
          </w:rPr>
          <w:tab/>
        </w:r>
        <w:r w:rsidR="004E2DCB">
          <w:rPr>
            <w:noProof/>
            <w:webHidden/>
          </w:rPr>
          <w:fldChar w:fldCharType="begin"/>
        </w:r>
        <w:r w:rsidR="004E2DCB">
          <w:rPr>
            <w:noProof/>
            <w:webHidden/>
          </w:rPr>
          <w:instrText xml:space="preserve"> PAGEREF _Toc90725907 \h </w:instrText>
        </w:r>
        <w:r w:rsidR="004E2DCB">
          <w:rPr>
            <w:noProof/>
            <w:webHidden/>
          </w:rPr>
        </w:r>
        <w:r w:rsidR="004E2DCB">
          <w:rPr>
            <w:noProof/>
            <w:webHidden/>
          </w:rPr>
          <w:fldChar w:fldCharType="separate"/>
        </w:r>
        <w:r w:rsidR="004E2DCB">
          <w:rPr>
            <w:noProof/>
            <w:webHidden/>
          </w:rPr>
          <w:t>233</w:t>
        </w:r>
        <w:r w:rsidR="004E2DCB">
          <w:rPr>
            <w:noProof/>
            <w:webHidden/>
          </w:rPr>
          <w:fldChar w:fldCharType="end"/>
        </w:r>
      </w:hyperlink>
    </w:p>
    <w:p w14:paraId="2280AF1B" w14:textId="77A21BDF" w:rsidR="004E2DCB" w:rsidRDefault="000B273D">
      <w:pPr>
        <w:pStyle w:val="TOC2"/>
        <w:rPr>
          <w:rFonts w:asciiTheme="minorHAnsi" w:eastAsiaTheme="minorEastAsia" w:hAnsiTheme="minorHAnsi" w:cstheme="minorBidi"/>
          <w:noProof/>
          <w:lang w:val="en-US"/>
        </w:rPr>
      </w:pPr>
      <w:hyperlink w:anchor="_Toc90725908" w:history="1">
        <w:r w:rsidR="004E2DCB" w:rsidRPr="00FE5E7F">
          <w:rPr>
            <w:rStyle w:val="Hyperlink"/>
            <w:noProof/>
          </w:rPr>
          <w:t>8.7</w:t>
        </w:r>
        <w:r w:rsidR="004E2DCB">
          <w:rPr>
            <w:rFonts w:asciiTheme="minorHAnsi" w:eastAsiaTheme="minorEastAsia" w:hAnsiTheme="minorHAnsi" w:cstheme="minorBidi"/>
            <w:noProof/>
            <w:lang w:val="en-US"/>
          </w:rPr>
          <w:tab/>
        </w:r>
        <w:r w:rsidR="004E2DCB" w:rsidRPr="00FE5E7F">
          <w:rPr>
            <w:rStyle w:val="Hyperlink"/>
            <w:noProof/>
          </w:rPr>
          <w:t>Synergies/complementarities/consistency with other programmes</w:t>
        </w:r>
        <w:r w:rsidR="004E2DCB">
          <w:rPr>
            <w:noProof/>
            <w:webHidden/>
          </w:rPr>
          <w:tab/>
        </w:r>
        <w:r w:rsidR="004E2DCB">
          <w:rPr>
            <w:noProof/>
            <w:webHidden/>
          </w:rPr>
          <w:fldChar w:fldCharType="begin"/>
        </w:r>
        <w:r w:rsidR="004E2DCB">
          <w:rPr>
            <w:noProof/>
            <w:webHidden/>
          </w:rPr>
          <w:instrText xml:space="preserve"> PAGEREF _Toc90725908 \h </w:instrText>
        </w:r>
        <w:r w:rsidR="004E2DCB">
          <w:rPr>
            <w:noProof/>
            <w:webHidden/>
          </w:rPr>
        </w:r>
        <w:r w:rsidR="004E2DCB">
          <w:rPr>
            <w:noProof/>
            <w:webHidden/>
          </w:rPr>
          <w:fldChar w:fldCharType="separate"/>
        </w:r>
        <w:r w:rsidR="004E2DCB">
          <w:rPr>
            <w:noProof/>
            <w:webHidden/>
          </w:rPr>
          <w:t>237</w:t>
        </w:r>
        <w:r w:rsidR="004E2DCB">
          <w:rPr>
            <w:noProof/>
            <w:webHidden/>
          </w:rPr>
          <w:fldChar w:fldCharType="end"/>
        </w:r>
      </w:hyperlink>
    </w:p>
    <w:p w14:paraId="3DCA531C" w14:textId="760E69B8" w:rsidR="004E2DCB" w:rsidRDefault="000B273D">
      <w:pPr>
        <w:pStyle w:val="TOC2"/>
        <w:rPr>
          <w:rFonts w:asciiTheme="minorHAnsi" w:eastAsiaTheme="minorEastAsia" w:hAnsiTheme="minorHAnsi" w:cstheme="minorBidi"/>
          <w:noProof/>
          <w:lang w:val="en-US"/>
        </w:rPr>
      </w:pPr>
      <w:hyperlink w:anchor="_Toc90725909" w:history="1">
        <w:r w:rsidR="004E2DCB" w:rsidRPr="00FE5E7F">
          <w:rPr>
            <w:rStyle w:val="Hyperlink"/>
            <w:noProof/>
          </w:rPr>
          <w:t>8.8</w:t>
        </w:r>
        <w:r w:rsidR="004E2DCB">
          <w:rPr>
            <w:rFonts w:asciiTheme="minorHAnsi" w:eastAsiaTheme="minorEastAsia" w:hAnsiTheme="minorHAnsi" w:cstheme="minorBidi"/>
            <w:noProof/>
            <w:lang w:val="en-US"/>
          </w:rPr>
          <w:tab/>
        </w:r>
        <w:r w:rsidR="004E2DCB" w:rsidRPr="00FE5E7F">
          <w:rPr>
            <w:rStyle w:val="Hyperlink"/>
            <w:noProof/>
          </w:rPr>
          <w:t>Potential solutions and opportunities identified during the engagement process</w:t>
        </w:r>
        <w:r w:rsidR="004E2DCB">
          <w:rPr>
            <w:noProof/>
            <w:webHidden/>
          </w:rPr>
          <w:tab/>
        </w:r>
        <w:r w:rsidR="004E2DCB">
          <w:rPr>
            <w:noProof/>
            <w:webHidden/>
          </w:rPr>
          <w:fldChar w:fldCharType="begin"/>
        </w:r>
        <w:r w:rsidR="004E2DCB">
          <w:rPr>
            <w:noProof/>
            <w:webHidden/>
          </w:rPr>
          <w:instrText xml:space="preserve"> PAGEREF _Toc90725909 \h </w:instrText>
        </w:r>
        <w:r w:rsidR="004E2DCB">
          <w:rPr>
            <w:noProof/>
            <w:webHidden/>
          </w:rPr>
        </w:r>
        <w:r w:rsidR="004E2DCB">
          <w:rPr>
            <w:noProof/>
            <w:webHidden/>
          </w:rPr>
          <w:fldChar w:fldCharType="separate"/>
        </w:r>
        <w:r w:rsidR="004E2DCB">
          <w:rPr>
            <w:noProof/>
            <w:webHidden/>
          </w:rPr>
          <w:t>239</w:t>
        </w:r>
        <w:r w:rsidR="004E2DCB">
          <w:rPr>
            <w:noProof/>
            <w:webHidden/>
          </w:rPr>
          <w:fldChar w:fldCharType="end"/>
        </w:r>
      </w:hyperlink>
    </w:p>
    <w:p w14:paraId="15E32AC6" w14:textId="0D327BB1" w:rsidR="004E2DCB" w:rsidRDefault="000B273D">
      <w:pPr>
        <w:pStyle w:val="TOC1"/>
        <w:rPr>
          <w:rFonts w:asciiTheme="minorHAnsi" w:eastAsiaTheme="minorEastAsia" w:hAnsiTheme="minorHAnsi" w:cstheme="minorBidi"/>
          <w:b w:val="0"/>
          <w:lang w:val="en-US"/>
        </w:rPr>
      </w:pPr>
      <w:hyperlink w:anchor="_Toc90725910" w:history="1">
        <w:r w:rsidR="004E2DCB" w:rsidRPr="00FE5E7F">
          <w:rPr>
            <w:rStyle w:val="Hyperlink"/>
          </w:rPr>
          <w:t>9</w:t>
        </w:r>
        <w:r w:rsidR="004E2DCB">
          <w:rPr>
            <w:rFonts w:asciiTheme="minorHAnsi" w:eastAsiaTheme="minorEastAsia" w:hAnsiTheme="minorHAnsi" w:cstheme="minorBidi"/>
            <w:b w:val="0"/>
            <w:lang w:val="en-US"/>
          </w:rPr>
          <w:tab/>
        </w:r>
        <w:r w:rsidR="004E2DCB" w:rsidRPr="00FE5E7F">
          <w:rPr>
            <w:rStyle w:val="Hyperlink"/>
          </w:rPr>
          <w:t>Capital Raising Strategy</w:t>
        </w:r>
        <w:r w:rsidR="004E2DCB">
          <w:rPr>
            <w:webHidden/>
          </w:rPr>
          <w:tab/>
        </w:r>
        <w:r w:rsidR="004E2DCB">
          <w:rPr>
            <w:webHidden/>
          </w:rPr>
          <w:fldChar w:fldCharType="begin"/>
        </w:r>
        <w:r w:rsidR="004E2DCB">
          <w:rPr>
            <w:webHidden/>
          </w:rPr>
          <w:instrText xml:space="preserve"> PAGEREF _Toc90725910 \h </w:instrText>
        </w:r>
        <w:r w:rsidR="004E2DCB">
          <w:rPr>
            <w:webHidden/>
          </w:rPr>
        </w:r>
        <w:r w:rsidR="004E2DCB">
          <w:rPr>
            <w:webHidden/>
          </w:rPr>
          <w:fldChar w:fldCharType="separate"/>
        </w:r>
        <w:r w:rsidR="004E2DCB">
          <w:rPr>
            <w:webHidden/>
          </w:rPr>
          <w:t>245</w:t>
        </w:r>
        <w:r w:rsidR="004E2DCB">
          <w:rPr>
            <w:webHidden/>
          </w:rPr>
          <w:fldChar w:fldCharType="end"/>
        </w:r>
      </w:hyperlink>
    </w:p>
    <w:p w14:paraId="46EC99FD" w14:textId="4F2E4E7C" w:rsidR="004E2DCB" w:rsidRDefault="000B273D">
      <w:pPr>
        <w:pStyle w:val="TOC2"/>
        <w:rPr>
          <w:rFonts w:asciiTheme="minorHAnsi" w:eastAsiaTheme="minorEastAsia" w:hAnsiTheme="minorHAnsi" w:cstheme="minorBidi"/>
          <w:noProof/>
          <w:lang w:val="en-US"/>
        </w:rPr>
      </w:pPr>
      <w:hyperlink w:anchor="_Toc90725911" w:history="1">
        <w:r w:rsidR="004E2DCB" w:rsidRPr="00FE5E7F">
          <w:rPr>
            <w:rStyle w:val="Hyperlink"/>
            <w:noProof/>
          </w:rPr>
          <w:t>9.1</w:t>
        </w:r>
        <w:r w:rsidR="004E2DCB">
          <w:rPr>
            <w:rFonts w:asciiTheme="minorHAnsi" w:eastAsiaTheme="minorEastAsia" w:hAnsiTheme="minorHAnsi" w:cstheme="minorBidi"/>
            <w:noProof/>
            <w:lang w:val="en-US"/>
          </w:rPr>
          <w:tab/>
        </w:r>
        <w:r w:rsidR="004E2DCB" w:rsidRPr="00FE5E7F">
          <w:rPr>
            <w:rStyle w:val="Hyperlink"/>
            <w:noProof/>
          </w:rPr>
          <w:t>Estimated financing needs and capacity gaps</w:t>
        </w:r>
        <w:r w:rsidR="004E2DCB">
          <w:rPr>
            <w:noProof/>
            <w:webHidden/>
          </w:rPr>
          <w:tab/>
        </w:r>
        <w:r w:rsidR="004E2DCB">
          <w:rPr>
            <w:noProof/>
            <w:webHidden/>
          </w:rPr>
          <w:fldChar w:fldCharType="begin"/>
        </w:r>
        <w:r w:rsidR="004E2DCB">
          <w:rPr>
            <w:noProof/>
            <w:webHidden/>
          </w:rPr>
          <w:instrText xml:space="preserve"> PAGEREF _Toc90725911 \h </w:instrText>
        </w:r>
        <w:r w:rsidR="004E2DCB">
          <w:rPr>
            <w:noProof/>
            <w:webHidden/>
          </w:rPr>
        </w:r>
        <w:r w:rsidR="004E2DCB">
          <w:rPr>
            <w:noProof/>
            <w:webHidden/>
          </w:rPr>
          <w:fldChar w:fldCharType="separate"/>
        </w:r>
        <w:r w:rsidR="004E2DCB">
          <w:rPr>
            <w:noProof/>
            <w:webHidden/>
          </w:rPr>
          <w:t>245</w:t>
        </w:r>
        <w:r w:rsidR="004E2DCB">
          <w:rPr>
            <w:noProof/>
            <w:webHidden/>
          </w:rPr>
          <w:fldChar w:fldCharType="end"/>
        </w:r>
      </w:hyperlink>
    </w:p>
    <w:p w14:paraId="7DDC5141" w14:textId="31BF8A65" w:rsidR="004E2DCB" w:rsidRDefault="000B273D">
      <w:pPr>
        <w:pStyle w:val="TOC2"/>
        <w:rPr>
          <w:rFonts w:asciiTheme="minorHAnsi" w:eastAsiaTheme="minorEastAsia" w:hAnsiTheme="minorHAnsi" w:cstheme="minorBidi"/>
          <w:noProof/>
          <w:lang w:val="en-US"/>
        </w:rPr>
      </w:pPr>
      <w:hyperlink w:anchor="_Toc90725912" w:history="1">
        <w:r w:rsidR="004E2DCB" w:rsidRPr="00FE5E7F">
          <w:rPr>
            <w:rStyle w:val="Hyperlink"/>
            <w:noProof/>
          </w:rPr>
          <w:t>9.2</w:t>
        </w:r>
        <w:r w:rsidR="004E2DCB">
          <w:rPr>
            <w:rFonts w:asciiTheme="minorHAnsi" w:eastAsiaTheme="minorEastAsia" w:hAnsiTheme="minorHAnsi" w:cstheme="minorBidi"/>
            <w:noProof/>
            <w:lang w:val="en-US"/>
          </w:rPr>
          <w:tab/>
        </w:r>
        <w:r w:rsidR="004E2DCB" w:rsidRPr="00FE5E7F">
          <w:rPr>
            <w:rStyle w:val="Hyperlink"/>
            <w:noProof/>
          </w:rPr>
          <w:t>Actors and intermediaries in the capital raising strategy</w:t>
        </w:r>
        <w:r w:rsidR="004E2DCB">
          <w:rPr>
            <w:noProof/>
            <w:webHidden/>
          </w:rPr>
          <w:tab/>
        </w:r>
        <w:r w:rsidR="004E2DCB">
          <w:rPr>
            <w:noProof/>
            <w:webHidden/>
          </w:rPr>
          <w:fldChar w:fldCharType="begin"/>
        </w:r>
        <w:r w:rsidR="004E2DCB">
          <w:rPr>
            <w:noProof/>
            <w:webHidden/>
          </w:rPr>
          <w:instrText xml:space="preserve"> PAGEREF _Toc90725912 \h </w:instrText>
        </w:r>
        <w:r w:rsidR="004E2DCB">
          <w:rPr>
            <w:noProof/>
            <w:webHidden/>
          </w:rPr>
        </w:r>
        <w:r w:rsidR="004E2DCB">
          <w:rPr>
            <w:noProof/>
            <w:webHidden/>
          </w:rPr>
          <w:fldChar w:fldCharType="separate"/>
        </w:r>
        <w:r w:rsidR="004E2DCB">
          <w:rPr>
            <w:noProof/>
            <w:webHidden/>
          </w:rPr>
          <w:t>246</w:t>
        </w:r>
        <w:r w:rsidR="004E2DCB">
          <w:rPr>
            <w:noProof/>
            <w:webHidden/>
          </w:rPr>
          <w:fldChar w:fldCharType="end"/>
        </w:r>
      </w:hyperlink>
    </w:p>
    <w:p w14:paraId="08261C5C" w14:textId="22C168E5" w:rsidR="004E2DCB" w:rsidRDefault="000B273D">
      <w:pPr>
        <w:pStyle w:val="TOC2"/>
        <w:rPr>
          <w:rFonts w:asciiTheme="minorHAnsi" w:eastAsiaTheme="minorEastAsia" w:hAnsiTheme="minorHAnsi" w:cstheme="minorBidi"/>
          <w:noProof/>
          <w:lang w:val="en-US"/>
        </w:rPr>
      </w:pPr>
      <w:hyperlink w:anchor="_Toc90725913" w:history="1">
        <w:r w:rsidR="004E2DCB" w:rsidRPr="00FE5E7F">
          <w:rPr>
            <w:rStyle w:val="Hyperlink"/>
            <w:noProof/>
          </w:rPr>
          <w:t>9.3</w:t>
        </w:r>
        <w:r w:rsidR="004E2DCB">
          <w:rPr>
            <w:rFonts w:asciiTheme="minorHAnsi" w:eastAsiaTheme="minorEastAsia" w:hAnsiTheme="minorHAnsi" w:cstheme="minorBidi"/>
            <w:noProof/>
            <w:lang w:val="en-US"/>
          </w:rPr>
          <w:tab/>
        </w:r>
        <w:r w:rsidR="004E2DCB" w:rsidRPr="00FE5E7F">
          <w:rPr>
            <w:rStyle w:val="Hyperlink"/>
            <w:noProof/>
          </w:rPr>
          <w:t>The role of commercial banks</w:t>
        </w:r>
        <w:r w:rsidR="004E2DCB">
          <w:rPr>
            <w:noProof/>
            <w:webHidden/>
          </w:rPr>
          <w:tab/>
        </w:r>
        <w:r w:rsidR="004E2DCB">
          <w:rPr>
            <w:noProof/>
            <w:webHidden/>
          </w:rPr>
          <w:fldChar w:fldCharType="begin"/>
        </w:r>
        <w:r w:rsidR="004E2DCB">
          <w:rPr>
            <w:noProof/>
            <w:webHidden/>
          </w:rPr>
          <w:instrText xml:space="preserve"> PAGEREF _Toc90725913 \h </w:instrText>
        </w:r>
        <w:r w:rsidR="004E2DCB">
          <w:rPr>
            <w:noProof/>
            <w:webHidden/>
          </w:rPr>
        </w:r>
        <w:r w:rsidR="004E2DCB">
          <w:rPr>
            <w:noProof/>
            <w:webHidden/>
          </w:rPr>
          <w:fldChar w:fldCharType="separate"/>
        </w:r>
        <w:r w:rsidR="004E2DCB">
          <w:rPr>
            <w:noProof/>
            <w:webHidden/>
          </w:rPr>
          <w:t>247</w:t>
        </w:r>
        <w:r w:rsidR="004E2DCB">
          <w:rPr>
            <w:noProof/>
            <w:webHidden/>
          </w:rPr>
          <w:fldChar w:fldCharType="end"/>
        </w:r>
      </w:hyperlink>
    </w:p>
    <w:p w14:paraId="391A9EB5" w14:textId="6664515A" w:rsidR="004E2DCB" w:rsidRDefault="000B273D">
      <w:pPr>
        <w:pStyle w:val="TOC2"/>
        <w:rPr>
          <w:rFonts w:asciiTheme="minorHAnsi" w:eastAsiaTheme="minorEastAsia" w:hAnsiTheme="minorHAnsi" w:cstheme="minorBidi"/>
          <w:noProof/>
          <w:lang w:val="en-US"/>
        </w:rPr>
      </w:pPr>
      <w:hyperlink w:anchor="_Toc90725914" w:history="1">
        <w:r w:rsidR="004E2DCB" w:rsidRPr="00FE5E7F">
          <w:rPr>
            <w:rStyle w:val="Hyperlink"/>
            <w:noProof/>
          </w:rPr>
          <w:t>9.4</w:t>
        </w:r>
        <w:r w:rsidR="004E2DCB">
          <w:rPr>
            <w:rFonts w:asciiTheme="minorHAnsi" w:eastAsiaTheme="minorEastAsia" w:hAnsiTheme="minorHAnsi" w:cstheme="minorBidi"/>
            <w:noProof/>
            <w:lang w:val="en-US"/>
          </w:rPr>
          <w:tab/>
        </w:r>
        <w:r w:rsidR="004E2DCB" w:rsidRPr="00FE5E7F">
          <w:rPr>
            <w:rStyle w:val="Hyperlink"/>
            <w:noProof/>
          </w:rPr>
          <w:t>The role of the microfinance sector</w:t>
        </w:r>
        <w:r w:rsidR="004E2DCB">
          <w:rPr>
            <w:noProof/>
            <w:webHidden/>
          </w:rPr>
          <w:tab/>
        </w:r>
        <w:r w:rsidR="004E2DCB">
          <w:rPr>
            <w:noProof/>
            <w:webHidden/>
          </w:rPr>
          <w:fldChar w:fldCharType="begin"/>
        </w:r>
        <w:r w:rsidR="004E2DCB">
          <w:rPr>
            <w:noProof/>
            <w:webHidden/>
          </w:rPr>
          <w:instrText xml:space="preserve"> PAGEREF _Toc90725914 \h </w:instrText>
        </w:r>
        <w:r w:rsidR="004E2DCB">
          <w:rPr>
            <w:noProof/>
            <w:webHidden/>
          </w:rPr>
        </w:r>
        <w:r w:rsidR="004E2DCB">
          <w:rPr>
            <w:noProof/>
            <w:webHidden/>
          </w:rPr>
          <w:fldChar w:fldCharType="separate"/>
        </w:r>
        <w:r w:rsidR="004E2DCB">
          <w:rPr>
            <w:noProof/>
            <w:webHidden/>
          </w:rPr>
          <w:t>247</w:t>
        </w:r>
        <w:r w:rsidR="004E2DCB">
          <w:rPr>
            <w:noProof/>
            <w:webHidden/>
          </w:rPr>
          <w:fldChar w:fldCharType="end"/>
        </w:r>
      </w:hyperlink>
    </w:p>
    <w:p w14:paraId="4D4762D0" w14:textId="29E32EF0" w:rsidR="004E2DCB" w:rsidRDefault="000B273D">
      <w:pPr>
        <w:pStyle w:val="TOC2"/>
        <w:rPr>
          <w:rFonts w:asciiTheme="minorHAnsi" w:eastAsiaTheme="minorEastAsia" w:hAnsiTheme="minorHAnsi" w:cstheme="minorBidi"/>
          <w:noProof/>
          <w:lang w:val="en-US"/>
        </w:rPr>
      </w:pPr>
      <w:hyperlink w:anchor="_Toc90725915" w:history="1">
        <w:r w:rsidR="004E2DCB" w:rsidRPr="00FE5E7F">
          <w:rPr>
            <w:rStyle w:val="Hyperlink"/>
            <w:noProof/>
          </w:rPr>
          <w:t>9.5</w:t>
        </w:r>
        <w:r w:rsidR="004E2DCB">
          <w:rPr>
            <w:rFonts w:asciiTheme="minorHAnsi" w:eastAsiaTheme="minorEastAsia" w:hAnsiTheme="minorHAnsi" w:cstheme="minorBidi"/>
            <w:noProof/>
            <w:lang w:val="en-US"/>
          </w:rPr>
          <w:tab/>
        </w:r>
        <w:r w:rsidR="004E2DCB" w:rsidRPr="00FE5E7F">
          <w:rPr>
            <w:rStyle w:val="Hyperlink"/>
            <w:noProof/>
          </w:rPr>
          <w:t>Types of financial instruments that can be developed in the six affected regions</w:t>
        </w:r>
        <w:r w:rsidR="004E2DCB">
          <w:rPr>
            <w:noProof/>
            <w:webHidden/>
          </w:rPr>
          <w:tab/>
        </w:r>
        <w:r w:rsidR="004E2DCB">
          <w:rPr>
            <w:noProof/>
            <w:webHidden/>
          </w:rPr>
          <w:fldChar w:fldCharType="begin"/>
        </w:r>
        <w:r w:rsidR="004E2DCB">
          <w:rPr>
            <w:noProof/>
            <w:webHidden/>
          </w:rPr>
          <w:instrText xml:space="preserve"> PAGEREF _Toc90725915 \h </w:instrText>
        </w:r>
        <w:r w:rsidR="004E2DCB">
          <w:rPr>
            <w:noProof/>
            <w:webHidden/>
          </w:rPr>
        </w:r>
        <w:r w:rsidR="004E2DCB">
          <w:rPr>
            <w:noProof/>
            <w:webHidden/>
          </w:rPr>
          <w:fldChar w:fldCharType="separate"/>
        </w:r>
        <w:r w:rsidR="004E2DCB">
          <w:rPr>
            <w:noProof/>
            <w:webHidden/>
          </w:rPr>
          <w:t>249</w:t>
        </w:r>
        <w:r w:rsidR="004E2DCB">
          <w:rPr>
            <w:noProof/>
            <w:webHidden/>
          </w:rPr>
          <w:fldChar w:fldCharType="end"/>
        </w:r>
      </w:hyperlink>
    </w:p>
    <w:p w14:paraId="46A6B654" w14:textId="1ABF1EDA" w:rsidR="004E2DCB" w:rsidRDefault="000B273D">
      <w:pPr>
        <w:pStyle w:val="TOC1"/>
        <w:rPr>
          <w:rFonts w:asciiTheme="minorHAnsi" w:eastAsiaTheme="minorEastAsia" w:hAnsiTheme="minorHAnsi" w:cstheme="minorBidi"/>
          <w:b w:val="0"/>
          <w:lang w:val="en-US"/>
        </w:rPr>
      </w:pPr>
      <w:hyperlink w:anchor="_Toc90725916" w:history="1">
        <w:r w:rsidR="004E2DCB" w:rsidRPr="00FE5E7F">
          <w:rPr>
            <w:rStyle w:val="Hyperlink"/>
          </w:rPr>
          <w:t>10</w:t>
        </w:r>
        <w:r w:rsidR="004E2DCB">
          <w:rPr>
            <w:rFonts w:asciiTheme="minorHAnsi" w:eastAsiaTheme="minorEastAsia" w:hAnsiTheme="minorHAnsi" w:cstheme="minorBidi"/>
            <w:b w:val="0"/>
            <w:lang w:val="en-US"/>
          </w:rPr>
          <w:tab/>
        </w:r>
        <w:r w:rsidR="004E2DCB" w:rsidRPr="00FE5E7F">
          <w:rPr>
            <w:rStyle w:val="Hyperlink"/>
          </w:rPr>
          <w:t>High-level Assessment of the Project Ideas for JTF Funding collected from stakeholders by the county councils</w:t>
        </w:r>
        <w:r w:rsidR="004E2DCB">
          <w:rPr>
            <w:webHidden/>
          </w:rPr>
          <w:tab/>
        </w:r>
        <w:r w:rsidR="004E2DCB">
          <w:rPr>
            <w:webHidden/>
          </w:rPr>
          <w:fldChar w:fldCharType="begin"/>
        </w:r>
        <w:r w:rsidR="004E2DCB">
          <w:rPr>
            <w:webHidden/>
          </w:rPr>
          <w:instrText xml:space="preserve"> PAGEREF _Toc90725916 \h </w:instrText>
        </w:r>
        <w:r w:rsidR="004E2DCB">
          <w:rPr>
            <w:webHidden/>
          </w:rPr>
        </w:r>
        <w:r w:rsidR="004E2DCB">
          <w:rPr>
            <w:webHidden/>
          </w:rPr>
          <w:fldChar w:fldCharType="separate"/>
        </w:r>
        <w:r w:rsidR="004E2DCB">
          <w:rPr>
            <w:webHidden/>
          </w:rPr>
          <w:t>250</w:t>
        </w:r>
        <w:r w:rsidR="004E2DCB">
          <w:rPr>
            <w:webHidden/>
          </w:rPr>
          <w:fldChar w:fldCharType="end"/>
        </w:r>
      </w:hyperlink>
    </w:p>
    <w:p w14:paraId="04AD9C85" w14:textId="1025A84D" w:rsidR="004E2DCB" w:rsidRDefault="000B273D">
      <w:pPr>
        <w:pStyle w:val="TOC2"/>
        <w:rPr>
          <w:rFonts w:asciiTheme="minorHAnsi" w:eastAsiaTheme="minorEastAsia" w:hAnsiTheme="minorHAnsi" w:cstheme="minorBidi"/>
          <w:noProof/>
          <w:lang w:val="en-US"/>
        </w:rPr>
      </w:pPr>
      <w:hyperlink w:anchor="_Toc90725917" w:history="1">
        <w:r w:rsidR="004E2DCB" w:rsidRPr="00FE5E7F">
          <w:rPr>
            <w:rStyle w:val="Hyperlink"/>
            <w:noProof/>
          </w:rPr>
          <w:t>10.1</w:t>
        </w:r>
        <w:r w:rsidR="004E2DCB">
          <w:rPr>
            <w:rFonts w:asciiTheme="minorHAnsi" w:eastAsiaTheme="minorEastAsia" w:hAnsiTheme="minorHAnsi" w:cstheme="minorBidi"/>
            <w:noProof/>
            <w:lang w:val="en-US"/>
          </w:rPr>
          <w:tab/>
        </w:r>
        <w:r w:rsidR="004E2DCB" w:rsidRPr="00FE5E7F">
          <w:rPr>
            <w:rStyle w:val="Hyperlink"/>
            <w:noProof/>
          </w:rPr>
          <w:t>Brief description of the methodology used</w:t>
        </w:r>
        <w:r w:rsidR="004E2DCB">
          <w:rPr>
            <w:noProof/>
            <w:webHidden/>
          </w:rPr>
          <w:tab/>
        </w:r>
        <w:r w:rsidR="004E2DCB">
          <w:rPr>
            <w:noProof/>
            <w:webHidden/>
          </w:rPr>
          <w:fldChar w:fldCharType="begin"/>
        </w:r>
        <w:r w:rsidR="004E2DCB">
          <w:rPr>
            <w:noProof/>
            <w:webHidden/>
          </w:rPr>
          <w:instrText xml:space="preserve"> PAGEREF _Toc90725917 \h </w:instrText>
        </w:r>
        <w:r w:rsidR="004E2DCB">
          <w:rPr>
            <w:noProof/>
            <w:webHidden/>
          </w:rPr>
        </w:r>
        <w:r w:rsidR="004E2DCB">
          <w:rPr>
            <w:noProof/>
            <w:webHidden/>
          </w:rPr>
          <w:fldChar w:fldCharType="separate"/>
        </w:r>
        <w:r w:rsidR="004E2DCB">
          <w:rPr>
            <w:noProof/>
            <w:webHidden/>
          </w:rPr>
          <w:t>250</w:t>
        </w:r>
        <w:r w:rsidR="004E2DCB">
          <w:rPr>
            <w:noProof/>
            <w:webHidden/>
          </w:rPr>
          <w:fldChar w:fldCharType="end"/>
        </w:r>
      </w:hyperlink>
    </w:p>
    <w:p w14:paraId="135A524A" w14:textId="44A0B553" w:rsidR="004E2DCB" w:rsidRDefault="000B273D">
      <w:pPr>
        <w:pStyle w:val="TOC2"/>
        <w:rPr>
          <w:rFonts w:asciiTheme="minorHAnsi" w:eastAsiaTheme="minorEastAsia" w:hAnsiTheme="minorHAnsi" w:cstheme="minorBidi"/>
          <w:noProof/>
          <w:lang w:val="en-US"/>
        </w:rPr>
      </w:pPr>
      <w:hyperlink w:anchor="_Toc90725918" w:history="1">
        <w:r w:rsidR="004E2DCB" w:rsidRPr="00FE5E7F">
          <w:rPr>
            <w:rStyle w:val="Hyperlink"/>
            <w:noProof/>
          </w:rPr>
          <w:t>10.2</w:t>
        </w:r>
        <w:r w:rsidR="004E2DCB">
          <w:rPr>
            <w:rFonts w:asciiTheme="minorHAnsi" w:eastAsiaTheme="minorEastAsia" w:hAnsiTheme="minorHAnsi" w:cstheme="minorBidi"/>
            <w:noProof/>
            <w:lang w:val="en-US"/>
          </w:rPr>
          <w:tab/>
        </w:r>
        <w:r w:rsidR="004E2DCB" w:rsidRPr="00FE5E7F">
          <w:rPr>
            <w:rStyle w:val="Hyperlink"/>
            <w:noProof/>
          </w:rPr>
          <w:t>Results of project ideas high-level assessment</w:t>
        </w:r>
        <w:r w:rsidR="004E2DCB">
          <w:rPr>
            <w:noProof/>
            <w:webHidden/>
          </w:rPr>
          <w:tab/>
        </w:r>
        <w:r w:rsidR="004E2DCB">
          <w:rPr>
            <w:noProof/>
            <w:webHidden/>
          </w:rPr>
          <w:fldChar w:fldCharType="begin"/>
        </w:r>
        <w:r w:rsidR="004E2DCB">
          <w:rPr>
            <w:noProof/>
            <w:webHidden/>
          </w:rPr>
          <w:instrText xml:space="preserve"> PAGEREF _Toc90725918 \h </w:instrText>
        </w:r>
        <w:r w:rsidR="004E2DCB">
          <w:rPr>
            <w:noProof/>
            <w:webHidden/>
          </w:rPr>
        </w:r>
        <w:r w:rsidR="004E2DCB">
          <w:rPr>
            <w:noProof/>
            <w:webHidden/>
          </w:rPr>
          <w:fldChar w:fldCharType="separate"/>
        </w:r>
        <w:r w:rsidR="004E2DCB">
          <w:rPr>
            <w:noProof/>
            <w:webHidden/>
          </w:rPr>
          <w:t>251</w:t>
        </w:r>
        <w:r w:rsidR="004E2DCB">
          <w:rPr>
            <w:noProof/>
            <w:webHidden/>
          </w:rPr>
          <w:fldChar w:fldCharType="end"/>
        </w:r>
      </w:hyperlink>
    </w:p>
    <w:p w14:paraId="0B13AEA9" w14:textId="1294E043" w:rsidR="004E2DCB" w:rsidRDefault="000B273D">
      <w:pPr>
        <w:pStyle w:val="TOC2"/>
        <w:rPr>
          <w:rFonts w:asciiTheme="minorHAnsi" w:eastAsiaTheme="minorEastAsia" w:hAnsiTheme="minorHAnsi" w:cstheme="minorBidi"/>
          <w:noProof/>
          <w:lang w:val="en-US"/>
        </w:rPr>
      </w:pPr>
      <w:hyperlink w:anchor="_Toc90725919" w:history="1">
        <w:r w:rsidR="004E2DCB" w:rsidRPr="00FE5E7F">
          <w:rPr>
            <w:rStyle w:val="Hyperlink"/>
            <w:noProof/>
          </w:rPr>
          <w:t>10.3</w:t>
        </w:r>
        <w:r w:rsidR="004E2DCB">
          <w:rPr>
            <w:rFonts w:asciiTheme="minorHAnsi" w:eastAsiaTheme="minorEastAsia" w:hAnsiTheme="minorHAnsi" w:cstheme="minorBidi"/>
            <w:noProof/>
            <w:lang w:val="en-US"/>
          </w:rPr>
          <w:tab/>
        </w:r>
        <w:r w:rsidR="004E2DCB" w:rsidRPr="00FE5E7F">
          <w:rPr>
            <w:rStyle w:val="Hyperlink"/>
            <w:noProof/>
          </w:rPr>
          <w:t>Main conclusions of the high-level assessment</w:t>
        </w:r>
        <w:r w:rsidR="004E2DCB">
          <w:rPr>
            <w:noProof/>
            <w:webHidden/>
          </w:rPr>
          <w:tab/>
        </w:r>
        <w:r w:rsidR="004E2DCB">
          <w:rPr>
            <w:noProof/>
            <w:webHidden/>
          </w:rPr>
          <w:fldChar w:fldCharType="begin"/>
        </w:r>
        <w:r w:rsidR="004E2DCB">
          <w:rPr>
            <w:noProof/>
            <w:webHidden/>
          </w:rPr>
          <w:instrText xml:space="preserve"> PAGEREF _Toc90725919 \h </w:instrText>
        </w:r>
        <w:r w:rsidR="004E2DCB">
          <w:rPr>
            <w:noProof/>
            <w:webHidden/>
          </w:rPr>
        </w:r>
        <w:r w:rsidR="004E2DCB">
          <w:rPr>
            <w:noProof/>
            <w:webHidden/>
          </w:rPr>
          <w:fldChar w:fldCharType="separate"/>
        </w:r>
        <w:r w:rsidR="004E2DCB">
          <w:rPr>
            <w:noProof/>
            <w:webHidden/>
          </w:rPr>
          <w:t>264</w:t>
        </w:r>
        <w:r w:rsidR="004E2DCB">
          <w:rPr>
            <w:noProof/>
            <w:webHidden/>
          </w:rPr>
          <w:fldChar w:fldCharType="end"/>
        </w:r>
      </w:hyperlink>
    </w:p>
    <w:p w14:paraId="0D2051B4" w14:textId="07A13043" w:rsidR="004E2DCB" w:rsidRDefault="000B273D">
      <w:pPr>
        <w:pStyle w:val="TOC1"/>
        <w:rPr>
          <w:rFonts w:asciiTheme="minorHAnsi" w:eastAsiaTheme="minorEastAsia" w:hAnsiTheme="minorHAnsi" w:cstheme="minorBidi"/>
          <w:b w:val="0"/>
          <w:lang w:val="en-US"/>
        </w:rPr>
      </w:pPr>
      <w:hyperlink w:anchor="_Toc90725920" w:history="1">
        <w:r w:rsidR="004E2DCB" w:rsidRPr="00FE5E7F">
          <w:rPr>
            <w:rStyle w:val="Hyperlink"/>
          </w:rPr>
          <w:t>11</w:t>
        </w:r>
        <w:r w:rsidR="004E2DCB">
          <w:rPr>
            <w:rFonts w:asciiTheme="minorHAnsi" w:eastAsiaTheme="minorEastAsia" w:hAnsiTheme="minorHAnsi" w:cstheme="minorBidi"/>
            <w:b w:val="0"/>
            <w:lang w:val="en-US"/>
          </w:rPr>
          <w:tab/>
        </w:r>
        <w:r w:rsidR="004E2DCB" w:rsidRPr="00FE5E7F">
          <w:rPr>
            <w:rStyle w:val="Hyperlink"/>
          </w:rPr>
          <w:t>Monitoring and Evaluation</w:t>
        </w:r>
        <w:r w:rsidR="004E2DCB">
          <w:rPr>
            <w:webHidden/>
          </w:rPr>
          <w:tab/>
        </w:r>
        <w:r w:rsidR="004E2DCB">
          <w:rPr>
            <w:webHidden/>
          </w:rPr>
          <w:fldChar w:fldCharType="begin"/>
        </w:r>
        <w:r w:rsidR="004E2DCB">
          <w:rPr>
            <w:webHidden/>
          </w:rPr>
          <w:instrText xml:space="preserve"> PAGEREF _Toc90725920 \h </w:instrText>
        </w:r>
        <w:r w:rsidR="004E2DCB">
          <w:rPr>
            <w:webHidden/>
          </w:rPr>
        </w:r>
        <w:r w:rsidR="004E2DCB">
          <w:rPr>
            <w:webHidden/>
          </w:rPr>
          <w:fldChar w:fldCharType="separate"/>
        </w:r>
        <w:r w:rsidR="004E2DCB">
          <w:rPr>
            <w:webHidden/>
          </w:rPr>
          <w:t>264</w:t>
        </w:r>
        <w:r w:rsidR="004E2DCB">
          <w:rPr>
            <w:webHidden/>
          </w:rPr>
          <w:fldChar w:fldCharType="end"/>
        </w:r>
      </w:hyperlink>
    </w:p>
    <w:p w14:paraId="2BEB24BC" w14:textId="2AAE90C0" w:rsidR="004E2DCB" w:rsidRDefault="000B273D">
      <w:pPr>
        <w:pStyle w:val="TOC2"/>
        <w:rPr>
          <w:rFonts w:asciiTheme="minorHAnsi" w:eastAsiaTheme="minorEastAsia" w:hAnsiTheme="minorHAnsi" w:cstheme="minorBidi"/>
          <w:noProof/>
          <w:lang w:val="en-US"/>
        </w:rPr>
      </w:pPr>
      <w:hyperlink w:anchor="_Toc90725921" w:history="1">
        <w:r w:rsidR="004E2DCB" w:rsidRPr="00FE5E7F">
          <w:rPr>
            <w:rStyle w:val="Hyperlink"/>
            <w:noProof/>
          </w:rPr>
          <w:t>11.1</w:t>
        </w:r>
        <w:r w:rsidR="004E2DCB">
          <w:rPr>
            <w:rFonts w:asciiTheme="minorHAnsi" w:eastAsiaTheme="minorEastAsia" w:hAnsiTheme="minorHAnsi" w:cstheme="minorBidi"/>
            <w:noProof/>
            <w:lang w:val="en-US"/>
          </w:rPr>
          <w:tab/>
        </w:r>
        <w:r w:rsidR="004E2DCB" w:rsidRPr="00FE5E7F">
          <w:rPr>
            <w:rStyle w:val="Hyperlink"/>
            <w:noProof/>
          </w:rPr>
          <w:t>Specific output and result indicators</w:t>
        </w:r>
        <w:r w:rsidR="004E2DCB">
          <w:rPr>
            <w:noProof/>
            <w:webHidden/>
          </w:rPr>
          <w:tab/>
        </w:r>
        <w:r w:rsidR="004E2DCB">
          <w:rPr>
            <w:noProof/>
            <w:webHidden/>
          </w:rPr>
          <w:fldChar w:fldCharType="begin"/>
        </w:r>
        <w:r w:rsidR="004E2DCB">
          <w:rPr>
            <w:noProof/>
            <w:webHidden/>
          </w:rPr>
          <w:instrText xml:space="preserve"> PAGEREF _Toc90725921 \h </w:instrText>
        </w:r>
        <w:r w:rsidR="004E2DCB">
          <w:rPr>
            <w:noProof/>
            <w:webHidden/>
          </w:rPr>
        </w:r>
        <w:r w:rsidR="004E2DCB">
          <w:rPr>
            <w:noProof/>
            <w:webHidden/>
          </w:rPr>
          <w:fldChar w:fldCharType="separate"/>
        </w:r>
        <w:r w:rsidR="004E2DCB">
          <w:rPr>
            <w:noProof/>
            <w:webHidden/>
          </w:rPr>
          <w:t>264</w:t>
        </w:r>
        <w:r w:rsidR="004E2DCB">
          <w:rPr>
            <w:noProof/>
            <w:webHidden/>
          </w:rPr>
          <w:fldChar w:fldCharType="end"/>
        </w:r>
      </w:hyperlink>
    </w:p>
    <w:p w14:paraId="76ECF891" w14:textId="0AC1795F" w:rsidR="004E2DCB" w:rsidRDefault="000B273D">
      <w:pPr>
        <w:pStyle w:val="TOC2"/>
        <w:rPr>
          <w:rFonts w:asciiTheme="minorHAnsi" w:eastAsiaTheme="minorEastAsia" w:hAnsiTheme="minorHAnsi" w:cstheme="minorBidi"/>
          <w:noProof/>
          <w:lang w:val="en-US"/>
        </w:rPr>
      </w:pPr>
      <w:hyperlink w:anchor="_Toc90725922" w:history="1">
        <w:r w:rsidR="004E2DCB" w:rsidRPr="00FE5E7F">
          <w:rPr>
            <w:rStyle w:val="Hyperlink"/>
            <w:noProof/>
          </w:rPr>
          <w:t>11.2</w:t>
        </w:r>
        <w:r w:rsidR="004E2DCB">
          <w:rPr>
            <w:rFonts w:asciiTheme="minorHAnsi" w:eastAsiaTheme="minorEastAsia" w:hAnsiTheme="minorHAnsi" w:cstheme="minorBidi"/>
            <w:noProof/>
            <w:lang w:val="en-US"/>
          </w:rPr>
          <w:tab/>
        </w:r>
        <w:r w:rsidR="004E2DCB" w:rsidRPr="00FE5E7F">
          <w:rPr>
            <w:rStyle w:val="Hyperlink"/>
            <w:noProof/>
          </w:rPr>
          <w:t>Risks, prevention and mitigation</w:t>
        </w:r>
        <w:r w:rsidR="004E2DCB">
          <w:rPr>
            <w:noProof/>
            <w:webHidden/>
          </w:rPr>
          <w:tab/>
        </w:r>
        <w:r w:rsidR="004E2DCB">
          <w:rPr>
            <w:noProof/>
            <w:webHidden/>
          </w:rPr>
          <w:fldChar w:fldCharType="begin"/>
        </w:r>
        <w:r w:rsidR="004E2DCB">
          <w:rPr>
            <w:noProof/>
            <w:webHidden/>
          </w:rPr>
          <w:instrText xml:space="preserve"> PAGEREF _Toc90725922 \h </w:instrText>
        </w:r>
        <w:r w:rsidR="004E2DCB">
          <w:rPr>
            <w:noProof/>
            <w:webHidden/>
          </w:rPr>
        </w:r>
        <w:r w:rsidR="004E2DCB">
          <w:rPr>
            <w:noProof/>
            <w:webHidden/>
          </w:rPr>
          <w:fldChar w:fldCharType="separate"/>
        </w:r>
        <w:r w:rsidR="004E2DCB">
          <w:rPr>
            <w:noProof/>
            <w:webHidden/>
          </w:rPr>
          <w:t>265</w:t>
        </w:r>
        <w:r w:rsidR="004E2DCB">
          <w:rPr>
            <w:noProof/>
            <w:webHidden/>
          </w:rPr>
          <w:fldChar w:fldCharType="end"/>
        </w:r>
      </w:hyperlink>
    </w:p>
    <w:p w14:paraId="7C08BC52" w14:textId="7EB52B72" w:rsidR="004E2DCB" w:rsidRDefault="000B273D">
      <w:pPr>
        <w:pStyle w:val="TOC1"/>
        <w:rPr>
          <w:rFonts w:asciiTheme="minorHAnsi" w:eastAsiaTheme="minorEastAsia" w:hAnsiTheme="minorHAnsi" w:cstheme="minorBidi"/>
          <w:b w:val="0"/>
          <w:lang w:val="en-US"/>
        </w:rPr>
      </w:pPr>
      <w:hyperlink w:anchor="_Toc90725923" w:history="1">
        <w:r w:rsidR="004E2DCB" w:rsidRPr="00FE5E7F">
          <w:rPr>
            <w:rStyle w:val="Hyperlink"/>
          </w:rPr>
          <w:t>12</w:t>
        </w:r>
        <w:r w:rsidR="004E2DCB">
          <w:rPr>
            <w:rFonts w:asciiTheme="minorHAnsi" w:eastAsiaTheme="minorEastAsia" w:hAnsiTheme="minorHAnsi" w:cstheme="minorBidi"/>
            <w:b w:val="0"/>
            <w:lang w:val="en-US"/>
          </w:rPr>
          <w:tab/>
        </w:r>
        <w:r w:rsidR="004E2DCB" w:rsidRPr="00FE5E7F">
          <w:rPr>
            <w:rStyle w:val="Hyperlink"/>
          </w:rPr>
          <w:t>Conclusions and Final Considerations</w:t>
        </w:r>
        <w:r w:rsidR="004E2DCB">
          <w:rPr>
            <w:webHidden/>
          </w:rPr>
          <w:tab/>
        </w:r>
        <w:r w:rsidR="004E2DCB">
          <w:rPr>
            <w:webHidden/>
          </w:rPr>
          <w:fldChar w:fldCharType="begin"/>
        </w:r>
        <w:r w:rsidR="004E2DCB">
          <w:rPr>
            <w:webHidden/>
          </w:rPr>
          <w:instrText xml:space="preserve"> PAGEREF _Toc90725923 \h </w:instrText>
        </w:r>
        <w:r w:rsidR="004E2DCB">
          <w:rPr>
            <w:webHidden/>
          </w:rPr>
        </w:r>
        <w:r w:rsidR="004E2DCB">
          <w:rPr>
            <w:webHidden/>
          </w:rPr>
          <w:fldChar w:fldCharType="separate"/>
        </w:r>
        <w:r w:rsidR="004E2DCB">
          <w:rPr>
            <w:webHidden/>
          </w:rPr>
          <w:t>266</w:t>
        </w:r>
        <w:r w:rsidR="004E2DCB">
          <w:rPr>
            <w:webHidden/>
          </w:rPr>
          <w:fldChar w:fldCharType="end"/>
        </w:r>
      </w:hyperlink>
    </w:p>
    <w:p w14:paraId="762D9A7C" w14:textId="3D91B2EB" w:rsidR="004E2DCB" w:rsidRDefault="000B273D">
      <w:pPr>
        <w:pStyle w:val="TOC2"/>
        <w:rPr>
          <w:rFonts w:asciiTheme="minorHAnsi" w:eastAsiaTheme="minorEastAsia" w:hAnsiTheme="minorHAnsi" w:cstheme="minorBidi"/>
          <w:noProof/>
          <w:lang w:val="en-US"/>
        </w:rPr>
      </w:pPr>
      <w:hyperlink w:anchor="_Toc90725924" w:history="1">
        <w:r w:rsidR="004E2DCB" w:rsidRPr="00FE5E7F">
          <w:rPr>
            <w:rStyle w:val="Hyperlink"/>
            <w:noProof/>
          </w:rPr>
          <w:t>12.1</w:t>
        </w:r>
        <w:r w:rsidR="004E2DCB">
          <w:rPr>
            <w:rFonts w:asciiTheme="minorHAnsi" w:eastAsiaTheme="minorEastAsia" w:hAnsiTheme="minorHAnsi" w:cstheme="minorBidi"/>
            <w:noProof/>
            <w:lang w:val="en-US"/>
          </w:rPr>
          <w:tab/>
        </w:r>
        <w:r w:rsidR="004E2DCB" w:rsidRPr="00FE5E7F">
          <w:rPr>
            <w:rStyle w:val="Hyperlink"/>
            <w:noProof/>
          </w:rPr>
          <w:t>Key steps and timelines</w:t>
        </w:r>
        <w:r w:rsidR="004E2DCB">
          <w:rPr>
            <w:noProof/>
            <w:webHidden/>
          </w:rPr>
          <w:tab/>
        </w:r>
        <w:r w:rsidR="004E2DCB">
          <w:rPr>
            <w:noProof/>
            <w:webHidden/>
          </w:rPr>
          <w:fldChar w:fldCharType="begin"/>
        </w:r>
        <w:r w:rsidR="004E2DCB">
          <w:rPr>
            <w:noProof/>
            <w:webHidden/>
          </w:rPr>
          <w:instrText xml:space="preserve"> PAGEREF _Toc90725924 \h </w:instrText>
        </w:r>
        <w:r w:rsidR="004E2DCB">
          <w:rPr>
            <w:noProof/>
            <w:webHidden/>
          </w:rPr>
        </w:r>
        <w:r w:rsidR="004E2DCB">
          <w:rPr>
            <w:noProof/>
            <w:webHidden/>
          </w:rPr>
          <w:fldChar w:fldCharType="separate"/>
        </w:r>
        <w:r w:rsidR="004E2DCB">
          <w:rPr>
            <w:noProof/>
            <w:webHidden/>
          </w:rPr>
          <w:t>266</w:t>
        </w:r>
        <w:r w:rsidR="004E2DCB">
          <w:rPr>
            <w:noProof/>
            <w:webHidden/>
          </w:rPr>
          <w:fldChar w:fldCharType="end"/>
        </w:r>
      </w:hyperlink>
    </w:p>
    <w:p w14:paraId="4E8C7B43" w14:textId="4F6635C6" w:rsidR="004E2DCB" w:rsidRDefault="000B273D">
      <w:pPr>
        <w:pStyle w:val="TOC2"/>
        <w:rPr>
          <w:rFonts w:asciiTheme="minorHAnsi" w:eastAsiaTheme="minorEastAsia" w:hAnsiTheme="minorHAnsi" w:cstheme="minorBidi"/>
          <w:noProof/>
          <w:lang w:val="en-US"/>
        </w:rPr>
      </w:pPr>
      <w:hyperlink w:anchor="_Toc90725925" w:history="1">
        <w:r w:rsidR="004E2DCB" w:rsidRPr="00FE5E7F">
          <w:rPr>
            <w:rStyle w:val="Hyperlink"/>
            <w:noProof/>
          </w:rPr>
          <w:t>12.2</w:t>
        </w:r>
        <w:r w:rsidR="004E2DCB">
          <w:rPr>
            <w:rFonts w:asciiTheme="minorHAnsi" w:eastAsiaTheme="minorEastAsia" w:hAnsiTheme="minorHAnsi" w:cstheme="minorBidi"/>
            <w:noProof/>
            <w:lang w:val="en-US"/>
          </w:rPr>
          <w:tab/>
        </w:r>
        <w:r w:rsidR="004E2DCB" w:rsidRPr="00FE5E7F">
          <w:rPr>
            <w:rStyle w:val="Hyperlink"/>
            <w:noProof/>
          </w:rPr>
          <w:t>Contribution of JTF support based on absorption capacity, including allocations for technical assistance</w:t>
        </w:r>
        <w:r w:rsidR="004E2DCB">
          <w:rPr>
            <w:noProof/>
            <w:webHidden/>
          </w:rPr>
          <w:tab/>
        </w:r>
        <w:r w:rsidR="004E2DCB">
          <w:rPr>
            <w:noProof/>
            <w:webHidden/>
          </w:rPr>
          <w:fldChar w:fldCharType="begin"/>
        </w:r>
        <w:r w:rsidR="004E2DCB">
          <w:rPr>
            <w:noProof/>
            <w:webHidden/>
          </w:rPr>
          <w:instrText xml:space="preserve"> PAGEREF _Toc90725925 \h </w:instrText>
        </w:r>
        <w:r w:rsidR="004E2DCB">
          <w:rPr>
            <w:noProof/>
            <w:webHidden/>
          </w:rPr>
        </w:r>
        <w:r w:rsidR="004E2DCB">
          <w:rPr>
            <w:noProof/>
            <w:webHidden/>
          </w:rPr>
          <w:fldChar w:fldCharType="separate"/>
        </w:r>
        <w:r w:rsidR="004E2DCB">
          <w:rPr>
            <w:noProof/>
            <w:webHidden/>
          </w:rPr>
          <w:t>267</w:t>
        </w:r>
        <w:r w:rsidR="004E2DCB">
          <w:rPr>
            <w:noProof/>
            <w:webHidden/>
          </w:rPr>
          <w:fldChar w:fldCharType="end"/>
        </w:r>
      </w:hyperlink>
    </w:p>
    <w:p w14:paraId="7E6188AF" w14:textId="7637D547" w:rsidR="004E2DCB" w:rsidRDefault="000B273D">
      <w:pPr>
        <w:pStyle w:val="TOC2"/>
        <w:rPr>
          <w:rFonts w:asciiTheme="minorHAnsi" w:eastAsiaTheme="minorEastAsia" w:hAnsiTheme="minorHAnsi" w:cstheme="minorBidi"/>
          <w:noProof/>
          <w:lang w:val="en-US"/>
        </w:rPr>
      </w:pPr>
      <w:hyperlink w:anchor="_Toc90725926" w:history="1">
        <w:r w:rsidR="004E2DCB" w:rsidRPr="00FE5E7F">
          <w:rPr>
            <w:rStyle w:val="Hyperlink"/>
            <w:noProof/>
          </w:rPr>
          <w:t>12.3</w:t>
        </w:r>
        <w:r w:rsidR="004E2DCB">
          <w:rPr>
            <w:rFonts w:asciiTheme="minorHAnsi" w:eastAsiaTheme="minorEastAsia" w:hAnsiTheme="minorHAnsi" w:cstheme="minorBidi"/>
            <w:noProof/>
            <w:lang w:val="en-US"/>
          </w:rPr>
          <w:tab/>
        </w:r>
        <w:r w:rsidR="004E2DCB" w:rsidRPr="00FE5E7F">
          <w:rPr>
            <w:rStyle w:val="Hyperlink"/>
            <w:noProof/>
          </w:rPr>
          <w:t>Conclusions for identified investment needs</w:t>
        </w:r>
        <w:r w:rsidR="004E2DCB">
          <w:rPr>
            <w:noProof/>
            <w:webHidden/>
          </w:rPr>
          <w:tab/>
        </w:r>
        <w:r w:rsidR="004E2DCB">
          <w:rPr>
            <w:noProof/>
            <w:webHidden/>
          </w:rPr>
          <w:fldChar w:fldCharType="begin"/>
        </w:r>
        <w:r w:rsidR="004E2DCB">
          <w:rPr>
            <w:noProof/>
            <w:webHidden/>
          </w:rPr>
          <w:instrText xml:space="preserve"> PAGEREF _Toc90725926 \h </w:instrText>
        </w:r>
        <w:r w:rsidR="004E2DCB">
          <w:rPr>
            <w:noProof/>
            <w:webHidden/>
          </w:rPr>
        </w:r>
        <w:r w:rsidR="004E2DCB">
          <w:rPr>
            <w:noProof/>
            <w:webHidden/>
          </w:rPr>
          <w:fldChar w:fldCharType="separate"/>
        </w:r>
        <w:r w:rsidR="004E2DCB">
          <w:rPr>
            <w:noProof/>
            <w:webHidden/>
          </w:rPr>
          <w:t>268</w:t>
        </w:r>
        <w:r w:rsidR="004E2DCB">
          <w:rPr>
            <w:noProof/>
            <w:webHidden/>
          </w:rPr>
          <w:fldChar w:fldCharType="end"/>
        </w:r>
      </w:hyperlink>
    </w:p>
    <w:p w14:paraId="7EC5AF7C" w14:textId="57EF1E28" w:rsidR="004E2DCB" w:rsidRDefault="000B273D">
      <w:pPr>
        <w:pStyle w:val="TOC1"/>
        <w:rPr>
          <w:rFonts w:asciiTheme="minorHAnsi" w:eastAsiaTheme="minorEastAsia" w:hAnsiTheme="minorHAnsi" w:cstheme="minorBidi"/>
          <w:b w:val="0"/>
          <w:lang w:val="en-US"/>
        </w:rPr>
      </w:pPr>
      <w:hyperlink w:anchor="_Toc90725927" w:history="1">
        <w:r w:rsidR="004E2DCB" w:rsidRPr="00FE5E7F">
          <w:rPr>
            <w:rStyle w:val="Hyperlink"/>
          </w:rPr>
          <w:t>13</w:t>
        </w:r>
        <w:r w:rsidR="004E2DCB">
          <w:rPr>
            <w:rFonts w:asciiTheme="minorHAnsi" w:eastAsiaTheme="minorEastAsia" w:hAnsiTheme="minorHAnsi" w:cstheme="minorBidi"/>
            <w:b w:val="0"/>
            <w:lang w:val="en-US"/>
          </w:rPr>
          <w:tab/>
        </w:r>
        <w:r w:rsidR="004E2DCB" w:rsidRPr="00FE5E7F">
          <w:rPr>
            <w:rStyle w:val="Hyperlink"/>
          </w:rPr>
          <w:t>Annexes</w:t>
        </w:r>
        <w:r w:rsidR="004E2DCB">
          <w:rPr>
            <w:webHidden/>
          </w:rPr>
          <w:tab/>
        </w:r>
        <w:r w:rsidR="004E2DCB">
          <w:rPr>
            <w:webHidden/>
          </w:rPr>
          <w:fldChar w:fldCharType="begin"/>
        </w:r>
        <w:r w:rsidR="004E2DCB">
          <w:rPr>
            <w:webHidden/>
          </w:rPr>
          <w:instrText xml:space="preserve"> PAGEREF _Toc90725927 \h </w:instrText>
        </w:r>
        <w:r w:rsidR="004E2DCB">
          <w:rPr>
            <w:webHidden/>
          </w:rPr>
        </w:r>
        <w:r w:rsidR="004E2DCB">
          <w:rPr>
            <w:webHidden/>
          </w:rPr>
          <w:fldChar w:fldCharType="separate"/>
        </w:r>
        <w:r w:rsidR="004E2DCB">
          <w:rPr>
            <w:webHidden/>
          </w:rPr>
          <w:t>270</w:t>
        </w:r>
        <w:r w:rsidR="004E2DCB">
          <w:rPr>
            <w:webHidden/>
          </w:rPr>
          <w:fldChar w:fldCharType="end"/>
        </w:r>
      </w:hyperlink>
    </w:p>
    <w:p w14:paraId="4C821AF4" w14:textId="4B1E92D7" w:rsidR="003A13DD" w:rsidRPr="003516DC" w:rsidRDefault="001C7238" w:rsidP="0041188B">
      <w:pPr>
        <w:pStyle w:val="TOC1"/>
        <w:sectPr w:rsidR="003A13DD" w:rsidRPr="003516DC" w:rsidSect="009A3BAA">
          <w:pgSz w:w="11909" w:h="16834"/>
          <w:pgMar w:top="1440" w:right="1277" w:bottom="1440" w:left="1530" w:header="720" w:footer="720" w:gutter="0"/>
          <w:pgNumType w:fmt="lowerRoman"/>
          <w:cols w:space="720"/>
        </w:sectPr>
      </w:pPr>
      <w:r>
        <w:rPr>
          <w:strike/>
        </w:rPr>
        <w:fldChar w:fldCharType="end"/>
      </w:r>
    </w:p>
    <w:p w14:paraId="3650DDE7" w14:textId="77777777" w:rsidR="003A13DD" w:rsidRPr="00D206E5" w:rsidRDefault="003648D5" w:rsidP="001916C2">
      <w:pPr>
        <w:pBdr>
          <w:top w:val="nil"/>
          <w:left w:val="nil"/>
          <w:bottom w:val="nil"/>
          <w:right w:val="nil"/>
          <w:between w:val="nil"/>
        </w:pBdr>
        <w:tabs>
          <w:tab w:val="right" w:pos="8929"/>
        </w:tabs>
        <w:spacing w:before="240" w:after="120"/>
        <w:rPr>
          <w:rFonts w:ascii="Arial" w:hAnsi="Arial" w:cs="Arial"/>
          <w:b/>
          <w:smallCaps/>
          <w:color w:val="366091"/>
          <w:sz w:val="28"/>
          <w:szCs w:val="28"/>
        </w:rPr>
      </w:pPr>
      <w:r w:rsidRPr="001916C2">
        <w:rPr>
          <w:rFonts w:ascii="Arial" w:hAnsi="Arial" w:cs="Arial"/>
          <w:b/>
          <w:smallCaps/>
          <w:color w:val="4F81BD" w:themeColor="accent1"/>
          <w:sz w:val="28"/>
          <w:szCs w:val="28"/>
        </w:rPr>
        <w:lastRenderedPageBreak/>
        <w:t>Figures</w:t>
      </w:r>
    </w:p>
    <w:p w14:paraId="024F9EDF" w14:textId="021F35D2" w:rsidR="004E2DCB" w:rsidRDefault="005659DD">
      <w:pPr>
        <w:pStyle w:val="TableofFigures"/>
        <w:rPr>
          <w:rFonts w:asciiTheme="minorHAnsi" w:eastAsiaTheme="minorEastAsia" w:hAnsiTheme="minorHAnsi" w:cstheme="minorBidi"/>
          <w:noProof/>
          <w:sz w:val="22"/>
          <w:lang w:val="en-US"/>
        </w:rPr>
      </w:pPr>
      <w:r w:rsidRPr="00CD34EE">
        <w:rPr>
          <w:szCs w:val="20"/>
        </w:rPr>
        <w:fldChar w:fldCharType="begin"/>
      </w:r>
      <w:r w:rsidRPr="00CD34EE">
        <w:rPr>
          <w:szCs w:val="20"/>
        </w:rPr>
        <w:instrText xml:space="preserve"> TOC \h \z \c "Figure" </w:instrText>
      </w:r>
      <w:r w:rsidRPr="00CD34EE">
        <w:rPr>
          <w:szCs w:val="20"/>
        </w:rPr>
        <w:fldChar w:fldCharType="separate"/>
      </w:r>
      <w:hyperlink w:anchor="_Toc90725928" w:history="1">
        <w:r w:rsidR="004E2DCB" w:rsidRPr="00EF67C5">
          <w:rPr>
            <w:rStyle w:val="Hyperlink"/>
            <w:noProof/>
          </w:rPr>
          <w:t>Figure 1: GDP per capita in the six affected regions in 2019 (EUR per resident)</w:t>
        </w:r>
        <w:r w:rsidR="004E2DCB">
          <w:rPr>
            <w:noProof/>
            <w:webHidden/>
          </w:rPr>
          <w:tab/>
        </w:r>
        <w:r w:rsidR="004E2DCB">
          <w:rPr>
            <w:noProof/>
            <w:webHidden/>
          </w:rPr>
          <w:fldChar w:fldCharType="begin"/>
        </w:r>
        <w:r w:rsidR="004E2DCB">
          <w:rPr>
            <w:noProof/>
            <w:webHidden/>
          </w:rPr>
          <w:instrText xml:space="preserve"> PAGEREF _Toc90725928 \h </w:instrText>
        </w:r>
        <w:r w:rsidR="004E2DCB">
          <w:rPr>
            <w:noProof/>
            <w:webHidden/>
          </w:rPr>
        </w:r>
        <w:r w:rsidR="004E2DCB">
          <w:rPr>
            <w:noProof/>
            <w:webHidden/>
          </w:rPr>
          <w:fldChar w:fldCharType="separate"/>
        </w:r>
        <w:r w:rsidR="004E2DCB">
          <w:rPr>
            <w:noProof/>
            <w:webHidden/>
          </w:rPr>
          <w:t>30</w:t>
        </w:r>
        <w:r w:rsidR="004E2DCB">
          <w:rPr>
            <w:noProof/>
            <w:webHidden/>
          </w:rPr>
          <w:fldChar w:fldCharType="end"/>
        </w:r>
      </w:hyperlink>
    </w:p>
    <w:p w14:paraId="438E85FC" w14:textId="32C3A4D5" w:rsidR="004E2DCB" w:rsidRDefault="000B273D">
      <w:pPr>
        <w:pStyle w:val="TableofFigures"/>
        <w:rPr>
          <w:rFonts w:asciiTheme="minorHAnsi" w:eastAsiaTheme="minorEastAsia" w:hAnsiTheme="minorHAnsi" w:cstheme="minorBidi"/>
          <w:noProof/>
          <w:sz w:val="22"/>
          <w:lang w:val="en-US"/>
        </w:rPr>
      </w:pPr>
      <w:hyperlink w:anchor="_Toc90725929" w:history="1">
        <w:r w:rsidR="004E2DCB" w:rsidRPr="00EF67C5">
          <w:rPr>
            <w:rStyle w:val="Hyperlink"/>
            <w:noProof/>
          </w:rPr>
          <w:t>Figure 2: GDP per capita in the six affected regions in 2021 (EUR per resident)</w:t>
        </w:r>
        <w:r w:rsidR="004E2DCB">
          <w:rPr>
            <w:noProof/>
            <w:webHidden/>
          </w:rPr>
          <w:tab/>
        </w:r>
        <w:r w:rsidR="004E2DCB">
          <w:rPr>
            <w:noProof/>
            <w:webHidden/>
          </w:rPr>
          <w:fldChar w:fldCharType="begin"/>
        </w:r>
        <w:r w:rsidR="004E2DCB">
          <w:rPr>
            <w:noProof/>
            <w:webHidden/>
          </w:rPr>
          <w:instrText xml:space="preserve"> PAGEREF _Toc90725929 \h </w:instrText>
        </w:r>
        <w:r w:rsidR="004E2DCB">
          <w:rPr>
            <w:noProof/>
            <w:webHidden/>
          </w:rPr>
        </w:r>
        <w:r w:rsidR="004E2DCB">
          <w:rPr>
            <w:noProof/>
            <w:webHidden/>
          </w:rPr>
          <w:fldChar w:fldCharType="separate"/>
        </w:r>
        <w:r w:rsidR="004E2DCB">
          <w:rPr>
            <w:noProof/>
            <w:webHidden/>
          </w:rPr>
          <w:t>30</w:t>
        </w:r>
        <w:r w:rsidR="004E2DCB">
          <w:rPr>
            <w:noProof/>
            <w:webHidden/>
          </w:rPr>
          <w:fldChar w:fldCharType="end"/>
        </w:r>
      </w:hyperlink>
    </w:p>
    <w:p w14:paraId="4DB6FE7F" w14:textId="62248049" w:rsidR="004E2DCB" w:rsidRDefault="000B273D">
      <w:pPr>
        <w:pStyle w:val="TableofFigures"/>
        <w:rPr>
          <w:rFonts w:asciiTheme="minorHAnsi" w:eastAsiaTheme="minorEastAsia" w:hAnsiTheme="minorHAnsi" w:cstheme="minorBidi"/>
          <w:noProof/>
          <w:sz w:val="22"/>
          <w:lang w:val="en-US"/>
        </w:rPr>
      </w:pPr>
      <w:hyperlink w:anchor="_Toc90725930" w:history="1">
        <w:r w:rsidR="004E2DCB" w:rsidRPr="00EF67C5">
          <w:rPr>
            <w:rStyle w:val="Hyperlink"/>
            <w:noProof/>
          </w:rPr>
          <w:t>Figure 3: Active population at county level in 2010</w:t>
        </w:r>
        <w:r w:rsidR="004E2DCB">
          <w:rPr>
            <w:noProof/>
            <w:webHidden/>
          </w:rPr>
          <w:tab/>
        </w:r>
        <w:r w:rsidR="004E2DCB">
          <w:rPr>
            <w:noProof/>
            <w:webHidden/>
          </w:rPr>
          <w:fldChar w:fldCharType="begin"/>
        </w:r>
        <w:r w:rsidR="004E2DCB">
          <w:rPr>
            <w:noProof/>
            <w:webHidden/>
          </w:rPr>
          <w:instrText xml:space="preserve"> PAGEREF _Toc90725930 \h </w:instrText>
        </w:r>
        <w:r w:rsidR="004E2DCB">
          <w:rPr>
            <w:noProof/>
            <w:webHidden/>
          </w:rPr>
        </w:r>
        <w:r w:rsidR="004E2DCB">
          <w:rPr>
            <w:noProof/>
            <w:webHidden/>
          </w:rPr>
          <w:fldChar w:fldCharType="separate"/>
        </w:r>
        <w:r w:rsidR="004E2DCB">
          <w:rPr>
            <w:noProof/>
            <w:webHidden/>
          </w:rPr>
          <w:t>32</w:t>
        </w:r>
        <w:r w:rsidR="004E2DCB">
          <w:rPr>
            <w:noProof/>
            <w:webHidden/>
          </w:rPr>
          <w:fldChar w:fldCharType="end"/>
        </w:r>
      </w:hyperlink>
    </w:p>
    <w:p w14:paraId="004E38D7" w14:textId="2F8E3358" w:rsidR="004E2DCB" w:rsidRDefault="000B273D">
      <w:pPr>
        <w:pStyle w:val="TableofFigures"/>
        <w:rPr>
          <w:rFonts w:asciiTheme="minorHAnsi" w:eastAsiaTheme="minorEastAsia" w:hAnsiTheme="minorHAnsi" w:cstheme="minorBidi"/>
          <w:noProof/>
          <w:sz w:val="22"/>
          <w:lang w:val="en-US"/>
        </w:rPr>
      </w:pPr>
      <w:hyperlink w:anchor="_Toc90725931" w:history="1">
        <w:r w:rsidR="004E2DCB" w:rsidRPr="00EF67C5">
          <w:rPr>
            <w:rStyle w:val="Hyperlink"/>
            <w:noProof/>
          </w:rPr>
          <w:t>Figure 4: Active population at county level in 2019</w:t>
        </w:r>
        <w:r w:rsidR="004E2DCB">
          <w:rPr>
            <w:noProof/>
            <w:webHidden/>
          </w:rPr>
          <w:tab/>
        </w:r>
        <w:r w:rsidR="004E2DCB">
          <w:rPr>
            <w:noProof/>
            <w:webHidden/>
          </w:rPr>
          <w:fldChar w:fldCharType="begin"/>
        </w:r>
        <w:r w:rsidR="004E2DCB">
          <w:rPr>
            <w:noProof/>
            <w:webHidden/>
          </w:rPr>
          <w:instrText xml:space="preserve"> PAGEREF _Toc90725931 \h </w:instrText>
        </w:r>
        <w:r w:rsidR="004E2DCB">
          <w:rPr>
            <w:noProof/>
            <w:webHidden/>
          </w:rPr>
        </w:r>
        <w:r w:rsidR="004E2DCB">
          <w:rPr>
            <w:noProof/>
            <w:webHidden/>
          </w:rPr>
          <w:fldChar w:fldCharType="separate"/>
        </w:r>
        <w:r w:rsidR="004E2DCB">
          <w:rPr>
            <w:noProof/>
            <w:webHidden/>
          </w:rPr>
          <w:t>32</w:t>
        </w:r>
        <w:r w:rsidR="004E2DCB">
          <w:rPr>
            <w:noProof/>
            <w:webHidden/>
          </w:rPr>
          <w:fldChar w:fldCharType="end"/>
        </w:r>
      </w:hyperlink>
    </w:p>
    <w:p w14:paraId="53E73665" w14:textId="2F18FCE1" w:rsidR="004E2DCB" w:rsidRDefault="000B273D">
      <w:pPr>
        <w:pStyle w:val="TableofFigures"/>
        <w:rPr>
          <w:rFonts w:asciiTheme="minorHAnsi" w:eastAsiaTheme="minorEastAsia" w:hAnsiTheme="minorHAnsi" w:cstheme="minorBidi"/>
          <w:noProof/>
          <w:sz w:val="22"/>
          <w:lang w:val="en-US"/>
        </w:rPr>
      </w:pPr>
      <w:hyperlink w:anchor="_Toc90725932" w:history="1">
        <w:r w:rsidR="004E2DCB" w:rsidRPr="00EF67C5">
          <w:rPr>
            <w:rStyle w:val="Hyperlink"/>
            <w:noProof/>
          </w:rPr>
          <w:t>Figure 5: Evolution of active population at county level from 2010 to 2019</w:t>
        </w:r>
        <w:r w:rsidR="004E2DCB">
          <w:rPr>
            <w:noProof/>
            <w:webHidden/>
          </w:rPr>
          <w:tab/>
        </w:r>
        <w:r w:rsidR="004E2DCB">
          <w:rPr>
            <w:noProof/>
            <w:webHidden/>
          </w:rPr>
          <w:fldChar w:fldCharType="begin"/>
        </w:r>
        <w:r w:rsidR="004E2DCB">
          <w:rPr>
            <w:noProof/>
            <w:webHidden/>
          </w:rPr>
          <w:instrText xml:space="preserve"> PAGEREF _Toc90725932 \h </w:instrText>
        </w:r>
        <w:r w:rsidR="004E2DCB">
          <w:rPr>
            <w:noProof/>
            <w:webHidden/>
          </w:rPr>
        </w:r>
        <w:r w:rsidR="004E2DCB">
          <w:rPr>
            <w:noProof/>
            <w:webHidden/>
          </w:rPr>
          <w:fldChar w:fldCharType="separate"/>
        </w:r>
        <w:r w:rsidR="004E2DCB">
          <w:rPr>
            <w:noProof/>
            <w:webHidden/>
          </w:rPr>
          <w:t>33</w:t>
        </w:r>
        <w:r w:rsidR="004E2DCB">
          <w:rPr>
            <w:noProof/>
            <w:webHidden/>
          </w:rPr>
          <w:fldChar w:fldCharType="end"/>
        </w:r>
      </w:hyperlink>
    </w:p>
    <w:p w14:paraId="681E9390" w14:textId="3006007B" w:rsidR="004E2DCB" w:rsidRDefault="000B273D">
      <w:pPr>
        <w:pStyle w:val="TableofFigures"/>
        <w:rPr>
          <w:rFonts w:asciiTheme="minorHAnsi" w:eastAsiaTheme="minorEastAsia" w:hAnsiTheme="minorHAnsi" w:cstheme="minorBidi"/>
          <w:noProof/>
          <w:sz w:val="22"/>
          <w:lang w:val="en-US"/>
        </w:rPr>
      </w:pPr>
      <w:hyperlink w:anchor="_Toc90725933" w:history="1">
        <w:r w:rsidR="004E2DCB" w:rsidRPr="00EF67C5">
          <w:rPr>
            <w:rStyle w:val="Hyperlink"/>
            <w:noProof/>
          </w:rPr>
          <w:t>Figure 6: Logic of the intervention for Hunedoara County</w:t>
        </w:r>
        <w:r w:rsidR="004E2DCB">
          <w:rPr>
            <w:noProof/>
            <w:webHidden/>
          </w:rPr>
          <w:tab/>
        </w:r>
        <w:r w:rsidR="004E2DCB">
          <w:rPr>
            <w:noProof/>
            <w:webHidden/>
          </w:rPr>
          <w:fldChar w:fldCharType="begin"/>
        </w:r>
        <w:r w:rsidR="004E2DCB">
          <w:rPr>
            <w:noProof/>
            <w:webHidden/>
          </w:rPr>
          <w:instrText xml:space="preserve"> PAGEREF _Toc90725933 \h </w:instrText>
        </w:r>
        <w:r w:rsidR="004E2DCB">
          <w:rPr>
            <w:noProof/>
            <w:webHidden/>
          </w:rPr>
        </w:r>
        <w:r w:rsidR="004E2DCB">
          <w:rPr>
            <w:noProof/>
            <w:webHidden/>
          </w:rPr>
          <w:fldChar w:fldCharType="separate"/>
        </w:r>
        <w:r w:rsidR="004E2DCB">
          <w:rPr>
            <w:noProof/>
            <w:webHidden/>
          </w:rPr>
          <w:t>56</w:t>
        </w:r>
        <w:r w:rsidR="004E2DCB">
          <w:rPr>
            <w:noProof/>
            <w:webHidden/>
          </w:rPr>
          <w:fldChar w:fldCharType="end"/>
        </w:r>
      </w:hyperlink>
    </w:p>
    <w:p w14:paraId="780FDF7D" w14:textId="26C36E0D" w:rsidR="004E2DCB" w:rsidRDefault="000B273D">
      <w:pPr>
        <w:pStyle w:val="TableofFigures"/>
        <w:rPr>
          <w:rFonts w:asciiTheme="minorHAnsi" w:eastAsiaTheme="minorEastAsia" w:hAnsiTheme="minorHAnsi" w:cstheme="minorBidi"/>
          <w:noProof/>
          <w:sz w:val="22"/>
          <w:lang w:val="en-US"/>
        </w:rPr>
      </w:pPr>
      <w:hyperlink w:anchor="_Toc90725934" w:history="1">
        <w:r w:rsidR="004E2DCB" w:rsidRPr="00EF67C5">
          <w:rPr>
            <w:rStyle w:val="Hyperlink"/>
            <w:noProof/>
          </w:rPr>
          <w:t>Figure 7: Unemployment rate per UAT in Hunedoara County, 2020</w:t>
        </w:r>
        <w:r w:rsidR="004E2DCB">
          <w:rPr>
            <w:noProof/>
            <w:webHidden/>
          </w:rPr>
          <w:tab/>
        </w:r>
        <w:r w:rsidR="004E2DCB">
          <w:rPr>
            <w:noProof/>
            <w:webHidden/>
          </w:rPr>
          <w:fldChar w:fldCharType="begin"/>
        </w:r>
        <w:r w:rsidR="004E2DCB">
          <w:rPr>
            <w:noProof/>
            <w:webHidden/>
          </w:rPr>
          <w:instrText xml:space="preserve"> PAGEREF _Toc90725934 \h </w:instrText>
        </w:r>
        <w:r w:rsidR="004E2DCB">
          <w:rPr>
            <w:noProof/>
            <w:webHidden/>
          </w:rPr>
        </w:r>
        <w:r w:rsidR="004E2DCB">
          <w:rPr>
            <w:noProof/>
            <w:webHidden/>
          </w:rPr>
          <w:fldChar w:fldCharType="separate"/>
        </w:r>
        <w:r w:rsidR="004E2DCB">
          <w:rPr>
            <w:noProof/>
            <w:webHidden/>
          </w:rPr>
          <w:t>61</w:t>
        </w:r>
        <w:r w:rsidR="004E2DCB">
          <w:rPr>
            <w:noProof/>
            <w:webHidden/>
          </w:rPr>
          <w:fldChar w:fldCharType="end"/>
        </w:r>
      </w:hyperlink>
    </w:p>
    <w:p w14:paraId="13FDB8FF" w14:textId="4D8EAC53" w:rsidR="004E2DCB" w:rsidRDefault="000B273D">
      <w:pPr>
        <w:pStyle w:val="TableofFigures"/>
        <w:rPr>
          <w:rFonts w:asciiTheme="minorHAnsi" w:eastAsiaTheme="minorEastAsia" w:hAnsiTheme="minorHAnsi" w:cstheme="minorBidi"/>
          <w:noProof/>
          <w:sz w:val="22"/>
          <w:lang w:val="en-US"/>
        </w:rPr>
      </w:pPr>
      <w:hyperlink w:anchor="_Toc90725935" w:history="1">
        <w:r w:rsidR="004E2DCB" w:rsidRPr="00EF67C5">
          <w:rPr>
            <w:rStyle w:val="Hyperlink"/>
            <w:noProof/>
          </w:rPr>
          <w:t>Figure 8: Residential gas consumption per UAT in Hunedoara County (‘000 cubic meters)</w:t>
        </w:r>
        <w:r w:rsidR="004E2DCB">
          <w:rPr>
            <w:noProof/>
            <w:webHidden/>
          </w:rPr>
          <w:tab/>
        </w:r>
        <w:r w:rsidR="004E2DCB">
          <w:rPr>
            <w:noProof/>
            <w:webHidden/>
          </w:rPr>
          <w:fldChar w:fldCharType="begin"/>
        </w:r>
        <w:r w:rsidR="004E2DCB">
          <w:rPr>
            <w:noProof/>
            <w:webHidden/>
          </w:rPr>
          <w:instrText xml:space="preserve"> PAGEREF _Toc90725935 \h </w:instrText>
        </w:r>
        <w:r w:rsidR="004E2DCB">
          <w:rPr>
            <w:noProof/>
            <w:webHidden/>
          </w:rPr>
        </w:r>
        <w:r w:rsidR="004E2DCB">
          <w:rPr>
            <w:noProof/>
            <w:webHidden/>
          </w:rPr>
          <w:fldChar w:fldCharType="separate"/>
        </w:r>
        <w:r w:rsidR="004E2DCB">
          <w:rPr>
            <w:noProof/>
            <w:webHidden/>
          </w:rPr>
          <w:t>66</w:t>
        </w:r>
        <w:r w:rsidR="004E2DCB">
          <w:rPr>
            <w:noProof/>
            <w:webHidden/>
          </w:rPr>
          <w:fldChar w:fldCharType="end"/>
        </w:r>
      </w:hyperlink>
    </w:p>
    <w:p w14:paraId="07AEC869" w14:textId="71E28648" w:rsidR="004E2DCB" w:rsidRDefault="000B273D">
      <w:pPr>
        <w:pStyle w:val="TableofFigures"/>
        <w:rPr>
          <w:rFonts w:asciiTheme="minorHAnsi" w:eastAsiaTheme="minorEastAsia" w:hAnsiTheme="minorHAnsi" w:cstheme="minorBidi"/>
          <w:noProof/>
          <w:sz w:val="22"/>
          <w:lang w:val="en-US"/>
        </w:rPr>
      </w:pPr>
      <w:hyperlink w:anchor="_Toc90725936" w:history="1">
        <w:r w:rsidR="004E2DCB" w:rsidRPr="00EF67C5">
          <w:rPr>
            <w:rStyle w:val="Hyperlink"/>
            <w:noProof/>
          </w:rPr>
          <w:t>Figure 9: Logic of the intervention for Dolj County</w:t>
        </w:r>
        <w:r w:rsidR="004E2DCB">
          <w:rPr>
            <w:noProof/>
            <w:webHidden/>
          </w:rPr>
          <w:tab/>
        </w:r>
        <w:r w:rsidR="004E2DCB">
          <w:rPr>
            <w:noProof/>
            <w:webHidden/>
          </w:rPr>
          <w:fldChar w:fldCharType="begin"/>
        </w:r>
        <w:r w:rsidR="004E2DCB">
          <w:rPr>
            <w:noProof/>
            <w:webHidden/>
          </w:rPr>
          <w:instrText xml:space="preserve"> PAGEREF _Toc90725936 \h </w:instrText>
        </w:r>
        <w:r w:rsidR="004E2DCB">
          <w:rPr>
            <w:noProof/>
            <w:webHidden/>
          </w:rPr>
        </w:r>
        <w:r w:rsidR="004E2DCB">
          <w:rPr>
            <w:noProof/>
            <w:webHidden/>
          </w:rPr>
          <w:fldChar w:fldCharType="separate"/>
        </w:r>
        <w:r w:rsidR="004E2DCB">
          <w:rPr>
            <w:noProof/>
            <w:webHidden/>
          </w:rPr>
          <w:t>90</w:t>
        </w:r>
        <w:r w:rsidR="004E2DCB">
          <w:rPr>
            <w:noProof/>
            <w:webHidden/>
          </w:rPr>
          <w:fldChar w:fldCharType="end"/>
        </w:r>
      </w:hyperlink>
    </w:p>
    <w:p w14:paraId="574B1958" w14:textId="17A0849F" w:rsidR="004E2DCB" w:rsidRDefault="000B273D">
      <w:pPr>
        <w:pStyle w:val="TableofFigures"/>
        <w:rPr>
          <w:rFonts w:asciiTheme="minorHAnsi" w:eastAsiaTheme="minorEastAsia" w:hAnsiTheme="minorHAnsi" w:cstheme="minorBidi"/>
          <w:noProof/>
          <w:sz w:val="22"/>
          <w:lang w:val="en-US"/>
        </w:rPr>
      </w:pPr>
      <w:hyperlink w:anchor="_Toc90725937" w:history="1">
        <w:r w:rsidR="004E2DCB" w:rsidRPr="00EF67C5">
          <w:rPr>
            <w:rStyle w:val="Hyperlink"/>
            <w:noProof/>
          </w:rPr>
          <w:t>Figure 10: Unemployment rate per UAT in Dolj County, 2020</w:t>
        </w:r>
        <w:r w:rsidR="004E2DCB">
          <w:rPr>
            <w:noProof/>
            <w:webHidden/>
          </w:rPr>
          <w:tab/>
        </w:r>
        <w:r w:rsidR="004E2DCB">
          <w:rPr>
            <w:noProof/>
            <w:webHidden/>
          </w:rPr>
          <w:fldChar w:fldCharType="begin"/>
        </w:r>
        <w:r w:rsidR="004E2DCB">
          <w:rPr>
            <w:noProof/>
            <w:webHidden/>
          </w:rPr>
          <w:instrText xml:space="preserve"> PAGEREF _Toc90725937 \h </w:instrText>
        </w:r>
        <w:r w:rsidR="004E2DCB">
          <w:rPr>
            <w:noProof/>
            <w:webHidden/>
          </w:rPr>
        </w:r>
        <w:r w:rsidR="004E2DCB">
          <w:rPr>
            <w:noProof/>
            <w:webHidden/>
          </w:rPr>
          <w:fldChar w:fldCharType="separate"/>
        </w:r>
        <w:r w:rsidR="004E2DCB">
          <w:rPr>
            <w:noProof/>
            <w:webHidden/>
          </w:rPr>
          <w:t>95</w:t>
        </w:r>
        <w:r w:rsidR="004E2DCB">
          <w:rPr>
            <w:noProof/>
            <w:webHidden/>
          </w:rPr>
          <w:fldChar w:fldCharType="end"/>
        </w:r>
      </w:hyperlink>
    </w:p>
    <w:p w14:paraId="77181D75" w14:textId="4CC0B3D8" w:rsidR="004E2DCB" w:rsidRDefault="000B273D">
      <w:pPr>
        <w:pStyle w:val="TableofFigures"/>
        <w:rPr>
          <w:rFonts w:asciiTheme="minorHAnsi" w:eastAsiaTheme="minorEastAsia" w:hAnsiTheme="minorHAnsi" w:cstheme="minorBidi"/>
          <w:noProof/>
          <w:sz w:val="22"/>
          <w:lang w:val="en-US"/>
        </w:rPr>
      </w:pPr>
      <w:hyperlink w:anchor="_Toc90725938" w:history="1">
        <w:r w:rsidR="004E2DCB" w:rsidRPr="00EF67C5">
          <w:rPr>
            <w:rStyle w:val="Hyperlink"/>
            <w:noProof/>
          </w:rPr>
          <w:t>Figure 11: Residential gas consumption per UAT in Dolj county (thousand cubic meters)</w:t>
        </w:r>
        <w:r w:rsidR="004E2DCB">
          <w:rPr>
            <w:noProof/>
            <w:webHidden/>
          </w:rPr>
          <w:tab/>
        </w:r>
        <w:r w:rsidR="004E2DCB">
          <w:rPr>
            <w:noProof/>
            <w:webHidden/>
          </w:rPr>
          <w:fldChar w:fldCharType="begin"/>
        </w:r>
        <w:r w:rsidR="004E2DCB">
          <w:rPr>
            <w:noProof/>
            <w:webHidden/>
          </w:rPr>
          <w:instrText xml:space="preserve"> PAGEREF _Toc90725938 \h </w:instrText>
        </w:r>
        <w:r w:rsidR="004E2DCB">
          <w:rPr>
            <w:noProof/>
            <w:webHidden/>
          </w:rPr>
        </w:r>
        <w:r w:rsidR="004E2DCB">
          <w:rPr>
            <w:noProof/>
            <w:webHidden/>
          </w:rPr>
          <w:fldChar w:fldCharType="separate"/>
        </w:r>
        <w:r w:rsidR="004E2DCB">
          <w:rPr>
            <w:noProof/>
            <w:webHidden/>
          </w:rPr>
          <w:t>100</w:t>
        </w:r>
        <w:r w:rsidR="004E2DCB">
          <w:rPr>
            <w:noProof/>
            <w:webHidden/>
          </w:rPr>
          <w:fldChar w:fldCharType="end"/>
        </w:r>
      </w:hyperlink>
    </w:p>
    <w:p w14:paraId="732EFF32" w14:textId="6A45AB84" w:rsidR="004E2DCB" w:rsidRDefault="000B273D">
      <w:pPr>
        <w:pStyle w:val="TableofFigures"/>
        <w:rPr>
          <w:rFonts w:asciiTheme="minorHAnsi" w:eastAsiaTheme="minorEastAsia" w:hAnsiTheme="minorHAnsi" w:cstheme="minorBidi"/>
          <w:noProof/>
          <w:sz w:val="22"/>
          <w:lang w:val="en-US"/>
        </w:rPr>
      </w:pPr>
      <w:hyperlink w:anchor="_Toc90725939" w:history="1">
        <w:r w:rsidR="004E2DCB" w:rsidRPr="00EF67C5">
          <w:rPr>
            <w:rStyle w:val="Hyperlink"/>
            <w:noProof/>
          </w:rPr>
          <w:t>Figure 12: Logic of the intervention for Gorj County</w:t>
        </w:r>
        <w:r w:rsidR="004E2DCB">
          <w:rPr>
            <w:noProof/>
            <w:webHidden/>
          </w:rPr>
          <w:tab/>
        </w:r>
        <w:r w:rsidR="004E2DCB">
          <w:rPr>
            <w:noProof/>
            <w:webHidden/>
          </w:rPr>
          <w:fldChar w:fldCharType="begin"/>
        </w:r>
        <w:r w:rsidR="004E2DCB">
          <w:rPr>
            <w:noProof/>
            <w:webHidden/>
          </w:rPr>
          <w:instrText xml:space="preserve"> PAGEREF _Toc90725939 \h </w:instrText>
        </w:r>
        <w:r w:rsidR="004E2DCB">
          <w:rPr>
            <w:noProof/>
            <w:webHidden/>
          </w:rPr>
        </w:r>
        <w:r w:rsidR="004E2DCB">
          <w:rPr>
            <w:noProof/>
            <w:webHidden/>
          </w:rPr>
          <w:fldChar w:fldCharType="separate"/>
        </w:r>
        <w:r w:rsidR="004E2DCB">
          <w:rPr>
            <w:noProof/>
            <w:webHidden/>
          </w:rPr>
          <w:t>126</w:t>
        </w:r>
        <w:r w:rsidR="004E2DCB">
          <w:rPr>
            <w:noProof/>
            <w:webHidden/>
          </w:rPr>
          <w:fldChar w:fldCharType="end"/>
        </w:r>
      </w:hyperlink>
    </w:p>
    <w:p w14:paraId="6D011E5E" w14:textId="2B81B36F" w:rsidR="004E2DCB" w:rsidRDefault="000B273D">
      <w:pPr>
        <w:pStyle w:val="TableofFigures"/>
        <w:rPr>
          <w:rFonts w:asciiTheme="minorHAnsi" w:eastAsiaTheme="minorEastAsia" w:hAnsiTheme="minorHAnsi" w:cstheme="minorBidi"/>
          <w:noProof/>
          <w:sz w:val="22"/>
          <w:lang w:val="en-US"/>
        </w:rPr>
      </w:pPr>
      <w:hyperlink w:anchor="_Toc90725940" w:history="1">
        <w:r w:rsidR="004E2DCB" w:rsidRPr="00EF67C5">
          <w:rPr>
            <w:rStyle w:val="Hyperlink"/>
            <w:noProof/>
          </w:rPr>
          <w:t>Figure 13: Unemployment rate per UAT in Gorj County, 2020</w:t>
        </w:r>
        <w:r w:rsidR="004E2DCB">
          <w:rPr>
            <w:noProof/>
            <w:webHidden/>
          </w:rPr>
          <w:tab/>
        </w:r>
        <w:r w:rsidR="004E2DCB">
          <w:rPr>
            <w:noProof/>
            <w:webHidden/>
          </w:rPr>
          <w:fldChar w:fldCharType="begin"/>
        </w:r>
        <w:r w:rsidR="004E2DCB">
          <w:rPr>
            <w:noProof/>
            <w:webHidden/>
          </w:rPr>
          <w:instrText xml:space="preserve"> PAGEREF _Toc90725940 \h </w:instrText>
        </w:r>
        <w:r w:rsidR="004E2DCB">
          <w:rPr>
            <w:noProof/>
            <w:webHidden/>
          </w:rPr>
        </w:r>
        <w:r w:rsidR="004E2DCB">
          <w:rPr>
            <w:noProof/>
            <w:webHidden/>
          </w:rPr>
          <w:fldChar w:fldCharType="separate"/>
        </w:r>
        <w:r w:rsidR="004E2DCB">
          <w:rPr>
            <w:noProof/>
            <w:webHidden/>
          </w:rPr>
          <w:t>130</w:t>
        </w:r>
        <w:r w:rsidR="004E2DCB">
          <w:rPr>
            <w:noProof/>
            <w:webHidden/>
          </w:rPr>
          <w:fldChar w:fldCharType="end"/>
        </w:r>
      </w:hyperlink>
    </w:p>
    <w:p w14:paraId="5EF6EA11" w14:textId="3D895CD9" w:rsidR="004E2DCB" w:rsidRDefault="000B273D">
      <w:pPr>
        <w:pStyle w:val="TableofFigures"/>
        <w:rPr>
          <w:rFonts w:asciiTheme="minorHAnsi" w:eastAsiaTheme="minorEastAsia" w:hAnsiTheme="minorHAnsi" w:cstheme="minorBidi"/>
          <w:noProof/>
          <w:sz w:val="22"/>
          <w:lang w:val="en-US"/>
        </w:rPr>
      </w:pPr>
      <w:hyperlink w:anchor="_Toc90725941" w:history="1">
        <w:r w:rsidR="004E2DCB" w:rsidRPr="00EF67C5">
          <w:rPr>
            <w:rStyle w:val="Hyperlink"/>
            <w:noProof/>
          </w:rPr>
          <w:t>Figure 14: Residential gas consumption per UAT in Gorj county (‘000 cubic meters)</w:t>
        </w:r>
        <w:r w:rsidR="004E2DCB">
          <w:rPr>
            <w:noProof/>
            <w:webHidden/>
          </w:rPr>
          <w:tab/>
        </w:r>
        <w:r w:rsidR="004E2DCB">
          <w:rPr>
            <w:noProof/>
            <w:webHidden/>
          </w:rPr>
          <w:fldChar w:fldCharType="begin"/>
        </w:r>
        <w:r w:rsidR="004E2DCB">
          <w:rPr>
            <w:noProof/>
            <w:webHidden/>
          </w:rPr>
          <w:instrText xml:space="preserve"> PAGEREF _Toc90725941 \h </w:instrText>
        </w:r>
        <w:r w:rsidR="004E2DCB">
          <w:rPr>
            <w:noProof/>
            <w:webHidden/>
          </w:rPr>
        </w:r>
        <w:r w:rsidR="004E2DCB">
          <w:rPr>
            <w:noProof/>
            <w:webHidden/>
          </w:rPr>
          <w:fldChar w:fldCharType="separate"/>
        </w:r>
        <w:r w:rsidR="004E2DCB">
          <w:rPr>
            <w:noProof/>
            <w:webHidden/>
          </w:rPr>
          <w:t>134</w:t>
        </w:r>
        <w:r w:rsidR="004E2DCB">
          <w:rPr>
            <w:noProof/>
            <w:webHidden/>
          </w:rPr>
          <w:fldChar w:fldCharType="end"/>
        </w:r>
      </w:hyperlink>
    </w:p>
    <w:p w14:paraId="417E79FF" w14:textId="15094A1B" w:rsidR="004E2DCB" w:rsidRDefault="000B273D">
      <w:pPr>
        <w:pStyle w:val="TableofFigures"/>
        <w:rPr>
          <w:rFonts w:asciiTheme="minorHAnsi" w:eastAsiaTheme="minorEastAsia" w:hAnsiTheme="minorHAnsi" w:cstheme="minorBidi"/>
          <w:noProof/>
          <w:sz w:val="22"/>
          <w:lang w:val="en-US"/>
        </w:rPr>
      </w:pPr>
      <w:hyperlink w:anchor="_Toc90725942" w:history="1">
        <w:r w:rsidR="004E2DCB" w:rsidRPr="00EF67C5">
          <w:rPr>
            <w:rStyle w:val="Hyperlink"/>
            <w:noProof/>
          </w:rPr>
          <w:t>Figure 15: Logic of the intervention for Prahova County</w:t>
        </w:r>
        <w:r w:rsidR="004E2DCB">
          <w:rPr>
            <w:noProof/>
            <w:webHidden/>
          </w:rPr>
          <w:tab/>
        </w:r>
        <w:r w:rsidR="004E2DCB">
          <w:rPr>
            <w:noProof/>
            <w:webHidden/>
          </w:rPr>
          <w:fldChar w:fldCharType="begin"/>
        </w:r>
        <w:r w:rsidR="004E2DCB">
          <w:rPr>
            <w:noProof/>
            <w:webHidden/>
          </w:rPr>
          <w:instrText xml:space="preserve"> PAGEREF _Toc90725942 \h </w:instrText>
        </w:r>
        <w:r w:rsidR="004E2DCB">
          <w:rPr>
            <w:noProof/>
            <w:webHidden/>
          </w:rPr>
        </w:r>
        <w:r w:rsidR="004E2DCB">
          <w:rPr>
            <w:noProof/>
            <w:webHidden/>
          </w:rPr>
          <w:fldChar w:fldCharType="separate"/>
        </w:r>
        <w:r w:rsidR="004E2DCB">
          <w:rPr>
            <w:noProof/>
            <w:webHidden/>
          </w:rPr>
          <w:t>155</w:t>
        </w:r>
        <w:r w:rsidR="004E2DCB">
          <w:rPr>
            <w:noProof/>
            <w:webHidden/>
          </w:rPr>
          <w:fldChar w:fldCharType="end"/>
        </w:r>
      </w:hyperlink>
    </w:p>
    <w:p w14:paraId="2C1B1417" w14:textId="1D5D8181" w:rsidR="004E2DCB" w:rsidRDefault="000B273D">
      <w:pPr>
        <w:pStyle w:val="TableofFigures"/>
        <w:rPr>
          <w:rFonts w:asciiTheme="minorHAnsi" w:eastAsiaTheme="minorEastAsia" w:hAnsiTheme="minorHAnsi" w:cstheme="minorBidi"/>
          <w:noProof/>
          <w:sz w:val="22"/>
          <w:lang w:val="en-US"/>
        </w:rPr>
      </w:pPr>
      <w:hyperlink w:anchor="_Toc90725943" w:history="1">
        <w:r w:rsidR="004E2DCB" w:rsidRPr="00EF67C5">
          <w:rPr>
            <w:rStyle w:val="Hyperlink"/>
            <w:noProof/>
          </w:rPr>
          <w:t>Figure 16: Unemployment rate per UAT in Prahova County, 2020</w:t>
        </w:r>
        <w:r w:rsidR="004E2DCB">
          <w:rPr>
            <w:noProof/>
            <w:webHidden/>
          </w:rPr>
          <w:tab/>
        </w:r>
        <w:r w:rsidR="004E2DCB">
          <w:rPr>
            <w:noProof/>
            <w:webHidden/>
          </w:rPr>
          <w:fldChar w:fldCharType="begin"/>
        </w:r>
        <w:r w:rsidR="004E2DCB">
          <w:rPr>
            <w:noProof/>
            <w:webHidden/>
          </w:rPr>
          <w:instrText xml:space="preserve"> PAGEREF _Toc90725943 \h </w:instrText>
        </w:r>
        <w:r w:rsidR="004E2DCB">
          <w:rPr>
            <w:noProof/>
            <w:webHidden/>
          </w:rPr>
        </w:r>
        <w:r w:rsidR="004E2DCB">
          <w:rPr>
            <w:noProof/>
            <w:webHidden/>
          </w:rPr>
          <w:fldChar w:fldCharType="separate"/>
        </w:r>
        <w:r w:rsidR="004E2DCB">
          <w:rPr>
            <w:noProof/>
            <w:webHidden/>
          </w:rPr>
          <w:t>159</w:t>
        </w:r>
        <w:r w:rsidR="004E2DCB">
          <w:rPr>
            <w:noProof/>
            <w:webHidden/>
          </w:rPr>
          <w:fldChar w:fldCharType="end"/>
        </w:r>
      </w:hyperlink>
    </w:p>
    <w:p w14:paraId="25DE71C7" w14:textId="2948476C" w:rsidR="004E2DCB" w:rsidRDefault="000B273D">
      <w:pPr>
        <w:pStyle w:val="TableofFigures"/>
        <w:rPr>
          <w:rFonts w:asciiTheme="minorHAnsi" w:eastAsiaTheme="minorEastAsia" w:hAnsiTheme="minorHAnsi" w:cstheme="minorBidi"/>
          <w:noProof/>
          <w:sz w:val="22"/>
          <w:lang w:val="en-US"/>
        </w:rPr>
      </w:pPr>
      <w:hyperlink w:anchor="_Toc90725944" w:history="1">
        <w:r w:rsidR="004E2DCB" w:rsidRPr="00EF67C5">
          <w:rPr>
            <w:rStyle w:val="Hyperlink"/>
            <w:noProof/>
          </w:rPr>
          <w:t>Figure 17: Map of Ploiești featuring industrial sites (in light brown)</w:t>
        </w:r>
        <w:r w:rsidR="004E2DCB">
          <w:rPr>
            <w:noProof/>
            <w:webHidden/>
          </w:rPr>
          <w:tab/>
        </w:r>
        <w:r w:rsidR="004E2DCB">
          <w:rPr>
            <w:noProof/>
            <w:webHidden/>
          </w:rPr>
          <w:fldChar w:fldCharType="begin"/>
        </w:r>
        <w:r w:rsidR="004E2DCB">
          <w:rPr>
            <w:noProof/>
            <w:webHidden/>
          </w:rPr>
          <w:instrText xml:space="preserve"> PAGEREF _Toc90725944 \h </w:instrText>
        </w:r>
        <w:r w:rsidR="004E2DCB">
          <w:rPr>
            <w:noProof/>
            <w:webHidden/>
          </w:rPr>
        </w:r>
        <w:r w:rsidR="004E2DCB">
          <w:rPr>
            <w:noProof/>
            <w:webHidden/>
          </w:rPr>
          <w:fldChar w:fldCharType="separate"/>
        </w:r>
        <w:r w:rsidR="004E2DCB">
          <w:rPr>
            <w:noProof/>
            <w:webHidden/>
          </w:rPr>
          <w:t>161</w:t>
        </w:r>
        <w:r w:rsidR="004E2DCB">
          <w:rPr>
            <w:noProof/>
            <w:webHidden/>
          </w:rPr>
          <w:fldChar w:fldCharType="end"/>
        </w:r>
      </w:hyperlink>
    </w:p>
    <w:p w14:paraId="61BF9457" w14:textId="5D869818" w:rsidR="004E2DCB" w:rsidRDefault="000B273D">
      <w:pPr>
        <w:pStyle w:val="TableofFigures"/>
        <w:rPr>
          <w:rFonts w:asciiTheme="minorHAnsi" w:eastAsiaTheme="minorEastAsia" w:hAnsiTheme="minorHAnsi" w:cstheme="minorBidi"/>
          <w:noProof/>
          <w:sz w:val="22"/>
          <w:lang w:val="en-US"/>
        </w:rPr>
      </w:pPr>
      <w:hyperlink w:anchor="_Toc90725945" w:history="1">
        <w:r w:rsidR="004E2DCB" w:rsidRPr="00EF67C5">
          <w:rPr>
            <w:rStyle w:val="Hyperlink"/>
            <w:noProof/>
          </w:rPr>
          <w:t>Figure 18: Brownfield sites in Ploiești</w:t>
        </w:r>
        <w:r w:rsidR="004E2DCB">
          <w:rPr>
            <w:noProof/>
            <w:webHidden/>
          </w:rPr>
          <w:tab/>
        </w:r>
        <w:r w:rsidR="004E2DCB">
          <w:rPr>
            <w:noProof/>
            <w:webHidden/>
          </w:rPr>
          <w:fldChar w:fldCharType="begin"/>
        </w:r>
        <w:r w:rsidR="004E2DCB">
          <w:rPr>
            <w:noProof/>
            <w:webHidden/>
          </w:rPr>
          <w:instrText xml:space="preserve"> PAGEREF _Toc90725945 \h </w:instrText>
        </w:r>
        <w:r w:rsidR="004E2DCB">
          <w:rPr>
            <w:noProof/>
            <w:webHidden/>
          </w:rPr>
        </w:r>
        <w:r w:rsidR="004E2DCB">
          <w:rPr>
            <w:noProof/>
            <w:webHidden/>
          </w:rPr>
          <w:fldChar w:fldCharType="separate"/>
        </w:r>
        <w:r w:rsidR="004E2DCB">
          <w:rPr>
            <w:noProof/>
            <w:webHidden/>
          </w:rPr>
          <w:t>162</w:t>
        </w:r>
        <w:r w:rsidR="004E2DCB">
          <w:rPr>
            <w:noProof/>
            <w:webHidden/>
          </w:rPr>
          <w:fldChar w:fldCharType="end"/>
        </w:r>
      </w:hyperlink>
    </w:p>
    <w:p w14:paraId="0DAABE87" w14:textId="3D3922A9" w:rsidR="004E2DCB" w:rsidRDefault="000B273D">
      <w:pPr>
        <w:pStyle w:val="TableofFigures"/>
        <w:rPr>
          <w:rFonts w:asciiTheme="minorHAnsi" w:eastAsiaTheme="minorEastAsia" w:hAnsiTheme="minorHAnsi" w:cstheme="minorBidi"/>
          <w:noProof/>
          <w:sz w:val="22"/>
          <w:lang w:val="en-US"/>
        </w:rPr>
      </w:pPr>
      <w:hyperlink w:anchor="_Toc90725946" w:history="1">
        <w:r w:rsidR="004E2DCB" w:rsidRPr="00EF67C5">
          <w:rPr>
            <w:rStyle w:val="Hyperlink"/>
            <w:noProof/>
          </w:rPr>
          <w:t xml:space="preserve">Figure 19: </w:t>
        </w:r>
        <w:r w:rsidR="004E2DCB">
          <w:rPr>
            <w:rFonts w:asciiTheme="minorHAnsi" w:eastAsiaTheme="minorEastAsia" w:hAnsiTheme="minorHAnsi" w:cstheme="minorBidi"/>
            <w:noProof/>
            <w:sz w:val="22"/>
            <w:lang w:val="en-US"/>
          </w:rPr>
          <w:tab/>
        </w:r>
        <w:r w:rsidR="004E2DCB" w:rsidRPr="00EF67C5">
          <w:rPr>
            <w:rStyle w:val="Hyperlink"/>
            <w:noProof/>
          </w:rPr>
          <w:t>Informal housing in Mimiu, a marginalised Roma community in Ploiești, isolated between Astra Refinery brownfield site and the rail line crossing the city</w:t>
        </w:r>
        <w:r w:rsidR="004E2DCB">
          <w:rPr>
            <w:noProof/>
            <w:webHidden/>
          </w:rPr>
          <w:tab/>
        </w:r>
        <w:r w:rsidR="004E2DCB">
          <w:rPr>
            <w:noProof/>
            <w:webHidden/>
          </w:rPr>
          <w:fldChar w:fldCharType="begin"/>
        </w:r>
        <w:r w:rsidR="004E2DCB">
          <w:rPr>
            <w:noProof/>
            <w:webHidden/>
          </w:rPr>
          <w:instrText xml:space="preserve"> PAGEREF _Toc90725946 \h </w:instrText>
        </w:r>
        <w:r w:rsidR="004E2DCB">
          <w:rPr>
            <w:noProof/>
            <w:webHidden/>
          </w:rPr>
        </w:r>
        <w:r w:rsidR="004E2DCB">
          <w:rPr>
            <w:noProof/>
            <w:webHidden/>
          </w:rPr>
          <w:fldChar w:fldCharType="separate"/>
        </w:r>
        <w:r w:rsidR="004E2DCB">
          <w:rPr>
            <w:noProof/>
            <w:webHidden/>
          </w:rPr>
          <w:t>163</w:t>
        </w:r>
        <w:r w:rsidR="004E2DCB">
          <w:rPr>
            <w:noProof/>
            <w:webHidden/>
          </w:rPr>
          <w:fldChar w:fldCharType="end"/>
        </w:r>
      </w:hyperlink>
    </w:p>
    <w:p w14:paraId="6A5BEA40" w14:textId="13D426B9" w:rsidR="004E2DCB" w:rsidRDefault="000B273D">
      <w:pPr>
        <w:pStyle w:val="TableofFigures"/>
        <w:rPr>
          <w:rFonts w:asciiTheme="minorHAnsi" w:eastAsiaTheme="minorEastAsia" w:hAnsiTheme="minorHAnsi" w:cstheme="minorBidi"/>
          <w:noProof/>
          <w:sz w:val="22"/>
          <w:lang w:val="en-US"/>
        </w:rPr>
      </w:pPr>
      <w:hyperlink w:anchor="_Toc90725947" w:history="1">
        <w:r w:rsidR="004E2DCB" w:rsidRPr="00EF67C5">
          <w:rPr>
            <w:rStyle w:val="Hyperlink"/>
            <w:noProof/>
          </w:rPr>
          <w:t>Figure 20: Residential gas consumption per UAT in Prahova County (thousand cubic meters)</w:t>
        </w:r>
        <w:r w:rsidR="004E2DCB">
          <w:rPr>
            <w:noProof/>
            <w:webHidden/>
          </w:rPr>
          <w:tab/>
        </w:r>
        <w:r w:rsidR="004E2DCB">
          <w:rPr>
            <w:noProof/>
            <w:webHidden/>
          </w:rPr>
          <w:fldChar w:fldCharType="begin"/>
        </w:r>
        <w:r w:rsidR="004E2DCB">
          <w:rPr>
            <w:noProof/>
            <w:webHidden/>
          </w:rPr>
          <w:instrText xml:space="preserve"> PAGEREF _Toc90725947 \h </w:instrText>
        </w:r>
        <w:r w:rsidR="004E2DCB">
          <w:rPr>
            <w:noProof/>
            <w:webHidden/>
          </w:rPr>
        </w:r>
        <w:r w:rsidR="004E2DCB">
          <w:rPr>
            <w:noProof/>
            <w:webHidden/>
          </w:rPr>
          <w:fldChar w:fldCharType="separate"/>
        </w:r>
        <w:r w:rsidR="004E2DCB">
          <w:rPr>
            <w:noProof/>
            <w:webHidden/>
          </w:rPr>
          <w:t>166</w:t>
        </w:r>
        <w:r w:rsidR="004E2DCB">
          <w:rPr>
            <w:noProof/>
            <w:webHidden/>
          </w:rPr>
          <w:fldChar w:fldCharType="end"/>
        </w:r>
      </w:hyperlink>
    </w:p>
    <w:p w14:paraId="633695B4" w14:textId="1F0AF74D" w:rsidR="004E2DCB" w:rsidRDefault="000B273D">
      <w:pPr>
        <w:pStyle w:val="TableofFigures"/>
        <w:rPr>
          <w:rFonts w:asciiTheme="minorHAnsi" w:eastAsiaTheme="minorEastAsia" w:hAnsiTheme="minorHAnsi" w:cstheme="minorBidi"/>
          <w:noProof/>
          <w:sz w:val="22"/>
          <w:lang w:val="en-US"/>
        </w:rPr>
      </w:pPr>
      <w:hyperlink w:anchor="_Toc90725948" w:history="1">
        <w:r w:rsidR="004E2DCB" w:rsidRPr="00EF67C5">
          <w:rPr>
            <w:rStyle w:val="Hyperlink"/>
            <w:noProof/>
          </w:rPr>
          <w:t>Figure 21: Logic of the intervention for Mureș County</w:t>
        </w:r>
        <w:r w:rsidR="004E2DCB">
          <w:rPr>
            <w:noProof/>
            <w:webHidden/>
          </w:rPr>
          <w:tab/>
        </w:r>
        <w:r w:rsidR="004E2DCB">
          <w:rPr>
            <w:noProof/>
            <w:webHidden/>
          </w:rPr>
          <w:fldChar w:fldCharType="begin"/>
        </w:r>
        <w:r w:rsidR="004E2DCB">
          <w:rPr>
            <w:noProof/>
            <w:webHidden/>
          </w:rPr>
          <w:instrText xml:space="preserve"> PAGEREF _Toc90725948 \h </w:instrText>
        </w:r>
        <w:r w:rsidR="004E2DCB">
          <w:rPr>
            <w:noProof/>
            <w:webHidden/>
          </w:rPr>
        </w:r>
        <w:r w:rsidR="004E2DCB">
          <w:rPr>
            <w:noProof/>
            <w:webHidden/>
          </w:rPr>
          <w:fldChar w:fldCharType="separate"/>
        </w:r>
        <w:r w:rsidR="004E2DCB">
          <w:rPr>
            <w:noProof/>
            <w:webHidden/>
          </w:rPr>
          <w:t>188</w:t>
        </w:r>
        <w:r w:rsidR="004E2DCB">
          <w:rPr>
            <w:noProof/>
            <w:webHidden/>
          </w:rPr>
          <w:fldChar w:fldCharType="end"/>
        </w:r>
      </w:hyperlink>
    </w:p>
    <w:p w14:paraId="401A0F47" w14:textId="2E348225" w:rsidR="004E2DCB" w:rsidRDefault="000B273D">
      <w:pPr>
        <w:pStyle w:val="TableofFigures"/>
        <w:rPr>
          <w:rFonts w:asciiTheme="minorHAnsi" w:eastAsiaTheme="minorEastAsia" w:hAnsiTheme="minorHAnsi" w:cstheme="minorBidi"/>
          <w:noProof/>
          <w:sz w:val="22"/>
          <w:lang w:val="en-US"/>
        </w:rPr>
      </w:pPr>
      <w:hyperlink w:anchor="_Toc90725949" w:history="1">
        <w:r w:rsidR="004E2DCB" w:rsidRPr="00EF67C5">
          <w:rPr>
            <w:rStyle w:val="Hyperlink"/>
            <w:noProof/>
          </w:rPr>
          <w:t>Figure 22: Unemployment rate per UAT in Mureș County, 2020</w:t>
        </w:r>
        <w:r w:rsidR="004E2DCB">
          <w:rPr>
            <w:noProof/>
            <w:webHidden/>
          </w:rPr>
          <w:tab/>
        </w:r>
        <w:r w:rsidR="004E2DCB">
          <w:rPr>
            <w:noProof/>
            <w:webHidden/>
          </w:rPr>
          <w:fldChar w:fldCharType="begin"/>
        </w:r>
        <w:r w:rsidR="004E2DCB">
          <w:rPr>
            <w:noProof/>
            <w:webHidden/>
          </w:rPr>
          <w:instrText xml:space="preserve"> PAGEREF _Toc90725949 \h </w:instrText>
        </w:r>
        <w:r w:rsidR="004E2DCB">
          <w:rPr>
            <w:noProof/>
            <w:webHidden/>
          </w:rPr>
        </w:r>
        <w:r w:rsidR="004E2DCB">
          <w:rPr>
            <w:noProof/>
            <w:webHidden/>
          </w:rPr>
          <w:fldChar w:fldCharType="separate"/>
        </w:r>
        <w:r w:rsidR="004E2DCB">
          <w:rPr>
            <w:noProof/>
            <w:webHidden/>
          </w:rPr>
          <w:t>192</w:t>
        </w:r>
        <w:r w:rsidR="004E2DCB">
          <w:rPr>
            <w:noProof/>
            <w:webHidden/>
          </w:rPr>
          <w:fldChar w:fldCharType="end"/>
        </w:r>
      </w:hyperlink>
    </w:p>
    <w:p w14:paraId="42C8FE6B" w14:textId="67FC952E" w:rsidR="004E2DCB" w:rsidRDefault="000B273D">
      <w:pPr>
        <w:pStyle w:val="TableofFigures"/>
        <w:rPr>
          <w:rFonts w:asciiTheme="minorHAnsi" w:eastAsiaTheme="minorEastAsia" w:hAnsiTheme="minorHAnsi" w:cstheme="minorBidi"/>
          <w:noProof/>
          <w:sz w:val="22"/>
          <w:lang w:val="en-US"/>
        </w:rPr>
      </w:pPr>
      <w:hyperlink w:anchor="_Toc90725950" w:history="1">
        <w:r w:rsidR="004E2DCB" w:rsidRPr="00EF67C5">
          <w:rPr>
            <w:rStyle w:val="Hyperlink"/>
            <w:noProof/>
          </w:rPr>
          <w:t>Figure 23: Residential gas consumption per UAT in Mureș County (‘000 cubic meters)</w:t>
        </w:r>
        <w:r w:rsidR="004E2DCB">
          <w:rPr>
            <w:noProof/>
            <w:webHidden/>
          </w:rPr>
          <w:tab/>
        </w:r>
        <w:r w:rsidR="004E2DCB">
          <w:rPr>
            <w:noProof/>
            <w:webHidden/>
          </w:rPr>
          <w:fldChar w:fldCharType="begin"/>
        </w:r>
        <w:r w:rsidR="004E2DCB">
          <w:rPr>
            <w:noProof/>
            <w:webHidden/>
          </w:rPr>
          <w:instrText xml:space="preserve"> PAGEREF _Toc90725950 \h </w:instrText>
        </w:r>
        <w:r w:rsidR="004E2DCB">
          <w:rPr>
            <w:noProof/>
            <w:webHidden/>
          </w:rPr>
        </w:r>
        <w:r w:rsidR="004E2DCB">
          <w:rPr>
            <w:noProof/>
            <w:webHidden/>
          </w:rPr>
          <w:fldChar w:fldCharType="separate"/>
        </w:r>
        <w:r w:rsidR="004E2DCB">
          <w:rPr>
            <w:noProof/>
            <w:webHidden/>
          </w:rPr>
          <w:t>198</w:t>
        </w:r>
        <w:r w:rsidR="004E2DCB">
          <w:rPr>
            <w:noProof/>
            <w:webHidden/>
          </w:rPr>
          <w:fldChar w:fldCharType="end"/>
        </w:r>
      </w:hyperlink>
    </w:p>
    <w:p w14:paraId="33D530BA" w14:textId="77A4304E" w:rsidR="004E2DCB" w:rsidRDefault="000B273D">
      <w:pPr>
        <w:pStyle w:val="TableofFigures"/>
        <w:rPr>
          <w:rFonts w:asciiTheme="minorHAnsi" w:eastAsiaTheme="minorEastAsia" w:hAnsiTheme="minorHAnsi" w:cstheme="minorBidi"/>
          <w:noProof/>
          <w:sz w:val="22"/>
          <w:lang w:val="en-US"/>
        </w:rPr>
      </w:pPr>
      <w:hyperlink w:anchor="_Toc90725951" w:history="1">
        <w:r w:rsidR="004E2DCB" w:rsidRPr="00EF67C5">
          <w:rPr>
            <w:rStyle w:val="Hyperlink"/>
            <w:noProof/>
          </w:rPr>
          <w:t>Figure 24: Logic of the intervention for Galați County</w:t>
        </w:r>
        <w:r w:rsidR="004E2DCB">
          <w:rPr>
            <w:noProof/>
            <w:webHidden/>
          </w:rPr>
          <w:tab/>
        </w:r>
        <w:r w:rsidR="004E2DCB">
          <w:rPr>
            <w:noProof/>
            <w:webHidden/>
          </w:rPr>
          <w:fldChar w:fldCharType="begin"/>
        </w:r>
        <w:r w:rsidR="004E2DCB">
          <w:rPr>
            <w:noProof/>
            <w:webHidden/>
          </w:rPr>
          <w:instrText xml:space="preserve"> PAGEREF _Toc90725951 \h </w:instrText>
        </w:r>
        <w:r w:rsidR="004E2DCB">
          <w:rPr>
            <w:noProof/>
            <w:webHidden/>
          </w:rPr>
        </w:r>
        <w:r w:rsidR="004E2DCB">
          <w:rPr>
            <w:noProof/>
            <w:webHidden/>
          </w:rPr>
          <w:fldChar w:fldCharType="separate"/>
        </w:r>
        <w:r w:rsidR="004E2DCB">
          <w:rPr>
            <w:noProof/>
            <w:webHidden/>
          </w:rPr>
          <w:t>216</w:t>
        </w:r>
        <w:r w:rsidR="004E2DCB">
          <w:rPr>
            <w:noProof/>
            <w:webHidden/>
          </w:rPr>
          <w:fldChar w:fldCharType="end"/>
        </w:r>
      </w:hyperlink>
    </w:p>
    <w:p w14:paraId="14BB31F4" w14:textId="7CE79CAC" w:rsidR="004E2DCB" w:rsidRDefault="000B273D">
      <w:pPr>
        <w:pStyle w:val="TableofFigures"/>
        <w:rPr>
          <w:rFonts w:asciiTheme="minorHAnsi" w:eastAsiaTheme="minorEastAsia" w:hAnsiTheme="minorHAnsi" w:cstheme="minorBidi"/>
          <w:noProof/>
          <w:sz w:val="22"/>
          <w:lang w:val="en-US"/>
        </w:rPr>
      </w:pPr>
      <w:hyperlink w:anchor="_Toc90725952" w:history="1">
        <w:r w:rsidR="004E2DCB" w:rsidRPr="00EF67C5">
          <w:rPr>
            <w:rStyle w:val="Hyperlink"/>
            <w:noProof/>
          </w:rPr>
          <w:t>Figure 25: Unemployment rate per UAT in Galați County, 2020</w:t>
        </w:r>
        <w:r w:rsidR="004E2DCB">
          <w:rPr>
            <w:noProof/>
            <w:webHidden/>
          </w:rPr>
          <w:tab/>
        </w:r>
        <w:r w:rsidR="004E2DCB">
          <w:rPr>
            <w:noProof/>
            <w:webHidden/>
          </w:rPr>
          <w:fldChar w:fldCharType="begin"/>
        </w:r>
        <w:r w:rsidR="004E2DCB">
          <w:rPr>
            <w:noProof/>
            <w:webHidden/>
          </w:rPr>
          <w:instrText xml:space="preserve"> PAGEREF _Toc90725952 \h </w:instrText>
        </w:r>
        <w:r w:rsidR="004E2DCB">
          <w:rPr>
            <w:noProof/>
            <w:webHidden/>
          </w:rPr>
        </w:r>
        <w:r w:rsidR="004E2DCB">
          <w:rPr>
            <w:noProof/>
            <w:webHidden/>
          </w:rPr>
          <w:fldChar w:fldCharType="separate"/>
        </w:r>
        <w:r w:rsidR="004E2DCB">
          <w:rPr>
            <w:noProof/>
            <w:webHidden/>
          </w:rPr>
          <w:t>221</w:t>
        </w:r>
        <w:r w:rsidR="004E2DCB">
          <w:rPr>
            <w:noProof/>
            <w:webHidden/>
          </w:rPr>
          <w:fldChar w:fldCharType="end"/>
        </w:r>
      </w:hyperlink>
    </w:p>
    <w:p w14:paraId="6C782412" w14:textId="4E6E1F3D" w:rsidR="004E2DCB" w:rsidRDefault="000B273D">
      <w:pPr>
        <w:pStyle w:val="TableofFigures"/>
        <w:rPr>
          <w:rFonts w:asciiTheme="minorHAnsi" w:eastAsiaTheme="minorEastAsia" w:hAnsiTheme="minorHAnsi" w:cstheme="minorBidi"/>
          <w:noProof/>
          <w:sz w:val="22"/>
          <w:lang w:val="en-US"/>
        </w:rPr>
      </w:pPr>
      <w:hyperlink w:anchor="_Toc90725953" w:history="1">
        <w:r w:rsidR="004E2DCB" w:rsidRPr="00EF67C5">
          <w:rPr>
            <w:rStyle w:val="Hyperlink"/>
            <w:noProof/>
          </w:rPr>
          <w:t>Figure 26</w:t>
        </w:r>
        <w:r w:rsidR="004E2DCB" w:rsidRPr="00EF67C5">
          <w:rPr>
            <w:rStyle w:val="Hyperlink"/>
            <w:noProof/>
            <w:lang w:val="en-US"/>
          </w:rPr>
          <w:t xml:space="preserve">: </w:t>
        </w:r>
        <w:r w:rsidR="004E2DCB" w:rsidRPr="00EF67C5">
          <w:rPr>
            <w:rStyle w:val="Hyperlink"/>
            <w:noProof/>
          </w:rPr>
          <w:t>Types of marginalised urban communities identified in the Municipality of Galați</w:t>
        </w:r>
        <w:r w:rsidR="004E2DCB">
          <w:rPr>
            <w:noProof/>
            <w:webHidden/>
          </w:rPr>
          <w:tab/>
        </w:r>
        <w:r w:rsidR="004E2DCB">
          <w:rPr>
            <w:noProof/>
            <w:webHidden/>
          </w:rPr>
          <w:fldChar w:fldCharType="begin"/>
        </w:r>
        <w:r w:rsidR="004E2DCB">
          <w:rPr>
            <w:noProof/>
            <w:webHidden/>
          </w:rPr>
          <w:instrText xml:space="preserve"> PAGEREF _Toc90725953 \h </w:instrText>
        </w:r>
        <w:r w:rsidR="004E2DCB">
          <w:rPr>
            <w:noProof/>
            <w:webHidden/>
          </w:rPr>
        </w:r>
        <w:r w:rsidR="004E2DCB">
          <w:rPr>
            <w:noProof/>
            <w:webHidden/>
          </w:rPr>
          <w:fldChar w:fldCharType="separate"/>
        </w:r>
        <w:r w:rsidR="004E2DCB">
          <w:rPr>
            <w:noProof/>
            <w:webHidden/>
          </w:rPr>
          <w:t>223</w:t>
        </w:r>
        <w:r w:rsidR="004E2DCB">
          <w:rPr>
            <w:noProof/>
            <w:webHidden/>
          </w:rPr>
          <w:fldChar w:fldCharType="end"/>
        </w:r>
      </w:hyperlink>
    </w:p>
    <w:p w14:paraId="580CBCDA" w14:textId="444F06DC" w:rsidR="004E2DCB" w:rsidRDefault="000B273D">
      <w:pPr>
        <w:pStyle w:val="TableofFigures"/>
        <w:rPr>
          <w:rFonts w:asciiTheme="minorHAnsi" w:eastAsiaTheme="minorEastAsia" w:hAnsiTheme="minorHAnsi" w:cstheme="minorBidi"/>
          <w:noProof/>
          <w:sz w:val="22"/>
          <w:lang w:val="en-US"/>
        </w:rPr>
      </w:pPr>
      <w:hyperlink w:anchor="_Toc90725954" w:history="1">
        <w:r w:rsidR="004E2DCB" w:rsidRPr="00EF67C5">
          <w:rPr>
            <w:rStyle w:val="Hyperlink"/>
            <w:noProof/>
          </w:rPr>
          <w:t>Figure 27: Residential gas consumption per UAT in Galați County (‘000 cubic meters)</w:t>
        </w:r>
        <w:r w:rsidR="004E2DCB">
          <w:rPr>
            <w:noProof/>
            <w:webHidden/>
          </w:rPr>
          <w:tab/>
        </w:r>
        <w:r w:rsidR="004E2DCB">
          <w:rPr>
            <w:noProof/>
            <w:webHidden/>
          </w:rPr>
          <w:fldChar w:fldCharType="begin"/>
        </w:r>
        <w:r w:rsidR="004E2DCB">
          <w:rPr>
            <w:noProof/>
            <w:webHidden/>
          </w:rPr>
          <w:instrText xml:space="preserve"> PAGEREF _Toc90725954 \h </w:instrText>
        </w:r>
        <w:r w:rsidR="004E2DCB">
          <w:rPr>
            <w:noProof/>
            <w:webHidden/>
          </w:rPr>
        </w:r>
        <w:r w:rsidR="004E2DCB">
          <w:rPr>
            <w:noProof/>
            <w:webHidden/>
          </w:rPr>
          <w:fldChar w:fldCharType="separate"/>
        </w:r>
        <w:r w:rsidR="004E2DCB">
          <w:rPr>
            <w:noProof/>
            <w:webHidden/>
          </w:rPr>
          <w:t>228</w:t>
        </w:r>
        <w:r w:rsidR="004E2DCB">
          <w:rPr>
            <w:noProof/>
            <w:webHidden/>
          </w:rPr>
          <w:fldChar w:fldCharType="end"/>
        </w:r>
      </w:hyperlink>
    </w:p>
    <w:p w14:paraId="2B9543F1" w14:textId="25406706" w:rsidR="003A13DD" w:rsidRPr="00CD34EE" w:rsidRDefault="005659DD" w:rsidP="001916C2">
      <w:pPr>
        <w:pBdr>
          <w:top w:val="nil"/>
          <w:left w:val="nil"/>
          <w:bottom w:val="nil"/>
          <w:right w:val="nil"/>
          <w:between w:val="nil"/>
        </w:pBdr>
        <w:tabs>
          <w:tab w:val="right" w:pos="8929"/>
        </w:tabs>
        <w:spacing w:before="240" w:after="120"/>
        <w:rPr>
          <w:rFonts w:ascii="Arial" w:hAnsi="Arial" w:cs="Arial"/>
          <w:b/>
          <w:smallCaps/>
          <w:color w:val="1F497D" w:themeColor="text2"/>
          <w:sz w:val="28"/>
          <w:szCs w:val="28"/>
        </w:rPr>
      </w:pPr>
      <w:r w:rsidRPr="00CD34EE">
        <w:rPr>
          <w:rFonts w:ascii="Arial" w:hAnsi="Arial" w:cs="Arial"/>
          <w:sz w:val="20"/>
          <w:szCs w:val="20"/>
        </w:rPr>
        <w:fldChar w:fldCharType="end"/>
      </w:r>
      <w:r w:rsidR="003648D5" w:rsidRPr="001916C2">
        <w:rPr>
          <w:rFonts w:ascii="Arial" w:hAnsi="Arial" w:cs="Arial"/>
          <w:b/>
          <w:smallCaps/>
          <w:color w:val="4F81BD" w:themeColor="accent1"/>
          <w:sz w:val="28"/>
          <w:szCs w:val="28"/>
        </w:rPr>
        <w:t>Tables</w:t>
      </w:r>
    </w:p>
    <w:p w14:paraId="22D68054" w14:textId="7B1B38B4" w:rsidR="00FB081A" w:rsidRDefault="0040363E">
      <w:pPr>
        <w:pStyle w:val="TableofFigures"/>
        <w:rPr>
          <w:rFonts w:asciiTheme="minorHAnsi" w:eastAsiaTheme="minorEastAsia" w:hAnsiTheme="minorHAnsi" w:cstheme="minorBidi"/>
          <w:noProof/>
          <w:sz w:val="22"/>
          <w:lang w:val="en-US"/>
        </w:rPr>
      </w:pPr>
      <w:r w:rsidRPr="00CD34EE">
        <w:rPr>
          <w:b/>
          <w:bCs/>
          <w:noProof/>
          <w:szCs w:val="20"/>
          <w:lang w:val="en-US"/>
        </w:rPr>
        <w:fldChar w:fldCharType="begin"/>
      </w:r>
      <w:r w:rsidRPr="00CD34EE">
        <w:rPr>
          <w:b/>
          <w:bCs/>
          <w:noProof/>
          <w:szCs w:val="20"/>
          <w:lang w:val="en-US"/>
        </w:rPr>
        <w:instrText xml:space="preserve"> TOC \h \z \c "Table" </w:instrText>
      </w:r>
      <w:r w:rsidRPr="00CD34EE">
        <w:rPr>
          <w:b/>
          <w:bCs/>
          <w:noProof/>
          <w:szCs w:val="20"/>
          <w:lang w:val="en-US"/>
        </w:rPr>
        <w:fldChar w:fldCharType="separate"/>
      </w:r>
      <w:hyperlink w:anchor="_Toc90727252" w:history="1">
        <w:r w:rsidR="00FB081A" w:rsidRPr="004D03FA">
          <w:rPr>
            <w:rStyle w:val="Hyperlink"/>
            <w:noProof/>
          </w:rPr>
          <w:t>Table 1: Selection of EU member states as examples of good practices</w:t>
        </w:r>
        <w:r w:rsidR="00FB081A">
          <w:rPr>
            <w:noProof/>
            <w:webHidden/>
          </w:rPr>
          <w:tab/>
        </w:r>
        <w:r w:rsidR="00FB081A">
          <w:rPr>
            <w:noProof/>
            <w:webHidden/>
          </w:rPr>
          <w:fldChar w:fldCharType="begin"/>
        </w:r>
        <w:r w:rsidR="00FB081A">
          <w:rPr>
            <w:noProof/>
            <w:webHidden/>
          </w:rPr>
          <w:instrText xml:space="preserve"> PAGEREF _Toc90727252 \h </w:instrText>
        </w:r>
        <w:r w:rsidR="00FB081A">
          <w:rPr>
            <w:noProof/>
            <w:webHidden/>
          </w:rPr>
        </w:r>
        <w:r w:rsidR="00FB081A">
          <w:rPr>
            <w:noProof/>
            <w:webHidden/>
          </w:rPr>
          <w:fldChar w:fldCharType="separate"/>
        </w:r>
        <w:r w:rsidR="00FB081A">
          <w:rPr>
            <w:noProof/>
            <w:webHidden/>
          </w:rPr>
          <w:t>16</w:t>
        </w:r>
        <w:r w:rsidR="00FB081A">
          <w:rPr>
            <w:noProof/>
            <w:webHidden/>
          </w:rPr>
          <w:fldChar w:fldCharType="end"/>
        </w:r>
      </w:hyperlink>
    </w:p>
    <w:p w14:paraId="1A05D143" w14:textId="1C374067" w:rsidR="00FB081A" w:rsidRDefault="000B273D">
      <w:pPr>
        <w:pStyle w:val="TableofFigures"/>
        <w:rPr>
          <w:rFonts w:asciiTheme="minorHAnsi" w:eastAsiaTheme="minorEastAsia" w:hAnsiTheme="minorHAnsi" w:cstheme="minorBidi"/>
          <w:noProof/>
          <w:sz w:val="22"/>
          <w:lang w:val="en-US"/>
        </w:rPr>
      </w:pPr>
      <w:hyperlink w:anchor="_Toc90727253" w:history="1">
        <w:r w:rsidR="00FB081A" w:rsidRPr="004D03FA">
          <w:rPr>
            <w:rStyle w:val="Hyperlink"/>
            <w:noProof/>
          </w:rPr>
          <w:t>Table 2: Active companies in the sector of circular economy across the six counties</w:t>
        </w:r>
        <w:r w:rsidR="00FB081A">
          <w:rPr>
            <w:noProof/>
            <w:webHidden/>
          </w:rPr>
          <w:tab/>
        </w:r>
        <w:r w:rsidR="00FB081A">
          <w:rPr>
            <w:noProof/>
            <w:webHidden/>
          </w:rPr>
          <w:fldChar w:fldCharType="begin"/>
        </w:r>
        <w:r w:rsidR="00FB081A">
          <w:rPr>
            <w:noProof/>
            <w:webHidden/>
          </w:rPr>
          <w:instrText xml:space="preserve"> PAGEREF _Toc90727253 \h </w:instrText>
        </w:r>
        <w:r w:rsidR="00FB081A">
          <w:rPr>
            <w:noProof/>
            <w:webHidden/>
          </w:rPr>
        </w:r>
        <w:r w:rsidR="00FB081A">
          <w:rPr>
            <w:noProof/>
            <w:webHidden/>
          </w:rPr>
          <w:fldChar w:fldCharType="separate"/>
        </w:r>
        <w:r w:rsidR="00FB081A">
          <w:rPr>
            <w:noProof/>
            <w:webHidden/>
          </w:rPr>
          <w:t>18</w:t>
        </w:r>
        <w:r w:rsidR="00FB081A">
          <w:rPr>
            <w:noProof/>
            <w:webHidden/>
          </w:rPr>
          <w:fldChar w:fldCharType="end"/>
        </w:r>
      </w:hyperlink>
    </w:p>
    <w:p w14:paraId="6C39BA66" w14:textId="6B4A8C9F" w:rsidR="00FB081A" w:rsidRDefault="000B273D">
      <w:pPr>
        <w:pStyle w:val="TableofFigures"/>
        <w:rPr>
          <w:rFonts w:asciiTheme="minorHAnsi" w:eastAsiaTheme="minorEastAsia" w:hAnsiTheme="minorHAnsi" w:cstheme="minorBidi"/>
          <w:noProof/>
          <w:sz w:val="22"/>
          <w:lang w:val="en-US"/>
        </w:rPr>
      </w:pPr>
      <w:hyperlink w:anchor="_Toc90727254" w:history="1">
        <w:r w:rsidR="00FB081A" w:rsidRPr="004D03FA">
          <w:rPr>
            <w:rStyle w:val="Hyperlink"/>
            <w:noProof/>
          </w:rPr>
          <w:t>Table 3: Share of the circular economy sectors across all sectors of the economy in the six counties</w:t>
        </w:r>
        <w:r w:rsidR="00FB081A">
          <w:rPr>
            <w:noProof/>
            <w:webHidden/>
          </w:rPr>
          <w:tab/>
        </w:r>
        <w:r w:rsidR="00FB081A">
          <w:rPr>
            <w:noProof/>
            <w:webHidden/>
          </w:rPr>
          <w:fldChar w:fldCharType="begin"/>
        </w:r>
        <w:r w:rsidR="00FB081A">
          <w:rPr>
            <w:noProof/>
            <w:webHidden/>
          </w:rPr>
          <w:instrText xml:space="preserve"> PAGEREF _Toc90727254 \h </w:instrText>
        </w:r>
        <w:r w:rsidR="00FB081A">
          <w:rPr>
            <w:noProof/>
            <w:webHidden/>
          </w:rPr>
        </w:r>
        <w:r w:rsidR="00FB081A">
          <w:rPr>
            <w:noProof/>
            <w:webHidden/>
          </w:rPr>
          <w:fldChar w:fldCharType="separate"/>
        </w:r>
        <w:r w:rsidR="00FB081A">
          <w:rPr>
            <w:noProof/>
            <w:webHidden/>
          </w:rPr>
          <w:t>19</w:t>
        </w:r>
        <w:r w:rsidR="00FB081A">
          <w:rPr>
            <w:noProof/>
            <w:webHidden/>
          </w:rPr>
          <w:fldChar w:fldCharType="end"/>
        </w:r>
      </w:hyperlink>
    </w:p>
    <w:p w14:paraId="7DB0CAB2" w14:textId="02316C4D" w:rsidR="00FB081A" w:rsidRDefault="000B273D">
      <w:pPr>
        <w:pStyle w:val="TableofFigures"/>
        <w:rPr>
          <w:rFonts w:asciiTheme="minorHAnsi" w:eastAsiaTheme="minorEastAsia" w:hAnsiTheme="minorHAnsi" w:cstheme="minorBidi"/>
          <w:noProof/>
          <w:sz w:val="22"/>
          <w:lang w:val="en-US"/>
        </w:rPr>
      </w:pPr>
      <w:hyperlink w:anchor="_Toc90727255" w:history="1">
        <w:r w:rsidR="00FB081A" w:rsidRPr="004D03FA">
          <w:rPr>
            <w:rStyle w:val="Hyperlink"/>
            <w:noProof/>
          </w:rPr>
          <w:t>Table 4: Active companies in the sector of electricity production across the six counties</w:t>
        </w:r>
        <w:r w:rsidR="00FB081A">
          <w:rPr>
            <w:noProof/>
            <w:webHidden/>
          </w:rPr>
          <w:tab/>
        </w:r>
        <w:r w:rsidR="00FB081A">
          <w:rPr>
            <w:noProof/>
            <w:webHidden/>
          </w:rPr>
          <w:fldChar w:fldCharType="begin"/>
        </w:r>
        <w:r w:rsidR="00FB081A">
          <w:rPr>
            <w:noProof/>
            <w:webHidden/>
          </w:rPr>
          <w:instrText xml:space="preserve"> PAGEREF _Toc90727255 \h </w:instrText>
        </w:r>
        <w:r w:rsidR="00FB081A">
          <w:rPr>
            <w:noProof/>
            <w:webHidden/>
          </w:rPr>
        </w:r>
        <w:r w:rsidR="00FB081A">
          <w:rPr>
            <w:noProof/>
            <w:webHidden/>
          </w:rPr>
          <w:fldChar w:fldCharType="separate"/>
        </w:r>
        <w:r w:rsidR="00FB081A">
          <w:rPr>
            <w:noProof/>
            <w:webHidden/>
          </w:rPr>
          <w:t>22</w:t>
        </w:r>
        <w:r w:rsidR="00FB081A">
          <w:rPr>
            <w:noProof/>
            <w:webHidden/>
          </w:rPr>
          <w:fldChar w:fldCharType="end"/>
        </w:r>
      </w:hyperlink>
    </w:p>
    <w:p w14:paraId="025D0162" w14:textId="3529038D" w:rsidR="00FB081A" w:rsidRDefault="000B273D">
      <w:pPr>
        <w:pStyle w:val="TableofFigures"/>
        <w:rPr>
          <w:rFonts w:asciiTheme="minorHAnsi" w:eastAsiaTheme="minorEastAsia" w:hAnsiTheme="minorHAnsi" w:cstheme="minorBidi"/>
          <w:noProof/>
          <w:sz w:val="22"/>
          <w:lang w:val="en-US"/>
        </w:rPr>
      </w:pPr>
      <w:hyperlink w:anchor="_Toc90727256" w:history="1">
        <w:r w:rsidR="00FB081A" w:rsidRPr="004D03FA">
          <w:rPr>
            <w:rStyle w:val="Hyperlink"/>
            <w:noProof/>
          </w:rPr>
          <w:t>Table 5: Verified emissions and freely allocated emissions in 2019</w:t>
        </w:r>
        <w:r w:rsidR="00FB081A">
          <w:rPr>
            <w:noProof/>
            <w:webHidden/>
          </w:rPr>
          <w:tab/>
        </w:r>
        <w:r w:rsidR="00FB081A">
          <w:rPr>
            <w:noProof/>
            <w:webHidden/>
          </w:rPr>
          <w:fldChar w:fldCharType="begin"/>
        </w:r>
        <w:r w:rsidR="00FB081A">
          <w:rPr>
            <w:noProof/>
            <w:webHidden/>
          </w:rPr>
          <w:instrText xml:space="preserve"> PAGEREF _Toc90727256 \h </w:instrText>
        </w:r>
        <w:r w:rsidR="00FB081A">
          <w:rPr>
            <w:noProof/>
            <w:webHidden/>
          </w:rPr>
        </w:r>
        <w:r w:rsidR="00FB081A">
          <w:rPr>
            <w:noProof/>
            <w:webHidden/>
          </w:rPr>
          <w:fldChar w:fldCharType="separate"/>
        </w:r>
        <w:r w:rsidR="00FB081A">
          <w:rPr>
            <w:noProof/>
            <w:webHidden/>
          </w:rPr>
          <w:t>24</w:t>
        </w:r>
        <w:r w:rsidR="00FB081A">
          <w:rPr>
            <w:noProof/>
            <w:webHidden/>
          </w:rPr>
          <w:fldChar w:fldCharType="end"/>
        </w:r>
      </w:hyperlink>
    </w:p>
    <w:p w14:paraId="450AC3AD" w14:textId="0041B3AB" w:rsidR="00FB081A" w:rsidRDefault="000B273D">
      <w:pPr>
        <w:pStyle w:val="TableofFigures"/>
        <w:rPr>
          <w:rFonts w:asciiTheme="minorHAnsi" w:eastAsiaTheme="minorEastAsia" w:hAnsiTheme="minorHAnsi" w:cstheme="minorBidi"/>
          <w:noProof/>
          <w:sz w:val="22"/>
          <w:lang w:val="en-US"/>
        </w:rPr>
      </w:pPr>
      <w:hyperlink w:anchor="_Toc90727257" w:history="1">
        <w:r w:rsidR="00FB081A" w:rsidRPr="004D03FA">
          <w:rPr>
            <w:rStyle w:val="Hyperlink"/>
            <w:noProof/>
            <w:lang w:val="it-IT"/>
          </w:rPr>
          <w:t>Table 6: GDP per capita (EUR)</w:t>
        </w:r>
        <w:r w:rsidR="00FB081A">
          <w:rPr>
            <w:noProof/>
            <w:webHidden/>
          </w:rPr>
          <w:tab/>
        </w:r>
        <w:r w:rsidR="00FB081A">
          <w:rPr>
            <w:noProof/>
            <w:webHidden/>
          </w:rPr>
          <w:fldChar w:fldCharType="begin"/>
        </w:r>
        <w:r w:rsidR="00FB081A">
          <w:rPr>
            <w:noProof/>
            <w:webHidden/>
          </w:rPr>
          <w:instrText xml:space="preserve"> PAGEREF _Toc90727257 \h </w:instrText>
        </w:r>
        <w:r w:rsidR="00FB081A">
          <w:rPr>
            <w:noProof/>
            <w:webHidden/>
          </w:rPr>
        </w:r>
        <w:r w:rsidR="00FB081A">
          <w:rPr>
            <w:noProof/>
            <w:webHidden/>
          </w:rPr>
          <w:fldChar w:fldCharType="separate"/>
        </w:r>
        <w:r w:rsidR="00FB081A">
          <w:rPr>
            <w:noProof/>
            <w:webHidden/>
          </w:rPr>
          <w:t>29</w:t>
        </w:r>
        <w:r w:rsidR="00FB081A">
          <w:rPr>
            <w:noProof/>
            <w:webHidden/>
          </w:rPr>
          <w:fldChar w:fldCharType="end"/>
        </w:r>
      </w:hyperlink>
    </w:p>
    <w:p w14:paraId="49018ABB" w14:textId="7C30949E" w:rsidR="00FB081A" w:rsidRDefault="000B273D">
      <w:pPr>
        <w:pStyle w:val="TableofFigures"/>
        <w:rPr>
          <w:rFonts w:asciiTheme="minorHAnsi" w:eastAsiaTheme="minorEastAsia" w:hAnsiTheme="minorHAnsi" w:cstheme="minorBidi"/>
          <w:noProof/>
          <w:sz w:val="22"/>
          <w:lang w:val="en-US"/>
        </w:rPr>
      </w:pPr>
      <w:hyperlink w:anchor="_Toc90727258" w:history="1">
        <w:r w:rsidR="00FB081A" w:rsidRPr="004D03FA">
          <w:rPr>
            <w:rStyle w:val="Hyperlink"/>
            <w:noProof/>
          </w:rPr>
          <w:t>Table 7: Average net salary (RON) by county</w:t>
        </w:r>
        <w:r w:rsidR="00FB081A">
          <w:rPr>
            <w:noProof/>
            <w:webHidden/>
          </w:rPr>
          <w:tab/>
        </w:r>
        <w:r w:rsidR="00FB081A">
          <w:rPr>
            <w:noProof/>
            <w:webHidden/>
          </w:rPr>
          <w:fldChar w:fldCharType="begin"/>
        </w:r>
        <w:r w:rsidR="00FB081A">
          <w:rPr>
            <w:noProof/>
            <w:webHidden/>
          </w:rPr>
          <w:instrText xml:space="preserve"> PAGEREF _Toc90727258 \h </w:instrText>
        </w:r>
        <w:r w:rsidR="00FB081A">
          <w:rPr>
            <w:noProof/>
            <w:webHidden/>
          </w:rPr>
        </w:r>
        <w:r w:rsidR="00FB081A">
          <w:rPr>
            <w:noProof/>
            <w:webHidden/>
          </w:rPr>
          <w:fldChar w:fldCharType="separate"/>
        </w:r>
        <w:r w:rsidR="00FB081A">
          <w:rPr>
            <w:noProof/>
            <w:webHidden/>
          </w:rPr>
          <w:t>31</w:t>
        </w:r>
        <w:r w:rsidR="00FB081A">
          <w:rPr>
            <w:noProof/>
            <w:webHidden/>
          </w:rPr>
          <w:fldChar w:fldCharType="end"/>
        </w:r>
      </w:hyperlink>
    </w:p>
    <w:p w14:paraId="5B341255" w14:textId="49280CFB" w:rsidR="00FB081A" w:rsidRDefault="000B273D">
      <w:pPr>
        <w:pStyle w:val="TableofFigures"/>
        <w:rPr>
          <w:rFonts w:asciiTheme="minorHAnsi" w:eastAsiaTheme="minorEastAsia" w:hAnsiTheme="minorHAnsi" w:cstheme="minorBidi"/>
          <w:noProof/>
          <w:sz w:val="22"/>
          <w:lang w:val="en-US"/>
        </w:rPr>
      </w:pPr>
      <w:hyperlink w:anchor="_Toc90727259" w:history="1">
        <w:r w:rsidR="00FB081A" w:rsidRPr="004D03FA">
          <w:rPr>
            <w:rStyle w:val="Hyperlink"/>
            <w:noProof/>
          </w:rPr>
          <w:t>Table 8</w:t>
        </w:r>
        <w:r w:rsidR="00FB081A" w:rsidRPr="004D03FA">
          <w:rPr>
            <w:rStyle w:val="Hyperlink"/>
            <w:noProof/>
            <w:lang w:val="en-US"/>
          </w:rPr>
          <w:t>: Share of registered unemployed (%) by county</w:t>
        </w:r>
        <w:r w:rsidR="00FB081A">
          <w:rPr>
            <w:noProof/>
            <w:webHidden/>
          </w:rPr>
          <w:tab/>
        </w:r>
        <w:r w:rsidR="00FB081A">
          <w:rPr>
            <w:noProof/>
            <w:webHidden/>
          </w:rPr>
          <w:fldChar w:fldCharType="begin"/>
        </w:r>
        <w:r w:rsidR="00FB081A">
          <w:rPr>
            <w:noProof/>
            <w:webHidden/>
          </w:rPr>
          <w:instrText xml:space="preserve"> PAGEREF _Toc90727259 \h </w:instrText>
        </w:r>
        <w:r w:rsidR="00FB081A">
          <w:rPr>
            <w:noProof/>
            <w:webHidden/>
          </w:rPr>
        </w:r>
        <w:r w:rsidR="00FB081A">
          <w:rPr>
            <w:noProof/>
            <w:webHidden/>
          </w:rPr>
          <w:fldChar w:fldCharType="separate"/>
        </w:r>
        <w:r w:rsidR="00FB081A">
          <w:rPr>
            <w:noProof/>
            <w:webHidden/>
          </w:rPr>
          <w:t>31</w:t>
        </w:r>
        <w:r w:rsidR="00FB081A">
          <w:rPr>
            <w:noProof/>
            <w:webHidden/>
          </w:rPr>
          <w:fldChar w:fldCharType="end"/>
        </w:r>
      </w:hyperlink>
    </w:p>
    <w:p w14:paraId="77B01E04" w14:textId="182A7F48" w:rsidR="00FB081A" w:rsidRDefault="000B273D">
      <w:pPr>
        <w:pStyle w:val="TableofFigures"/>
        <w:rPr>
          <w:rFonts w:asciiTheme="minorHAnsi" w:eastAsiaTheme="minorEastAsia" w:hAnsiTheme="minorHAnsi" w:cstheme="minorBidi"/>
          <w:noProof/>
          <w:sz w:val="22"/>
          <w:lang w:val="en-US"/>
        </w:rPr>
      </w:pPr>
      <w:hyperlink w:anchor="_Toc90727260" w:history="1">
        <w:r w:rsidR="00FB081A" w:rsidRPr="004D03FA">
          <w:rPr>
            <w:rStyle w:val="Hyperlink"/>
            <w:noProof/>
          </w:rPr>
          <w:t>Table 9: Energy poverty indicators in Europe and their values in Romania</w:t>
        </w:r>
        <w:r w:rsidR="00FB081A">
          <w:rPr>
            <w:noProof/>
            <w:webHidden/>
          </w:rPr>
          <w:tab/>
        </w:r>
        <w:r w:rsidR="00FB081A">
          <w:rPr>
            <w:noProof/>
            <w:webHidden/>
          </w:rPr>
          <w:fldChar w:fldCharType="begin"/>
        </w:r>
        <w:r w:rsidR="00FB081A">
          <w:rPr>
            <w:noProof/>
            <w:webHidden/>
          </w:rPr>
          <w:instrText xml:space="preserve"> PAGEREF _Toc90727260 \h </w:instrText>
        </w:r>
        <w:r w:rsidR="00FB081A">
          <w:rPr>
            <w:noProof/>
            <w:webHidden/>
          </w:rPr>
        </w:r>
        <w:r w:rsidR="00FB081A">
          <w:rPr>
            <w:noProof/>
            <w:webHidden/>
          </w:rPr>
          <w:fldChar w:fldCharType="separate"/>
        </w:r>
        <w:r w:rsidR="00FB081A">
          <w:rPr>
            <w:noProof/>
            <w:webHidden/>
          </w:rPr>
          <w:t>33</w:t>
        </w:r>
        <w:r w:rsidR="00FB081A">
          <w:rPr>
            <w:noProof/>
            <w:webHidden/>
          </w:rPr>
          <w:fldChar w:fldCharType="end"/>
        </w:r>
      </w:hyperlink>
    </w:p>
    <w:p w14:paraId="3A7C892C" w14:textId="34B8A5D6" w:rsidR="00FB081A" w:rsidRDefault="000B273D">
      <w:pPr>
        <w:pStyle w:val="TableofFigures"/>
        <w:rPr>
          <w:rFonts w:asciiTheme="minorHAnsi" w:eastAsiaTheme="minorEastAsia" w:hAnsiTheme="minorHAnsi" w:cstheme="minorBidi"/>
          <w:noProof/>
          <w:sz w:val="22"/>
          <w:lang w:val="en-US"/>
        </w:rPr>
      </w:pPr>
      <w:hyperlink w:anchor="_Toc90727261" w:history="1">
        <w:r w:rsidR="00FB081A" w:rsidRPr="004D03FA">
          <w:rPr>
            <w:rStyle w:val="Hyperlink"/>
            <w:noProof/>
          </w:rPr>
          <w:t>Table 10: Energy poverty rates in the six affected regions</w:t>
        </w:r>
        <w:r w:rsidR="00FB081A">
          <w:rPr>
            <w:noProof/>
            <w:webHidden/>
          </w:rPr>
          <w:tab/>
        </w:r>
        <w:r w:rsidR="00FB081A">
          <w:rPr>
            <w:noProof/>
            <w:webHidden/>
          </w:rPr>
          <w:fldChar w:fldCharType="begin"/>
        </w:r>
        <w:r w:rsidR="00FB081A">
          <w:rPr>
            <w:noProof/>
            <w:webHidden/>
          </w:rPr>
          <w:instrText xml:space="preserve"> PAGEREF _Toc90727261 \h </w:instrText>
        </w:r>
        <w:r w:rsidR="00FB081A">
          <w:rPr>
            <w:noProof/>
            <w:webHidden/>
          </w:rPr>
        </w:r>
        <w:r w:rsidR="00FB081A">
          <w:rPr>
            <w:noProof/>
            <w:webHidden/>
          </w:rPr>
          <w:fldChar w:fldCharType="separate"/>
        </w:r>
        <w:r w:rsidR="00FB081A">
          <w:rPr>
            <w:noProof/>
            <w:webHidden/>
          </w:rPr>
          <w:t>34</w:t>
        </w:r>
        <w:r w:rsidR="00FB081A">
          <w:rPr>
            <w:noProof/>
            <w:webHidden/>
          </w:rPr>
          <w:fldChar w:fldCharType="end"/>
        </w:r>
      </w:hyperlink>
    </w:p>
    <w:p w14:paraId="56A7316D" w14:textId="1562426A" w:rsidR="00FB081A" w:rsidRDefault="000B273D">
      <w:pPr>
        <w:pStyle w:val="TableofFigures"/>
        <w:rPr>
          <w:rFonts w:asciiTheme="minorHAnsi" w:eastAsiaTheme="minorEastAsia" w:hAnsiTheme="minorHAnsi" w:cstheme="minorBidi"/>
          <w:noProof/>
          <w:sz w:val="22"/>
          <w:lang w:val="en-US"/>
        </w:rPr>
      </w:pPr>
      <w:hyperlink w:anchor="_Toc90727262" w:history="1">
        <w:r w:rsidR="00FB081A" w:rsidRPr="004D03FA">
          <w:rPr>
            <w:rStyle w:val="Hyperlink"/>
            <w:noProof/>
          </w:rPr>
          <w:t>Table 6: Population and number of households in the six affected regions</w:t>
        </w:r>
        <w:r w:rsidR="00FB081A">
          <w:rPr>
            <w:noProof/>
            <w:webHidden/>
          </w:rPr>
          <w:tab/>
        </w:r>
        <w:r w:rsidR="00FB081A">
          <w:rPr>
            <w:noProof/>
            <w:webHidden/>
          </w:rPr>
          <w:fldChar w:fldCharType="begin"/>
        </w:r>
        <w:r w:rsidR="00FB081A">
          <w:rPr>
            <w:noProof/>
            <w:webHidden/>
          </w:rPr>
          <w:instrText xml:space="preserve"> PAGEREF _Toc90727262 \h </w:instrText>
        </w:r>
        <w:r w:rsidR="00FB081A">
          <w:rPr>
            <w:noProof/>
            <w:webHidden/>
          </w:rPr>
        </w:r>
        <w:r w:rsidR="00FB081A">
          <w:rPr>
            <w:noProof/>
            <w:webHidden/>
          </w:rPr>
          <w:fldChar w:fldCharType="separate"/>
        </w:r>
        <w:r w:rsidR="00FB081A">
          <w:rPr>
            <w:noProof/>
            <w:webHidden/>
          </w:rPr>
          <w:t>34</w:t>
        </w:r>
        <w:r w:rsidR="00FB081A">
          <w:rPr>
            <w:noProof/>
            <w:webHidden/>
          </w:rPr>
          <w:fldChar w:fldCharType="end"/>
        </w:r>
      </w:hyperlink>
    </w:p>
    <w:p w14:paraId="672017A2" w14:textId="79A31AC9" w:rsidR="00FB081A" w:rsidRDefault="000B273D">
      <w:pPr>
        <w:pStyle w:val="TableofFigures"/>
        <w:rPr>
          <w:rFonts w:asciiTheme="minorHAnsi" w:eastAsiaTheme="minorEastAsia" w:hAnsiTheme="minorHAnsi" w:cstheme="minorBidi"/>
          <w:noProof/>
          <w:sz w:val="22"/>
          <w:lang w:val="en-US"/>
        </w:rPr>
      </w:pPr>
      <w:hyperlink w:anchor="_Toc90727263" w:history="1">
        <w:r w:rsidR="00FB081A" w:rsidRPr="004D03FA">
          <w:rPr>
            <w:rStyle w:val="Hyperlink"/>
            <w:noProof/>
          </w:rPr>
          <w:t>Table 12: Estimated heating consumption</w:t>
        </w:r>
        <w:r w:rsidR="00FB081A">
          <w:rPr>
            <w:noProof/>
            <w:webHidden/>
          </w:rPr>
          <w:tab/>
        </w:r>
        <w:r w:rsidR="00FB081A">
          <w:rPr>
            <w:noProof/>
            <w:webHidden/>
          </w:rPr>
          <w:fldChar w:fldCharType="begin"/>
        </w:r>
        <w:r w:rsidR="00FB081A">
          <w:rPr>
            <w:noProof/>
            <w:webHidden/>
          </w:rPr>
          <w:instrText xml:space="preserve"> PAGEREF _Toc90727263 \h </w:instrText>
        </w:r>
        <w:r w:rsidR="00FB081A">
          <w:rPr>
            <w:noProof/>
            <w:webHidden/>
          </w:rPr>
        </w:r>
        <w:r w:rsidR="00FB081A">
          <w:rPr>
            <w:noProof/>
            <w:webHidden/>
          </w:rPr>
          <w:fldChar w:fldCharType="separate"/>
        </w:r>
        <w:r w:rsidR="00FB081A">
          <w:rPr>
            <w:noProof/>
            <w:webHidden/>
          </w:rPr>
          <w:t>37</w:t>
        </w:r>
        <w:r w:rsidR="00FB081A">
          <w:rPr>
            <w:noProof/>
            <w:webHidden/>
          </w:rPr>
          <w:fldChar w:fldCharType="end"/>
        </w:r>
      </w:hyperlink>
    </w:p>
    <w:p w14:paraId="5537976A" w14:textId="252D1E5A" w:rsidR="00FB081A" w:rsidRDefault="000B273D">
      <w:pPr>
        <w:pStyle w:val="TableofFigures"/>
        <w:rPr>
          <w:rFonts w:asciiTheme="minorHAnsi" w:eastAsiaTheme="minorEastAsia" w:hAnsiTheme="minorHAnsi" w:cstheme="minorBidi"/>
          <w:noProof/>
          <w:sz w:val="22"/>
          <w:lang w:val="en-US"/>
        </w:rPr>
      </w:pPr>
      <w:hyperlink w:anchor="_Toc90727264" w:history="1">
        <w:r w:rsidR="00FB081A" w:rsidRPr="004D03FA">
          <w:rPr>
            <w:rStyle w:val="Hyperlink"/>
            <w:noProof/>
          </w:rPr>
          <w:t>Table 13: Price per Gcal (including VAT) in winter 2018-2019</w:t>
        </w:r>
        <w:r w:rsidR="00FB081A">
          <w:rPr>
            <w:noProof/>
            <w:webHidden/>
          </w:rPr>
          <w:tab/>
        </w:r>
        <w:r w:rsidR="00FB081A">
          <w:rPr>
            <w:noProof/>
            <w:webHidden/>
          </w:rPr>
          <w:fldChar w:fldCharType="begin"/>
        </w:r>
        <w:r w:rsidR="00FB081A">
          <w:rPr>
            <w:noProof/>
            <w:webHidden/>
          </w:rPr>
          <w:instrText xml:space="preserve"> PAGEREF _Toc90727264 \h </w:instrText>
        </w:r>
        <w:r w:rsidR="00FB081A">
          <w:rPr>
            <w:noProof/>
            <w:webHidden/>
          </w:rPr>
        </w:r>
        <w:r w:rsidR="00FB081A">
          <w:rPr>
            <w:noProof/>
            <w:webHidden/>
          </w:rPr>
          <w:fldChar w:fldCharType="separate"/>
        </w:r>
        <w:r w:rsidR="00FB081A">
          <w:rPr>
            <w:noProof/>
            <w:webHidden/>
          </w:rPr>
          <w:t>38</w:t>
        </w:r>
        <w:r w:rsidR="00FB081A">
          <w:rPr>
            <w:noProof/>
            <w:webHidden/>
          </w:rPr>
          <w:fldChar w:fldCharType="end"/>
        </w:r>
      </w:hyperlink>
    </w:p>
    <w:p w14:paraId="50B8971F" w14:textId="146DD550" w:rsidR="00FB081A" w:rsidRDefault="000B273D">
      <w:pPr>
        <w:pStyle w:val="TableofFigures"/>
        <w:rPr>
          <w:rFonts w:asciiTheme="minorHAnsi" w:eastAsiaTheme="minorEastAsia" w:hAnsiTheme="minorHAnsi" w:cstheme="minorBidi"/>
          <w:noProof/>
          <w:sz w:val="22"/>
          <w:lang w:val="en-US"/>
        </w:rPr>
      </w:pPr>
      <w:hyperlink w:anchor="_Toc90727265" w:history="1">
        <w:r w:rsidR="00FB081A" w:rsidRPr="004D03FA">
          <w:rPr>
            <w:rStyle w:val="Hyperlink"/>
            <w:noProof/>
          </w:rPr>
          <w:t>Table 14: Share of households, public and private institutions connected to SACET for each county</w:t>
        </w:r>
        <w:r w:rsidR="00FB081A">
          <w:rPr>
            <w:noProof/>
            <w:webHidden/>
          </w:rPr>
          <w:tab/>
        </w:r>
        <w:r w:rsidR="00FB081A">
          <w:rPr>
            <w:noProof/>
            <w:webHidden/>
          </w:rPr>
          <w:fldChar w:fldCharType="begin"/>
        </w:r>
        <w:r w:rsidR="00FB081A">
          <w:rPr>
            <w:noProof/>
            <w:webHidden/>
          </w:rPr>
          <w:instrText xml:space="preserve"> PAGEREF _Toc90727265 \h </w:instrText>
        </w:r>
        <w:r w:rsidR="00FB081A">
          <w:rPr>
            <w:noProof/>
            <w:webHidden/>
          </w:rPr>
        </w:r>
        <w:r w:rsidR="00FB081A">
          <w:rPr>
            <w:noProof/>
            <w:webHidden/>
          </w:rPr>
          <w:fldChar w:fldCharType="separate"/>
        </w:r>
        <w:r w:rsidR="00FB081A">
          <w:rPr>
            <w:noProof/>
            <w:webHidden/>
          </w:rPr>
          <w:t>38</w:t>
        </w:r>
        <w:r w:rsidR="00FB081A">
          <w:rPr>
            <w:noProof/>
            <w:webHidden/>
          </w:rPr>
          <w:fldChar w:fldCharType="end"/>
        </w:r>
      </w:hyperlink>
    </w:p>
    <w:p w14:paraId="548A6364" w14:textId="663316A6" w:rsidR="00FB081A" w:rsidRDefault="000B273D">
      <w:pPr>
        <w:pStyle w:val="TableofFigures"/>
        <w:rPr>
          <w:rFonts w:asciiTheme="minorHAnsi" w:eastAsiaTheme="minorEastAsia" w:hAnsiTheme="minorHAnsi" w:cstheme="minorBidi"/>
          <w:noProof/>
          <w:sz w:val="22"/>
          <w:lang w:val="en-US"/>
        </w:rPr>
      </w:pPr>
      <w:hyperlink w:anchor="_Toc90727266" w:history="1">
        <w:r w:rsidR="00FB081A" w:rsidRPr="004D03FA">
          <w:rPr>
            <w:rStyle w:val="Hyperlink"/>
            <w:noProof/>
          </w:rPr>
          <w:t>Table 15: Building stock in the residential sector</w:t>
        </w:r>
        <w:r w:rsidR="00FB081A">
          <w:rPr>
            <w:noProof/>
            <w:webHidden/>
          </w:rPr>
          <w:tab/>
        </w:r>
        <w:r w:rsidR="00FB081A">
          <w:rPr>
            <w:noProof/>
            <w:webHidden/>
          </w:rPr>
          <w:fldChar w:fldCharType="begin"/>
        </w:r>
        <w:r w:rsidR="00FB081A">
          <w:rPr>
            <w:noProof/>
            <w:webHidden/>
          </w:rPr>
          <w:instrText xml:space="preserve"> PAGEREF _Toc90727266 \h </w:instrText>
        </w:r>
        <w:r w:rsidR="00FB081A">
          <w:rPr>
            <w:noProof/>
            <w:webHidden/>
          </w:rPr>
        </w:r>
        <w:r w:rsidR="00FB081A">
          <w:rPr>
            <w:noProof/>
            <w:webHidden/>
          </w:rPr>
          <w:fldChar w:fldCharType="separate"/>
        </w:r>
        <w:r w:rsidR="00FB081A">
          <w:rPr>
            <w:noProof/>
            <w:webHidden/>
          </w:rPr>
          <w:t>39</w:t>
        </w:r>
        <w:r w:rsidR="00FB081A">
          <w:rPr>
            <w:noProof/>
            <w:webHidden/>
          </w:rPr>
          <w:fldChar w:fldCharType="end"/>
        </w:r>
      </w:hyperlink>
    </w:p>
    <w:p w14:paraId="5C13D914" w14:textId="5C02BB03" w:rsidR="00FB081A" w:rsidRDefault="000B273D">
      <w:pPr>
        <w:pStyle w:val="TableofFigures"/>
        <w:rPr>
          <w:rFonts w:asciiTheme="minorHAnsi" w:eastAsiaTheme="minorEastAsia" w:hAnsiTheme="minorHAnsi" w:cstheme="minorBidi"/>
          <w:noProof/>
          <w:sz w:val="22"/>
          <w:lang w:val="en-US"/>
        </w:rPr>
      </w:pPr>
      <w:hyperlink w:anchor="_Toc90727267" w:history="1">
        <w:r w:rsidR="00FB081A" w:rsidRPr="004D03FA">
          <w:rPr>
            <w:rStyle w:val="Hyperlink"/>
            <w:noProof/>
          </w:rPr>
          <w:t>Table 16: High-level gap analysis by sectors at county level</w:t>
        </w:r>
        <w:r w:rsidR="00FB081A">
          <w:rPr>
            <w:noProof/>
            <w:webHidden/>
          </w:rPr>
          <w:tab/>
        </w:r>
        <w:r w:rsidR="00FB081A">
          <w:rPr>
            <w:noProof/>
            <w:webHidden/>
          </w:rPr>
          <w:fldChar w:fldCharType="begin"/>
        </w:r>
        <w:r w:rsidR="00FB081A">
          <w:rPr>
            <w:noProof/>
            <w:webHidden/>
          </w:rPr>
          <w:instrText xml:space="preserve"> PAGEREF _Toc90727267 \h </w:instrText>
        </w:r>
        <w:r w:rsidR="00FB081A">
          <w:rPr>
            <w:noProof/>
            <w:webHidden/>
          </w:rPr>
        </w:r>
        <w:r w:rsidR="00FB081A">
          <w:rPr>
            <w:noProof/>
            <w:webHidden/>
          </w:rPr>
          <w:fldChar w:fldCharType="separate"/>
        </w:r>
        <w:r w:rsidR="00FB081A">
          <w:rPr>
            <w:noProof/>
            <w:webHidden/>
          </w:rPr>
          <w:t>43</w:t>
        </w:r>
        <w:r w:rsidR="00FB081A">
          <w:rPr>
            <w:noProof/>
            <w:webHidden/>
          </w:rPr>
          <w:fldChar w:fldCharType="end"/>
        </w:r>
      </w:hyperlink>
    </w:p>
    <w:p w14:paraId="007BC7BC" w14:textId="7354EDB3" w:rsidR="00FB081A" w:rsidRDefault="000B273D">
      <w:pPr>
        <w:pStyle w:val="TableofFigures"/>
        <w:rPr>
          <w:rFonts w:asciiTheme="minorHAnsi" w:eastAsiaTheme="minorEastAsia" w:hAnsiTheme="minorHAnsi" w:cstheme="minorBidi"/>
          <w:noProof/>
          <w:sz w:val="22"/>
          <w:lang w:val="en-US"/>
        </w:rPr>
      </w:pPr>
      <w:hyperlink w:anchor="_Toc90727268" w:history="1">
        <w:r w:rsidR="00FB081A" w:rsidRPr="004D03FA">
          <w:rPr>
            <w:rStyle w:val="Hyperlink"/>
            <w:noProof/>
          </w:rPr>
          <w:t>Table 17: Illustrative categorisation of potential job change outcomes</w:t>
        </w:r>
        <w:r w:rsidR="00FB081A">
          <w:rPr>
            <w:noProof/>
            <w:webHidden/>
          </w:rPr>
          <w:tab/>
        </w:r>
        <w:r w:rsidR="00FB081A">
          <w:rPr>
            <w:noProof/>
            <w:webHidden/>
          </w:rPr>
          <w:fldChar w:fldCharType="begin"/>
        </w:r>
        <w:r w:rsidR="00FB081A">
          <w:rPr>
            <w:noProof/>
            <w:webHidden/>
          </w:rPr>
          <w:instrText xml:space="preserve"> PAGEREF _Toc90727268 \h </w:instrText>
        </w:r>
        <w:r w:rsidR="00FB081A">
          <w:rPr>
            <w:noProof/>
            <w:webHidden/>
          </w:rPr>
        </w:r>
        <w:r w:rsidR="00FB081A">
          <w:rPr>
            <w:noProof/>
            <w:webHidden/>
          </w:rPr>
          <w:fldChar w:fldCharType="separate"/>
        </w:r>
        <w:r w:rsidR="00FB081A">
          <w:rPr>
            <w:noProof/>
            <w:webHidden/>
          </w:rPr>
          <w:t>46</w:t>
        </w:r>
        <w:r w:rsidR="00FB081A">
          <w:rPr>
            <w:noProof/>
            <w:webHidden/>
          </w:rPr>
          <w:fldChar w:fldCharType="end"/>
        </w:r>
      </w:hyperlink>
    </w:p>
    <w:p w14:paraId="27AA2741" w14:textId="3B20DE14" w:rsidR="00FB081A" w:rsidRDefault="000B273D">
      <w:pPr>
        <w:pStyle w:val="TableofFigures"/>
        <w:rPr>
          <w:rFonts w:asciiTheme="minorHAnsi" w:eastAsiaTheme="minorEastAsia" w:hAnsiTheme="minorHAnsi" w:cstheme="minorBidi"/>
          <w:noProof/>
          <w:sz w:val="22"/>
          <w:lang w:val="en-US"/>
        </w:rPr>
      </w:pPr>
      <w:hyperlink w:anchor="_Toc90727269" w:history="1">
        <w:r w:rsidR="00FB081A" w:rsidRPr="004D03FA">
          <w:rPr>
            <w:rStyle w:val="Hyperlink"/>
            <w:noProof/>
          </w:rPr>
          <w:t>Table 18: Occupation / regional job losses and within occupation transition opportunities</w:t>
        </w:r>
        <w:r w:rsidR="00FB081A">
          <w:rPr>
            <w:noProof/>
            <w:webHidden/>
          </w:rPr>
          <w:tab/>
        </w:r>
        <w:r w:rsidR="00FB081A">
          <w:rPr>
            <w:noProof/>
            <w:webHidden/>
          </w:rPr>
          <w:fldChar w:fldCharType="begin"/>
        </w:r>
        <w:r w:rsidR="00FB081A">
          <w:rPr>
            <w:noProof/>
            <w:webHidden/>
          </w:rPr>
          <w:instrText xml:space="preserve"> PAGEREF _Toc90727269 \h </w:instrText>
        </w:r>
        <w:r w:rsidR="00FB081A">
          <w:rPr>
            <w:noProof/>
            <w:webHidden/>
          </w:rPr>
        </w:r>
        <w:r w:rsidR="00FB081A">
          <w:rPr>
            <w:noProof/>
            <w:webHidden/>
          </w:rPr>
          <w:fldChar w:fldCharType="separate"/>
        </w:r>
        <w:r w:rsidR="00FB081A">
          <w:rPr>
            <w:noProof/>
            <w:webHidden/>
          </w:rPr>
          <w:t>48</w:t>
        </w:r>
        <w:r w:rsidR="00FB081A">
          <w:rPr>
            <w:noProof/>
            <w:webHidden/>
          </w:rPr>
          <w:fldChar w:fldCharType="end"/>
        </w:r>
      </w:hyperlink>
    </w:p>
    <w:p w14:paraId="45B0A5AE" w14:textId="48C6B2AF" w:rsidR="00FB081A" w:rsidRDefault="000B273D">
      <w:pPr>
        <w:pStyle w:val="TableofFigures"/>
        <w:rPr>
          <w:rFonts w:asciiTheme="minorHAnsi" w:eastAsiaTheme="minorEastAsia" w:hAnsiTheme="minorHAnsi" w:cstheme="minorBidi"/>
          <w:noProof/>
          <w:sz w:val="22"/>
          <w:lang w:val="en-US"/>
        </w:rPr>
      </w:pPr>
      <w:hyperlink w:anchor="_Toc90727270" w:history="1">
        <w:r w:rsidR="00FB081A" w:rsidRPr="004D03FA">
          <w:rPr>
            <w:rStyle w:val="Hyperlink"/>
            <w:noProof/>
          </w:rPr>
          <w:t>Table 19: Summary of the GVA multipliers by region under the three selected illustrative actions</w:t>
        </w:r>
        <w:r w:rsidR="00FB081A">
          <w:rPr>
            <w:noProof/>
            <w:webHidden/>
          </w:rPr>
          <w:tab/>
        </w:r>
        <w:r w:rsidR="00FB081A">
          <w:rPr>
            <w:noProof/>
            <w:webHidden/>
          </w:rPr>
          <w:fldChar w:fldCharType="begin"/>
        </w:r>
        <w:r w:rsidR="00FB081A">
          <w:rPr>
            <w:noProof/>
            <w:webHidden/>
          </w:rPr>
          <w:instrText xml:space="preserve"> PAGEREF _Toc90727270 \h </w:instrText>
        </w:r>
        <w:r w:rsidR="00FB081A">
          <w:rPr>
            <w:noProof/>
            <w:webHidden/>
          </w:rPr>
        </w:r>
        <w:r w:rsidR="00FB081A">
          <w:rPr>
            <w:noProof/>
            <w:webHidden/>
          </w:rPr>
          <w:fldChar w:fldCharType="separate"/>
        </w:r>
        <w:r w:rsidR="00FB081A">
          <w:rPr>
            <w:noProof/>
            <w:webHidden/>
          </w:rPr>
          <w:t>52</w:t>
        </w:r>
        <w:r w:rsidR="00FB081A">
          <w:rPr>
            <w:noProof/>
            <w:webHidden/>
          </w:rPr>
          <w:fldChar w:fldCharType="end"/>
        </w:r>
      </w:hyperlink>
    </w:p>
    <w:p w14:paraId="24D0EAFA" w14:textId="3C422ECB" w:rsidR="00FB081A" w:rsidRDefault="000B273D">
      <w:pPr>
        <w:pStyle w:val="TableofFigures"/>
        <w:rPr>
          <w:rFonts w:asciiTheme="minorHAnsi" w:eastAsiaTheme="minorEastAsia" w:hAnsiTheme="minorHAnsi" w:cstheme="minorBidi"/>
          <w:noProof/>
          <w:sz w:val="22"/>
          <w:lang w:val="en-US"/>
        </w:rPr>
      </w:pPr>
      <w:hyperlink w:anchor="_Toc90727271" w:history="1">
        <w:r w:rsidR="00FB081A" w:rsidRPr="004D03FA">
          <w:rPr>
            <w:rStyle w:val="Hyperlink"/>
            <w:noProof/>
          </w:rPr>
          <w:t>Table 20: Summary of the employment multipliers by region under the three selected illustrative actions</w:t>
        </w:r>
        <w:r w:rsidR="00FB081A">
          <w:rPr>
            <w:noProof/>
            <w:webHidden/>
          </w:rPr>
          <w:tab/>
        </w:r>
        <w:r w:rsidR="00FB081A">
          <w:rPr>
            <w:noProof/>
            <w:webHidden/>
          </w:rPr>
          <w:fldChar w:fldCharType="begin"/>
        </w:r>
        <w:r w:rsidR="00FB081A">
          <w:rPr>
            <w:noProof/>
            <w:webHidden/>
          </w:rPr>
          <w:instrText xml:space="preserve"> PAGEREF _Toc90727271 \h </w:instrText>
        </w:r>
        <w:r w:rsidR="00FB081A">
          <w:rPr>
            <w:noProof/>
            <w:webHidden/>
          </w:rPr>
        </w:r>
        <w:r w:rsidR="00FB081A">
          <w:rPr>
            <w:noProof/>
            <w:webHidden/>
          </w:rPr>
          <w:fldChar w:fldCharType="separate"/>
        </w:r>
        <w:r w:rsidR="00FB081A">
          <w:rPr>
            <w:noProof/>
            <w:webHidden/>
          </w:rPr>
          <w:t>53</w:t>
        </w:r>
        <w:r w:rsidR="00FB081A">
          <w:rPr>
            <w:noProof/>
            <w:webHidden/>
          </w:rPr>
          <w:fldChar w:fldCharType="end"/>
        </w:r>
      </w:hyperlink>
    </w:p>
    <w:p w14:paraId="7DD3440B" w14:textId="33BE16A2" w:rsidR="00FB081A" w:rsidRDefault="000B273D">
      <w:pPr>
        <w:pStyle w:val="TableofFigures"/>
        <w:rPr>
          <w:rFonts w:asciiTheme="minorHAnsi" w:eastAsiaTheme="minorEastAsia" w:hAnsiTheme="minorHAnsi" w:cstheme="minorBidi"/>
          <w:noProof/>
          <w:sz w:val="22"/>
          <w:lang w:val="en-US"/>
        </w:rPr>
      </w:pPr>
      <w:hyperlink w:anchor="_Toc90727272" w:history="1">
        <w:r w:rsidR="00FB081A" w:rsidRPr="004D03FA">
          <w:rPr>
            <w:rStyle w:val="Hyperlink"/>
            <w:noProof/>
          </w:rPr>
          <w:t>Table 21: Economic sector trends during 2010-2019: Hunedoara County</w:t>
        </w:r>
        <w:r w:rsidR="00FB081A">
          <w:rPr>
            <w:noProof/>
            <w:webHidden/>
          </w:rPr>
          <w:tab/>
        </w:r>
        <w:r w:rsidR="00FB081A">
          <w:rPr>
            <w:noProof/>
            <w:webHidden/>
          </w:rPr>
          <w:fldChar w:fldCharType="begin"/>
        </w:r>
        <w:r w:rsidR="00FB081A">
          <w:rPr>
            <w:noProof/>
            <w:webHidden/>
          </w:rPr>
          <w:instrText xml:space="preserve"> PAGEREF _Toc90727272 \h </w:instrText>
        </w:r>
        <w:r w:rsidR="00FB081A">
          <w:rPr>
            <w:noProof/>
            <w:webHidden/>
          </w:rPr>
        </w:r>
        <w:r w:rsidR="00FB081A">
          <w:rPr>
            <w:noProof/>
            <w:webHidden/>
          </w:rPr>
          <w:fldChar w:fldCharType="separate"/>
        </w:r>
        <w:r w:rsidR="00FB081A">
          <w:rPr>
            <w:noProof/>
            <w:webHidden/>
          </w:rPr>
          <w:t>58</w:t>
        </w:r>
        <w:r w:rsidR="00FB081A">
          <w:rPr>
            <w:noProof/>
            <w:webHidden/>
          </w:rPr>
          <w:fldChar w:fldCharType="end"/>
        </w:r>
      </w:hyperlink>
    </w:p>
    <w:p w14:paraId="2CE66849" w14:textId="63DF86C1" w:rsidR="00FB081A" w:rsidRDefault="000B273D">
      <w:pPr>
        <w:pStyle w:val="TableofFigures"/>
        <w:rPr>
          <w:rFonts w:asciiTheme="minorHAnsi" w:eastAsiaTheme="minorEastAsia" w:hAnsiTheme="minorHAnsi" w:cstheme="minorBidi"/>
          <w:noProof/>
          <w:sz w:val="22"/>
          <w:lang w:val="en-US"/>
        </w:rPr>
      </w:pPr>
      <w:hyperlink w:anchor="_Toc90727273" w:history="1">
        <w:r w:rsidR="00FB081A" w:rsidRPr="004D03FA">
          <w:rPr>
            <w:rStyle w:val="Hyperlink"/>
            <w:noProof/>
          </w:rPr>
          <w:t>Table 22: Large enterprises by turnover and employees, 2019, Hunedoara County</w:t>
        </w:r>
        <w:r w:rsidR="00FB081A">
          <w:rPr>
            <w:noProof/>
            <w:webHidden/>
          </w:rPr>
          <w:tab/>
        </w:r>
        <w:r w:rsidR="00FB081A">
          <w:rPr>
            <w:noProof/>
            <w:webHidden/>
          </w:rPr>
          <w:fldChar w:fldCharType="begin"/>
        </w:r>
        <w:r w:rsidR="00FB081A">
          <w:rPr>
            <w:noProof/>
            <w:webHidden/>
          </w:rPr>
          <w:instrText xml:space="preserve"> PAGEREF _Toc90727273 \h </w:instrText>
        </w:r>
        <w:r w:rsidR="00FB081A">
          <w:rPr>
            <w:noProof/>
            <w:webHidden/>
          </w:rPr>
        </w:r>
        <w:r w:rsidR="00FB081A">
          <w:rPr>
            <w:noProof/>
            <w:webHidden/>
          </w:rPr>
          <w:fldChar w:fldCharType="separate"/>
        </w:r>
        <w:r w:rsidR="00FB081A">
          <w:rPr>
            <w:noProof/>
            <w:webHidden/>
          </w:rPr>
          <w:t>59</w:t>
        </w:r>
        <w:r w:rsidR="00FB081A">
          <w:rPr>
            <w:noProof/>
            <w:webHidden/>
          </w:rPr>
          <w:fldChar w:fldCharType="end"/>
        </w:r>
      </w:hyperlink>
    </w:p>
    <w:p w14:paraId="1E3B8FF7" w14:textId="1E82B33C" w:rsidR="00FB081A" w:rsidRDefault="000B273D">
      <w:pPr>
        <w:pStyle w:val="TableofFigures"/>
        <w:rPr>
          <w:rFonts w:asciiTheme="minorHAnsi" w:eastAsiaTheme="minorEastAsia" w:hAnsiTheme="minorHAnsi" w:cstheme="minorBidi"/>
          <w:noProof/>
          <w:sz w:val="22"/>
          <w:lang w:val="en-US"/>
        </w:rPr>
      </w:pPr>
      <w:hyperlink w:anchor="_Toc90727274" w:history="1">
        <w:r w:rsidR="00FB081A" w:rsidRPr="004D03FA">
          <w:rPr>
            <w:rStyle w:val="Hyperlink"/>
            <w:noProof/>
          </w:rPr>
          <w:t>Table 23: Main parameters of air pollution in Hunedoara County</w:t>
        </w:r>
        <w:r w:rsidR="00FB081A">
          <w:rPr>
            <w:noProof/>
            <w:webHidden/>
          </w:rPr>
          <w:tab/>
        </w:r>
        <w:r w:rsidR="00FB081A">
          <w:rPr>
            <w:noProof/>
            <w:webHidden/>
          </w:rPr>
          <w:fldChar w:fldCharType="begin"/>
        </w:r>
        <w:r w:rsidR="00FB081A">
          <w:rPr>
            <w:noProof/>
            <w:webHidden/>
          </w:rPr>
          <w:instrText xml:space="preserve"> PAGEREF _Toc90727274 \h </w:instrText>
        </w:r>
        <w:r w:rsidR="00FB081A">
          <w:rPr>
            <w:noProof/>
            <w:webHidden/>
          </w:rPr>
        </w:r>
        <w:r w:rsidR="00FB081A">
          <w:rPr>
            <w:noProof/>
            <w:webHidden/>
          </w:rPr>
          <w:fldChar w:fldCharType="separate"/>
        </w:r>
        <w:r w:rsidR="00FB081A">
          <w:rPr>
            <w:noProof/>
            <w:webHidden/>
          </w:rPr>
          <w:t>62</w:t>
        </w:r>
        <w:r w:rsidR="00FB081A">
          <w:rPr>
            <w:noProof/>
            <w:webHidden/>
          </w:rPr>
          <w:fldChar w:fldCharType="end"/>
        </w:r>
      </w:hyperlink>
    </w:p>
    <w:p w14:paraId="6E0EA93B" w14:textId="2A733021" w:rsidR="00FB081A" w:rsidRDefault="000B273D">
      <w:pPr>
        <w:pStyle w:val="TableofFigures"/>
        <w:rPr>
          <w:rFonts w:asciiTheme="minorHAnsi" w:eastAsiaTheme="minorEastAsia" w:hAnsiTheme="minorHAnsi" w:cstheme="minorBidi"/>
          <w:noProof/>
          <w:sz w:val="22"/>
          <w:lang w:val="en-US"/>
        </w:rPr>
      </w:pPr>
      <w:hyperlink w:anchor="_Toc90727275" w:history="1">
        <w:r w:rsidR="00FB081A" w:rsidRPr="004D03FA">
          <w:rPr>
            <w:rStyle w:val="Hyperlink"/>
            <w:noProof/>
          </w:rPr>
          <w:t>Table 24: Share of R&amp;DI in GDP during 2014-2018 for Hunedoara County, West Region and Romania</w:t>
        </w:r>
        <w:r w:rsidR="00FB081A">
          <w:rPr>
            <w:noProof/>
            <w:webHidden/>
          </w:rPr>
          <w:tab/>
        </w:r>
        <w:r w:rsidR="00FB081A">
          <w:rPr>
            <w:noProof/>
            <w:webHidden/>
          </w:rPr>
          <w:fldChar w:fldCharType="begin"/>
        </w:r>
        <w:r w:rsidR="00FB081A">
          <w:rPr>
            <w:noProof/>
            <w:webHidden/>
          </w:rPr>
          <w:instrText xml:space="preserve"> PAGEREF _Toc90727275 \h </w:instrText>
        </w:r>
        <w:r w:rsidR="00FB081A">
          <w:rPr>
            <w:noProof/>
            <w:webHidden/>
          </w:rPr>
        </w:r>
        <w:r w:rsidR="00FB081A">
          <w:rPr>
            <w:noProof/>
            <w:webHidden/>
          </w:rPr>
          <w:fldChar w:fldCharType="separate"/>
        </w:r>
        <w:r w:rsidR="00FB081A">
          <w:rPr>
            <w:noProof/>
            <w:webHidden/>
          </w:rPr>
          <w:t>64</w:t>
        </w:r>
        <w:r w:rsidR="00FB081A">
          <w:rPr>
            <w:noProof/>
            <w:webHidden/>
          </w:rPr>
          <w:fldChar w:fldCharType="end"/>
        </w:r>
      </w:hyperlink>
    </w:p>
    <w:p w14:paraId="437F269B" w14:textId="4D9414CE" w:rsidR="00FB081A" w:rsidRDefault="000B273D">
      <w:pPr>
        <w:pStyle w:val="TableofFigures"/>
        <w:rPr>
          <w:rFonts w:asciiTheme="minorHAnsi" w:eastAsiaTheme="minorEastAsia" w:hAnsiTheme="minorHAnsi" w:cstheme="minorBidi"/>
          <w:noProof/>
          <w:sz w:val="22"/>
          <w:lang w:val="en-US"/>
        </w:rPr>
      </w:pPr>
      <w:hyperlink w:anchor="_Toc90727276" w:history="1">
        <w:r w:rsidR="00FB081A" w:rsidRPr="004D03FA">
          <w:rPr>
            <w:rStyle w:val="Hyperlink"/>
            <w:noProof/>
          </w:rPr>
          <w:t>Table 25: Evolution of manufacturing industry by technology intensiveness in Hunedoara County</w:t>
        </w:r>
        <w:r w:rsidR="00FB081A">
          <w:rPr>
            <w:noProof/>
            <w:webHidden/>
          </w:rPr>
          <w:tab/>
        </w:r>
        <w:r w:rsidR="00FB081A">
          <w:rPr>
            <w:noProof/>
            <w:webHidden/>
          </w:rPr>
          <w:fldChar w:fldCharType="begin"/>
        </w:r>
        <w:r w:rsidR="00FB081A">
          <w:rPr>
            <w:noProof/>
            <w:webHidden/>
          </w:rPr>
          <w:instrText xml:space="preserve"> PAGEREF _Toc90727276 \h </w:instrText>
        </w:r>
        <w:r w:rsidR="00FB081A">
          <w:rPr>
            <w:noProof/>
            <w:webHidden/>
          </w:rPr>
        </w:r>
        <w:r w:rsidR="00FB081A">
          <w:rPr>
            <w:noProof/>
            <w:webHidden/>
          </w:rPr>
          <w:fldChar w:fldCharType="separate"/>
        </w:r>
        <w:r w:rsidR="00FB081A">
          <w:rPr>
            <w:noProof/>
            <w:webHidden/>
          </w:rPr>
          <w:t>64</w:t>
        </w:r>
        <w:r w:rsidR="00FB081A">
          <w:rPr>
            <w:noProof/>
            <w:webHidden/>
          </w:rPr>
          <w:fldChar w:fldCharType="end"/>
        </w:r>
      </w:hyperlink>
    </w:p>
    <w:p w14:paraId="7FF8F0FB" w14:textId="56219563" w:rsidR="00FB081A" w:rsidRDefault="000B273D">
      <w:pPr>
        <w:pStyle w:val="TableofFigures"/>
        <w:rPr>
          <w:rFonts w:asciiTheme="minorHAnsi" w:eastAsiaTheme="minorEastAsia" w:hAnsiTheme="minorHAnsi" w:cstheme="minorBidi"/>
          <w:noProof/>
          <w:sz w:val="22"/>
          <w:lang w:val="en-US"/>
        </w:rPr>
      </w:pPr>
      <w:hyperlink w:anchor="_Toc90727277" w:history="1">
        <w:r w:rsidR="00FB081A" w:rsidRPr="004D03FA">
          <w:rPr>
            <w:rStyle w:val="Hyperlink"/>
            <w:noProof/>
          </w:rPr>
          <w:t>Table 26: Evolution of the services sector by knowledge intensiveness in Hunedoara County</w:t>
        </w:r>
        <w:r w:rsidR="00FB081A">
          <w:rPr>
            <w:noProof/>
            <w:webHidden/>
          </w:rPr>
          <w:tab/>
        </w:r>
        <w:r w:rsidR="00FB081A">
          <w:rPr>
            <w:noProof/>
            <w:webHidden/>
          </w:rPr>
          <w:fldChar w:fldCharType="begin"/>
        </w:r>
        <w:r w:rsidR="00FB081A">
          <w:rPr>
            <w:noProof/>
            <w:webHidden/>
          </w:rPr>
          <w:instrText xml:space="preserve"> PAGEREF _Toc90727277 \h </w:instrText>
        </w:r>
        <w:r w:rsidR="00FB081A">
          <w:rPr>
            <w:noProof/>
            <w:webHidden/>
          </w:rPr>
        </w:r>
        <w:r w:rsidR="00FB081A">
          <w:rPr>
            <w:noProof/>
            <w:webHidden/>
          </w:rPr>
          <w:fldChar w:fldCharType="separate"/>
        </w:r>
        <w:r w:rsidR="00FB081A">
          <w:rPr>
            <w:noProof/>
            <w:webHidden/>
          </w:rPr>
          <w:t>65</w:t>
        </w:r>
        <w:r w:rsidR="00FB081A">
          <w:rPr>
            <w:noProof/>
            <w:webHidden/>
          </w:rPr>
          <w:fldChar w:fldCharType="end"/>
        </w:r>
      </w:hyperlink>
    </w:p>
    <w:p w14:paraId="0C41C3E0" w14:textId="5181B9D2" w:rsidR="00FB081A" w:rsidRDefault="000B273D">
      <w:pPr>
        <w:pStyle w:val="TableofFigures"/>
        <w:rPr>
          <w:rFonts w:asciiTheme="minorHAnsi" w:eastAsiaTheme="minorEastAsia" w:hAnsiTheme="minorHAnsi" w:cstheme="minorBidi"/>
          <w:noProof/>
          <w:sz w:val="22"/>
          <w:lang w:val="en-US"/>
        </w:rPr>
      </w:pPr>
      <w:hyperlink w:anchor="_Toc90727278" w:history="1">
        <w:r w:rsidR="00FB081A" w:rsidRPr="004D03FA">
          <w:rPr>
            <w:rStyle w:val="Hyperlink"/>
            <w:noProof/>
          </w:rPr>
          <w:t>Table 27: SWOT analysis for Hunedoara County</w:t>
        </w:r>
        <w:r w:rsidR="00FB081A">
          <w:rPr>
            <w:noProof/>
            <w:webHidden/>
          </w:rPr>
          <w:tab/>
        </w:r>
        <w:r w:rsidR="00FB081A">
          <w:rPr>
            <w:noProof/>
            <w:webHidden/>
          </w:rPr>
          <w:fldChar w:fldCharType="begin"/>
        </w:r>
        <w:r w:rsidR="00FB081A">
          <w:rPr>
            <w:noProof/>
            <w:webHidden/>
          </w:rPr>
          <w:instrText xml:space="preserve"> PAGEREF _Toc90727278 \h </w:instrText>
        </w:r>
        <w:r w:rsidR="00FB081A">
          <w:rPr>
            <w:noProof/>
            <w:webHidden/>
          </w:rPr>
        </w:r>
        <w:r w:rsidR="00FB081A">
          <w:rPr>
            <w:noProof/>
            <w:webHidden/>
          </w:rPr>
          <w:fldChar w:fldCharType="separate"/>
        </w:r>
        <w:r w:rsidR="00FB081A">
          <w:rPr>
            <w:noProof/>
            <w:webHidden/>
          </w:rPr>
          <w:t>69</w:t>
        </w:r>
        <w:r w:rsidR="00FB081A">
          <w:rPr>
            <w:noProof/>
            <w:webHidden/>
          </w:rPr>
          <w:fldChar w:fldCharType="end"/>
        </w:r>
      </w:hyperlink>
    </w:p>
    <w:p w14:paraId="5204110F" w14:textId="62F796D3" w:rsidR="00FB081A" w:rsidRDefault="000B273D">
      <w:pPr>
        <w:pStyle w:val="TableofFigures"/>
        <w:rPr>
          <w:rFonts w:asciiTheme="minorHAnsi" w:eastAsiaTheme="minorEastAsia" w:hAnsiTheme="minorHAnsi" w:cstheme="minorBidi"/>
          <w:noProof/>
          <w:sz w:val="22"/>
          <w:lang w:val="en-US"/>
        </w:rPr>
      </w:pPr>
      <w:hyperlink w:anchor="_Toc90727279" w:history="1">
        <w:r w:rsidR="00FB081A" w:rsidRPr="004D03FA">
          <w:rPr>
            <w:rStyle w:val="Hyperlink"/>
            <w:noProof/>
          </w:rPr>
          <w:t>Table 28: Justification for proposed JTF operation in Hunedoara County</w:t>
        </w:r>
        <w:r w:rsidR="00FB081A">
          <w:rPr>
            <w:noProof/>
            <w:webHidden/>
          </w:rPr>
          <w:tab/>
        </w:r>
        <w:r w:rsidR="00FB081A">
          <w:rPr>
            <w:noProof/>
            <w:webHidden/>
          </w:rPr>
          <w:fldChar w:fldCharType="begin"/>
        </w:r>
        <w:r w:rsidR="00FB081A">
          <w:rPr>
            <w:noProof/>
            <w:webHidden/>
          </w:rPr>
          <w:instrText xml:space="preserve"> PAGEREF _Toc90727279 \h </w:instrText>
        </w:r>
        <w:r w:rsidR="00FB081A">
          <w:rPr>
            <w:noProof/>
            <w:webHidden/>
          </w:rPr>
        </w:r>
        <w:r w:rsidR="00FB081A">
          <w:rPr>
            <w:noProof/>
            <w:webHidden/>
          </w:rPr>
          <w:fldChar w:fldCharType="separate"/>
        </w:r>
        <w:r w:rsidR="00FB081A">
          <w:rPr>
            <w:noProof/>
            <w:webHidden/>
          </w:rPr>
          <w:t>76</w:t>
        </w:r>
        <w:r w:rsidR="00FB081A">
          <w:rPr>
            <w:noProof/>
            <w:webHidden/>
          </w:rPr>
          <w:fldChar w:fldCharType="end"/>
        </w:r>
      </w:hyperlink>
    </w:p>
    <w:p w14:paraId="010F5E7F" w14:textId="24C982DD" w:rsidR="00FB081A" w:rsidRDefault="000B273D">
      <w:pPr>
        <w:pStyle w:val="TableofFigures"/>
        <w:rPr>
          <w:rFonts w:asciiTheme="minorHAnsi" w:eastAsiaTheme="minorEastAsia" w:hAnsiTheme="minorHAnsi" w:cstheme="minorBidi"/>
          <w:noProof/>
          <w:sz w:val="22"/>
          <w:lang w:val="en-US"/>
        </w:rPr>
      </w:pPr>
      <w:hyperlink w:anchor="_Toc90727280" w:history="1">
        <w:r w:rsidR="00FB081A" w:rsidRPr="004D03FA">
          <w:rPr>
            <w:rStyle w:val="Hyperlink"/>
            <w:noProof/>
          </w:rPr>
          <w:t>Table 29: Types of operations needed for Hunedoara County</w:t>
        </w:r>
        <w:r w:rsidR="00FB081A">
          <w:rPr>
            <w:noProof/>
            <w:webHidden/>
          </w:rPr>
          <w:tab/>
        </w:r>
        <w:r w:rsidR="00FB081A">
          <w:rPr>
            <w:noProof/>
            <w:webHidden/>
          </w:rPr>
          <w:fldChar w:fldCharType="begin"/>
        </w:r>
        <w:r w:rsidR="00FB081A">
          <w:rPr>
            <w:noProof/>
            <w:webHidden/>
          </w:rPr>
          <w:instrText xml:space="preserve"> PAGEREF _Toc90727280 \h </w:instrText>
        </w:r>
        <w:r w:rsidR="00FB081A">
          <w:rPr>
            <w:noProof/>
            <w:webHidden/>
          </w:rPr>
        </w:r>
        <w:r w:rsidR="00FB081A">
          <w:rPr>
            <w:noProof/>
            <w:webHidden/>
          </w:rPr>
          <w:fldChar w:fldCharType="separate"/>
        </w:r>
        <w:r w:rsidR="00FB081A">
          <w:rPr>
            <w:noProof/>
            <w:webHidden/>
          </w:rPr>
          <w:t>78</w:t>
        </w:r>
        <w:r w:rsidR="00FB081A">
          <w:rPr>
            <w:noProof/>
            <w:webHidden/>
          </w:rPr>
          <w:fldChar w:fldCharType="end"/>
        </w:r>
      </w:hyperlink>
    </w:p>
    <w:p w14:paraId="45A8CCC8" w14:textId="53744E37" w:rsidR="00FB081A" w:rsidRDefault="000B273D">
      <w:pPr>
        <w:pStyle w:val="TableofFigures"/>
        <w:rPr>
          <w:rFonts w:asciiTheme="minorHAnsi" w:eastAsiaTheme="minorEastAsia" w:hAnsiTheme="minorHAnsi" w:cstheme="minorBidi"/>
          <w:noProof/>
          <w:sz w:val="22"/>
          <w:lang w:val="en-US"/>
        </w:rPr>
      </w:pPr>
      <w:hyperlink w:anchor="_Toc90727281" w:history="1">
        <w:r w:rsidR="00FB081A" w:rsidRPr="004D03FA">
          <w:rPr>
            <w:rStyle w:val="Hyperlink"/>
            <w:noProof/>
          </w:rPr>
          <w:t>Table 30: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_Toc90727281 \h </w:instrText>
        </w:r>
        <w:r w:rsidR="00FB081A">
          <w:rPr>
            <w:noProof/>
            <w:webHidden/>
          </w:rPr>
        </w:r>
        <w:r w:rsidR="00FB081A">
          <w:rPr>
            <w:noProof/>
            <w:webHidden/>
          </w:rPr>
          <w:fldChar w:fldCharType="separate"/>
        </w:r>
        <w:r w:rsidR="00FB081A">
          <w:rPr>
            <w:noProof/>
            <w:webHidden/>
          </w:rPr>
          <w:t>81</w:t>
        </w:r>
        <w:r w:rsidR="00FB081A">
          <w:rPr>
            <w:noProof/>
            <w:webHidden/>
          </w:rPr>
          <w:fldChar w:fldCharType="end"/>
        </w:r>
      </w:hyperlink>
    </w:p>
    <w:p w14:paraId="77C4F9A8" w14:textId="71B98AD0" w:rsidR="00FB081A" w:rsidRDefault="000B273D">
      <w:pPr>
        <w:pStyle w:val="TableofFigures"/>
        <w:rPr>
          <w:rFonts w:asciiTheme="minorHAnsi" w:eastAsiaTheme="minorEastAsia" w:hAnsiTheme="minorHAnsi" w:cstheme="minorBidi"/>
          <w:noProof/>
          <w:sz w:val="22"/>
          <w:lang w:val="en-US"/>
        </w:rPr>
      </w:pPr>
      <w:hyperlink w:anchor="_Toc90727282" w:history="1">
        <w:r w:rsidR="00FB081A" w:rsidRPr="004D03FA">
          <w:rPr>
            <w:rStyle w:val="Hyperlink"/>
            <w:noProof/>
          </w:rPr>
          <w:t>Table 31: Regional workshop harvesting for Hunedoara County</w:t>
        </w:r>
        <w:r w:rsidR="00FB081A">
          <w:rPr>
            <w:noProof/>
            <w:webHidden/>
          </w:rPr>
          <w:tab/>
        </w:r>
        <w:r w:rsidR="00FB081A">
          <w:rPr>
            <w:noProof/>
            <w:webHidden/>
          </w:rPr>
          <w:fldChar w:fldCharType="begin"/>
        </w:r>
        <w:r w:rsidR="00FB081A">
          <w:rPr>
            <w:noProof/>
            <w:webHidden/>
          </w:rPr>
          <w:instrText xml:space="preserve"> PAGEREF _Toc90727282 \h </w:instrText>
        </w:r>
        <w:r w:rsidR="00FB081A">
          <w:rPr>
            <w:noProof/>
            <w:webHidden/>
          </w:rPr>
        </w:r>
        <w:r w:rsidR="00FB081A">
          <w:rPr>
            <w:noProof/>
            <w:webHidden/>
          </w:rPr>
          <w:fldChar w:fldCharType="separate"/>
        </w:r>
        <w:r w:rsidR="00FB081A">
          <w:rPr>
            <w:noProof/>
            <w:webHidden/>
          </w:rPr>
          <w:t>85</w:t>
        </w:r>
        <w:r w:rsidR="00FB081A">
          <w:rPr>
            <w:noProof/>
            <w:webHidden/>
          </w:rPr>
          <w:fldChar w:fldCharType="end"/>
        </w:r>
      </w:hyperlink>
    </w:p>
    <w:p w14:paraId="5AAAA800" w14:textId="7319922B" w:rsidR="00FB081A" w:rsidRDefault="000B273D">
      <w:pPr>
        <w:pStyle w:val="TableofFigures"/>
        <w:rPr>
          <w:rFonts w:asciiTheme="minorHAnsi" w:eastAsiaTheme="minorEastAsia" w:hAnsiTheme="minorHAnsi" w:cstheme="minorBidi"/>
          <w:noProof/>
          <w:sz w:val="22"/>
          <w:lang w:val="en-US"/>
        </w:rPr>
      </w:pPr>
      <w:hyperlink w:anchor="_Toc90727283" w:history="1">
        <w:r w:rsidR="00FB081A" w:rsidRPr="004D03FA">
          <w:rPr>
            <w:rStyle w:val="Hyperlink"/>
            <w:noProof/>
          </w:rPr>
          <w:t>Table 32: Economic sector trends during 2010-2019: Dolj County</w:t>
        </w:r>
        <w:r w:rsidR="00FB081A">
          <w:rPr>
            <w:noProof/>
            <w:webHidden/>
          </w:rPr>
          <w:tab/>
        </w:r>
        <w:r w:rsidR="00FB081A">
          <w:rPr>
            <w:noProof/>
            <w:webHidden/>
          </w:rPr>
          <w:fldChar w:fldCharType="begin"/>
        </w:r>
        <w:r w:rsidR="00FB081A">
          <w:rPr>
            <w:noProof/>
            <w:webHidden/>
          </w:rPr>
          <w:instrText xml:space="preserve"> PAGEREF _Toc90727283 \h </w:instrText>
        </w:r>
        <w:r w:rsidR="00FB081A">
          <w:rPr>
            <w:noProof/>
            <w:webHidden/>
          </w:rPr>
        </w:r>
        <w:r w:rsidR="00FB081A">
          <w:rPr>
            <w:noProof/>
            <w:webHidden/>
          </w:rPr>
          <w:fldChar w:fldCharType="separate"/>
        </w:r>
        <w:r w:rsidR="00FB081A">
          <w:rPr>
            <w:noProof/>
            <w:webHidden/>
          </w:rPr>
          <w:t>92</w:t>
        </w:r>
        <w:r w:rsidR="00FB081A">
          <w:rPr>
            <w:noProof/>
            <w:webHidden/>
          </w:rPr>
          <w:fldChar w:fldCharType="end"/>
        </w:r>
      </w:hyperlink>
    </w:p>
    <w:p w14:paraId="5FFBFF82" w14:textId="5BFBAEEB" w:rsidR="00FB081A" w:rsidRDefault="000B273D">
      <w:pPr>
        <w:pStyle w:val="TableofFigures"/>
        <w:rPr>
          <w:rFonts w:asciiTheme="minorHAnsi" w:eastAsiaTheme="minorEastAsia" w:hAnsiTheme="minorHAnsi" w:cstheme="minorBidi"/>
          <w:noProof/>
          <w:sz w:val="22"/>
          <w:lang w:val="en-US"/>
        </w:rPr>
      </w:pPr>
      <w:hyperlink w:anchor="_Toc90727284" w:history="1">
        <w:r w:rsidR="00FB081A" w:rsidRPr="004D03FA">
          <w:rPr>
            <w:rStyle w:val="Hyperlink"/>
            <w:noProof/>
          </w:rPr>
          <w:t>Table 33: Large enterprises by turnover and employees, 2019, Dolj County</w:t>
        </w:r>
        <w:r w:rsidR="00FB081A">
          <w:rPr>
            <w:noProof/>
            <w:webHidden/>
          </w:rPr>
          <w:tab/>
        </w:r>
        <w:r w:rsidR="00FB081A">
          <w:rPr>
            <w:noProof/>
            <w:webHidden/>
          </w:rPr>
          <w:fldChar w:fldCharType="begin"/>
        </w:r>
        <w:r w:rsidR="00FB081A">
          <w:rPr>
            <w:noProof/>
            <w:webHidden/>
          </w:rPr>
          <w:instrText xml:space="preserve"> PAGEREF _Toc90727284 \h </w:instrText>
        </w:r>
        <w:r w:rsidR="00FB081A">
          <w:rPr>
            <w:noProof/>
            <w:webHidden/>
          </w:rPr>
        </w:r>
        <w:r w:rsidR="00FB081A">
          <w:rPr>
            <w:noProof/>
            <w:webHidden/>
          </w:rPr>
          <w:fldChar w:fldCharType="separate"/>
        </w:r>
        <w:r w:rsidR="00FB081A">
          <w:rPr>
            <w:noProof/>
            <w:webHidden/>
          </w:rPr>
          <w:t>93</w:t>
        </w:r>
        <w:r w:rsidR="00FB081A">
          <w:rPr>
            <w:noProof/>
            <w:webHidden/>
          </w:rPr>
          <w:fldChar w:fldCharType="end"/>
        </w:r>
      </w:hyperlink>
    </w:p>
    <w:p w14:paraId="61861390" w14:textId="58A2F8F2" w:rsidR="00FB081A" w:rsidRDefault="000B273D">
      <w:pPr>
        <w:pStyle w:val="TableofFigures"/>
        <w:rPr>
          <w:rFonts w:asciiTheme="minorHAnsi" w:eastAsiaTheme="minorEastAsia" w:hAnsiTheme="minorHAnsi" w:cstheme="minorBidi"/>
          <w:noProof/>
          <w:sz w:val="22"/>
          <w:lang w:val="en-US"/>
        </w:rPr>
      </w:pPr>
      <w:hyperlink w:anchor="_Toc90727285" w:history="1">
        <w:r w:rsidR="00FB081A" w:rsidRPr="004D03FA">
          <w:rPr>
            <w:rStyle w:val="Hyperlink"/>
            <w:noProof/>
          </w:rPr>
          <w:t>Table 34: Evolution of manufacturing industry by technology intensiveness in Dolj county</w:t>
        </w:r>
        <w:r w:rsidR="00FB081A">
          <w:rPr>
            <w:noProof/>
            <w:webHidden/>
          </w:rPr>
          <w:tab/>
        </w:r>
        <w:r w:rsidR="00FB081A">
          <w:rPr>
            <w:noProof/>
            <w:webHidden/>
          </w:rPr>
          <w:fldChar w:fldCharType="begin"/>
        </w:r>
        <w:r w:rsidR="00FB081A">
          <w:rPr>
            <w:noProof/>
            <w:webHidden/>
          </w:rPr>
          <w:instrText xml:space="preserve"> PAGEREF _Toc90727285 \h </w:instrText>
        </w:r>
        <w:r w:rsidR="00FB081A">
          <w:rPr>
            <w:noProof/>
            <w:webHidden/>
          </w:rPr>
        </w:r>
        <w:r w:rsidR="00FB081A">
          <w:rPr>
            <w:noProof/>
            <w:webHidden/>
          </w:rPr>
          <w:fldChar w:fldCharType="separate"/>
        </w:r>
        <w:r w:rsidR="00FB081A">
          <w:rPr>
            <w:noProof/>
            <w:webHidden/>
          </w:rPr>
          <w:t>98</w:t>
        </w:r>
        <w:r w:rsidR="00FB081A">
          <w:rPr>
            <w:noProof/>
            <w:webHidden/>
          </w:rPr>
          <w:fldChar w:fldCharType="end"/>
        </w:r>
      </w:hyperlink>
    </w:p>
    <w:p w14:paraId="6FA96662" w14:textId="13375C4B" w:rsidR="00FB081A" w:rsidRDefault="000B273D">
      <w:pPr>
        <w:pStyle w:val="TableofFigures"/>
        <w:rPr>
          <w:rFonts w:asciiTheme="minorHAnsi" w:eastAsiaTheme="minorEastAsia" w:hAnsiTheme="minorHAnsi" w:cstheme="minorBidi"/>
          <w:noProof/>
          <w:sz w:val="22"/>
          <w:lang w:val="en-US"/>
        </w:rPr>
      </w:pPr>
      <w:hyperlink w:anchor="_Toc90727286" w:history="1">
        <w:r w:rsidR="00FB081A" w:rsidRPr="004D03FA">
          <w:rPr>
            <w:rStyle w:val="Hyperlink"/>
            <w:noProof/>
          </w:rPr>
          <w:t>Table 35: Evolution of the services sector by knowledge intensiveness in Dolj county</w:t>
        </w:r>
        <w:r w:rsidR="00FB081A">
          <w:rPr>
            <w:noProof/>
            <w:webHidden/>
          </w:rPr>
          <w:tab/>
        </w:r>
        <w:r w:rsidR="00FB081A">
          <w:rPr>
            <w:noProof/>
            <w:webHidden/>
          </w:rPr>
          <w:fldChar w:fldCharType="begin"/>
        </w:r>
        <w:r w:rsidR="00FB081A">
          <w:rPr>
            <w:noProof/>
            <w:webHidden/>
          </w:rPr>
          <w:instrText xml:space="preserve"> PAGEREF _Toc90727286 \h </w:instrText>
        </w:r>
        <w:r w:rsidR="00FB081A">
          <w:rPr>
            <w:noProof/>
            <w:webHidden/>
          </w:rPr>
        </w:r>
        <w:r w:rsidR="00FB081A">
          <w:rPr>
            <w:noProof/>
            <w:webHidden/>
          </w:rPr>
          <w:fldChar w:fldCharType="separate"/>
        </w:r>
        <w:r w:rsidR="00FB081A">
          <w:rPr>
            <w:noProof/>
            <w:webHidden/>
          </w:rPr>
          <w:t>99</w:t>
        </w:r>
        <w:r w:rsidR="00FB081A">
          <w:rPr>
            <w:noProof/>
            <w:webHidden/>
          </w:rPr>
          <w:fldChar w:fldCharType="end"/>
        </w:r>
      </w:hyperlink>
    </w:p>
    <w:p w14:paraId="50C9AD18" w14:textId="639530A9" w:rsidR="00FB081A" w:rsidRDefault="000B273D">
      <w:pPr>
        <w:pStyle w:val="TableofFigures"/>
        <w:rPr>
          <w:rFonts w:asciiTheme="minorHAnsi" w:eastAsiaTheme="minorEastAsia" w:hAnsiTheme="minorHAnsi" w:cstheme="minorBidi"/>
          <w:noProof/>
          <w:sz w:val="22"/>
          <w:lang w:val="en-US"/>
        </w:rPr>
      </w:pPr>
      <w:hyperlink w:anchor="_Toc90727287" w:history="1">
        <w:r w:rsidR="00FB081A" w:rsidRPr="004D03FA">
          <w:rPr>
            <w:rStyle w:val="Hyperlink"/>
            <w:noProof/>
          </w:rPr>
          <w:t>Table 36: Share of R&amp;DI in GDP during 2014-2018 for Dolj county, South-West Region and Romania</w:t>
        </w:r>
        <w:r w:rsidR="00FB081A">
          <w:rPr>
            <w:noProof/>
            <w:webHidden/>
          </w:rPr>
          <w:tab/>
        </w:r>
        <w:r w:rsidR="00FB081A">
          <w:rPr>
            <w:noProof/>
            <w:webHidden/>
          </w:rPr>
          <w:fldChar w:fldCharType="begin"/>
        </w:r>
        <w:r w:rsidR="00FB081A">
          <w:rPr>
            <w:noProof/>
            <w:webHidden/>
          </w:rPr>
          <w:instrText xml:space="preserve"> PAGEREF _Toc90727287 \h </w:instrText>
        </w:r>
        <w:r w:rsidR="00FB081A">
          <w:rPr>
            <w:noProof/>
            <w:webHidden/>
          </w:rPr>
        </w:r>
        <w:r w:rsidR="00FB081A">
          <w:rPr>
            <w:noProof/>
            <w:webHidden/>
          </w:rPr>
          <w:fldChar w:fldCharType="separate"/>
        </w:r>
        <w:r w:rsidR="00FB081A">
          <w:rPr>
            <w:noProof/>
            <w:webHidden/>
          </w:rPr>
          <w:t>99</w:t>
        </w:r>
        <w:r w:rsidR="00FB081A">
          <w:rPr>
            <w:noProof/>
            <w:webHidden/>
          </w:rPr>
          <w:fldChar w:fldCharType="end"/>
        </w:r>
      </w:hyperlink>
    </w:p>
    <w:p w14:paraId="64025658" w14:textId="5FF0C55D" w:rsidR="00FB081A" w:rsidRDefault="000B273D">
      <w:pPr>
        <w:pStyle w:val="TableofFigures"/>
        <w:rPr>
          <w:rFonts w:asciiTheme="minorHAnsi" w:eastAsiaTheme="minorEastAsia" w:hAnsiTheme="minorHAnsi" w:cstheme="minorBidi"/>
          <w:noProof/>
          <w:sz w:val="22"/>
          <w:lang w:val="en-US"/>
        </w:rPr>
      </w:pPr>
      <w:hyperlink w:anchor="_Toc90727288" w:history="1">
        <w:r w:rsidR="00FB081A" w:rsidRPr="004D03FA">
          <w:rPr>
            <w:rStyle w:val="Hyperlink"/>
            <w:noProof/>
          </w:rPr>
          <w:t>Table 37: SWOT analysis for Dolj county</w:t>
        </w:r>
        <w:r w:rsidR="00FB081A">
          <w:rPr>
            <w:noProof/>
            <w:webHidden/>
          </w:rPr>
          <w:tab/>
        </w:r>
        <w:r w:rsidR="00FB081A">
          <w:rPr>
            <w:noProof/>
            <w:webHidden/>
          </w:rPr>
          <w:fldChar w:fldCharType="begin"/>
        </w:r>
        <w:r w:rsidR="00FB081A">
          <w:rPr>
            <w:noProof/>
            <w:webHidden/>
          </w:rPr>
          <w:instrText xml:space="preserve"> PAGEREF _Toc90727288 \h </w:instrText>
        </w:r>
        <w:r w:rsidR="00FB081A">
          <w:rPr>
            <w:noProof/>
            <w:webHidden/>
          </w:rPr>
        </w:r>
        <w:r w:rsidR="00FB081A">
          <w:rPr>
            <w:noProof/>
            <w:webHidden/>
          </w:rPr>
          <w:fldChar w:fldCharType="separate"/>
        </w:r>
        <w:r w:rsidR="00FB081A">
          <w:rPr>
            <w:noProof/>
            <w:webHidden/>
          </w:rPr>
          <w:t>103</w:t>
        </w:r>
        <w:r w:rsidR="00FB081A">
          <w:rPr>
            <w:noProof/>
            <w:webHidden/>
          </w:rPr>
          <w:fldChar w:fldCharType="end"/>
        </w:r>
      </w:hyperlink>
    </w:p>
    <w:p w14:paraId="48B76BFF" w14:textId="61F3B419" w:rsidR="00FB081A" w:rsidRDefault="000B273D">
      <w:pPr>
        <w:pStyle w:val="TableofFigures"/>
        <w:rPr>
          <w:rFonts w:asciiTheme="minorHAnsi" w:eastAsiaTheme="minorEastAsia" w:hAnsiTheme="minorHAnsi" w:cstheme="minorBidi"/>
          <w:noProof/>
          <w:sz w:val="22"/>
          <w:lang w:val="en-US"/>
        </w:rPr>
      </w:pPr>
      <w:hyperlink w:anchor="_Toc90727289" w:history="1">
        <w:r w:rsidR="00FB081A" w:rsidRPr="004D03FA">
          <w:rPr>
            <w:rStyle w:val="Hyperlink"/>
            <w:noProof/>
          </w:rPr>
          <w:t>Table 38: Justification for proposed JTF operation in Dolj county</w:t>
        </w:r>
        <w:r w:rsidR="00FB081A">
          <w:rPr>
            <w:noProof/>
            <w:webHidden/>
          </w:rPr>
          <w:tab/>
        </w:r>
        <w:r w:rsidR="00FB081A">
          <w:rPr>
            <w:noProof/>
            <w:webHidden/>
          </w:rPr>
          <w:fldChar w:fldCharType="begin"/>
        </w:r>
        <w:r w:rsidR="00FB081A">
          <w:rPr>
            <w:noProof/>
            <w:webHidden/>
          </w:rPr>
          <w:instrText xml:space="preserve"> PAGEREF _Toc90727289 \h </w:instrText>
        </w:r>
        <w:r w:rsidR="00FB081A">
          <w:rPr>
            <w:noProof/>
            <w:webHidden/>
          </w:rPr>
        </w:r>
        <w:r w:rsidR="00FB081A">
          <w:rPr>
            <w:noProof/>
            <w:webHidden/>
          </w:rPr>
          <w:fldChar w:fldCharType="separate"/>
        </w:r>
        <w:r w:rsidR="00FB081A">
          <w:rPr>
            <w:noProof/>
            <w:webHidden/>
          </w:rPr>
          <w:t>109</w:t>
        </w:r>
        <w:r w:rsidR="00FB081A">
          <w:rPr>
            <w:noProof/>
            <w:webHidden/>
          </w:rPr>
          <w:fldChar w:fldCharType="end"/>
        </w:r>
      </w:hyperlink>
    </w:p>
    <w:p w14:paraId="3FB70368" w14:textId="6BC63302" w:rsidR="00FB081A" w:rsidRDefault="000B273D">
      <w:pPr>
        <w:pStyle w:val="TableofFigures"/>
        <w:rPr>
          <w:rFonts w:asciiTheme="minorHAnsi" w:eastAsiaTheme="minorEastAsia" w:hAnsiTheme="minorHAnsi" w:cstheme="minorBidi"/>
          <w:noProof/>
          <w:sz w:val="22"/>
          <w:lang w:val="en-US"/>
        </w:rPr>
      </w:pPr>
      <w:hyperlink w:anchor="_Toc90727290" w:history="1">
        <w:r w:rsidR="00FB081A" w:rsidRPr="004D03FA">
          <w:rPr>
            <w:rStyle w:val="Hyperlink"/>
            <w:noProof/>
          </w:rPr>
          <w:t>Table 39: Types of operations needed for Dolj County</w:t>
        </w:r>
        <w:r w:rsidR="00FB081A">
          <w:rPr>
            <w:noProof/>
            <w:webHidden/>
          </w:rPr>
          <w:tab/>
        </w:r>
        <w:r w:rsidR="00FB081A">
          <w:rPr>
            <w:noProof/>
            <w:webHidden/>
          </w:rPr>
          <w:fldChar w:fldCharType="begin"/>
        </w:r>
        <w:r w:rsidR="00FB081A">
          <w:rPr>
            <w:noProof/>
            <w:webHidden/>
          </w:rPr>
          <w:instrText xml:space="preserve"> PAGEREF _Toc90727290 \h </w:instrText>
        </w:r>
        <w:r w:rsidR="00FB081A">
          <w:rPr>
            <w:noProof/>
            <w:webHidden/>
          </w:rPr>
        </w:r>
        <w:r w:rsidR="00FB081A">
          <w:rPr>
            <w:noProof/>
            <w:webHidden/>
          </w:rPr>
          <w:fldChar w:fldCharType="separate"/>
        </w:r>
        <w:r w:rsidR="00FB081A">
          <w:rPr>
            <w:noProof/>
            <w:webHidden/>
          </w:rPr>
          <w:t>111</w:t>
        </w:r>
        <w:r w:rsidR="00FB081A">
          <w:rPr>
            <w:noProof/>
            <w:webHidden/>
          </w:rPr>
          <w:fldChar w:fldCharType="end"/>
        </w:r>
      </w:hyperlink>
    </w:p>
    <w:p w14:paraId="6B0A8A97" w14:textId="2342C69D" w:rsidR="00FB081A" w:rsidRDefault="000B273D">
      <w:pPr>
        <w:pStyle w:val="TableofFigures"/>
        <w:rPr>
          <w:rFonts w:asciiTheme="minorHAnsi" w:eastAsiaTheme="minorEastAsia" w:hAnsiTheme="minorHAnsi" w:cstheme="minorBidi"/>
          <w:noProof/>
          <w:sz w:val="22"/>
          <w:lang w:val="en-US"/>
        </w:rPr>
      </w:pPr>
      <w:hyperlink w:anchor="_Toc90727291" w:history="1">
        <w:r w:rsidR="00FB081A" w:rsidRPr="004D03FA">
          <w:rPr>
            <w:rStyle w:val="Hyperlink"/>
            <w:noProof/>
          </w:rPr>
          <w:t>Table 40: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_Toc90727291 \h </w:instrText>
        </w:r>
        <w:r w:rsidR="00FB081A">
          <w:rPr>
            <w:noProof/>
            <w:webHidden/>
          </w:rPr>
        </w:r>
        <w:r w:rsidR="00FB081A">
          <w:rPr>
            <w:noProof/>
            <w:webHidden/>
          </w:rPr>
          <w:fldChar w:fldCharType="separate"/>
        </w:r>
        <w:r w:rsidR="00FB081A">
          <w:rPr>
            <w:noProof/>
            <w:webHidden/>
          </w:rPr>
          <w:t>117</w:t>
        </w:r>
        <w:r w:rsidR="00FB081A">
          <w:rPr>
            <w:noProof/>
            <w:webHidden/>
          </w:rPr>
          <w:fldChar w:fldCharType="end"/>
        </w:r>
      </w:hyperlink>
    </w:p>
    <w:p w14:paraId="0E73AC95" w14:textId="4548894D" w:rsidR="00FB081A" w:rsidRDefault="000B273D">
      <w:pPr>
        <w:pStyle w:val="TableofFigures"/>
        <w:rPr>
          <w:rFonts w:asciiTheme="minorHAnsi" w:eastAsiaTheme="minorEastAsia" w:hAnsiTheme="minorHAnsi" w:cstheme="minorBidi"/>
          <w:noProof/>
          <w:sz w:val="22"/>
          <w:lang w:val="en-US"/>
        </w:rPr>
      </w:pPr>
      <w:hyperlink w:anchor="_Toc90727292" w:history="1">
        <w:r w:rsidR="00FB081A" w:rsidRPr="004D03FA">
          <w:rPr>
            <w:rStyle w:val="Hyperlink"/>
            <w:noProof/>
          </w:rPr>
          <w:t>Table 41: Regional workshop harvesting for Dolj County</w:t>
        </w:r>
        <w:r w:rsidR="00FB081A">
          <w:rPr>
            <w:noProof/>
            <w:webHidden/>
          </w:rPr>
          <w:tab/>
        </w:r>
        <w:r w:rsidR="00FB081A">
          <w:rPr>
            <w:noProof/>
            <w:webHidden/>
          </w:rPr>
          <w:fldChar w:fldCharType="begin"/>
        </w:r>
        <w:r w:rsidR="00FB081A">
          <w:rPr>
            <w:noProof/>
            <w:webHidden/>
          </w:rPr>
          <w:instrText xml:space="preserve"> PAGEREF _Toc90727292 \h </w:instrText>
        </w:r>
        <w:r w:rsidR="00FB081A">
          <w:rPr>
            <w:noProof/>
            <w:webHidden/>
          </w:rPr>
        </w:r>
        <w:r w:rsidR="00FB081A">
          <w:rPr>
            <w:noProof/>
            <w:webHidden/>
          </w:rPr>
          <w:fldChar w:fldCharType="separate"/>
        </w:r>
        <w:r w:rsidR="00FB081A">
          <w:rPr>
            <w:noProof/>
            <w:webHidden/>
          </w:rPr>
          <w:t>120</w:t>
        </w:r>
        <w:r w:rsidR="00FB081A">
          <w:rPr>
            <w:noProof/>
            <w:webHidden/>
          </w:rPr>
          <w:fldChar w:fldCharType="end"/>
        </w:r>
      </w:hyperlink>
    </w:p>
    <w:p w14:paraId="06B08EFF" w14:textId="4B15CF22" w:rsidR="00FB081A" w:rsidRDefault="000B273D">
      <w:pPr>
        <w:pStyle w:val="TableofFigures"/>
        <w:rPr>
          <w:rFonts w:asciiTheme="minorHAnsi" w:eastAsiaTheme="minorEastAsia" w:hAnsiTheme="minorHAnsi" w:cstheme="minorBidi"/>
          <w:noProof/>
          <w:sz w:val="22"/>
          <w:lang w:val="en-US"/>
        </w:rPr>
      </w:pPr>
      <w:hyperlink w:anchor="_Toc90727293" w:history="1">
        <w:r w:rsidR="00FB081A" w:rsidRPr="004D03FA">
          <w:rPr>
            <w:rStyle w:val="Hyperlink"/>
            <w:noProof/>
          </w:rPr>
          <w:t>Table 42: Economic sector trends during 2010-2019: Gorj County</w:t>
        </w:r>
        <w:r w:rsidR="00FB081A">
          <w:rPr>
            <w:noProof/>
            <w:webHidden/>
          </w:rPr>
          <w:tab/>
        </w:r>
        <w:r w:rsidR="00FB081A">
          <w:rPr>
            <w:noProof/>
            <w:webHidden/>
          </w:rPr>
          <w:fldChar w:fldCharType="begin"/>
        </w:r>
        <w:r w:rsidR="00FB081A">
          <w:rPr>
            <w:noProof/>
            <w:webHidden/>
          </w:rPr>
          <w:instrText xml:space="preserve"> PAGEREF _Toc90727293 \h </w:instrText>
        </w:r>
        <w:r w:rsidR="00FB081A">
          <w:rPr>
            <w:noProof/>
            <w:webHidden/>
          </w:rPr>
        </w:r>
        <w:r w:rsidR="00FB081A">
          <w:rPr>
            <w:noProof/>
            <w:webHidden/>
          </w:rPr>
          <w:fldChar w:fldCharType="separate"/>
        </w:r>
        <w:r w:rsidR="00FB081A">
          <w:rPr>
            <w:noProof/>
            <w:webHidden/>
          </w:rPr>
          <w:t>127</w:t>
        </w:r>
        <w:r w:rsidR="00FB081A">
          <w:rPr>
            <w:noProof/>
            <w:webHidden/>
          </w:rPr>
          <w:fldChar w:fldCharType="end"/>
        </w:r>
      </w:hyperlink>
    </w:p>
    <w:p w14:paraId="3E6A8F53" w14:textId="68A9D45E" w:rsidR="00FB081A" w:rsidRDefault="000B273D">
      <w:pPr>
        <w:pStyle w:val="TableofFigures"/>
        <w:rPr>
          <w:rFonts w:asciiTheme="minorHAnsi" w:eastAsiaTheme="minorEastAsia" w:hAnsiTheme="minorHAnsi" w:cstheme="minorBidi"/>
          <w:noProof/>
          <w:sz w:val="22"/>
          <w:lang w:val="en-US"/>
        </w:rPr>
      </w:pPr>
      <w:hyperlink w:anchor="_Toc90727294" w:history="1">
        <w:r w:rsidR="00FB081A" w:rsidRPr="004D03FA">
          <w:rPr>
            <w:rStyle w:val="Hyperlink"/>
            <w:noProof/>
          </w:rPr>
          <w:t>Table 43: Large enterprises by turnover and employees, 2019, Gorj County</w:t>
        </w:r>
        <w:r w:rsidR="00FB081A">
          <w:rPr>
            <w:noProof/>
            <w:webHidden/>
          </w:rPr>
          <w:tab/>
        </w:r>
        <w:r w:rsidR="00FB081A">
          <w:rPr>
            <w:noProof/>
            <w:webHidden/>
          </w:rPr>
          <w:fldChar w:fldCharType="begin"/>
        </w:r>
        <w:r w:rsidR="00FB081A">
          <w:rPr>
            <w:noProof/>
            <w:webHidden/>
          </w:rPr>
          <w:instrText xml:space="preserve"> PAGEREF _Toc90727294 \h </w:instrText>
        </w:r>
        <w:r w:rsidR="00FB081A">
          <w:rPr>
            <w:noProof/>
            <w:webHidden/>
          </w:rPr>
        </w:r>
        <w:r w:rsidR="00FB081A">
          <w:rPr>
            <w:noProof/>
            <w:webHidden/>
          </w:rPr>
          <w:fldChar w:fldCharType="separate"/>
        </w:r>
        <w:r w:rsidR="00FB081A">
          <w:rPr>
            <w:noProof/>
            <w:webHidden/>
          </w:rPr>
          <w:t>129</w:t>
        </w:r>
        <w:r w:rsidR="00FB081A">
          <w:rPr>
            <w:noProof/>
            <w:webHidden/>
          </w:rPr>
          <w:fldChar w:fldCharType="end"/>
        </w:r>
      </w:hyperlink>
    </w:p>
    <w:p w14:paraId="19092FF5" w14:textId="7EEE385D" w:rsidR="00FB081A" w:rsidRDefault="000B273D">
      <w:pPr>
        <w:pStyle w:val="TableofFigures"/>
        <w:rPr>
          <w:rFonts w:asciiTheme="minorHAnsi" w:eastAsiaTheme="minorEastAsia" w:hAnsiTheme="minorHAnsi" w:cstheme="minorBidi"/>
          <w:noProof/>
          <w:sz w:val="22"/>
          <w:lang w:val="en-US"/>
        </w:rPr>
      </w:pPr>
      <w:hyperlink w:anchor="_Toc90727295" w:history="1">
        <w:r w:rsidR="00FB081A" w:rsidRPr="004D03FA">
          <w:rPr>
            <w:rStyle w:val="Hyperlink"/>
            <w:noProof/>
          </w:rPr>
          <w:t xml:space="preserve">Table 44: Share of R&amp;DI in GDP during 2014-2018 for </w:t>
        </w:r>
        <w:r w:rsidR="00FB081A" w:rsidRPr="004D03FA">
          <w:rPr>
            <w:rStyle w:val="Hyperlink"/>
            <w:noProof/>
            <w:lang w:val="en-US"/>
          </w:rPr>
          <w:t>Gorj</w:t>
        </w:r>
        <w:r w:rsidR="00FB081A" w:rsidRPr="004D03FA">
          <w:rPr>
            <w:rStyle w:val="Hyperlink"/>
            <w:noProof/>
          </w:rPr>
          <w:t xml:space="preserve"> county, </w:t>
        </w:r>
        <w:r w:rsidR="00FB081A" w:rsidRPr="004D03FA">
          <w:rPr>
            <w:rStyle w:val="Hyperlink"/>
            <w:noProof/>
            <w:lang w:val="en-US"/>
          </w:rPr>
          <w:t>South-West</w:t>
        </w:r>
        <w:r w:rsidR="00FB081A" w:rsidRPr="004D03FA">
          <w:rPr>
            <w:rStyle w:val="Hyperlink"/>
            <w:noProof/>
          </w:rPr>
          <w:t xml:space="preserve"> Region and Romania</w:t>
        </w:r>
        <w:r w:rsidR="00FB081A">
          <w:rPr>
            <w:noProof/>
            <w:webHidden/>
          </w:rPr>
          <w:tab/>
        </w:r>
        <w:r w:rsidR="00FB081A">
          <w:rPr>
            <w:noProof/>
            <w:webHidden/>
          </w:rPr>
          <w:fldChar w:fldCharType="begin"/>
        </w:r>
        <w:r w:rsidR="00FB081A">
          <w:rPr>
            <w:noProof/>
            <w:webHidden/>
          </w:rPr>
          <w:instrText xml:space="preserve"> PAGEREF _Toc90727295 \h </w:instrText>
        </w:r>
        <w:r w:rsidR="00FB081A">
          <w:rPr>
            <w:noProof/>
            <w:webHidden/>
          </w:rPr>
        </w:r>
        <w:r w:rsidR="00FB081A">
          <w:rPr>
            <w:noProof/>
            <w:webHidden/>
          </w:rPr>
          <w:fldChar w:fldCharType="separate"/>
        </w:r>
        <w:r w:rsidR="00FB081A">
          <w:rPr>
            <w:noProof/>
            <w:webHidden/>
          </w:rPr>
          <w:t>132</w:t>
        </w:r>
        <w:r w:rsidR="00FB081A">
          <w:rPr>
            <w:noProof/>
            <w:webHidden/>
          </w:rPr>
          <w:fldChar w:fldCharType="end"/>
        </w:r>
      </w:hyperlink>
    </w:p>
    <w:p w14:paraId="10818474" w14:textId="7733BB90" w:rsidR="00FB081A" w:rsidRDefault="000B273D">
      <w:pPr>
        <w:pStyle w:val="TableofFigures"/>
        <w:rPr>
          <w:rFonts w:asciiTheme="minorHAnsi" w:eastAsiaTheme="minorEastAsia" w:hAnsiTheme="minorHAnsi" w:cstheme="minorBidi"/>
          <w:noProof/>
          <w:sz w:val="22"/>
          <w:lang w:val="en-US"/>
        </w:rPr>
      </w:pPr>
      <w:hyperlink w:anchor="_Toc90727296" w:history="1">
        <w:r w:rsidR="00FB081A" w:rsidRPr="004D03FA">
          <w:rPr>
            <w:rStyle w:val="Hyperlink"/>
            <w:noProof/>
          </w:rPr>
          <w:t>Table 45: Evolution of manufacturing industry by technology intensiveness in Gorj county</w:t>
        </w:r>
        <w:r w:rsidR="00FB081A">
          <w:rPr>
            <w:noProof/>
            <w:webHidden/>
          </w:rPr>
          <w:tab/>
        </w:r>
        <w:r w:rsidR="00FB081A">
          <w:rPr>
            <w:noProof/>
            <w:webHidden/>
          </w:rPr>
          <w:fldChar w:fldCharType="begin"/>
        </w:r>
        <w:r w:rsidR="00FB081A">
          <w:rPr>
            <w:noProof/>
            <w:webHidden/>
          </w:rPr>
          <w:instrText xml:space="preserve"> PAGEREF _Toc90727296 \h </w:instrText>
        </w:r>
        <w:r w:rsidR="00FB081A">
          <w:rPr>
            <w:noProof/>
            <w:webHidden/>
          </w:rPr>
        </w:r>
        <w:r w:rsidR="00FB081A">
          <w:rPr>
            <w:noProof/>
            <w:webHidden/>
          </w:rPr>
          <w:fldChar w:fldCharType="separate"/>
        </w:r>
        <w:r w:rsidR="00FB081A">
          <w:rPr>
            <w:noProof/>
            <w:webHidden/>
          </w:rPr>
          <w:t>132</w:t>
        </w:r>
        <w:r w:rsidR="00FB081A">
          <w:rPr>
            <w:noProof/>
            <w:webHidden/>
          </w:rPr>
          <w:fldChar w:fldCharType="end"/>
        </w:r>
      </w:hyperlink>
    </w:p>
    <w:p w14:paraId="53C2FD54" w14:textId="07AD1E3A" w:rsidR="00FB081A" w:rsidRDefault="000B273D">
      <w:pPr>
        <w:pStyle w:val="TableofFigures"/>
        <w:rPr>
          <w:rFonts w:asciiTheme="minorHAnsi" w:eastAsiaTheme="minorEastAsia" w:hAnsiTheme="minorHAnsi" w:cstheme="minorBidi"/>
          <w:noProof/>
          <w:sz w:val="22"/>
          <w:lang w:val="en-US"/>
        </w:rPr>
      </w:pPr>
      <w:hyperlink w:anchor="_Toc90727297" w:history="1">
        <w:r w:rsidR="00FB081A" w:rsidRPr="004D03FA">
          <w:rPr>
            <w:rStyle w:val="Hyperlink"/>
            <w:noProof/>
          </w:rPr>
          <w:t>Table 46: Evolution of the services sector by knowledge intensiveness in Gorj county</w:t>
        </w:r>
        <w:r w:rsidR="00FB081A">
          <w:rPr>
            <w:noProof/>
            <w:webHidden/>
          </w:rPr>
          <w:tab/>
        </w:r>
        <w:r w:rsidR="00FB081A">
          <w:rPr>
            <w:noProof/>
            <w:webHidden/>
          </w:rPr>
          <w:fldChar w:fldCharType="begin"/>
        </w:r>
        <w:r w:rsidR="00FB081A">
          <w:rPr>
            <w:noProof/>
            <w:webHidden/>
          </w:rPr>
          <w:instrText xml:space="preserve"> PAGEREF _Toc90727297 \h </w:instrText>
        </w:r>
        <w:r w:rsidR="00FB081A">
          <w:rPr>
            <w:noProof/>
            <w:webHidden/>
          </w:rPr>
        </w:r>
        <w:r w:rsidR="00FB081A">
          <w:rPr>
            <w:noProof/>
            <w:webHidden/>
          </w:rPr>
          <w:fldChar w:fldCharType="separate"/>
        </w:r>
        <w:r w:rsidR="00FB081A">
          <w:rPr>
            <w:noProof/>
            <w:webHidden/>
          </w:rPr>
          <w:t>133</w:t>
        </w:r>
        <w:r w:rsidR="00FB081A">
          <w:rPr>
            <w:noProof/>
            <w:webHidden/>
          </w:rPr>
          <w:fldChar w:fldCharType="end"/>
        </w:r>
      </w:hyperlink>
    </w:p>
    <w:p w14:paraId="7A7D5947" w14:textId="0E5D823F" w:rsidR="00FB081A" w:rsidRDefault="000B273D">
      <w:pPr>
        <w:pStyle w:val="TableofFigures"/>
        <w:rPr>
          <w:rFonts w:asciiTheme="minorHAnsi" w:eastAsiaTheme="minorEastAsia" w:hAnsiTheme="minorHAnsi" w:cstheme="minorBidi"/>
          <w:noProof/>
          <w:sz w:val="22"/>
          <w:lang w:val="en-US"/>
        </w:rPr>
      </w:pPr>
      <w:hyperlink w:anchor="_Toc90727298" w:history="1">
        <w:r w:rsidR="00FB081A" w:rsidRPr="004D03FA">
          <w:rPr>
            <w:rStyle w:val="Hyperlink"/>
            <w:noProof/>
          </w:rPr>
          <w:t>Table 47: SWOT analysis for Gorj County</w:t>
        </w:r>
        <w:r w:rsidR="00FB081A">
          <w:rPr>
            <w:noProof/>
            <w:webHidden/>
          </w:rPr>
          <w:tab/>
        </w:r>
        <w:r w:rsidR="00FB081A">
          <w:rPr>
            <w:noProof/>
            <w:webHidden/>
          </w:rPr>
          <w:fldChar w:fldCharType="begin"/>
        </w:r>
        <w:r w:rsidR="00FB081A">
          <w:rPr>
            <w:noProof/>
            <w:webHidden/>
          </w:rPr>
          <w:instrText xml:space="preserve"> PAGEREF _Toc90727298 \h </w:instrText>
        </w:r>
        <w:r w:rsidR="00FB081A">
          <w:rPr>
            <w:noProof/>
            <w:webHidden/>
          </w:rPr>
        </w:r>
        <w:r w:rsidR="00FB081A">
          <w:rPr>
            <w:noProof/>
            <w:webHidden/>
          </w:rPr>
          <w:fldChar w:fldCharType="separate"/>
        </w:r>
        <w:r w:rsidR="00FB081A">
          <w:rPr>
            <w:noProof/>
            <w:webHidden/>
          </w:rPr>
          <w:t>137</w:t>
        </w:r>
        <w:r w:rsidR="00FB081A">
          <w:rPr>
            <w:noProof/>
            <w:webHidden/>
          </w:rPr>
          <w:fldChar w:fldCharType="end"/>
        </w:r>
      </w:hyperlink>
    </w:p>
    <w:p w14:paraId="35D6E9DC" w14:textId="636ECF4F" w:rsidR="00FB081A" w:rsidRDefault="000B273D">
      <w:pPr>
        <w:pStyle w:val="TableofFigures"/>
        <w:rPr>
          <w:rFonts w:asciiTheme="minorHAnsi" w:eastAsiaTheme="minorEastAsia" w:hAnsiTheme="minorHAnsi" w:cstheme="minorBidi"/>
          <w:noProof/>
          <w:sz w:val="22"/>
          <w:lang w:val="en-US"/>
        </w:rPr>
      </w:pPr>
      <w:hyperlink w:anchor="_Toc90727299" w:history="1">
        <w:r w:rsidR="00FB081A" w:rsidRPr="004D03FA">
          <w:rPr>
            <w:rStyle w:val="Hyperlink"/>
            <w:noProof/>
          </w:rPr>
          <w:t>Table 48: Justification for proposed JTF operation in Gorj County</w:t>
        </w:r>
        <w:r w:rsidR="00FB081A">
          <w:rPr>
            <w:noProof/>
            <w:webHidden/>
          </w:rPr>
          <w:tab/>
        </w:r>
        <w:r w:rsidR="00FB081A">
          <w:rPr>
            <w:noProof/>
            <w:webHidden/>
          </w:rPr>
          <w:fldChar w:fldCharType="begin"/>
        </w:r>
        <w:r w:rsidR="00FB081A">
          <w:rPr>
            <w:noProof/>
            <w:webHidden/>
          </w:rPr>
          <w:instrText xml:space="preserve"> PAGEREF _Toc90727299 \h </w:instrText>
        </w:r>
        <w:r w:rsidR="00FB081A">
          <w:rPr>
            <w:noProof/>
            <w:webHidden/>
          </w:rPr>
        </w:r>
        <w:r w:rsidR="00FB081A">
          <w:rPr>
            <w:noProof/>
            <w:webHidden/>
          </w:rPr>
          <w:fldChar w:fldCharType="separate"/>
        </w:r>
        <w:r w:rsidR="00FB081A">
          <w:rPr>
            <w:noProof/>
            <w:webHidden/>
          </w:rPr>
          <w:t>143</w:t>
        </w:r>
        <w:r w:rsidR="00FB081A">
          <w:rPr>
            <w:noProof/>
            <w:webHidden/>
          </w:rPr>
          <w:fldChar w:fldCharType="end"/>
        </w:r>
      </w:hyperlink>
    </w:p>
    <w:p w14:paraId="10D67A83" w14:textId="510D9660" w:rsidR="00FB081A" w:rsidRDefault="000B273D">
      <w:pPr>
        <w:pStyle w:val="TableofFigures"/>
        <w:rPr>
          <w:rFonts w:asciiTheme="minorHAnsi" w:eastAsiaTheme="minorEastAsia" w:hAnsiTheme="minorHAnsi" w:cstheme="minorBidi"/>
          <w:noProof/>
          <w:sz w:val="22"/>
          <w:lang w:val="en-US"/>
        </w:rPr>
      </w:pPr>
      <w:hyperlink w:anchor="_Toc90727300" w:history="1">
        <w:r w:rsidR="00FB081A" w:rsidRPr="004D03FA">
          <w:rPr>
            <w:rStyle w:val="Hyperlink"/>
            <w:noProof/>
          </w:rPr>
          <w:t>Table 49: Types of operations needed for Gorj County</w:t>
        </w:r>
        <w:r w:rsidR="00FB081A">
          <w:rPr>
            <w:noProof/>
            <w:webHidden/>
          </w:rPr>
          <w:tab/>
        </w:r>
        <w:r w:rsidR="00FB081A">
          <w:rPr>
            <w:noProof/>
            <w:webHidden/>
          </w:rPr>
          <w:fldChar w:fldCharType="begin"/>
        </w:r>
        <w:r w:rsidR="00FB081A">
          <w:rPr>
            <w:noProof/>
            <w:webHidden/>
          </w:rPr>
          <w:instrText xml:space="preserve"> PAGEREF _Toc90727300 \h </w:instrText>
        </w:r>
        <w:r w:rsidR="00FB081A">
          <w:rPr>
            <w:noProof/>
            <w:webHidden/>
          </w:rPr>
        </w:r>
        <w:r w:rsidR="00FB081A">
          <w:rPr>
            <w:noProof/>
            <w:webHidden/>
          </w:rPr>
          <w:fldChar w:fldCharType="separate"/>
        </w:r>
        <w:r w:rsidR="00FB081A">
          <w:rPr>
            <w:noProof/>
            <w:webHidden/>
          </w:rPr>
          <w:t>144</w:t>
        </w:r>
        <w:r w:rsidR="00FB081A">
          <w:rPr>
            <w:noProof/>
            <w:webHidden/>
          </w:rPr>
          <w:fldChar w:fldCharType="end"/>
        </w:r>
      </w:hyperlink>
    </w:p>
    <w:p w14:paraId="0F26A20C" w14:textId="6E11C58A" w:rsidR="00FB081A" w:rsidRDefault="000B273D">
      <w:pPr>
        <w:pStyle w:val="TableofFigures"/>
        <w:rPr>
          <w:rFonts w:asciiTheme="minorHAnsi" w:eastAsiaTheme="minorEastAsia" w:hAnsiTheme="minorHAnsi" w:cstheme="minorBidi"/>
          <w:noProof/>
          <w:sz w:val="22"/>
          <w:lang w:val="en-US"/>
        </w:rPr>
      </w:pPr>
      <w:hyperlink w:anchor="_Toc90727301" w:history="1">
        <w:r w:rsidR="00FB081A" w:rsidRPr="004D03FA">
          <w:rPr>
            <w:rStyle w:val="Hyperlink"/>
            <w:noProof/>
          </w:rPr>
          <w:t>Table 50: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_Toc90727301 \h </w:instrText>
        </w:r>
        <w:r w:rsidR="00FB081A">
          <w:rPr>
            <w:noProof/>
            <w:webHidden/>
          </w:rPr>
        </w:r>
        <w:r w:rsidR="00FB081A">
          <w:rPr>
            <w:noProof/>
            <w:webHidden/>
          </w:rPr>
          <w:fldChar w:fldCharType="separate"/>
        </w:r>
        <w:r w:rsidR="00FB081A">
          <w:rPr>
            <w:noProof/>
            <w:webHidden/>
          </w:rPr>
          <w:t>148</w:t>
        </w:r>
        <w:r w:rsidR="00FB081A">
          <w:rPr>
            <w:noProof/>
            <w:webHidden/>
          </w:rPr>
          <w:fldChar w:fldCharType="end"/>
        </w:r>
      </w:hyperlink>
    </w:p>
    <w:p w14:paraId="58237183" w14:textId="41A26F3E" w:rsidR="00FB081A" w:rsidRDefault="000B273D">
      <w:pPr>
        <w:pStyle w:val="TableofFigures"/>
        <w:rPr>
          <w:rFonts w:asciiTheme="minorHAnsi" w:eastAsiaTheme="minorEastAsia" w:hAnsiTheme="minorHAnsi" w:cstheme="minorBidi"/>
          <w:noProof/>
          <w:sz w:val="22"/>
          <w:lang w:val="en-US"/>
        </w:rPr>
      </w:pPr>
      <w:hyperlink w:anchor="_Toc90727302" w:history="1">
        <w:r w:rsidR="00FB081A" w:rsidRPr="004D03FA">
          <w:rPr>
            <w:rStyle w:val="Hyperlink"/>
            <w:noProof/>
          </w:rPr>
          <w:t>Table 51: Regional workshop harvesting for Gorj County</w:t>
        </w:r>
        <w:r w:rsidR="00FB081A">
          <w:rPr>
            <w:noProof/>
            <w:webHidden/>
          </w:rPr>
          <w:tab/>
        </w:r>
        <w:r w:rsidR="00FB081A">
          <w:rPr>
            <w:noProof/>
            <w:webHidden/>
          </w:rPr>
          <w:fldChar w:fldCharType="begin"/>
        </w:r>
        <w:r w:rsidR="00FB081A">
          <w:rPr>
            <w:noProof/>
            <w:webHidden/>
          </w:rPr>
          <w:instrText xml:space="preserve"> PAGEREF _Toc90727302 \h </w:instrText>
        </w:r>
        <w:r w:rsidR="00FB081A">
          <w:rPr>
            <w:noProof/>
            <w:webHidden/>
          </w:rPr>
        </w:r>
        <w:r w:rsidR="00FB081A">
          <w:rPr>
            <w:noProof/>
            <w:webHidden/>
          </w:rPr>
          <w:fldChar w:fldCharType="separate"/>
        </w:r>
        <w:r w:rsidR="00FB081A">
          <w:rPr>
            <w:noProof/>
            <w:webHidden/>
          </w:rPr>
          <w:t>150</w:t>
        </w:r>
        <w:r w:rsidR="00FB081A">
          <w:rPr>
            <w:noProof/>
            <w:webHidden/>
          </w:rPr>
          <w:fldChar w:fldCharType="end"/>
        </w:r>
      </w:hyperlink>
    </w:p>
    <w:p w14:paraId="62C68F8C" w14:textId="260D7CA6" w:rsidR="00FB081A" w:rsidRDefault="000B273D">
      <w:pPr>
        <w:pStyle w:val="TableofFigures"/>
        <w:rPr>
          <w:rFonts w:asciiTheme="minorHAnsi" w:eastAsiaTheme="minorEastAsia" w:hAnsiTheme="minorHAnsi" w:cstheme="minorBidi"/>
          <w:noProof/>
          <w:sz w:val="22"/>
          <w:lang w:val="en-US"/>
        </w:rPr>
      </w:pPr>
      <w:hyperlink w:anchor="_Toc90727303" w:history="1">
        <w:r w:rsidR="00FB081A" w:rsidRPr="004D03FA">
          <w:rPr>
            <w:rStyle w:val="Hyperlink"/>
            <w:noProof/>
          </w:rPr>
          <w:t>Table 52: Economic sector trends during 2010-2019: Prahova County</w:t>
        </w:r>
        <w:r w:rsidR="00FB081A">
          <w:rPr>
            <w:noProof/>
            <w:webHidden/>
          </w:rPr>
          <w:tab/>
        </w:r>
        <w:r w:rsidR="00FB081A">
          <w:rPr>
            <w:noProof/>
            <w:webHidden/>
          </w:rPr>
          <w:fldChar w:fldCharType="begin"/>
        </w:r>
        <w:r w:rsidR="00FB081A">
          <w:rPr>
            <w:noProof/>
            <w:webHidden/>
          </w:rPr>
          <w:instrText xml:space="preserve"> PAGEREF _Toc90727303 \h </w:instrText>
        </w:r>
        <w:r w:rsidR="00FB081A">
          <w:rPr>
            <w:noProof/>
            <w:webHidden/>
          </w:rPr>
        </w:r>
        <w:r w:rsidR="00FB081A">
          <w:rPr>
            <w:noProof/>
            <w:webHidden/>
          </w:rPr>
          <w:fldChar w:fldCharType="separate"/>
        </w:r>
        <w:r w:rsidR="00FB081A">
          <w:rPr>
            <w:noProof/>
            <w:webHidden/>
          </w:rPr>
          <w:t>157</w:t>
        </w:r>
        <w:r w:rsidR="00FB081A">
          <w:rPr>
            <w:noProof/>
            <w:webHidden/>
          </w:rPr>
          <w:fldChar w:fldCharType="end"/>
        </w:r>
      </w:hyperlink>
    </w:p>
    <w:p w14:paraId="767DC958" w14:textId="611CD477" w:rsidR="00FB081A" w:rsidRDefault="000B273D">
      <w:pPr>
        <w:pStyle w:val="TableofFigures"/>
        <w:rPr>
          <w:rFonts w:asciiTheme="minorHAnsi" w:eastAsiaTheme="minorEastAsia" w:hAnsiTheme="minorHAnsi" w:cstheme="minorBidi"/>
          <w:noProof/>
          <w:sz w:val="22"/>
          <w:lang w:val="en-US"/>
        </w:rPr>
      </w:pPr>
      <w:hyperlink w:anchor="_Toc90727304" w:history="1">
        <w:r w:rsidR="00FB081A" w:rsidRPr="004D03FA">
          <w:rPr>
            <w:rStyle w:val="Hyperlink"/>
            <w:noProof/>
          </w:rPr>
          <w:t>Table 53: Large enterprises by turnover and employees, 2019, Prahova County</w:t>
        </w:r>
        <w:r w:rsidR="00FB081A">
          <w:rPr>
            <w:noProof/>
            <w:webHidden/>
          </w:rPr>
          <w:tab/>
        </w:r>
        <w:r w:rsidR="00FB081A">
          <w:rPr>
            <w:noProof/>
            <w:webHidden/>
          </w:rPr>
          <w:fldChar w:fldCharType="begin"/>
        </w:r>
        <w:r w:rsidR="00FB081A">
          <w:rPr>
            <w:noProof/>
            <w:webHidden/>
          </w:rPr>
          <w:instrText xml:space="preserve"> PAGEREF _Toc90727304 \h </w:instrText>
        </w:r>
        <w:r w:rsidR="00FB081A">
          <w:rPr>
            <w:noProof/>
            <w:webHidden/>
          </w:rPr>
        </w:r>
        <w:r w:rsidR="00FB081A">
          <w:rPr>
            <w:noProof/>
            <w:webHidden/>
          </w:rPr>
          <w:fldChar w:fldCharType="separate"/>
        </w:r>
        <w:r w:rsidR="00FB081A">
          <w:rPr>
            <w:noProof/>
            <w:webHidden/>
          </w:rPr>
          <w:t>158</w:t>
        </w:r>
        <w:r w:rsidR="00FB081A">
          <w:rPr>
            <w:noProof/>
            <w:webHidden/>
          </w:rPr>
          <w:fldChar w:fldCharType="end"/>
        </w:r>
      </w:hyperlink>
    </w:p>
    <w:p w14:paraId="52A22CDA" w14:textId="1FFAE785" w:rsidR="00FB081A" w:rsidRDefault="000B273D">
      <w:pPr>
        <w:pStyle w:val="TableofFigures"/>
        <w:rPr>
          <w:rFonts w:asciiTheme="minorHAnsi" w:eastAsiaTheme="minorEastAsia" w:hAnsiTheme="minorHAnsi" w:cstheme="minorBidi"/>
          <w:noProof/>
          <w:sz w:val="22"/>
          <w:lang w:val="en-US"/>
        </w:rPr>
      </w:pPr>
      <w:hyperlink w:anchor="_Toc90727305" w:history="1">
        <w:r w:rsidR="00FB081A" w:rsidRPr="004D03FA">
          <w:rPr>
            <w:rStyle w:val="Hyperlink"/>
            <w:noProof/>
          </w:rPr>
          <w:t xml:space="preserve">Table 54: Share of R&amp;DI in GDP during 2014-2018 for Prahova County, </w:t>
        </w:r>
        <w:r w:rsidR="00FB081A" w:rsidRPr="004D03FA">
          <w:rPr>
            <w:rStyle w:val="Hyperlink"/>
            <w:noProof/>
            <w:lang w:val="en-US"/>
          </w:rPr>
          <w:t>South Muntenia</w:t>
        </w:r>
        <w:r w:rsidR="00FB081A" w:rsidRPr="004D03FA">
          <w:rPr>
            <w:rStyle w:val="Hyperlink"/>
            <w:noProof/>
          </w:rPr>
          <w:t xml:space="preserve"> Region and Romania</w:t>
        </w:r>
        <w:r w:rsidR="00FB081A">
          <w:rPr>
            <w:noProof/>
            <w:webHidden/>
          </w:rPr>
          <w:tab/>
        </w:r>
        <w:r w:rsidR="00FB081A">
          <w:rPr>
            <w:noProof/>
            <w:webHidden/>
          </w:rPr>
          <w:fldChar w:fldCharType="begin"/>
        </w:r>
        <w:r w:rsidR="00FB081A">
          <w:rPr>
            <w:noProof/>
            <w:webHidden/>
          </w:rPr>
          <w:instrText xml:space="preserve"> PAGEREF _Toc90727305 \h </w:instrText>
        </w:r>
        <w:r w:rsidR="00FB081A">
          <w:rPr>
            <w:noProof/>
            <w:webHidden/>
          </w:rPr>
        </w:r>
        <w:r w:rsidR="00FB081A">
          <w:rPr>
            <w:noProof/>
            <w:webHidden/>
          </w:rPr>
          <w:fldChar w:fldCharType="separate"/>
        </w:r>
        <w:r w:rsidR="00FB081A">
          <w:rPr>
            <w:noProof/>
            <w:webHidden/>
          </w:rPr>
          <w:t>163</w:t>
        </w:r>
        <w:r w:rsidR="00FB081A">
          <w:rPr>
            <w:noProof/>
            <w:webHidden/>
          </w:rPr>
          <w:fldChar w:fldCharType="end"/>
        </w:r>
      </w:hyperlink>
    </w:p>
    <w:p w14:paraId="329F9903" w14:textId="6A4136AC" w:rsidR="00FB081A" w:rsidRDefault="000B273D">
      <w:pPr>
        <w:pStyle w:val="TableofFigures"/>
        <w:rPr>
          <w:rFonts w:asciiTheme="minorHAnsi" w:eastAsiaTheme="minorEastAsia" w:hAnsiTheme="minorHAnsi" w:cstheme="minorBidi"/>
          <w:noProof/>
          <w:sz w:val="22"/>
          <w:lang w:val="en-US"/>
        </w:rPr>
      </w:pPr>
      <w:hyperlink w:anchor="_Toc90727306" w:history="1">
        <w:r w:rsidR="00FB081A" w:rsidRPr="004D03FA">
          <w:rPr>
            <w:rStyle w:val="Hyperlink"/>
            <w:noProof/>
          </w:rPr>
          <w:t>Table 55: Evolution of manufacturing industry by technology intensiveness in Prahova County</w:t>
        </w:r>
        <w:r w:rsidR="00FB081A">
          <w:rPr>
            <w:noProof/>
            <w:webHidden/>
          </w:rPr>
          <w:tab/>
        </w:r>
        <w:r w:rsidR="00FB081A">
          <w:rPr>
            <w:noProof/>
            <w:webHidden/>
          </w:rPr>
          <w:fldChar w:fldCharType="begin"/>
        </w:r>
        <w:r w:rsidR="00FB081A">
          <w:rPr>
            <w:noProof/>
            <w:webHidden/>
          </w:rPr>
          <w:instrText xml:space="preserve"> PAGEREF _Toc90727306 \h </w:instrText>
        </w:r>
        <w:r w:rsidR="00FB081A">
          <w:rPr>
            <w:noProof/>
            <w:webHidden/>
          </w:rPr>
        </w:r>
        <w:r w:rsidR="00FB081A">
          <w:rPr>
            <w:noProof/>
            <w:webHidden/>
          </w:rPr>
          <w:fldChar w:fldCharType="separate"/>
        </w:r>
        <w:r w:rsidR="00FB081A">
          <w:rPr>
            <w:noProof/>
            <w:webHidden/>
          </w:rPr>
          <w:t>164</w:t>
        </w:r>
        <w:r w:rsidR="00FB081A">
          <w:rPr>
            <w:noProof/>
            <w:webHidden/>
          </w:rPr>
          <w:fldChar w:fldCharType="end"/>
        </w:r>
      </w:hyperlink>
    </w:p>
    <w:p w14:paraId="2FBDDE8F" w14:textId="7FD2AB9F" w:rsidR="00FB081A" w:rsidRDefault="000B273D">
      <w:pPr>
        <w:pStyle w:val="TableofFigures"/>
        <w:rPr>
          <w:rFonts w:asciiTheme="minorHAnsi" w:eastAsiaTheme="minorEastAsia" w:hAnsiTheme="minorHAnsi" w:cstheme="minorBidi"/>
          <w:noProof/>
          <w:sz w:val="22"/>
          <w:lang w:val="en-US"/>
        </w:rPr>
      </w:pPr>
      <w:hyperlink w:anchor="_Toc90727307" w:history="1">
        <w:r w:rsidR="00FB081A" w:rsidRPr="004D03FA">
          <w:rPr>
            <w:rStyle w:val="Hyperlink"/>
            <w:noProof/>
          </w:rPr>
          <w:t>Table 56: Evolution of the services sector by knowledge intensiveness in Prahova County</w:t>
        </w:r>
        <w:r w:rsidR="00FB081A">
          <w:rPr>
            <w:noProof/>
            <w:webHidden/>
          </w:rPr>
          <w:tab/>
        </w:r>
        <w:r w:rsidR="00FB081A">
          <w:rPr>
            <w:noProof/>
            <w:webHidden/>
          </w:rPr>
          <w:fldChar w:fldCharType="begin"/>
        </w:r>
        <w:r w:rsidR="00FB081A">
          <w:rPr>
            <w:noProof/>
            <w:webHidden/>
          </w:rPr>
          <w:instrText xml:space="preserve"> PAGEREF _Toc90727307 \h </w:instrText>
        </w:r>
        <w:r w:rsidR="00FB081A">
          <w:rPr>
            <w:noProof/>
            <w:webHidden/>
          </w:rPr>
        </w:r>
        <w:r w:rsidR="00FB081A">
          <w:rPr>
            <w:noProof/>
            <w:webHidden/>
          </w:rPr>
          <w:fldChar w:fldCharType="separate"/>
        </w:r>
        <w:r w:rsidR="00FB081A">
          <w:rPr>
            <w:noProof/>
            <w:webHidden/>
          </w:rPr>
          <w:t>164</w:t>
        </w:r>
        <w:r w:rsidR="00FB081A">
          <w:rPr>
            <w:noProof/>
            <w:webHidden/>
          </w:rPr>
          <w:fldChar w:fldCharType="end"/>
        </w:r>
      </w:hyperlink>
    </w:p>
    <w:p w14:paraId="220FDEF4" w14:textId="2AD7AC14" w:rsidR="00FB081A" w:rsidRDefault="000B273D">
      <w:pPr>
        <w:pStyle w:val="TableofFigures"/>
        <w:rPr>
          <w:rFonts w:asciiTheme="minorHAnsi" w:eastAsiaTheme="minorEastAsia" w:hAnsiTheme="minorHAnsi" w:cstheme="minorBidi"/>
          <w:noProof/>
          <w:sz w:val="22"/>
          <w:lang w:val="en-US"/>
        </w:rPr>
      </w:pPr>
      <w:hyperlink w:anchor="_Toc90727308" w:history="1">
        <w:r w:rsidR="00FB081A" w:rsidRPr="004D03FA">
          <w:rPr>
            <w:rStyle w:val="Hyperlink"/>
            <w:noProof/>
          </w:rPr>
          <w:t>Table 57: SWOT analysis for Prahova County</w:t>
        </w:r>
        <w:r w:rsidR="00FB081A">
          <w:rPr>
            <w:noProof/>
            <w:webHidden/>
          </w:rPr>
          <w:tab/>
        </w:r>
        <w:r w:rsidR="00FB081A">
          <w:rPr>
            <w:noProof/>
            <w:webHidden/>
          </w:rPr>
          <w:fldChar w:fldCharType="begin"/>
        </w:r>
        <w:r w:rsidR="00FB081A">
          <w:rPr>
            <w:noProof/>
            <w:webHidden/>
          </w:rPr>
          <w:instrText xml:space="preserve"> PAGEREF _Toc90727308 \h </w:instrText>
        </w:r>
        <w:r w:rsidR="00FB081A">
          <w:rPr>
            <w:noProof/>
            <w:webHidden/>
          </w:rPr>
        </w:r>
        <w:r w:rsidR="00FB081A">
          <w:rPr>
            <w:noProof/>
            <w:webHidden/>
          </w:rPr>
          <w:fldChar w:fldCharType="separate"/>
        </w:r>
        <w:r w:rsidR="00FB081A">
          <w:rPr>
            <w:noProof/>
            <w:webHidden/>
          </w:rPr>
          <w:t>167</w:t>
        </w:r>
        <w:r w:rsidR="00FB081A">
          <w:rPr>
            <w:noProof/>
            <w:webHidden/>
          </w:rPr>
          <w:fldChar w:fldCharType="end"/>
        </w:r>
      </w:hyperlink>
    </w:p>
    <w:p w14:paraId="55E909A9" w14:textId="1AC7BF7A" w:rsidR="00FB081A" w:rsidRDefault="000B273D">
      <w:pPr>
        <w:pStyle w:val="TableofFigures"/>
        <w:rPr>
          <w:rFonts w:asciiTheme="minorHAnsi" w:eastAsiaTheme="minorEastAsia" w:hAnsiTheme="minorHAnsi" w:cstheme="minorBidi"/>
          <w:noProof/>
          <w:sz w:val="22"/>
          <w:lang w:val="en-US"/>
        </w:rPr>
      </w:pPr>
      <w:hyperlink w:anchor="_Toc90727309" w:history="1">
        <w:r w:rsidR="00FB081A" w:rsidRPr="004D03FA">
          <w:rPr>
            <w:rStyle w:val="Hyperlink"/>
            <w:noProof/>
          </w:rPr>
          <w:t>Table 58: Justification for proposed JTF operation in Prahova County</w:t>
        </w:r>
        <w:r w:rsidR="00FB081A">
          <w:rPr>
            <w:noProof/>
            <w:webHidden/>
          </w:rPr>
          <w:tab/>
        </w:r>
        <w:r w:rsidR="00FB081A">
          <w:rPr>
            <w:noProof/>
            <w:webHidden/>
          </w:rPr>
          <w:fldChar w:fldCharType="begin"/>
        </w:r>
        <w:r w:rsidR="00FB081A">
          <w:rPr>
            <w:noProof/>
            <w:webHidden/>
          </w:rPr>
          <w:instrText xml:space="preserve"> PAGEREF _Toc90727309 \h </w:instrText>
        </w:r>
        <w:r w:rsidR="00FB081A">
          <w:rPr>
            <w:noProof/>
            <w:webHidden/>
          </w:rPr>
        </w:r>
        <w:r w:rsidR="00FB081A">
          <w:rPr>
            <w:noProof/>
            <w:webHidden/>
          </w:rPr>
          <w:fldChar w:fldCharType="separate"/>
        </w:r>
        <w:r w:rsidR="00FB081A">
          <w:rPr>
            <w:noProof/>
            <w:webHidden/>
          </w:rPr>
          <w:t>173</w:t>
        </w:r>
        <w:r w:rsidR="00FB081A">
          <w:rPr>
            <w:noProof/>
            <w:webHidden/>
          </w:rPr>
          <w:fldChar w:fldCharType="end"/>
        </w:r>
      </w:hyperlink>
    </w:p>
    <w:p w14:paraId="68247C1F" w14:textId="6CA02633" w:rsidR="00FB081A" w:rsidRDefault="000B273D">
      <w:pPr>
        <w:pStyle w:val="TableofFigures"/>
        <w:rPr>
          <w:rFonts w:asciiTheme="minorHAnsi" w:eastAsiaTheme="minorEastAsia" w:hAnsiTheme="minorHAnsi" w:cstheme="minorBidi"/>
          <w:noProof/>
          <w:sz w:val="22"/>
          <w:lang w:val="en-US"/>
        </w:rPr>
      </w:pPr>
      <w:hyperlink w:anchor="_Toc90727310" w:history="1">
        <w:r w:rsidR="00FB081A" w:rsidRPr="004D03FA">
          <w:rPr>
            <w:rStyle w:val="Hyperlink"/>
            <w:noProof/>
          </w:rPr>
          <w:t>Table 59: Types of operations needed for Prahova County</w:t>
        </w:r>
        <w:r w:rsidR="00FB081A">
          <w:rPr>
            <w:noProof/>
            <w:webHidden/>
          </w:rPr>
          <w:tab/>
        </w:r>
        <w:r w:rsidR="00FB081A">
          <w:rPr>
            <w:noProof/>
            <w:webHidden/>
          </w:rPr>
          <w:fldChar w:fldCharType="begin"/>
        </w:r>
        <w:r w:rsidR="00FB081A">
          <w:rPr>
            <w:noProof/>
            <w:webHidden/>
          </w:rPr>
          <w:instrText xml:space="preserve"> PAGEREF _Toc90727310 \h </w:instrText>
        </w:r>
        <w:r w:rsidR="00FB081A">
          <w:rPr>
            <w:noProof/>
            <w:webHidden/>
          </w:rPr>
        </w:r>
        <w:r w:rsidR="00FB081A">
          <w:rPr>
            <w:noProof/>
            <w:webHidden/>
          </w:rPr>
          <w:fldChar w:fldCharType="separate"/>
        </w:r>
        <w:r w:rsidR="00FB081A">
          <w:rPr>
            <w:noProof/>
            <w:webHidden/>
          </w:rPr>
          <w:t>175</w:t>
        </w:r>
        <w:r w:rsidR="00FB081A">
          <w:rPr>
            <w:noProof/>
            <w:webHidden/>
          </w:rPr>
          <w:fldChar w:fldCharType="end"/>
        </w:r>
      </w:hyperlink>
    </w:p>
    <w:p w14:paraId="5ABAA865" w14:textId="68B9DBF7" w:rsidR="00FB081A" w:rsidRDefault="000B273D">
      <w:pPr>
        <w:pStyle w:val="TableofFigures"/>
        <w:rPr>
          <w:rFonts w:asciiTheme="minorHAnsi" w:eastAsiaTheme="minorEastAsia" w:hAnsiTheme="minorHAnsi" w:cstheme="minorBidi"/>
          <w:noProof/>
          <w:sz w:val="22"/>
          <w:lang w:val="en-US"/>
        </w:rPr>
      </w:pPr>
      <w:hyperlink w:anchor="_Toc90727311" w:history="1">
        <w:r w:rsidR="00FB081A" w:rsidRPr="004D03FA">
          <w:rPr>
            <w:rStyle w:val="Hyperlink"/>
            <w:noProof/>
          </w:rPr>
          <w:t>Table 60: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_Toc90727311 \h </w:instrText>
        </w:r>
        <w:r w:rsidR="00FB081A">
          <w:rPr>
            <w:noProof/>
            <w:webHidden/>
          </w:rPr>
        </w:r>
        <w:r w:rsidR="00FB081A">
          <w:rPr>
            <w:noProof/>
            <w:webHidden/>
          </w:rPr>
          <w:fldChar w:fldCharType="separate"/>
        </w:r>
        <w:r w:rsidR="00FB081A">
          <w:rPr>
            <w:noProof/>
            <w:webHidden/>
          </w:rPr>
          <w:t>178</w:t>
        </w:r>
        <w:r w:rsidR="00FB081A">
          <w:rPr>
            <w:noProof/>
            <w:webHidden/>
          </w:rPr>
          <w:fldChar w:fldCharType="end"/>
        </w:r>
      </w:hyperlink>
    </w:p>
    <w:p w14:paraId="45DB238D" w14:textId="5155FE27" w:rsidR="00FB081A" w:rsidRDefault="000B273D">
      <w:pPr>
        <w:pStyle w:val="TableofFigures"/>
        <w:rPr>
          <w:rFonts w:asciiTheme="minorHAnsi" w:eastAsiaTheme="minorEastAsia" w:hAnsiTheme="minorHAnsi" w:cstheme="minorBidi"/>
          <w:noProof/>
          <w:sz w:val="22"/>
          <w:lang w:val="en-US"/>
        </w:rPr>
      </w:pPr>
      <w:hyperlink w:anchor="_Toc90727312" w:history="1">
        <w:r w:rsidR="00FB081A" w:rsidRPr="004D03FA">
          <w:rPr>
            <w:rStyle w:val="Hyperlink"/>
            <w:noProof/>
          </w:rPr>
          <w:t>Table 61: Regional workshop harvesting for Prahova County</w:t>
        </w:r>
        <w:r w:rsidR="00FB081A">
          <w:rPr>
            <w:noProof/>
            <w:webHidden/>
          </w:rPr>
          <w:tab/>
        </w:r>
        <w:r w:rsidR="00FB081A">
          <w:rPr>
            <w:noProof/>
            <w:webHidden/>
          </w:rPr>
          <w:fldChar w:fldCharType="begin"/>
        </w:r>
        <w:r w:rsidR="00FB081A">
          <w:rPr>
            <w:noProof/>
            <w:webHidden/>
          </w:rPr>
          <w:instrText xml:space="preserve"> PAGEREF _Toc90727312 \h </w:instrText>
        </w:r>
        <w:r w:rsidR="00FB081A">
          <w:rPr>
            <w:noProof/>
            <w:webHidden/>
          </w:rPr>
        </w:r>
        <w:r w:rsidR="00FB081A">
          <w:rPr>
            <w:noProof/>
            <w:webHidden/>
          </w:rPr>
          <w:fldChar w:fldCharType="separate"/>
        </w:r>
        <w:r w:rsidR="00FB081A">
          <w:rPr>
            <w:noProof/>
            <w:webHidden/>
          </w:rPr>
          <w:t>182</w:t>
        </w:r>
        <w:r w:rsidR="00FB081A">
          <w:rPr>
            <w:noProof/>
            <w:webHidden/>
          </w:rPr>
          <w:fldChar w:fldCharType="end"/>
        </w:r>
      </w:hyperlink>
    </w:p>
    <w:p w14:paraId="02EFB18B" w14:textId="376AB7A2" w:rsidR="00FB081A" w:rsidRDefault="000B273D">
      <w:pPr>
        <w:pStyle w:val="TableofFigures"/>
        <w:rPr>
          <w:rFonts w:asciiTheme="minorHAnsi" w:eastAsiaTheme="minorEastAsia" w:hAnsiTheme="minorHAnsi" w:cstheme="minorBidi"/>
          <w:noProof/>
          <w:sz w:val="22"/>
          <w:lang w:val="en-US"/>
        </w:rPr>
      </w:pPr>
      <w:hyperlink w:anchor="_Toc90727313" w:history="1">
        <w:r w:rsidR="00FB081A" w:rsidRPr="004D03FA">
          <w:rPr>
            <w:rStyle w:val="Hyperlink"/>
            <w:noProof/>
          </w:rPr>
          <w:t>Table 62: Economic sector trends during 2010-2019: Mureș County</w:t>
        </w:r>
        <w:r w:rsidR="00FB081A">
          <w:rPr>
            <w:noProof/>
            <w:webHidden/>
          </w:rPr>
          <w:tab/>
        </w:r>
        <w:r w:rsidR="00FB081A">
          <w:rPr>
            <w:noProof/>
            <w:webHidden/>
          </w:rPr>
          <w:fldChar w:fldCharType="begin"/>
        </w:r>
        <w:r w:rsidR="00FB081A">
          <w:rPr>
            <w:noProof/>
            <w:webHidden/>
          </w:rPr>
          <w:instrText xml:space="preserve"> PAGEREF _Toc90727313 \h </w:instrText>
        </w:r>
        <w:r w:rsidR="00FB081A">
          <w:rPr>
            <w:noProof/>
            <w:webHidden/>
          </w:rPr>
        </w:r>
        <w:r w:rsidR="00FB081A">
          <w:rPr>
            <w:noProof/>
            <w:webHidden/>
          </w:rPr>
          <w:fldChar w:fldCharType="separate"/>
        </w:r>
        <w:r w:rsidR="00FB081A">
          <w:rPr>
            <w:noProof/>
            <w:webHidden/>
          </w:rPr>
          <w:t>190</w:t>
        </w:r>
        <w:r w:rsidR="00FB081A">
          <w:rPr>
            <w:noProof/>
            <w:webHidden/>
          </w:rPr>
          <w:fldChar w:fldCharType="end"/>
        </w:r>
      </w:hyperlink>
    </w:p>
    <w:p w14:paraId="407AC264" w14:textId="30B4DD88" w:rsidR="00FB081A" w:rsidRDefault="000B273D">
      <w:pPr>
        <w:pStyle w:val="TableofFigures"/>
        <w:rPr>
          <w:rFonts w:asciiTheme="minorHAnsi" w:eastAsiaTheme="minorEastAsia" w:hAnsiTheme="minorHAnsi" w:cstheme="minorBidi"/>
          <w:noProof/>
          <w:sz w:val="22"/>
          <w:lang w:val="en-US"/>
        </w:rPr>
      </w:pPr>
      <w:hyperlink w:anchor="_Toc90727314" w:history="1">
        <w:r w:rsidR="00FB081A" w:rsidRPr="004D03FA">
          <w:rPr>
            <w:rStyle w:val="Hyperlink"/>
            <w:noProof/>
          </w:rPr>
          <w:t>Table 63: Large enterprises by turnover and employees, 2019, Mureș County</w:t>
        </w:r>
        <w:r w:rsidR="00FB081A">
          <w:rPr>
            <w:noProof/>
            <w:webHidden/>
          </w:rPr>
          <w:tab/>
        </w:r>
        <w:r w:rsidR="00FB081A">
          <w:rPr>
            <w:noProof/>
            <w:webHidden/>
          </w:rPr>
          <w:fldChar w:fldCharType="begin"/>
        </w:r>
        <w:r w:rsidR="00FB081A">
          <w:rPr>
            <w:noProof/>
            <w:webHidden/>
          </w:rPr>
          <w:instrText xml:space="preserve"> PAGEREF _Toc90727314 \h </w:instrText>
        </w:r>
        <w:r w:rsidR="00FB081A">
          <w:rPr>
            <w:noProof/>
            <w:webHidden/>
          </w:rPr>
        </w:r>
        <w:r w:rsidR="00FB081A">
          <w:rPr>
            <w:noProof/>
            <w:webHidden/>
          </w:rPr>
          <w:fldChar w:fldCharType="separate"/>
        </w:r>
        <w:r w:rsidR="00FB081A">
          <w:rPr>
            <w:noProof/>
            <w:webHidden/>
          </w:rPr>
          <w:t>191</w:t>
        </w:r>
        <w:r w:rsidR="00FB081A">
          <w:rPr>
            <w:noProof/>
            <w:webHidden/>
          </w:rPr>
          <w:fldChar w:fldCharType="end"/>
        </w:r>
      </w:hyperlink>
    </w:p>
    <w:p w14:paraId="40804634" w14:textId="38F97283" w:rsidR="00FB081A" w:rsidRDefault="000B273D">
      <w:pPr>
        <w:pStyle w:val="TableofFigures"/>
        <w:rPr>
          <w:rFonts w:asciiTheme="minorHAnsi" w:eastAsiaTheme="minorEastAsia" w:hAnsiTheme="minorHAnsi" w:cstheme="minorBidi"/>
          <w:noProof/>
          <w:sz w:val="22"/>
          <w:lang w:val="en-US"/>
        </w:rPr>
      </w:pPr>
      <w:hyperlink w:anchor="_Toc90727315" w:history="1">
        <w:r w:rsidR="00FB081A" w:rsidRPr="004D03FA">
          <w:rPr>
            <w:rStyle w:val="Hyperlink"/>
            <w:noProof/>
          </w:rPr>
          <w:t xml:space="preserve">Table 64: Share of R&amp;DI in GDP during 2014-2018 for Mureș County, </w:t>
        </w:r>
        <w:r w:rsidR="00FB081A" w:rsidRPr="004D03FA">
          <w:rPr>
            <w:rStyle w:val="Hyperlink"/>
            <w:noProof/>
            <w:lang w:val="en-US"/>
          </w:rPr>
          <w:t>Central</w:t>
        </w:r>
        <w:r w:rsidR="00FB081A" w:rsidRPr="004D03FA">
          <w:rPr>
            <w:rStyle w:val="Hyperlink"/>
            <w:noProof/>
          </w:rPr>
          <w:t xml:space="preserve"> Region and Romania</w:t>
        </w:r>
        <w:r w:rsidR="00FB081A">
          <w:rPr>
            <w:noProof/>
            <w:webHidden/>
          </w:rPr>
          <w:tab/>
        </w:r>
        <w:r w:rsidR="00FB081A">
          <w:rPr>
            <w:noProof/>
            <w:webHidden/>
          </w:rPr>
          <w:fldChar w:fldCharType="begin"/>
        </w:r>
        <w:r w:rsidR="00FB081A">
          <w:rPr>
            <w:noProof/>
            <w:webHidden/>
          </w:rPr>
          <w:instrText xml:space="preserve"> PAGEREF _Toc90727315 \h </w:instrText>
        </w:r>
        <w:r w:rsidR="00FB081A">
          <w:rPr>
            <w:noProof/>
            <w:webHidden/>
          </w:rPr>
        </w:r>
        <w:r w:rsidR="00FB081A">
          <w:rPr>
            <w:noProof/>
            <w:webHidden/>
          </w:rPr>
          <w:fldChar w:fldCharType="separate"/>
        </w:r>
        <w:r w:rsidR="00FB081A">
          <w:rPr>
            <w:noProof/>
            <w:webHidden/>
          </w:rPr>
          <w:t>194</w:t>
        </w:r>
        <w:r w:rsidR="00FB081A">
          <w:rPr>
            <w:noProof/>
            <w:webHidden/>
          </w:rPr>
          <w:fldChar w:fldCharType="end"/>
        </w:r>
      </w:hyperlink>
    </w:p>
    <w:p w14:paraId="14121B80" w14:textId="579C4905" w:rsidR="00FB081A" w:rsidRDefault="000B273D">
      <w:pPr>
        <w:pStyle w:val="TableofFigures"/>
        <w:rPr>
          <w:rFonts w:asciiTheme="minorHAnsi" w:eastAsiaTheme="minorEastAsia" w:hAnsiTheme="minorHAnsi" w:cstheme="minorBidi"/>
          <w:noProof/>
          <w:sz w:val="22"/>
          <w:lang w:val="en-US"/>
        </w:rPr>
      </w:pPr>
      <w:hyperlink w:anchor="_Toc90727316" w:history="1">
        <w:r w:rsidR="00FB081A" w:rsidRPr="004D03FA">
          <w:rPr>
            <w:rStyle w:val="Hyperlink"/>
            <w:noProof/>
          </w:rPr>
          <w:t>Table 65: Evolution of the services sector by knowledge intensiveness in Mure</w:t>
        </w:r>
        <w:r w:rsidR="00FB081A" w:rsidRPr="004D03FA">
          <w:rPr>
            <w:rStyle w:val="Hyperlink"/>
            <w:noProof/>
            <w:lang w:val="ro-RO"/>
          </w:rPr>
          <w:t>ș</w:t>
        </w:r>
        <w:r w:rsidR="00FB081A" w:rsidRPr="004D03FA">
          <w:rPr>
            <w:rStyle w:val="Hyperlink"/>
            <w:noProof/>
          </w:rPr>
          <w:t xml:space="preserve"> County</w:t>
        </w:r>
        <w:r w:rsidR="00FB081A">
          <w:rPr>
            <w:noProof/>
            <w:webHidden/>
          </w:rPr>
          <w:tab/>
        </w:r>
        <w:r w:rsidR="00FB081A">
          <w:rPr>
            <w:noProof/>
            <w:webHidden/>
          </w:rPr>
          <w:fldChar w:fldCharType="begin"/>
        </w:r>
        <w:r w:rsidR="00FB081A">
          <w:rPr>
            <w:noProof/>
            <w:webHidden/>
          </w:rPr>
          <w:instrText xml:space="preserve"> PAGEREF _Toc90727316 \h </w:instrText>
        </w:r>
        <w:r w:rsidR="00FB081A">
          <w:rPr>
            <w:noProof/>
            <w:webHidden/>
          </w:rPr>
        </w:r>
        <w:r w:rsidR="00FB081A">
          <w:rPr>
            <w:noProof/>
            <w:webHidden/>
          </w:rPr>
          <w:fldChar w:fldCharType="separate"/>
        </w:r>
        <w:r w:rsidR="00FB081A">
          <w:rPr>
            <w:noProof/>
            <w:webHidden/>
          </w:rPr>
          <w:t>195</w:t>
        </w:r>
        <w:r w:rsidR="00FB081A">
          <w:rPr>
            <w:noProof/>
            <w:webHidden/>
          </w:rPr>
          <w:fldChar w:fldCharType="end"/>
        </w:r>
      </w:hyperlink>
    </w:p>
    <w:p w14:paraId="15B5B27A" w14:textId="45E89919" w:rsidR="00FB081A" w:rsidRDefault="000B273D">
      <w:pPr>
        <w:pStyle w:val="TableofFigures"/>
        <w:rPr>
          <w:rFonts w:asciiTheme="minorHAnsi" w:eastAsiaTheme="minorEastAsia" w:hAnsiTheme="minorHAnsi" w:cstheme="minorBidi"/>
          <w:noProof/>
          <w:sz w:val="22"/>
          <w:lang w:val="en-US"/>
        </w:rPr>
      </w:pPr>
      <w:hyperlink w:anchor="_Toc90727317" w:history="1">
        <w:r w:rsidR="00FB081A" w:rsidRPr="004D03FA">
          <w:rPr>
            <w:rStyle w:val="Hyperlink"/>
            <w:noProof/>
          </w:rPr>
          <w:t>Table 66: Evolution of manufacturing industry by technology intensiveness in Mure</w:t>
        </w:r>
        <w:r w:rsidR="00FB081A" w:rsidRPr="004D03FA">
          <w:rPr>
            <w:rStyle w:val="Hyperlink"/>
            <w:noProof/>
            <w:lang w:val="ro-RO"/>
          </w:rPr>
          <w:t>ș</w:t>
        </w:r>
        <w:r w:rsidR="00FB081A" w:rsidRPr="004D03FA">
          <w:rPr>
            <w:rStyle w:val="Hyperlink"/>
            <w:noProof/>
          </w:rPr>
          <w:t xml:space="preserve"> County</w:t>
        </w:r>
        <w:r w:rsidR="00FB081A">
          <w:rPr>
            <w:noProof/>
            <w:webHidden/>
          </w:rPr>
          <w:tab/>
        </w:r>
        <w:r w:rsidR="00FB081A">
          <w:rPr>
            <w:noProof/>
            <w:webHidden/>
          </w:rPr>
          <w:fldChar w:fldCharType="begin"/>
        </w:r>
        <w:r w:rsidR="00FB081A">
          <w:rPr>
            <w:noProof/>
            <w:webHidden/>
          </w:rPr>
          <w:instrText xml:space="preserve"> PAGEREF _Toc90727317 \h </w:instrText>
        </w:r>
        <w:r w:rsidR="00FB081A">
          <w:rPr>
            <w:noProof/>
            <w:webHidden/>
          </w:rPr>
        </w:r>
        <w:r w:rsidR="00FB081A">
          <w:rPr>
            <w:noProof/>
            <w:webHidden/>
          </w:rPr>
          <w:fldChar w:fldCharType="separate"/>
        </w:r>
        <w:r w:rsidR="00FB081A">
          <w:rPr>
            <w:noProof/>
            <w:webHidden/>
          </w:rPr>
          <w:t>195</w:t>
        </w:r>
        <w:r w:rsidR="00FB081A">
          <w:rPr>
            <w:noProof/>
            <w:webHidden/>
          </w:rPr>
          <w:fldChar w:fldCharType="end"/>
        </w:r>
      </w:hyperlink>
    </w:p>
    <w:p w14:paraId="768CB5E7" w14:textId="7C132554" w:rsidR="00FB081A" w:rsidRDefault="000B273D">
      <w:pPr>
        <w:pStyle w:val="TableofFigures"/>
        <w:rPr>
          <w:rFonts w:asciiTheme="minorHAnsi" w:eastAsiaTheme="minorEastAsia" w:hAnsiTheme="minorHAnsi" w:cstheme="minorBidi"/>
          <w:noProof/>
          <w:sz w:val="22"/>
          <w:lang w:val="en-US"/>
        </w:rPr>
      </w:pPr>
      <w:hyperlink w:anchor="_Toc90727318" w:history="1">
        <w:r w:rsidR="00FB081A" w:rsidRPr="004D03FA">
          <w:rPr>
            <w:rStyle w:val="Hyperlink"/>
            <w:noProof/>
          </w:rPr>
          <w:t>Table 67: SWOT analysis for Mureș County</w:t>
        </w:r>
        <w:r w:rsidR="00FB081A">
          <w:rPr>
            <w:noProof/>
            <w:webHidden/>
          </w:rPr>
          <w:tab/>
        </w:r>
        <w:r w:rsidR="00FB081A">
          <w:rPr>
            <w:noProof/>
            <w:webHidden/>
          </w:rPr>
          <w:fldChar w:fldCharType="begin"/>
        </w:r>
        <w:r w:rsidR="00FB081A">
          <w:rPr>
            <w:noProof/>
            <w:webHidden/>
          </w:rPr>
          <w:instrText xml:space="preserve"> PAGEREF _Toc90727318 \h </w:instrText>
        </w:r>
        <w:r w:rsidR="00FB081A">
          <w:rPr>
            <w:noProof/>
            <w:webHidden/>
          </w:rPr>
        </w:r>
        <w:r w:rsidR="00FB081A">
          <w:rPr>
            <w:noProof/>
            <w:webHidden/>
          </w:rPr>
          <w:fldChar w:fldCharType="separate"/>
        </w:r>
        <w:r w:rsidR="00FB081A">
          <w:rPr>
            <w:noProof/>
            <w:webHidden/>
          </w:rPr>
          <w:t>200</w:t>
        </w:r>
        <w:r w:rsidR="00FB081A">
          <w:rPr>
            <w:noProof/>
            <w:webHidden/>
          </w:rPr>
          <w:fldChar w:fldCharType="end"/>
        </w:r>
      </w:hyperlink>
    </w:p>
    <w:p w14:paraId="0F2B58FB" w14:textId="7A03B552" w:rsidR="00FB081A" w:rsidRDefault="000B273D">
      <w:pPr>
        <w:pStyle w:val="TableofFigures"/>
        <w:rPr>
          <w:rFonts w:asciiTheme="minorHAnsi" w:eastAsiaTheme="minorEastAsia" w:hAnsiTheme="minorHAnsi" w:cstheme="minorBidi"/>
          <w:noProof/>
          <w:sz w:val="22"/>
          <w:lang w:val="en-US"/>
        </w:rPr>
      </w:pPr>
      <w:hyperlink w:anchor="_Toc90727319" w:history="1">
        <w:r w:rsidR="00FB081A" w:rsidRPr="004D03FA">
          <w:rPr>
            <w:rStyle w:val="Hyperlink"/>
            <w:noProof/>
          </w:rPr>
          <w:t>Table 68: Justification for proposed JTF operation in Mureș County</w:t>
        </w:r>
        <w:r w:rsidR="00FB081A">
          <w:rPr>
            <w:noProof/>
            <w:webHidden/>
          </w:rPr>
          <w:tab/>
        </w:r>
        <w:r w:rsidR="00FB081A">
          <w:rPr>
            <w:noProof/>
            <w:webHidden/>
          </w:rPr>
          <w:fldChar w:fldCharType="begin"/>
        </w:r>
        <w:r w:rsidR="00FB081A">
          <w:rPr>
            <w:noProof/>
            <w:webHidden/>
          </w:rPr>
          <w:instrText xml:space="preserve"> PAGEREF _Toc90727319 \h </w:instrText>
        </w:r>
        <w:r w:rsidR="00FB081A">
          <w:rPr>
            <w:noProof/>
            <w:webHidden/>
          </w:rPr>
        </w:r>
        <w:r w:rsidR="00FB081A">
          <w:rPr>
            <w:noProof/>
            <w:webHidden/>
          </w:rPr>
          <w:fldChar w:fldCharType="separate"/>
        </w:r>
        <w:r w:rsidR="00FB081A">
          <w:rPr>
            <w:noProof/>
            <w:webHidden/>
          </w:rPr>
          <w:t>204</w:t>
        </w:r>
        <w:r w:rsidR="00FB081A">
          <w:rPr>
            <w:noProof/>
            <w:webHidden/>
          </w:rPr>
          <w:fldChar w:fldCharType="end"/>
        </w:r>
      </w:hyperlink>
    </w:p>
    <w:p w14:paraId="0D01449E" w14:textId="21117EC0" w:rsidR="00FB081A" w:rsidRDefault="000B273D">
      <w:pPr>
        <w:pStyle w:val="TableofFigures"/>
        <w:rPr>
          <w:rFonts w:asciiTheme="minorHAnsi" w:eastAsiaTheme="minorEastAsia" w:hAnsiTheme="minorHAnsi" w:cstheme="minorBidi"/>
          <w:noProof/>
          <w:sz w:val="22"/>
          <w:lang w:val="en-US"/>
        </w:rPr>
      </w:pPr>
      <w:hyperlink w:anchor="_Toc90727320" w:history="1">
        <w:r w:rsidR="00FB081A" w:rsidRPr="004D03FA">
          <w:rPr>
            <w:rStyle w:val="Hyperlink"/>
            <w:noProof/>
          </w:rPr>
          <w:t>Table 69: Types of operations needed for Mureș County</w:t>
        </w:r>
        <w:r w:rsidR="00FB081A">
          <w:rPr>
            <w:noProof/>
            <w:webHidden/>
          </w:rPr>
          <w:tab/>
        </w:r>
        <w:r w:rsidR="00FB081A">
          <w:rPr>
            <w:noProof/>
            <w:webHidden/>
          </w:rPr>
          <w:fldChar w:fldCharType="begin"/>
        </w:r>
        <w:r w:rsidR="00FB081A">
          <w:rPr>
            <w:noProof/>
            <w:webHidden/>
          </w:rPr>
          <w:instrText xml:space="preserve"> PAGEREF _Toc90727320 \h </w:instrText>
        </w:r>
        <w:r w:rsidR="00FB081A">
          <w:rPr>
            <w:noProof/>
            <w:webHidden/>
          </w:rPr>
        </w:r>
        <w:r w:rsidR="00FB081A">
          <w:rPr>
            <w:noProof/>
            <w:webHidden/>
          </w:rPr>
          <w:fldChar w:fldCharType="separate"/>
        </w:r>
        <w:r w:rsidR="00FB081A">
          <w:rPr>
            <w:noProof/>
            <w:webHidden/>
          </w:rPr>
          <w:t>206</w:t>
        </w:r>
        <w:r w:rsidR="00FB081A">
          <w:rPr>
            <w:noProof/>
            <w:webHidden/>
          </w:rPr>
          <w:fldChar w:fldCharType="end"/>
        </w:r>
      </w:hyperlink>
    </w:p>
    <w:p w14:paraId="04B2140E" w14:textId="181D8142" w:rsidR="00FB081A" w:rsidRDefault="000B273D">
      <w:pPr>
        <w:pStyle w:val="TableofFigures"/>
        <w:rPr>
          <w:rFonts w:asciiTheme="minorHAnsi" w:eastAsiaTheme="minorEastAsia" w:hAnsiTheme="minorHAnsi" w:cstheme="minorBidi"/>
          <w:noProof/>
          <w:sz w:val="22"/>
          <w:lang w:val="en-US"/>
        </w:rPr>
      </w:pPr>
      <w:hyperlink w:anchor="_Toc90727321" w:history="1">
        <w:r w:rsidR="00FB081A" w:rsidRPr="004D03FA">
          <w:rPr>
            <w:rStyle w:val="Hyperlink"/>
            <w:noProof/>
          </w:rPr>
          <w:t>Table 70: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_Toc90727321 \h </w:instrText>
        </w:r>
        <w:r w:rsidR="00FB081A">
          <w:rPr>
            <w:noProof/>
            <w:webHidden/>
          </w:rPr>
        </w:r>
        <w:r w:rsidR="00FB081A">
          <w:rPr>
            <w:noProof/>
            <w:webHidden/>
          </w:rPr>
          <w:fldChar w:fldCharType="separate"/>
        </w:r>
        <w:r w:rsidR="00FB081A">
          <w:rPr>
            <w:noProof/>
            <w:webHidden/>
          </w:rPr>
          <w:t>208</w:t>
        </w:r>
        <w:r w:rsidR="00FB081A">
          <w:rPr>
            <w:noProof/>
            <w:webHidden/>
          </w:rPr>
          <w:fldChar w:fldCharType="end"/>
        </w:r>
      </w:hyperlink>
    </w:p>
    <w:p w14:paraId="3EB80878" w14:textId="280967E0" w:rsidR="00FB081A" w:rsidRDefault="000B273D">
      <w:pPr>
        <w:pStyle w:val="TableofFigures"/>
        <w:rPr>
          <w:rFonts w:asciiTheme="minorHAnsi" w:eastAsiaTheme="minorEastAsia" w:hAnsiTheme="minorHAnsi" w:cstheme="minorBidi"/>
          <w:noProof/>
          <w:sz w:val="22"/>
          <w:lang w:val="en-US"/>
        </w:rPr>
      </w:pPr>
      <w:hyperlink w:anchor="_Toc90727322" w:history="1">
        <w:r w:rsidR="00FB081A" w:rsidRPr="004D03FA">
          <w:rPr>
            <w:rStyle w:val="Hyperlink"/>
            <w:noProof/>
          </w:rPr>
          <w:t>Table 71: Regional workshop harvesting for Mureș County</w:t>
        </w:r>
        <w:r w:rsidR="00FB081A">
          <w:rPr>
            <w:noProof/>
            <w:webHidden/>
          </w:rPr>
          <w:tab/>
        </w:r>
        <w:r w:rsidR="00FB081A">
          <w:rPr>
            <w:noProof/>
            <w:webHidden/>
          </w:rPr>
          <w:fldChar w:fldCharType="begin"/>
        </w:r>
        <w:r w:rsidR="00FB081A">
          <w:rPr>
            <w:noProof/>
            <w:webHidden/>
          </w:rPr>
          <w:instrText xml:space="preserve"> PAGEREF _Toc90727322 \h </w:instrText>
        </w:r>
        <w:r w:rsidR="00FB081A">
          <w:rPr>
            <w:noProof/>
            <w:webHidden/>
          </w:rPr>
        </w:r>
        <w:r w:rsidR="00FB081A">
          <w:rPr>
            <w:noProof/>
            <w:webHidden/>
          </w:rPr>
          <w:fldChar w:fldCharType="separate"/>
        </w:r>
        <w:r w:rsidR="00FB081A">
          <w:rPr>
            <w:noProof/>
            <w:webHidden/>
          </w:rPr>
          <w:t>211</w:t>
        </w:r>
        <w:r w:rsidR="00FB081A">
          <w:rPr>
            <w:noProof/>
            <w:webHidden/>
          </w:rPr>
          <w:fldChar w:fldCharType="end"/>
        </w:r>
      </w:hyperlink>
    </w:p>
    <w:p w14:paraId="3529C3F4" w14:textId="363CE64E" w:rsidR="00FB081A" w:rsidRDefault="000B273D">
      <w:pPr>
        <w:pStyle w:val="TableofFigures"/>
        <w:rPr>
          <w:rFonts w:asciiTheme="minorHAnsi" w:eastAsiaTheme="minorEastAsia" w:hAnsiTheme="minorHAnsi" w:cstheme="minorBidi"/>
          <w:noProof/>
          <w:sz w:val="22"/>
          <w:lang w:val="en-US"/>
        </w:rPr>
      </w:pPr>
      <w:hyperlink w:anchor="_Toc90727323" w:history="1">
        <w:r w:rsidR="00FB081A" w:rsidRPr="004D03FA">
          <w:rPr>
            <w:rStyle w:val="Hyperlink"/>
            <w:noProof/>
          </w:rPr>
          <w:t>Table 72: Economic sector trends during 2010-2019: Galați County</w:t>
        </w:r>
        <w:r w:rsidR="00FB081A">
          <w:rPr>
            <w:noProof/>
            <w:webHidden/>
          </w:rPr>
          <w:tab/>
        </w:r>
        <w:r w:rsidR="00FB081A">
          <w:rPr>
            <w:noProof/>
            <w:webHidden/>
          </w:rPr>
          <w:fldChar w:fldCharType="begin"/>
        </w:r>
        <w:r w:rsidR="00FB081A">
          <w:rPr>
            <w:noProof/>
            <w:webHidden/>
          </w:rPr>
          <w:instrText xml:space="preserve"> PAGEREF _Toc90727323 \h </w:instrText>
        </w:r>
        <w:r w:rsidR="00FB081A">
          <w:rPr>
            <w:noProof/>
            <w:webHidden/>
          </w:rPr>
        </w:r>
        <w:r w:rsidR="00FB081A">
          <w:rPr>
            <w:noProof/>
            <w:webHidden/>
          </w:rPr>
          <w:fldChar w:fldCharType="separate"/>
        </w:r>
        <w:r w:rsidR="00FB081A">
          <w:rPr>
            <w:noProof/>
            <w:webHidden/>
          </w:rPr>
          <w:t>218</w:t>
        </w:r>
        <w:r w:rsidR="00FB081A">
          <w:rPr>
            <w:noProof/>
            <w:webHidden/>
          </w:rPr>
          <w:fldChar w:fldCharType="end"/>
        </w:r>
      </w:hyperlink>
    </w:p>
    <w:p w14:paraId="1E4F31BF" w14:textId="3BE5014D" w:rsidR="00FB081A" w:rsidRDefault="000B273D">
      <w:pPr>
        <w:pStyle w:val="TableofFigures"/>
        <w:rPr>
          <w:rFonts w:asciiTheme="minorHAnsi" w:eastAsiaTheme="minorEastAsia" w:hAnsiTheme="minorHAnsi" w:cstheme="minorBidi"/>
          <w:noProof/>
          <w:sz w:val="22"/>
          <w:lang w:val="en-US"/>
        </w:rPr>
      </w:pPr>
      <w:hyperlink w:anchor="_Toc90727324" w:history="1">
        <w:r w:rsidR="00FB081A" w:rsidRPr="004D03FA">
          <w:rPr>
            <w:rStyle w:val="Hyperlink"/>
            <w:noProof/>
          </w:rPr>
          <w:t>Table 73: Large enterprises by turnover and employees, 2019, Galați County</w:t>
        </w:r>
        <w:r w:rsidR="00FB081A">
          <w:rPr>
            <w:noProof/>
            <w:webHidden/>
          </w:rPr>
          <w:tab/>
        </w:r>
        <w:r w:rsidR="00FB081A">
          <w:rPr>
            <w:noProof/>
            <w:webHidden/>
          </w:rPr>
          <w:fldChar w:fldCharType="begin"/>
        </w:r>
        <w:r w:rsidR="00FB081A">
          <w:rPr>
            <w:noProof/>
            <w:webHidden/>
          </w:rPr>
          <w:instrText xml:space="preserve"> PAGEREF _Toc90727324 \h </w:instrText>
        </w:r>
        <w:r w:rsidR="00FB081A">
          <w:rPr>
            <w:noProof/>
            <w:webHidden/>
          </w:rPr>
        </w:r>
        <w:r w:rsidR="00FB081A">
          <w:rPr>
            <w:noProof/>
            <w:webHidden/>
          </w:rPr>
          <w:fldChar w:fldCharType="separate"/>
        </w:r>
        <w:r w:rsidR="00FB081A">
          <w:rPr>
            <w:noProof/>
            <w:webHidden/>
          </w:rPr>
          <w:t>219</w:t>
        </w:r>
        <w:r w:rsidR="00FB081A">
          <w:rPr>
            <w:noProof/>
            <w:webHidden/>
          </w:rPr>
          <w:fldChar w:fldCharType="end"/>
        </w:r>
      </w:hyperlink>
    </w:p>
    <w:p w14:paraId="5F343883" w14:textId="037CD632" w:rsidR="00FB081A" w:rsidRDefault="000B273D">
      <w:pPr>
        <w:pStyle w:val="TableofFigures"/>
        <w:rPr>
          <w:rFonts w:asciiTheme="minorHAnsi" w:eastAsiaTheme="minorEastAsia" w:hAnsiTheme="minorHAnsi" w:cstheme="minorBidi"/>
          <w:noProof/>
          <w:sz w:val="22"/>
          <w:lang w:val="en-US"/>
        </w:rPr>
      </w:pPr>
      <w:hyperlink w:anchor="_Toc90727325" w:history="1">
        <w:r w:rsidR="00FB081A" w:rsidRPr="004D03FA">
          <w:rPr>
            <w:rStyle w:val="Hyperlink"/>
            <w:noProof/>
          </w:rPr>
          <w:t xml:space="preserve">Table 74: Share of R&amp;DI in GDP during 2014-2018 for Galați County, </w:t>
        </w:r>
        <w:r w:rsidR="00FB081A" w:rsidRPr="004D03FA">
          <w:rPr>
            <w:rStyle w:val="Hyperlink"/>
            <w:noProof/>
            <w:lang w:val="en-US"/>
          </w:rPr>
          <w:t>South-East</w:t>
        </w:r>
        <w:r w:rsidR="00FB081A" w:rsidRPr="004D03FA">
          <w:rPr>
            <w:rStyle w:val="Hyperlink"/>
            <w:noProof/>
          </w:rPr>
          <w:t xml:space="preserve"> Region and Romania</w:t>
        </w:r>
        <w:r w:rsidR="00FB081A">
          <w:rPr>
            <w:noProof/>
            <w:webHidden/>
          </w:rPr>
          <w:tab/>
        </w:r>
        <w:r w:rsidR="00FB081A">
          <w:rPr>
            <w:noProof/>
            <w:webHidden/>
          </w:rPr>
          <w:fldChar w:fldCharType="begin"/>
        </w:r>
        <w:r w:rsidR="00FB081A">
          <w:rPr>
            <w:noProof/>
            <w:webHidden/>
          </w:rPr>
          <w:instrText xml:space="preserve"> PAGEREF _Toc90727325 \h </w:instrText>
        </w:r>
        <w:r w:rsidR="00FB081A">
          <w:rPr>
            <w:noProof/>
            <w:webHidden/>
          </w:rPr>
        </w:r>
        <w:r w:rsidR="00FB081A">
          <w:rPr>
            <w:noProof/>
            <w:webHidden/>
          </w:rPr>
          <w:fldChar w:fldCharType="separate"/>
        </w:r>
        <w:r w:rsidR="00FB081A">
          <w:rPr>
            <w:noProof/>
            <w:webHidden/>
          </w:rPr>
          <w:t>223</w:t>
        </w:r>
        <w:r w:rsidR="00FB081A">
          <w:rPr>
            <w:noProof/>
            <w:webHidden/>
          </w:rPr>
          <w:fldChar w:fldCharType="end"/>
        </w:r>
      </w:hyperlink>
    </w:p>
    <w:p w14:paraId="7168E868" w14:textId="2DA55892" w:rsidR="00FB081A" w:rsidRDefault="000B273D">
      <w:pPr>
        <w:pStyle w:val="TableofFigures"/>
        <w:rPr>
          <w:rFonts w:asciiTheme="minorHAnsi" w:eastAsiaTheme="minorEastAsia" w:hAnsiTheme="minorHAnsi" w:cstheme="minorBidi"/>
          <w:noProof/>
          <w:sz w:val="22"/>
          <w:lang w:val="en-US"/>
        </w:rPr>
      </w:pPr>
      <w:hyperlink w:anchor="_Toc90727326" w:history="1">
        <w:r w:rsidR="00FB081A" w:rsidRPr="004D03FA">
          <w:rPr>
            <w:rStyle w:val="Hyperlink"/>
            <w:noProof/>
          </w:rPr>
          <w:t>Table 75</w:t>
        </w:r>
        <w:r w:rsidR="00FB081A" w:rsidRPr="004D03FA">
          <w:rPr>
            <w:rStyle w:val="Hyperlink"/>
            <w:noProof/>
            <w:lang w:val="en-US"/>
          </w:rPr>
          <w:t>:</w:t>
        </w:r>
        <w:r w:rsidR="00FB081A" w:rsidRPr="004D03FA">
          <w:rPr>
            <w:rStyle w:val="Hyperlink"/>
            <w:noProof/>
          </w:rPr>
          <w:t xml:space="preserve"> Evolution of the services sector by knowledge intensiveness in Galați county</w:t>
        </w:r>
        <w:r w:rsidR="00FB081A">
          <w:rPr>
            <w:noProof/>
            <w:webHidden/>
          </w:rPr>
          <w:tab/>
        </w:r>
        <w:r w:rsidR="00FB081A">
          <w:rPr>
            <w:noProof/>
            <w:webHidden/>
          </w:rPr>
          <w:fldChar w:fldCharType="begin"/>
        </w:r>
        <w:r w:rsidR="00FB081A">
          <w:rPr>
            <w:noProof/>
            <w:webHidden/>
          </w:rPr>
          <w:instrText xml:space="preserve"> PAGEREF _Toc90727326 \h </w:instrText>
        </w:r>
        <w:r w:rsidR="00FB081A">
          <w:rPr>
            <w:noProof/>
            <w:webHidden/>
          </w:rPr>
        </w:r>
        <w:r w:rsidR="00FB081A">
          <w:rPr>
            <w:noProof/>
            <w:webHidden/>
          </w:rPr>
          <w:fldChar w:fldCharType="separate"/>
        </w:r>
        <w:r w:rsidR="00FB081A">
          <w:rPr>
            <w:noProof/>
            <w:webHidden/>
          </w:rPr>
          <w:t>223</w:t>
        </w:r>
        <w:r w:rsidR="00FB081A">
          <w:rPr>
            <w:noProof/>
            <w:webHidden/>
          </w:rPr>
          <w:fldChar w:fldCharType="end"/>
        </w:r>
      </w:hyperlink>
    </w:p>
    <w:p w14:paraId="60A8D06B" w14:textId="33D06880" w:rsidR="00FB081A" w:rsidRDefault="000B273D">
      <w:pPr>
        <w:pStyle w:val="TableofFigures"/>
        <w:rPr>
          <w:rFonts w:asciiTheme="minorHAnsi" w:eastAsiaTheme="minorEastAsia" w:hAnsiTheme="minorHAnsi" w:cstheme="minorBidi"/>
          <w:noProof/>
          <w:sz w:val="22"/>
          <w:lang w:val="en-US"/>
        </w:rPr>
      </w:pPr>
      <w:hyperlink w:anchor="_Toc90727327" w:history="1">
        <w:r w:rsidR="00FB081A" w:rsidRPr="004D03FA">
          <w:rPr>
            <w:rStyle w:val="Hyperlink"/>
            <w:noProof/>
          </w:rPr>
          <w:t>Table 76: Evolution of manufacturing industry by technology intensiveness in Galați county</w:t>
        </w:r>
        <w:r w:rsidR="00FB081A">
          <w:rPr>
            <w:noProof/>
            <w:webHidden/>
          </w:rPr>
          <w:tab/>
        </w:r>
        <w:r w:rsidR="00FB081A">
          <w:rPr>
            <w:noProof/>
            <w:webHidden/>
          </w:rPr>
          <w:fldChar w:fldCharType="begin"/>
        </w:r>
        <w:r w:rsidR="00FB081A">
          <w:rPr>
            <w:noProof/>
            <w:webHidden/>
          </w:rPr>
          <w:instrText xml:space="preserve"> PAGEREF _Toc90727327 \h </w:instrText>
        </w:r>
        <w:r w:rsidR="00FB081A">
          <w:rPr>
            <w:noProof/>
            <w:webHidden/>
          </w:rPr>
        </w:r>
        <w:r w:rsidR="00FB081A">
          <w:rPr>
            <w:noProof/>
            <w:webHidden/>
          </w:rPr>
          <w:fldChar w:fldCharType="separate"/>
        </w:r>
        <w:r w:rsidR="00FB081A">
          <w:rPr>
            <w:noProof/>
            <w:webHidden/>
          </w:rPr>
          <w:t>224</w:t>
        </w:r>
        <w:r w:rsidR="00FB081A">
          <w:rPr>
            <w:noProof/>
            <w:webHidden/>
          </w:rPr>
          <w:fldChar w:fldCharType="end"/>
        </w:r>
      </w:hyperlink>
    </w:p>
    <w:p w14:paraId="475095C7" w14:textId="37B33534" w:rsidR="00FB081A" w:rsidRDefault="000B273D">
      <w:pPr>
        <w:pStyle w:val="TableofFigures"/>
        <w:rPr>
          <w:rFonts w:asciiTheme="minorHAnsi" w:eastAsiaTheme="minorEastAsia" w:hAnsiTheme="minorHAnsi" w:cstheme="minorBidi"/>
          <w:noProof/>
          <w:sz w:val="22"/>
          <w:lang w:val="en-US"/>
        </w:rPr>
      </w:pPr>
      <w:hyperlink w:anchor="_Toc90727328" w:history="1">
        <w:r w:rsidR="00FB081A" w:rsidRPr="004D03FA">
          <w:rPr>
            <w:rStyle w:val="Hyperlink"/>
            <w:noProof/>
          </w:rPr>
          <w:t>Table 77: SWOT analysis for Galați county</w:t>
        </w:r>
        <w:r w:rsidR="00FB081A">
          <w:rPr>
            <w:noProof/>
            <w:webHidden/>
          </w:rPr>
          <w:tab/>
        </w:r>
        <w:r w:rsidR="00FB081A">
          <w:rPr>
            <w:noProof/>
            <w:webHidden/>
          </w:rPr>
          <w:fldChar w:fldCharType="begin"/>
        </w:r>
        <w:r w:rsidR="00FB081A">
          <w:rPr>
            <w:noProof/>
            <w:webHidden/>
          </w:rPr>
          <w:instrText xml:space="preserve"> PAGEREF _Toc90727328 \h </w:instrText>
        </w:r>
        <w:r w:rsidR="00FB081A">
          <w:rPr>
            <w:noProof/>
            <w:webHidden/>
          </w:rPr>
        </w:r>
        <w:r w:rsidR="00FB081A">
          <w:rPr>
            <w:noProof/>
            <w:webHidden/>
          </w:rPr>
          <w:fldChar w:fldCharType="separate"/>
        </w:r>
        <w:r w:rsidR="00FB081A">
          <w:rPr>
            <w:noProof/>
            <w:webHidden/>
          </w:rPr>
          <w:t>229</w:t>
        </w:r>
        <w:r w:rsidR="00FB081A">
          <w:rPr>
            <w:noProof/>
            <w:webHidden/>
          </w:rPr>
          <w:fldChar w:fldCharType="end"/>
        </w:r>
      </w:hyperlink>
    </w:p>
    <w:p w14:paraId="798EC543" w14:textId="21B142B1" w:rsidR="00FB081A" w:rsidRDefault="000B273D">
      <w:pPr>
        <w:pStyle w:val="TableofFigures"/>
        <w:rPr>
          <w:rFonts w:asciiTheme="minorHAnsi" w:eastAsiaTheme="minorEastAsia" w:hAnsiTheme="minorHAnsi" w:cstheme="minorBidi"/>
          <w:noProof/>
          <w:sz w:val="22"/>
          <w:lang w:val="en-US"/>
        </w:rPr>
      </w:pPr>
      <w:hyperlink w:anchor="_Toc90727329" w:history="1">
        <w:r w:rsidR="00FB081A" w:rsidRPr="004D03FA">
          <w:rPr>
            <w:rStyle w:val="Hyperlink"/>
            <w:noProof/>
          </w:rPr>
          <w:t>Table 78: Justification for proposed JTF operation in Galați County</w:t>
        </w:r>
        <w:r w:rsidR="00FB081A">
          <w:rPr>
            <w:noProof/>
            <w:webHidden/>
          </w:rPr>
          <w:tab/>
        </w:r>
        <w:r w:rsidR="00FB081A">
          <w:rPr>
            <w:noProof/>
            <w:webHidden/>
          </w:rPr>
          <w:fldChar w:fldCharType="begin"/>
        </w:r>
        <w:r w:rsidR="00FB081A">
          <w:rPr>
            <w:noProof/>
            <w:webHidden/>
          </w:rPr>
          <w:instrText xml:space="preserve"> PAGEREF _Toc90727329 \h </w:instrText>
        </w:r>
        <w:r w:rsidR="00FB081A">
          <w:rPr>
            <w:noProof/>
            <w:webHidden/>
          </w:rPr>
        </w:r>
        <w:r w:rsidR="00FB081A">
          <w:rPr>
            <w:noProof/>
            <w:webHidden/>
          </w:rPr>
          <w:fldChar w:fldCharType="separate"/>
        </w:r>
        <w:r w:rsidR="00FB081A">
          <w:rPr>
            <w:noProof/>
            <w:webHidden/>
          </w:rPr>
          <w:t>234</w:t>
        </w:r>
        <w:r w:rsidR="00FB081A">
          <w:rPr>
            <w:noProof/>
            <w:webHidden/>
          </w:rPr>
          <w:fldChar w:fldCharType="end"/>
        </w:r>
      </w:hyperlink>
    </w:p>
    <w:p w14:paraId="7532909A" w14:textId="3EE710A8" w:rsidR="00FB081A" w:rsidRDefault="000B273D">
      <w:pPr>
        <w:pStyle w:val="TableofFigures"/>
        <w:rPr>
          <w:rFonts w:asciiTheme="minorHAnsi" w:eastAsiaTheme="minorEastAsia" w:hAnsiTheme="minorHAnsi" w:cstheme="minorBidi"/>
          <w:noProof/>
          <w:sz w:val="22"/>
          <w:lang w:val="en-US"/>
        </w:rPr>
      </w:pPr>
      <w:hyperlink w:anchor="_Toc90727330" w:history="1">
        <w:r w:rsidR="00FB081A" w:rsidRPr="004D03FA">
          <w:rPr>
            <w:rStyle w:val="Hyperlink"/>
            <w:noProof/>
          </w:rPr>
          <w:t>Table 79: Types of operations needed for Galați county</w:t>
        </w:r>
        <w:r w:rsidR="00FB081A">
          <w:rPr>
            <w:noProof/>
            <w:webHidden/>
          </w:rPr>
          <w:tab/>
        </w:r>
        <w:r w:rsidR="00FB081A">
          <w:rPr>
            <w:noProof/>
            <w:webHidden/>
          </w:rPr>
          <w:fldChar w:fldCharType="begin"/>
        </w:r>
        <w:r w:rsidR="00FB081A">
          <w:rPr>
            <w:noProof/>
            <w:webHidden/>
          </w:rPr>
          <w:instrText xml:space="preserve"> PAGEREF _Toc90727330 \h </w:instrText>
        </w:r>
        <w:r w:rsidR="00FB081A">
          <w:rPr>
            <w:noProof/>
            <w:webHidden/>
          </w:rPr>
        </w:r>
        <w:r w:rsidR="00FB081A">
          <w:rPr>
            <w:noProof/>
            <w:webHidden/>
          </w:rPr>
          <w:fldChar w:fldCharType="separate"/>
        </w:r>
        <w:r w:rsidR="00FB081A">
          <w:rPr>
            <w:noProof/>
            <w:webHidden/>
          </w:rPr>
          <w:t>235</w:t>
        </w:r>
        <w:r w:rsidR="00FB081A">
          <w:rPr>
            <w:noProof/>
            <w:webHidden/>
          </w:rPr>
          <w:fldChar w:fldCharType="end"/>
        </w:r>
      </w:hyperlink>
    </w:p>
    <w:p w14:paraId="2FE24820" w14:textId="125A422A" w:rsidR="00FB081A" w:rsidRDefault="000B273D">
      <w:pPr>
        <w:pStyle w:val="TableofFigures"/>
        <w:rPr>
          <w:rFonts w:asciiTheme="minorHAnsi" w:eastAsiaTheme="minorEastAsia" w:hAnsiTheme="minorHAnsi" w:cstheme="minorBidi"/>
          <w:noProof/>
          <w:sz w:val="22"/>
          <w:lang w:val="en-US"/>
        </w:rPr>
      </w:pPr>
      <w:hyperlink w:anchor="_Toc90727331" w:history="1">
        <w:r w:rsidR="00FB081A" w:rsidRPr="004D03FA">
          <w:rPr>
            <w:rStyle w:val="Hyperlink"/>
            <w:noProof/>
          </w:rPr>
          <w:t>Table 80: Complementarities with other programmes (and proposed allocations)</w:t>
        </w:r>
        <w:r w:rsidR="00FB081A">
          <w:rPr>
            <w:noProof/>
            <w:webHidden/>
          </w:rPr>
          <w:tab/>
        </w:r>
        <w:r w:rsidR="00FB081A">
          <w:rPr>
            <w:noProof/>
            <w:webHidden/>
          </w:rPr>
          <w:fldChar w:fldCharType="begin"/>
        </w:r>
        <w:r w:rsidR="00FB081A">
          <w:rPr>
            <w:noProof/>
            <w:webHidden/>
          </w:rPr>
          <w:instrText xml:space="preserve"> PAGEREF _Toc90727331 \h </w:instrText>
        </w:r>
        <w:r w:rsidR="00FB081A">
          <w:rPr>
            <w:noProof/>
            <w:webHidden/>
          </w:rPr>
        </w:r>
        <w:r w:rsidR="00FB081A">
          <w:rPr>
            <w:noProof/>
            <w:webHidden/>
          </w:rPr>
          <w:fldChar w:fldCharType="separate"/>
        </w:r>
        <w:r w:rsidR="00FB081A">
          <w:rPr>
            <w:noProof/>
            <w:webHidden/>
          </w:rPr>
          <w:t>237</w:t>
        </w:r>
        <w:r w:rsidR="00FB081A">
          <w:rPr>
            <w:noProof/>
            <w:webHidden/>
          </w:rPr>
          <w:fldChar w:fldCharType="end"/>
        </w:r>
      </w:hyperlink>
    </w:p>
    <w:p w14:paraId="16F5C7EC" w14:textId="68AD864C" w:rsidR="00FB081A" w:rsidRDefault="000B273D">
      <w:pPr>
        <w:pStyle w:val="TableofFigures"/>
        <w:rPr>
          <w:rFonts w:asciiTheme="minorHAnsi" w:eastAsiaTheme="minorEastAsia" w:hAnsiTheme="minorHAnsi" w:cstheme="minorBidi"/>
          <w:noProof/>
          <w:sz w:val="22"/>
          <w:lang w:val="en-US"/>
        </w:rPr>
      </w:pPr>
      <w:hyperlink w:anchor="_Toc90727332" w:history="1">
        <w:r w:rsidR="00FB081A" w:rsidRPr="004D03FA">
          <w:rPr>
            <w:rStyle w:val="Hyperlink"/>
            <w:noProof/>
          </w:rPr>
          <w:t>Table 81: Regional workshop harvesting for Galați County</w:t>
        </w:r>
        <w:r w:rsidR="00FB081A">
          <w:rPr>
            <w:noProof/>
            <w:webHidden/>
          </w:rPr>
          <w:tab/>
        </w:r>
        <w:r w:rsidR="00FB081A">
          <w:rPr>
            <w:noProof/>
            <w:webHidden/>
          </w:rPr>
          <w:fldChar w:fldCharType="begin"/>
        </w:r>
        <w:r w:rsidR="00FB081A">
          <w:rPr>
            <w:noProof/>
            <w:webHidden/>
          </w:rPr>
          <w:instrText xml:space="preserve"> PAGEREF _Toc90727332 \h </w:instrText>
        </w:r>
        <w:r w:rsidR="00FB081A">
          <w:rPr>
            <w:noProof/>
            <w:webHidden/>
          </w:rPr>
        </w:r>
        <w:r w:rsidR="00FB081A">
          <w:rPr>
            <w:noProof/>
            <w:webHidden/>
          </w:rPr>
          <w:fldChar w:fldCharType="separate"/>
        </w:r>
        <w:r w:rsidR="00FB081A">
          <w:rPr>
            <w:noProof/>
            <w:webHidden/>
          </w:rPr>
          <w:t>240</w:t>
        </w:r>
        <w:r w:rsidR="00FB081A">
          <w:rPr>
            <w:noProof/>
            <w:webHidden/>
          </w:rPr>
          <w:fldChar w:fldCharType="end"/>
        </w:r>
      </w:hyperlink>
    </w:p>
    <w:p w14:paraId="6E036978" w14:textId="0146FAF0" w:rsidR="00FB081A" w:rsidRDefault="000B273D">
      <w:pPr>
        <w:pStyle w:val="TableofFigures"/>
        <w:rPr>
          <w:rFonts w:asciiTheme="minorHAnsi" w:eastAsiaTheme="minorEastAsia" w:hAnsiTheme="minorHAnsi" w:cstheme="minorBidi"/>
          <w:noProof/>
          <w:sz w:val="22"/>
          <w:lang w:val="en-US"/>
        </w:rPr>
      </w:pPr>
      <w:hyperlink w:anchor="_Toc90727333" w:history="1">
        <w:r w:rsidR="00FB081A" w:rsidRPr="004D03FA">
          <w:rPr>
            <w:rStyle w:val="Hyperlink"/>
            <w:noProof/>
          </w:rPr>
          <w:t>Table 82: Calculation of job creation costs</w:t>
        </w:r>
        <w:r w:rsidR="00FB081A">
          <w:rPr>
            <w:noProof/>
            <w:webHidden/>
          </w:rPr>
          <w:tab/>
        </w:r>
        <w:r w:rsidR="00FB081A">
          <w:rPr>
            <w:noProof/>
            <w:webHidden/>
          </w:rPr>
          <w:fldChar w:fldCharType="begin"/>
        </w:r>
        <w:r w:rsidR="00FB081A">
          <w:rPr>
            <w:noProof/>
            <w:webHidden/>
          </w:rPr>
          <w:instrText xml:space="preserve"> PAGEREF _Toc90727333 \h </w:instrText>
        </w:r>
        <w:r w:rsidR="00FB081A">
          <w:rPr>
            <w:noProof/>
            <w:webHidden/>
          </w:rPr>
        </w:r>
        <w:r w:rsidR="00FB081A">
          <w:rPr>
            <w:noProof/>
            <w:webHidden/>
          </w:rPr>
          <w:fldChar w:fldCharType="separate"/>
        </w:r>
        <w:r w:rsidR="00FB081A">
          <w:rPr>
            <w:noProof/>
            <w:webHidden/>
          </w:rPr>
          <w:t>254</w:t>
        </w:r>
        <w:r w:rsidR="00FB081A">
          <w:rPr>
            <w:noProof/>
            <w:webHidden/>
          </w:rPr>
          <w:fldChar w:fldCharType="end"/>
        </w:r>
      </w:hyperlink>
    </w:p>
    <w:p w14:paraId="13F21E67" w14:textId="65D00DAF" w:rsidR="00FB081A" w:rsidRDefault="000B273D">
      <w:pPr>
        <w:pStyle w:val="TableofFigures"/>
        <w:rPr>
          <w:rFonts w:asciiTheme="minorHAnsi" w:eastAsiaTheme="minorEastAsia" w:hAnsiTheme="minorHAnsi" w:cstheme="minorBidi"/>
          <w:noProof/>
          <w:sz w:val="22"/>
          <w:lang w:val="en-US"/>
        </w:rPr>
      </w:pPr>
      <w:hyperlink w:anchor="_Toc90727334" w:history="1">
        <w:r w:rsidR="00FB081A" w:rsidRPr="004D03FA">
          <w:rPr>
            <w:rStyle w:val="Hyperlink"/>
            <w:noProof/>
          </w:rPr>
          <w:t>Table 83: Recommended output and results indicators</w:t>
        </w:r>
        <w:r w:rsidR="00FB081A">
          <w:rPr>
            <w:noProof/>
            <w:webHidden/>
          </w:rPr>
          <w:tab/>
        </w:r>
        <w:r w:rsidR="00FB081A">
          <w:rPr>
            <w:noProof/>
            <w:webHidden/>
          </w:rPr>
          <w:fldChar w:fldCharType="begin"/>
        </w:r>
        <w:r w:rsidR="00FB081A">
          <w:rPr>
            <w:noProof/>
            <w:webHidden/>
          </w:rPr>
          <w:instrText xml:space="preserve"> PAGEREF _Toc90727334 \h </w:instrText>
        </w:r>
        <w:r w:rsidR="00FB081A">
          <w:rPr>
            <w:noProof/>
            <w:webHidden/>
          </w:rPr>
        </w:r>
        <w:r w:rsidR="00FB081A">
          <w:rPr>
            <w:noProof/>
            <w:webHidden/>
          </w:rPr>
          <w:fldChar w:fldCharType="separate"/>
        </w:r>
        <w:r w:rsidR="00FB081A">
          <w:rPr>
            <w:noProof/>
            <w:webHidden/>
          </w:rPr>
          <w:t>264</w:t>
        </w:r>
        <w:r w:rsidR="00FB081A">
          <w:rPr>
            <w:noProof/>
            <w:webHidden/>
          </w:rPr>
          <w:fldChar w:fldCharType="end"/>
        </w:r>
      </w:hyperlink>
    </w:p>
    <w:p w14:paraId="4A8507FF" w14:textId="75F793AB" w:rsidR="00FB081A" w:rsidRDefault="000B273D">
      <w:pPr>
        <w:pStyle w:val="TableofFigures"/>
        <w:rPr>
          <w:rFonts w:asciiTheme="minorHAnsi" w:eastAsiaTheme="minorEastAsia" w:hAnsiTheme="minorHAnsi" w:cstheme="minorBidi"/>
          <w:noProof/>
          <w:sz w:val="22"/>
          <w:lang w:val="en-US"/>
        </w:rPr>
      </w:pPr>
      <w:hyperlink w:anchor="_Toc90727335" w:history="1">
        <w:r w:rsidR="00FB081A" w:rsidRPr="004D03FA">
          <w:rPr>
            <w:rStyle w:val="Hyperlink"/>
            <w:noProof/>
          </w:rPr>
          <w:t>Table 84: Risk management concerning the TJTP elaboration process</w:t>
        </w:r>
        <w:r w:rsidR="00FB081A">
          <w:rPr>
            <w:noProof/>
            <w:webHidden/>
          </w:rPr>
          <w:tab/>
        </w:r>
        <w:r w:rsidR="00FB081A">
          <w:rPr>
            <w:noProof/>
            <w:webHidden/>
          </w:rPr>
          <w:fldChar w:fldCharType="begin"/>
        </w:r>
        <w:r w:rsidR="00FB081A">
          <w:rPr>
            <w:noProof/>
            <w:webHidden/>
          </w:rPr>
          <w:instrText xml:space="preserve"> PAGEREF _Toc90727335 \h </w:instrText>
        </w:r>
        <w:r w:rsidR="00FB081A">
          <w:rPr>
            <w:noProof/>
            <w:webHidden/>
          </w:rPr>
        </w:r>
        <w:r w:rsidR="00FB081A">
          <w:rPr>
            <w:noProof/>
            <w:webHidden/>
          </w:rPr>
          <w:fldChar w:fldCharType="separate"/>
        </w:r>
        <w:r w:rsidR="00FB081A">
          <w:rPr>
            <w:noProof/>
            <w:webHidden/>
          </w:rPr>
          <w:t>265</w:t>
        </w:r>
        <w:r w:rsidR="00FB081A">
          <w:rPr>
            <w:noProof/>
            <w:webHidden/>
          </w:rPr>
          <w:fldChar w:fldCharType="end"/>
        </w:r>
      </w:hyperlink>
    </w:p>
    <w:p w14:paraId="6C908C6A" w14:textId="2ADE63F2" w:rsidR="00FB081A" w:rsidRDefault="000B273D">
      <w:pPr>
        <w:pStyle w:val="TableofFigures"/>
        <w:rPr>
          <w:rFonts w:asciiTheme="minorHAnsi" w:eastAsiaTheme="minorEastAsia" w:hAnsiTheme="minorHAnsi" w:cstheme="minorBidi"/>
          <w:noProof/>
          <w:sz w:val="22"/>
          <w:lang w:val="en-US"/>
        </w:rPr>
      </w:pPr>
      <w:hyperlink w:anchor="_Toc90727336" w:history="1">
        <w:r w:rsidR="00FB081A" w:rsidRPr="004D03FA">
          <w:rPr>
            <w:rStyle w:val="Hyperlink"/>
            <w:noProof/>
          </w:rPr>
          <w:t>Table 85: List of contaminated and potentially contaminated sites in the six affected regions</w:t>
        </w:r>
        <w:r w:rsidR="00FB081A">
          <w:rPr>
            <w:noProof/>
            <w:webHidden/>
          </w:rPr>
          <w:tab/>
        </w:r>
        <w:r w:rsidR="00FB081A">
          <w:rPr>
            <w:noProof/>
            <w:webHidden/>
          </w:rPr>
          <w:fldChar w:fldCharType="begin"/>
        </w:r>
        <w:r w:rsidR="00FB081A">
          <w:rPr>
            <w:noProof/>
            <w:webHidden/>
          </w:rPr>
          <w:instrText xml:space="preserve"> PAGEREF _Toc90727336 \h </w:instrText>
        </w:r>
        <w:r w:rsidR="00FB081A">
          <w:rPr>
            <w:noProof/>
            <w:webHidden/>
          </w:rPr>
        </w:r>
        <w:r w:rsidR="00FB081A">
          <w:rPr>
            <w:noProof/>
            <w:webHidden/>
          </w:rPr>
          <w:fldChar w:fldCharType="separate"/>
        </w:r>
        <w:r w:rsidR="00FB081A">
          <w:rPr>
            <w:noProof/>
            <w:webHidden/>
          </w:rPr>
          <w:t>269</w:t>
        </w:r>
        <w:r w:rsidR="00FB081A">
          <w:rPr>
            <w:noProof/>
            <w:webHidden/>
          </w:rPr>
          <w:fldChar w:fldCharType="end"/>
        </w:r>
      </w:hyperlink>
    </w:p>
    <w:p w14:paraId="77D30DD0" w14:textId="1132ED3D" w:rsidR="003A13DD" w:rsidRPr="001916C2" w:rsidRDefault="0040363E" w:rsidP="001916C2">
      <w:pPr>
        <w:pBdr>
          <w:top w:val="nil"/>
          <w:left w:val="nil"/>
          <w:bottom w:val="nil"/>
          <w:right w:val="nil"/>
          <w:between w:val="nil"/>
        </w:pBdr>
        <w:tabs>
          <w:tab w:val="right" w:pos="8929"/>
        </w:tabs>
        <w:spacing w:before="120" w:after="120"/>
        <w:rPr>
          <w:rFonts w:ascii="Arial" w:hAnsi="Arial" w:cs="Arial"/>
          <w:b/>
          <w:smallCaps/>
          <w:color w:val="4F81BD" w:themeColor="accent1"/>
          <w:sz w:val="28"/>
          <w:szCs w:val="28"/>
        </w:rPr>
      </w:pPr>
      <w:r w:rsidRPr="00CD34EE">
        <w:rPr>
          <w:rFonts w:ascii="Arial" w:hAnsi="Arial" w:cs="Arial"/>
          <w:b/>
          <w:bCs/>
          <w:noProof/>
          <w:sz w:val="20"/>
          <w:szCs w:val="20"/>
          <w:lang w:val="en-US"/>
        </w:rPr>
        <w:fldChar w:fldCharType="end"/>
      </w:r>
      <w:r w:rsidR="005E30C6" w:rsidRPr="001916C2">
        <w:rPr>
          <w:rFonts w:ascii="Arial" w:hAnsi="Arial" w:cs="Arial"/>
          <w:b/>
          <w:smallCaps/>
          <w:color w:val="4F81BD" w:themeColor="accent1"/>
          <w:sz w:val="28"/>
          <w:szCs w:val="28"/>
        </w:rPr>
        <w:t>Graphs</w:t>
      </w:r>
    </w:p>
    <w:p w14:paraId="723153C0" w14:textId="590A1D0B" w:rsidR="00FB081A" w:rsidRDefault="00C237C4">
      <w:pPr>
        <w:pStyle w:val="TableofFigures"/>
        <w:rPr>
          <w:rFonts w:asciiTheme="minorHAnsi" w:eastAsiaTheme="minorEastAsia" w:hAnsiTheme="minorHAnsi" w:cstheme="minorBidi"/>
          <w:noProof/>
          <w:sz w:val="22"/>
          <w:lang w:val="en-US"/>
        </w:rPr>
      </w:pPr>
      <w:r w:rsidRPr="00CD34EE">
        <w:rPr>
          <w:rStyle w:val="Hyperlink"/>
          <w:szCs w:val="20"/>
        </w:rPr>
        <w:fldChar w:fldCharType="begin"/>
      </w:r>
      <w:r w:rsidRPr="00CD34EE">
        <w:rPr>
          <w:rStyle w:val="Hyperlink"/>
          <w:szCs w:val="20"/>
        </w:rPr>
        <w:instrText xml:space="preserve"> TOC \h \z \c "Graph" </w:instrText>
      </w:r>
      <w:r w:rsidRPr="00CD34EE">
        <w:rPr>
          <w:rStyle w:val="Hyperlink"/>
          <w:szCs w:val="20"/>
        </w:rPr>
        <w:fldChar w:fldCharType="separate"/>
      </w:r>
      <w:hyperlink w:anchor="_Toc90727337" w:history="1">
        <w:r w:rsidR="00FB081A" w:rsidRPr="008B1D0B">
          <w:rPr>
            <w:rStyle w:val="Hyperlink"/>
            <w:noProof/>
          </w:rPr>
          <w:t>Graph 1: Greenhouse gas emissions</w:t>
        </w:r>
        <w:r w:rsidR="00FB081A">
          <w:rPr>
            <w:noProof/>
            <w:webHidden/>
          </w:rPr>
          <w:tab/>
        </w:r>
        <w:r w:rsidR="00FB081A">
          <w:rPr>
            <w:noProof/>
            <w:webHidden/>
          </w:rPr>
          <w:fldChar w:fldCharType="begin"/>
        </w:r>
        <w:r w:rsidR="00FB081A">
          <w:rPr>
            <w:noProof/>
            <w:webHidden/>
          </w:rPr>
          <w:instrText xml:space="preserve"> PAGEREF _Toc90727337 \h </w:instrText>
        </w:r>
        <w:r w:rsidR="00FB081A">
          <w:rPr>
            <w:noProof/>
            <w:webHidden/>
          </w:rPr>
        </w:r>
        <w:r w:rsidR="00FB081A">
          <w:rPr>
            <w:noProof/>
            <w:webHidden/>
          </w:rPr>
          <w:fldChar w:fldCharType="separate"/>
        </w:r>
        <w:r w:rsidR="00FB081A">
          <w:rPr>
            <w:noProof/>
            <w:webHidden/>
          </w:rPr>
          <w:t>8</w:t>
        </w:r>
        <w:r w:rsidR="00FB081A">
          <w:rPr>
            <w:noProof/>
            <w:webHidden/>
          </w:rPr>
          <w:fldChar w:fldCharType="end"/>
        </w:r>
      </w:hyperlink>
    </w:p>
    <w:p w14:paraId="6966E4EF" w14:textId="0311B419" w:rsidR="00FB081A" w:rsidRDefault="000B273D">
      <w:pPr>
        <w:pStyle w:val="TableofFigures"/>
        <w:rPr>
          <w:rFonts w:asciiTheme="minorHAnsi" w:eastAsiaTheme="minorEastAsia" w:hAnsiTheme="minorHAnsi" w:cstheme="minorBidi"/>
          <w:noProof/>
          <w:sz w:val="22"/>
          <w:lang w:val="en-US"/>
        </w:rPr>
      </w:pPr>
      <w:hyperlink w:anchor="_Toc90727338" w:history="1">
        <w:r w:rsidR="00FB081A" w:rsidRPr="008B1D0B">
          <w:rPr>
            <w:rStyle w:val="Hyperlink"/>
            <w:noProof/>
          </w:rPr>
          <w:t>Graph 2: Share of renewable energy in gross final energy consumption by sector</w:t>
        </w:r>
        <w:r w:rsidR="00FB081A">
          <w:rPr>
            <w:noProof/>
            <w:webHidden/>
          </w:rPr>
          <w:tab/>
        </w:r>
        <w:r w:rsidR="00FB081A">
          <w:rPr>
            <w:noProof/>
            <w:webHidden/>
          </w:rPr>
          <w:fldChar w:fldCharType="begin"/>
        </w:r>
        <w:r w:rsidR="00FB081A">
          <w:rPr>
            <w:noProof/>
            <w:webHidden/>
          </w:rPr>
          <w:instrText xml:space="preserve"> PAGEREF _Toc90727338 \h </w:instrText>
        </w:r>
        <w:r w:rsidR="00FB081A">
          <w:rPr>
            <w:noProof/>
            <w:webHidden/>
          </w:rPr>
        </w:r>
        <w:r w:rsidR="00FB081A">
          <w:rPr>
            <w:noProof/>
            <w:webHidden/>
          </w:rPr>
          <w:fldChar w:fldCharType="separate"/>
        </w:r>
        <w:r w:rsidR="00FB081A">
          <w:rPr>
            <w:noProof/>
            <w:webHidden/>
          </w:rPr>
          <w:t>9</w:t>
        </w:r>
        <w:r w:rsidR="00FB081A">
          <w:rPr>
            <w:noProof/>
            <w:webHidden/>
          </w:rPr>
          <w:fldChar w:fldCharType="end"/>
        </w:r>
      </w:hyperlink>
    </w:p>
    <w:p w14:paraId="2B698C27" w14:textId="449EC64A" w:rsidR="00FB081A" w:rsidRDefault="000B273D">
      <w:pPr>
        <w:pStyle w:val="TableofFigures"/>
        <w:rPr>
          <w:rFonts w:asciiTheme="minorHAnsi" w:eastAsiaTheme="minorEastAsia" w:hAnsiTheme="minorHAnsi" w:cstheme="minorBidi"/>
          <w:noProof/>
          <w:sz w:val="22"/>
          <w:lang w:val="en-US"/>
        </w:rPr>
      </w:pPr>
      <w:hyperlink w:anchor="_Toc90727339" w:history="1">
        <w:r w:rsidR="00FB081A" w:rsidRPr="008B1D0B">
          <w:rPr>
            <w:rStyle w:val="Hyperlink"/>
            <w:noProof/>
          </w:rPr>
          <w:t>Graph 3: Key targets of the Romanian NECP</w:t>
        </w:r>
        <w:r w:rsidR="00FB081A">
          <w:rPr>
            <w:noProof/>
            <w:webHidden/>
          </w:rPr>
          <w:tab/>
        </w:r>
        <w:r w:rsidR="00FB081A">
          <w:rPr>
            <w:noProof/>
            <w:webHidden/>
          </w:rPr>
          <w:fldChar w:fldCharType="begin"/>
        </w:r>
        <w:r w:rsidR="00FB081A">
          <w:rPr>
            <w:noProof/>
            <w:webHidden/>
          </w:rPr>
          <w:instrText xml:space="preserve"> PAGEREF _Toc90727339 \h </w:instrText>
        </w:r>
        <w:r w:rsidR="00FB081A">
          <w:rPr>
            <w:noProof/>
            <w:webHidden/>
          </w:rPr>
        </w:r>
        <w:r w:rsidR="00FB081A">
          <w:rPr>
            <w:noProof/>
            <w:webHidden/>
          </w:rPr>
          <w:fldChar w:fldCharType="separate"/>
        </w:r>
        <w:r w:rsidR="00FB081A">
          <w:rPr>
            <w:noProof/>
            <w:webHidden/>
          </w:rPr>
          <w:t>11</w:t>
        </w:r>
        <w:r w:rsidR="00FB081A">
          <w:rPr>
            <w:noProof/>
            <w:webHidden/>
          </w:rPr>
          <w:fldChar w:fldCharType="end"/>
        </w:r>
      </w:hyperlink>
    </w:p>
    <w:p w14:paraId="0B327A28" w14:textId="1B38B7DF" w:rsidR="00FB081A" w:rsidRDefault="000B273D">
      <w:pPr>
        <w:pStyle w:val="TableofFigures"/>
        <w:rPr>
          <w:rFonts w:asciiTheme="minorHAnsi" w:eastAsiaTheme="minorEastAsia" w:hAnsiTheme="minorHAnsi" w:cstheme="minorBidi"/>
          <w:noProof/>
          <w:sz w:val="22"/>
          <w:lang w:val="en-US"/>
        </w:rPr>
      </w:pPr>
      <w:hyperlink w:anchor="_Toc90727340" w:history="1">
        <w:r w:rsidR="00FB081A" w:rsidRPr="008B1D0B">
          <w:rPr>
            <w:rStyle w:val="Hyperlink"/>
            <w:noProof/>
          </w:rPr>
          <w:t>Graph 4: Capacity in 2030 by technology, NECP vs least-cost</w:t>
        </w:r>
        <w:r w:rsidR="00FB081A">
          <w:rPr>
            <w:noProof/>
            <w:webHidden/>
          </w:rPr>
          <w:tab/>
        </w:r>
        <w:r w:rsidR="00FB081A">
          <w:rPr>
            <w:noProof/>
            <w:webHidden/>
          </w:rPr>
          <w:fldChar w:fldCharType="begin"/>
        </w:r>
        <w:r w:rsidR="00FB081A">
          <w:rPr>
            <w:noProof/>
            <w:webHidden/>
          </w:rPr>
          <w:instrText xml:space="preserve"> PAGEREF _Toc90727340 \h </w:instrText>
        </w:r>
        <w:r w:rsidR="00FB081A">
          <w:rPr>
            <w:noProof/>
            <w:webHidden/>
          </w:rPr>
        </w:r>
        <w:r w:rsidR="00FB081A">
          <w:rPr>
            <w:noProof/>
            <w:webHidden/>
          </w:rPr>
          <w:fldChar w:fldCharType="separate"/>
        </w:r>
        <w:r w:rsidR="00FB081A">
          <w:rPr>
            <w:noProof/>
            <w:webHidden/>
          </w:rPr>
          <w:t>20</w:t>
        </w:r>
        <w:r w:rsidR="00FB081A">
          <w:rPr>
            <w:noProof/>
            <w:webHidden/>
          </w:rPr>
          <w:fldChar w:fldCharType="end"/>
        </w:r>
      </w:hyperlink>
    </w:p>
    <w:p w14:paraId="2A84F6AC" w14:textId="4A23F177" w:rsidR="00FB081A" w:rsidRDefault="000B273D">
      <w:pPr>
        <w:pStyle w:val="TableofFigures"/>
        <w:rPr>
          <w:rFonts w:asciiTheme="minorHAnsi" w:eastAsiaTheme="minorEastAsia" w:hAnsiTheme="minorHAnsi" w:cstheme="minorBidi"/>
          <w:noProof/>
          <w:sz w:val="22"/>
          <w:lang w:val="en-US"/>
        </w:rPr>
      </w:pPr>
      <w:hyperlink w:anchor="_Toc90727341" w:history="1">
        <w:r w:rsidR="00FB081A" w:rsidRPr="008B1D0B">
          <w:rPr>
            <w:rStyle w:val="Hyperlink"/>
            <w:noProof/>
          </w:rPr>
          <w:t>Graph 5: Supply curve of solar PV capacity at county level</w:t>
        </w:r>
        <w:r w:rsidR="00FB081A">
          <w:rPr>
            <w:noProof/>
            <w:webHidden/>
          </w:rPr>
          <w:tab/>
        </w:r>
        <w:r w:rsidR="00FB081A">
          <w:rPr>
            <w:noProof/>
            <w:webHidden/>
          </w:rPr>
          <w:fldChar w:fldCharType="begin"/>
        </w:r>
        <w:r w:rsidR="00FB081A">
          <w:rPr>
            <w:noProof/>
            <w:webHidden/>
          </w:rPr>
          <w:instrText xml:space="preserve"> PAGEREF _Toc90727341 \h </w:instrText>
        </w:r>
        <w:r w:rsidR="00FB081A">
          <w:rPr>
            <w:noProof/>
            <w:webHidden/>
          </w:rPr>
        </w:r>
        <w:r w:rsidR="00FB081A">
          <w:rPr>
            <w:noProof/>
            <w:webHidden/>
          </w:rPr>
          <w:fldChar w:fldCharType="separate"/>
        </w:r>
        <w:r w:rsidR="00FB081A">
          <w:rPr>
            <w:noProof/>
            <w:webHidden/>
          </w:rPr>
          <w:t>21</w:t>
        </w:r>
        <w:r w:rsidR="00FB081A">
          <w:rPr>
            <w:noProof/>
            <w:webHidden/>
          </w:rPr>
          <w:fldChar w:fldCharType="end"/>
        </w:r>
      </w:hyperlink>
    </w:p>
    <w:p w14:paraId="49F7E96B" w14:textId="267A1AA6" w:rsidR="00FB081A" w:rsidRDefault="000B273D">
      <w:pPr>
        <w:pStyle w:val="TableofFigures"/>
        <w:rPr>
          <w:rFonts w:asciiTheme="minorHAnsi" w:eastAsiaTheme="minorEastAsia" w:hAnsiTheme="minorHAnsi" w:cstheme="minorBidi"/>
          <w:noProof/>
          <w:sz w:val="22"/>
          <w:lang w:val="en-US"/>
        </w:rPr>
      </w:pPr>
      <w:hyperlink w:anchor="_Toc90727342" w:history="1">
        <w:r w:rsidR="00FB081A" w:rsidRPr="008B1D0B">
          <w:rPr>
            <w:rStyle w:val="Hyperlink"/>
            <w:noProof/>
          </w:rPr>
          <w:t>Graph 6: Historical emissions of CO</w:t>
        </w:r>
        <w:r w:rsidR="00FB081A" w:rsidRPr="008B1D0B">
          <w:rPr>
            <w:rStyle w:val="Hyperlink"/>
            <w:noProof/>
            <w:vertAlign w:val="subscript"/>
          </w:rPr>
          <w:t>2</w:t>
        </w:r>
        <w:r w:rsidR="00FB081A" w:rsidRPr="008B1D0B">
          <w:rPr>
            <w:rStyle w:val="Hyperlink"/>
            <w:noProof/>
          </w:rPr>
          <w:t xml:space="preserve"> in Romania covered by ETS</w:t>
        </w:r>
        <w:r w:rsidR="00FB081A">
          <w:rPr>
            <w:noProof/>
            <w:webHidden/>
          </w:rPr>
          <w:tab/>
        </w:r>
        <w:r w:rsidR="00FB081A">
          <w:rPr>
            <w:noProof/>
            <w:webHidden/>
          </w:rPr>
          <w:fldChar w:fldCharType="begin"/>
        </w:r>
        <w:r w:rsidR="00FB081A">
          <w:rPr>
            <w:noProof/>
            <w:webHidden/>
          </w:rPr>
          <w:instrText xml:space="preserve"> PAGEREF _Toc90727342 \h </w:instrText>
        </w:r>
        <w:r w:rsidR="00FB081A">
          <w:rPr>
            <w:noProof/>
            <w:webHidden/>
          </w:rPr>
        </w:r>
        <w:r w:rsidR="00FB081A">
          <w:rPr>
            <w:noProof/>
            <w:webHidden/>
          </w:rPr>
          <w:fldChar w:fldCharType="separate"/>
        </w:r>
        <w:r w:rsidR="00FB081A">
          <w:rPr>
            <w:noProof/>
            <w:webHidden/>
          </w:rPr>
          <w:t>23</w:t>
        </w:r>
        <w:r w:rsidR="00FB081A">
          <w:rPr>
            <w:noProof/>
            <w:webHidden/>
          </w:rPr>
          <w:fldChar w:fldCharType="end"/>
        </w:r>
      </w:hyperlink>
    </w:p>
    <w:p w14:paraId="46C28BE8" w14:textId="09E0B98B" w:rsidR="00FB081A" w:rsidRDefault="000B273D">
      <w:pPr>
        <w:pStyle w:val="TableofFigures"/>
        <w:rPr>
          <w:rFonts w:asciiTheme="minorHAnsi" w:eastAsiaTheme="minorEastAsia" w:hAnsiTheme="minorHAnsi" w:cstheme="minorBidi"/>
          <w:noProof/>
          <w:sz w:val="22"/>
          <w:lang w:val="en-US"/>
        </w:rPr>
      </w:pPr>
      <w:hyperlink w:anchor="_Toc90727343" w:history="1">
        <w:r w:rsidR="00FB081A" w:rsidRPr="008B1D0B">
          <w:rPr>
            <w:rStyle w:val="Hyperlink"/>
            <w:noProof/>
          </w:rPr>
          <w:t>Graph 7: Freely allocated vs verified emissions for Romania</w:t>
        </w:r>
        <w:r w:rsidR="00FB081A">
          <w:rPr>
            <w:noProof/>
            <w:webHidden/>
          </w:rPr>
          <w:tab/>
        </w:r>
        <w:r w:rsidR="00FB081A">
          <w:rPr>
            <w:noProof/>
            <w:webHidden/>
          </w:rPr>
          <w:fldChar w:fldCharType="begin"/>
        </w:r>
        <w:r w:rsidR="00FB081A">
          <w:rPr>
            <w:noProof/>
            <w:webHidden/>
          </w:rPr>
          <w:instrText xml:space="preserve"> PAGEREF _Toc90727343 \h </w:instrText>
        </w:r>
        <w:r w:rsidR="00FB081A">
          <w:rPr>
            <w:noProof/>
            <w:webHidden/>
          </w:rPr>
        </w:r>
        <w:r w:rsidR="00FB081A">
          <w:rPr>
            <w:noProof/>
            <w:webHidden/>
          </w:rPr>
          <w:fldChar w:fldCharType="separate"/>
        </w:r>
        <w:r w:rsidR="00FB081A">
          <w:rPr>
            <w:noProof/>
            <w:webHidden/>
          </w:rPr>
          <w:t>23</w:t>
        </w:r>
        <w:r w:rsidR="00FB081A">
          <w:rPr>
            <w:noProof/>
            <w:webHidden/>
          </w:rPr>
          <w:fldChar w:fldCharType="end"/>
        </w:r>
      </w:hyperlink>
    </w:p>
    <w:p w14:paraId="307E1B8C" w14:textId="652EF655" w:rsidR="00FB081A" w:rsidRDefault="000B273D">
      <w:pPr>
        <w:pStyle w:val="TableofFigures"/>
        <w:rPr>
          <w:rFonts w:asciiTheme="minorHAnsi" w:eastAsiaTheme="minorEastAsia" w:hAnsiTheme="minorHAnsi" w:cstheme="minorBidi"/>
          <w:noProof/>
          <w:sz w:val="22"/>
          <w:lang w:val="en-US"/>
        </w:rPr>
      </w:pPr>
      <w:hyperlink w:anchor="_Toc90727344" w:history="1">
        <w:r w:rsidR="00FB081A" w:rsidRPr="008B1D0B">
          <w:rPr>
            <w:rStyle w:val="Hyperlink"/>
            <w:noProof/>
          </w:rPr>
          <w:t>Graph 8: Emissions by sector</w:t>
        </w:r>
        <w:r w:rsidR="00FB081A">
          <w:rPr>
            <w:noProof/>
            <w:webHidden/>
          </w:rPr>
          <w:tab/>
        </w:r>
        <w:r w:rsidR="00FB081A">
          <w:rPr>
            <w:noProof/>
            <w:webHidden/>
          </w:rPr>
          <w:fldChar w:fldCharType="begin"/>
        </w:r>
        <w:r w:rsidR="00FB081A">
          <w:rPr>
            <w:noProof/>
            <w:webHidden/>
          </w:rPr>
          <w:instrText xml:space="preserve"> PAGEREF _Toc90727344 \h </w:instrText>
        </w:r>
        <w:r w:rsidR="00FB081A">
          <w:rPr>
            <w:noProof/>
            <w:webHidden/>
          </w:rPr>
        </w:r>
        <w:r w:rsidR="00FB081A">
          <w:rPr>
            <w:noProof/>
            <w:webHidden/>
          </w:rPr>
          <w:fldChar w:fldCharType="separate"/>
        </w:r>
        <w:r w:rsidR="00FB081A">
          <w:rPr>
            <w:noProof/>
            <w:webHidden/>
          </w:rPr>
          <w:t>24</w:t>
        </w:r>
        <w:r w:rsidR="00FB081A">
          <w:rPr>
            <w:noProof/>
            <w:webHidden/>
          </w:rPr>
          <w:fldChar w:fldCharType="end"/>
        </w:r>
      </w:hyperlink>
    </w:p>
    <w:p w14:paraId="70F3A2A6" w14:textId="513D4192" w:rsidR="00FB081A" w:rsidRDefault="000B273D">
      <w:pPr>
        <w:pStyle w:val="TableofFigures"/>
        <w:rPr>
          <w:rFonts w:asciiTheme="minorHAnsi" w:eastAsiaTheme="minorEastAsia" w:hAnsiTheme="minorHAnsi" w:cstheme="minorBidi"/>
          <w:noProof/>
          <w:sz w:val="22"/>
          <w:lang w:val="en-US"/>
        </w:rPr>
      </w:pPr>
      <w:hyperlink w:anchor="_Toc90727345" w:history="1">
        <w:r w:rsidR="00FB081A" w:rsidRPr="008B1D0B">
          <w:rPr>
            <w:rStyle w:val="Hyperlink"/>
            <w:noProof/>
          </w:rPr>
          <w:t>Graph 9: Verified emissions vs free allocation of emissions for Romanian installations</w:t>
        </w:r>
        <w:r w:rsidR="00FB081A">
          <w:rPr>
            <w:noProof/>
            <w:webHidden/>
          </w:rPr>
          <w:tab/>
        </w:r>
        <w:r w:rsidR="00FB081A">
          <w:rPr>
            <w:noProof/>
            <w:webHidden/>
          </w:rPr>
          <w:fldChar w:fldCharType="begin"/>
        </w:r>
        <w:r w:rsidR="00FB081A">
          <w:rPr>
            <w:noProof/>
            <w:webHidden/>
          </w:rPr>
          <w:instrText xml:space="preserve"> PAGEREF _Toc90727345 \h </w:instrText>
        </w:r>
        <w:r w:rsidR="00FB081A">
          <w:rPr>
            <w:noProof/>
            <w:webHidden/>
          </w:rPr>
        </w:r>
        <w:r w:rsidR="00FB081A">
          <w:rPr>
            <w:noProof/>
            <w:webHidden/>
          </w:rPr>
          <w:fldChar w:fldCharType="separate"/>
        </w:r>
        <w:r w:rsidR="00FB081A">
          <w:rPr>
            <w:noProof/>
            <w:webHidden/>
          </w:rPr>
          <w:t>25</w:t>
        </w:r>
        <w:r w:rsidR="00FB081A">
          <w:rPr>
            <w:noProof/>
            <w:webHidden/>
          </w:rPr>
          <w:fldChar w:fldCharType="end"/>
        </w:r>
      </w:hyperlink>
    </w:p>
    <w:p w14:paraId="4DB39D82" w14:textId="698BA01C" w:rsidR="00FB081A" w:rsidRDefault="000B273D">
      <w:pPr>
        <w:pStyle w:val="TableofFigures"/>
        <w:rPr>
          <w:rFonts w:asciiTheme="minorHAnsi" w:eastAsiaTheme="minorEastAsia" w:hAnsiTheme="minorHAnsi" w:cstheme="minorBidi"/>
          <w:noProof/>
          <w:sz w:val="22"/>
          <w:lang w:val="en-US"/>
        </w:rPr>
      </w:pPr>
      <w:hyperlink w:anchor="_Toc90727346" w:history="1">
        <w:r w:rsidR="00FB081A" w:rsidRPr="008B1D0B">
          <w:rPr>
            <w:rStyle w:val="Hyperlink"/>
            <w:noProof/>
          </w:rPr>
          <w:t>Graph 10: European Union carbon emission allowance price</w:t>
        </w:r>
        <w:r w:rsidR="00FB081A">
          <w:rPr>
            <w:noProof/>
            <w:webHidden/>
          </w:rPr>
          <w:tab/>
        </w:r>
        <w:r w:rsidR="00FB081A">
          <w:rPr>
            <w:noProof/>
            <w:webHidden/>
          </w:rPr>
          <w:fldChar w:fldCharType="begin"/>
        </w:r>
        <w:r w:rsidR="00FB081A">
          <w:rPr>
            <w:noProof/>
            <w:webHidden/>
          </w:rPr>
          <w:instrText xml:space="preserve"> PAGEREF _Toc90727346 \h </w:instrText>
        </w:r>
        <w:r w:rsidR="00FB081A">
          <w:rPr>
            <w:noProof/>
            <w:webHidden/>
          </w:rPr>
        </w:r>
        <w:r w:rsidR="00FB081A">
          <w:rPr>
            <w:noProof/>
            <w:webHidden/>
          </w:rPr>
          <w:fldChar w:fldCharType="separate"/>
        </w:r>
        <w:r w:rsidR="00FB081A">
          <w:rPr>
            <w:noProof/>
            <w:webHidden/>
          </w:rPr>
          <w:t>25</w:t>
        </w:r>
        <w:r w:rsidR="00FB081A">
          <w:rPr>
            <w:noProof/>
            <w:webHidden/>
          </w:rPr>
          <w:fldChar w:fldCharType="end"/>
        </w:r>
      </w:hyperlink>
    </w:p>
    <w:p w14:paraId="7EAE70F2" w14:textId="163EFC91" w:rsidR="00FB081A" w:rsidRDefault="000B273D">
      <w:pPr>
        <w:pStyle w:val="TableofFigures"/>
        <w:rPr>
          <w:rFonts w:asciiTheme="minorHAnsi" w:eastAsiaTheme="minorEastAsia" w:hAnsiTheme="minorHAnsi" w:cstheme="minorBidi"/>
          <w:noProof/>
          <w:sz w:val="22"/>
          <w:lang w:val="en-US"/>
        </w:rPr>
      </w:pPr>
      <w:hyperlink w:anchor="_Toc90727347" w:history="1">
        <w:r w:rsidR="00FB081A" w:rsidRPr="008B1D0B">
          <w:rPr>
            <w:rStyle w:val="Hyperlink"/>
            <w:noProof/>
          </w:rPr>
          <w:t>Graph 11: Historical European Union Carbon Emission Allowance price and Bloomberg NEF price forecast</w:t>
        </w:r>
        <w:r w:rsidR="00FB081A">
          <w:rPr>
            <w:noProof/>
            <w:webHidden/>
          </w:rPr>
          <w:tab/>
        </w:r>
        <w:r w:rsidR="00FB081A">
          <w:rPr>
            <w:noProof/>
            <w:webHidden/>
          </w:rPr>
          <w:fldChar w:fldCharType="begin"/>
        </w:r>
        <w:r w:rsidR="00FB081A">
          <w:rPr>
            <w:noProof/>
            <w:webHidden/>
          </w:rPr>
          <w:instrText xml:space="preserve"> PAGEREF _Toc90727347 \h </w:instrText>
        </w:r>
        <w:r w:rsidR="00FB081A">
          <w:rPr>
            <w:noProof/>
            <w:webHidden/>
          </w:rPr>
        </w:r>
        <w:r w:rsidR="00FB081A">
          <w:rPr>
            <w:noProof/>
            <w:webHidden/>
          </w:rPr>
          <w:fldChar w:fldCharType="separate"/>
        </w:r>
        <w:r w:rsidR="00FB081A">
          <w:rPr>
            <w:noProof/>
            <w:webHidden/>
          </w:rPr>
          <w:t>26</w:t>
        </w:r>
        <w:r w:rsidR="00FB081A">
          <w:rPr>
            <w:noProof/>
            <w:webHidden/>
          </w:rPr>
          <w:fldChar w:fldCharType="end"/>
        </w:r>
      </w:hyperlink>
    </w:p>
    <w:p w14:paraId="052FE343" w14:textId="66D96777" w:rsidR="00FB081A" w:rsidRDefault="000B273D">
      <w:pPr>
        <w:pStyle w:val="TableofFigures"/>
        <w:rPr>
          <w:rFonts w:asciiTheme="minorHAnsi" w:eastAsiaTheme="minorEastAsia" w:hAnsiTheme="minorHAnsi" w:cstheme="minorBidi"/>
          <w:noProof/>
          <w:sz w:val="22"/>
          <w:lang w:val="en-US"/>
        </w:rPr>
      </w:pPr>
      <w:hyperlink w:anchor="_Toc90727348" w:history="1">
        <w:r w:rsidR="00FB081A" w:rsidRPr="008B1D0B">
          <w:rPr>
            <w:rStyle w:val="Hyperlink"/>
            <w:noProof/>
          </w:rPr>
          <w:t>Graph 12: EU ETS free allowance benchmarks for 2021 – 2025</w:t>
        </w:r>
        <w:r w:rsidR="00FB081A">
          <w:rPr>
            <w:noProof/>
            <w:webHidden/>
          </w:rPr>
          <w:tab/>
        </w:r>
        <w:r w:rsidR="00FB081A">
          <w:rPr>
            <w:noProof/>
            <w:webHidden/>
          </w:rPr>
          <w:fldChar w:fldCharType="begin"/>
        </w:r>
        <w:r w:rsidR="00FB081A">
          <w:rPr>
            <w:noProof/>
            <w:webHidden/>
          </w:rPr>
          <w:instrText xml:space="preserve"> PAGEREF _Toc90727348 \h </w:instrText>
        </w:r>
        <w:r w:rsidR="00FB081A">
          <w:rPr>
            <w:noProof/>
            <w:webHidden/>
          </w:rPr>
        </w:r>
        <w:r w:rsidR="00FB081A">
          <w:rPr>
            <w:noProof/>
            <w:webHidden/>
          </w:rPr>
          <w:fldChar w:fldCharType="separate"/>
        </w:r>
        <w:r w:rsidR="00FB081A">
          <w:rPr>
            <w:noProof/>
            <w:webHidden/>
          </w:rPr>
          <w:t>28</w:t>
        </w:r>
        <w:r w:rsidR="00FB081A">
          <w:rPr>
            <w:noProof/>
            <w:webHidden/>
          </w:rPr>
          <w:fldChar w:fldCharType="end"/>
        </w:r>
      </w:hyperlink>
    </w:p>
    <w:p w14:paraId="192E31D2" w14:textId="0AFA84E0" w:rsidR="00FB081A" w:rsidRDefault="000B273D">
      <w:pPr>
        <w:pStyle w:val="TableofFigures"/>
        <w:rPr>
          <w:rFonts w:asciiTheme="minorHAnsi" w:eastAsiaTheme="minorEastAsia" w:hAnsiTheme="minorHAnsi" w:cstheme="minorBidi"/>
          <w:noProof/>
          <w:sz w:val="22"/>
          <w:lang w:val="en-US"/>
        </w:rPr>
      </w:pPr>
      <w:hyperlink w:anchor="_Toc90727349" w:history="1">
        <w:r w:rsidR="00FB081A" w:rsidRPr="008B1D0B">
          <w:rPr>
            <w:rStyle w:val="Hyperlink"/>
            <w:noProof/>
          </w:rPr>
          <w:t>Graph 13: Average benchmarks for most emitting sectors in 2019</w:t>
        </w:r>
        <w:r w:rsidR="00FB081A">
          <w:rPr>
            <w:noProof/>
            <w:webHidden/>
          </w:rPr>
          <w:tab/>
        </w:r>
        <w:r w:rsidR="00FB081A">
          <w:rPr>
            <w:noProof/>
            <w:webHidden/>
          </w:rPr>
          <w:fldChar w:fldCharType="begin"/>
        </w:r>
        <w:r w:rsidR="00FB081A">
          <w:rPr>
            <w:noProof/>
            <w:webHidden/>
          </w:rPr>
          <w:instrText xml:space="preserve"> PAGEREF _Toc90727349 \h </w:instrText>
        </w:r>
        <w:r w:rsidR="00FB081A">
          <w:rPr>
            <w:noProof/>
            <w:webHidden/>
          </w:rPr>
        </w:r>
        <w:r w:rsidR="00FB081A">
          <w:rPr>
            <w:noProof/>
            <w:webHidden/>
          </w:rPr>
          <w:fldChar w:fldCharType="separate"/>
        </w:r>
        <w:r w:rsidR="00FB081A">
          <w:rPr>
            <w:noProof/>
            <w:webHidden/>
          </w:rPr>
          <w:t>29</w:t>
        </w:r>
        <w:r w:rsidR="00FB081A">
          <w:rPr>
            <w:noProof/>
            <w:webHidden/>
          </w:rPr>
          <w:fldChar w:fldCharType="end"/>
        </w:r>
      </w:hyperlink>
    </w:p>
    <w:p w14:paraId="1C3A0CC6" w14:textId="6E404E44" w:rsidR="00FB081A" w:rsidRDefault="000B273D">
      <w:pPr>
        <w:pStyle w:val="TableofFigures"/>
        <w:rPr>
          <w:rFonts w:asciiTheme="minorHAnsi" w:eastAsiaTheme="minorEastAsia" w:hAnsiTheme="minorHAnsi" w:cstheme="minorBidi"/>
          <w:noProof/>
          <w:sz w:val="22"/>
          <w:lang w:val="en-US"/>
        </w:rPr>
      </w:pPr>
      <w:hyperlink w:anchor="_Toc90727350" w:history="1">
        <w:r w:rsidR="00FB081A" w:rsidRPr="008B1D0B">
          <w:rPr>
            <w:rStyle w:val="Hyperlink"/>
            <w:noProof/>
          </w:rPr>
          <w:t>Graph 17: Unemployment rate by county</w:t>
        </w:r>
        <w:r w:rsidR="00FB081A">
          <w:rPr>
            <w:noProof/>
            <w:webHidden/>
          </w:rPr>
          <w:tab/>
        </w:r>
        <w:r w:rsidR="00FB081A">
          <w:rPr>
            <w:noProof/>
            <w:webHidden/>
          </w:rPr>
          <w:fldChar w:fldCharType="begin"/>
        </w:r>
        <w:r w:rsidR="00FB081A">
          <w:rPr>
            <w:noProof/>
            <w:webHidden/>
          </w:rPr>
          <w:instrText xml:space="preserve"> PAGEREF _Toc90727350 \h </w:instrText>
        </w:r>
        <w:r w:rsidR="00FB081A">
          <w:rPr>
            <w:noProof/>
            <w:webHidden/>
          </w:rPr>
        </w:r>
        <w:r w:rsidR="00FB081A">
          <w:rPr>
            <w:noProof/>
            <w:webHidden/>
          </w:rPr>
          <w:fldChar w:fldCharType="separate"/>
        </w:r>
        <w:r w:rsidR="00FB081A">
          <w:rPr>
            <w:noProof/>
            <w:webHidden/>
          </w:rPr>
          <w:t>31</w:t>
        </w:r>
        <w:r w:rsidR="00FB081A">
          <w:rPr>
            <w:noProof/>
            <w:webHidden/>
          </w:rPr>
          <w:fldChar w:fldCharType="end"/>
        </w:r>
      </w:hyperlink>
    </w:p>
    <w:p w14:paraId="7A08C657" w14:textId="5FD44B8E" w:rsidR="00FB081A" w:rsidRDefault="000B273D">
      <w:pPr>
        <w:pStyle w:val="TableofFigures"/>
        <w:rPr>
          <w:rFonts w:asciiTheme="minorHAnsi" w:eastAsiaTheme="minorEastAsia" w:hAnsiTheme="minorHAnsi" w:cstheme="minorBidi"/>
          <w:noProof/>
          <w:sz w:val="22"/>
          <w:lang w:val="en-US"/>
        </w:rPr>
      </w:pPr>
      <w:hyperlink w:anchor="_Toc90727351" w:history="1">
        <w:r w:rsidR="00FB081A" w:rsidRPr="008B1D0B">
          <w:rPr>
            <w:rStyle w:val="Hyperlink"/>
            <w:noProof/>
          </w:rPr>
          <w:t>Graph 15: Share of urban and rural population in the six affected regions</w:t>
        </w:r>
        <w:r w:rsidR="00FB081A">
          <w:rPr>
            <w:noProof/>
            <w:webHidden/>
          </w:rPr>
          <w:tab/>
        </w:r>
        <w:r w:rsidR="00FB081A">
          <w:rPr>
            <w:noProof/>
            <w:webHidden/>
          </w:rPr>
          <w:fldChar w:fldCharType="begin"/>
        </w:r>
        <w:r w:rsidR="00FB081A">
          <w:rPr>
            <w:noProof/>
            <w:webHidden/>
          </w:rPr>
          <w:instrText xml:space="preserve"> PAGEREF _Toc90727351 \h </w:instrText>
        </w:r>
        <w:r w:rsidR="00FB081A">
          <w:rPr>
            <w:noProof/>
            <w:webHidden/>
          </w:rPr>
        </w:r>
        <w:r w:rsidR="00FB081A">
          <w:rPr>
            <w:noProof/>
            <w:webHidden/>
          </w:rPr>
          <w:fldChar w:fldCharType="separate"/>
        </w:r>
        <w:r w:rsidR="00FB081A">
          <w:rPr>
            <w:noProof/>
            <w:webHidden/>
          </w:rPr>
          <w:t>35</w:t>
        </w:r>
        <w:r w:rsidR="00FB081A">
          <w:rPr>
            <w:noProof/>
            <w:webHidden/>
          </w:rPr>
          <w:fldChar w:fldCharType="end"/>
        </w:r>
      </w:hyperlink>
    </w:p>
    <w:p w14:paraId="3DAE0392" w14:textId="022A1D3C" w:rsidR="00FB081A" w:rsidRDefault="000B273D">
      <w:pPr>
        <w:pStyle w:val="TableofFigures"/>
        <w:rPr>
          <w:rFonts w:asciiTheme="minorHAnsi" w:eastAsiaTheme="minorEastAsia" w:hAnsiTheme="minorHAnsi" w:cstheme="minorBidi"/>
          <w:noProof/>
          <w:sz w:val="22"/>
          <w:lang w:val="en-US"/>
        </w:rPr>
      </w:pPr>
      <w:hyperlink w:anchor="_Toc90727352" w:history="1">
        <w:r w:rsidR="00FB081A" w:rsidRPr="008B1D0B">
          <w:rPr>
            <w:rStyle w:val="Hyperlink"/>
            <w:noProof/>
          </w:rPr>
          <w:t>Graph 15: Share of population without gas</w:t>
        </w:r>
        <w:r w:rsidR="00FB081A">
          <w:rPr>
            <w:noProof/>
            <w:webHidden/>
          </w:rPr>
          <w:tab/>
        </w:r>
        <w:r w:rsidR="00FB081A">
          <w:rPr>
            <w:noProof/>
            <w:webHidden/>
          </w:rPr>
          <w:fldChar w:fldCharType="begin"/>
        </w:r>
        <w:r w:rsidR="00FB081A">
          <w:rPr>
            <w:noProof/>
            <w:webHidden/>
          </w:rPr>
          <w:instrText xml:space="preserve"> PAGEREF _Toc90727352 \h </w:instrText>
        </w:r>
        <w:r w:rsidR="00FB081A">
          <w:rPr>
            <w:noProof/>
            <w:webHidden/>
          </w:rPr>
        </w:r>
        <w:r w:rsidR="00FB081A">
          <w:rPr>
            <w:noProof/>
            <w:webHidden/>
          </w:rPr>
          <w:fldChar w:fldCharType="separate"/>
        </w:r>
        <w:r w:rsidR="00FB081A">
          <w:rPr>
            <w:noProof/>
            <w:webHidden/>
          </w:rPr>
          <w:t>36</w:t>
        </w:r>
        <w:r w:rsidR="00FB081A">
          <w:rPr>
            <w:noProof/>
            <w:webHidden/>
          </w:rPr>
          <w:fldChar w:fldCharType="end"/>
        </w:r>
      </w:hyperlink>
    </w:p>
    <w:p w14:paraId="57CBDD91" w14:textId="74703564" w:rsidR="00FB081A" w:rsidRDefault="000B273D">
      <w:pPr>
        <w:pStyle w:val="TableofFigures"/>
        <w:rPr>
          <w:rFonts w:asciiTheme="minorHAnsi" w:eastAsiaTheme="minorEastAsia" w:hAnsiTheme="minorHAnsi" w:cstheme="minorBidi"/>
          <w:noProof/>
          <w:sz w:val="22"/>
          <w:lang w:val="en-US"/>
        </w:rPr>
      </w:pPr>
      <w:hyperlink w:anchor="_Toc90727353" w:history="1">
        <w:r w:rsidR="00FB081A" w:rsidRPr="008B1D0B">
          <w:rPr>
            <w:rStyle w:val="Hyperlink"/>
            <w:noProof/>
          </w:rPr>
          <w:t>Graph 16: Share of urban and rural population without gas in the six affected regions</w:t>
        </w:r>
        <w:r w:rsidR="00FB081A">
          <w:rPr>
            <w:noProof/>
            <w:webHidden/>
          </w:rPr>
          <w:tab/>
        </w:r>
        <w:r w:rsidR="00FB081A">
          <w:rPr>
            <w:noProof/>
            <w:webHidden/>
          </w:rPr>
          <w:fldChar w:fldCharType="begin"/>
        </w:r>
        <w:r w:rsidR="00FB081A">
          <w:rPr>
            <w:noProof/>
            <w:webHidden/>
          </w:rPr>
          <w:instrText xml:space="preserve"> PAGEREF _Toc90727353 \h </w:instrText>
        </w:r>
        <w:r w:rsidR="00FB081A">
          <w:rPr>
            <w:noProof/>
            <w:webHidden/>
          </w:rPr>
        </w:r>
        <w:r w:rsidR="00FB081A">
          <w:rPr>
            <w:noProof/>
            <w:webHidden/>
          </w:rPr>
          <w:fldChar w:fldCharType="separate"/>
        </w:r>
        <w:r w:rsidR="00FB081A">
          <w:rPr>
            <w:noProof/>
            <w:webHidden/>
          </w:rPr>
          <w:t>36</w:t>
        </w:r>
        <w:r w:rsidR="00FB081A">
          <w:rPr>
            <w:noProof/>
            <w:webHidden/>
          </w:rPr>
          <w:fldChar w:fldCharType="end"/>
        </w:r>
      </w:hyperlink>
    </w:p>
    <w:p w14:paraId="42FFE23C" w14:textId="6661B2EB" w:rsidR="00FB081A" w:rsidRDefault="000B273D">
      <w:pPr>
        <w:pStyle w:val="TableofFigures"/>
        <w:rPr>
          <w:rFonts w:asciiTheme="minorHAnsi" w:eastAsiaTheme="minorEastAsia" w:hAnsiTheme="minorHAnsi" w:cstheme="minorBidi"/>
          <w:noProof/>
          <w:sz w:val="22"/>
          <w:lang w:val="en-US"/>
        </w:rPr>
      </w:pPr>
      <w:hyperlink w:anchor="_Toc90727354" w:history="1">
        <w:r w:rsidR="00FB081A" w:rsidRPr="008B1D0B">
          <w:rPr>
            <w:rStyle w:val="Hyperlink"/>
            <w:noProof/>
          </w:rPr>
          <w:t>Graph 18: Share of households in private properties in urban areas</w:t>
        </w:r>
        <w:r w:rsidR="00FB081A">
          <w:rPr>
            <w:noProof/>
            <w:webHidden/>
          </w:rPr>
          <w:tab/>
        </w:r>
        <w:r w:rsidR="00FB081A">
          <w:rPr>
            <w:noProof/>
            <w:webHidden/>
          </w:rPr>
          <w:fldChar w:fldCharType="begin"/>
        </w:r>
        <w:r w:rsidR="00FB081A">
          <w:rPr>
            <w:noProof/>
            <w:webHidden/>
          </w:rPr>
          <w:instrText xml:space="preserve"> PAGEREF _Toc90727354 \h </w:instrText>
        </w:r>
        <w:r w:rsidR="00FB081A">
          <w:rPr>
            <w:noProof/>
            <w:webHidden/>
          </w:rPr>
        </w:r>
        <w:r w:rsidR="00FB081A">
          <w:rPr>
            <w:noProof/>
            <w:webHidden/>
          </w:rPr>
          <w:fldChar w:fldCharType="separate"/>
        </w:r>
        <w:r w:rsidR="00FB081A">
          <w:rPr>
            <w:noProof/>
            <w:webHidden/>
          </w:rPr>
          <w:t>40</w:t>
        </w:r>
        <w:r w:rsidR="00FB081A">
          <w:rPr>
            <w:noProof/>
            <w:webHidden/>
          </w:rPr>
          <w:fldChar w:fldCharType="end"/>
        </w:r>
      </w:hyperlink>
    </w:p>
    <w:p w14:paraId="6D96FA7A" w14:textId="632DA043" w:rsidR="00FB081A" w:rsidRDefault="000B273D">
      <w:pPr>
        <w:pStyle w:val="TableofFigures"/>
        <w:rPr>
          <w:rFonts w:asciiTheme="minorHAnsi" w:eastAsiaTheme="minorEastAsia" w:hAnsiTheme="minorHAnsi" w:cstheme="minorBidi"/>
          <w:noProof/>
          <w:sz w:val="22"/>
          <w:lang w:val="en-US"/>
        </w:rPr>
      </w:pPr>
      <w:hyperlink w:anchor="_Toc90727355" w:history="1">
        <w:r w:rsidR="00FB081A" w:rsidRPr="008B1D0B">
          <w:rPr>
            <w:rStyle w:val="Hyperlink"/>
            <w:noProof/>
          </w:rPr>
          <w:t>Graph 19: Housing in state property in urban and rural areas by county at the end of in 2019</w:t>
        </w:r>
        <w:r w:rsidR="00FB081A">
          <w:rPr>
            <w:noProof/>
            <w:webHidden/>
          </w:rPr>
          <w:tab/>
        </w:r>
        <w:r w:rsidR="00FB081A">
          <w:rPr>
            <w:noProof/>
            <w:webHidden/>
          </w:rPr>
          <w:fldChar w:fldCharType="begin"/>
        </w:r>
        <w:r w:rsidR="00FB081A">
          <w:rPr>
            <w:noProof/>
            <w:webHidden/>
          </w:rPr>
          <w:instrText xml:space="preserve"> PAGEREF _Toc90727355 \h </w:instrText>
        </w:r>
        <w:r w:rsidR="00FB081A">
          <w:rPr>
            <w:noProof/>
            <w:webHidden/>
          </w:rPr>
        </w:r>
        <w:r w:rsidR="00FB081A">
          <w:rPr>
            <w:noProof/>
            <w:webHidden/>
          </w:rPr>
          <w:fldChar w:fldCharType="separate"/>
        </w:r>
        <w:r w:rsidR="00FB081A">
          <w:rPr>
            <w:noProof/>
            <w:webHidden/>
          </w:rPr>
          <w:t>41</w:t>
        </w:r>
        <w:r w:rsidR="00FB081A">
          <w:rPr>
            <w:noProof/>
            <w:webHidden/>
          </w:rPr>
          <w:fldChar w:fldCharType="end"/>
        </w:r>
      </w:hyperlink>
    </w:p>
    <w:p w14:paraId="5413FCA0" w14:textId="04184435" w:rsidR="00FB081A" w:rsidRDefault="000B273D">
      <w:pPr>
        <w:pStyle w:val="TableofFigures"/>
        <w:rPr>
          <w:rFonts w:asciiTheme="minorHAnsi" w:eastAsiaTheme="minorEastAsia" w:hAnsiTheme="minorHAnsi" w:cstheme="minorBidi"/>
          <w:noProof/>
          <w:sz w:val="22"/>
          <w:lang w:val="en-US"/>
        </w:rPr>
      </w:pPr>
      <w:hyperlink w:anchor="_Toc90727356" w:history="1">
        <w:r w:rsidR="00FB081A" w:rsidRPr="008B1D0B">
          <w:rPr>
            <w:rStyle w:val="Hyperlink"/>
            <w:noProof/>
          </w:rPr>
          <w:t>Graph 20: Unemployment evolution, 2010-2020, Hunedoara County</w:t>
        </w:r>
        <w:r w:rsidR="00FB081A">
          <w:rPr>
            <w:noProof/>
            <w:webHidden/>
          </w:rPr>
          <w:tab/>
        </w:r>
        <w:r w:rsidR="00FB081A">
          <w:rPr>
            <w:noProof/>
            <w:webHidden/>
          </w:rPr>
          <w:fldChar w:fldCharType="begin"/>
        </w:r>
        <w:r w:rsidR="00FB081A">
          <w:rPr>
            <w:noProof/>
            <w:webHidden/>
          </w:rPr>
          <w:instrText xml:space="preserve"> PAGEREF _Toc90727356 \h </w:instrText>
        </w:r>
        <w:r w:rsidR="00FB081A">
          <w:rPr>
            <w:noProof/>
            <w:webHidden/>
          </w:rPr>
        </w:r>
        <w:r w:rsidR="00FB081A">
          <w:rPr>
            <w:noProof/>
            <w:webHidden/>
          </w:rPr>
          <w:fldChar w:fldCharType="separate"/>
        </w:r>
        <w:r w:rsidR="00FB081A">
          <w:rPr>
            <w:noProof/>
            <w:webHidden/>
          </w:rPr>
          <w:t>60</w:t>
        </w:r>
        <w:r w:rsidR="00FB081A">
          <w:rPr>
            <w:noProof/>
            <w:webHidden/>
          </w:rPr>
          <w:fldChar w:fldCharType="end"/>
        </w:r>
      </w:hyperlink>
    </w:p>
    <w:p w14:paraId="1DCF6BF4" w14:textId="70F1E4AD" w:rsidR="00FB081A" w:rsidRDefault="000B273D">
      <w:pPr>
        <w:pStyle w:val="TableofFigures"/>
        <w:rPr>
          <w:rFonts w:asciiTheme="minorHAnsi" w:eastAsiaTheme="minorEastAsia" w:hAnsiTheme="minorHAnsi" w:cstheme="minorBidi"/>
          <w:noProof/>
          <w:sz w:val="22"/>
          <w:lang w:val="en-US"/>
        </w:rPr>
      </w:pPr>
      <w:hyperlink w:anchor="_Toc90727357" w:history="1">
        <w:r w:rsidR="00FB081A" w:rsidRPr="008B1D0B">
          <w:rPr>
            <w:rStyle w:val="Hyperlink"/>
            <w:noProof/>
          </w:rPr>
          <w:t>Graph 21: Representativeness of the target age groups of the social, health and education infrastructure (young and old) in Hunedoara County compared to the national level, 2020</w:t>
        </w:r>
        <w:r w:rsidR="00FB081A">
          <w:rPr>
            <w:noProof/>
            <w:webHidden/>
          </w:rPr>
          <w:tab/>
        </w:r>
        <w:r w:rsidR="00FB081A">
          <w:rPr>
            <w:noProof/>
            <w:webHidden/>
          </w:rPr>
          <w:fldChar w:fldCharType="begin"/>
        </w:r>
        <w:r w:rsidR="00FB081A">
          <w:rPr>
            <w:noProof/>
            <w:webHidden/>
          </w:rPr>
          <w:instrText xml:space="preserve"> PAGEREF _Toc90727357 \h </w:instrText>
        </w:r>
        <w:r w:rsidR="00FB081A">
          <w:rPr>
            <w:noProof/>
            <w:webHidden/>
          </w:rPr>
        </w:r>
        <w:r w:rsidR="00FB081A">
          <w:rPr>
            <w:noProof/>
            <w:webHidden/>
          </w:rPr>
          <w:fldChar w:fldCharType="separate"/>
        </w:r>
        <w:r w:rsidR="00FB081A">
          <w:rPr>
            <w:noProof/>
            <w:webHidden/>
          </w:rPr>
          <w:t>62</w:t>
        </w:r>
        <w:r w:rsidR="00FB081A">
          <w:rPr>
            <w:noProof/>
            <w:webHidden/>
          </w:rPr>
          <w:fldChar w:fldCharType="end"/>
        </w:r>
      </w:hyperlink>
    </w:p>
    <w:p w14:paraId="396D43B6" w14:textId="510F6056" w:rsidR="00FB081A" w:rsidRDefault="000B273D">
      <w:pPr>
        <w:pStyle w:val="TableofFigures"/>
        <w:rPr>
          <w:rFonts w:asciiTheme="minorHAnsi" w:eastAsiaTheme="minorEastAsia" w:hAnsiTheme="minorHAnsi" w:cstheme="minorBidi"/>
          <w:noProof/>
          <w:sz w:val="22"/>
          <w:lang w:val="en-US"/>
        </w:rPr>
      </w:pPr>
      <w:hyperlink w:anchor="_Toc90727358" w:history="1">
        <w:r w:rsidR="00FB081A" w:rsidRPr="008B1D0B">
          <w:rPr>
            <w:rStyle w:val="Hyperlink"/>
            <w:noProof/>
          </w:rPr>
          <w:t>Graph 22: Changes in employment from 2018 in baseline projections in Hunedoara;  left panel - changes by sector; right panel – changes by occupation; excluding Agriculture</w:t>
        </w:r>
        <w:r w:rsidR="00FB081A">
          <w:rPr>
            <w:noProof/>
            <w:webHidden/>
          </w:rPr>
          <w:tab/>
        </w:r>
        <w:r w:rsidR="00FB081A">
          <w:rPr>
            <w:noProof/>
            <w:webHidden/>
          </w:rPr>
          <w:fldChar w:fldCharType="begin"/>
        </w:r>
        <w:r w:rsidR="00FB081A">
          <w:rPr>
            <w:noProof/>
            <w:webHidden/>
          </w:rPr>
          <w:instrText xml:space="preserve"> PAGEREF _Toc90727358 \h </w:instrText>
        </w:r>
        <w:r w:rsidR="00FB081A">
          <w:rPr>
            <w:noProof/>
            <w:webHidden/>
          </w:rPr>
        </w:r>
        <w:r w:rsidR="00FB081A">
          <w:rPr>
            <w:noProof/>
            <w:webHidden/>
          </w:rPr>
          <w:fldChar w:fldCharType="separate"/>
        </w:r>
        <w:r w:rsidR="00FB081A">
          <w:rPr>
            <w:noProof/>
            <w:webHidden/>
          </w:rPr>
          <w:t>73</w:t>
        </w:r>
        <w:r w:rsidR="00FB081A">
          <w:rPr>
            <w:noProof/>
            <w:webHidden/>
          </w:rPr>
          <w:fldChar w:fldCharType="end"/>
        </w:r>
      </w:hyperlink>
    </w:p>
    <w:p w14:paraId="2FCB6F51" w14:textId="014A7D3C" w:rsidR="00FB081A" w:rsidRDefault="000B273D">
      <w:pPr>
        <w:pStyle w:val="TableofFigures"/>
        <w:rPr>
          <w:rFonts w:asciiTheme="minorHAnsi" w:eastAsiaTheme="minorEastAsia" w:hAnsiTheme="minorHAnsi" w:cstheme="minorBidi"/>
          <w:noProof/>
          <w:sz w:val="22"/>
          <w:lang w:val="en-US"/>
        </w:rPr>
      </w:pPr>
      <w:hyperlink w:anchor="_Toc90727359" w:history="1">
        <w:r w:rsidR="00FB081A" w:rsidRPr="008B1D0B">
          <w:rPr>
            <w:rStyle w:val="Hyperlink"/>
            <w:noProof/>
          </w:rPr>
          <w:t>Graph 23: Changes in employment from 2018 in baseline projections and in the Green Deal scenario in Hunedoara;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_Toc90727359 \h </w:instrText>
        </w:r>
        <w:r w:rsidR="00FB081A">
          <w:rPr>
            <w:noProof/>
            <w:webHidden/>
          </w:rPr>
        </w:r>
        <w:r w:rsidR="00FB081A">
          <w:rPr>
            <w:noProof/>
            <w:webHidden/>
          </w:rPr>
          <w:fldChar w:fldCharType="separate"/>
        </w:r>
        <w:r w:rsidR="00FB081A">
          <w:rPr>
            <w:noProof/>
            <w:webHidden/>
          </w:rPr>
          <w:t>73</w:t>
        </w:r>
        <w:r w:rsidR="00FB081A">
          <w:rPr>
            <w:noProof/>
            <w:webHidden/>
          </w:rPr>
          <w:fldChar w:fldCharType="end"/>
        </w:r>
      </w:hyperlink>
    </w:p>
    <w:p w14:paraId="2A7A33DE" w14:textId="0A3137BA" w:rsidR="00FB081A" w:rsidRDefault="000B273D">
      <w:pPr>
        <w:pStyle w:val="TableofFigures"/>
        <w:rPr>
          <w:rFonts w:asciiTheme="minorHAnsi" w:eastAsiaTheme="minorEastAsia" w:hAnsiTheme="minorHAnsi" w:cstheme="minorBidi"/>
          <w:noProof/>
          <w:sz w:val="22"/>
          <w:lang w:val="en-US"/>
        </w:rPr>
      </w:pPr>
      <w:hyperlink w:anchor="_Toc90727360" w:history="1">
        <w:r w:rsidR="00FB081A" w:rsidRPr="008B1D0B">
          <w:rPr>
            <w:rStyle w:val="Hyperlink"/>
            <w:noProof/>
          </w:rPr>
          <w:t>Graph 24: GVA impact in Hunedoara County (RO423)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_Toc90727360 \h </w:instrText>
        </w:r>
        <w:r w:rsidR="00FB081A">
          <w:rPr>
            <w:noProof/>
            <w:webHidden/>
          </w:rPr>
        </w:r>
        <w:r w:rsidR="00FB081A">
          <w:rPr>
            <w:noProof/>
            <w:webHidden/>
          </w:rPr>
          <w:fldChar w:fldCharType="separate"/>
        </w:r>
        <w:r w:rsidR="00FB081A">
          <w:rPr>
            <w:noProof/>
            <w:webHidden/>
          </w:rPr>
          <w:t>74</w:t>
        </w:r>
        <w:r w:rsidR="00FB081A">
          <w:rPr>
            <w:noProof/>
            <w:webHidden/>
          </w:rPr>
          <w:fldChar w:fldCharType="end"/>
        </w:r>
      </w:hyperlink>
    </w:p>
    <w:p w14:paraId="2D24A364" w14:textId="47A4CC7B" w:rsidR="00FB081A" w:rsidRDefault="000B273D">
      <w:pPr>
        <w:pStyle w:val="TableofFigures"/>
        <w:rPr>
          <w:rFonts w:asciiTheme="minorHAnsi" w:eastAsiaTheme="minorEastAsia" w:hAnsiTheme="minorHAnsi" w:cstheme="minorBidi"/>
          <w:noProof/>
          <w:sz w:val="22"/>
          <w:lang w:val="en-US"/>
        </w:rPr>
      </w:pPr>
      <w:hyperlink w:anchor="_Toc90727361" w:history="1">
        <w:r w:rsidR="00FB081A" w:rsidRPr="008B1D0B">
          <w:rPr>
            <w:rStyle w:val="Hyperlink"/>
            <w:noProof/>
          </w:rPr>
          <w:t>Graph 25: Employment impact in Hunedoara County (RO423)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_Toc90727361 \h </w:instrText>
        </w:r>
        <w:r w:rsidR="00FB081A">
          <w:rPr>
            <w:noProof/>
            <w:webHidden/>
          </w:rPr>
        </w:r>
        <w:r w:rsidR="00FB081A">
          <w:rPr>
            <w:noProof/>
            <w:webHidden/>
          </w:rPr>
          <w:fldChar w:fldCharType="separate"/>
        </w:r>
        <w:r w:rsidR="00FB081A">
          <w:rPr>
            <w:noProof/>
            <w:webHidden/>
          </w:rPr>
          <w:t>75</w:t>
        </w:r>
        <w:r w:rsidR="00FB081A">
          <w:rPr>
            <w:noProof/>
            <w:webHidden/>
          </w:rPr>
          <w:fldChar w:fldCharType="end"/>
        </w:r>
      </w:hyperlink>
    </w:p>
    <w:p w14:paraId="719D01B3" w14:textId="0147469B" w:rsidR="00FB081A" w:rsidRDefault="000B273D">
      <w:pPr>
        <w:pStyle w:val="TableofFigures"/>
        <w:rPr>
          <w:rFonts w:asciiTheme="minorHAnsi" w:eastAsiaTheme="minorEastAsia" w:hAnsiTheme="minorHAnsi" w:cstheme="minorBidi"/>
          <w:noProof/>
          <w:sz w:val="22"/>
          <w:lang w:val="en-US"/>
        </w:rPr>
      </w:pPr>
      <w:hyperlink w:anchor="_Toc90727362" w:history="1">
        <w:r w:rsidR="00FB081A" w:rsidRPr="008B1D0B">
          <w:rPr>
            <w:rStyle w:val="Hyperlink"/>
            <w:noProof/>
          </w:rPr>
          <w:t>Graph 26: Unemployment evolution, 2010-2020, Dolj County</w:t>
        </w:r>
        <w:r w:rsidR="00FB081A">
          <w:rPr>
            <w:noProof/>
            <w:webHidden/>
          </w:rPr>
          <w:tab/>
        </w:r>
        <w:r w:rsidR="00FB081A">
          <w:rPr>
            <w:noProof/>
            <w:webHidden/>
          </w:rPr>
          <w:fldChar w:fldCharType="begin"/>
        </w:r>
        <w:r w:rsidR="00FB081A">
          <w:rPr>
            <w:noProof/>
            <w:webHidden/>
          </w:rPr>
          <w:instrText xml:space="preserve"> PAGEREF _Toc90727362 \h </w:instrText>
        </w:r>
        <w:r w:rsidR="00FB081A">
          <w:rPr>
            <w:noProof/>
            <w:webHidden/>
          </w:rPr>
        </w:r>
        <w:r w:rsidR="00FB081A">
          <w:rPr>
            <w:noProof/>
            <w:webHidden/>
          </w:rPr>
          <w:fldChar w:fldCharType="separate"/>
        </w:r>
        <w:r w:rsidR="00FB081A">
          <w:rPr>
            <w:noProof/>
            <w:webHidden/>
          </w:rPr>
          <w:t>95</w:t>
        </w:r>
        <w:r w:rsidR="00FB081A">
          <w:rPr>
            <w:noProof/>
            <w:webHidden/>
          </w:rPr>
          <w:fldChar w:fldCharType="end"/>
        </w:r>
      </w:hyperlink>
    </w:p>
    <w:p w14:paraId="2F573015" w14:textId="36A9494C" w:rsidR="00FB081A" w:rsidRDefault="000B273D">
      <w:pPr>
        <w:pStyle w:val="TableofFigures"/>
        <w:rPr>
          <w:rFonts w:asciiTheme="minorHAnsi" w:eastAsiaTheme="minorEastAsia" w:hAnsiTheme="minorHAnsi" w:cstheme="minorBidi"/>
          <w:noProof/>
          <w:sz w:val="22"/>
          <w:lang w:val="en-US"/>
        </w:rPr>
      </w:pPr>
      <w:hyperlink w:anchor="_Toc90727363" w:history="1">
        <w:r w:rsidR="00FB081A" w:rsidRPr="008B1D0B">
          <w:rPr>
            <w:rStyle w:val="Hyperlink"/>
            <w:noProof/>
          </w:rPr>
          <w:t>Graph 27: Representativeness of the target age groups of the social, health and education infrastructure (young and old) in Dolj county as compared to national level, 2020</w:t>
        </w:r>
        <w:r w:rsidR="00FB081A">
          <w:rPr>
            <w:noProof/>
            <w:webHidden/>
          </w:rPr>
          <w:tab/>
        </w:r>
        <w:r w:rsidR="00FB081A">
          <w:rPr>
            <w:noProof/>
            <w:webHidden/>
          </w:rPr>
          <w:fldChar w:fldCharType="begin"/>
        </w:r>
        <w:r w:rsidR="00FB081A">
          <w:rPr>
            <w:noProof/>
            <w:webHidden/>
          </w:rPr>
          <w:instrText xml:space="preserve"> PAGEREF _Toc90727363 \h </w:instrText>
        </w:r>
        <w:r w:rsidR="00FB081A">
          <w:rPr>
            <w:noProof/>
            <w:webHidden/>
          </w:rPr>
        </w:r>
        <w:r w:rsidR="00FB081A">
          <w:rPr>
            <w:noProof/>
            <w:webHidden/>
          </w:rPr>
          <w:fldChar w:fldCharType="separate"/>
        </w:r>
        <w:r w:rsidR="00FB081A">
          <w:rPr>
            <w:noProof/>
            <w:webHidden/>
          </w:rPr>
          <w:t>97</w:t>
        </w:r>
        <w:r w:rsidR="00FB081A">
          <w:rPr>
            <w:noProof/>
            <w:webHidden/>
          </w:rPr>
          <w:fldChar w:fldCharType="end"/>
        </w:r>
      </w:hyperlink>
    </w:p>
    <w:p w14:paraId="3EDC5970" w14:textId="588BC405" w:rsidR="00FB081A" w:rsidRDefault="000B273D">
      <w:pPr>
        <w:pStyle w:val="TableofFigures"/>
        <w:rPr>
          <w:rFonts w:asciiTheme="minorHAnsi" w:eastAsiaTheme="minorEastAsia" w:hAnsiTheme="minorHAnsi" w:cstheme="minorBidi"/>
          <w:noProof/>
          <w:sz w:val="22"/>
          <w:lang w:val="en-US"/>
        </w:rPr>
      </w:pPr>
      <w:hyperlink w:anchor="_Toc90727364" w:history="1">
        <w:r w:rsidR="00FB081A" w:rsidRPr="008B1D0B">
          <w:rPr>
            <w:rStyle w:val="Hyperlink"/>
            <w:noProof/>
          </w:rPr>
          <w:t>Graph 28: Changes in employment from 2018 in baseline projections in Dolj;  left panel - changes by sector; right panel – changes by occupation; including Agriculture</w:t>
        </w:r>
        <w:r w:rsidR="00FB081A">
          <w:rPr>
            <w:noProof/>
            <w:webHidden/>
          </w:rPr>
          <w:tab/>
        </w:r>
        <w:r w:rsidR="00FB081A">
          <w:rPr>
            <w:noProof/>
            <w:webHidden/>
          </w:rPr>
          <w:fldChar w:fldCharType="begin"/>
        </w:r>
        <w:r w:rsidR="00FB081A">
          <w:rPr>
            <w:noProof/>
            <w:webHidden/>
          </w:rPr>
          <w:instrText xml:space="preserve"> PAGEREF _Toc90727364 \h </w:instrText>
        </w:r>
        <w:r w:rsidR="00FB081A">
          <w:rPr>
            <w:noProof/>
            <w:webHidden/>
          </w:rPr>
        </w:r>
        <w:r w:rsidR="00FB081A">
          <w:rPr>
            <w:noProof/>
            <w:webHidden/>
          </w:rPr>
          <w:fldChar w:fldCharType="separate"/>
        </w:r>
        <w:r w:rsidR="00FB081A">
          <w:rPr>
            <w:noProof/>
            <w:webHidden/>
          </w:rPr>
          <w:t>106</w:t>
        </w:r>
        <w:r w:rsidR="00FB081A">
          <w:rPr>
            <w:noProof/>
            <w:webHidden/>
          </w:rPr>
          <w:fldChar w:fldCharType="end"/>
        </w:r>
      </w:hyperlink>
    </w:p>
    <w:p w14:paraId="2660064A" w14:textId="0ADC97C4" w:rsidR="00FB081A" w:rsidRDefault="000B273D">
      <w:pPr>
        <w:pStyle w:val="TableofFigures"/>
        <w:rPr>
          <w:rFonts w:asciiTheme="minorHAnsi" w:eastAsiaTheme="minorEastAsia" w:hAnsiTheme="minorHAnsi" w:cstheme="minorBidi"/>
          <w:noProof/>
          <w:sz w:val="22"/>
          <w:lang w:val="en-US"/>
        </w:rPr>
      </w:pPr>
      <w:hyperlink w:anchor="_Toc90727365" w:history="1">
        <w:r w:rsidR="00FB081A" w:rsidRPr="008B1D0B">
          <w:rPr>
            <w:rStyle w:val="Hyperlink"/>
            <w:noProof/>
          </w:rPr>
          <w:t>Graph 29: Changes in employment from 2018 in baseline projections in Dolj;  left panel - changes by sector; right panel – changes by occupation; excluding Agriculture</w:t>
        </w:r>
        <w:r w:rsidR="00FB081A">
          <w:rPr>
            <w:noProof/>
            <w:webHidden/>
          </w:rPr>
          <w:tab/>
        </w:r>
        <w:r w:rsidR="00FB081A">
          <w:rPr>
            <w:noProof/>
            <w:webHidden/>
          </w:rPr>
          <w:fldChar w:fldCharType="begin"/>
        </w:r>
        <w:r w:rsidR="00FB081A">
          <w:rPr>
            <w:noProof/>
            <w:webHidden/>
          </w:rPr>
          <w:instrText xml:space="preserve"> PAGEREF _Toc90727365 \h </w:instrText>
        </w:r>
        <w:r w:rsidR="00FB081A">
          <w:rPr>
            <w:noProof/>
            <w:webHidden/>
          </w:rPr>
        </w:r>
        <w:r w:rsidR="00FB081A">
          <w:rPr>
            <w:noProof/>
            <w:webHidden/>
          </w:rPr>
          <w:fldChar w:fldCharType="separate"/>
        </w:r>
        <w:r w:rsidR="00FB081A">
          <w:rPr>
            <w:noProof/>
            <w:webHidden/>
          </w:rPr>
          <w:t>106</w:t>
        </w:r>
        <w:r w:rsidR="00FB081A">
          <w:rPr>
            <w:noProof/>
            <w:webHidden/>
          </w:rPr>
          <w:fldChar w:fldCharType="end"/>
        </w:r>
      </w:hyperlink>
    </w:p>
    <w:p w14:paraId="4CDE0E3D" w14:textId="0D332F62" w:rsidR="00FB081A" w:rsidRDefault="000B273D">
      <w:pPr>
        <w:pStyle w:val="TableofFigures"/>
        <w:rPr>
          <w:rFonts w:asciiTheme="minorHAnsi" w:eastAsiaTheme="minorEastAsia" w:hAnsiTheme="minorHAnsi" w:cstheme="minorBidi"/>
          <w:noProof/>
          <w:sz w:val="22"/>
          <w:lang w:val="en-US"/>
        </w:rPr>
      </w:pPr>
      <w:hyperlink w:anchor="_Toc90727366" w:history="1">
        <w:r w:rsidR="00FB081A" w:rsidRPr="008B1D0B">
          <w:rPr>
            <w:rStyle w:val="Hyperlink"/>
            <w:noProof/>
          </w:rPr>
          <w:t xml:space="preserve">Graph 30: </w:t>
        </w:r>
        <w:r w:rsidR="00FB081A">
          <w:rPr>
            <w:rFonts w:asciiTheme="minorHAnsi" w:eastAsiaTheme="minorEastAsia" w:hAnsiTheme="minorHAnsi" w:cstheme="minorBidi"/>
            <w:noProof/>
            <w:sz w:val="22"/>
            <w:lang w:val="en-US"/>
          </w:rPr>
          <w:tab/>
        </w:r>
        <w:r w:rsidR="00FB081A" w:rsidRPr="008B1D0B">
          <w:rPr>
            <w:rStyle w:val="Hyperlink"/>
            <w:noProof/>
          </w:rPr>
          <w:t>Changes in employment from 2018 in baseline projections and in the Green Deal scenario in Dolj;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_Toc90727366 \h </w:instrText>
        </w:r>
        <w:r w:rsidR="00FB081A">
          <w:rPr>
            <w:noProof/>
            <w:webHidden/>
          </w:rPr>
        </w:r>
        <w:r w:rsidR="00FB081A">
          <w:rPr>
            <w:noProof/>
            <w:webHidden/>
          </w:rPr>
          <w:fldChar w:fldCharType="separate"/>
        </w:r>
        <w:r w:rsidR="00FB081A">
          <w:rPr>
            <w:noProof/>
            <w:webHidden/>
          </w:rPr>
          <w:t>107</w:t>
        </w:r>
        <w:r w:rsidR="00FB081A">
          <w:rPr>
            <w:noProof/>
            <w:webHidden/>
          </w:rPr>
          <w:fldChar w:fldCharType="end"/>
        </w:r>
      </w:hyperlink>
    </w:p>
    <w:p w14:paraId="7DD50D54" w14:textId="1ACCFE19" w:rsidR="00FB081A" w:rsidRDefault="000B273D">
      <w:pPr>
        <w:pStyle w:val="TableofFigures"/>
        <w:rPr>
          <w:rFonts w:asciiTheme="minorHAnsi" w:eastAsiaTheme="minorEastAsia" w:hAnsiTheme="minorHAnsi" w:cstheme="minorBidi"/>
          <w:noProof/>
          <w:sz w:val="22"/>
          <w:lang w:val="en-US"/>
        </w:rPr>
      </w:pPr>
      <w:hyperlink w:anchor="_Toc90727367" w:history="1">
        <w:r w:rsidR="00FB081A" w:rsidRPr="008B1D0B">
          <w:rPr>
            <w:rStyle w:val="Hyperlink"/>
            <w:noProof/>
          </w:rPr>
          <w:t>Graph 31: GVA impact in Dolj County (RO411)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_Toc90727367 \h </w:instrText>
        </w:r>
        <w:r w:rsidR="00FB081A">
          <w:rPr>
            <w:noProof/>
            <w:webHidden/>
          </w:rPr>
        </w:r>
        <w:r w:rsidR="00FB081A">
          <w:rPr>
            <w:noProof/>
            <w:webHidden/>
          </w:rPr>
          <w:fldChar w:fldCharType="separate"/>
        </w:r>
        <w:r w:rsidR="00FB081A">
          <w:rPr>
            <w:noProof/>
            <w:webHidden/>
          </w:rPr>
          <w:t>108</w:t>
        </w:r>
        <w:r w:rsidR="00FB081A">
          <w:rPr>
            <w:noProof/>
            <w:webHidden/>
          </w:rPr>
          <w:fldChar w:fldCharType="end"/>
        </w:r>
      </w:hyperlink>
    </w:p>
    <w:p w14:paraId="716D412E" w14:textId="542BAA12" w:rsidR="00FB081A" w:rsidRDefault="000B273D">
      <w:pPr>
        <w:pStyle w:val="TableofFigures"/>
        <w:rPr>
          <w:rFonts w:asciiTheme="minorHAnsi" w:eastAsiaTheme="minorEastAsia" w:hAnsiTheme="minorHAnsi" w:cstheme="minorBidi"/>
          <w:noProof/>
          <w:sz w:val="22"/>
          <w:lang w:val="en-US"/>
        </w:rPr>
      </w:pPr>
      <w:hyperlink w:anchor="_Toc90727368" w:history="1">
        <w:r w:rsidR="00FB081A" w:rsidRPr="008B1D0B">
          <w:rPr>
            <w:rStyle w:val="Hyperlink"/>
            <w:noProof/>
          </w:rPr>
          <w:t>Graph 32: Employment impact in Dolj County (RO411)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_Toc90727368 \h </w:instrText>
        </w:r>
        <w:r w:rsidR="00FB081A">
          <w:rPr>
            <w:noProof/>
            <w:webHidden/>
          </w:rPr>
        </w:r>
        <w:r w:rsidR="00FB081A">
          <w:rPr>
            <w:noProof/>
            <w:webHidden/>
          </w:rPr>
          <w:fldChar w:fldCharType="separate"/>
        </w:r>
        <w:r w:rsidR="00FB081A">
          <w:rPr>
            <w:noProof/>
            <w:webHidden/>
          </w:rPr>
          <w:t>108</w:t>
        </w:r>
        <w:r w:rsidR="00FB081A">
          <w:rPr>
            <w:noProof/>
            <w:webHidden/>
          </w:rPr>
          <w:fldChar w:fldCharType="end"/>
        </w:r>
      </w:hyperlink>
    </w:p>
    <w:p w14:paraId="076A70AF" w14:textId="1333BA1B" w:rsidR="00FB081A" w:rsidRDefault="000B273D">
      <w:pPr>
        <w:pStyle w:val="TableofFigures"/>
        <w:rPr>
          <w:rFonts w:asciiTheme="minorHAnsi" w:eastAsiaTheme="minorEastAsia" w:hAnsiTheme="minorHAnsi" w:cstheme="minorBidi"/>
          <w:noProof/>
          <w:sz w:val="22"/>
          <w:lang w:val="en-US"/>
        </w:rPr>
      </w:pPr>
      <w:hyperlink w:anchor="_Toc90727369" w:history="1">
        <w:r w:rsidR="00FB081A" w:rsidRPr="008B1D0B">
          <w:rPr>
            <w:rStyle w:val="Hyperlink"/>
            <w:noProof/>
          </w:rPr>
          <w:t>Graph 33: Unemployment evolution, 2010-2020, Gorj County</w:t>
        </w:r>
        <w:r w:rsidR="00FB081A">
          <w:rPr>
            <w:noProof/>
            <w:webHidden/>
          </w:rPr>
          <w:tab/>
        </w:r>
        <w:r w:rsidR="00FB081A">
          <w:rPr>
            <w:noProof/>
            <w:webHidden/>
          </w:rPr>
          <w:fldChar w:fldCharType="begin"/>
        </w:r>
        <w:r w:rsidR="00FB081A">
          <w:rPr>
            <w:noProof/>
            <w:webHidden/>
          </w:rPr>
          <w:instrText xml:space="preserve"> PAGEREF _Toc90727369 \h </w:instrText>
        </w:r>
        <w:r w:rsidR="00FB081A">
          <w:rPr>
            <w:noProof/>
            <w:webHidden/>
          </w:rPr>
        </w:r>
        <w:r w:rsidR="00FB081A">
          <w:rPr>
            <w:noProof/>
            <w:webHidden/>
          </w:rPr>
          <w:fldChar w:fldCharType="separate"/>
        </w:r>
        <w:r w:rsidR="00FB081A">
          <w:rPr>
            <w:noProof/>
            <w:webHidden/>
          </w:rPr>
          <w:t>130</w:t>
        </w:r>
        <w:r w:rsidR="00FB081A">
          <w:rPr>
            <w:noProof/>
            <w:webHidden/>
          </w:rPr>
          <w:fldChar w:fldCharType="end"/>
        </w:r>
      </w:hyperlink>
    </w:p>
    <w:p w14:paraId="19719D81" w14:textId="7860D13E" w:rsidR="00FB081A" w:rsidRDefault="000B273D">
      <w:pPr>
        <w:pStyle w:val="TableofFigures"/>
        <w:rPr>
          <w:rFonts w:asciiTheme="minorHAnsi" w:eastAsiaTheme="minorEastAsia" w:hAnsiTheme="minorHAnsi" w:cstheme="minorBidi"/>
          <w:noProof/>
          <w:sz w:val="22"/>
          <w:lang w:val="en-US"/>
        </w:rPr>
      </w:pPr>
      <w:hyperlink w:anchor="_Toc90727370" w:history="1">
        <w:r w:rsidR="00FB081A" w:rsidRPr="008B1D0B">
          <w:rPr>
            <w:rStyle w:val="Hyperlink"/>
            <w:noProof/>
          </w:rPr>
          <w:t>Graph 34: Representativeness of the target age groups of the social, health and education infrastructure (young and old) in Gorj County as compared to national level, 2020</w:t>
        </w:r>
        <w:r w:rsidR="00FB081A">
          <w:rPr>
            <w:noProof/>
            <w:webHidden/>
          </w:rPr>
          <w:tab/>
        </w:r>
        <w:r w:rsidR="00FB081A">
          <w:rPr>
            <w:noProof/>
            <w:webHidden/>
          </w:rPr>
          <w:fldChar w:fldCharType="begin"/>
        </w:r>
        <w:r w:rsidR="00FB081A">
          <w:rPr>
            <w:noProof/>
            <w:webHidden/>
          </w:rPr>
          <w:instrText xml:space="preserve"> PAGEREF _Toc90727370 \h </w:instrText>
        </w:r>
        <w:r w:rsidR="00FB081A">
          <w:rPr>
            <w:noProof/>
            <w:webHidden/>
          </w:rPr>
        </w:r>
        <w:r w:rsidR="00FB081A">
          <w:rPr>
            <w:noProof/>
            <w:webHidden/>
          </w:rPr>
          <w:fldChar w:fldCharType="separate"/>
        </w:r>
        <w:r w:rsidR="00FB081A">
          <w:rPr>
            <w:noProof/>
            <w:webHidden/>
          </w:rPr>
          <w:t>131</w:t>
        </w:r>
        <w:r w:rsidR="00FB081A">
          <w:rPr>
            <w:noProof/>
            <w:webHidden/>
          </w:rPr>
          <w:fldChar w:fldCharType="end"/>
        </w:r>
      </w:hyperlink>
    </w:p>
    <w:p w14:paraId="36B40C9F" w14:textId="67ADE2CF" w:rsidR="00FB081A" w:rsidRDefault="000B273D">
      <w:pPr>
        <w:pStyle w:val="TableofFigures"/>
        <w:rPr>
          <w:rFonts w:asciiTheme="minorHAnsi" w:eastAsiaTheme="minorEastAsia" w:hAnsiTheme="minorHAnsi" w:cstheme="minorBidi"/>
          <w:noProof/>
          <w:sz w:val="22"/>
          <w:lang w:val="en-US"/>
        </w:rPr>
      </w:pPr>
      <w:hyperlink w:anchor="_Toc90727371" w:history="1">
        <w:r w:rsidR="00FB081A" w:rsidRPr="008B1D0B">
          <w:rPr>
            <w:rStyle w:val="Hyperlink"/>
            <w:noProof/>
          </w:rPr>
          <w:t>Graph 35: Changes in employment from 2018 in baseline projections in Gorj;  left panel - changes by sector; right panel – changes by occupation; excluding Agriculture</w:t>
        </w:r>
        <w:r w:rsidR="00FB081A">
          <w:rPr>
            <w:noProof/>
            <w:webHidden/>
          </w:rPr>
          <w:tab/>
        </w:r>
        <w:r w:rsidR="00FB081A">
          <w:rPr>
            <w:noProof/>
            <w:webHidden/>
          </w:rPr>
          <w:fldChar w:fldCharType="begin"/>
        </w:r>
        <w:r w:rsidR="00FB081A">
          <w:rPr>
            <w:noProof/>
            <w:webHidden/>
          </w:rPr>
          <w:instrText xml:space="preserve"> PAGEREF _Toc90727371 \h </w:instrText>
        </w:r>
        <w:r w:rsidR="00FB081A">
          <w:rPr>
            <w:noProof/>
            <w:webHidden/>
          </w:rPr>
        </w:r>
        <w:r w:rsidR="00FB081A">
          <w:rPr>
            <w:noProof/>
            <w:webHidden/>
          </w:rPr>
          <w:fldChar w:fldCharType="separate"/>
        </w:r>
        <w:r w:rsidR="00FB081A">
          <w:rPr>
            <w:noProof/>
            <w:webHidden/>
          </w:rPr>
          <w:t>140</w:t>
        </w:r>
        <w:r w:rsidR="00FB081A">
          <w:rPr>
            <w:noProof/>
            <w:webHidden/>
          </w:rPr>
          <w:fldChar w:fldCharType="end"/>
        </w:r>
      </w:hyperlink>
    </w:p>
    <w:p w14:paraId="3454F06D" w14:textId="1F364CA0" w:rsidR="00FB081A" w:rsidRDefault="000B273D">
      <w:pPr>
        <w:pStyle w:val="TableofFigures"/>
        <w:rPr>
          <w:rFonts w:asciiTheme="minorHAnsi" w:eastAsiaTheme="minorEastAsia" w:hAnsiTheme="minorHAnsi" w:cstheme="minorBidi"/>
          <w:noProof/>
          <w:sz w:val="22"/>
          <w:lang w:val="en-US"/>
        </w:rPr>
      </w:pPr>
      <w:hyperlink w:anchor="_Toc90727372" w:history="1">
        <w:r w:rsidR="00FB081A" w:rsidRPr="008B1D0B">
          <w:rPr>
            <w:rStyle w:val="Hyperlink"/>
            <w:noProof/>
          </w:rPr>
          <w:t xml:space="preserve">Graph 36: </w:t>
        </w:r>
        <w:r w:rsidR="00FB081A">
          <w:rPr>
            <w:rFonts w:asciiTheme="minorHAnsi" w:eastAsiaTheme="minorEastAsia" w:hAnsiTheme="minorHAnsi" w:cstheme="minorBidi"/>
            <w:noProof/>
            <w:sz w:val="22"/>
            <w:lang w:val="en-US"/>
          </w:rPr>
          <w:tab/>
        </w:r>
        <w:r w:rsidR="00FB081A" w:rsidRPr="008B1D0B">
          <w:rPr>
            <w:rStyle w:val="Hyperlink"/>
            <w:noProof/>
          </w:rPr>
          <w:t>Changes in employment from 2018 in baseline projections and in the Green Deal scenario in Gorj;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_Toc90727372 \h </w:instrText>
        </w:r>
        <w:r w:rsidR="00FB081A">
          <w:rPr>
            <w:noProof/>
            <w:webHidden/>
          </w:rPr>
        </w:r>
        <w:r w:rsidR="00FB081A">
          <w:rPr>
            <w:noProof/>
            <w:webHidden/>
          </w:rPr>
          <w:fldChar w:fldCharType="separate"/>
        </w:r>
        <w:r w:rsidR="00FB081A">
          <w:rPr>
            <w:noProof/>
            <w:webHidden/>
          </w:rPr>
          <w:t>141</w:t>
        </w:r>
        <w:r w:rsidR="00FB081A">
          <w:rPr>
            <w:noProof/>
            <w:webHidden/>
          </w:rPr>
          <w:fldChar w:fldCharType="end"/>
        </w:r>
      </w:hyperlink>
    </w:p>
    <w:p w14:paraId="39985612" w14:textId="75CD9DC9" w:rsidR="00FB081A" w:rsidRDefault="000B273D">
      <w:pPr>
        <w:pStyle w:val="TableofFigures"/>
        <w:rPr>
          <w:rFonts w:asciiTheme="minorHAnsi" w:eastAsiaTheme="minorEastAsia" w:hAnsiTheme="minorHAnsi" w:cstheme="minorBidi"/>
          <w:noProof/>
          <w:sz w:val="22"/>
          <w:lang w:val="en-US"/>
        </w:rPr>
      </w:pPr>
      <w:hyperlink w:anchor="_Toc90727373" w:history="1">
        <w:r w:rsidR="00FB081A" w:rsidRPr="008B1D0B">
          <w:rPr>
            <w:rStyle w:val="Hyperlink"/>
            <w:noProof/>
          </w:rPr>
          <w:t>Graph 37: GVA impact in Gorj County (RO412)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_Toc90727373 \h </w:instrText>
        </w:r>
        <w:r w:rsidR="00FB081A">
          <w:rPr>
            <w:noProof/>
            <w:webHidden/>
          </w:rPr>
        </w:r>
        <w:r w:rsidR="00FB081A">
          <w:rPr>
            <w:noProof/>
            <w:webHidden/>
          </w:rPr>
          <w:fldChar w:fldCharType="separate"/>
        </w:r>
        <w:r w:rsidR="00FB081A">
          <w:rPr>
            <w:noProof/>
            <w:webHidden/>
          </w:rPr>
          <w:t>142</w:t>
        </w:r>
        <w:r w:rsidR="00FB081A">
          <w:rPr>
            <w:noProof/>
            <w:webHidden/>
          </w:rPr>
          <w:fldChar w:fldCharType="end"/>
        </w:r>
      </w:hyperlink>
    </w:p>
    <w:p w14:paraId="242ACD87" w14:textId="35BBB05C" w:rsidR="00FB081A" w:rsidRDefault="000B273D">
      <w:pPr>
        <w:pStyle w:val="TableofFigures"/>
        <w:rPr>
          <w:rFonts w:asciiTheme="minorHAnsi" w:eastAsiaTheme="minorEastAsia" w:hAnsiTheme="minorHAnsi" w:cstheme="minorBidi"/>
          <w:noProof/>
          <w:sz w:val="22"/>
          <w:lang w:val="en-US"/>
        </w:rPr>
      </w:pPr>
      <w:hyperlink w:anchor="_Toc90727374" w:history="1">
        <w:r w:rsidR="00FB081A" w:rsidRPr="008B1D0B">
          <w:rPr>
            <w:rStyle w:val="Hyperlink"/>
            <w:noProof/>
          </w:rPr>
          <w:t>Graph 38: Employment impact in Gorj County (RO412)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_Toc90727374 \h </w:instrText>
        </w:r>
        <w:r w:rsidR="00FB081A">
          <w:rPr>
            <w:noProof/>
            <w:webHidden/>
          </w:rPr>
        </w:r>
        <w:r w:rsidR="00FB081A">
          <w:rPr>
            <w:noProof/>
            <w:webHidden/>
          </w:rPr>
          <w:fldChar w:fldCharType="separate"/>
        </w:r>
        <w:r w:rsidR="00FB081A">
          <w:rPr>
            <w:noProof/>
            <w:webHidden/>
          </w:rPr>
          <w:t>142</w:t>
        </w:r>
        <w:r w:rsidR="00FB081A">
          <w:rPr>
            <w:noProof/>
            <w:webHidden/>
          </w:rPr>
          <w:fldChar w:fldCharType="end"/>
        </w:r>
      </w:hyperlink>
    </w:p>
    <w:p w14:paraId="191B777B" w14:textId="3BE41F2A" w:rsidR="00FB081A" w:rsidRDefault="000B273D">
      <w:pPr>
        <w:pStyle w:val="TableofFigures"/>
        <w:rPr>
          <w:rFonts w:asciiTheme="minorHAnsi" w:eastAsiaTheme="minorEastAsia" w:hAnsiTheme="minorHAnsi" w:cstheme="minorBidi"/>
          <w:noProof/>
          <w:sz w:val="22"/>
          <w:lang w:val="en-US"/>
        </w:rPr>
      </w:pPr>
      <w:hyperlink w:anchor="_Toc90727375" w:history="1">
        <w:r w:rsidR="00FB081A" w:rsidRPr="008B1D0B">
          <w:rPr>
            <w:rStyle w:val="Hyperlink"/>
            <w:noProof/>
          </w:rPr>
          <w:t>Graph 39: Unemployment evolution, 2010-2020, Prahova County</w:t>
        </w:r>
        <w:r w:rsidR="00FB081A">
          <w:rPr>
            <w:noProof/>
            <w:webHidden/>
          </w:rPr>
          <w:tab/>
        </w:r>
        <w:r w:rsidR="00FB081A">
          <w:rPr>
            <w:noProof/>
            <w:webHidden/>
          </w:rPr>
          <w:fldChar w:fldCharType="begin"/>
        </w:r>
        <w:r w:rsidR="00FB081A">
          <w:rPr>
            <w:noProof/>
            <w:webHidden/>
          </w:rPr>
          <w:instrText xml:space="preserve"> PAGEREF _Toc90727375 \h </w:instrText>
        </w:r>
        <w:r w:rsidR="00FB081A">
          <w:rPr>
            <w:noProof/>
            <w:webHidden/>
          </w:rPr>
        </w:r>
        <w:r w:rsidR="00FB081A">
          <w:rPr>
            <w:noProof/>
            <w:webHidden/>
          </w:rPr>
          <w:fldChar w:fldCharType="separate"/>
        </w:r>
        <w:r w:rsidR="00FB081A">
          <w:rPr>
            <w:noProof/>
            <w:webHidden/>
          </w:rPr>
          <w:t>159</w:t>
        </w:r>
        <w:r w:rsidR="00FB081A">
          <w:rPr>
            <w:noProof/>
            <w:webHidden/>
          </w:rPr>
          <w:fldChar w:fldCharType="end"/>
        </w:r>
      </w:hyperlink>
    </w:p>
    <w:p w14:paraId="4DC36F71" w14:textId="5A93E4B2" w:rsidR="00FB081A" w:rsidRDefault="000B273D">
      <w:pPr>
        <w:pStyle w:val="TableofFigures"/>
        <w:rPr>
          <w:rFonts w:asciiTheme="minorHAnsi" w:eastAsiaTheme="minorEastAsia" w:hAnsiTheme="minorHAnsi" w:cstheme="minorBidi"/>
          <w:noProof/>
          <w:sz w:val="22"/>
          <w:lang w:val="en-US"/>
        </w:rPr>
      </w:pPr>
      <w:hyperlink w:anchor="_Toc90727376" w:history="1">
        <w:r w:rsidR="00FB081A" w:rsidRPr="008B1D0B">
          <w:rPr>
            <w:rStyle w:val="Hyperlink"/>
            <w:noProof/>
          </w:rPr>
          <w:t>Graph 40: Representativeness of the target age groups of the social, health and education infrastructure (young and old) in Prahova County as compared to national level, 2020</w:t>
        </w:r>
        <w:r w:rsidR="00FB081A">
          <w:rPr>
            <w:noProof/>
            <w:webHidden/>
          </w:rPr>
          <w:tab/>
        </w:r>
        <w:r w:rsidR="00FB081A">
          <w:rPr>
            <w:noProof/>
            <w:webHidden/>
          </w:rPr>
          <w:fldChar w:fldCharType="begin"/>
        </w:r>
        <w:r w:rsidR="00FB081A">
          <w:rPr>
            <w:noProof/>
            <w:webHidden/>
          </w:rPr>
          <w:instrText xml:space="preserve"> PAGEREF _Toc90727376 \h </w:instrText>
        </w:r>
        <w:r w:rsidR="00FB081A">
          <w:rPr>
            <w:noProof/>
            <w:webHidden/>
          </w:rPr>
        </w:r>
        <w:r w:rsidR="00FB081A">
          <w:rPr>
            <w:noProof/>
            <w:webHidden/>
          </w:rPr>
          <w:fldChar w:fldCharType="separate"/>
        </w:r>
        <w:r w:rsidR="00FB081A">
          <w:rPr>
            <w:noProof/>
            <w:webHidden/>
          </w:rPr>
          <w:t>160</w:t>
        </w:r>
        <w:r w:rsidR="00FB081A">
          <w:rPr>
            <w:noProof/>
            <w:webHidden/>
          </w:rPr>
          <w:fldChar w:fldCharType="end"/>
        </w:r>
      </w:hyperlink>
    </w:p>
    <w:p w14:paraId="5D972002" w14:textId="19074712" w:rsidR="00FB081A" w:rsidRDefault="000B273D">
      <w:pPr>
        <w:pStyle w:val="TableofFigures"/>
        <w:rPr>
          <w:rFonts w:asciiTheme="minorHAnsi" w:eastAsiaTheme="minorEastAsia" w:hAnsiTheme="minorHAnsi" w:cstheme="minorBidi"/>
          <w:noProof/>
          <w:sz w:val="22"/>
          <w:lang w:val="en-US"/>
        </w:rPr>
      </w:pPr>
      <w:hyperlink w:anchor="_Toc90727377" w:history="1">
        <w:r w:rsidR="00FB081A" w:rsidRPr="008B1D0B">
          <w:rPr>
            <w:rStyle w:val="Hyperlink"/>
            <w:noProof/>
          </w:rPr>
          <w:t>Graph 41: Changes in employment from 2018 in baseline projections in Prahova;  left panel – changes by sector; right panel – changes by occupation</w:t>
        </w:r>
        <w:r w:rsidR="00FB081A">
          <w:rPr>
            <w:noProof/>
            <w:webHidden/>
          </w:rPr>
          <w:tab/>
        </w:r>
        <w:r w:rsidR="00FB081A">
          <w:rPr>
            <w:noProof/>
            <w:webHidden/>
          </w:rPr>
          <w:fldChar w:fldCharType="begin"/>
        </w:r>
        <w:r w:rsidR="00FB081A">
          <w:rPr>
            <w:noProof/>
            <w:webHidden/>
          </w:rPr>
          <w:instrText xml:space="preserve"> PAGEREF _Toc90727377 \h </w:instrText>
        </w:r>
        <w:r w:rsidR="00FB081A">
          <w:rPr>
            <w:noProof/>
            <w:webHidden/>
          </w:rPr>
        </w:r>
        <w:r w:rsidR="00FB081A">
          <w:rPr>
            <w:noProof/>
            <w:webHidden/>
          </w:rPr>
          <w:fldChar w:fldCharType="separate"/>
        </w:r>
        <w:r w:rsidR="00FB081A">
          <w:rPr>
            <w:noProof/>
            <w:webHidden/>
          </w:rPr>
          <w:t>170</w:t>
        </w:r>
        <w:r w:rsidR="00FB081A">
          <w:rPr>
            <w:noProof/>
            <w:webHidden/>
          </w:rPr>
          <w:fldChar w:fldCharType="end"/>
        </w:r>
      </w:hyperlink>
    </w:p>
    <w:p w14:paraId="09B3E464" w14:textId="68696E14" w:rsidR="00FB081A" w:rsidRDefault="000B273D">
      <w:pPr>
        <w:pStyle w:val="TableofFigures"/>
        <w:rPr>
          <w:rFonts w:asciiTheme="minorHAnsi" w:eastAsiaTheme="minorEastAsia" w:hAnsiTheme="minorHAnsi" w:cstheme="minorBidi"/>
          <w:noProof/>
          <w:sz w:val="22"/>
          <w:lang w:val="en-US"/>
        </w:rPr>
      </w:pPr>
      <w:hyperlink w:anchor="_Toc90727378" w:history="1">
        <w:r w:rsidR="00FB081A" w:rsidRPr="008B1D0B">
          <w:rPr>
            <w:rStyle w:val="Hyperlink"/>
            <w:noProof/>
          </w:rPr>
          <w:t xml:space="preserve">Graph 42: </w:t>
        </w:r>
        <w:r w:rsidR="00FB081A">
          <w:rPr>
            <w:rFonts w:asciiTheme="minorHAnsi" w:eastAsiaTheme="minorEastAsia" w:hAnsiTheme="minorHAnsi" w:cstheme="minorBidi"/>
            <w:noProof/>
            <w:sz w:val="22"/>
            <w:lang w:val="en-US"/>
          </w:rPr>
          <w:tab/>
        </w:r>
        <w:r w:rsidR="00FB081A" w:rsidRPr="008B1D0B">
          <w:rPr>
            <w:rStyle w:val="Hyperlink"/>
            <w:noProof/>
          </w:rPr>
          <w:t>Changes in employment from 2018 in baseline projections and in the Green Deal scenario in Prahova;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_Toc90727378 \h </w:instrText>
        </w:r>
        <w:r w:rsidR="00FB081A">
          <w:rPr>
            <w:noProof/>
            <w:webHidden/>
          </w:rPr>
        </w:r>
        <w:r w:rsidR="00FB081A">
          <w:rPr>
            <w:noProof/>
            <w:webHidden/>
          </w:rPr>
          <w:fldChar w:fldCharType="separate"/>
        </w:r>
        <w:r w:rsidR="00FB081A">
          <w:rPr>
            <w:noProof/>
            <w:webHidden/>
          </w:rPr>
          <w:t>171</w:t>
        </w:r>
        <w:r w:rsidR="00FB081A">
          <w:rPr>
            <w:noProof/>
            <w:webHidden/>
          </w:rPr>
          <w:fldChar w:fldCharType="end"/>
        </w:r>
      </w:hyperlink>
    </w:p>
    <w:p w14:paraId="554D86E0" w14:textId="3153AAED" w:rsidR="00FB081A" w:rsidRDefault="000B273D">
      <w:pPr>
        <w:pStyle w:val="TableofFigures"/>
        <w:rPr>
          <w:rFonts w:asciiTheme="minorHAnsi" w:eastAsiaTheme="minorEastAsia" w:hAnsiTheme="minorHAnsi" w:cstheme="minorBidi"/>
          <w:noProof/>
          <w:sz w:val="22"/>
          <w:lang w:val="en-US"/>
        </w:rPr>
      </w:pPr>
      <w:hyperlink w:anchor="_Toc90727379" w:history="1">
        <w:r w:rsidR="00FB081A" w:rsidRPr="008B1D0B">
          <w:rPr>
            <w:rStyle w:val="Hyperlink"/>
            <w:noProof/>
          </w:rPr>
          <w:t>Graph 43: GVA impact in Prahova County (RO316)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_Toc90727379 \h </w:instrText>
        </w:r>
        <w:r w:rsidR="00FB081A">
          <w:rPr>
            <w:noProof/>
            <w:webHidden/>
          </w:rPr>
        </w:r>
        <w:r w:rsidR="00FB081A">
          <w:rPr>
            <w:noProof/>
            <w:webHidden/>
          </w:rPr>
          <w:fldChar w:fldCharType="separate"/>
        </w:r>
        <w:r w:rsidR="00FB081A">
          <w:rPr>
            <w:noProof/>
            <w:webHidden/>
          </w:rPr>
          <w:t>172</w:t>
        </w:r>
        <w:r w:rsidR="00FB081A">
          <w:rPr>
            <w:noProof/>
            <w:webHidden/>
          </w:rPr>
          <w:fldChar w:fldCharType="end"/>
        </w:r>
      </w:hyperlink>
    </w:p>
    <w:p w14:paraId="1A3C2235" w14:textId="2AE26747" w:rsidR="00FB081A" w:rsidRDefault="000B273D">
      <w:pPr>
        <w:pStyle w:val="TableofFigures"/>
        <w:rPr>
          <w:rFonts w:asciiTheme="minorHAnsi" w:eastAsiaTheme="minorEastAsia" w:hAnsiTheme="minorHAnsi" w:cstheme="minorBidi"/>
          <w:noProof/>
          <w:sz w:val="22"/>
          <w:lang w:val="en-US"/>
        </w:rPr>
      </w:pPr>
      <w:hyperlink w:anchor="_Toc90727380" w:history="1">
        <w:r w:rsidR="00FB081A" w:rsidRPr="008B1D0B">
          <w:rPr>
            <w:rStyle w:val="Hyperlink"/>
            <w:noProof/>
          </w:rPr>
          <w:t>Graph 44: Employment impact in Prahova County (RO316)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_Toc90727380 \h </w:instrText>
        </w:r>
        <w:r w:rsidR="00FB081A">
          <w:rPr>
            <w:noProof/>
            <w:webHidden/>
          </w:rPr>
        </w:r>
        <w:r w:rsidR="00FB081A">
          <w:rPr>
            <w:noProof/>
            <w:webHidden/>
          </w:rPr>
          <w:fldChar w:fldCharType="separate"/>
        </w:r>
        <w:r w:rsidR="00FB081A">
          <w:rPr>
            <w:noProof/>
            <w:webHidden/>
          </w:rPr>
          <w:t>172</w:t>
        </w:r>
        <w:r w:rsidR="00FB081A">
          <w:rPr>
            <w:noProof/>
            <w:webHidden/>
          </w:rPr>
          <w:fldChar w:fldCharType="end"/>
        </w:r>
      </w:hyperlink>
    </w:p>
    <w:p w14:paraId="0FF91523" w14:textId="2F33EA95" w:rsidR="00FB081A" w:rsidRDefault="000B273D">
      <w:pPr>
        <w:pStyle w:val="TableofFigures"/>
        <w:rPr>
          <w:rFonts w:asciiTheme="minorHAnsi" w:eastAsiaTheme="minorEastAsia" w:hAnsiTheme="minorHAnsi" w:cstheme="minorBidi"/>
          <w:noProof/>
          <w:sz w:val="22"/>
          <w:lang w:val="en-US"/>
        </w:rPr>
      </w:pPr>
      <w:hyperlink w:anchor="_Toc90727381" w:history="1">
        <w:r w:rsidR="00FB081A" w:rsidRPr="008B1D0B">
          <w:rPr>
            <w:rStyle w:val="Hyperlink"/>
            <w:noProof/>
          </w:rPr>
          <w:t>Graph 45: Unemployment evolution, 2010-2020, Mureș County</w:t>
        </w:r>
        <w:r w:rsidR="00FB081A">
          <w:rPr>
            <w:noProof/>
            <w:webHidden/>
          </w:rPr>
          <w:tab/>
        </w:r>
        <w:r w:rsidR="00FB081A">
          <w:rPr>
            <w:noProof/>
            <w:webHidden/>
          </w:rPr>
          <w:fldChar w:fldCharType="begin"/>
        </w:r>
        <w:r w:rsidR="00FB081A">
          <w:rPr>
            <w:noProof/>
            <w:webHidden/>
          </w:rPr>
          <w:instrText xml:space="preserve"> PAGEREF _Toc90727381 \h </w:instrText>
        </w:r>
        <w:r w:rsidR="00FB081A">
          <w:rPr>
            <w:noProof/>
            <w:webHidden/>
          </w:rPr>
        </w:r>
        <w:r w:rsidR="00FB081A">
          <w:rPr>
            <w:noProof/>
            <w:webHidden/>
          </w:rPr>
          <w:fldChar w:fldCharType="separate"/>
        </w:r>
        <w:r w:rsidR="00FB081A">
          <w:rPr>
            <w:noProof/>
            <w:webHidden/>
          </w:rPr>
          <w:t>192</w:t>
        </w:r>
        <w:r w:rsidR="00FB081A">
          <w:rPr>
            <w:noProof/>
            <w:webHidden/>
          </w:rPr>
          <w:fldChar w:fldCharType="end"/>
        </w:r>
      </w:hyperlink>
    </w:p>
    <w:p w14:paraId="61AC96EF" w14:textId="0528B57D" w:rsidR="00FB081A" w:rsidRDefault="000B273D">
      <w:pPr>
        <w:pStyle w:val="TableofFigures"/>
        <w:rPr>
          <w:rFonts w:asciiTheme="minorHAnsi" w:eastAsiaTheme="minorEastAsia" w:hAnsiTheme="minorHAnsi" w:cstheme="minorBidi"/>
          <w:noProof/>
          <w:sz w:val="22"/>
          <w:lang w:val="en-US"/>
        </w:rPr>
      </w:pPr>
      <w:hyperlink w:anchor="_Toc90727382" w:history="1">
        <w:r w:rsidR="00FB081A" w:rsidRPr="008B1D0B">
          <w:rPr>
            <w:rStyle w:val="Hyperlink"/>
            <w:noProof/>
          </w:rPr>
          <w:t>Graph 46: Representativeness of the target age groups of the social, health and education infrastructure (young and old) in Mureș County as compared to national level, 2020</w:t>
        </w:r>
        <w:r w:rsidR="00FB081A">
          <w:rPr>
            <w:noProof/>
            <w:webHidden/>
          </w:rPr>
          <w:tab/>
        </w:r>
        <w:r w:rsidR="00FB081A">
          <w:rPr>
            <w:noProof/>
            <w:webHidden/>
          </w:rPr>
          <w:fldChar w:fldCharType="begin"/>
        </w:r>
        <w:r w:rsidR="00FB081A">
          <w:rPr>
            <w:noProof/>
            <w:webHidden/>
          </w:rPr>
          <w:instrText xml:space="preserve"> PAGEREF _Toc90727382 \h </w:instrText>
        </w:r>
        <w:r w:rsidR="00FB081A">
          <w:rPr>
            <w:noProof/>
            <w:webHidden/>
          </w:rPr>
        </w:r>
        <w:r w:rsidR="00FB081A">
          <w:rPr>
            <w:noProof/>
            <w:webHidden/>
          </w:rPr>
          <w:fldChar w:fldCharType="separate"/>
        </w:r>
        <w:r w:rsidR="00FB081A">
          <w:rPr>
            <w:noProof/>
            <w:webHidden/>
          </w:rPr>
          <w:t>193</w:t>
        </w:r>
        <w:r w:rsidR="00FB081A">
          <w:rPr>
            <w:noProof/>
            <w:webHidden/>
          </w:rPr>
          <w:fldChar w:fldCharType="end"/>
        </w:r>
      </w:hyperlink>
    </w:p>
    <w:p w14:paraId="35274A02" w14:textId="4AFAE0FC" w:rsidR="00FB081A" w:rsidRDefault="000B273D">
      <w:pPr>
        <w:pStyle w:val="TableofFigures"/>
        <w:rPr>
          <w:rFonts w:asciiTheme="minorHAnsi" w:eastAsiaTheme="minorEastAsia" w:hAnsiTheme="minorHAnsi" w:cstheme="minorBidi"/>
          <w:noProof/>
          <w:sz w:val="22"/>
          <w:lang w:val="en-US"/>
        </w:rPr>
      </w:pPr>
      <w:hyperlink w:anchor="_Toc90727383" w:history="1">
        <w:r w:rsidR="00FB081A" w:rsidRPr="008B1D0B">
          <w:rPr>
            <w:rStyle w:val="Hyperlink"/>
            <w:noProof/>
          </w:rPr>
          <w:t>Graph 47: Verified emissions vs. allowances under EU ETS</w:t>
        </w:r>
        <w:r w:rsidR="00FB081A">
          <w:rPr>
            <w:noProof/>
            <w:webHidden/>
          </w:rPr>
          <w:tab/>
        </w:r>
        <w:r w:rsidR="00FB081A">
          <w:rPr>
            <w:noProof/>
            <w:webHidden/>
          </w:rPr>
          <w:fldChar w:fldCharType="begin"/>
        </w:r>
        <w:r w:rsidR="00FB081A">
          <w:rPr>
            <w:noProof/>
            <w:webHidden/>
          </w:rPr>
          <w:instrText xml:space="preserve"> PAGEREF _Toc90727383 \h </w:instrText>
        </w:r>
        <w:r w:rsidR="00FB081A">
          <w:rPr>
            <w:noProof/>
            <w:webHidden/>
          </w:rPr>
        </w:r>
        <w:r w:rsidR="00FB081A">
          <w:rPr>
            <w:noProof/>
            <w:webHidden/>
          </w:rPr>
          <w:fldChar w:fldCharType="separate"/>
        </w:r>
        <w:r w:rsidR="00FB081A">
          <w:rPr>
            <w:noProof/>
            <w:webHidden/>
          </w:rPr>
          <w:t>196</w:t>
        </w:r>
        <w:r w:rsidR="00FB081A">
          <w:rPr>
            <w:noProof/>
            <w:webHidden/>
          </w:rPr>
          <w:fldChar w:fldCharType="end"/>
        </w:r>
      </w:hyperlink>
    </w:p>
    <w:p w14:paraId="3F4EF9E1" w14:textId="69C273EE" w:rsidR="00FB081A" w:rsidRDefault="000B273D">
      <w:pPr>
        <w:pStyle w:val="TableofFigures"/>
        <w:rPr>
          <w:rFonts w:asciiTheme="minorHAnsi" w:eastAsiaTheme="minorEastAsia" w:hAnsiTheme="minorHAnsi" w:cstheme="minorBidi"/>
          <w:noProof/>
          <w:sz w:val="22"/>
          <w:lang w:val="en-US"/>
        </w:rPr>
      </w:pPr>
      <w:hyperlink w:anchor="_Toc90727384" w:history="1">
        <w:r w:rsidR="00FB081A" w:rsidRPr="008B1D0B">
          <w:rPr>
            <w:rStyle w:val="Hyperlink"/>
            <w:noProof/>
          </w:rPr>
          <w:t>Graph 48</w:t>
        </w:r>
        <w:r w:rsidR="00FB081A" w:rsidRPr="008B1D0B">
          <w:rPr>
            <w:rStyle w:val="Hyperlink"/>
            <w:noProof/>
            <w:lang w:val="en-US"/>
          </w:rPr>
          <w:t>: Emissions Azomures – 2013=100</w:t>
        </w:r>
        <w:r w:rsidR="00FB081A">
          <w:rPr>
            <w:noProof/>
            <w:webHidden/>
          </w:rPr>
          <w:tab/>
        </w:r>
        <w:r w:rsidR="00FB081A">
          <w:rPr>
            <w:noProof/>
            <w:webHidden/>
          </w:rPr>
          <w:fldChar w:fldCharType="begin"/>
        </w:r>
        <w:r w:rsidR="00FB081A">
          <w:rPr>
            <w:noProof/>
            <w:webHidden/>
          </w:rPr>
          <w:instrText xml:space="preserve"> PAGEREF _Toc90727384 \h </w:instrText>
        </w:r>
        <w:r w:rsidR="00FB081A">
          <w:rPr>
            <w:noProof/>
            <w:webHidden/>
          </w:rPr>
        </w:r>
        <w:r w:rsidR="00FB081A">
          <w:rPr>
            <w:noProof/>
            <w:webHidden/>
          </w:rPr>
          <w:fldChar w:fldCharType="separate"/>
        </w:r>
        <w:r w:rsidR="00FB081A">
          <w:rPr>
            <w:noProof/>
            <w:webHidden/>
          </w:rPr>
          <w:t>197</w:t>
        </w:r>
        <w:r w:rsidR="00FB081A">
          <w:rPr>
            <w:noProof/>
            <w:webHidden/>
          </w:rPr>
          <w:fldChar w:fldCharType="end"/>
        </w:r>
      </w:hyperlink>
    </w:p>
    <w:p w14:paraId="53D50DB2" w14:textId="4C8A6E8E" w:rsidR="00FB081A" w:rsidRDefault="000B273D">
      <w:pPr>
        <w:pStyle w:val="TableofFigures"/>
        <w:rPr>
          <w:rFonts w:asciiTheme="minorHAnsi" w:eastAsiaTheme="minorEastAsia" w:hAnsiTheme="minorHAnsi" w:cstheme="minorBidi"/>
          <w:noProof/>
          <w:sz w:val="22"/>
          <w:lang w:val="en-US"/>
        </w:rPr>
      </w:pPr>
      <w:hyperlink w:anchor="_Toc90727385" w:history="1">
        <w:r w:rsidR="00FB081A" w:rsidRPr="008B1D0B">
          <w:rPr>
            <w:rStyle w:val="Hyperlink"/>
            <w:noProof/>
          </w:rPr>
          <w:t>Graph 49: Changes in employment from 2018 in baseline projections in Mureș;  left panel - changes by sector; right panel – changes by occupation</w:t>
        </w:r>
        <w:r w:rsidR="00FB081A">
          <w:rPr>
            <w:noProof/>
            <w:webHidden/>
          </w:rPr>
          <w:tab/>
        </w:r>
        <w:r w:rsidR="00FB081A">
          <w:rPr>
            <w:noProof/>
            <w:webHidden/>
          </w:rPr>
          <w:fldChar w:fldCharType="begin"/>
        </w:r>
        <w:r w:rsidR="00FB081A">
          <w:rPr>
            <w:noProof/>
            <w:webHidden/>
          </w:rPr>
          <w:instrText xml:space="preserve"> PAGEREF _Toc90727385 \h </w:instrText>
        </w:r>
        <w:r w:rsidR="00FB081A">
          <w:rPr>
            <w:noProof/>
            <w:webHidden/>
          </w:rPr>
        </w:r>
        <w:r w:rsidR="00FB081A">
          <w:rPr>
            <w:noProof/>
            <w:webHidden/>
          </w:rPr>
          <w:fldChar w:fldCharType="separate"/>
        </w:r>
        <w:r w:rsidR="00FB081A">
          <w:rPr>
            <w:noProof/>
            <w:webHidden/>
          </w:rPr>
          <w:t>202</w:t>
        </w:r>
        <w:r w:rsidR="00FB081A">
          <w:rPr>
            <w:noProof/>
            <w:webHidden/>
          </w:rPr>
          <w:fldChar w:fldCharType="end"/>
        </w:r>
      </w:hyperlink>
    </w:p>
    <w:p w14:paraId="2F7B4127" w14:textId="34A2945C" w:rsidR="00FB081A" w:rsidRDefault="000B273D">
      <w:pPr>
        <w:pStyle w:val="TableofFigures"/>
        <w:rPr>
          <w:rFonts w:asciiTheme="minorHAnsi" w:eastAsiaTheme="minorEastAsia" w:hAnsiTheme="minorHAnsi" w:cstheme="minorBidi"/>
          <w:noProof/>
          <w:sz w:val="22"/>
          <w:lang w:val="en-US"/>
        </w:rPr>
      </w:pPr>
      <w:hyperlink w:anchor="_Toc90727386" w:history="1">
        <w:r w:rsidR="00FB081A" w:rsidRPr="008B1D0B">
          <w:rPr>
            <w:rStyle w:val="Hyperlink"/>
            <w:noProof/>
          </w:rPr>
          <w:t xml:space="preserve">Graph 50: </w:t>
        </w:r>
        <w:r w:rsidR="00FB081A">
          <w:rPr>
            <w:rFonts w:asciiTheme="minorHAnsi" w:eastAsiaTheme="minorEastAsia" w:hAnsiTheme="minorHAnsi" w:cstheme="minorBidi"/>
            <w:noProof/>
            <w:sz w:val="22"/>
            <w:lang w:val="en-US"/>
          </w:rPr>
          <w:tab/>
        </w:r>
        <w:r w:rsidR="00FB081A" w:rsidRPr="008B1D0B">
          <w:rPr>
            <w:rStyle w:val="Hyperlink"/>
            <w:noProof/>
          </w:rPr>
          <w:t>Changes in employment from 2018 in baseline projections and in the Green Deal scenario in Mureș;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_Toc90727386 \h </w:instrText>
        </w:r>
        <w:r w:rsidR="00FB081A">
          <w:rPr>
            <w:noProof/>
            <w:webHidden/>
          </w:rPr>
        </w:r>
        <w:r w:rsidR="00FB081A">
          <w:rPr>
            <w:noProof/>
            <w:webHidden/>
          </w:rPr>
          <w:fldChar w:fldCharType="separate"/>
        </w:r>
        <w:r w:rsidR="00FB081A">
          <w:rPr>
            <w:noProof/>
            <w:webHidden/>
          </w:rPr>
          <w:t>202</w:t>
        </w:r>
        <w:r w:rsidR="00FB081A">
          <w:rPr>
            <w:noProof/>
            <w:webHidden/>
          </w:rPr>
          <w:fldChar w:fldCharType="end"/>
        </w:r>
      </w:hyperlink>
    </w:p>
    <w:p w14:paraId="267F46B1" w14:textId="337AE628" w:rsidR="00FB081A" w:rsidRDefault="000B273D">
      <w:pPr>
        <w:pStyle w:val="TableofFigures"/>
        <w:rPr>
          <w:rFonts w:asciiTheme="minorHAnsi" w:eastAsiaTheme="minorEastAsia" w:hAnsiTheme="minorHAnsi" w:cstheme="minorBidi"/>
          <w:noProof/>
          <w:sz w:val="22"/>
          <w:lang w:val="en-US"/>
        </w:rPr>
      </w:pPr>
      <w:hyperlink w:anchor="_Toc90727387" w:history="1">
        <w:r w:rsidR="00FB081A" w:rsidRPr="008B1D0B">
          <w:rPr>
            <w:rStyle w:val="Hyperlink"/>
            <w:noProof/>
          </w:rPr>
          <w:t>Graph 51: GVA impact in Mureș County (RO125)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_Toc90727387 \h </w:instrText>
        </w:r>
        <w:r w:rsidR="00FB081A">
          <w:rPr>
            <w:noProof/>
            <w:webHidden/>
          </w:rPr>
        </w:r>
        <w:r w:rsidR="00FB081A">
          <w:rPr>
            <w:noProof/>
            <w:webHidden/>
          </w:rPr>
          <w:fldChar w:fldCharType="separate"/>
        </w:r>
        <w:r w:rsidR="00FB081A">
          <w:rPr>
            <w:noProof/>
            <w:webHidden/>
          </w:rPr>
          <w:t>203</w:t>
        </w:r>
        <w:r w:rsidR="00FB081A">
          <w:rPr>
            <w:noProof/>
            <w:webHidden/>
          </w:rPr>
          <w:fldChar w:fldCharType="end"/>
        </w:r>
      </w:hyperlink>
    </w:p>
    <w:p w14:paraId="7BC7BFC0" w14:textId="4E27FE60" w:rsidR="00FB081A" w:rsidRDefault="000B273D">
      <w:pPr>
        <w:pStyle w:val="TableofFigures"/>
        <w:rPr>
          <w:rFonts w:asciiTheme="minorHAnsi" w:eastAsiaTheme="minorEastAsia" w:hAnsiTheme="minorHAnsi" w:cstheme="minorBidi"/>
          <w:noProof/>
          <w:sz w:val="22"/>
          <w:lang w:val="en-US"/>
        </w:rPr>
      </w:pPr>
      <w:hyperlink w:anchor="_Toc90727388" w:history="1">
        <w:r w:rsidR="00FB081A" w:rsidRPr="008B1D0B">
          <w:rPr>
            <w:rStyle w:val="Hyperlink"/>
            <w:noProof/>
          </w:rPr>
          <w:t>Graph 52: Employment impact in Mureș County (RO125)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_Toc90727388 \h </w:instrText>
        </w:r>
        <w:r w:rsidR="00FB081A">
          <w:rPr>
            <w:noProof/>
            <w:webHidden/>
          </w:rPr>
        </w:r>
        <w:r w:rsidR="00FB081A">
          <w:rPr>
            <w:noProof/>
            <w:webHidden/>
          </w:rPr>
          <w:fldChar w:fldCharType="separate"/>
        </w:r>
        <w:r w:rsidR="00FB081A">
          <w:rPr>
            <w:noProof/>
            <w:webHidden/>
          </w:rPr>
          <w:t>204</w:t>
        </w:r>
        <w:r w:rsidR="00FB081A">
          <w:rPr>
            <w:noProof/>
            <w:webHidden/>
          </w:rPr>
          <w:fldChar w:fldCharType="end"/>
        </w:r>
      </w:hyperlink>
    </w:p>
    <w:p w14:paraId="39142595" w14:textId="5BE52A1D" w:rsidR="00FB081A" w:rsidRDefault="000B273D">
      <w:pPr>
        <w:pStyle w:val="TableofFigures"/>
        <w:rPr>
          <w:rFonts w:asciiTheme="minorHAnsi" w:eastAsiaTheme="minorEastAsia" w:hAnsiTheme="minorHAnsi" w:cstheme="minorBidi"/>
          <w:noProof/>
          <w:sz w:val="22"/>
          <w:lang w:val="en-US"/>
        </w:rPr>
      </w:pPr>
      <w:hyperlink w:anchor="_Toc90727389" w:history="1">
        <w:r w:rsidR="00FB081A" w:rsidRPr="008B1D0B">
          <w:rPr>
            <w:rStyle w:val="Hyperlink"/>
            <w:noProof/>
          </w:rPr>
          <w:t>Graph 53; Unemployment evolution, 2010-2020, Galați County</w:t>
        </w:r>
        <w:r w:rsidR="00FB081A">
          <w:rPr>
            <w:noProof/>
            <w:webHidden/>
          </w:rPr>
          <w:tab/>
        </w:r>
        <w:r w:rsidR="00FB081A">
          <w:rPr>
            <w:noProof/>
            <w:webHidden/>
          </w:rPr>
          <w:fldChar w:fldCharType="begin"/>
        </w:r>
        <w:r w:rsidR="00FB081A">
          <w:rPr>
            <w:noProof/>
            <w:webHidden/>
          </w:rPr>
          <w:instrText xml:space="preserve"> PAGEREF _Toc90727389 \h </w:instrText>
        </w:r>
        <w:r w:rsidR="00FB081A">
          <w:rPr>
            <w:noProof/>
            <w:webHidden/>
          </w:rPr>
        </w:r>
        <w:r w:rsidR="00FB081A">
          <w:rPr>
            <w:noProof/>
            <w:webHidden/>
          </w:rPr>
          <w:fldChar w:fldCharType="separate"/>
        </w:r>
        <w:r w:rsidR="00FB081A">
          <w:rPr>
            <w:noProof/>
            <w:webHidden/>
          </w:rPr>
          <w:t>220</w:t>
        </w:r>
        <w:r w:rsidR="00FB081A">
          <w:rPr>
            <w:noProof/>
            <w:webHidden/>
          </w:rPr>
          <w:fldChar w:fldCharType="end"/>
        </w:r>
      </w:hyperlink>
    </w:p>
    <w:p w14:paraId="54F29048" w14:textId="54D4A2FD" w:rsidR="00FB081A" w:rsidRDefault="000B273D">
      <w:pPr>
        <w:pStyle w:val="TableofFigures"/>
        <w:rPr>
          <w:rFonts w:asciiTheme="minorHAnsi" w:eastAsiaTheme="minorEastAsia" w:hAnsiTheme="minorHAnsi" w:cstheme="minorBidi"/>
          <w:noProof/>
          <w:sz w:val="22"/>
          <w:lang w:val="en-US"/>
        </w:rPr>
      </w:pPr>
      <w:hyperlink w:anchor="_Toc90727390" w:history="1">
        <w:r w:rsidR="00FB081A" w:rsidRPr="008B1D0B">
          <w:rPr>
            <w:rStyle w:val="Hyperlink"/>
            <w:noProof/>
          </w:rPr>
          <w:t>Graph 54: Representativeness of the target age groups of the social, health and education infrastructure (young and old) in Galați</w:t>
        </w:r>
        <w:r w:rsidR="00FB081A" w:rsidRPr="008B1D0B">
          <w:rPr>
            <w:rStyle w:val="Hyperlink"/>
            <w:noProof/>
            <w:lang w:val="ro-RO"/>
          </w:rPr>
          <w:t xml:space="preserve"> </w:t>
        </w:r>
        <w:r w:rsidR="00FB081A" w:rsidRPr="008B1D0B">
          <w:rPr>
            <w:rStyle w:val="Hyperlink"/>
            <w:noProof/>
          </w:rPr>
          <w:t>County as compared to national level, 2020</w:t>
        </w:r>
        <w:r w:rsidR="00FB081A">
          <w:rPr>
            <w:noProof/>
            <w:webHidden/>
          </w:rPr>
          <w:tab/>
        </w:r>
        <w:r w:rsidR="00FB081A">
          <w:rPr>
            <w:noProof/>
            <w:webHidden/>
          </w:rPr>
          <w:fldChar w:fldCharType="begin"/>
        </w:r>
        <w:r w:rsidR="00FB081A">
          <w:rPr>
            <w:noProof/>
            <w:webHidden/>
          </w:rPr>
          <w:instrText xml:space="preserve"> PAGEREF _Toc90727390 \h </w:instrText>
        </w:r>
        <w:r w:rsidR="00FB081A">
          <w:rPr>
            <w:noProof/>
            <w:webHidden/>
          </w:rPr>
        </w:r>
        <w:r w:rsidR="00FB081A">
          <w:rPr>
            <w:noProof/>
            <w:webHidden/>
          </w:rPr>
          <w:fldChar w:fldCharType="separate"/>
        </w:r>
        <w:r w:rsidR="00FB081A">
          <w:rPr>
            <w:noProof/>
            <w:webHidden/>
          </w:rPr>
          <w:t>221</w:t>
        </w:r>
        <w:r w:rsidR="00FB081A">
          <w:rPr>
            <w:noProof/>
            <w:webHidden/>
          </w:rPr>
          <w:fldChar w:fldCharType="end"/>
        </w:r>
      </w:hyperlink>
    </w:p>
    <w:p w14:paraId="7895FB1C" w14:textId="27E2830A" w:rsidR="00FB081A" w:rsidRDefault="000B273D">
      <w:pPr>
        <w:pStyle w:val="TableofFigures"/>
        <w:rPr>
          <w:rFonts w:asciiTheme="minorHAnsi" w:eastAsiaTheme="minorEastAsia" w:hAnsiTheme="minorHAnsi" w:cstheme="minorBidi"/>
          <w:noProof/>
          <w:sz w:val="22"/>
          <w:lang w:val="en-US"/>
        </w:rPr>
      </w:pPr>
      <w:hyperlink w:anchor="_Toc90727391" w:history="1">
        <w:r w:rsidR="00FB081A" w:rsidRPr="008B1D0B">
          <w:rPr>
            <w:rStyle w:val="Hyperlink"/>
            <w:noProof/>
          </w:rPr>
          <w:t>Graph 55: Supply curve of onshore wind in Galați County</w:t>
        </w:r>
        <w:r w:rsidR="00FB081A">
          <w:rPr>
            <w:noProof/>
            <w:webHidden/>
          </w:rPr>
          <w:tab/>
        </w:r>
        <w:r w:rsidR="00FB081A">
          <w:rPr>
            <w:noProof/>
            <w:webHidden/>
          </w:rPr>
          <w:fldChar w:fldCharType="begin"/>
        </w:r>
        <w:r w:rsidR="00FB081A">
          <w:rPr>
            <w:noProof/>
            <w:webHidden/>
          </w:rPr>
          <w:instrText xml:space="preserve"> PAGEREF _Toc90727391 \h </w:instrText>
        </w:r>
        <w:r w:rsidR="00FB081A">
          <w:rPr>
            <w:noProof/>
            <w:webHidden/>
          </w:rPr>
        </w:r>
        <w:r w:rsidR="00FB081A">
          <w:rPr>
            <w:noProof/>
            <w:webHidden/>
          </w:rPr>
          <w:fldChar w:fldCharType="separate"/>
        </w:r>
        <w:r w:rsidR="00FB081A">
          <w:rPr>
            <w:noProof/>
            <w:webHidden/>
          </w:rPr>
          <w:t>225</w:t>
        </w:r>
        <w:r w:rsidR="00FB081A">
          <w:rPr>
            <w:noProof/>
            <w:webHidden/>
          </w:rPr>
          <w:fldChar w:fldCharType="end"/>
        </w:r>
      </w:hyperlink>
    </w:p>
    <w:p w14:paraId="2CCF6306" w14:textId="6E4A269E" w:rsidR="00FB081A" w:rsidRDefault="000B273D">
      <w:pPr>
        <w:pStyle w:val="TableofFigures"/>
        <w:rPr>
          <w:rFonts w:asciiTheme="minorHAnsi" w:eastAsiaTheme="minorEastAsia" w:hAnsiTheme="minorHAnsi" w:cstheme="minorBidi"/>
          <w:noProof/>
          <w:sz w:val="22"/>
          <w:lang w:val="en-US"/>
        </w:rPr>
      </w:pPr>
      <w:hyperlink w:anchor="_Toc90727392" w:history="1">
        <w:r w:rsidR="00FB081A" w:rsidRPr="008B1D0B">
          <w:rPr>
            <w:rStyle w:val="Hyperlink"/>
            <w:noProof/>
          </w:rPr>
          <w:t>Graph 56: Verified emissions vs. allowances under EU ETS</w:t>
        </w:r>
        <w:r w:rsidR="00FB081A">
          <w:rPr>
            <w:noProof/>
            <w:webHidden/>
          </w:rPr>
          <w:tab/>
        </w:r>
        <w:r w:rsidR="00FB081A">
          <w:rPr>
            <w:noProof/>
            <w:webHidden/>
          </w:rPr>
          <w:fldChar w:fldCharType="begin"/>
        </w:r>
        <w:r w:rsidR="00FB081A">
          <w:rPr>
            <w:noProof/>
            <w:webHidden/>
          </w:rPr>
          <w:instrText xml:space="preserve"> PAGEREF _Toc90727392 \h </w:instrText>
        </w:r>
        <w:r w:rsidR="00FB081A">
          <w:rPr>
            <w:noProof/>
            <w:webHidden/>
          </w:rPr>
        </w:r>
        <w:r w:rsidR="00FB081A">
          <w:rPr>
            <w:noProof/>
            <w:webHidden/>
          </w:rPr>
          <w:fldChar w:fldCharType="separate"/>
        </w:r>
        <w:r w:rsidR="00FB081A">
          <w:rPr>
            <w:noProof/>
            <w:webHidden/>
          </w:rPr>
          <w:t>226</w:t>
        </w:r>
        <w:r w:rsidR="00FB081A">
          <w:rPr>
            <w:noProof/>
            <w:webHidden/>
          </w:rPr>
          <w:fldChar w:fldCharType="end"/>
        </w:r>
      </w:hyperlink>
    </w:p>
    <w:p w14:paraId="2B16AEC7" w14:textId="77DACA7A" w:rsidR="00FB081A" w:rsidRDefault="000B273D">
      <w:pPr>
        <w:pStyle w:val="TableofFigures"/>
        <w:rPr>
          <w:rFonts w:asciiTheme="minorHAnsi" w:eastAsiaTheme="minorEastAsia" w:hAnsiTheme="minorHAnsi" w:cstheme="minorBidi"/>
          <w:noProof/>
          <w:sz w:val="22"/>
          <w:lang w:val="en-US"/>
        </w:rPr>
      </w:pPr>
      <w:hyperlink w:anchor="_Toc90727393" w:history="1">
        <w:r w:rsidR="00FB081A" w:rsidRPr="008B1D0B">
          <w:rPr>
            <w:rStyle w:val="Hyperlink"/>
            <w:noProof/>
          </w:rPr>
          <w:t>Graph 57: Changes in employment from 2018 in baseline projections in Galați;  left panel - changes by sector; right panel – changes by occupation</w:t>
        </w:r>
        <w:r w:rsidR="00FB081A">
          <w:rPr>
            <w:noProof/>
            <w:webHidden/>
          </w:rPr>
          <w:tab/>
        </w:r>
        <w:r w:rsidR="00FB081A">
          <w:rPr>
            <w:noProof/>
            <w:webHidden/>
          </w:rPr>
          <w:fldChar w:fldCharType="begin"/>
        </w:r>
        <w:r w:rsidR="00FB081A">
          <w:rPr>
            <w:noProof/>
            <w:webHidden/>
          </w:rPr>
          <w:instrText xml:space="preserve"> PAGEREF _Toc90727393 \h </w:instrText>
        </w:r>
        <w:r w:rsidR="00FB081A">
          <w:rPr>
            <w:noProof/>
            <w:webHidden/>
          </w:rPr>
        </w:r>
        <w:r w:rsidR="00FB081A">
          <w:rPr>
            <w:noProof/>
            <w:webHidden/>
          </w:rPr>
          <w:fldChar w:fldCharType="separate"/>
        </w:r>
        <w:r w:rsidR="00FB081A">
          <w:rPr>
            <w:noProof/>
            <w:webHidden/>
          </w:rPr>
          <w:t>231</w:t>
        </w:r>
        <w:r w:rsidR="00FB081A">
          <w:rPr>
            <w:noProof/>
            <w:webHidden/>
          </w:rPr>
          <w:fldChar w:fldCharType="end"/>
        </w:r>
      </w:hyperlink>
    </w:p>
    <w:p w14:paraId="203BDAB7" w14:textId="025B3E3F" w:rsidR="00FB081A" w:rsidRDefault="000B273D">
      <w:pPr>
        <w:pStyle w:val="TableofFigures"/>
        <w:rPr>
          <w:rFonts w:asciiTheme="minorHAnsi" w:eastAsiaTheme="minorEastAsia" w:hAnsiTheme="minorHAnsi" w:cstheme="minorBidi"/>
          <w:noProof/>
          <w:sz w:val="22"/>
          <w:lang w:val="en-US"/>
        </w:rPr>
      </w:pPr>
      <w:hyperlink w:anchor="_Toc90727394" w:history="1">
        <w:r w:rsidR="00FB081A" w:rsidRPr="008B1D0B">
          <w:rPr>
            <w:rStyle w:val="Hyperlink"/>
            <w:noProof/>
          </w:rPr>
          <w:t xml:space="preserve">Graph 58: </w:t>
        </w:r>
        <w:r w:rsidR="00FB081A">
          <w:rPr>
            <w:rFonts w:asciiTheme="minorHAnsi" w:eastAsiaTheme="minorEastAsia" w:hAnsiTheme="minorHAnsi" w:cstheme="minorBidi"/>
            <w:noProof/>
            <w:sz w:val="22"/>
            <w:lang w:val="en-US"/>
          </w:rPr>
          <w:tab/>
        </w:r>
        <w:r w:rsidR="00FB081A" w:rsidRPr="008B1D0B">
          <w:rPr>
            <w:rStyle w:val="Hyperlink"/>
            <w:noProof/>
          </w:rPr>
          <w:t>Changes in employment from 2018 in baseline projections and in the Green Deal scenario in Galați; left panel – changes by sector and occupation in baseline; right panel – changes by sector and occupation in the Green Deal scenario compared to the baseline</w:t>
        </w:r>
        <w:r w:rsidR="00FB081A">
          <w:rPr>
            <w:noProof/>
            <w:webHidden/>
          </w:rPr>
          <w:tab/>
        </w:r>
        <w:r w:rsidR="00FB081A">
          <w:rPr>
            <w:noProof/>
            <w:webHidden/>
          </w:rPr>
          <w:fldChar w:fldCharType="begin"/>
        </w:r>
        <w:r w:rsidR="00FB081A">
          <w:rPr>
            <w:noProof/>
            <w:webHidden/>
          </w:rPr>
          <w:instrText xml:space="preserve"> PAGEREF _Toc90727394 \h </w:instrText>
        </w:r>
        <w:r w:rsidR="00FB081A">
          <w:rPr>
            <w:noProof/>
            <w:webHidden/>
          </w:rPr>
        </w:r>
        <w:r w:rsidR="00FB081A">
          <w:rPr>
            <w:noProof/>
            <w:webHidden/>
          </w:rPr>
          <w:fldChar w:fldCharType="separate"/>
        </w:r>
        <w:r w:rsidR="00FB081A">
          <w:rPr>
            <w:noProof/>
            <w:webHidden/>
          </w:rPr>
          <w:t>232</w:t>
        </w:r>
        <w:r w:rsidR="00FB081A">
          <w:rPr>
            <w:noProof/>
            <w:webHidden/>
          </w:rPr>
          <w:fldChar w:fldCharType="end"/>
        </w:r>
      </w:hyperlink>
    </w:p>
    <w:p w14:paraId="334270D4" w14:textId="5ED29ED2" w:rsidR="00FB081A" w:rsidRDefault="000B273D">
      <w:pPr>
        <w:pStyle w:val="TableofFigures"/>
        <w:rPr>
          <w:rFonts w:asciiTheme="minorHAnsi" w:eastAsiaTheme="minorEastAsia" w:hAnsiTheme="minorHAnsi" w:cstheme="minorBidi"/>
          <w:noProof/>
          <w:sz w:val="22"/>
          <w:lang w:val="en-US"/>
        </w:rPr>
      </w:pPr>
      <w:hyperlink w:anchor="_Toc90727395" w:history="1">
        <w:r w:rsidR="00FB081A" w:rsidRPr="008B1D0B">
          <w:rPr>
            <w:rStyle w:val="Hyperlink"/>
            <w:noProof/>
          </w:rPr>
          <w:t>Graph 59: GVA impact in Galați County (RO224) in 2030 by sectors, resulting from a total of EUR 100 million investment over the years 2021-2027 under the three illustrative action categories, EUR million (current prices)</w:t>
        </w:r>
        <w:r w:rsidR="00FB081A">
          <w:rPr>
            <w:noProof/>
            <w:webHidden/>
          </w:rPr>
          <w:tab/>
        </w:r>
        <w:r w:rsidR="00FB081A">
          <w:rPr>
            <w:noProof/>
            <w:webHidden/>
          </w:rPr>
          <w:fldChar w:fldCharType="begin"/>
        </w:r>
        <w:r w:rsidR="00FB081A">
          <w:rPr>
            <w:noProof/>
            <w:webHidden/>
          </w:rPr>
          <w:instrText xml:space="preserve"> PAGEREF _Toc90727395 \h </w:instrText>
        </w:r>
        <w:r w:rsidR="00FB081A">
          <w:rPr>
            <w:noProof/>
            <w:webHidden/>
          </w:rPr>
        </w:r>
        <w:r w:rsidR="00FB081A">
          <w:rPr>
            <w:noProof/>
            <w:webHidden/>
          </w:rPr>
          <w:fldChar w:fldCharType="separate"/>
        </w:r>
        <w:r w:rsidR="00FB081A">
          <w:rPr>
            <w:noProof/>
            <w:webHidden/>
          </w:rPr>
          <w:t>233</w:t>
        </w:r>
        <w:r w:rsidR="00FB081A">
          <w:rPr>
            <w:noProof/>
            <w:webHidden/>
          </w:rPr>
          <w:fldChar w:fldCharType="end"/>
        </w:r>
      </w:hyperlink>
    </w:p>
    <w:p w14:paraId="16EF4065" w14:textId="5BC2CCB7" w:rsidR="00FB081A" w:rsidRDefault="000B273D">
      <w:pPr>
        <w:pStyle w:val="TableofFigures"/>
        <w:rPr>
          <w:rFonts w:asciiTheme="minorHAnsi" w:eastAsiaTheme="minorEastAsia" w:hAnsiTheme="minorHAnsi" w:cstheme="minorBidi"/>
          <w:noProof/>
          <w:sz w:val="22"/>
          <w:lang w:val="en-US"/>
        </w:rPr>
      </w:pPr>
      <w:hyperlink w:anchor="_Toc90727396" w:history="1">
        <w:r w:rsidR="00FB081A" w:rsidRPr="008B1D0B">
          <w:rPr>
            <w:rStyle w:val="Hyperlink"/>
            <w:noProof/>
          </w:rPr>
          <w:t>Graph 60: Employment impact in Galați County (RO224) in 2030 by sectors, resulting from a total of EUR 100 million investment over the years 2021-2027 under the three illustrative action categories, '000 jobs</w:t>
        </w:r>
        <w:r w:rsidR="00FB081A">
          <w:rPr>
            <w:noProof/>
            <w:webHidden/>
          </w:rPr>
          <w:tab/>
        </w:r>
        <w:r w:rsidR="00FB081A">
          <w:rPr>
            <w:noProof/>
            <w:webHidden/>
          </w:rPr>
          <w:fldChar w:fldCharType="begin"/>
        </w:r>
        <w:r w:rsidR="00FB081A">
          <w:rPr>
            <w:noProof/>
            <w:webHidden/>
          </w:rPr>
          <w:instrText xml:space="preserve"> PAGEREF _Toc90727396 \h </w:instrText>
        </w:r>
        <w:r w:rsidR="00FB081A">
          <w:rPr>
            <w:noProof/>
            <w:webHidden/>
          </w:rPr>
        </w:r>
        <w:r w:rsidR="00FB081A">
          <w:rPr>
            <w:noProof/>
            <w:webHidden/>
          </w:rPr>
          <w:fldChar w:fldCharType="separate"/>
        </w:r>
        <w:r w:rsidR="00FB081A">
          <w:rPr>
            <w:noProof/>
            <w:webHidden/>
          </w:rPr>
          <w:t>233</w:t>
        </w:r>
        <w:r w:rsidR="00FB081A">
          <w:rPr>
            <w:noProof/>
            <w:webHidden/>
          </w:rPr>
          <w:fldChar w:fldCharType="end"/>
        </w:r>
      </w:hyperlink>
    </w:p>
    <w:p w14:paraId="73863230" w14:textId="7E3F1004" w:rsidR="00FB081A" w:rsidRDefault="000B273D">
      <w:pPr>
        <w:pStyle w:val="TableofFigures"/>
        <w:rPr>
          <w:rFonts w:asciiTheme="minorHAnsi" w:eastAsiaTheme="minorEastAsia" w:hAnsiTheme="minorHAnsi" w:cstheme="minorBidi"/>
          <w:noProof/>
          <w:sz w:val="22"/>
          <w:lang w:val="en-US"/>
        </w:rPr>
      </w:pPr>
      <w:hyperlink w:anchor="_Toc90727397" w:history="1">
        <w:r w:rsidR="00FB081A" w:rsidRPr="008B1D0B">
          <w:rPr>
            <w:rStyle w:val="Hyperlink"/>
            <w:noProof/>
          </w:rPr>
          <w:t>Graph 61: Geographical outreach of microfinance services</w:t>
        </w:r>
        <w:r w:rsidR="00FB081A">
          <w:rPr>
            <w:noProof/>
            <w:webHidden/>
          </w:rPr>
          <w:tab/>
        </w:r>
        <w:r w:rsidR="00FB081A">
          <w:rPr>
            <w:noProof/>
            <w:webHidden/>
          </w:rPr>
          <w:fldChar w:fldCharType="begin"/>
        </w:r>
        <w:r w:rsidR="00FB081A">
          <w:rPr>
            <w:noProof/>
            <w:webHidden/>
          </w:rPr>
          <w:instrText xml:space="preserve"> PAGEREF _Toc90727397 \h </w:instrText>
        </w:r>
        <w:r w:rsidR="00FB081A">
          <w:rPr>
            <w:noProof/>
            <w:webHidden/>
          </w:rPr>
        </w:r>
        <w:r w:rsidR="00FB081A">
          <w:rPr>
            <w:noProof/>
            <w:webHidden/>
          </w:rPr>
          <w:fldChar w:fldCharType="separate"/>
        </w:r>
        <w:r w:rsidR="00FB081A">
          <w:rPr>
            <w:noProof/>
            <w:webHidden/>
          </w:rPr>
          <w:t>249</w:t>
        </w:r>
        <w:r w:rsidR="00FB081A">
          <w:rPr>
            <w:noProof/>
            <w:webHidden/>
          </w:rPr>
          <w:fldChar w:fldCharType="end"/>
        </w:r>
      </w:hyperlink>
    </w:p>
    <w:p w14:paraId="7E4050EC" w14:textId="21FCB891" w:rsidR="00FB081A" w:rsidRDefault="000B273D">
      <w:pPr>
        <w:pStyle w:val="TableofFigures"/>
        <w:rPr>
          <w:rFonts w:asciiTheme="minorHAnsi" w:eastAsiaTheme="minorEastAsia" w:hAnsiTheme="minorHAnsi" w:cstheme="minorBidi"/>
          <w:noProof/>
          <w:sz w:val="22"/>
          <w:lang w:val="en-US"/>
        </w:rPr>
      </w:pPr>
      <w:hyperlink w:anchor="_Toc90727398" w:history="1">
        <w:r w:rsidR="00FB081A" w:rsidRPr="008B1D0B">
          <w:rPr>
            <w:rStyle w:val="Hyperlink"/>
            <w:noProof/>
          </w:rPr>
          <w:t>Graph 62: Share of project number among regions</w:t>
        </w:r>
        <w:r w:rsidR="00FB081A">
          <w:rPr>
            <w:noProof/>
            <w:webHidden/>
          </w:rPr>
          <w:tab/>
        </w:r>
        <w:r w:rsidR="00FB081A">
          <w:rPr>
            <w:noProof/>
            <w:webHidden/>
          </w:rPr>
          <w:fldChar w:fldCharType="begin"/>
        </w:r>
        <w:r w:rsidR="00FB081A">
          <w:rPr>
            <w:noProof/>
            <w:webHidden/>
          </w:rPr>
          <w:instrText xml:space="preserve"> PAGEREF _Toc90727398 \h </w:instrText>
        </w:r>
        <w:r w:rsidR="00FB081A">
          <w:rPr>
            <w:noProof/>
            <w:webHidden/>
          </w:rPr>
        </w:r>
        <w:r w:rsidR="00FB081A">
          <w:rPr>
            <w:noProof/>
            <w:webHidden/>
          </w:rPr>
          <w:fldChar w:fldCharType="separate"/>
        </w:r>
        <w:r w:rsidR="00FB081A">
          <w:rPr>
            <w:noProof/>
            <w:webHidden/>
          </w:rPr>
          <w:t>251</w:t>
        </w:r>
        <w:r w:rsidR="00FB081A">
          <w:rPr>
            <w:noProof/>
            <w:webHidden/>
          </w:rPr>
          <w:fldChar w:fldCharType="end"/>
        </w:r>
      </w:hyperlink>
    </w:p>
    <w:p w14:paraId="046D66BF" w14:textId="14850984" w:rsidR="00FB081A" w:rsidRDefault="000B273D">
      <w:pPr>
        <w:pStyle w:val="TableofFigures"/>
        <w:rPr>
          <w:rFonts w:asciiTheme="minorHAnsi" w:eastAsiaTheme="minorEastAsia" w:hAnsiTheme="minorHAnsi" w:cstheme="minorBidi"/>
          <w:noProof/>
          <w:sz w:val="22"/>
          <w:lang w:val="en-US"/>
        </w:rPr>
      </w:pPr>
      <w:hyperlink w:anchor="_Toc90727399" w:history="1">
        <w:r w:rsidR="00FB081A" w:rsidRPr="008B1D0B">
          <w:rPr>
            <w:rStyle w:val="Hyperlink"/>
            <w:noProof/>
          </w:rPr>
          <w:t>Graph 63: Breakdown of the requested amounts by regions</w:t>
        </w:r>
        <w:r w:rsidR="00FB081A">
          <w:rPr>
            <w:noProof/>
            <w:webHidden/>
          </w:rPr>
          <w:tab/>
        </w:r>
        <w:r w:rsidR="00FB081A">
          <w:rPr>
            <w:noProof/>
            <w:webHidden/>
          </w:rPr>
          <w:fldChar w:fldCharType="begin"/>
        </w:r>
        <w:r w:rsidR="00FB081A">
          <w:rPr>
            <w:noProof/>
            <w:webHidden/>
          </w:rPr>
          <w:instrText xml:space="preserve"> PAGEREF _Toc90727399 \h </w:instrText>
        </w:r>
        <w:r w:rsidR="00FB081A">
          <w:rPr>
            <w:noProof/>
            <w:webHidden/>
          </w:rPr>
        </w:r>
        <w:r w:rsidR="00FB081A">
          <w:rPr>
            <w:noProof/>
            <w:webHidden/>
          </w:rPr>
          <w:fldChar w:fldCharType="separate"/>
        </w:r>
        <w:r w:rsidR="00FB081A">
          <w:rPr>
            <w:noProof/>
            <w:webHidden/>
          </w:rPr>
          <w:t>252</w:t>
        </w:r>
        <w:r w:rsidR="00FB081A">
          <w:rPr>
            <w:noProof/>
            <w:webHidden/>
          </w:rPr>
          <w:fldChar w:fldCharType="end"/>
        </w:r>
      </w:hyperlink>
    </w:p>
    <w:p w14:paraId="740B6E59" w14:textId="46BE5195" w:rsidR="00FB081A" w:rsidRDefault="000B273D">
      <w:pPr>
        <w:pStyle w:val="TableofFigures"/>
        <w:rPr>
          <w:rFonts w:asciiTheme="minorHAnsi" w:eastAsiaTheme="minorEastAsia" w:hAnsiTheme="minorHAnsi" w:cstheme="minorBidi"/>
          <w:noProof/>
          <w:sz w:val="22"/>
          <w:lang w:val="en-US"/>
        </w:rPr>
      </w:pPr>
      <w:hyperlink w:anchor="_Toc90727400" w:history="1">
        <w:r w:rsidR="00FB081A" w:rsidRPr="008B1D0B">
          <w:rPr>
            <w:rStyle w:val="Hyperlink"/>
            <w:noProof/>
          </w:rPr>
          <w:t>Graph 64: Requested funds per capita</w:t>
        </w:r>
        <w:r w:rsidR="00FB081A">
          <w:rPr>
            <w:noProof/>
            <w:webHidden/>
          </w:rPr>
          <w:tab/>
        </w:r>
        <w:r w:rsidR="00FB081A">
          <w:rPr>
            <w:noProof/>
            <w:webHidden/>
          </w:rPr>
          <w:fldChar w:fldCharType="begin"/>
        </w:r>
        <w:r w:rsidR="00FB081A">
          <w:rPr>
            <w:noProof/>
            <w:webHidden/>
          </w:rPr>
          <w:instrText xml:space="preserve"> PAGEREF _Toc90727400 \h </w:instrText>
        </w:r>
        <w:r w:rsidR="00FB081A">
          <w:rPr>
            <w:noProof/>
            <w:webHidden/>
          </w:rPr>
        </w:r>
        <w:r w:rsidR="00FB081A">
          <w:rPr>
            <w:noProof/>
            <w:webHidden/>
          </w:rPr>
          <w:fldChar w:fldCharType="separate"/>
        </w:r>
        <w:r w:rsidR="00FB081A">
          <w:rPr>
            <w:noProof/>
            <w:webHidden/>
          </w:rPr>
          <w:t>252</w:t>
        </w:r>
        <w:r w:rsidR="00FB081A">
          <w:rPr>
            <w:noProof/>
            <w:webHidden/>
          </w:rPr>
          <w:fldChar w:fldCharType="end"/>
        </w:r>
      </w:hyperlink>
    </w:p>
    <w:p w14:paraId="759538AD" w14:textId="546F2256" w:rsidR="00FB081A" w:rsidRDefault="000B273D">
      <w:pPr>
        <w:pStyle w:val="TableofFigures"/>
        <w:rPr>
          <w:rFonts w:asciiTheme="minorHAnsi" w:eastAsiaTheme="minorEastAsia" w:hAnsiTheme="minorHAnsi" w:cstheme="minorBidi"/>
          <w:noProof/>
          <w:sz w:val="22"/>
          <w:lang w:val="en-US"/>
        </w:rPr>
      </w:pPr>
      <w:hyperlink w:anchor="_Toc90727401" w:history="1">
        <w:r w:rsidR="00FB081A" w:rsidRPr="008B1D0B">
          <w:rPr>
            <w:rStyle w:val="Hyperlink"/>
            <w:noProof/>
          </w:rPr>
          <w:t>Graph 65: Breakdown of project ideas by the requested budget</w:t>
        </w:r>
        <w:r w:rsidR="00FB081A">
          <w:rPr>
            <w:noProof/>
            <w:webHidden/>
          </w:rPr>
          <w:tab/>
        </w:r>
        <w:r w:rsidR="00FB081A">
          <w:rPr>
            <w:noProof/>
            <w:webHidden/>
          </w:rPr>
          <w:fldChar w:fldCharType="begin"/>
        </w:r>
        <w:r w:rsidR="00FB081A">
          <w:rPr>
            <w:noProof/>
            <w:webHidden/>
          </w:rPr>
          <w:instrText xml:space="preserve"> PAGEREF _Toc90727401 \h </w:instrText>
        </w:r>
        <w:r w:rsidR="00FB081A">
          <w:rPr>
            <w:noProof/>
            <w:webHidden/>
          </w:rPr>
        </w:r>
        <w:r w:rsidR="00FB081A">
          <w:rPr>
            <w:noProof/>
            <w:webHidden/>
          </w:rPr>
          <w:fldChar w:fldCharType="separate"/>
        </w:r>
        <w:r w:rsidR="00FB081A">
          <w:rPr>
            <w:noProof/>
            <w:webHidden/>
          </w:rPr>
          <w:t>253</w:t>
        </w:r>
        <w:r w:rsidR="00FB081A">
          <w:rPr>
            <w:noProof/>
            <w:webHidden/>
          </w:rPr>
          <w:fldChar w:fldCharType="end"/>
        </w:r>
      </w:hyperlink>
    </w:p>
    <w:p w14:paraId="78AC37DC" w14:textId="40882FE8" w:rsidR="00FB081A" w:rsidRDefault="000B273D">
      <w:pPr>
        <w:pStyle w:val="TableofFigures"/>
        <w:rPr>
          <w:rFonts w:asciiTheme="minorHAnsi" w:eastAsiaTheme="minorEastAsia" w:hAnsiTheme="minorHAnsi" w:cstheme="minorBidi"/>
          <w:noProof/>
          <w:sz w:val="22"/>
          <w:lang w:val="en-US"/>
        </w:rPr>
      </w:pPr>
      <w:hyperlink w:anchor="_Toc90727402" w:history="1">
        <w:r w:rsidR="00FB081A" w:rsidRPr="008B1D0B">
          <w:rPr>
            <w:rStyle w:val="Hyperlink"/>
            <w:noProof/>
          </w:rPr>
          <w:t>Graph 66: The distribution of requested funds among regions and number of project ideas</w:t>
        </w:r>
        <w:r w:rsidR="00FB081A">
          <w:rPr>
            <w:noProof/>
            <w:webHidden/>
          </w:rPr>
          <w:tab/>
        </w:r>
        <w:r w:rsidR="00FB081A">
          <w:rPr>
            <w:noProof/>
            <w:webHidden/>
          </w:rPr>
          <w:fldChar w:fldCharType="begin"/>
        </w:r>
        <w:r w:rsidR="00FB081A">
          <w:rPr>
            <w:noProof/>
            <w:webHidden/>
          </w:rPr>
          <w:instrText xml:space="preserve"> PAGEREF _Toc90727402 \h </w:instrText>
        </w:r>
        <w:r w:rsidR="00FB081A">
          <w:rPr>
            <w:noProof/>
            <w:webHidden/>
          </w:rPr>
        </w:r>
        <w:r w:rsidR="00FB081A">
          <w:rPr>
            <w:noProof/>
            <w:webHidden/>
          </w:rPr>
          <w:fldChar w:fldCharType="separate"/>
        </w:r>
        <w:r w:rsidR="00FB081A">
          <w:rPr>
            <w:noProof/>
            <w:webHidden/>
          </w:rPr>
          <w:t>253</w:t>
        </w:r>
        <w:r w:rsidR="00FB081A">
          <w:rPr>
            <w:noProof/>
            <w:webHidden/>
          </w:rPr>
          <w:fldChar w:fldCharType="end"/>
        </w:r>
      </w:hyperlink>
    </w:p>
    <w:p w14:paraId="01E7EC3C" w14:textId="63C8C339" w:rsidR="00FB081A" w:rsidRDefault="000B273D">
      <w:pPr>
        <w:pStyle w:val="TableofFigures"/>
        <w:rPr>
          <w:rFonts w:asciiTheme="minorHAnsi" w:eastAsiaTheme="minorEastAsia" w:hAnsiTheme="minorHAnsi" w:cstheme="minorBidi"/>
          <w:noProof/>
          <w:sz w:val="22"/>
          <w:lang w:val="en-US"/>
        </w:rPr>
      </w:pPr>
      <w:hyperlink w:anchor="_Toc90727403" w:history="1">
        <w:r w:rsidR="00FB081A" w:rsidRPr="008B1D0B">
          <w:rPr>
            <w:rStyle w:val="Hyperlink"/>
            <w:noProof/>
          </w:rPr>
          <w:t>Graph 67: The distribution of funds among regions and requested funds</w:t>
        </w:r>
        <w:r w:rsidR="00FB081A">
          <w:rPr>
            <w:noProof/>
            <w:webHidden/>
          </w:rPr>
          <w:tab/>
        </w:r>
        <w:r w:rsidR="00FB081A">
          <w:rPr>
            <w:noProof/>
            <w:webHidden/>
          </w:rPr>
          <w:fldChar w:fldCharType="begin"/>
        </w:r>
        <w:r w:rsidR="00FB081A">
          <w:rPr>
            <w:noProof/>
            <w:webHidden/>
          </w:rPr>
          <w:instrText xml:space="preserve"> PAGEREF _Toc90727403 \h </w:instrText>
        </w:r>
        <w:r w:rsidR="00FB081A">
          <w:rPr>
            <w:noProof/>
            <w:webHidden/>
          </w:rPr>
        </w:r>
        <w:r w:rsidR="00FB081A">
          <w:rPr>
            <w:noProof/>
            <w:webHidden/>
          </w:rPr>
          <w:fldChar w:fldCharType="separate"/>
        </w:r>
        <w:r w:rsidR="00FB081A">
          <w:rPr>
            <w:noProof/>
            <w:webHidden/>
          </w:rPr>
          <w:t>254</w:t>
        </w:r>
        <w:r w:rsidR="00FB081A">
          <w:rPr>
            <w:noProof/>
            <w:webHidden/>
          </w:rPr>
          <w:fldChar w:fldCharType="end"/>
        </w:r>
      </w:hyperlink>
    </w:p>
    <w:p w14:paraId="395E7045" w14:textId="3B55EBBB" w:rsidR="00FB081A" w:rsidRDefault="000B273D">
      <w:pPr>
        <w:pStyle w:val="TableofFigures"/>
        <w:rPr>
          <w:rFonts w:asciiTheme="minorHAnsi" w:eastAsiaTheme="minorEastAsia" w:hAnsiTheme="minorHAnsi" w:cstheme="minorBidi"/>
          <w:noProof/>
          <w:sz w:val="22"/>
          <w:lang w:val="en-US"/>
        </w:rPr>
      </w:pPr>
      <w:hyperlink w:anchor="_Toc90727404" w:history="1">
        <w:r w:rsidR="00FB081A" w:rsidRPr="008B1D0B">
          <w:rPr>
            <w:rStyle w:val="Hyperlink"/>
            <w:noProof/>
          </w:rPr>
          <w:t>Graph 68: Clustering of project ideas according to the project idea type</w:t>
        </w:r>
        <w:r w:rsidR="00FB081A">
          <w:rPr>
            <w:noProof/>
            <w:webHidden/>
          </w:rPr>
          <w:tab/>
        </w:r>
        <w:r w:rsidR="00FB081A">
          <w:rPr>
            <w:noProof/>
            <w:webHidden/>
          </w:rPr>
          <w:fldChar w:fldCharType="begin"/>
        </w:r>
        <w:r w:rsidR="00FB081A">
          <w:rPr>
            <w:noProof/>
            <w:webHidden/>
          </w:rPr>
          <w:instrText xml:space="preserve"> PAGEREF _Toc90727404 \h </w:instrText>
        </w:r>
        <w:r w:rsidR="00FB081A">
          <w:rPr>
            <w:noProof/>
            <w:webHidden/>
          </w:rPr>
        </w:r>
        <w:r w:rsidR="00FB081A">
          <w:rPr>
            <w:noProof/>
            <w:webHidden/>
          </w:rPr>
          <w:fldChar w:fldCharType="separate"/>
        </w:r>
        <w:r w:rsidR="00FB081A">
          <w:rPr>
            <w:noProof/>
            <w:webHidden/>
          </w:rPr>
          <w:t>255</w:t>
        </w:r>
        <w:r w:rsidR="00FB081A">
          <w:rPr>
            <w:noProof/>
            <w:webHidden/>
          </w:rPr>
          <w:fldChar w:fldCharType="end"/>
        </w:r>
      </w:hyperlink>
    </w:p>
    <w:p w14:paraId="7705E2EE" w14:textId="061D95D3" w:rsidR="00FB081A" w:rsidRDefault="000B273D">
      <w:pPr>
        <w:pStyle w:val="TableofFigures"/>
        <w:rPr>
          <w:rFonts w:asciiTheme="minorHAnsi" w:eastAsiaTheme="minorEastAsia" w:hAnsiTheme="minorHAnsi" w:cstheme="minorBidi"/>
          <w:noProof/>
          <w:sz w:val="22"/>
          <w:lang w:val="en-US"/>
        </w:rPr>
      </w:pPr>
      <w:hyperlink w:anchor="_Toc90727405" w:history="1">
        <w:r w:rsidR="00FB081A" w:rsidRPr="008B1D0B">
          <w:rPr>
            <w:rStyle w:val="Hyperlink"/>
            <w:noProof/>
          </w:rPr>
          <w:t>Graph 69: Breakdown of job creation by region</w:t>
        </w:r>
        <w:r w:rsidR="00FB081A">
          <w:rPr>
            <w:noProof/>
            <w:webHidden/>
          </w:rPr>
          <w:tab/>
        </w:r>
        <w:r w:rsidR="00FB081A">
          <w:rPr>
            <w:noProof/>
            <w:webHidden/>
          </w:rPr>
          <w:fldChar w:fldCharType="begin"/>
        </w:r>
        <w:r w:rsidR="00FB081A">
          <w:rPr>
            <w:noProof/>
            <w:webHidden/>
          </w:rPr>
          <w:instrText xml:space="preserve"> PAGEREF _Toc90727405 \h </w:instrText>
        </w:r>
        <w:r w:rsidR="00FB081A">
          <w:rPr>
            <w:noProof/>
            <w:webHidden/>
          </w:rPr>
        </w:r>
        <w:r w:rsidR="00FB081A">
          <w:rPr>
            <w:noProof/>
            <w:webHidden/>
          </w:rPr>
          <w:fldChar w:fldCharType="separate"/>
        </w:r>
        <w:r w:rsidR="00FB081A">
          <w:rPr>
            <w:noProof/>
            <w:webHidden/>
          </w:rPr>
          <w:t>256</w:t>
        </w:r>
        <w:r w:rsidR="00FB081A">
          <w:rPr>
            <w:noProof/>
            <w:webHidden/>
          </w:rPr>
          <w:fldChar w:fldCharType="end"/>
        </w:r>
      </w:hyperlink>
    </w:p>
    <w:p w14:paraId="37DFA977" w14:textId="405194A0" w:rsidR="00FB081A" w:rsidRDefault="000B273D">
      <w:pPr>
        <w:pStyle w:val="TableofFigures"/>
        <w:rPr>
          <w:rFonts w:asciiTheme="minorHAnsi" w:eastAsiaTheme="minorEastAsia" w:hAnsiTheme="minorHAnsi" w:cstheme="minorBidi"/>
          <w:noProof/>
          <w:sz w:val="22"/>
          <w:lang w:val="en-US"/>
        </w:rPr>
      </w:pPr>
      <w:hyperlink w:anchor="_Toc90727406" w:history="1">
        <w:r w:rsidR="00FB081A" w:rsidRPr="008B1D0B">
          <w:rPr>
            <w:rStyle w:val="Hyperlink"/>
            <w:noProof/>
          </w:rPr>
          <w:t>Graph 70: Breakdown of project ideas amount by the project proponents</w:t>
        </w:r>
        <w:r w:rsidR="00FB081A">
          <w:rPr>
            <w:noProof/>
            <w:webHidden/>
          </w:rPr>
          <w:tab/>
        </w:r>
        <w:r w:rsidR="00FB081A">
          <w:rPr>
            <w:noProof/>
            <w:webHidden/>
          </w:rPr>
          <w:fldChar w:fldCharType="begin"/>
        </w:r>
        <w:r w:rsidR="00FB081A">
          <w:rPr>
            <w:noProof/>
            <w:webHidden/>
          </w:rPr>
          <w:instrText xml:space="preserve"> PAGEREF _Toc90727406 \h </w:instrText>
        </w:r>
        <w:r w:rsidR="00FB081A">
          <w:rPr>
            <w:noProof/>
            <w:webHidden/>
          </w:rPr>
        </w:r>
        <w:r w:rsidR="00FB081A">
          <w:rPr>
            <w:noProof/>
            <w:webHidden/>
          </w:rPr>
          <w:fldChar w:fldCharType="separate"/>
        </w:r>
        <w:r w:rsidR="00FB081A">
          <w:rPr>
            <w:noProof/>
            <w:webHidden/>
          </w:rPr>
          <w:t>257</w:t>
        </w:r>
        <w:r w:rsidR="00FB081A">
          <w:rPr>
            <w:noProof/>
            <w:webHidden/>
          </w:rPr>
          <w:fldChar w:fldCharType="end"/>
        </w:r>
      </w:hyperlink>
    </w:p>
    <w:p w14:paraId="1A750E61" w14:textId="1E4042F7" w:rsidR="00FB081A" w:rsidRDefault="000B273D">
      <w:pPr>
        <w:pStyle w:val="TableofFigures"/>
        <w:rPr>
          <w:rFonts w:asciiTheme="minorHAnsi" w:eastAsiaTheme="minorEastAsia" w:hAnsiTheme="minorHAnsi" w:cstheme="minorBidi"/>
          <w:noProof/>
          <w:sz w:val="22"/>
          <w:lang w:val="en-US"/>
        </w:rPr>
      </w:pPr>
      <w:hyperlink w:anchor="_Toc90727407" w:history="1">
        <w:r w:rsidR="00FB081A" w:rsidRPr="008B1D0B">
          <w:rPr>
            <w:rStyle w:val="Hyperlink"/>
            <w:noProof/>
          </w:rPr>
          <w:t>Graph 71: Breakdown of requested funds by the project ideas proponents</w:t>
        </w:r>
        <w:r w:rsidR="00FB081A">
          <w:rPr>
            <w:noProof/>
            <w:webHidden/>
          </w:rPr>
          <w:tab/>
        </w:r>
        <w:r w:rsidR="00FB081A">
          <w:rPr>
            <w:noProof/>
            <w:webHidden/>
          </w:rPr>
          <w:fldChar w:fldCharType="begin"/>
        </w:r>
        <w:r w:rsidR="00FB081A">
          <w:rPr>
            <w:noProof/>
            <w:webHidden/>
          </w:rPr>
          <w:instrText xml:space="preserve"> PAGEREF _Toc90727407 \h </w:instrText>
        </w:r>
        <w:r w:rsidR="00FB081A">
          <w:rPr>
            <w:noProof/>
            <w:webHidden/>
          </w:rPr>
        </w:r>
        <w:r w:rsidR="00FB081A">
          <w:rPr>
            <w:noProof/>
            <w:webHidden/>
          </w:rPr>
          <w:fldChar w:fldCharType="separate"/>
        </w:r>
        <w:r w:rsidR="00FB081A">
          <w:rPr>
            <w:noProof/>
            <w:webHidden/>
          </w:rPr>
          <w:t>257</w:t>
        </w:r>
        <w:r w:rsidR="00FB081A">
          <w:rPr>
            <w:noProof/>
            <w:webHidden/>
          </w:rPr>
          <w:fldChar w:fldCharType="end"/>
        </w:r>
      </w:hyperlink>
    </w:p>
    <w:p w14:paraId="17B5520B" w14:textId="4CD566A4" w:rsidR="00FB081A" w:rsidRDefault="000B273D">
      <w:pPr>
        <w:pStyle w:val="TableofFigures"/>
        <w:rPr>
          <w:rFonts w:asciiTheme="minorHAnsi" w:eastAsiaTheme="minorEastAsia" w:hAnsiTheme="minorHAnsi" w:cstheme="minorBidi"/>
          <w:noProof/>
          <w:sz w:val="22"/>
          <w:lang w:val="en-US"/>
        </w:rPr>
      </w:pPr>
      <w:hyperlink w:anchor="_Toc90727408" w:history="1">
        <w:r w:rsidR="00FB081A" w:rsidRPr="008B1D0B">
          <w:rPr>
            <w:rStyle w:val="Hyperlink"/>
            <w:noProof/>
          </w:rPr>
          <w:t>Graph 72: Breakdown of project ideas amount proposed by SMEs by region of origin</w:t>
        </w:r>
        <w:r w:rsidR="00FB081A">
          <w:rPr>
            <w:noProof/>
            <w:webHidden/>
          </w:rPr>
          <w:tab/>
        </w:r>
        <w:r w:rsidR="00FB081A">
          <w:rPr>
            <w:noProof/>
            <w:webHidden/>
          </w:rPr>
          <w:fldChar w:fldCharType="begin"/>
        </w:r>
        <w:r w:rsidR="00FB081A">
          <w:rPr>
            <w:noProof/>
            <w:webHidden/>
          </w:rPr>
          <w:instrText xml:space="preserve"> PAGEREF _Toc90727408 \h </w:instrText>
        </w:r>
        <w:r w:rsidR="00FB081A">
          <w:rPr>
            <w:noProof/>
            <w:webHidden/>
          </w:rPr>
        </w:r>
        <w:r w:rsidR="00FB081A">
          <w:rPr>
            <w:noProof/>
            <w:webHidden/>
          </w:rPr>
          <w:fldChar w:fldCharType="separate"/>
        </w:r>
        <w:r w:rsidR="00FB081A">
          <w:rPr>
            <w:noProof/>
            <w:webHidden/>
          </w:rPr>
          <w:t>258</w:t>
        </w:r>
        <w:r w:rsidR="00FB081A">
          <w:rPr>
            <w:noProof/>
            <w:webHidden/>
          </w:rPr>
          <w:fldChar w:fldCharType="end"/>
        </w:r>
      </w:hyperlink>
    </w:p>
    <w:p w14:paraId="22192952" w14:textId="33DB00F4" w:rsidR="00FB081A" w:rsidRDefault="000B273D">
      <w:pPr>
        <w:pStyle w:val="TableofFigures"/>
        <w:rPr>
          <w:rFonts w:asciiTheme="minorHAnsi" w:eastAsiaTheme="minorEastAsia" w:hAnsiTheme="minorHAnsi" w:cstheme="minorBidi"/>
          <w:noProof/>
          <w:sz w:val="22"/>
          <w:lang w:val="en-US"/>
        </w:rPr>
      </w:pPr>
      <w:hyperlink w:anchor="_Toc90727409" w:history="1">
        <w:r w:rsidR="00FB081A" w:rsidRPr="008B1D0B">
          <w:rPr>
            <w:rStyle w:val="Hyperlink"/>
            <w:noProof/>
          </w:rPr>
          <w:t>Graph 73: Breakdown of project ideas proposed by SMEs by requested amounts of funds</w:t>
        </w:r>
        <w:r w:rsidR="00FB081A">
          <w:rPr>
            <w:noProof/>
            <w:webHidden/>
          </w:rPr>
          <w:tab/>
        </w:r>
        <w:r w:rsidR="00FB081A">
          <w:rPr>
            <w:noProof/>
            <w:webHidden/>
          </w:rPr>
          <w:fldChar w:fldCharType="begin"/>
        </w:r>
        <w:r w:rsidR="00FB081A">
          <w:rPr>
            <w:noProof/>
            <w:webHidden/>
          </w:rPr>
          <w:instrText xml:space="preserve"> PAGEREF _Toc90727409 \h </w:instrText>
        </w:r>
        <w:r w:rsidR="00FB081A">
          <w:rPr>
            <w:noProof/>
            <w:webHidden/>
          </w:rPr>
        </w:r>
        <w:r w:rsidR="00FB081A">
          <w:rPr>
            <w:noProof/>
            <w:webHidden/>
          </w:rPr>
          <w:fldChar w:fldCharType="separate"/>
        </w:r>
        <w:r w:rsidR="00FB081A">
          <w:rPr>
            <w:noProof/>
            <w:webHidden/>
          </w:rPr>
          <w:t>258</w:t>
        </w:r>
        <w:r w:rsidR="00FB081A">
          <w:rPr>
            <w:noProof/>
            <w:webHidden/>
          </w:rPr>
          <w:fldChar w:fldCharType="end"/>
        </w:r>
      </w:hyperlink>
    </w:p>
    <w:p w14:paraId="3A52E08B" w14:textId="7B2B53AC" w:rsidR="00FB081A" w:rsidRDefault="000B273D">
      <w:pPr>
        <w:pStyle w:val="TableofFigures"/>
        <w:rPr>
          <w:rFonts w:asciiTheme="minorHAnsi" w:eastAsiaTheme="minorEastAsia" w:hAnsiTheme="minorHAnsi" w:cstheme="minorBidi"/>
          <w:noProof/>
          <w:sz w:val="22"/>
          <w:lang w:val="en-US"/>
        </w:rPr>
      </w:pPr>
      <w:hyperlink w:anchor="_Toc90727410" w:history="1">
        <w:r w:rsidR="00FB081A" w:rsidRPr="008B1D0B">
          <w:rPr>
            <w:rStyle w:val="Hyperlink"/>
            <w:noProof/>
          </w:rPr>
          <w:t>Graph 74: Breakdown of project ideas amount proposed by large enterprises</w:t>
        </w:r>
        <w:r w:rsidR="00FB081A">
          <w:rPr>
            <w:noProof/>
            <w:webHidden/>
          </w:rPr>
          <w:tab/>
        </w:r>
        <w:r w:rsidR="00FB081A">
          <w:rPr>
            <w:noProof/>
            <w:webHidden/>
          </w:rPr>
          <w:fldChar w:fldCharType="begin"/>
        </w:r>
        <w:r w:rsidR="00FB081A">
          <w:rPr>
            <w:noProof/>
            <w:webHidden/>
          </w:rPr>
          <w:instrText xml:space="preserve"> PAGEREF _Toc90727410 \h </w:instrText>
        </w:r>
        <w:r w:rsidR="00FB081A">
          <w:rPr>
            <w:noProof/>
            <w:webHidden/>
          </w:rPr>
        </w:r>
        <w:r w:rsidR="00FB081A">
          <w:rPr>
            <w:noProof/>
            <w:webHidden/>
          </w:rPr>
          <w:fldChar w:fldCharType="separate"/>
        </w:r>
        <w:r w:rsidR="00FB081A">
          <w:rPr>
            <w:noProof/>
            <w:webHidden/>
          </w:rPr>
          <w:t>259</w:t>
        </w:r>
        <w:r w:rsidR="00FB081A">
          <w:rPr>
            <w:noProof/>
            <w:webHidden/>
          </w:rPr>
          <w:fldChar w:fldCharType="end"/>
        </w:r>
      </w:hyperlink>
    </w:p>
    <w:p w14:paraId="187CFF5A" w14:textId="3BA83B18" w:rsidR="00FB081A" w:rsidRDefault="000B273D">
      <w:pPr>
        <w:pStyle w:val="TableofFigures"/>
        <w:rPr>
          <w:rFonts w:asciiTheme="minorHAnsi" w:eastAsiaTheme="minorEastAsia" w:hAnsiTheme="minorHAnsi" w:cstheme="minorBidi"/>
          <w:noProof/>
          <w:sz w:val="22"/>
          <w:lang w:val="en-US"/>
        </w:rPr>
      </w:pPr>
      <w:hyperlink w:anchor="_Toc90727411" w:history="1">
        <w:r w:rsidR="00FB081A" w:rsidRPr="008B1D0B">
          <w:rPr>
            <w:rStyle w:val="Hyperlink"/>
            <w:noProof/>
          </w:rPr>
          <w:t>Graph 75: Breakdown of requested funds for project ideas proposed by large enterprises</w:t>
        </w:r>
        <w:r w:rsidR="00FB081A">
          <w:rPr>
            <w:noProof/>
            <w:webHidden/>
          </w:rPr>
          <w:tab/>
        </w:r>
        <w:r w:rsidR="00FB081A">
          <w:rPr>
            <w:noProof/>
            <w:webHidden/>
          </w:rPr>
          <w:fldChar w:fldCharType="begin"/>
        </w:r>
        <w:r w:rsidR="00FB081A">
          <w:rPr>
            <w:noProof/>
            <w:webHidden/>
          </w:rPr>
          <w:instrText xml:space="preserve"> PAGEREF _Toc90727411 \h </w:instrText>
        </w:r>
        <w:r w:rsidR="00FB081A">
          <w:rPr>
            <w:noProof/>
            <w:webHidden/>
          </w:rPr>
        </w:r>
        <w:r w:rsidR="00FB081A">
          <w:rPr>
            <w:noProof/>
            <w:webHidden/>
          </w:rPr>
          <w:fldChar w:fldCharType="separate"/>
        </w:r>
        <w:r w:rsidR="00FB081A">
          <w:rPr>
            <w:noProof/>
            <w:webHidden/>
          </w:rPr>
          <w:t>259</w:t>
        </w:r>
        <w:r w:rsidR="00FB081A">
          <w:rPr>
            <w:noProof/>
            <w:webHidden/>
          </w:rPr>
          <w:fldChar w:fldCharType="end"/>
        </w:r>
      </w:hyperlink>
    </w:p>
    <w:p w14:paraId="0E5CE4C8" w14:textId="27CEBD67" w:rsidR="00FB081A" w:rsidRDefault="000B273D">
      <w:pPr>
        <w:pStyle w:val="TableofFigures"/>
        <w:rPr>
          <w:rFonts w:asciiTheme="minorHAnsi" w:eastAsiaTheme="minorEastAsia" w:hAnsiTheme="minorHAnsi" w:cstheme="minorBidi"/>
          <w:noProof/>
          <w:sz w:val="22"/>
          <w:lang w:val="en-US"/>
        </w:rPr>
      </w:pPr>
      <w:hyperlink w:anchor="_Toc90727412" w:history="1">
        <w:r w:rsidR="00FB081A" w:rsidRPr="008B1D0B">
          <w:rPr>
            <w:rStyle w:val="Hyperlink"/>
            <w:noProof/>
          </w:rPr>
          <w:t>Graph 76: Breakdown of project ideas amount by maturity level</w:t>
        </w:r>
        <w:r w:rsidR="00FB081A">
          <w:rPr>
            <w:noProof/>
            <w:webHidden/>
          </w:rPr>
          <w:tab/>
        </w:r>
        <w:r w:rsidR="00FB081A">
          <w:rPr>
            <w:noProof/>
            <w:webHidden/>
          </w:rPr>
          <w:fldChar w:fldCharType="begin"/>
        </w:r>
        <w:r w:rsidR="00FB081A">
          <w:rPr>
            <w:noProof/>
            <w:webHidden/>
          </w:rPr>
          <w:instrText xml:space="preserve"> PAGEREF _Toc90727412 \h </w:instrText>
        </w:r>
        <w:r w:rsidR="00FB081A">
          <w:rPr>
            <w:noProof/>
            <w:webHidden/>
          </w:rPr>
        </w:r>
        <w:r w:rsidR="00FB081A">
          <w:rPr>
            <w:noProof/>
            <w:webHidden/>
          </w:rPr>
          <w:fldChar w:fldCharType="separate"/>
        </w:r>
        <w:r w:rsidR="00FB081A">
          <w:rPr>
            <w:noProof/>
            <w:webHidden/>
          </w:rPr>
          <w:t>260</w:t>
        </w:r>
        <w:r w:rsidR="00FB081A">
          <w:rPr>
            <w:noProof/>
            <w:webHidden/>
          </w:rPr>
          <w:fldChar w:fldCharType="end"/>
        </w:r>
      </w:hyperlink>
    </w:p>
    <w:p w14:paraId="1CC19244" w14:textId="4D2787EB" w:rsidR="00FB081A" w:rsidRDefault="000B273D">
      <w:pPr>
        <w:pStyle w:val="TableofFigures"/>
        <w:rPr>
          <w:rFonts w:asciiTheme="minorHAnsi" w:eastAsiaTheme="minorEastAsia" w:hAnsiTheme="minorHAnsi" w:cstheme="minorBidi"/>
          <w:noProof/>
          <w:sz w:val="22"/>
          <w:lang w:val="en-US"/>
        </w:rPr>
      </w:pPr>
      <w:hyperlink w:anchor="_Toc90727413" w:history="1">
        <w:r w:rsidR="00FB081A" w:rsidRPr="008B1D0B">
          <w:rPr>
            <w:rStyle w:val="Hyperlink"/>
            <w:noProof/>
          </w:rPr>
          <w:t>Graph 77: Breakdown of project ideas funds requests by maturity level</w:t>
        </w:r>
        <w:r w:rsidR="00FB081A">
          <w:rPr>
            <w:noProof/>
            <w:webHidden/>
          </w:rPr>
          <w:tab/>
        </w:r>
        <w:r w:rsidR="00FB081A">
          <w:rPr>
            <w:noProof/>
            <w:webHidden/>
          </w:rPr>
          <w:fldChar w:fldCharType="begin"/>
        </w:r>
        <w:r w:rsidR="00FB081A">
          <w:rPr>
            <w:noProof/>
            <w:webHidden/>
          </w:rPr>
          <w:instrText xml:space="preserve"> PAGEREF _Toc90727413 \h </w:instrText>
        </w:r>
        <w:r w:rsidR="00FB081A">
          <w:rPr>
            <w:noProof/>
            <w:webHidden/>
          </w:rPr>
        </w:r>
        <w:r w:rsidR="00FB081A">
          <w:rPr>
            <w:noProof/>
            <w:webHidden/>
          </w:rPr>
          <w:fldChar w:fldCharType="separate"/>
        </w:r>
        <w:r w:rsidR="00FB081A">
          <w:rPr>
            <w:noProof/>
            <w:webHidden/>
          </w:rPr>
          <w:t>261</w:t>
        </w:r>
        <w:r w:rsidR="00FB081A">
          <w:rPr>
            <w:noProof/>
            <w:webHidden/>
          </w:rPr>
          <w:fldChar w:fldCharType="end"/>
        </w:r>
      </w:hyperlink>
    </w:p>
    <w:p w14:paraId="49150ABA" w14:textId="729A5076" w:rsidR="00FB081A" w:rsidRDefault="000B273D">
      <w:pPr>
        <w:pStyle w:val="TableofFigures"/>
        <w:rPr>
          <w:rFonts w:asciiTheme="minorHAnsi" w:eastAsiaTheme="minorEastAsia" w:hAnsiTheme="minorHAnsi" w:cstheme="minorBidi"/>
          <w:noProof/>
          <w:sz w:val="22"/>
          <w:lang w:val="en-US"/>
        </w:rPr>
      </w:pPr>
      <w:hyperlink w:anchor="_Toc90727414" w:history="1">
        <w:r w:rsidR="00FB081A" w:rsidRPr="008B1D0B">
          <w:rPr>
            <w:rStyle w:val="Hyperlink"/>
            <w:noProof/>
          </w:rPr>
          <w:t>Graph 78: Breakdown of project ideas by JTF eligibility</w:t>
        </w:r>
        <w:r w:rsidR="00FB081A">
          <w:rPr>
            <w:noProof/>
            <w:webHidden/>
          </w:rPr>
          <w:tab/>
        </w:r>
        <w:r w:rsidR="00FB081A">
          <w:rPr>
            <w:noProof/>
            <w:webHidden/>
          </w:rPr>
          <w:fldChar w:fldCharType="begin"/>
        </w:r>
        <w:r w:rsidR="00FB081A">
          <w:rPr>
            <w:noProof/>
            <w:webHidden/>
          </w:rPr>
          <w:instrText xml:space="preserve"> PAGEREF _Toc90727414 \h </w:instrText>
        </w:r>
        <w:r w:rsidR="00FB081A">
          <w:rPr>
            <w:noProof/>
            <w:webHidden/>
          </w:rPr>
        </w:r>
        <w:r w:rsidR="00FB081A">
          <w:rPr>
            <w:noProof/>
            <w:webHidden/>
          </w:rPr>
          <w:fldChar w:fldCharType="separate"/>
        </w:r>
        <w:r w:rsidR="00FB081A">
          <w:rPr>
            <w:noProof/>
            <w:webHidden/>
          </w:rPr>
          <w:t>261</w:t>
        </w:r>
        <w:r w:rsidR="00FB081A">
          <w:rPr>
            <w:noProof/>
            <w:webHidden/>
          </w:rPr>
          <w:fldChar w:fldCharType="end"/>
        </w:r>
      </w:hyperlink>
    </w:p>
    <w:p w14:paraId="47495B1C" w14:textId="21EE037A" w:rsidR="00FB081A" w:rsidRDefault="000B273D">
      <w:pPr>
        <w:pStyle w:val="TableofFigures"/>
        <w:rPr>
          <w:rFonts w:asciiTheme="minorHAnsi" w:eastAsiaTheme="minorEastAsia" w:hAnsiTheme="minorHAnsi" w:cstheme="minorBidi"/>
          <w:noProof/>
          <w:sz w:val="22"/>
          <w:lang w:val="en-US"/>
        </w:rPr>
      </w:pPr>
      <w:hyperlink w:anchor="_Toc90727415" w:history="1">
        <w:r w:rsidR="00FB081A" w:rsidRPr="008B1D0B">
          <w:rPr>
            <w:rStyle w:val="Hyperlink"/>
            <w:noProof/>
          </w:rPr>
          <w:t>Graph 79: Breakdown of project ideas by eligibility and requested funds</w:t>
        </w:r>
        <w:r w:rsidR="00FB081A">
          <w:rPr>
            <w:noProof/>
            <w:webHidden/>
          </w:rPr>
          <w:tab/>
        </w:r>
        <w:r w:rsidR="00FB081A">
          <w:rPr>
            <w:noProof/>
            <w:webHidden/>
          </w:rPr>
          <w:fldChar w:fldCharType="begin"/>
        </w:r>
        <w:r w:rsidR="00FB081A">
          <w:rPr>
            <w:noProof/>
            <w:webHidden/>
          </w:rPr>
          <w:instrText xml:space="preserve"> PAGEREF _Toc90727415 \h </w:instrText>
        </w:r>
        <w:r w:rsidR="00FB081A">
          <w:rPr>
            <w:noProof/>
            <w:webHidden/>
          </w:rPr>
        </w:r>
        <w:r w:rsidR="00FB081A">
          <w:rPr>
            <w:noProof/>
            <w:webHidden/>
          </w:rPr>
          <w:fldChar w:fldCharType="separate"/>
        </w:r>
        <w:r w:rsidR="00FB081A">
          <w:rPr>
            <w:noProof/>
            <w:webHidden/>
          </w:rPr>
          <w:t>262</w:t>
        </w:r>
        <w:r w:rsidR="00FB081A">
          <w:rPr>
            <w:noProof/>
            <w:webHidden/>
          </w:rPr>
          <w:fldChar w:fldCharType="end"/>
        </w:r>
      </w:hyperlink>
    </w:p>
    <w:p w14:paraId="64391D55" w14:textId="3C25BBBD" w:rsidR="00FB081A" w:rsidRDefault="000B273D">
      <w:pPr>
        <w:pStyle w:val="TableofFigures"/>
        <w:rPr>
          <w:rFonts w:asciiTheme="minorHAnsi" w:eastAsiaTheme="minorEastAsia" w:hAnsiTheme="minorHAnsi" w:cstheme="minorBidi"/>
          <w:noProof/>
          <w:sz w:val="22"/>
          <w:lang w:val="en-US"/>
        </w:rPr>
      </w:pPr>
      <w:hyperlink w:anchor="_Toc90727416" w:history="1">
        <w:r w:rsidR="00FB081A" w:rsidRPr="008B1D0B">
          <w:rPr>
            <w:rStyle w:val="Hyperlink"/>
            <w:noProof/>
          </w:rPr>
          <w:t>Graph 80: Breakdown of requested funds by the project by regions and JTF eligibility</w:t>
        </w:r>
        <w:r w:rsidR="00FB081A">
          <w:rPr>
            <w:noProof/>
            <w:webHidden/>
          </w:rPr>
          <w:tab/>
        </w:r>
        <w:r w:rsidR="00FB081A">
          <w:rPr>
            <w:noProof/>
            <w:webHidden/>
          </w:rPr>
          <w:fldChar w:fldCharType="begin"/>
        </w:r>
        <w:r w:rsidR="00FB081A">
          <w:rPr>
            <w:noProof/>
            <w:webHidden/>
          </w:rPr>
          <w:instrText xml:space="preserve"> PAGEREF _Toc90727416 \h </w:instrText>
        </w:r>
        <w:r w:rsidR="00FB081A">
          <w:rPr>
            <w:noProof/>
            <w:webHidden/>
          </w:rPr>
        </w:r>
        <w:r w:rsidR="00FB081A">
          <w:rPr>
            <w:noProof/>
            <w:webHidden/>
          </w:rPr>
          <w:fldChar w:fldCharType="separate"/>
        </w:r>
        <w:r w:rsidR="00FB081A">
          <w:rPr>
            <w:noProof/>
            <w:webHidden/>
          </w:rPr>
          <w:t>262</w:t>
        </w:r>
        <w:r w:rsidR="00FB081A">
          <w:rPr>
            <w:noProof/>
            <w:webHidden/>
          </w:rPr>
          <w:fldChar w:fldCharType="end"/>
        </w:r>
      </w:hyperlink>
    </w:p>
    <w:p w14:paraId="7E272FC0" w14:textId="2E2B4630" w:rsidR="00FB081A" w:rsidRDefault="000B273D">
      <w:pPr>
        <w:pStyle w:val="TableofFigures"/>
        <w:rPr>
          <w:rFonts w:asciiTheme="minorHAnsi" w:eastAsiaTheme="minorEastAsia" w:hAnsiTheme="minorHAnsi" w:cstheme="minorBidi"/>
          <w:noProof/>
          <w:sz w:val="22"/>
          <w:lang w:val="en-US"/>
        </w:rPr>
      </w:pPr>
      <w:hyperlink w:anchor="_Toc90727417" w:history="1">
        <w:r w:rsidR="00FB081A" w:rsidRPr="008B1D0B">
          <w:rPr>
            <w:rStyle w:val="Hyperlink"/>
            <w:noProof/>
          </w:rPr>
          <w:t>Graph 81: Breakdown of requested funds by the project by regions and JTF eligibility</w:t>
        </w:r>
        <w:r w:rsidR="00FB081A">
          <w:rPr>
            <w:noProof/>
            <w:webHidden/>
          </w:rPr>
          <w:tab/>
        </w:r>
        <w:r w:rsidR="00FB081A">
          <w:rPr>
            <w:noProof/>
            <w:webHidden/>
          </w:rPr>
          <w:fldChar w:fldCharType="begin"/>
        </w:r>
        <w:r w:rsidR="00FB081A">
          <w:rPr>
            <w:noProof/>
            <w:webHidden/>
          </w:rPr>
          <w:instrText xml:space="preserve"> PAGEREF _Toc90727417 \h </w:instrText>
        </w:r>
        <w:r w:rsidR="00FB081A">
          <w:rPr>
            <w:noProof/>
            <w:webHidden/>
          </w:rPr>
        </w:r>
        <w:r w:rsidR="00FB081A">
          <w:rPr>
            <w:noProof/>
            <w:webHidden/>
          </w:rPr>
          <w:fldChar w:fldCharType="separate"/>
        </w:r>
        <w:r w:rsidR="00FB081A">
          <w:rPr>
            <w:noProof/>
            <w:webHidden/>
          </w:rPr>
          <w:t>263</w:t>
        </w:r>
        <w:r w:rsidR="00FB081A">
          <w:rPr>
            <w:noProof/>
            <w:webHidden/>
          </w:rPr>
          <w:fldChar w:fldCharType="end"/>
        </w:r>
      </w:hyperlink>
    </w:p>
    <w:p w14:paraId="278BED09" w14:textId="4E6EBC03" w:rsidR="003A13DD" w:rsidRPr="001916C2" w:rsidRDefault="00C237C4" w:rsidP="001916C2">
      <w:pPr>
        <w:pStyle w:val="TableofFigures"/>
        <w:ind w:left="0" w:firstLine="0"/>
        <w:rPr>
          <w:sz w:val="4"/>
          <w:szCs w:val="4"/>
        </w:rPr>
      </w:pPr>
      <w:r w:rsidRPr="00CD34EE">
        <w:rPr>
          <w:rStyle w:val="Hyperlink"/>
          <w:szCs w:val="20"/>
        </w:rPr>
        <w:fldChar w:fldCharType="end"/>
      </w:r>
    </w:p>
    <w:p w14:paraId="3E114C7C" w14:textId="77777777" w:rsidR="003A13DD" w:rsidRPr="003516DC" w:rsidRDefault="003A13DD">
      <w:pPr>
        <w:rPr>
          <w:rFonts w:ascii="Arial" w:hAnsi="Arial" w:cs="Arial"/>
          <w:b/>
          <w:color w:val="000000"/>
        </w:rPr>
        <w:sectPr w:rsidR="003A13DD" w:rsidRPr="003516DC" w:rsidSect="007F5984">
          <w:pgSz w:w="11909" w:h="16834"/>
          <w:pgMar w:top="1440" w:right="1440" w:bottom="1440" w:left="1530" w:header="720" w:footer="720" w:gutter="0"/>
          <w:pgNumType w:fmt="lowerRoman"/>
          <w:cols w:space="720"/>
        </w:sectPr>
      </w:pPr>
    </w:p>
    <w:p w14:paraId="38AFFF33" w14:textId="77777777" w:rsidR="001B4088" w:rsidRPr="001916C2" w:rsidRDefault="001B4088" w:rsidP="002037BE">
      <w:pPr>
        <w:pStyle w:val="Heading1"/>
        <w:spacing w:before="0" w:after="120"/>
        <w:ind w:left="431" w:hanging="431"/>
        <w:jc w:val="left"/>
        <w:rPr>
          <w:color w:val="4F81BD" w:themeColor="accent1"/>
        </w:rPr>
      </w:pPr>
      <w:bookmarkStart w:id="1" w:name="_Toc59025841"/>
      <w:bookmarkStart w:id="2" w:name="_Toc59028430"/>
      <w:bookmarkStart w:id="3" w:name="_Toc68871779"/>
      <w:bookmarkStart w:id="4" w:name="_Toc90725841"/>
      <w:r w:rsidRPr="001916C2">
        <w:rPr>
          <w:color w:val="4F81BD" w:themeColor="accent1"/>
        </w:rPr>
        <w:lastRenderedPageBreak/>
        <w:t>Executive Summary</w:t>
      </w:r>
      <w:bookmarkEnd w:id="1"/>
      <w:bookmarkEnd w:id="2"/>
      <w:bookmarkEnd w:id="3"/>
      <w:bookmarkEnd w:id="4"/>
    </w:p>
    <w:p w14:paraId="7CABC7FA" w14:textId="3CD848AC" w:rsidR="00DA6B30" w:rsidRPr="0058536D" w:rsidRDefault="00DA6B30" w:rsidP="00DA6B30">
      <w:pPr>
        <w:spacing w:after="120"/>
        <w:jc w:val="both"/>
        <w:rPr>
          <w:rFonts w:ascii="Arial" w:hAnsi="Arial" w:cs="Arial"/>
          <w:bCs/>
          <w:color w:val="000000" w:themeColor="text1"/>
          <w:sz w:val="20"/>
          <w:szCs w:val="20"/>
        </w:rPr>
      </w:pPr>
      <w:bookmarkStart w:id="5" w:name="_Toc68871780"/>
      <w:r w:rsidRPr="0058536D">
        <w:rPr>
          <w:rFonts w:ascii="Arial" w:hAnsi="Arial" w:cs="Arial"/>
          <w:b/>
          <w:color w:val="000000" w:themeColor="text1"/>
          <w:sz w:val="20"/>
          <w:szCs w:val="20"/>
        </w:rPr>
        <w:t>To reach its climate targets, Romania needs to reduce mining, close or replace coal-based power plants, and modernise or close carbon-intensive industries.</w:t>
      </w:r>
      <w:r w:rsidRPr="0058536D">
        <w:rPr>
          <w:rFonts w:ascii="Arial" w:hAnsi="Arial" w:cs="Arial"/>
          <w:color w:val="000000" w:themeColor="text1"/>
          <w:sz w:val="20"/>
          <w:szCs w:val="20"/>
        </w:rPr>
        <w:t xml:space="preserve"> The transition process to climate neutrality is expected to particularly affect communities with carbon-intensive industries, low</w:t>
      </w:r>
      <w:r>
        <w:rPr>
          <w:rFonts w:ascii="Arial" w:hAnsi="Arial" w:cs="Arial"/>
          <w:color w:val="000000" w:themeColor="text1"/>
          <w:sz w:val="20"/>
          <w:szCs w:val="20"/>
        </w:rPr>
        <w:t xml:space="preserve"> </w:t>
      </w:r>
      <w:r w:rsidRPr="0058536D">
        <w:rPr>
          <w:rFonts w:ascii="Arial" w:hAnsi="Arial" w:cs="Arial"/>
          <w:color w:val="000000" w:themeColor="text1"/>
          <w:sz w:val="20"/>
          <w:szCs w:val="20"/>
        </w:rPr>
        <w:t xml:space="preserve">productivity, a risk of increasing unemployment, poverty, and deepen the already high regional disparities </w:t>
      </w:r>
      <w:r w:rsidRPr="0058536D">
        <w:rPr>
          <w:rFonts w:ascii="Arial" w:hAnsi="Arial" w:cs="Arial"/>
          <w:b/>
          <w:color w:val="000000" w:themeColor="text1"/>
          <w:sz w:val="20"/>
          <w:szCs w:val="20"/>
        </w:rPr>
        <w:t>in the</w:t>
      </w:r>
      <w:r w:rsidRPr="0058536D">
        <w:rPr>
          <w:rFonts w:ascii="Arial" w:hAnsi="Arial" w:cs="Arial"/>
          <w:b/>
          <w:bCs/>
          <w:color w:val="000000" w:themeColor="text1"/>
          <w:sz w:val="20"/>
          <w:szCs w:val="20"/>
        </w:rPr>
        <w:t xml:space="preserve"> Hunedoara, Dolj,</w:t>
      </w:r>
      <w:r>
        <w:rPr>
          <w:rFonts w:ascii="Arial" w:hAnsi="Arial" w:cs="Arial"/>
          <w:b/>
          <w:bCs/>
          <w:color w:val="000000" w:themeColor="text1"/>
          <w:sz w:val="20"/>
          <w:szCs w:val="20"/>
        </w:rPr>
        <w:t xml:space="preserve"> Gorj,</w:t>
      </w:r>
      <w:r w:rsidRPr="0058536D">
        <w:rPr>
          <w:rFonts w:ascii="Arial" w:hAnsi="Arial" w:cs="Arial"/>
          <w:b/>
          <w:bCs/>
          <w:color w:val="000000" w:themeColor="text1"/>
          <w:sz w:val="20"/>
          <w:szCs w:val="20"/>
        </w:rPr>
        <w:t xml:space="preserve"> </w:t>
      </w:r>
      <w:r>
        <w:rPr>
          <w:rFonts w:ascii="Arial" w:hAnsi="Arial" w:cs="Arial"/>
          <w:b/>
          <w:bCs/>
          <w:color w:val="000000" w:themeColor="text1"/>
          <w:sz w:val="20"/>
          <w:szCs w:val="20"/>
        </w:rPr>
        <w:t xml:space="preserve">Prahova, </w:t>
      </w:r>
      <w:r w:rsidR="003751DC">
        <w:rPr>
          <w:rFonts w:ascii="Arial" w:hAnsi="Arial" w:cs="Arial"/>
          <w:b/>
          <w:bCs/>
          <w:color w:val="000000" w:themeColor="text1"/>
          <w:sz w:val="20"/>
          <w:szCs w:val="20"/>
        </w:rPr>
        <w:t>Galați</w:t>
      </w:r>
      <w:r>
        <w:rPr>
          <w:rFonts w:ascii="Arial" w:hAnsi="Arial" w:cs="Arial"/>
          <w:b/>
          <w:bCs/>
          <w:color w:val="000000" w:themeColor="text1"/>
          <w:sz w:val="20"/>
          <w:szCs w:val="20"/>
        </w:rPr>
        <w:t xml:space="preserve"> and </w:t>
      </w:r>
      <w:r w:rsidRPr="0058536D">
        <w:rPr>
          <w:rFonts w:ascii="Arial" w:hAnsi="Arial" w:cs="Arial"/>
          <w:b/>
          <w:bCs/>
          <w:color w:val="000000" w:themeColor="text1"/>
          <w:sz w:val="20"/>
          <w:szCs w:val="20"/>
        </w:rPr>
        <w:t>Mureş regions</w:t>
      </w:r>
      <w:r w:rsidRPr="0058536D">
        <w:rPr>
          <w:rFonts w:ascii="Arial" w:hAnsi="Arial" w:cs="Arial"/>
          <w:bCs/>
          <w:color w:val="000000" w:themeColor="text1"/>
          <w:sz w:val="20"/>
          <w:szCs w:val="20"/>
        </w:rPr>
        <w:t>. These are the</w:t>
      </w:r>
      <w:r w:rsidR="00BD3E2D">
        <w:rPr>
          <w:rFonts w:ascii="Arial" w:hAnsi="Arial" w:cs="Arial"/>
          <w:bCs/>
          <w:color w:val="000000" w:themeColor="text1"/>
          <w:sz w:val="20"/>
          <w:szCs w:val="20"/>
        </w:rPr>
        <w:t xml:space="preserve"> potentially</w:t>
      </w:r>
      <w:r w:rsidRPr="0058536D">
        <w:rPr>
          <w:rFonts w:ascii="Arial" w:hAnsi="Arial" w:cs="Arial"/>
          <w:b/>
          <w:bCs/>
          <w:color w:val="000000" w:themeColor="text1"/>
          <w:sz w:val="20"/>
          <w:szCs w:val="20"/>
        </w:rPr>
        <w:t xml:space="preserve"> </w:t>
      </w:r>
      <w:r w:rsidRPr="0058536D">
        <w:rPr>
          <w:rFonts w:ascii="Arial" w:hAnsi="Arial" w:cs="Arial"/>
          <w:bCs/>
          <w:color w:val="000000" w:themeColor="text1"/>
          <w:sz w:val="20"/>
          <w:szCs w:val="20"/>
        </w:rPr>
        <w:t xml:space="preserve">eligible </w:t>
      </w:r>
      <w:r>
        <w:rPr>
          <w:rFonts w:ascii="Arial" w:hAnsi="Arial" w:cs="Arial"/>
          <w:bCs/>
          <w:color w:val="000000" w:themeColor="text1"/>
          <w:sz w:val="20"/>
          <w:szCs w:val="20"/>
        </w:rPr>
        <w:t xml:space="preserve">Romanian </w:t>
      </w:r>
      <w:r w:rsidRPr="0058536D">
        <w:rPr>
          <w:rFonts w:ascii="Arial" w:hAnsi="Arial" w:cs="Arial"/>
          <w:bCs/>
          <w:color w:val="000000" w:themeColor="text1"/>
          <w:sz w:val="20"/>
          <w:szCs w:val="20"/>
        </w:rPr>
        <w:t>territories that will benefit from measures under the Just Transition Mechanism</w:t>
      </w:r>
      <w:r w:rsidR="009A4069">
        <w:rPr>
          <w:rFonts w:ascii="Arial" w:hAnsi="Arial" w:cs="Arial"/>
          <w:bCs/>
          <w:color w:val="000000" w:themeColor="text1"/>
          <w:sz w:val="20"/>
          <w:szCs w:val="20"/>
        </w:rPr>
        <w:t xml:space="preserve"> (JTM)</w:t>
      </w:r>
      <w:r w:rsidRPr="0058536D">
        <w:rPr>
          <w:rFonts w:ascii="Arial" w:hAnsi="Arial" w:cs="Arial"/>
          <w:bCs/>
          <w:color w:val="000000" w:themeColor="text1"/>
          <w:sz w:val="20"/>
          <w:szCs w:val="20"/>
        </w:rPr>
        <w:t>.</w:t>
      </w:r>
    </w:p>
    <w:p w14:paraId="6523AE2A" w14:textId="28E958F8"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rPr>
        <w:t>The objective of this report is</w:t>
      </w:r>
      <w:r w:rsidRPr="0058536D">
        <w:rPr>
          <w:rFonts w:ascii="Arial" w:hAnsi="Arial" w:cs="Arial"/>
          <w:sz w:val="20"/>
          <w:szCs w:val="20"/>
        </w:rPr>
        <w:t xml:space="preserve"> </w:t>
      </w:r>
      <w:r w:rsidRPr="0058536D">
        <w:rPr>
          <w:rFonts w:ascii="Arial" w:hAnsi="Arial" w:cs="Arial"/>
          <w:b/>
          <w:sz w:val="20"/>
          <w:szCs w:val="20"/>
        </w:rPr>
        <w:t>to analy</w:t>
      </w:r>
      <w:r>
        <w:rPr>
          <w:rFonts w:ascii="Arial" w:hAnsi="Arial" w:cs="Arial"/>
          <w:b/>
          <w:sz w:val="20"/>
          <w:szCs w:val="20"/>
        </w:rPr>
        <w:t>s</w:t>
      </w:r>
      <w:r w:rsidRPr="0058536D">
        <w:rPr>
          <w:rFonts w:ascii="Arial" w:hAnsi="Arial" w:cs="Arial"/>
          <w:b/>
          <w:sz w:val="20"/>
          <w:szCs w:val="20"/>
        </w:rPr>
        <w:t>e</w:t>
      </w:r>
      <w:r w:rsidRPr="00140FF9">
        <w:rPr>
          <w:rFonts w:ascii="Arial" w:hAnsi="Arial" w:cs="Arial"/>
          <w:b/>
          <w:sz w:val="20"/>
          <w:szCs w:val="20"/>
        </w:rPr>
        <w:t xml:space="preserve"> </w:t>
      </w:r>
      <w:r>
        <w:rPr>
          <w:rFonts w:ascii="Arial" w:hAnsi="Arial" w:cs="Arial"/>
          <w:b/>
          <w:sz w:val="20"/>
          <w:szCs w:val="20"/>
        </w:rPr>
        <w:t xml:space="preserve">in detail </w:t>
      </w:r>
      <w:r w:rsidRPr="0058536D">
        <w:rPr>
          <w:rFonts w:ascii="Arial" w:hAnsi="Arial" w:cs="Arial"/>
          <w:b/>
          <w:sz w:val="20"/>
          <w:szCs w:val="20"/>
        </w:rPr>
        <w:t>the challenges and corresponding actions required for a just transition in the most affected territories of Romania, by developing a</w:t>
      </w:r>
      <w:r>
        <w:rPr>
          <w:rFonts w:ascii="Arial" w:hAnsi="Arial" w:cs="Arial"/>
          <w:b/>
          <w:sz w:val="20"/>
          <w:szCs w:val="20"/>
        </w:rPr>
        <w:t xml:space="preserve">n </w:t>
      </w:r>
      <w:r w:rsidRPr="0058536D">
        <w:rPr>
          <w:rFonts w:ascii="Arial" w:hAnsi="Arial" w:cs="Arial"/>
          <w:b/>
          <w:sz w:val="20"/>
          <w:szCs w:val="20"/>
        </w:rPr>
        <w:t xml:space="preserve">intervention framework </w:t>
      </w:r>
      <w:r>
        <w:rPr>
          <w:rFonts w:ascii="Arial" w:hAnsi="Arial" w:cs="Arial"/>
          <w:b/>
          <w:sz w:val="20"/>
          <w:szCs w:val="20"/>
        </w:rPr>
        <w:t xml:space="preserve">logic </w:t>
      </w:r>
      <w:r w:rsidRPr="0058536D">
        <w:rPr>
          <w:rFonts w:ascii="Arial" w:hAnsi="Arial" w:cs="Arial"/>
          <w:b/>
          <w:sz w:val="20"/>
          <w:szCs w:val="20"/>
        </w:rPr>
        <w:t>for each of the affected regions</w:t>
      </w:r>
      <w:r w:rsidRPr="0058536D">
        <w:rPr>
          <w:rFonts w:ascii="Arial" w:hAnsi="Arial" w:cs="Arial"/>
          <w:sz w:val="20"/>
          <w:szCs w:val="20"/>
        </w:rPr>
        <w:t>. The report specifically focuses</w:t>
      </w:r>
      <w:r w:rsidR="00782BFD">
        <w:rPr>
          <w:rFonts w:ascii="Arial" w:hAnsi="Arial" w:cs="Arial"/>
          <w:sz w:val="20"/>
          <w:szCs w:val="20"/>
        </w:rPr>
        <w:t xml:space="preserve"> </w:t>
      </w:r>
      <w:r w:rsidRPr="0058536D">
        <w:rPr>
          <w:rFonts w:ascii="Arial" w:hAnsi="Arial" w:cs="Arial"/>
          <w:sz w:val="20"/>
          <w:szCs w:val="20"/>
        </w:rPr>
        <w:t>on: (1) an assessment of the state of play of already implemented measures and their effectiveness; (2) an analysis of the political-administrative, economic, employment/labour market,</w:t>
      </w:r>
      <w:r>
        <w:rPr>
          <w:rFonts w:ascii="Arial" w:hAnsi="Arial" w:cs="Arial"/>
          <w:sz w:val="20"/>
          <w:szCs w:val="20"/>
        </w:rPr>
        <w:t xml:space="preserve"> </w:t>
      </w:r>
      <w:r w:rsidRPr="0058536D">
        <w:rPr>
          <w:rFonts w:ascii="Arial" w:hAnsi="Arial" w:cs="Arial"/>
          <w:sz w:val="20"/>
          <w:szCs w:val="20"/>
        </w:rPr>
        <w:t>environmental, socio-cultural, and digital/technological challenges and opportunities for each of the six transition regions; (3) a detailed discussion of the priority operations and investment needs for each of the six counties</w:t>
      </w:r>
      <w:r w:rsidR="00C556A6">
        <w:rPr>
          <w:rFonts w:ascii="Arial" w:hAnsi="Arial" w:cs="Arial"/>
          <w:sz w:val="20"/>
          <w:szCs w:val="20"/>
        </w:rPr>
        <w:t>, accompanied by an occupational mismatch analysis and an assessment of the employment and Gross Value Added impact of illustrative actions in each county</w:t>
      </w:r>
      <w:r w:rsidRPr="0058536D">
        <w:rPr>
          <w:rFonts w:ascii="Arial" w:hAnsi="Arial" w:cs="Arial"/>
          <w:sz w:val="20"/>
          <w:szCs w:val="20"/>
        </w:rPr>
        <w:t>, (4) a capital raising strategy for the JTM priorities</w:t>
      </w:r>
      <w:r w:rsidR="00C556A6">
        <w:rPr>
          <w:rFonts w:ascii="Arial" w:hAnsi="Arial" w:cs="Arial"/>
          <w:sz w:val="20"/>
          <w:szCs w:val="20"/>
        </w:rPr>
        <w:t xml:space="preserve">; (5) a high-level assessment of the project ideas collected by county councils for potential JTF funding from regional stakeholders; </w:t>
      </w:r>
      <w:r w:rsidR="00F516C5">
        <w:rPr>
          <w:rFonts w:ascii="Arial" w:hAnsi="Arial" w:cs="Arial"/>
          <w:sz w:val="20"/>
          <w:szCs w:val="20"/>
        </w:rPr>
        <w:t xml:space="preserve">and </w:t>
      </w:r>
      <w:r w:rsidR="00C556A6">
        <w:rPr>
          <w:rFonts w:ascii="Arial" w:hAnsi="Arial" w:cs="Arial"/>
          <w:sz w:val="20"/>
          <w:szCs w:val="20"/>
        </w:rPr>
        <w:t>(6) a monitoring and evaluation proposed framework.</w:t>
      </w:r>
      <w:r w:rsidRPr="0058536D">
        <w:rPr>
          <w:rFonts w:ascii="Arial" w:hAnsi="Arial" w:cs="Arial"/>
          <w:sz w:val="20"/>
          <w:szCs w:val="20"/>
        </w:rPr>
        <w:t>.</w:t>
      </w:r>
    </w:p>
    <w:p w14:paraId="24DD7446" w14:textId="2CE1F3F0" w:rsidR="00DA6B30" w:rsidRPr="0058536D" w:rsidRDefault="00DA6B30" w:rsidP="00DA6B30">
      <w:pPr>
        <w:spacing w:after="120"/>
        <w:jc w:val="both"/>
        <w:rPr>
          <w:rFonts w:ascii="Arial" w:hAnsi="Arial" w:cs="Arial"/>
          <w:sz w:val="20"/>
          <w:szCs w:val="20"/>
        </w:rPr>
      </w:pPr>
      <w:r w:rsidRPr="0058536D">
        <w:rPr>
          <w:rFonts w:ascii="Arial" w:hAnsi="Arial" w:cs="Arial"/>
          <w:b/>
          <w:sz w:val="20"/>
          <w:szCs w:val="20"/>
          <w:u w:val="single"/>
        </w:rPr>
        <w:t xml:space="preserve">The first </w:t>
      </w:r>
      <w:r>
        <w:rPr>
          <w:rFonts w:ascii="Arial" w:hAnsi="Arial" w:cs="Arial"/>
          <w:b/>
          <w:sz w:val="20"/>
          <w:szCs w:val="20"/>
          <w:u w:val="single"/>
        </w:rPr>
        <w:t>chapter</w:t>
      </w:r>
      <w:r w:rsidRPr="0058536D">
        <w:rPr>
          <w:rFonts w:ascii="Arial" w:hAnsi="Arial" w:cs="Arial"/>
          <w:sz w:val="20"/>
          <w:szCs w:val="20"/>
        </w:rPr>
        <w:t xml:space="preserve"> of the report provides an </w:t>
      </w:r>
      <w:r w:rsidRPr="0058536D">
        <w:rPr>
          <w:rFonts w:ascii="Arial" w:hAnsi="Arial" w:cs="Arial"/>
          <w:b/>
          <w:sz w:val="20"/>
          <w:szCs w:val="20"/>
        </w:rPr>
        <w:t>analysis of existing efforts and their results with respect to the transition to a climate-neutral economy, including an outlook of planned measures</w:t>
      </w:r>
      <w:r w:rsidRPr="0058536D">
        <w:rPr>
          <w:rFonts w:ascii="Arial" w:hAnsi="Arial" w:cs="Arial"/>
          <w:sz w:val="20"/>
          <w:szCs w:val="20"/>
        </w:rPr>
        <w:t xml:space="preserve">. The main takeaway is that </w:t>
      </w:r>
      <w:r w:rsidRPr="0058536D">
        <w:rPr>
          <w:rFonts w:ascii="Arial" w:hAnsi="Arial" w:cs="Arial"/>
          <w:b/>
          <w:sz w:val="20"/>
          <w:szCs w:val="20"/>
        </w:rPr>
        <w:t>the restructuring of the country’s most energy-intensive industries peaked approximately ten years ago</w:t>
      </w:r>
      <w:r w:rsidRPr="0058536D">
        <w:rPr>
          <w:rFonts w:ascii="Arial" w:hAnsi="Arial" w:cs="Arial"/>
          <w:sz w:val="20"/>
          <w:szCs w:val="20"/>
        </w:rPr>
        <w:t>. While energy intensity has been steadily declining since 1990, it is still above the EU average by at least 40%</w:t>
      </w:r>
      <w:r>
        <w:rPr>
          <w:rFonts w:ascii="Arial" w:hAnsi="Arial" w:cs="Arial"/>
          <w:sz w:val="20"/>
          <w:szCs w:val="20"/>
        </w:rPr>
        <w:t>. Hence,</w:t>
      </w:r>
      <w:r w:rsidRPr="0058536D">
        <w:rPr>
          <w:rFonts w:ascii="Arial" w:hAnsi="Arial" w:cs="Arial"/>
          <w:sz w:val="20"/>
          <w:szCs w:val="20"/>
        </w:rPr>
        <w:t xml:space="preserve"> the final phases of the restructuring processes will occur in the next five to ten years because of the digitalisation and green economy transition processes, and not least as per the country’s Recovery and Resilience Plan</w:t>
      </w:r>
      <w:r w:rsidR="00813D29">
        <w:rPr>
          <w:rFonts w:ascii="Arial" w:hAnsi="Arial" w:cs="Arial"/>
          <w:sz w:val="20"/>
          <w:szCs w:val="20"/>
        </w:rPr>
        <w:t xml:space="preserve"> (RRP)</w:t>
      </w:r>
      <w:r w:rsidRPr="0058536D">
        <w:rPr>
          <w:rFonts w:ascii="Arial" w:hAnsi="Arial" w:cs="Arial"/>
          <w:sz w:val="20"/>
          <w:szCs w:val="20"/>
        </w:rPr>
        <w:t xml:space="preserve"> commitments to phase-out coal by 2032. The first </w:t>
      </w:r>
      <w:r w:rsidR="004B6689">
        <w:rPr>
          <w:rFonts w:ascii="Arial" w:hAnsi="Arial" w:cs="Arial"/>
          <w:sz w:val="20"/>
          <w:szCs w:val="20"/>
        </w:rPr>
        <w:t>chapter</w:t>
      </w:r>
      <w:r w:rsidRPr="0058536D">
        <w:rPr>
          <w:rFonts w:ascii="Arial" w:hAnsi="Arial" w:cs="Arial"/>
          <w:sz w:val="20"/>
          <w:szCs w:val="20"/>
        </w:rPr>
        <w:t xml:space="preserve"> of this report also summarises the elements of the national transition process to climate neutrality and the main transition trajectories </w:t>
      </w:r>
      <w:r>
        <w:rPr>
          <w:rFonts w:ascii="Arial" w:hAnsi="Arial" w:cs="Arial"/>
          <w:sz w:val="20"/>
          <w:szCs w:val="20"/>
        </w:rPr>
        <w:t>i</w:t>
      </w:r>
      <w:r w:rsidRPr="0058536D">
        <w:rPr>
          <w:rFonts w:ascii="Arial" w:hAnsi="Arial" w:cs="Arial"/>
          <w:sz w:val="20"/>
          <w:szCs w:val="20"/>
        </w:rPr>
        <w:t>n the six transition regions.</w:t>
      </w:r>
    </w:p>
    <w:p w14:paraId="5EC2744C" w14:textId="1FBAE663" w:rsidR="00DA6B30" w:rsidRPr="0058536D" w:rsidRDefault="00DA6B30" w:rsidP="00DA6B30">
      <w:pPr>
        <w:spacing w:after="120"/>
        <w:jc w:val="both"/>
        <w:rPr>
          <w:rFonts w:ascii="Arial" w:hAnsi="Arial" w:cs="Arial"/>
          <w:sz w:val="20"/>
          <w:szCs w:val="20"/>
        </w:rPr>
      </w:pPr>
      <w:r w:rsidRPr="0058536D">
        <w:rPr>
          <w:rFonts w:ascii="Arial" w:hAnsi="Arial" w:cs="Arial"/>
          <w:sz w:val="20"/>
          <w:szCs w:val="20"/>
        </w:rPr>
        <w:t xml:space="preserve">Romania is on track to meet </w:t>
      </w:r>
      <w:r w:rsidRPr="0058536D">
        <w:rPr>
          <w:rFonts w:ascii="Arial" w:hAnsi="Arial" w:cs="Arial"/>
          <w:b/>
          <w:sz w:val="20"/>
          <w:szCs w:val="20"/>
        </w:rPr>
        <w:t>its 2020 climate targets, but with current policies it will miss its 2030 targets.</w:t>
      </w:r>
      <w:r w:rsidRPr="0058536D">
        <w:rPr>
          <w:rFonts w:ascii="Arial" w:hAnsi="Arial" w:cs="Arial"/>
          <w:sz w:val="20"/>
          <w:szCs w:val="20"/>
        </w:rPr>
        <w:t xml:space="preserve"> Romania’s </w:t>
      </w:r>
      <w:r>
        <w:rPr>
          <w:rFonts w:ascii="Arial" w:hAnsi="Arial" w:cs="Arial"/>
          <w:sz w:val="20"/>
          <w:szCs w:val="20"/>
        </w:rPr>
        <w:t>greenhouse gas (GHG)</w:t>
      </w:r>
      <w:r w:rsidRPr="0058536D">
        <w:rPr>
          <w:rFonts w:ascii="Arial" w:hAnsi="Arial" w:cs="Arial"/>
          <w:sz w:val="20"/>
          <w:szCs w:val="20"/>
        </w:rPr>
        <w:t xml:space="preserve"> emissions reduction trajectory is similar to the EU</w:t>
      </w:r>
      <w:r w:rsidR="001916C2">
        <w:rPr>
          <w:rFonts w:ascii="Arial" w:hAnsi="Arial" w:cs="Arial"/>
          <w:sz w:val="20"/>
          <w:szCs w:val="20"/>
        </w:rPr>
        <w:t xml:space="preserve"> target</w:t>
      </w:r>
      <w:r w:rsidRPr="0058536D">
        <w:rPr>
          <w:rFonts w:ascii="Arial" w:hAnsi="Arial" w:cs="Arial"/>
          <w:sz w:val="20"/>
          <w:szCs w:val="20"/>
        </w:rPr>
        <w:t>, with linear declines compared to 1990 levels and with a steeper decline between 1990 and 2000. However</w:t>
      </w:r>
      <w:r w:rsidRPr="0058536D">
        <w:rPr>
          <w:rFonts w:ascii="Arial" w:hAnsi="Arial" w:cs="Arial"/>
          <w:b/>
          <w:sz w:val="20"/>
          <w:szCs w:val="20"/>
        </w:rPr>
        <w:t xml:space="preserve">, since 2013, emissions in Romania </w:t>
      </w:r>
      <w:r>
        <w:rPr>
          <w:rFonts w:ascii="Arial" w:hAnsi="Arial" w:cs="Arial"/>
          <w:b/>
          <w:sz w:val="20"/>
          <w:szCs w:val="20"/>
        </w:rPr>
        <w:t xml:space="preserve">have not been </w:t>
      </w:r>
      <w:r w:rsidRPr="0058536D">
        <w:rPr>
          <w:rFonts w:ascii="Arial" w:hAnsi="Arial" w:cs="Arial"/>
          <w:b/>
          <w:sz w:val="20"/>
          <w:szCs w:val="20"/>
        </w:rPr>
        <w:t>declining</w:t>
      </w:r>
      <w:r>
        <w:rPr>
          <w:rFonts w:ascii="Arial" w:hAnsi="Arial" w:cs="Arial"/>
          <w:b/>
          <w:sz w:val="20"/>
          <w:szCs w:val="20"/>
        </w:rPr>
        <w:t xml:space="preserve"> anymore</w:t>
      </w:r>
      <w:r w:rsidRPr="0058536D">
        <w:rPr>
          <w:rFonts w:ascii="Arial" w:hAnsi="Arial" w:cs="Arial"/>
          <w:b/>
          <w:sz w:val="20"/>
          <w:szCs w:val="20"/>
        </w:rPr>
        <w:t>,</w:t>
      </w:r>
      <w:r w:rsidRPr="0058536D">
        <w:rPr>
          <w:rFonts w:ascii="Arial" w:hAnsi="Arial" w:cs="Arial"/>
          <w:sz w:val="20"/>
          <w:szCs w:val="20"/>
        </w:rPr>
        <w:t xml:space="preserve"> which signifies the insufficient commitment towards carbon neutrality. </w:t>
      </w:r>
      <w:r>
        <w:rPr>
          <w:rFonts w:ascii="Arial" w:hAnsi="Arial" w:cs="Arial"/>
          <w:sz w:val="20"/>
          <w:szCs w:val="20"/>
        </w:rPr>
        <w:t>I</w:t>
      </w:r>
      <w:r w:rsidRPr="0058536D">
        <w:rPr>
          <w:rFonts w:ascii="Arial" w:hAnsi="Arial" w:cs="Arial"/>
          <w:sz w:val="20"/>
          <w:szCs w:val="20"/>
        </w:rPr>
        <w:t>n Romania</w:t>
      </w:r>
      <w:r>
        <w:rPr>
          <w:rFonts w:ascii="Arial" w:hAnsi="Arial" w:cs="Arial"/>
          <w:sz w:val="20"/>
          <w:szCs w:val="20"/>
        </w:rPr>
        <w:t>, t</w:t>
      </w:r>
      <w:r w:rsidRPr="0058536D">
        <w:rPr>
          <w:rFonts w:ascii="Arial" w:hAnsi="Arial" w:cs="Arial"/>
          <w:sz w:val="20"/>
          <w:szCs w:val="20"/>
        </w:rPr>
        <w:t xml:space="preserve">he share of renewable energy in gross final energy consumption has been stagnating (and even decreasing) over the past five years. By contrast, the EU average has been constantly </w:t>
      </w:r>
      <w:r>
        <w:rPr>
          <w:rFonts w:ascii="Arial" w:hAnsi="Arial" w:cs="Arial"/>
          <w:sz w:val="20"/>
          <w:szCs w:val="20"/>
        </w:rPr>
        <w:t>increasing</w:t>
      </w:r>
      <w:r w:rsidRPr="0058536D">
        <w:rPr>
          <w:rFonts w:ascii="Arial" w:hAnsi="Arial" w:cs="Arial"/>
          <w:sz w:val="20"/>
          <w:szCs w:val="20"/>
        </w:rPr>
        <w:t xml:space="preserve">. </w:t>
      </w:r>
    </w:p>
    <w:p w14:paraId="64F483C3" w14:textId="612DE8AF" w:rsidR="00DA6B30" w:rsidRPr="0058536D" w:rsidRDefault="00DA6B30" w:rsidP="00DA6B30">
      <w:pPr>
        <w:spacing w:after="120"/>
        <w:jc w:val="both"/>
        <w:rPr>
          <w:rFonts w:ascii="Arial" w:hAnsi="Arial" w:cs="Arial"/>
          <w:sz w:val="20"/>
          <w:szCs w:val="20"/>
        </w:rPr>
      </w:pPr>
      <w:r w:rsidRPr="0058536D">
        <w:rPr>
          <w:rFonts w:ascii="Arial" w:hAnsi="Arial" w:cs="Arial"/>
          <w:b/>
          <w:sz w:val="20"/>
          <w:szCs w:val="20"/>
        </w:rPr>
        <w:t>The National Energy and Climate Plan</w:t>
      </w:r>
      <w:r w:rsidR="009A4069">
        <w:rPr>
          <w:rFonts w:ascii="Arial" w:hAnsi="Arial" w:cs="Arial"/>
          <w:b/>
          <w:sz w:val="20"/>
          <w:szCs w:val="20"/>
        </w:rPr>
        <w:t xml:space="preserve"> (NECP)</w:t>
      </w:r>
      <w:r w:rsidRPr="0058536D">
        <w:rPr>
          <w:rFonts w:ascii="Arial" w:hAnsi="Arial" w:cs="Arial"/>
          <w:b/>
          <w:sz w:val="20"/>
          <w:szCs w:val="20"/>
        </w:rPr>
        <w:t xml:space="preserve"> and the other officially adopted national strategy and policy documents</w:t>
      </w:r>
      <w:r w:rsidR="00C72920">
        <w:rPr>
          <w:rStyle w:val="FootnoteReference"/>
          <w:rFonts w:ascii="Arial" w:hAnsi="Arial" w:cs="Arial"/>
          <w:b/>
          <w:sz w:val="20"/>
          <w:szCs w:val="20"/>
        </w:rPr>
        <w:footnoteReference w:id="2"/>
      </w:r>
      <w:r w:rsidRPr="0058536D">
        <w:rPr>
          <w:rFonts w:ascii="Arial" w:hAnsi="Arial" w:cs="Arial"/>
          <w:b/>
          <w:sz w:val="20"/>
          <w:szCs w:val="20"/>
        </w:rPr>
        <w:t xml:space="preserve"> do not contain a target date for climate neutrality or coal phase-out.</w:t>
      </w:r>
      <w:r w:rsidRPr="0058536D">
        <w:rPr>
          <w:rFonts w:ascii="Arial" w:hAnsi="Arial" w:cs="Arial"/>
          <w:sz w:val="20"/>
          <w:szCs w:val="20"/>
        </w:rPr>
        <w:t xml:space="preserve"> Yet, as </w:t>
      </w:r>
      <w:r w:rsidRPr="0058536D">
        <w:rPr>
          <w:rFonts w:ascii="Arial" w:hAnsi="Arial" w:cs="Arial"/>
          <w:b/>
          <w:sz w:val="20"/>
          <w:szCs w:val="20"/>
        </w:rPr>
        <w:t xml:space="preserve">per the (draft) Recovery and Resilience Plan </w:t>
      </w:r>
      <w:r>
        <w:rPr>
          <w:rFonts w:ascii="Arial" w:hAnsi="Arial" w:cs="Arial"/>
          <w:b/>
          <w:sz w:val="20"/>
          <w:szCs w:val="20"/>
        </w:rPr>
        <w:t>(</w:t>
      </w:r>
      <w:r w:rsidRPr="0058536D">
        <w:rPr>
          <w:rFonts w:ascii="Arial" w:hAnsi="Arial" w:cs="Arial"/>
          <w:b/>
          <w:sz w:val="20"/>
          <w:szCs w:val="20"/>
        </w:rPr>
        <w:t>submitted in June 2021 to th</w:t>
      </w:r>
      <w:r>
        <w:rPr>
          <w:rFonts w:ascii="Arial" w:hAnsi="Arial" w:cs="Arial"/>
          <w:b/>
          <w:sz w:val="20"/>
          <w:szCs w:val="20"/>
        </w:rPr>
        <w:t>e</w:t>
      </w:r>
      <w:r w:rsidRPr="0058536D">
        <w:rPr>
          <w:rFonts w:ascii="Arial" w:hAnsi="Arial" w:cs="Arial"/>
          <w:b/>
          <w:sz w:val="20"/>
          <w:szCs w:val="20"/>
        </w:rPr>
        <w:t xml:space="preserve"> Europea</w:t>
      </w:r>
      <w:r>
        <w:rPr>
          <w:rFonts w:ascii="Arial" w:hAnsi="Arial" w:cs="Arial"/>
          <w:b/>
          <w:sz w:val="20"/>
          <w:szCs w:val="20"/>
        </w:rPr>
        <w:t>n</w:t>
      </w:r>
      <w:r w:rsidRPr="0058536D">
        <w:rPr>
          <w:rFonts w:ascii="Arial" w:hAnsi="Arial" w:cs="Arial"/>
          <w:b/>
          <w:sz w:val="20"/>
          <w:szCs w:val="20"/>
        </w:rPr>
        <w:t xml:space="preserve"> Commission</w:t>
      </w:r>
      <w:r>
        <w:rPr>
          <w:rFonts w:ascii="Arial" w:hAnsi="Arial" w:cs="Arial"/>
          <w:b/>
          <w:sz w:val="20"/>
          <w:szCs w:val="20"/>
        </w:rPr>
        <w:t>)</w:t>
      </w:r>
      <w:r w:rsidRPr="0058536D">
        <w:rPr>
          <w:rFonts w:ascii="Arial" w:hAnsi="Arial" w:cs="Arial"/>
          <w:b/>
          <w:sz w:val="20"/>
          <w:szCs w:val="20"/>
        </w:rPr>
        <w:t xml:space="preserve"> 2032 is targeted as the deadline for coal phaseout</w:t>
      </w:r>
      <w:r w:rsidRPr="0058536D">
        <w:rPr>
          <w:rFonts w:ascii="Arial" w:hAnsi="Arial" w:cs="Arial"/>
          <w:sz w:val="20"/>
          <w:szCs w:val="20"/>
        </w:rPr>
        <w:t>. The recommendation we made in D</w:t>
      </w:r>
      <w:r>
        <w:rPr>
          <w:rFonts w:ascii="Arial" w:hAnsi="Arial" w:cs="Arial"/>
          <w:sz w:val="20"/>
          <w:szCs w:val="20"/>
        </w:rPr>
        <w:t xml:space="preserve">eliverable </w:t>
      </w:r>
      <w:r w:rsidRPr="0058536D">
        <w:rPr>
          <w:rFonts w:ascii="Arial" w:hAnsi="Arial" w:cs="Arial"/>
          <w:sz w:val="20"/>
          <w:szCs w:val="20"/>
        </w:rPr>
        <w:t xml:space="preserve">3 was that Romania considers a phaseout prior to 2032. In any case, we consider that a Coal Commission or a similar consensus-building mechanism should be </w:t>
      </w:r>
      <w:r>
        <w:rPr>
          <w:rFonts w:ascii="Arial" w:hAnsi="Arial" w:cs="Arial"/>
          <w:sz w:val="20"/>
          <w:szCs w:val="20"/>
        </w:rPr>
        <w:t>set up</w:t>
      </w:r>
      <w:r w:rsidRPr="0058536D">
        <w:rPr>
          <w:rFonts w:ascii="Arial" w:hAnsi="Arial" w:cs="Arial"/>
          <w:sz w:val="20"/>
          <w:szCs w:val="20"/>
        </w:rPr>
        <w:t xml:space="preserve"> </w:t>
      </w:r>
      <w:r w:rsidRPr="0058536D">
        <w:rPr>
          <w:rFonts w:ascii="Arial" w:hAnsi="Arial" w:cs="Arial"/>
          <w:color w:val="000000"/>
          <w:sz w:val="20"/>
          <w:szCs w:val="20"/>
        </w:rPr>
        <w:t xml:space="preserve">to manage recommendations and timeline, to increase renewable energy deployment of solar, onshore and offshore wind, and to fund and plan the support for a just transition and an economically sustainable future for the most affected regions. </w:t>
      </w:r>
    </w:p>
    <w:p w14:paraId="136FCF39" w14:textId="5BD21397" w:rsidR="00DA6B30" w:rsidRPr="0058536D" w:rsidRDefault="00DA6B30" w:rsidP="00DA6B30">
      <w:pPr>
        <w:spacing w:after="120"/>
        <w:jc w:val="both"/>
        <w:rPr>
          <w:rFonts w:ascii="Arial" w:hAnsi="Arial" w:cs="Arial"/>
          <w:sz w:val="20"/>
          <w:szCs w:val="20"/>
        </w:rPr>
      </w:pPr>
      <w:r w:rsidRPr="0058536D">
        <w:rPr>
          <w:rFonts w:ascii="Arial" w:hAnsi="Arial" w:cs="Arial"/>
          <w:b/>
          <w:sz w:val="20"/>
          <w:szCs w:val="20"/>
        </w:rPr>
        <w:t>There are no specific plans or metrics in place for carbon neutrality at the NUTS</w:t>
      </w:r>
      <w:r w:rsidR="00C72920">
        <w:rPr>
          <w:rFonts w:ascii="Arial" w:hAnsi="Arial" w:cs="Arial"/>
          <w:b/>
          <w:sz w:val="20"/>
          <w:szCs w:val="20"/>
        </w:rPr>
        <w:t>2</w:t>
      </w:r>
      <w:r w:rsidRPr="0058536D">
        <w:rPr>
          <w:rFonts w:ascii="Arial" w:hAnsi="Arial" w:cs="Arial"/>
          <w:b/>
          <w:sz w:val="20"/>
          <w:szCs w:val="20"/>
        </w:rPr>
        <w:t xml:space="preserve"> regional level,</w:t>
      </w:r>
      <w:r w:rsidRPr="0058536D">
        <w:rPr>
          <w:rFonts w:ascii="Arial" w:hAnsi="Arial" w:cs="Arial"/>
          <w:sz w:val="20"/>
          <w:szCs w:val="20"/>
        </w:rPr>
        <w:t xml:space="preserve"> left alone at the level of the counties affected (NUTS</w:t>
      </w:r>
      <w:r w:rsidR="00C72920">
        <w:rPr>
          <w:rFonts w:ascii="Arial" w:hAnsi="Arial" w:cs="Arial"/>
          <w:sz w:val="20"/>
          <w:szCs w:val="20"/>
        </w:rPr>
        <w:t>3</w:t>
      </w:r>
      <w:r w:rsidRPr="0058536D">
        <w:rPr>
          <w:rFonts w:ascii="Arial" w:hAnsi="Arial" w:cs="Arial"/>
          <w:sz w:val="20"/>
          <w:szCs w:val="20"/>
        </w:rPr>
        <w:t xml:space="preserve"> regions). </w:t>
      </w:r>
      <w:r>
        <w:rPr>
          <w:rFonts w:ascii="Arial" w:hAnsi="Arial" w:cs="Arial"/>
          <w:sz w:val="20"/>
          <w:szCs w:val="20"/>
        </w:rPr>
        <w:t>The l</w:t>
      </w:r>
      <w:r w:rsidRPr="0058536D">
        <w:rPr>
          <w:rFonts w:ascii="Arial" w:hAnsi="Arial" w:cs="Arial"/>
          <w:sz w:val="20"/>
          <w:szCs w:val="20"/>
        </w:rPr>
        <w:t>ack of clarity and transparency over the transition plans of Hunedoara and Oltenia Energy Complex</w:t>
      </w:r>
      <w:r>
        <w:rPr>
          <w:rFonts w:ascii="Arial" w:hAnsi="Arial" w:cs="Arial"/>
          <w:sz w:val="20"/>
          <w:szCs w:val="20"/>
        </w:rPr>
        <w:t>es</w:t>
      </w:r>
      <w:r w:rsidRPr="0058536D">
        <w:rPr>
          <w:rFonts w:ascii="Arial" w:hAnsi="Arial" w:cs="Arial"/>
          <w:sz w:val="20"/>
          <w:szCs w:val="20"/>
        </w:rPr>
        <w:t xml:space="preserve"> make the development of such plans difficult, but the current deliverable as well as Deliverable 3, which use state of the art modelling </w:t>
      </w:r>
      <w:r w:rsidRPr="0058536D">
        <w:rPr>
          <w:rFonts w:ascii="Arial" w:hAnsi="Arial" w:cs="Arial"/>
          <w:sz w:val="20"/>
          <w:szCs w:val="20"/>
        </w:rPr>
        <w:lastRenderedPageBreak/>
        <w:t>techniques</w:t>
      </w:r>
      <w:r>
        <w:rPr>
          <w:rFonts w:ascii="Arial" w:hAnsi="Arial" w:cs="Arial"/>
          <w:sz w:val="20"/>
          <w:szCs w:val="20"/>
        </w:rPr>
        <w:t>,</w:t>
      </w:r>
      <w:r w:rsidRPr="0058536D">
        <w:rPr>
          <w:rFonts w:ascii="Arial" w:hAnsi="Arial" w:cs="Arial"/>
          <w:sz w:val="20"/>
          <w:szCs w:val="20"/>
        </w:rPr>
        <w:t xml:space="preserve"> show the impact of scenarios aligned with carbon neutrality at both the national and county level. </w:t>
      </w:r>
      <w:r w:rsidRPr="0058536D">
        <w:rPr>
          <w:rFonts w:ascii="Arial" w:hAnsi="Arial" w:cs="Arial"/>
          <w:color w:val="000000"/>
          <w:sz w:val="20"/>
          <w:szCs w:val="20"/>
        </w:rPr>
        <w:t xml:space="preserve"> Still, the targets and milestones assumed under the RRP</w:t>
      </w:r>
      <w:r>
        <w:rPr>
          <w:rFonts w:ascii="Arial" w:hAnsi="Arial" w:cs="Arial"/>
          <w:color w:val="000000"/>
          <w:sz w:val="20"/>
          <w:szCs w:val="20"/>
        </w:rPr>
        <w:t xml:space="preserve"> </w:t>
      </w:r>
      <w:r w:rsidRPr="0058536D">
        <w:rPr>
          <w:rFonts w:ascii="Arial" w:hAnsi="Arial" w:cs="Arial"/>
          <w:color w:val="000000"/>
          <w:sz w:val="20"/>
          <w:szCs w:val="20"/>
        </w:rPr>
        <w:t>make the transition outlook a lot clearer</w:t>
      </w:r>
      <w:r>
        <w:rPr>
          <w:rStyle w:val="FootnoteReference"/>
          <w:rFonts w:ascii="Arial" w:hAnsi="Arial" w:cs="Arial"/>
          <w:color w:val="000000"/>
          <w:sz w:val="20"/>
          <w:szCs w:val="20"/>
        </w:rPr>
        <w:footnoteReference w:id="3"/>
      </w:r>
      <w:r w:rsidRPr="0058536D">
        <w:rPr>
          <w:rFonts w:ascii="Arial" w:hAnsi="Arial" w:cs="Arial"/>
          <w:color w:val="000000"/>
          <w:sz w:val="20"/>
          <w:szCs w:val="20"/>
        </w:rPr>
        <w:t xml:space="preserve">, particularly for coal-dependent counties. In the non-coal dependent counties, there are no commitments or plans </w:t>
      </w:r>
      <w:r>
        <w:rPr>
          <w:rFonts w:ascii="Arial" w:hAnsi="Arial" w:cs="Arial"/>
          <w:color w:val="000000"/>
          <w:sz w:val="20"/>
          <w:szCs w:val="20"/>
        </w:rPr>
        <w:t>by</w:t>
      </w:r>
      <w:r w:rsidRPr="0058536D">
        <w:rPr>
          <w:rFonts w:ascii="Arial" w:hAnsi="Arial" w:cs="Arial"/>
          <w:color w:val="000000"/>
          <w:sz w:val="20"/>
          <w:szCs w:val="20"/>
        </w:rPr>
        <w:t xml:space="preserve"> economic actors towards climate neutrality, except for </w:t>
      </w:r>
      <w:r>
        <w:rPr>
          <w:rFonts w:ascii="Arial" w:hAnsi="Arial" w:cs="Arial"/>
          <w:color w:val="000000"/>
          <w:sz w:val="20"/>
          <w:szCs w:val="20"/>
        </w:rPr>
        <w:t>Galați</w:t>
      </w:r>
      <w:r w:rsidRPr="0058536D">
        <w:rPr>
          <w:rFonts w:ascii="Arial" w:hAnsi="Arial" w:cs="Arial"/>
          <w:color w:val="000000"/>
          <w:sz w:val="20"/>
          <w:szCs w:val="20"/>
        </w:rPr>
        <w:t xml:space="preserve"> where the main emissions producer plans to become carbon-neutral by 2030</w:t>
      </w:r>
      <w:r>
        <w:rPr>
          <w:rFonts w:ascii="Arial" w:hAnsi="Arial" w:cs="Arial"/>
          <w:color w:val="000000"/>
          <w:sz w:val="20"/>
          <w:szCs w:val="20"/>
        </w:rPr>
        <w:t>.</w:t>
      </w:r>
    </w:p>
    <w:p w14:paraId="436D6917" w14:textId="08A14D8C" w:rsidR="00DA6B30" w:rsidRPr="00AB78DA" w:rsidRDefault="00DA6B30" w:rsidP="00E42342">
      <w:pPr>
        <w:pStyle w:val="NormalWeb"/>
        <w:numPr>
          <w:ilvl w:val="0"/>
          <w:numId w:val="330"/>
        </w:numPr>
        <w:spacing w:before="0" w:beforeAutospacing="0" w:after="120" w:afterAutospacing="0"/>
        <w:jc w:val="both"/>
        <w:rPr>
          <w:rFonts w:ascii="Arial" w:hAnsi="Arial" w:cs="Arial"/>
          <w:sz w:val="20"/>
          <w:szCs w:val="20"/>
        </w:rPr>
      </w:pPr>
      <w:r w:rsidRPr="00AB78DA">
        <w:rPr>
          <w:rFonts w:ascii="Arial" w:hAnsi="Arial" w:cs="Arial"/>
          <w:b/>
          <w:sz w:val="20"/>
          <w:szCs w:val="20"/>
        </w:rPr>
        <w:t xml:space="preserve">In Hunedoara County, coal mining is expected to close by 2027 (two </w:t>
      </w:r>
      <w:r w:rsidR="00AF0FF7">
        <w:rPr>
          <w:rFonts w:ascii="Arial" w:hAnsi="Arial" w:cs="Arial"/>
          <w:b/>
          <w:sz w:val="20"/>
          <w:szCs w:val="20"/>
        </w:rPr>
        <w:t xml:space="preserve">out </w:t>
      </w:r>
      <w:r w:rsidRPr="00AB78DA">
        <w:rPr>
          <w:rFonts w:ascii="Arial" w:hAnsi="Arial" w:cs="Arial"/>
          <w:b/>
          <w:sz w:val="20"/>
          <w:szCs w:val="20"/>
        </w:rPr>
        <w:t>of four operational mines will close by 2024),</w:t>
      </w:r>
      <w:r w:rsidRPr="00AB78DA">
        <w:rPr>
          <w:rFonts w:ascii="Arial" w:hAnsi="Arial" w:cs="Arial"/>
          <w:sz w:val="20"/>
          <w:szCs w:val="20"/>
        </w:rPr>
        <w:t xml:space="preserve"> in accordance with Council Decision 2010/787/EU. </w:t>
      </w:r>
      <w:r w:rsidR="00391773">
        <w:rPr>
          <w:rFonts w:ascii="Arial" w:hAnsi="Arial" w:cs="Arial"/>
          <w:sz w:val="20"/>
          <w:szCs w:val="20"/>
        </w:rPr>
        <w:t>While the RRP contain</w:t>
      </w:r>
      <w:r w:rsidR="00D37820">
        <w:rPr>
          <w:rFonts w:ascii="Arial" w:hAnsi="Arial" w:cs="Arial"/>
          <w:sz w:val="20"/>
          <w:szCs w:val="20"/>
        </w:rPr>
        <w:t>s</w:t>
      </w:r>
      <w:r w:rsidR="00391773">
        <w:rPr>
          <w:rFonts w:ascii="Arial" w:hAnsi="Arial" w:cs="Arial"/>
          <w:sz w:val="20"/>
          <w:szCs w:val="20"/>
        </w:rPr>
        <w:t xml:space="preserve"> intermediary milestone for the ph</w:t>
      </w:r>
      <w:r w:rsidR="00F516C5">
        <w:rPr>
          <w:rFonts w:ascii="Arial" w:hAnsi="Arial" w:cs="Arial"/>
          <w:sz w:val="20"/>
          <w:szCs w:val="20"/>
        </w:rPr>
        <w:t>a</w:t>
      </w:r>
      <w:r w:rsidR="00391773">
        <w:rPr>
          <w:rFonts w:ascii="Arial" w:hAnsi="Arial" w:cs="Arial"/>
          <w:sz w:val="20"/>
          <w:szCs w:val="20"/>
        </w:rPr>
        <w:t xml:space="preserve">se-out of coal from the electricity production mix, there is no detailed </w:t>
      </w:r>
      <w:r w:rsidR="00F516C5">
        <w:rPr>
          <w:rFonts w:ascii="Arial" w:hAnsi="Arial" w:cs="Arial"/>
          <w:sz w:val="20"/>
          <w:szCs w:val="20"/>
        </w:rPr>
        <w:t>schedule</w:t>
      </w:r>
      <w:r w:rsidR="00391773">
        <w:rPr>
          <w:rFonts w:ascii="Arial" w:hAnsi="Arial" w:cs="Arial"/>
          <w:sz w:val="20"/>
          <w:szCs w:val="20"/>
        </w:rPr>
        <w:t xml:space="preserve"> for the closure of mines and no specific installations are nominated for closure in the document. </w:t>
      </w:r>
      <w:r w:rsidR="00865DC9">
        <w:rPr>
          <w:rFonts w:ascii="Arial" w:hAnsi="Arial" w:cs="Arial"/>
          <w:sz w:val="20"/>
          <w:szCs w:val="20"/>
        </w:rPr>
        <w:t xml:space="preserve">The RRP provides clear dates for the end of the whole process (end of 2032) and for the closure of 5 out of </w:t>
      </w:r>
      <w:r w:rsidR="00F516C5">
        <w:rPr>
          <w:rFonts w:ascii="Arial" w:hAnsi="Arial" w:cs="Arial"/>
          <w:sz w:val="20"/>
          <w:szCs w:val="20"/>
        </w:rPr>
        <w:t xml:space="preserve">the </w:t>
      </w:r>
      <w:r w:rsidR="00865DC9">
        <w:rPr>
          <w:rFonts w:ascii="Arial" w:hAnsi="Arial" w:cs="Arial"/>
          <w:sz w:val="20"/>
          <w:szCs w:val="20"/>
        </w:rPr>
        <w:t xml:space="preserve">9 mines within </w:t>
      </w:r>
      <w:r w:rsidR="00F516C5">
        <w:rPr>
          <w:rFonts w:ascii="Arial" w:hAnsi="Arial" w:cs="Arial"/>
          <w:sz w:val="20"/>
          <w:szCs w:val="20"/>
        </w:rPr>
        <w:t xml:space="preserve">the </w:t>
      </w:r>
      <w:r w:rsidR="00D37820">
        <w:rPr>
          <w:rFonts w:ascii="Arial" w:hAnsi="Arial" w:cs="Arial"/>
          <w:sz w:val="20"/>
          <w:szCs w:val="20"/>
        </w:rPr>
        <w:t xml:space="preserve">Oltenia Energy Complex (end of Q3 2026). </w:t>
      </w:r>
      <w:r w:rsidRPr="00AB78DA">
        <w:rPr>
          <w:rFonts w:ascii="Arial" w:hAnsi="Arial" w:cs="Arial"/>
          <w:sz w:val="20"/>
          <w:szCs w:val="20"/>
        </w:rPr>
        <w:t xml:space="preserve">A detailed </w:t>
      </w:r>
      <w:r w:rsidR="00F516C5">
        <w:rPr>
          <w:rFonts w:ascii="Arial" w:hAnsi="Arial" w:cs="Arial"/>
          <w:sz w:val="20"/>
          <w:szCs w:val="20"/>
        </w:rPr>
        <w:t>schedule</w:t>
      </w:r>
      <w:r w:rsidR="00F516C5" w:rsidRPr="00AB78DA">
        <w:rPr>
          <w:rFonts w:ascii="Arial" w:hAnsi="Arial" w:cs="Arial"/>
          <w:sz w:val="20"/>
          <w:szCs w:val="20"/>
        </w:rPr>
        <w:t xml:space="preserve"> </w:t>
      </w:r>
      <w:r w:rsidRPr="00AB78DA">
        <w:rPr>
          <w:rFonts w:ascii="Arial" w:hAnsi="Arial" w:cs="Arial"/>
          <w:sz w:val="20"/>
          <w:szCs w:val="20"/>
        </w:rPr>
        <w:t xml:space="preserve">for coal phase-out is to be adopted by Q2 2022. </w:t>
      </w:r>
      <w:r w:rsidR="00391773">
        <w:rPr>
          <w:rFonts w:ascii="Arial" w:hAnsi="Arial" w:cs="Arial"/>
          <w:sz w:val="20"/>
          <w:szCs w:val="20"/>
        </w:rPr>
        <w:t>However, according to information issued to the media by Romanian authorities, the Mintia power plant is already closed, while Paroseni is expected to close sooner than the final deadline for coal phase-out</w:t>
      </w:r>
      <w:r w:rsidRPr="00AB78DA">
        <w:rPr>
          <w:rFonts w:ascii="Arial" w:hAnsi="Arial" w:cs="Arial"/>
          <w:sz w:val="20"/>
          <w:szCs w:val="20"/>
        </w:rPr>
        <w:t xml:space="preserve">. </w:t>
      </w:r>
    </w:p>
    <w:p w14:paraId="576577B6" w14:textId="00215DCC" w:rsidR="00DA6B30" w:rsidRPr="0058536D" w:rsidRDefault="00DA6B30" w:rsidP="00E42342">
      <w:pPr>
        <w:pStyle w:val="NormalWeb"/>
        <w:numPr>
          <w:ilvl w:val="0"/>
          <w:numId w:val="330"/>
        </w:numPr>
        <w:spacing w:before="0" w:beforeAutospacing="0" w:after="120" w:afterAutospacing="0"/>
        <w:jc w:val="both"/>
        <w:rPr>
          <w:rFonts w:ascii="Arial" w:hAnsi="Arial" w:cs="Arial"/>
          <w:sz w:val="20"/>
          <w:szCs w:val="20"/>
        </w:rPr>
      </w:pPr>
      <w:r w:rsidRPr="0058536D">
        <w:rPr>
          <w:rFonts w:ascii="Arial" w:hAnsi="Arial" w:cs="Arial"/>
          <w:b/>
          <w:sz w:val="20"/>
          <w:szCs w:val="20"/>
        </w:rPr>
        <w:t>In Gorj County, although the restructuring plan of the Oltenia Energy Complex is a moving target, coal will likely phase-out by 2028-2030</w:t>
      </w:r>
      <w:r>
        <w:rPr>
          <w:rFonts w:ascii="Arial" w:hAnsi="Arial" w:cs="Arial"/>
          <w:b/>
          <w:sz w:val="20"/>
          <w:szCs w:val="20"/>
        </w:rPr>
        <w:t xml:space="preserve"> due to its poor economic parameters</w:t>
      </w:r>
      <w:r w:rsidRPr="0058536D">
        <w:rPr>
          <w:rFonts w:ascii="Arial" w:hAnsi="Arial" w:cs="Arial"/>
          <w:b/>
          <w:sz w:val="20"/>
          <w:szCs w:val="20"/>
        </w:rPr>
        <w:t>, and the currently envisaged gas-fired capacity for 2030 will be diminished in the restructuring plan</w:t>
      </w:r>
      <w:r>
        <w:rPr>
          <w:rFonts w:ascii="Arial" w:hAnsi="Arial" w:cs="Arial"/>
          <w:b/>
          <w:sz w:val="20"/>
          <w:szCs w:val="20"/>
        </w:rPr>
        <w:t xml:space="preserve"> to be adopted</w:t>
      </w:r>
      <w:r w:rsidRPr="0058536D">
        <w:rPr>
          <w:rFonts w:ascii="Arial" w:hAnsi="Arial" w:cs="Arial"/>
          <w:sz w:val="20"/>
          <w:szCs w:val="20"/>
        </w:rPr>
        <w:t xml:space="preserve">. Gorj is exploiting lignite and is subject to the same legal regime for mine closures as Hunedoara, </w:t>
      </w:r>
      <w:r>
        <w:rPr>
          <w:rFonts w:ascii="Arial" w:hAnsi="Arial" w:cs="Arial"/>
          <w:sz w:val="20"/>
          <w:szCs w:val="20"/>
        </w:rPr>
        <w:t>indicating</w:t>
      </w:r>
      <w:r w:rsidRPr="0058536D">
        <w:rPr>
          <w:rFonts w:ascii="Arial" w:hAnsi="Arial" w:cs="Arial"/>
          <w:sz w:val="20"/>
          <w:szCs w:val="20"/>
        </w:rPr>
        <w:t xml:space="preserve"> that coal mining should close by 2027 in accordance with Council Decision 2010/ 787/ EU. According to the draft RRP submitted by the government to the European Commission, this closure (and </w:t>
      </w:r>
      <w:r>
        <w:rPr>
          <w:rFonts w:ascii="Arial" w:hAnsi="Arial" w:cs="Arial"/>
          <w:sz w:val="20"/>
          <w:szCs w:val="20"/>
        </w:rPr>
        <w:t>accompanying</w:t>
      </w:r>
      <w:r w:rsidRPr="0058536D">
        <w:rPr>
          <w:rFonts w:ascii="Arial" w:hAnsi="Arial" w:cs="Arial"/>
          <w:sz w:val="20"/>
          <w:szCs w:val="20"/>
        </w:rPr>
        <w:t xml:space="preserve"> coal phase-out</w:t>
      </w:r>
      <w:r>
        <w:rPr>
          <w:rFonts w:ascii="Arial" w:hAnsi="Arial" w:cs="Arial"/>
          <w:sz w:val="20"/>
          <w:szCs w:val="20"/>
        </w:rPr>
        <w:t xml:space="preserve"> from the energy mix</w:t>
      </w:r>
      <w:r w:rsidRPr="0058536D">
        <w:rPr>
          <w:rFonts w:ascii="Arial" w:hAnsi="Arial" w:cs="Arial"/>
          <w:sz w:val="20"/>
          <w:szCs w:val="20"/>
        </w:rPr>
        <w:t xml:space="preserve">) is postponed until 2032. By contrast, the </w:t>
      </w:r>
      <w:r w:rsidR="009F7803">
        <w:rPr>
          <w:rFonts w:ascii="Arial" w:hAnsi="Arial" w:cs="Arial"/>
          <w:sz w:val="20"/>
          <w:szCs w:val="20"/>
        </w:rPr>
        <w:t>s</w:t>
      </w:r>
      <w:r w:rsidRPr="0058536D">
        <w:rPr>
          <w:rFonts w:ascii="Arial" w:hAnsi="Arial" w:cs="Arial"/>
          <w:sz w:val="20"/>
          <w:szCs w:val="20"/>
        </w:rPr>
        <w:t>tate</w:t>
      </w:r>
      <w:r w:rsidR="009F7803">
        <w:rPr>
          <w:rFonts w:ascii="Arial" w:hAnsi="Arial" w:cs="Arial"/>
          <w:sz w:val="20"/>
          <w:szCs w:val="20"/>
        </w:rPr>
        <w:t xml:space="preserve"> </w:t>
      </w:r>
      <w:r w:rsidRPr="00782BFD">
        <w:rPr>
          <w:rFonts w:ascii="Arial" w:hAnsi="Arial"/>
          <w:sz w:val="20"/>
        </w:rPr>
        <w:t>aid</w:t>
      </w:r>
      <w:r w:rsidRPr="0058536D">
        <w:rPr>
          <w:rFonts w:ascii="Arial" w:hAnsi="Arial" w:cs="Arial"/>
          <w:sz w:val="20"/>
          <w:szCs w:val="20"/>
        </w:rPr>
        <w:t xml:space="preserve"> currently being discussed for </w:t>
      </w:r>
      <w:r w:rsidR="00782BFD">
        <w:rPr>
          <w:rFonts w:ascii="Arial" w:hAnsi="Arial" w:cs="Arial"/>
          <w:sz w:val="20"/>
          <w:szCs w:val="20"/>
        </w:rPr>
        <w:t xml:space="preserve">Oltenia </w:t>
      </w:r>
      <w:r w:rsidRPr="0058536D">
        <w:rPr>
          <w:rFonts w:ascii="Arial" w:hAnsi="Arial" w:cs="Arial"/>
          <w:sz w:val="20"/>
          <w:szCs w:val="20"/>
        </w:rPr>
        <w:t xml:space="preserve">Energy Complex aims to allow </w:t>
      </w:r>
      <w:r>
        <w:rPr>
          <w:rFonts w:ascii="Arial" w:hAnsi="Arial" w:cs="Arial"/>
          <w:sz w:val="20"/>
          <w:szCs w:val="20"/>
        </w:rPr>
        <w:t xml:space="preserve">the complex </w:t>
      </w:r>
      <w:r w:rsidRPr="0058536D">
        <w:rPr>
          <w:rFonts w:ascii="Arial" w:hAnsi="Arial" w:cs="Arial"/>
          <w:sz w:val="20"/>
          <w:szCs w:val="20"/>
        </w:rPr>
        <w:t>to continue operating 1,950 MW of lignite-based power generation and heating beyond 2030</w:t>
      </w:r>
      <w:r w:rsidR="00B50738">
        <w:rPr>
          <w:rFonts w:ascii="Arial" w:hAnsi="Arial" w:cs="Arial"/>
          <w:sz w:val="20"/>
          <w:szCs w:val="20"/>
        </w:rPr>
        <w:t>, according to latest available public sources</w:t>
      </w:r>
      <w:r w:rsidRPr="0058536D">
        <w:rPr>
          <w:rFonts w:ascii="Arial" w:hAnsi="Arial" w:cs="Arial"/>
          <w:sz w:val="20"/>
          <w:szCs w:val="20"/>
        </w:rPr>
        <w:t xml:space="preserve">. The RRP commitments are expected to overrule the proposed restructuring plans, but the </w:t>
      </w:r>
      <w:r>
        <w:rPr>
          <w:rFonts w:ascii="Arial" w:hAnsi="Arial" w:cs="Arial"/>
          <w:sz w:val="20"/>
          <w:szCs w:val="20"/>
        </w:rPr>
        <w:t>issue</w:t>
      </w:r>
      <w:r w:rsidRPr="0058536D">
        <w:rPr>
          <w:rFonts w:ascii="Arial" w:hAnsi="Arial" w:cs="Arial"/>
          <w:sz w:val="20"/>
          <w:szCs w:val="20"/>
        </w:rPr>
        <w:t xml:space="preserve"> remains </w:t>
      </w:r>
      <w:r>
        <w:rPr>
          <w:rFonts w:ascii="Arial" w:hAnsi="Arial" w:cs="Arial"/>
          <w:sz w:val="20"/>
          <w:szCs w:val="20"/>
        </w:rPr>
        <w:t xml:space="preserve">unsolved </w:t>
      </w:r>
      <w:r w:rsidRPr="0058536D">
        <w:rPr>
          <w:rFonts w:ascii="Arial" w:hAnsi="Arial" w:cs="Arial"/>
          <w:sz w:val="20"/>
          <w:szCs w:val="20"/>
        </w:rPr>
        <w:t xml:space="preserve">until an approval of the restructuring plan by the European Commission. According to </w:t>
      </w:r>
      <w:r w:rsidR="009A4069">
        <w:rPr>
          <w:rFonts w:ascii="Arial" w:hAnsi="Arial" w:cs="Arial"/>
          <w:sz w:val="20"/>
          <w:szCs w:val="20"/>
        </w:rPr>
        <w:t>Just Transition Fund (</w:t>
      </w:r>
      <w:r w:rsidRPr="0058536D">
        <w:rPr>
          <w:rFonts w:ascii="Arial" w:hAnsi="Arial" w:cs="Arial"/>
          <w:sz w:val="20"/>
          <w:szCs w:val="20"/>
        </w:rPr>
        <w:t>JTF</w:t>
      </w:r>
      <w:r w:rsidR="009A4069">
        <w:rPr>
          <w:rFonts w:ascii="Arial" w:hAnsi="Arial" w:cs="Arial"/>
          <w:sz w:val="20"/>
          <w:szCs w:val="20"/>
        </w:rPr>
        <w:t>)</w:t>
      </w:r>
      <w:r w:rsidRPr="0058536D">
        <w:rPr>
          <w:rFonts w:ascii="Arial" w:hAnsi="Arial" w:cs="Arial"/>
          <w:sz w:val="20"/>
          <w:szCs w:val="20"/>
        </w:rPr>
        <w:t xml:space="preserve"> stakeholder consultations, the local authorities’ declared ambition and vision is to transform the county into a 100% green energy hub by 2030.</w:t>
      </w:r>
    </w:p>
    <w:p w14:paraId="6AAE7195" w14:textId="1AF94D91" w:rsidR="00DA6B30" w:rsidRPr="0058536D" w:rsidRDefault="00DA6B30" w:rsidP="00E42342">
      <w:pPr>
        <w:pStyle w:val="NormalWeb"/>
        <w:numPr>
          <w:ilvl w:val="0"/>
          <w:numId w:val="330"/>
        </w:numPr>
        <w:spacing w:before="0" w:beforeAutospacing="0" w:after="120" w:afterAutospacing="0"/>
        <w:jc w:val="both"/>
        <w:rPr>
          <w:rFonts w:ascii="Arial" w:hAnsi="Arial" w:cs="Arial"/>
          <w:sz w:val="20"/>
          <w:szCs w:val="20"/>
        </w:rPr>
      </w:pPr>
      <w:r w:rsidRPr="0058536D">
        <w:rPr>
          <w:rFonts w:ascii="Arial" w:hAnsi="Arial" w:cs="Arial"/>
          <w:b/>
          <w:sz w:val="20"/>
          <w:szCs w:val="20"/>
        </w:rPr>
        <w:t>The same transition timeline also applies to Dolj</w:t>
      </w:r>
      <w:r>
        <w:rPr>
          <w:rFonts w:ascii="Arial" w:hAnsi="Arial" w:cs="Arial"/>
          <w:b/>
          <w:sz w:val="20"/>
          <w:szCs w:val="20"/>
        </w:rPr>
        <w:t xml:space="preserve"> even though </w:t>
      </w:r>
      <w:r w:rsidRPr="0058536D">
        <w:rPr>
          <w:rFonts w:ascii="Arial" w:hAnsi="Arial" w:cs="Arial"/>
          <w:b/>
          <w:sz w:val="20"/>
          <w:szCs w:val="20"/>
        </w:rPr>
        <w:t xml:space="preserve">coal </w:t>
      </w:r>
      <w:r>
        <w:rPr>
          <w:rFonts w:ascii="Arial" w:hAnsi="Arial" w:cs="Arial"/>
          <w:b/>
          <w:sz w:val="20"/>
          <w:szCs w:val="20"/>
        </w:rPr>
        <w:t xml:space="preserve">might be </w:t>
      </w:r>
      <w:r w:rsidRPr="0058536D">
        <w:rPr>
          <w:rFonts w:ascii="Arial" w:hAnsi="Arial" w:cs="Arial"/>
          <w:b/>
          <w:sz w:val="20"/>
          <w:szCs w:val="20"/>
        </w:rPr>
        <w:t>phase</w:t>
      </w:r>
      <w:r>
        <w:rPr>
          <w:rFonts w:ascii="Arial" w:hAnsi="Arial" w:cs="Arial"/>
          <w:b/>
          <w:sz w:val="20"/>
          <w:szCs w:val="20"/>
        </w:rPr>
        <w:t>d</w:t>
      </w:r>
      <w:r w:rsidRPr="0058536D">
        <w:rPr>
          <w:rFonts w:ascii="Arial" w:hAnsi="Arial" w:cs="Arial"/>
          <w:b/>
          <w:sz w:val="20"/>
          <w:szCs w:val="20"/>
        </w:rPr>
        <w:t>-out</w:t>
      </w:r>
      <w:r w:rsidRPr="0058536D">
        <w:rPr>
          <w:rFonts w:ascii="Arial" w:hAnsi="Arial" w:cs="Arial"/>
          <w:sz w:val="20"/>
          <w:szCs w:val="20"/>
        </w:rPr>
        <w:t xml:space="preserve"> </w:t>
      </w:r>
      <w:r>
        <w:rPr>
          <w:rFonts w:ascii="Arial" w:hAnsi="Arial" w:cs="Arial"/>
          <w:sz w:val="20"/>
          <w:szCs w:val="20"/>
        </w:rPr>
        <w:t>earlier as</w:t>
      </w:r>
      <w:r w:rsidRPr="0058536D">
        <w:rPr>
          <w:rFonts w:ascii="Arial" w:hAnsi="Arial" w:cs="Arial"/>
          <w:sz w:val="20"/>
          <w:szCs w:val="20"/>
        </w:rPr>
        <w:t xml:space="preserve"> the county does</w:t>
      </w:r>
      <w:r>
        <w:rPr>
          <w:rFonts w:ascii="Arial" w:hAnsi="Arial" w:cs="Arial"/>
          <w:sz w:val="20"/>
          <w:szCs w:val="20"/>
        </w:rPr>
        <w:t xml:space="preserve"> not</w:t>
      </w:r>
      <w:r w:rsidRPr="0058536D">
        <w:rPr>
          <w:rFonts w:ascii="Arial" w:hAnsi="Arial" w:cs="Arial"/>
          <w:sz w:val="20"/>
          <w:szCs w:val="20"/>
        </w:rPr>
        <w:t xml:space="preserve"> mine coal and only produces coal-fired electricity in two power plants (I</w:t>
      </w:r>
      <w:r>
        <w:rPr>
          <w:rFonts w:ascii="Arial" w:hAnsi="Arial" w:cs="Arial"/>
          <w:sz w:val="20"/>
          <w:szCs w:val="20"/>
        </w:rPr>
        <w:t>ș</w:t>
      </w:r>
      <w:r w:rsidRPr="0058536D">
        <w:rPr>
          <w:rFonts w:ascii="Arial" w:hAnsi="Arial" w:cs="Arial"/>
          <w:sz w:val="20"/>
          <w:szCs w:val="20"/>
        </w:rPr>
        <w:t>alni</w:t>
      </w:r>
      <w:r>
        <w:rPr>
          <w:rFonts w:ascii="Arial" w:hAnsi="Arial" w:cs="Arial"/>
          <w:sz w:val="20"/>
          <w:szCs w:val="20"/>
        </w:rPr>
        <w:t>ț</w:t>
      </w:r>
      <w:r w:rsidRPr="0058536D">
        <w:rPr>
          <w:rFonts w:ascii="Arial" w:hAnsi="Arial" w:cs="Arial"/>
          <w:sz w:val="20"/>
          <w:szCs w:val="20"/>
        </w:rPr>
        <w:t>a and Craiova II). 315 MW in I</w:t>
      </w:r>
      <w:r>
        <w:rPr>
          <w:rFonts w:ascii="Arial" w:hAnsi="Arial" w:cs="Arial"/>
          <w:sz w:val="20"/>
          <w:szCs w:val="20"/>
        </w:rPr>
        <w:t>ș</w:t>
      </w:r>
      <w:r w:rsidRPr="0058536D">
        <w:rPr>
          <w:rFonts w:ascii="Arial" w:hAnsi="Arial" w:cs="Arial"/>
          <w:sz w:val="20"/>
          <w:szCs w:val="20"/>
        </w:rPr>
        <w:t>alni</w:t>
      </w:r>
      <w:r>
        <w:rPr>
          <w:rFonts w:ascii="Arial" w:hAnsi="Arial" w:cs="Arial"/>
          <w:sz w:val="20"/>
          <w:szCs w:val="20"/>
        </w:rPr>
        <w:t>ț</w:t>
      </w:r>
      <w:r w:rsidRPr="0058536D">
        <w:rPr>
          <w:rFonts w:ascii="Arial" w:hAnsi="Arial" w:cs="Arial"/>
          <w:sz w:val="20"/>
          <w:szCs w:val="20"/>
        </w:rPr>
        <w:t xml:space="preserve">a </w:t>
      </w:r>
      <w:r>
        <w:rPr>
          <w:rFonts w:ascii="Arial" w:hAnsi="Arial" w:cs="Arial"/>
          <w:sz w:val="20"/>
          <w:szCs w:val="20"/>
        </w:rPr>
        <w:t>(</w:t>
      </w:r>
      <w:r w:rsidRPr="0058536D">
        <w:rPr>
          <w:rFonts w:ascii="Arial" w:hAnsi="Arial" w:cs="Arial"/>
          <w:sz w:val="20"/>
          <w:szCs w:val="20"/>
        </w:rPr>
        <w:t>which is half of the currently installed capacit</w:t>
      </w:r>
      <w:r>
        <w:rPr>
          <w:rFonts w:ascii="Arial" w:hAnsi="Arial" w:cs="Arial"/>
          <w:sz w:val="20"/>
          <w:szCs w:val="20"/>
        </w:rPr>
        <w:t xml:space="preserve">y) </w:t>
      </w:r>
      <w:r w:rsidRPr="0058536D">
        <w:rPr>
          <w:rFonts w:ascii="Arial" w:hAnsi="Arial" w:cs="Arial"/>
          <w:sz w:val="20"/>
          <w:szCs w:val="20"/>
        </w:rPr>
        <w:t xml:space="preserve">are expected to close down as early as 2021. CET Craiova II is expected to close by 2025 at the latest, and potentially earlier depending on the approval of the restructuring plan of </w:t>
      </w:r>
      <w:r>
        <w:rPr>
          <w:rFonts w:ascii="Arial" w:hAnsi="Arial" w:cs="Arial"/>
          <w:sz w:val="20"/>
          <w:szCs w:val="20"/>
        </w:rPr>
        <w:t>Oltenia Energy Complex</w:t>
      </w:r>
      <w:r w:rsidRPr="0058536D">
        <w:rPr>
          <w:rFonts w:ascii="Arial" w:hAnsi="Arial" w:cs="Arial"/>
          <w:sz w:val="20"/>
          <w:szCs w:val="20"/>
        </w:rPr>
        <w:t>. As illustrated through our modelling exercise in D</w:t>
      </w:r>
      <w:r>
        <w:rPr>
          <w:rFonts w:ascii="Arial" w:hAnsi="Arial" w:cs="Arial"/>
          <w:sz w:val="20"/>
          <w:szCs w:val="20"/>
        </w:rPr>
        <w:t xml:space="preserve">eliverable </w:t>
      </w:r>
      <w:r w:rsidRPr="0058536D">
        <w:rPr>
          <w:rFonts w:ascii="Arial" w:hAnsi="Arial" w:cs="Arial"/>
          <w:sz w:val="20"/>
          <w:szCs w:val="20"/>
        </w:rPr>
        <w:t>3</w:t>
      </w:r>
      <w:r>
        <w:rPr>
          <w:rFonts w:ascii="Arial" w:hAnsi="Arial" w:cs="Arial"/>
          <w:sz w:val="20"/>
          <w:szCs w:val="20"/>
        </w:rPr>
        <w:t xml:space="preserve"> </w:t>
      </w:r>
      <w:r w:rsidRPr="0058536D">
        <w:rPr>
          <w:rFonts w:ascii="Arial" w:hAnsi="Arial" w:cs="Arial"/>
          <w:sz w:val="20"/>
          <w:szCs w:val="20"/>
        </w:rPr>
        <w:t>and in the current deliverable, the energy transition will generate additional indirect impacts in Dolj, which is heavily dependent on the automotive industry</w:t>
      </w:r>
      <w:r>
        <w:rPr>
          <w:rFonts w:ascii="Arial" w:hAnsi="Arial" w:cs="Arial"/>
          <w:sz w:val="20"/>
          <w:szCs w:val="20"/>
        </w:rPr>
        <w:t>. T</w:t>
      </w:r>
      <w:r w:rsidRPr="0058536D">
        <w:rPr>
          <w:rFonts w:ascii="Arial" w:hAnsi="Arial" w:cs="Arial"/>
          <w:sz w:val="20"/>
          <w:szCs w:val="20"/>
        </w:rPr>
        <w:t>he related internal combustion engine technology</w:t>
      </w:r>
      <w:r w:rsidR="00FF617B">
        <w:rPr>
          <w:rFonts w:ascii="Arial" w:hAnsi="Arial" w:cs="Arial"/>
          <w:sz w:val="20"/>
          <w:szCs w:val="20"/>
        </w:rPr>
        <w:t xml:space="preserve"> for automobiles</w:t>
      </w:r>
      <w:r w:rsidRPr="0058536D">
        <w:rPr>
          <w:rFonts w:ascii="Arial" w:hAnsi="Arial" w:cs="Arial"/>
          <w:sz w:val="20"/>
          <w:szCs w:val="20"/>
        </w:rPr>
        <w:t xml:space="preserve"> </w:t>
      </w:r>
      <w:r>
        <w:rPr>
          <w:rFonts w:ascii="Arial" w:hAnsi="Arial" w:cs="Arial"/>
          <w:sz w:val="20"/>
          <w:szCs w:val="20"/>
        </w:rPr>
        <w:t xml:space="preserve">is </w:t>
      </w:r>
      <w:r w:rsidRPr="0058536D">
        <w:rPr>
          <w:rFonts w:ascii="Arial" w:hAnsi="Arial" w:cs="Arial"/>
          <w:sz w:val="20"/>
          <w:szCs w:val="20"/>
        </w:rPr>
        <w:t xml:space="preserve">expected to </w:t>
      </w:r>
      <w:r>
        <w:rPr>
          <w:rFonts w:ascii="Arial" w:hAnsi="Arial" w:cs="Arial"/>
          <w:sz w:val="20"/>
          <w:szCs w:val="20"/>
        </w:rPr>
        <w:t xml:space="preserve">also </w:t>
      </w:r>
      <w:r w:rsidRPr="0058536D">
        <w:rPr>
          <w:rFonts w:ascii="Arial" w:hAnsi="Arial" w:cs="Arial"/>
          <w:sz w:val="20"/>
          <w:szCs w:val="20"/>
        </w:rPr>
        <w:t>phase out</w:t>
      </w:r>
      <w:r>
        <w:rPr>
          <w:rFonts w:ascii="Arial" w:hAnsi="Arial" w:cs="Arial"/>
          <w:sz w:val="20"/>
          <w:szCs w:val="20"/>
        </w:rPr>
        <w:t xml:space="preserve"> </w:t>
      </w:r>
      <w:r w:rsidRPr="0058536D">
        <w:rPr>
          <w:rFonts w:ascii="Arial" w:hAnsi="Arial" w:cs="Arial"/>
          <w:sz w:val="20"/>
          <w:szCs w:val="20"/>
        </w:rPr>
        <w:t>in the next ten years as well.</w:t>
      </w:r>
    </w:p>
    <w:p w14:paraId="4148539F" w14:textId="28B24F84" w:rsidR="00DA6B30" w:rsidRPr="000C2616" w:rsidRDefault="00DA6B30" w:rsidP="009A4069">
      <w:pPr>
        <w:pStyle w:val="ListParagraph"/>
        <w:numPr>
          <w:ilvl w:val="0"/>
          <w:numId w:val="330"/>
        </w:numPr>
        <w:spacing w:after="120" w:line="240" w:lineRule="auto"/>
        <w:jc w:val="both"/>
        <w:rPr>
          <w:color w:val="000000"/>
          <w:sz w:val="20"/>
          <w:szCs w:val="20"/>
        </w:rPr>
      </w:pPr>
      <w:r w:rsidRPr="000C2616">
        <w:rPr>
          <w:rFonts w:eastAsia="Times New Roman"/>
          <w:b/>
          <w:color w:val="000000"/>
          <w:sz w:val="20"/>
          <w:szCs w:val="20"/>
        </w:rPr>
        <w:t>Prahova</w:t>
      </w:r>
      <w:r w:rsidRPr="00222DA6">
        <w:rPr>
          <w:rFonts w:eastAsia="Times New Roman"/>
          <w:color w:val="000000"/>
          <w:sz w:val="20"/>
          <w:szCs w:val="20"/>
        </w:rPr>
        <w:t xml:space="preserve"> is the hotspot of the oil and gas industry</w:t>
      </w:r>
      <w:r w:rsidRPr="000C2616">
        <w:rPr>
          <w:rFonts w:eastAsia="Times New Roman"/>
          <w:color w:val="000000"/>
          <w:sz w:val="20"/>
          <w:szCs w:val="20"/>
        </w:rPr>
        <w:t xml:space="preserve"> in Romania. While </w:t>
      </w:r>
      <w:r w:rsidRPr="000C2616">
        <w:rPr>
          <w:rFonts w:eastAsia="Times New Roman"/>
          <w:b/>
          <w:color w:val="000000"/>
          <w:sz w:val="20"/>
          <w:szCs w:val="20"/>
        </w:rPr>
        <w:t>none of the major oil and gas companies (upstream, refineries, transportation) from Prahova has set a carbon neutrality target</w:t>
      </w:r>
      <w:r w:rsidRPr="00222DA6">
        <w:rPr>
          <w:rFonts w:eastAsia="Times New Roman"/>
          <w:color w:val="000000"/>
          <w:sz w:val="20"/>
          <w:szCs w:val="20"/>
        </w:rPr>
        <w:t xml:space="preserve">, they are in general </w:t>
      </w:r>
      <w:r w:rsidRPr="000C2616">
        <w:rPr>
          <w:rFonts w:eastAsia="Times New Roman"/>
          <w:color w:val="000000"/>
          <w:sz w:val="20"/>
          <w:szCs w:val="20"/>
        </w:rPr>
        <w:t>committed to incremental carbon reductions – e.g., OMV Petrom plans to reduce its emissions by 27% in 2025 (compared to 2010), according to their publicly available corporate strategy. The stakeholder engagement strategy showed that local oil &amp; gas actors are reluctant to make clear and significant steps towards carbon neutrality. Yet, according to our modelling, tighter carbon neutrality targets at the national level (</w:t>
      </w:r>
      <w:r w:rsidR="009A4069" w:rsidRPr="000C2616">
        <w:rPr>
          <w:rFonts w:eastAsia="Times New Roman"/>
          <w:color w:val="000000"/>
          <w:sz w:val="20"/>
          <w:szCs w:val="20"/>
        </w:rPr>
        <w:t>e.g.,</w:t>
      </w:r>
      <w:r w:rsidRPr="000C2616">
        <w:rPr>
          <w:rFonts w:eastAsia="Times New Roman"/>
          <w:color w:val="000000"/>
          <w:sz w:val="20"/>
          <w:szCs w:val="20"/>
        </w:rPr>
        <w:t xml:space="preserve"> a Green Deal scenario) will accelerate the energy transition in Prahova massively</w:t>
      </w:r>
      <w:r>
        <w:rPr>
          <w:rFonts w:eastAsia="Times New Roman"/>
          <w:color w:val="000000"/>
          <w:sz w:val="20"/>
          <w:szCs w:val="20"/>
        </w:rPr>
        <w:t>.</w:t>
      </w:r>
    </w:p>
    <w:p w14:paraId="0EBCC339" w14:textId="26CFF9EE" w:rsidR="00DA6B30" w:rsidRPr="00AB78DA" w:rsidRDefault="00DA6B30" w:rsidP="00E42342">
      <w:pPr>
        <w:pStyle w:val="NormalWeb"/>
        <w:numPr>
          <w:ilvl w:val="0"/>
          <w:numId w:val="330"/>
        </w:numPr>
        <w:spacing w:before="0" w:beforeAutospacing="0" w:after="120" w:afterAutospacing="0"/>
        <w:jc w:val="both"/>
        <w:rPr>
          <w:rFonts w:ascii="Arial" w:hAnsi="Arial" w:cs="Arial"/>
          <w:sz w:val="20"/>
          <w:szCs w:val="20"/>
        </w:rPr>
      </w:pPr>
      <w:r w:rsidRPr="00AB78DA">
        <w:rPr>
          <w:rFonts w:ascii="Arial" w:hAnsi="Arial" w:cs="Arial"/>
          <w:b/>
          <w:sz w:val="20"/>
          <w:szCs w:val="20"/>
        </w:rPr>
        <w:t>Mure</w:t>
      </w:r>
      <w:r>
        <w:rPr>
          <w:rFonts w:ascii="Arial" w:hAnsi="Arial" w:cs="Arial"/>
          <w:b/>
          <w:sz w:val="20"/>
          <w:szCs w:val="20"/>
        </w:rPr>
        <w:t xml:space="preserve">ș </w:t>
      </w:r>
      <w:r w:rsidRPr="00AB78DA">
        <w:rPr>
          <w:rFonts w:ascii="Arial" w:hAnsi="Arial" w:cs="Arial"/>
          <w:b/>
          <w:sz w:val="20"/>
          <w:szCs w:val="20"/>
        </w:rPr>
        <w:t>County is a region locked in natural gas usage with limited possibilities to reduce emissions by 2030, unless a strict Green Deal scenario is implemented, which would lead to a significant reduction of natural gas in the energy mix and affect local players such as E.ON and Romgaz, as well as the gas-based fertilizer producer Azomureş.</w:t>
      </w:r>
      <w:r w:rsidRPr="00AB78DA">
        <w:rPr>
          <w:rFonts w:ascii="Arial" w:hAnsi="Arial" w:cs="Arial"/>
          <w:sz w:val="20"/>
          <w:szCs w:val="20"/>
        </w:rPr>
        <w:t xml:space="preserve"> In a </w:t>
      </w:r>
      <w:r w:rsidR="00C63867" w:rsidRPr="00AB78DA">
        <w:rPr>
          <w:rFonts w:ascii="Arial" w:hAnsi="Arial" w:cs="Arial"/>
          <w:sz w:val="20"/>
          <w:szCs w:val="20"/>
        </w:rPr>
        <w:t>G</w:t>
      </w:r>
      <w:r w:rsidR="00C63867">
        <w:rPr>
          <w:rFonts w:ascii="Arial" w:hAnsi="Arial" w:cs="Arial"/>
          <w:sz w:val="20"/>
          <w:szCs w:val="20"/>
        </w:rPr>
        <w:t>reen</w:t>
      </w:r>
      <w:r w:rsidR="009A4069">
        <w:rPr>
          <w:rFonts w:ascii="Arial" w:hAnsi="Arial" w:cs="Arial"/>
          <w:sz w:val="20"/>
          <w:szCs w:val="20"/>
        </w:rPr>
        <w:t xml:space="preserve"> </w:t>
      </w:r>
      <w:r w:rsidRPr="00AB78DA">
        <w:rPr>
          <w:rFonts w:ascii="Arial" w:hAnsi="Arial" w:cs="Arial"/>
          <w:sz w:val="20"/>
          <w:szCs w:val="20"/>
        </w:rPr>
        <w:t>D</w:t>
      </w:r>
      <w:r w:rsidR="009A4069">
        <w:rPr>
          <w:rFonts w:ascii="Arial" w:hAnsi="Arial" w:cs="Arial"/>
          <w:sz w:val="20"/>
          <w:szCs w:val="20"/>
        </w:rPr>
        <w:t>eal</w:t>
      </w:r>
      <w:r w:rsidRPr="00AB78DA">
        <w:rPr>
          <w:rFonts w:ascii="Arial" w:hAnsi="Arial" w:cs="Arial"/>
          <w:sz w:val="20"/>
          <w:szCs w:val="20"/>
        </w:rPr>
        <w:t xml:space="preserve"> scenario, a scenario for which Romania must arguably commit to achieve the climate neutrality targets it is expected to officially adopt soon, local emissions will be</w:t>
      </w:r>
      <w:r w:rsidRPr="00AB78DA">
        <w:rPr>
          <w:rFonts w:ascii="Arial" w:hAnsi="Arial" w:cs="Arial"/>
          <w:b/>
          <w:sz w:val="20"/>
          <w:szCs w:val="20"/>
        </w:rPr>
        <w:t xml:space="preserve"> </w:t>
      </w:r>
      <w:r w:rsidRPr="00AB78DA">
        <w:rPr>
          <w:rFonts w:ascii="Arial" w:hAnsi="Arial" w:cs="Arial"/>
          <w:sz w:val="20"/>
          <w:szCs w:val="20"/>
        </w:rPr>
        <w:t xml:space="preserve">reduced by 80%. The current investment plan of the largest ETS installation in the county – Azomureş – will lead to a 40% reduction of verified emissions at county level. </w:t>
      </w:r>
    </w:p>
    <w:p w14:paraId="7A9A079E" w14:textId="3D63454B" w:rsidR="00DA6B30" w:rsidRDefault="00DA6B30" w:rsidP="00E42342">
      <w:pPr>
        <w:pStyle w:val="NormalWeb"/>
        <w:numPr>
          <w:ilvl w:val="0"/>
          <w:numId w:val="330"/>
        </w:numPr>
        <w:spacing w:before="0" w:beforeAutospacing="0" w:after="120" w:afterAutospacing="0"/>
        <w:jc w:val="both"/>
        <w:rPr>
          <w:rFonts w:ascii="Arial" w:hAnsi="Arial" w:cs="Arial"/>
          <w:sz w:val="20"/>
          <w:szCs w:val="20"/>
        </w:rPr>
      </w:pPr>
      <w:r w:rsidRPr="00AB78DA">
        <w:rPr>
          <w:rFonts w:ascii="Arial" w:hAnsi="Arial" w:cs="Arial"/>
          <w:b/>
          <w:sz w:val="20"/>
          <w:szCs w:val="20"/>
        </w:rPr>
        <w:lastRenderedPageBreak/>
        <w:t xml:space="preserve">In Galați County, there are technical opportunities and </w:t>
      </w:r>
      <w:r>
        <w:rPr>
          <w:rFonts w:ascii="Arial" w:hAnsi="Arial" w:cs="Arial"/>
          <w:b/>
          <w:sz w:val="20"/>
          <w:szCs w:val="20"/>
        </w:rPr>
        <w:t xml:space="preserve">respective </w:t>
      </w:r>
      <w:r w:rsidRPr="00AB78DA">
        <w:rPr>
          <w:rFonts w:ascii="Arial" w:hAnsi="Arial" w:cs="Arial"/>
          <w:b/>
          <w:sz w:val="20"/>
          <w:szCs w:val="20"/>
        </w:rPr>
        <w:t xml:space="preserve">business leadership </w:t>
      </w:r>
      <w:r>
        <w:rPr>
          <w:rFonts w:ascii="Arial" w:hAnsi="Arial" w:cs="Arial"/>
          <w:b/>
          <w:sz w:val="20"/>
          <w:szCs w:val="20"/>
        </w:rPr>
        <w:t xml:space="preserve">capacities </w:t>
      </w:r>
      <w:r w:rsidRPr="00AB78DA">
        <w:rPr>
          <w:rFonts w:ascii="Arial" w:hAnsi="Arial" w:cs="Arial"/>
          <w:b/>
          <w:sz w:val="20"/>
          <w:szCs w:val="20"/>
        </w:rPr>
        <w:t xml:space="preserve">to </w:t>
      </w:r>
      <w:r>
        <w:rPr>
          <w:rFonts w:ascii="Arial" w:hAnsi="Arial" w:cs="Arial"/>
          <w:b/>
          <w:sz w:val="20"/>
          <w:szCs w:val="20"/>
        </w:rPr>
        <w:t xml:space="preserve">facilitate </w:t>
      </w:r>
      <w:r w:rsidRPr="00AB78DA">
        <w:rPr>
          <w:rFonts w:ascii="Arial" w:hAnsi="Arial" w:cs="Arial"/>
          <w:b/>
          <w:sz w:val="20"/>
          <w:szCs w:val="20"/>
        </w:rPr>
        <w:t xml:space="preserve">the carbon neutrality transition. </w:t>
      </w:r>
      <w:r w:rsidRPr="00AB78DA">
        <w:rPr>
          <w:rFonts w:ascii="Arial" w:hAnsi="Arial" w:cs="Arial"/>
          <w:sz w:val="20"/>
          <w:szCs w:val="20"/>
        </w:rPr>
        <w:t xml:space="preserve">The largest ETS installation (Liberty </w:t>
      </w:r>
      <w:r w:rsidR="003751DC">
        <w:rPr>
          <w:rFonts w:ascii="Arial" w:hAnsi="Arial" w:cs="Arial"/>
          <w:sz w:val="20"/>
          <w:szCs w:val="20"/>
        </w:rPr>
        <w:t>Galați</w:t>
      </w:r>
      <w:r w:rsidRPr="00AB78DA">
        <w:rPr>
          <w:rFonts w:ascii="Arial" w:hAnsi="Arial" w:cs="Arial"/>
          <w:sz w:val="20"/>
          <w:szCs w:val="20"/>
        </w:rPr>
        <w:t xml:space="preserve">) has clear investment plans (EUR 1.2 bn) to achieve climate neutrality by 2030 by </w:t>
      </w:r>
      <w:r w:rsidR="00D37820">
        <w:rPr>
          <w:rFonts w:ascii="Arial" w:hAnsi="Arial" w:cs="Arial"/>
          <w:sz w:val="20"/>
          <w:szCs w:val="20"/>
        </w:rPr>
        <w:t xml:space="preserve">gradually </w:t>
      </w:r>
      <w:r>
        <w:rPr>
          <w:rFonts w:ascii="Arial" w:hAnsi="Arial" w:cs="Arial"/>
          <w:sz w:val="20"/>
          <w:szCs w:val="20"/>
        </w:rPr>
        <w:t xml:space="preserve">replacing </w:t>
      </w:r>
      <w:r w:rsidR="00D37820">
        <w:rPr>
          <w:rFonts w:ascii="Arial" w:hAnsi="Arial" w:cs="Arial"/>
          <w:sz w:val="20"/>
          <w:szCs w:val="20"/>
        </w:rPr>
        <w:t>coking coal</w:t>
      </w:r>
      <w:r w:rsidRPr="00AB78DA">
        <w:rPr>
          <w:rFonts w:ascii="Arial" w:hAnsi="Arial" w:cs="Arial"/>
          <w:sz w:val="20"/>
          <w:szCs w:val="20"/>
        </w:rPr>
        <w:t xml:space="preserve"> </w:t>
      </w:r>
      <w:r>
        <w:rPr>
          <w:rFonts w:ascii="Arial" w:hAnsi="Arial" w:cs="Arial"/>
          <w:sz w:val="20"/>
          <w:szCs w:val="20"/>
        </w:rPr>
        <w:t xml:space="preserve">with </w:t>
      </w:r>
      <w:r w:rsidRPr="00AB78DA">
        <w:rPr>
          <w:rFonts w:ascii="Arial" w:hAnsi="Arial" w:cs="Arial"/>
          <w:sz w:val="20"/>
          <w:szCs w:val="20"/>
        </w:rPr>
        <w:t>clean electricity as fuel</w:t>
      </w:r>
      <w:r w:rsidR="00F516C5">
        <w:rPr>
          <w:rFonts w:ascii="Arial" w:hAnsi="Arial" w:cs="Arial"/>
          <w:sz w:val="20"/>
          <w:szCs w:val="20"/>
        </w:rPr>
        <w:t xml:space="preserve"> in the steel production process</w:t>
      </w:r>
      <w:r w:rsidR="00D37820">
        <w:rPr>
          <w:rStyle w:val="FootnoteReference"/>
          <w:rFonts w:ascii="Arial" w:hAnsi="Arial" w:cs="Arial"/>
          <w:sz w:val="20"/>
          <w:szCs w:val="20"/>
        </w:rPr>
        <w:footnoteReference w:id="4"/>
      </w:r>
      <w:r w:rsidRPr="00AB78DA">
        <w:rPr>
          <w:rFonts w:ascii="Arial" w:hAnsi="Arial" w:cs="Arial"/>
          <w:sz w:val="20"/>
          <w:szCs w:val="20"/>
        </w:rPr>
        <w:t xml:space="preserve">. These plans might be even more ambitious than a Green Deal induced emissions reduction: according to our modelling, a GD scenario in </w:t>
      </w:r>
      <w:r w:rsidR="003751DC">
        <w:rPr>
          <w:rFonts w:ascii="Arial" w:hAnsi="Arial" w:cs="Arial"/>
          <w:sz w:val="20"/>
          <w:szCs w:val="20"/>
        </w:rPr>
        <w:t>Galați</w:t>
      </w:r>
      <w:r w:rsidRPr="00AB78DA">
        <w:rPr>
          <w:rFonts w:ascii="Arial" w:hAnsi="Arial" w:cs="Arial"/>
          <w:sz w:val="20"/>
          <w:szCs w:val="20"/>
        </w:rPr>
        <w:t xml:space="preserve"> </w:t>
      </w:r>
      <w:r>
        <w:rPr>
          <w:rFonts w:ascii="Arial" w:hAnsi="Arial" w:cs="Arial"/>
          <w:sz w:val="20"/>
          <w:szCs w:val="20"/>
        </w:rPr>
        <w:t xml:space="preserve">would </w:t>
      </w:r>
      <w:r w:rsidRPr="00AB78DA">
        <w:rPr>
          <w:rFonts w:ascii="Arial" w:hAnsi="Arial" w:cs="Arial"/>
          <w:sz w:val="20"/>
          <w:szCs w:val="20"/>
        </w:rPr>
        <w:t xml:space="preserve">lead to emission reductions of more than 50%. </w:t>
      </w:r>
    </w:p>
    <w:p w14:paraId="02233528" w14:textId="77777777" w:rsidR="00DA6B30" w:rsidRPr="0058536D" w:rsidRDefault="00DA6B30" w:rsidP="00DA6B30">
      <w:pPr>
        <w:spacing w:after="120"/>
        <w:jc w:val="both"/>
        <w:rPr>
          <w:rFonts w:ascii="Arial" w:hAnsi="Arial" w:cs="Arial"/>
          <w:sz w:val="20"/>
          <w:szCs w:val="20"/>
        </w:rPr>
      </w:pPr>
      <w:r w:rsidRPr="0058536D">
        <w:rPr>
          <w:rFonts w:ascii="Arial" w:hAnsi="Arial" w:cs="Arial"/>
          <w:sz w:val="20"/>
          <w:szCs w:val="20"/>
        </w:rPr>
        <w:t xml:space="preserve">It is also in </w:t>
      </w:r>
      <w:r>
        <w:rPr>
          <w:rFonts w:ascii="Arial" w:hAnsi="Arial" w:cs="Arial"/>
          <w:sz w:val="20"/>
          <w:szCs w:val="20"/>
        </w:rPr>
        <w:t>Chapter</w:t>
      </w:r>
      <w:r w:rsidRPr="0058536D">
        <w:rPr>
          <w:rFonts w:ascii="Arial" w:hAnsi="Arial" w:cs="Arial"/>
          <w:sz w:val="20"/>
          <w:szCs w:val="20"/>
        </w:rPr>
        <w:t xml:space="preserve"> 1 that we </w:t>
      </w:r>
      <w:r>
        <w:rPr>
          <w:rFonts w:ascii="Arial" w:hAnsi="Arial" w:cs="Arial"/>
          <w:sz w:val="20"/>
          <w:szCs w:val="20"/>
        </w:rPr>
        <w:t>provide</w:t>
      </w:r>
      <w:r w:rsidRPr="0058536D">
        <w:rPr>
          <w:rFonts w:ascii="Arial" w:hAnsi="Arial" w:cs="Arial"/>
          <w:sz w:val="20"/>
          <w:szCs w:val="20"/>
        </w:rPr>
        <w:t xml:space="preserve"> </w:t>
      </w:r>
      <w:r w:rsidRPr="0058536D">
        <w:rPr>
          <w:rFonts w:ascii="Arial" w:hAnsi="Arial" w:cs="Arial"/>
          <w:b/>
          <w:bCs/>
          <w:sz w:val="20"/>
          <w:szCs w:val="20"/>
        </w:rPr>
        <w:t>a summary of the modelling results regarding the socio-economic impact of the transition in all six affected regions</w:t>
      </w:r>
      <w:r w:rsidRPr="0058536D">
        <w:rPr>
          <w:rFonts w:ascii="Arial" w:hAnsi="Arial" w:cs="Arial"/>
          <w:sz w:val="20"/>
          <w:szCs w:val="20"/>
        </w:rPr>
        <w:t>, which are presented in detail in D3.</w:t>
      </w:r>
    </w:p>
    <w:p w14:paraId="1BBB03A5" w14:textId="703F7031" w:rsidR="00DA6B30" w:rsidRPr="00AB78DA" w:rsidRDefault="00DA6B30" w:rsidP="00E42342">
      <w:pPr>
        <w:pStyle w:val="ListParagraph"/>
        <w:numPr>
          <w:ilvl w:val="0"/>
          <w:numId w:val="331"/>
        </w:numPr>
        <w:spacing w:after="120" w:line="240" w:lineRule="auto"/>
        <w:contextualSpacing w:val="0"/>
        <w:jc w:val="both"/>
        <w:rPr>
          <w:sz w:val="20"/>
          <w:szCs w:val="20"/>
        </w:rPr>
      </w:pPr>
      <w:r w:rsidRPr="00AB78DA">
        <w:rPr>
          <w:sz w:val="20"/>
          <w:szCs w:val="20"/>
        </w:rPr>
        <w:t>Both G</w:t>
      </w:r>
      <w:r w:rsidR="009A4069">
        <w:rPr>
          <w:sz w:val="20"/>
          <w:szCs w:val="20"/>
        </w:rPr>
        <w:t xml:space="preserve">ross </w:t>
      </w:r>
      <w:r w:rsidRPr="00AB78DA">
        <w:rPr>
          <w:sz w:val="20"/>
          <w:szCs w:val="20"/>
        </w:rPr>
        <w:t>V</w:t>
      </w:r>
      <w:r w:rsidR="009A4069">
        <w:rPr>
          <w:sz w:val="20"/>
          <w:szCs w:val="20"/>
        </w:rPr>
        <w:t xml:space="preserve">alue </w:t>
      </w:r>
      <w:r w:rsidRPr="00AB78DA">
        <w:rPr>
          <w:sz w:val="20"/>
          <w:szCs w:val="20"/>
        </w:rPr>
        <w:t>A</w:t>
      </w:r>
      <w:r w:rsidR="009A4069">
        <w:rPr>
          <w:sz w:val="20"/>
          <w:szCs w:val="20"/>
        </w:rPr>
        <w:t>dded (GVA)</w:t>
      </w:r>
      <w:r w:rsidRPr="00AB78DA">
        <w:rPr>
          <w:sz w:val="20"/>
          <w:szCs w:val="20"/>
        </w:rPr>
        <w:t xml:space="preserve"> and employment impacts are relatively small in </w:t>
      </w:r>
      <w:r w:rsidRPr="00AB78DA">
        <w:rPr>
          <w:b/>
          <w:bCs/>
          <w:sz w:val="20"/>
          <w:szCs w:val="20"/>
        </w:rPr>
        <w:t>Hunedoara</w:t>
      </w:r>
      <w:r w:rsidRPr="00AB78DA">
        <w:rPr>
          <w:sz w:val="20"/>
          <w:szCs w:val="20"/>
        </w:rPr>
        <w:t xml:space="preserve">. This is partly explained </w:t>
      </w:r>
      <w:r>
        <w:rPr>
          <w:sz w:val="20"/>
          <w:szCs w:val="20"/>
        </w:rPr>
        <w:t>by</w:t>
      </w:r>
      <w:r w:rsidRPr="00AB78DA">
        <w:rPr>
          <w:sz w:val="20"/>
          <w:szCs w:val="20"/>
        </w:rPr>
        <w:t xml:space="preserve"> coal-based electricity generation </w:t>
      </w:r>
      <w:r>
        <w:rPr>
          <w:sz w:val="20"/>
          <w:szCs w:val="20"/>
        </w:rPr>
        <w:t xml:space="preserve">having </w:t>
      </w:r>
      <w:r w:rsidRPr="00AB78DA">
        <w:rPr>
          <w:sz w:val="20"/>
          <w:szCs w:val="20"/>
        </w:rPr>
        <w:t xml:space="preserve">mostly </w:t>
      </w:r>
      <w:r>
        <w:rPr>
          <w:sz w:val="20"/>
          <w:szCs w:val="20"/>
        </w:rPr>
        <w:t xml:space="preserve">been </w:t>
      </w:r>
      <w:r w:rsidRPr="00AB78DA">
        <w:rPr>
          <w:sz w:val="20"/>
          <w:szCs w:val="20"/>
        </w:rPr>
        <w:t xml:space="preserve">phased out not only in the scenarios, but also in the baseline. A Green Deal scenario has more positive GVA effects than the baseline or NECP scenario, </w:t>
      </w:r>
      <w:r>
        <w:rPr>
          <w:sz w:val="20"/>
          <w:szCs w:val="20"/>
        </w:rPr>
        <w:t xml:space="preserve">even </w:t>
      </w:r>
      <w:r w:rsidRPr="00AB78DA">
        <w:rPr>
          <w:sz w:val="20"/>
          <w:szCs w:val="20"/>
        </w:rPr>
        <w:t>though it has worse employment results. In a GD scenario Hunedoara loses 13</w:t>
      </w:r>
      <w:r>
        <w:rPr>
          <w:sz w:val="20"/>
          <w:szCs w:val="20"/>
        </w:rPr>
        <w:t>,</w:t>
      </w:r>
      <w:r w:rsidRPr="00AB78DA">
        <w:rPr>
          <w:sz w:val="20"/>
          <w:szCs w:val="20"/>
        </w:rPr>
        <w:t xml:space="preserve">000 jobs, while in </w:t>
      </w:r>
      <w:r>
        <w:rPr>
          <w:sz w:val="20"/>
          <w:szCs w:val="20"/>
        </w:rPr>
        <w:t>the</w:t>
      </w:r>
      <w:r w:rsidRPr="00AB78DA">
        <w:rPr>
          <w:sz w:val="20"/>
          <w:szCs w:val="20"/>
        </w:rPr>
        <w:t xml:space="preserve"> baseline it loses 11,500. However, the GVA gains are impressive – up to EUR 750 million </w:t>
      </w:r>
      <w:r>
        <w:rPr>
          <w:sz w:val="20"/>
          <w:szCs w:val="20"/>
        </w:rPr>
        <w:t>by</w:t>
      </w:r>
      <w:r w:rsidRPr="00AB78DA">
        <w:rPr>
          <w:sz w:val="20"/>
          <w:szCs w:val="20"/>
        </w:rPr>
        <w:t xml:space="preserve"> 2030.</w:t>
      </w:r>
    </w:p>
    <w:p w14:paraId="708788B0" w14:textId="062006BA" w:rsidR="00DA6B30" w:rsidRPr="00AB78DA" w:rsidRDefault="00DA6B30" w:rsidP="00E42342">
      <w:pPr>
        <w:pStyle w:val="ListParagraph"/>
        <w:numPr>
          <w:ilvl w:val="0"/>
          <w:numId w:val="331"/>
        </w:numPr>
        <w:spacing w:after="120" w:line="240" w:lineRule="auto"/>
        <w:contextualSpacing w:val="0"/>
        <w:jc w:val="both"/>
        <w:rPr>
          <w:sz w:val="20"/>
          <w:szCs w:val="20"/>
        </w:rPr>
      </w:pPr>
      <w:r w:rsidRPr="00AB78DA">
        <w:rPr>
          <w:b/>
          <w:bCs/>
          <w:sz w:val="20"/>
          <w:szCs w:val="20"/>
        </w:rPr>
        <w:t xml:space="preserve">Dolj </w:t>
      </w:r>
      <w:r w:rsidRPr="00AB78DA">
        <w:rPr>
          <w:sz w:val="20"/>
          <w:szCs w:val="20"/>
        </w:rPr>
        <w:t>is expected to lose a significant number of jobs in agriculture and manufacturing (over 25,000) by 2030, and a Green Deal energy transition scenario adds an extra 1</w:t>
      </w:r>
      <w:r>
        <w:rPr>
          <w:sz w:val="20"/>
          <w:szCs w:val="20"/>
        </w:rPr>
        <w:t>,</w:t>
      </w:r>
      <w:r w:rsidRPr="00AB78DA">
        <w:rPr>
          <w:sz w:val="20"/>
          <w:szCs w:val="20"/>
        </w:rPr>
        <w:t xml:space="preserve">500 </w:t>
      </w:r>
      <w:r>
        <w:rPr>
          <w:sz w:val="20"/>
          <w:szCs w:val="20"/>
        </w:rPr>
        <w:t xml:space="preserve">job </w:t>
      </w:r>
      <w:r w:rsidRPr="00AB78DA">
        <w:rPr>
          <w:sz w:val="20"/>
          <w:szCs w:val="20"/>
        </w:rPr>
        <w:t xml:space="preserve">losses. Emissions decrease by 80% in a Green Deal Scenario and GVA still </w:t>
      </w:r>
      <w:r w:rsidR="001916C2" w:rsidRPr="00AB78DA">
        <w:rPr>
          <w:sz w:val="20"/>
          <w:szCs w:val="20"/>
        </w:rPr>
        <w:t>grows</w:t>
      </w:r>
      <w:r w:rsidR="001916C2">
        <w:rPr>
          <w:sz w:val="20"/>
          <w:szCs w:val="20"/>
        </w:rPr>
        <w:t xml:space="preserve"> but</w:t>
      </w:r>
      <w:r w:rsidRPr="00AB78DA">
        <w:rPr>
          <w:sz w:val="20"/>
          <w:szCs w:val="20"/>
        </w:rPr>
        <w:t xml:space="preserve"> </w:t>
      </w:r>
      <w:r>
        <w:rPr>
          <w:sz w:val="20"/>
          <w:szCs w:val="20"/>
        </w:rPr>
        <w:t>remains</w:t>
      </w:r>
      <w:r w:rsidRPr="00AB78DA">
        <w:rPr>
          <w:sz w:val="20"/>
          <w:szCs w:val="20"/>
        </w:rPr>
        <w:t xml:space="preserve"> flat in manufacturing. In Dolj R&amp;D investments yield the largest GVA impact and generate the highest number of new jobs</w:t>
      </w:r>
      <w:r>
        <w:rPr>
          <w:sz w:val="20"/>
          <w:szCs w:val="20"/>
        </w:rPr>
        <w:t>.</w:t>
      </w:r>
    </w:p>
    <w:p w14:paraId="1A93BE2D" w14:textId="257FAA27" w:rsidR="00DA6B30" w:rsidRPr="00AB78DA" w:rsidRDefault="00DA6B30" w:rsidP="00E42342">
      <w:pPr>
        <w:pStyle w:val="ListParagraph"/>
        <w:numPr>
          <w:ilvl w:val="0"/>
          <w:numId w:val="331"/>
        </w:numPr>
        <w:spacing w:after="120" w:line="240" w:lineRule="auto"/>
        <w:contextualSpacing w:val="0"/>
        <w:jc w:val="both"/>
        <w:rPr>
          <w:sz w:val="20"/>
          <w:szCs w:val="20"/>
        </w:rPr>
      </w:pPr>
      <w:r w:rsidRPr="00AB78DA">
        <w:rPr>
          <w:sz w:val="20"/>
          <w:szCs w:val="20"/>
          <w:lang w:eastAsia="en-GB"/>
        </w:rPr>
        <w:t xml:space="preserve">In </w:t>
      </w:r>
      <w:r w:rsidRPr="00AB78DA">
        <w:rPr>
          <w:b/>
          <w:bCs/>
          <w:sz w:val="20"/>
          <w:szCs w:val="20"/>
          <w:lang w:eastAsia="en-GB"/>
        </w:rPr>
        <w:t>Gorj</w:t>
      </w:r>
      <w:r w:rsidRPr="00AB78DA">
        <w:rPr>
          <w:sz w:val="20"/>
          <w:szCs w:val="20"/>
          <w:lang w:eastAsia="en-GB"/>
        </w:rPr>
        <w:t xml:space="preserve"> </w:t>
      </w:r>
      <w:r w:rsidRPr="00AB78DA">
        <w:rPr>
          <w:sz w:val="20"/>
          <w:szCs w:val="20"/>
        </w:rPr>
        <w:t>under the baseline, market-driven scenario, which involves quite a fair amount of market-driven decarboni</w:t>
      </w:r>
      <w:r w:rsidR="004E7B64">
        <w:rPr>
          <w:sz w:val="20"/>
          <w:szCs w:val="20"/>
        </w:rPr>
        <w:t>sation</w:t>
      </w:r>
      <w:r w:rsidRPr="00AB78DA">
        <w:rPr>
          <w:sz w:val="20"/>
          <w:szCs w:val="20"/>
        </w:rPr>
        <w:t xml:space="preserve">, the mining and energy sector is expected to lose approximately 7,000 jobs, while in a Green Deal scenario, the loss will be about 10,000 jobs. Other sectors compensate, but modestly. </w:t>
      </w:r>
      <w:r>
        <w:rPr>
          <w:sz w:val="20"/>
          <w:szCs w:val="20"/>
        </w:rPr>
        <w:t>W</w:t>
      </w:r>
      <w:r w:rsidRPr="00AB78DA">
        <w:rPr>
          <w:sz w:val="20"/>
          <w:szCs w:val="20"/>
        </w:rPr>
        <w:t xml:space="preserve">e estimate </w:t>
      </w:r>
      <w:r>
        <w:rPr>
          <w:sz w:val="20"/>
          <w:szCs w:val="20"/>
        </w:rPr>
        <w:t xml:space="preserve">the total </w:t>
      </w:r>
      <w:r w:rsidRPr="00AB78DA">
        <w:rPr>
          <w:sz w:val="20"/>
          <w:szCs w:val="20"/>
        </w:rPr>
        <w:t xml:space="preserve">job losses to be 8,000 in a decarbonized scenario. All in all, GVA is still increasing modestly, driven by construction, retail and services, but gains are EUR 300 million lower in a Green Deal scenario than in </w:t>
      </w:r>
      <w:r>
        <w:rPr>
          <w:sz w:val="20"/>
          <w:szCs w:val="20"/>
        </w:rPr>
        <w:t>the</w:t>
      </w:r>
      <w:r w:rsidRPr="00AB78DA">
        <w:rPr>
          <w:sz w:val="20"/>
          <w:szCs w:val="20"/>
        </w:rPr>
        <w:t xml:space="preserve"> baseline. R&amp;D investments are anticipated to yield the largest positive GVA impact in Gorj County and generate the highest number of new jobs, especially in the information and communication sector</w:t>
      </w:r>
      <w:r>
        <w:rPr>
          <w:sz w:val="20"/>
          <w:szCs w:val="20"/>
        </w:rPr>
        <w:t>.</w:t>
      </w:r>
    </w:p>
    <w:p w14:paraId="30F3901A" w14:textId="77777777" w:rsidR="00DA6B30" w:rsidRPr="00AB78DA" w:rsidRDefault="00DA6B30" w:rsidP="00E42342">
      <w:pPr>
        <w:pStyle w:val="ListParagraph"/>
        <w:numPr>
          <w:ilvl w:val="0"/>
          <w:numId w:val="331"/>
        </w:numPr>
        <w:spacing w:after="120" w:line="240" w:lineRule="auto"/>
        <w:contextualSpacing w:val="0"/>
        <w:jc w:val="both"/>
        <w:rPr>
          <w:sz w:val="20"/>
          <w:szCs w:val="20"/>
          <w:lang w:eastAsia="en-GB"/>
        </w:rPr>
      </w:pPr>
      <w:r w:rsidRPr="00AB78DA">
        <w:rPr>
          <w:sz w:val="20"/>
          <w:szCs w:val="20"/>
          <w:lang w:eastAsia="en-GB"/>
        </w:rPr>
        <w:t xml:space="preserve">In </w:t>
      </w:r>
      <w:r w:rsidRPr="00AB78DA">
        <w:rPr>
          <w:b/>
          <w:bCs/>
          <w:sz w:val="20"/>
          <w:szCs w:val="20"/>
          <w:lang w:eastAsia="en-GB"/>
        </w:rPr>
        <w:t>Prahova</w:t>
      </w:r>
      <w:r w:rsidRPr="00AB78DA">
        <w:rPr>
          <w:sz w:val="20"/>
          <w:szCs w:val="20"/>
          <w:lang w:eastAsia="en-GB"/>
        </w:rPr>
        <w:t xml:space="preserve">, unlike the national positive trend of a decarbonized future, </w:t>
      </w:r>
      <w:r w:rsidRPr="00AB78DA">
        <w:rPr>
          <w:sz w:val="20"/>
          <w:szCs w:val="20"/>
        </w:rPr>
        <w:t xml:space="preserve">both the NECP and GD scenarios have negative impacts on GVA (EUR 120-330 million in the long-term; EUR 230-520 million in the medium-term). </w:t>
      </w:r>
      <w:r>
        <w:rPr>
          <w:sz w:val="20"/>
          <w:szCs w:val="20"/>
        </w:rPr>
        <w:t>In total</w:t>
      </w:r>
      <w:r w:rsidRPr="00AB78DA">
        <w:rPr>
          <w:sz w:val="20"/>
          <w:szCs w:val="20"/>
        </w:rPr>
        <w:t xml:space="preserve">, the regional </w:t>
      </w:r>
      <w:r>
        <w:rPr>
          <w:sz w:val="20"/>
          <w:szCs w:val="20"/>
        </w:rPr>
        <w:t xml:space="preserve">GVA </w:t>
      </w:r>
      <w:r w:rsidRPr="00AB78DA">
        <w:rPr>
          <w:sz w:val="20"/>
          <w:szCs w:val="20"/>
        </w:rPr>
        <w:t xml:space="preserve">is expected to grow by an impressive EUR 3 billion between 2018 and 2030, but in a Green Deal Scenario the energy sector would contribute much less </w:t>
      </w:r>
      <w:r>
        <w:rPr>
          <w:sz w:val="20"/>
          <w:szCs w:val="20"/>
        </w:rPr>
        <w:t xml:space="preserve">compared to </w:t>
      </w:r>
      <w:r w:rsidRPr="00AB78DA">
        <w:rPr>
          <w:sz w:val="20"/>
          <w:szCs w:val="20"/>
        </w:rPr>
        <w:t>now. Job losses vary between 3</w:t>
      </w:r>
      <w:r>
        <w:rPr>
          <w:sz w:val="20"/>
          <w:szCs w:val="20"/>
        </w:rPr>
        <w:t>,</w:t>
      </w:r>
      <w:r w:rsidRPr="00AB78DA">
        <w:rPr>
          <w:sz w:val="20"/>
          <w:szCs w:val="20"/>
        </w:rPr>
        <w:t>500 and 5</w:t>
      </w:r>
      <w:r>
        <w:rPr>
          <w:sz w:val="20"/>
          <w:szCs w:val="20"/>
        </w:rPr>
        <w:t>,</w:t>
      </w:r>
      <w:r w:rsidRPr="00AB78DA">
        <w:rPr>
          <w:sz w:val="20"/>
          <w:szCs w:val="20"/>
        </w:rPr>
        <w:t>000, the hardest hit being in a Green Deal model. Emissions do not decrease unless a Green Deal scenario is applied – in a NECP scenario they increase. Because of Prahova’s more developed economic profile, the highest employment impact is generated by R&amp;D investments</w:t>
      </w:r>
      <w:r>
        <w:rPr>
          <w:sz w:val="20"/>
          <w:szCs w:val="20"/>
        </w:rPr>
        <w:t>.</w:t>
      </w:r>
    </w:p>
    <w:p w14:paraId="0AEC016D" w14:textId="259887C4" w:rsidR="00DA6B30" w:rsidRPr="00AB78DA" w:rsidRDefault="00DA6B30" w:rsidP="00E42342">
      <w:pPr>
        <w:pStyle w:val="NormalWeb"/>
        <w:numPr>
          <w:ilvl w:val="0"/>
          <w:numId w:val="331"/>
        </w:numPr>
        <w:spacing w:before="0" w:beforeAutospacing="0" w:after="120" w:afterAutospacing="0"/>
        <w:jc w:val="both"/>
        <w:rPr>
          <w:rFonts w:ascii="Arial" w:hAnsi="Arial" w:cs="Arial"/>
          <w:sz w:val="20"/>
          <w:szCs w:val="20"/>
        </w:rPr>
      </w:pPr>
      <w:r w:rsidRPr="00AB78DA">
        <w:rPr>
          <w:rFonts w:ascii="Arial" w:hAnsi="Arial" w:cs="Arial"/>
          <w:b/>
          <w:bCs/>
          <w:sz w:val="20"/>
          <w:szCs w:val="20"/>
        </w:rPr>
        <w:t>Mureş</w:t>
      </w:r>
      <w:r w:rsidRPr="00AB78DA">
        <w:rPr>
          <w:rFonts w:ascii="Arial" w:hAnsi="Arial" w:cs="Arial"/>
          <w:sz w:val="20"/>
          <w:szCs w:val="20"/>
        </w:rPr>
        <w:t xml:space="preserve"> will on average lose between 1</w:t>
      </w:r>
      <w:r>
        <w:rPr>
          <w:rFonts w:ascii="Arial" w:hAnsi="Arial" w:cs="Arial"/>
          <w:sz w:val="20"/>
          <w:szCs w:val="20"/>
        </w:rPr>
        <w:t>,</w:t>
      </w:r>
      <w:r w:rsidRPr="00AB78DA">
        <w:rPr>
          <w:rFonts w:ascii="Arial" w:hAnsi="Arial" w:cs="Arial"/>
          <w:sz w:val="20"/>
          <w:szCs w:val="20"/>
        </w:rPr>
        <w:t>000 and 1</w:t>
      </w:r>
      <w:r>
        <w:rPr>
          <w:rFonts w:ascii="Arial" w:hAnsi="Arial" w:cs="Arial"/>
          <w:sz w:val="20"/>
          <w:szCs w:val="20"/>
        </w:rPr>
        <w:t>,</w:t>
      </w:r>
      <w:r w:rsidRPr="00AB78DA">
        <w:rPr>
          <w:rFonts w:ascii="Arial" w:hAnsi="Arial" w:cs="Arial"/>
          <w:sz w:val="20"/>
          <w:szCs w:val="20"/>
        </w:rPr>
        <w:t>300 jobs depending on the decarboni</w:t>
      </w:r>
      <w:r>
        <w:rPr>
          <w:rFonts w:ascii="Arial" w:hAnsi="Arial" w:cs="Arial"/>
          <w:sz w:val="20"/>
          <w:szCs w:val="20"/>
        </w:rPr>
        <w:t>s</w:t>
      </w:r>
      <w:r w:rsidRPr="00AB78DA">
        <w:rPr>
          <w:rFonts w:ascii="Arial" w:hAnsi="Arial" w:cs="Arial"/>
          <w:sz w:val="20"/>
          <w:szCs w:val="20"/>
        </w:rPr>
        <w:t xml:space="preserve">ation scenario, but the losses are not evenly distributed, with energy, construction and manufacturing being hit hardest, while </w:t>
      </w:r>
      <w:r>
        <w:rPr>
          <w:rFonts w:ascii="Arial" w:hAnsi="Arial" w:cs="Arial"/>
          <w:sz w:val="20"/>
          <w:szCs w:val="20"/>
        </w:rPr>
        <w:t xml:space="preserve">jobs in </w:t>
      </w:r>
      <w:r w:rsidRPr="00AB78DA">
        <w:rPr>
          <w:rFonts w:ascii="Arial" w:hAnsi="Arial" w:cs="Arial"/>
          <w:sz w:val="20"/>
          <w:szCs w:val="20"/>
        </w:rPr>
        <w:t xml:space="preserve">services are </w:t>
      </w:r>
      <w:r>
        <w:rPr>
          <w:rFonts w:ascii="Arial" w:hAnsi="Arial" w:cs="Arial"/>
          <w:sz w:val="20"/>
          <w:szCs w:val="20"/>
        </w:rPr>
        <w:t>increasing</w:t>
      </w:r>
      <w:r w:rsidRPr="00AB78DA">
        <w:rPr>
          <w:rFonts w:ascii="Arial" w:hAnsi="Arial" w:cs="Arial"/>
          <w:sz w:val="20"/>
          <w:szCs w:val="20"/>
        </w:rPr>
        <w:t xml:space="preserve">. </w:t>
      </w:r>
      <w:r>
        <w:rPr>
          <w:rFonts w:ascii="Arial" w:hAnsi="Arial" w:cs="Arial"/>
          <w:sz w:val="20"/>
          <w:szCs w:val="20"/>
        </w:rPr>
        <w:t>I</w:t>
      </w:r>
      <w:r w:rsidRPr="00AB78DA">
        <w:rPr>
          <w:rFonts w:ascii="Arial" w:hAnsi="Arial" w:cs="Arial"/>
          <w:sz w:val="20"/>
          <w:szCs w:val="20"/>
        </w:rPr>
        <w:t xml:space="preserve">n the next ten years </w:t>
      </w:r>
      <w:r>
        <w:rPr>
          <w:rFonts w:ascii="Arial" w:hAnsi="Arial" w:cs="Arial"/>
          <w:sz w:val="20"/>
          <w:szCs w:val="20"/>
        </w:rPr>
        <w:t>the</w:t>
      </w:r>
      <w:r w:rsidRPr="00AB78DA">
        <w:rPr>
          <w:rFonts w:ascii="Arial" w:hAnsi="Arial" w:cs="Arial"/>
          <w:sz w:val="20"/>
          <w:szCs w:val="20"/>
        </w:rPr>
        <w:t xml:space="preserve"> GVA in Mureş will grow by approximately EUR 1 b</w:t>
      </w:r>
      <w:r>
        <w:rPr>
          <w:rFonts w:ascii="Arial" w:hAnsi="Arial" w:cs="Arial"/>
          <w:sz w:val="20"/>
          <w:szCs w:val="20"/>
        </w:rPr>
        <w:t>n</w:t>
      </w:r>
      <w:r w:rsidRPr="00AB78DA">
        <w:rPr>
          <w:rFonts w:ascii="Arial" w:hAnsi="Arial" w:cs="Arial"/>
          <w:sz w:val="20"/>
          <w:szCs w:val="20"/>
        </w:rPr>
        <w:t>, slightly less in a Green Deal Scenario, when the region would also reduce its emissions by 80%. As per our modelling, in Mure</w:t>
      </w:r>
      <w:r>
        <w:rPr>
          <w:rFonts w:ascii="Arial" w:hAnsi="Arial" w:cs="Arial"/>
          <w:sz w:val="20"/>
          <w:szCs w:val="20"/>
        </w:rPr>
        <w:t>ș</w:t>
      </w:r>
      <w:r w:rsidRPr="00AB78DA">
        <w:rPr>
          <w:rFonts w:ascii="Arial" w:hAnsi="Arial" w:cs="Arial"/>
          <w:sz w:val="20"/>
          <w:szCs w:val="20"/>
        </w:rPr>
        <w:t xml:space="preserve"> the highest employment impact is driven by investments in </w:t>
      </w:r>
      <w:r w:rsidR="009A4069">
        <w:rPr>
          <w:rFonts w:ascii="Arial" w:hAnsi="Arial" w:cs="Arial"/>
          <w:sz w:val="20"/>
          <w:szCs w:val="20"/>
        </w:rPr>
        <w:t>Small and Medium-Sized Enterprises (</w:t>
      </w:r>
      <w:r w:rsidRPr="00AB78DA">
        <w:rPr>
          <w:rFonts w:ascii="Arial" w:hAnsi="Arial" w:cs="Arial"/>
          <w:sz w:val="20"/>
          <w:szCs w:val="20"/>
        </w:rPr>
        <w:t>SMEs</w:t>
      </w:r>
      <w:r w:rsidR="009A4069">
        <w:rPr>
          <w:rFonts w:ascii="Arial" w:hAnsi="Arial" w:cs="Arial"/>
          <w:sz w:val="20"/>
          <w:szCs w:val="20"/>
        </w:rPr>
        <w:t>)</w:t>
      </w:r>
      <w:r w:rsidRPr="00AB78DA">
        <w:rPr>
          <w:rFonts w:ascii="Arial" w:hAnsi="Arial" w:cs="Arial"/>
          <w:sz w:val="20"/>
          <w:szCs w:val="20"/>
        </w:rPr>
        <w:t xml:space="preserve"> and the total job creation cost per </w:t>
      </w:r>
      <w:r w:rsidR="009A4069">
        <w:rPr>
          <w:rFonts w:ascii="Arial" w:hAnsi="Arial" w:cs="Arial"/>
          <w:sz w:val="20"/>
          <w:szCs w:val="20"/>
        </w:rPr>
        <w:t>Fulltime Equivalent (</w:t>
      </w:r>
      <w:r w:rsidRPr="00AB78DA">
        <w:rPr>
          <w:rFonts w:ascii="Arial" w:hAnsi="Arial" w:cs="Arial"/>
          <w:sz w:val="20"/>
          <w:szCs w:val="20"/>
        </w:rPr>
        <w:t>FTE</w:t>
      </w:r>
      <w:r w:rsidR="009A4069">
        <w:rPr>
          <w:rFonts w:ascii="Arial" w:hAnsi="Arial" w:cs="Arial"/>
          <w:sz w:val="20"/>
          <w:szCs w:val="20"/>
        </w:rPr>
        <w:t>)</w:t>
      </w:r>
      <w:r w:rsidRPr="00AB78DA">
        <w:rPr>
          <w:rFonts w:ascii="Arial" w:hAnsi="Arial" w:cs="Arial"/>
          <w:sz w:val="20"/>
          <w:szCs w:val="20"/>
        </w:rPr>
        <w:t xml:space="preserve"> is the lowest in circular economy from all six affected regions</w:t>
      </w:r>
      <w:r>
        <w:rPr>
          <w:rFonts w:ascii="Arial" w:hAnsi="Arial" w:cs="Arial"/>
          <w:sz w:val="20"/>
          <w:szCs w:val="20"/>
        </w:rPr>
        <w:t>.</w:t>
      </w:r>
    </w:p>
    <w:p w14:paraId="1AFF6D1F" w14:textId="26C914D1" w:rsidR="00DA6B30" w:rsidRPr="00AB78DA" w:rsidRDefault="00DA6B30" w:rsidP="00E42342">
      <w:pPr>
        <w:pStyle w:val="ListParagraph"/>
        <w:numPr>
          <w:ilvl w:val="0"/>
          <w:numId w:val="331"/>
        </w:numPr>
        <w:spacing w:after="120" w:line="240" w:lineRule="auto"/>
        <w:contextualSpacing w:val="0"/>
        <w:jc w:val="both"/>
        <w:rPr>
          <w:sz w:val="20"/>
          <w:szCs w:val="20"/>
        </w:rPr>
      </w:pPr>
      <w:r w:rsidRPr="00AB78DA">
        <w:rPr>
          <w:sz w:val="20"/>
          <w:szCs w:val="20"/>
        </w:rPr>
        <w:t xml:space="preserve">The total job loss in </w:t>
      </w:r>
      <w:r w:rsidR="003751DC">
        <w:rPr>
          <w:b/>
          <w:bCs/>
          <w:sz w:val="20"/>
          <w:szCs w:val="20"/>
        </w:rPr>
        <w:t>Galați</w:t>
      </w:r>
      <w:r w:rsidRPr="00AB78DA">
        <w:rPr>
          <w:sz w:val="20"/>
          <w:szCs w:val="20"/>
        </w:rPr>
        <w:t xml:space="preserve"> in a Green Deal Scenario is 7</w:t>
      </w:r>
      <w:r>
        <w:rPr>
          <w:sz w:val="20"/>
          <w:szCs w:val="20"/>
        </w:rPr>
        <w:t>,</w:t>
      </w:r>
      <w:r w:rsidRPr="00AB78DA">
        <w:rPr>
          <w:sz w:val="20"/>
          <w:szCs w:val="20"/>
        </w:rPr>
        <w:t xml:space="preserve">800, but GVA increases until 2030 by about EUR 750 million in all scenarios, slightly more in a Green Deal </w:t>
      </w:r>
      <w:r>
        <w:rPr>
          <w:sz w:val="20"/>
          <w:szCs w:val="20"/>
        </w:rPr>
        <w:t>scenario</w:t>
      </w:r>
      <w:r w:rsidRPr="00AB78DA">
        <w:rPr>
          <w:sz w:val="20"/>
          <w:szCs w:val="20"/>
        </w:rPr>
        <w:t xml:space="preserve">, due to the deployment of renewable energy, which also reduces emissions at county level by 50%. SME investments are anticipated to yield the largest relative positive impact in </w:t>
      </w:r>
      <w:r w:rsidR="003751DC">
        <w:rPr>
          <w:sz w:val="20"/>
          <w:szCs w:val="20"/>
        </w:rPr>
        <w:t>Galați</w:t>
      </w:r>
      <w:r w:rsidRPr="00AB78DA">
        <w:rPr>
          <w:sz w:val="20"/>
          <w:szCs w:val="20"/>
        </w:rPr>
        <w:t>, both in GVA and employment</w:t>
      </w:r>
      <w:r>
        <w:rPr>
          <w:sz w:val="20"/>
          <w:szCs w:val="20"/>
        </w:rPr>
        <w:t>.</w:t>
      </w:r>
    </w:p>
    <w:p w14:paraId="5409EC6B" w14:textId="77777777" w:rsidR="00DA6B30" w:rsidRPr="0058536D" w:rsidRDefault="00DA6B30" w:rsidP="00DA6B30">
      <w:pPr>
        <w:spacing w:after="120"/>
        <w:jc w:val="both"/>
        <w:rPr>
          <w:rFonts w:ascii="Arial" w:hAnsi="Arial" w:cs="Arial"/>
          <w:sz w:val="20"/>
          <w:szCs w:val="20"/>
        </w:rPr>
      </w:pPr>
      <w:r>
        <w:rPr>
          <w:rFonts w:ascii="Arial" w:hAnsi="Arial" w:cs="Arial"/>
          <w:sz w:val="20"/>
          <w:szCs w:val="20"/>
        </w:rPr>
        <w:t>Chapter</w:t>
      </w:r>
      <w:r w:rsidRPr="0058536D">
        <w:rPr>
          <w:rFonts w:ascii="Arial" w:hAnsi="Arial" w:cs="Arial"/>
          <w:sz w:val="20"/>
          <w:szCs w:val="20"/>
        </w:rPr>
        <w:t xml:space="preserve"> 1 continues</w:t>
      </w:r>
      <w:r>
        <w:rPr>
          <w:rFonts w:ascii="Arial" w:hAnsi="Arial" w:cs="Arial"/>
          <w:sz w:val="20"/>
          <w:szCs w:val="20"/>
        </w:rPr>
        <w:t xml:space="preserve"> </w:t>
      </w:r>
      <w:r w:rsidRPr="0058536D">
        <w:rPr>
          <w:rFonts w:ascii="Arial" w:hAnsi="Arial" w:cs="Arial"/>
          <w:sz w:val="20"/>
          <w:szCs w:val="20"/>
        </w:rPr>
        <w:t xml:space="preserve">with a brief </w:t>
      </w:r>
      <w:r w:rsidRPr="002B1A85">
        <w:rPr>
          <w:rFonts w:ascii="Arial" w:hAnsi="Arial" w:cs="Arial"/>
          <w:b/>
          <w:bCs/>
          <w:sz w:val="20"/>
          <w:szCs w:val="20"/>
        </w:rPr>
        <w:t>value chain employment impact analysis</w:t>
      </w:r>
      <w:r w:rsidRPr="0058536D">
        <w:rPr>
          <w:rFonts w:ascii="Arial" w:hAnsi="Arial" w:cs="Arial"/>
          <w:sz w:val="20"/>
          <w:szCs w:val="20"/>
        </w:rPr>
        <w:t>, based on questionnaires filled in by the most relevant large enterprises in each of the six affected regions.</w:t>
      </w:r>
    </w:p>
    <w:p w14:paraId="1BBF9A84" w14:textId="59401EE6" w:rsidR="00DA6B30" w:rsidRPr="0058536D" w:rsidRDefault="00DA6B30" w:rsidP="00DA6B30">
      <w:pPr>
        <w:spacing w:after="120"/>
        <w:jc w:val="both"/>
        <w:rPr>
          <w:rFonts w:ascii="Arial" w:hAnsi="Arial" w:cs="Arial"/>
          <w:sz w:val="20"/>
          <w:szCs w:val="20"/>
        </w:rPr>
      </w:pPr>
      <w:r w:rsidRPr="0058536D">
        <w:rPr>
          <w:rFonts w:ascii="Arial" w:hAnsi="Arial" w:cs="Arial"/>
          <w:sz w:val="20"/>
          <w:szCs w:val="20"/>
        </w:rPr>
        <w:t>S</w:t>
      </w:r>
      <w:r w:rsidR="004B6689">
        <w:rPr>
          <w:rFonts w:ascii="Arial" w:hAnsi="Arial" w:cs="Arial"/>
          <w:sz w:val="20"/>
          <w:szCs w:val="20"/>
        </w:rPr>
        <w:t>e</w:t>
      </w:r>
      <w:r w:rsidRPr="0058536D">
        <w:rPr>
          <w:rFonts w:ascii="Arial" w:hAnsi="Arial" w:cs="Arial"/>
          <w:sz w:val="20"/>
          <w:szCs w:val="20"/>
        </w:rPr>
        <w:t xml:space="preserve">ction 1.4 points out </w:t>
      </w:r>
      <w:r w:rsidRPr="002B1A85">
        <w:rPr>
          <w:rFonts w:ascii="Arial" w:hAnsi="Arial" w:cs="Arial"/>
          <w:b/>
          <w:bCs/>
          <w:sz w:val="20"/>
          <w:szCs w:val="20"/>
        </w:rPr>
        <w:t>good practices in the just transition from other EU Member States</w:t>
      </w:r>
      <w:r w:rsidRPr="0058536D">
        <w:rPr>
          <w:rFonts w:ascii="Arial" w:hAnsi="Arial" w:cs="Arial"/>
          <w:sz w:val="20"/>
          <w:szCs w:val="20"/>
        </w:rPr>
        <w:t xml:space="preserve"> (e.g.</w:t>
      </w:r>
      <w:r w:rsidR="00F516C5">
        <w:rPr>
          <w:rFonts w:ascii="Arial" w:hAnsi="Arial" w:cs="Arial"/>
          <w:sz w:val="20"/>
          <w:szCs w:val="20"/>
        </w:rPr>
        <w:t>,</w:t>
      </w:r>
      <w:r w:rsidRPr="0058536D">
        <w:rPr>
          <w:rFonts w:ascii="Arial" w:hAnsi="Arial" w:cs="Arial"/>
          <w:sz w:val="20"/>
          <w:szCs w:val="20"/>
        </w:rPr>
        <w:t xml:space="preserve"> Poland, Germany, Czech Republic, etc.) and beyond (the United States)</w:t>
      </w:r>
      <w:r w:rsidR="00C556A6">
        <w:rPr>
          <w:rFonts w:ascii="Arial" w:hAnsi="Arial" w:cs="Arial"/>
          <w:sz w:val="20"/>
          <w:szCs w:val="20"/>
        </w:rPr>
        <w:t xml:space="preserve">, </w:t>
      </w:r>
      <w:r w:rsidR="00F516C5">
        <w:rPr>
          <w:rFonts w:ascii="Arial" w:hAnsi="Arial" w:cs="Arial"/>
          <w:sz w:val="20"/>
          <w:szCs w:val="20"/>
        </w:rPr>
        <w:t xml:space="preserve">which is </w:t>
      </w:r>
      <w:r w:rsidR="00C556A6">
        <w:rPr>
          <w:rFonts w:ascii="Arial" w:hAnsi="Arial" w:cs="Arial"/>
          <w:sz w:val="20"/>
          <w:szCs w:val="20"/>
        </w:rPr>
        <w:t>accompanied by an explanation of the relevance for Romania.</w:t>
      </w:r>
    </w:p>
    <w:p w14:paraId="20978509" w14:textId="28F30800"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lastRenderedPageBreak/>
        <w:t>Chapter 2</w:t>
      </w:r>
      <w:r w:rsidRPr="0058536D">
        <w:rPr>
          <w:rFonts w:ascii="Arial" w:hAnsi="Arial" w:cs="Arial"/>
          <w:sz w:val="20"/>
          <w:szCs w:val="20"/>
        </w:rPr>
        <w:t xml:space="preserve"> highlights several </w:t>
      </w:r>
      <w:r w:rsidRPr="002B1A85">
        <w:rPr>
          <w:rFonts w:ascii="Arial" w:hAnsi="Arial" w:cs="Arial"/>
          <w:b/>
          <w:bCs/>
          <w:sz w:val="20"/>
          <w:szCs w:val="20"/>
        </w:rPr>
        <w:t>areas that emerged during discussions with stakeholders</w:t>
      </w:r>
      <w:r w:rsidRPr="0058536D">
        <w:rPr>
          <w:rFonts w:ascii="Arial" w:hAnsi="Arial" w:cs="Arial"/>
          <w:sz w:val="20"/>
          <w:szCs w:val="20"/>
        </w:rPr>
        <w:t xml:space="preserve"> as either areas of great potential (in light of sectors </w:t>
      </w:r>
      <w:r w:rsidR="00D4082C">
        <w:rPr>
          <w:rFonts w:ascii="Arial" w:hAnsi="Arial" w:cs="Arial"/>
          <w:sz w:val="20"/>
          <w:szCs w:val="20"/>
        </w:rPr>
        <w:t xml:space="preserve">potentially </w:t>
      </w:r>
      <w:r w:rsidRPr="0058536D">
        <w:rPr>
          <w:rFonts w:ascii="Arial" w:hAnsi="Arial" w:cs="Arial"/>
          <w:sz w:val="20"/>
          <w:szCs w:val="20"/>
        </w:rPr>
        <w:t>eligible for funding under the JTF regulation) or areas of concern (e.g., skills mismatch). It draws comparisons between counties to create a more nuanced view o</w:t>
      </w:r>
      <w:r>
        <w:rPr>
          <w:rFonts w:ascii="Arial" w:hAnsi="Arial" w:cs="Arial"/>
          <w:sz w:val="20"/>
          <w:szCs w:val="20"/>
        </w:rPr>
        <w:t>n</w:t>
      </w:r>
      <w:r w:rsidRPr="0058536D">
        <w:rPr>
          <w:rFonts w:ascii="Arial" w:hAnsi="Arial" w:cs="Arial"/>
          <w:sz w:val="20"/>
          <w:szCs w:val="20"/>
        </w:rPr>
        <w:t xml:space="preserve"> each of these areas.</w:t>
      </w:r>
    </w:p>
    <w:p w14:paraId="6FD75DE4" w14:textId="0E72B55D" w:rsidR="00DA6B30" w:rsidRPr="0058536D" w:rsidRDefault="00DA6B30" w:rsidP="00DA6B30">
      <w:pPr>
        <w:spacing w:after="120"/>
        <w:jc w:val="both"/>
        <w:rPr>
          <w:rFonts w:ascii="Arial" w:hAnsi="Arial" w:cs="Arial"/>
          <w:sz w:val="20"/>
          <w:szCs w:val="20"/>
        </w:rPr>
      </w:pPr>
      <w:r w:rsidRPr="002B1A85">
        <w:rPr>
          <w:rFonts w:ascii="Arial" w:hAnsi="Arial" w:cs="Arial"/>
          <w:b/>
          <w:bCs/>
          <w:sz w:val="20"/>
          <w:szCs w:val="20"/>
        </w:rPr>
        <w:t>Section 2.1</w:t>
      </w:r>
      <w:r w:rsidRPr="0058536D">
        <w:rPr>
          <w:rFonts w:ascii="Arial" w:hAnsi="Arial" w:cs="Arial"/>
          <w:sz w:val="20"/>
          <w:szCs w:val="20"/>
        </w:rPr>
        <w:t xml:space="preserve"> addresses the development potential of </w:t>
      </w:r>
      <w:r w:rsidRPr="002B1A85">
        <w:rPr>
          <w:rFonts w:ascii="Arial" w:hAnsi="Arial" w:cs="Arial"/>
          <w:b/>
          <w:bCs/>
          <w:sz w:val="20"/>
          <w:szCs w:val="20"/>
        </w:rPr>
        <w:t>circular economy</w:t>
      </w:r>
      <w:r w:rsidRPr="0058536D">
        <w:rPr>
          <w:rFonts w:ascii="Arial" w:hAnsi="Arial" w:cs="Arial"/>
          <w:sz w:val="20"/>
          <w:szCs w:val="20"/>
        </w:rPr>
        <w:t xml:space="preserve">. We conclude that adequate regulation and support of reuse businesses (repair shops, etc.) can support employment and economic value creation in </w:t>
      </w:r>
      <w:r>
        <w:rPr>
          <w:rFonts w:ascii="Arial" w:hAnsi="Arial" w:cs="Arial"/>
          <w:sz w:val="20"/>
          <w:szCs w:val="20"/>
        </w:rPr>
        <w:t xml:space="preserve">the </w:t>
      </w:r>
      <w:r w:rsidRPr="0058536D">
        <w:rPr>
          <w:rFonts w:ascii="Arial" w:hAnsi="Arial" w:cs="Arial"/>
          <w:sz w:val="20"/>
          <w:szCs w:val="20"/>
        </w:rPr>
        <w:t xml:space="preserve">territories exposed to challenges related to the energy transition process. Support for productive investments in SMEs can target activities such as electronic waste, reconditioning and repurposing of furniture (household or office furniture, etc.), household objects, scraps from the construction industry, etc. Reskilling laid off staff, in particular from the mining sectors, into </w:t>
      </w:r>
      <w:r>
        <w:rPr>
          <w:rFonts w:ascii="Arial" w:hAnsi="Arial" w:cs="Arial"/>
          <w:sz w:val="20"/>
          <w:szCs w:val="20"/>
        </w:rPr>
        <w:t>tasks</w:t>
      </w:r>
      <w:r w:rsidRPr="0058536D">
        <w:rPr>
          <w:rFonts w:ascii="Arial" w:hAnsi="Arial" w:cs="Arial"/>
          <w:sz w:val="20"/>
          <w:szCs w:val="20"/>
        </w:rPr>
        <w:t xml:space="preserve"> such as repairmen, electricians, etc. could prove to be feasible and adequate to develop circular economy businesses at local level. Companies active in circular economy currently employ between 922 </w:t>
      </w:r>
      <w:r>
        <w:rPr>
          <w:rFonts w:ascii="Arial" w:hAnsi="Arial" w:cs="Arial"/>
          <w:sz w:val="20"/>
          <w:szCs w:val="20"/>
        </w:rPr>
        <w:t>staff</w:t>
      </w:r>
      <w:r w:rsidRPr="0058536D">
        <w:rPr>
          <w:rFonts w:ascii="Arial" w:hAnsi="Arial" w:cs="Arial"/>
          <w:sz w:val="20"/>
          <w:szCs w:val="20"/>
        </w:rPr>
        <w:t xml:space="preserve"> in Gorj County to 1,974 s</w:t>
      </w:r>
      <w:r>
        <w:rPr>
          <w:rFonts w:ascii="Arial" w:hAnsi="Arial" w:cs="Arial"/>
          <w:sz w:val="20"/>
          <w:szCs w:val="20"/>
        </w:rPr>
        <w:t>taff</w:t>
      </w:r>
      <w:r w:rsidRPr="0058536D">
        <w:rPr>
          <w:rFonts w:ascii="Arial" w:hAnsi="Arial" w:cs="Arial"/>
          <w:sz w:val="20"/>
          <w:szCs w:val="20"/>
        </w:rPr>
        <w:t xml:space="preserve"> in Prahova County. Their highest turnover, nonetheless, is in Galați (due to the presence of large players in the field of sorted recycling materials recovery). </w:t>
      </w:r>
      <w:r>
        <w:rPr>
          <w:rFonts w:ascii="Arial" w:hAnsi="Arial" w:cs="Arial"/>
          <w:sz w:val="20"/>
          <w:szCs w:val="20"/>
        </w:rPr>
        <w:t>W</w:t>
      </w:r>
      <w:r w:rsidRPr="0058536D">
        <w:rPr>
          <w:rFonts w:ascii="Arial" w:hAnsi="Arial" w:cs="Arial"/>
          <w:sz w:val="20"/>
          <w:szCs w:val="20"/>
        </w:rPr>
        <w:t>aste treatment and elimination (non-dangerous waste -</w:t>
      </w:r>
      <w:r w:rsidR="009A4069">
        <w:rPr>
          <w:rFonts w:ascii="Arial" w:hAnsi="Arial" w:cs="Arial"/>
          <w:sz w:val="20"/>
          <w:szCs w:val="20"/>
        </w:rPr>
        <w:t xml:space="preserve"> </w:t>
      </w:r>
      <w:r w:rsidRPr="0058536D">
        <w:rPr>
          <w:rFonts w:ascii="Arial" w:hAnsi="Arial" w:cs="Arial"/>
          <w:sz w:val="20"/>
          <w:szCs w:val="20"/>
        </w:rPr>
        <w:t xml:space="preserve">NACE 3821) </w:t>
      </w:r>
      <w:r>
        <w:rPr>
          <w:rFonts w:ascii="Arial" w:hAnsi="Arial" w:cs="Arial"/>
          <w:sz w:val="20"/>
          <w:szCs w:val="20"/>
        </w:rPr>
        <w:t>can be</w:t>
      </w:r>
      <w:r w:rsidRPr="0058536D">
        <w:rPr>
          <w:rFonts w:ascii="Arial" w:hAnsi="Arial" w:cs="Arial"/>
          <w:sz w:val="20"/>
          <w:szCs w:val="20"/>
        </w:rPr>
        <w:t xml:space="preserve"> incubate</w:t>
      </w:r>
      <w:r>
        <w:rPr>
          <w:rFonts w:ascii="Arial" w:hAnsi="Arial" w:cs="Arial"/>
          <w:sz w:val="20"/>
          <w:szCs w:val="20"/>
        </w:rPr>
        <w:t xml:space="preserve">d successfully across the </w:t>
      </w:r>
      <w:r w:rsidRPr="0058536D">
        <w:rPr>
          <w:rFonts w:ascii="Arial" w:hAnsi="Arial" w:cs="Arial"/>
          <w:sz w:val="20"/>
          <w:szCs w:val="20"/>
        </w:rPr>
        <w:t>counties</w:t>
      </w:r>
      <w:r>
        <w:rPr>
          <w:rFonts w:ascii="Arial" w:hAnsi="Arial" w:cs="Arial"/>
          <w:sz w:val="20"/>
          <w:szCs w:val="20"/>
        </w:rPr>
        <w:t xml:space="preserve"> but with promising opportunities particularly </w:t>
      </w:r>
      <w:r w:rsidRPr="0058536D">
        <w:rPr>
          <w:rFonts w:ascii="Arial" w:hAnsi="Arial" w:cs="Arial"/>
          <w:sz w:val="20"/>
          <w:szCs w:val="20"/>
        </w:rPr>
        <w:t>in Gorj and Mureș.</w:t>
      </w:r>
    </w:p>
    <w:p w14:paraId="3439F9CD" w14:textId="13EF637C" w:rsidR="00DA6B30" w:rsidRPr="0058536D" w:rsidRDefault="00DA6B30" w:rsidP="00DA6B30">
      <w:pPr>
        <w:spacing w:after="120"/>
        <w:jc w:val="both"/>
        <w:rPr>
          <w:rFonts w:ascii="Arial" w:hAnsi="Arial" w:cs="Arial"/>
          <w:sz w:val="20"/>
          <w:szCs w:val="20"/>
        </w:rPr>
      </w:pPr>
      <w:r w:rsidRPr="002B1A85">
        <w:rPr>
          <w:rFonts w:ascii="Arial" w:hAnsi="Arial" w:cs="Arial"/>
          <w:b/>
          <w:bCs/>
          <w:sz w:val="20"/>
          <w:szCs w:val="20"/>
        </w:rPr>
        <w:t>Section 2.2</w:t>
      </w:r>
      <w:r w:rsidRPr="0058536D">
        <w:rPr>
          <w:rFonts w:ascii="Arial" w:hAnsi="Arial" w:cs="Arial"/>
          <w:sz w:val="20"/>
          <w:szCs w:val="20"/>
        </w:rPr>
        <w:t xml:space="preserve"> comparatively analyses the potential for renewable energy production and auxiliary services in each of the affected regions. </w:t>
      </w:r>
      <w:r w:rsidRPr="002B1A85">
        <w:rPr>
          <w:rFonts w:ascii="Arial" w:hAnsi="Arial" w:cs="Arial"/>
          <w:b/>
          <w:bCs/>
          <w:sz w:val="20"/>
          <w:szCs w:val="20"/>
        </w:rPr>
        <w:t xml:space="preserve">We conclude that </w:t>
      </w:r>
      <w:r>
        <w:rPr>
          <w:rFonts w:ascii="Arial" w:hAnsi="Arial" w:cs="Arial"/>
          <w:b/>
          <w:bCs/>
          <w:sz w:val="20"/>
          <w:szCs w:val="20"/>
        </w:rPr>
        <w:t xml:space="preserve">Romania </w:t>
      </w:r>
      <w:r w:rsidRPr="002B1A85">
        <w:rPr>
          <w:rFonts w:ascii="Arial" w:hAnsi="Arial" w:cs="Arial"/>
          <w:b/>
          <w:bCs/>
          <w:sz w:val="20"/>
          <w:szCs w:val="20"/>
        </w:rPr>
        <w:t xml:space="preserve">needs to exploit a fraction of its cost competitive solar and wind </w:t>
      </w:r>
      <w:r>
        <w:rPr>
          <w:rFonts w:ascii="Arial" w:hAnsi="Arial" w:cs="Arial"/>
          <w:b/>
          <w:bCs/>
          <w:sz w:val="20"/>
          <w:szCs w:val="20"/>
        </w:rPr>
        <w:t xml:space="preserve">resources </w:t>
      </w:r>
      <w:r w:rsidRPr="002B1A85">
        <w:rPr>
          <w:rFonts w:ascii="Arial" w:hAnsi="Arial" w:cs="Arial"/>
          <w:b/>
          <w:bCs/>
          <w:sz w:val="20"/>
          <w:szCs w:val="20"/>
        </w:rPr>
        <w:t>to transition to a highly decarbonised power system</w:t>
      </w:r>
      <w:r w:rsidRPr="0058536D">
        <w:rPr>
          <w:rFonts w:ascii="Arial" w:hAnsi="Arial" w:cs="Arial"/>
          <w:sz w:val="20"/>
          <w:szCs w:val="20"/>
        </w:rPr>
        <w:t xml:space="preserve">.  </w:t>
      </w:r>
      <w:r w:rsidRPr="0058536D">
        <w:rPr>
          <w:rFonts w:ascii="Arial" w:hAnsi="Arial" w:cs="Arial"/>
          <w:bCs/>
          <w:sz w:val="20"/>
          <w:szCs w:val="20"/>
        </w:rPr>
        <w:t>Renewable energy projects in the counties targeted by the Just Transition Fund are a significant source of investment and jobs</w:t>
      </w:r>
      <w:r>
        <w:rPr>
          <w:rFonts w:ascii="Arial" w:hAnsi="Arial" w:cs="Arial"/>
          <w:bCs/>
          <w:sz w:val="20"/>
          <w:szCs w:val="20"/>
        </w:rPr>
        <w:t xml:space="preserve">, particularly </w:t>
      </w:r>
      <w:r w:rsidRPr="0058536D">
        <w:rPr>
          <w:rFonts w:ascii="Arial" w:hAnsi="Arial" w:cs="Arial"/>
          <w:bCs/>
          <w:sz w:val="20"/>
          <w:szCs w:val="20"/>
        </w:rPr>
        <w:t>during construction and for maintenance</w:t>
      </w:r>
      <w:r>
        <w:rPr>
          <w:rFonts w:ascii="Arial" w:hAnsi="Arial" w:cs="Arial"/>
          <w:bCs/>
          <w:sz w:val="20"/>
          <w:szCs w:val="20"/>
        </w:rPr>
        <w:t xml:space="preserve"> subsequently</w:t>
      </w:r>
      <w:r w:rsidRPr="0058536D">
        <w:rPr>
          <w:rFonts w:ascii="Arial" w:hAnsi="Arial" w:cs="Arial"/>
          <w:bCs/>
          <w:sz w:val="20"/>
          <w:szCs w:val="20"/>
        </w:rPr>
        <w:t xml:space="preserve">. The estimated investment for 400 MW of solar </w:t>
      </w:r>
      <w:r w:rsidR="009A4069">
        <w:rPr>
          <w:rFonts w:ascii="Arial" w:hAnsi="Arial" w:cs="Arial"/>
          <w:bCs/>
          <w:sz w:val="20"/>
          <w:szCs w:val="20"/>
        </w:rPr>
        <w:t>Photovoltaic (</w:t>
      </w:r>
      <w:r w:rsidRPr="0058536D">
        <w:rPr>
          <w:rFonts w:ascii="Arial" w:hAnsi="Arial" w:cs="Arial"/>
          <w:bCs/>
          <w:sz w:val="20"/>
          <w:szCs w:val="20"/>
        </w:rPr>
        <w:t>PV</w:t>
      </w:r>
      <w:r w:rsidR="009A4069">
        <w:rPr>
          <w:rFonts w:ascii="Arial" w:hAnsi="Arial" w:cs="Arial"/>
          <w:bCs/>
          <w:sz w:val="20"/>
          <w:szCs w:val="20"/>
        </w:rPr>
        <w:t>)</w:t>
      </w:r>
      <w:r w:rsidRPr="0058536D">
        <w:rPr>
          <w:rFonts w:ascii="Arial" w:hAnsi="Arial" w:cs="Arial"/>
          <w:bCs/>
          <w:sz w:val="20"/>
          <w:szCs w:val="20"/>
        </w:rPr>
        <w:t xml:space="preserve"> in each of the six counties varies between EUR 240-280 </w:t>
      </w:r>
      <w:r w:rsidR="00B248C3">
        <w:rPr>
          <w:rFonts w:ascii="Arial" w:hAnsi="Arial" w:cs="Arial"/>
          <w:bCs/>
          <w:sz w:val="20"/>
          <w:szCs w:val="20"/>
        </w:rPr>
        <w:t>million (</w:t>
      </w:r>
      <w:r w:rsidRPr="0058536D">
        <w:rPr>
          <w:rFonts w:ascii="Arial" w:hAnsi="Arial" w:cs="Arial"/>
          <w:bCs/>
          <w:sz w:val="20"/>
          <w:szCs w:val="20"/>
        </w:rPr>
        <w:t>m</w:t>
      </w:r>
      <w:r w:rsidR="00B248C3">
        <w:rPr>
          <w:rFonts w:ascii="Arial" w:hAnsi="Arial" w:cs="Arial"/>
          <w:bCs/>
          <w:sz w:val="20"/>
          <w:szCs w:val="20"/>
        </w:rPr>
        <w:t>)</w:t>
      </w:r>
      <w:r w:rsidRPr="0058536D">
        <w:rPr>
          <w:rFonts w:ascii="Arial" w:hAnsi="Arial" w:cs="Arial"/>
          <w:bCs/>
          <w:sz w:val="20"/>
          <w:szCs w:val="20"/>
        </w:rPr>
        <w:t xml:space="preserve"> over the next 2-5 years. On average, solar PV generates between 4-6 total jobs per MW. Thus, an additional 1,600 to 2,400 jobs c</w:t>
      </w:r>
      <w:r>
        <w:rPr>
          <w:rFonts w:ascii="Arial" w:hAnsi="Arial" w:cs="Arial"/>
          <w:bCs/>
          <w:sz w:val="20"/>
          <w:szCs w:val="20"/>
        </w:rPr>
        <w:t xml:space="preserve">ould </w:t>
      </w:r>
      <w:r w:rsidRPr="0058536D">
        <w:rPr>
          <w:rFonts w:ascii="Arial" w:hAnsi="Arial" w:cs="Arial"/>
          <w:bCs/>
          <w:sz w:val="20"/>
          <w:szCs w:val="20"/>
        </w:rPr>
        <w:t xml:space="preserve">be created through solar PV investments in each of the counties. As far as onshore wind is concerned, a further EUR 500 m of investment is required to provide 500 MW in </w:t>
      </w:r>
      <w:r w:rsidR="003751DC">
        <w:rPr>
          <w:rFonts w:ascii="Arial" w:hAnsi="Arial" w:cs="Arial"/>
          <w:bCs/>
          <w:sz w:val="20"/>
          <w:szCs w:val="20"/>
        </w:rPr>
        <w:t>Galați</w:t>
      </w:r>
      <w:r w:rsidRPr="0058536D">
        <w:rPr>
          <w:rFonts w:ascii="Arial" w:hAnsi="Arial" w:cs="Arial"/>
          <w:bCs/>
          <w:sz w:val="20"/>
          <w:szCs w:val="20"/>
        </w:rPr>
        <w:t xml:space="preserve"> County. This could create an additional 500 jobs during construction and operation.</w:t>
      </w:r>
      <w:r w:rsidRPr="0058536D">
        <w:rPr>
          <w:rFonts w:ascii="Arial" w:hAnsi="Arial" w:cs="Arial"/>
          <w:sz w:val="20"/>
          <w:szCs w:val="20"/>
        </w:rPr>
        <w:t xml:space="preserve"> A significant share of cost-competitive new capacity of 4.5 GW</w:t>
      </w:r>
      <w:r w:rsidR="00FF617B">
        <w:rPr>
          <w:rFonts w:ascii="Arial" w:hAnsi="Arial" w:cs="Arial"/>
          <w:sz w:val="20"/>
          <w:szCs w:val="20"/>
        </w:rPr>
        <w:t xml:space="preserve"> (wind and solar)</w:t>
      </w:r>
      <w:r w:rsidRPr="0058536D">
        <w:rPr>
          <w:rFonts w:ascii="Arial" w:hAnsi="Arial" w:cs="Arial"/>
          <w:sz w:val="20"/>
          <w:szCs w:val="20"/>
        </w:rPr>
        <w:t xml:space="preserve"> can be developed in the six JT</w:t>
      </w:r>
      <w:r w:rsidR="009A4069">
        <w:rPr>
          <w:rFonts w:ascii="Arial" w:hAnsi="Arial" w:cs="Arial"/>
          <w:sz w:val="20"/>
          <w:szCs w:val="20"/>
        </w:rPr>
        <w:t>F</w:t>
      </w:r>
      <w:r w:rsidRPr="0058536D">
        <w:rPr>
          <w:rFonts w:ascii="Arial" w:hAnsi="Arial" w:cs="Arial"/>
          <w:sz w:val="20"/>
          <w:szCs w:val="20"/>
        </w:rPr>
        <w:t xml:space="preserve"> counties. Solar PV technology stands out as the most feasible candidate for large scale deployment in all the counties under analysis. In every county, at least 400 MW can be developed at costs that are well below or just above average 2019–2020 spot prices in Romania.</w:t>
      </w:r>
    </w:p>
    <w:p w14:paraId="2F30FE9F" w14:textId="1B18103C" w:rsidR="00DA6B30" w:rsidRPr="0058536D" w:rsidRDefault="00DA6B30" w:rsidP="00DA6B30">
      <w:pPr>
        <w:spacing w:after="120"/>
        <w:jc w:val="both"/>
        <w:rPr>
          <w:rFonts w:ascii="Arial" w:hAnsi="Arial" w:cs="Arial"/>
          <w:sz w:val="20"/>
          <w:szCs w:val="20"/>
        </w:rPr>
      </w:pPr>
      <w:r w:rsidRPr="002B1A85">
        <w:rPr>
          <w:rFonts w:ascii="Arial" w:hAnsi="Arial" w:cs="Arial"/>
          <w:b/>
          <w:bCs/>
          <w:sz w:val="20"/>
          <w:szCs w:val="20"/>
        </w:rPr>
        <w:t>Section 2.3</w:t>
      </w:r>
      <w:r w:rsidRPr="0058536D">
        <w:rPr>
          <w:rFonts w:ascii="Arial" w:hAnsi="Arial" w:cs="Arial"/>
          <w:sz w:val="20"/>
          <w:szCs w:val="20"/>
        </w:rPr>
        <w:t xml:space="preserve"> analy</w:t>
      </w:r>
      <w:r>
        <w:rPr>
          <w:rFonts w:ascii="Arial" w:hAnsi="Arial" w:cs="Arial"/>
          <w:sz w:val="20"/>
          <w:szCs w:val="20"/>
        </w:rPr>
        <w:t>s</w:t>
      </w:r>
      <w:r w:rsidRPr="0058536D">
        <w:rPr>
          <w:rFonts w:ascii="Arial" w:hAnsi="Arial" w:cs="Arial"/>
          <w:sz w:val="20"/>
          <w:szCs w:val="20"/>
        </w:rPr>
        <w:t xml:space="preserve">es the </w:t>
      </w:r>
      <w:r w:rsidRPr="002B1A85">
        <w:rPr>
          <w:rFonts w:ascii="Arial" w:hAnsi="Arial" w:cs="Arial"/>
          <w:b/>
          <w:bCs/>
          <w:sz w:val="20"/>
          <w:szCs w:val="20"/>
        </w:rPr>
        <w:t>ETS support potential in the framework of the JTF. Gorj, Dolj and Prahova have the highest exposure to the increasing price of EU ETS allowances</w:t>
      </w:r>
      <w:r w:rsidRPr="0058536D">
        <w:rPr>
          <w:rFonts w:ascii="Arial" w:hAnsi="Arial" w:cs="Arial"/>
          <w:sz w:val="20"/>
          <w:szCs w:val="20"/>
        </w:rPr>
        <w:t xml:space="preserve"> in case decarbonisation does not occur. Annually, entities within these three counties will be liable to pay for EU ETS allowances for compliance somewhere between EUR 500 million to EUR 1.1 billion in the coming decade. </w:t>
      </w:r>
      <w:r w:rsidRPr="002B1A85">
        <w:rPr>
          <w:rFonts w:ascii="Arial" w:hAnsi="Arial" w:cs="Arial"/>
          <w:b/>
          <w:bCs/>
          <w:sz w:val="20"/>
          <w:szCs w:val="20"/>
        </w:rPr>
        <w:t>Detailed analyses of ETS installations</w:t>
      </w:r>
      <w:r w:rsidRPr="0058536D">
        <w:rPr>
          <w:rFonts w:ascii="Arial" w:hAnsi="Arial" w:cs="Arial"/>
          <w:sz w:val="20"/>
          <w:szCs w:val="20"/>
        </w:rPr>
        <w:t xml:space="preserve"> and their planned decarboni</w:t>
      </w:r>
      <w:r w:rsidR="004E7B64">
        <w:rPr>
          <w:rFonts w:ascii="Arial" w:hAnsi="Arial" w:cs="Arial"/>
          <w:sz w:val="20"/>
          <w:szCs w:val="20"/>
        </w:rPr>
        <w:t>sation</w:t>
      </w:r>
      <w:r w:rsidRPr="0058536D">
        <w:rPr>
          <w:rFonts w:ascii="Arial" w:hAnsi="Arial" w:cs="Arial"/>
          <w:sz w:val="20"/>
          <w:szCs w:val="20"/>
        </w:rPr>
        <w:t xml:space="preserve"> investments are made in </w:t>
      </w:r>
      <w:r w:rsidR="00C556A6">
        <w:rPr>
          <w:rFonts w:ascii="Arial" w:hAnsi="Arial" w:cs="Arial"/>
          <w:b/>
          <w:bCs/>
          <w:sz w:val="20"/>
          <w:szCs w:val="20"/>
        </w:rPr>
        <w:t>Chapter 4</w:t>
      </w:r>
      <w:r w:rsidR="00C556A6">
        <w:rPr>
          <w:rFonts w:ascii="Arial" w:hAnsi="Arial" w:cs="Arial"/>
          <w:sz w:val="20"/>
          <w:szCs w:val="20"/>
        </w:rPr>
        <w:t xml:space="preserve"> (analysis of Arcelor Mittal for Hunedoara), </w:t>
      </w:r>
      <w:r w:rsidR="00C556A6">
        <w:rPr>
          <w:rFonts w:ascii="Arial" w:hAnsi="Arial" w:cs="Arial"/>
          <w:b/>
          <w:bCs/>
          <w:sz w:val="20"/>
          <w:szCs w:val="20"/>
        </w:rPr>
        <w:t>Chapter 6</w:t>
      </w:r>
      <w:r w:rsidR="00C556A6">
        <w:rPr>
          <w:rFonts w:ascii="Arial" w:hAnsi="Arial" w:cs="Arial"/>
          <w:sz w:val="20"/>
          <w:szCs w:val="20"/>
        </w:rPr>
        <w:t xml:space="preserve"> (analysis of the refining industry for Prahova), </w:t>
      </w:r>
      <w:r w:rsidR="004B6689">
        <w:rPr>
          <w:rFonts w:ascii="Arial" w:hAnsi="Arial" w:cs="Arial"/>
          <w:b/>
          <w:bCs/>
          <w:sz w:val="20"/>
          <w:szCs w:val="20"/>
        </w:rPr>
        <w:t>Chapter</w:t>
      </w:r>
      <w:r w:rsidRPr="002B1A85">
        <w:rPr>
          <w:rFonts w:ascii="Arial" w:hAnsi="Arial" w:cs="Arial"/>
          <w:b/>
          <w:bCs/>
          <w:sz w:val="20"/>
          <w:szCs w:val="20"/>
        </w:rPr>
        <w:t xml:space="preserve"> 7</w:t>
      </w:r>
      <w:r w:rsidRPr="0058536D">
        <w:rPr>
          <w:rFonts w:ascii="Arial" w:hAnsi="Arial" w:cs="Arial"/>
          <w:sz w:val="20"/>
          <w:szCs w:val="20"/>
        </w:rPr>
        <w:t xml:space="preserve"> (analysis of </w:t>
      </w:r>
      <w:r w:rsidRPr="002B1A85">
        <w:rPr>
          <w:rFonts w:ascii="Arial" w:hAnsi="Arial" w:cs="Arial"/>
          <w:b/>
          <w:bCs/>
          <w:sz w:val="20"/>
          <w:szCs w:val="20"/>
        </w:rPr>
        <w:t>Azom</w:t>
      </w:r>
      <w:r>
        <w:rPr>
          <w:rFonts w:ascii="Arial" w:hAnsi="Arial" w:cs="Arial"/>
          <w:b/>
          <w:bCs/>
          <w:sz w:val="20"/>
          <w:szCs w:val="20"/>
        </w:rPr>
        <w:t>ureş</w:t>
      </w:r>
      <w:r w:rsidRPr="0058536D">
        <w:rPr>
          <w:rFonts w:ascii="Arial" w:hAnsi="Arial" w:cs="Arial"/>
          <w:sz w:val="20"/>
          <w:szCs w:val="20"/>
        </w:rPr>
        <w:t xml:space="preserve"> for M</w:t>
      </w:r>
      <w:r>
        <w:rPr>
          <w:rFonts w:ascii="Arial" w:hAnsi="Arial" w:cs="Arial"/>
          <w:sz w:val="20"/>
          <w:szCs w:val="20"/>
        </w:rPr>
        <w:t>ureş</w:t>
      </w:r>
      <w:r w:rsidRPr="0058536D">
        <w:rPr>
          <w:rFonts w:ascii="Arial" w:hAnsi="Arial" w:cs="Arial"/>
          <w:sz w:val="20"/>
          <w:szCs w:val="20"/>
        </w:rPr>
        <w:t xml:space="preserve"> County) and in </w:t>
      </w:r>
      <w:r w:rsidR="004B6689">
        <w:rPr>
          <w:rFonts w:ascii="Arial" w:hAnsi="Arial" w:cs="Arial"/>
          <w:b/>
          <w:bCs/>
          <w:sz w:val="20"/>
          <w:szCs w:val="20"/>
        </w:rPr>
        <w:t>Chapter</w:t>
      </w:r>
      <w:r w:rsidRPr="002B1A85">
        <w:rPr>
          <w:rFonts w:ascii="Arial" w:hAnsi="Arial" w:cs="Arial"/>
          <w:b/>
          <w:bCs/>
          <w:sz w:val="20"/>
          <w:szCs w:val="20"/>
        </w:rPr>
        <w:t xml:space="preserve"> 8</w:t>
      </w:r>
      <w:r w:rsidRPr="0058536D">
        <w:rPr>
          <w:rFonts w:ascii="Arial" w:hAnsi="Arial" w:cs="Arial"/>
          <w:sz w:val="20"/>
          <w:szCs w:val="20"/>
        </w:rPr>
        <w:t xml:space="preserve"> (Analysis of </w:t>
      </w:r>
      <w:r w:rsidRPr="002B1A85">
        <w:rPr>
          <w:rFonts w:ascii="Arial" w:hAnsi="Arial" w:cs="Arial"/>
          <w:b/>
          <w:bCs/>
          <w:sz w:val="20"/>
          <w:szCs w:val="20"/>
        </w:rPr>
        <w:t xml:space="preserve">Liberty </w:t>
      </w:r>
      <w:r w:rsidR="003751DC">
        <w:rPr>
          <w:rFonts w:ascii="Arial" w:hAnsi="Arial" w:cs="Arial"/>
          <w:b/>
          <w:bCs/>
          <w:sz w:val="20"/>
          <w:szCs w:val="20"/>
        </w:rPr>
        <w:t>Galați</w:t>
      </w:r>
      <w:r w:rsidRPr="0058536D">
        <w:rPr>
          <w:rFonts w:ascii="Arial" w:hAnsi="Arial" w:cs="Arial"/>
          <w:sz w:val="20"/>
          <w:szCs w:val="20"/>
        </w:rPr>
        <w:t xml:space="preserve"> for </w:t>
      </w:r>
      <w:r w:rsidR="003751DC">
        <w:rPr>
          <w:rFonts w:ascii="Arial" w:hAnsi="Arial" w:cs="Arial"/>
          <w:sz w:val="20"/>
          <w:szCs w:val="20"/>
        </w:rPr>
        <w:t>Galați</w:t>
      </w:r>
      <w:r w:rsidRPr="0058536D">
        <w:rPr>
          <w:rFonts w:ascii="Arial" w:hAnsi="Arial" w:cs="Arial"/>
          <w:sz w:val="20"/>
          <w:szCs w:val="20"/>
        </w:rPr>
        <w:t xml:space="preserve"> </w:t>
      </w:r>
      <w:r>
        <w:rPr>
          <w:rFonts w:ascii="Arial" w:hAnsi="Arial" w:cs="Arial"/>
          <w:sz w:val="20"/>
          <w:szCs w:val="20"/>
        </w:rPr>
        <w:t>C</w:t>
      </w:r>
      <w:r w:rsidRPr="0058536D">
        <w:rPr>
          <w:rFonts w:ascii="Arial" w:hAnsi="Arial" w:cs="Arial"/>
          <w:sz w:val="20"/>
          <w:szCs w:val="20"/>
        </w:rPr>
        <w:t xml:space="preserve">ounty). </w:t>
      </w:r>
      <w:r>
        <w:rPr>
          <w:rFonts w:ascii="Arial" w:hAnsi="Arial" w:cs="Arial"/>
          <w:sz w:val="20"/>
          <w:szCs w:val="20"/>
        </w:rPr>
        <w:t>Th</w:t>
      </w:r>
      <w:r w:rsidR="00763F46">
        <w:rPr>
          <w:rFonts w:ascii="Arial" w:hAnsi="Arial" w:cs="Arial"/>
          <w:sz w:val="20"/>
          <w:szCs w:val="20"/>
        </w:rPr>
        <w:t>e</w:t>
      </w:r>
      <w:r>
        <w:rPr>
          <w:rFonts w:ascii="Arial" w:hAnsi="Arial" w:cs="Arial"/>
          <w:sz w:val="20"/>
          <w:szCs w:val="20"/>
        </w:rPr>
        <w:t>se</w:t>
      </w:r>
      <w:r w:rsidR="00763F46">
        <w:rPr>
          <w:rFonts w:ascii="Arial" w:hAnsi="Arial" w:cs="Arial"/>
          <w:sz w:val="20"/>
          <w:szCs w:val="20"/>
        </w:rPr>
        <w:t xml:space="preserve"> analyses</w:t>
      </w:r>
      <w:r>
        <w:rPr>
          <w:rFonts w:ascii="Arial" w:hAnsi="Arial" w:cs="Arial"/>
          <w:sz w:val="20"/>
          <w:szCs w:val="20"/>
        </w:rPr>
        <w:t xml:space="preserve"> have been </w:t>
      </w:r>
      <w:r w:rsidR="00763F46">
        <w:rPr>
          <w:rFonts w:ascii="Arial" w:hAnsi="Arial" w:cs="Arial"/>
          <w:sz w:val="20"/>
          <w:szCs w:val="20"/>
        </w:rPr>
        <w:t>selected since</w:t>
      </w:r>
      <w:r w:rsidR="00763F46" w:rsidRPr="0058536D">
        <w:rPr>
          <w:rFonts w:ascii="Arial" w:hAnsi="Arial" w:cs="Arial"/>
          <w:sz w:val="20"/>
          <w:szCs w:val="20"/>
        </w:rPr>
        <w:t xml:space="preserve"> </w:t>
      </w:r>
      <w:r w:rsidR="00FF617B">
        <w:rPr>
          <w:rFonts w:ascii="Arial" w:hAnsi="Arial" w:cs="Arial"/>
          <w:sz w:val="20"/>
          <w:szCs w:val="20"/>
        </w:rPr>
        <w:t xml:space="preserve">the </w:t>
      </w:r>
      <w:r w:rsidR="00C754C8">
        <w:rPr>
          <w:rFonts w:ascii="Arial" w:hAnsi="Arial" w:cs="Arial"/>
          <w:sz w:val="20"/>
          <w:szCs w:val="20"/>
        </w:rPr>
        <w:t>stakeholder</w:t>
      </w:r>
      <w:r w:rsidR="00FF617B">
        <w:rPr>
          <w:rFonts w:ascii="Arial" w:hAnsi="Arial" w:cs="Arial"/>
          <w:sz w:val="20"/>
          <w:szCs w:val="20"/>
        </w:rPr>
        <w:t xml:space="preserve"> consultation process</w:t>
      </w:r>
      <w:r w:rsidR="00763F46">
        <w:rPr>
          <w:rFonts w:ascii="Arial" w:hAnsi="Arial" w:cs="Arial"/>
          <w:sz w:val="20"/>
          <w:szCs w:val="20"/>
        </w:rPr>
        <w:t>,</w:t>
      </w:r>
      <w:r w:rsidR="00FF617B">
        <w:rPr>
          <w:rFonts w:ascii="Arial" w:hAnsi="Arial" w:cs="Arial"/>
          <w:sz w:val="20"/>
          <w:szCs w:val="20"/>
        </w:rPr>
        <w:t xml:space="preserve"> led by the consultant</w:t>
      </w:r>
      <w:r w:rsidR="00763F46">
        <w:rPr>
          <w:rFonts w:ascii="Arial" w:hAnsi="Arial" w:cs="Arial"/>
          <w:sz w:val="20"/>
          <w:szCs w:val="20"/>
        </w:rPr>
        <w:t>,</w:t>
      </w:r>
      <w:r w:rsidR="00FF617B">
        <w:rPr>
          <w:rFonts w:ascii="Arial" w:hAnsi="Arial" w:cs="Arial"/>
          <w:sz w:val="20"/>
          <w:szCs w:val="20"/>
        </w:rPr>
        <w:t xml:space="preserve"> </w:t>
      </w:r>
      <w:r w:rsidR="00763F46">
        <w:rPr>
          <w:rFonts w:ascii="Arial" w:hAnsi="Arial" w:cs="Arial"/>
          <w:sz w:val="20"/>
          <w:szCs w:val="20"/>
        </w:rPr>
        <w:t>indicated</w:t>
      </w:r>
      <w:r>
        <w:rPr>
          <w:rFonts w:ascii="Arial" w:hAnsi="Arial" w:cs="Arial"/>
          <w:sz w:val="20"/>
          <w:szCs w:val="20"/>
        </w:rPr>
        <w:t xml:space="preserve"> </w:t>
      </w:r>
      <w:r w:rsidRPr="0058536D">
        <w:rPr>
          <w:rFonts w:ascii="Arial" w:hAnsi="Arial" w:cs="Arial"/>
          <w:sz w:val="20"/>
          <w:szCs w:val="20"/>
        </w:rPr>
        <w:t xml:space="preserve">that </w:t>
      </w:r>
      <w:r w:rsidR="009F7803">
        <w:rPr>
          <w:rFonts w:ascii="Arial" w:hAnsi="Arial" w:cs="Arial"/>
          <w:sz w:val="20"/>
          <w:szCs w:val="20"/>
        </w:rPr>
        <w:t>these entities</w:t>
      </w:r>
      <w:r w:rsidR="009F7803" w:rsidRPr="0058536D">
        <w:rPr>
          <w:rFonts w:ascii="Arial" w:hAnsi="Arial" w:cs="Arial"/>
          <w:sz w:val="20"/>
          <w:szCs w:val="20"/>
        </w:rPr>
        <w:t xml:space="preserve"> </w:t>
      </w:r>
      <w:r w:rsidRPr="0058536D">
        <w:rPr>
          <w:rFonts w:ascii="Arial" w:hAnsi="Arial" w:cs="Arial"/>
          <w:sz w:val="20"/>
          <w:szCs w:val="20"/>
        </w:rPr>
        <w:t xml:space="preserve">were offering planned ETS-related investments </w:t>
      </w:r>
      <w:r w:rsidR="00C556A6">
        <w:rPr>
          <w:rFonts w:ascii="Arial" w:hAnsi="Arial" w:cs="Arial"/>
          <w:sz w:val="20"/>
          <w:szCs w:val="20"/>
        </w:rPr>
        <w:t>potentially</w:t>
      </w:r>
      <w:r w:rsidRPr="0058536D">
        <w:rPr>
          <w:rFonts w:ascii="Arial" w:hAnsi="Arial" w:cs="Arial"/>
          <w:sz w:val="20"/>
          <w:szCs w:val="20"/>
        </w:rPr>
        <w:t xml:space="preserve"> eligible under JTF.</w:t>
      </w:r>
      <w:r w:rsidR="00FF617B">
        <w:rPr>
          <w:rFonts w:ascii="Arial" w:hAnsi="Arial" w:cs="Arial"/>
          <w:sz w:val="20"/>
          <w:szCs w:val="20"/>
        </w:rPr>
        <w:t xml:space="preserve"> </w:t>
      </w:r>
      <w:r w:rsidR="00C556A6">
        <w:rPr>
          <w:rFonts w:ascii="Arial" w:hAnsi="Arial" w:cs="Arial"/>
          <w:sz w:val="20"/>
          <w:szCs w:val="20"/>
        </w:rPr>
        <w:t>We also assess several factors behind ETS installations’ reluctance to propose project</w:t>
      </w:r>
      <w:r w:rsidR="00AD4C82">
        <w:rPr>
          <w:rFonts w:ascii="Arial" w:hAnsi="Arial" w:cs="Arial"/>
          <w:sz w:val="20"/>
          <w:szCs w:val="20"/>
        </w:rPr>
        <w:t>s</w:t>
      </w:r>
      <w:r w:rsidR="00C556A6">
        <w:rPr>
          <w:rFonts w:ascii="Arial" w:hAnsi="Arial" w:cs="Arial"/>
          <w:sz w:val="20"/>
          <w:szCs w:val="20"/>
        </w:rPr>
        <w:t xml:space="preserve">, ranging from </w:t>
      </w:r>
      <w:r w:rsidR="00AD4C82">
        <w:rPr>
          <w:rFonts w:ascii="Arial" w:hAnsi="Arial" w:cs="Arial"/>
          <w:sz w:val="20"/>
          <w:szCs w:val="20"/>
        </w:rPr>
        <w:t xml:space="preserve">a </w:t>
      </w:r>
      <w:r w:rsidR="00C556A6">
        <w:rPr>
          <w:rFonts w:ascii="Arial" w:hAnsi="Arial" w:cs="Arial"/>
          <w:sz w:val="20"/>
          <w:szCs w:val="20"/>
        </w:rPr>
        <w:t xml:space="preserve">lack of ambitious internal climate neutrality targets to dysfunctional dynamics between large enterprises </w:t>
      </w:r>
      <w:r w:rsidR="00B50738">
        <w:rPr>
          <w:rFonts w:ascii="Arial" w:hAnsi="Arial" w:cs="Arial"/>
          <w:sz w:val="20"/>
          <w:szCs w:val="20"/>
        </w:rPr>
        <w:t>and</w:t>
      </w:r>
      <w:r w:rsidR="00C556A6">
        <w:rPr>
          <w:rFonts w:ascii="Arial" w:hAnsi="Arial" w:cs="Arial"/>
          <w:sz w:val="20"/>
          <w:szCs w:val="20"/>
        </w:rPr>
        <w:t xml:space="preserve"> the government</w:t>
      </w:r>
      <w:r w:rsidR="00AD4C82">
        <w:rPr>
          <w:rFonts w:ascii="Arial" w:hAnsi="Arial" w:cs="Arial"/>
          <w:sz w:val="20"/>
          <w:szCs w:val="20"/>
        </w:rPr>
        <w:t>, where</w:t>
      </w:r>
      <w:r w:rsidR="00C556A6">
        <w:rPr>
          <w:rFonts w:ascii="Arial" w:hAnsi="Arial" w:cs="Arial"/>
          <w:sz w:val="20"/>
          <w:szCs w:val="20"/>
        </w:rPr>
        <w:t xml:space="preserve"> </w:t>
      </w:r>
      <w:r w:rsidR="00AD4C82">
        <w:rPr>
          <w:rFonts w:ascii="Arial" w:hAnsi="Arial" w:cs="Arial"/>
          <w:sz w:val="20"/>
          <w:szCs w:val="20"/>
        </w:rPr>
        <w:t>firms</w:t>
      </w:r>
      <w:r w:rsidR="00C556A6">
        <w:rPr>
          <w:rFonts w:ascii="Arial" w:hAnsi="Arial" w:cs="Arial"/>
          <w:sz w:val="20"/>
          <w:szCs w:val="20"/>
        </w:rPr>
        <w:t xml:space="preserve"> are waiting for the government to issue concrete guidelines so that they can propose projects while the government, in turn, wait</w:t>
      </w:r>
      <w:r w:rsidR="00AD4C82">
        <w:rPr>
          <w:rFonts w:ascii="Arial" w:hAnsi="Arial" w:cs="Arial"/>
          <w:sz w:val="20"/>
          <w:szCs w:val="20"/>
        </w:rPr>
        <w:t>s</w:t>
      </w:r>
      <w:r w:rsidR="00C556A6">
        <w:rPr>
          <w:rFonts w:ascii="Arial" w:hAnsi="Arial" w:cs="Arial"/>
          <w:sz w:val="20"/>
          <w:szCs w:val="20"/>
        </w:rPr>
        <w:t xml:space="preserve"> for the companies’ </w:t>
      </w:r>
      <w:r w:rsidR="00AD4C82">
        <w:rPr>
          <w:rFonts w:ascii="Arial" w:hAnsi="Arial" w:cs="Arial"/>
          <w:sz w:val="20"/>
          <w:szCs w:val="20"/>
        </w:rPr>
        <w:t>plans for</w:t>
      </w:r>
      <w:r w:rsidR="00C556A6">
        <w:rPr>
          <w:rFonts w:ascii="Arial" w:hAnsi="Arial" w:cs="Arial"/>
          <w:sz w:val="20"/>
          <w:szCs w:val="20"/>
        </w:rPr>
        <w:t xml:space="preserve"> carbon reduction investments to potentially co-finance them through JTF funding.</w:t>
      </w:r>
    </w:p>
    <w:p w14:paraId="05A4E8BD" w14:textId="6B80E300" w:rsidR="00DA6B30" w:rsidRPr="0058536D" w:rsidRDefault="00DA6B30" w:rsidP="00DA6B30">
      <w:pPr>
        <w:spacing w:after="120"/>
        <w:jc w:val="both"/>
        <w:rPr>
          <w:rFonts w:ascii="Arial" w:hAnsi="Arial" w:cs="Arial"/>
          <w:sz w:val="20"/>
          <w:szCs w:val="20"/>
        </w:rPr>
      </w:pPr>
      <w:r w:rsidRPr="002B1A85">
        <w:rPr>
          <w:rFonts w:ascii="Arial" w:hAnsi="Arial" w:cs="Arial"/>
          <w:b/>
          <w:iCs/>
          <w:sz w:val="20"/>
          <w:szCs w:val="20"/>
        </w:rPr>
        <w:t>Section 2.4</w:t>
      </w:r>
      <w:r w:rsidRPr="0058536D">
        <w:rPr>
          <w:rFonts w:ascii="Arial" w:hAnsi="Arial" w:cs="Arial"/>
          <w:bCs/>
          <w:iCs/>
          <w:sz w:val="20"/>
          <w:szCs w:val="20"/>
        </w:rPr>
        <w:t xml:space="preserve"> analy</w:t>
      </w:r>
      <w:r>
        <w:rPr>
          <w:rFonts w:ascii="Arial" w:hAnsi="Arial" w:cs="Arial"/>
          <w:bCs/>
          <w:iCs/>
          <w:sz w:val="20"/>
          <w:szCs w:val="20"/>
        </w:rPr>
        <w:t>s</w:t>
      </w:r>
      <w:r w:rsidRPr="0058536D">
        <w:rPr>
          <w:rFonts w:ascii="Arial" w:hAnsi="Arial" w:cs="Arial"/>
          <w:bCs/>
          <w:iCs/>
          <w:sz w:val="20"/>
          <w:szCs w:val="20"/>
        </w:rPr>
        <w:t xml:space="preserve">es </w:t>
      </w:r>
      <w:r w:rsidRPr="002B1A85">
        <w:rPr>
          <w:rFonts w:ascii="Arial" w:hAnsi="Arial" w:cs="Arial"/>
          <w:b/>
          <w:bCs/>
          <w:sz w:val="20"/>
          <w:szCs w:val="20"/>
        </w:rPr>
        <w:t>energy poverty, energy efficiency in buildings and district heating</w:t>
      </w:r>
      <w:r w:rsidRPr="0058536D">
        <w:rPr>
          <w:rFonts w:ascii="Arial" w:hAnsi="Arial" w:cs="Arial"/>
          <w:sz w:val="20"/>
          <w:szCs w:val="20"/>
        </w:rPr>
        <w:t xml:space="preserve">. The Just Transition touches on all dimensions of energy poverty, and the policy tools to identify and address energy poverty must be well integrated and tailored to the local context to lower the rate of energy poverty. Counties with more rural localities and where incomes </w:t>
      </w:r>
      <w:r>
        <w:rPr>
          <w:rFonts w:ascii="Arial" w:hAnsi="Arial" w:cs="Arial"/>
          <w:sz w:val="20"/>
          <w:szCs w:val="20"/>
        </w:rPr>
        <w:t xml:space="preserve">are </w:t>
      </w:r>
      <w:r w:rsidRPr="0058536D">
        <w:rPr>
          <w:rFonts w:ascii="Arial" w:hAnsi="Arial" w:cs="Arial"/>
          <w:sz w:val="20"/>
          <w:szCs w:val="20"/>
        </w:rPr>
        <w:t>lower</w:t>
      </w:r>
      <w:r>
        <w:rPr>
          <w:rFonts w:ascii="Arial" w:hAnsi="Arial" w:cs="Arial"/>
          <w:sz w:val="20"/>
          <w:szCs w:val="20"/>
        </w:rPr>
        <w:t>,</w:t>
      </w:r>
      <w:r w:rsidRPr="0058536D">
        <w:rPr>
          <w:rFonts w:ascii="Arial" w:hAnsi="Arial" w:cs="Arial"/>
          <w:sz w:val="20"/>
          <w:szCs w:val="20"/>
        </w:rPr>
        <w:t xml:space="preserve"> tend</w:t>
      </w:r>
      <w:r>
        <w:rPr>
          <w:rFonts w:ascii="Arial" w:hAnsi="Arial" w:cs="Arial"/>
          <w:sz w:val="20"/>
          <w:szCs w:val="20"/>
        </w:rPr>
        <w:t xml:space="preserve"> to </w:t>
      </w:r>
      <w:r w:rsidRPr="0058536D">
        <w:rPr>
          <w:rFonts w:ascii="Arial" w:hAnsi="Arial" w:cs="Arial"/>
          <w:sz w:val="20"/>
          <w:szCs w:val="20"/>
        </w:rPr>
        <w:t>hav</w:t>
      </w:r>
      <w:r>
        <w:rPr>
          <w:rFonts w:ascii="Arial" w:hAnsi="Arial" w:cs="Arial"/>
          <w:sz w:val="20"/>
          <w:szCs w:val="20"/>
        </w:rPr>
        <w:t>e</w:t>
      </w:r>
      <w:r w:rsidRPr="0058536D">
        <w:rPr>
          <w:rFonts w:ascii="Arial" w:hAnsi="Arial" w:cs="Arial"/>
          <w:sz w:val="20"/>
          <w:szCs w:val="20"/>
        </w:rPr>
        <w:t xml:space="preserve"> higher rates of energy poverty. One exception is Hunedoara, which has a significant number of urban localities but the highest levels of energy poverty</w:t>
      </w:r>
      <w:r>
        <w:rPr>
          <w:rFonts w:ascii="Arial" w:hAnsi="Arial" w:cs="Arial"/>
          <w:sz w:val="20"/>
          <w:szCs w:val="20"/>
        </w:rPr>
        <w:t xml:space="preserve">. It </w:t>
      </w:r>
      <w:r w:rsidRPr="0058536D">
        <w:rPr>
          <w:rFonts w:ascii="Arial" w:hAnsi="Arial" w:cs="Arial"/>
          <w:sz w:val="20"/>
          <w:szCs w:val="20"/>
        </w:rPr>
        <w:t xml:space="preserve">is </w:t>
      </w:r>
      <w:r>
        <w:rPr>
          <w:rFonts w:ascii="Arial" w:hAnsi="Arial" w:cs="Arial"/>
          <w:sz w:val="20"/>
          <w:szCs w:val="20"/>
        </w:rPr>
        <w:t xml:space="preserve">also </w:t>
      </w:r>
      <w:r w:rsidRPr="0058536D">
        <w:rPr>
          <w:rFonts w:ascii="Arial" w:hAnsi="Arial" w:cs="Arial"/>
          <w:sz w:val="20"/>
          <w:szCs w:val="20"/>
        </w:rPr>
        <w:t xml:space="preserve">by far the region </w:t>
      </w:r>
      <w:r>
        <w:rPr>
          <w:rFonts w:ascii="Arial" w:hAnsi="Arial" w:cs="Arial"/>
          <w:sz w:val="20"/>
          <w:szCs w:val="20"/>
        </w:rPr>
        <w:t>w</w:t>
      </w:r>
      <w:r w:rsidRPr="0058536D">
        <w:rPr>
          <w:rFonts w:ascii="Arial" w:hAnsi="Arial" w:cs="Arial"/>
          <w:sz w:val="20"/>
          <w:szCs w:val="20"/>
        </w:rPr>
        <w:t xml:space="preserve">ith the highest share of residential buildings in state ownership. The highest heating prices were recorded in Mureș and have been </w:t>
      </w:r>
      <w:r w:rsidR="00FF617B" w:rsidRPr="0058536D">
        <w:rPr>
          <w:rFonts w:ascii="Arial" w:hAnsi="Arial" w:cs="Arial"/>
          <w:sz w:val="20"/>
          <w:szCs w:val="20"/>
        </w:rPr>
        <w:t>ris</w:t>
      </w:r>
      <w:r w:rsidR="00FF617B">
        <w:rPr>
          <w:rFonts w:ascii="Arial" w:hAnsi="Arial" w:cs="Arial"/>
          <w:sz w:val="20"/>
          <w:szCs w:val="20"/>
        </w:rPr>
        <w:t>ing</w:t>
      </w:r>
      <w:r w:rsidR="00FF617B" w:rsidRPr="0058536D">
        <w:rPr>
          <w:rFonts w:ascii="Arial" w:hAnsi="Arial" w:cs="Arial"/>
          <w:sz w:val="20"/>
          <w:szCs w:val="20"/>
        </w:rPr>
        <w:t xml:space="preserve"> </w:t>
      </w:r>
      <w:r w:rsidRPr="0058536D">
        <w:rPr>
          <w:rFonts w:ascii="Arial" w:hAnsi="Arial" w:cs="Arial"/>
          <w:sz w:val="20"/>
          <w:szCs w:val="20"/>
        </w:rPr>
        <w:t>more recently in Prahova</w:t>
      </w:r>
      <w:r w:rsidR="00FF617B">
        <w:rPr>
          <w:rFonts w:ascii="Arial" w:hAnsi="Arial" w:cs="Arial"/>
          <w:sz w:val="20"/>
          <w:szCs w:val="20"/>
        </w:rPr>
        <w:t xml:space="preserve"> </w:t>
      </w:r>
      <w:r w:rsidR="00F516C5">
        <w:rPr>
          <w:rFonts w:ascii="Arial" w:hAnsi="Arial" w:cs="Arial"/>
          <w:sz w:val="20"/>
          <w:szCs w:val="20"/>
        </w:rPr>
        <w:t>as well</w:t>
      </w:r>
      <w:r w:rsidRPr="0058536D">
        <w:rPr>
          <w:rFonts w:ascii="Arial" w:hAnsi="Arial" w:cs="Arial"/>
          <w:sz w:val="20"/>
          <w:szCs w:val="20"/>
        </w:rPr>
        <w:t xml:space="preserve">. The difference between real costs and municipal subsidies is notorious in many of the JTF affected regions, particularly in Hunedoara where the real production cost exceeds RON 800/gcal while the population pays only a quarter of the amount. </w:t>
      </w:r>
      <w:r w:rsidR="003751DC">
        <w:rPr>
          <w:rFonts w:ascii="Arial" w:hAnsi="Arial" w:cs="Arial"/>
          <w:sz w:val="20"/>
          <w:szCs w:val="20"/>
        </w:rPr>
        <w:t>Galați</w:t>
      </w:r>
      <w:r w:rsidRPr="0058536D">
        <w:rPr>
          <w:rFonts w:ascii="Arial" w:hAnsi="Arial" w:cs="Arial"/>
          <w:sz w:val="20"/>
          <w:szCs w:val="20"/>
        </w:rPr>
        <w:t xml:space="preserve"> is the only municipality withou</w:t>
      </w:r>
      <w:r>
        <w:rPr>
          <w:rFonts w:ascii="Arial" w:hAnsi="Arial" w:cs="Arial"/>
          <w:sz w:val="20"/>
          <w:szCs w:val="20"/>
        </w:rPr>
        <w:t>t</w:t>
      </w:r>
      <w:r w:rsidRPr="0058536D">
        <w:rPr>
          <w:rFonts w:ascii="Arial" w:hAnsi="Arial" w:cs="Arial"/>
          <w:sz w:val="20"/>
          <w:szCs w:val="20"/>
        </w:rPr>
        <w:t xml:space="preserve"> district heating. Due to the lack of data on building renovation at the county level, we refer to national-level renovation rates and benefits, which indicate that less than 5% of the building </w:t>
      </w:r>
      <w:r w:rsidRPr="0058536D">
        <w:rPr>
          <w:rFonts w:ascii="Arial" w:hAnsi="Arial" w:cs="Arial"/>
          <w:sz w:val="20"/>
          <w:szCs w:val="20"/>
        </w:rPr>
        <w:lastRenderedPageBreak/>
        <w:t>stock in the residential sector has been renovated.</w:t>
      </w:r>
      <w:r w:rsidR="00C556A6">
        <w:rPr>
          <w:rFonts w:ascii="Arial" w:hAnsi="Arial" w:cs="Arial"/>
          <w:sz w:val="20"/>
          <w:szCs w:val="20"/>
        </w:rPr>
        <w:t xml:space="preserve"> The section </w:t>
      </w:r>
      <w:r w:rsidR="00AD4C82">
        <w:rPr>
          <w:rFonts w:ascii="Arial" w:hAnsi="Arial" w:cs="Arial"/>
          <w:sz w:val="20"/>
          <w:szCs w:val="20"/>
        </w:rPr>
        <w:t>examines</w:t>
      </w:r>
      <w:r w:rsidR="00C556A6">
        <w:rPr>
          <w:rFonts w:ascii="Arial" w:hAnsi="Arial" w:cs="Arial"/>
          <w:sz w:val="20"/>
          <w:szCs w:val="20"/>
        </w:rPr>
        <w:t xml:space="preserve"> the phenomenon of working poverty and the potential of different technologies to support lower emissions and </w:t>
      </w:r>
      <w:r w:rsidR="00AD4C82">
        <w:rPr>
          <w:rFonts w:ascii="Arial" w:hAnsi="Arial" w:cs="Arial"/>
          <w:sz w:val="20"/>
          <w:szCs w:val="20"/>
        </w:rPr>
        <w:t xml:space="preserve">a </w:t>
      </w:r>
      <w:r w:rsidR="00C556A6">
        <w:rPr>
          <w:rFonts w:ascii="Arial" w:hAnsi="Arial" w:cs="Arial"/>
          <w:sz w:val="20"/>
          <w:szCs w:val="20"/>
        </w:rPr>
        <w:t xml:space="preserve">reduction </w:t>
      </w:r>
      <w:r w:rsidR="00AD4C82">
        <w:rPr>
          <w:rFonts w:ascii="Arial" w:hAnsi="Arial" w:cs="Arial"/>
          <w:sz w:val="20"/>
          <w:szCs w:val="20"/>
        </w:rPr>
        <w:t xml:space="preserve">of </w:t>
      </w:r>
      <w:r w:rsidR="00C556A6">
        <w:rPr>
          <w:rFonts w:ascii="Arial" w:hAnsi="Arial" w:cs="Arial"/>
          <w:sz w:val="20"/>
          <w:szCs w:val="20"/>
        </w:rPr>
        <w:t>energy poverty in the heating sector.</w:t>
      </w:r>
    </w:p>
    <w:p w14:paraId="22815F5F" w14:textId="0D7577A8" w:rsidR="00DA6B30" w:rsidRPr="0058536D" w:rsidRDefault="00DA6B30" w:rsidP="00DA6B30">
      <w:pPr>
        <w:spacing w:after="120"/>
        <w:jc w:val="both"/>
        <w:rPr>
          <w:rFonts w:ascii="Arial" w:hAnsi="Arial" w:cs="Arial"/>
          <w:bCs/>
          <w:iCs/>
          <w:sz w:val="20"/>
          <w:szCs w:val="20"/>
        </w:rPr>
      </w:pPr>
      <w:r w:rsidRPr="002B1A85">
        <w:rPr>
          <w:rFonts w:ascii="Arial" w:hAnsi="Arial" w:cs="Arial"/>
          <w:b/>
          <w:iCs/>
          <w:sz w:val="20"/>
          <w:szCs w:val="20"/>
        </w:rPr>
        <w:t>Section 2.5</w:t>
      </w:r>
      <w:r w:rsidRPr="0058536D">
        <w:rPr>
          <w:rFonts w:ascii="Arial" w:hAnsi="Arial" w:cs="Arial"/>
          <w:bCs/>
          <w:iCs/>
          <w:sz w:val="20"/>
          <w:szCs w:val="20"/>
        </w:rPr>
        <w:t xml:space="preserve"> </w:t>
      </w:r>
      <w:r w:rsidR="00AD4C82">
        <w:rPr>
          <w:rFonts w:ascii="Arial" w:hAnsi="Arial" w:cs="Arial"/>
          <w:bCs/>
          <w:iCs/>
          <w:sz w:val="20"/>
          <w:szCs w:val="20"/>
        </w:rPr>
        <w:t>summarises</w:t>
      </w:r>
      <w:r w:rsidR="00AB0880">
        <w:rPr>
          <w:rFonts w:ascii="Arial" w:hAnsi="Arial" w:cs="Arial"/>
          <w:bCs/>
          <w:iCs/>
          <w:sz w:val="20"/>
          <w:szCs w:val="20"/>
        </w:rPr>
        <w:t xml:space="preserve"> the perspective offered by the</w:t>
      </w:r>
      <w:r w:rsidRPr="0058536D">
        <w:rPr>
          <w:rFonts w:ascii="Arial" w:hAnsi="Arial" w:cs="Arial"/>
          <w:bCs/>
          <w:iCs/>
          <w:sz w:val="20"/>
          <w:szCs w:val="20"/>
        </w:rPr>
        <w:t xml:space="preserve"> European Commission regarding the </w:t>
      </w:r>
      <w:r w:rsidR="00D70148">
        <w:rPr>
          <w:rFonts w:ascii="Arial" w:hAnsi="Arial" w:cs="Arial"/>
          <w:bCs/>
          <w:iCs/>
          <w:sz w:val="20"/>
          <w:szCs w:val="20"/>
        </w:rPr>
        <w:t xml:space="preserve">potential </w:t>
      </w:r>
      <w:r w:rsidRPr="0058536D">
        <w:rPr>
          <w:rFonts w:ascii="Arial" w:hAnsi="Arial" w:cs="Arial"/>
          <w:bCs/>
          <w:iCs/>
          <w:sz w:val="20"/>
          <w:szCs w:val="20"/>
        </w:rPr>
        <w:t xml:space="preserve">eligibility of different </w:t>
      </w:r>
      <w:r w:rsidRPr="002B1A85">
        <w:rPr>
          <w:rFonts w:ascii="Arial" w:hAnsi="Arial" w:cs="Arial"/>
          <w:b/>
          <w:iCs/>
          <w:sz w:val="20"/>
          <w:szCs w:val="20"/>
        </w:rPr>
        <w:t>types of tourism investment</w:t>
      </w:r>
      <w:r w:rsidRPr="0058536D">
        <w:rPr>
          <w:rFonts w:ascii="Arial" w:hAnsi="Arial" w:cs="Arial"/>
          <w:bCs/>
          <w:iCs/>
          <w:sz w:val="20"/>
          <w:szCs w:val="20"/>
        </w:rPr>
        <w:t>, given stakeholders’ hight interest in this area</w:t>
      </w:r>
      <w:r w:rsidR="00AD4C82">
        <w:rPr>
          <w:rFonts w:ascii="Arial" w:hAnsi="Arial" w:cs="Arial"/>
          <w:bCs/>
          <w:iCs/>
          <w:sz w:val="20"/>
          <w:szCs w:val="20"/>
        </w:rPr>
        <w:t>.</w:t>
      </w:r>
      <w:r w:rsidR="00AB0880">
        <w:rPr>
          <w:rFonts w:ascii="Arial" w:hAnsi="Arial" w:cs="Arial"/>
          <w:bCs/>
          <w:iCs/>
          <w:sz w:val="20"/>
          <w:szCs w:val="20"/>
        </w:rPr>
        <w:t xml:space="preserve"> </w:t>
      </w:r>
      <w:r w:rsidR="00AD4C82">
        <w:rPr>
          <w:rFonts w:ascii="Arial" w:hAnsi="Arial" w:cs="Arial"/>
          <w:bCs/>
          <w:iCs/>
          <w:sz w:val="20"/>
          <w:szCs w:val="20"/>
        </w:rPr>
        <w:t>It</w:t>
      </w:r>
      <w:r w:rsidR="00AB0880">
        <w:rPr>
          <w:rFonts w:ascii="Arial" w:hAnsi="Arial" w:cs="Arial"/>
          <w:bCs/>
          <w:iCs/>
          <w:sz w:val="20"/>
          <w:szCs w:val="20"/>
        </w:rPr>
        <w:t xml:space="preserve"> concludes that planned investments in Hunedoara and Gorj may fit the JTF funding criteria for productive investments in tourism</w:t>
      </w:r>
      <w:r w:rsidR="00D70148">
        <w:rPr>
          <w:rFonts w:ascii="Arial" w:hAnsi="Arial" w:cs="Arial"/>
          <w:bCs/>
          <w:iCs/>
          <w:sz w:val="20"/>
          <w:szCs w:val="20"/>
        </w:rPr>
        <w:t>.</w:t>
      </w:r>
    </w:p>
    <w:p w14:paraId="583488A4" w14:textId="2F9EDAD2" w:rsidR="00DA6B30" w:rsidRPr="0058536D" w:rsidRDefault="00DA6B30" w:rsidP="00DA6B30">
      <w:pPr>
        <w:spacing w:after="120"/>
        <w:jc w:val="both"/>
        <w:rPr>
          <w:rFonts w:ascii="Arial" w:hAnsi="Arial" w:cs="Arial"/>
          <w:sz w:val="20"/>
          <w:szCs w:val="20"/>
        </w:rPr>
      </w:pPr>
      <w:r w:rsidRPr="002B1A85">
        <w:rPr>
          <w:rFonts w:ascii="Arial" w:hAnsi="Arial" w:cs="Arial"/>
          <w:b/>
          <w:iCs/>
          <w:sz w:val="20"/>
          <w:szCs w:val="20"/>
          <w:lang w:val="en-US"/>
        </w:rPr>
        <w:t>Section 2.6</w:t>
      </w:r>
      <w:r w:rsidRPr="0058536D">
        <w:rPr>
          <w:rFonts w:ascii="Arial" w:hAnsi="Arial" w:cs="Arial"/>
          <w:bCs/>
          <w:iCs/>
          <w:sz w:val="20"/>
          <w:szCs w:val="20"/>
          <w:lang w:val="en-US"/>
        </w:rPr>
        <w:t xml:space="preserve"> and the corresponding </w:t>
      </w:r>
      <w:r w:rsidRPr="002B1A85">
        <w:rPr>
          <w:rFonts w:ascii="Arial" w:hAnsi="Arial" w:cs="Arial"/>
          <w:b/>
          <w:iCs/>
          <w:sz w:val="20"/>
          <w:szCs w:val="20"/>
          <w:lang w:val="en-US"/>
        </w:rPr>
        <w:t>Annex</w:t>
      </w:r>
      <w:r w:rsidR="00AB0880">
        <w:rPr>
          <w:rFonts w:ascii="Arial" w:hAnsi="Arial" w:cs="Arial"/>
          <w:b/>
          <w:iCs/>
          <w:sz w:val="20"/>
          <w:szCs w:val="20"/>
          <w:lang w:val="en-US"/>
        </w:rPr>
        <w:t>es</w:t>
      </w:r>
      <w:r w:rsidRPr="002B1A85">
        <w:rPr>
          <w:rFonts w:ascii="Arial" w:hAnsi="Arial" w:cs="Arial"/>
          <w:b/>
          <w:iCs/>
          <w:sz w:val="20"/>
          <w:szCs w:val="20"/>
          <w:lang w:val="en-US"/>
        </w:rPr>
        <w:t xml:space="preserve"> 5</w:t>
      </w:r>
      <w:r w:rsidRPr="0058536D">
        <w:rPr>
          <w:rFonts w:ascii="Arial" w:hAnsi="Arial" w:cs="Arial"/>
          <w:bCs/>
          <w:iCs/>
          <w:sz w:val="20"/>
          <w:szCs w:val="20"/>
          <w:lang w:val="en-US"/>
        </w:rPr>
        <w:t xml:space="preserve"> </w:t>
      </w:r>
      <w:r w:rsidR="00AB0880" w:rsidRPr="00782BFD">
        <w:rPr>
          <w:rFonts w:ascii="Arial" w:hAnsi="Arial" w:cs="Arial"/>
          <w:b/>
          <w:iCs/>
          <w:sz w:val="20"/>
          <w:szCs w:val="20"/>
          <w:lang w:val="en-US"/>
        </w:rPr>
        <w:t>and 6</w:t>
      </w:r>
      <w:r w:rsidR="00AB0880">
        <w:rPr>
          <w:rFonts w:ascii="Arial" w:hAnsi="Arial" w:cs="Arial"/>
          <w:bCs/>
          <w:iCs/>
          <w:sz w:val="20"/>
          <w:szCs w:val="20"/>
          <w:lang w:val="en-US"/>
        </w:rPr>
        <w:t xml:space="preserve"> </w:t>
      </w:r>
      <w:r w:rsidRPr="0058536D">
        <w:rPr>
          <w:rFonts w:ascii="Arial" w:hAnsi="Arial" w:cs="Arial"/>
          <w:bCs/>
          <w:iCs/>
          <w:sz w:val="20"/>
          <w:szCs w:val="20"/>
          <w:lang w:val="en-US"/>
        </w:rPr>
        <w:t xml:space="preserve">contain </w:t>
      </w:r>
      <w:r w:rsidRPr="002B1A85">
        <w:rPr>
          <w:rFonts w:ascii="Arial" w:hAnsi="Arial" w:cs="Arial"/>
          <w:b/>
          <w:bCs/>
          <w:sz w:val="20"/>
          <w:szCs w:val="20"/>
        </w:rPr>
        <w:t>analyses of the ten biggest enterprises</w:t>
      </w:r>
      <w:r w:rsidRPr="0058536D">
        <w:rPr>
          <w:rFonts w:ascii="Arial" w:hAnsi="Arial" w:cs="Arial"/>
          <w:sz w:val="20"/>
          <w:szCs w:val="20"/>
        </w:rPr>
        <w:t xml:space="preserve"> (in terms of turnover and number of employees) in </w:t>
      </w:r>
      <w:r w:rsidRPr="002B1A85">
        <w:rPr>
          <w:rFonts w:ascii="Arial" w:hAnsi="Arial" w:cs="Arial"/>
          <w:b/>
          <w:bCs/>
          <w:sz w:val="20"/>
          <w:szCs w:val="20"/>
        </w:rPr>
        <w:t>each of the six affected counties</w:t>
      </w:r>
      <w:r w:rsidR="00E661C7">
        <w:rPr>
          <w:rFonts w:ascii="Arial" w:hAnsi="Arial" w:cs="Arial"/>
          <w:sz w:val="20"/>
          <w:szCs w:val="20"/>
        </w:rPr>
        <w:t>. The analysis</w:t>
      </w:r>
      <w:r w:rsidR="00AB0880">
        <w:rPr>
          <w:rFonts w:ascii="Arial" w:hAnsi="Arial" w:cs="Arial"/>
          <w:sz w:val="20"/>
          <w:szCs w:val="20"/>
        </w:rPr>
        <w:t xml:space="preserve"> includ</w:t>
      </w:r>
      <w:r w:rsidR="00E661C7">
        <w:rPr>
          <w:rFonts w:ascii="Arial" w:hAnsi="Arial" w:cs="Arial"/>
          <w:sz w:val="20"/>
          <w:szCs w:val="20"/>
        </w:rPr>
        <w:t>es</w:t>
      </w:r>
      <w:r w:rsidR="00AB0880">
        <w:rPr>
          <w:rFonts w:ascii="Arial" w:hAnsi="Arial" w:cs="Arial"/>
          <w:sz w:val="20"/>
          <w:szCs w:val="20"/>
        </w:rPr>
        <w:t xml:space="preserve"> the project ideas submitted to the county councils during the collection phase. </w:t>
      </w:r>
      <w:r w:rsidR="00AB0880">
        <w:rPr>
          <w:rFonts w:ascii="Arial" w:hAnsi="Arial" w:cs="Arial"/>
          <w:bCs/>
          <w:iCs/>
          <w:sz w:val="20"/>
          <w:szCs w:val="20"/>
        </w:rPr>
        <w:t>Out of the proposed 94 projects by large enterprises in the six affected regions, we deem 46 to be ineligible, 45 to be potentially eligible</w:t>
      </w:r>
      <w:r w:rsidR="00E661C7">
        <w:rPr>
          <w:rFonts w:ascii="Arial" w:hAnsi="Arial" w:cs="Arial"/>
          <w:bCs/>
          <w:iCs/>
          <w:sz w:val="20"/>
          <w:szCs w:val="20"/>
        </w:rPr>
        <w:t>. We</w:t>
      </w:r>
      <w:r w:rsidR="00AB0880">
        <w:rPr>
          <w:rFonts w:ascii="Arial" w:hAnsi="Arial" w:cs="Arial"/>
          <w:bCs/>
          <w:iCs/>
          <w:sz w:val="20"/>
          <w:szCs w:val="20"/>
        </w:rPr>
        <w:t xml:space="preserve"> could not estimate eligibility</w:t>
      </w:r>
      <w:r w:rsidR="00E661C7">
        <w:rPr>
          <w:rFonts w:ascii="Arial" w:hAnsi="Arial" w:cs="Arial"/>
          <w:bCs/>
          <w:iCs/>
          <w:sz w:val="20"/>
          <w:szCs w:val="20"/>
        </w:rPr>
        <w:t xml:space="preserve"> for the remaining 3 projects</w:t>
      </w:r>
      <w:r w:rsidR="00AB0880">
        <w:rPr>
          <w:rFonts w:ascii="Arial" w:hAnsi="Arial" w:cs="Arial"/>
          <w:bCs/>
          <w:iCs/>
          <w:sz w:val="20"/>
          <w:szCs w:val="20"/>
        </w:rPr>
        <w:t xml:space="preserve"> due to </w:t>
      </w:r>
      <w:r w:rsidR="00E661C7">
        <w:rPr>
          <w:rFonts w:ascii="Arial" w:hAnsi="Arial" w:cs="Arial"/>
          <w:bCs/>
          <w:iCs/>
          <w:sz w:val="20"/>
          <w:szCs w:val="20"/>
        </w:rPr>
        <w:t>a</w:t>
      </w:r>
      <w:r w:rsidR="00AB0880">
        <w:rPr>
          <w:rFonts w:ascii="Arial" w:hAnsi="Arial" w:cs="Arial"/>
          <w:bCs/>
          <w:iCs/>
          <w:sz w:val="20"/>
          <w:szCs w:val="20"/>
        </w:rPr>
        <w:t xml:space="preserve"> lack of clarity and detail over the project concept. </w:t>
      </w:r>
      <w:r w:rsidR="00AB0880">
        <w:rPr>
          <w:rFonts w:ascii="Arial" w:hAnsi="Arial" w:cs="Arial"/>
          <w:sz w:val="20"/>
          <w:szCs w:val="20"/>
        </w:rPr>
        <w:t xml:space="preserve">The projects advanced by large enterprises are clearly not ideal in terms of the jobs created to budget ratio, with </w:t>
      </w:r>
      <w:r w:rsidR="00E661C7">
        <w:rPr>
          <w:rFonts w:ascii="Arial" w:hAnsi="Arial" w:cs="Arial"/>
          <w:sz w:val="20"/>
          <w:szCs w:val="20"/>
        </w:rPr>
        <w:t xml:space="preserve">an </w:t>
      </w:r>
      <w:r w:rsidR="00AB0880">
        <w:rPr>
          <w:rFonts w:ascii="Arial" w:hAnsi="Arial" w:cs="Arial"/>
          <w:sz w:val="20"/>
          <w:szCs w:val="20"/>
        </w:rPr>
        <w:t xml:space="preserve">average of </w:t>
      </w:r>
      <w:r w:rsidR="00E661C7">
        <w:rPr>
          <w:rFonts w:ascii="Arial" w:hAnsi="Arial" w:cs="Arial"/>
          <w:sz w:val="20"/>
          <w:szCs w:val="20"/>
        </w:rPr>
        <w:t xml:space="preserve">EUR </w:t>
      </w:r>
      <w:r w:rsidR="00AB0880">
        <w:rPr>
          <w:rFonts w:ascii="Arial" w:hAnsi="Arial" w:cs="Arial"/>
          <w:sz w:val="20"/>
          <w:szCs w:val="20"/>
        </w:rPr>
        <w:t>100</w:t>
      </w:r>
      <w:r w:rsidR="00E661C7">
        <w:rPr>
          <w:rFonts w:ascii="Arial" w:hAnsi="Arial" w:cs="Arial"/>
          <w:sz w:val="20"/>
          <w:szCs w:val="20"/>
        </w:rPr>
        <w:t>k</w:t>
      </w:r>
      <w:r w:rsidR="00AB0880">
        <w:rPr>
          <w:rFonts w:ascii="Arial" w:hAnsi="Arial" w:cs="Arial"/>
          <w:sz w:val="20"/>
          <w:szCs w:val="20"/>
        </w:rPr>
        <w:t xml:space="preserve"> in funding required for one job created. As a result, our recommendation is that support for large enterprises consist primarily of financial instruments (Pillar 2).</w:t>
      </w:r>
    </w:p>
    <w:p w14:paraId="726AE034" w14:textId="4DBF7E9B" w:rsidR="00DA6B30" w:rsidRPr="0058536D" w:rsidRDefault="00DA6B30" w:rsidP="00DA6B30">
      <w:pPr>
        <w:spacing w:after="120"/>
        <w:jc w:val="both"/>
        <w:rPr>
          <w:rFonts w:ascii="Arial" w:hAnsi="Arial" w:cs="Arial"/>
          <w:sz w:val="20"/>
          <w:szCs w:val="20"/>
          <w:lang w:val="en-US"/>
        </w:rPr>
      </w:pPr>
      <w:r w:rsidRPr="000C2616">
        <w:rPr>
          <w:rFonts w:ascii="Arial" w:hAnsi="Arial" w:cs="Arial"/>
          <w:b/>
          <w:sz w:val="20"/>
          <w:szCs w:val="20"/>
          <w:lang w:val="en-US"/>
        </w:rPr>
        <w:t>Section 2.7</w:t>
      </w:r>
      <w:r w:rsidRPr="0058536D">
        <w:rPr>
          <w:rFonts w:ascii="Arial" w:hAnsi="Arial" w:cs="Arial"/>
          <w:sz w:val="20"/>
          <w:szCs w:val="20"/>
          <w:lang w:val="en-US"/>
        </w:rPr>
        <w:t xml:space="preserve"> analyzes the </w:t>
      </w:r>
      <w:r w:rsidRPr="000C2616">
        <w:rPr>
          <w:rFonts w:ascii="Arial" w:hAnsi="Arial" w:cs="Arial"/>
          <w:b/>
          <w:sz w:val="20"/>
          <w:szCs w:val="20"/>
          <w:lang w:val="en-US"/>
        </w:rPr>
        <w:t>challenges related to skills mismatch in the affected regions</w:t>
      </w:r>
      <w:r w:rsidRPr="0058536D">
        <w:rPr>
          <w:rFonts w:ascii="Arial" w:hAnsi="Arial" w:cs="Arial"/>
          <w:sz w:val="20"/>
          <w:szCs w:val="20"/>
          <w:lang w:val="en-US"/>
        </w:rPr>
        <w:t xml:space="preserve">. The modelling shows potential employment losses in the target regions due to the effects of the Green Deal scenario in most occupational groups by 2030. The losses are the most prominent for professionals (engineers, technicians with tertiary education, business administration professionals, etc.). Only the trade workers show gains (e.g., bricklayers; joiners and carpenters, plumbers, etc.). This is obviously problematic </w:t>
      </w:r>
      <w:r>
        <w:rPr>
          <w:rFonts w:ascii="Arial" w:hAnsi="Arial" w:cs="Arial"/>
          <w:sz w:val="20"/>
          <w:szCs w:val="20"/>
          <w:lang w:val="en-US"/>
        </w:rPr>
        <w:t>as</w:t>
      </w:r>
      <w:r w:rsidRPr="0058536D">
        <w:rPr>
          <w:rFonts w:ascii="Arial" w:hAnsi="Arial" w:cs="Arial"/>
          <w:sz w:val="20"/>
          <w:szCs w:val="20"/>
          <w:lang w:val="en-US"/>
        </w:rPr>
        <w:t xml:space="preserve"> the created jobs exhibit lower qualification requirements than the jobs lost, so a diversification of the regional economic activity must accompany reskilling programmes for professionals to be able to identify future job opportunities.  </w:t>
      </w:r>
    </w:p>
    <w:p w14:paraId="092828EC" w14:textId="4668D86D" w:rsidR="00DA6B30" w:rsidRPr="0058536D" w:rsidRDefault="00DA6B30" w:rsidP="00DA6B30">
      <w:pPr>
        <w:spacing w:after="120"/>
        <w:jc w:val="both"/>
        <w:rPr>
          <w:rFonts w:ascii="Arial" w:hAnsi="Arial" w:cs="Arial"/>
          <w:bCs/>
          <w:iCs/>
          <w:sz w:val="20"/>
          <w:szCs w:val="20"/>
          <w:lang w:val="en-US"/>
        </w:rPr>
      </w:pPr>
      <w:r w:rsidRPr="002B1A85">
        <w:rPr>
          <w:rFonts w:ascii="Arial" w:hAnsi="Arial" w:cs="Arial"/>
          <w:b/>
          <w:iCs/>
          <w:sz w:val="20"/>
          <w:szCs w:val="20"/>
          <w:lang w:val="en-US"/>
        </w:rPr>
        <w:t>Section 2.8</w:t>
      </w:r>
      <w:r w:rsidRPr="0058536D">
        <w:rPr>
          <w:rFonts w:ascii="Arial" w:hAnsi="Arial" w:cs="Arial"/>
          <w:bCs/>
          <w:iCs/>
          <w:sz w:val="20"/>
          <w:szCs w:val="20"/>
          <w:lang w:val="en-US"/>
        </w:rPr>
        <w:t xml:space="preserve"> model</w:t>
      </w:r>
      <w:r>
        <w:rPr>
          <w:rFonts w:ascii="Arial" w:hAnsi="Arial" w:cs="Arial"/>
          <w:bCs/>
          <w:iCs/>
          <w:sz w:val="20"/>
          <w:szCs w:val="20"/>
          <w:lang w:val="en-US"/>
        </w:rPr>
        <w:t>s</w:t>
      </w:r>
      <w:r w:rsidRPr="0058536D">
        <w:rPr>
          <w:rFonts w:ascii="Arial" w:hAnsi="Arial" w:cs="Arial"/>
          <w:bCs/>
          <w:iCs/>
          <w:sz w:val="20"/>
          <w:szCs w:val="20"/>
          <w:lang w:val="en-US"/>
        </w:rPr>
        <w:t xml:space="preserve"> </w:t>
      </w:r>
      <w:r w:rsidRPr="002B1A85">
        <w:rPr>
          <w:rFonts w:ascii="Arial" w:hAnsi="Arial" w:cs="Arial"/>
          <w:b/>
          <w:iCs/>
          <w:sz w:val="20"/>
          <w:szCs w:val="20"/>
          <w:lang w:val="en-US"/>
        </w:rPr>
        <w:t>knock-on effects of different expenditure scenarios</w:t>
      </w:r>
      <w:r w:rsidRPr="0058536D">
        <w:rPr>
          <w:rFonts w:ascii="Arial" w:hAnsi="Arial" w:cs="Arial"/>
          <w:bCs/>
          <w:iCs/>
          <w:sz w:val="20"/>
          <w:szCs w:val="20"/>
          <w:lang w:val="en-US"/>
        </w:rPr>
        <w:t xml:space="preserve">. </w:t>
      </w:r>
      <w:r w:rsidRPr="0058536D">
        <w:rPr>
          <w:rFonts w:ascii="Arial" w:hAnsi="Arial" w:cs="Arial"/>
          <w:sz w:val="20"/>
          <w:szCs w:val="20"/>
        </w:rPr>
        <w:t xml:space="preserve">The illustrative cases are comparable hypothetical scenarios used to estimate regional impacts and resulting multipliers of different policy actions. Three action types were selected as most common / relevant from the potential JTF activities: </w:t>
      </w:r>
      <w:r w:rsidRPr="002B1A85">
        <w:rPr>
          <w:rFonts w:ascii="Arial" w:hAnsi="Arial" w:cs="Arial"/>
          <w:b/>
          <w:bCs/>
          <w:sz w:val="20"/>
          <w:szCs w:val="20"/>
        </w:rPr>
        <w:t>support for SMEs, R&amp;D investments and promoting circular economy</w:t>
      </w:r>
      <w:r w:rsidRPr="0058536D">
        <w:rPr>
          <w:rFonts w:ascii="Arial" w:hAnsi="Arial" w:cs="Arial"/>
          <w:sz w:val="20"/>
          <w:szCs w:val="20"/>
        </w:rPr>
        <w:t xml:space="preserve">. In case of GVA multipliers, the action yielding the highest positive results is R&amp;D grants to businesses in all counties. Effects in Gorj and Dolj are stronger than in other counties. Contrary to the GVA results, the long-term employment generation potential in certain counties </w:t>
      </w:r>
      <w:r>
        <w:rPr>
          <w:rFonts w:ascii="Arial" w:hAnsi="Arial" w:cs="Arial"/>
          <w:sz w:val="20"/>
          <w:szCs w:val="20"/>
        </w:rPr>
        <w:t xml:space="preserve">is </w:t>
      </w:r>
      <w:r w:rsidRPr="0058536D">
        <w:rPr>
          <w:rFonts w:ascii="Arial" w:hAnsi="Arial" w:cs="Arial"/>
          <w:sz w:val="20"/>
          <w:szCs w:val="20"/>
        </w:rPr>
        <w:t>large in the case of SME investments, where the cost of creating a full-time equivalent (year) job is in certain cases below 5</w:t>
      </w:r>
      <w:r>
        <w:rPr>
          <w:rFonts w:ascii="Arial" w:hAnsi="Arial" w:cs="Arial"/>
          <w:sz w:val="20"/>
          <w:szCs w:val="20"/>
        </w:rPr>
        <w:t>,000</w:t>
      </w:r>
      <w:r w:rsidRPr="0058536D">
        <w:rPr>
          <w:rFonts w:ascii="Arial" w:hAnsi="Arial" w:cs="Arial"/>
          <w:sz w:val="20"/>
          <w:szCs w:val="20"/>
        </w:rPr>
        <w:t xml:space="preserve"> EUR (in Galați). Nevertheless, R&amp;D investment is also expected to yield the highest employment benefits out of the illustrative actions in Prahova, Dolj and Gorj counties. </w:t>
      </w:r>
    </w:p>
    <w:p w14:paraId="64B6AD4A" w14:textId="77777777" w:rsidR="00DA6B30" w:rsidRPr="002B1A85" w:rsidRDefault="00DA6B30" w:rsidP="00DA6B30">
      <w:pPr>
        <w:spacing w:after="120"/>
        <w:jc w:val="both"/>
        <w:rPr>
          <w:rFonts w:ascii="Arial" w:hAnsi="Arial" w:cs="Arial"/>
          <w:b/>
          <w:bCs/>
          <w:sz w:val="20"/>
          <w:szCs w:val="20"/>
        </w:rPr>
      </w:pPr>
      <w:r w:rsidRPr="005E1715">
        <w:rPr>
          <w:rFonts w:ascii="Arial" w:hAnsi="Arial" w:cs="Arial"/>
          <w:b/>
          <w:bCs/>
          <w:sz w:val="20"/>
          <w:szCs w:val="20"/>
          <w:u w:val="single"/>
        </w:rPr>
        <w:t>Chapters 3 to 8</w:t>
      </w:r>
      <w:r w:rsidRPr="0058536D">
        <w:rPr>
          <w:rFonts w:ascii="Arial" w:hAnsi="Arial" w:cs="Arial"/>
          <w:sz w:val="20"/>
          <w:szCs w:val="20"/>
        </w:rPr>
        <w:t xml:space="preserve"> can be read as </w:t>
      </w:r>
      <w:r w:rsidRPr="002B1A85">
        <w:rPr>
          <w:rFonts w:ascii="Arial" w:hAnsi="Arial" w:cs="Arial"/>
          <w:b/>
          <w:bCs/>
          <w:sz w:val="20"/>
          <w:szCs w:val="20"/>
        </w:rPr>
        <w:t>standalone documents</w:t>
      </w:r>
      <w:r w:rsidRPr="0058536D">
        <w:rPr>
          <w:rFonts w:ascii="Arial" w:hAnsi="Arial" w:cs="Arial"/>
          <w:sz w:val="20"/>
          <w:szCs w:val="20"/>
        </w:rPr>
        <w:t xml:space="preserve">, as they present </w:t>
      </w:r>
      <w:r w:rsidRPr="002B1A85">
        <w:rPr>
          <w:rFonts w:ascii="Arial" w:hAnsi="Arial" w:cs="Arial"/>
          <w:b/>
          <w:bCs/>
          <w:sz w:val="20"/>
          <w:szCs w:val="20"/>
        </w:rPr>
        <w:t>county by county</w:t>
      </w:r>
      <w:r w:rsidRPr="0058536D">
        <w:rPr>
          <w:rFonts w:ascii="Arial" w:hAnsi="Arial" w:cs="Arial"/>
          <w:sz w:val="20"/>
          <w:szCs w:val="20"/>
        </w:rPr>
        <w:t xml:space="preserve"> the </w:t>
      </w:r>
      <w:r w:rsidRPr="002B1A85">
        <w:rPr>
          <w:rFonts w:ascii="Arial" w:hAnsi="Arial" w:cs="Arial"/>
          <w:b/>
          <w:bCs/>
          <w:sz w:val="20"/>
          <w:szCs w:val="20"/>
          <w:u w:val="single"/>
        </w:rPr>
        <w:t>logic of the intervention</w:t>
      </w:r>
      <w:r w:rsidRPr="0058536D">
        <w:rPr>
          <w:rFonts w:ascii="Arial" w:hAnsi="Arial" w:cs="Arial"/>
          <w:sz w:val="20"/>
          <w:szCs w:val="20"/>
        </w:rPr>
        <w:t xml:space="preserve"> as an overarching high-level picture and then go into the details concerning the </w:t>
      </w:r>
      <w:r w:rsidRPr="002B1A85">
        <w:rPr>
          <w:rFonts w:ascii="Arial" w:hAnsi="Arial" w:cs="Arial"/>
          <w:b/>
          <w:bCs/>
          <w:sz w:val="20"/>
          <w:szCs w:val="20"/>
        </w:rPr>
        <w:t xml:space="preserve">context, challenges, opportunities, SWOT analysis, and recommended investment needs. </w:t>
      </w:r>
    </w:p>
    <w:p w14:paraId="4F22DBA1" w14:textId="0515E631"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3</w:t>
      </w:r>
      <w:r w:rsidRPr="0058536D">
        <w:rPr>
          <w:rFonts w:ascii="Arial" w:hAnsi="Arial" w:cs="Arial"/>
          <w:sz w:val="20"/>
          <w:szCs w:val="20"/>
        </w:rPr>
        <w:t xml:space="preserve"> comprises </w:t>
      </w:r>
      <w:r w:rsidRPr="002B1A85">
        <w:rPr>
          <w:rFonts w:ascii="Arial" w:hAnsi="Arial" w:cs="Arial"/>
          <w:b/>
          <w:bCs/>
          <w:sz w:val="20"/>
          <w:szCs w:val="20"/>
        </w:rPr>
        <w:t>Hunedoara</w:t>
      </w:r>
      <w:r w:rsidRPr="0058536D">
        <w:rPr>
          <w:rFonts w:ascii="Arial" w:hAnsi="Arial" w:cs="Arial"/>
          <w:sz w:val="20"/>
          <w:szCs w:val="20"/>
        </w:rPr>
        <w:t xml:space="preserve">, for which we conclude that the </w:t>
      </w:r>
      <w:r w:rsidRPr="0058536D">
        <w:rPr>
          <w:rFonts w:ascii="Arial" w:hAnsi="Arial" w:cs="Arial"/>
          <w:sz w:val="20"/>
          <w:szCs w:val="20"/>
          <w:u w:val="single"/>
        </w:rPr>
        <w:t>following JTF actions are recommended</w:t>
      </w:r>
      <w:r w:rsidRPr="0058536D">
        <w:rPr>
          <w:rFonts w:ascii="Arial" w:hAnsi="Arial" w:cs="Arial"/>
          <w:sz w:val="20"/>
          <w:szCs w:val="20"/>
        </w:rPr>
        <w:t xml:space="preserve">:  Repurpose contaminated / degraded sites in industrial parks/ solar PV parks, which are supporting productive investments of local businesses in these facilities; Set up transition centres (reskilling + job placement) for the 2,000 staff to be laid off from Hunedoara Energy Complex towards green tech, energy efficiency, mid- to high-tech manufacturing; Offer mixed instruments (grants + loans) for SMEs and large enterprises active in manufacturing (especially electrical </w:t>
      </w:r>
      <w:r w:rsidR="00FF617B">
        <w:rPr>
          <w:rFonts w:ascii="Arial" w:hAnsi="Arial" w:cs="Arial"/>
          <w:sz w:val="20"/>
          <w:szCs w:val="20"/>
        </w:rPr>
        <w:t xml:space="preserve">equipment </w:t>
      </w:r>
      <w:r w:rsidRPr="0058536D">
        <w:rPr>
          <w:rFonts w:ascii="Arial" w:hAnsi="Arial" w:cs="Arial"/>
          <w:sz w:val="20"/>
          <w:szCs w:val="20"/>
        </w:rPr>
        <w:t>manufacturing), food processing, wood processing; Offer scaling support for existing SMEs; Support R&amp;D and technological transfer through integrated projects with the local academic environment; Cost-benefit dependent, support investments in local sustainable touris</w:t>
      </w:r>
      <w:r>
        <w:rPr>
          <w:rFonts w:ascii="Arial" w:hAnsi="Arial" w:cs="Arial"/>
          <w:sz w:val="20"/>
          <w:szCs w:val="20"/>
        </w:rPr>
        <w:t>m;</w:t>
      </w:r>
      <w:r w:rsidRPr="0058536D">
        <w:rPr>
          <w:rFonts w:ascii="Arial" w:hAnsi="Arial" w:cs="Arial"/>
          <w:sz w:val="20"/>
          <w:szCs w:val="20"/>
        </w:rPr>
        <w:t xml:space="preserve"> Public investments in local energy efficiency works in buildings, to alleviate energy poverty and employ reskilled workers.</w:t>
      </w:r>
    </w:p>
    <w:p w14:paraId="075090F9" w14:textId="7EAB4220" w:rsidR="00DA6B30" w:rsidRPr="0058536D" w:rsidRDefault="00DA6B30" w:rsidP="00DA6B30">
      <w:pPr>
        <w:spacing w:after="120"/>
        <w:jc w:val="both"/>
        <w:rPr>
          <w:rFonts w:ascii="Arial" w:eastAsiaTheme="minorHAnsi" w:hAnsi="Arial" w:cs="Arial"/>
          <w:sz w:val="20"/>
          <w:szCs w:val="20"/>
          <w:lang w:val="en-US"/>
        </w:rPr>
      </w:pPr>
      <w:r w:rsidRPr="005E1715">
        <w:rPr>
          <w:rFonts w:ascii="Arial" w:hAnsi="Arial" w:cs="Arial"/>
          <w:b/>
          <w:bCs/>
          <w:sz w:val="20"/>
          <w:szCs w:val="20"/>
          <w:u w:val="single"/>
        </w:rPr>
        <w:t xml:space="preserve">Chapter </w:t>
      </w:r>
      <w:r>
        <w:rPr>
          <w:rFonts w:ascii="Arial" w:hAnsi="Arial" w:cs="Arial"/>
          <w:b/>
          <w:bCs/>
          <w:sz w:val="20"/>
          <w:szCs w:val="20"/>
          <w:u w:val="single"/>
        </w:rPr>
        <w:t>4</w:t>
      </w:r>
      <w:r w:rsidRPr="0058536D">
        <w:rPr>
          <w:rFonts w:ascii="Arial" w:hAnsi="Arial" w:cs="Arial"/>
          <w:sz w:val="20"/>
          <w:szCs w:val="20"/>
        </w:rPr>
        <w:t xml:space="preserve"> lo</w:t>
      </w:r>
      <w:r>
        <w:rPr>
          <w:rFonts w:ascii="Arial" w:hAnsi="Arial" w:cs="Arial"/>
          <w:sz w:val="20"/>
          <w:szCs w:val="20"/>
        </w:rPr>
        <w:t>o</w:t>
      </w:r>
      <w:r w:rsidRPr="0058536D">
        <w:rPr>
          <w:rFonts w:ascii="Arial" w:hAnsi="Arial" w:cs="Arial"/>
          <w:sz w:val="20"/>
          <w:szCs w:val="20"/>
        </w:rPr>
        <w:t xml:space="preserve">ks at </w:t>
      </w:r>
      <w:r w:rsidRPr="002B1A85">
        <w:rPr>
          <w:rFonts w:ascii="Arial" w:hAnsi="Arial" w:cs="Arial"/>
          <w:b/>
          <w:bCs/>
          <w:sz w:val="20"/>
          <w:szCs w:val="20"/>
        </w:rPr>
        <w:t>Dolj</w:t>
      </w:r>
      <w:r w:rsidRPr="0058536D">
        <w:rPr>
          <w:rFonts w:ascii="Arial" w:hAnsi="Arial" w:cs="Arial"/>
          <w:sz w:val="20"/>
          <w:szCs w:val="20"/>
        </w:rPr>
        <w:t xml:space="preserve">, for which we conclude that </w:t>
      </w:r>
      <w:r w:rsidRPr="0058536D">
        <w:rPr>
          <w:rFonts w:ascii="Arial" w:hAnsi="Arial" w:cs="Arial"/>
          <w:sz w:val="20"/>
          <w:szCs w:val="20"/>
          <w:u w:val="single"/>
        </w:rPr>
        <w:t>the following JTF actions are recommended</w:t>
      </w:r>
      <w:r w:rsidRPr="0058536D">
        <w:rPr>
          <w:rFonts w:ascii="Arial" w:hAnsi="Arial" w:cs="Arial"/>
          <w:sz w:val="20"/>
          <w:szCs w:val="20"/>
        </w:rPr>
        <w:t xml:space="preserve">: </w:t>
      </w:r>
      <w:r w:rsidRPr="0058536D">
        <w:rPr>
          <w:rFonts w:ascii="Arial" w:eastAsiaTheme="minorHAnsi" w:hAnsi="Arial" w:cs="Arial"/>
          <w:sz w:val="20"/>
          <w:szCs w:val="20"/>
          <w:lang w:val="en-US"/>
        </w:rPr>
        <w:t>To set up a multi-stakeholder local Job Observatory and to reform the local active labour inclusion services; To digitalise public services in order to serve the needs of businesses and prospective employers; To support new start-ups in green tech, circular economy, high-tech manufacturing, food processing, sustainable tourism, etc.; To support the scale-up of existing SMEs through a mix of grants and financial instruments; To support the local energy transition by subsidising investments in</w:t>
      </w:r>
      <w:r>
        <w:rPr>
          <w:rFonts w:ascii="Arial" w:eastAsiaTheme="minorHAnsi" w:hAnsi="Arial" w:cs="Arial"/>
          <w:sz w:val="20"/>
          <w:szCs w:val="20"/>
          <w:lang w:val="en-US"/>
        </w:rPr>
        <w:t>to</w:t>
      </w:r>
      <w:r w:rsidRPr="0058536D">
        <w:rPr>
          <w:rFonts w:ascii="Arial" w:eastAsiaTheme="minorHAnsi" w:hAnsi="Arial" w:cs="Arial"/>
          <w:sz w:val="20"/>
          <w:szCs w:val="20"/>
          <w:lang w:val="en-US"/>
        </w:rPr>
        <w:t xml:space="preserve"> large scale </w:t>
      </w:r>
      <w:r w:rsidR="003E4F7B">
        <w:rPr>
          <w:rFonts w:ascii="Arial" w:eastAsiaTheme="minorHAnsi" w:hAnsi="Arial" w:cs="Arial"/>
          <w:sz w:val="20"/>
          <w:szCs w:val="20"/>
          <w:lang w:val="en-US"/>
        </w:rPr>
        <w:t>Renewable Energy Sources (</w:t>
      </w:r>
      <w:r w:rsidRPr="0058536D">
        <w:rPr>
          <w:rFonts w:ascii="Arial" w:eastAsiaTheme="minorHAnsi" w:hAnsi="Arial" w:cs="Arial"/>
          <w:sz w:val="20"/>
          <w:szCs w:val="20"/>
          <w:lang w:val="en-US"/>
        </w:rPr>
        <w:t>RES</w:t>
      </w:r>
      <w:r w:rsidR="003E4F7B">
        <w:rPr>
          <w:rFonts w:ascii="Arial" w:eastAsiaTheme="minorHAnsi" w:hAnsi="Arial" w:cs="Arial"/>
          <w:sz w:val="20"/>
          <w:szCs w:val="20"/>
          <w:lang w:val="en-US"/>
        </w:rPr>
        <w:t>)</w:t>
      </w:r>
      <w:r w:rsidRPr="0058536D">
        <w:rPr>
          <w:rFonts w:ascii="Arial" w:eastAsiaTheme="minorHAnsi" w:hAnsi="Arial" w:cs="Arial"/>
          <w:sz w:val="20"/>
          <w:szCs w:val="20"/>
          <w:lang w:val="en-US"/>
        </w:rPr>
        <w:t xml:space="preserve"> generation; </w:t>
      </w:r>
      <w:r w:rsidRPr="0058536D">
        <w:rPr>
          <w:rFonts w:ascii="Arial" w:eastAsiaTheme="minorHAnsi" w:hAnsi="Arial" w:cs="Arial"/>
          <w:sz w:val="20"/>
          <w:szCs w:val="20"/>
          <w:lang w:val="en-US" w:eastAsia="en-US"/>
        </w:rPr>
        <w:t>To set up innovation hubs for technology transfer in partnership with the local academic environment</w:t>
      </w:r>
      <w:r>
        <w:rPr>
          <w:rFonts w:ascii="Arial" w:eastAsiaTheme="minorHAnsi" w:hAnsi="Arial" w:cs="Arial"/>
          <w:sz w:val="20"/>
          <w:szCs w:val="20"/>
          <w:lang w:val="en-US" w:eastAsia="en-US"/>
        </w:rPr>
        <w:t>.</w:t>
      </w:r>
    </w:p>
    <w:p w14:paraId="38D65FFF" w14:textId="77777777"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lastRenderedPageBreak/>
        <w:t xml:space="preserve">Chapter </w:t>
      </w:r>
      <w:r>
        <w:rPr>
          <w:rFonts w:ascii="Arial" w:hAnsi="Arial" w:cs="Arial"/>
          <w:b/>
          <w:bCs/>
          <w:sz w:val="20"/>
          <w:szCs w:val="20"/>
          <w:u w:val="single"/>
        </w:rPr>
        <w:t>5</w:t>
      </w:r>
      <w:r w:rsidRPr="0058536D">
        <w:rPr>
          <w:rFonts w:ascii="Arial" w:hAnsi="Arial" w:cs="Arial"/>
          <w:sz w:val="20"/>
          <w:szCs w:val="20"/>
        </w:rPr>
        <w:t xml:space="preserve"> looks at </w:t>
      </w:r>
      <w:r w:rsidRPr="002B1A85">
        <w:rPr>
          <w:rFonts w:ascii="Arial" w:hAnsi="Arial" w:cs="Arial"/>
          <w:b/>
          <w:bCs/>
          <w:sz w:val="20"/>
          <w:szCs w:val="20"/>
        </w:rPr>
        <w:t>Gorj</w:t>
      </w:r>
      <w:r w:rsidRPr="0058536D">
        <w:rPr>
          <w:rFonts w:ascii="Arial" w:hAnsi="Arial" w:cs="Arial"/>
          <w:sz w:val="20"/>
          <w:szCs w:val="20"/>
        </w:rPr>
        <w:t xml:space="preserve">, for which we conclude that the </w:t>
      </w:r>
      <w:r w:rsidRPr="0058536D">
        <w:rPr>
          <w:rFonts w:ascii="Arial" w:hAnsi="Arial" w:cs="Arial"/>
          <w:sz w:val="20"/>
          <w:szCs w:val="20"/>
          <w:u w:val="single"/>
        </w:rPr>
        <w:t>following JTF actions are recommended:</w:t>
      </w:r>
      <w:r w:rsidRPr="0058536D">
        <w:rPr>
          <w:rFonts w:ascii="Arial" w:hAnsi="Arial" w:cs="Arial"/>
          <w:sz w:val="20"/>
          <w:szCs w:val="20"/>
        </w:rPr>
        <w:t xml:space="preserve"> To offer mixed instruments (grants + loans) for SMEs and large enterprises, alongside business incubation services; To support the deployment of large scale and decentralised solar PV; To subsidise the functional reconversion of degraded land from former mining perimeter</w:t>
      </w:r>
      <w:r>
        <w:rPr>
          <w:rFonts w:ascii="Arial" w:hAnsi="Arial" w:cs="Arial"/>
          <w:sz w:val="20"/>
          <w:szCs w:val="20"/>
        </w:rPr>
        <w:t>s</w:t>
      </w:r>
      <w:r w:rsidRPr="0058536D">
        <w:rPr>
          <w:rFonts w:ascii="Arial" w:hAnsi="Arial" w:cs="Arial"/>
          <w:sz w:val="20"/>
          <w:szCs w:val="20"/>
        </w:rPr>
        <w:t xml:space="preserve">; To link reskilling programmes (towards high-tech manufacturing, IT&amp;C, construction and building renovation, green energy production, etc.) to productive investments in businesses active in these fields. </w:t>
      </w:r>
    </w:p>
    <w:p w14:paraId="132D94AD" w14:textId="77777777"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6</w:t>
      </w:r>
      <w:r w:rsidRPr="0058536D">
        <w:rPr>
          <w:rFonts w:ascii="Arial" w:hAnsi="Arial" w:cs="Arial"/>
          <w:sz w:val="20"/>
          <w:szCs w:val="20"/>
        </w:rPr>
        <w:t xml:space="preserve"> comprises </w:t>
      </w:r>
      <w:r>
        <w:rPr>
          <w:rFonts w:ascii="Arial" w:hAnsi="Arial" w:cs="Arial"/>
          <w:sz w:val="20"/>
          <w:szCs w:val="20"/>
        </w:rPr>
        <w:t xml:space="preserve">of </w:t>
      </w:r>
      <w:r w:rsidRPr="0058536D">
        <w:rPr>
          <w:rFonts w:ascii="Arial" w:hAnsi="Arial" w:cs="Arial"/>
          <w:sz w:val="20"/>
          <w:szCs w:val="20"/>
        </w:rPr>
        <w:t xml:space="preserve">an analysis of </w:t>
      </w:r>
      <w:r w:rsidRPr="002B1A85">
        <w:rPr>
          <w:rFonts w:ascii="Arial" w:hAnsi="Arial" w:cs="Arial"/>
          <w:b/>
          <w:bCs/>
          <w:sz w:val="20"/>
          <w:szCs w:val="20"/>
        </w:rPr>
        <w:t>Prahova</w:t>
      </w:r>
      <w:r w:rsidRPr="0058536D">
        <w:rPr>
          <w:rFonts w:ascii="Arial" w:hAnsi="Arial" w:cs="Arial"/>
          <w:sz w:val="20"/>
          <w:szCs w:val="20"/>
        </w:rPr>
        <w:t xml:space="preserve">, for which we conclude that </w:t>
      </w:r>
      <w:r w:rsidRPr="0058536D">
        <w:rPr>
          <w:rFonts w:ascii="Arial" w:hAnsi="Arial" w:cs="Arial"/>
          <w:sz w:val="20"/>
          <w:szCs w:val="20"/>
          <w:u w:val="single"/>
        </w:rPr>
        <w:t>the following JTF actions are recommended</w:t>
      </w:r>
      <w:r w:rsidRPr="0058536D">
        <w:rPr>
          <w:rFonts w:ascii="Arial" w:hAnsi="Arial" w:cs="Arial"/>
          <w:sz w:val="20"/>
          <w:szCs w:val="20"/>
        </w:rPr>
        <w:t xml:space="preserve">: </w:t>
      </w:r>
      <w:r w:rsidRPr="0058536D">
        <w:rPr>
          <w:rFonts w:ascii="Arial" w:eastAsiaTheme="minorHAnsi" w:hAnsi="Arial" w:cs="Arial"/>
          <w:sz w:val="20"/>
          <w:szCs w:val="20"/>
          <w:lang w:val="en-US"/>
        </w:rPr>
        <w:t>To implement financial instruments and acceleration programmes for existing local SMEs (digitalisation, internationalisation, etc.</w:t>
      </w:r>
      <w:r>
        <w:rPr>
          <w:rFonts w:ascii="Arial" w:eastAsiaTheme="minorHAnsi" w:hAnsi="Arial" w:cs="Arial"/>
          <w:sz w:val="20"/>
          <w:szCs w:val="20"/>
          <w:lang w:val="en-US"/>
        </w:rPr>
        <w:t>)</w:t>
      </w:r>
      <w:r w:rsidRPr="0058536D">
        <w:rPr>
          <w:rFonts w:ascii="Arial" w:eastAsiaTheme="minorHAnsi" w:hAnsi="Arial" w:cs="Arial"/>
          <w:sz w:val="20"/>
          <w:szCs w:val="20"/>
          <w:lang w:val="en-US"/>
        </w:rPr>
        <w:t>; To support the adoption of new areas of qualification and competitiveness of local higher education</w:t>
      </w:r>
      <w:r>
        <w:rPr>
          <w:rFonts w:ascii="Arial" w:eastAsiaTheme="minorHAnsi" w:hAnsi="Arial" w:cs="Arial"/>
          <w:sz w:val="20"/>
          <w:szCs w:val="20"/>
          <w:lang w:val="en-US"/>
        </w:rPr>
        <w:t xml:space="preserve"> institutions</w:t>
      </w:r>
      <w:r w:rsidRPr="0058536D">
        <w:rPr>
          <w:rFonts w:ascii="Arial" w:eastAsiaTheme="minorHAnsi" w:hAnsi="Arial" w:cs="Arial"/>
          <w:sz w:val="20"/>
          <w:szCs w:val="20"/>
          <w:lang w:val="en-US"/>
        </w:rPr>
        <w:t>; To create business support infrastructure for knowledge intensive service; To invest in urban regeneration projects on degraded/ contaminated land; To support technological transfer of large enterprises for fundamental changes in the production process (e.g., residual oil processing, etc.</w:t>
      </w:r>
      <w:r>
        <w:rPr>
          <w:rFonts w:ascii="Arial" w:eastAsiaTheme="minorHAnsi" w:hAnsi="Arial" w:cs="Arial"/>
          <w:sz w:val="20"/>
          <w:szCs w:val="20"/>
          <w:lang w:val="en-US"/>
        </w:rPr>
        <w:t>)</w:t>
      </w:r>
      <w:r w:rsidRPr="0058536D">
        <w:rPr>
          <w:rFonts w:ascii="Arial" w:eastAsiaTheme="minorHAnsi" w:hAnsi="Arial" w:cs="Arial"/>
          <w:sz w:val="20"/>
          <w:szCs w:val="20"/>
          <w:lang w:val="en-US"/>
        </w:rPr>
        <w:t>; To develop sustainable urban mobility solution</w:t>
      </w:r>
      <w:r>
        <w:rPr>
          <w:rFonts w:ascii="Arial" w:eastAsiaTheme="minorHAnsi" w:hAnsi="Arial" w:cs="Arial"/>
          <w:sz w:val="20"/>
          <w:szCs w:val="20"/>
          <w:lang w:val="en-US"/>
        </w:rPr>
        <w:t>s</w:t>
      </w:r>
      <w:r w:rsidRPr="0058536D">
        <w:rPr>
          <w:rFonts w:ascii="Arial" w:eastAsiaTheme="minorHAnsi" w:hAnsi="Arial" w:cs="Arial"/>
          <w:sz w:val="20"/>
          <w:szCs w:val="20"/>
          <w:lang w:val="en-US"/>
        </w:rPr>
        <w:t>; To publicly co-fund the development of new dual school programmes; To innovate in labour market inclusion for the disadvantaged, for instance by connecting labour market activation measures to public investments in infrastructure works (energy efficiency in building, construction</w:t>
      </w:r>
      <w:r>
        <w:rPr>
          <w:rFonts w:ascii="Arial" w:eastAsiaTheme="minorHAnsi" w:hAnsi="Arial" w:cs="Arial"/>
          <w:sz w:val="20"/>
          <w:szCs w:val="20"/>
          <w:lang w:val="en-US"/>
        </w:rPr>
        <w:t>,</w:t>
      </w:r>
      <w:r w:rsidRPr="0058536D">
        <w:rPr>
          <w:rFonts w:ascii="Arial" w:eastAsiaTheme="minorHAnsi" w:hAnsi="Arial" w:cs="Arial"/>
          <w:sz w:val="20"/>
          <w:szCs w:val="20"/>
          <w:lang w:val="en-US"/>
        </w:rPr>
        <w:t xml:space="preserve"> etc.)</w:t>
      </w:r>
    </w:p>
    <w:p w14:paraId="56AD7EEC" w14:textId="5FB7CF83"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7</w:t>
      </w:r>
      <w:r w:rsidRPr="0058536D">
        <w:rPr>
          <w:rFonts w:ascii="Arial" w:hAnsi="Arial" w:cs="Arial"/>
          <w:sz w:val="20"/>
          <w:szCs w:val="20"/>
        </w:rPr>
        <w:t xml:space="preserve"> looks at </w:t>
      </w:r>
      <w:r w:rsidRPr="002B1A85">
        <w:rPr>
          <w:rFonts w:ascii="Arial" w:hAnsi="Arial" w:cs="Arial"/>
          <w:b/>
          <w:bCs/>
          <w:sz w:val="20"/>
          <w:szCs w:val="20"/>
        </w:rPr>
        <w:t>Mureș</w:t>
      </w:r>
      <w:r w:rsidRPr="0058536D">
        <w:rPr>
          <w:rFonts w:ascii="Arial" w:hAnsi="Arial" w:cs="Arial"/>
          <w:sz w:val="20"/>
          <w:szCs w:val="20"/>
        </w:rPr>
        <w:t xml:space="preserve"> for which we conclude that the </w:t>
      </w:r>
      <w:r w:rsidRPr="0058536D">
        <w:rPr>
          <w:rFonts w:ascii="Arial" w:hAnsi="Arial" w:cs="Arial"/>
          <w:sz w:val="20"/>
          <w:szCs w:val="20"/>
          <w:u w:val="single"/>
        </w:rPr>
        <w:t>following JTF actions are recommended</w:t>
      </w:r>
      <w:r w:rsidRPr="0058536D">
        <w:rPr>
          <w:rFonts w:ascii="Arial" w:hAnsi="Arial" w:cs="Arial"/>
          <w:sz w:val="20"/>
          <w:szCs w:val="20"/>
        </w:rPr>
        <w:t xml:space="preserve">; </w:t>
      </w:r>
      <w:r w:rsidRPr="0058536D">
        <w:rPr>
          <w:rFonts w:ascii="Arial" w:eastAsiaTheme="minorHAnsi" w:hAnsi="Arial" w:cs="Arial"/>
          <w:sz w:val="20"/>
          <w:szCs w:val="20"/>
          <w:lang w:val="en-US"/>
        </w:rPr>
        <w:t>To mobilise a mix of grants</w:t>
      </w:r>
      <w:r w:rsidR="00FF617B">
        <w:rPr>
          <w:rFonts w:ascii="Arial" w:eastAsiaTheme="minorHAnsi" w:hAnsi="Arial" w:cs="Arial"/>
          <w:sz w:val="20"/>
          <w:szCs w:val="20"/>
          <w:lang w:val="en-US"/>
        </w:rPr>
        <w:t>, loans or equity</w:t>
      </w:r>
      <w:r w:rsidRPr="0058536D">
        <w:rPr>
          <w:rFonts w:ascii="Arial" w:eastAsiaTheme="minorHAnsi" w:hAnsi="Arial" w:cs="Arial"/>
          <w:sz w:val="20"/>
          <w:szCs w:val="20"/>
          <w:lang w:val="en-US"/>
        </w:rPr>
        <w:t xml:space="preserve"> towards decarbonisation and technological transfer for large enterprises</w:t>
      </w:r>
      <w:r w:rsidRPr="0058536D">
        <w:rPr>
          <w:rFonts w:ascii="Arial" w:hAnsi="Arial" w:cs="Arial"/>
          <w:sz w:val="20"/>
          <w:szCs w:val="20"/>
        </w:rPr>
        <w:t xml:space="preserve">; </w:t>
      </w:r>
      <w:r w:rsidRPr="0058536D">
        <w:rPr>
          <w:rFonts w:ascii="Arial" w:eastAsiaTheme="minorHAnsi" w:hAnsi="Arial" w:cs="Arial"/>
          <w:sz w:val="20"/>
          <w:szCs w:val="20"/>
          <w:lang w:val="en-US"/>
        </w:rPr>
        <w:t>To support the development of a local multi-actor science &amp; technology park</w:t>
      </w:r>
      <w:r w:rsidRPr="0058536D">
        <w:rPr>
          <w:rFonts w:ascii="Arial" w:hAnsi="Arial" w:cs="Arial"/>
          <w:sz w:val="20"/>
          <w:szCs w:val="20"/>
        </w:rPr>
        <w:t xml:space="preserve">; </w:t>
      </w:r>
      <w:r w:rsidRPr="0058536D">
        <w:rPr>
          <w:rFonts w:ascii="Arial" w:eastAsiaTheme="minorHAnsi" w:hAnsi="Arial" w:cs="Arial"/>
          <w:sz w:val="20"/>
          <w:szCs w:val="20"/>
          <w:lang w:val="en-US"/>
        </w:rPr>
        <w:t>To implement financial instruments and acceleration programmes for existing local SMEs (digitalisation, internationalisation, energy efficiency, RES deployment, etc.) and to support new start-ups in high-tech sectors</w:t>
      </w:r>
      <w:r w:rsidRPr="0058536D">
        <w:rPr>
          <w:rFonts w:ascii="Arial" w:hAnsi="Arial" w:cs="Arial"/>
          <w:sz w:val="20"/>
          <w:szCs w:val="20"/>
        </w:rPr>
        <w:t xml:space="preserve">; </w:t>
      </w:r>
      <w:r w:rsidRPr="0058536D">
        <w:rPr>
          <w:rFonts w:ascii="Arial" w:eastAsiaTheme="minorHAnsi" w:hAnsi="Arial" w:cs="Arial"/>
          <w:sz w:val="20"/>
          <w:szCs w:val="20"/>
          <w:lang w:val="en-US"/>
        </w:rPr>
        <w:t>To develop</w:t>
      </w:r>
      <w:r>
        <w:rPr>
          <w:rFonts w:ascii="Arial" w:eastAsiaTheme="minorHAnsi" w:hAnsi="Arial" w:cs="Arial"/>
          <w:sz w:val="20"/>
          <w:szCs w:val="20"/>
          <w:lang w:val="en-US"/>
        </w:rPr>
        <w:t xml:space="preserve"> a</w:t>
      </w:r>
      <w:r w:rsidRPr="0058536D">
        <w:rPr>
          <w:rFonts w:ascii="Arial" w:eastAsiaTheme="minorHAnsi" w:hAnsi="Arial" w:cs="Arial"/>
          <w:sz w:val="20"/>
          <w:szCs w:val="20"/>
          <w:lang w:val="en-US"/>
        </w:rPr>
        <w:t xml:space="preserve"> labour market synced with vocational education projects</w:t>
      </w:r>
      <w:r w:rsidRPr="0058536D">
        <w:rPr>
          <w:rFonts w:ascii="Arial" w:hAnsi="Arial" w:cs="Arial"/>
          <w:sz w:val="20"/>
          <w:szCs w:val="20"/>
        </w:rPr>
        <w:t xml:space="preserve">; </w:t>
      </w:r>
      <w:r w:rsidRPr="0058536D">
        <w:rPr>
          <w:rFonts w:ascii="Arial" w:eastAsiaTheme="minorHAnsi" w:hAnsi="Arial" w:cs="Arial"/>
          <w:sz w:val="20"/>
          <w:szCs w:val="20"/>
          <w:lang w:val="en-US"/>
        </w:rPr>
        <w:t xml:space="preserve">To implement innovative labour activation measures and social services access. </w:t>
      </w:r>
    </w:p>
    <w:p w14:paraId="58EB07EA" w14:textId="159834E4"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w:t>
      </w:r>
      <w:r w:rsidRPr="005E1715">
        <w:rPr>
          <w:rFonts w:ascii="Arial" w:hAnsi="Arial" w:cs="Arial"/>
          <w:sz w:val="20"/>
          <w:szCs w:val="20"/>
          <w:u w:val="single"/>
        </w:rPr>
        <w:t xml:space="preserve"> </w:t>
      </w:r>
      <w:r w:rsidRPr="005E1715">
        <w:rPr>
          <w:rFonts w:ascii="Arial" w:hAnsi="Arial" w:cs="Arial"/>
          <w:b/>
          <w:bCs/>
          <w:sz w:val="20"/>
          <w:szCs w:val="20"/>
          <w:u w:val="single"/>
        </w:rPr>
        <w:t>8</w:t>
      </w:r>
      <w:r w:rsidRPr="0058536D">
        <w:rPr>
          <w:rFonts w:ascii="Arial" w:hAnsi="Arial" w:cs="Arial"/>
          <w:sz w:val="20"/>
          <w:szCs w:val="20"/>
        </w:rPr>
        <w:t xml:space="preserve"> look</w:t>
      </w:r>
      <w:r>
        <w:rPr>
          <w:rFonts w:ascii="Arial" w:hAnsi="Arial" w:cs="Arial"/>
          <w:sz w:val="20"/>
          <w:szCs w:val="20"/>
        </w:rPr>
        <w:t>s</w:t>
      </w:r>
      <w:r w:rsidRPr="0058536D">
        <w:rPr>
          <w:rFonts w:ascii="Arial" w:hAnsi="Arial" w:cs="Arial"/>
          <w:sz w:val="20"/>
          <w:szCs w:val="20"/>
        </w:rPr>
        <w:t xml:space="preserve"> at at </w:t>
      </w:r>
      <w:r w:rsidR="003751DC">
        <w:rPr>
          <w:rFonts w:ascii="Arial" w:hAnsi="Arial" w:cs="Arial"/>
          <w:b/>
          <w:bCs/>
          <w:sz w:val="20"/>
          <w:szCs w:val="20"/>
        </w:rPr>
        <w:t>Galați</w:t>
      </w:r>
      <w:r w:rsidRPr="0058536D">
        <w:rPr>
          <w:rFonts w:ascii="Arial" w:hAnsi="Arial" w:cs="Arial"/>
          <w:sz w:val="20"/>
          <w:szCs w:val="20"/>
        </w:rPr>
        <w:t xml:space="preserve">, for which we conclude that the </w:t>
      </w:r>
      <w:r w:rsidRPr="000C2616">
        <w:rPr>
          <w:rFonts w:ascii="Arial" w:hAnsi="Arial" w:cs="Arial"/>
          <w:sz w:val="20"/>
          <w:szCs w:val="20"/>
          <w:u w:val="single"/>
        </w:rPr>
        <w:t>following JTF actions are recommended</w:t>
      </w:r>
      <w:r w:rsidRPr="0058536D">
        <w:rPr>
          <w:rFonts w:ascii="Arial" w:hAnsi="Arial" w:cs="Arial"/>
          <w:sz w:val="20"/>
          <w:szCs w:val="20"/>
        </w:rPr>
        <w:t xml:space="preserve">: </w:t>
      </w:r>
      <w:r w:rsidRPr="0058536D">
        <w:rPr>
          <w:rFonts w:ascii="Arial" w:eastAsiaTheme="minorHAnsi" w:hAnsi="Arial" w:cs="Arial"/>
          <w:sz w:val="20"/>
          <w:szCs w:val="20"/>
          <w:lang w:val="en-US"/>
        </w:rPr>
        <w:t>A mix of grants</w:t>
      </w:r>
      <w:r w:rsidR="00FF617B">
        <w:rPr>
          <w:rFonts w:ascii="Arial" w:eastAsiaTheme="minorHAnsi" w:hAnsi="Arial" w:cs="Arial"/>
          <w:sz w:val="20"/>
          <w:szCs w:val="20"/>
          <w:lang w:val="en-US"/>
        </w:rPr>
        <w:t>, loans or equity</w:t>
      </w:r>
      <w:r w:rsidRPr="0058536D">
        <w:rPr>
          <w:rFonts w:ascii="Arial" w:eastAsiaTheme="minorHAnsi" w:hAnsi="Arial" w:cs="Arial"/>
          <w:sz w:val="20"/>
          <w:szCs w:val="20"/>
          <w:lang w:val="en-US"/>
        </w:rPr>
        <w:t xml:space="preserve"> to support the decarbonisation and technological transfer for large enterprises</w:t>
      </w:r>
      <w:r w:rsidRPr="0058536D">
        <w:rPr>
          <w:rFonts w:ascii="Arial" w:hAnsi="Arial" w:cs="Arial"/>
          <w:sz w:val="20"/>
          <w:szCs w:val="20"/>
        </w:rPr>
        <w:t xml:space="preserve">; </w:t>
      </w:r>
      <w:r w:rsidRPr="0058536D">
        <w:rPr>
          <w:rFonts w:ascii="Arial" w:eastAsiaTheme="minorHAnsi" w:hAnsi="Arial" w:cs="Arial"/>
          <w:sz w:val="20"/>
          <w:szCs w:val="20"/>
          <w:lang w:val="en-US"/>
        </w:rPr>
        <w:t>Financial instruments and acceleration programmes for existing local SMEs (digitalisation, internationalisation, etc.)</w:t>
      </w:r>
      <w:r w:rsidRPr="0058536D">
        <w:rPr>
          <w:rFonts w:ascii="Arial" w:hAnsi="Arial" w:cs="Arial"/>
          <w:sz w:val="20"/>
          <w:szCs w:val="20"/>
        </w:rPr>
        <w:t xml:space="preserve">; </w:t>
      </w:r>
      <w:r w:rsidRPr="0058536D">
        <w:rPr>
          <w:rFonts w:ascii="Arial" w:eastAsiaTheme="minorHAnsi" w:hAnsi="Arial" w:cs="Arial"/>
          <w:sz w:val="20"/>
          <w:szCs w:val="20"/>
          <w:lang w:val="en-US"/>
        </w:rPr>
        <w:t>Support for new start-ups in the circular economy</w:t>
      </w:r>
      <w:r w:rsidR="00CB7D59">
        <w:rPr>
          <w:rFonts w:ascii="Arial" w:eastAsiaTheme="minorHAnsi" w:hAnsi="Arial" w:cs="Arial"/>
          <w:sz w:val="20"/>
          <w:szCs w:val="20"/>
          <w:lang w:val="en-US"/>
        </w:rPr>
        <w:t xml:space="preserve"> (especially waste transformation)</w:t>
      </w:r>
      <w:r w:rsidRPr="0058536D">
        <w:rPr>
          <w:rFonts w:ascii="Arial" w:eastAsiaTheme="minorHAnsi" w:hAnsi="Arial" w:cs="Arial"/>
          <w:sz w:val="20"/>
          <w:szCs w:val="20"/>
          <w:lang w:val="en-US"/>
        </w:rPr>
        <w:t>, IT&amp;C, R&amp;D, etc.</w:t>
      </w:r>
      <w:r w:rsidRPr="0058536D">
        <w:rPr>
          <w:rFonts w:ascii="Arial" w:hAnsi="Arial" w:cs="Arial"/>
          <w:sz w:val="20"/>
          <w:szCs w:val="20"/>
        </w:rPr>
        <w:t xml:space="preserve">; </w:t>
      </w:r>
      <w:r w:rsidRPr="0058536D">
        <w:rPr>
          <w:rFonts w:ascii="Arial" w:eastAsiaTheme="minorHAnsi" w:hAnsi="Arial" w:cs="Arial"/>
          <w:sz w:val="20"/>
          <w:szCs w:val="20"/>
          <w:lang w:val="en-US"/>
        </w:rPr>
        <w:t>Digitalisation of public services to better serve business needs</w:t>
      </w:r>
      <w:r w:rsidRPr="0058536D">
        <w:rPr>
          <w:rFonts w:ascii="Arial" w:hAnsi="Arial" w:cs="Arial"/>
          <w:sz w:val="20"/>
          <w:szCs w:val="20"/>
        </w:rPr>
        <w:t xml:space="preserve">; </w:t>
      </w:r>
      <w:r w:rsidRPr="0058536D">
        <w:rPr>
          <w:rFonts w:ascii="Arial" w:eastAsiaTheme="minorHAnsi" w:hAnsi="Arial" w:cs="Arial"/>
          <w:sz w:val="20"/>
          <w:szCs w:val="20"/>
          <w:lang w:val="en-US"/>
        </w:rPr>
        <w:t>Innovative cross-institutional vocational training and apprenticeship programmes, especially</w:t>
      </w:r>
      <w:r>
        <w:rPr>
          <w:rFonts w:ascii="Arial" w:eastAsiaTheme="minorHAnsi" w:hAnsi="Arial" w:cs="Arial"/>
          <w:sz w:val="20"/>
          <w:szCs w:val="20"/>
          <w:lang w:val="en-US"/>
        </w:rPr>
        <w:t xml:space="preserve"> for the</w:t>
      </w:r>
      <w:r w:rsidRPr="0058536D">
        <w:rPr>
          <w:rFonts w:ascii="Arial" w:eastAsiaTheme="minorHAnsi" w:hAnsi="Arial" w:cs="Arial"/>
          <w:sz w:val="20"/>
          <w:szCs w:val="20"/>
          <w:lang w:val="en-US"/>
        </w:rPr>
        <w:t xml:space="preserve"> local steel and metal </w:t>
      </w:r>
      <w:r>
        <w:rPr>
          <w:rFonts w:ascii="Arial" w:eastAsiaTheme="minorHAnsi" w:hAnsi="Arial" w:cs="Arial"/>
          <w:sz w:val="20"/>
          <w:szCs w:val="20"/>
          <w:lang w:val="en-US"/>
        </w:rPr>
        <w:t>sector</w:t>
      </w:r>
      <w:r w:rsidRPr="0058536D">
        <w:rPr>
          <w:rFonts w:ascii="Arial" w:hAnsi="Arial" w:cs="Arial"/>
          <w:sz w:val="20"/>
          <w:szCs w:val="20"/>
        </w:rPr>
        <w:t xml:space="preserve">; </w:t>
      </w:r>
      <w:r w:rsidRPr="0058536D">
        <w:rPr>
          <w:rFonts w:ascii="Arial" w:eastAsiaTheme="minorHAnsi" w:hAnsi="Arial" w:cs="Arial"/>
          <w:sz w:val="20"/>
          <w:szCs w:val="20"/>
          <w:lang w:val="en-US"/>
        </w:rPr>
        <w:t>Investments in sustainable urban mobility solutions</w:t>
      </w:r>
      <w:r w:rsidRPr="0058536D">
        <w:rPr>
          <w:rFonts w:ascii="Arial" w:hAnsi="Arial" w:cs="Arial"/>
          <w:sz w:val="20"/>
          <w:szCs w:val="20"/>
        </w:rPr>
        <w:t xml:space="preserve">; </w:t>
      </w:r>
      <w:r w:rsidRPr="0058536D">
        <w:rPr>
          <w:rFonts w:ascii="Arial" w:eastAsiaTheme="minorHAnsi" w:hAnsi="Arial" w:cs="Arial"/>
          <w:sz w:val="20"/>
          <w:szCs w:val="20"/>
          <w:lang w:val="en-US"/>
        </w:rPr>
        <w:t xml:space="preserve">Public investments in local energy efficiency works in buildings, to alleviate energy poverty and employ long-term unemployed. </w:t>
      </w:r>
    </w:p>
    <w:p w14:paraId="4B9B703A" w14:textId="5E52547D" w:rsidR="00DA6B30"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9</w:t>
      </w:r>
      <w:r w:rsidRPr="0058536D">
        <w:rPr>
          <w:rFonts w:ascii="Arial" w:hAnsi="Arial" w:cs="Arial"/>
          <w:sz w:val="20"/>
          <w:szCs w:val="20"/>
        </w:rPr>
        <w:t xml:space="preserve"> comprises a </w:t>
      </w:r>
      <w:r w:rsidRPr="002B1A85">
        <w:rPr>
          <w:rFonts w:ascii="Arial" w:hAnsi="Arial" w:cs="Arial"/>
          <w:b/>
          <w:bCs/>
          <w:sz w:val="20"/>
          <w:szCs w:val="20"/>
        </w:rPr>
        <w:t>capital raising strategy</w:t>
      </w:r>
      <w:r w:rsidRPr="0058536D">
        <w:rPr>
          <w:rFonts w:ascii="Arial" w:hAnsi="Arial" w:cs="Arial"/>
          <w:sz w:val="20"/>
          <w:szCs w:val="20"/>
        </w:rPr>
        <w:t xml:space="preserve">, based on in-depth interviews with </w:t>
      </w:r>
      <w:r>
        <w:rPr>
          <w:rFonts w:ascii="Arial" w:hAnsi="Arial" w:cs="Arial"/>
          <w:sz w:val="20"/>
          <w:szCs w:val="20"/>
        </w:rPr>
        <w:t>more than</w:t>
      </w:r>
      <w:r w:rsidRPr="0058536D">
        <w:rPr>
          <w:rFonts w:ascii="Arial" w:hAnsi="Arial" w:cs="Arial"/>
          <w:sz w:val="20"/>
          <w:szCs w:val="20"/>
        </w:rPr>
        <w:t xml:space="preserve"> 30 large enterprises, interviews with three commercial banks, with </w:t>
      </w:r>
      <w:r w:rsidR="003E4F7B">
        <w:rPr>
          <w:rFonts w:ascii="Arial" w:hAnsi="Arial" w:cs="Arial"/>
          <w:sz w:val="20"/>
          <w:szCs w:val="20"/>
        </w:rPr>
        <w:t>International Financial Institutions (IFIs)</w:t>
      </w:r>
      <w:r w:rsidRPr="0058536D">
        <w:rPr>
          <w:rFonts w:ascii="Arial" w:hAnsi="Arial" w:cs="Arial"/>
          <w:sz w:val="20"/>
          <w:szCs w:val="20"/>
        </w:rPr>
        <w:t xml:space="preserve">, Ministry of Finance and microcredit institutions, as well as </w:t>
      </w:r>
      <w:r>
        <w:rPr>
          <w:rFonts w:ascii="Arial" w:hAnsi="Arial" w:cs="Arial"/>
          <w:sz w:val="20"/>
          <w:szCs w:val="20"/>
        </w:rPr>
        <w:t xml:space="preserve">performed </w:t>
      </w:r>
      <w:r w:rsidRPr="0058536D">
        <w:rPr>
          <w:rFonts w:ascii="Arial" w:hAnsi="Arial" w:cs="Arial"/>
          <w:sz w:val="20"/>
          <w:szCs w:val="20"/>
        </w:rPr>
        <w:t>desk research. While the JTF allocation is approx. EUR 2 b</w:t>
      </w:r>
      <w:r>
        <w:rPr>
          <w:rFonts w:ascii="Arial" w:hAnsi="Arial" w:cs="Arial"/>
          <w:sz w:val="20"/>
          <w:szCs w:val="20"/>
        </w:rPr>
        <w:t>n.</w:t>
      </w:r>
      <w:r w:rsidRPr="0058536D">
        <w:rPr>
          <w:rFonts w:ascii="Arial" w:hAnsi="Arial" w:cs="Arial"/>
          <w:sz w:val="20"/>
          <w:szCs w:val="20"/>
        </w:rPr>
        <w:t xml:space="preserve"> there is no current estimate of the full transition-related financing needs at the level of the six affected regions – </w:t>
      </w:r>
      <w:r>
        <w:rPr>
          <w:rFonts w:ascii="Arial" w:hAnsi="Arial" w:cs="Arial"/>
          <w:sz w:val="20"/>
          <w:szCs w:val="20"/>
        </w:rPr>
        <w:t>particularly for</w:t>
      </w:r>
      <w:r w:rsidRPr="0058536D">
        <w:rPr>
          <w:rFonts w:ascii="Arial" w:hAnsi="Arial" w:cs="Arial"/>
          <w:sz w:val="20"/>
          <w:szCs w:val="20"/>
        </w:rPr>
        <w:t xml:space="preserve"> the needs that can be met through JTM Pillars 2 and 3. </w:t>
      </w:r>
    </w:p>
    <w:p w14:paraId="252D4135" w14:textId="77777777" w:rsidR="00DA6B30" w:rsidRPr="00BE33F2" w:rsidRDefault="00DA6B30" w:rsidP="00E42342">
      <w:pPr>
        <w:pStyle w:val="ListParagraph"/>
        <w:numPr>
          <w:ilvl w:val="0"/>
          <w:numId w:val="331"/>
        </w:numPr>
        <w:spacing w:after="120" w:line="240" w:lineRule="auto"/>
        <w:contextualSpacing w:val="0"/>
        <w:jc w:val="both"/>
        <w:rPr>
          <w:sz w:val="20"/>
          <w:szCs w:val="20"/>
        </w:rPr>
      </w:pPr>
      <w:r w:rsidRPr="0058536D">
        <w:rPr>
          <w:color w:val="000000"/>
          <w:sz w:val="20"/>
          <w:szCs w:val="20"/>
        </w:rPr>
        <w:t xml:space="preserve">In the JTF territories there is </w:t>
      </w:r>
      <w:r w:rsidRPr="00BE33F2">
        <w:rPr>
          <w:sz w:val="20"/>
          <w:szCs w:val="20"/>
        </w:rPr>
        <w:t>currently</w:t>
      </w:r>
      <w:r w:rsidRPr="0058536D">
        <w:rPr>
          <w:color w:val="000000"/>
          <w:sz w:val="20"/>
          <w:szCs w:val="20"/>
        </w:rPr>
        <w:t xml:space="preserve"> a lack of interest and trust of local players (primarily public authorities, but also large enterprises) to make use of financial instruments. The capacity gap in accessing financial instruments (by SMEs, but also by larger enterprises) is caused by two drivers: low credit eligibility </w:t>
      </w:r>
      <w:r w:rsidRPr="00A44357">
        <w:rPr>
          <w:sz w:val="20"/>
          <w:szCs w:val="20"/>
        </w:rPr>
        <w:t xml:space="preserve">and lack of collateral/ guarantees and, in the case of SMEs, </w:t>
      </w:r>
      <w:r w:rsidRPr="00A44357">
        <w:rPr>
          <w:rFonts w:eastAsia="Times New Roman"/>
          <w:sz w:val="20"/>
          <w:szCs w:val="20"/>
          <w:shd w:val="clear" w:color="auto" w:fill="FFFFFF"/>
        </w:rPr>
        <w:t xml:space="preserve">by underdeveloped business administration and technical capacity skills. </w:t>
      </w:r>
    </w:p>
    <w:p w14:paraId="542B4374" w14:textId="2184042D" w:rsidR="00DA6B30" w:rsidRPr="00BE33F2" w:rsidRDefault="00DA6B30" w:rsidP="00E42342">
      <w:pPr>
        <w:pStyle w:val="ListParagraph"/>
        <w:numPr>
          <w:ilvl w:val="0"/>
          <w:numId w:val="331"/>
        </w:numPr>
        <w:spacing w:after="120" w:line="240" w:lineRule="auto"/>
        <w:contextualSpacing w:val="0"/>
        <w:jc w:val="both"/>
        <w:rPr>
          <w:sz w:val="20"/>
          <w:szCs w:val="20"/>
        </w:rPr>
      </w:pPr>
      <w:r w:rsidRPr="00BE33F2">
        <w:rPr>
          <w:rFonts w:eastAsia="Times New Roman"/>
          <w:color w:val="000000"/>
          <w:sz w:val="20"/>
          <w:szCs w:val="20"/>
        </w:rPr>
        <w:t xml:space="preserve">For Pillar 2 to be accessed, </w:t>
      </w:r>
      <w:r w:rsidRPr="00BE33F2">
        <w:rPr>
          <w:rFonts w:eastAsia="Times New Roman"/>
          <w:color w:val="000000"/>
          <w:sz w:val="20"/>
          <w:szCs w:val="20"/>
          <w:u w:val="single"/>
        </w:rPr>
        <w:t>intermediaries</w:t>
      </w:r>
      <w:r w:rsidRPr="00BE33F2">
        <w:rPr>
          <w:rFonts w:eastAsia="Times New Roman"/>
          <w:color w:val="000000"/>
          <w:sz w:val="20"/>
          <w:szCs w:val="20"/>
        </w:rPr>
        <w:t xml:space="preserve"> are key. Contrary to other EU countries, Romania lacks a national </w:t>
      </w:r>
      <w:r w:rsidR="00CB7D59">
        <w:rPr>
          <w:rFonts w:eastAsia="Times New Roman"/>
          <w:color w:val="000000"/>
          <w:sz w:val="20"/>
          <w:szCs w:val="20"/>
        </w:rPr>
        <w:t>development</w:t>
      </w:r>
      <w:r w:rsidR="00CB7D59" w:rsidRPr="00BE33F2">
        <w:rPr>
          <w:rFonts w:eastAsia="Times New Roman"/>
          <w:color w:val="000000"/>
          <w:sz w:val="20"/>
          <w:szCs w:val="20"/>
        </w:rPr>
        <w:t xml:space="preserve"> </w:t>
      </w:r>
      <w:r w:rsidRPr="00BE33F2">
        <w:rPr>
          <w:rFonts w:eastAsia="Times New Roman"/>
          <w:color w:val="000000"/>
          <w:sz w:val="20"/>
          <w:szCs w:val="20"/>
        </w:rPr>
        <w:t xml:space="preserve">bank, which has been highlighted during stakeholder interviews as a key obstacle in making </w:t>
      </w:r>
      <w:r>
        <w:rPr>
          <w:rFonts w:eastAsia="Times New Roman"/>
          <w:color w:val="000000"/>
          <w:sz w:val="20"/>
          <w:szCs w:val="20"/>
        </w:rPr>
        <w:t>increased</w:t>
      </w:r>
      <w:r w:rsidRPr="00BE33F2">
        <w:rPr>
          <w:rFonts w:eastAsia="Times New Roman"/>
          <w:color w:val="000000"/>
          <w:sz w:val="20"/>
          <w:szCs w:val="20"/>
        </w:rPr>
        <w:t xml:space="preserve"> use of the InvestEU loan facility for private actors. </w:t>
      </w:r>
      <w:r w:rsidRPr="00BE33F2">
        <w:rPr>
          <w:rFonts w:eastAsia="Times New Roman"/>
          <w:b/>
          <w:bCs/>
          <w:color w:val="000000"/>
          <w:sz w:val="20"/>
          <w:szCs w:val="20"/>
        </w:rPr>
        <w:t>National Authorities and the</w:t>
      </w:r>
      <w:r w:rsidR="003E4F7B">
        <w:rPr>
          <w:rFonts w:eastAsia="Times New Roman"/>
          <w:b/>
          <w:bCs/>
          <w:color w:val="000000"/>
          <w:sz w:val="20"/>
          <w:szCs w:val="20"/>
        </w:rPr>
        <w:t xml:space="preserve"> </w:t>
      </w:r>
      <w:r w:rsidR="003E4F7B" w:rsidRPr="003E4F7B">
        <w:rPr>
          <w:rFonts w:eastAsia="Times New Roman"/>
          <w:b/>
          <w:bCs/>
          <w:color w:val="000000"/>
          <w:sz w:val="20"/>
          <w:szCs w:val="20"/>
        </w:rPr>
        <w:t>European Investment Bank</w:t>
      </w:r>
      <w:r w:rsidR="003E4F7B">
        <w:rPr>
          <w:rFonts w:eastAsia="Times New Roman"/>
          <w:b/>
          <w:bCs/>
          <w:color w:val="000000"/>
          <w:sz w:val="20"/>
          <w:szCs w:val="20"/>
        </w:rPr>
        <w:t xml:space="preserve"> (</w:t>
      </w:r>
      <w:r w:rsidRPr="00BE33F2">
        <w:rPr>
          <w:rFonts w:eastAsia="Times New Roman"/>
          <w:b/>
          <w:bCs/>
          <w:color w:val="000000"/>
          <w:sz w:val="20"/>
          <w:szCs w:val="20"/>
        </w:rPr>
        <w:t>EIB</w:t>
      </w:r>
      <w:r w:rsidR="003E4F7B">
        <w:rPr>
          <w:rFonts w:eastAsia="Times New Roman"/>
          <w:b/>
          <w:bCs/>
          <w:color w:val="000000"/>
          <w:sz w:val="20"/>
          <w:szCs w:val="20"/>
        </w:rPr>
        <w:t>)</w:t>
      </w:r>
      <w:r w:rsidRPr="00BE33F2">
        <w:rPr>
          <w:rFonts w:eastAsia="Times New Roman"/>
          <w:b/>
          <w:bCs/>
          <w:color w:val="000000"/>
          <w:sz w:val="20"/>
          <w:szCs w:val="20"/>
        </w:rPr>
        <w:t xml:space="preserve"> should convene at the earliest to determine the best </w:t>
      </w:r>
      <w:r>
        <w:rPr>
          <w:rFonts w:eastAsia="Times New Roman"/>
          <w:b/>
          <w:bCs/>
          <w:color w:val="000000"/>
          <w:sz w:val="20"/>
          <w:szCs w:val="20"/>
        </w:rPr>
        <w:t>approach for</w:t>
      </w:r>
      <w:r w:rsidRPr="00BE33F2">
        <w:rPr>
          <w:rFonts w:eastAsia="Times New Roman"/>
          <w:b/>
          <w:bCs/>
          <w:color w:val="000000"/>
          <w:sz w:val="20"/>
          <w:szCs w:val="20"/>
        </w:rPr>
        <w:t xml:space="preserve"> targeting the six affected regions </w:t>
      </w:r>
      <w:r>
        <w:rPr>
          <w:rFonts w:eastAsia="Times New Roman"/>
          <w:b/>
          <w:bCs/>
          <w:color w:val="000000"/>
          <w:sz w:val="20"/>
          <w:szCs w:val="20"/>
        </w:rPr>
        <w:t xml:space="preserve">under </w:t>
      </w:r>
      <w:r w:rsidRPr="00BE33F2">
        <w:rPr>
          <w:rFonts w:eastAsia="Times New Roman"/>
          <w:b/>
          <w:bCs/>
          <w:color w:val="000000"/>
          <w:sz w:val="20"/>
          <w:szCs w:val="20"/>
        </w:rPr>
        <w:t>the Advisory Hub Assistance</w:t>
      </w:r>
      <w:r w:rsidRPr="00BE33F2">
        <w:rPr>
          <w:rFonts w:eastAsia="Times New Roman"/>
          <w:color w:val="000000"/>
          <w:sz w:val="20"/>
          <w:szCs w:val="20"/>
        </w:rPr>
        <w:t>. Ideally, all financial instruments to be deployed under the JT</w:t>
      </w:r>
      <w:r w:rsidR="00CB7D59">
        <w:rPr>
          <w:rFonts w:eastAsia="Times New Roman"/>
          <w:color w:val="000000"/>
          <w:sz w:val="20"/>
          <w:szCs w:val="20"/>
        </w:rPr>
        <w:t>M</w:t>
      </w:r>
      <w:r w:rsidRPr="00BE33F2">
        <w:rPr>
          <w:rFonts w:eastAsia="Times New Roman"/>
          <w:color w:val="000000"/>
          <w:sz w:val="20"/>
          <w:szCs w:val="20"/>
        </w:rPr>
        <w:t xml:space="preserve"> and especially guarantees, should </w:t>
      </w:r>
      <w:r>
        <w:rPr>
          <w:rFonts w:eastAsia="Times New Roman"/>
          <w:color w:val="000000"/>
          <w:sz w:val="20"/>
          <w:szCs w:val="20"/>
        </w:rPr>
        <w:t xml:space="preserve">be used to share </w:t>
      </w:r>
      <w:r w:rsidRPr="00BE33F2">
        <w:rPr>
          <w:rFonts w:eastAsia="Times New Roman"/>
          <w:color w:val="000000"/>
          <w:sz w:val="20"/>
          <w:szCs w:val="20"/>
        </w:rPr>
        <w:t xml:space="preserve">the risk between various players. </w:t>
      </w:r>
    </w:p>
    <w:p w14:paraId="1AC791A2" w14:textId="77777777" w:rsidR="00DA6B30" w:rsidRDefault="00DA6B30" w:rsidP="00E42342">
      <w:pPr>
        <w:pStyle w:val="ListParagraph"/>
        <w:numPr>
          <w:ilvl w:val="0"/>
          <w:numId w:val="331"/>
        </w:numPr>
        <w:spacing w:after="120" w:line="240" w:lineRule="auto"/>
        <w:contextualSpacing w:val="0"/>
        <w:jc w:val="both"/>
        <w:rPr>
          <w:sz w:val="20"/>
          <w:szCs w:val="20"/>
        </w:rPr>
      </w:pPr>
      <w:r w:rsidRPr="00BE33F2">
        <w:rPr>
          <w:sz w:val="20"/>
          <w:szCs w:val="20"/>
        </w:rPr>
        <w:t xml:space="preserve">Given the long-term sustainability of the Just Transition Mechanism in Romania, it is important to ensure the creation of </w:t>
      </w:r>
      <w:r w:rsidRPr="000C2616">
        <w:rPr>
          <w:b/>
          <w:sz w:val="20"/>
          <w:szCs w:val="20"/>
        </w:rPr>
        <w:t>blended</w:t>
      </w:r>
      <w:r w:rsidRPr="00BE33F2">
        <w:rPr>
          <w:b/>
          <w:bCs/>
          <w:sz w:val="20"/>
          <w:szCs w:val="20"/>
        </w:rPr>
        <w:t xml:space="preserve"> instruments (grant + financial instruments)</w:t>
      </w:r>
      <w:r w:rsidRPr="00BE33F2">
        <w:rPr>
          <w:sz w:val="20"/>
          <w:szCs w:val="20"/>
        </w:rPr>
        <w:t xml:space="preserve"> to support SMEs. </w:t>
      </w:r>
      <w:r>
        <w:rPr>
          <w:sz w:val="20"/>
          <w:szCs w:val="20"/>
        </w:rPr>
        <w:t>It is highly advisable that e</w:t>
      </w:r>
      <w:r w:rsidRPr="00BE33F2">
        <w:rPr>
          <w:sz w:val="20"/>
          <w:szCs w:val="20"/>
        </w:rPr>
        <w:t>ven simpler instruments (e.g., just loans/ guarantees)</w:t>
      </w:r>
      <w:r>
        <w:rPr>
          <w:sz w:val="20"/>
          <w:szCs w:val="20"/>
        </w:rPr>
        <w:t xml:space="preserve"> are complemented with</w:t>
      </w:r>
      <w:r w:rsidRPr="00BE33F2">
        <w:rPr>
          <w:sz w:val="20"/>
          <w:szCs w:val="20"/>
        </w:rPr>
        <w:t xml:space="preserve"> technical assistance to beneficiaries </w:t>
      </w:r>
      <w:r>
        <w:rPr>
          <w:sz w:val="20"/>
          <w:szCs w:val="20"/>
        </w:rPr>
        <w:t>(to be provided by commercial banks themselves)</w:t>
      </w:r>
      <w:r w:rsidRPr="00BE33F2">
        <w:rPr>
          <w:sz w:val="20"/>
          <w:szCs w:val="20"/>
        </w:rPr>
        <w:t xml:space="preserve">. </w:t>
      </w:r>
    </w:p>
    <w:p w14:paraId="752ABB2E" w14:textId="77777777" w:rsidR="00DA6B30" w:rsidRDefault="00DA6B30" w:rsidP="00E42342">
      <w:pPr>
        <w:pStyle w:val="ListParagraph"/>
        <w:numPr>
          <w:ilvl w:val="0"/>
          <w:numId w:val="331"/>
        </w:numPr>
        <w:spacing w:after="120" w:line="240" w:lineRule="auto"/>
        <w:contextualSpacing w:val="0"/>
        <w:jc w:val="both"/>
        <w:rPr>
          <w:sz w:val="20"/>
          <w:szCs w:val="20"/>
        </w:rPr>
      </w:pPr>
      <w:r w:rsidRPr="00BE33F2">
        <w:rPr>
          <w:sz w:val="20"/>
          <w:szCs w:val="20"/>
        </w:rPr>
        <w:lastRenderedPageBreak/>
        <w:t xml:space="preserve">To be able to shape Pillar 2 of the JTM, and especially to support the ex-ante analysis, an open dialogue is necessary between the central institutions involved in designing the instruments, the EIB and the banking industry. </w:t>
      </w:r>
    </w:p>
    <w:p w14:paraId="035BD0EC" w14:textId="77777777" w:rsidR="00DA6B30" w:rsidRDefault="00DA6B30" w:rsidP="00E42342">
      <w:pPr>
        <w:pStyle w:val="ListParagraph"/>
        <w:numPr>
          <w:ilvl w:val="0"/>
          <w:numId w:val="331"/>
        </w:numPr>
        <w:spacing w:after="120" w:line="240" w:lineRule="auto"/>
        <w:contextualSpacing w:val="0"/>
        <w:jc w:val="both"/>
        <w:rPr>
          <w:sz w:val="20"/>
          <w:szCs w:val="20"/>
        </w:rPr>
      </w:pPr>
      <w:r>
        <w:rPr>
          <w:sz w:val="20"/>
          <w:szCs w:val="20"/>
        </w:rPr>
        <w:t>Given t</w:t>
      </w:r>
      <w:r w:rsidRPr="00BE33F2">
        <w:rPr>
          <w:sz w:val="20"/>
          <w:szCs w:val="20"/>
        </w:rPr>
        <w:t xml:space="preserve">he reluctance of local authorities and business support </w:t>
      </w:r>
      <w:r>
        <w:rPr>
          <w:sz w:val="20"/>
          <w:szCs w:val="20"/>
        </w:rPr>
        <w:t>entities</w:t>
      </w:r>
      <w:r w:rsidRPr="00BE33F2">
        <w:rPr>
          <w:sz w:val="20"/>
          <w:szCs w:val="20"/>
        </w:rPr>
        <w:t xml:space="preserve"> to access financial instruments, e.g., resources made available under Pillars 2 and 3, the experience of the microfinance sector in accessing and implementing financial instruments</w:t>
      </w:r>
      <w:r>
        <w:rPr>
          <w:sz w:val="20"/>
          <w:szCs w:val="20"/>
        </w:rPr>
        <w:t xml:space="preserve"> (</w:t>
      </w:r>
      <w:r w:rsidRPr="00BE33F2">
        <w:rPr>
          <w:sz w:val="20"/>
          <w:szCs w:val="20"/>
        </w:rPr>
        <w:t>which have a leverage effect of 1:5</w:t>
      </w:r>
      <w:r>
        <w:rPr>
          <w:sz w:val="20"/>
          <w:szCs w:val="20"/>
        </w:rPr>
        <w:t>)</w:t>
      </w:r>
      <w:r w:rsidRPr="00BE33F2">
        <w:rPr>
          <w:sz w:val="20"/>
          <w:szCs w:val="20"/>
        </w:rPr>
        <w:t xml:space="preserve"> indicate that SME banks and </w:t>
      </w:r>
      <w:r>
        <w:rPr>
          <w:sz w:val="20"/>
          <w:szCs w:val="20"/>
        </w:rPr>
        <w:t>microfinance institutions</w:t>
      </w:r>
      <w:r w:rsidRPr="00BE33F2">
        <w:rPr>
          <w:sz w:val="20"/>
          <w:szCs w:val="20"/>
        </w:rPr>
        <w:t xml:space="preserve"> are valuable partners in enabling access to </w:t>
      </w:r>
      <w:r>
        <w:rPr>
          <w:sz w:val="20"/>
          <w:szCs w:val="20"/>
        </w:rPr>
        <w:t>finance</w:t>
      </w:r>
      <w:r w:rsidRPr="00BE33F2">
        <w:rPr>
          <w:sz w:val="20"/>
          <w:szCs w:val="20"/>
        </w:rPr>
        <w:t xml:space="preserve"> for start-ups and micro/small companies during the economic diversification process. </w:t>
      </w:r>
    </w:p>
    <w:p w14:paraId="746A8EED" w14:textId="1695B666" w:rsidR="00DA6B30" w:rsidRPr="00BE33F2" w:rsidRDefault="00DA6B30" w:rsidP="00DA6B30">
      <w:pPr>
        <w:spacing w:after="120"/>
        <w:jc w:val="both"/>
        <w:rPr>
          <w:rFonts w:ascii="Arial" w:hAnsi="Arial" w:cs="Arial"/>
          <w:sz w:val="20"/>
          <w:szCs w:val="20"/>
        </w:rPr>
      </w:pPr>
      <w:r w:rsidRPr="00BE33F2">
        <w:rPr>
          <w:rFonts w:ascii="Arial" w:hAnsi="Arial" w:cs="Arial"/>
          <w:sz w:val="20"/>
          <w:szCs w:val="20"/>
        </w:rPr>
        <w:t xml:space="preserve">The </w:t>
      </w:r>
      <w:r w:rsidR="004B6689">
        <w:rPr>
          <w:rFonts w:ascii="Arial" w:hAnsi="Arial" w:cs="Arial"/>
          <w:sz w:val="20"/>
          <w:szCs w:val="20"/>
        </w:rPr>
        <w:t>chapter</w:t>
      </w:r>
      <w:r w:rsidRPr="00BE33F2">
        <w:rPr>
          <w:rFonts w:ascii="Arial" w:hAnsi="Arial" w:cs="Arial"/>
          <w:sz w:val="20"/>
          <w:szCs w:val="20"/>
        </w:rPr>
        <w:t xml:space="preserve"> concludes by assessing the potential and market readiness for various instruments: loans, blended finance, equity, crowdfunding and ex</w:t>
      </w:r>
      <w:r>
        <w:rPr>
          <w:rFonts w:ascii="Arial" w:hAnsi="Arial" w:cs="Arial"/>
          <w:sz w:val="20"/>
          <w:szCs w:val="20"/>
        </w:rPr>
        <w:t>ternal</w:t>
      </w:r>
      <w:r w:rsidRPr="00BE33F2">
        <w:rPr>
          <w:rFonts w:ascii="Arial" w:hAnsi="Arial" w:cs="Arial"/>
          <w:sz w:val="20"/>
          <w:szCs w:val="20"/>
        </w:rPr>
        <w:t xml:space="preserve"> investments (i.e., </w:t>
      </w:r>
      <w:r w:rsidR="009A4069">
        <w:rPr>
          <w:rFonts w:ascii="Arial" w:hAnsi="Arial" w:cs="Arial"/>
          <w:sz w:val="20"/>
          <w:szCs w:val="20"/>
        </w:rPr>
        <w:t>Foreign Direct Investment</w:t>
      </w:r>
      <w:r w:rsidRPr="00BE33F2">
        <w:rPr>
          <w:rFonts w:ascii="Arial" w:hAnsi="Arial" w:cs="Arial"/>
          <w:sz w:val="20"/>
          <w:szCs w:val="20"/>
        </w:rPr>
        <w:t xml:space="preserve">). </w:t>
      </w:r>
    </w:p>
    <w:p w14:paraId="36FA05D8" w14:textId="60A10298"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10</w:t>
      </w:r>
      <w:r w:rsidRPr="0058536D">
        <w:rPr>
          <w:rFonts w:ascii="Arial" w:hAnsi="Arial" w:cs="Arial"/>
          <w:sz w:val="20"/>
          <w:szCs w:val="20"/>
        </w:rPr>
        <w:t xml:space="preserve"> offers a </w:t>
      </w:r>
      <w:r w:rsidRPr="000C2616">
        <w:rPr>
          <w:rFonts w:ascii="Arial" w:hAnsi="Arial" w:cs="Arial"/>
          <w:b/>
          <w:sz w:val="20"/>
          <w:szCs w:val="20"/>
        </w:rPr>
        <w:t>hi</w:t>
      </w:r>
      <w:r w:rsidRPr="00F94321">
        <w:rPr>
          <w:rFonts w:ascii="Arial" w:hAnsi="Arial" w:cs="Arial"/>
          <w:b/>
          <w:bCs/>
          <w:sz w:val="20"/>
          <w:szCs w:val="20"/>
        </w:rPr>
        <w:t>gh</w:t>
      </w:r>
      <w:r w:rsidRPr="002B1A85">
        <w:rPr>
          <w:rFonts w:ascii="Arial" w:hAnsi="Arial" w:cs="Arial"/>
          <w:b/>
          <w:bCs/>
          <w:sz w:val="20"/>
          <w:szCs w:val="20"/>
        </w:rPr>
        <w:t>-level assessment of the project ideas for JTF collected from stakeholders by the County Councils</w:t>
      </w:r>
      <w:r w:rsidRPr="0058536D">
        <w:rPr>
          <w:rFonts w:ascii="Arial" w:hAnsi="Arial" w:cs="Arial"/>
          <w:sz w:val="20"/>
          <w:szCs w:val="20"/>
        </w:rPr>
        <w:t xml:space="preserve">. </w:t>
      </w:r>
      <w:r w:rsidRPr="0058536D">
        <w:rPr>
          <w:rFonts w:ascii="Arial" w:hAnsi="Arial" w:cs="Arial"/>
          <w:iCs/>
          <w:sz w:val="20"/>
          <w:szCs w:val="20"/>
        </w:rPr>
        <w:t>A</w:t>
      </w:r>
      <w:r w:rsidRPr="0058536D">
        <w:rPr>
          <w:rFonts w:ascii="Arial" w:hAnsi="Arial" w:cs="Arial"/>
          <w:sz w:val="20"/>
          <w:szCs w:val="20"/>
        </w:rPr>
        <w:t xml:space="preserve"> total of </w:t>
      </w:r>
      <w:r w:rsidRPr="002B1A85">
        <w:rPr>
          <w:rFonts w:ascii="Arial" w:hAnsi="Arial" w:cs="Arial"/>
          <w:b/>
          <w:bCs/>
          <w:sz w:val="20"/>
          <w:szCs w:val="20"/>
        </w:rPr>
        <w:t>795 project ideas</w:t>
      </w:r>
      <w:r w:rsidRPr="0058536D">
        <w:rPr>
          <w:rFonts w:ascii="Arial" w:hAnsi="Arial" w:cs="Arial"/>
          <w:sz w:val="20"/>
          <w:szCs w:val="20"/>
        </w:rPr>
        <w:t xml:space="preserve"> were collected </w:t>
      </w:r>
      <w:r w:rsidRPr="002B1A85">
        <w:rPr>
          <w:rFonts w:ascii="Arial" w:hAnsi="Arial" w:cs="Arial"/>
          <w:b/>
          <w:bCs/>
          <w:sz w:val="20"/>
          <w:szCs w:val="20"/>
        </w:rPr>
        <w:t>requ</w:t>
      </w:r>
      <w:r>
        <w:rPr>
          <w:rFonts w:ascii="Arial" w:hAnsi="Arial" w:cs="Arial"/>
          <w:b/>
          <w:bCs/>
          <w:sz w:val="20"/>
          <w:szCs w:val="20"/>
        </w:rPr>
        <w:t xml:space="preserve">iring </w:t>
      </w:r>
      <w:r w:rsidRPr="002B1A85">
        <w:rPr>
          <w:rFonts w:ascii="Arial" w:hAnsi="Arial" w:cs="Arial"/>
          <w:b/>
          <w:bCs/>
          <w:sz w:val="20"/>
          <w:szCs w:val="20"/>
        </w:rPr>
        <w:t>EUR 10,483,597,416</w:t>
      </w:r>
      <w:r>
        <w:rPr>
          <w:rFonts w:ascii="Arial" w:hAnsi="Arial" w:cs="Arial"/>
          <w:b/>
          <w:bCs/>
          <w:sz w:val="20"/>
          <w:szCs w:val="20"/>
        </w:rPr>
        <w:t xml:space="preserve"> in total</w:t>
      </w:r>
      <w:r w:rsidRPr="0058536D">
        <w:rPr>
          <w:rFonts w:ascii="Arial" w:hAnsi="Arial" w:cs="Arial"/>
          <w:sz w:val="20"/>
          <w:szCs w:val="20"/>
        </w:rPr>
        <w:t xml:space="preserve">. The average budget proposed </w:t>
      </w:r>
      <w:r>
        <w:rPr>
          <w:rFonts w:ascii="Arial" w:hAnsi="Arial" w:cs="Arial"/>
          <w:sz w:val="20"/>
          <w:szCs w:val="20"/>
        </w:rPr>
        <w:t>was</w:t>
      </w:r>
      <w:r w:rsidRPr="0058536D">
        <w:rPr>
          <w:rFonts w:ascii="Arial" w:hAnsi="Arial" w:cs="Arial"/>
          <w:sz w:val="20"/>
          <w:szCs w:val="20"/>
        </w:rPr>
        <w:t xml:space="preserve"> EUR 13,186,915, while the median was EUR 1,500,000. The highest number of project idea applications (268) was received from Gorj, but the share of Gorj in terms of requested funds is almost the lowest – 10%. The highest amounts of funds (EUR 3,254,064,440; 31%) were requested by </w:t>
      </w:r>
      <w:r w:rsidR="003751DC">
        <w:rPr>
          <w:rFonts w:ascii="Arial" w:hAnsi="Arial" w:cs="Arial"/>
          <w:sz w:val="20"/>
          <w:szCs w:val="20"/>
        </w:rPr>
        <w:t>Galați</w:t>
      </w:r>
      <w:r w:rsidRPr="0058536D">
        <w:rPr>
          <w:rFonts w:ascii="Arial" w:hAnsi="Arial" w:cs="Arial"/>
          <w:sz w:val="20"/>
          <w:szCs w:val="20"/>
        </w:rPr>
        <w:t xml:space="preserve">. This is </w:t>
      </w:r>
      <w:r>
        <w:rPr>
          <w:rFonts w:ascii="Arial" w:hAnsi="Arial" w:cs="Arial"/>
          <w:sz w:val="20"/>
          <w:szCs w:val="20"/>
        </w:rPr>
        <w:t xml:space="preserve">due to the fact that </w:t>
      </w:r>
      <w:r w:rsidRPr="0058536D">
        <w:rPr>
          <w:rFonts w:ascii="Arial" w:hAnsi="Arial" w:cs="Arial"/>
          <w:sz w:val="20"/>
          <w:szCs w:val="20"/>
        </w:rPr>
        <w:t xml:space="preserve">more than EUR 100 million have been requested for each of the seven biggest projects from this region (investments in renewables, large enterprise support for Liberty). </w:t>
      </w:r>
      <w:r>
        <w:rPr>
          <w:rFonts w:ascii="Arial" w:hAnsi="Arial" w:cs="Arial"/>
          <w:sz w:val="20"/>
          <w:szCs w:val="20"/>
        </w:rPr>
        <w:t>Project proponents in Galați</w:t>
      </w:r>
      <w:r w:rsidRPr="0058536D">
        <w:rPr>
          <w:rFonts w:ascii="Arial" w:hAnsi="Arial" w:cs="Arial"/>
          <w:sz w:val="20"/>
          <w:szCs w:val="20"/>
        </w:rPr>
        <w:t xml:space="preserve"> and Hunedoara ask for approximately EUR 6,000 per capita</w:t>
      </w:r>
      <w:r>
        <w:rPr>
          <w:rFonts w:ascii="Arial" w:hAnsi="Arial" w:cs="Arial"/>
          <w:sz w:val="20"/>
          <w:szCs w:val="20"/>
        </w:rPr>
        <w:t>, w</w:t>
      </w:r>
      <w:r w:rsidRPr="0058536D">
        <w:rPr>
          <w:rFonts w:ascii="Arial" w:hAnsi="Arial" w:cs="Arial"/>
          <w:sz w:val="20"/>
          <w:szCs w:val="20"/>
        </w:rPr>
        <w:t xml:space="preserve">hile the average amount </w:t>
      </w:r>
      <w:r>
        <w:rPr>
          <w:rFonts w:ascii="Arial" w:hAnsi="Arial" w:cs="Arial"/>
          <w:sz w:val="20"/>
          <w:szCs w:val="20"/>
        </w:rPr>
        <w:t xml:space="preserve">for the six affected regions </w:t>
      </w:r>
      <w:r w:rsidRPr="0058536D">
        <w:rPr>
          <w:rFonts w:ascii="Arial" w:hAnsi="Arial" w:cs="Arial"/>
          <w:sz w:val="20"/>
          <w:szCs w:val="20"/>
        </w:rPr>
        <w:t xml:space="preserve">is EUR 3,205 per capita. At the same time, Dolj and Prahova ask for less than EUR 1,900 per capita. </w:t>
      </w:r>
      <w:r w:rsidRPr="002B1A85">
        <w:rPr>
          <w:rFonts w:ascii="Arial" w:hAnsi="Arial" w:cs="Arial"/>
          <w:b/>
          <w:bCs/>
          <w:sz w:val="20"/>
          <w:szCs w:val="20"/>
          <w:lang w:eastAsia="en-US"/>
        </w:rPr>
        <w:t xml:space="preserve">The 20 largest projects require more than a half of requested funds, while the number of jobs they plan to create </w:t>
      </w:r>
      <w:r>
        <w:rPr>
          <w:rFonts w:ascii="Arial" w:hAnsi="Arial" w:cs="Arial"/>
          <w:b/>
          <w:bCs/>
          <w:sz w:val="20"/>
          <w:szCs w:val="20"/>
          <w:lang w:eastAsia="en-US"/>
        </w:rPr>
        <w:t>is lower than the average per proposed project</w:t>
      </w:r>
      <w:r w:rsidRPr="002B1A85">
        <w:rPr>
          <w:rFonts w:ascii="Arial" w:hAnsi="Arial" w:cs="Arial"/>
          <w:b/>
          <w:bCs/>
          <w:sz w:val="20"/>
          <w:szCs w:val="20"/>
          <w:lang w:eastAsia="en-US"/>
        </w:rPr>
        <w:t>.</w:t>
      </w:r>
      <w:r w:rsidRPr="0058536D">
        <w:rPr>
          <w:rFonts w:ascii="Arial" w:hAnsi="Arial" w:cs="Arial"/>
          <w:sz w:val="20"/>
          <w:szCs w:val="20"/>
          <w:lang w:eastAsia="en-US"/>
        </w:rPr>
        <w:t xml:space="preserve"> The main types of project ideas are in the following fields: productive investments in SMEs, creation of new firms</w:t>
      </w:r>
      <w:r w:rsidR="00E661C7">
        <w:rPr>
          <w:rFonts w:ascii="Arial" w:hAnsi="Arial" w:cs="Arial"/>
          <w:sz w:val="20"/>
          <w:szCs w:val="20"/>
          <w:lang w:eastAsia="en-US"/>
        </w:rPr>
        <w:t xml:space="preserve"> across all sectors of the economy</w:t>
      </w:r>
      <w:r w:rsidRPr="0058536D">
        <w:rPr>
          <w:rFonts w:ascii="Arial" w:hAnsi="Arial" w:cs="Arial"/>
          <w:sz w:val="20"/>
          <w:szCs w:val="20"/>
          <w:lang w:eastAsia="en-US"/>
        </w:rPr>
        <w:t>, investments in clean energy, in GHG emission reduction, energy efficiency and renewable energy. The total number of new direct jobs expected to be created (25,979) is not very high compared to the requested funds</w:t>
      </w:r>
      <w:r>
        <w:rPr>
          <w:rFonts w:ascii="Arial" w:hAnsi="Arial" w:cs="Arial"/>
          <w:sz w:val="20"/>
          <w:szCs w:val="20"/>
          <w:lang w:eastAsia="en-US"/>
        </w:rPr>
        <w:t xml:space="preserve">. </w:t>
      </w:r>
      <w:r w:rsidRPr="0058536D">
        <w:rPr>
          <w:rFonts w:ascii="Arial" w:hAnsi="Arial" w:cs="Arial"/>
          <w:sz w:val="20"/>
          <w:szCs w:val="20"/>
        </w:rPr>
        <w:t xml:space="preserve">The amount of project ideas with high maturity is very low, while project ideas with low maturity account for 59% of all project ideas. Some towns (19) want to have a possibility </w:t>
      </w:r>
      <w:r>
        <w:rPr>
          <w:rFonts w:ascii="Arial" w:hAnsi="Arial" w:cs="Arial"/>
          <w:sz w:val="20"/>
          <w:szCs w:val="20"/>
        </w:rPr>
        <w:t xml:space="preserve">of </w:t>
      </w:r>
      <w:r w:rsidRPr="0058536D">
        <w:rPr>
          <w:rFonts w:ascii="Arial" w:hAnsi="Arial" w:cs="Arial"/>
          <w:sz w:val="20"/>
          <w:szCs w:val="20"/>
        </w:rPr>
        <w:t>reallocation of JT</w:t>
      </w:r>
      <w:r w:rsidR="003E4F7B">
        <w:rPr>
          <w:rFonts w:ascii="Arial" w:hAnsi="Arial" w:cs="Arial"/>
          <w:sz w:val="20"/>
          <w:szCs w:val="20"/>
        </w:rPr>
        <w:t>F</w:t>
      </w:r>
      <w:r w:rsidRPr="0058536D">
        <w:rPr>
          <w:rFonts w:ascii="Arial" w:hAnsi="Arial" w:cs="Arial"/>
          <w:sz w:val="20"/>
          <w:szCs w:val="20"/>
        </w:rPr>
        <w:t xml:space="preserve"> funds inside the community</w:t>
      </w:r>
      <w:r>
        <w:rPr>
          <w:rFonts w:ascii="Arial" w:hAnsi="Arial" w:cs="Arial"/>
          <w:sz w:val="20"/>
          <w:szCs w:val="20"/>
        </w:rPr>
        <w:t>, for example</w:t>
      </w:r>
      <w:r w:rsidRPr="0058536D">
        <w:rPr>
          <w:rFonts w:ascii="Arial" w:hAnsi="Arial" w:cs="Arial"/>
          <w:sz w:val="20"/>
          <w:szCs w:val="20"/>
        </w:rPr>
        <w:t xml:space="preserve"> as a community grant scheme. Many potential applicants want to establish new enterprises with the use of JTF funds without allocating own funds or funds from other sources. </w:t>
      </w:r>
    </w:p>
    <w:p w14:paraId="30BF111A" w14:textId="0004252B"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11</w:t>
      </w:r>
      <w:r w:rsidRPr="0058536D">
        <w:rPr>
          <w:rFonts w:ascii="Arial" w:hAnsi="Arial" w:cs="Arial"/>
          <w:sz w:val="20"/>
          <w:szCs w:val="20"/>
        </w:rPr>
        <w:t xml:space="preserve"> provides insights into the </w:t>
      </w:r>
      <w:r w:rsidRPr="002B1A85">
        <w:rPr>
          <w:rFonts w:ascii="Arial" w:hAnsi="Arial" w:cs="Arial"/>
          <w:b/>
          <w:bCs/>
          <w:sz w:val="20"/>
          <w:szCs w:val="20"/>
        </w:rPr>
        <w:t>monitoring and evaluation arrangements</w:t>
      </w:r>
      <w:r>
        <w:rPr>
          <w:rFonts w:ascii="Arial" w:hAnsi="Arial" w:cs="Arial"/>
          <w:b/>
          <w:bCs/>
          <w:sz w:val="20"/>
          <w:szCs w:val="20"/>
        </w:rPr>
        <w:t xml:space="preserve">. </w:t>
      </w:r>
      <w:r w:rsidRPr="00A44357">
        <w:rPr>
          <w:rFonts w:ascii="Arial" w:hAnsi="Arial" w:cs="Arial"/>
          <w:sz w:val="20"/>
          <w:szCs w:val="20"/>
        </w:rPr>
        <w:t>It also</w:t>
      </w:r>
      <w:r>
        <w:rPr>
          <w:rFonts w:ascii="Arial" w:hAnsi="Arial" w:cs="Arial"/>
          <w:b/>
          <w:bCs/>
          <w:sz w:val="20"/>
          <w:szCs w:val="20"/>
        </w:rPr>
        <w:t xml:space="preserve"> </w:t>
      </w:r>
      <w:r w:rsidRPr="0058536D">
        <w:rPr>
          <w:rFonts w:ascii="Arial" w:hAnsi="Arial" w:cs="Arial"/>
          <w:sz w:val="20"/>
          <w:szCs w:val="20"/>
        </w:rPr>
        <w:t>suggest</w:t>
      </w:r>
      <w:r>
        <w:rPr>
          <w:rFonts w:ascii="Arial" w:hAnsi="Arial" w:cs="Arial"/>
          <w:sz w:val="20"/>
          <w:szCs w:val="20"/>
        </w:rPr>
        <w:t>s</w:t>
      </w:r>
      <w:r w:rsidRPr="0058536D">
        <w:rPr>
          <w:rFonts w:ascii="Arial" w:hAnsi="Arial" w:cs="Arial"/>
          <w:sz w:val="20"/>
          <w:szCs w:val="20"/>
        </w:rPr>
        <w:t xml:space="preserve"> specific </w:t>
      </w:r>
      <w:r w:rsidRPr="002B1A85">
        <w:rPr>
          <w:rFonts w:ascii="Arial" w:hAnsi="Arial" w:cs="Arial"/>
          <w:b/>
          <w:bCs/>
          <w:sz w:val="20"/>
          <w:szCs w:val="20"/>
        </w:rPr>
        <w:t>output and results indicators</w:t>
      </w:r>
      <w:r w:rsidRPr="0058536D">
        <w:rPr>
          <w:rFonts w:ascii="Arial" w:hAnsi="Arial" w:cs="Arial"/>
          <w:sz w:val="20"/>
          <w:szCs w:val="20"/>
        </w:rPr>
        <w:t xml:space="preserve"> </w:t>
      </w:r>
      <w:r>
        <w:rPr>
          <w:rFonts w:ascii="Arial" w:hAnsi="Arial" w:cs="Arial"/>
          <w:sz w:val="20"/>
          <w:szCs w:val="20"/>
        </w:rPr>
        <w:t>(</w:t>
      </w:r>
      <w:r w:rsidR="004B6689">
        <w:rPr>
          <w:rFonts w:ascii="Arial" w:hAnsi="Arial" w:cs="Arial"/>
          <w:sz w:val="20"/>
          <w:szCs w:val="20"/>
        </w:rPr>
        <w:t>Section</w:t>
      </w:r>
      <w:r w:rsidRPr="0058536D">
        <w:rPr>
          <w:rFonts w:ascii="Arial" w:hAnsi="Arial" w:cs="Arial"/>
          <w:sz w:val="20"/>
          <w:szCs w:val="20"/>
        </w:rPr>
        <w:t xml:space="preserve"> 11.1</w:t>
      </w:r>
      <w:r>
        <w:rPr>
          <w:rFonts w:ascii="Arial" w:hAnsi="Arial" w:cs="Arial"/>
          <w:sz w:val="20"/>
          <w:szCs w:val="20"/>
        </w:rPr>
        <w:t>)</w:t>
      </w:r>
      <w:r w:rsidR="00E661C7">
        <w:rPr>
          <w:rFonts w:ascii="Arial" w:hAnsi="Arial" w:cs="Arial"/>
          <w:sz w:val="20"/>
          <w:szCs w:val="20"/>
        </w:rPr>
        <w:t>.</w:t>
      </w:r>
      <w:r w:rsidRPr="0058536D">
        <w:rPr>
          <w:rFonts w:ascii="Arial" w:hAnsi="Arial" w:cs="Arial"/>
          <w:sz w:val="20"/>
          <w:szCs w:val="20"/>
        </w:rPr>
        <w:t xml:space="preserve"> </w:t>
      </w:r>
      <w:r w:rsidR="00E661C7">
        <w:rPr>
          <w:rFonts w:ascii="Arial" w:hAnsi="Arial" w:cs="Arial"/>
          <w:sz w:val="20"/>
          <w:szCs w:val="20"/>
        </w:rPr>
        <w:t xml:space="preserve"> Section 11.2 </w:t>
      </w:r>
      <w:r w:rsidRPr="0058536D">
        <w:rPr>
          <w:rFonts w:ascii="Arial" w:hAnsi="Arial" w:cs="Arial"/>
          <w:sz w:val="20"/>
          <w:szCs w:val="20"/>
        </w:rPr>
        <w:t>discuss</w:t>
      </w:r>
      <w:r>
        <w:rPr>
          <w:rFonts w:ascii="Arial" w:hAnsi="Arial" w:cs="Arial"/>
          <w:sz w:val="20"/>
          <w:szCs w:val="20"/>
        </w:rPr>
        <w:t>es</w:t>
      </w:r>
      <w:r w:rsidRPr="0058536D">
        <w:rPr>
          <w:rFonts w:ascii="Arial" w:hAnsi="Arial" w:cs="Arial"/>
          <w:sz w:val="20"/>
          <w:szCs w:val="20"/>
        </w:rPr>
        <w:t xml:space="preserve"> risks and mitigation measures</w:t>
      </w:r>
      <w:r w:rsidR="00AB0880">
        <w:rPr>
          <w:rFonts w:ascii="Arial" w:hAnsi="Arial" w:cs="Arial"/>
          <w:sz w:val="20"/>
          <w:szCs w:val="20"/>
        </w:rPr>
        <w:t>, including the implementation process of the OPJT</w:t>
      </w:r>
    </w:p>
    <w:p w14:paraId="2CFFDFEC" w14:textId="5F531938" w:rsidR="00DA6B30" w:rsidRPr="0058536D" w:rsidRDefault="00DA6B30" w:rsidP="00DA6B30">
      <w:pPr>
        <w:spacing w:after="120"/>
        <w:jc w:val="both"/>
        <w:rPr>
          <w:rFonts w:ascii="Arial" w:hAnsi="Arial" w:cs="Arial"/>
          <w:sz w:val="20"/>
          <w:szCs w:val="20"/>
        </w:rPr>
      </w:pPr>
      <w:r w:rsidRPr="005E1715">
        <w:rPr>
          <w:rFonts w:ascii="Arial" w:hAnsi="Arial" w:cs="Arial"/>
          <w:b/>
          <w:bCs/>
          <w:sz w:val="20"/>
          <w:szCs w:val="20"/>
          <w:u w:val="single"/>
        </w:rPr>
        <w:t>Chapter 12</w:t>
      </w:r>
      <w:r w:rsidRPr="0058536D">
        <w:rPr>
          <w:rFonts w:ascii="Arial" w:hAnsi="Arial" w:cs="Arial"/>
          <w:sz w:val="20"/>
          <w:szCs w:val="20"/>
        </w:rPr>
        <w:t xml:space="preserve"> comprises conclusions and final considerations </w:t>
      </w:r>
      <w:r w:rsidRPr="0058536D">
        <w:rPr>
          <w:rFonts w:ascii="Arial" w:hAnsi="Arial" w:cs="Arial"/>
          <w:color w:val="000000"/>
          <w:sz w:val="20"/>
          <w:szCs w:val="20"/>
          <w:shd w:val="clear" w:color="auto" w:fill="FFFFFF"/>
        </w:rPr>
        <w:t xml:space="preserve">on </w:t>
      </w:r>
      <w:r w:rsidRPr="002B1A85">
        <w:rPr>
          <w:rFonts w:ascii="Arial" w:hAnsi="Arial" w:cs="Arial"/>
          <w:b/>
          <w:bCs/>
          <w:color w:val="000000"/>
          <w:sz w:val="20"/>
          <w:szCs w:val="20"/>
          <w:shd w:val="clear" w:color="auto" w:fill="FFFFFF"/>
        </w:rPr>
        <w:t xml:space="preserve">key steps </w:t>
      </w:r>
      <w:r>
        <w:rPr>
          <w:rFonts w:ascii="Arial" w:hAnsi="Arial" w:cs="Arial"/>
          <w:b/>
          <w:bCs/>
          <w:color w:val="000000"/>
          <w:sz w:val="20"/>
          <w:szCs w:val="20"/>
          <w:shd w:val="clear" w:color="auto" w:fill="FFFFFF"/>
        </w:rPr>
        <w:t>to be implemented</w:t>
      </w:r>
      <w:r w:rsidRPr="002B1A85">
        <w:rPr>
          <w:rFonts w:ascii="Arial" w:hAnsi="Arial" w:cs="Arial"/>
          <w:b/>
          <w:bCs/>
          <w:color w:val="000000"/>
          <w:sz w:val="20"/>
          <w:szCs w:val="20"/>
          <w:shd w:val="clear" w:color="auto" w:fill="FFFFFF"/>
        </w:rPr>
        <w:t xml:space="preserve"> in the second half of</w:t>
      </w:r>
      <w:r>
        <w:rPr>
          <w:rFonts w:ascii="Arial" w:hAnsi="Arial" w:cs="Arial"/>
          <w:b/>
          <w:bCs/>
          <w:color w:val="000000"/>
          <w:sz w:val="20"/>
          <w:szCs w:val="20"/>
          <w:shd w:val="clear" w:color="auto" w:fill="FFFFFF"/>
        </w:rPr>
        <w:t xml:space="preserve"> </w:t>
      </w:r>
      <w:r w:rsidRPr="002B1A85">
        <w:rPr>
          <w:rFonts w:ascii="Arial" w:hAnsi="Arial" w:cs="Arial"/>
          <w:b/>
          <w:bCs/>
          <w:color w:val="000000"/>
          <w:sz w:val="20"/>
          <w:szCs w:val="20"/>
          <w:shd w:val="clear" w:color="auto" w:fill="FFFFFF"/>
        </w:rPr>
        <w:t>2021/early 2022</w:t>
      </w:r>
      <w:r w:rsidRPr="0058536D">
        <w:rPr>
          <w:rFonts w:ascii="Arial" w:hAnsi="Arial" w:cs="Arial"/>
          <w:color w:val="000000"/>
          <w:sz w:val="20"/>
          <w:szCs w:val="20"/>
          <w:shd w:val="clear" w:color="auto" w:fill="FFFFFF"/>
        </w:rPr>
        <w:t xml:space="preserve"> for the TJTPs to be successfully finalised and for the O</w:t>
      </w:r>
      <w:r w:rsidR="003E4F7B">
        <w:rPr>
          <w:rFonts w:ascii="Arial" w:hAnsi="Arial" w:cs="Arial"/>
          <w:color w:val="000000"/>
          <w:sz w:val="20"/>
          <w:szCs w:val="20"/>
          <w:shd w:val="clear" w:color="auto" w:fill="FFFFFF"/>
        </w:rPr>
        <w:t xml:space="preserve">perational Programme </w:t>
      </w:r>
      <w:r w:rsidRPr="0058536D">
        <w:rPr>
          <w:rFonts w:ascii="Arial" w:hAnsi="Arial" w:cs="Arial"/>
          <w:color w:val="000000"/>
          <w:sz w:val="20"/>
          <w:szCs w:val="20"/>
          <w:shd w:val="clear" w:color="auto" w:fill="FFFFFF"/>
        </w:rPr>
        <w:t>J</w:t>
      </w:r>
      <w:r w:rsidR="003E4F7B">
        <w:rPr>
          <w:rFonts w:ascii="Arial" w:hAnsi="Arial" w:cs="Arial"/>
          <w:color w:val="000000"/>
          <w:sz w:val="20"/>
          <w:szCs w:val="20"/>
          <w:shd w:val="clear" w:color="auto" w:fill="FFFFFF"/>
        </w:rPr>
        <w:t xml:space="preserve">ust </w:t>
      </w:r>
      <w:r w:rsidRPr="0058536D">
        <w:rPr>
          <w:rFonts w:ascii="Arial" w:hAnsi="Arial" w:cs="Arial"/>
          <w:color w:val="000000"/>
          <w:sz w:val="20"/>
          <w:szCs w:val="20"/>
          <w:shd w:val="clear" w:color="auto" w:fill="FFFFFF"/>
        </w:rPr>
        <w:t>T</w:t>
      </w:r>
      <w:r w:rsidR="003E4F7B">
        <w:rPr>
          <w:rFonts w:ascii="Arial" w:hAnsi="Arial" w:cs="Arial"/>
          <w:color w:val="000000"/>
          <w:sz w:val="20"/>
          <w:szCs w:val="20"/>
          <w:shd w:val="clear" w:color="auto" w:fill="FFFFFF"/>
        </w:rPr>
        <w:t>ransition (OPJT)</w:t>
      </w:r>
      <w:r w:rsidRPr="0058536D">
        <w:rPr>
          <w:rFonts w:ascii="Arial" w:hAnsi="Arial" w:cs="Arial"/>
          <w:color w:val="000000"/>
          <w:sz w:val="20"/>
          <w:szCs w:val="20"/>
          <w:shd w:val="clear" w:color="auto" w:fill="FFFFFF"/>
        </w:rPr>
        <w:t xml:space="preserve"> to be drafted. Some of these </w:t>
      </w:r>
      <w:r>
        <w:rPr>
          <w:rFonts w:ascii="Arial" w:hAnsi="Arial" w:cs="Arial"/>
          <w:color w:val="000000"/>
          <w:sz w:val="20"/>
          <w:szCs w:val="20"/>
          <w:shd w:val="clear" w:color="auto" w:fill="FFFFFF"/>
        </w:rPr>
        <w:t>activities</w:t>
      </w:r>
      <w:r w:rsidRPr="0058536D">
        <w:rPr>
          <w:rFonts w:ascii="Arial" w:hAnsi="Arial" w:cs="Arial"/>
          <w:color w:val="000000"/>
          <w:sz w:val="20"/>
          <w:szCs w:val="20"/>
          <w:shd w:val="clear" w:color="auto" w:fill="FFFFFF"/>
        </w:rPr>
        <w:t xml:space="preserve"> comprise </w:t>
      </w:r>
      <w:r w:rsidRPr="0058536D">
        <w:rPr>
          <w:rFonts w:ascii="Arial" w:hAnsi="Arial" w:cs="Arial"/>
          <w:sz w:val="20"/>
          <w:szCs w:val="20"/>
        </w:rPr>
        <w:t xml:space="preserve">the clarification of restructuring plans at the Hunedoara Energy Complex and the immediate inclusion of affected people in existing skilling/upskilling opportunities; finalisation and approval of restructuring plans at the Oltenia Energy Complex; the start of prospective labour market studies in both Gorj and Dolj; the establishment of a national Coal Commission or </w:t>
      </w:r>
      <w:r>
        <w:rPr>
          <w:rFonts w:ascii="Arial" w:hAnsi="Arial" w:cs="Arial"/>
          <w:sz w:val="20"/>
          <w:szCs w:val="20"/>
        </w:rPr>
        <w:t xml:space="preserve">a </w:t>
      </w:r>
      <w:r w:rsidRPr="0058536D">
        <w:rPr>
          <w:rFonts w:ascii="Arial" w:hAnsi="Arial" w:cs="Arial"/>
          <w:sz w:val="20"/>
          <w:szCs w:val="20"/>
        </w:rPr>
        <w:t xml:space="preserve">similar consensus-building body and </w:t>
      </w:r>
      <w:r w:rsidRPr="00FA4D7A">
        <w:rPr>
          <w:rFonts w:ascii="Arial" w:hAnsi="Arial" w:cs="Arial"/>
          <w:b/>
          <w:bCs/>
          <w:sz w:val="20"/>
          <w:szCs w:val="20"/>
        </w:rPr>
        <w:t>continuous stakeholder engagement and communication activities</w:t>
      </w:r>
      <w:r w:rsidRPr="0058536D">
        <w:rPr>
          <w:rFonts w:ascii="Arial" w:hAnsi="Arial" w:cs="Arial"/>
          <w:sz w:val="20"/>
          <w:szCs w:val="20"/>
        </w:rPr>
        <w:t xml:space="preserve">. The same section also analyses the absorption capacity in the affected regions, which </w:t>
      </w:r>
      <w:r w:rsidRPr="0058536D">
        <w:rPr>
          <w:rFonts w:ascii="Arial" w:hAnsi="Arial" w:cs="Arial"/>
          <w:color w:val="000000"/>
          <w:sz w:val="20"/>
          <w:szCs w:val="20"/>
        </w:rPr>
        <w:t xml:space="preserve">could be taken into account when considering regional level allocations. It </w:t>
      </w:r>
      <w:r>
        <w:rPr>
          <w:rFonts w:ascii="Arial" w:hAnsi="Arial" w:cs="Arial"/>
          <w:color w:val="000000"/>
          <w:sz w:val="20"/>
          <w:szCs w:val="20"/>
        </w:rPr>
        <w:t>closes</w:t>
      </w:r>
      <w:r w:rsidRPr="0058536D">
        <w:rPr>
          <w:rFonts w:ascii="Arial" w:hAnsi="Arial" w:cs="Arial"/>
          <w:color w:val="000000"/>
          <w:sz w:val="20"/>
          <w:szCs w:val="20"/>
        </w:rPr>
        <w:t xml:space="preserve"> with cross-cutting </w:t>
      </w:r>
      <w:r w:rsidRPr="00FA4D7A">
        <w:rPr>
          <w:rFonts w:ascii="Arial" w:hAnsi="Arial" w:cs="Arial"/>
          <w:b/>
          <w:bCs/>
          <w:color w:val="000000"/>
          <w:sz w:val="20"/>
          <w:szCs w:val="20"/>
        </w:rPr>
        <w:t>recommendations on identified investment needs</w:t>
      </w:r>
      <w:r w:rsidRPr="0058536D">
        <w:rPr>
          <w:rFonts w:ascii="Arial" w:hAnsi="Arial" w:cs="Arial"/>
          <w:color w:val="000000"/>
          <w:sz w:val="20"/>
          <w:szCs w:val="20"/>
        </w:rPr>
        <w:t xml:space="preserve">: </w:t>
      </w:r>
      <w:r w:rsidRPr="0058536D">
        <w:rPr>
          <w:rFonts w:ascii="Arial" w:hAnsi="Arial" w:cs="Arial"/>
          <w:sz w:val="20"/>
          <w:szCs w:val="20"/>
        </w:rPr>
        <w:t>land/site decontamination, brownfield redevelopment and land repurposing; entrepreneurship support programmes (where we conclude that few start-up creation</w:t>
      </w:r>
      <w:r w:rsidR="004B6689">
        <w:rPr>
          <w:rFonts w:ascii="Arial" w:hAnsi="Arial" w:cs="Arial"/>
          <w:sz w:val="20"/>
          <w:szCs w:val="20"/>
        </w:rPr>
        <w:t>s</w:t>
      </w:r>
      <w:r w:rsidRPr="0058536D">
        <w:rPr>
          <w:rFonts w:ascii="Arial" w:hAnsi="Arial" w:cs="Arial"/>
          <w:sz w:val="20"/>
          <w:szCs w:val="20"/>
        </w:rPr>
        <w:t xml:space="preserve"> should be supported in a limited number of areas); the need for smart(er) reskilling and upskilling programmes than what has typically been supported so far in Romania. </w:t>
      </w:r>
    </w:p>
    <w:p w14:paraId="6F3E3387" w14:textId="50F84398" w:rsidR="00DA6B30" w:rsidRPr="00BE33F2" w:rsidRDefault="00DA6B30" w:rsidP="00DA6B30">
      <w:pPr>
        <w:spacing w:after="120"/>
        <w:jc w:val="both"/>
        <w:rPr>
          <w:rFonts w:ascii="Arial" w:hAnsi="Arial" w:cs="Arial"/>
          <w:b/>
          <w:bCs/>
          <w:sz w:val="20"/>
          <w:szCs w:val="20"/>
        </w:rPr>
      </w:pPr>
      <w:r w:rsidRPr="00782BFD">
        <w:rPr>
          <w:rFonts w:ascii="Arial" w:hAnsi="Arial" w:cs="Arial"/>
          <w:b/>
          <w:bCs/>
          <w:sz w:val="20"/>
          <w:szCs w:val="20"/>
        </w:rPr>
        <w:t xml:space="preserve">Please note that this report contains the latest information as of </w:t>
      </w:r>
      <w:r w:rsidR="008A14A7">
        <w:rPr>
          <w:rFonts w:ascii="Arial" w:hAnsi="Arial" w:cs="Arial"/>
          <w:b/>
          <w:bCs/>
          <w:sz w:val="20"/>
          <w:szCs w:val="20"/>
        </w:rPr>
        <w:t>December 2</w:t>
      </w:r>
      <w:r w:rsidRPr="00782BFD">
        <w:rPr>
          <w:rFonts w:ascii="Arial" w:hAnsi="Arial" w:cs="Arial"/>
          <w:b/>
          <w:bCs/>
          <w:sz w:val="20"/>
          <w:szCs w:val="20"/>
        </w:rPr>
        <w:t xml:space="preserve">, 2021 unless otherwise stated. Based on comments from different stakeholders, additional information </w:t>
      </w:r>
      <w:r w:rsidR="008A14A7">
        <w:rPr>
          <w:rFonts w:ascii="Arial" w:hAnsi="Arial" w:cs="Arial"/>
          <w:b/>
          <w:bCs/>
          <w:sz w:val="20"/>
          <w:szCs w:val="20"/>
        </w:rPr>
        <w:t xml:space="preserve">might be </w:t>
      </w:r>
      <w:r w:rsidRPr="00782BFD">
        <w:rPr>
          <w:rFonts w:ascii="Arial" w:hAnsi="Arial" w:cs="Arial"/>
          <w:b/>
          <w:bCs/>
          <w:sz w:val="20"/>
          <w:szCs w:val="20"/>
        </w:rPr>
        <w:t>included in the Final Report (D5).</w:t>
      </w:r>
    </w:p>
    <w:p w14:paraId="282B1662" w14:textId="25225DCF" w:rsidR="009C2D9B" w:rsidRPr="003516DC" w:rsidRDefault="009C2D9B" w:rsidP="00C04CF7">
      <w:pPr>
        <w:jc w:val="both"/>
        <w:rPr>
          <w:rFonts w:ascii="Arial" w:hAnsi="Arial" w:cs="Arial"/>
          <w:b/>
          <w:smallCaps/>
          <w:color w:val="000000"/>
          <w:sz w:val="32"/>
          <w:szCs w:val="32"/>
        </w:rPr>
      </w:pPr>
      <w:r w:rsidRPr="003516DC">
        <w:rPr>
          <w:rFonts w:ascii="Arial" w:hAnsi="Arial" w:cs="Arial"/>
        </w:rPr>
        <w:br w:type="page"/>
      </w:r>
    </w:p>
    <w:p w14:paraId="66976680" w14:textId="29061AFB" w:rsidR="003A13DD" w:rsidRPr="001916C2" w:rsidRDefault="00C7596F" w:rsidP="00E42342">
      <w:pPr>
        <w:pStyle w:val="Heading1"/>
        <w:numPr>
          <w:ilvl w:val="0"/>
          <w:numId w:val="110"/>
        </w:numPr>
        <w:ind w:left="567" w:hanging="567"/>
        <w:rPr>
          <w:color w:val="4F81BD" w:themeColor="accent1"/>
        </w:rPr>
      </w:pPr>
      <w:bookmarkStart w:id="6" w:name="_Toc90725842"/>
      <w:r w:rsidRPr="001916C2">
        <w:rPr>
          <w:color w:val="4F81BD" w:themeColor="accent1"/>
        </w:rPr>
        <w:lastRenderedPageBreak/>
        <w:t>Context</w:t>
      </w:r>
      <w:bookmarkEnd w:id="5"/>
      <w:bookmarkEnd w:id="6"/>
    </w:p>
    <w:p w14:paraId="594421F4" w14:textId="45164EF8" w:rsidR="001B4088" w:rsidRPr="003516DC" w:rsidRDefault="00C7596F" w:rsidP="00E42342">
      <w:pPr>
        <w:pStyle w:val="Heading2"/>
        <w:numPr>
          <w:ilvl w:val="0"/>
          <w:numId w:val="112"/>
        </w:numPr>
        <w:spacing w:before="240" w:line="240" w:lineRule="auto"/>
        <w:ind w:left="567" w:hanging="567"/>
        <w:jc w:val="both"/>
      </w:pPr>
      <w:bookmarkStart w:id="7" w:name="_Toc68871781"/>
      <w:bookmarkStart w:id="8" w:name="_Toc90725843"/>
      <w:r w:rsidRPr="003516DC">
        <w:t xml:space="preserve">Analysis of </w:t>
      </w:r>
      <w:r w:rsidR="00F46807" w:rsidRPr="003516DC">
        <w:t xml:space="preserve">existing </w:t>
      </w:r>
      <w:r w:rsidRPr="003516DC">
        <w:t xml:space="preserve">efforts and their results with regards to the transition to a climate-neutral economy </w:t>
      </w:r>
      <w:r w:rsidR="00315546" w:rsidRPr="003516DC">
        <w:t xml:space="preserve">and </w:t>
      </w:r>
      <w:r w:rsidRPr="003516DC">
        <w:t>an outlook on planned measures</w:t>
      </w:r>
      <w:bookmarkEnd w:id="7"/>
      <w:bookmarkEnd w:id="8"/>
      <w:r w:rsidR="001B4088" w:rsidRPr="003516DC">
        <w:t xml:space="preserve"> </w:t>
      </w:r>
    </w:p>
    <w:p w14:paraId="465B6F7D" w14:textId="40CE4DD2" w:rsidR="00DB3DC5" w:rsidRPr="003516DC" w:rsidRDefault="005C5395" w:rsidP="0077704C">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 xml:space="preserve">The transition to a less-carbon intensive economy based on restructuring processes in energy intensive industries has been underway in Romania for a long time. As </w:t>
      </w:r>
      <w:r w:rsidR="00315546" w:rsidRPr="003516DC">
        <w:rPr>
          <w:rFonts w:ascii="Arial" w:hAnsi="Arial" w:cs="Arial"/>
          <w:color w:val="000000"/>
          <w:sz w:val="20"/>
          <w:szCs w:val="20"/>
          <w:shd w:val="clear" w:color="auto" w:fill="FFFFFF"/>
        </w:rPr>
        <w:t xml:space="preserve">the stakeholder interview process and existing </w:t>
      </w:r>
      <w:r w:rsidRPr="003516DC">
        <w:rPr>
          <w:rFonts w:ascii="Arial" w:hAnsi="Arial" w:cs="Arial"/>
          <w:color w:val="000000"/>
          <w:sz w:val="20"/>
          <w:szCs w:val="20"/>
          <w:shd w:val="clear" w:color="auto" w:fill="FFFFFF"/>
        </w:rPr>
        <w:t xml:space="preserve">data </w:t>
      </w:r>
      <w:r w:rsidR="00315546" w:rsidRPr="003516DC">
        <w:rPr>
          <w:rFonts w:ascii="Arial" w:hAnsi="Arial" w:cs="Arial"/>
          <w:color w:val="000000"/>
          <w:sz w:val="20"/>
          <w:szCs w:val="20"/>
          <w:shd w:val="clear" w:color="auto" w:fill="FFFFFF"/>
        </w:rPr>
        <w:t xml:space="preserve">have </w:t>
      </w:r>
      <w:r w:rsidRPr="003516DC">
        <w:rPr>
          <w:rFonts w:ascii="Arial" w:hAnsi="Arial" w:cs="Arial"/>
          <w:color w:val="000000"/>
          <w:sz w:val="20"/>
          <w:szCs w:val="20"/>
          <w:shd w:val="clear" w:color="auto" w:fill="FFFFFF"/>
        </w:rPr>
        <w:t>show</w:t>
      </w:r>
      <w:r w:rsidR="00315546" w:rsidRPr="003516DC">
        <w:rPr>
          <w:rFonts w:ascii="Arial" w:hAnsi="Arial" w:cs="Arial"/>
          <w:color w:val="000000"/>
          <w:sz w:val="20"/>
          <w:szCs w:val="20"/>
          <w:shd w:val="clear" w:color="auto" w:fill="FFFFFF"/>
        </w:rPr>
        <w:t>n</w:t>
      </w:r>
      <w:r w:rsidRPr="003516DC">
        <w:rPr>
          <w:rFonts w:ascii="Arial" w:hAnsi="Arial" w:cs="Arial"/>
          <w:color w:val="000000"/>
          <w:sz w:val="20"/>
          <w:szCs w:val="20"/>
          <w:shd w:val="clear" w:color="auto" w:fill="FFFFFF"/>
        </w:rPr>
        <w:t xml:space="preserve">, the restructuring of the country’s most energy-intensive industries (steel manufacturing in </w:t>
      </w:r>
      <w:r w:rsidR="006C793F" w:rsidRPr="003516DC">
        <w:rPr>
          <w:rFonts w:ascii="Arial" w:hAnsi="Arial" w:cs="Arial"/>
          <w:color w:val="000000"/>
          <w:sz w:val="20"/>
          <w:szCs w:val="20"/>
          <w:shd w:val="clear" w:color="auto" w:fill="FFFFFF"/>
        </w:rPr>
        <w:t>Galați</w:t>
      </w:r>
      <w:r w:rsidRPr="003516DC">
        <w:rPr>
          <w:rFonts w:ascii="Arial" w:hAnsi="Arial" w:cs="Arial"/>
          <w:color w:val="000000"/>
          <w:sz w:val="20"/>
          <w:szCs w:val="20"/>
          <w:shd w:val="clear" w:color="auto" w:fill="FFFFFF"/>
        </w:rPr>
        <w:t xml:space="preserve">, fertilizer production </w:t>
      </w:r>
      <w:r w:rsidR="00287F78" w:rsidRPr="003516DC">
        <w:rPr>
          <w:rFonts w:ascii="Arial" w:hAnsi="Arial" w:cs="Arial"/>
          <w:color w:val="000000"/>
          <w:sz w:val="20"/>
          <w:szCs w:val="20"/>
          <w:shd w:val="clear" w:color="auto" w:fill="FFFFFF"/>
        </w:rPr>
        <w:t xml:space="preserve">from natural gas </w:t>
      </w:r>
      <w:r w:rsidRPr="003516DC">
        <w:rPr>
          <w:rFonts w:ascii="Arial" w:hAnsi="Arial" w:cs="Arial"/>
          <w:color w:val="000000"/>
          <w:sz w:val="20"/>
          <w:szCs w:val="20"/>
          <w:shd w:val="clear" w:color="auto" w:fill="FFFFFF"/>
        </w:rPr>
        <w:t xml:space="preserve">in </w:t>
      </w:r>
      <w:r w:rsidR="006C793F" w:rsidRPr="003516DC">
        <w:rPr>
          <w:rFonts w:ascii="Arial" w:hAnsi="Arial" w:cs="Arial"/>
          <w:color w:val="000000"/>
          <w:sz w:val="20"/>
          <w:szCs w:val="20"/>
          <w:shd w:val="clear" w:color="auto" w:fill="FFFFFF"/>
        </w:rPr>
        <w:t>Mureș</w:t>
      </w:r>
      <w:r w:rsidRPr="003516DC">
        <w:rPr>
          <w:rFonts w:ascii="Arial" w:hAnsi="Arial" w:cs="Arial"/>
          <w:color w:val="000000"/>
          <w:sz w:val="20"/>
          <w:szCs w:val="20"/>
          <w:shd w:val="clear" w:color="auto" w:fill="FFFFFF"/>
        </w:rPr>
        <w:t xml:space="preserve">, oil &amp; gas extraction and refining in Prahova, coal mining and coal-based power production in Hunedoara, Gorj and </w:t>
      </w:r>
      <w:r w:rsidR="009037AE" w:rsidRPr="003516DC">
        <w:rPr>
          <w:rFonts w:ascii="Arial" w:hAnsi="Arial" w:cs="Arial"/>
          <w:color w:val="000000"/>
          <w:sz w:val="20"/>
          <w:szCs w:val="20"/>
          <w:shd w:val="clear" w:color="auto" w:fill="FFFFFF"/>
        </w:rPr>
        <w:t>Dolj</w:t>
      </w:r>
      <w:r w:rsidRPr="003516DC">
        <w:rPr>
          <w:rFonts w:ascii="Arial" w:hAnsi="Arial" w:cs="Arial"/>
          <w:color w:val="000000"/>
          <w:sz w:val="20"/>
          <w:szCs w:val="20"/>
          <w:shd w:val="clear" w:color="auto" w:fill="FFFFFF"/>
        </w:rPr>
        <w:t xml:space="preserve">, </w:t>
      </w:r>
      <w:r w:rsidR="00315546" w:rsidRPr="003516DC">
        <w:rPr>
          <w:rFonts w:ascii="Arial" w:hAnsi="Arial" w:cs="Arial"/>
          <w:color w:val="000000"/>
          <w:sz w:val="20"/>
          <w:szCs w:val="20"/>
          <w:shd w:val="clear" w:color="auto" w:fill="FFFFFF"/>
        </w:rPr>
        <w:t>as well as</w:t>
      </w:r>
      <w:r w:rsidRPr="003516DC">
        <w:rPr>
          <w:rFonts w:ascii="Arial" w:hAnsi="Arial" w:cs="Arial"/>
          <w:color w:val="000000"/>
          <w:sz w:val="20"/>
          <w:szCs w:val="20"/>
          <w:shd w:val="clear" w:color="auto" w:fill="FFFFFF"/>
        </w:rPr>
        <w:t xml:space="preserve"> other heavy industries </w:t>
      </w:r>
      <w:r w:rsidR="00315546" w:rsidRPr="003516DC">
        <w:rPr>
          <w:rFonts w:ascii="Arial" w:hAnsi="Arial" w:cs="Arial"/>
          <w:color w:val="000000"/>
          <w:sz w:val="20"/>
          <w:szCs w:val="20"/>
          <w:shd w:val="clear" w:color="auto" w:fill="FFFFFF"/>
        </w:rPr>
        <w:t xml:space="preserve">that are </w:t>
      </w:r>
      <w:r w:rsidRPr="003516DC">
        <w:rPr>
          <w:rFonts w:ascii="Arial" w:hAnsi="Arial" w:cs="Arial"/>
          <w:color w:val="000000"/>
          <w:sz w:val="20"/>
          <w:szCs w:val="20"/>
          <w:shd w:val="clear" w:color="auto" w:fill="FFFFFF"/>
        </w:rPr>
        <w:t xml:space="preserve">now completely </w:t>
      </w:r>
      <w:r w:rsidR="00315546" w:rsidRPr="003516DC">
        <w:rPr>
          <w:rFonts w:ascii="Arial" w:hAnsi="Arial" w:cs="Arial"/>
          <w:color w:val="000000"/>
          <w:sz w:val="20"/>
          <w:szCs w:val="20"/>
          <w:shd w:val="clear" w:color="auto" w:fill="FFFFFF"/>
        </w:rPr>
        <w:t>phased out such</w:t>
      </w:r>
      <w:r w:rsidRPr="003516DC">
        <w:rPr>
          <w:rFonts w:ascii="Arial" w:hAnsi="Arial" w:cs="Arial"/>
          <w:color w:val="000000"/>
          <w:sz w:val="20"/>
          <w:szCs w:val="20"/>
          <w:shd w:val="clear" w:color="auto" w:fill="FFFFFF"/>
        </w:rPr>
        <w:t xml:space="preserve"> </w:t>
      </w:r>
      <w:r w:rsidR="00315546" w:rsidRPr="003516DC">
        <w:rPr>
          <w:rFonts w:ascii="Arial" w:hAnsi="Arial" w:cs="Arial"/>
          <w:color w:val="000000"/>
          <w:sz w:val="20"/>
          <w:szCs w:val="20"/>
          <w:shd w:val="clear" w:color="auto" w:fill="FFFFFF"/>
        </w:rPr>
        <w:t xml:space="preserve">as </w:t>
      </w:r>
      <w:r w:rsidRPr="003516DC">
        <w:rPr>
          <w:rFonts w:ascii="Arial" w:hAnsi="Arial" w:cs="Arial"/>
          <w:color w:val="000000"/>
          <w:sz w:val="20"/>
          <w:szCs w:val="20"/>
          <w:shd w:val="clear" w:color="auto" w:fill="FFFFFF"/>
        </w:rPr>
        <w:t xml:space="preserve">fertilizer production in Dolj and steel manufacturing in Hunedoara) </w:t>
      </w:r>
      <w:r w:rsidR="00D21DCB" w:rsidRPr="003516DC">
        <w:rPr>
          <w:rFonts w:ascii="Arial" w:hAnsi="Arial" w:cs="Arial"/>
          <w:color w:val="000000"/>
          <w:sz w:val="20"/>
          <w:szCs w:val="20"/>
          <w:shd w:val="clear" w:color="auto" w:fill="FFFFFF"/>
        </w:rPr>
        <w:t>are past</w:t>
      </w:r>
      <w:r w:rsidR="00315546" w:rsidRPr="003516DC">
        <w:rPr>
          <w:rFonts w:ascii="Arial" w:hAnsi="Arial" w:cs="Arial"/>
          <w:color w:val="000000"/>
          <w:sz w:val="20"/>
          <w:szCs w:val="20"/>
          <w:shd w:val="clear" w:color="auto" w:fill="FFFFFF"/>
        </w:rPr>
        <w:t xml:space="preserve"> their </w:t>
      </w:r>
      <w:r w:rsidRPr="003516DC">
        <w:rPr>
          <w:rFonts w:ascii="Arial" w:hAnsi="Arial" w:cs="Arial"/>
          <w:color w:val="000000"/>
          <w:sz w:val="20"/>
          <w:szCs w:val="20"/>
          <w:shd w:val="clear" w:color="auto" w:fill="FFFFFF"/>
        </w:rPr>
        <w:t xml:space="preserve">peak. </w:t>
      </w:r>
      <w:r w:rsidR="00D21DCB" w:rsidRPr="003516DC">
        <w:rPr>
          <w:rFonts w:ascii="Arial" w:hAnsi="Arial" w:cs="Arial"/>
          <w:color w:val="000000"/>
          <w:sz w:val="20"/>
          <w:szCs w:val="20"/>
          <w:shd w:val="clear" w:color="auto" w:fill="FFFFFF"/>
        </w:rPr>
        <w:t>The decline</w:t>
      </w:r>
      <w:r w:rsidRPr="003516DC">
        <w:rPr>
          <w:rFonts w:ascii="Arial" w:hAnsi="Arial" w:cs="Arial"/>
          <w:color w:val="000000"/>
          <w:sz w:val="20"/>
          <w:szCs w:val="20"/>
          <w:shd w:val="clear" w:color="auto" w:fill="FFFFFF"/>
        </w:rPr>
        <w:t xml:space="preserve"> started </w:t>
      </w:r>
      <w:r w:rsidR="00D21DCB" w:rsidRPr="003516DC">
        <w:rPr>
          <w:rFonts w:ascii="Arial" w:hAnsi="Arial" w:cs="Arial"/>
          <w:color w:val="000000"/>
          <w:sz w:val="20"/>
          <w:szCs w:val="20"/>
          <w:shd w:val="clear" w:color="auto" w:fill="FFFFFF"/>
        </w:rPr>
        <w:t xml:space="preserve">approximately </w:t>
      </w:r>
      <w:r w:rsidRPr="003516DC">
        <w:rPr>
          <w:rFonts w:ascii="Arial" w:hAnsi="Arial" w:cs="Arial"/>
          <w:color w:val="000000"/>
          <w:sz w:val="20"/>
          <w:szCs w:val="20"/>
          <w:shd w:val="clear" w:color="auto" w:fill="FFFFFF"/>
        </w:rPr>
        <w:t xml:space="preserve">twenty years ago with </w:t>
      </w:r>
      <w:r w:rsidR="00D21DCB" w:rsidRPr="003516DC">
        <w:rPr>
          <w:rFonts w:ascii="Arial" w:hAnsi="Arial" w:cs="Arial"/>
          <w:color w:val="000000"/>
          <w:sz w:val="20"/>
          <w:szCs w:val="20"/>
          <w:shd w:val="clear" w:color="auto" w:fill="FFFFFF"/>
        </w:rPr>
        <w:t xml:space="preserve">a </w:t>
      </w:r>
      <w:r w:rsidRPr="003516DC">
        <w:rPr>
          <w:rFonts w:ascii="Arial" w:hAnsi="Arial" w:cs="Arial"/>
          <w:color w:val="000000"/>
          <w:sz w:val="20"/>
          <w:szCs w:val="20"/>
          <w:shd w:val="clear" w:color="auto" w:fill="FFFFFF"/>
        </w:rPr>
        <w:t>gradual reduction of activity and major staff layo</w:t>
      </w:r>
      <w:r w:rsidR="00D21DCB" w:rsidRPr="003516DC">
        <w:rPr>
          <w:rFonts w:ascii="Arial" w:hAnsi="Arial" w:cs="Arial"/>
          <w:color w:val="000000"/>
          <w:sz w:val="20"/>
          <w:szCs w:val="20"/>
          <w:shd w:val="clear" w:color="auto" w:fill="FFFFFF"/>
        </w:rPr>
        <w:t>ffs</w:t>
      </w:r>
      <w:r w:rsidR="00984E57" w:rsidRPr="003516DC">
        <w:rPr>
          <w:rFonts w:ascii="Arial" w:hAnsi="Arial" w:cs="Arial"/>
          <w:color w:val="000000"/>
          <w:sz w:val="20"/>
          <w:szCs w:val="20"/>
          <w:shd w:val="clear" w:color="auto" w:fill="FFFFFF"/>
        </w:rPr>
        <w:t>.</w:t>
      </w:r>
      <w:r w:rsidR="009F1F99" w:rsidRPr="003516DC">
        <w:rPr>
          <w:rFonts w:ascii="Arial" w:hAnsi="Arial" w:cs="Arial"/>
          <w:color w:val="000000"/>
          <w:sz w:val="20"/>
          <w:szCs w:val="20"/>
          <w:shd w:val="clear" w:color="auto" w:fill="FFFFFF"/>
        </w:rPr>
        <w:t xml:space="preserve"> </w:t>
      </w:r>
    </w:p>
    <w:p w14:paraId="46C2CE95" w14:textId="40F291F3" w:rsidR="00DB3DC5" w:rsidRPr="003516DC" w:rsidRDefault="00DB3DC5" w:rsidP="00DB3DC5">
      <w:pPr>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 xml:space="preserve">With the policy efforts </w:t>
      </w:r>
      <w:r w:rsidR="00B61BA9" w:rsidRPr="003516DC">
        <w:rPr>
          <w:rFonts w:ascii="Arial" w:hAnsi="Arial" w:cs="Arial"/>
          <w:color w:val="000000"/>
          <w:sz w:val="20"/>
          <w:szCs w:val="20"/>
          <w:shd w:val="clear" w:color="auto" w:fill="FFFFFF"/>
        </w:rPr>
        <w:t xml:space="preserve">such as renewable energy support </w:t>
      </w:r>
      <w:r w:rsidR="00CD2C08" w:rsidRPr="003516DC">
        <w:rPr>
          <w:rFonts w:ascii="Arial" w:hAnsi="Arial" w:cs="Arial"/>
          <w:color w:val="000000"/>
          <w:sz w:val="20"/>
          <w:szCs w:val="20"/>
          <w:shd w:val="clear" w:color="auto" w:fill="FFFFFF"/>
        </w:rPr>
        <w:t xml:space="preserve">already </w:t>
      </w:r>
      <w:r w:rsidRPr="003516DC">
        <w:rPr>
          <w:rFonts w:ascii="Arial" w:hAnsi="Arial" w:cs="Arial"/>
          <w:color w:val="000000"/>
          <w:sz w:val="20"/>
          <w:szCs w:val="20"/>
          <w:shd w:val="clear" w:color="auto" w:fill="FFFFFF"/>
        </w:rPr>
        <w:t>unde</w:t>
      </w:r>
      <w:r w:rsidR="00CD2C08" w:rsidRPr="003516DC">
        <w:rPr>
          <w:rFonts w:ascii="Arial" w:hAnsi="Arial" w:cs="Arial"/>
          <w:color w:val="000000"/>
          <w:sz w:val="20"/>
          <w:szCs w:val="20"/>
          <w:shd w:val="clear" w:color="auto" w:fill="FFFFFF"/>
        </w:rPr>
        <w:t>rway</w:t>
      </w:r>
      <w:r w:rsidRPr="003516DC">
        <w:rPr>
          <w:rFonts w:ascii="Arial" w:hAnsi="Arial" w:cs="Arial"/>
          <w:color w:val="000000"/>
          <w:sz w:val="20"/>
          <w:szCs w:val="20"/>
          <w:shd w:val="clear" w:color="auto" w:fill="FFFFFF"/>
        </w:rPr>
        <w:t xml:space="preserve"> </w:t>
      </w:r>
      <w:r w:rsidR="00B61BA9" w:rsidRPr="003516DC">
        <w:rPr>
          <w:rFonts w:ascii="Arial" w:hAnsi="Arial" w:cs="Arial"/>
          <w:color w:val="000000"/>
          <w:sz w:val="20"/>
          <w:szCs w:val="20"/>
          <w:shd w:val="clear" w:color="auto" w:fill="FFFFFF"/>
        </w:rPr>
        <w:t xml:space="preserve">and </w:t>
      </w:r>
      <w:r w:rsidRPr="003516DC">
        <w:rPr>
          <w:rFonts w:ascii="Arial" w:hAnsi="Arial" w:cs="Arial"/>
          <w:color w:val="000000"/>
          <w:sz w:val="20"/>
          <w:szCs w:val="20"/>
          <w:shd w:val="clear" w:color="auto" w:fill="FFFFFF"/>
        </w:rPr>
        <w:t>due to the purely market-based transition to lower carbon/more competitive activities, Romania is on track to meet its 2020 climate targets</w:t>
      </w:r>
      <w:r w:rsidR="00B61BA9" w:rsidRPr="003516DC">
        <w:rPr>
          <w:rFonts w:ascii="Arial" w:hAnsi="Arial" w:cs="Arial"/>
          <w:color w:val="000000"/>
          <w:sz w:val="20"/>
          <w:szCs w:val="20"/>
          <w:shd w:val="clear" w:color="auto" w:fill="FFFFFF"/>
        </w:rPr>
        <w:t>. However,</w:t>
      </w:r>
      <w:r w:rsidRPr="003516DC">
        <w:rPr>
          <w:rFonts w:ascii="Arial" w:hAnsi="Arial" w:cs="Arial"/>
          <w:color w:val="000000"/>
          <w:sz w:val="20"/>
          <w:szCs w:val="20"/>
          <w:shd w:val="clear" w:color="auto" w:fill="FFFFFF"/>
        </w:rPr>
        <w:t xml:space="preserve"> with current policies it will miss its 2030 targets. Although </w:t>
      </w:r>
      <w:r w:rsidR="007F0F43" w:rsidRPr="003516DC">
        <w:rPr>
          <w:rFonts w:ascii="Arial" w:hAnsi="Arial" w:cs="Arial"/>
          <w:color w:val="000000"/>
          <w:sz w:val="20"/>
          <w:szCs w:val="20"/>
          <w:shd w:val="clear" w:color="auto" w:fill="FFFFFF"/>
        </w:rPr>
        <w:t xml:space="preserve">the country has </w:t>
      </w:r>
      <w:r w:rsidRPr="003516DC">
        <w:rPr>
          <w:rFonts w:ascii="Arial" w:hAnsi="Arial" w:cs="Arial"/>
          <w:color w:val="000000"/>
          <w:sz w:val="20"/>
          <w:szCs w:val="20"/>
          <w:shd w:val="clear" w:color="auto" w:fill="FFFFFF"/>
        </w:rPr>
        <w:t>increased</w:t>
      </w:r>
      <w:r w:rsidR="007F0F43" w:rsidRPr="003516DC">
        <w:rPr>
          <w:rFonts w:ascii="Arial" w:hAnsi="Arial" w:cs="Arial"/>
          <w:color w:val="000000"/>
          <w:sz w:val="20"/>
          <w:szCs w:val="20"/>
          <w:shd w:val="clear" w:color="auto" w:fill="FFFFFF"/>
        </w:rPr>
        <w:t xml:space="preserve"> </w:t>
      </w:r>
      <w:r w:rsidR="00486CFD">
        <w:rPr>
          <w:rFonts w:ascii="Arial" w:hAnsi="Arial" w:cs="Arial"/>
          <w:color w:val="000000"/>
          <w:sz w:val="20"/>
          <w:szCs w:val="20"/>
          <w:shd w:val="clear" w:color="auto" w:fill="FFFFFF"/>
        </w:rPr>
        <w:t>the</w:t>
      </w:r>
      <w:r w:rsidR="007F0F43" w:rsidRPr="003516DC">
        <w:rPr>
          <w:rFonts w:ascii="Arial" w:hAnsi="Arial" w:cs="Arial"/>
          <w:color w:val="000000"/>
          <w:sz w:val="20"/>
          <w:szCs w:val="20"/>
          <w:shd w:val="clear" w:color="auto" w:fill="FFFFFF"/>
        </w:rPr>
        <w:t xml:space="preserve"> pace of development</w:t>
      </w:r>
      <w:r w:rsidRPr="003516DC">
        <w:rPr>
          <w:rFonts w:ascii="Arial" w:hAnsi="Arial" w:cs="Arial"/>
          <w:color w:val="000000"/>
          <w:sz w:val="20"/>
          <w:szCs w:val="20"/>
          <w:shd w:val="clear" w:color="auto" w:fill="FFFFFF"/>
        </w:rPr>
        <w:t xml:space="preserve">, the proposed 2030 target </w:t>
      </w:r>
      <w:r w:rsidR="00D21D7A" w:rsidRPr="003516DC">
        <w:rPr>
          <w:rFonts w:ascii="Arial" w:hAnsi="Arial" w:cs="Arial"/>
          <w:color w:val="000000"/>
          <w:sz w:val="20"/>
          <w:szCs w:val="20"/>
          <w:shd w:val="clear" w:color="auto" w:fill="FFFFFF"/>
        </w:rPr>
        <w:t xml:space="preserve">for renewable energy installed capacity </w:t>
      </w:r>
      <w:r w:rsidR="0068552C" w:rsidRPr="003516DC">
        <w:rPr>
          <w:rFonts w:ascii="Arial" w:hAnsi="Arial" w:cs="Arial"/>
          <w:color w:val="000000"/>
          <w:sz w:val="20"/>
          <w:szCs w:val="20"/>
          <w:shd w:val="clear" w:color="auto" w:fill="FFFFFF"/>
        </w:rPr>
        <w:t xml:space="preserve">of 30.7% </w:t>
      </w:r>
      <w:r w:rsidR="007F0F43" w:rsidRPr="003516DC">
        <w:rPr>
          <w:rFonts w:ascii="Arial" w:hAnsi="Arial" w:cs="Arial"/>
          <w:color w:val="000000"/>
          <w:sz w:val="20"/>
          <w:szCs w:val="20"/>
          <w:shd w:val="clear" w:color="auto" w:fill="FFFFFF"/>
        </w:rPr>
        <w:t>according to the</w:t>
      </w:r>
      <w:r w:rsidRPr="003516DC">
        <w:rPr>
          <w:rFonts w:ascii="Arial" w:hAnsi="Arial" w:cs="Arial"/>
          <w:color w:val="000000"/>
          <w:sz w:val="20"/>
          <w:szCs w:val="20"/>
          <w:shd w:val="clear" w:color="auto" w:fill="FFFFFF"/>
        </w:rPr>
        <w:t xml:space="preserve"> final </w:t>
      </w:r>
      <w:r w:rsidR="00EF0246" w:rsidRPr="003516DC">
        <w:rPr>
          <w:rFonts w:ascii="Arial" w:hAnsi="Arial" w:cs="Arial"/>
          <w:color w:val="000000"/>
          <w:sz w:val="20"/>
          <w:szCs w:val="20"/>
          <w:shd w:val="clear" w:color="auto" w:fill="FFFFFF"/>
        </w:rPr>
        <w:t>National Energy and Climate Plan (</w:t>
      </w:r>
      <w:r w:rsidRPr="003516DC">
        <w:rPr>
          <w:rFonts w:ascii="Arial" w:hAnsi="Arial" w:cs="Arial"/>
          <w:color w:val="000000"/>
          <w:sz w:val="20"/>
          <w:szCs w:val="20"/>
          <w:shd w:val="clear" w:color="auto" w:fill="FFFFFF"/>
        </w:rPr>
        <w:t>NECP</w:t>
      </w:r>
      <w:r w:rsidR="00EF0246" w:rsidRPr="003516DC">
        <w:rPr>
          <w:rFonts w:ascii="Arial" w:hAnsi="Arial" w:cs="Arial"/>
          <w:color w:val="000000"/>
          <w:sz w:val="20"/>
          <w:szCs w:val="20"/>
          <w:shd w:val="clear" w:color="auto" w:fill="FFFFFF"/>
        </w:rPr>
        <w:t>)</w:t>
      </w:r>
      <w:r w:rsidRPr="003516DC">
        <w:rPr>
          <w:rFonts w:ascii="Arial" w:hAnsi="Arial" w:cs="Arial"/>
          <w:color w:val="000000"/>
          <w:sz w:val="20"/>
          <w:szCs w:val="20"/>
          <w:shd w:val="clear" w:color="auto" w:fill="FFFFFF"/>
        </w:rPr>
        <w:t xml:space="preserve"> is still below the country’s potential cost-effective development of RES and below the collective EU target of 34%. Romania's national target </w:t>
      </w:r>
      <w:r w:rsidR="00A77BFC" w:rsidRPr="003516DC">
        <w:rPr>
          <w:rFonts w:ascii="Arial" w:hAnsi="Arial" w:cs="Arial"/>
          <w:color w:val="000000"/>
          <w:sz w:val="20"/>
          <w:szCs w:val="20"/>
          <w:shd w:val="clear" w:color="auto" w:fill="FFFFFF"/>
        </w:rPr>
        <w:t xml:space="preserve">for 2030 </w:t>
      </w:r>
      <w:r w:rsidRPr="003516DC">
        <w:rPr>
          <w:rFonts w:ascii="Arial" w:hAnsi="Arial" w:cs="Arial"/>
          <w:color w:val="000000"/>
          <w:sz w:val="20"/>
          <w:szCs w:val="20"/>
          <w:shd w:val="clear" w:color="auto" w:fill="FFFFFF"/>
        </w:rPr>
        <w:t xml:space="preserve">under the Effort Sharing Regulation </w:t>
      </w:r>
      <w:r w:rsidR="00A77BFC" w:rsidRPr="003516DC">
        <w:rPr>
          <w:rFonts w:ascii="Arial" w:hAnsi="Arial" w:cs="Arial"/>
          <w:color w:val="000000"/>
          <w:sz w:val="20"/>
          <w:szCs w:val="20"/>
          <w:shd w:val="clear" w:color="auto" w:fill="FFFFFF"/>
        </w:rPr>
        <w:t xml:space="preserve">is </w:t>
      </w:r>
      <w:r w:rsidRPr="003516DC">
        <w:rPr>
          <w:rFonts w:ascii="Arial" w:hAnsi="Arial" w:cs="Arial"/>
          <w:color w:val="000000"/>
          <w:sz w:val="20"/>
          <w:szCs w:val="20"/>
          <w:shd w:val="clear" w:color="auto" w:fill="FFFFFF"/>
        </w:rPr>
        <w:t>to reduce emissions by 2% compared to 2005. Romania is projected to miss this target as emissions are expected to grow by 10% compared to 2005</w:t>
      </w:r>
      <w:r w:rsidR="005E2760" w:rsidRPr="003516DC">
        <w:rPr>
          <w:rStyle w:val="FootnoteReference"/>
          <w:rFonts w:ascii="Arial" w:hAnsi="Arial" w:cs="Arial"/>
          <w:color w:val="000000"/>
          <w:sz w:val="20"/>
          <w:szCs w:val="20"/>
          <w:shd w:val="clear" w:color="auto" w:fill="FFFFFF"/>
        </w:rPr>
        <w:footnoteReference w:id="5"/>
      </w:r>
      <w:r w:rsidR="005E2760" w:rsidRPr="003516DC">
        <w:rPr>
          <w:rFonts w:ascii="Arial" w:hAnsi="Arial" w:cs="Arial"/>
          <w:color w:val="000000"/>
          <w:sz w:val="20"/>
          <w:szCs w:val="20"/>
          <w:shd w:val="clear" w:color="auto" w:fill="FFFFFF"/>
        </w:rPr>
        <w:t>.</w:t>
      </w:r>
      <w:r w:rsidRPr="003516DC">
        <w:rPr>
          <w:rFonts w:ascii="Arial" w:hAnsi="Arial" w:cs="Arial"/>
          <w:color w:val="000000"/>
          <w:sz w:val="20"/>
          <w:szCs w:val="20"/>
          <w:shd w:val="clear" w:color="auto" w:fill="FFFFFF"/>
        </w:rPr>
        <w:t xml:space="preserve"> </w:t>
      </w:r>
    </w:p>
    <w:p w14:paraId="649B20DF" w14:textId="771A9186" w:rsidR="00DB3DC5" w:rsidRPr="003516DC" w:rsidRDefault="00DB3DC5" w:rsidP="009C2D9B">
      <w:pPr>
        <w:pStyle w:val="Caption"/>
        <w:keepNext w:val="0"/>
        <w:widowControl w:val="0"/>
      </w:pPr>
      <w:bookmarkStart w:id="9" w:name="_Toc90727337"/>
      <w:r w:rsidRPr="003516DC">
        <w:t xml:space="preserve">Graph </w:t>
      </w:r>
      <w:r w:rsidR="0040363E" w:rsidRPr="003516DC">
        <w:rPr>
          <w:noProof/>
        </w:rPr>
        <w:fldChar w:fldCharType="begin"/>
      </w:r>
      <w:r w:rsidR="0040363E" w:rsidRPr="003516DC">
        <w:rPr>
          <w:noProof/>
        </w:rPr>
        <w:instrText xml:space="preserve"> SEQ Graph \* ARABIC </w:instrText>
      </w:r>
      <w:r w:rsidR="0040363E" w:rsidRPr="003516DC">
        <w:rPr>
          <w:noProof/>
        </w:rPr>
        <w:fldChar w:fldCharType="separate"/>
      </w:r>
      <w:r w:rsidR="007E5B0B">
        <w:rPr>
          <w:noProof/>
        </w:rPr>
        <w:t>1</w:t>
      </w:r>
      <w:r w:rsidR="0040363E" w:rsidRPr="003516DC">
        <w:rPr>
          <w:noProof/>
        </w:rPr>
        <w:fldChar w:fldCharType="end"/>
      </w:r>
      <w:r w:rsidRPr="003516DC">
        <w:t>: Greenhouse gas emissions</w:t>
      </w:r>
      <w:bookmarkEnd w:id="9"/>
    </w:p>
    <w:p w14:paraId="4E7A00F6" w14:textId="0B7FBB3B" w:rsidR="00DB3DC5" w:rsidRPr="003516DC" w:rsidRDefault="00DB3DC5" w:rsidP="00DB3DC5">
      <w:pPr>
        <w:rPr>
          <w:rFonts w:ascii="Arial" w:hAnsi="Arial" w:cs="Arial"/>
        </w:rPr>
      </w:pPr>
      <w:r w:rsidRPr="003516DC">
        <w:rPr>
          <w:rFonts w:ascii="Arial" w:hAnsi="Arial" w:cs="Arial"/>
          <w:noProof/>
          <w:lang w:val="en-US" w:eastAsia="en-US"/>
        </w:rPr>
        <w:drawing>
          <wp:inline distT="0" distB="0" distL="0" distR="0" wp14:anchorId="3E3E79AF" wp14:editId="617687A4">
            <wp:extent cx="5678424" cy="3638161"/>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8">
                      <a:extLst>
                        <a:ext uri="{28A0092B-C50C-407E-A947-70E740481C1C}">
                          <a14:useLocalDpi xmlns:a14="http://schemas.microsoft.com/office/drawing/2010/main" val="0"/>
                        </a:ext>
                      </a:extLst>
                    </a:blip>
                    <a:stretch>
                      <a:fillRect/>
                    </a:stretch>
                  </pic:blipFill>
                  <pic:spPr>
                    <a:xfrm>
                      <a:off x="0" y="0"/>
                      <a:ext cx="5678424" cy="3638161"/>
                    </a:xfrm>
                    <a:prstGeom prst="rect">
                      <a:avLst/>
                    </a:prstGeom>
                  </pic:spPr>
                </pic:pic>
              </a:graphicData>
            </a:graphic>
          </wp:inline>
        </w:drawing>
      </w:r>
    </w:p>
    <w:p w14:paraId="4F1D36B6" w14:textId="6DD55764" w:rsidR="00DB3DC5" w:rsidRPr="003516DC" w:rsidRDefault="00DB3DC5" w:rsidP="0077704C">
      <w:pPr>
        <w:spacing w:after="120"/>
        <w:jc w:val="both"/>
        <w:rPr>
          <w:rFonts w:ascii="Arial" w:hAnsi="Arial" w:cs="Arial"/>
          <w:i/>
          <w:iCs/>
          <w:sz w:val="16"/>
          <w:szCs w:val="16"/>
        </w:rPr>
      </w:pPr>
      <w:r w:rsidRPr="003516DC">
        <w:rPr>
          <w:rFonts w:ascii="Arial" w:hAnsi="Arial" w:cs="Arial"/>
          <w:i/>
          <w:iCs/>
          <w:sz w:val="16"/>
          <w:szCs w:val="16"/>
        </w:rPr>
        <w:t>Source: Eurostat</w:t>
      </w:r>
    </w:p>
    <w:p w14:paraId="25A8AFB6" w14:textId="322B8904" w:rsidR="009C2D9B" w:rsidRPr="003516DC" w:rsidRDefault="009C2D9B" w:rsidP="00557DAF">
      <w:pPr>
        <w:spacing w:after="120"/>
        <w:jc w:val="both"/>
        <w:rPr>
          <w:rFonts w:ascii="Arial" w:hAnsi="Arial" w:cs="Arial"/>
          <w:sz w:val="20"/>
          <w:szCs w:val="20"/>
        </w:rPr>
      </w:pPr>
      <w:r w:rsidRPr="003516DC">
        <w:rPr>
          <w:rFonts w:ascii="Arial" w:hAnsi="Arial" w:cs="Arial"/>
          <w:sz w:val="20"/>
          <w:szCs w:val="20"/>
        </w:rPr>
        <w:t xml:space="preserve">Graph 1 presents the greenhouse gas emissions of Romania and the EU-28 from 1990-2020. Romania’s GHG emissions reduction trajectory is similar to that of the EU, with steady declines compared to 1990 levels and a steeper decline between 1990 and 2000 in Romania, when the heaviest share of industrial restructuring processes took place (with ill-managed social and poverty-related results, as the situations particularly in Gorj, Hunedoara and </w:t>
      </w:r>
      <w:r w:rsidR="003751DC">
        <w:rPr>
          <w:rFonts w:ascii="Arial" w:hAnsi="Arial" w:cs="Arial"/>
          <w:sz w:val="20"/>
          <w:szCs w:val="20"/>
        </w:rPr>
        <w:t>Galați</w:t>
      </w:r>
      <w:r w:rsidRPr="003516DC">
        <w:rPr>
          <w:rFonts w:ascii="Arial" w:hAnsi="Arial" w:cs="Arial"/>
          <w:sz w:val="20"/>
          <w:szCs w:val="20"/>
        </w:rPr>
        <w:t xml:space="preserve">, to be detailed later in the report, </w:t>
      </w:r>
      <w:r w:rsidRPr="003516DC">
        <w:rPr>
          <w:rFonts w:ascii="Arial" w:hAnsi="Arial" w:cs="Arial"/>
          <w:sz w:val="20"/>
          <w:szCs w:val="20"/>
        </w:rPr>
        <w:lastRenderedPageBreak/>
        <w:t>demonstrate). Nevertheless, since 2013, emissions in Romania are no longer declining, which signifies the insufficient commitment of the country towards carbon neutrality.</w:t>
      </w:r>
    </w:p>
    <w:p w14:paraId="04559F45" w14:textId="4D60D549" w:rsidR="00DB3DC5" w:rsidRPr="003516DC" w:rsidRDefault="00AD28CE" w:rsidP="00DB3DC5">
      <w:pPr>
        <w:jc w:val="both"/>
        <w:rPr>
          <w:rFonts w:ascii="Arial" w:hAnsi="Arial" w:cs="Arial"/>
          <w:color w:val="000000"/>
          <w:sz w:val="20"/>
          <w:szCs w:val="20"/>
          <w:shd w:val="clear" w:color="auto" w:fill="FFFFFF"/>
        </w:rPr>
      </w:pPr>
      <w:r w:rsidRPr="003516DC">
        <w:rPr>
          <w:rFonts w:ascii="Arial" w:hAnsi="Arial" w:cs="Arial"/>
          <w:sz w:val="20"/>
          <w:szCs w:val="20"/>
        </w:rPr>
        <w:t xml:space="preserve">Graph 2 shows the share of renewables in gross final energy consumption for Romania and the </w:t>
      </w:r>
      <w:r w:rsidR="002552C7" w:rsidRPr="003516DC">
        <w:rPr>
          <w:rFonts w:ascii="Arial" w:hAnsi="Arial" w:cs="Arial"/>
          <w:sz w:val="20"/>
          <w:szCs w:val="20"/>
        </w:rPr>
        <w:t>EU-28</w:t>
      </w:r>
      <w:r w:rsidRPr="003516DC">
        <w:rPr>
          <w:rFonts w:ascii="Arial" w:hAnsi="Arial" w:cs="Arial"/>
          <w:sz w:val="20"/>
          <w:szCs w:val="20"/>
        </w:rPr>
        <w:t xml:space="preserve"> from </w:t>
      </w:r>
      <w:r w:rsidR="002552C7" w:rsidRPr="003516DC">
        <w:rPr>
          <w:rFonts w:ascii="Arial" w:hAnsi="Arial" w:cs="Arial"/>
          <w:sz w:val="20"/>
          <w:szCs w:val="20"/>
        </w:rPr>
        <w:t>2004</w:t>
      </w:r>
      <w:r w:rsidRPr="003516DC">
        <w:rPr>
          <w:rFonts w:ascii="Arial" w:hAnsi="Arial" w:cs="Arial"/>
          <w:sz w:val="20"/>
          <w:szCs w:val="20"/>
        </w:rPr>
        <w:t>-20</w:t>
      </w:r>
      <w:r w:rsidR="007C28F7" w:rsidRPr="003516DC">
        <w:rPr>
          <w:rFonts w:ascii="Arial" w:hAnsi="Arial" w:cs="Arial"/>
          <w:sz w:val="20"/>
          <w:szCs w:val="20"/>
        </w:rPr>
        <w:t>20</w:t>
      </w:r>
      <w:r w:rsidRPr="003516DC">
        <w:rPr>
          <w:rFonts w:ascii="Arial" w:hAnsi="Arial" w:cs="Arial"/>
          <w:sz w:val="20"/>
          <w:szCs w:val="20"/>
        </w:rPr>
        <w:t xml:space="preserve">. </w:t>
      </w:r>
      <w:r w:rsidR="00DB3DC5" w:rsidRPr="003516DC">
        <w:rPr>
          <w:rFonts w:ascii="Arial" w:hAnsi="Arial" w:cs="Arial"/>
          <w:color w:val="000000"/>
          <w:sz w:val="20"/>
          <w:szCs w:val="20"/>
          <w:shd w:val="clear" w:color="auto" w:fill="FFFFFF"/>
        </w:rPr>
        <w:t xml:space="preserve">The share of renewable energy in gross final energy consumption </w:t>
      </w:r>
      <w:r w:rsidR="00024313" w:rsidRPr="003516DC">
        <w:rPr>
          <w:rFonts w:ascii="Arial" w:hAnsi="Arial" w:cs="Arial"/>
          <w:color w:val="000000"/>
          <w:sz w:val="20"/>
          <w:szCs w:val="20"/>
          <w:shd w:val="clear" w:color="auto" w:fill="FFFFFF"/>
        </w:rPr>
        <w:t xml:space="preserve">has been </w:t>
      </w:r>
      <w:r w:rsidR="00DB3DC5" w:rsidRPr="003516DC">
        <w:rPr>
          <w:rFonts w:ascii="Arial" w:hAnsi="Arial" w:cs="Arial"/>
          <w:color w:val="000000"/>
          <w:sz w:val="20"/>
          <w:szCs w:val="20"/>
          <w:shd w:val="clear" w:color="auto" w:fill="FFFFFF"/>
        </w:rPr>
        <w:t xml:space="preserve">stagnating (and even decreasing) </w:t>
      </w:r>
      <w:r w:rsidR="007C28F7" w:rsidRPr="003516DC">
        <w:rPr>
          <w:rFonts w:ascii="Arial" w:hAnsi="Arial" w:cs="Arial"/>
          <w:color w:val="000000"/>
          <w:sz w:val="20"/>
          <w:szCs w:val="20"/>
          <w:shd w:val="clear" w:color="auto" w:fill="FFFFFF"/>
        </w:rPr>
        <w:t xml:space="preserve">over </w:t>
      </w:r>
      <w:r w:rsidR="00DB3DC5" w:rsidRPr="003516DC">
        <w:rPr>
          <w:rFonts w:ascii="Arial" w:hAnsi="Arial" w:cs="Arial"/>
          <w:color w:val="000000"/>
          <w:sz w:val="20"/>
          <w:szCs w:val="20"/>
          <w:shd w:val="clear" w:color="auto" w:fill="FFFFFF"/>
        </w:rPr>
        <w:t xml:space="preserve">the past five years in Romania, </w:t>
      </w:r>
      <w:r w:rsidR="00024313" w:rsidRPr="003516DC">
        <w:rPr>
          <w:rFonts w:ascii="Arial" w:hAnsi="Arial" w:cs="Arial"/>
          <w:color w:val="000000"/>
          <w:sz w:val="20"/>
          <w:szCs w:val="20"/>
          <w:shd w:val="clear" w:color="auto" w:fill="FFFFFF"/>
        </w:rPr>
        <w:t xml:space="preserve">which diverges from the </w:t>
      </w:r>
      <w:r w:rsidR="00E423D3" w:rsidRPr="003516DC">
        <w:rPr>
          <w:rFonts w:ascii="Arial" w:hAnsi="Arial" w:cs="Arial"/>
          <w:color w:val="000000"/>
          <w:sz w:val="20"/>
          <w:szCs w:val="20"/>
          <w:shd w:val="clear" w:color="auto" w:fill="FFFFFF"/>
        </w:rPr>
        <w:t xml:space="preserve">trend of </w:t>
      </w:r>
      <w:r w:rsidR="00024313" w:rsidRPr="003516DC">
        <w:rPr>
          <w:rFonts w:ascii="Arial" w:hAnsi="Arial" w:cs="Arial"/>
          <w:color w:val="000000"/>
          <w:sz w:val="20"/>
          <w:szCs w:val="20"/>
          <w:shd w:val="clear" w:color="auto" w:fill="FFFFFF"/>
        </w:rPr>
        <w:t xml:space="preserve">constant growth </w:t>
      </w:r>
      <w:r w:rsidR="00AA1D05" w:rsidRPr="003516DC">
        <w:rPr>
          <w:rFonts w:ascii="Arial" w:hAnsi="Arial" w:cs="Arial"/>
          <w:color w:val="000000"/>
          <w:sz w:val="20"/>
          <w:szCs w:val="20"/>
          <w:shd w:val="clear" w:color="auto" w:fill="FFFFFF"/>
        </w:rPr>
        <w:t>for</w:t>
      </w:r>
      <w:r w:rsidR="00024313" w:rsidRPr="003516DC">
        <w:rPr>
          <w:rFonts w:ascii="Arial" w:hAnsi="Arial" w:cs="Arial"/>
          <w:color w:val="000000"/>
          <w:sz w:val="20"/>
          <w:szCs w:val="20"/>
          <w:shd w:val="clear" w:color="auto" w:fill="FFFFFF"/>
        </w:rPr>
        <w:t xml:space="preserve"> </w:t>
      </w:r>
      <w:r w:rsidR="00DB3DC5" w:rsidRPr="003516DC">
        <w:rPr>
          <w:rFonts w:ascii="Arial" w:hAnsi="Arial" w:cs="Arial"/>
          <w:color w:val="000000"/>
          <w:sz w:val="20"/>
          <w:szCs w:val="20"/>
          <w:shd w:val="clear" w:color="auto" w:fill="FFFFFF"/>
        </w:rPr>
        <w:t xml:space="preserve">the </w:t>
      </w:r>
      <w:r w:rsidR="00024313" w:rsidRPr="003516DC">
        <w:rPr>
          <w:rFonts w:ascii="Arial" w:hAnsi="Arial" w:cs="Arial"/>
          <w:color w:val="000000"/>
          <w:sz w:val="20"/>
          <w:szCs w:val="20"/>
          <w:shd w:val="clear" w:color="auto" w:fill="FFFFFF"/>
        </w:rPr>
        <w:t>EU-28</w:t>
      </w:r>
      <w:r w:rsidR="00DB3DC5" w:rsidRPr="003516DC">
        <w:rPr>
          <w:rFonts w:ascii="Arial" w:hAnsi="Arial" w:cs="Arial"/>
          <w:color w:val="000000"/>
          <w:sz w:val="20"/>
          <w:szCs w:val="20"/>
          <w:shd w:val="clear" w:color="auto" w:fill="FFFFFF"/>
        </w:rPr>
        <w:t xml:space="preserve">. The </w:t>
      </w:r>
      <w:r w:rsidR="00612D46" w:rsidRPr="003516DC">
        <w:rPr>
          <w:rFonts w:ascii="Arial" w:hAnsi="Arial" w:cs="Arial"/>
          <w:color w:val="000000"/>
          <w:sz w:val="20"/>
          <w:szCs w:val="20"/>
          <w:shd w:val="clear" w:color="auto" w:fill="FFFFFF"/>
        </w:rPr>
        <w:t xml:space="preserve">RES </w:t>
      </w:r>
      <w:r w:rsidR="00DB3DC5" w:rsidRPr="003516DC">
        <w:rPr>
          <w:rFonts w:ascii="Arial" w:hAnsi="Arial" w:cs="Arial"/>
          <w:color w:val="000000"/>
          <w:sz w:val="20"/>
          <w:szCs w:val="20"/>
          <w:shd w:val="clear" w:color="auto" w:fill="FFFFFF"/>
        </w:rPr>
        <w:t xml:space="preserve">share at </w:t>
      </w:r>
      <w:r w:rsidR="00385083" w:rsidRPr="003516DC">
        <w:rPr>
          <w:rFonts w:ascii="Arial" w:hAnsi="Arial" w:cs="Arial"/>
          <w:color w:val="000000"/>
          <w:sz w:val="20"/>
          <w:szCs w:val="20"/>
          <w:shd w:val="clear" w:color="auto" w:fill="FFFFFF"/>
        </w:rPr>
        <w:t xml:space="preserve">the </w:t>
      </w:r>
      <w:r w:rsidR="00DB3DC5" w:rsidRPr="003516DC">
        <w:rPr>
          <w:rFonts w:ascii="Arial" w:hAnsi="Arial" w:cs="Arial"/>
          <w:color w:val="000000"/>
          <w:sz w:val="20"/>
          <w:szCs w:val="20"/>
          <w:shd w:val="clear" w:color="auto" w:fill="FFFFFF"/>
        </w:rPr>
        <w:t>national level evolved from 8.</w:t>
      </w:r>
      <w:r w:rsidR="00385083" w:rsidRPr="003516DC">
        <w:rPr>
          <w:rFonts w:ascii="Arial" w:hAnsi="Arial" w:cs="Arial"/>
          <w:color w:val="000000"/>
          <w:sz w:val="20"/>
          <w:szCs w:val="20"/>
          <w:shd w:val="clear" w:color="auto" w:fill="FFFFFF"/>
        </w:rPr>
        <w:t>6</w:t>
      </w:r>
      <w:r w:rsidR="00DB3DC5" w:rsidRPr="003516DC">
        <w:rPr>
          <w:rFonts w:ascii="Arial" w:hAnsi="Arial" w:cs="Arial"/>
          <w:color w:val="000000"/>
          <w:sz w:val="20"/>
          <w:szCs w:val="20"/>
          <w:shd w:val="clear" w:color="auto" w:fill="FFFFFF"/>
        </w:rPr>
        <w:t>% (which in 2004 was double the European average) to 24.8% in 2014</w:t>
      </w:r>
      <w:r w:rsidR="00D5148C" w:rsidRPr="003516DC">
        <w:rPr>
          <w:rFonts w:ascii="Arial" w:hAnsi="Arial" w:cs="Arial"/>
          <w:color w:val="000000"/>
          <w:sz w:val="20"/>
          <w:szCs w:val="20"/>
          <w:shd w:val="clear" w:color="auto" w:fill="FFFFFF"/>
        </w:rPr>
        <w:t>. It has since</w:t>
      </w:r>
      <w:r w:rsidR="00DB3DC5" w:rsidRPr="003516DC">
        <w:rPr>
          <w:rFonts w:ascii="Arial" w:hAnsi="Arial" w:cs="Arial"/>
          <w:color w:val="000000"/>
          <w:sz w:val="20"/>
          <w:szCs w:val="20"/>
          <w:shd w:val="clear" w:color="auto" w:fill="FFFFFF"/>
        </w:rPr>
        <w:t xml:space="preserve"> stagnated and declined slightly between 2017 and 2018. In 2019</w:t>
      </w:r>
      <w:r w:rsidR="000B338F" w:rsidRPr="003516DC">
        <w:rPr>
          <w:rFonts w:ascii="Arial" w:hAnsi="Arial" w:cs="Arial"/>
          <w:color w:val="000000"/>
          <w:sz w:val="20"/>
          <w:szCs w:val="20"/>
          <w:shd w:val="clear" w:color="auto" w:fill="FFFFFF"/>
        </w:rPr>
        <w:t xml:space="preserve">, </w:t>
      </w:r>
      <w:r w:rsidR="006F7176" w:rsidRPr="003516DC">
        <w:rPr>
          <w:rFonts w:ascii="Arial" w:hAnsi="Arial" w:cs="Arial"/>
          <w:color w:val="000000"/>
          <w:sz w:val="20"/>
          <w:szCs w:val="20"/>
          <w:shd w:val="clear" w:color="auto" w:fill="FFFFFF"/>
        </w:rPr>
        <w:t xml:space="preserve">the </w:t>
      </w:r>
      <w:r w:rsidR="000B338F" w:rsidRPr="003516DC">
        <w:rPr>
          <w:rFonts w:ascii="Arial" w:hAnsi="Arial" w:cs="Arial"/>
          <w:color w:val="000000"/>
          <w:sz w:val="20"/>
          <w:szCs w:val="20"/>
          <w:shd w:val="clear" w:color="auto" w:fill="FFFFFF"/>
        </w:rPr>
        <w:t>RES share</w:t>
      </w:r>
      <w:r w:rsidR="00DB3DC5" w:rsidRPr="003516DC">
        <w:rPr>
          <w:rFonts w:ascii="Arial" w:hAnsi="Arial" w:cs="Arial"/>
          <w:color w:val="000000"/>
          <w:sz w:val="20"/>
          <w:szCs w:val="20"/>
          <w:shd w:val="clear" w:color="auto" w:fill="FFFFFF"/>
        </w:rPr>
        <w:t xml:space="preserve"> </w:t>
      </w:r>
      <w:r w:rsidR="004C7A4F" w:rsidRPr="003516DC">
        <w:rPr>
          <w:rFonts w:ascii="Arial" w:hAnsi="Arial" w:cs="Arial"/>
          <w:color w:val="000000"/>
          <w:sz w:val="20"/>
          <w:szCs w:val="20"/>
          <w:shd w:val="clear" w:color="auto" w:fill="FFFFFF"/>
        </w:rPr>
        <w:t>was</w:t>
      </w:r>
      <w:r w:rsidR="00DB3DC5" w:rsidRPr="003516DC">
        <w:rPr>
          <w:rFonts w:ascii="Arial" w:hAnsi="Arial" w:cs="Arial"/>
          <w:color w:val="000000"/>
          <w:sz w:val="20"/>
          <w:szCs w:val="20"/>
          <w:shd w:val="clear" w:color="auto" w:fill="FFFFFF"/>
        </w:rPr>
        <w:t xml:space="preserve"> 24.</w:t>
      </w:r>
      <w:r w:rsidR="003446A1" w:rsidRPr="003516DC">
        <w:rPr>
          <w:rFonts w:ascii="Arial" w:hAnsi="Arial" w:cs="Arial"/>
          <w:color w:val="000000"/>
          <w:sz w:val="20"/>
          <w:szCs w:val="20"/>
          <w:shd w:val="clear" w:color="auto" w:fill="FFFFFF"/>
        </w:rPr>
        <w:t>3</w:t>
      </w:r>
      <w:r w:rsidR="00DB3DC5" w:rsidRPr="003516DC">
        <w:rPr>
          <w:rFonts w:ascii="Arial" w:hAnsi="Arial" w:cs="Arial"/>
          <w:color w:val="000000"/>
          <w:sz w:val="20"/>
          <w:szCs w:val="20"/>
          <w:shd w:val="clear" w:color="auto" w:fill="FFFFFF"/>
        </w:rPr>
        <w:t>%, about 30% higher than the EU average</w:t>
      </w:r>
      <w:r w:rsidR="009037AE" w:rsidRPr="003516DC">
        <w:rPr>
          <w:rFonts w:ascii="Arial" w:hAnsi="Arial" w:cs="Arial"/>
          <w:color w:val="000000"/>
          <w:sz w:val="20"/>
          <w:szCs w:val="20"/>
          <w:shd w:val="clear" w:color="auto" w:fill="FFFFFF"/>
        </w:rPr>
        <w:t xml:space="preserve">, yet the majority of this “success” comes from hydropower installations </w:t>
      </w:r>
      <w:r w:rsidR="001E1EB9">
        <w:rPr>
          <w:rFonts w:ascii="Arial" w:hAnsi="Arial" w:cs="Arial"/>
          <w:color w:val="000000"/>
          <w:sz w:val="20"/>
          <w:szCs w:val="20"/>
          <w:shd w:val="clear" w:color="auto" w:fill="FFFFFF"/>
        </w:rPr>
        <w:t>installed</w:t>
      </w:r>
      <w:r w:rsidR="009037AE" w:rsidRPr="003516DC">
        <w:rPr>
          <w:rFonts w:ascii="Arial" w:hAnsi="Arial" w:cs="Arial"/>
          <w:color w:val="000000"/>
          <w:sz w:val="20"/>
          <w:szCs w:val="20"/>
          <w:shd w:val="clear" w:color="auto" w:fill="FFFFFF"/>
        </w:rPr>
        <w:t xml:space="preserve"> during </w:t>
      </w:r>
      <w:r w:rsidR="00E32A4D">
        <w:rPr>
          <w:rFonts w:ascii="Arial" w:hAnsi="Arial" w:cs="Arial"/>
          <w:color w:val="000000"/>
          <w:sz w:val="20"/>
          <w:szCs w:val="20"/>
          <w:shd w:val="clear" w:color="auto" w:fill="FFFFFF"/>
        </w:rPr>
        <w:t xml:space="preserve">the </w:t>
      </w:r>
      <w:r w:rsidR="009037AE" w:rsidRPr="003516DC">
        <w:rPr>
          <w:rFonts w:ascii="Arial" w:hAnsi="Arial" w:cs="Arial"/>
          <w:color w:val="000000"/>
          <w:sz w:val="20"/>
          <w:szCs w:val="20"/>
          <w:shd w:val="clear" w:color="auto" w:fill="FFFFFF"/>
        </w:rPr>
        <w:t>Communist</w:t>
      </w:r>
      <w:r w:rsidR="00E32A4D">
        <w:rPr>
          <w:rFonts w:ascii="Arial" w:hAnsi="Arial" w:cs="Arial"/>
          <w:color w:val="000000"/>
          <w:sz w:val="20"/>
          <w:szCs w:val="20"/>
          <w:shd w:val="clear" w:color="auto" w:fill="FFFFFF"/>
        </w:rPr>
        <w:t xml:space="preserve"> era</w:t>
      </w:r>
      <w:r w:rsidR="00DB3DC5" w:rsidRPr="003516DC">
        <w:rPr>
          <w:rFonts w:ascii="Arial" w:hAnsi="Arial" w:cs="Arial"/>
          <w:color w:val="000000"/>
          <w:sz w:val="20"/>
          <w:szCs w:val="20"/>
          <w:shd w:val="clear" w:color="auto" w:fill="FFFFFF"/>
        </w:rPr>
        <w:t>.</w:t>
      </w:r>
    </w:p>
    <w:p w14:paraId="77F196A2" w14:textId="6698FE90" w:rsidR="004532EB" w:rsidRDefault="00DB3DC5" w:rsidP="004532EB">
      <w:pPr>
        <w:pStyle w:val="Caption"/>
        <w:spacing w:after="0"/>
        <w:ind w:left="0" w:firstLine="0"/>
      </w:pPr>
      <w:bookmarkStart w:id="10" w:name="_Toc90727338"/>
      <w:r w:rsidRPr="003516DC">
        <w:t xml:space="preserve">Graph </w:t>
      </w:r>
      <w:r w:rsidR="0040363E" w:rsidRPr="003516DC">
        <w:rPr>
          <w:noProof/>
        </w:rPr>
        <w:fldChar w:fldCharType="begin"/>
      </w:r>
      <w:r w:rsidR="0040363E" w:rsidRPr="003516DC">
        <w:rPr>
          <w:noProof/>
        </w:rPr>
        <w:instrText xml:space="preserve"> SEQ Graph \* ARABIC </w:instrText>
      </w:r>
      <w:r w:rsidR="0040363E" w:rsidRPr="003516DC">
        <w:rPr>
          <w:noProof/>
        </w:rPr>
        <w:fldChar w:fldCharType="separate"/>
      </w:r>
      <w:r w:rsidR="007E5B0B">
        <w:rPr>
          <w:noProof/>
        </w:rPr>
        <w:t>2</w:t>
      </w:r>
      <w:r w:rsidR="0040363E" w:rsidRPr="003516DC">
        <w:rPr>
          <w:noProof/>
        </w:rPr>
        <w:fldChar w:fldCharType="end"/>
      </w:r>
      <w:r w:rsidRPr="003516DC">
        <w:t>: Share of renewable energy in gross final energy consumption by sector</w:t>
      </w:r>
      <w:bookmarkEnd w:id="10"/>
    </w:p>
    <w:p w14:paraId="715820A8" w14:textId="37B36334" w:rsidR="00DB3DC5" w:rsidRPr="003516DC" w:rsidRDefault="00A70DDF" w:rsidP="004532EB">
      <w:pPr>
        <w:pStyle w:val="Caption"/>
        <w:spacing w:before="120" w:after="60"/>
        <w:ind w:left="0" w:firstLine="0"/>
      </w:pPr>
      <w:r w:rsidRPr="003516DC">
        <w:rPr>
          <w:noProof/>
          <w:lang w:val="en-US"/>
        </w:rPr>
        <w:drawing>
          <wp:inline distT="0" distB="0" distL="0" distR="0" wp14:anchorId="1DBD5031" wp14:editId="74B2C3F7">
            <wp:extent cx="5678424" cy="3639312"/>
            <wp:effectExtent l="0" t="0" r="0" b="0"/>
            <wp:docPr id="2087055764" name="Picture 2087055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9">
                      <a:extLst>
                        <a:ext uri="{28A0092B-C50C-407E-A947-70E740481C1C}">
                          <a14:useLocalDpi xmlns:a14="http://schemas.microsoft.com/office/drawing/2010/main" val="0"/>
                        </a:ext>
                      </a:extLst>
                    </a:blip>
                    <a:stretch>
                      <a:fillRect/>
                    </a:stretch>
                  </pic:blipFill>
                  <pic:spPr>
                    <a:xfrm>
                      <a:off x="0" y="0"/>
                      <a:ext cx="5678424" cy="3639312"/>
                    </a:xfrm>
                    <a:prstGeom prst="rect">
                      <a:avLst/>
                    </a:prstGeom>
                    <a:ln>
                      <a:noFill/>
                    </a:ln>
                  </pic:spPr>
                </pic:pic>
              </a:graphicData>
            </a:graphic>
          </wp:inline>
        </w:drawing>
      </w:r>
    </w:p>
    <w:p w14:paraId="6C461643" w14:textId="3B0EA550" w:rsidR="00DB3DC5" w:rsidRPr="0077704C" w:rsidRDefault="00DB3DC5" w:rsidP="0077704C">
      <w:pPr>
        <w:spacing w:after="120"/>
        <w:jc w:val="both"/>
        <w:rPr>
          <w:rFonts w:ascii="Arial" w:hAnsi="Arial" w:cs="Arial"/>
          <w:i/>
          <w:iCs/>
          <w:sz w:val="16"/>
          <w:szCs w:val="16"/>
        </w:rPr>
      </w:pPr>
      <w:r w:rsidRPr="003516DC">
        <w:rPr>
          <w:rFonts w:ascii="Arial" w:hAnsi="Arial" w:cs="Arial"/>
          <w:i/>
          <w:iCs/>
          <w:sz w:val="16"/>
          <w:szCs w:val="16"/>
        </w:rPr>
        <w:t>Source: Eurostat</w:t>
      </w:r>
    </w:p>
    <w:p w14:paraId="631040AA" w14:textId="1EE324A8" w:rsidR="00DB3DC5" w:rsidRPr="003516DC" w:rsidRDefault="00DB3DC5"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Energy productivity (the amount of economic output that is produced per unit of gross available energy) has follow</w:t>
      </w:r>
      <w:r w:rsidR="00521C61" w:rsidRPr="003516DC">
        <w:rPr>
          <w:rFonts w:ascii="Arial" w:hAnsi="Arial" w:cs="Arial"/>
          <w:color w:val="000000"/>
          <w:sz w:val="20"/>
          <w:szCs w:val="20"/>
        </w:rPr>
        <w:t>ed</w:t>
      </w:r>
      <w:r w:rsidRPr="003516DC">
        <w:rPr>
          <w:rFonts w:ascii="Arial" w:hAnsi="Arial" w:cs="Arial"/>
          <w:color w:val="000000"/>
          <w:sz w:val="20"/>
          <w:szCs w:val="20"/>
        </w:rPr>
        <w:t xml:space="preserve"> a similar trajectory to the EU average</w:t>
      </w:r>
      <w:r w:rsidR="00521C61" w:rsidRPr="003516DC">
        <w:rPr>
          <w:rFonts w:ascii="Arial" w:hAnsi="Arial" w:cs="Arial"/>
          <w:color w:val="000000"/>
          <w:sz w:val="20"/>
          <w:szCs w:val="20"/>
        </w:rPr>
        <w:t>. However,</w:t>
      </w:r>
      <w:r w:rsidRPr="003516DC">
        <w:rPr>
          <w:rFonts w:ascii="Arial" w:hAnsi="Arial" w:cs="Arial"/>
          <w:color w:val="000000"/>
          <w:sz w:val="20"/>
          <w:szCs w:val="20"/>
        </w:rPr>
        <w:t xml:space="preserve"> to catch up from 5 EUR/kgoe</w:t>
      </w:r>
      <w:r w:rsidR="0099408E" w:rsidRPr="003516DC">
        <w:rPr>
          <w:rFonts w:ascii="Arial" w:hAnsi="Arial" w:cs="Arial"/>
          <w:color w:val="000000"/>
          <w:sz w:val="20"/>
          <w:szCs w:val="20"/>
        </w:rPr>
        <w:t xml:space="preserve"> in Romania</w:t>
      </w:r>
      <w:r w:rsidRPr="003516DC">
        <w:rPr>
          <w:rFonts w:ascii="Arial" w:hAnsi="Arial" w:cs="Arial"/>
          <w:color w:val="000000"/>
          <w:sz w:val="20"/>
          <w:szCs w:val="20"/>
        </w:rPr>
        <w:t xml:space="preserve"> to the EU average of 8 EUR/kgoe, Romania needs to leapfrog and improve its energy efficiency, diversi</w:t>
      </w:r>
      <w:r w:rsidR="00F91C0B" w:rsidRPr="003516DC">
        <w:rPr>
          <w:rFonts w:ascii="Arial" w:hAnsi="Arial" w:cs="Arial"/>
          <w:color w:val="000000"/>
          <w:sz w:val="20"/>
          <w:szCs w:val="20"/>
        </w:rPr>
        <w:t>f</w:t>
      </w:r>
      <w:r w:rsidRPr="003516DC">
        <w:rPr>
          <w:rFonts w:ascii="Arial" w:hAnsi="Arial" w:cs="Arial"/>
          <w:color w:val="000000"/>
          <w:sz w:val="20"/>
          <w:szCs w:val="20"/>
        </w:rPr>
        <w:t>y its econom</w:t>
      </w:r>
      <w:r w:rsidR="00F91C0B" w:rsidRPr="003516DC">
        <w:rPr>
          <w:rFonts w:ascii="Arial" w:hAnsi="Arial" w:cs="Arial"/>
          <w:color w:val="000000"/>
          <w:sz w:val="20"/>
          <w:szCs w:val="20"/>
        </w:rPr>
        <w:t>y</w:t>
      </w:r>
      <w:r w:rsidRPr="003516DC">
        <w:rPr>
          <w:rFonts w:ascii="Arial" w:hAnsi="Arial" w:cs="Arial"/>
          <w:color w:val="000000"/>
          <w:sz w:val="20"/>
          <w:szCs w:val="20"/>
        </w:rPr>
        <w:t>, switch to more technology-intensive manufacturing</w:t>
      </w:r>
      <w:r w:rsidR="006F2518" w:rsidRPr="003516DC">
        <w:rPr>
          <w:rFonts w:ascii="Arial" w:hAnsi="Arial" w:cs="Arial"/>
          <w:color w:val="000000"/>
          <w:sz w:val="20"/>
          <w:szCs w:val="20"/>
        </w:rPr>
        <w:t xml:space="preserve"> and</w:t>
      </w:r>
      <w:r w:rsidRPr="003516DC">
        <w:rPr>
          <w:rFonts w:ascii="Arial" w:hAnsi="Arial" w:cs="Arial"/>
          <w:color w:val="000000"/>
          <w:sz w:val="20"/>
          <w:szCs w:val="20"/>
        </w:rPr>
        <w:t xml:space="preserve"> innovate</w:t>
      </w:r>
      <w:r w:rsidR="00E44889" w:rsidRPr="003516DC">
        <w:rPr>
          <w:rFonts w:ascii="Arial" w:hAnsi="Arial" w:cs="Arial"/>
          <w:color w:val="000000"/>
          <w:sz w:val="20"/>
          <w:szCs w:val="20"/>
        </w:rPr>
        <w:t>. These shifts are</w:t>
      </w:r>
      <w:r w:rsidRPr="003516DC">
        <w:rPr>
          <w:rFonts w:ascii="Arial" w:hAnsi="Arial" w:cs="Arial"/>
          <w:color w:val="000000"/>
          <w:sz w:val="20"/>
          <w:szCs w:val="20"/>
        </w:rPr>
        <w:t xml:space="preserve"> particularly </w:t>
      </w:r>
      <w:r w:rsidR="00E44889" w:rsidRPr="003516DC">
        <w:rPr>
          <w:rFonts w:ascii="Arial" w:hAnsi="Arial" w:cs="Arial"/>
          <w:color w:val="000000"/>
          <w:sz w:val="20"/>
          <w:szCs w:val="20"/>
        </w:rPr>
        <w:t xml:space="preserve">vital </w:t>
      </w:r>
      <w:r w:rsidRPr="003516DC">
        <w:rPr>
          <w:rFonts w:ascii="Arial" w:hAnsi="Arial" w:cs="Arial"/>
          <w:color w:val="000000"/>
          <w:sz w:val="20"/>
          <w:szCs w:val="20"/>
        </w:rPr>
        <w:t xml:space="preserve">in the counties affected by the just transition, which need to improve their economic </w:t>
      </w:r>
      <w:r w:rsidR="009037AE" w:rsidRPr="003516DC">
        <w:rPr>
          <w:rFonts w:ascii="Arial" w:hAnsi="Arial" w:cs="Arial"/>
          <w:color w:val="000000"/>
          <w:sz w:val="20"/>
          <w:szCs w:val="20"/>
        </w:rPr>
        <w:t xml:space="preserve">competitiveness </w:t>
      </w:r>
      <w:r w:rsidRPr="003516DC">
        <w:rPr>
          <w:rFonts w:ascii="Arial" w:hAnsi="Arial" w:cs="Arial"/>
          <w:color w:val="000000"/>
          <w:sz w:val="20"/>
          <w:szCs w:val="20"/>
        </w:rPr>
        <w:t>and spread prosperity rapidly to cushion the social impact of the energy transition.</w:t>
      </w:r>
    </w:p>
    <w:p w14:paraId="314430A8" w14:textId="6C4F1313" w:rsidR="00DB3DC5" w:rsidRPr="003516DC" w:rsidRDefault="004A4999"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T</w:t>
      </w:r>
      <w:r w:rsidR="00DB3DC5" w:rsidRPr="003516DC">
        <w:rPr>
          <w:rFonts w:ascii="Arial" w:hAnsi="Arial" w:cs="Arial"/>
          <w:color w:val="000000"/>
          <w:sz w:val="20"/>
          <w:szCs w:val="20"/>
        </w:rPr>
        <w:t xml:space="preserve">he </w:t>
      </w:r>
      <w:r w:rsidR="007541D1" w:rsidRPr="003516DC">
        <w:rPr>
          <w:rFonts w:ascii="Arial" w:hAnsi="Arial" w:cs="Arial"/>
          <w:color w:val="000000"/>
          <w:sz w:val="20"/>
          <w:szCs w:val="20"/>
        </w:rPr>
        <w:t>NECP</w:t>
      </w:r>
      <w:r w:rsidR="00DB3DC5" w:rsidRPr="003516DC">
        <w:rPr>
          <w:rFonts w:ascii="Arial" w:hAnsi="Arial" w:cs="Arial"/>
          <w:color w:val="000000"/>
          <w:sz w:val="20"/>
          <w:szCs w:val="20"/>
        </w:rPr>
        <w:t xml:space="preserve"> </w:t>
      </w:r>
      <w:r w:rsidRPr="003516DC">
        <w:rPr>
          <w:rFonts w:ascii="Arial" w:hAnsi="Arial" w:cs="Arial"/>
          <w:color w:val="000000"/>
          <w:sz w:val="20"/>
          <w:szCs w:val="20"/>
        </w:rPr>
        <w:t>does</w:t>
      </w:r>
      <w:r w:rsidR="00853BEA">
        <w:rPr>
          <w:rFonts w:ascii="Arial" w:hAnsi="Arial" w:cs="Arial"/>
          <w:color w:val="000000"/>
          <w:sz w:val="20"/>
          <w:szCs w:val="20"/>
        </w:rPr>
        <w:t xml:space="preserve"> not</w:t>
      </w:r>
      <w:r w:rsidRPr="003516DC">
        <w:rPr>
          <w:rFonts w:ascii="Arial" w:hAnsi="Arial" w:cs="Arial"/>
          <w:color w:val="000000"/>
          <w:sz w:val="20"/>
          <w:szCs w:val="20"/>
        </w:rPr>
        <w:t xml:space="preserve"> </w:t>
      </w:r>
      <w:r w:rsidR="006A56B4" w:rsidRPr="003516DC">
        <w:rPr>
          <w:rFonts w:ascii="Arial" w:hAnsi="Arial" w:cs="Arial"/>
          <w:color w:val="000000"/>
          <w:sz w:val="20"/>
          <w:szCs w:val="20"/>
        </w:rPr>
        <w:t>have a target date for climate neutrality or coal phase-out</w:t>
      </w:r>
      <w:r w:rsidRPr="003516DC">
        <w:rPr>
          <w:rFonts w:ascii="Arial" w:hAnsi="Arial" w:cs="Arial"/>
          <w:color w:val="000000"/>
          <w:sz w:val="20"/>
          <w:szCs w:val="20"/>
        </w:rPr>
        <w:t>, but according to the draft RRP submitted by the Gover</w:t>
      </w:r>
      <w:r w:rsidR="009037AE" w:rsidRPr="003516DC">
        <w:rPr>
          <w:rFonts w:ascii="Arial" w:hAnsi="Arial" w:cs="Arial"/>
          <w:color w:val="000000"/>
          <w:sz w:val="20"/>
          <w:szCs w:val="20"/>
        </w:rPr>
        <w:t>nment to the European Commission</w:t>
      </w:r>
      <w:r w:rsidR="000230A3">
        <w:rPr>
          <w:rFonts w:ascii="Arial" w:hAnsi="Arial" w:cs="Arial"/>
          <w:color w:val="000000"/>
          <w:sz w:val="20"/>
          <w:szCs w:val="20"/>
        </w:rPr>
        <w:t>,</w:t>
      </w:r>
      <w:r w:rsidRPr="003516DC">
        <w:rPr>
          <w:rFonts w:ascii="Arial" w:hAnsi="Arial" w:cs="Arial"/>
          <w:color w:val="000000"/>
          <w:sz w:val="20"/>
          <w:szCs w:val="20"/>
        </w:rPr>
        <w:t xml:space="preserve"> Romania will phase out coal by 2032 </w:t>
      </w:r>
      <w:r w:rsidR="000230A3">
        <w:rPr>
          <w:rFonts w:ascii="Arial" w:hAnsi="Arial" w:cs="Arial"/>
          <w:color w:val="000000"/>
          <w:sz w:val="20"/>
          <w:szCs w:val="20"/>
        </w:rPr>
        <w:t xml:space="preserve">at </w:t>
      </w:r>
      <w:r w:rsidRPr="003516DC">
        <w:rPr>
          <w:rFonts w:ascii="Arial" w:hAnsi="Arial" w:cs="Arial"/>
          <w:color w:val="000000"/>
          <w:sz w:val="20"/>
          <w:szCs w:val="20"/>
        </w:rPr>
        <w:t>the latest</w:t>
      </w:r>
      <w:r w:rsidR="000230A3">
        <w:rPr>
          <w:rFonts w:ascii="Arial" w:hAnsi="Arial" w:cs="Arial"/>
          <w:color w:val="000000"/>
          <w:sz w:val="20"/>
          <w:szCs w:val="20"/>
        </w:rPr>
        <w:t>,</w:t>
      </w:r>
      <w:r w:rsidRPr="003516DC">
        <w:rPr>
          <w:rFonts w:ascii="Arial" w:hAnsi="Arial" w:cs="Arial"/>
          <w:color w:val="000000"/>
          <w:sz w:val="20"/>
          <w:szCs w:val="20"/>
        </w:rPr>
        <w:t xml:space="preserve"> and according to media statements at the highest political level</w:t>
      </w:r>
      <w:r w:rsidR="000230A3">
        <w:rPr>
          <w:rFonts w:ascii="Arial" w:hAnsi="Arial" w:cs="Arial"/>
          <w:color w:val="000000"/>
          <w:sz w:val="20"/>
          <w:szCs w:val="20"/>
        </w:rPr>
        <w:t>,</w:t>
      </w:r>
      <w:r w:rsidRPr="003516DC">
        <w:rPr>
          <w:rFonts w:ascii="Arial" w:hAnsi="Arial" w:cs="Arial"/>
          <w:color w:val="000000"/>
          <w:sz w:val="20"/>
          <w:szCs w:val="20"/>
        </w:rPr>
        <w:t xml:space="preserve"> it will reach carbon neutrality by 2050</w:t>
      </w:r>
      <w:r w:rsidR="006A56B4" w:rsidRPr="003516DC">
        <w:rPr>
          <w:rFonts w:ascii="Arial" w:hAnsi="Arial" w:cs="Arial"/>
          <w:color w:val="000000"/>
          <w:sz w:val="20"/>
          <w:szCs w:val="20"/>
        </w:rPr>
        <w:t>.</w:t>
      </w:r>
      <w:r w:rsidR="00DB3DC5" w:rsidRPr="003516DC">
        <w:rPr>
          <w:rFonts w:ascii="Arial" w:hAnsi="Arial" w:cs="Arial"/>
          <w:color w:val="000000"/>
          <w:sz w:val="20"/>
          <w:szCs w:val="20"/>
        </w:rPr>
        <w:t xml:space="preserve"> Hesitation, lack of clarity and lack of decisive action have hampered restructuring processes in the past, which can</w:t>
      </w:r>
      <w:r w:rsidR="00DC445F" w:rsidRPr="003516DC">
        <w:rPr>
          <w:rFonts w:ascii="Arial" w:hAnsi="Arial" w:cs="Arial"/>
          <w:color w:val="000000"/>
          <w:sz w:val="20"/>
          <w:szCs w:val="20"/>
        </w:rPr>
        <w:t xml:space="preserve"> no</w:t>
      </w:r>
      <w:r w:rsidR="00DB3DC5" w:rsidRPr="003516DC">
        <w:rPr>
          <w:rFonts w:ascii="Arial" w:hAnsi="Arial" w:cs="Arial"/>
          <w:color w:val="000000"/>
          <w:sz w:val="20"/>
          <w:szCs w:val="20"/>
        </w:rPr>
        <w:t xml:space="preserve"> longer be the case if Romania is to enter an emissions-decreasing trajectory that will align</w:t>
      </w:r>
      <w:r w:rsidR="00DC445F" w:rsidRPr="003516DC">
        <w:rPr>
          <w:rFonts w:ascii="Arial" w:hAnsi="Arial" w:cs="Arial"/>
          <w:color w:val="000000"/>
          <w:sz w:val="20"/>
          <w:szCs w:val="20"/>
        </w:rPr>
        <w:t xml:space="preserve"> it</w:t>
      </w:r>
      <w:r w:rsidR="00DB3DC5" w:rsidRPr="003516DC">
        <w:rPr>
          <w:rFonts w:ascii="Arial" w:hAnsi="Arial" w:cs="Arial"/>
          <w:color w:val="000000"/>
          <w:sz w:val="20"/>
          <w:szCs w:val="20"/>
        </w:rPr>
        <w:t xml:space="preserve"> with the 2030 targets and international climate commitments.</w:t>
      </w:r>
    </w:p>
    <w:p w14:paraId="4ABE1947" w14:textId="4D3AE416" w:rsidR="00DB3DC5" w:rsidRPr="003516DC" w:rsidRDefault="006A56B4"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Current </w:t>
      </w:r>
      <w:r w:rsidR="009037AE" w:rsidRPr="003516DC">
        <w:rPr>
          <w:rFonts w:ascii="Arial" w:hAnsi="Arial" w:cs="Arial"/>
          <w:color w:val="000000"/>
          <w:sz w:val="20"/>
          <w:szCs w:val="20"/>
        </w:rPr>
        <w:t xml:space="preserve">official documents – </w:t>
      </w:r>
      <w:r w:rsidR="00B66CA5">
        <w:rPr>
          <w:rFonts w:ascii="Arial" w:hAnsi="Arial" w:cs="Arial"/>
          <w:color w:val="000000"/>
          <w:sz w:val="20"/>
          <w:szCs w:val="20"/>
        </w:rPr>
        <w:t xml:space="preserve">i.e., </w:t>
      </w:r>
      <w:r w:rsidR="009037AE" w:rsidRPr="003516DC">
        <w:rPr>
          <w:rFonts w:ascii="Arial" w:hAnsi="Arial" w:cs="Arial"/>
          <w:color w:val="000000"/>
          <w:sz w:val="20"/>
          <w:szCs w:val="20"/>
        </w:rPr>
        <w:t xml:space="preserve">NECP </w:t>
      </w:r>
      <w:r w:rsidR="00132401" w:rsidRPr="003516DC">
        <w:rPr>
          <w:rFonts w:ascii="Arial" w:hAnsi="Arial" w:cs="Arial"/>
          <w:color w:val="000000"/>
          <w:sz w:val="20"/>
          <w:szCs w:val="20"/>
        </w:rPr>
        <w:t>–</w:t>
      </w:r>
      <w:r w:rsidR="009037AE" w:rsidRPr="003516DC">
        <w:rPr>
          <w:rFonts w:ascii="Arial" w:hAnsi="Arial" w:cs="Arial"/>
          <w:color w:val="000000"/>
          <w:sz w:val="20"/>
          <w:szCs w:val="20"/>
        </w:rPr>
        <w:t xml:space="preserve"> </w:t>
      </w:r>
      <w:r w:rsidRPr="003516DC">
        <w:rPr>
          <w:rFonts w:ascii="Arial" w:hAnsi="Arial" w:cs="Arial"/>
          <w:color w:val="000000"/>
          <w:sz w:val="20"/>
          <w:szCs w:val="20"/>
        </w:rPr>
        <w:t>do not anticipate a trajectory towards climate neutrality.</w:t>
      </w:r>
      <w:r w:rsidR="009037AE" w:rsidRPr="003516DC">
        <w:rPr>
          <w:rFonts w:ascii="Arial" w:hAnsi="Arial" w:cs="Arial"/>
          <w:color w:val="000000"/>
          <w:sz w:val="20"/>
          <w:szCs w:val="20"/>
        </w:rPr>
        <w:t xml:space="preserve"> According to NECP</w:t>
      </w:r>
      <w:r w:rsidR="00064FB1">
        <w:rPr>
          <w:rFonts w:ascii="Arial" w:hAnsi="Arial" w:cs="Arial"/>
          <w:color w:val="000000"/>
          <w:sz w:val="20"/>
          <w:szCs w:val="20"/>
        </w:rPr>
        <w:t>,</w:t>
      </w:r>
      <w:r w:rsidRPr="003516DC">
        <w:rPr>
          <w:rFonts w:ascii="Arial" w:hAnsi="Arial" w:cs="Arial"/>
          <w:color w:val="000000"/>
          <w:sz w:val="20"/>
          <w:szCs w:val="20"/>
        </w:rPr>
        <w:t xml:space="preserve"> </w:t>
      </w:r>
      <w:r w:rsidR="009037AE" w:rsidRPr="003516DC">
        <w:rPr>
          <w:rFonts w:ascii="Arial" w:hAnsi="Arial" w:cs="Arial"/>
          <w:color w:val="000000"/>
          <w:sz w:val="20"/>
          <w:szCs w:val="20"/>
        </w:rPr>
        <w:t>i</w:t>
      </w:r>
      <w:r w:rsidRPr="003516DC">
        <w:rPr>
          <w:rFonts w:ascii="Arial" w:hAnsi="Arial" w:cs="Arial"/>
          <w:color w:val="000000"/>
          <w:sz w:val="20"/>
          <w:szCs w:val="20"/>
        </w:rPr>
        <w:t>n 2030 and even by 2035, coal is still expected to be present in the energy mix: 13% of energy share in 2030 and 9% in 2035</w:t>
      </w:r>
      <w:r w:rsidR="009037AE" w:rsidRPr="003516DC">
        <w:rPr>
          <w:rFonts w:ascii="Arial" w:hAnsi="Arial" w:cs="Arial"/>
          <w:color w:val="000000"/>
          <w:sz w:val="20"/>
          <w:szCs w:val="20"/>
        </w:rPr>
        <w:t xml:space="preserve">. </w:t>
      </w:r>
      <w:r w:rsidR="004A4999" w:rsidRPr="003516DC">
        <w:rPr>
          <w:rFonts w:ascii="Arial" w:hAnsi="Arial" w:cs="Arial"/>
          <w:color w:val="000000"/>
          <w:sz w:val="20"/>
          <w:szCs w:val="20"/>
        </w:rPr>
        <w:t xml:space="preserve">According to </w:t>
      </w:r>
      <w:r w:rsidR="00335B41">
        <w:rPr>
          <w:rFonts w:ascii="Arial" w:hAnsi="Arial" w:cs="Arial"/>
          <w:color w:val="000000"/>
          <w:sz w:val="20"/>
          <w:szCs w:val="20"/>
        </w:rPr>
        <w:t xml:space="preserve">the </w:t>
      </w:r>
      <w:r w:rsidR="004A4999" w:rsidRPr="003516DC">
        <w:rPr>
          <w:rFonts w:ascii="Arial" w:hAnsi="Arial" w:cs="Arial"/>
          <w:color w:val="000000"/>
          <w:sz w:val="20"/>
          <w:szCs w:val="20"/>
        </w:rPr>
        <w:t>RRP</w:t>
      </w:r>
      <w:r w:rsidR="00064FB1">
        <w:rPr>
          <w:rFonts w:ascii="Arial" w:hAnsi="Arial" w:cs="Arial"/>
          <w:color w:val="000000"/>
          <w:sz w:val="20"/>
          <w:szCs w:val="20"/>
        </w:rPr>
        <w:t>,</w:t>
      </w:r>
      <w:r w:rsidR="004A4999" w:rsidRPr="003516DC">
        <w:rPr>
          <w:rFonts w:ascii="Arial" w:hAnsi="Arial" w:cs="Arial"/>
          <w:color w:val="000000"/>
          <w:sz w:val="20"/>
          <w:szCs w:val="20"/>
        </w:rPr>
        <w:t xml:space="preserve"> this will not be the case</w:t>
      </w:r>
      <w:r w:rsidR="00064FB1">
        <w:rPr>
          <w:rFonts w:ascii="Arial" w:hAnsi="Arial" w:cs="Arial"/>
          <w:color w:val="000000"/>
          <w:sz w:val="20"/>
          <w:szCs w:val="20"/>
        </w:rPr>
        <w:t xml:space="preserve"> as</w:t>
      </w:r>
      <w:r w:rsidR="004A4999" w:rsidRPr="003516DC">
        <w:rPr>
          <w:rFonts w:ascii="Arial" w:hAnsi="Arial" w:cs="Arial"/>
          <w:color w:val="000000"/>
          <w:sz w:val="20"/>
          <w:szCs w:val="20"/>
        </w:rPr>
        <w:t xml:space="preserve"> coal </w:t>
      </w:r>
      <w:r w:rsidR="00064FB1">
        <w:rPr>
          <w:rFonts w:ascii="Arial" w:hAnsi="Arial" w:cs="Arial"/>
          <w:color w:val="000000"/>
          <w:sz w:val="20"/>
          <w:szCs w:val="20"/>
        </w:rPr>
        <w:t xml:space="preserve">is </w:t>
      </w:r>
      <w:r w:rsidR="004A4999" w:rsidRPr="003516DC">
        <w:rPr>
          <w:rFonts w:ascii="Arial" w:hAnsi="Arial" w:cs="Arial"/>
          <w:color w:val="000000"/>
          <w:sz w:val="20"/>
          <w:szCs w:val="20"/>
        </w:rPr>
        <w:t>to be completely phased out by 2032 and a detailed calendar</w:t>
      </w:r>
      <w:r w:rsidR="009037AE" w:rsidRPr="003516DC">
        <w:rPr>
          <w:rFonts w:ascii="Arial" w:hAnsi="Arial" w:cs="Arial"/>
          <w:color w:val="000000"/>
          <w:sz w:val="20"/>
          <w:szCs w:val="20"/>
        </w:rPr>
        <w:t xml:space="preserve"> for coal phase</w:t>
      </w:r>
      <w:r w:rsidR="00064FB1">
        <w:rPr>
          <w:rFonts w:ascii="Arial" w:hAnsi="Arial" w:cs="Arial"/>
          <w:color w:val="000000"/>
          <w:sz w:val="20"/>
          <w:szCs w:val="20"/>
        </w:rPr>
        <w:t>-</w:t>
      </w:r>
      <w:r w:rsidR="009037AE" w:rsidRPr="003516DC">
        <w:rPr>
          <w:rFonts w:ascii="Arial" w:hAnsi="Arial" w:cs="Arial"/>
          <w:color w:val="000000"/>
          <w:sz w:val="20"/>
          <w:szCs w:val="20"/>
        </w:rPr>
        <w:t>out</w:t>
      </w:r>
      <w:r w:rsidR="004A4999" w:rsidRPr="003516DC">
        <w:rPr>
          <w:rFonts w:ascii="Arial" w:hAnsi="Arial" w:cs="Arial"/>
          <w:color w:val="000000"/>
          <w:sz w:val="20"/>
          <w:szCs w:val="20"/>
        </w:rPr>
        <w:t xml:space="preserve"> </w:t>
      </w:r>
      <w:r w:rsidR="00064FB1">
        <w:rPr>
          <w:rFonts w:ascii="Arial" w:hAnsi="Arial" w:cs="Arial"/>
          <w:color w:val="000000"/>
          <w:sz w:val="20"/>
          <w:szCs w:val="20"/>
        </w:rPr>
        <w:t xml:space="preserve">is to be </w:t>
      </w:r>
      <w:r w:rsidR="004A4999" w:rsidRPr="003516DC">
        <w:rPr>
          <w:rFonts w:ascii="Arial" w:hAnsi="Arial" w:cs="Arial"/>
          <w:color w:val="000000"/>
          <w:sz w:val="20"/>
          <w:szCs w:val="20"/>
        </w:rPr>
        <w:t>adopted by Q2 2022. A</w:t>
      </w:r>
      <w:r w:rsidR="00DB3DC5" w:rsidRPr="003516DC">
        <w:rPr>
          <w:rFonts w:ascii="Arial" w:hAnsi="Arial" w:cs="Arial"/>
          <w:color w:val="000000"/>
          <w:sz w:val="20"/>
          <w:szCs w:val="20"/>
        </w:rPr>
        <w:t xml:space="preserve">s we </w:t>
      </w:r>
      <w:r w:rsidR="00682A55" w:rsidRPr="003516DC">
        <w:rPr>
          <w:rFonts w:ascii="Arial" w:hAnsi="Arial" w:cs="Arial"/>
          <w:color w:val="000000"/>
          <w:sz w:val="20"/>
          <w:szCs w:val="20"/>
        </w:rPr>
        <w:t xml:space="preserve">indicated </w:t>
      </w:r>
      <w:r w:rsidR="00DB3DC5" w:rsidRPr="003516DC">
        <w:rPr>
          <w:rFonts w:ascii="Arial" w:hAnsi="Arial" w:cs="Arial"/>
          <w:color w:val="000000"/>
          <w:sz w:val="20"/>
          <w:szCs w:val="20"/>
        </w:rPr>
        <w:t xml:space="preserve">in Deliverable 3, the economics of coal fired power plants are challenging in the current environment where renewable energy generation from solar, onshore and offshore wind is extremely competitive and ETS prices are at all-time highs. A timeline of the steps taken to achieve </w:t>
      </w:r>
      <w:r w:rsidR="00DB3DC5" w:rsidRPr="003516DC">
        <w:rPr>
          <w:rFonts w:ascii="Arial" w:hAnsi="Arial" w:cs="Arial"/>
          <w:color w:val="000000"/>
          <w:sz w:val="20"/>
          <w:szCs w:val="20"/>
        </w:rPr>
        <w:lastRenderedPageBreak/>
        <w:t xml:space="preserve">the targets in the NECP is not available in the </w:t>
      </w:r>
      <w:r w:rsidR="009037AE" w:rsidRPr="003516DC">
        <w:rPr>
          <w:rFonts w:ascii="Arial" w:hAnsi="Arial" w:cs="Arial"/>
          <w:color w:val="000000"/>
          <w:sz w:val="20"/>
          <w:szCs w:val="20"/>
        </w:rPr>
        <w:t>document</w:t>
      </w:r>
      <w:r w:rsidR="00DB3DC5" w:rsidRPr="003516DC">
        <w:rPr>
          <w:rFonts w:ascii="Arial" w:hAnsi="Arial" w:cs="Arial"/>
          <w:color w:val="000000"/>
          <w:sz w:val="20"/>
          <w:szCs w:val="20"/>
        </w:rPr>
        <w:t xml:space="preserve">. Instead, </w:t>
      </w:r>
      <w:r w:rsidR="00682A55" w:rsidRPr="003516DC">
        <w:rPr>
          <w:rFonts w:ascii="Arial" w:hAnsi="Arial" w:cs="Arial"/>
          <w:color w:val="000000"/>
          <w:sz w:val="20"/>
          <w:szCs w:val="20"/>
        </w:rPr>
        <w:t xml:space="preserve">the NECP </w:t>
      </w:r>
      <w:r w:rsidR="00DB3DC5" w:rsidRPr="003516DC">
        <w:rPr>
          <w:rFonts w:ascii="Arial" w:hAnsi="Arial" w:cs="Arial"/>
          <w:color w:val="000000"/>
          <w:sz w:val="20"/>
          <w:szCs w:val="20"/>
        </w:rPr>
        <w:t xml:space="preserve">focuses on key figures and targets that are to be fulfilled by 2030 and how the respective indicators evolve up to 2030. While the techno-economic equation from a power system </w:t>
      </w:r>
      <w:r w:rsidR="00126ABB" w:rsidRPr="003516DC">
        <w:rPr>
          <w:rFonts w:ascii="Arial" w:hAnsi="Arial" w:cs="Arial"/>
          <w:color w:val="000000"/>
          <w:sz w:val="20"/>
          <w:szCs w:val="20"/>
        </w:rPr>
        <w:t>perspective</w:t>
      </w:r>
      <w:r w:rsidR="00DB3DC5" w:rsidRPr="003516DC">
        <w:rPr>
          <w:rFonts w:ascii="Arial" w:hAnsi="Arial" w:cs="Arial"/>
          <w:color w:val="000000"/>
          <w:sz w:val="20"/>
          <w:szCs w:val="20"/>
        </w:rPr>
        <w:t xml:space="preserve"> is relatively easy to solve, the more difficult issues are related to the nature of local economies once coal is no longer used in Romania’s power mix and once ETS prices make other installations such as the Prahova-based refineries, the </w:t>
      </w:r>
      <w:r w:rsidR="003751DC">
        <w:rPr>
          <w:rFonts w:ascii="Arial" w:hAnsi="Arial" w:cs="Arial"/>
          <w:color w:val="000000"/>
          <w:sz w:val="20"/>
          <w:szCs w:val="20"/>
        </w:rPr>
        <w:t>Galați</w:t>
      </w:r>
      <w:r w:rsidR="00DB3DC5" w:rsidRPr="003516DC">
        <w:rPr>
          <w:rFonts w:ascii="Arial" w:hAnsi="Arial" w:cs="Arial"/>
          <w:color w:val="000000"/>
          <w:sz w:val="20"/>
          <w:szCs w:val="20"/>
        </w:rPr>
        <w:t xml:space="preserve">-based steel mill and the fertilizer power plants in Romania no longer cost competitive. To make the post-fossil fuel local economic environments stronger and more sustainable, the Territorial Just Transition Plans </w:t>
      </w:r>
      <w:r w:rsidR="00126ABB" w:rsidRPr="003516DC">
        <w:rPr>
          <w:rFonts w:ascii="Arial" w:hAnsi="Arial" w:cs="Arial"/>
          <w:color w:val="000000"/>
          <w:sz w:val="20"/>
          <w:szCs w:val="20"/>
        </w:rPr>
        <w:t xml:space="preserve">(TJTPs) </w:t>
      </w:r>
      <w:r w:rsidR="00DB3DC5" w:rsidRPr="003516DC">
        <w:rPr>
          <w:rFonts w:ascii="Arial" w:hAnsi="Arial" w:cs="Arial"/>
          <w:color w:val="000000"/>
          <w:sz w:val="20"/>
          <w:szCs w:val="20"/>
        </w:rPr>
        <w:t xml:space="preserve">will not suffice: </w:t>
      </w:r>
      <w:r w:rsidRPr="003516DC">
        <w:rPr>
          <w:rFonts w:ascii="Arial" w:hAnsi="Arial" w:cs="Arial"/>
          <w:color w:val="000000"/>
          <w:sz w:val="20"/>
          <w:szCs w:val="20"/>
        </w:rPr>
        <w:t>what will be needed</w:t>
      </w:r>
      <w:r w:rsidR="004A4999" w:rsidRPr="003516DC">
        <w:rPr>
          <w:rFonts w:ascii="Arial" w:hAnsi="Arial" w:cs="Arial"/>
          <w:color w:val="000000"/>
          <w:sz w:val="20"/>
          <w:szCs w:val="20"/>
        </w:rPr>
        <w:t xml:space="preserve"> in our opinion</w:t>
      </w:r>
      <w:r w:rsidRPr="003516DC">
        <w:rPr>
          <w:rFonts w:ascii="Arial" w:hAnsi="Arial" w:cs="Arial"/>
          <w:color w:val="000000"/>
          <w:sz w:val="20"/>
          <w:szCs w:val="20"/>
        </w:rPr>
        <w:t xml:space="preserve"> is a representative Coal Commission (which may also investigate the consequences for non-coal counties) to manage recommendations and the timeline, to increase renewable energy deployments of solar, onshore and offshore wind, and to fund and plan </w:t>
      </w:r>
      <w:r w:rsidR="009037AE" w:rsidRPr="003516DC">
        <w:rPr>
          <w:rFonts w:ascii="Arial" w:hAnsi="Arial" w:cs="Arial"/>
          <w:color w:val="000000"/>
          <w:sz w:val="20"/>
          <w:szCs w:val="20"/>
        </w:rPr>
        <w:t xml:space="preserve">the </w:t>
      </w:r>
      <w:r w:rsidRPr="003516DC">
        <w:rPr>
          <w:rFonts w:ascii="Arial" w:hAnsi="Arial" w:cs="Arial"/>
          <w:color w:val="000000"/>
          <w:sz w:val="20"/>
          <w:szCs w:val="20"/>
        </w:rPr>
        <w:t>support for a just transition and an economically sustainable future for the most affected regions.</w:t>
      </w:r>
      <w:r w:rsidR="004A4999" w:rsidRPr="003516DC">
        <w:rPr>
          <w:rFonts w:ascii="Arial" w:hAnsi="Arial" w:cs="Arial"/>
          <w:color w:val="000000"/>
          <w:sz w:val="20"/>
          <w:szCs w:val="20"/>
        </w:rPr>
        <w:t xml:space="preserve"> Such a consensus building mechanism at </w:t>
      </w:r>
      <w:r w:rsidR="00335B41">
        <w:rPr>
          <w:rFonts w:ascii="Arial" w:hAnsi="Arial" w:cs="Arial"/>
          <w:color w:val="000000"/>
          <w:sz w:val="20"/>
          <w:szCs w:val="20"/>
        </w:rPr>
        <w:t xml:space="preserve">the </w:t>
      </w:r>
      <w:r w:rsidR="004A4999" w:rsidRPr="003516DC">
        <w:rPr>
          <w:rFonts w:ascii="Arial" w:hAnsi="Arial" w:cs="Arial"/>
          <w:color w:val="000000"/>
          <w:sz w:val="20"/>
          <w:szCs w:val="20"/>
        </w:rPr>
        <w:t>community level</w:t>
      </w:r>
      <w:r w:rsidR="009037AE" w:rsidRPr="003516DC">
        <w:rPr>
          <w:rFonts w:ascii="Arial" w:hAnsi="Arial" w:cs="Arial"/>
          <w:color w:val="000000"/>
          <w:sz w:val="20"/>
          <w:szCs w:val="20"/>
        </w:rPr>
        <w:t xml:space="preserve">, albeit not a </w:t>
      </w:r>
      <w:r w:rsidR="00335B41">
        <w:rPr>
          <w:rFonts w:ascii="Arial" w:hAnsi="Arial" w:cs="Arial"/>
          <w:color w:val="000000"/>
          <w:sz w:val="20"/>
          <w:szCs w:val="20"/>
        </w:rPr>
        <w:t xml:space="preserve">proper </w:t>
      </w:r>
      <w:r w:rsidR="009037AE" w:rsidRPr="003516DC">
        <w:rPr>
          <w:rFonts w:ascii="Arial" w:hAnsi="Arial" w:cs="Arial"/>
          <w:color w:val="000000"/>
          <w:sz w:val="20"/>
          <w:szCs w:val="20"/>
        </w:rPr>
        <w:t>Coal Commission,</w:t>
      </w:r>
      <w:r w:rsidR="004A4999" w:rsidRPr="003516DC">
        <w:rPr>
          <w:rFonts w:ascii="Arial" w:hAnsi="Arial" w:cs="Arial"/>
          <w:color w:val="000000"/>
          <w:sz w:val="20"/>
          <w:szCs w:val="20"/>
        </w:rPr>
        <w:t xml:space="preserve"> is also envisaged in the RRP.</w:t>
      </w:r>
    </w:p>
    <w:p w14:paraId="1EEB21B0" w14:textId="6BF1996F" w:rsidR="006A56B4" w:rsidRPr="003516DC" w:rsidRDefault="006A56B4"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There are no</w:t>
      </w:r>
      <w:r w:rsidR="004A4999" w:rsidRPr="003516DC">
        <w:rPr>
          <w:rFonts w:ascii="Arial" w:hAnsi="Arial" w:cs="Arial"/>
          <w:color w:val="000000"/>
          <w:sz w:val="20"/>
          <w:szCs w:val="20"/>
        </w:rPr>
        <w:t xml:space="preserve"> officially adopted</w:t>
      </w:r>
      <w:r w:rsidRPr="003516DC">
        <w:rPr>
          <w:rFonts w:ascii="Arial" w:hAnsi="Arial" w:cs="Arial"/>
          <w:color w:val="000000"/>
          <w:sz w:val="20"/>
          <w:szCs w:val="20"/>
        </w:rPr>
        <w:t xml:space="preserve"> development-region specific plans and metrics in place for carbon neutrality, let alone at the level of the counties affected (NUTS</w:t>
      </w:r>
      <w:r w:rsidR="00CB7D59">
        <w:rPr>
          <w:rFonts w:ascii="Arial" w:hAnsi="Arial" w:cs="Arial"/>
          <w:color w:val="000000"/>
          <w:sz w:val="20"/>
          <w:szCs w:val="20"/>
        </w:rPr>
        <w:t>3</w:t>
      </w:r>
      <w:r w:rsidRPr="003516DC">
        <w:rPr>
          <w:rFonts w:ascii="Arial" w:hAnsi="Arial" w:cs="Arial"/>
          <w:color w:val="000000"/>
          <w:sz w:val="20"/>
          <w:szCs w:val="20"/>
        </w:rPr>
        <w:t xml:space="preserve"> regions). </w:t>
      </w:r>
      <w:r w:rsidR="004A4999" w:rsidRPr="003516DC">
        <w:rPr>
          <w:rFonts w:ascii="Arial" w:hAnsi="Arial" w:cs="Arial"/>
          <w:color w:val="000000"/>
          <w:sz w:val="20"/>
          <w:szCs w:val="20"/>
        </w:rPr>
        <w:t>Still, the targets and milestones assumed under the RRP, despite the current l</w:t>
      </w:r>
      <w:r w:rsidRPr="003516DC">
        <w:rPr>
          <w:rFonts w:ascii="Arial" w:hAnsi="Arial" w:cs="Arial"/>
          <w:color w:val="000000"/>
          <w:sz w:val="20"/>
          <w:szCs w:val="20"/>
        </w:rPr>
        <w:t>ack of clarity and transparency over the transition plans of Hunedoara and Oltenia Energy Complex</w:t>
      </w:r>
      <w:r w:rsidR="00471119">
        <w:rPr>
          <w:rFonts w:ascii="Arial" w:hAnsi="Arial" w:cs="Arial"/>
          <w:color w:val="000000"/>
          <w:sz w:val="20"/>
          <w:szCs w:val="20"/>
        </w:rPr>
        <w:t>,</w:t>
      </w:r>
      <w:r w:rsidRPr="003516DC">
        <w:rPr>
          <w:rFonts w:ascii="Arial" w:hAnsi="Arial" w:cs="Arial"/>
          <w:color w:val="000000"/>
          <w:sz w:val="20"/>
          <w:szCs w:val="20"/>
        </w:rPr>
        <w:t xml:space="preserve"> make the </w:t>
      </w:r>
      <w:r w:rsidR="004A4999" w:rsidRPr="003516DC">
        <w:rPr>
          <w:rFonts w:ascii="Arial" w:hAnsi="Arial" w:cs="Arial"/>
          <w:color w:val="000000"/>
          <w:sz w:val="20"/>
          <w:szCs w:val="20"/>
        </w:rPr>
        <w:t xml:space="preserve">transition outlook a lot </w:t>
      </w:r>
      <w:r w:rsidR="00471119" w:rsidRPr="003516DC">
        <w:rPr>
          <w:rFonts w:ascii="Arial" w:hAnsi="Arial" w:cs="Arial"/>
          <w:color w:val="000000"/>
          <w:sz w:val="20"/>
          <w:szCs w:val="20"/>
        </w:rPr>
        <w:t>clearer</w:t>
      </w:r>
      <w:r w:rsidR="004A4999" w:rsidRPr="003516DC">
        <w:rPr>
          <w:rFonts w:ascii="Arial" w:hAnsi="Arial" w:cs="Arial"/>
          <w:color w:val="000000"/>
          <w:sz w:val="20"/>
          <w:szCs w:val="20"/>
        </w:rPr>
        <w:t>, particularly for coal-dependent counties</w:t>
      </w:r>
      <w:r w:rsidRPr="003516DC">
        <w:rPr>
          <w:rFonts w:ascii="Arial" w:hAnsi="Arial" w:cs="Arial"/>
          <w:color w:val="000000"/>
          <w:sz w:val="20"/>
          <w:szCs w:val="20"/>
        </w:rPr>
        <w:t xml:space="preserve">. In </w:t>
      </w:r>
      <w:r w:rsidR="009037AE" w:rsidRPr="003516DC">
        <w:rPr>
          <w:rFonts w:ascii="Arial" w:hAnsi="Arial" w:cs="Arial"/>
          <w:color w:val="000000"/>
          <w:sz w:val="20"/>
          <w:szCs w:val="20"/>
        </w:rPr>
        <w:t>the non</w:t>
      </w:r>
      <w:r w:rsidR="004A4999" w:rsidRPr="003516DC">
        <w:rPr>
          <w:rFonts w:ascii="Arial" w:hAnsi="Arial" w:cs="Arial"/>
          <w:color w:val="000000"/>
          <w:sz w:val="20"/>
          <w:szCs w:val="20"/>
        </w:rPr>
        <w:t xml:space="preserve">-coal dependent </w:t>
      </w:r>
      <w:r w:rsidRPr="003516DC">
        <w:rPr>
          <w:rFonts w:ascii="Arial" w:hAnsi="Arial" w:cs="Arial"/>
          <w:color w:val="000000"/>
          <w:sz w:val="20"/>
          <w:szCs w:val="20"/>
        </w:rPr>
        <w:t xml:space="preserve">counties, there are no commitments or plans from economic actors towards climate neutrality, except for </w:t>
      </w:r>
      <w:r w:rsidR="003751DC">
        <w:rPr>
          <w:rFonts w:ascii="Arial" w:hAnsi="Arial" w:cs="Arial"/>
          <w:color w:val="000000"/>
          <w:sz w:val="20"/>
          <w:szCs w:val="20"/>
        </w:rPr>
        <w:t>Galați</w:t>
      </w:r>
      <w:r w:rsidRPr="003516DC">
        <w:rPr>
          <w:rFonts w:ascii="Arial" w:hAnsi="Arial" w:cs="Arial"/>
          <w:color w:val="000000"/>
          <w:sz w:val="20"/>
          <w:szCs w:val="20"/>
        </w:rPr>
        <w:t xml:space="preserve"> where the main emissions producer plans to become carbon-neutral by </w:t>
      </w:r>
      <w:r w:rsidR="00ED5FD7" w:rsidRPr="003516DC">
        <w:rPr>
          <w:rFonts w:ascii="Arial" w:hAnsi="Arial" w:cs="Arial"/>
          <w:color w:val="000000"/>
          <w:sz w:val="20"/>
          <w:szCs w:val="20"/>
        </w:rPr>
        <w:t>2030</w:t>
      </w:r>
      <w:r w:rsidRPr="003516DC">
        <w:rPr>
          <w:rFonts w:ascii="Arial" w:hAnsi="Arial" w:cs="Arial"/>
          <w:color w:val="000000"/>
          <w:sz w:val="20"/>
          <w:szCs w:val="20"/>
        </w:rPr>
        <w:t>.</w:t>
      </w:r>
    </w:p>
    <w:p w14:paraId="4FDC250A" w14:textId="6C27DF8C" w:rsidR="00DB3DC5" w:rsidRPr="003516DC" w:rsidRDefault="00DB3DC5"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Based on information collected during the stakeholder engagement process, coal mining is expected to close by 2027 </w:t>
      </w:r>
      <w:r w:rsidR="001C5B16" w:rsidRPr="003516DC">
        <w:rPr>
          <w:rFonts w:ascii="Arial" w:hAnsi="Arial" w:cs="Arial"/>
          <w:color w:val="000000"/>
          <w:sz w:val="20"/>
          <w:szCs w:val="20"/>
        </w:rPr>
        <w:t xml:space="preserve">in Hunedoara County </w:t>
      </w:r>
      <w:r w:rsidR="009F1F99" w:rsidRPr="003516DC">
        <w:rPr>
          <w:rFonts w:ascii="Arial" w:hAnsi="Arial" w:cs="Arial"/>
          <w:color w:val="000000"/>
          <w:sz w:val="20"/>
          <w:szCs w:val="20"/>
        </w:rPr>
        <w:t>(with two out of four mines closing by 202</w:t>
      </w:r>
      <w:r w:rsidR="009037AE" w:rsidRPr="003516DC">
        <w:rPr>
          <w:rFonts w:ascii="Arial" w:hAnsi="Arial" w:cs="Arial"/>
          <w:color w:val="000000"/>
          <w:sz w:val="20"/>
          <w:szCs w:val="20"/>
        </w:rPr>
        <w:t>1-2022</w:t>
      </w:r>
      <w:r w:rsidR="009F1F99" w:rsidRPr="003516DC">
        <w:rPr>
          <w:rFonts w:ascii="Arial" w:hAnsi="Arial" w:cs="Arial"/>
          <w:color w:val="000000"/>
          <w:sz w:val="20"/>
          <w:szCs w:val="20"/>
        </w:rPr>
        <w:t>)</w:t>
      </w:r>
      <w:r w:rsidRPr="003516DC">
        <w:rPr>
          <w:rFonts w:ascii="Arial" w:hAnsi="Arial" w:cs="Arial"/>
          <w:color w:val="000000"/>
          <w:sz w:val="20"/>
          <w:szCs w:val="20"/>
        </w:rPr>
        <w:t xml:space="preserve">. Part of the local coal-fired power generation is expected to terminate imminently (with early-stage plans for gas switching), </w:t>
      </w:r>
      <w:r w:rsidR="00AE2387" w:rsidRPr="003516DC">
        <w:rPr>
          <w:rFonts w:ascii="Arial" w:hAnsi="Arial" w:cs="Arial"/>
          <w:color w:val="000000"/>
          <w:sz w:val="20"/>
          <w:szCs w:val="20"/>
        </w:rPr>
        <w:t xml:space="preserve">while </w:t>
      </w:r>
      <w:r w:rsidRPr="003516DC">
        <w:rPr>
          <w:rFonts w:ascii="Arial" w:hAnsi="Arial" w:cs="Arial"/>
          <w:color w:val="000000"/>
          <w:sz w:val="20"/>
          <w:szCs w:val="20"/>
        </w:rPr>
        <w:t>the more moderni</w:t>
      </w:r>
      <w:r w:rsidR="00CA792B" w:rsidRPr="003516DC">
        <w:rPr>
          <w:rFonts w:ascii="Arial" w:hAnsi="Arial" w:cs="Arial"/>
          <w:color w:val="000000"/>
          <w:sz w:val="20"/>
          <w:szCs w:val="20"/>
        </w:rPr>
        <w:t>s</w:t>
      </w:r>
      <w:r w:rsidRPr="003516DC">
        <w:rPr>
          <w:rFonts w:ascii="Arial" w:hAnsi="Arial" w:cs="Arial"/>
          <w:color w:val="000000"/>
          <w:sz w:val="20"/>
          <w:szCs w:val="20"/>
        </w:rPr>
        <w:t xml:space="preserve">ed coal-fired groups </w:t>
      </w:r>
      <w:r w:rsidR="00CC3E59" w:rsidRPr="003516DC">
        <w:rPr>
          <w:rFonts w:ascii="Arial" w:hAnsi="Arial" w:cs="Arial"/>
          <w:color w:val="000000"/>
          <w:sz w:val="20"/>
          <w:szCs w:val="20"/>
        </w:rPr>
        <w:t xml:space="preserve">will likely continue </w:t>
      </w:r>
      <w:r w:rsidRPr="003516DC">
        <w:rPr>
          <w:rFonts w:ascii="Arial" w:hAnsi="Arial" w:cs="Arial"/>
          <w:color w:val="000000"/>
          <w:sz w:val="20"/>
          <w:szCs w:val="20"/>
        </w:rPr>
        <w:t xml:space="preserve">to </w:t>
      </w:r>
      <w:r w:rsidR="00CC3E59" w:rsidRPr="003516DC">
        <w:rPr>
          <w:rFonts w:ascii="Arial" w:hAnsi="Arial" w:cs="Arial"/>
          <w:color w:val="000000"/>
          <w:sz w:val="20"/>
          <w:szCs w:val="20"/>
        </w:rPr>
        <w:t xml:space="preserve">operate </w:t>
      </w:r>
      <w:r w:rsidRPr="003516DC">
        <w:rPr>
          <w:rFonts w:ascii="Arial" w:hAnsi="Arial" w:cs="Arial"/>
          <w:color w:val="000000"/>
          <w:sz w:val="20"/>
          <w:szCs w:val="20"/>
        </w:rPr>
        <w:t xml:space="preserve">for a </w:t>
      </w:r>
      <w:r w:rsidR="00CC3E59" w:rsidRPr="003516DC">
        <w:rPr>
          <w:rFonts w:ascii="Arial" w:hAnsi="Arial" w:cs="Arial"/>
          <w:color w:val="000000"/>
          <w:sz w:val="20"/>
          <w:szCs w:val="20"/>
        </w:rPr>
        <w:t xml:space="preserve">few </w:t>
      </w:r>
      <w:r w:rsidRPr="003516DC">
        <w:rPr>
          <w:rFonts w:ascii="Arial" w:hAnsi="Arial" w:cs="Arial"/>
          <w:color w:val="000000"/>
          <w:sz w:val="20"/>
          <w:szCs w:val="20"/>
        </w:rPr>
        <w:t xml:space="preserve">more years at most. </w:t>
      </w:r>
      <w:r w:rsidR="003704FE" w:rsidRPr="003516DC">
        <w:rPr>
          <w:rFonts w:ascii="Arial" w:hAnsi="Arial" w:cs="Arial"/>
          <w:color w:val="000000"/>
          <w:sz w:val="20"/>
          <w:szCs w:val="20"/>
        </w:rPr>
        <w:t xml:space="preserve"> In order to prepare for the negative social and economic effect </w:t>
      </w:r>
      <w:r w:rsidR="00471119">
        <w:rPr>
          <w:rFonts w:ascii="Arial" w:hAnsi="Arial" w:cs="Arial"/>
          <w:color w:val="000000"/>
          <w:sz w:val="20"/>
          <w:szCs w:val="20"/>
        </w:rPr>
        <w:t>related to</w:t>
      </w:r>
      <w:r w:rsidR="003704FE" w:rsidRPr="003516DC">
        <w:rPr>
          <w:rFonts w:ascii="Arial" w:hAnsi="Arial" w:cs="Arial"/>
          <w:color w:val="000000"/>
          <w:sz w:val="20"/>
          <w:szCs w:val="20"/>
        </w:rPr>
        <w:t xml:space="preserve"> the </w:t>
      </w:r>
      <w:r w:rsidR="00471119">
        <w:rPr>
          <w:rFonts w:ascii="Arial" w:hAnsi="Arial" w:cs="Arial"/>
          <w:color w:val="000000"/>
          <w:sz w:val="20"/>
          <w:szCs w:val="20"/>
        </w:rPr>
        <w:t xml:space="preserve">closure of </w:t>
      </w:r>
      <w:r w:rsidR="003704FE" w:rsidRPr="003516DC">
        <w:rPr>
          <w:rFonts w:ascii="Arial" w:hAnsi="Arial" w:cs="Arial"/>
          <w:color w:val="000000"/>
          <w:sz w:val="20"/>
          <w:szCs w:val="20"/>
        </w:rPr>
        <w:t>coal mining</w:t>
      </w:r>
      <w:r w:rsidR="0036074E" w:rsidRPr="003516DC">
        <w:rPr>
          <w:rFonts w:ascii="Arial" w:hAnsi="Arial" w:cs="Arial"/>
          <w:color w:val="000000"/>
          <w:sz w:val="20"/>
          <w:szCs w:val="20"/>
        </w:rPr>
        <w:t>, and coal–fired power generation</w:t>
      </w:r>
      <w:r w:rsidR="003704FE" w:rsidRPr="003516DC">
        <w:rPr>
          <w:rFonts w:ascii="Arial" w:hAnsi="Arial" w:cs="Arial"/>
          <w:color w:val="000000"/>
          <w:sz w:val="20"/>
          <w:szCs w:val="20"/>
        </w:rPr>
        <w:t xml:space="preserve"> in Jiu Valley, a reskilling centre in wind and solar energy production</w:t>
      </w:r>
      <w:r w:rsidR="0036074E" w:rsidRPr="003516DC">
        <w:rPr>
          <w:rFonts w:ascii="Arial" w:hAnsi="Arial" w:cs="Arial"/>
          <w:color w:val="000000"/>
          <w:sz w:val="20"/>
          <w:szCs w:val="20"/>
        </w:rPr>
        <w:t xml:space="preserve"> and</w:t>
      </w:r>
      <w:r w:rsidR="003704FE" w:rsidRPr="003516DC">
        <w:rPr>
          <w:rFonts w:ascii="Arial" w:hAnsi="Arial" w:cs="Arial"/>
          <w:color w:val="000000"/>
          <w:sz w:val="20"/>
          <w:szCs w:val="20"/>
        </w:rPr>
        <w:t xml:space="preserve"> electric installations</w:t>
      </w:r>
      <w:r w:rsidR="0036074E" w:rsidRPr="003516DC">
        <w:rPr>
          <w:rFonts w:ascii="Arial" w:hAnsi="Arial" w:cs="Arial"/>
          <w:color w:val="000000"/>
          <w:sz w:val="20"/>
          <w:szCs w:val="20"/>
        </w:rPr>
        <w:t xml:space="preserve">, </w:t>
      </w:r>
      <w:r w:rsidR="003704FE" w:rsidRPr="003516DC">
        <w:rPr>
          <w:rFonts w:ascii="Arial" w:hAnsi="Arial" w:cs="Arial"/>
          <w:color w:val="000000"/>
          <w:sz w:val="20"/>
          <w:szCs w:val="20"/>
        </w:rPr>
        <w:t xml:space="preserve">targeting the former miners and CEH workers was opened by the Petrosani University in partnership with the </w:t>
      </w:r>
      <w:r w:rsidR="009037AE" w:rsidRPr="003516DC">
        <w:rPr>
          <w:rFonts w:ascii="Arial" w:hAnsi="Arial" w:cs="Arial"/>
          <w:color w:val="000000"/>
          <w:sz w:val="20"/>
          <w:szCs w:val="20"/>
        </w:rPr>
        <w:t>Romanian Wind Energy Association</w:t>
      </w:r>
      <w:r w:rsidR="003704FE" w:rsidRPr="003516DC">
        <w:rPr>
          <w:rFonts w:ascii="Arial" w:hAnsi="Arial" w:cs="Arial"/>
          <w:color w:val="000000"/>
          <w:sz w:val="20"/>
          <w:szCs w:val="20"/>
        </w:rPr>
        <w:t xml:space="preserve">.      </w:t>
      </w:r>
    </w:p>
    <w:p w14:paraId="2ECE23B5" w14:textId="77777777" w:rsidR="0077704C" w:rsidRPr="003516DC" w:rsidRDefault="0077704C"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Dolj County will likely follow the same transition pathway as Gorj. Additionally, manufacturing exposed to energy-intensive markets will also decrease, leading </w:t>
      </w:r>
      <w:r>
        <w:rPr>
          <w:rFonts w:ascii="Arial" w:hAnsi="Arial" w:cs="Arial"/>
          <w:color w:val="000000"/>
          <w:sz w:val="20"/>
          <w:szCs w:val="20"/>
        </w:rPr>
        <w:t xml:space="preserve">to </w:t>
      </w:r>
      <w:r w:rsidRPr="003516DC">
        <w:rPr>
          <w:rFonts w:ascii="Arial" w:hAnsi="Arial" w:cs="Arial"/>
          <w:color w:val="000000"/>
          <w:sz w:val="20"/>
          <w:szCs w:val="20"/>
        </w:rPr>
        <w:t>investment need</w:t>
      </w:r>
      <w:r>
        <w:rPr>
          <w:rFonts w:ascii="Arial" w:hAnsi="Arial" w:cs="Arial"/>
          <w:color w:val="000000"/>
          <w:sz w:val="20"/>
          <w:szCs w:val="20"/>
        </w:rPr>
        <w:t>s</w:t>
      </w:r>
      <w:r w:rsidRPr="003516DC">
        <w:rPr>
          <w:rFonts w:ascii="Arial" w:hAnsi="Arial" w:cs="Arial"/>
          <w:color w:val="000000"/>
          <w:sz w:val="20"/>
          <w:szCs w:val="20"/>
        </w:rPr>
        <w:t xml:space="preserve"> </w:t>
      </w:r>
      <w:r>
        <w:rPr>
          <w:rFonts w:ascii="Arial" w:hAnsi="Arial" w:cs="Arial"/>
          <w:color w:val="000000"/>
          <w:sz w:val="20"/>
          <w:szCs w:val="20"/>
        </w:rPr>
        <w:t>for</w:t>
      </w:r>
      <w:r w:rsidRPr="003516DC">
        <w:rPr>
          <w:rFonts w:ascii="Arial" w:hAnsi="Arial" w:cs="Arial"/>
          <w:color w:val="000000"/>
          <w:sz w:val="20"/>
          <w:szCs w:val="20"/>
        </w:rPr>
        <w:t xml:space="preserve"> </w:t>
      </w:r>
      <w:r>
        <w:rPr>
          <w:rFonts w:ascii="Arial" w:hAnsi="Arial" w:cs="Arial"/>
          <w:color w:val="000000"/>
          <w:sz w:val="20"/>
          <w:szCs w:val="20"/>
        </w:rPr>
        <w:t xml:space="preserve">the </w:t>
      </w:r>
      <w:r w:rsidRPr="003516DC">
        <w:rPr>
          <w:rFonts w:ascii="Arial" w:hAnsi="Arial" w:cs="Arial"/>
          <w:color w:val="000000"/>
          <w:sz w:val="20"/>
          <w:szCs w:val="20"/>
        </w:rPr>
        <w:t>creati</w:t>
      </w:r>
      <w:r>
        <w:rPr>
          <w:rFonts w:ascii="Arial" w:hAnsi="Arial" w:cs="Arial"/>
          <w:color w:val="000000"/>
          <w:sz w:val="20"/>
          <w:szCs w:val="20"/>
        </w:rPr>
        <w:t>on of</w:t>
      </w:r>
      <w:r w:rsidRPr="003516DC">
        <w:rPr>
          <w:rFonts w:ascii="Arial" w:hAnsi="Arial" w:cs="Arial"/>
          <w:color w:val="000000"/>
          <w:sz w:val="20"/>
          <w:szCs w:val="20"/>
        </w:rPr>
        <w:t xml:space="preserve"> new-start-ups and </w:t>
      </w:r>
      <w:r>
        <w:rPr>
          <w:rFonts w:ascii="Arial" w:hAnsi="Arial" w:cs="Arial"/>
          <w:color w:val="000000"/>
          <w:sz w:val="20"/>
          <w:szCs w:val="20"/>
        </w:rPr>
        <w:t>the</w:t>
      </w:r>
      <w:r w:rsidRPr="003516DC">
        <w:rPr>
          <w:rFonts w:ascii="Arial" w:hAnsi="Arial" w:cs="Arial"/>
          <w:color w:val="000000"/>
          <w:sz w:val="20"/>
          <w:szCs w:val="20"/>
        </w:rPr>
        <w:t xml:space="preserve"> diversification of existing ones (towards creative, sustainable sectors like circular economy, environmental protection, new technologies, etc., as well as towards food processing and sustainable tourism). Simultaneously, another</w:t>
      </w:r>
      <w:r w:rsidRPr="005F0F0A">
        <w:rPr>
          <w:rFonts w:ascii="Arial" w:hAnsi="Arial" w:cs="Arial"/>
          <w:color w:val="000000"/>
          <w:sz w:val="20"/>
          <w:szCs w:val="20"/>
        </w:rPr>
        <w:t xml:space="preserve"> </w:t>
      </w:r>
      <w:r w:rsidRPr="003516DC">
        <w:rPr>
          <w:rFonts w:ascii="Arial" w:hAnsi="Arial" w:cs="Arial"/>
          <w:color w:val="000000"/>
          <w:sz w:val="20"/>
          <w:szCs w:val="20"/>
        </w:rPr>
        <w:t xml:space="preserve">identified need is the digitalisation of the local public sector to make business easier. Further investment needs/opportunities </w:t>
      </w:r>
      <w:r>
        <w:rPr>
          <w:rFonts w:ascii="Arial" w:hAnsi="Arial" w:cs="Arial"/>
          <w:color w:val="000000"/>
          <w:sz w:val="20"/>
          <w:szCs w:val="20"/>
        </w:rPr>
        <w:t>include</w:t>
      </w:r>
      <w:r w:rsidRPr="003516DC">
        <w:rPr>
          <w:rFonts w:ascii="Arial" w:hAnsi="Arial" w:cs="Arial"/>
          <w:color w:val="000000"/>
          <w:sz w:val="20"/>
          <w:szCs w:val="20"/>
        </w:rPr>
        <w:t xml:space="preserve"> solar PV, urban regeneration projects on former industrial sites, technology transfer hubs and sustainable, </w:t>
      </w:r>
      <w:r>
        <w:rPr>
          <w:rFonts w:ascii="Arial" w:hAnsi="Arial" w:cs="Arial"/>
          <w:color w:val="000000"/>
          <w:sz w:val="20"/>
          <w:szCs w:val="20"/>
        </w:rPr>
        <w:t xml:space="preserve">and </w:t>
      </w:r>
      <w:r w:rsidRPr="003516DC">
        <w:rPr>
          <w:rFonts w:ascii="Arial" w:hAnsi="Arial" w:cs="Arial"/>
          <w:color w:val="000000"/>
          <w:sz w:val="20"/>
          <w:szCs w:val="20"/>
        </w:rPr>
        <w:t>small</w:t>
      </w:r>
      <w:r>
        <w:rPr>
          <w:rFonts w:ascii="Arial" w:hAnsi="Arial" w:cs="Arial"/>
          <w:color w:val="000000"/>
          <w:sz w:val="20"/>
          <w:szCs w:val="20"/>
        </w:rPr>
        <w:t>-</w:t>
      </w:r>
      <w:r w:rsidRPr="003516DC">
        <w:rPr>
          <w:rFonts w:ascii="Arial" w:hAnsi="Arial" w:cs="Arial"/>
          <w:color w:val="000000"/>
          <w:sz w:val="20"/>
          <w:szCs w:val="20"/>
        </w:rPr>
        <w:t>scale district heating using renewables.</w:t>
      </w:r>
    </w:p>
    <w:p w14:paraId="7E92A918" w14:textId="77777777" w:rsidR="0077704C" w:rsidRPr="003516DC" w:rsidRDefault="0077704C"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In Gorj county, the Restructuring Plan of Oltenia Energy Complex is undergoing significant changes and negotiations, so it is hard to currently determine the transition pathway for the county. Likely, coal will phase out by 2030-2032 and the currently envisaged gas-fired capacity for 2030 will be diminished. The negative labour market effects will be significant and mitigation measures, detailed as recommendations in this deliverable, may focus on fostering SMEs (start-ups and scale-ups) and supporting productive investments in large local enterprises active in manufacturing, textile production and food processing. Similarly, one may consider supporting investments in solar PV (large parks and individual productio</w:t>
      </w:r>
      <w:r w:rsidRPr="0077704C">
        <w:rPr>
          <w:rFonts w:ascii="Arial" w:hAnsi="Arial" w:cs="Arial"/>
          <w:color w:val="000000"/>
          <w:sz w:val="20"/>
          <w:szCs w:val="20"/>
        </w:rPr>
        <w:t>n); brownfield repurposing and</w:t>
      </w:r>
      <w:r w:rsidRPr="003516DC">
        <w:rPr>
          <w:rFonts w:ascii="Arial" w:hAnsi="Arial" w:cs="Arial"/>
          <w:color w:val="000000"/>
          <w:sz w:val="20"/>
          <w:szCs w:val="20"/>
        </w:rPr>
        <w:t xml:space="preserve"> green public transportation. Active measures for reskilling and upskilling, particularly for laid off workers and especially towards preparing them for industries IT&amp;C, knowledge-intensive manufacturing, construction, energy efficiency, renewable energy production, installation and maintenance. </w:t>
      </w:r>
    </w:p>
    <w:p w14:paraId="28CB752B" w14:textId="184920B1" w:rsidR="0077704C" w:rsidRDefault="0077704C" w:rsidP="0077704C">
      <w:pPr>
        <w:pStyle w:val="NormalWeb"/>
        <w:shd w:val="clear" w:color="auto" w:fill="FFFFFF"/>
        <w:spacing w:before="0" w:beforeAutospacing="0" w:after="120" w:afterAutospacing="0"/>
        <w:jc w:val="both"/>
        <w:rPr>
          <w:rFonts w:ascii="Arial" w:hAnsi="Arial" w:cs="Arial"/>
          <w:color w:val="000000"/>
          <w:sz w:val="20"/>
          <w:szCs w:val="20"/>
        </w:rPr>
      </w:pPr>
      <w:r w:rsidRPr="0077704C">
        <w:rPr>
          <w:rFonts w:ascii="Arial" w:hAnsi="Arial" w:cs="Arial"/>
          <w:color w:val="000000"/>
          <w:sz w:val="20"/>
          <w:szCs w:val="20"/>
        </w:rPr>
        <w:t>Prahova is the hotspot of the oil and gas industry in Romania. While none of the major oil and gas companies (upstream, refineries, transportation) from Prahova has set a carbon neutrality target, they are in general committed to incremental carbon reductions – e.g., OMV Petrom plans to reduce its emissions by 27% in 2025 (compared to 2010), according to their publicly available corporate strategy. The stakeholder engagement strategy showed that local oil &amp; gas actors are reluctant to make clear and significant steps towards carbon neutrality. Yet, according to our modelling, tighter carbon neutrality targets at the national level (e.g., a Green Deal scenario) will accelerate the energy transition in Prahova massively, the region being able to reduce local emissions by up to 50%, due to the phaseout of gas from the national energy mix. Additionally, Prahova is exposed to automotive manufacturing as well, with no plans so far to transition towards a decarbonized auto sector.</w:t>
      </w:r>
    </w:p>
    <w:p w14:paraId="481F07CC" w14:textId="1D1643B3" w:rsidR="00DB3DC5" w:rsidRPr="003516DC" w:rsidRDefault="00DB3DC5" w:rsidP="0077704C">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lastRenderedPageBreak/>
        <w:t xml:space="preserve">In </w:t>
      </w:r>
      <w:r w:rsidR="006C793F" w:rsidRPr="003516DC">
        <w:rPr>
          <w:rFonts w:ascii="Arial" w:hAnsi="Arial" w:cs="Arial"/>
          <w:color w:val="000000"/>
          <w:sz w:val="20"/>
          <w:szCs w:val="20"/>
        </w:rPr>
        <w:t>Mureș</w:t>
      </w:r>
      <w:r w:rsidR="00FD587B" w:rsidRPr="003516DC">
        <w:rPr>
          <w:rFonts w:ascii="Arial" w:hAnsi="Arial" w:cs="Arial"/>
          <w:color w:val="000000"/>
          <w:sz w:val="20"/>
          <w:szCs w:val="20"/>
        </w:rPr>
        <w:t xml:space="preserve"> County</w:t>
      </w:r>
      <w:r w:rsidRPr="003516DC">
        <w:rPr>
          <w:rFonts w:ascii="Arial" w:hAnsi="Arial" w:cs="Arial"/>
          <w:color w:val="000000"/>
          <w:sz w:val="20"/>
          <w:szCs w:val="20"/>
        </w:rPr>
        <w:t xml:space="preserve">, </w:t>
      </w:r>
      <w:r w:rsidR="002A7F2F" w:rsidRPr="003516DC">
        <w:rPr>
          <w:rFonts w:ascii="Arial" w:hAnsi="Arial" w:cs="Arial"/>
          <w:color w:val="000000"/>
          <w:sz w:val="20"/>
          <w:szCs w:val="20"/>
        </w:rPr>
        <w:t xml:space="preserve">an accelerated decarbonisation scenario may lead to significant emissions reductions, but </w:t>
      </w:r>
      <w:r w:rsidR="001717A7">
        <w:rPr>
          <w:rFonts w:ascii="Arial" w:hAnsi="Arial" w:cs="Arial"/>
          <w:color w:val="000000"/>
          <w:sz w:val="20"/>
          <w:szCs w:val="20"/>
        </w:rPr>
        <w:t xml:space="preserve">may </w:t>
      </w:r>
      <w:r w:rsidR="002A7F2F" w:rsidRPr="003516DC">
        <w:rPr>
          <w:rFonts w:ascii="Arial" w:hAnsi="Arial" w:cs="Arial"/>
          <w:color w:val="000000"/>
          <w:sz w:val="20"/>
          <w:szCs w:val="20"/>
        </w:rPr>
        <w:t xml:space="preserve">also </w:t>
      </w:r>
      <w:r w:rsidR="001717A7">
        <w:rPr>
          <w:rFonts w:ascii="Arial" w:hAnsi="Arial" w:cs="Arial"/>
          <w:color w:val="000000"/>
          <w:sz w:val="20"/>
          <w:szCs w:val="20"/>
        </w:rPr>
        <w:t>have</w:t>
      </w:r>
      <w:r w:rsidR="002A7F2F" w:rsidRPr="003516DC">
        <w:rPr>
          <w:rFonts w:ascii="Arial" w:hAnsi="Arial" w:cs="Arial"/>
          <w:color w:val="000000"/>
          <w:sz w:val="20"/>
          <w:szCs w:val="20"/>
        </w:rPr>
        <w:t xml:space="preserve"> negative employment consequences due to the county’s lock-in </w:t>
      </w:r>
      <w:r w:rsidR="001717A7">
        <w:rPr>
          <w:rFonts w:ascii="Arial" w:hAnsi="Arial" w:cs="Arial"/>
          <w:color w:val="000000"/>
          <w:sz w:val="20"/>
          <w:szCs w:val="20"/>
        </w:rPr>
        <w:t>of</w:t>
      </w:r>
      <w:r w:rsidR="002A7F2F" w:rsidRPr="003516DC">
        <w:rPr>
          <w:rFonts w:ascii="Arial" w:hAnsi="Arial" w:cs="Arial"/>
          <w:color w:val="000000"/>
          <w:sz w:val="20"/>
          <w:szCs w:val="20"/>
        </w:rPr>
        <w:t xml:space="preserve"> natural gas as a fuel and to the national dependency of various economic sectors of </w:t>
      </w:r>
      <w:r w:rsidR="004F70E0">
        <w:rPr>
          <w:rFonts w:ascii="Arial" w:hAnsi="Arial" w:cs="Arial"/>
          <w:color w:val="000000"/>
          <w:sz w:val="20"/>
          <w:szCs w:val="20"/>
        </w:rPr>
        <w:t>Mureș</w:t>
      </w:r>
      <w:r w:rsidR="002A7F2F" w:rsidRPr="003516DC">
        <w:rPr>
          <w:rFonts w:ascii="Arial" w:hAnsi="Arial" w:cs="Arial"/>
          <w:color w:val="000000"/>
          <w:sz w:val="20"/>
          <w:szCs w:val="20"/>
        </w:rPr>
        <w:t>-based gas-</w:t>
      </w:r>
      <w:r w:rsidR="001717A7" w:rsidRPr="003516DC">
        <w:rPr>
          <w:rFonts w:ascii="Arial" w:hAnsi="Arial" w:cs="Arial"/>
          <w:color w:val="000000"/>
          <w:sz w:val="20"/>
          <w:szCs w:val="20"/>
        </w:rPr>
        <w:t>centred</w:t>
      </w:r>
      <w:r w:rsidR="002A7F2F" w:rsidRPr="003516DC">
        <w:rPr>
          <w:rFonts w:ascii="Arial" w:hAnsi="Arial" w:cs="Arial"/>
          <w:color w:val="000000"/>
          <w:sz w:val="20"/>
          <w:szCs w:val="20"/>
        </w:rPr>
        <w:t xml:space="preserve"> production (electricity, fertilizer, etc.)</w:t>
      </w:r>
      <w:r w:rsidRPr="003516DC">
        <w:rPr>
          <w:rFonts w:ascii="Arial" w:hAnsi="Arial" w:cs="Arial"/>
          <w:color w:val="000000"/>
          <w:sz w:val="20"/>
          <w:szCs w:val="20"/>
        </w:rPr>
        <w:t>. As a result, proposed measures could focus on further strengthening the solid business and entrepreneurial environment, with financing and acceleration programmes for SMEs</w:t>
      </w:r>
      <w:r w:rsidR="002A7F2F" w:rsidRPr="003516DC">
        <w:rPr>
          <w:rFonts w:ascii="Arial" w:hAnsi="Arial" w:cs="Arial"/>
          <w:color w:val="000000"/>
          <w:sz w:val="20"/>
          <w:szCs w:val="20"/>
        </w:rPr>
        <w:t>,</w:t>
      </w:r>
      <w:r w:rsidRPr="003516DC">
        <w:rPr>
          <w:rFonts w:ascii="Arial" w:hAnsi="Arial" w:cs="Arial"/>
          <w:color w:val="000000"/>
          <w:sz w:val="20"/>
          <w:szCs w:val="20"/>
        </w:rPr>
        <w:t xml:space="preserve"> develop</w:t>
      </w:r>
      <w:r w:rsidR="00C030A9" w:rsidRPr="003516DC">
        <w:rPr>
          <w:rFonts w:ascii="Arial" w:hAnsi="Arial" w:cs="Arial"/>
          <w:color w:val="000000"/>
          <w:sz w:val="20"/>
          <w:szCs w:val="20"/>
        </w:rPr>
        <w:t>ing</w:t>
      </w:r>
      <w:r w:rsidRPr="003516DC">
        <w:rPr>
          <w:rFonts w:ascii="Arial" w:hAnsi="Arial" w:cs="Arial"/>
          <w:color w:val="000000"/>
          <w:sz w:val="20"/>
          <w:szCs w:val="20"/>
        </w:rPr>
        <w:t xml:space="preserve"> a science-technology park</w:t>
      </w:r>
      <w:r w:rsidR="002A7F2F" w:rsidRPr="003516DC">
        <w:rPr>
          <w:rFonts w:ascii="Arial" w:hAnsi="Arial" w:cs="Arial"/>
          <w:color w:val="000000"/>
          <w:sz w:val="20"/>
          <w:szCs w:val="20"/>
        </w:rPr>
        <w:t xml:space="preserve">, </w:t>
      </w:r>
      <w:r w:rsidRPr="003516DC">
        <w:rPr>
          <w:rFonts w:ascii="Arial" w:hAnsi="Arial" w:cs="Arial"/>
          <w:color w:val="000000"/>
          <w:sz w:val="20"/>
          <w:szCs w:val="20"/>
        </w:rPr>
        <w:t>technology transfer and R&amp;D investments for large businesses; new industrial and logistics park facilities; supporting the transition of enterprises to RES; develop</w:t>
      </w:r>
      <w:r w:rsidR="00C030A9" w:rsidRPr="003516DC">
        <w:rPr>
          <w:rFonts w:ascii="Arial" w:hAnsi="Arial" w:cs="Arial"/>
          <w:color w:val="000000"/>
          <w:sz w:val="20"/>
          <w:szCs w:val="20"/>
        </w:rPr>
        <w:t>ing</w:t>
      </w:r>
      <w:r w:rsidRPr="003516DC">
        <w:rPr>
          <w:rFonts w:ascii="Arial" w:hAnsi="Arial" w:cs="Arial"/>
          <w:color w:val="000000"/>
          <w:sz w:val="20"/>
          <w:szCs w:val="20"/>
        </w:rPr>
        <w:t xml:space="preserve"> dual school programmes; invest</w:t>
      </w:r>
      <w:r w:rsidR="00E96274" w:rsidRPr="003516DC">
        <w:rPr>
          <w:rFonts w:ascii="Arial" w:hAnsi="Arial" w:cs="Arial"/>
          <w:color w:val="000000"/>
          <w:sz w:val="20"/>
          <w:szCs w:val="20"/>
        </w:rPr>
        <w:t>ing</w:t>
      </w:r>
      <w:r w:rsidRPr="003516DC">
        <w:rPr>
          <w:rFonts w:ascii="Arial" w:hAnsi="Arial" w:cs="Arial"/>
          <w:color w:val="000000"/>
          <w:sz w:val="20"/>
          <w:szCs w:val="20"/>
        </w:rPr>
        <w:t xml:space="preserve"> in the development of the material base and the vocational and technical education curriculum.</w:t>
      </w:r>
    </w:p>
    <w:p w14:paraId="5995FD45" w14:textId="04845E30" w:rsidR="00DB3DC5" w:rsidRPr="003516DC" w:rsidRDefault="00DB3DC5" w:rsidP="00DB3DC5">
      <w:pPr>
        <w:pStyle w:val="NormalWeb"/>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 xml:space="preserve">In </w:t>
      </w:r>
      <w:r w:rsidR="003751DC">
        <w:rPr>
          <w:rFonts w:ascii="Arial" w:hAnsi="Arial" w:cs="Arial"/>
          <w:color w:val="000000"/>
          <w:sz w:val="20"/>
          <w:szCs w:val="20"/>
        </w:rPr>
        <w:t>Galați</w:t>
      </w:r>
      <w:r w:rsidR="00BC4FCB" w:rsidRPr="003516DC">
        <w:rPr>
          <w:rFonts w:ascii="Arial" w:hAnsi="Arial" w:cs="Arial"/>
          <w:color w:val="000000"/>
          <w:sz w:val="20"/>
          <w:szCs w:val="20"/>
        </w:rPr>
        <w:t xml:space="preserve"> County</w:t>
      </w:r>
      <w:r w:rsidRPr="003516DC">
        <w:rPr>
          <w:rFonts w:ascii="Arial" w:hAnsi="Arial" w:cs="Arial"/>
          <w:color w:val="000000"/>
          <w:sz w:val="20"/>
          <w:szCs w:val="20"/>
        </w:rPr>
        <w:t xml:space="preserve">, there are technical opportunities and business leadership for carbon neutrality transition. </w:t>
      </w:r>
      <w:r w:rsidR="005B57F8" w:rsidRPr="003516DC">
        <w:rPr>
          <w:rFonts w:ascii="Arial" w:hAnsi="Arial" w:cs="Arial"/>
          <w:color w:val="000000"/>
          <w:sz w:val="20"/>
          <w:szCs w:val="20"/>
        </w:rPr>
        <w:t>I</w:t>
      </w:r>
      <w:r w:rsidRPr="003516DC">
        <w:rPr>
          <w:rFonts w:ascii="Arial" w:hAnsi="Arial" w:cs="Arial"/>
          <w:color w:val="000000"/>
          <w:sz w:val="20"/>
          <w:szCs w:val="20"/>
        </w:rPr>
        <w:t>ncreas</w:t>
      </w:r>
      <w:r w:rsidR="005B57F8" w:rsidRPr="003516DC">
        <w:rPr>
          <w:rFonts w:ascii="Arial" w:hAnsi="Arial" w:cs="Arial"/>
          <w:color w:val="000000"/>
          <w:sz w:val="20"/>
          <w:szCs w:val="20"/>
        </w:rPr>
        <w:t>ing</w:t>
      </w:r>
      <w:r w:rsidRPr="003516DC">
        <w:rPr>
          <w:rFonts w:ascii="Arial" w:hAnsi="Arial" w:cs="Arial"/>
          <w:color w:val="000000"/>
          <w:sz w:val="20"/>
          <w:szCs w:val="20"/>
        </w:rPr>
        <w:t xml:space="preserve"> </w:t>
      </w:r>
      <w:r w:rsidR="005B57F8" w:rsidRPr="003516DC">
        <w:rPr>
          <w:rFonts w:ascii="Arial" w:hAnsi="Arial" w:cs="Arial"/>
          <w:color w:val="000000"/>
          <w:sz w:val="20"/>
          <w:szCs w:val="20"/>
        </w:rPr>
        <w:t xml:space="preserve">the </w:t>
      </w:r>
      <w:r w:rsidRPr="003516DC">
        <w:rPr>
          <w:rFonts w:ascii="Arial" w:hAnsi="Arial" w:cs="Arial"/>
          <w:color w:val="000000"/>
          <w:sz w:val="20"/>
          <w:szCs w:val="20"/>
        </w:rPr>
        <w:t>knowledge-intensiveness of the local economic environment</w:t>
      </w:r>
      <w:r w:rsidR="005B57F8" w:rsidRPr="003516DC">
        <w:rPr>
          <w:rFonts w:ascii="Arial" w:hAnsi="Arial" w:cs="Arial"/>
          <w:color w:val="000000"/>
          <w:sz w:val="20"/>
          <w:szCs w:val="20"/>
        </w:rPr>
        <w:t xml:space="preserve"> should be a priority</w:t>
      </w:r>
      <w:r w:rsidRPr="003516DC">
        <w:rPr>
          <w:rFonts w:ascii="Arial" w:hAnsi="Arial" w:cs="Arial"/>
          <w:color w:val="000000"/>
          <w:sz w:val="20"/>
          <w:szCs w:val="20"/>
        </w:rPr>
        <w:t xml:space="preserve">, especially </w:t>
      </w:r>
      <w:r w:rsidR="003E111B" w:rsidRPr="003516DC">
        <w:rPr>
          <w:rFonts w:ascii="Arial" w:hAnsi="Arial" w:cs="Arial"/>
          <w:color w:val="000000"/>
          <w:sz w:val="20"/>
          <w:szCs w:val="20"/>
        </w:rPr>
        <w:t xml:space="preserve">for </w:t>
      </w:r>
      <w:r w:rsidRPr="003516DC">
        <w:rPr>
          <w:rFonts w:ascii="Arial" w:hAnsi="Arial" w:cs="Arial"/>
          <w:color w:val="000000"/>
          <w:sz w:val="20"/>
          <w:szCs w:val="20"/>
        </w:rPr>
        <w:t xml:space="preserve">manufacturing (including dual education and vocational technological curriculum development); the development of the local port facilities; large scale RES development (including through financial instruments); upgrading for carbon emissions reduction for ETS installations; </w:t>
      </w:r>
      <w:r w:rsidR="003E111B" w:rsidRPr="003516DC">
        <w:rPr>
          <w:rFonts w:ascii="Arial" w:hAnsi="Arial" w:cs="Arial"/>
          <w:color w:val="000000"/>
          <w:sz w:val="20"/>
          <w:szCs w:val="20"/>
        </w:rPr>
        <w:t xml:space="preserve">and </w:t>
      </w:r>
      <w:r w:rsidRPr="003516DC">
        <w:rPr>
          <w:rFonts w:ascii="Arial" w:hAnsi="Arial" w:cs="Arial"/>
          <w:color w:val="000000"/>
          <w:sz w:val="20"/>
          <w:szCs w:val="20"/>
        </w:rPr>
        <w:t>invest</w:t>
      </w:r>
      <w:r w:rsidR="003E111B" w:rsidRPr="003516DC">
        <w:rPr>
          <w:rFonts w:ascii="Arial" w:hAnsi="Arial" w:cs="Arial"/>
          <w:color w:val="000000"/>
          <w:sz w:val="20"/>
          <w:szCs w:val="20"/>
        </w:rPr>
        <w:t>ing</w:t>
      </w:r>
      <w:r w:rsidRPr="003516DC">
        <w:rPr>
          <w:rFonts w:ascii="Arial" w:hAnsi="Arial" w:cs="Arial"/>
          <w:color w:val="000000"/>
          <w:sz w:val="20"/>
          <w:szCs w:val="20"/>
        </w:rPr>
        <w:t xml:space="preserve"> in</w:t>
      </w:r>
      <w:r w:rsidR="003E111B" w:rsidRPr="003516DC">
        <w:rPr>
          <w:rFonts w:ascii="Arial" w:hAnsi="Arial" w:cs="Arial"/>
          <w:color w:val="000000"/>
          <w:sz w:val="20"/>
          <w:szCs w:val="20"/>
        </w:rPr>
        <w:t xml:space="preserve"> the</w:t>
      </w:r>
      <w:r w:rsidRPr="003516DC">
        <w:rPr>
          <w:rFonts w:ascii="Arial" w:hAnsi="Arial" w:cs="Arial"/>
          <w:color w:val="000000"/>
          <w:sz w:val="20"/>
          <w:szCs w:val="20"/>
        </w:rPr>
        <w:t xml:space="preserve"> </w:t>
      </w:r>
      <w:r w:rsidR="003126D3" w:rsidRPr="003516DC">
        <w:rPr>
          <w:rFonts w:ascii="Arial" w:hAnsi="Arial" w:cs="Arial"/>
          <w:color w:val="000000"/>
          <w:sz w:val="20"/>
          <w:szCs w:val="20"/>
        </w:rPr>
        <w:t xml:space="preserve">improvement of </w:t>
      </w:r>
      <w:r w:rsidRPr="003516DC">
        <w:rPr>
          <w:rFonts w:ascii="Arial" w:hAnsi="Arial" w:cs="Arial"/>
          <w:color w:val="000000"/>
          <w:sz w:val="20"/>
          <w:szCs w:val="20"/>
        </w:rPr>
        <w:t>energy efficiency in buildings, including the public housing stock.</w:t>
      </w:r>
    </w:p>
    <w:p w14:paraId="060C36AE" w14:textId="5BC25D5C" w:rsidR="00C7596F" w:rsidRPr="003516DC" w:rsidRDefault="00C7596F" w:rsidP="00E42342">
      <w:pPr>
        <w:pStyle w:val="Heading2"/>
        <w:numPr>
          <w:ilvl w:val="0"/>
          <w:numId w:val="111"/>
        </w:numPr>
        <w:spacing w:before="240" w:line="240" w:lineRule="auto"/>
        <w:ind w:left="567" w:hanging="567"/>
      </w:pPr>
      <w:bookmarkStart w:id="11" w:name="_Toc68871782"/>
      <w:bookmarkStart w:id="12" w:name="_Toc90725844"/>
      <w:r w:rsidRPr="003516DC">
        <w:t>National</w:t>
      </w:r>
      <w:r w:rsidR="007F2833" w:rsidRPr="003516DC">
        <w:t xml:space="preserve"> transition</w:t>
      </w:r>
      <w:r w:rsidRPr="003516DC">
        <w:t xml:space="preserve"> process to climate neutrality</w:t>
      </w:r>
      <w:bookmarkEnd w:id="11"/>
      <w:bookmarkEnd w:id="12"/>
    </w:p>
    <w:p w14:paraId="38479B01" w14:textId="20EFA16B" w:rsidR="00DB3DC5" w:rsidRPr="003516DC" w:rsidRDefault="00DB3DC5" w:rsidP="00DB3DC5">
      <w:pPr>
        <w:pStyle w:val="NormalWeb"/>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Current policy documents do not foresee any target date for climate neutrality</w:t>
      </w:r>
      <w:r w:rsidR="004A4999" w:rsidRPr="003516DC">
        <w:rPr>
          <w:rFonts w:ascii="Arial" w:hAnsi="Arial" w:cs="Arial"/>
          <w:color w:val="000000"/>
          <w:sz w:val="20"/>
          <w:szCs w:val="20"/>
        </w:rPr>
        <w:t xml:space="preserve">, but there is such a deadline for </w:t>
      </w:r>
      <w:r w:rsidRPr="003516DC">
        <w:rPr>
          <w:rFonts w:ascii="Arial" w:hAnsi="Arial" w:cs="Arial"/>
          <w:color w:val="000000"/>
          <w:sz w:val="20"/>
          <w:szCs w:val="20"/>
        </w:rPr>
        <w:t>coal phase-out</w:t>
      </w:r>
      <w:r w:rsidR="004A4999" w:rsidRPr="003516DC">
        <w:rPr>
          <w:rFonts w:ascii="Arial" w:hAnsi="Arial" w:cs="Arial"/>
          <w:color w:val="000000"/>
          <w:sz w:val="20"/>
          <w:szCs w:val="20"/>
        </w:rPr>
        <w:t xml:space="preserve"> foreseen in the RRP (2032).</w:t>
      </w:r>
    </w:p>
    <w:p w14:paraId="7FA7C96B" w14:textId="77777777" w:rsidR="00DB3DC5" w:rsidRPr="003516DC" w:rsidRDefault="00DB3DC5" w:rsidP="00DB3DC5">
      <w:pPr>
        <w:pStyle w:val="NormalWeb"/>
        <w:shd w:val="clear" w:color="auto" w:fill="FFFFFF"/>
        <w:spacing w:before="0" w:beforeAutospacing="0" w:after="0" w:afterAutospacing="0"/>
        <w:jc w:val="both"/>
        <w:rPr>
          <w:rFonts w:ascii="Arial" w:hAnsi="Arial" w:cs="Arial"/>
          <w:color w:val="000000"/>
          <w:sz w:val="20"/>
          <w:szCs w:val="20"/>
        </w:rPr>
      </w:pPr>
    </w:p>
    <w:p w14:paraId="62E70322" w14:textId="0E3A3A83" w:rsidR="00DB3DC5" w:rsidRPr="003516DC" w:rsidRDefault="00622BD9" w:rsidP="00DB3DC5">
      <w:pPr>
        <w:pStyle w:val="NormalWeb"/>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 xml:space="preserve">The </w:t>
      </w:r>
      <w:r w:rsidR="00DB3DC5" w:rsidRPr="003516DC">
        <w:rPr>
          <w:rFonts w:ascii="Arial" w:hAnsi="Arial" w:cs="Arial"/>
          <w:color w:val="000000"/>
          <w:sz w:val="20"/>
          <w:szCs w:val="20"/>
        </w:rPr>
        <w:t xml:space="preserve">NECP focuses on </w:t>
      </w:r>
      <w:r w:rsidR="001B76D9" w:rsidRPr="003516DC">
        <w:rPr>
          <w:rFonts w:ascii="Arial" w:hAnsi="Arial" w:cs="Arial"/>
          <w:color w:val="000000"/>
          <w:sz w:val="20"/>
          <w:szCs w:val="20"/>
        </w:rPr>
        <w:t xml:space="preserve">the </w:t>
      </w:r>
      <w:r w:rsidR="00DB3DC5" w:rsidRPr="003516DC">
        <w:rPr>
          <w:rFonts w:ascii="Arial" w:hAnsi="Arial" w:cs="Arial"/>
          <w:color w:val="000000"/>
          <w:sz w:val="20"/>
          <w:szCs w:val="20"/>
        </w:rPr>
        <w:t xml:space="preserve">targets </w:t>
      </w:r>
      <w:r w:rsidR="001B76D9" w:rsidRPr="003516DC">
        <w:rPr>
          <w:rFonts w:ascii="Arial" w:hAnsi="Arial" w:cs="Arial"/>
          <w:color w:val="000000"/>
          <w:sz w:val="20"/>
          <w:szCs w:val="20"/>
        </w:rPr>
        <w:t xml:space="preserve">and evolution of key indicators </w:t>
      </w:r>
      <w:r w:rsidR="00DB3DC5" w:rsidRPr="003516DC">
        <w:rPr>
          <w:rFonts w:ascii="Arial" w:hAnsi="Arial" w:cs="Arial"/>
          <w:color w:val="000000"/>
          <w:sz w:val="20"/>
          <w:szCs w:val="20"/>
        </w:rPr>
        <w:t>that are to be fulfilled by 2030</w:t>
      </w:r>
      <w:r w:rsidR="005A3631">
        <w:rPr>
          <w:rFonts w:ascii="Arial" w:hAnsi="Arial" w:cs="Arial"/>
          <w:color w:val="000000"/>
          <w:sz w:val="20"/>
          <w:szCs w:val="20"/>
        </w:rPr>
        <w:t>,</w:t>
      </w:r>
      <w:r w:rsidR="004A4999" w:rsidRPr="003516DC">
        <w:rPr>
          <w:rFonts w:ascii="Arial" w:hAnsi="Arial" w:cs="Arial"/>
          <w:color w:val="000000"/>
          <w:sz w:val="20"/>
          <w:szCs w:val="20"/>
        </w:rPr>
        <w:t xml:space="preserve"> and in ligh</w:t>
      </w:r>
      <w:r w:rsidR="002A7F2F" w:rsidRPr="003516DC">
        <w:rPr>
          <w:rFonts w:ascii="Arial" w:hAnsi="Arial" w:cs="Arial"/>
          <w:color w:val="000000"/>
          <w:sz w:val="20"/>
          <w:szCs w:val="20"/>
        </w:rPr>
        <w:t>t of RRP commitments</w:t>
      </w:r>
      <w:r w:rsidR="005A3631">
        <w:rPr>
          <w:rFonts w:ascii="Arial" w:hAnsi="Arial" w:cs="Arial"/>
          <w:color w:val="000000"/>
          <w:sz w:val="20"/>
          <w:szCs w:val="20"/>
        </w:rPr>
        <w:t>,</w:t>
      </w:r>
      <w:r w:rsidR="002A7F2F" w:rsidRPr="003516DC">
        <w:rPr>
          <w:rFonts w:ascii="Arial" w:hAnsi="Arial" w:cs="Arial"/>
          <w:color w:val="000000"/>
          <w:sz w:val="20"/>
          <w:szCs w:val="20"/>
        </w:rPr>
        <w:t xml:space="preserve"> needs updat</w:t>
      </w:r>
      <w:r w:rsidR="004A4999" w:rsidRPr="003516DC">
        <w:rPr>
          <w:rFonts w:ascii="Arial" w:hAnsi="Arial" w:cs="Arial"/>
          <w:color w:val="000000"/>
          <w:sz w:val="20"/>
          <w:szCs w:val="20"/>
        </w:rPr>
        <w:t>ing</w:t>
      </w:r>
      <w:r w:rsidR="00DB3DC5" w:rsidRPr="003516DC">
        <w:rPr>
          <w:rFonts w:ascii="Arial" w:hAnsi="Arial" w:cs="Arial"/>
          <w:color w:val="000000"/>
          <w:sz w:val="20"/>
          <w:szCs w:val="20"/>
        </w:rPr>
        <w:t xml:space="preserve">. </w:t>
      </w:r>
      <w:r w:rsidR="002B1957" w:rsidRPr="003516DC">
        <w:rPr>
          <w:rFonts w:ascii="Arial" w:hAnsi="Arial" w:cs="Arial"/>
          <w:color w:val="000000"/>
          <w:sz w:val="20"/>
          <w:szCs w:val="20"/>
        </w:rPr>
        <w:t>Graph 3</w:t>
      </w:r>
      <w:r w:rsidR="00DB3DC5" w:rsidRPr="003516DC">
        <w:rPr>
          <w:rFonts w:ascii="Arial" w:hAnsi="Arial" w:cs="Arial"/>
          <w:color w:val="000000"/>
          <w:sz w:val="20"/>
          <w:szCs w:val="20"/>
        </w:rPr>
        <w:t xml:space="preserve"> presents the key </w:t>
      </w:r>
      <w:r w:rsidR="00D04F3B" w:rsidRPr="003516DC">
        <w:rPr>
          <w:rFonts w:ascii="Arial" w:hAnsi="Arial" w:cs="Arial"/>
          <w:color w:val="000000"/>
          <w:sz w:val="20"/>
          <w:szCs w:val="20"/>
        </w:rPr>
        <w:t xml:space="preserve">energy transition </w:t>
      </w:r>
      <w:r w:rsidR="00DB3DC5" w:rsidRPr="003516DC">
        <w:rPr>
          <w:rFonts w:ascii="Arial" w:hAnsi="Arial" w:cs="Arial"/>
          <w:color w:val="000000"/>
          <w:sz w:val="20"/>
          <w:szCs w:val="20"/>
        </w:rPr>
        <w:t xml:space="preserve">targets of the </w:t>
      </w:r>
      <w:r w:rsidR="00E242F4" w:rsidRPr="003516DC">
        <w:rPr>
          <w:rFonts w:ascii="Arial" w:hAnsi="Arial" w:cs="Arial"/>
          <w:color w:val="000000"/>
          <w:sz w:val="20"/>
          <w:szCs w:val="20"/>
        </w:rPr>
        <w:t>NECP</w:t>
      </w:r>
      <w:r w:rsidR="00DB3DC5" w:rsidRPr="003516DC">
        <w:rPr>
          <w:rFonts w:ascii="Arial" w:hAnsi="Arial" w:cs="Arial"/>
          <w:color w:val="000000"/>
          <w:sz w:val="20"/>
          <w:szCs w:val="20"/>
        </w:rPr>
        <w:t>.</w:t>
      </w:r>
    </w:p>
    <w:p w14:paraId="6F0DB254" w14:textId="04942226" w:rsidR="00B512AA" w:rsidRPr="003516DC" w:rsidRDefault="00B512AA" w:rsidP="00B512AA">
      <w:pPr>
        <w:pStyle w:val="Caption"/>
        <w:rPr>
          <w:b w:val="0"/>
        </w:rPr>
      </w:pPr>
      <w:bookmarkStart w:id="13" w:name="_Toc90727339"/>
      <w:r w:rsidRPr="003516DC">
        <w:t xml:space="preserve">Graph </w:t>
      </w:r>
      <w:r w:rsidR="0040363E" w:rsidRPr="003516DC">
        <w:rPr>
          <w:noProof/>
        </w:rPr>
        <w:fldChar w:fldCharType="begin"/>
      </w:r>
      <w:r w:rsidR="0040363E" w:rsidRPr="003516DC">
        <w:rPr>
          <w:noProof/>
        </w:rPr>
        <w:instrText xml:space="preserve"> SEQ Graph \* ARABIC </w:instrText>
      </w:r>
      <w:r w:rsidR="0040363E" w:rsidRPr="003516DC">
        <w:rPr>
          <w:noProof/>
        </w:rPr>
        <w:fldChar w:fldCharType="separate"/>
      </w:r>
      <w:r w:rsidR="007E5B0B">
        <w:rPr>
          <w:noProof/>
        </w:rPr>
        <w:t>3</w:t>
      </w:r>
      <w:r w:rsidR="0040363E" w:rsidRPr="003516DC">
        <w:rPr>
          <w:noProof/>
        </w:rPr>
        <w:fldChar w:fldCharType="end"/>
      </w:r>
      <w:r w:rsidRPr="003516DC">
        <w:t>: Key targets of the Romanian NECP</w:t>
      </w:r>
      <w:bookmarkEnd w:id="13"/>
    </w:p>
    <w:p w14:paraId="7B7F29F0" w14:textId="77777777" w:rsidR="00B512AA" w:rsidRPr="003516DC" w:rsidRDefault="00B512AA" w:rsidP="00B512AA">
      <w:pPr>
        <w:jc w:val="center"/>
        <w:rPr>
          <w:rFonts w:ascii="Arial" w:hAnsi="Arial" w:cs="Arial"/>
        </w:rPr>
      </w:pPr>
      <w:r w:rsidRPr="003516DC">
        <w:rPr>
          <w:rFonts w:ascii="Arial" w:hAnsi="Arial" w:cs="Arial"/>
          <w:noProof/>
          <w:lang w:val="en-US" w:eastAsia="en-US"/>
        </w:rPr>
        <w:drawing>
          <wp:inline distT="0" distB="0" distL="0" distR="0" wp14:anchorId="2D335687" wp14:editId="68814169">
            <wp:extent cx="5676265" cy="2513756"/>
            <wp:effectExtent l="0" t="0" r="635" b="1270"/>
            <wp:docPr id="2087055586" name="Chart 20870555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BE0E51F" w14:textId="1995046A" w:rsidR="00DB3DC5" w:rsidRPr="003516DC" w:rsidRDefault="00B512AA" w:rsidP="00B512AA">
      <w:pPr>
        <w:rPr>
          <w:rFonts w:ascii="Arial" w:hAnsi="Arial" w:cs="Arial"/>
          <w:i/>
          <w:color w:val="0000FF"/>
          <w:sz w:val="16"/>
          <w:szCs w:val="16"/>
          <w:u w:val="single"/>
          <w:lang w:val="fr-FR"/>
        </w:rPr>
      </w:pPr>
      <w:r w:rsidRPr="003516DC">
        <w:rPr>
          <w:rFonts w:ascii="Arial" w:hAnsi="Arial" w:cs="Arial"/>
          <w:i/>
          <w:sz w:val="16"/>
          <w:szCs w:val="16"/>
          <w:lang w:val="fr-FR"/>
        </w:rPr>
        <w:t xml:space="preserve">Source: </w:t>
      </w:r>
      <w:hyperlink r:id="rId21">
        <w:r w:rsidRPr="003516DC">
          <w:rPr>
            <w:rFonts w:ascii="Arial" w:hAnsi="Arial" w:cs="Arial"/>
            <w:i/>
            <w:color w:val="0000FF"/>
            <w:sz w:val="16"/>
            <w:szCs w:val="16"/>
            <w:u w:val="single"/>
            <w:lang w:val="fr-FR"/>
          </w:rPr>
          <w:t>https://ec.europa.eu/energy/sites/ener/files/documents/ro_final_necp_main_en.pdf</w:t>
        </w:r>
      </w:hyperlink>
    </w:p>
    <w:p w14:paraId="7043B661" w14:textId="70B889FE" w:rsidR="00B512AA" w:rsidRPr="003516DC" w:rsidRDefault="00B512AA" w:rsidP="00B512AA">
      <w:pPr>
        <w:rPr>
          <w:rFonts w:ascii="Arial" w:hAnsi="Arial" w:cs="Arial"/>
          <w:i/>
          <w:color w:val="0000FF"/>
          <w:sz w:val="16"/>
          <w:szCs w:val="16"/>
          <w:u w:val="single"/>
          <w:lang w:val="fr-FR"/>
        </w:rPr>
      </w:pPr>
    </w:p>
    <w:p w14:paraId="7DB2B2D7" w14:textId="3C73AA09" w:rsidR="003A13DD" w:rsidRDefault="00BC6A57" w:rsidP="00E42342">
      <w:pPr>
        <w:pStyle w:val="Heading2"/>
        <w:numPr>
          <w:ilvl w:val="0"/>
          <w:numId w:val="113"/>
        </w:numPr>
        <w:spacing w:before="240" w:line="240" w:lineRule="auto"/>
        <w:ind w:left="630" w:hanging="630"/>
      </w:pPr>
      <w:bookmarkStart w:id="14" w:name="_Toc90725845"/>
      <w:bookmarkStart w:id="15" w:name="_Toc68871783"/>
      <w:r w:rsidRPr="003516DC">
        <w:t>Primary</w:t>
      </w:r>
      <w:r w:rsidR="00C7596F" w:rsidRPr="003516DC">
        <w:t xml:space="preserve"> impact on Transition Regions for national transition to climate neutrality</w:t>
      </w:r>
      <w:r w:rsidRPr="003516DC">
        <w:t xml:space="preserve"> and</w:t>
      </w:r>
      <w:r w:rsidR="00C7596F" w:rsidRPr="003516DC">
        <w:t xml:space="preserve"> key transition steps</w:t>
      </w:r>
      <w:bookmarkEnd w:id="14"/>
      <w:r w:rsidR="00C7596F" w:rsidRPr="003516DC">
        <w:t xml:space="preserve"> </w:t>
      </w:r>
      <w:bookmarkEnd w:id="15"/>
    </w:p>
    <w:p w14:paraId="3C4EF0EA" w14:textId="6D5BBFC0" w:rsidR="00FD3AD3" w:rsidRPr="00FD3AD3" w:rsidRDefault="00A64776" w:rsidP="00E42342">
      <w:pPr>
        <w:pStyle w:val="Heading3"/>
        <w:numPr>
          <w:ilvl w:val="0"/>
          <w:numId w:val="125"/>
        </w:numPr>
        <w:spacing w:before="120" w:after="120" w:line="240" w:lineRule="auto"/>
        <w:ind w:left="810" w:hanging="810"/>
        <w:rPr>
          <w:b w:val="0"/>
        </w:rPr>
      </w:pPr>
      <w:r>
        <w:rPr>
          <w:b w:val="0"/>
        </w:rPr>
        <w:t>M</w:t>
      </w:r>
      <w:r w:rsidR="005E0CC8">
        <w:rPr>
          <w:b w:val="0"/>
        </w:rPr>
        <w:t>odelling results regarding the socio-economic impact of the transition</w:t>
      </w:r>
      <w:r w:rsidR="009625F9">
        <w:rPr>
          <w:b w:val="0"/>
        </w:rPr>
        <w:t xml:space="preserve"> in all six affected regions</w:t>
      </w:r>
    </w:p>
    <w:p w14:paraId="593B2F5C" w14:textId="51AA5B1F" w:rsidR="006E60A3" w:rsidRDefault="006E60A3" w:rsidP="00CC5365">
      <w:pPr>
        <w:spacing w:after="120"/>
        <w:jc w:val="both"/>
        <w:rPr>
          <w:rFonts w:ascii="Arial" w:hAnsi="Arial" w:cs="Arial"/>
          <w:sz w:val="20"/>
          <w:szCs w:val="20"/>
        </w:rPr>
      </w:pPr>
      <w:r w:rsidRPr="003516DC">
        <w:rPr>
          <w:rFonts w:ascii="Arial" w:hAnsi="Arial" w:cs="Arial"/>
          <w:sz w:val="20"/>
          <w:szCs w:val="20"/>
        </w:rPr>
        <w:t>In the absence of JTF support</w:t>
      </w:r>
      <w:r w:rsidR="00E57704">
        <w:rPr>
          <w:rFonts w:ascii="Arial" w:hAnsi="Arial" w:cs="Arial"/>
          <w:sz w:val="20"/>
          <w:szCs w:val="20"/>
        </w:rPr>
        <w:t>,</w:t>
      </w:r>
      <w:r w:rsidRPr="003516DC">
        <w:rPr>
          <w:rFonts w:ascii="Arial" w:hAnsi="Arial" w:cs="Arial"/>
          <w:sz w:val="20"/>
          <w:szCs w:val="20"/>
        </w:rPr>
        <w:t xml:space="preserve"> the impact of the energy transition on </w:t>
      </w:r>
      <w:r w:rsidR="00E57704">
        <w:rPr>
          <w:rFonts w:ascii="Arial" w:hAnsi="Arial" w:cs="Arial"/>
          <w:sz w:val="20"/>
          <w:szCs w:val="20"/>
        </w:rPr>
        <w:t xml:space="preserve">the </w:t>
      </w:r>
      <w:r w:rsidRPr="003516DC">
        <w:rPr>
          <w:rFonts w:ascii="Arial" w:hAnsi="Arial" w:cs="Arial"/>
          <w:sz w:val="20"/>
          <w:szCs w:val="20"/>
        </w:rPr>
        <w:t>affected regions is consistent in terms of both GVA and number of jobs impacted.</w:t>
      </w:r>
      <w:r w:rsidR="001E39CA" w:rsidRPr="001E39CA">
        <w:rPr>
          <w:rFonts w:ascii="Arial" w:hAnsi="Arial" w:cs="Arial"/>
          <w:sz w:val="20"/>
          <w:szCs w:val="20"/>
        </w:rPr>
        <w:t xml:space="preserve"> </w:t>
      </w:r>
      <w:r w:rsidR="001E39CA">
        <w:rPr>
          <w:rFonts w:ascii="Arial" w:hAnsi="Arial" w:cs="Arial"/>
          <w:sz w:val="20"/>
          <w:szCs w:val="20"/>
        </w:rPr>
        <w:t>I</w:t>
      </w:r>
      <w:r w:rsidR="001E39CA" w:rsidRPr="003516DC">
        <w:rPr>
          <w:rFonts w:ascii="Arial" w:hAnsi="Arial" w:cs="Arial"/>
          <w:sz w:val="20"/>
          <w:szCs w:val="20"/>
        </w:rPr>
        <w:t>n the revised version of Deliverable 3</w:t>
      </w:r>
      <w:r w:rsidR="001E39CA">
        <w:rPr>
          <w:rFonts w:ascii="Arial" w:hAnsi="Arial" w:cs="Arial"/>
          <w:sz w:val="20"/>
          <w:szCs w:val="20"/>
        </w:rPr>
        <w:t>,</w:t>
      </w:r>
      <w:r w:rsidR="001E39CA" w:rsidRPr="003516DC">
        <w:rPr>
          <w:rFonts w:ascii="Arial" w:hAnsi="Arial" w:cs="Arial"/>
          <w:sz w:val="20"/>
          <w:szCs w:val="20"/>
        </w:rPr>
        <w:t xml:space="preserve"> </w:t>
      </w:r>
      <w:r w:rsidR="001E39CA">
        <w:rPr>
          <w:rFonts w:ascii="Arial" w:hAnsi="Arial" w:cs="Arial"/>
          <w:sz w:val="20"/>
          <w:szCs w:val="20"/>
        </w:rPr>
        <w:t>w</w:t>
      </w:r>
      <w:r w:rsidRPr="003516DC">
        <w:rPr>
          <w:rFonts w:ascii="Arial" w:hAnsi="Arial" w:cs="Arial"/>
          <w:sz w:val="20"/>
          <w:szCs w:val="20"/>
        </w:rPr>
        <w:t>e have presented detailed impact scenarios for each region</w:t>
      </w:r>
      <w:r w:rsidR="001E39CA">
        <w:rPr>
          <w:rFonts w:ascii="Arial" w:hAnsi="Arial" w:cs="Arial"/>
          <w:sz w:val="20"/>
          <w:szCs w:val="20"/>
        </w:rPr>
        <w:t>.</w:t>
      </w:r>
      <w:r w:rsidRPr="003516DC">
        <w:rPr>
          <w:rFonts w:ascii="Arial" w:hAnsi="Arial" w:cs="Arial"/>
          <w:sz w:val="20"/>
          <w:szCs w:val="20"/>
        </w:rPr>
        <w:t xml:space="preserve"> </w:t>
      </w:r>
      <w:r w:rsidR="001E39CA">
        <w:rPr>
          <w:rFonts w:ascii="Arial" w:hAnsi="Arial" w:cs="Arial"/>
          <w:sz w:val="20"/>
          <w:szCs w:val="20"/>
        </w:rPr>
        <w:t>T</w:t>
      </w:r>
      <w:r w:rsidRPr="003516DC">
        <w:rPr>
          <w:rFonts w:ascii="Arial" w:hAnsi="Arial" w:cs="Arial"/>
          <w:sz w:val="20"/>
          <w:szCs w:val="20"/>
        </w:rPr>
        <w:t>he section below summari</w:t>
      </w:r>
      <w:r w:rsidR="001E39CA">
        <w:rPr>
          <w:rFonts w:ascii="Arial" w:hAnsi="Arial" w:cs="Arial"/>
          <w:sz w:val="20"/>
          <w:szCs w:val="20"/>
        </w:rPr>
        <w:t>s</w:t>
      </w:r>
      <w:r w:rsidRPr="003516DC">
        <w:rPr>
          <w:rFonts w:ascii="Arial" w:hAnsi="Arial" w:cs="Arial"/>
          <w:sz w:val="20"/>
          <w:szCs w:val="20"/>
        </w:rPr>
        <w:t>es the main arguments elaborated at length in D3.</w:t>
      </w:r>
    </w:p>
    <w:p w14:paraId="0F769273" w14:textId="1596D3F4" w:rsidR="006A25FB" w:rsidRPr="003516DC" w:rsidRDefault="006A25FB" w:rsidP="00CC5365">
      <w:pPr>
        <w:spacing w:after="120"/>
        <w:jc w:val="both"/>
        <w:rPr>
          <w:rFonts w:ascii="Arial" w:hAnsi="Arial" w:cs="Arial"/>
          <w:sz w:val="20"/>
          <w:szCs w:val="20"/>
        </w:rPr>
      </w:pPr>
      <w:r>
        <w:rPr>
          <w:rFonts w:ascii="Arial" w:hAnsi="Arial" w:cs="Arial"/>
          <w:noProof/>
          <w:sz w:val="20"/>
          <w:szCs w:val="20"/>
          <w:lang w:val="en-US" w:eastAsia="en-US"/>
        </w:rPr>
        <w:lastRenderedPageBreak/>
        <mc:AlternateContent>
          <mc:Choice Requires="wps">
            <w:drawing>
              <wp:inline distT="0" distB="0" distL="0" distR="0" wp14:anchorId="564DE69F" wp14:editId="50E1EFA5">
                <wp:extent cx="5676265" cy="2501900"/>
                <wp:effectExtent l="0" t="0" r="635" b="0"/>
                <wp:docPr id="2087055838" name="Text Box 2087055838"/>
                <wp:cNvGraphicFramePr/>
                <a:graphic xmlns:a="http://schemas.openxmlformats.org/drawingml/2006/main">
                  <a:graphicData uri="http://schemas.microsoft.com/office/word/2010/wordprocessingShape">
                    <wps:wsp>
                      <wps:cNvSpPr txBox="1"/>
                      <wps:spPr>
                        <a:xfrm>
                          <a:off x="0" y="0"/>
                          <a:ext cx="5676265" cy="2501900"/>
                        </a:xfrm>
                        <a:prstGeom prst="rect">
                          <a:avLst/>
                        </a:prstGeom>
                        <a:solidFill>
                          <a:schemeClr val="accent1">
                            <a:lumMod val="20000"/>
                            <a:lumOff val="80000"/>
                          </a:schemeClr>
                        </a:solidFill>
                        <a:ln w="6350">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7"/>
                              <w:gridCol w:w="3063"/>
                              <w:gridCol w:w="2691"/>
                            </w:tblGrid>
                            <w:tr w:rsidR="00190BA4" w:rsidRPr="006A25FB" w14:paraId="072BB101" w14:textId="77777777" w:rsidTr="00FC797C">
                              <w:trPr>
                                <w:trHeight w:val="360"/>
                              </w:trPr>
                              <w:tc>
                                <w:tcPr>
                                  <w:tcW w:w="2877" w:type="dxa"/>
                                  <w:tcBorders>
                                    <w:right w:val="single" w:sz="4" w:space="0" w:color="808080" w:themeColor="background1" w:themeShade="80"/>
                                  </w:tcBorders>
                                </w:tcPr>
                                <w:p w14:paraId="7E27DC54" w14:textId="7F7D1DA2"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Baseline</w:t>
                                  </w:r>
                                </w:p>
                              </w:tc>
                              <w:tc>
                                <w:tcPr>
                                  <w:tcW w:w="3063" w:type="dxa"/>
                                  <w:tcBorders>
                                    <w:left w:val="single" w:sz="4" w:space="0" w:color="808080" w:themeColor="background1" w:themeShade="80"/>
                                    <w:right w:val="single" w:sz="4" w:space="0" w:color="808080" w:themeColor="background1" w:themeShade="80"/>
                                  </w:tcBorders>
                                </w:tcPr>
                                <w:p w14:paraId="5A3C7A8D" w14:textId="3F784248"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NECP scenario</w:t>
                                  </w:r>
                                </w:p>
                              </w:tc>
                              <w:tc>
                                <w:tcPr>
                                  <w:tcW w:w="2691" w:type="dxa"/>
                                  <w:tcBorders>
                                    <w:left w:val="single" w:sz="4" w:space="0" w:color="808080" w:themeColor="background1" w:themeShade="80"/>
                                  </w:tcBorders>
                                </w:tcPr>
                                <w:p w14:paraId="5D364CC3" w14:textId="21DF4E1B"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Green Deal scenario</w:t>
                                  </w:r>
                                </w:p>
                              </w:tc>
                            </w:tr>
                            <w:tr w:rsidR="00190BA4" w:rsidRPr="006A25FB" w14:paraId="58800131" w14:textId="77777777" w:rsidTr="00FC797C">
                              <w:trPr>
                                <w:trHeight w:val="1992"/>
                              </w:trPr>
                              <w:tc>
                                <w:tcPr>
                                  <w:tcW w:w="2877" w:type="dxa"/>
                                  <w:tcBorders>
                                    <w:right w:val="single" w:sz="4" w:space="0" w:color="808080" w:themeColor="background1" w:themeShade="80"/>
                                  </w:tcBorders>
                                </w:tcPr>
                                <w:p w14:paraId="06700387" w14:textId="77777777" w:rsidR="00190BA4" w:rsidRDefault="00190BA4" w:rsidP="00BE58A2">
                                  <w:pPr>
                                    <w:pStyle w:val="ListParagraph"/>
                                    <w:numPr>
                                      <w:ilvl w:val="0"/>
                                      <w:numId w:val="335"/>
                                    </w:numPr>
                                    <w:ind w:left="165" w:hanging="165"/>
                                    <w:rPr>
                                      <w:sz w:val="18"/>
                                      <w:szCs w:val="18"/>
                                    </w:rPr>
                                  </w:pPr>
                                  <w:r>
                                    <w:rPr>
                                      <w:sz w:val="18"/>
                                      <w:szCs w:val="18"/>
                                    </w:rPr>
                                    <w:t>Starting point to model the transition scenarios</w:t>
                                  </w:r>
                                </w:p>
                                <w:p w14:paraId="1243F929" w14:textId="77777777" w:rsidR="00190BA4" w:rsidRDefault="00190BA4" w:rsidP="00BE58A2">
                                  <w:pPr>
                                    <w:pStyle w:val="ListParagraph"/>
                                    <w:numPr>
                                      <w:ilvl w:val="0"/>
                                      <w:numId w:val="335"/>
                                    </w:numPr>
                                    <w:ind w:left="165" w:hanging="165"/>
                                    <w:rPr>
                                      <w:sz w:val="18"/>
                                      <w:szCs w:val="18"/>
                                    </w:rPr>
                                  </w:pPr>
                                  <w:r>
                                    <w:rPr>
                                      <w:sz w:val="18"/>
                                      <w:szCs w:val="18"/>
                                    </w:rPr>
                                    <w:t>Accounts for the impacts of Covid-19</w:t>
                                  </w:r>
                                </w:p>
                                <w:p w14:paraId="54BA4653" w14:textId="6A418C0D" w:rsidR="00190BA4" w:rsidRDefault="00190BA4" w:rsidP="00BE58A2">
                                  <w:pPr>
                                    <w:pStyle w:val="ListParagraph"/>
                                    <w:numPr>
                                      <w:ilvl w:val="0"/>
                                      <w:numId w:val="335"/>
                                    </w:numPr>
                                    <w:ind w:left="165" w:hanging="165"/>
                                    <w:rPr>
                                      <w:sz w:val="18"/>
                                      <w:szCs w:val="18"/>
                                    </w:rPr>
                                  </w:pPr>
                                  <w:r>
                                    <w:rPr>
                                      <w:sz w:val="18"/>
                                      <w:szCs w:val="18"/>
                                    </w:rPr>
                                    <w:t>Includes notable market-driven decarbonisation</w:t>
                                  </w:r>
                                </w:p>
                                <w:p w14:paraId="323236E0" w14:textId="14724992" w:rsidR="00190BA4" w:rsidRPr="00EC70E8" w:rsidRDefault="00190BA4" w:rsidP="00EA11AF">
                                  <w:pPr>
                                    <w:pStyle w:val="ListParagraph"/>
                                    <w:numPr>
                                      <w:ilvl w:val="0"/>
                                      <w:numId w:val="335"/>
                                    </w:numPr>
                                    <w:ind w:left="165" w:hanging="165"/>
                                    <w:rPr>
                                      <w:sz w:val="18"/>
                                      <w:szCs w:val="18"/>
                                    </w:rPr>
                                  </w:pPr>
                                  <w:r>
                                    <w:rPr>
                                      <w:sz w:val="18"/>
                                      <w:szCs w:val="18"/>
                                    </w:rPr>
                                    <w:t>Leads to a faster decarbonisation process than the NECP scenario</w:t>
                                  </w:r>
                                </w:p>
                              </w:tc>
                              <w:tc>
                                <w:tcPr>
                                  <w:tcW w:w="3063" w:type="dxa"/>
                                  <w:tcBorders>
                                    <w:left w:val="single" w:sz="4" w:space="0" w:color="808080" w:themeColor="background1" w:themeShade="80"/>
                                    <w:right w:val="single" w:sz="4" w:space="0" w:color="808080" w:themeColor="background1" w:themeShade="80"/>
                                  </w:tcBorders>
                                </w:tcPr>
                                <w:p w14:paraId="48CFE69B" w14:textId="77777777" w:rsidR="00190BA4" w:rsidRDefault="00190BA4" w:rsidP="00BE58A2">
                                  <w:pPr>
                                    <w:pStyle w:val="ListParagraph"/>
                                    <w:numPr>
                                      <w:ilvl w:val="0"/>
                                      <w:numId w:val="335"/>
                                    </w:numPr>
                                    <w:ind w:left="166" w:hanging="166"/>
                                    <w:rPr>
                                      <w:sz w:val="18"/>
                                      <w:szCs w:val="18"/>
                                    </w:rPr>
                                  </w:pPr>
                                  <w:r>
                                    <w:rPr>
                                      <w:sz w:val="18"/>
                                      <w:szCs w:val="18"/>
                                    </w:rPr>
                                    <w:t>Adheres to the goals presented in Romania’s National Energy and Climate Plan (NECP)</w:t>
                                  </w:r>
                                </w:p>
                                <w:p w14:paraId="6ACE96AE" w14:textId="77777777" w:rsidR="00190BA4" w:rsidRDefault="00190BA4" w:rsidP="00BE58A2">
                                  <w:pPr>
                                    <w:pStyle w:val="ListParagraph"/>
                                    <w:numPr>
                                      <w:ilvl w:val="0"/>
                                      <w:numId w:val="335"/>
                                    </w:numPr>
                                    <w:ind w:left="166" w:hanging="166"/>
                                    <w:rPr>
                                      <w:sz w:val="18"/>
                                      <w:szCs w:val="18"/>
                                    </w:rPr>
                                  </w:pPr>
                                  <w:r>
                                    <w:rPr>
                                      <w:sz w:val="18"/>
                                      <w:szCs w:val="18"/>
                                    </w:rPr>
                                    <w:t xml:space="preserve">Coal capacities are kept active through the modelling period </w:t>
                                  </w:r>
                                </w:p>
                                <w:p w14:paraId="12779144" w14:textId="77777777" w:rsidR="00190BA4" w:rsidRDefault="00190BA4" w:rsidP="00BE58A2">
                                  <w:pPr>
                                    <w:pStyle w:val="ListParagraph"/>
                                    <w:numPr>
                                      <w:ilvl w:val="0"/>
                                      <w:numId w:val="335"/>
                                    </w:numPr>
                                    <w:ind w:left="166" w:hanging="166"/>
                                    <w:rPr>
                                      <w:sz w:val="18"/>
                                      <w:szCs w:val="18"/>
                                    </w:rPr>
                                  </w:pPr>
                                  <w:r>
                                    <w:rPr>
                                      <w:sz w:val="18"/>
                                      <w:szCs w:val="18"/>
                                    </w:rPr>
                                    <w:t>Gas plays an important role in the energy system</w:t>
                                  </w:r>
                                </w:p>
                                <w:p w14:paraId="4B6FFC1A" w14:textId="76AD252A" w:rsidR="00190BA4" w:rsidRPr="00EA11AF" w:rsidRDefault="00190BA4" w:rsidP="00EA11AF">
                                  <w:pPr>
                                    <w:pStyle w:val="ListParagraph"/>
                                    <w:numPr>
                                      <w:ilvl w:val="0"/>
                                      <w:numId w:val="335"/>
                                    </w:numPr>
                                    <w:ind w:left="166" w:hanging="166"/>
                                    <w:rPr>
                                      <w:sz w:val="18"/>
                                      <w:szCs w:val="18"/>
                                    </w:rPr>
                                  </w:pPr>
                                  <w:r>
                                    <w:rPr>
                                      <w:sz w:val="18"/>
                                      <w:szCs w:val="18"/>
                                    </w:rPr>
                                    <w:t>Has the highest share of coal and gas technology in the energy mix (34%)</w:t>
                                  </w:r>
                                </w:p>
                              </w:tc>
                              <w:tc>
                                <w:tcPr>
                                  <w:tcW w:w="2691" w:type="dxa"/>
                                  <w:tcBorders>
                                    <w:left w:val="single" w:sz="4" w:space="0" w:color="808080" w:themeColor="background1" w:themeShade="80"/>
                                  </w:tcBorders>
                                </w:tcPr>
                                <w:p w14:paraId="554BBF95" w14:textId="77777777" w:rsidR="00190BA4" w:rsidRDefault="00190BA4" w:rsidP="00BE58A2">
                                  <w:pPr>
                                    <w:pStyle w:val="ListParagraph"/>
                                    <w:numPr>
                                      <w:ilvl w:val="0"/>
                                      <w:numId w:val="335"/>
                                    </w:numPr>
                                    <w:ind w:left="166" w:hanging="166"/>
                                    <w:rPr>
                                      <w:sz w:val="18"/>
                                      <w:szCs w:val="18"/>
                                    </w:rPr>
                                  </w:pPr>
                                  <w:r>
                                    <w:rPr>
                                      <w:sz w:val="18"/>
                                      <w:szCs w:val="18"/>
                                    </w:rPr>
                                    <w:t>Adheres to the more ambitious goals presented in the European Green Deal</w:t>
                                  </w:r>
                                </w:p>
                                <w:p w14:paraId="5601A0A0" w14:textId="77777777" w:rsidR="00190BA4" w:rsidRDefault="00190BA4" w:rsidP="00BE58A2">
                                  <w:pPr>
                                    <w:pStyle w:val="ListParagraph"/>
                                    <w:numPr>
                                      <w:ilvl w:val="0"/>
                                      <w:numId w:val="335"/>
                                    </w:numPr>
                                    <w:ind w:left="166" w:hanging="166"/>
                                    <w:rPr>
                                      <w:sz w:val="18"/>
                                      <w:szCs w:val="18"/>
                                    </w:rPr>
                                  </w:pPr>
                                  <w:r>
                                    <w:rPr>
                                      <w:sz w:val="18"/>
                                      <w:szCs w:val="18"/>
                                    </w:rPr>
                                    <w:t>Does not consider keeping coal capacities active beyond 2030</w:t>
                                  </w:r>
                                </w:p>
                                <w:p w14:paraId="177C10BD" w14:textId="77777777" w:rsidR="00190BA4" w:rsidRDefault="00190BA4" w:rsidP="00BE58A2">
                                  <w:pPr>
                                    <w:pStyle w:val="ListParagraph"/>
                                    <w:numPr>
                                      <w:ilvl w:val="0"/>
                                      <w:numId w:val="335"/>
                                    </w:numPr>
                                    <w:ind w:left="166" w:hanging="166"/>
                                    <w:rPr>
                                      <w:sz w:val="18"/>
                                      <w:szCs w:val="18"/>
                                    </w:rPr>
                                  </w:pPr>
                                  <w:r>
                                    <w:rPr>
                                      <w:sz w:val="18"/>
                                      <w:szCs w:val="18"/>
                                    </w:rPr>
                                    <w:t>Coal and gas together account for less than 15% of the energy mix in 2030</w:t>
                                  </w:r>
                                </w:p>
                                <w:p w14:paraId="22274B49" w14:textId="29D72483" w:rsidR="00190BA4" w:rsidRPr="00FC797C" w:rsidRDefault="00190BA4" w:rsidP="00FC797C">
                                  <w:pPr>
                                    <w:pStyle w:val="ListParagraph"/>
                                    <w:numPr>
                                      <w:ilvl w:val="0"/>
                                      <w:numId w:val="335"/>
                                    </w:numPr>
                                    <w:ind w:left="166" w:hanging="166"/>
                                    <w:rPr>
                                      <w:sz w:val="18"/>
                                      <w:szCs w:val="18"/>
                                    </w:rPr>
                                  </w:pPr>
                                  <w:r>
                                    <w:rPr>
                                      <w:sz w:val="18"/>
                                      <w:szCs w:val="18"/>
                                    </w:rPr>
                                    <w:t>Has the highest share of solar technology in PG</w:t>
                                  </w:r>
                                </w:p>
                              </w:tc>
                            </w:tr>
                          </w:tbl>
                          <w:p w14:paraId="48787BFD" w14:textId="1EF914EE" w:rsidR="00190BA4" w:rsidRDefault="00190BA4"/>
                          <w:p w14:paraId="45432C30" w14:textId="69D9743F" w:rsidR="00190BA4" w:rsidRPr="00EC70E8" w:rsidRDefault="00190BA4" w:rsidP="00BE58A2">
                            <w:pPr>
                              <w:rPr>
                                <w:rFonts w:ascii="Arial" w:hAnsi="Arial" w:cs="Arial"/>
                                <w:i/>
                                <w:iCs/>
                                <w:sz w:val="18"/>
                                <w:szCs w:val="18"/>
                              </w:rPr>
                            </w:pPr>
                            <w:r>
                              <w:rPr>
                                <w:rFonts w:ascii="Arial" w:hAnsi="Arial" w:cs="Arial"/>
                                <w:i/>
                                <w:iCs/>
                                <w:sz w:val="18"/>
                                <w:szCs w:val="18"/>
                              </w:rPr>
                              <w:t>In</w:t>
                            </w:r>
                            <w:r w:rsidRPr="00EC70E8">
                              <w:rPr>
                                <w:rFonts w:ascii="Arial" w:hAnsi="Arial" w:cs="Arial"/>
                                <w:i/>
                                <w:iCs/>
                                <w:sz w:val="18"/>
                                <w:szCs w:val="18"/>
                              </w:rPr>
                              <w:t xml:space="preserve"> our opinion, despite the fact that the RRP does not contain as many details as NECP, the Green Deal scenario in our analysis </w:t>
                            </w:r>
                            <w:r>
                              <w:rPr>
                                <w:rFonts w:ascii="Arial" w:hAnsi="Arial" w:cs="Arial"/>
                                <w:i/>
                                <w:iCs/>
                                <w:sz w:val="18"/>
                                <w:szCs w:val="18"/>
                              </w:rPr>
                              <w:t xml:space="preserve">closest </w:t>
                            </w:r>
                            <w:r w:rsidRPr="00EC70E8">
                              <w:rPr>
                                <w:rFonts w:ascii="Arial" w:hAnsi="Arial" w:cs="Arial"/>
                                <w:i/>
                                <w:iCs/>
                                <w:sz w:val="18"/>
                                <w:szCs w:val="18"/>
                              </w:rPr>
                              <w:t>resembles</w:t>
                            </w:r>
                            <w:r>
                              <w:rPr>
                                <w:rFonts w:ascii="Arial" w:hAnsi="Arial" w:cs="Arial"/>
                                <w:i/>
                                <w:iCs/>
                                <w:sz w:val="18"/>
                                <w:szCs w:val="18"/>
                              </w:rPr>
                              <w:t xml:space="preserve"> the</w:t>
                            </w:r>
                            <w:r w:rsidRPr="00EC70E8">
                              <w:rPr>
                                <w:rFonts w:ascii="Arial" w:hAnsi="Arial" w:cs="Arial"/>
                                <w:i/>
                                <w:iCs/>
                                <w:sz w:val="18"/>
                                <w:szCs w:val="18"/>
                              </w:rPr>
                              <w:t xml:space="preserve"> RRP landscape scenario.</w:t>
                            </w:r>
                          </w:p>
                          <w:p w14:paraId="54A4C0BB" w14:textId="363652FF" w:rsidR="00190BA4" w:rsidRPr="00EC70E8" w:rsidRDefault="00190BA4" w:rsidP="00BE58A2">
                            <w:pPr>
                              <w:rPr>
                                <w:rFonts w:ascii="Arial" w:hAnsi="Arial" w:cs="Arial"/>
                                <w:i/>
                                <w:iCs/>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64DE69F" id="_x0000_t202" coordsize="21600,21600" o:spt="202" path="m,l,21600r21600,l21600,xe">
                <v:stroke joinstyle="miter"/>
                <v:path gradientshapeok="t" o:connecttype="rect"/>
              </v:shapetype>
              <v:shape id="Text Box 2087055838" o:spid="_x0000_s1026" type="#_x0000_t202" style="width:446.95pt;height: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" fillcolor="#dbe5f1 [660]" stroked="f" strokeweight=".5pt">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7"/>
                        <w:gridCol w:w="3063"/>
                        <w:gridCol w:w="2691"/>
                      </w:tblGrid>
                      <w:tr w:rsidR="00190BA4" w:rsidRPr="006A25FB" w14:paraId="072BB101" w14:textId="77777777" w:rsidTr="00FC797C">
                        <w:trPr>
                          <w:trHeight w:val="360"/>
                        </w:trPr>
                        <w:tc>
                          <w:tcPr>
                            <w:tcW w:w="2877" w:type="dxa"/>
                            <w:tcBorders>
                              <w:right w:val="single" w:sz="4" w:space="0" w:color="808080" w:themeColor="background1" w:themeShade="80"/>
                            </w:tcBorders>
                          </w:tcPr>
                          <w:p w14:paraId="7E27DC54" w14:textId="7F7D1DA2"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Baseline</w:t>
                            </w:r>
                          </w:p>
                        </w:tc>
                        <w:tc>
                          <w:tcPr>
                            <w:tcW w:w="3063" w:type="dxa"/>
                            <w:tcBorders>
                              <w:left w:val="single" w:sz="4" w:space="0" w:color="808080" w:themeColor="background1" w:themeShade="80"/>
                              <w:right w:val="single" w:sz="4" w:space="0" w:color="808080" w:themeColor="background1" w:themeShade="80"/>
                            </w:tcBorders>
                          </w:tcPr>
                          <w:p w14:paraId="5A3C7A8D" w14:textId="3F784248"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NECP scenario</w:t>
                            </w:r>
                          </w:p>
                        </w:tc>
                        <w:tc>
                          <w:tcPr>
                            <w:tcW w:w="2691" w:type="dxa"/>
                            <w:tcBorders>
                              <w:left w:val="single" w:sz="4" w:space="0" w:color="808080" w:themeColor="background1" w:themeShade="80"/>
                            </w:tcBorders>
                          </w:tcPr>
                          <w:p w14:paraId="5D364CC3" w14:textId="21DF4E1B" w:rsidR="00190BA4" w:rsidRPr="006A25FB" w:rsidRDefault="00190BA4" w:rsidP="006A25FB">
                            <w:pPr>
                              <w:jc w:val="center"/>
                              <w:rPr>
                                <w:rFonts w:ascii="Arial" w:hAnsi="Arial" w:cs="Arial"/>
                                <w:b/>
                                <w:bCs/>
                                <w:sz w:val="18"/>
                                <w:szCs w:val="18"/>
                              </w:rPr>
                            </w:pPr>
                            <w:r w:rsidRPr="006A25FB">
                              <w:rPr>
                                <w:rFonts w:ascii="Arial" w:hAnsi="Arial" w:cs="Arial"/>
                                <w:b/>
                                <w:bCs/>
                                <w:sz w:val="18"/>
                                <w:szCs w:val="18"/>
                              </w:rPr>
                              <w:t>Green Deal scenario</w:t>
                            </w:r>
                          </w:p>
                        </w:tc>
                      </w:tr>
                      <w:tr w:rsidR="00190BA4" w:rsidRPr="006A25FB" w14:paraId="58800131" w14:textId="77777777" w:rsidTr="00FC797C">
                        <w:trPr>
                          <w:trHeight w:val="1992"/>
                        </w:trPr>
                        <w:tc>
                          <w:tcPr>
                            <w:tcW w:w="2877" w:type="dxa"/>
                            <w:tcBorders>
                              <w:right w:val="single" w:sz="4" w:space="0" w:color="808080" w:themeColor="background1" w:themeShade="80"/>
                            </w:tcBorders>
                          </w:tcPr>
                          <w:p w14:paraId="06700387" w14:textId="77777777" w:rsidR="00190BA4" w:rsidRDefault="00190BA4" w:rsidP="00BE58A2">
                            <w:pPr>
                              <w:pStyle w:val="ListParagraph"/>
                              <w:numPr>
                                <w:ilvl w:val="0"/>
                                <w:numId w:val="335"/>
                              </w:numPr>
                              <w:ind w:left="165" w:hanging="165"/>
                              <w:rPr>
                                <w:sz w:val="18"/>
                                <w:szCs w:val="18"/>
                              </w:rPr>
                            </w:pPr>
                            <w:r>
                              <w:rPr>
                                <w:sz w:val="18"/>
                                <w:szCs w:val="18"/>
                              </w:rPr>
                              <w:t>Starting point to model the transition scenarios</w:t>
                            </w:r>
                          </w:p>
                          <w:p w14:paraId="1243F929" w14:textId="77777777" w:rsidR="00190BA4" w:rsidRDefault="00190BA4" w:rsidP="00BE58A2">
                            <w:pPr>
                              <w:pStyle w:val="ListParagraph"/>
                              <w:numPr>
                                <w:ilvl w:val="0"/>
                                <w:numId w:val="335"/>
                              </w:numPr>
                              <w:ind w:left="165" w:hanging="165"/>
                              <w:rPr>
                                <w:sz w:val="18"/>
                                <w:szCs w:val="18"/>
                              </w:rPr>
                            </w:pPr>
                            <w:r>
                              <w:rPr>
                                <w:sz w:val="18"/>
                                <w:szCs w:val="18"/>
                              </w:rPr>
                              <w:t>Accounts for the impacts of Covid-19</w:t>
                            </w:r>
                          </w:p>
                          <w:p w14:paraId="54BA4653" w14:textId="6A418C0D" w:rsidR="00190BA4" w:rsidRDefault="00190BA4" w:rsidP="00BE58A2">
                            <w:pPr>
                              <w:pStyle w:val="ListParagraph"/>
                              <w:numPr>
                                <w:ilvl w:val="0"/>
                                <w:numId w:val="335"/>
                              </w:numPr>
                              <w:ind w:left="165" w:hanging="165"/>
                              <w:rPr>
                                <w:sz w:val="18"/>
                                <w:szCs w:val="18"/>
                              </w:rPr>
                            </w:pPr>
                            <w:r>
                              <w:rPr>
                                <w:sz w:val="18"/>
                                <w:szCs w:val="18"/>
                              </w:rPr>
                              <w:t>Includes notable market-driven decarbonisation</w:t>
                            </w:r>
                          </w:p>
                          <w:p w14:paraId="323236E0" w14:textId="14724992" w:rsidR="00190BA4" w:rsidRPr="00EC70E8" w:rsidRDefault="00190BA4" w:rsidP="00EA11AF">
                            <w:pPr>
                              <w:pStyle w:val="ListParagraph"/>
                              <w:numPr>
                                <w:ilvl w:val="0"/>
                                <w:numId w:val="335"/>
                              </w:numPr>
                              <w:ind w:left="165" w:hanging="165"/>
                              <w:rPr>
                                <w:sz w:val="18"/>
                                <w:szCs w:val="18"/>
                              </w:rPr>
                            </w:pPr>
                            <w:r>
                              <w:rPr>
                                <w:sz w:val="18"/>
                                <w:szCs w:val="18"/>
                              </w:rPr>
                              <w:t>Leads to a faster decarbonisation process than the NECP scenario</w:t>
                            </w:r>
                          </w:p>
                        </w:tc>
                        <w:tc>
                          <w:tcPr>
                            <w:tcW w:w="3063" w:type="dxa"/>
                            <w:tcBorders>
                              <w:left w:val="single" w:sz="4" w:space="0" w:color="808080" w:themeColor="background1" w:themeShade="80"/>
                              <w:right w:val="single" w:sz="4" w:space="0" w:color="808080" w:themeColor="background1" w:themeShade="80"/>
                            </w:tcBorders>
                          </w:tcPr>
                          <w:p w14:paraId="48CFE69B" w14:textId="77777777" w:rsidR="00190BA4" w:rsidRDefault="00190BA4" w:rsidP="00BE58A2">
                            <w:pPr>
                              <w:pStyle w:val="ListParagraph"/>
                              <w:numPr>
                                <w:ilvl w:val="0"/>
                                <w:numId w:val="335"/>
                              </w:numPr>
                              <w:ind w:left="166" w:hanging="166"/>
                              <w:rPr>
                                <w:sz w:val="18"/>
                                <w:szCs w:val="18"/>
                              </w:rPr>
                            </w:pPr>
                            <w:r>
                              <w:rPr>
                                <w:sz w:val="18"/>
                                <w:szCs w:val="18"/>
                              </w:rPr>
                              <w:t>Adheres to the goals presented in Romania’s National Energy and Climate Plan (NECP)</w:t>
                            </w:r>
                          </w:p>
                          <w:p w14:paraId="6ACE96AE" w14:textId="77777777" w:rsidR="00190BA4" w:rsidRDefault="00190BA4" w:rsidP="00BE58A2">
                            <w:pPr>
                              <w:pStyle w:val="ListParagraph"/>
                              <w:numPr>
                                <w:ilvl w:val="0"/>
                                <w:numId w:val="335"/>
                              </w:numPr>
                              <w:ind w:left="166" w:hanging="166"/>
                              <w:rPr>
                                <w:sz w:val="18"/>
                                <w:szCs w:val="18"/>
                              </w:rPr>
                            </w:pPr>
                            <w:r>
                              <w:rPr>
                                <w:sz w:val="18"/>
                                <w:szCs w:val="18"/>
                              </w:rPr>
                              <w:t xml:space="preserve">Coal capacities are kept active through the modelling period </w:t>
                            </w:r>
                          </w:p>
                          <w:p w14:paraId="12779144" w14:textId="77777777" w:rsidR="00190BA4" w:rsidRDefault="00190BA4" w:rsidP="00BE58A2">
                            <w:pPr>
                              <w:pStyle w:val="ListParagraph"/>
                              <w:numPr>
                                <w:ilvl w:val="0"/>
                                <w:numId w:val="335"/>
                              </w:numPr>
                              <w:ind w:left="166" w:hanging="166"/>
                              <w:rPr>
                                <w:sz w:val="18"/>
                                <w:szCs w:val="18"/>
                              </w:rPr>
                            </w:pPr>
                            <w:r>
                              <w:rPr>
                                <w:sz w:val="18"/>
                                <w:szCs w:val="18"/>
                              </w:rPr>
                              <w:t>Gas plays an important role in the energy system</w:t>
                            </w:r>
                          </w:p>
                          <w:p w14:paraId="4B6FFC1A" w14:textId="76AD252A" w:rsidR="00190BA4" w:rsidRPr="00EA11AF" w:rsidRDefault="00190BA4" w:rsidP="00EA11AF">
                            <w:pPr>
                              <w:pStyle w:val="ListParagraph"/>
                              <w:numPr>
                                <w:ilvl w:val="0"/>
                                <w:numId w:val="335"/>
                              </w:numPr>
                              <w:ind w:left="166" w:hanging="166"/>
                              <w:rPr>
                                <w:sz w:val="18"/>
                                <w:szCs w:val="18"/>
                              </w:rPr>
                            </w:pPr>
                            <w:r>
                              <w:rPr>
                                <w:sz w:val="18"/>
                                <w:szCs w:val="18"/>
                              </w:rPr>
                              <w:t>Has the highest share of coal and gas technology in the energy mix (34%)</w:t>
                            </w:r>
                          </w:p>
                        </w:tc>
                        <w:tc>
                          <w:tcPr>
                            <w:tcW w:w="2691" w:type="dxa"/>
                            <w:tcBorders>
                              <w:left w:val="single" w:sz="4" w:space="0" w:color="808080" w:themeColor="background1" w:themeShade="80"/>
                            </w:tcBorders>
                          </w:tcPr>
                          <w:p w14:paraId="554BBF95" w14:textId="77777777" w:rsidR="00190BA4" w:rsidRDefault="00190BA4" w:rsidP="00BE58A2">
                            <w:pPr>
                              <w:pStyle w:val="ListParagraph"/>
                              <w:numPr>
                                <w:ilvl w:val="0"/>
                                <w:numId w:val="335"/>
                              </w:numPr>
                              <w:ind w:left="166" w:hanging="166"/>
                              <w:rPr>
                                <w:sz w:val="18"/>
                                <w:szCs w:val="18"/>
                              </w:rPr>
                            </w:pPr>
                            <w:r>
                              <w:rPr>
                                <w:sz w:val="18"/>
                                <w:szCs w:val="18"/>
                              </w:rPr>
                              <w:t>Adheres to the more ambitious goals presented in the European Green Deal</w:t>
                            </w:r>
                          </w:p>
                          <w:p w14:paraId="5601A0A0" w14:textId="77777777" w:rsidR="00190BA4" w:rsidRDefault="00190BA4" w:rsidP="00BE58A2">
                            <w:pPr>
                              <w:pStyle w:val="ListParagraph"/>
                              <w:numPr>
                                <w:ilvl w:val="0"/>
                                <w:numId w:val="335"/>
                              </w:numPr>
                              <w:ind w:left="166" w:hanging="166"/>
                              <w:rPr>
                                <w:sz w:val="18"/>
                                <w:szCs w:val="18"/>
                              </w:rPr>
                            </w:pPr>
                            <w:r>
                              <w:rPr>
                                <w:sz w:val="18"/>
                                <w:szCs w:val="18"/>
                              </w:rPr>
                              <w:t>Does not consider keeping coal capacities active beyond 2030</w:t>
                            </w:r>
                          </w:p>
                          <w:p w14:paraId="177C10BD" w14:textId="77777777" w:rsidR="00190BA4" w:rsidRDefault="00190BA4" w:rsidP="00BE58A2">
                            <w:pPr>
                              <w:pStyle w:val="ListParagraph"/>
                              <w:numPr>
                                <w:ilvl w:val="0"/>
                                <w:numId w:val="335"/>
                              </w:numPr>
                              <w:ind w:left="166" w:hanging="166"/>
                              <w:rPr>
                                <w:sz w:val="18"/>
                                <w:szCs w:val="18"/>
                              </w:rPr>
                            </w:pPr>
                            <w:r>
                              <w:rPr>
                                <w:sz w:val="18"/>
                                <w:szCs w:val="18"/>
                              </w:rPr>
                              <w:t>Coal and gas together account for less than 15% of the energy mix in 2030</w:t>
                            </w:r>
                          </w:p>
                          <w:p w14:paraId="22274B49" w14:textId="29D72483" w:rsidR="00190BA4" w:rsidRPr="00FC797C" w:rsidRDefault="00190BA4" w:rsidP="00FC797C">
                            <w:pPr>
                              <w:pStyle w:val="ListParagraph"/>
                              <w:numPr>
                                <w:ilvl w:val="0"/>
                                <w:numId w:val="335"/>
                              </w:numPr>
                              <w:ind w:left="166" w:hanging="166"/>
                              <w:rPr>
                                <w:sz w:val="18"/>
                                <w:szCs w:val="18"/>
                              </w:rPr>
                            </w:pPr>
                            <w:r>
                              <w:rPr>
                                <w:sz w:val="18"/>
                                <w:szCs w:val="18"/>
                              </w:rPr>
                              <w:t>Has the highest share of solar technology in PG</w:t>
                            </w:r>
                          </w:p>
                        </w:tc>
                      </w:tr>
                    </w:tbl>
                    <w:p w14:paraId="48787BFD" w14:textId="1EF914EE" w:rsidR="00190BA4" w:rsidRDefault="00190BA4"/>
                    <w:p w14:paraId="45432C30" w14:textId="69D9743F" w:rsidR="00190BA4" w:rsidRPr="00EC70E8" w:rsidRDefault="00190BA4" w:rsidP="00BE58A2">
                      <w:pPr>
                        <w:rPr>
                          <w:rFonts w:ascii="Arial" w:hAnsi="Arial" w:cs="Arial"/>
                          <w:i/>
                          <w:iCs/>
                          <w:sz w:val="18"/>
                          <w:szCs w:val="18"/>
                        </w:rPr>
                      </w:pPr>
                      <w:r>
                        <w:rPr>
                          <w:rFonts w:ascii="Arial" w:hAnsi="Arial" w:cs="Arial"/>
                          <w:i/>
                          <w:iCs/>
                          <w:sz w:val="18"/>
                          <w:szCs w:val="18"/>
                        </w:rPr>
                        <w:t>In</w:t>
                      </w:r>
                      <w:r w:rsidRPr="00EC70E8">
                        <w:rPr>
                          <w:rFonts w:ascii="Arial" w:hAnsi="Arial" w:cs="Arial"/>
                          <w:i/>
                          <w:iCs/>
                          <w:sz w:val="18"/>
                          <w:szCs w:val="18"/>
                        </w:rPr>
                        <w:t xml:space="preserve"> our opinion, despite the fact that the RRP does not contain as many details as NECP, the Green Deal scenario in our analysis </w:t>
                      </w:r>
                      <w:r>
                        <w:rPr>
                          <w:rFonts w:ascii="Arial" w:hAnsi="Arial" w:cs="Arial"/>
                          <w:i/>
                          <w:iCs/>
                          <w:sz w:val="18"/>
                          <w:szCs w:val="18"/>
                        </w:rPr>
                        <w:t xml:space="preserve">closest </w:t>
                      </w:r>
                      <w:r w:rsidRPr="00EC70E8">
                        <w:rPr>
                          <w:rFonts w:ascii="Arial" w:hAnsi="Arial" w:cs="Arial"/>
                          <w:i/>
                          <w:iCs/>
                          <w:sz w:val="18"/>
                          <w:szCs w:val="18"/>
                        </w:rPr>
                        <w:t>resembles</w:t>
                      </w:r>
                      <w:r>
                        <w:rPr>
                          <w:rFonts w:ascii="Arial" w:hAnsi="Arial" w:cs="Arial"/>
                          <w:i/>
                          <w:iCs/>
                          <w:sz w:val="18"/>
                          <w:szCs w:val="18"/>
                        </w:rPr>
                        <w:t xml:space="preserve"> the</w:t>
                      </w:r>
                      <w:r w:rsidRPr="00EC70E8">
                        <w:rPr>
                          <w:rFonts w:ascii="Arial" w:hAnsi="Arial" w:cs="Arial"/>
                          <w:i/>
                          <w:iCs/>
                          <w:sz w:val="18"/>
                          <w:szCs w:val="18"/>
                        </w:rPr>
                        <w:t xml:space="preserve"> RRP landscape scenario.</w:t>
                      </w:r>
                    </w:p>
                    <w:p w14:paraId="54A4C0BB" w14:textId="363652FF" w:rsidR="00190BA4" w:rsidRPr="00EC70E8" w:rsidRDefault="00190BA4" w:rsidP="00BE58A2">
                      <w:pPr>
                        <w:rPr>
                          <w:rFonts w:ascii="Arial" w:hAnsi="Arial" w:cs="Arial"/>
                          <w:i/>
                          <w:iCs/>
                          <w:sz w:val="18"/>
                          <w:szCs w:val="18"/>
                        </w:rPr>
                      </w:pPr>
                    </w:p>
                  </w:txbxContent>
                </v:textbox>
                <w10:anchorlock/>
              </v:shape>
            </w:pict>
          </mc:Fallback>
        </mc:AlternateContent>
      </w:r>
    </w:p>
    <w:p w14:paraId="09D6389F" w14:textId="66D67840" w:rsidR="0077704C" w:rsidRPr="00CC5365" w:rsidRDefault="0077704C" w:rsidP="0077704C">
      <w:pPr>
        <w:spacing w:after="120"/>
        <w:jc w:val="both"/>
        <w:rPr>
          <w:rFonts w:ascii="Arial" w:hAnsi="Arial" w:cs="Arial"/>
          <w:b/>
          <w:color w:val="4F81BD" w:themeColor="accent1"/>
          <w:sz w:val="20"/>
          <w:szCs w:val="20"/>
        </w:rPr>
      </w:pPr>
      <w:r w:rsidRPr="00CC5365">
        <w:rPr>
          <w:rFonts w:ascii="Arial" w:hAnsi="Arial" w:cs="Arial"/>
          <w:b/>
          <w:color w:val="4F81BD" w:themeColor="accent1"/>
          <w:sz w:val="20"/>
          <w:szCs w:val="20"/>
        </w:rPr>
        <w:t>Hunedoara County</w:t>
      </w:r>
    </w:p>
    <w:p w14:paraId="7A46D724" w14:textId="77777777" w:rsidR="0077704C" w:rsidRPr="003516DC" w:rsidRDefault="0077704C" w:rsidP="0077704C">
      <w:pPr>
        <w:spacing w:after="120"/>
        <w:jc w:val="both"/>
        <w:rPr>
          <w:rFonts w:ascii="Arial" w:hAnsi="Arial" w:cs="Arial"/>
          <w:sz w:val="20"/>
          <w:szCs w:val="20"/>
        </w:rPr>
      </w:pPr>
      <w:r w:rsidRPr="003516DC">
        <w:rPr>
          <w:rFonts w:ascii="Arial" w:hAnsi="Arial" w:cs="Arial"/>
          <w:sz w:val="20"/>
          <w:szCs w:val="20"/>
        </w:rPr>
        <w:t xml:space="preserve">Both GVA and employment impacts are relatively small in Hunedoara, even more so when compared to Dolj and Gorj. This is partly explained since coal-based electricity generation in the county is mostly phased out not only in the scenarios, but also in the baseline. </w:t>
      </w:r>
      <w:r>
        <w:rPr>
          <w:rFonts w:ascii="Arial" w:hAnsi="Arial" w:cs="Arial"/>
          <w:sz w:val="20"/>
          <w:szCs w:val="20"/>
        </w:rPr>
        <w:t>A</w:t>
      </w:r>
      <w:r w:rsidRPr="003516DC">
        <w:rPr>
          <w:rFonts w:ascii="Arial" w:hAnsi="Arial" w:cs="Arial"/>
          <w:sz w:val="20"/>
          <w:szCs w:val="20"/>
        </w:rPr>
        <w:t xml:space="preserve"> Green Deal scenario has more positive GVA effects than </w:t>
      </w:r>
      <w:r>
        <w:rPr>
          <w:rFonts w:ascii="Arial" w:hAnsi="Arial" w:cs="Arial"/>
          <w:sz w:val="20"/>
          <w:szCs w:val="20"/>
        </w:rPr>
        <w:t>the</w:t>
      </w:r>
      <w:r w:rsidRPr="003516DC">
        <w:rPr>
          <w:rFonts w:ascii="Arial" w:hAnsi="Arial" w:cs="Arial"/>
          <w:sz w:val="20"/>
          <w:szCs w:val="20"/>
        </w:rPr>
        <w:t xml:space="preserve"> baseline or NECP scenario, </w:t>
      </w:r>
      <w:r>
        <w:rPr>
          <w:rFonts w:ascii="Arial" w:hAnsi="Arial" w:cs="Arial"/>
          <w:sz w:val="20"/>
          <w:szCs w:val="20"/>
        </w:rPr>
        <w:t>although</w:t>
      </w:r>
      <w:r w:rsidRPr="003516DC">
        <w:rPr>
          <w:rFonts w:ascii="Arial" w:hAnsi="Arial" w:cs="Arial"/>
          <w:sz w:val="20"/>
          <w:szCs w:val="20"/>
        </w:rPr>
        <w:t xml:space="preserve"> it has worse employment results. The overall positive GVA effects</w:t>
      </w:r>
      <w:r w:rsidRPr="00926145">
        <w:rPr>
          <w:rFonts w:ascii="Arial" w:hAnsi="Arial" w:cs="Arial"/>
          <w:sz w:val="20"/>
          <w:szCs w:val="20"/>
        </w:rPr>
        <w:t xml:space="preserve"> </w:t>
      </w:r>
      <w:r w:rsidRPr="003516DC">
        <w:rPr>
          <w:rFonts w:ascii="Arial" w:hAnsi="Arial" w:cs="Arial"/>
          <w:sz w:val="20"/>
          <w:szCs w:val="20"/>
        </w:rPr>
        <w:t>are remarkable (EUR 750 million in baseline, EUR 830 million in a Green Deal scenario) given the relatively high employment losses (11,500 jobs</w:t>
      </w:r>
      <w:r>
        <w:rPr>
          <w:rFonts w:ascii="Arial" w:hAnsi="Arial" w:cs="Arial"/>
          <w:sz w:val="20"/>
          <w:szCs w:val="20"/>
        </w:rPr>
        <w:t xml:space="preserve"> lost</w:t>
      </w:r>
      <w:r w:rsidRPr="003516DC">
        <w:rPr>
          <w:rFonts w:ascii="Arial" w:hAnsi="Arial" w:cs="Arial"/>
          <w:sz w:val="20"/>
          <w:szCs w:val="20"/>
        </w:rPr>
        <w:t xml:space="preserve"> in </w:t>
      </w:r>
      <w:r>
        <w:rPr>
          <w:rFonts w:ascii="Arial" w:hAnsi="Arial" w:cs="Arial"/>
          <w:sz w:val="20"/>
          <w:szCs w:val="20"/>
        </w:rPr>
        <w:t xml:space="preserve">the </w:t>
      </w:r>
      <w:r w:rsidRPr="003516DC">
        <w:rPr>
          <w:rFonts w:ascii="Arial" w:hAnsi="Arial" w:cs="Arial"/>
          <w:sz w:val="20"/>
          <w:szCs w:val="20"/>
        </w:rPr>
        <w:t>baseline and NECP scenario</w:t>
      </w:r>
      <w:r>
        <w:rPr>
          <w:rFonts w:ascii="Arial" w:hAnsi="Arial" w:cs="Arial"/>
          <w:sz w:val="20"/>
          <w:szCs w:val="20"/>
        </w:rPr>
        <w:t>s</w:t>
      </w:r>
      <w:r w:rsidRPr="003516DC">
        <w:rPr>
          <w:rFonts w:ascii="Arial" w:hAnsi="Arial" w:cs="Arial"/>
          <w:sz w:val="20"/>
          <w:szCs w:val="20"/>
        </w:rPr>
        <w:t xml:space="preserve">, 13,000 jobs </w:t>
      </w:r>
      <w:r>
        <w:rPr>
          <w:rFonts w:ascii="Arial" w:hAnsi="Arial" w:cs="Arial"/>
          <w:sz w:val="20"/>
          <w:szCs w:val="20"/>
        </w:rPr>
        <w:t xml:space="preserve">lost </w:t>
      </w:r>
      <w:r w:rsidRPr="003516DC">
        <w:rPr>
          <w:rFonts w:ascii="Arial" w:hAnsi="Arial" w:cs="Arial"/>
          <w:sz w:val="20"/>
          <w:szCs w:val="20"/>
        </w:rPr>
        <w:t>in a GD scenario)</w:t>
      </w:r>
      <w:r>
        <w:rPr>
          <w:rFonts w:ascii="Arial" w:hAnsi="Arial" w:cs="Arial"/>
          <w:sz w:val="20"/>
          <w:szCs w:val="20"/>
        </w:rPr>
        <w:t>.</w:t>
      </w:r>
      <w:r w:rsidRPr="003516DC">
        <w:rPr>
          <w:rFonts w:ascii="Arial" w:hAnsi="Arial" w:cs="Arial"/>
          <w:sz w:val="20"/>
          <w:szCs w:val="20"/>
        </w:rPr>
        <w:t xml:space="preserve"> </w:t>
      </w:r>
      <w:r>
        <w:rPr>
          <w:rFonts w:ascii="Arial" w:hAnsi="Arial" w:cs="Arial"/>
          <w:sz w:val="20"/>
          <w:szCs w:val="20"/>
        </w:rPr>
        <w:t>This</w:t>
      </w:r>
      <w:r w:rsidRPr="003516DC">
        <w:rPr>
          <w:rFonts w:ascii="Arial" w:hAnsi="Arial" w:cs="Arial"/>
          <w:sz w:val="20"/>
          <w:szCs w:val="20"/>
        </w:rPr>
        <w:t xml:space="preserve"> </w:t>
      </w:r>
      <w:r>
        <w:rPr>
          <w:rFonts w:ascii="Arial" w:hAnsi="Arial" w:cs="Arial"/>
          <w:sz w:val="20"/>
          <w:szCs w:val="20"/>
        </w:rPr>
        <w:t>illustrates</w:t>
      </w:r>
      <w:r w:rsidRPr="003516DC">
        <w:rPr>
          <w:rFonts w:ascii="Arial" w:hAnsi="Arial" w:cs="Arial"/>
          <w:sz w:val="20"/>
          <w:szCs w:val="20"/>
        </w:rPr>
        <w:t xml:space="preserve"> </w:t>
      </w:r>
      <w:r>
        <w:rPr>
          <w:rFonts w:ascii="Arial" w:hAnsi="Arial" w:cs="Arial"/>
          <w:sz w:val="20"/>
          <w:szCs w:val="20"/>
        </w:rPr>
        <w:t xml:space="preserve">the </w:t>
      </w:r>
      <w:r w:rsidRPr="003516DC">
        <w:rPr>
          <w:rFonts w:ascii="Arial" w:hAnsi="Arial" w:cs="Arial"/>
          <w:sz w:val="20"/>
          <w:szCs w:val="20"/>
        </w:rPr>
        <w:t>important</w:t>
      </w:r>
      <w:r w:rsidRPr="009C5DF0">
        <w:rPr>
          <w:rFonts w:ascii="Arial" w:hAnsi="Arial" w:cs="Arial"/>
          <w:sz w:val="20"/>
          <w:szCs w:val="20"/>
        </w:rPr>
        <w:t xml:space="preserve"> </w:t>
      </w:r>
      <w:r w:rsidRPr="003516DC">
        <w:rPr>
          <w:rFonts w:ascii="Arial" w:hAnsi="Arial" w:cs="Arial"/>
          <w:sz w:val="20"/>
          <w:szCs w:val="20"/>
        </w:rPr>
        <w:t>productivity gains of the local economy. Large employment losses are encountered in agriculture (</w:t>
      </w:r>
      <w:r>
        <w:rPr>
          <w:rFonts w:ascii="Arial" w:hAnsi="Arial" w:cs="Arial"/>
          <w:sz w:val="20"/>
          <w:szCs w:val="20"/>
        </w:rPr>
        <w:t>&gt;</w:t>
      </w:r>
      <w:r w:rsidRPr="003516DC">
        <w:rPr>
          <w:rFonts w:ascii="Arial" w:hAnsi="Arial" w:cs="Arial"/>
          <w:sz w:val="20"/>
          <w:szCs w:val="20"/>
        </w:rPr>
        <w:t xml:space="preserve">6,000 </w:t>
      </w:r>
      <w:r>
        <w:rPr>
          <w:rFonts w:ascii="Arial" w:hAnsi="Arial" w:cs="Arial"/>
          <w:sz w:val="20"/>
          <w:szCs w:val="20"/>
        </w:rPr>
        <w:t xml:space="preserve">jobs </w:t>
      </w:r>
      <w:r w:rsidRPr="003516DC">
        <w:rPr>
          <w:rFonts w:ascii="Arial" w:hAnsi="Arial" w:cs="Arial"/>
          <w:sz w:val="20"/>
          <w:szCs w:val="20"/>
        </w:rPr>
        <w:t>in all scenarios), energy and utilities (5,000 jobs even in a baseline scenario) and construction (approx</w:t>
      </w:r>
      <w:r>
        <w:rPr>
          <w:rFonts w:ascii="Arial" w:hAnsi="Arial" w:cs="Arial"/>
          <w:sz w:val="20"/>
          <w:szCs w:val="20"/>
        </w:rPr>
        <w:t>imately</w:t>
      </w:r>
      <w:r w:rsidRPr="003516DC">
        <w:rPr>
          <w:rFonts w:ascii="Arial" w:hAnsi="Arial" w:cs="Arial"/>
          <w:sz w:val="20"/>
          <w:szCs w:val="20"/>
        </w:rPr>
        <w:t xml:space="preserve"> 5,500</w:t>
      </w:r>
      <w:r>
        <w:rPr>
          <w:rFonts w:ascii="Arial" w:hAnsi="Arial" w:cs="Arial"/>
          <w:sz w:val="20"/>
          <w:szCs w:val="20"/>
        </w:rPr>
        <w:t xml:space="preserve"> jobs lost</w:t>
      </w:r>
      <w:r w:rsidRPr="003516DC">
        <w:rPr>
          <w:rFonts w:ascii="Arial" w:hAnsi="Arial" w:cs="Arial"/>
          <w:sz w:val="20"/>
          <w:szCs w:val="20"/>
        </w:rPr>
        <w:t xml:space="preserve"> in all scenarios). Emissions decrease significantly in all scenarios</w:t>
      </w:r>
      <w:r>
        <w:rPr>
          <w:rFonts w:ascii="Arial" w:hAnsi="Arial" w:cs="Arial"/>
          <w:sz w:val="20"/>
          <w:szCs w:val="20"/>
        </w:rPr>
        <w:t>:</w:t>
      </w:r>
      <w:r w:rsidRPr="003516DC">
        <w:rPr>
          <w:rFonts w:ascii="Arial" w:hAnsi="Arial" w:cs="Arial"/>
          <w:sz w:val="20"/>
          <w:szCs w:val="20"/>
        </w:rPr>
        <w:t xml:space="preserve"> by about 40% in a baseline scenario and by close to 80% in a GD scenario.</w:t>
      </w:r>
    </w:p>
    <w:p w14:paraId="77E99DD1" w14:textId="77777777" w:rsidR="0077704C" w:rsidRPr="00CC5365" w:rsidRDefault="0077704C" w:rsidP="0077704C">
      <w:pPr>
        <w:spacing w:after="120"/>
        <w:jc w:val="both"/>
        <w:rPr>
          <w:rFonts w:ascii="Arial" w:hAnsi="Arial" w:cs="Arial"/>
          <w:b/>
          <w:color w:val="4F81BD" w:themeColor="accent1"/>
          <w:sz w:val="20"/>
          <w:szCs w:val="20"/>
        </w:rPr>
      </w:pPr>
      <w:r w:rsidRPr="00CC5365">
        <w:rPr>
          <w:rFonts w:ascii="Arial" w:hAnsi="Arial" w:cs="Arial"/>
          <w:b/>
          <w:color w:val="4F81BD" w:themeColor="accent1"/>
          <w:sz w:val="20"/>
          <w:szCs w:val="20"/>
        </w:rPr>
        <w:t>Dolj County</w:t>
      </w:r>
    </w:p>
    <w:p w14:paraId="585840C1" w14:textId="1A940A5B" w:rsidR="0077704C" w:rsidRPr="00CC5365" w:rsidRDefault="00CB7D59" w:rsidP="0077704C">
      <w:pPr>
        <w:spacing w:after="120"/>
        <w:jc w:val="both"/>
        <w:rPr>
          <w:rFonts w:ascii="Arial" w:hAnsi="Arial" w:cs="Arial"/>
          <w:sz w:val="20"/>
          <w:szCs w:val="20"/>
        </w:rPr>
      </w:pPr>
      <w:r>
        <w:rPr>
          <w:rFonts w:ascii="Arial" w:hAnsi="Arial" w:cs="Arial"/>
          <w:sz w:val="20"/>
          <w:szCs w:val="20"/>
        </w:rPr>
        <w:t>T</w:t>
      </w:r>
      <w:r w:rsidR="0077704C" w:rsidRPr="003516DC">
        <w:rPr>
          <w:rFonts w:ascii="Arial" w:hAnsi="Arial" w:cs="Arial"/>
          <w:sz w:val="20"/>
          <w:szCs w:val="20"/>
        </w:rPr>
        <w:t xml:space="preserve">he impact of the energy transition on employment in Dolj is negative </w:t>
      </w:r>
      <w:r w:rsidR="0077704C">
        <w:rPr>
          <w:rFonts w:ascii="Arial" w:hAnsi="Arial" w:cs="Arial"/>
          <w:sz w:val="20"/>
          <w:szCs w:val="20"/>
        </w:rPr>
        <w:t>under</w:t>
      </w:r>
      <w:r w:rsidR="0077704C" w:rsidRPr="003516DC">
        <w:rPr>
          <w:rFonts w:ascii="Arial" w:hAnsi="Arial" w:cs="Arial"/>
          <w:sz w:val="20"/>
          <w:szCs w:val="20"/>
        </w:rPr>
        <w:t xml:space="preserve"> a Green Deal scenario (1,500 jobs</w:t>
      </w:r>
      <w:r w:rsidR="0077704C">
        <w:rPr>
          <w:rFonts w:ascii="Arial" w:hAnsi="Arial" w:cs="Arial"/>
          <w:sz w:val="20"/>
          <w:szCs w:val="20"/>
        </w:rPr>
        <w:t xml:space="preserve"> lost</w:t>
      </w:r>
      <w:r w:rsidR="0077704C" w:rsidRPr="003516DC">
        <w:rPr>
          <w:rFonts w:ascii="Arial" w:hAnsi="Arial" w:cs="Arial"/>
          <w:sz w:val="20"/>
          <w:szCs w:val="20"/>
        </w:rPr>
        <w:t>) and slightly positive in a NECP scenario</w:t>
      </w:r>
      <w:r w:rsidR="0077704C">
        <w:rPr>
          <w:rFonts w:ascii="Arial" w:hAnsi="Arial" w:cs="Arial"/>
          <w:sz w:val="20"/>
          <w:szCs w:val="20"/>
        </w:rPr>
        <w:t xml:space="preserve"> </w:t>
      </w:r>
      <w:r w:rsidR="0077704C" w:rsidRPr="003516DC">
        <w:rPr>
          <w:rFonts w:ascii="Arial" w:hAnsi="Arial" w:cs="Arial"/>
          <w:sz w:val="20"/>
          <w:szCs w:val="20"/>
        </w:rPr>
        <w:t>(300 jobs</w:t>
      </w:r>
      <w:r w:rsidR="0077704C">
        <w:rPr>
          <w:rFonts w:ascii="Arial" w:hAnsi="Arial" w:cs="Arial"/>
          <w:sz w:val="20"/>
          <w:szCs w:val="20"/>
        </w:rPr>
        <w:t xml:space="preserve"> gained</w:t>
      </w:r>
      <w:r w:rsidR="0077704C" w:rsidRPr="003516DC">
        <w:rPr>
          <w:rFonts w:ascii="Arial" w:hAnsi="Arial" w:cs="Arial"/>
          <w:sz w:val="20"/>
          <w:szCs w:val="20"/>
        </w:rPr>
        <w:t>)</w:t>
      </w:r>
      <w:r w:rsidR="0077704C">
        <w:rPr>
          <w:rFonts w:ascii="Arial" w:hAnsi="Arial" w:cs="Arial"/>
          <w:sz w:val="20"/>
          <w:szCs w:val="20"/>
        </w:rPr>
        <w:t>. Nevertheless,</w:t>
      </w:r>
      <w:r w:rsidR="0077704C" w:rsidRPr="003516DC">
        <w:rPr>
          <w:rFonts w:ascii="Arial" w:hAnsi="Arial" w:cs="Arial"/>
          <w:sz w:val="20"/>
          <w:szCs w:val="20"/>
        </w:rPr>
        <w:t xml:space="preserve"> the</w:t>
      </w:r>
      <w:r w:rsidR="0077704C">
        <w:rPr>
          <w:rFonts w:ascii="Arial" w:hAnsi="Arial" w:cs="Arial"/>
          <w:sz w:val="20"/>
          <w:szCs w:val="20"/>
        </w:rPr>
        <w:t xml:space="preserve"> significant</w:t>
      </w:r>
      <w:r w:rsidR="0077704C" w:rsidRPr="003516DC">
        <w:rPr>
          <w:rFonts w:ascii="Arial" w:hAnsi="Arial" w:cs="Arial"/>
          <w:sz w:val="20"/>
          <w:szCs w:val="20"/>
        </w:rPr>
        <w:t xml:space="preserve"> unemployment effects in Dolj </w:t>
      </w:r>
      <w:r w:rsidR="0077704C">
        <w:rPr>
          <w:rFonts w:ascii="Arial" w:hAnsi="Arial" w:cs="Arial"/>
          <w:sz w:val="20"/>
          <w:szCs w:val="20"/>
        </w:rPr>
        <w:t>under</w:t>
      </w:r>
      <w:r w:rsidR="0077704C" w:rsidRPr="003516DC">
        <w:rPr>
          <w:rFonts w:ascii="Arial" w:hAnsi="Arial" w:cs="Arial"/>
          <w:sz w:val="20"/>
          <w:szCs w:val="20"/>
        </w:rPr>
        <w:t xml:space="preserve"> a baseline scenario </w:t>
      </w:r>
      <w:r w:rsidR="0077704C">
        <w:rPr>
          <w:rFonts w:ascii="Arial" w:hAnsi="Arial" w:cs="Arial"/>
          <w:sz w:val="20"/>
          <w:szCs w:val="20"/>
        </w:rPr>
        <w:t>are</w:t>
      </w:r>
      <w:r w:rsidR="0077704C" w:rsidRPr="003516DC">
        <w:rPr>
          <w:rFonts w:ascii="Arial" w:hAnsi="Arial" w:cs="Arial"/>
          <w:sz w:val="20"/>
          <w:szCs w:val="20"/>
        </w:rPr>
        <w:t xml:space="preserve"> not necessarily driven by the energy transition. For instance, in all scenarios</w:t>
      </w:r>
      <w:r w:rsidR="0077704C">
        <w:rPr>
          <w:rFonts w:ascii="Arial" w:hAnsi="Arial" w:cs="Arial"/>
          <w:sz w:val="20"/>
          <w:szCs w:val="20"/>
        </w:rPr>
        <w:t>,</w:t>
      </w:r>
      <w:r w:rsidR="0077704C" w:rsidRPr="003516DC">
        <w:rPr>
          <w:rFonts w:ascii="Arial" w:hAnsi="Arial" w:cs="Arial"/>
          <w:sz w:val="20"/>
          <w:szCs w:val="20"/>
        </w:rPr>
        <w:t xml:space="preserve"> agriculture is expected to lo</w:t>
      </w:r>
      <w:r w:rsidR="0077704C">
        <w:rPr>
          <w:rFonts w:ascii="Arial" w:hAnsi="Arial" w:cs="Arial"/>
          <w:sz w:val="20"/>
          <w:szCs w:val="20"/>
        </w:rPr>
        <w:t>se more than</w:t>
      </w:r>
      <w:r w:rsidR="0077704C" w:rsidRPr="003516DC">
        <w:rPr>
          <w:rFonts w:ascii="Arial" w:hAnsi="Arial" w:cs="Arial"/>
          <w:sz w:val="20"/>
          <w:szCs w:val="20"/>
        </w:rPr>
        <w:t xml:space="preserve"> 25,000 jobs in the next ten years </w:t>
      </w:r>
      <w:r w:rsidR="0077704C">
        <w:rPr>
          <w:rFonts w:ascii="Arial" w:hAnsi="Arial" w:cs="Arial"/>
          <w:sz w:val="20"/>
          <w:szCs w:val="20"/>
        </w:rPr>
        <w:t>and</w:t>
      </w:r>
      <w:r w:rsidR="0077704C" w:rsidRPr="003516DC">
        <w:rPr>
          <w:rFonts w:ascii="Arial" w:hAnsi="Arial" w:cs="Arial"/>
          <w:sz w:val="20"/>
          <w:szCs w:val="20"/>
        </w:rPr>
        <w:t xml:space="preserve"> manufacturing will also lose approximately 5,000 jobs. More worryingly, while agriculture will still have a net positive GV</w:t>
      </w:r>
      <w:r w:rsidR="0077704C">
        <w:rPr>
          <w:rFonts w:ascii="Arial" w:hAnsi="Arial" w:cs="Arial"/>
          <w:sz w:val="20"/>
          <w:szCs w:val="20"/>
        </w:rPr>
        <w:t>A</w:t>
      </w:r>
      <w:r w:rsidR="0077704C" w:rsidRPr="003516DC">
        <w:rPr>
          <w:rFonts w:ascii="Arial" w:hAnsi="Arial" w:cs="Arial"/>
          <w:sz w:val="20"/>
          <w:szCs w:val="20"/>
        </w:rPr>
        <w:t xml:space="preserve"> growth, the manufacturing sector will stay flat in all scenarios in </w:t>
      </w:r>
      <w:r w:rsidR="0077704C">
        <w:rPr>
          <w:rFonts w:ascii="Arial" w:hAnsi="Arial" w:cs="Arial"/>
          <w:sz w:val="20"/>
          <w:szCs w:val="20"/>
        </w:rPr>
        <w:t xml:space="preserve">GVA </w:t>
      </w:r>
      <w:r w:rsidR="0077704C" w:rsidRPr="003516DC">
        <w:rPr>
          <w:rFonts w:ascii="Arial" w:hAnsi="Arial" w:cs="Arial"/>
          <w:sz w:val="20"/>
          <w:szCs w:val="20"/>
        </w:rPr>
        <w:t xml:space="preserve">terms by 2030. </w:t>
      </w:r>
      <w:r w:rsidR="0077704C">
        <w:rPr>
          <w:rFonts w:ascii="Arial" w:hAnsi="Arial" w:cs="Arial"/>
          <w:sz w:val="20"/>
          <w:szCs w:val="20"/>
        </w:rPr>
        <w:t>Although</w:t>
      </w:r>
      <w:r w:rsidR="0077704C" w:rsidRPr="003516DC">
        <w:rPr>
          <w:rFonts w:ascii="Arial" w:hAnsi="Arial" w:cs="Arial"/>
          <w:sz w:val="20"/>
          <w:szCs w:val="20"/>
        </w:rPr>
        <w:t xml:space="preserve"> emissions increase by 18%</w:t>
      </w:r>
      <w:r w:rsidR="0077704C" w:rsidRPr="00D37785">
        <w:rPr>
          <w:rFonts w:ascii="Arial" w:hAnsi="Arial" w:cs="Arial"/>
          <w:sz w:val="20"/>
          <w:szCs w:val="20"/>
        </w:rPr>
        <w:t xml:space="preserve"> </w:t>
      </w:r>
      <w:r w:rsidR="0077704C" w:rsidRPr="003516DC">
        <w:rPr>
          <w:rFonts w:ascii="Arial" w:hAnsi="Arial" w:cs="Arial"/>
          <w:sz w:val="20"/>
          <w:szCs w:val="20"/>
        </w:rPr>
        <w:t xml:space="preserve">in Dolj between 2018 and 2030 in a NECP scenario, they decrease in </w:t>
      </w:r>
      <w:r w:rsidR="0077704C">
        <w:rPr>
          <w:rFonts w:ascii="Arial" w:hAnsi="Arial" w:cs="Arial"/>
          <w:sz w:val="20"/>
          <w:szCs w:val="20"/>
        </w:rPr>
        <w:t>the</w:t>
      </w:r>
      <w:r w:rsidR="0077704C" w:rsidRPr="003516DC">
        <w:rPr>
          <w:rFonts w:ascii="Arial" w:hAnsi="Arial" w:cs="Arial"/>
          <w:sz w:val="20"/>
          <w:szCs w:val="20"/>
        </w:rPr>
        <w:t xml:space="preserve"> baseline scenario by close to 50%</w:t>
      </w:r>
      <w:r w:rsidR="0077704C" w:rsidRPr="001072B9">
        <w:rPr>
          <w:rFonts w:ascii="Arial" w:hAnsi="Arial" w:cs="Arial"/>
          <w:sz w:val="20"/>
          <w:szCs w:val="20"/>
        </w:rPr>
        <w:t xml:space="preserve"> </w:t>
      </w:r>
      <w:r w:rsidR="0077704C" w:rsidRPr="003516DC">
        <w:rPr>
          <w:rFonts w:ascii="Arial" w:hAnsi="Arial" w:cs="Arial"/>
          <w:sz w:val="20"/>
          <w:szCs w:val="20"/>
        </w:rPr>
        <w:t xml:space="preserve">and close to 80% in a Green Deal scenario (as </w:t>
      </w:r>
      <w:r w:rsidR="0077704C">
        <w:rPr>
          <w:rFonts w:ascii="Arial" w:hAnsi="Arial" w:cs="Arial"/>
          <w:sz w:val="20"/>
          <w:szCs w:val="20"/>
        </w:rPr>
        <w:t xml:space="preserve">in </w:t>
      </w:r>
      <w:r w:rsidR="0077704C" w:rsidRPr="003516DC">
        <w:rPr>
          <w:rFonts w:ascii="Arial" w:hAnsi="Arial" w:cs="Arial"/>
          <w:sz w:val="20"/>
          <w:szCs w:val="20"/>
        </w:rPr>
        <w:t>the baseline,</w:t>
      </w:r>
      <w:r w:rsidR="0077704C">
        <w:rPr>
          <w:rFonts w:ascii="Arial" w:hAnsi="Arial" w:cs="Arial"/>
          <w:sz w:val="20"/>
          <w:szCs w:val="20"/>
        </w:rPr>
        <w:t xml:space="preserve"> a</w:t>
      </w:r>
      <w:r w:rsidR="0077704C" w:rsidRPr="003516DC">
        <w:rPr>
          <w:rFonts w:ascii="Arial" w:hAnsi="Arial" w:cs="Arial"/>
          <w:sz w:val="20"/>
          <w:szCs w:val="20"/>
        </w:rPr>
        <w:t xml:space="preserve"> market driven scenario is also “green”).</w:t>
      </w:r>
      <w:r w:rsidR="0077704C">
        <w:rPr>
          <w:rFonts w:ascii="Arial" w:hAnsi="Arial" w:cs="Arial"/>
          <w:sz w:val="20"/>
          <w:szCs w:val="20"/>
        </w:rPr>
        <w:t xml:space="preserve"> </w:t>
      </w:r>
    </w:p>
    <w:p w14:paraId="4CB90042" w14:textId="34B9ADD4" w:rsidR="0077704C" w:rsidRPr="003516DC" w:rsidRDefault="0077704C" w:rsidP="0077704C">
      <w:pPr>
        <w:spacing w:after="120"/>
        <w:jc w:val="both"/>
        <w:rPr>
          <w:rFonts w:ascii="Arial" w:hAnsi="Arial" w:cs="Arial"/>
          <w:sz w:val="20"/>
          <w:szCs w:val="20"/>
        </w:rPr>
      </w:pPr>
      <w:r w:rsidRPr="0077704C">
        <w:rPr>
          <w:rFonts w:ascii="Arial" w:hAnsi="Arial" w:cs="Arial"/>
          <w:sz w:val="20"/>
          <w:szCs w:val="20"/>
        </w:rPr>
        <w:t>As section 4.5 in</w:t>
      </w:r>
      <w:r w:rsidRPr="003516DC">
        <w:rPr>
          <w:rFonts w:ascii="Arial" w:hAnsi="Arial" w:cs="Arial"/>
          <w:sz w:val="20"/>
          <w:szCs w:val="20"/>
        </w:rPr>
        <w:t xml:space="preserve"> this report demonstrates</w:t>
      </w:r>
      <w:r w:rsidRPr="00A64776">
        <w:rPr>
          <w:rFonts w:ascii="Arial" w:hAnsi="Arial" w:cs="Arial"/>
          <w:sz w:val="20"/>
          <w:szCs w:val="20"/>
        </w:rPr>
        <w:t>, R&amp;D investments yield the largest GVA impact and generate the highest number of new jobs. EUR 100 million invested in R&amp;D generate</w:t>
      </w:r>
      <w:r>
        <w:rPr>
          <w:rFonts w:ascii="Arial" w:hAnsi="Arial" w:cs="Arial"/>
          <w:sz w:val="20"/>
          <w:szCs w:val="20"/>
        </w:rPr>
        <w:t>s</w:t>
      </w:r>
      <w:r w:rsidRPr="00A64776">
        <w:rPr>
          <w:rFonts w:ascii="Arial" w:hAnsi="Arial" w:cs="Arial"/>
          <w:sz w:val="20"/>
          <w:szCs w:val="20"/>
        </w:rPr>
        <w:t xml:space="preserve"> slightly </w:t>
      </w:r>
      <w:r>
        <w:rPr>
          <w:rFonts w:ascii="Arial" w:hAnsi="Arial" w:cs="Arial"/>
          <w:sz w:val="20"/>
          <w:szCs w:val="20"/>
        </w:rPr>
        <w:t>more than</w:t>
      </w:r>
      <w:r w:rsidRPr="00A64776">
        <w:rPr>
          <w:rFonts w:ascii="Arial" w:hAnsi="Arial" w:cs="Arial"/>
          <w:sz w:val="20"/>
          <w:szCs w:val="20"/>
        </w:rPr>
        <w:t xml:space="preserve"> 2,000 jobs</w:t>
      </w:r>
      <w:r>
        <w:rPr>
          <w:rFonts w:ascii="Arial" w:hAnsi="Arial" w:cs="Arial"/>
          <w:sz w:val="20"/>
          <w:szCs w:val="20"/>
        </w:rPr>
        <w:t xml:space="preserve"> and</w:t>
      </w:r>
      <w:r w:rsidRPr="00A64776">
        <w:rPr>
          <w:rFonts w:ascii="Arial" w:hAnsi="Arial" w:cs="Arial"/>
          <w:sz w:val="20"/>
          <w:szCs w:val="20"/>
        </w:rPr>
        <w:t xml:space="preserve"> about 1,600 jobs </w:t>
      </w:r>
      <w:r>
        <w:rPr>
          <w:rFonts w:ascii="Arial" w:hAnsi="Arial" w:cs="Arial"/>
          <w:sz w:val="20"/>
          <w:szCs w:val="20"/>
        </w:rPr>
        <w:t>if invested</w:t>
      </w:r>
      <w:r w:rsidRPr="00A64776">
        <w:rPr>
          <w:rFonts w:ascii="Arial" w:hAnsi="Arial" w:cs="Arial"/>
          <w:sz w:val="20"/>
          <w:szCs w:val="20"/>
        </w:rPr>
        <w:t xml:space="preserve"> in SMEs. The job creation cost is high</w:t>
      </w:r>
      <w:r>
        <w:rPr>
          <w:rFonts w:ascii="Arial" w:hAnsi="Arial" w:cs="Arial"/>
          <w:sz w:val="20"/>
          <w:szCs w:val="20"/>
        </w:rPr>
        <w:t>est</w:t>
      </w:r>
      <w:r w:rsidRPr="00A64776">
        <w:rPr>
          <w:rFonts w:ascii="Arial" w:hAnsi="Arial" w:cs="Arial"/>
          <w:sz w:val="20"/>
          <w:szCs w:val="20"/>
        </w:rPr>
        <w:t xml:space="preserve"> </w:t>
      </w:r>
      <w:r>
        <w:rPr>
          <w:rFonts w:ascii="Arial" w:hAnsi="Arial" w:cs="Arial"/>
          <w:sz w:val="20"/>
          <w:szCs w:val="20"/>
        </w:rPr>
        <w:t xml:space="preserve">for </w:t>
      </w:r>
      <w:r w:rsidRPr="00A64776">
        <w:rPr>
          <w:rFonts w:ascii="Arial" w:hAnsi="Arial" w:cs="Arial"/>
          <w:sz w:val="20"/>
          <w:szCs w:val="20"/>
        </w:rPr>
        <w:t xml:space="preserve">circular economy </w:t>
      </w:r>
      <w:r>
        <w:rPr>
          <w:rFonts w:ascii="Arial" w:hAnsi="Arial" w:cs="Arial"/>
          <w:sz w:val="20"/>
          <w:szCs w:val="20"/>
        </w:rPr>
        <w:t>(</w:t>
      </w:r>
      <w:r w:rsidRPr="00A64776">
        <w:rPr>
          <w:rFonts w:ascii="Arial" w:hAnsi="Arial" w:cs="Arial"/>
          <w:sz w:val="20"/>
          <w:szCs w:val="20"/>
        </w:rPr>
        <w:t>approx</w:t>
      </w:r>
      <w:r>
        <w:rPr>
          <w:rFonts w:ascii="Arial" w:hAnsi="Arial" w:cs="Arial"/>
          <w:sz w:val="20"/>
          <w:szCs w:val="20"/>
        </w:rPr>
        <w:t>imately</w:t>
      </w:r>
      <w:r w:rsidRPr="00A64776">
        <w:rPr>
          <w:rFonts w:ascii="Arial" w:hAnsi="Arial" w:cs="Arial"/>
          <w:sz w:val="20"/>
          <w:szCs w:val="20"/>
        </w:rPr>
        <w:t xml:space="preserve"> EUR 13,680/FTE</w:t>
      </w:r>
      <w:r>
        <w:rPr>
          <w:rFonts w:ascii="Arial" w:hAnsi="Arial" w:cs="Arial"/>
          <w:sz w:val="20"/>
          <w:szCs w:val="20"/>
        </w:rPr>
        <w:t>)</w:t>
      </w:r>
      <w:r w:rsidRPr="00A64776">
        <w:rPr>
          <w:rFonts w:ascii="Arial" w:hAnsi="Arial" w:cs="Arial"/>
          <w:sz w:val="20"/>
          <w:szCs w:val="20"/>
        </w:rPr>
        <w:t xml:space="preserve"> and lowest in R&amp;D </w:t>
      </w:r>
      <w:r>
        <w:rPr>
          <w:rFonts w:ascii="Arial" w:hAnsi="Arial" w:cs="Arial"/>
          <w:sz w:val="20"/>
          <w:szCs w:val="20"/>
        </w:rPr>
        <w:t>(</w:t>
      </w:r>
      <w:r w:rsidRPr="00A64776">
        <w:rPr>
          <w:rFonts w:ascii="Arial" w:hAnsi="Arial" w:cs="Arial"/>
          <w:sz w:val="20"/>
          <w:szCs w:val="20"/>
        </w:rPr>
        <w:t>approx</w:t>
      </w:r>
      <w:r>
        <w:rPr>
          <w:rFonts w:ascii="Arial" w:hAnsi="Arial" w:cs="Arial"/>
          <w:sz w:val="20"/>
          <w:szCs w:val="20"/>
        </w:rPr>
        <w:t>imately</w:t>
      </w:r>
      <w:r w:rsidRPr="00A64776">
        <w:rPr>
          <w:rFonts w:ascii="Arial" w:hAnsi="Arial" w:cs="Arial"/>
          <w:sz w:val="20"/>
          <w:szCs w:val="20"/>
        </w:rPr>
        <w:t xml:space="preserve"> EUR 7,010/FTE</w:t>
      </w:r>
      <w:r>
        <w:rPr>
          <w:rFonts w:ascii="Arial" w:hAnsi="Arial" w:cs="Arial"/>
          <w:sz w:val="20"/>
          <w:szCs w:val="20"/>
        </w:rPr>
        <w:t>)</w:t>
      </w:r>
      <w:r w:rsidRPr="00A64776">
        <w:rPr>
          <w:rFonts w:ascii="Arial" w:hAnsi="Arial" w:cs="Arial"/>
          <w:sz w:val="20"/>
          <w:szCs w:val="20"/>
        </w:rPr>
        <w:t>.</w:t>
      </w:r>
      <w:r>
        <w:rPr>
          <w:rFonts w:ascii="Arial" w:hAnsi="Arial" w:cs="Arial"/>
          <w:sz w:val="20"/>
          <w:szCs w:val="20"/>
        </w:rPr>
        <w:t xml:space="preserve"> </w:t>
      </w:r>
    </w:p>
    <w:p w14:paraId="43A97352" w14:textId="77777777" w:rsidR="0077704C" w:rsidRPr="00CC5365" w:rsidRDefault="0077704C" w:rsidP="0077704C">
      <w:pPr>
        <w:spacing w:after="120"/>
        <w:jc w:val="both"/>
        <w:rPr>
          <w:rFonts w:ascii="Arial" w:hAnsi="Arial" w:cs="Arial"/>
          <w:b/>
          <w:color w:val="4F81BD" w:themeColor="accent1"/>
          <w:sz w:val="20"/>
          <w:szCs w:val="20"/>
        </w:rPr>
      </w:pPr>
      <w:r w:rsidRPr="00CC5365">
        <w:rPr>
          <w:rFonts w:ascii="Arial" w:hAnsi="Arial" w:cs="Arial"/>
          <w:b/>
          <w:color w:val="4F81BD" w:themeColor="accent1"/>
          <w:sz w:val="20"/>
          <w:szCs w:val="20"/>
        </w:rPr>
        <w:t>Gorj County</w:t>
      </w:r>
    </w:p>
    <w:p w14:paraId="56B9F711" w14:textId="77777777" w:rsidR="0077704C" w:rsidRPr="003516DC" w:rsidRDefault="0077704C" w:rsidP="0077704C">
      <w:pPr>
        <w:spacing w:after="120"/>
        <w:jc w:val="both"/>
        <w:rPr>
          <w:rFonts w:ascii="Arial" w:hAnsi="Arial" w:cs="Arial"/>
          <w:sz w:val="20"/>
          <w:szCs w:val="20"/>
        </w:rPr>
      </w:pPr>
      <w:r w:rsidRPr="003516DC">
        <w:rPr>
          <w:rFonts w:ascii="Arial" w:hAnsi="Arial" w:cs="Arial"/>
          <w:sz w:val="20"/>
          <w:szCs w:val="20"/>
        </w:rPr>
        <w:t xml:space="preserve">Results for Gorj follow a similar trend as Dolj </w:t>
      </w:r>
      <w:r>
        <w:rPr>
          <w:rFonts w:ascii="Arial" w:hAnsi="Arial" w:cs="Arial"/>
          <w:sz w:val="20"/>
          <w:szCs w:val="20"/>
        </w:rPr>
        <w:t>C</w:t>
      </w:r>
      <w:r w:rsidRPr="003516DC">
        <w:rPr>
          <w:rFonts w:ascii="Arial" w:hAnsi="Arial" w:cs="Arial"/>
          <w:sz w:val="20"/>
          <w:szCs w:val="20"/>
        </w:rPr>
        <w:t xml:space="preserve">ounty, partially because some assumptions are defined at the regional level. Nevertheless, the magnitudes differ. </w:t>
      </w:r>
      <w:r>
        <w:rPr>
          <w:rFonts w:ascii="Arial" w:hAnsi="Arial" w:cs="Arial"/>
          <w:sz w:val="20"/>
          <w:szCs w:val="20"/>
        </w:rPr>
        <w:t>In</w:t>
      </w:r>
      <w:r w:rsidRPr="003516DC">
        <w:rPr>
          <w:rFonts w:ascii="Arial" w:hAnsi="Arial" w:cs="Arial"/>
          <w:sz w:val="20"/>
          <w:szCs w:val="20"/>
        </w:rPr>
        <w:t xml:space="preserve"> Gorj, the total GVA increase (compared to the baseline) is about 30% higher</w:t>
      </w:r>
      <w:r w:rsidRPr="0066783A">
        <w:rPr>
          <w:rFonts w:ascii="Arial" w:hAnsi="Arial" w:cs="Arial"/>
          <w:sz w:val="20"/>
          <w:szCs w:val="20"/>
        </w:rPr>
        <w:t xml:space="preserve"> </w:t>
      </w:r>
      <w:r w:rsidRPr="003516DC">
        <w:rPr>
          <w:rFonts w:ascii="Arial" w:hAnsi="Arial" w:cs="Arial"/>
          <w:sz w:val="20"/>
          <w:szCs w:val="20"/>
        </w:rPr>
        <w:t xml:space="preserve">than in Dolj (EUR 210 million), despite </w:t>
      </w:r>
      <w:r>
        <w:rPr>
          <w:rFonts w:ascii="Arial" w:hAnsi="Arial" w:cs="Arial"/>
          <w:sz w:val="20"/>
          <w:szCs w:val="20"/>
        </w:rPr>
        <w:t>having a</w:t>
      </w:r>
      <w:r w:rsidRPr="003516DC">
        <w:rPr>
          <w:rFonts w:ascii="Arial" w:hAnsi="Arial" w:cs="Arial"/>
          <w:sz w:val="20"/>
          <w:szCs w:val="20"/>
        </w:rPr>
        <w:t xml:space="preserve"> smaller GVA base (but much higher energy sector). Similarly, the overall employment increase </w:t>
      </w:r>
      <w:r>
        <w:rPr>
          <w:rFonts w:ascii="Arial" w:hAnsi="Arial" w:cs="Arial"/>
          <w:sz w:val="20"/>
          <w:szCs w:val="20"/>
        </w:rPr>
        <w:t>under</w:t>
      </w:r>
      <w:r w:rsidRPr="003516DC">
        <w:rPr>
          <w:rFonts w:ascii="Arial" w:hAnsi="Arial" w:cs="Arial"/>
          <w:sz w:val="20"/>
          <w:szCs w:val="20"/>
        </w:rPr>
        <w:t xml:space="preserve"> the NECP scenario is about two times as high</w:t>
      </w:r>
      <w:r w:rsidRPr="0066783A">
        <w:rPr>
          <w:rFonts w:ascii="Arial" w:hAnsi="Arial" w:cs="Arial"/>
          <w:sz w:val="20"/>
          <w:szCs w:val="20"/>
        </w:rPr>
        <w:t xml:space="preserve"> </w:t>
      </w:r>
      <w:r w:rsidRPr="003516DC">
        <w:rPr>
          <w:rFonts w:ascii="Arial" w:hAnsi="Arial" w:cs="Arial"/>
          <w:sz w:val="20"/>
          <w:szCs w:val="20"/>
        </w:rPr>
        <w:t xml:space="preserve">in Gorj than in Dolj (compared to the baseline). Under </w:t>
      </w:r>
      <w:r>
        <w:rPr>
          <w:rFonts w:ascii="Arial" w:hAnsi="Arial" w:cs="Arial"/>
          <w:sz w:val="20"/>
          <w:szCs w:val="20"/>
        </w:rPr>
        <w:t>the</w:t>
      </w:r>
      <w:r w:rsidRPr="003516DC">
        <w:rPr>
          <w:rFonts w:ascii="Arial" w:hAnsi="Arial" w:cs="Arial"/>
          <w:sz w:val="20"/>
          <w:szCs w:val="20"/>
        </w:rPr>
        <w:t xml:space="preserve"> baseline, market-driven scenario, the mining and energy sector is expected to lose approx</w:t>
      </w:r>
      <w:r>
        <w:rPr>
          <w:rFonts w:ascii="Arial" w:hAnsi="Arial" w:cs="Arial"/>
          <w:sz w:val="20"/>
          <w:szCs w:val="20"/>
        </w:rPr>
        <w:t>imately</w:t>
      </w:r>
      <w:r w:rsidRPr="003516DC">
        <w:rPr>
          <w:rFonts w:ascii="Arial" w:hAnsi="Arial" w:cs="Arial"/>
          <w:sz w:val="20"/>
          <w:szCs w:val="20"/>
        </w:rPr>
        <w:t xml:space="preserve"> 7,000 jobs, while in a Green Deal scenario</w:t>
      </w:r>
      <w:r>
        <w:rPr>
          <w:rFonts w:ascii="Arial" w:hAnsi="Arial" w:cs="Arial"/>
          <w:sz w:val="20"/>
          <w:szCs w:val="20"/>
        </w:rPr>
        <w:t>,</w:t>
      </w:r>
      <w:r w:rsidRPr="003516DC">
        <w:rPr>
          <w:rFonts w:ascii="Arial" w:hAnsi="Arial" w:cs="Arial"/>
          <w:sz w:val="20"/>
          <w:szCs w:val="20"/>
        </w:rPr>
        <w:t xml:space="preserve"> the loss will be about 10,000</w:t>
      </w:r>
      <w:r>
        <w:rPr>
          <w:rFonts w:ascii="Arial" w:hAnsi="Arial" w:cs="Arial"/>
          <w:sz w:val="20"/>
          <w:szCs w:val="20"/>
        </w:rPr>
        <w:t xml:space="preserve"> jobs</w:t>
      </w:r>
      <w:r w:rsidRPr="003516DC">
        <w:rPr>
          <w:rFonts w:ascii="Arial" w:hAnsi="Arial" w:cs="Arial"/>
          <w:sz w:val="20"/>
          <w:szCs w:val="20"/>
        </w:rPr>
        <w:t xml:space="preserve">. </w:t>
      </w:r>
      <w:r>
        <w:rPr>
          <w:rFonts w:ascii="Arial" w:hAnsi="Arial" w:cs="Arial"/>
          <w:sz w:val="20"/>
          <w:szCs w:val="20"/>
        </w:rPr>
        <w:t>S</w:t>
      </w:r>
      <w:r w:rsidRPr="003516DC">
        <w:rPr>
          <w:rFonts w:ascii="Arial" w:hAnsi="Arial" w:cs="Arial"/>
          <w:sz w:val="20"/>
          <w:szCs w:val="20"/>
        </w:rPr>
        <w:t xml:space="preserve">ince coal-mining and energy production play an important role in the regional economy, GVA will decrease in this sector </w:t>
      </w:r>
      <w:r>
        <w:rPr>
          <w:rFonts w:ascii="Arial" w:hAnsi="Arial" w:cs="Arial"/>
          <w:sz w:val="20"/>
          <w:szCs w:val="20"/>
        </w:rPr>
        <w:t>under</w:t>
      </w:r>
      <w:r w:rsidRPr="003516DC">
        <w:rPr>
          <w:rFonts w:ascii="Arial" w:hAnsi="Arial" w:cs="Arial"/>
          <w:sz w:val="20"/>
          <w:szCs w:val="20"/>
        </w:rPr>
        <w:t xml:space="preserve"> all scenarios</w:t>
      </w:r>
      <w:r>
        <w:rPr>
          <w:rFonts w:ascii="Arial" w:hAnsi="Arial" w:cs="Arial"/>
          <w:sz w:val="20"/>
          <w:szCs w:val="20"/>
        </w:rPr>
        <w:t>:</w:t>
      </w:r>
      <w:r w:rsidRPr="003516DC">
        <w:rPr>
          <w:rFonts w:ascii="Arial" w:hAnsi="Arial" w:cs="Arial"/>
          <w:sz w:val="20"/>
          <w:szCs w:val="20"/>
        </w:rPr>
        <w:t xml:space="preserve"> </w:t>
      </w:r>
      <w:r>
        <w:rPr>
          <w:rFonts w:ascii="Arial" w:hAnsi="Arial" w:cs="Arial"/>
          <w:sz w:val="20"/>
          <w:szCs w:val="20"/>
        </w:rPr>
        <w:t>substantially</w:t>
      </w:r>
      <w:r w:rsidRPr="003516DC">
        <w:rPr>
          <w:rFonts w:ascii="Arial" w:hAnsi="Arial" w:cs="Arial"/>
          <w:sz w:val="20"/>
          <w:szCs w:val="20"/>
        </w:rPr>
        <w:t xml:space="preserve"> less in </w:t>
      </w:r>
      <w:r>
        <w:rPr>
          <w:rFonts w:ascii="Arial" w:hAnsi="Arial" w:cs="Arial"/>
          <w:sz w:val="20"/>
          <w:szCs w:val="20"/>
        </w:rPr>
        <w:t>the</w:t>
      </w:r>
      <w:r w:rsidRPr="003516DC">
        <w:rPr>
          <w:rFonts w:ascii="Arial" w:hAnsi="Arial" w:cs="Arial"/>
          <w:sz w:val="20"/>
          <w:szCs w:val="20"/>
        </w:rPr>
        <w:t xml:space="preserve"> NECP scenario and much more in </w:t>
      </w:r>
      <w:r>
        <w:rPr>
          <w:rFonts w:ascii="Arial" w:hAnsi="Arial" w:cs="Arial"/>
          <w:sz w:val="20"/>
          <w:szCs w:val="20"/>
        </w:rPr>
        <w:t>the</w:t>
      </w:r>
      <w:r w:rsidRPr="003516DC">
        <w:rPr>
          <w:rFonts w:ascii="Arial" w:hAnsi="Arial" w:cs="Arial"/>
          <w:sz w:val="20"/>
          <w:szCs w:val="20"/>
        </w:rPr>
        <w:t xml:space="preserve"> Green Deal and </w:t>
      </w:r>
      <w:r>
        <w:rPr>
          <w:rFonts w:ascii="Arial" w:hAnsi="Arial" w:cs="Arial"/>
          <w:sz w:val="20"/>
          <w:szCs w:val="20"/>
        </w:rPr>
        <w:t>b</w:t>
      </w:r>
      <w:r w:rsidRPr="003516DC">
        <w:rPr>
          <w:rFonts w:ascii="Arial" w:hAnsi="Arial" w:cs="Arial"/>
          <w:sz w:val="20"/>
          <w:szCs w:val="20"/>
        </w:rPr>
        <w:t>aseline scenario</w:t>
      </w:r>
      <w:r>
        <w:rPr>
          <w:rFonts w:ascii="Arial" w:hAnsi="Arial" w:cs="Arial"/>
          <w:sz w:val="20"/>
          <w:szCs w:val="20"/>
        </w:rPr>
        <w:t>s</w:t>
      </w:r>
      <w:r w:rsidRPr="003516DC">
        <w:rPr>
          <w:rFonts w:ascii="Arial" w:hAnsi="Arial" w:cs="Arial"/>
          <w:sz w:val="20"/>
          <w:szCs w:val="20"/>
        </w:rPr>
        <w:t xml:space="preserve">. </w:t>
      </w:r>
      <w:r>
        <w:rPr>
          <w:rFonts w:ascii="Arial" w:hAnsi="Arial" w:cs="Arial"/>
          <w:sz w:val="20"/>
          <w:szCs w:val="20"/>
        </w:rPr>
        <w:t>U</w:t>
      </w:r>
      <w:r w:rsidRPr="003516DC">
        <w:rPr>
          <w:rFonts w:ascii="Arial" w:hAnsi="Arial" w:cs="Arial"/>
          <w:sz w:val="20"/>
          <w:szCs w:val="20"/>
        </w:rPr>
        <w:t>nder both “decarboni</w:t>
      </w:r>
      <w:r>
        <w:rPr>
          <w:rFonts w:ascii="Arial" w:hAnsi="Arial" w:cs="Arial"/>
          <w:sz w:val="20"/>
          <w:szCs w:val="20"/>
        </w:rPr>
        <w:t>s</w:t>
      </w:r>
      <w:r w:rsidRPr="003516DC">
        <w:rPr>
          <w:rFonts w:ascii="Arial" w:hAnsi="Arial" w:cs="Arial"/>
          <w:sz w:val="20"/>
          <w:szCs w:val="20"/>
        </w:rPr>
        <w:t xml:space="preserve">ed” scenarios </w:t>
      </w:r>
      <w:r>
        <w:rPr>
          <w:rFonts w:ascii="Arial" w:hAnsi="Arial" w:cs="Arial"/>
          <w:sz w:val="20"/>
          <w:szCs w:val="20"/>
        </w:rPr>
        <w:t>(</w:t>
      </w:r>
      <w:r w:rsidRPr="003516DC">
        <w:rPr>
          <w:rFonts w:ascii="Arial" w:hAnsi="Arial" w:cs="Arial"/>
          <w:sz w:val="20"/>
          <w:szCs w:val="20"/>
        </w:rPr>
        <w:t>Green Deal and baseline</w:t>
      </w:r>
      <w:r>
        <w:rPr>
          <w:rFonts w:ascii="Arial" w:hAnsi="Arial" w:cs="Arial"/>
          <w:sz w:val="20"/>
          <w:szCs w:val="20"/>
        </w:rPr>
        <w:t>)</w:t>
      </w:r>
      <w:r w:rsidRPr="003516DC">
        <w:rPr>
          <w:rFonts w:ascii="Arial" w:hAnsi="Arial" w:cs="Arial"/>
          <w:sz w:val="20"/>
          <w:szCs w:val="20"/>
        </w:rPr>
        <w:t>, the net increase</w:t>
      </w:r>
      <w:r>
        <w:rPr>
          <w:rFonts w:ascii="Arial" w:hAnsi="Arial" w:cs="Arial"/>
          <w:sz w:val="20"/>
          <w:szCs w:val="20"/>
        </w:rPr>
        <w:t xml:space="preserve"> of GVA</w:t>
      </w:r>
      <w:r w:rsidRPr="003516DC">
        <w:rPr>
          <w:rFonts w:ascii="Arial" w:hAnsi="Arial" w:cs="Arial"/>
          <w:sz w:val="20"/>
          <w:szCs w:val="20"/>
        </w:rPr>
        <w:t xml:space="preserve"> in the regional economy is quite low</w:t>
      </w:r>
      <w:r>
        <w:rPr>
          <w:rFonts w:ascii="Arial" w:hAnsi="Arial" w:cs="Arial"/>
          <w:sz w:val="20"/>
          <w:szCs w:val="20"/>
        </w:rPr>
        <w:t>:</w:t>
      </w:r>
      <w:r w:rsidRPr="003516DC">
        <w:rPr>
          <w:rFonts w:ascii="Arial" w:hAnsi="Arial" w:cs="Arial"/>
          <w:sz w:val="20"/>
          <w:szCs w:val="20"/>
        </w:rPr>
        <w:t xml:space="preserve"> EUR 200 million in a Green Deal scenario and EUR 500 in a NECP scenario</w:t>
      </w:r>
      <w:r>
        <w:rPr>
          <w:rFonts w:ascii="Arial" w:hAnsi="Arial" w:cs="Arial"/>
          <w:sz w:val="20"/>
          <w:szCs w:val="20"/>
        </w:rPr>
        <w:t>. These effects are</w:t>
      </w:r>
      <w:r w:rsidRPr="003516DC">
        <w:rPr>
          <w:rFonts w:ascii="Arial" w:hAnsi="Arial" w:cs="Arial"/>
          <w:sz w:val="20"/>
          <w:szCs w:val="20"/>
        </w:rPr>
        <w:t xml:space="preserve"> driven by GVA gains in construction, retail, transport and services. </w:t>
      </w:r>
      <w:r>
        <w:rPr>
          <w:rFonts w:ascii="Arial" w:hAnsi="Arial" w:cs="Arial"/>
          <w:sz w:val="20"/>
          <w:szCs w:val="20"/>
        </w:rPr>
        <w:t xml:space="preserve">Total </w:t>
      </w:r>
      <w:r>
        <w:rPr>
          <w:rFonts w:ascii="Arial" w:hAnsi="Arial" w:cs="Arial"/>
          <w:sz w:val="20"/>
          <w:szCs w:val="20"/>
        </w:rPr>
        <w:lastRenderedPageBreak/>
        <w:t>j</w:t>
      </w:r>
      <w:r w:rsidRPr="003516DC">
        <w:rPr>
          <w:rFonts w:ascii="Arial" w:hAnsi="Arial" w:cs="Arial"/>
          <w:sz w:val="20"/>
          <w:szCs w:val="20"/>
        </w:rPr>
        <w:t>obs los</w:t>
      </w:r>
      <w:r>
        <w:rPr>
          <w:rFonts w:ascii="Arial" w:hAnsi="Arial" w:cs="Arial"/>
          <w:sz w:val="20"/>
          <w:szCs w:val="20"/>
        </w:rPr>
        <w:t>ses</w:t>
      </w:r>
      <w:r w:rsidRPr="003516DC">
        <w:rPr>
          <w:rFonts w:ascii="Arial" w:hAnsi="Arial" w:cs="Arial"/>
          <w:sz w:val="20"/>
          <w:szCs w:val="20"/>
        </w:rPr>
        <w:t xml:space="preserve"> are high in all scenarios: 4,000 jobs under a NECP scenario and 8</w:t>
      </w:r>
      <w:r>
        <w:rPr>
          <w:rFonts w:ascii="Arial" w:hAnsi="Arial" w:cs="Arial"/>
          <w:sz w:val="20"/>
          <w:szCs w:val="20"/>
        </w:rPr>
        <w:t>,</w:t>
      </w:r>
      <w:r w:rsidRPr="003516DC">
        <w:rPr>
          <w:rFonts w:ascii="Arial" w:hAnsi="Arial" w:cs="Arial"/>
          <w:sz w:val="20"/>
          <w:szCs w:val="20"/>
        </w:rPr>
        <w:t>000 jobs in a Green Deal Scenario</w:t>
      </w:r>
      <w:r>
        <w:rPr>
          <w:rFonts w:ascii="Arial" w:hAnsi="Arial" w:cs="Arial"/>
          <w:sz w:val="20"/>
          <w:szCs w:val="20"/>
        </w:rPr>
        <w:t>.</w:t>
      </w:r>
      <w:r w:rsidRPr="003516DC">
        <w:rPr>
          <w:rFonts w:ascii="Arial" w:hAnsi="Arial" w:cs="Arial"/>
          <w:sz w:val="20"/>
          <w:szCs w:val="20"/>
        </w:rPr>
        <w:t xml:space="preserve"> </w:t>
      </w:r>
      <w:r>
        <w:rPr>
          <w:rFonts w:ascii="Arial" w:hAnsi="Arial" w:cs="Arial"/>
          <w:sz w:val="20"/>
          <w:szCs w:val="20"/>
        </w:rPr>
        <w:t>J</w:t>
      </w:r>
      <w:r w:rsidRPr="003516DC">
        <w:rPr>
          <w:rFonts w:ascii="Arial" w:hAnsi="Arial" w:cs="Arial"/>
          <w:sz w:val="20"/>
          <w:szCs w:val="20"/>
        </w:rPr>
        <w:t xml:space="preserve">ob gains in transport, tourism services, IT&amp;C and public and other services cannot compensate for the job losses in </w:t>
      </w:r>
      <w:r>
        <w:rPr>
          <w:rFonts w:ascii="Arial" w:hAnsi="Arial" w:cs="Arial"/>
          <w:sz w:val="20"/>
          <w:szCs w:val="20"/>
        </w:rPr>
        <w:t>t</w:t>
      </w:r>
      <w:r w:rsidRPr="003516DC">
        <w:rPr>
          <w:rFonts w:ascii="Arial" w:hAnsi="Arial" w:cs="Arial"/>
          <w:sz w:val="20"/>
          <w:szCs w:val="20"/>
        </w:rPr>
        <w:t xml:space="preserve">he mining and energy sector.  </w:t>
      </w:r>
    </w:p>
    <w:p w14:paraId="37481EB1" w14:textId="7F95E805" w:rsidR="0077704C" w:rsidRPr="003516DC" w:rsidRDefault="0077704C" w:rsidP="0077704C">
      <w:pPr>
        <w:spacing w:after="120"/>
        <w:jc w:val="both"/>
        <w:rPr>
          <w:rFonts w:ascii="Arial" w:hAnsi="Arial" w:cs="Arial"/>
          <w:sz w:val="20"/>
          <w:szCs w:val="20"/>
        </w:rPr>
      </w:pPr>
      <w:r w:rsidRPr="0077704C">
        <w:rPr>
          <w:rFonts w:ascii="Arial" w:hAnsi="Arial" w:cs="Arial"/>
          <w:sz w:val="20"/>
          <w:szCs w:val="20"/>
        </w:rPr>
        <w:t>As section 5.5 in</w:t>
      </w:r>
      <w:r w:rsidRPr="003516DC">
        <w:rPr>
          <w:rFonts w:ascii="Arial" w:hAnsi="Arial" w:cs="Arial"/>
          <w:sz w:val="20"/>
          <w:szCs w:val="20"/>
        </w:rPr>
        <w:t xml:space="preserve"> this report demonstrates</w:t>
      </w:r>
      <w:r w:rsidRPr="00A64776">
        <w:rPr>
          <w:rFonts w:ascii="Arial" w:hAnsi="Arial" w:cs="Arial"/>
          <w:sz w:val="20"/>
          <w:szCs w:val="20"/>
        </w:rPr>
        <w:t xml:space="preserve">, R&amp;D investments </w:t>
      </w:r>
      <w:r>
        <w:rPr>
          <w:rFonts w:ascii="Arial" w:hAnsi="Arial" w:cs="Arial"/>
          <w:sz w:val="20"/>
          <w:szCs w:val="20"/>
        </w:rPr>
        <w:t>are</w:t>
      </w:r>
      <w:r w:rsidRPr="00A64776">
        <w:rPr>
          <w:rFonts w:ascii="Arial" w:hAnsi="Arial" w:cs="Arial"/>
          <w:sz w:val="20"/>
          <w:szCs w:val="20"/>
        </w:rPr>
        <w:t xml:space="preserve"> anticipated to yield the largest positive GVA impact in Gorj County and generate the highest number of new jobs, especially in the </w:t>
      </w:r>
      <w:r>
        <w:rPr>
          <w:rFonts w:ascii="Arial" w:hAnsi="Arial" w:cs="Arial"/>
          <w:sz w:val="20"/>
          <w:szCs w:val="20"/>
        </w:rPr>
        <w:t>i</w:t>
      </w:r>
      <w:r w:rsidRPr="00A64776">
        <w:rPr>
          <w:rFonts w:ascii="Arial" w:hAnsi="Arial" w:cs="Arial"/>
          <w:sz w:val="20"/>
          <w:szCs w:val="20"/>
        </w:rPr>
        <w:t xml:space="preserve">nformation and </w:t>
      </w:r>
      <w:r>
        <w:rPr>
          <w:rFonts w:ascii="Arial" w:hAnsi="Arial" w:cs="Arial"/>
          <w:sz w:val="20"/>
          <w:szCs w:val="20"/>
        </w:rPr>
        <w:t>c</w:t>
      </w:r>
      <w:r w:rsidRPr="00A64776">
        <w:rPr>
          <w:rFonts w:ascii="Arial" w:hAnsi="Arial" w:cs="Arial"/>
          <w:sz w:val="20"/>
          <w:szCs w:val="20"/>
        </w:rPr>
        <w:t>ommunication sector where the initial capital stock is low and additional investment can have a large impact on productivity growth and job creation. EUR 100 million invested (from JTF funding) in R&amp;D for enterprises leads to approx</w:t>
      </w:r>
      <w:r>
        <w:rPr>
          <w:rFonts w:ascii="Arial" w:hAnsi="Arial" w:cs="Arial"/>
          <w:sz w:val="20"/>
          <w:szCs w:val="20"/>
        </w:rPr>
        <w:t>imately</w:t>
      </w:r>
      <w:r w:rsidRPr="00A64776">
        <w:rPr>
          <w:rFonts w:ascii="Arial" w:hAnsi="Arial" w:cs="Arial"/>
          <w:sz w:val="20"/>
          <w:szCs w:val="20"/>
        </w:rPr>
        <w:t xml:space="preserve"> 4,800 jobs created</w:t>
      </w:r>
      <w:r>
        <w:rPr>
          <w:rFonts w:ascii="Arial" w:hAnsi="Arial" w:cs="Arial"/>
          <w:sz w:val="20"/>
          <w:szCs w:val="20"/>
        </w:rPr>
        <w:t>;</w:t>
      </w:r>
      <w:r w:rsidRPr="00A64776">
        <w:rPr>
          <w:rFonts w:ascii="Arial" w:hAnsi="Arial" w:cs="Arial"/>
          <w:sz w:val="20"/>
          <w:szCs w:val="20"/>
        </w:rPr>
        <w:t xml:space="preserve"> similar amounts invested in SMEs and circular economy </w:t>
      </w:r>
      <w:r>
        <w:rPr>
          <w:rFonts w:ascii="Arial" w:hAnsi="Arial" w:cs="Arial"/>
          <w:sz w:val="20"/>
          <w:szCs w:val="20"/>
        </w:rPr>
        <w:t xml:space="preserve">both </w:t>
      </w:r>
      <w:r w:rsidRPr="00A64776">
        <w:rPr>
          <w:rFonts w:ascii="Arial" w:hAnsi="Arial" w:cs="Arial"/>
          <w:sz w:val="20"/>
          <w:szCs w:val="20"/>
        </w:rPr>
        <w:t>lead to approx</w:t>
      </w:r>
      <w:r>
        <w:rPr>
          <w:rFonts w:ascii="Arial" w:hAnsi="Arial" w:cs="Arial"/>
          <w:sz w:val="20"/>
          <w:szCs w:val="20"/>
        </w:rPr>
        <w:t>imately</w:t>
      </w:r>
      <w:r w:rsidRPr="00A64776">
        <w:rPr>
          <w:rFonts w:ascii="Arial" w:hAnsi="Arial" w:cs="Arial"/>
          <w:sz w:val="20"/>
          <w:szCs w:val="20"/>
        </w:rPr>
        <w:t xml:space="preserve"> 2,000 jobs created. The job creation cost is </w:t>
      </w:r>
      <w:r>
        <w:rPr>
          <w:rFonts w:ascii="Arial" w:hAnsi="Arial" w:cs="Arial"/>
          <w:sz w:val="20"/>
          <w:szCs w:val="20"/>
        </w:rPr>
        <w:t xml:space="preserve">the </w:t>
      </w:r>
      <w:r w:rsidRPr="00A64776">
        <w:rPr>
          <w:rFonts w:ascii="Arial" w:hAnsi="Arial" w:cs="Arial"/>
          <w:sz w:val="20"/>
          <w:szCs w:val="20"/>
        </w:rPr>
        <w:t xml:space="preserve">lowest </w:t>
      </w:r>
      <w:r>
        <w:rPr>
          <w:rFonts w:ascii="Arial" w:hAnsi="Arial" w:cs="Arial"/>
          <w:sz w:val="20"/>
          <w:szCs w:val="20"/>
        </w:rPr>
        <w:t>of</w:t>
      </w:r>
      <w:r w:rsidRPr="00A64776">
        <w:rPr>
          <w:rFonts w:ascii="Arial" w:hAnsi="Arial" w:cs="Arial"/>
          <w:sz w:val="20"/>
          <w:szCs w:val="20"/>
        </w:rPr>
        <w:t xml:space="preserve"> the six affected regions </w:t>
      </w:r>
      <w:r>
        <w:rPr>
          <w:rFonts w:ascii="Arial" w:hAnsi="Arial" w:cs="Arial"/>
          <w:sz w:val="20"/>
          <w:szCs w:val="20"/>
        </w:rPr>
        <w:t xml:space="preserve">for </w:t>
      </w:r>
      <w:r w:rsidRPr="00A64776">
        <w:rPr>
          <w:rFonts w:ascii="Arial" w:hAnsi="Arial" w:cs="Arial"/>
          <w:sz w:val="20"/>
          <w:szCs w:val="20"/>
        </w:rPr>
        <w:t xml:space="preserve">R&amp;D grants to businesses (EUR 3,130/FTE) and also relatively low compared to other counties </w:t>
      </w:r>
      <w:r>
        <w:rPr>
          <w:rFonts w:ascii="Arial" w:hAnsi="Arial" w:cs="Arial"/>
          <w:sz w:val="20"/>
          <w:szCs w:val="20"/>
        </w:rPr>
        <w:t>for investment in</w:t>
      </w:r>
      <w:r w:rsidRPr="00A64776">
        <w:rPr>
          <w:rFonts w:ascii="Arial" w:hAnsi="Arial" w:cs="Arial"/>
          <w:sz w:val="20"/>
          <w:szCs w:val="20"/>
        </w:rPr>
        <w:t xml:space="preserve"> circular economy (EUR 8,200/FTE).</w:t>
      </w:r>
    </w:p>
    <w:p w14:paraId="5DE19C51" w14:textId="77777777" w:rsidR="0077704C" w:rsidRPr="00CC5365" w:rsidRDefault="0077704C" w:rsidP="0077704C">
      <w:pPr>
        <w:spacing w:after="120"/>
        <w:jc w:val="both"/>
        <w:rPr>
          <w:rFonts w:ascii="Arial" w:hAnsi="Arial" w:cs="Arial"/>
          <w:b/>
          <w:color w:val="4F81BD" w:themeColor="accent1"/>
          <w:sz w:val="20"/>
          <w:szCs w:val="20"/>
        </w:rPr>
      </w:pPr>
      <w:r w:rsidRPr="00CC5365">
        <w:rPr>
          <w:rFonts w:ascii="Arial" w:hAnsi="Arial" w:cs="Arial"/>
          <w:b/>
          <w:color w:val="4F81BD" w:themeColor="accent1"/>
          <w:sz w:val="20"/>
          <w:szCs w:val="20"/>
        </w:rPr>
        <w:t>Prahova County</w:t>
      </w:r>
    </w:p>
    <w:p w14:paraId="3336C870" w14:textId="77777777" w:rsidR="0077704C" w:rsidRPr="003516DC" w:rsidRDefault="0077704C" w:rsidP="0077704C">
      <w:pPr>
        <w:spacing w:after="120"/>
        <w:jc w:val="both"/>
        <w:rPr>
          <w:rFonts w:ascii="Arial" w:hAnsi="Arial" w:cs="Arial"/>
          <w:sz w:val="20"/>
          <w:szCs w:val="20"/>
        </w:rPr>
      </w:pPr>
      <w:r w:rsidRPr="003516DC">
        <w:rPr>
          <w:rFonts w:ascii="Arial" w:hAnsi="Arial" w:cs="Arial"/>
          <w:sz w:val="20"/>
          <w:szCs w:val="20"/>
        </w:rPr>
        <w:t xml:space="preserve">Results in Prahova show differences from the national trends. Both the NECP and GD scenarios have negative impacts on GVA (EUR 120-330 million in the long-term; EUR 230-520 million in the medium-term). Employment impacts are similar to the national trends (higher losses in GD, lower in NECP). Our modelling indicates an impressive development of the local economy over the next 10 years: close to </w:t>
      </w:r>
      <w:r>
        <w:rPr>
          <w:rFonts w:ascii="Arial" w:hAnsi="Arial" w:cs="Arial"/>
          <w:sz w:val="20"/>
          <w:szCs w:val="20"/>
        </w:rPr>
        <w:t>an additional</w:t>
      </w:r>
      <w:r w:rsidRPr="003516DC">
        <w:rPr>
          <w:rFonts w:ascii="Arial" w:hAnsi="Arial" w:cs="Arial"/>
          <w:sz w:val="20"/>
          <w:szCs w:val="20"/>
        </w:rPr>
        <w:t xml:space="preserve"> EUR 3 billion in GVA between 2018 and 2030. Results are slightly negative in a Green Deal scenario due to the much lower contribution of the energy sector to the regional GVA in a decarboni</w:t>
      </w:r>
      <w:r>
        <w:rPr>
          <w:rFonts w:ascii="Arial" w:hAnsi="Arial" w:cs="Arial"/>
          <w:sz w:val="20"/>
          <w:szCs w:val="20"/>
        </w:rPr>
        <w:t>s</w:t>
      </w:r>
      <w:r w:rsidRPr="003516DC">
        <w:rPr>
          <w:rFonts w:ascii="Arial" w:hAnsi="Arial" w:cs="Arial"/>
          <w:sz w:val="20"/>
          <w:szCs w:val="20"/>
        </w:rPr>
        <w:t xml:space="preserve">ed </w:t>
      </w:r>
      <w:r>
        <w:rPr>
          <w:rFonts w:ascii="Arial" w:hAnsi="Arial" w:cs="Arial"/>
          <w:sz w:val="20"/>
          <w:szCs w:val="20"/>
        </w:rPr>
        <w:t>economy</w:t>
      </w:r>
      <w:r w:rsidRPr="003516DC">
        <w:rPr>
          <w:rFonts w:ascii="Arial" w:hAnsi="Arial" w:cs="Arial"/>
          <w:sz w:val="20"/>
          <w:szCs w:val="20"/>
        </w:rPr>
        <w:t xml:space="preserve">. Under </w:t>
      </w:r>
      <w:r>
        <w:rPr>
          <w:rFonts w:ascii="Arial" w:hAnsi="Arial" w:cs="Arial"/>
          <w:sz w:val="20"/>
          <w:szCs w:val="20"/>
        </w:rPr>
        <w:t>the</w:t>
      </w:r>
      <w:r w:rsidRPr="003516DC">
        <w:rPr>
          <w:rFonts w:ascii="Arial" w:hAnsi="Arial" w:cs="Arial"/>
          <w:sz w:val="20"/>
          <w:szCs w:val="20"/>
        </w:rPr>
        <w:t xml:space="preserve"> NECP scenario</w:t>
      </w:r>
      <w:r>
        <w:rPr>
          <w:rFonts w:ascii="Arial" w:hAnsi="Arial" w:cs="Arial"/>
          <w:sz w:val="20"/>
          <w:szCs w:val="20"/>
        </w:rPr>
        <w:t>, the energy sector</w:t>
      </w:r>
      <w:r w:rsidRPr="003516DC">
        <w:rPr>
          <w:rFonts w:ascii="Arial" w:hAnsi="Arial" w:cs="Arial"/>
          <w:sz w:val="20"/>
          <w:szCs w:val="20"/>
        </w:rPr>
        <w:t xml:space="preserve"> would contribute close to EUR 500 million and less than EUR 100 million under a GD scenario. In terms of employment, the county is expected to lose approx</w:t>
      </w:r>
      <w:r>
        <w:rPr>
          <w:rFonts w:ascii="Arial" w:hAnsi="Arial" w:cs="Arial"/>
          <w:sz w:val="20"/>
          <w:szCs w:val="20"/>
        </w:rPr>
        <w:t>imately</w:t>
      </w:r>
      <w:r w:rsidRPr="003516DC">
        <w:rPr>
          <w:rFonts w:ascii="Arial" w:hAnsi="Arial" w:cs="Arial"/>
          <w:sz w:val="20"/>
          <w:szCs w:val="20"/>
        </w:rPr>
        <w:t xml:space="preserve"> 3,500 jobs under a </w:t>
      </w:r>
      <w:r>
        <w:rPr>
          <w:rFonts w:ascii="Arial" w:hAnsi="Arial" w:cs="Arial"/>
          <w:sz w:val="20"/>
          <w:szCs w:val="20"/>
        </w:rPr>
        <w:t>b</w:t>
      </w:r>
      <w:r w:rsidRPr="003516DC">
        <w:rPr>
          <w:rFonts w:ascii="Arial" w:hAnsi="Arial" w:cs="Arial"/>
          <w:sz w:val="20"/>
          <w:szCs w:val="20"/>
        </w:rPr>
        <w:t>aseline scenario</w:t>
      </w:r>
      <w:r>
        <w:rPr>
          <w:rFonts w:ascii="Arial" w:hAnsi="Arial" w:cs="Arial"/>
          <w:sz w:val="20"/>
          <w:szCs w:val="20"/>
        </w:rPr>
        <w:t xml:space="preserve"> and</w:t>
      </w:r>
      <w:r w:rsidRPr="003516DC">
        <w:rPr>
          <w:rFonts w:ascii="Arial" w:hAnsi="Arial" w:cs="Arial"/>
          <w:sz w:val="20"/>
          <w:szCs w:val="20"/>
        </w:rPr>
        <w:t xml:space="preserve"> close to 5,000 jobs in a Green Deal scenario due to losses in the energy sector. Emissions remain largely unaffected in a </w:t>
      </w:r>
      <w:r>
        <w:rPr>
          <w:rFonts w:ascii="Arial" w:hAnsi="Arial" w:cs="Arial"/>
          <w:sz w:val="20"/>
          <w:szCs w:val="20"/>
        </w:rPr>
        <w:t>b</w:t>
      </w:r>
      <w:r w:rsidRPr="003516DC">
        <w:rPr>
          <w:rFonts w:ascii="Arial" w:hAnsi="Arial" w:cs="Arial"/>
          <w:sz w:val="20"/>
          <w:szCs w:val="20"/>
        </w:rPr>
        <w:t>aseline scenario and even increase by 10% in a NECP scenario</w:t>
      </w:r>
      <w:r>
        <w:rPr>
          <w:rFonts w:ascii="Arial" w:hAnsi="Arial" w:cs="Arial"/>
          <w:sz w:val="20"/>
          <w:szCs w:val="20"/>
        </w:rPr>
        <w:t>.</w:t>
      </w:r>
      <w:r w:rsidRPr="003516DC">
        <w:rPr>
          <w:rFonts w:ascii="Arial" w:hAnsi="Arial" w:cs="Arial"/>
          <w:sz w:val="20"/>
          <w:szCs w:val="20"/>
        </w:rPr>
        <w:t xml:space="preserve"> </w:t>
      </w:r>
      <w:r>
        <w:rPr>
          <w:rFonts w:ascii="Arial" w:hAnsi="Arial" w:cs="Arial"/>
          <w:sz w:val="20"/>
          <w:szCs w:val="20"/>
        </w:rPr>
        <w:t>I</w:t>
      </w:r>
      <w:r w:rsidRPr="003516DC">
        <w:rPr>
          <w:rFonts w:ascii="Arial" w:hAnsi="Arial" w:cs="Arial"/>
          <w:sz w:val="20"/>
          <w:szCs w:val="20"/>
        </w:rPr>
        <w:t xml:space="preserve">n a GD </w:t>
      </w:r>
      <w:r>
        <w:rPr>
          <w:rFonts w:ascii="Arial" w:hAnsi="Arial" w:cs="Arial"/>
          <w:sz w:val="20"/>
          <w:szCs w:val="20"/>
        </w:rPr>
        <w:t>scenario</w:t>
      </w:r>
      <w:r w:rsidRPr="003516DC">
        <w:rPr>
          <w:rFonts w:ascii="Arial" w:hAnsi="Arial" w:cs="Arial"/>
          <w:sz w:val="20"/>
          <w:szCs w:val="20"/>
        </w:rPr>
        <w:t xml:space="preserve">, </w:t>
      </w:r>
      <w:r>
        <w:rPr>
          <w:rFonts w:ascii="Arial" w:hAnsi="Arial" w:cs="Arial"/>
          <w:sz w:val="20"/>
          <w:szCs w:val="20"/>
        </w:rPr>
        <w:t>emissions</w:t>
      </w:r>
      <w:r w:rsidRPr="003516DC">
        <w:rPr>
          <w:rFonts w:ascii="Arial" w:hAnsi="Arial" w:cs="Arial"/>
          <w:sz w:val="20"/>
          <w:szCs w:val="20"/>
        </w:rPr>
        <w:t xml:space="preserve"> </w:t>
      </w:r>
      <w:r>
        <w:rPr>
          <w:rFonts w:ascii="Arial" w:hAnsi="Arial" w:cs="Arial"/>
          <w:sz w:val="20"/>
          <w:szCs w:val="20"/>
        </w:rPr>
        <w:t>fall</w:t>
      </w:r>
      <w:r w:rsidRPr="003516DC">
        <w:rPr>
          <w:rFonts w:ascii="Arial" w:hAnsi="Arial" w:cs="Arial"/>
          <w:sz w:val="20"/>
          <w:szCs w:val="20"/>
        </w:rPr>
        <w:t xml:space="preserve"> by </w:t>
      </w:r>
      <w:r>
        <w:rPr>
          <w:rFonts w:ascii="Arial" w:hAnsi="Arial" w:cs="Arial"/>
          <w:sz w:val="20"/>
          <w:szCs w:val="20"/>
        </w:rPr>
        <w:t>more than</w:t>
      </w:r>
      <w:r w:rsidRPr="003516DC">
        <w:rPr>
          <w:rFonts w:ascii="Arial" w:hAnsi="Arial" w:cs="Arial"/>
          <w:sz w:val="20"/>
          <w:szCs w:val="20"/>
        </w:rPr>
        <w:t xml:space="preserve"> 50%. </w:t>
      </w:r>
    </w:p>
    <w:p w14:paraId="57B43193" w14:textId="668B4757" w:rsidR="0077704C" w:rsidRPr="003516DC" w:rsidRDefault="0077704C" w:rsidP="0077704C">
      <w:pPr>
        <w:spacing w:after="120"/>
        <w:jc w:val="both"/>
        <w:rPr>
          <w:rFonts w:ascii="Arial" w:hAnsi="Arial" w:cs="Arial"/>
          <w:sz w:val="20"/>
          <w:szCs w:val="20"/>
        </w:rPr>
      </w:pPr>
      <w:r w:rsidRPr="00DA6B30">
        <w:rPr>
          <w:rFonts w:ascii="Arial" w:hAnsi="Arial" w:cs="Arial"/>
          <w:sz w:val="20"/>
          <w:szCs w:val="20"/>
        </w:rPr>
        <w:t xml:space="preserve">As section </w:t>
      </w:r>
      <w:r w:rsidR="00DA6B30" w:rsidRPr="00DA6B30">
        <w:rPr>
          <w:rFonts w:ascii="Arial" w:hAnsi="Arial" w:cs="Arial"/>
          <w:sz w:val="20"/>
          <w:szCs w:val="20"/>
        </w:rPr>
        <w:t>6.5</w:t>
      </w:r>
      <w:r w:rsidRPr="00DA6B30">
        <w:rPr>
          <w:rFonts w:ascii="Arial" w:hAnsi="Arial" w:cs="Arial"/>
          <w:sz w:val="20"/>
          <w:szCs w:val="20"/>
        </w:rPr>
        <w:t xml:space="preserve"> in this</w:t>
      </w:r>
      <w:r w:rsidRPr="003516DC">
        <w:rPr>
          <w:rFonts w:ascii="Arial" w:hAnsi="Arial" w:cs="Arial"/>
          <w:sz w:val="20"/>
          <w:szCs w:val="20"/>
        </w:rPr>
        <w:t xml:space="preserve"> report demonstrates, </w:t>
      </w:r>
      <w:r w:rsidRPr="00A64776">
        <w:rPr>
          <w:rFonts w:ascii="Arial" w:hAnsi="Arial" w:cs="Arial"/>
          <w:sz w:val="20"/>
          <w:szCs w:val="20"/>
        </w:rPr>
        <w:t xml:space="preserve">because of Prahova’s more developed economic profile, the highest employment impact is generated by R&amp;D investments, while the strongest GVA impact is driven by investments in SMEs. </w:t>
      </w:r>
      <w:r>
        <w:rPr>
          <w:rFonts w:ascii="Arial" w:hAnsi="Arial" w:cs="Arial"/>
          <w:sz w:val="20"/>
          <w:szCs w:val="20"/>
        </w:rPr>
        <w:t xml:space="preserve">Investment of </w:t>
      </w:r>
      <w:r w:rsidRPr="00A64776">
        <w:rPr>
          <w:rFonts w:ascii="Arial" w:hAnsi="Arial" w:cs="Arial"/>
          <w:sz w:val="20"/>
          <w:szCs w:val="20"/>
        </w:rPr>
        <w:t>EUR 100 million lead</w:t>
      </w:r>
      <w:r>
        <w:rPr>
          <w:rFonts w:ascii="Arial" w:hAnsi="Arial" w:cs="Arial"/>
          <w:sz w:val="20"/>
          <w:szCs w:val="20"/>
        </w:rPr>
        <w:t>s</w:t>
      </w:r>
      <w:r w:rsidRPr="00A64776">
        <w:rPr>
          <w:rFonts w:ascii="Arial" w:hAnsi="Arial" w:cs="Arial"/>
          <w:sz w:val="20"/>
          <w:szCs w:val="20"/>
        </w:rPr>
        <w:t xml:space="preserve"> to approx</w:t>
      </w:r>
      <w:r>
        <w:rPr>
          <w:rFonts w:ascii="Arial" w:hAnsi="Arial" w:cs="Arial"/>
          <w:sz w:val="20"/>
          <w:szCs w:val="20"/>
        </w:rPr>
        <w:t>imately</w:t>
      </w:r>
      <w:r w:rsidRPr="00A64776">
        <w:rPr>
          <w:rFonts w:ascii="Arial" w:hAnsi="Arial" w:cs="Arial"/>
          <w:sz w:val="20"/>
          <w:szCs w:val="20"/>
        </w:rPr>
        <w:t xml:space="preserve"> 1,750 jobs created if invested in R&amp;D and 1,500 jobs if invested in SMEs</w:t>
      </w:r>
      <w:r>
        <w:rPr>
          <w:rFonts w:ascii="Arial" w:hAnsi="Arial" w:cs="Arial"/>
          <w:sz w:val="20"/>
          <w:szCs w:val="20"/>
        </w:rPr>
        <w:t>.</w:t>
      </w:r>
      <w:r w:rsidRPr="00A64776">
        <w:rPr>
          <w:rFonts w:ascii="Arial" w:hAnsi="Arial" w:cs="Arial"/>
          <w:sz w:val="20"/>
          <w:szCs w:val="20"/>
        </w:rPr>
        <w:t xml:space="preserve"> </w:t>
      </w:r>
      <w:r>
        <w:rPr>
          <w:rFonts w:ascii="Arial" w:hAnsi="Arial" w:cs="Arial"/>
          <w:sz w:val="20"/>
          <w:szCs w:val="20"/>
        </w:rPr>
        <w:t>The same investment in the</w:t>
      </w:r>
      <w:r w:rsidRPr="00A64776">
        <w:rPr>
          <w:rFonts w:ascii="Arial" w:hAnsi="Arial" w:cs="Arial"/>
          <w:sz w:val="20"/>
          <w:szCs w:val="20"/>
        </w:rPr>
        <w:t xml:space="preserve"> circular economy generates a little </w:t>
      </w:r>
      <w:r>
        <w:rPr>
          <w:rFonts w:ascii="Arial" w:hAnsi="Arial" w:cs="Arial"/>
          <w:sz w:val="20"/>
          <w:szCs w:val="20"/>
        </w:rPr>
        <w:t>more than</w:t>
      </w:r>
      <w:r w:rsidRPr="00A64776">
        <w:rPr>
          <w:rFonts w:ascii="Arial" w:hAnsi="Arial" w:cs="Arial"/>
          <w:sz w:val="20"/>
          <w:szCs w:val="20"/>
        </w:rPr>
        <w:t xml:space="preserve"> 1,200 jobs. Circular economy investments are expected to be most expensive in Prahova by 2030, with a cost of 15,360 EUR/FTE</w:t>
      </w:r>
      <w:r>
        <w:rPr>
          <w:rFonts w:ascii="Arial" w:hAnsi="Arial" w:cs="Arial"/>
          <w:sz w:val="20"/>
          <w:szCs w:val="20"/>
        </w:rPr>
        <w:t>.</w:t>
      </w:r>
      <w:r w:rsidRPr="00A64776">
        <w:rPr>
          <w:rFonts w:ascii="Arial" w:hAnsi="Arial" w:cs="Arial"/>
          <w:sz w:val="20"/>
          <w:szCs w:val="20"/>
        </w:rPr>
        <w:t xml:space="preserve"> </w:t>
      </w:r>
      <w:r>
        <w:rPr>
          <w:rFonts w:ascii="Arial" w:hAnsi="Arial" w:cs="Arial"/>
          <w:sz w:val="20"/>
          <w:szCs w:val="20"/>
        </w:rPr>
        <w:t>T</w:t>
      </w:r>
      <w:r w:rsidRPr="00A64776">
        <w:rPr>
          <w:rFonts w:ascii="Arial" w:hAnsi="Arial" w:cs="Arial"/>
          <w:sz w:val="20"/>
          <w:szCs w:val="20"/>
        </w:rPr>
        <w:t xml:space="preserve">he costs are about half </w:t>
      </w:r>
      <w:r>
        <w:rPr>
          <w:rFonts w:ascii="Arial" w:hAnsi="Arial" w:cs="Arial"/>
          <w:sz w:val="20"/>
          <w:szCs w:val="20"/>
        </w:rPr>
        <w:t xml:space="preserve">of this amount </w:t>
      </w:r>
      <w:r w:rsidRPr="00A64776">
        <w:rPr>
          <w:rFonts w:ascii="Arial" w:hAnsi="Arial" w:cs="Arial"/>
          <w:sz w:val="20"/>
          <w:szCs w:val="20"/>
        </w:rPr>
        <w:t>for R&amp;D investments (8,270 EUR/FTE).</w:t>
      </w:r>
    </w:p>
    <w:p w14:paraId="58E66FE4" w14:textId="271903C8" w:rsidR="006E60A3" w:rsidRPr="00CC5365" w:rsidRDefault="004F70E0" w:rsidP="00CC5365">
      <w:pPr>
        <w:spacing w:after="120"/>
        <w:jc w:val="both"/>
        <w:rPr>
          <w:rFonts w:ascii="Arial" w:hAnsi="Arial" w:cs="Arial"/>
          <w:b/>
          <w:color w:val="4F81BD" w:themeColor="accent1"/>
          <w:sz w:val="20"/>
          <w:szCs w:val="20"/>
        </w:rPr>
      </w:pPr>
      <w:r w:rsidRPr="00CC5365">
        <w:rPr>
          <w:rFonts w:ascii="Arial" w:hAnsi="Arial" w:cs="Arial"/>
          <w:b/>
          <w:color w:val="4F81BD" w:themeColor="accent1"/>
          <w:sz w:val="20"/>
          <w:szCs w:val="20"/>
        </w:rPr>
        <w:t>Mureș</w:t>
      </w:r>
      <w:r w:rsidR="006E60A3" w:rsidRPr="00CC5365">
        <w:rPr>
          <w:rFonts w:ascii="Arial" w:hAnsi="Arial" w:cs="Arial"/>
          <w:b/>
          <w:color w:val="4F81BD" w:themeColor="accent1"/>
          <w:sz w:val="20"/>
          <w:szCs w:val="20"/>
        </w:rPr>
        <w:t xml:space="preserve"> County</w:t>
      </w:r>
    </w:p>
    <w:p w14:paraId="072DFBC4" w14:textId="76F19492" w:rsidR="006E5657" w:rsidRPr="003516DC" w:rsidRDefault="00072972" w:rsidP="00CC5365">
      <w:pPr>
        <w:spacing w:after="120"/>
        <w:jc w:val="both"/>
        <w:rPr>
          <w:rFonts w:ascii="Arial" w:hAnsi="Arial" w:cs="Arial"/>
          <w:sz w:val="20"/>
          <w:szCs w:val="20"/>
        </w:rPr>
      </w:pPr>
      <w:r>
        <w:rPr>
          <w:rFonts w:ascii="Arial" w:hAnsi="Arial" w:cs="Arial"/>
          <w:sz w:val="20"/>
          <w:szCs w:val="20"/>
        </w:rPr>
        <w:t>W</w:t>
      </w:r>
      <w:r w:rsidR="006E60A3" w:rsidRPr="003516DC">
        <w:rPr>
          <w:rFonts w:ascii="Arial" w:hAnsi="Arial" w:cs="Arial"/>
          <w:sz w:val="20"/>
          <w:szCs w:val="20"/>
        </w:rPr>
        <w:t xml:space="preserve">e estimate that </w:t>
      </w:r>
      <w:r w:rsidR="004F70E0">
        <w:rPr>
          <w:rFonts w:ascii="Arial" w:hAnsi="Arial" w:cs="Arial"/>
          <w:sz w:val="20"/>
          <w:szCs w:val="20"/>
        </w:rPr>
        <w:t>Mureș</w:t>
      </w:r>
      <w:r w:rsidR="006E60A3" w:rsidRPr="003516DC">
        <w:rPr>
          <w:rFonts w:ascii="Arial" w:hAnsi="Arial" w:cs="Arial"/>
          <w:sz w:val="20"/>
          <w:szCs w:val="20"/>
        </w:rPr>
        <w:t xml:space="preserve"> will </w:t>
      </w:r>
      <w:r>
        <w:rPr>
          <w:rFonts w:ascii="Arial" w:hAnsi="Arial" w:cs="Arial"/>
          <w:sz w:val="20"/>
          <w:szCs w:val="20"/>
        </w:rPr>
        <w:t>lose</w:t>
      </w:r>
      <w:r w:rsidR="006E60A3" w:rsidRPr="003516DC">
        <w:rPr>
          <w:rFonts w:ascii="Arial" w:hAnsi="Arial" w:cs="Arial"/>
          <w:sz w:val="20"/>
          <w:szCs w:val="20"/>
        </w:rPr>
        <w:t xml:space="preserve"> approximately 1,000 jobs on average in both </w:t>
      </w:r>
      <w:r>
        <w:rPr>
          <w:rFonts w:ascii="Arial" w:hAnsi="Arial" w:cs="Arial"/>
          <w:sz w:val="20"/>
          <w:szCs w:val="20"/>
        </w:rPr>
        <w:t>the</w:t>
      </w:r>
      <w:r w:rsidR="006E60A3" w:rsidRPr="003516DC">
        <w:rPr>
          <w:rFonts w:ascii="Arial" w:hAnsi="Arial" w:cs="Arial"/>
          <w:sz w:val="20"/>
          <w:szCs w:val="20"/>
        </w:rPr>
        <w:t xml:space="preserve"> baseline and NECP scenarios</w:t>
      </w:r>
      <w:r>
        <w:rPr>
          <w:rFonts w:ascii="Arial" w:hAnsi="Arial" w:cs="Arial"/>
          <w:sz w:val="20"/>
          <w:szCs w:val="20"/>
        </w:rPr>
        <w:t>,</w:t>
      </w:r>
      <w:r w:rsidR="006E60A3" w:rsidRPr="003516DC">
        <w:rPr>
          <w:rFonts w:ascii="Arial" w:hAnsi="Arial" w:cs="Arial"/>
          <w:sz w:val="20"/>
          <w:szCs w:val="20"/>
        </w:rPr>
        <w:t xml:space="preserve"> and slightly more in a GD scenario</w:t>
      </w:r>
      <w:r w:rsidR="00037C3E">
        <w:rPr>
          <w:rFonts w:ascii="Arial" w:hAnsi="Arial" w:cs="Arial"/>
          <w:sz w:val="20"/>
          <w:szCs w:val="20"/>
        </w:rPr>
        <w:t xml:space="preserve"> </w:t>
      </w:r>
      <w:r w:rsidRPr="003516DC">
        <w:rPr>
          <w:rFonts w:ascii="Arial" w:hAnsi="Arial" w:cs="Arial"/>
          <w:sz w:val="20"/>
          <w:szCs w:val="20"/>
        </w:rPr>
        <w:t>(appro</w:t>
      </w:r>
      <w:r>
        <w:rPr>
          <w:rFonts w:ascii="Arial" w:hAnsi="Arial" w:cs="Arial"/>
          <w:sz w:val="20"/>
          <w:szCs w:val="20"/>
        </w:rPr>
        <w:t>ximately</w:t>
      </w:r>
      <w:r w:rsidRPr="003516DC">
        <w:rPr>
          <w:rFonts w:ascii="Arial" w:hAnsi="Arial" w:cs="Arial"/>
          <w:sz w:val="20"/>
          <w:szCs w:val="20"/>
        </w:rPr>
        <w:t xml:space="preserve"> 1,300 jobs)</w:t>
      </w:r>
      <w:r w:rsidR="006E60A3" w:rsidRPr="003516DC">
        <w:rPr>
          <w:rFonts w:ascii="Arial" w:hAnsi="Arial" w:cs="Arial"/>
          <w:sz w:val="20"/>
          <w:szCs w:val="20"/>
        </w:rPr>
        <w:t xml:space="preserve">. However, the </w:t>
      </w:r>
      <w:r w:rsidR="00775E44">
        <w:rPr>
          <w:rFonts w:ascii="Arial" w:hAnsi="Arial" w:cs="Arial"/>
          <w:sz w:val="20"/>
          <w:szCs w:val="20"/>
        </w:rPr>
        <w:t xml:space="preserve">job </w:t>
      </w:r>
      <w:r w:rsidR="006E60A3" w:rsidRPr="003516DC">
        <w:rPr>
          <w:rFonts w:ascii="Arial" w:hAnsi="Arial" w:cs="Arial"/>
          <w:sz w:val="20"/>
          <w:szCs w:val="20"/>
        </w:rPr>
        <w:t xml:space="preserve">losses are not </w:t>
      </w:r>
      <w:r w:rsidR="00CB7D59">
        <w:rPr>
          <w:rFonts w:ascii="Arial" w:hAnsi="Arial" w:cs="Arial"/>
          <w:sz w:val="20"/>
          <w:szCs w:val="20"/>
        </w:rPr>
        <w:t>evenly</w:t>
      </w:r>
      <w:r w:rsidR="00CB7D59" w:rsidRPr="003516DC">
        <w:rPr>
          <w:rFonts w:ascii="Arial" w:hAnsi="Arial" w:cs="Arial"/>
          <w:sz w:val="20"/>
          <w:szCs w:val="20"/>
        </w:rPr>
        <w:t xml:space="preserve"> </w:t>
      </w:r>
      <w:r w:rsidR="006E60A3" w:rsidRPr="003516DC">
        <w:rPr>
          <w:rFonts w:ascii="Arial" w:hAnsi="Arial" w:cs="Arial"/>
          <w:sz w:val="20"/>
          <w:szCs w:val="20"/>
        </w:rPr>
        <w:t>distributed across sectors</w:t>
      </w:r>
      <w:r w:rsidR="00775E44">
        <w:rPr>
          <w:rFonts w:ascii="Arial" w:hAnsi="Arial" w:cs="Arial"/>
          <w:sz w:val="20"/>
          <w:szCs w:val="20"/>
        </w:rPr>
        <w:t>:</w:t>
      </w:r>
      <w:r w:rsidR="006E60A3" w:rsidRPr="003516DC">
        <w:rPr>
          <w:rFonts w:ascii="Arial" w:hAnsi="Arial" w:cs="Arial"/>
          <w:sz w:val="20"/>
          <w:szCs w:val="20"/>
        </w:rPr>
        <w:t xml:space="preserve"> there are gains in the services sector (approx</w:t>
      </w:r>
      <w:r w:rsidR="00770800">
        <w:rPr>
          <w:rFonts w:ascii="Arial" w:hAnsi="Arial" w:cs="Arial"/>
          <w:sz w:val="20"/>
          <w:szCs w:val="20"/>
        </w:rPr>
        <w:t>imately</w:t>
      </w:r>
      <w:r w:rsidR="006E60A3" w:rsidRPr="003516DC">
        <w:rPr>
          <w:rFonts w:ascii="Arial" w:hAnsi="Arial" w:cs="Arial"/>
          <w:sz w:val="20"/>
          <w:szCs w:val="20"/>
        </w:rPr>
        <w:t xml:space="preserve"> 4,800</w:t>
      </w:r>
      <w:r w:rsidR="00770800">
        <w:rPr>
          <w:rFonts w:ascii="Arial" w:hAnsi="Arial" w:cs="Arial"/>
          <w:sz w:val="20"/>
          <w:szCs w:val="20"/>
        </w:rPr>
        <w:t xml:space="preserve"> jobs</w:t>
      </w:r>
      <w:r w:rsidR="006E60A3" w:rsidRPr="003516DC">
        <w:rPr>
          <w:rFonts w:ascii="Arial" w:hAnsi="Arial" w:cs="Arial"/>
          <w:sz w:val="20"/>
          <w:szCs w:val="20"/>
        </w:rPr>
        <w:t xml:space="preserve">) and </w:t>
      </w:r>
      <w:r w:rsidR="00770800">
        <w:rPr>
          <w:rFonts w:ascii="Arial" w:hAnsi="Arial" w:cs="Arial"/>
          <w:sz w:val="20"/>
          <w:szCs w:val="20"/>
        </w:rPr>
        <w:t xml:space="preserve">job </w:t>
      </w:r>
      <w:r w:rsidR="006E60A3" w:rsidRPr="003516DC">
        <w:rPr>
          <w:rFonts w:ascii="Arial" w:hAnsi="Arial" w:cs="Arial"/>
          <w:sz w:val="20"/>
          <w:szCs w:val="20"/>
        </w:rPr>
        <w:t>losses in the construction and manufacturing sectors</w:t>
      </w:r>
      <w:r w:rsidR="00770800">
        <w:rPr>
          <w:rFonts w:ascii="Arial" w:hAnsi="Arial" w:cs="Arial"/>
          <w:sz w:val="20"/>
          <w:szCs w:val="20"/>
        </w:rPr>
        <w:t>.</w:t>
      </w:r>
      <w:r w:rsidR="007612A2">
        <w:rPr>
          <w:rFonts w:ascii="Arial" w:hAnsi="Arial" w:cs="Arial"/>
          <w:sz w:val="20"/>
          <w:szCs w:val="20"/>
        </w:rPr>
        <w:t xml:space="preserve"> T</w:t>
      </w:r>
      <w:r w:rsidR="006E60A3" w:rsidRPr="003516DC">
        <w:rPr>
          <w:rFonts w:ascii="Arial" w:hAnsi="Arial" w:cs="Arial"/>
          <w:sz w:val="20"/>
          <w:szCs w:val="20"/>
        </w:rPr>
        <w:t xml:space="preserve">he </w:t>
      </w:r>
      <w:r w:rsidR="007612A2" w:rsidRPr="003516DC">
        <w:rPr>
          <w:rFonts w:ascii="Arial" w:hAnsi="Arial" w:cs="Arial"/>
          <w:sz w:val="20"/>
          <w:szCs w:val="20"/>
        </w:rPr>
        <w:t xml:space="preserve">construction and manufacturing </w:t>
      </w:r>
      <w:r w:rsidR="006E60A3" w:rsidRPr="003516DC">
        <w:rPr>
          <w:rFonts w:ascii="Arial" w:hAnsi="Arial" w:cs="Arial"/>
          <w:sz w:val="20"/>
          <w:szCs w:val="20"/>
        </w:rPr>
        <w:t>sectors nonetheless</w:t>
      </w:r>
      <w:r w:rsidR="007612A2">
        <w:rPr>
          <w:rFonts w:ascii="Arial" w:hAnsi="Arial" w:cs="Arial"/>
          <w:sz w:val="20"/>
          <w:szCs w:val="20"/>
        </w:rPr>
        <w:t xml:space="preserve"> have</w:t>
      </w:r>
      <w:r w:rsidR="006E60A3" w:rsidRPr="003516DC">
        <w:rPr>
          <w:rFonts w:ascii="Arial" w:hAnsi="Arial" w:cs="Arial"/>
          <w:sz w:val="20"/>
          <w:szCs w:val="20"/>
        </w:rPr>
        <w:t xml:space="preserve"> net GVA growth, </w:t>
      </w:r>
      <w:r w:rsidR="007612A2">
        <w:rPr>
          <w:rFonts w:ascii="Arial" w:hAnsi="Arial" w:cs="Arial"/>
          <w:sz w:val="20"/>
          <w:szCs w:val="20"/>
        </w:rPr>
        <w:t>illustrating</w:t>
      </w:r>
      <w:r w:rsidR="006E60A3" w:rsidRPr="003516DC">
        <w:rPr>
          <w:rFonts w:ascii="Arial" w:hAnsi="Arial" w:cs="Arial"/>
          <w:sz w:val="20"/>
          <w:szCs w:val="20"/>
        </w:rPr>
        <w:t xml:space="preserve"> the phenomenon of “jobless growth”. The energy and utilities sector loses both in terms of GVA </w:t>
      </w:r>
      <w:r w:rsidR="007612A2">
        <w:rPr>
          <w:rFonts w:ascii="Arial" w:hAnsi="Arial" w:cs="Arial"/>
          <w:sz w:val="20"/>
          <w:szCs w:val="20"/>
        </w:rPr>
        <w:t>(</w:t>
      </w:r>
      <w:r w:rsidR="006E60A3" w:rsidRPr="003516DC">
        <w:rPr>
          <w:rFonts w:ascii="Arial" w:hAnsi="Arial" w:cs="Arial"/>
          <w:sz w:val="20"/>
          <w:szCs w:val="20"/>
        </w:rPr>
        <w:t>in all scenarios</w:t>
      </w:r>
      <w:r w:rsidR="007612A2">
        <w:rPr>
          <w:rFonts w:ascii="Arial" w:hAnsi="Arial" w:cs="Arial"/>
          <w:sz w:val="20"/>
          <w:szCs w:val="20"/>
        </w:rPr>
        <w:t>)</w:t>
      </w:r>
      <w:r w:rsidR="006E60A3" w:rsidRPr="003516DC">
        <w:rPr>
          <w:rFonts w:ascii="Arial" w:hAnsi="Arial" w:cs="Arial"/>
          <w:sz w:val="20"/>
          <w:szCs w:val="20"/>
        </w:rPr>
        <w:t xml:space="preserve"> and employment </w:t>
      </w:r>
      <w:r w:rsidR="007612A2">
        <w:rPr>
          <w:rFonts w:ascii="Arial" w:hAnsi="Arial" w:cs="Arial"/>
          <w:sz w:val="20"/>
          <w:szCs w:val="20"/>
        </w:rPr>
        <w:t>(</w:t>
      </w:r>
      <w:r w:rsidR="006E60A3" w:rsidRPr="003516DC">
        <w:rPr>
          <w:rFonts w:ascii="Arial" w:hAnsi="Arial" w:cs="Arial"/>
          <w:sz w:val="20"/>
          <w:szCs w:val="20"/>
        </w:rPr>
        <w:t>particularly in the GD scenario due to the lower contribution of natural gas to the energy mix: approx</w:t>
      </w:r>
      <w:r w:rsidR="00CC35D2">
        <w:rPr>
          <w:rFonts w:ascii="Arial" w:hAnsi="Arial" w:cs="Arial"/>
          <w:sz w:val="20"/>
          <w:szCs w:val="20"/>
        </w:rPr>
        <w:t>imately</w:t>
      </w:r>
      <w:r w:rsidR="006E60A3" w:rsidRPr="003516DC">
        <w:rPr>
          <w:rFonts w:ascii="Arial" w:hAnsi="Arial" w:cs="Arial"/>
          <w:sz w:val="20"/>
          <w:szCs w:val="20"/>
        </w:rPr>
        <w:t xml:space="preserve"> 2,500 jobs will be lost in a GD scenario in </w:t>
      </w:r>
      <w:r w:rsidR="004F70E0">
        <w:rPr>
          <w:rFonts w:ascii="Arial" w:hAnsi="Arial" w:cs="Arial"/>
          <w:sz w:val="20"/>
          <w:szCs w:val="20"/>
        </w:rPr>
        <w:t>Mureș</w:t>
      </w:r>
      <w:r w:rsidR="007612A2">
        <w:rPr>
          <w:rFonts w:ascii="Arial" w:hAnsi="Arial" w:cs="Arial"/>
          <w:sz w:val="20"/>
          <w:szCs w:val="20"/>
        </w:rPr>
        <w:t>)</w:t>
      </w:r>
      <w:r w:rsidR="006E60A3" w:rsidRPr="003516DC">
        <w:rPr>
          <w:rFonts w:ascii="Arial" w:hAnsi="Arial" w:cs="Arial"/>
          <w:sz w:val="20"/>
          <w:szCs w:val="20"/>
        </w:rPr>
        <w:t xml:space="preserve">. In terms of GVA, </w:t>
      </w:r>
      <w:r w:rsidR="004F70E0">
        <w:rPr>
          <w:rFonts w:ascii="Arial" w:hAnsi="Arial" w:cs="Arial"/>
          <w:sz w:val="20"/>
          <w:szCs w:val="20"/>
        </w:rPr>
        <w:t>Mureș</w:t>
      </w:r>
      <w:r w:rsidR="006E60A3" w:rsidRPr="003516DC">
        <w:rPr>
          <w:rFonts w:ascii="Arial" w:hAnsi="Arial" w:cs="Arial"/>
          <w:sz w:val="20"/>
          <w:szCs w:val="20"/>
        </w:rPr>
        <w:t xml:space="preserve"> is </w:t>
      </w:r>
      <w:r w:rsidR="00CC35D2">
        <w:rPr>
          <w:rFonts w:ascii="Arial" w:hAnsi="Arial" w:cs="Arial"/>
          <w:sz w:val="20"/>
          <w:szCs w:val="20"/>
        </w:rPr>
        <w:t xml:space="preserve">expected to </w:t>
      </w:r>
      <w:r w:rsidR="006E60A3" w:rsidRPr="003516DC">
        <w:rPr>
          <w:rFonts w:ascii="Arial" w:hAnsi="Arial" w:cs="Arial"/>
          <w:sz w:val="20"/>
          <w:szCs w:val="20"/>
        </w:rPr>
        <w:t>gain an average of EUR 1 b</w:t>
      </w:r>
      <w:r w:rsidR="00CC35D2">
        <w:rPr>
          <w:rFonts w:ascii="Arial" w:hAnsi="Arial" w:cs="Arial"/>
          <w:sz w:val="20"/>
          <w:szCs w:val="20"/>
        </w:rPr>
        <w:t>illion</w:t>
      </w:r>
      <w:r w:rsidR="006E60A3" w:rsidRPr="003516DC">
        <w:rPr>
          <w:rFonts w:ascii="Arial" w:hAnsi="Arial" w:cs="Arial"/>
          <w:sz w:val="20"/>
          <w:szCs w:val="20"/>
        </w:rPr>
        <w:t xml:space="preserve"> in the next ten years</w:t>
      </w:r>
      <w:r w:rsidR="00CC35D2" w:rsidRPr="00CC35D2">
        <w:rPr>
          <w:rFonts w:ascii="Arial" w:hAnsi="Arial" w:cs="Arial"/>
          <w:sz w:val="20"/>
          <w:szCs w:val="20"/>
        </w:rPr>
        <w:t xml:space="preserve"> </w:t>
      </w:r>
      <w:r w:rsidR="00CC35D2" w:rsidRPr="003516DC">
        <w:rPr>
          <w:rFonts w:ascii="Arial" w:hAnsi="Arial" w:cs="Arial"/>
          <w:sz w:val="20"/>
          <w:szCs w:val="20"/>
        </w:rPr>
        <w:t>in all scenarios</w:t>
      </w:r>
      <w:r w:rsidR="006E60A3" w:rsidRPr="003516DC">
        <w:rPr>
          <w:rFonts w:ascii="Arial" w:hAnsi="Arial" w:cs="Arial"/>
          <w:sz w:val="20"/>
          <w:szCs w:val="20"/>
        </w:rPr>
        <w:t>, with slightly higher increases in a GD scenario.</w:t>
      </w:r>
      <w:r w:rsidR="00850588" w:rsidRPr="003516DC">
        <w:rPr>
          <w:rFonts w:ascii="Arial" w:hAnsi="Arial" w:cs="Arial"/>
          <w:sz w:val="20"/>
          <w:szCs w:val="20"/>
        </w:rPr>
        <w:t xml:space="preserve"> Under a GD scenario, where gas is phased out partially from the energy mix, </w:t>
      </w:r>
      <w:r w:rsidR="004F70E0">
        <w:rPr>
          <w:rFonts w:ascii="Arial" w:hAnsi="Arial" w:cs="Arial"/>
          <w:sz w:val="20"/>
          <w:szCs w:val="20"/>
        </w:rPr>
        <w:t>Mureș</w:t>
      </w:r>
      <w:r w:rsidR="00850588" w:rsidRPr="003516DC">
        <w:rPr>
          <w:rFonts w:ascii="Arial" w:hAnsi="Arial" w:cs="Arial"/>
          <w:sz w:val="20"/>
          <w:szCs w:val="20"/>
        </w:rPr>
        <w:t xml:space="preserve"> would reduce its emissions by 80%</w:t>
      </w:r>
      <w:r w:rsidR="001905AE">
        <w:rPr>
          <w:rFonts w:ascii="Arial" w:hAnsi="Arial" w:cs="Arial"/>
          <w:sz w:val="20"/>
          <w:szCs w:val="20"/>
        </w:rPr>
        <w:t>.</w:t>
      </w:r>
      <w:r w:rsidR="00850588" w:rsidRPr="003516DC">
        <w:rPr>
          <w:rFonts w:ascii="Arial" w:hAnsi="Arial" w:cs="Arial"/>
          <w:sz w:val="20"/>
          <w:szCs w:val="20"/>
        </w:rPr>
        <w:t xml:space="preserve"> </w:t>
      </w:r>
      <w:r w:rsidR="001905AE">
        <w:rPr>
          <w:rFonts w:ascii="Arial" w:hAnsi="Arial" w:cs="Arial"/>
          <w:sz w:val="20"/>
          <w:szCs w:val="20"/>
        </w:rPr>
        <w:t>I</w:t>
      </w:r>
      <w:r w:rsidR="00850588" w:rsidRPr="003516DC">
        <w:rPr>
          <w:rFonts w:ascii="Arial" w:hAnsi="Arial" w:cs="Arial"/>
          <w:sz w:val="20"/>
          <w:szCs w:val="20"/>
        </w:rPr>
        <w:t xml:space="preserve">n </w:t>
      </w:r>
      <w:r w:rsidR="001905AE">
        <w:rPr>
          <w:rFonts w:ascii="Arial" w:hAnsi="Arial" w:cs="Arial"/>
          <w:sz w:val="20"/>
          <w:szCs w:val="20"/>
        </w:rPr>
        <w:t>the</w:t>
      </w:r>
      <w:r w:rsidR="00850588" w:rsidRPr="003516DC">
        <w:rPr>
          <w:rFonts w:ascii="Arial" w:hAnsi="Arial" w:cs="Arial"/>
          <w:sz w:val="20"/>
          <w:szCs w:val="20"/>
        </w:rPr>
        <w:t xml:space="preserve"> baseline scenario</w:t>
      </w:r>
      <w:r w:rsidR="001905AE">
        <w:rPr>
          <w:rFonts w:ascii="Arial" w:hAnsi="Arial" w:cs="Arial"/>
          <w:sz w:val="20"/>
          <w:szCs w:val="20"/>
        </w:rPr>
        <w:t>, emissions fall</w:t>
      </w:r>
      <w:r w:rsidR="00850588" w:rsidRPr="003516DC">
        <w:rPr>
          <w:rFonts w:ascii="Arial" w:hAnsi="Arial" w:cs="Arial"/>
          <w:sz w:val="20"/>
          <w:szCs w:val="20"/>
        </w:rPr>
        <w:t xml:space="preserve"> by a little over 30%.</w:t>
      </w:r>
      <w:r w:rsidR="00153B4F">
        <w:rPr>
          <w:rFonts w:ascii="Arial" w:hAnsi="Arial" w:cs="Arial"/>
          <w:sz w:val="20"/>
          <w:szCs w:val="20"/>
        </w:rPr>
        <w:t xml:space="preserve"> </w:t>
      </w:r>
    </w:p>
    <w:p w14:paraId="6E035E0B" w14:textId="3FF6CDDB" w:rsidR="006E5657" w:rsidRPr="003516DC" w:rsidRDefault="006E5657" w:rsidP="00CC5365">
      <w:pPr>
        <w:spacing w:after="120"/>
        <w:jc w:val="both"/>
        <w:rPr>
          <w:rFonts w:ascii="Arial" w:hAnsi="Arial" w:cs="Arial"/>
          <w:sz w:val="20"/>
          <w:szCs w:val="20"/>
        </w:rPr>
      </w:pPr>
      <w:r w:rsidRPr="00DA6B30">
        <w:rPr>
          <w:rFonts w:ascii="Arial" w:hAnsi="Arial" w:cs="Arial"/>
          <w:sz w:val="20"/>
          <w:szCs w:val="20"/>
        </w:rPr>
        <w:t xml:space="preserve">As section </w:t>
      </w:r>
      <w:r w:rsidR="00DA6B30" w:rsidRPr="00DA6B30">
        <w:rPr>
          <w:rFonts w:ascii="Arial" w:hAnsi="Arial" w:cs="Arial"/>
          <w:sz w:val="20"/>
          <w:szCs w:val="20"/>
        </w:rPr>
        <w:t>7.5</w:t>
      </w:r>
      <w:r w:rsidRPr="00DA6B30">
        <w:rPr>
          <w:rFonts w:ascii="Arial" w:hAnsi="Arial" w:cs="Arial"/>
          <w:sz w:val="20"/>
          <w:szCs w:val="20"/>
        </w:rPr>
        <w:t xml:space="preserve"> in this report demonstrates, JTF support can lead to significant job creation, with the highest employment impact</w:t>
      </w:r>
      <w:r w:rsidRPr="00A64776">
        <w:rPr>
          <w:rFonts w:ascii="Arial" w:hAnsi="Arial" w:cs="Arial"/>
          <w:sz w:val="20"/>
          <w:szCs w:val="20"/>
        </w:rPr>
        <w:t xml:space="preserve"> being driven by investments in SMEs. Mobili</w:t>
      </w:r>
      <w:r w:rsidR="001B60B5">
        <w:rPr>
          <w:rFonts w:ascii="Arial" w:hAnsi="Arial" w:cs="Arial"/>
          <w:sz w:val="20"/>
          <w:szCs w:val="20"/>
        </w:rPr>
        <w:t>s</w:t>
      </w:r>
      <w:r w:rsidRPr="00A64776">
        <w:rPr>
          <w:rFonts w:ascii="Arial" w:hAnsi="Arial" w:cs="Arial"/>
          <w:sz w:val="20"/>
          <w:szCs w:val="20"/>
        </w:rPr>
        <w:t xml:space="preserve">ing JTF funding in circular economy also shows </w:t>
      </w:r>
      <w:r w:rsidR="001B60B5">
        <w:rPr>
          <w:rFonts w:ascii="Arial" w:hAnsi="Arial" w:cs="Arial"/>
          <w:sz w:val="20"/>
          <w:szCs w:val="20"/>
        </w:rPr>
        <w:t xml:space="preserve">a </w:t>
      </w:r>
      <w:r w:rsidRPr="00A64776">
        <w:rPr>
          <w:rFonts w:ascii="Arial" w:hAnsi="Arial" w:cs="Arial"/>
          <w:sz w:val="20"/>
          <w:szCs w:val="20"/>
        </w:rPr>
        <w:t xml:space="preserve">net positive impact in terms of employment, GVA and environmental benefits. </w:t>
      </w:r>
      <w:r w:rsidR="001B60B5" w:rsidRPr="00A64776">
        <w:rPr>
          <w:rFonts w:ascii="Arial" w:hAnsi="Arial" w:cs="Arial"/>
          <w:sz w:val="20"/>
          <w:szCs w:val="20"/>
        </w:rPr>
        <w:t xml:space="preserve">EUR </w:t>
      </w:r>
      <w:r w:rsidRPr="00A64776">
        <w:rPr>
          <w:rFonts w:ascii="Arial" w:hAnsi="Arial" w:cs="Arial"/>
          <w:sz w:val="20"/>
          <w:szCs w:val="20"/>
        </w:rPr>
        <w:t>100 million, illustratively invested in R&amp;D, SMEs or circular economy can lead to over 2</w:t>
      </w:r>
      <w:r w:rsidR="007119CE">
        <w:rPr>
          <w:rFonts w:ascii="Arial" w:hAnsi="Arial" w:cs="Arial"/>
          <w:sz w:val="20"/>
          <w:szCs w:val="20"/>
        </w:rPr>
        <w:t>,</w:t>
      </w:r>
      <w:r w:rsidRPr="00A64776">
        <w:rPr>
          <w:rFonts w:ascii="Arial" w:hAnsi="Arial" w:cs="Arial"/>
          <w:sz w:val="20"/>
          <w:szCs w:val="20"/>
        </w:rPr>
        <w:t xml:space="preserve">000 jobs created in </w:t>
      </w:r>
      <w:r w:rsidR="004F70E0">
        <w:rPr>
          <w:rFonts w:ascii="Arial" w:hAnsi="Arial" w:cs="Arial"/>
          <w:sz w:val="20"/>
          <w:szCs w:val="20"/>
        </w:rPr>
        <w:t>Mureș</w:t>
      </w:r>
      <w:r w:rsidRPr="00A64776">
        <w:rPr>
          <w:rFonts w:ascii="Arial" w:hAnsi="Arial" w:cs="Arial"/>
          <w:sz w:val="20"/>
          <w:szCs w:val="20"/>
        </w:rPr>
        <w:t xml:space="preserve"> until 2030. The total job creation cost per FTE is the lowest in circular economy from all six affected regions, at just 7,590 EUR/FTE, and even lower in the case of R&amp;D grants to businesses (6,720 EUR/FTE) and SME investments (6,200 EUR</w:t>
      </w:r>
      <w:r w:rsidR="007119CE">
        <w:rPr>
          <w:rFonts w:ascii="Arial" w:hAnsi="Arial" w:cs="Arial"/>
          <w:sz w:val="20"/>
          <w:szCs w:val="20"/>
        </w:rPr>
        <w:t>/FTE</w:t>
      </w:r>
      <w:r w:rsidRPr="00A64776">
        <w:rPr>
          <w:rFonts w:ascii="Arial" w:hAnsi="Arial" w:cs="Arial"/>
          <w:sz w:val="20"/>
          <w:szCs w:val="20"/>
        </w:rPr>
        <w:t>).</w:t>
      </w:r>
      <w:r w:rsidR="001B60B5">
        <w:rPr>
          <w:rFonts w:ascii="Arial" w:hAnsi="Arial" w:cs="Arial"/>
          <w:sz w:val="20"/>
          <w:szCs w:val="20"/>
        </w:rPr>
        <w:t xml:space="preserve"> </w:t>
      </w:r>
    </w:p>
    <w:p w14:paraId="1B604EEA" w14:textId="4F220752" w:rsidR="006E5657" w:rsidRPr="00CC5365" w:rsidRDefault="003751DC" w:rsidP="00CC5365">
      <w:pPr>
        <w:spacing w:after="120"/>
        <w:jc w:val="both"/>
        <w:rPr>
          <w:rFonts w:ascii="Arial" w:hAnsi="Arial" w:cs="Arial"/>
          <w:b/>
          <w:color w:val="4F81BD" w:themeColor="accent1"/>
          <w:sz w:val="20"/>
          <w:szCs w:val="20"/>
        </w:rPr>
      </w:pPr>
      <w:r>
        <w:rPr>
          <w:rFonts w:ascii="Arial" w:hAnsi="Arial" w:cs="Arial"/>
          <w:b/>
          <w:color w:val="4F81BD" w:themeColor="accent1"/>
          <w:sz w:val="20"/>
          <w:szCs w:val="20"/>
        </w:rPr>
        <w:t>Galați</w:t>
      </w:r>
      <w:r w:rsidR="006E5657" w:rsidRPr="00CC5365">
        <w:rPr>
          <w:rFonts w:ascii="Arial" w:hAnsi="Arial" w:cs="Arial"/>
          <w:b/>
          <w:color w:val="4F81BD" w:themeColor="accent1"/>
          <w:sz w:val="20"/>
          <w:szCs w:val="20"/>
        </w:rPr>
        <w:t xml:space="preserve"> County</w:t>
      </w:r>
    </w:p>
    <w:p w14:paraId="514A7DF0" w14:textId="2CDD9B81" w:rsidR="00850588" w:rsidRPr="003516DC" w:rsidRDefault="00850588" w:rsidP="00CC5365">
      <w:pPr>
        <w:spacing w:after="120"/>
        <w:jc w:val="both"/>
        <w:rPr>
          <w:rFonts w:ascii="Arial" w:hAnsi="Arial" w:cs="Arial"/>
          <w:sz w:val="20"/>
          <w:szCs w:val="20"/>
        </w:rPr>
      </w:pPr>
      <w:r w:rsidRPr="003516DC">
        <w:rPr>
          <w:rFonts w:ascii="Arial" w:hAnsi="Arial" w:cs="Arial"/>
          <w:sz w:val="20"/>
          <w:szCs w:val="20"/>
        </w:rPr>
        <w:t xml:space="preserve">Despite </w:t>
      </w:r>
      <w:r w:rsidR="005655DB">
        <w:rPr>
          <w:rFonts w:ascii="Arial" w:hAnsi="Arial" w:cs="Arial"/>
          <w:sz w:val="20"/>
          <w:szCs w:val="20"/>
        </w:rPr>
        <w:t>an</w:t>
      </w:r>
      <w:r w:rsidRPr="003516DC">
        <w:rPr>
          <w:rFonts w:ascii="Arial" w:hAnsi="Arial" w:cs="Arial"/>
          <w:sz w:val="20"/>
          <w:szCs w:val="20"/>
        </w:rPr>
        <w:t xml:space="preserve"> increase of jobs by about 5,000 in the public and other services sector, </w:t>
      </w:r>
      <w:r w:rsidR="007C61E5">
        <w:rPr>
          <w:rFonts w:ascii="Arial" w:hAnsi="Arial" w:cs="Arial"/>
          <w:sz w:val="20"/>
          <w:szCs w:val="20"/>
        </w:rPr>
        <w:t>job</w:t>
      </w:r>
      <w:r w:rsidRPr="003516DC">
        <w:rPr>
          <w:rFonts w:ascii="Arial" w:hAnsi="Arial" w:cs="Arial"/>
          <w:sz w:val="20"/>
          <w:szCs w:val="20"/>
        </w:rPr>
        <w:t xml:space="preserve"> losses in agriculture (approx</w:t>
      </w:r>
      <w:r w:rsidR="007C61E5">
        <w:rPr>
          <w:rFonts w:ascii="Arial" w:hAnsi="Arial" w:cs="Arial"/>
          <w:sz w:val="20"/>
          <w:szCs w:val="20"/>
        </w:rPr>
        <w:t>imately</w:t>
      </w:r>
      <w:r w:rsidRPr="003516DC">
        <w:rPr>
          <w:rFonts w:ascii="Arial" w:hAnsi="Arial" w:cs="Arial"/>
          <w:sz w:val="20"/>
          <w:szCs w:val="20"/>
        </w:rPr>
        <w:t xml:space="preserve"> 5,000</w:t>
      </w:r>
      <w:r w:rsidR="007C61E5">
        <w:rPr>
          <w:rFonts w:ascii="Arial" w:hAnsi="Arial" w:cs="Arial"/>
          <w:sz w:val="20"/>
          <w:szCs w:val="20"/>
        </w:rPr>
        <w:t xml:space="preserve"> jobs</w:t>
      </w:r>
      <w:r w:rsidRPr="003516DC">
        <w:rPr>
          <w:rFonts w:ascii="Arial" w:hAnsi="Arial" w:cs="Arial"/>
          <w:sz w:val="20"/>
          <w:szCs w:val="20"/>
        </w:rPr>
        <w:t>), manufacturing (approx</w:t>
      </w:r>
      <w:r w:rsidR="007C61E5">
        <w:rPr>
          <w:rFonts w:ascii="Arial" w:hAnsi="Arial" w:cs="Arial"/>
          <w:sz w:val="20"/>
          <w:szCs w:val="20"/>
        </w:rPr>
        <w:t>imately</w:t>
      </w:r>
      <w:r w:rsidRPr="003516DC">
        <w:rPr>
          <w:rFonts w:ascii="Arial" w:hAnsi="Arial" w:cs="Arial"/>
          <w:sz w:val="20"/>
          <w:szCs w:val="20"/>
        </w:rPr>
        <w:t xml:space="preserve"> 3,000 job</w:t>
      </w:r>
      <w:r w:rsidR="007C61E5">
        <w:rPr>
          <w:rFonts w:ascii="Arial" w:hAnsi="Arial" w:cs="Arial"/>
          <w:sz w:val="20"/>
          <w:szCs w:val="20"/>
        </w:rPr>
        <w:t>s</w:t>
      </w:r>
      <w:r w:rsidRPr="003516DC">
        <w:rPr>
          <w:rFonts w:ascii="Arial" w:hAnsi="Arial" w:cs="Arial"/>
          <w:sz w:val="20"/>
          <w:szCs w:val="20"/>
        </w:rPr>
        <w:t>) and construction (approx</w:t>
      </w:r>
      <w:r w:rsidR="007C61E5">
        <w:rPr>
          <w:rFonts w:ascii="Arial" w:hAnsi="Arial" w:cs="Arial"/>
          <w:sz w:val="20"/>
          <w:szCs w:val="20"/>
        </w:rPr>
        <w:t>imately</w:t>
      </w:r>
      <w:r w:rsidRPr="003516DC">
        <w:rPr>
          <w:rFonts w:ascii="Arial" w:hAnsi="Arial" w:cs="Arial"/>
          <w:sz w:val="20"/>
          <w:szCs w:val="20"/>
        </w:rPr>
        <w:t xml:space="preserve"> 5,000 jobs) in a GD scenario le</w:t>
      </w:r>
      <w:r w:rsidR="005655DB">
        <w:rPr>
          <w:rFonts w:ascii="Arial" w:hAnsi="Arial" w:cs="Arial"/>
          <w:sz w:val="20"/>
          <w:szCs w:val="20"/>
        </w:rPr>
        <w:t>a</w:t>
      </w:r>
      <w:r w:rsidRPr="003516DC">
        <w:rPr>
          <w:rFonts w:ascii="Arial" w:hAnsi="Arial" w:cs="Arial"/>
          <w:sz w:val="20"/>
          <w:szCs w:val="20"/>
        </w:rPr>
        <w:t xml:space="preserve">d to an estimated </w:t>
      </w:r>
      <w:r w:rsidR="005655DB">
        <w:rPr>
          <w:rFonts w:ascii="Arial" w:hAnsi="Arial" w:cs="Arial"/>
          <w:sz w:val="20"/>
          <w:szCs w:val="20"/>
        </w:rPr>
        <w:t xml:space="preserve">total </w:t>
      </w:r>
      <w:r w:rsidRPr="003516DC">
        <w:rPr>
          <w:rFonts w:ascii="Arial" w:hAnsi="Arial" w:cs="Arial"/>
          <w:sz w:val="20"/>
          <w:szCs w:val="20"/>
        </w:rPr>
        <w:t xml:space="preserve">job loss in </w:t>
      </w:r>
      <w:r w:rsidR="003751DC">
        <w:rPr>
          <w:rFonts w:ascii="Arial" w:hAnsi="Arial" w:cs="Arial"/>
          <w:sz w:val="20"/>
          <w:szCs w:val="20"/>
        </w:rPr>
        <w:t>Galați</w:t>
      </w:r>
      <w:r w:rsidRPr="003516DC">
        <w:rPr>
          <w:rFonts w:ascii="Arial" w:hAnsi="Arial" w:cs="Arial"/>
          <w:sz w:val="20"/>
          <w:szCs w:val="20"/>
        </w:rPr>
        <w:t xml:space="preserve"> of </w:t>
      </w:r>
      <w:r w:rsidR="00CB7D59">
        <w:rPr>
          <w:rFonts w:ascii="Arial" w:hAnsi="Arial" w:cs="Arial"/>
          <w:sz w:val="20"/>
          <w:szCs w:val="20"/>
        </w:rPr>
        <w:t>approx</w:t>
      </w:r>
      <w:r w:rsidR="005A7DDE">
        <w:rPr>
          <w:rFonts w:ascii="Arial" w:hAnsi="Arial" w:cs="Arial"/>
          <w:sz w:val="20"/>
          <w:szCs w:val="20"/>
        </w:rPr>
        <w:t>imately</w:t>
      </w:r>
      <w:r w:rsidR="00CB7D59">
        <w:rPr>
          <w:rFonts w:ascii="Arial" w:hAnsi="Arial" w:cs="Arial"/>
          <w:sz w:val="20"/>
          <w:szCs w:val="20"/>
        </w:rPr>
        <w:t xml:space="preserve"> 8</w:t>
      </w:r>
      <w:r w:rsidRPr="003516DC">
        <w:rPr>
          <w:rFonts w:ascii="Arial" w:hAnsi="Arial" w:cs="Arial"/>
          <w:sz w:val="20"/>
          <w:szCs w:val="20"/>
        </w:rPr>
        <w:t>,</w:t>
      </w:r>
      <w:r w:rsidR="00CB7D59">
        <w:rPr>
          <w:rFonts w:ascii="Arial" w:hAnsi="Arial" w:cs="Arial"/>
          <w:sz w:val="20"/>
          <w:szCs w:val="20"/>
        </w:rPr>
        <w:t>0</w:t>
      </w:r>
      <w:r w:rsidRPr="003516DC">
        <w:rPr>
          <w:rFonts w:ascii="Arial" w:hAnsi="Arial" w:cs="Arial"/>
          <w:sz w:val="20"/>
          <w:szCs w:val="20"/>
        </w:rPr>
        <w:t xml:space="preserve">00 jobs, with small differences between scenarios. Nonetheless, GVA </w:t>
      </w:r>
      <w:r w:rsidR="00037C3E">
        <w:rPr>
          <w:rFonts w:ascii="Arial" w:hAnsi="Arial" w:cs="Arial"/>
          <w:sz w:val="20"/>
          <w:szCs w:val="20"/>
        </w:rPr>
        <w:t xml:space="preserve">would </w:t>
      </w:r>
      <w:r w:rsidR="00037C3E">
        <w:rPr>
          <w:rFonts w:ascii="Arial" w:hAnsi="Arial" w:cs="Arial"/>
          <w:sz w:val="20"/>
          <w:szCs w:val="20"/>
        </w:rPr>
        <w:lastRenderedPageBreak/>
        <w:t>increase</w:t>
      </w:r>
      <w:r w:rsidRPr="003516DC">
        <w:rPr>
          <w:rFonts w:ascii="Arial" w:hAnsi="Arial" w:cs="Arial"/>
          <w:sz w:val="20"/>
          <w:szCs w:val="20"/>
        </w:rPr>
        <w:t xml:space="preserve"> </w:t>
      </w:r>
      <w:r w:rsidR="00616CC3" w:rsidRPr="003516DC">
        <w:rPr>
          <w:rFonts w:ascii="Arial" w:hAnsi="Arial" w:cs="Arial"/>
          <w:sz w:val="20"/>
          <w:szCs w:val="20"/>
        </w:rPr>
        <w:t>by approx</w:t>
      </w:r>
      <w:r w:rsidR="00616CC3">
        <w:rPr>
          <w:rFonts w:ascii="Arial" w:hAnsi="Arial" w:cs="Arial"/>
          <w:sz w:val="20"/>
          <w:szCs w:val="20"/>
        </w:rPr>
        <w:t>imately</w:t>
      </w:r>
      <w:r w:rsidR="00616CC3" w:rsidRPr="003516DC">
        <w:rPr>
          <w:rFonts w:ascii="Arial" w:hAnsi="Arial" w:cs="Arial"/>
          <w:sz w:val="20"/>
          <w:szCs w:val="20"/>
        </w:rPr>
        <w:t xml:space="preserve"> EUR 750 million </w:t>
      </w:r>
      <w:r w:rsidRPr="003516DC">
        <w:rPr>
          <w:rFonts w:ascii="Arial" w:hAnsi="Arial" w:cs="Arial"/>
          <w:sz w:val="20"/>
          <w:szCs w:val="20"/>
        </w:rPr>
        <w:t xml:space="preserve">in </w:t>
      </w:r>
      <w:r w:rsidR="003751DC">
        <w:rPr>
          <w:rFonts w:ascii="Arial" w:hAnsi="Arial" w:cs="Arial"/>
          <w:sz w:val="20"/>
          <w:szCs w:val="20"/>
        </w:rPr>
        <w:t>Galați</w:t>
      </w:r>
      <w:r w:rsidRPr="003516DC">
        <w:rPr>
          <w:rFonts w:ascii="Arial" w:hAnsi="Arial" w:cs="Arial"/>
          <w:sz w:val="20"/>
          <w:szCs w:val="20"/>
        </w:rPr>
        <w:t xml:space="preserve"> between 20</w:t>
      </w:r>
      <w:r w:rsidR="00DD05E6">
        <w:rPr>
          <w:rFonts w:ascii="Arial" w:hAnsi="Arial" w:cs="Arial"/>
          <w:sz w:val="20"/>
          <w:szCs w:val="20"/>
        </w:rPr>
        <w:t>1</w:t>
      </w:r>
      <w:r w:rsidRPr="003516DC">
        <w:rPr>
          <w:rFonts w:ascii="Arial" w:hAnsi="Arial" w:cs="Arial"/>
          <w:sz w:val="20"/>
          <w:szCs w:val="20"/>
        </w:rPr>
        <w:t>8 and 20</w:t>
      </w:r>
      <w:r w:rsidR="00DD05E6">
        <w:rPr>
          <w:rFonts w:ascii="Arial" w:hAnsi="Arial" w:cs="Arial"/>
          <w:sz w:val="20"/>
          <w:szCs w:val="20"/>
        </w:rPr>
        <w:t>30</w:t>
      </w:r>
      <w:r w:rsidR="00536430">
        <w:rPr>
          <w:rFonts w:ascii="Arial" w:hAnsi="Arial" w:cs="Arial"/>
          <w:sz w:val="20"/>
          <w:szCs w:val="20"/>
        </w:rPr>
        <w:t>.</w:t>
      </w:r>
      <w:r w:rsidRPr="003516DC">
        <w:rPr>
          <w:rFonts w:ascii="Arial" w:hAnsi="Arial" w:cs="Arial"/>
          <w:sz w:val="20"/>
          <w:szCs w:val="20"/>
        </w:rPr>
        <w:t xml:space="preserve"> </w:t>
      </w:r>
      <w:r w:rsidR="00536430">
        <w:rPr>
          <w:rFonts w:ascii="Arial" w:hAnsi="Arial" w:cs="Arial"/>
          <w:sz w:val="20"/>
          <w:szCs w:val="20"/>
        </w:rPr>
        <w:t>T</w:t>
      </w:r>
      <w:r w:rsidRPr="003516DC">
        <w:rPr>
          <w:rFonts w:ascii="Arial" w:hAnsi="Arial" w:cs="Arial"/>
          <w:sz w:val="20"/>
          <w:szCs w:val="20"/>
        </w:rPr>
        <w:t>h</w:t>
      </w:r>
      <w:r w:rsidR="00616CC3">
        <w:rPr>
          <w:rFonts w:ascii="Arial" w:hAnsi="Arial" w:cs="Arial"/>
          <w:sz w:val="20"/>
          <w:szCs w:val="20"/>
        </w:rPr>
        <w:t>is</w:t>
      </w:r>
      <w:r w:rsidRPr="003516DC">
        <w:rPr>
          <w:rFonts w:ascii="Arial" w:hAnsi="Arial" w:cs="Arial"/>
          <w:sz w:val="20"/>
          <w:szCs w:val="20"/>
        </w:rPr>
        <w:t xml:space="preserve"> increase is even more significant in a GD scenario </w:t>
      </w:r>
      <w:r w:rsidR="00536430">
        <w:rPr>
          <w:rFonts w:ascii="Arial" w:hAnsi="Arial" w:cs="Arial"/>
          <w:sz w:val="20"/>
          <w:szCs w:val="20"/>
        </w:rPr>
        <w:t>(</w:t>
      </w:r>
      <w:r w:rsidRPr="003516DC">
        <w:rPr>
          <w:rFonts w:ascii="Arial" w:hAnsi="Arial" w:cs="Arial"/>
          <w:sz w:val="20"/>
          <w:szCs w:val="20"/>
        </w:rPr>
        <w:t>approx</w:t>
      </w:r>
      <w:r w:rsidR="00536430">
        <w:rPr>
          <w:rFonts w:ascii="Arial" w:hAnsi="Arial" w:cs="Arial"/>
          <w:sz w:val="20"/>
          <w:szCs w:val="20"/>
        </w:rPr>
        <w:t>imately</w:t>
      </w:r>
      <w:r w:rsidRPr="003516DC">
        <w:rPr>
          <w:rFonts w:ascii="Arial" w:hAnsi="Arial" w:cs="Arial"/>
          <w:sz w:val="20"/>
          <w:szCs w:val="20"/>
        </w:rPr>
        <w:t xml:space="preserve"> EUR 850 million</w:t>
      </w:r>
      <w:r w:rsidR="00536430">
        <w:rPr>
          <w:rFonts w:ascii="Arial" w:hAnsi="Arial" w:cs="Arial"/>
          <w:sz w:val="20"/>
          <w:szCs w:val="20"/>
        </w:rPr>
        <w:t>)</w:t>
      </w:r>
      <w:r w:rsidRPr="003516DC">
        <w:rPr>
          <w:rFonts w:ascii="Arial" w:hAnsi="Arial" w:cs="Arial"/>
          <w:sz w:val="20"/>
          <w:szCs w:val="20"/>
        </w:rPr>
        <w:t>,</w:t>
      </w:r>
      <w:r w:rsidR="00536430">
        <w:rPr>
          <w:rFonts w:ascii="Arial" w:hAnsi="Arial" w:cs="Arial"/>
          <w:sz w:val="20"/>
          <w:szCs w:val="20"/>
        </w:rPr>
        <w:t xml:space="preserve"> which is</w:t>
      </w:r>
      <w:r w:rsidRPr="003516DC">
        <w:rPr>
          <w:rFonts w:ascii="Arial" w:hAnsi="Arial" w:cs="Arial"/>
          <w:sz w:val="20"/>
          <w:szCs w:val="20"/>
        </w:rPr>
        <w:t xml:space="preserve"> </w:t>
      </w:r>
      <w:r w:rsidR="00536430" w:rsidRPr="003516DC">
        <w:rPr>
          <w:rFonts w:ascii="Arial" w:hAnsi="Arial" w:cs="Arial"/>
          <w:sz w:val="20"/>
          <w:szCs w:val="20"/>
        </w:rPr>
        <w:t xml:space="preserve">presumably </w:t>
      </w:r>
      <w:r w:rsidRPr="003516DC">
        <w:rPr>
          <w:rFonts w:ascii="Arial" w:hAnsi="Arial" w:cs="Arial"/>
          <w:sz w:val="20"/>
          <w:szCs w:val="20"/>
        </w:rPr>
        <w:t xml:space="preserve">driven by the </w:t>
      </w:r>
      <w:r w:rsidR="00D00A3D" w:rsidRPr="003516DC">
        <w:rPr>
          <w:rFonts w:ascii="Arial" w:hAnsi="Arial" w:cs="Arial"/>
          <w:sz w:val="20"/>
          <w:szCs w:val="20"/>
        </w:rPr>
        <w:t xml:space="preserve">significant development potential </w:t>
      </w:r>
      <w:r w:rsidR="00D00A3D">
        <w:rPr>
          <w:rFonts w:ascii="Arial" w:hAnsi="Arial" w:cs="Arial"/>
          <w:sz w:val="20"/>
          <w:szCs w:val="20"/>
        </w:rPr>
        <w:t>for</w:t>
      </w:r>
      <w:r w:rsidRPr="003516DC">
        <w:rPr>
          <w:rFonts w:ascii="Arial" w:hAnsi="Arial" w:cs="Arial"/>
          <w:sz w:val="20"/>
          <w:szCs w:val="20"/>
        </w:rPr>
        <w:t xml:space="preserve"> renewables </w:t>
      </w:r>
      <w:r w:rsidR="00D00A3D">
        <w:rPr>
          <w:rFonts w:ascii="Arial" w:hAnsi="Arial" w:cs="Arial"/>
          <w:sz w:val="20"/>
          <w:szCs w:val="20"/>
        </w:rPr>
        <w:t>in</w:t>
      </w:r>
      <w:r w:rsidRPr="003516DC">
        <w:rPr>
          <w:rFonts w:ascii="Arial" w:hAnsi="Arial" w:cs="Arial"/>
          <w:sz w:val="20"/>
          <w:szCs w:val="20"/>
        </w:rPr>
        <w:t xml:space="preserve"> </w:t>
      </w:r>
      <w:r w:rsidR="003751DC">
        <w:rPr>
          <w:rFonts w:ascii="Arial" w:hAnsi="Arial" w:cs="Arial"/>
          <w:sz w:val="20"/>
          <w:szCs w:val="20"/>
        </w:rPr>
        <w:t>Galați</w:t>
      </w:r>
      <w:r w:rsidRPr="003516DC">
        <w:rPr>
          <w:rFonts w:ascii="Arial" w:hAnsi="Arial" w:cs="Arial"/>
          <w:sz w:val="20"/>
          <w:szCs w:val="20"/>
        </w:rPr>
        <w:t xml:space="preserve">. While </w:t>
      </w:r>
      <w:r w:rsidR="009A3E64">
        <w:rPr>
          <w:rFonts w:ascii="Arial" w:hAnsi="Arial" w:cs="Arial"/>
          <w:sz w:val="20"/>
          <w:szCs w:val="20"/>
        </w:rPr>
        <w:t>the</w:t>
      </w:r>
      <w:r w:rsidRPr="003516DC">
        <w:rPr>
          <w:rFonts w:ascii="Arial" w:hAnsi="Arial" w:cs="Arial"/>
          <w:sz w:val="20"/>
          <w:szCs w:val="20"/>
        </w:rPr>
        <w:t xml:space="preserve"> baseline scenario has negligible </w:t>
      </w:r>
      <w:r w:rsidR="009A3E64">
        <w:rPr>
          <w:rFonts w:ascii="Arial" w:hAnsi="Arial" w:cs="Arial"/>
          <w:sz w:val="20"/>
          <w:szCs w:val="20"/>
        </w:rPr>
        <w:t xml:space="preserve">emissions </w:t>
      </w:r>
      <w:r w:rsidRPr="003516DC">
        <w:rPr>
          <w:rFonts w:ascii="Arial" w:hAnsi="Arial" w:cs="Arial"/>
          <w:sz w:val="20"/>
          <w:szCs w:val="20"/>
        </w:rPr>
        <w:t xml:space="preserve">reductions (-10%), </w:t>
      </w:r>
      <w:r w:rsidR="009A3E64">
        <w:rPr>
          <w:rFonts w:ascii="Arial" w:hAnsi="Arial" w:cs="Arial"/>
          <w:sz w:val="20"/>
          <w:szCs w:val="20"/>
        </w:rPr>
        <w:t xml:space="preserve">the </w:t>
      </w:r>
      <w:r w:rsidRPr="003516DC">
        <w:rPr>
          <w:rFonts w:ascii="Arial" w:hAnsi="Arial" w:cs="Arial"/>
          <w:sz w:val="20"/>
          <w:szCs w:val="20"/>
        </w:rPr>
        <w:t xml:space="preserve">more ambitious Green Deal targets lead to emissions reductions </w:t>
      </w:r>
      <w:r w:rsidR="008D079B" w:rsidRPr="003516DC">
        <w:rPr>
          <w:rFonts w:ascii="Arial" w:hAnsi="Arial" w:cs="Arial"/>
          <w:sz w:val="20"/>
          <w:szCs w:val="20"/>
        </w:rPr>
        <w:t xml:space="preserve">of </w:t>
      </w:r>
      <w:r w:rsidR="008D079B">
        <w:rPr>
          <w:rFonts w:ascii="Arial" w:hAnsi="Arial" w:cs="Arial"/>
          <w:sz w:val="20"/>
          <w:szCs w:val="20"/>
        </w:rPr>
        <w:t>more than</w:t>
      </w:r>
      <w:r w:rsidR="008D079B" w:rsidRPr="003516DC">
        <w:rPr>
          <w:rFonts w:ascii="Arial" w:hAnsi="Arial" w:cs="Arial"/>
          <w:sz w:val="20"/>
          <w:szCs w:val="20"/>
        </w:rPr>
        <w:t xml:space="preserve"> 50% </w:t>
      </w:r>
      <w:r w:rsidRPr="003516DC">
        <w:rPr>
          <w:rFonts w:ascii="Arial" w:hAnsi="Arial" w:cs="Arial"/>
          <w:sz w:val="20"/>
          <w:szCs w:val="20"/>
        </w:rPr>
        <w:t xml:space="preserve">by 2030 in </w:t>
      </w:r>
      <w:r w:rsidR="003751DC">
        <w:rPr>
          <w:rFonts w:ascii="Arial" w:hAnsi="Arial" w:cs="Arial"/>
          <w:sz w:val="20"/>
          <w:szCs w:val="20"/>
        </w:rPr>
        <w:t>Galați</w:t>
      </w:r>
      <w:r w:rsidRPr="003516DC">
        <w:rPr>
          <w:rFonts w:ascii="Arial" w:hAnsi="Arial" w:cs="Arial"/>
          <w:sz w:val="20"/>
          <w:szCs w:val="20"/>
        </w:rPr>
        <w:t>.</w:t>
      </w:r>
    </w:p>
    <w:p w14:paraId="3B58C59A" w14:textId="1D5D5AA9" w:rsidR="00654F76" w:rsidRPr="003516DC" w:rsidRDefault="00850588" w:rsidP="00CC5365">
      <w:pPr>
        <w:spacing w:after="120"/>
        <w:jc w:val="both"/>
        <w:rPr>
          <w:rFonts w:ascii="Arial" w:hAnsi="Arial" w:cs="Arial"/>
          <w:sz w:val="20"/>
          <w:szCs w:val="20"/>
        </w:rPr>
      </w:pPr>
      <w:r w:rsidRPr="00DA6B30">
        <w:rPr>
          <w:rFonts w:ascii="Arial" w:hAnsi="Arial" w:cs="Arial"/>
          <w:sz w:val="20"/>
          <w:szCs w:val="20"/>
        </w:rPr>
        <w:t xml:space="preserve">As section </w:t>
      </w:r>
      <w:r w:rsidR="00DA6B30" w:rsidRPr="00DA6B30">
        <w:rPr>
          <w:rFonts w:ascii="Arial" w:hAnsi="Arial" w:cs="Arial"/>
          <w:sz w:val="20"/>
          <w:szCs w:val="20"/>
        </w:rPr>
        <w:t xml:space="preserve">8.5 </w:t>
      </w:r>
      <w:r w:rsidRPr="00DA6B30">
        <w:rPr>
          <w:rFonts w:ascii="Arial" w:hAnsi="Arial" w:cs="Arial"/>
          <w:sz w:val="20"/>
          <w:szCs w:val="20"/>
        </w:rPr>
        <w:t>in this report</w:t>
      </w:r>
      <w:r w:rsidRPr="003516DC">
        <w:rPr>
          <w:rFonts w:ascii="Arial" w:hAnsi="Arial" w:cs="Arial"/>
          <w:sz w:val="20"/>
          <w:szCs w:val="20"/>
        </w:rPr>
        <w:t xml:space="preserve"> demonstrates</w:t>
      </w:r>
      <w:r w:rsidR="00DB4210">
        <w:rPr>
          <w:rFonts w:ascii="Arial" w:hAnsi="Arial" w:cs="Arial"/>
          <w:sz w:val="20"/>
          <w:szCs w:val="20"/>
        </w:rPr>
        <w:t>,</w:t>
      </w:r>
      <w:r w:rsidR="00654F76" w:rsidRPr="003516DC">
        <w:rPr>
          <w:rFonts w:ascii="Arial" w:hAnsi="Arial" w:cs="Arial"/>
          <w:sz w:val="20"/>
          <w:szCs w:val="20"/>
        </w:rPr>
        <w:t xml:space="preserve"> </w:t>
      </w:r>
      <w:r w:rsidR="00654F76" w:rsidRPr="00A64776">
        <w:rPr>
          <w:rFonts w:ascii="Arial" w:hAnsi="Arial" w:cs="Arial"/>
          <w:sz w:val="20"/>
          <w:szCs w:val="20"/>
        </w:rPr>
        <w:t xml:space="preserve">SME investments are anticipated to yield the largest </w:t>
      </w:r>
      <w:r w:rsidR="00DD0E6C">
        <w:rPr>
          <w:rFonts w:ascii="Arial" w:hAnsi="Arial" w:cs="Arial"/>
          <w:sz w:val="20"/>
          <w:szCs w:val="20"/>
        </w:rPr>
        <w:t xml:space="preserve">relative </w:t>
      </w:r>
      <w:r w:rsidR="00654F76" w:rsidRPr="00A64776">
        <w:rPr>
          <w:rFonts w:ascii="Arial" w:hAnsi="Arial" w:cs="Arial"/>
          <w:sz w:val="20"/>
          <w:szCs w:val="20"/>
        </w:rPr>
        <w:t xml:space="preserve">positive impact in </w:t>
      </w:r>
      <w:r w:rsidR="003751DC">
        <w:rPr>
          <w:rFonts w:ascii="Arial" w:hAnsi="Arial" w:cs="Arial"/>
          <w:sz w:val="20"/>
          <w:szCs w:val="20"/>
        </w:rPr>
        <w:t>Galați</w:t>
      </w:r>
      <w:r w:rsidR="00654F76" w:rsidRPr="00A64776">
        <w:rPr>
          <w:rFonts w:ascii="Arial" w:hAnsi="Arial" w:cs="Arial"/>
          <w:sz w:val="20"/>
          <w:szCs w:val="20"/>
        </w:rPr>
        <w:t xml:space="preserve">, both in GVA and employment. While the GVA generated under the illustrative R&amp;D scenario is </w:t>
      </w:r>
      <w:r w:rsidR="00B43341">
        <w:rPr>
          <w:rFonts w:ascii="Arial" w:hAnsi="Arial" w:cs="Arial"/>
          <w:sz w:val="20"/>
          <w:szCs w:val="20"/>
        </w:rPr>
        <w:t>nearly</w:t>
      </w:r>
      <w:r w:rsidR="00654F76" w:rsidRPr="00A64776">
        <w:rPr>
          <w:rFonts w:ascii="Arial" w:hAnsi="Arial" w:cs="Arial"/>
          <w:sz w:val="20"/>
          <w:szCs w:val="20"/>
        </w:rPr>
        <w:t xml:space="preserve"> as large as SME investment, the employment generation potential of R&amp;D grants is assumed to be considerably lower in </w:t>
      </w:r>
      <w:r w:rsidR="003751DC">
        <w:rPr>
          <w:rFonts w:ascii="Arial" w:hAnsi="Arial" w:cs="Arial"/>
          <w:sz w:val="20"/>
          <w:szCs w:val="20"/>
        </w:rPr>
        <w:t>Galați</w:t>
      </w:r>
      <w:r w:rsidR="00654F76" w:rsidRPr="00A64776">
        <w:rPr>
          <w:rFonts w:ascii="Arial" w:hAnsi="Arial" w:cs="Arial"/>
          <w:sz w:val="20"/>
          <w:szCs w:val="20"/>
        </w:rPr>
        <w:t xml:space="preserve">. </w:t>
      </w:r>
      <w:r w:rsidR="00B43341">
        <w:rPr>
          <w:rFonts w:ascii="Arial" w:hAnsi="Arial" w:cs="Arial"/>
          <w:sz w:val="20"/>
          <w:szCs w:val="20"/>
        </w:rPr>
        <w:t xml:space="preserve">EUR </w:t>
      </w:r>
      <w:r w:rsidR="00654F76" w:rsidRPr="00A64776">
        <w:rPr>
          <w:rFonts w:ascii="Arial" w:hAnsi="Arial" w:cs="Arial"/>
          <w:sz w:val="20"/>
          <w:szCs w:val="20"/>
        </w:rPr>
        <w:t>100 million invested through the JTF in SMEs could result in close to 3</w:t>
      </w:r>
      <w:r w:rsidR="00B43341">
        <w:rPr>
          <w:rFonts w:ascii="Arial" w:hAnsi="Arial" w:cs="Arial"/>
          <w:sz w:val="20"/>
          <w:szCs w:val="20"/>
        </w:rPr>
        <w:t>,</w:t>
      </w:r>
      <w:r w:rsidR="00654F76" w:rsidRPr="00A64776">
        <w:rPr>
          <w:rFonts w:ascii="Arial" w:hAnsi="Arial" w:cs="Arial"/>
          <w:sz w:val="20"/>
          <w:szCs w:val="20"/>
        </w:rPr>
        <w:t xml:space="preserve">000 jobs created by 2030, while similar investments in R&amp;D lead to about 2,000 jobs and similar amounts invested in </w:t>
      </w:r>
      <w:r w:rsidR="00B43341">
        <w:rPr>
          <w:rFonts w:ascii="Arial" w:hAnsi="Arial" w:cs="Arial"/>
          <w:sz w:val="20"/>
          <w:szCs w:val="20"/>
        </w:rPr>
        <w:t xml:space="preserve">the </w:t>
      </w:r>
      <w:r w:rsidR="00654F76" w:rsidRPr="00A64776">
        <w:rPr>
          <w:rFonts w:ascii="Arial" w:hAnsi="Arial" w:cs="Arial"/>
          <w:sz w:val="20"/>
          <w:szCs w:val="20"/>
        </w:rPr>
        <w:t xml:space="preserve">circular economy can </w:t>
      </w:r>
      <w:r w:rsidR="00B43341">
        <w:rPr>
          <w:rFonts w:ascii="Arial" w:hAnsi="Arial" w:cs="Arial"/>
          <w:sz w:val="20"/>
          <w:szCs w:val="20"/>
        </w:rPr>
        <w:t xml:space="preserve">be expected to </w:t>
      </w:r>
      <w:r w:rsidR="00654F76" w:rsidRPr="00A64776">
        <w:rPr>
          <w:rFonts w:ascii="Arial" w:hAnsi="Arial" w:cs="Arial"/>
          <w:sz w:val="20"/>
          <w:szCs w:val="20"/>
        </w:rPr>
        <w:t>generate approx</w:t>
      </w:r>
      <w:r w:rsidR="00B43341">
        <w:rPr>
          <w:rFonts w:ascii="Arial" w:hAnsi="Arial" w:cs="Arial"/>
          <w:sz w:val="20"/>
          <w:szCs w:val="20"/>
        </w:rPr>
        <w:t>imately</w:t>
      </w:r>
      <w:r w:rsidR="00654F76" w:rsidRPr="00A64776">
        <w:rPr>
          <w:rFonts w:ascii="Arial" w:hAnsi="Arial" w:cs="Arial"/>
          <w:sz w:val="20"/>
          <w:szCs w:val="20"/>
        </w:rPr>
        <w:t xml:space="preserve"> 1,700 jobs. The total job creation cost per FTE is lowest for SME investments (4,800 EUR/FTE) and highe</w:t>
      </w:r>
      <w:r w:rsidR="00FB792F">
        <w:rPr>
          <w:rFonts w:ascii="Arial" w:hAnsi="Arial" w:cs="Arial"/>
          <w:sz w:val="20"/>
          <w:szCs w:val="20"/>
        </w:rPr>
        <w:t>st</w:t>
      </w:r>
      <w:r w:rsidR="00654F76" w:rsidRPr="00A64776">
        <w:rPr>
          <w:rFonts w:ascii="Arial" w:hAnsi="Arial" w:cs="Arial"/>
          <w:sz w:val="20"/>
          <w:szCs w:val="20"/>
        </w:rPr>
        <w:t xml:space="preserve"> for R&amp;D grants to businesses (6,300 EUR/FTE).</w:t>
      </w:r>
    </w:p>
    <w:p w14:paraId="533E1310" w14:textId="1FED8AC3" w:rsidR="00FD3AD3" w:rsidRDefault="00FD3AD3" w:rsidP="00E42342">
      <w:pPr>
        <w:pStyle w:val="Heading3"/>
        <w:numPr>
          <w:ilvl w:val="0"/>
          <w:numId w:val="126"/>
        </w:numPr>
        <w:spacing w:before="120" w:after="120" w:line="240" w:lineRule="auto"/>
        <w:rPr>
          <w:b w:val="0"/>
        </w:rPr>
      </w:pPr>
      <w:r w:rsidRPr="00FD3AD3">
        <w:rPr>
          <w:b w:val="0"/>
        </w:rPr>
        <w:t xml:space="preserve">Brief value chain analysis </w:t>
      </w:r>
    </w:p>
    <w:p w14:paraId="2F5FB024" w14:textId="3F645849" w:rsidR="004423BB" w:rsidRDefault="009C5DF0" w:rsidP="00854A6F">
      <w:pPr>
        <w:spacing w:after="120"/>
        <w:jc w:val="both"/>
        <w:rPr>
          <w:rFonts w:ascii="Arial" w:hAnsi="Arial" w:cs="Arial"/>
          <w:sz w:val="20"/>
          <w:szCs w:val="20"/>
          <w:lang w:eastAsia="en-US"/>
        </w:rPr>
      </w:pPr>
      <w:r>
        <w:rPr>
          <w:rFonts w:ascii="Arial" w:hAnsi="Arial" w:cs="Arial"/>
          <w:sz w:val="20"/>
          <w:szCs w:val="20"/>
          <w:lang w:eastAsia="en-US"/>
        </w:rPr>
        <w:t>Subsequently</w:t>
      </w:r>
      <w:r w:rsidR="004423BB">
        <w:rPr>
          <w:rFonts w:ascii="Arial" w:hAnsi="Arial" w:cs="Arial"/>
          <w:sz w:val="20"/>
          <w:szCs w:val="20"/>
          <w:lang w:eastAsia="en-US"/>
        </w:rPr>
        <w:t xml:space="preserve"> to the initial engagement of the key economic players in each of the six affected regions, follow-up action</w:t>
      </w:r>
      <w:r>
        <w:rPr>
          <w:rFonts w:ascii="Arial" w:hAnsi="Arial" w:cs="Arial"/>
          <w:sz w:val="20"/>
          <w:szCs w:val="20"/>
          <w:lang w:eastAsia="en-US"/>
        </w:rPr>
        <w:t>s</w:t>
      </w:r>
      <w:r w:rsidR="004423BB">
        <w:rPr>
          <w:rFonts w:ascii="Arial" w:hAnsi="Arial" w:cs="Arial"/>
          <w:sz w:val="20"/>
          <w:szCs w:val="20"/>
          <w:lang w:eastAsia="en-US"/>
        </w:rPr>
        <w:t xml:space="preserve"> ha</w:t>
      </w:r>
      <w:r>
        <w:rPr>
          <w:rFonts w:ascii="Arial" w:hAnsi="Arial" w:cs="Arial"/>
          <w:sz w:val="20"/>
          <w:szCs w:val="20"/>
          <w:lang w:eastAsia="en-US"/>
        </w:rPr>
        <w:t>ve</w:t>
      </w:r>
      <w:r w:rsidR="004423BB">
        <w:rPr>
          <w:rFonts w:ascii="Arial" w:hAnsi="Arial" w:cs="Arial"/>
          <w:sz w:val="20"/>
          <w:szCs w:val="20"/>
          <w:lang w:eastAsia="en-US"/>
        </w:rPr>
        <w:t xml:space="preserve"> been conducted </w:t>
      </w:r>
      <w:r>
        <w:rPr>
          <w:rFonts w:ascii="Arial" w:hAnsi="Arial" w:cs="Arial"/>
          <w:sz w:val="20"/>
          <w:szCs w:val="20"/>
          <w:lang w:eastAsia="en-US"/>
        </w:rPr>
        <w:t xml:space="preserve">and recorded </w:t>
      </w:r>
      <w:r w:rsidR="004423BB">
        <w:rPr>
          <w:rFonts w:ascii="Arial" w:hAnsi="Arial" w:cs="Arial"/>
          <w:sz w:val="20"/>
          <w:szCs w:val="20"/>
          <w:lang w:eastAsia="en-US"/>
        </w:rPr>
        <w:t>to collect qualitative and quantitative information that could not be provided on the spot during the bilateral interviews.</w:t>
      </w:r>
    </w:p>
    <w:p w14:paraId="65DCDDD2" w14:textId="079BC296" w:rsidR="001A044F" w:rsidRDefault="004423BB" w:rsidP="00854A6F">
      <w:pPr>
        <w:spacing w:after="120"/>
        <w:jc w:val="both"/>
        <w:rPr>
          <w:rFonts w:ascii="Arial" w:hAnsi="Arial" w:cs="Arial"/>
          <w:sz w:val="20"/>
          <w:szCs w:val="20"/>
          <w:lang w:eastAsia="en-US"/>
        </w:rPr>
      </w:pPr>
      <w:r>
        <w:rPr>
          <w:rFonts w:ascii="Arial" w:hAnsi="Arial" w:cs="Arial"/>
          <w:sz w:val="20"/>
          <w:szCs w:val="20"/>
          <w:lang w:eastAsia="en-US"/>
        </w:rPr>
        <w:t xml:space="preserve">The follow-up questionnaire and subsequent analysis of the </w:t>
      </w:r>
      <w:r w:rsidR="009C5DF0">
        <w:rPr>
          <w:rFonts w:ascii="Arial" w:hAnsi="Arial" w:cs="Arial"/>
          <w:sz w:val="20"/>
          <w:szCs w:val="20"/>
          <w:lang w:eastAsia="en-US"/>
        </w:rPr>
        <w:t>collected</w:t>
      </w:r>
      <w:r>
        <w:rPr>
          <w:rFonts w:ascii="Arial" w:hAnsi="Arial" w:cs="Arial"/>
          <w:sz w:val="20"/>
          <w:szCs w:val="20"/>
          <w:lang w:eastAsia="en-US"/>
        </w:rPr>
        <w:t xml:space="preserve"> information aim </w:t>
      </w:r>
      <w:r w:rsidR="001A044F">
        <w:rPr>
          <w:rFonts w:ascii="Arial" w:hAnsi="Arial" w:cs="Arial"/>
          <w:sz w:val="20"/>
          <w:szCs w:val="20"/>
          <w:lang w:eastAsia="en-US"/>
        </w:rPr>
        <w:t xml:space="preserve">at examining the business value chain of these actors and </w:t>
      </w:r>
      <w:r w:rsidR="009C5DF0">
        <w:rPr>
          <w:rFonts w:ascii="Arial" w:hAnsi="Arial" w:cs="Arial"/>
          <w:sz w:val="20"/>
          <w:szCs w:val="20"/>
          <w:lang w:eastAsia="en-US"/>
        </w:rPr>
        <w:t xml:space="preserve">the </w:t>
      </w:r>
      <w:r w:rsidR="001A044F">
        <w:rPr>
          <w:rFonts w:ascii="Arial" w:hAnsi="Arial" w:cs="Arial"/>
          <w:sz w:val="20"/>
          <w:szCs w:val="20"/>
          <w:lang w:eastAsia="en-US"/>
        </w:rPr>
        <w:t xml:space="preserve">potential transition impact that could be translated into indirect transition costs. </w:t>
      </w:r>
    </w:p>
    <w:p w14:paraId="44C120C3" w14:textId="7D84B4B4" w:rsidR="001A044F" w:rsidRDefault="009C5DF0" w:rsidP="00854A6F">
      <w:pPr>
        <w:spacing w:after="120"/>
        <w:jc w:val="both"/>
        <w:rPr>
          <w:rFonts w:ascii="Arial" w:hAnsi="Arial" w:cs="Arial"/>
          <w:sz w:val="20"/>
          <w:szCs w:val="20"/>
          <w:lang w:eastAsia="en-US"/>
        </w:rPr>
      </w:pPr>
      <w:r>
        <w:rPr>
          <w:rFonts w:ascii="Arial" w:hAnsi="Arial" w:cs="Arial"/>
          <w:sz w:val="20"/>
          <w:szCs w:val="20"/>
          <w:lang w:eastAsia="en-US"/>
        </w:rPr>
        <w:t>I</w:t>
      </w:r>
      <w:r w:rsidR="001A044F">
        <w:rPr>
          <w:rFonts w:ascii="Arial" w:hAnsi="Arial" w:cs="Arial"/>
          <w:sz w:val="20"/>
          <w:szCs w:val="20"/>
          <w:lang w:eastAsia="en-US"/>
        </w:rPr>
        <w:t>nterviewees have been requested to provide information on their top business suppliers in terms of region (</w:t>
      </w:r>
      <w:r w:rsidR="000B3BB7">
        <w:rPr>
          <w:rFonts w:ascii="Arial" w:hAnsi="Arial" w:cs="Arial"/>
          <w:sz w:val="20"/>
          <w:szCs w:val="20"/>
          <w:lang w:eastAsia="en-US"/>
        </w:rPr>
        <w:t>in</w:t>
      </w:r>
      <w:r w:rsidR="001A044F">
        <w:rPr>
          <w:rFonts w:ascii="Arial" w:hAnsi="Arial" w:cs="Arial"/>
          <w:sz w:val="20"/>
          <w:szCs w:val="20"/>
          <w:lang w:eastAsia="en-US"/>
        </w:rPr>
        <w:t xml:space="preserve"> each of the six affected regions), as well as their perspective concerning the </w:t>
      </w:r>
      <w:r w:rsidR="000B3BB7">
        <w:rPr>
          <w:rFonts w:ascii="Arial" w:hAnsi="Arial" w:cs="Arial"/>
          <w:sz w:val="20"/>
          <w:szCs w:val="20"/>
          <w:lang w:eastAsia="en-US"/>
        </w:rPr>
        <w:t xml:space="preserve">supplier’s </w:t>
      </w:r>
      <w:r w:rsidR="001A044F">
        <w:rPr>
          <w:rFonts w:ascii="Arial" w:hAnsi="Arial" w:cs="Arial"/>
          <w:sz w:val="20"/>
          <w:szCs w:val="20"/>
          <w:lang w:eastAsia="en-US"/>
        </w:rPr>
        <w:t>dependency</w:t>
      </w:r>
      <w:r w:rsidR="000B3BB7">
        <w:rPr>
          <w:rFonts w:ascii="Arial" w:hAnsi="Arial" w:cs="Arial"/>
          <w:sz w:val="20"/>
          <w:szCs w:val="20"/>
          <w:lang w:eastAsia="en-US"/>
        </w:rPr>
        <w:t xml:space="preserve"> on the current business model. The suppliers have been further analysed with regard to the number of employees, main economic sector</w:t>
      </w:r>
      <w:r w:rsidR="00080A53">
        <w:rPr>
          <w:rFonts w:ascii="Arial" w:hAnsi="Arial" w:cs="Arial"/>
          <w:sz w:val="20"/>
          <w:szCs w:val="20"/>
          <w:lang w:eastAsia="en-US"/>
        </w:rPr>
        <w:t>s</w:t>
      </w:r>
      <w:r w:rsidR="000B3BB7">
        <w:rPr>
          <w:rFonts w:ascii="Arial" w:hAnsi="Arial" w:cs="Arial"/>
          <w:sz w:val="20"/>
          <w:szCs w:val="20"/>
          <w:lang w:eastAsia="en-US"/>
        </w:rPr>
        <w:t xml:space="preserve"> and geographical coverage.</w:t>
      </w:r>
      <w:r w:rsidR="001A044F">
        <w:rPr>
          <w:rFonts w:ascii="Arial" w:hAnsi="Arial" w:cs="Arial"/>
          <w:sz w:val="20"/>
          <w:szCs w:val="20"/>
          <w:lang w:eastAsia="en-US"/>
        </w:rPr>
        <w:t xml:space="preserve"> </w:t>
      </w:r>
      <w:r w:rsidR="00080A53">
        <w:rPr>
          <w:rFonts w:ascii="Arial" w:hAnsi="Arial" w:cs="Arial"/>
          <w:sz w:val="20"/>
          <w:szCs w:val="20"/>
          <w:lang w:eastAsia="en-US"/>
        </w:rPr>
        <w:t xml:space="preserve">As many of the analysed suppliers generally employ a large number of personnel (e.g., financial institutions, energy suppliers, national railway company), while the level of dependency is relatively small given the limited integration these large suppliers have with the affected companies, an additional level of scrutiny has been included. This varies from 10% to 50% of the number of people employed by the listed suppliers in order to </w:t>
      </w:r>
      <w:r w:rsidR="00E57704">
        <w:rPr>
          <w:rFonts w:ascii="Arial" w:hAnsi="Arial" w:cs="Arial"/>
          <w:sz w:val="20"/>
          <w:szCs w:val="20"/>
          <w:lang w:eastAsia="en-US"/>
        </w:rPr>
        <w:t>assess</w:t>
      </w:r>
      <w:r w:rsidR="00080A53">
        <w:rPr>
          <w:rFonts w:ascii="Arial" w:hAnsi="Arial" w:cs="Arial"/>
          <w:sz w:val="20"/>
          <w:szCs w:val="20"/>
          <w:lang w:eastAsia="en-US"/>
        </w:rPr>
        <w:t xml:space="preserve"> the value chain implications in terms of potential indirect job losses.</w:t>
      </w:r>
    </w:p>
    <w:p w14:paraId="7C4953AF" w14:textId="671550C7" w:rsidR="000B3BB7" w:rsidRDefault="001A044F" w:rsidP="00854A6F">
      <w:pPr>
        <w:spacing w:after="120"/>
        <w:jc w:val="both"/>
        <w:rPr>
          <w:rFonts w:ascii="Arial" w:hAnsi="Arial" w:cs="Arial"/>
          <w:sz w:val="20"/>
          <w:szCs w:val="20"/>
          <w:lang w:val="en-US" w:eastAsia="en-US"/>
        </w:rPr>
      </w:pPr>
      <w:r>
        <w:rPr>
          <w:rFonts w:ascii="Arial" w:hAnsi="Arial" w:cs="Arial"/>
          <w:sz w:val="20"/>
          <w:szCs w:val="20"/>
          <w:lang w:eastAsia="en-US"/>
        </w:rPr>
        <w:t xml:space="preserve">The main insights </w:t>
      </w:r>
      <w:r w:rsidR="00551229">
        <w:rPr>
          <w:rFonts w:ascii="Arial" w:hAnsi="Arial" w:cs="Arial"/>
          <w:sz w:val="20"/>
          <w:szCs w:val="20"/>
          <w:lang w:eastAsia="en-US"/>
        </w:rPr>
        <w:t>cover</w:t>
      </w:r>
      <w:r>
        <w:rPr>
          <w:rFonts w:ascii="Arial" w:hAnsi="Arial" w:cs="Arial"/>
          <w:sz w:val="20"/>
          <w:szCs w:val="20"/>
          <w:lang w:val="en-US" w:eastAsia="en-US"/>
        </w:rPr>
        <w:t>:</w:t>
      </w:r>
    </w:p>
    <w:p w14:paraId="2D8FFB5D" w14:textId="37C8D802" w:rsidR="000B3BB7" w:rsidRPr="00854A6F" w:rsidRDefault="000B3BB7" w:rsidP="00854A6F">
      <w:pPr>
        <w:spacing w:after="120"/>
        <w:jc w:val="both"/>
        <w:rPr>
          <w:rFonts w:ascii="Arial" w:hAnsi="Arial" w:cs="Arial"/>
          <w:bCs/>
          <w:color w:val="4F81BD" w:themeColor="accent1"/>
          <w:sz w:val="20"/>
          <w:szCs w:val="20"/>
        </w:rPr>
      </w:pPr>
      <w:r w:rsidRPr="00281D37">
        <w:rPr>
          <w:rFonts w:ascii="Arial" w:hAnsi="Arial" w:cs="Arial"/>
          <w:bCs/>
          <w:color w:val="4F81BD" w:themeColor="accent1"/>
          <w:sz w:val="20"/>
          <w:szCs w:val="20"/>
        </w:rPr>
        <w:t>Oltenia Energy Complex</w:t>
      </w:r>
    </w:p>
    <w:p w14:paraId="6C38A80C" w14:textId="1B053CE6" w:rsidR="000B3BB7" w:rsidRPr="000B3BB7" w:rsidRDefault="000B3BB7" w:rsidP="00854A6F">
      <w:pPr>
        <w:spacing w:after="120"/>
        <w:jc w:val="both"/>
        <w:rPr>
          <w:rFonts w:ascii="Arial" w:hAnsi="Arial" w:cs="Arial"/>
          <w:sz w:val="20"/>
          <w:szCs w:val="20"/>
          <w:lang w:val="en-US" w:eastAsia="en-US"/>
        </w:rPr>
      </w:pPr>
      <w:r w:rsidRPr="000B3BB7">
        <w:rPr>
          <w:rFonts w:ascii="Arial" w:hAnsi="Arial" w:cs="Arial"/>
          <w:sz w:val="20"/>
          <w:szCs w:val="20"/>
          <w:lang w:val="en-US" w:eastAsia="en-US"/>
        </w:rPr>
        <w:t xml:space="preserve">Based on 2019 data, </w:t>
      </w:r>
      <w:r w:rsidR="00551229">
        <w:rPr>
          <w:rFonts w:ascii="Arial" w:hAnsi="Arial" w:cs="Arial"/>
          <w:sz w:val="20"/>
          <w:szCs w:val="20"/>
          <w:lang w:val="en-US" w:eastAsia="en-US"/>
        </w:rPr>
        <w:t xml:space="preserve">the </w:t>
      </w:r>
      <w:r w:rsidRPr="000B3BB7">
        <w:rPr>
          <w:rFonts w:ascii="Arial" w:hAnsi="Arial" w:cs="Arial"/>
          <w:sz w:val="20"/>
          <w:szCs w:val="20"/>
          <w:lang w:val="en-US" w:eastAsia="en-US"/>
        </w:rPr>
        <w:t>top listed suppliers employed approximately 17</w:t>
      </w:r>
      <w:r w:rsidR="00551229">
        <w:rPr>
          <w:rFonts w:ascii="Arial" w:hAnsi="Arial" w:cs="Arial"/>
          <w:sz w:val="20"/>
          <w:szCs w:val="20"/>
          <w:lang w:val="en-US" w:eastAsia="en-US"/>
        </w:rPr>
        <w:t>,000</w:t>
      </w:r>
      <w:r w:rsidRPr="000B3BB7">
        <w:rPr>
          <w:rFonts w:ascii="Arial" w:hAnsi="Arial" w:cs="Arial"/>
          <w:sz w:val="20"/>
          <w:szCs w:val="20"/>
          <w:lang w:val="en-US" w:eastAsia="en-US"/>
        </w:rPr>
        <w:t xml:space="preserve"> people across </w:t>
      </w:r>
      <w:r w:rsidR="00551229">
        <w:rPr>
          <w:rFonts w:ascii="Arial" w:hAnsi="Arial" w:cs="Arial"/>
          <w:sz w:val="20"/>
          <w:szCs w:val="20"/>
          <w:lang w:val="en-US" w:eastAsia="en-US"/>
        </w:rPr>
        <w:t xml:space="preserve">the </w:t>
      </w:r>
      <w:r w:rsidRPr="000B3BB7">
        <w:rPr>
          <w:rFonts w:ascii="Arial" w:hAnsi="Arial" w:cs="Arial"/>
          <w:sz w:val="20"/>
          <w:szCs w:val="20"/>
          <w:lang w:val="en-US" w:eastAsia="en-US"/>
        </w:rPr>
        <w:t xml:space="preserve">counties of Gorj and Dolj and at </w:t>
      </w:r>
      <w:r w:rsidR="00551229">
        <w:rPr>
          <w:rFonts w:ascii="Arial" w:hAnsi="Arial" w:cs="Arial"/>
          <w:sz w:val="20"/>
          <w:szCs w:val="20"/>
          <w:lang w:val="en-US" w:eastAsia="en-US"/>
        </w:rPr>
        <w:t xml:space="preserve">the </w:t>
      </w:r>
      <w:r w:rsidRPr="000B3BB7">
        <w:rPr>
          <w:rFonts w:ascii="Arial" w:hAnsi="Arial" w:cs="Arial"/>
          <w:sz w:val="20"/>
          <w:szCs w:val="20"/>
          <w:lang w:val="en-US" w:eastAsia="en-US"/>
        </w:rPr>
        <w:t xml:space="preserve">national </w:t>
      </w:r>
      <w:r w:rsidR="00551229" w:rsidRPr="000B3BB7">
        <w:rPr>
          <w:rFonts w:ascii="Arial" w:hAnsi="Arial" w:cs="Arial"/>
          <w:sz w:val="20"/>
          <w:szCs w:val="20"/>
          <w:lang w:val="en-US" w:eastAsia="en-US"/>
        </w:rPr>
        <w:t>compan</w:t>
      </w:r>
      <w:r w:rsidR="00551229">
        <w:rPr>
          <w:rFonts w:ascii="Arial" w:hAnsi="Arial" w:cs="Arial"/>
          <w:sz w:val="20"/>
          <w:szCs w:val="20"/>
          <w:lang w:val="en-US" w:eastAsia="en-US"/>
        </w:rPr>
        <w:t>y</w:t>
      </w:r>
      <w:r w:rsidR="00551229" w:rsidRPr="000B3BB7">
        <w:rPr>
          <w:rFonts w:ascii="Arial" w:hAnsi="Arial" w:cs="Arial"/>
          <w:sz w:val="20"/>
          <w:szCs w:val="20"/>
          <w:lang w:val="en-US" w:eastAsia="en-US"/>
        </w:rPr>
        <w:t xml:space="preserve"> headquarters</w:t>
      </w:r>
      <w:r w:rsidR="00551229" w:rsidRPr="000B3BB7" w:rsidDel="00551229">
        <w:rPr>
          <w:rFonts w:ascii="Arial" w:hAnsi="Arial" w:cs="Arial"/>
          <w:sz w:val="20"/>
          <w:szCs w:val="20"/>
          <w:lang w:val="en-US" w:eastAsia="en-US"/>
        </w:rPr>
        <w:t xml:space="preserve"> </w:t>
      </w:r>
      <w:r>
        <w:rPr>
          <w:rFonts w:ascii="Arial" w:hAnsi="Arial" w:cs="Arial"/>
          <w:sz w:val="20"/>
          <w:szCs w:val="20"/>
          <w:lang w:val="en-US" w:eastAsia="en-US"/>
        </w:rPr>
        <w:t>(</w:t>
      </w:r>
      <w:r w:rsidRPr="000B3BB7">
        <w:rPr>
          <w:rFonts w:ascii="Arial" w:hAnsi="Arial" w:cs="Arial"/>
          <w:sz w:val="20"/>
          <w:szCs w:val="20"/>
          <w:lang w:eastAsia="en-US"/>
        </w:rPr>
        <w:t>based outside the six affected regions, mainly in Bucharest</w:t>
      </w:r>
      <w:r>
        <w:rPr>
          <w:rFonts w:ascii="Arial" w:hAnsi="Arial" w:cs="Arial"/>
          <w:sz w:val="20"/>
          <w:szCs w:val="20"/>
          <w:lang w:eastAsia="en-US"/>
        </w:rPr>
        <w:t>)</w:t>
      </w:r>
      <w:r w:rsidRPr="000B3BB7">
        <w:rPr>
          <w:rFonts w:ascii="Arial" w:hAnsi="Arial" w:cs="Arial"/>
          <w:sz w:val="20"/>
          <w:szCs w:val="20"/>
          <w:lang w:val="en-US" w:eastAsia="en-US"/>
        </w:rPr>
        <w:t xml:space="preserve">. </w:t>
      </w:r>
    </w:p>
    <w:p w14:paraId="6038C325" w14:textId="32FE03B2" w:rsidR="000B3BB7" w:rsidRPr="000B3BB7" w:rsidRDefault="000B3BB7" w:rsidP="00854A6F">
      <w:pPr>
        <w:spacing w:after="120"/>
        <w:jc w:val="both"/>
        <w:rPr>
          <w:rFonts w:ascii="Arial" w:hAnsi="Arial" w:cs="Arial"/>
          <w:sz w:val="20"/>
          <w:szCs w:val="20"/>
          <w:lang w:val="en-US" w:eastAsia="en-US"/>
        </w:rPr>
      </w:pPr>
      <w:r w:rsidRPr="000B3BB7">
        <w:rPr>
          <w:rFonts w:ascii="Arial" w:hAnsi="Arial" w:cs="Arial"/>
          <w:sz w:val="20"/>
          <w:szCs w:val="20"/>
          <w:lang w:val="en-US" w:eastAsia="en-US"/>
        </w:rPr>
        <w:t xml:space="preserve">The main economic areas </w:t>
      </w:r>
      <w:r w:rsidR="00C211B0">
        <w:rPr>
          <w:rFonts w:ascii="Arial" w:hAnsi="Arial" w:cs="Arial"/>
          <w:sz w:val="20"/>
          <w:szCs w:val="20"/>
          <w:lang w:val="en-US" w:eastAsia="en-US"/>
        </w:rPr>
        <w:t>where</w:t>
      </w:r>
      <w:r w:rsidRPr="000B3BB7">
        <w:rPr>
          <w:rFonts w:ascii="Arial" w:hAnsi="Arial" w:cs="Arial"/>
          <w:sz w:val="20"/>
          <w:szCs w:val="20"/>
          <w:lang w:val="en-US" w:eastAsia="en-US"/>
        </w:rPr>
        <w:t xml:space="preserve"> suppliers operate </w:t>
      </w:r>
      <w:r w:rsidR="00C211B0">
        <w:rPr>
          <w:rFonts w:ascii="Arial" w:hAnsi="Arial" w:cs="Arial"/>
          <w:sz w:val="20"/>
          <w:szCs w:val="20"/>
          <w:lang w:val="en-US" w:eastAsia="en-US"/>
        </w:rPr>
        <w:t>include</w:t>
      </w:r>
      <w:r w:rsidRPr="000B3BB7">
        <w:rPr>
          <w:rFonts w:ascii="Arial" w:hAnsi="Arial" w:cs="Arial"/>
          <w:sz w:val="20"/>
          <w:szCs w:val="20"/>
          <w:lang w:val="en-US" w:eastAsia="en-US"/>
        </w:rPr>
        <w:t xml:space="preserve"> </w:t>
      </w:r>
      <w:r w:rsidR="00C211B0">
        <w:rPr>
          <w:rFonts w:ascii="Arial" w:hAnsi="Arial" w:cs="Arial"/>
          <w:sz w:val="20"/>
          <w:szCs w:val="20"/>
          <w:lang w:val="en-US" w:eastAsia="en-US"/>
        </w:rPr>
        <w:t>f</w:t>
      </w:r>
      <w:r w:rsidRPr="000B3BB7">
        <w:rPr>
          <w:rFonts w:ascii="Arial" w:hAnsi="Arial" w:cs="Arial"/>
          <w:sz w:val="20"/>
          <w:szCs w:val="20"/>
          <w:lang w:val="en-US" w:eastAsia="en-US"/>
        </w:rPr>
        <w:t xml:space="preserve">inancial and insurance services and </w:t>
      </w:r>
      <w:r w:rsidR="00C211B0">
        <w:rPr>
          <w:rFonts w:ascii="Arial" w:hAnsi="Arial" w:cs="Arial"/>
          <w:sz w:val="20"/>
          <w:szCs w:val="20"/>
          <w:lang w:val="en-US" w:eastAsia="en-US"/>
        </w:rPr>
        <w:t>a</w:t>
      </w:r>
      <w:r w:rsidRPr="000B3BB7">
        <w:rPr>
          <w:rFonts w:ascii="Arial" w:hAnsi="Arial" w:cs="Arial"/>
          <w:sz w:val="20"/>
          <w:szCs w:val="20"/>
          <w:lang w:val="en-US" w:eastAsia="en-US"/>
        </w:rPr>
        <w:t xml:space="preserve">dministrative and support services. These </w:t>
      </w:r>
      <w:r w:rsidR="00C211B0">
        <w:rPr>
          <w:rFonts w:ascii="Arial" w:hAnsi="Arial" w:cs="Arial"/>
          <w:sz w:val="20"/>
          <w:szCs w:val="20"/>
          <w:lang w:val="en-US" w:eastAsia="en-US"/>
        </w:rPr>
        <w:t xml:space="preserve">sectors </w:t>
      </w:r>
      <w:r w:rsidRPr="000B3BB7">
        <w:rPr>
          <w:rFonts w:ascii="Arial" w:hAnsi="Arial" w:cs="Arial"/>
          <w:sz w:val="20"/>
          <w:szCs w:val="20"/>
          <w:lang w:val="en-US" w:eastAsia="en-US"/>
        </w:rPr>
        <w:t xml:space="preserve">are followed by </w:t>
      </w:r>
      <w:r w:rsidR="00C211B0">
        <w:rPr>
          <w:rFonts w:ascii="Arial" w:hAnsi="Arial" w:cs="Arial"/>
          <w:sz w:val="20"/>
          <w:szCs w:val="20"/>
          <w:lang w:val="en-US" w:eastAsia="en-US"/>
        </w:rPr>
        <w:t>e</w:t>
      </w:r>
      <w:r w:rsidRPr="000B3BB7">
        <w:rPr>
          <w:rFonts w:ascii="Arial" w:hAnsi="Arial" w:cs="Arial"/>
          <w:sz w:val="20"/>
          <w:szCs w:val="20"/>
          <w:lang w:val="en-US" w:eastAsia="en-US"/>
        </w:rPr>
        <w:t xml:space="preserve">lectricity, gas, steam and air-conditioning supply, </w:t>
      </w:r>
      <w:r w:rsidR="00C211B0">
        <w:rPr>
          <w:rFonts w:ascii="Arial" w:hAnsi="Arial" w:cs="Arial"/>
          <w:sz w:val="20"/>
          <w:szCs w:val="20"/>
          <w:lang w:val="en-US" w:eastAsia="en-US"/>
        </w:rPr>
        <w:t>c</w:t>
      </w:r>
      <w:r w:rsidRPr="000B3BB7">
        <w:rPr>
          <w:rFonts w:ascii="Arial" w:hAnsi="Arial" w:cs="Arial"/>
          <w:sz w:val="20"/>
          <w:szCs w:val="20"/>
          <w:lang w:val="en-US" w:eastAsia="en-US"/>
        </w:rPr>
        <w:t xml:space="preserve">onstruction and </w:t>
      </w:r>
      <w:r w:rsidR="00C211B0">
        <w:rPr>
          <w:rFonts w:ascii="Arial" w:hAnsi="Arial" w:cs="Arial"/>
          <w:sz w:val="20"/>
          <w:szCs w:val="20"/>
          <w:lang w:val="en-US" w:eastAsia="en-US"/>
        </w:rPr>
        <w:t>m</w:t>
      </w:r>
      <w:r w:rsidRPr="000B3BB7">
        <w:rPr>
          <w:rFonts w:ascii="Arial" w:hAnsi="Arial" w:cs="Arial"/>
          <w:sz w:val="20"/>
          <w:szCs w:val="20"/>
          <w:lang w:val="en-US" w:eastAsia="en-US"/>
        </w:rPr>
        <w:t>anufacturing.</w:t>
      </w:r>
    </w:p>
    <w:p w14:paraId="637735DB" w14:textId="55E089B9" w:rsidR="001A044F" w:rsidRDefault="000B3BB7" w:rsidP="00854A6F">
      <w:pPr>
        <w:spacing w:after="120"/>
        <w:jc w:val="both"/>
        <w:rPr>
          <w:rFonts w:ascii="Arial" w:hAnsi="Arial" w:cs="Arial"/>
          <w:sz w:val="20"/>
          <w:szCs w:val="20"/>
          <w:lang w:val="en-US" w:eastAsia="en-US"/>
        </w:rPr>
      </w:pPr>
      <w:r w:rsidRPr="000B3BB7">
        <w:rPr>
          <w:rFonts w:ascii="Arial" w:hAnsi="Arial" w:cs="Arial"/>
          <w:sz w:val="20"/>
          <w:szCs w:val="20"/>
          <w:lang w:val="en-US" w:eastAsia="en-US"/>
        </w:rPr>
        <w:t xml:space="preserve">The largest share in </w:t>
      </w:r>
      <w:r w:rsidR="00BF5729">
        <w:rPr>
          <w:rFonts w:ascii="Arial" w:hAnsi="Arial" w:cs="Arial"/>
          <w:sz w:val="20"/>
          <w:szCs w:val="20"/>
          <w:lang w:val="en-US" w:eastAsia="en-US"/>
        </w:rPr>
        <w:t xml:space="preserve">terms of </w:t>
      </w:r>
      <w:r w:rsidRPr="000B3BB7">
        <w:rPr>
          <w:rFonts w:ascii="Arial" w:hAnsi="Arial" w:cs="Arial"/>
          <w:sz w:val="20"/>
          <w:szCs w:val="20"/>
          <w:lang w:val="en-US" w:eastAsia="en-US"/>
        </w:rPr>
        <w:t xml:space="preserve">total people employed by a supplier is </w:t>
      </w:r>
      <w:r w:rsidR="00BF5729">
        <w:rPr>
          <w:rFonts w:ascii="Arial" w:hAnsi="Arial" w:cs="Arial"/>
          <w:sz w:val="20"/>
          <w:szCs w:val="20"/>
          <w:lang w:val="en-US" w:eastAsia="en-US"/>
        </w:rPr>
        <w:t>from</w:t>
      </w:r>
      <w:r w:rsidRPr="000B3BB7">
        <w:rPr>
          <w:rFonts w:ascii="Arial" w:hAnsi="Arial" w:cs="Arial"/>
          <w:sz w:val="20"/>
          <w:szCs w:val="20"/>
          <w:lang w:val="en-US" w:eastAsia="en-US"/>
        </w:rPr>
        <w:t xml:space="preserve"> companies active in </w:t>
      </w:r>
      <w:r w:rsidR="00BF5729">
        <w:rPr>
          <w:rFonts w:ascii="Arial" w:hAnsi="Arial" w:cs="Arial"/>
          <w:sz w:val="20"/>
          <w:szCs w:val="20"/>
          <w:lang w:val="en-US" w:eastAsia="en-US"/>
        </w:rPr>
        <w:t>f</w:t>
      </w:r>
      <w:r w:rsidRPr="000B3BB7">
        <w:rPr>
          <w:rFonts w:ascii="Arial" w:hAnsi="Arial" w:cs="Arial"/>
          <w:sz w:val="20"/>
          <w:szCs w:val="20"/>
          <w:lang w:val="en-US" w:eastAsia="en-US"/>
        </w:rPr>
        <w:t xml:space="preserve">inancial and insurance services. We do not know to what extent the listed suppliers are dependent on the Operator's activity </w:t>
      </w:r>
      <w:r w:rsidR="00AF184F">
        <w:rPr>
          <w:rFonts w:ascii="Arial" w:hAnsi="Arial" w:cs="Arial"/>
          <w:sz w:val="20"/>
          <w:szCs w:val="20"/>
          <w:lang w:val="en-US" w:eastAsia="en-US"/>
        </w:rPr>
        <w:t>or</w:t>
      </w:r>
      <w:r w:rsidRPr="000B3BB7">
        <w:rPr>
          <w:rFonts w:ascii="Arial" w:hAnsi="Arial" w:cs="Arial"/>
          <w:sz w:val="20"/>
          <w:szCs w:val="20"/>
          <w:lang w:val="en-US" w:eastAsia="en-US"/>
        </w:rPr>
        <w:t xml:space="preserve"> the magnitude of the indirect effects implied by the transition on the value chain.</w:t>
      </w:r>
      <w:r>
        <w:rPr>
          <w:rFonts w:ascii="Arial" w:hAnsi="Arial" w:cs="Arial"/>
          <w:sz w:val="20"/>
          <w:szCs w:val="20"/>
          <w:lang w:val="en-US" w:eastAsia="en-US"/>
        </w:rPr>
        <w:t xml:space="preserve"> However, we estimate that an average of 10% of people employed through</w:t>
      </w:r>
      <w:r w:rsidR="00AF184F">
        <w:rPr>
          <w:rFonts w:ascii="Arial" w:hAnsi="Arial" w:cs="Arial"/>
          <w:sz w:val="20"/>
          <w:szCs w:val="20"/>
          <w:lang w:val="en-US" w:eastAsia="en-US"/>
        </w:rPr>
        <w:t>out</w:t>
      </w:r>
      <w:r>
        <w:rPr>
          <w:rFonts w:ascii="Arial" w:hAnsi="Arial" w:cs="Arial"/>
          <w:sz w:val="20"/>
          <w:szCs w:val="20"/>
          <w:lang w:val="en-US" w:eastAsia="en-US"/>
        </w:rPr>
        <w:t xml:space="preserve"> the value chain could </w:t>
      </w:r>
      <w:r w:rsidR="00AF184F">
        <w:rPr>
          <w:rFonts w:ascii="Arial" w:hAnsi="Arial" w:cs="Arial"/>
          <w:sz w:val="20"/>
          <w:szCs w:val="20"/>
          <w:lang w:val="en-US" w:eastAsia="en-US"/>
        </w:rPr>
        <w:t>be subject</w:t>
      </w:r>
      <w:r>
        <w:rPr>
          <w:rFonts w:ascii="Arial" w:hAnsi="Arial" w:cs="Arial"/>
          <w:sz w:val="20"/>
          <w:szCs w:val="20"/>
          <w:lang w:val="en-US" w:eastAsia="en-US"/>
        </w:rPr>
        <w:t xml:space="preserve"> </w:t>
      </w:r>
      <w:r w:rsidR="00AF184F">
        <w:rPr>
          <w:rFonts w:ascii="Arial" w:hAnsi="Arial" w:cs="Arial"/>
          <w:sz w:val="20"/>
          <w:szCs w:val="20"/>
          <w:lang w:val="en-US" w:eastAsia="en-US"/>
        </w:rPr>
        <w:t>to the</w:t>
      </w:r>
      <w:r>
        <w:rPr>
          <w:rFonts w:ascii="Arial" w:hAnsi="Arial" w:cs="Arial"/>
          <w:sz w:val="20"/>
          <w:szCs w:val="20"/>
          <w:lang w:val="en-US" w:eastAsia="en-US"/>
        </w:rPr>
        <w:t xml:space="preserve"> indirect effect</w:t>
      </w:r>
      <w:r w:rsidR="00AF184F">
        <w:rPr>
          <w:rFonts w:ascii="Arial" w:hAnsi="Arial" w:cs="Arial"/>
          <w:sz w:val="20"/>
          <w:szCs w:val="20"/>
          <w:lang w:val="en-US" w:eastAsia="en-US"/>
        </w:rPr>
        <w:t>s</w:t>
      </w:r>
      <w:r>
        <w:rPr>
          <w:rFonts w:ascii="Arial" w:hAnsi="Arial" w:cs="Arial"/>
          <w:sz w:val="20"/>
          <w:szCs w:val="20"/>
          <w:lang w:val="en-US" w:eastAsia="en-US"/>
        </w:rPr>
        <w:t xml:space="preserve"> of the decarboni</w:t>
      </w:r>
      <w:r w:rsidR="00AF184F">
        <w:rPr>
          <w:rFonts w:ascii="Arial" w:hAnsi="Arial" w:cs="Arial"/>
          <w:sz w:val="20"/>
          <w:szCs w:val="20"/>
          <w:lang w:val="en-US" w:eastAsia="en-US"/>
        </w:rPr>
        <w:t>s</w:t>
      </w:r>
      <w:r>
        <w:rPr>
          <w:rFonts w:ascii="Arial" w:hAnsi="Arial" w:cs="Arial"/>
          <w:sz w:val="20"/>
          <w:szCs w:val="20"/>
          <w:lang w:val="en-US" w:eastAsia="en-US"/>
        </w:rPr>
        <w:t xml:space="preserve">ation process </w:t>
      </w:r>
      <w:r w:rsidR="00080A53">
        <w:rPr>
          <w:rFonts w:ascii="Arial" w:hAnsi="Arial" w:cs="Arial"/>
          <w:sz w:val="20"/>
          <w:szCs w:val="20"/>
          <w:lang w:val="en-US" w:eastAsia="en-US"/>
        </w:rPr>
        <w:t>of</w:t>
      </w:r>
      <w:r>
        <w:rPr>
          <w:rFonts w:ascii="Arial" w:hAnsi="Arial" w:cs="Arial"/>
          <w:sz w:val="20"/>
          <w:szCs w:val="20"/>
          <w:lang w:val="en-US" w:eastAsia="en-US"/>
        </w:rPr>
        <w:t xml:space="preserve"> Oltenia EC.</w:t>
      </w:r>
    </w:p>
    <w:p w14:paraId="49B0A015" w14:textId="221051AE" w:rsidR="000B3BB7" w:rsidRPr="00854A6F" w:rsidRDefault="000B3BB7" w:rsidP="00854A6F">
      <w:pPr>
        <w:spacing w:after="120"/>
        <w:jc w:val="both"/>
        <w:rPr>
          <w:rFonts w:ascii="Arial" w:hAnsi="Arial" w:cs="Arial"/>
          <w:bCs/>
          <w:color w:val="4F81BD" w:themeColor="accent1"/>
          <w:sz w:val="20"/>
          <w:szCs w:val="20"/>
        </w:rPr>
      </w:pPr>
      <w:r w:rsidRPr="00281D37">
        <w:rPr>
          <w:rFonts w:ascii="Arial" w:hAnsi="Arial" w:cs="Arial"/>
          <w:bCs/>
          <w:color w:val="4F81BD" w:themeColor="accent1"/>
          <w:sz w:val="20"/>
          <w:szCs w:val="20"/>
        </w:rPr>
        <w:t>OMV Petrom</w:t>
      </w:r>
    </w:p>
    <w:p w14:paraId="26708784" w14:textId="753D6196" w:rsidR="000B3BB7" w:rsidRPr="000B3BB7" w:rsidRDefault="000B3BB7" w:rsidP="00854A6F">
      <w:pPr>
        <w:spacing w:after="120"/>
        <w:jc w:val="both"/>
        <w:rPr>
          <w:rFonts w:ascii="Arial" w:hAnsi="Arial" w:cs="Arial"/>
          <w:bCs/>
          <w:sz w:val="20"/>
          <w:szCs w:val="20"/>
          <w:lang w:val="en-US"/>
        </w:rPr>
      </w:pPr>
      <w:r w:rsidRPr="000B3BB7">
        <w:rPr>
          <w:rFonts w:ascii="Arial" w:hAnsi="Arial" w:cs="Arial"/>
          <w:bCs/>
          <w:sz w:val="20"/>
          <w:szCs w:val="20"/>
          <w:lang w:val="en-US"/>
        </w:rPr>
        <w:t xml:space="preserve">Based on 2019 data, </w:t>
      </w:r>
      <w:r w:rsidR="001E156F">
        <w:rPr>
          <w:rFonts w:ascii="Arial" w:hAnsi="Arial" w:cs="Arial"/>
          <w:bCs/>
          <w:sz w:val="20"/>
          <w:szCs w:val="20"/>
          <w:lang w:val="en-US"/>
        </w:rPr>
        <w:t xml:space="preserve">the </w:t>
      </w:r>
      <w:r w:rsidRPr="000B3BB7">
        <w:rPr>
          <w:rFonts w:ascii="Arial" w:hAnsi="Arial" w:cs="Arial"/>
          <w:bCs/>
          <w:sz w:val="20"/>
          <w:szCs w:val="20"/>
          <w:lang w:val="en-US"/>
        </w:rPr>
        <w:t>top listed suppliers employed approximately 32</w:t>
      </w:r>
      <w:r w:rsidR="001E156F">
        <w:rPr>
          <w:rFonts w:ascii="Arial" w:hAnsi="Arial" w:cs="Arial"/>
          <w:bCs/>
          <w:sz w:val="20"/>
          <w:szCs w:val="20"/>
          <w:lang w:val="en-US"/>
        </w:rPr>
        <w:t>,000</w:t>
      </w:r>
      <w:r w:rsidRPr="000B3BB7">
        <w:rPr>
          <w:rFonts w:ascii="Arial" w:hAnsi="Arial" w:cs="Arial"/>
          <w:bCs/>
          <w:sz w:val="20"/>
          <w:szCs w:val="20"/>
          <w:lang w:val="en-US"/>
        </w:rPr>
        <w:t xml:space="preserve"> people across </w:t>
      </w:r>
      <w:r w:rsidR="001E156F">
        <w:rPr>
          <w:rFonts w:ascii="Arial" w:hAnsi="Arial" w:cs="Arial"/>
          <w:bCs/>
          <w:sz w:val="20"/>
          <w:szCs w:val="20"/>
          <w:lang w:val="en-US"/>
        </w:rPr>
        <w:t>the</w:t>
      </w:r>
      <w:r w:rsidRPr="000B3BB7">
        <w:rPr>
          <w:rFonts w:ascii="Arial" w:hAnsi="Arial" w:cs="Arial"/>
          <w:bCs/>
          <w:sz w:val="20"/>
          <w:szCs w:val="20"/>
          <w:lang w:val="en-US"/>
        </w:rPr>
        <w:t xml:space="preserve"> six affected regions and at </w:t>
      </w:r>
      <w:r w:rsidR="001E156F">
        <w:rPr>
          <w:rFonts w:ascii="Arial" w:hAnsi="Arial" w:cs="Arial"/>
          <w:bCs/>
          <w:sz w:val="20"/>
          <w:szCs w:val="20"/>
          <w:lang w:val="en-US"/>
        </w:rPr>
        <w:t xml:space="preserve">the </w:t>
      </w:r>
      <w:r w:rsidRPr="000B3BB7">
        <w:rPr>
          <w:rFonts w:ascii="Arial" w:hAnsi="Arial" w:cs="Arial"/>
          <w:bCs/>
          <w:sz w:val="20"/>
          <w:szCs w:val="20"/>
          <w:lang w:val="en-US"/>
        </w:rPr>
        <w:t xml:space="preserve">national </w:t>
      </w:r>
      <w:r w:rsidR="001E156F" w:rsidRPr="000B3BB7">
        <w:rPr>
          <w:rFonts w:ascii="Arial" w:hAnsi="Arial" w:cs="Arial"/>
          <w:bCs/>
          <w:sz w:val="20"/>
          <w:szCs w:val="20"/>
          <w:lang w:val="en-US"/>
        </w:rPr>
        <w:t>compan</w:t>
      </w:r>
      <w:r w:rsidR="001E156F">
        <w:rPr>
          <w:rFonts w:ascii="Arial" w:hAnsi="Arial" w:cs="Arial"/>
          <w:bCs/>
          <w:sz w:val="20"/>
          <w:szCs w:val="20"/>
          <w:lang w:val="en-US"/>
        </w:rPr>
        <w:t>y</w:t>
      </w:r>
      <w:r w:rsidR="001E156F" w:rsidRPr="000B3BB7">
        <w:rPr>
          <w:rFonts w:ascii="Arial" w:hAnsi="Arial" w:cs="Arial"/>
          <w:bCs/>
          <w:sz w:val="20"/>
          <w:szCs w:val="20"/>
          <w:lang w:val="en-US"/>
        </w:rPr>
        <w:t xml:space="preserve"> headquarters</w:t>
      </w:r>
      <w:r w:rsidR="001E156F" w:rsidRPr="000B3BB7" w:rsidDel="001E156F">
        <w:rPr>
          <w:rFonts w:ascii="Arial" w:hAnsi="Arial" w:cs="Arial"/>
          <w:bCs/>
          <w:sz w:val="20"/>
          <w:szCs w:val="20"/>
          <w:lang w:val="en-US"/>
        </w:rPr>
        <w:t xml:space="preserve"> </w:t>
      </w:r>
      <w:r w:rsidR="00080A53">
        <w:rPr>
          <w:rFonts w:ascii="Arial" w:hAnsi="Arial" w:cs="Arial"/>
          <w:bCs/>
          <w:sz w:val="20"/>
          <w:szCs w:val="20"/>
          <w:lang w:val="en-US"/>
        </w:rPr>
        <w:t>(</w:t>
      </w:r>
      <w:r w:rsidR="00080A53" w:rsidRPr="000B3BB7">
        <w:rPr>
          <w:rFonts w:ascii="Arial" w:hAnsi="Arial" w:cs="Arial"/>
          <w:sz w:val="20"/>
          <w:szCs w:val="20"/>
          <w:lang w:eastAsia="en-US"/>
        </w:rPr>
        <w:t>based outside the six affected regions, mainly in Bucharest</w:t>
      </w:r>
      <w:r w:rsidR="00080A53">
        <w:rPr>
          <w:rFonts w:ascii="Arial" w:hAnsi="Arial" w:cs="Arial"/>
          <w:sz w:val="20"/>
          <w:szCs w:val="20"/>
          <w:lang w:eastAsia="en-US"/>
        </w:rPr>
        <w:t>)</w:t>
      </w:r>
      <w:r w:rsidRPr="000B3BB7">
        <w:rPr>
          <w:rFonts w:ascii="Arial" w:hAnsi="Arial" w:cs="Arial"/>
          <w:bCs/>
          <w:sz w:val="20"/>
          <w:szCs w:val="20"/>
          <w:lang w:val="en-US"/>
        </w:rPr>
        <w:t>.</w:t>
      </w:r>
    </w:p>
    <w:p w14:paraId="2B096B80" w14:textId="4ED5B299" w:rsidR="00080A53" w:rsidRPr="000B3BB7" w:rsidRDefault="000B3BB7" w:rsidP="00854A6F">
      <w:pPr>
        <w:spacing w:after="120"/>
        <w:jc w:val="both"/>
        <w:rPr>
          <w:rFonts w:ascii="Arial" w:hAnsi="Arial" w:cs="Arial"/>
          <w:bCs/>
          <w:sz w:val="20"/>
          <w:szCs w:val="20"/>
          <w:lang w:val="en-US"/>
        </w:rPr>
      </w:pPr>
      <w:r w:rsidRPr="000B3BB7">
        <w:rPr>
          <w:rFonts w:ascii="Arial" w:hAnsi="Arial" w:cs="Arial"/>
          <w:bCs/>
          <w:sz w:val="20"/>
          <w:szCs w:val="20"/>
          <w:lang w:val="en-US"/>
        </w:rPr>
        <w:t xml:space="preserve">The main economic areas </w:t>
      </w:r>
      <w:r w:rsidR="003E29F9">
        <w:rPr>
          <w:rFonts w:ascii="Arial" w:hAnsi="Arial" w:cs="Arial"/>
          <w:bCs/>
          <w:sz w:val="20"/>
          <w:szCs w:val="20"/>
          <w:lang w:val="en-US"/>
        </w:rPr>
        <w:t>where</w:t>
      </w:r>
      <w:r w:rsidRPr="000B3BB7">
        <w:rPr>
          <w:rFonts w:ascii="Arial" w:hAnsi="Arial" w:cs="Arial"/>
          <w:bCs/>
          <w:sz w:val="20"/>
          <w:szCs w:val="20"/>
          <w:lang w:val="en-US"/>
        </w:rPr>
        <w:t xml:space="preserve"> the suppliers operate are </w:t>
      </w:r>
      <w:r w:rsidR="003E29F9">
        <w:rPr>
          <w:rFonts w:ascii="Arial" w:hAnsi="Arial" w:cs="Arial"/>
          <w:bCs/>
          <w:sz w:val="20"/>
          <w:szCs w:val="20"/>
          <w:lang w:val="en-US"/>
        </w:rPr>
        <w:t>t</w:t>
      </w:r>
      <w:r w:rsidRPr="000B3BB7">
        <w:rPr>
          <w:rFonts w:ascii="Arial" w:hAnsi="Arial" w:cs="Arial"/>
          <w:bCs/>
          <w:sz w:val="20"/>
          <w:szCs w:val="20"/>
          <w:lang w:val="en-US"/>
        </w:rPr>
        <w:t xml:space="preserve">ransportation and storage, </w:t>
      </w:r>
      <w:r w:rsidR="003E29F9">
        <w:rPr>
          <w:rFonts w:ascii="Arial" w:hAnsi="Arial" w:cs="Arial"/>
          <w:bCs/>
          <w:sz w:val="20"/>
          <w:szCs w:val="20"/>
          <w:lang w:val="en-US"/>
        </w:rPr>
        <w:t>a</w:t>
      </w:r>
      <w:r w:rsidRPr="000B3BB7">
        <w:rPr>
          <w:rFonts w:ascii="Arial" w:hAnsi="Arial" w:cs="Arial"/>
          <w:bCs/>
          <w:sz w:val="20"/>
          <w:szCs w:val="20"/>
          <w:lang w:val="en-US"/>
        </w:rPr>
        <w:t xml:space="preserve">dministrative and support service and </w:t>
      </w:r>
      <w:r w:rsidR="00B03F19">
        <w:rPr>
          <w:rFonts w:ascii="Arial" w:hAnsi="Arial" w:cs="Arial"/>
          <w:bCs/>
          <w:sz w:val="20"/>
          <w:szCs w:val="20"/>
          <w:lang w:val="en-US"/>
        </w:rPr>
        <w:t>m</w:t>
      </w:r>
      <w:r w:rsidRPr="000B3BB7">
        <w:rPr>
          <w:rFonts w:ascii="Arial" w:hAnsi="Arial" w:cs="Arial"/>
          <w:bCs/>
          <w:sz w:val="20"/>
          <w:szCs w:val="20"/>
          <w:lang w:val="en-US"/>
        </w:rPr>
        <w:t xml:space="preserve">anufacturing. These are followed by </w:t>
      </w:r>
      <w:r w:rsidR="00B03F19">
        <w:rPr>
          <w:rFonts w:ascii="Arial" w:hAnsi="Arial" w:cs="Arial"/>
          <w:bCs/>
          <w:sz w:val="20"/>
          <w:szCs w:val="20"/>
          <w:lang w:val="en-US"/>
        </w:rPr>
        <w:t>w</w:t>
      </w:r>
      <w:r w:rsidRPr="000B3BB7">
        <w:rPr>
          <w:rFonts w:ascii="Arial" w:hAnsi="Arial" w:cs="Arial"/>
          <w:bCs/>
          <w:sz w:val="20"/>
          <w:szCs w:val="20"/>
          <w:lang w:val="en-US"/>
        </w:rPr>
        <w:t xml:space="preserve">holesale and retail trade and </w:t>
      </w:r>
      <w:r w:rsidR="00B03F19">
        <w:rPr>
          <w:rFonts w:ascii="Arial" w:hAnsi="Arial" w:cs="Arial"/>
          <w:bCs/>
          <w:sz w:val="20"/>
          <w:szCs w:val="20"/>
          <w:lang w:val="en-US"/>
        </w:rPr>
        <w:t>m</w:t>
      </w:r>
      <w:r w:rsidRPr="000B3BB7">
        <w:rPr>
          <w:rFonts w:ascii="Arial" w:hAnsi="Arial" w:cs="Arial"/>
          <w:bCs/>
          <w:sz w:val="20"/>
          <w:szCs w:val="20"/>
          <w:lang w:val="en-US"/>
        </w:rPr>
        <w:t xml:space="preserve">ining and quarrying. </w:t>
      </w:r>
    </w:p>
    <w:p w14:paraId="7783A616" w14:textId="02C9FBFE" w:rsidR="00776039" w:rsidRPr="00854A6F" w:rsidRDefault="00281D37" w:rsidP="00854A6F">
      <w:pPr>
        <w:spacing w:after="120"/>
        <w:jc w:val="both"/>
        <w:rPr>
          <w:rFonts w:ascii="Arial" w:hAnsi="Arial" w:cs="Arial"/>
          <w:sz w:val="20"/>
          <w:szCs w:val="20"/>
          <w:lang w:val="en-US" w:eastAsia="en-US"/>
        </w:rPr>
      </w:pPr>
      <w:r>
        <w:rPr>
          <w:rFonts w:ascii="Arial" w:hAnsi="Arial" w:cs="Arial"/>
          <w:bCs/>
          <w:sz w:val="20"/>
          <w:szCs w:val="20"/>
          <w:lang w:val="en-US"/>
        </w:rPr>
        <w:t>Among the suppliers</w:t>
      </w:r>
      <w:r w:rsidR="00634AE8">
        <w:rPr>
          <w:rFonts w:ascii="Arial" w:hAnsi="Arial" w:cs="Arial"/>
          <w:bCs/>
          <w:sz w:val="20"/>
          <w:szCs w:val="20"/>
          <w:lang w:val="en-US"/>
        </w:rPr>
        <w:t xml:space="preserve"> of OMV Petrom</w:t>
      </w:r>
      <w:r>
        <w:rPr>
          <w:rFonts w:ascii="Arial" w:hAnsi="Arial" w:cs="Arial"/>
          <w:bCs/>
          <w:sz w:val="20"/>
          <w:szCs w:val="20"/>
          <w:lang w:val="en-US"/>
        </w:rPr>
        <w:t xml:space="preserve">, CFR SA (National Railway Company) has the largest share of </w:t>
      </w:r>
      <w:r w:rsidR="0057444A">
        <w:rPr>
          <w:rFonts w:ascii="Arial" w:hAnsi="Arial" w:cs="Arial"/>
          <w:bCs/>
          <w:sz w:val="20"/>
          <w:szCs w:val="20"/>
          <w:lang w:val="en-US"/>
        </w:rPr>
        <w:t xml:space="preserve">people employed, with </w:t>
      </w:r>
      <w:r w:rsidR="00634AE8">
        <w:rPr>
          <w:rFonts w:ascii="Arial" w:hAnsi="Arial" w:cs="Arial"/>
          <w:bCs/>
          <w:sz w:val="20"/>
          <w:szCs w:val="20"/>
          <w:lang w:val="en-US"/>
        </w:rPr>
        <w:t xml:space="preserve">its social </w:t>
      </w:r>
      <w:r w:rsidR="0057444A">
        <w:rPr>
          <w:rFonts w:ascii="Arial" w:hAnsi="Arial" w:cs="Arial"/>
          <w:bCs/>
          <w:sz w:val="20"/>
          <w:szCs w:val="20"/>
          <w:lang w:val="en-US"/>
        </w:rPr>
        <w:t xml:space="preserve">headquarters based in </w:t>
      </w:r>
      <w:r w:rsidR="005B2421">
        <w:rPr>
          <w:rFonts w:ascii="Arial" w:hAnsi="Arial" w:cs="Arial"/>
          <w:bCs/>
          <w:sz w:val="20"/>
          <w:szCs w:val="20"/>
          <w:lang w:val="en-US"/>
        </w:rPr>
        <w:t>Bucharest</w:t>
      </w:r>
      <w:r w:rsidR="0057444A">
        <w:rPr>
          <w:rFonts w:ascii="Arial" w:hAnsi="Arial" w:cs="Arial"/>
          <w:bCs/>
          <w:sz w:val="20"/>
          <w:szCs w:val="20"/>
          <w:lang w:val="en-US"/>
        </w:rPr>
        <w:t xml:space="preserve">. </w:t>
      </w:r>
      <w:r w:rsidR="000B3BB7" w:rsidRPr="000B3BB7">
        <w:rPr>
          <w:rFonts w:ascii="Arial" w:hAnsi="Arial" w:cs="Arial"/>
          <w:bCs/>
          <w:sz w:val="20"/>
          <w:szCs w:val="20"/>
          <w:lang w:val="en-US"/>
        </w:rPr>
        <w:t xml:space="preserve">We do not know to what extent the listed suppliers are dependent on the Operator's activity </w:t>
      </w:r>
      <w:r w:rsidR="00170BE2">
        <w:rPr>
          <w:rFonts w:ascii="Arial" w:hAnsi="Arial" w:cs="Arial"/>
          <w:bCs/>
          <w:sz w:val="20"/>
          <w:szCs w:val="20"/>
          <w:lang w:val="en-US"/>
        </w:rPr>
        <w:t>or</w:t>
      </w:r>
      <w:r w:rsidR="000B3BB7" w:rsidRPr="000B3BB7">
        <w:rPr>
          <w:rFonts w:ascii="Arial" w:hAnsi="Arial" w:cs="Arial"/>
          <w:bCs/>
          <w:sz w:val="20"/>
          <w:szCs w:val="20"/>
          <w:lang w:val="en-US"/>
        </w:rPr>
        <w:t xml:space="preserve"> the magnitude of the indirect effects implied by the transition on the value chain. However, the Operator does not anticipate sudden variations, but </w:t>
      </w:r>
      <w:r w:rsidR="00170BE2">
        <w:rPr>
          <w:rFonts w:ascii="Arial" w:hAnsi="Arial" w:cs="Arial"/>
          <w:bCs/>
          <w:sz w:val="20"/>
          <w:szCs w:val="20"/>
          <w:lang w:val="en-US"/>
        </w:rPr>
        <w:lastRenderedPageBreak/>
        <w:t xml:space="preserve">rather </w:t>
      </w:r>
      <w:r w:rsidR="000B3BB7" w:rsidRPr="000B3BB7">
        <w:rPr>
          <w:rFonts w:ascii="Arial" w:hAnsi="Arial" w:cs="Arial"/>
          <w:bCs/>
          <w:sz w:val="20"/>
          <w:szCs w:val="20"/>
          <w:lang w:val="en-US"/>
        </w:rPr>
        <w:t xml:space="preserve">a </w:t>
      </w:r>
      <w:r w:rsidR="00170BE2">
        <w:rPr>
          <w:rFonts w:ascii="Arial" w:hAnsi="Arial" w:cs="Arial"/>
          <w:bCs/>
          <w:sz w:val="20"/>
          <w:szCs w:val="20"/>
          <w:lang w:val="en-US"/>
        </w:rPr>
        <w:t>controlled</w:t>
      </w:r>
      <w:r w:rsidR="000B3BB7" w:rsidRPr="000B3BB7">
        <w:rPr>
          <w:rFonts w:ascii="Arial" w:hAnsi="Arial" w:cs="Arial"/>
          <w:bCs/>
          <w:sz w:val="20"/>
          <w:szCs w:val="20"/>
          <w:lang w:val="en-US"/>
        </w:rPr>
        <w:t xml:space="preserve"> transformation of the business model, where suppliers and clients will adopt new standards and adapt to the transition.</w:t>
      </w:r>
      <w:r w:rsidR="00353D85">
        <w:rPr>
          <w:rFonts w:ascii="Arial" w:hAnsi="Arial" w:cs="Arial"/>
          <w:bCs/>
          <w:sz w:val="20"/>
          <w:szCs w:val="20"/>
          <w:lang w:val="en-US"/>
        </w:rPr>
        <w:t xml:space="preserve"> We estimate that an average of 10% </w:t>
      </w:r>
      <w:r w:rsidR="00353D85">
        <w:rPr>
          <w:rFonts w:ascii="Arial" w:hAnsi="Arial" w:cs="Arial"/>
          <w:sz w:val="20"/>
          <w:szCs w:val="20"/>
          <w:lang w:val="en-US" w:eastAsia="en-US"/>
        </w:rPr>
        <w:t>of people employed through</w:t>
      </w:r>
      <w:r w:rsidR="00170BE2">
        <w:rPr>
          <w:rFonts w:ascii="Arial" w:hAnsi="Arial" w:cs="Arial"/>
          <w:sz w:val="20"/>
          <w:szCs w:val="20"/>
          <w:lang w:val="en-US" w:eastAsia="en-US"/>
        </w:rPr>
        <w:t>out</w:t>
      </w:r>
      <w:r w:rsidR="00353D85">
        <w:rPr>
          <w:rFonts w:ascii="Arial" w:hAnsi="Arial" w:cs="Arial"/>
          <w:sz w:val="20"/>
          <w:szCs w:val="20"/>
          <w:lang w:val="en-US" w:eastAsia="en-US"/>
        </w:rPr>
        <w:t xml:space="preserve"> the value chain could </w:t>
      </w:r>
      <w:r w:rsidR="00170BE2">
        <w:rPr>
          <w:rFonts w:ascii="Arial" w:hAnsi="Arial" w:cs="Arial"/>
          <w:sz w:val="20"/>
          <w:szCs w:val="20"/>
          <w:lang w:val="en-US" w:eastAsia="en-US"/>
        </w:rPr>
        <w:t>be subject</w:t>
      </w:r>
      <w:r w:rsidR="00353D85">
        <w:rPr>
          <w:rFonts w:ascii="Arial" w:hAnsi="Arial" w:cs="Arial"/>
          <w:sz w:val="20"/>
          <w:szCs w:val="20"/>
          <w:lang w:val="en-US" w:eastAsia="en-US"/>
        </w:rPr>
        <w:t xml:space="preserve"> </w:t>
      </w:r>
      <w:r w:rsidR="00170BE2">
        <w:rPr>
          <w:rFonts w:ascii="Arial" w:hAnsi="Arial" w:cs="Arial"/>
          <w:sz w:val="20"/>
          <w:szCs w:val="20"/>
          <w:lang w:val="en-US" w:eastAsia="en-US"/>
        </w:rPr>
        <w:t>to the</w:t>
      </w:r>
      <w:r w:rsidR="00353D85">
        <w:rPr>
          <w:rFonts w:ascii="Arial" w:hAnsi="Arial" w:cs="Arial"/>
          <w:sz w:val="20"/>
          <w:szCs w:val="20"/>
          <w:lang w:val="en-US" w:eastAsia="en-US"/>
        </w:rPr>
        <w:t xml:space="preserve"> indirect effect</w:t>
      </w:r>
      <w:r w:rsidR="00170BE2">
        <w:rPr>
          <w:rFonts w:ascii="Arial" w:hAnsi="Arial" w:cs="Arial"/>
          <w:sz w:val="20"/>
          <w:szCs w:val="20"/>
          <w:lang w:val="en-US" w:eastAsia="en-US"/>
        </w:rPr>
        <w:t>s</w:t>
      </w:r>
      <w:r w:rsidR="00353D85">
        <w:rPr>
          <w:rFonts w:ascii="Arial" w:hAnsi="Arial" w:cs="Arial"/>
          <w:sz w:val="20"/>
          <w:szCs w:val="20"/>
          <w:lang w:val="en-US" w:eastAsia="en-US"/>
        </w:rPr>
        <w:t xml:space="preserve"> of the decarboni</w:t>
      </w:r>
      <w:r w:rsidR="00170BE2">
        <w:rPr>
          <w:rFonts w:ascii="Arial" w:hAnsi="Arial" w:cs="Arial"/>
          <w:sz w:val="20"/>
          <w:szCs w:val="20"/>
          <w:lang w:val="en-US" w:eastAsia="en-US"/>
        </w:rPr>
        <w:t>s</w:t>
      </w:r>
      <w:r w:rsidR="00353D85">
        <w:rPr>
          <w:rFonts w:ascii="Arial" w:hAnsi="Arial" w:cs="Arial"/>
          <w:sz w:val="20"/>
          <w:szCs w:val="20"/>
          <w:lang w:val="en-US" w:eastAsia="en-US"/>
        </w:rPr>
        <w:t>ation process of OMV Petrom.</w:t>
      </w:r>
    </w:p>
    <w:p w14:paraId="0CCCBDED" w14:textId="415CF0F0" w:rsidR="00353D85" w:rsidRPr="00854A6F" w:rsidRDefault="00353D85" w:rsidP="00854A6F">
      <w:pPr>
        <w:spacing w:after="120"/>
        <w:jc w:val="both"/>
        <w:rPr>
          <w:rFonts w:ascii="Arial" w:hAnsi="Arial" w:cs="Arial"/>
          <w:bCs/>
          <w:color w:val="4F81BD" w:themeColor="accent1"/>
          <w:sz w:val="20"/>
          <w:szCs w:val="20"/>
        </w:rPr>
      </w:pPr>
      <w:r w:rsidRPr="0057444A">
        <w:rPr>
          <w:rFonts w:ascii="Arial" w:hAnsi="Arial" w:cs="Arial"/>
          <w:bCs/>
          <w:color w:val="4F81BD" w:themeColor="accent1"/>
          <w:sz w:val="20"/>
          <w:szCs w:val="20"/>
        </w:rPr>
        <w:t>Azo</w:t>
      </w:r>
      <w:r w:rsidR="00281D37" w:rsidRPr="0057444A">
        <w:rPr>
          <w:rFonts w:ascii="Arial" w:hAnsi="Arial" w:cs="Arial"/>
          <w:bCs/>
          <w:color w:val="4F81BD" w:themeColor="accent1"/>
          <w:sz w:val="20"/>
          <w:szCs w:val="20"/>
        </w:rPr>
        <w:t>m</w:t>
      </w:r>
      <w:r w:rsidR="004F70E0" w:rsidRPr="0057444A">
        <w:rPr>
          <w:rFonts w:ascii="Arial" w:hAnsi="Arial" w:cs="Arial"/>
          <w:bCs/>
          <w:color w:val="4F81BD" w:themeColor="accent1"/>
          <w:sz w:val="20"/>
          <w:szCs w:val="20"/>
        </w:rPr>
        <w:t>ureș</w:t>
      </w:r>
    </w:p>
    <w:p w14:paraId="41913674" w14:textId="3990BFDF" w:rsidR="00353D85" w:rsidRPr="00353D85" w:rsidRDefault="00353D85" w:rsidP="00854A6F">
      <w:pPr>
        <w:spacing w:after="120"/>
        <w:jc w:val="both"/>
        <w:rPr>
          <w:rFonts w:ascii="Arial" w:hAnsi="Arial" w:cs="Arial"/>
          <w:bCs/>
          <w:sz w:val="20"/>
          <w:szCs w:val="20"/>
        </w:rPr>
      </w:pPr>
      <w:r w:rsidRPr="00353D85">
        <w:rPr>
          <w:rFonts w:ascii="Arial" w:hAnsi="Arial" w:cs="Arial"/>
          <w:bCs/>
          <w:sz w:val="20"/>
          <w:szCs w:val="20"/>
        </w:rPr>
        <w:t xml:space="preserve">Based on 2019 data, </w:t>
      </w:r>
      <w:r w:rsidR="00A50FEC">
        <w:rPr>
          <w:rFonts w:ascii="Arial" w:hAnsi="Arial" w:cs="Arial"/>
          <w:bCs/>
          <w:sz w:val="20"/>
          <w:szCs w:val="20"/>
        </w:rPr>
        <w:t xml:space="preserve">the </w:t>
      </w:r>
      <w:r w:rsidRPr="00353D85">
        <w:rPr>
          <w:rFonts w:ascii="Arial" w:hAnsi="Arial" w:cs="Arial"/>
          <w:bCs/>
          <w:sz w:val="20"/>
          <w:szCs w:val="20"/>
        </w:rPr>
        <w:t>top listed suppliers employed approximately 17</w:t>
      </w:r>
      <w:r w:rsidR="00A50FEC">
        <w:rPr>
          <w:rFonts w:ascii="Arial" w:hAnsi="Arial" w:cs="Arial"/>
          <w:bCs/>
          <w:sz w:val="20"/>
          <w:szCs w:val="20"/>
        </w:rPr>
        <w:t>,000</w:t>
      </w:r>
      <w:r w:rsidRPr="00353D85">
        <w:rPr>
          <w:rFonts w:ascii="Arial" w:hAnsi="Arial" w:cs="Arial"/>
          <w:bCs/>
          <w:sz w:val="20"/>
          <w:szCs w:val="20"/>
        </w:rPr>
        <w:t xml:space="preserve"> people at </w:t>
      </w:r>
      <w:r w:rsidR="00892317">
        <w:rPr>
          <w:rFonts w:ascii="Arial" w:hAnsi="Arial" w:cs="Arial"/>
          <w:bCs/>
          <w:sz w:val="20"/>
          <w:szCs w:val="20"/>
        </w:rPr>
        <w:t xml:space="preserve">the </w:t>
      </w:r>
      <w:r w:rsidRPr="00353D85">
        <w:rPr>
          <w:rFonts w:ascii="Arial" w:hAnsi="Arial" w:cs="Arial"/>
          <w:bCs/>
          <w:sz w:val="20"/>
          <w:szCs w:val="20"/>
        </w:rPr>
        <w:t xml:space="preserve">national </w:t>
      </w:r>
      <w:r w:rsidR="00892317" w:rsidRPr="00353D85">
        <w:rPr>
          <w:rFonts w:ascii="Arial" w:hAnsi="Arial" w:cs="Arial"/>
          <w:bCs/>
          <w:sz w:val="20"/>
          <w:szCs w:val="20"/>
        </w:rPr>
        <w:t>compan</w:t>
      </w:r>
      <w:r w:rsidR="00892317">
        <w:rPr>
          <w:rFonts w:ascii="Arial" w:hAnsi="Arial" w:cs="Arial"/>
          <w:bCs/>
          <w:sz w:val="20"/>
          <w:szCs w:val="20"/>
        </w:rPr>
        <w:t>y</w:t>
      </w:r>
      <w:r w:rsidR="00892317" w:rsidRPr="00353D85">
        <w:rPr>
          <w:rFonts w:ascii="Arial" w:hAnsi="Arial" w:cs="Arial"/>
          <w:bCs/>
          <w:sz w:val="20"/>
          <w:szCs w:val="20"/>
        </w:rPr>
        <w:t xml:space="preserve"> headquarters</w:t>
      </w:r>
      <w:r w:rsidR="00892317" w:rsidRPr="00353D85" w:rsidDel="00892317">
        <w:rPr>
          <w:rFonts w:ascii="Arial" w:hAnsi="Arial" w:cs="Arial"/>
          <w:bCs/>
          <w:sz w:val="20"/>
          <w:szCs w:val="20"/>
        </w:rPr>
        <w:t xml:space="preserve"> </w:t>
      </w:r>
      <w:r>
        <w:rPr>
          <w:rFonts w:ascii="Arial" w:hAnsi="Arial" w:cs="Arial"/>
          <w:bCs/>
          <w:sz w:val="20"/>
          <w:szCs w:val="20"/>
        </w:rPr>
        <w:t>(</w:t>
      </w:r>
      <w:r w:rsidRPr="000B3BB7">
        <w:rPr>
          <w:rFonts w:ascii="Arial" w:hAnsi="Arial" w:cs="Arial"/>
          <w:sz w:val="20"/>
          <w:szCs w:val="20"/>
          <w:lang w:eastAsia="en-US"/>
        </w:rPr>
        <w:t>based outside the six affected regions, mainly in Bucharest</w:t>
      </w:r>
      <w:r>
        <w:rPr>
          <w:rFonts w:ascii="Arial" w:hAnsi="Arial" w:cs="Arial"/>
          <w:sz w:val="20"/>
          <w:szCs w:val="20"/>
          <w:lang w:eastAsia="en-US"/>
        </w:rPr>
        <w:t>)</w:t>
      </w:r>
      <w:r w:rsidRPr="00353D85">
        <w:rPr>
          <w:rFonts w:ascii="Arial" w:hAnsi="Arial" w:cs="Arial"/>
          <w:bCs/>
          <w:sz w:val="20"/>
          <w:szCs w:val="20"/>
        </w:rPr>
        <w:t xml:space="preserve">. One of the main listed suppliers is not located in Romania. </w:t>
      </w:r>
    </w:p>
    <w:p w14:paraId="690863ED" w14:textId="3854AD21" w:rsidR="00353D85" w:rsidRPr="00353D85" w:rsidRDefault="00353D85" w:rsidP="00854A6F">
      <w:pPr>
        <w:spacing w:after="120"/>
        <w:jc w:val="both"/>
        <w:rPr>
          <w:rFonts w:ascii="Arial" w:hAnsi="Arial" w:cs="Arial"/>
          <w:bCs/>
          <w:sz w:val="20"/>
          <w:szCs w:val="20"/>
        </w:rPr>
      </w:pPr>
      <w:r w:rsidRPr="00353D85">
        <w:rPr>
          <w:rFonts w:ascii="Arial" w:hAnsi="Arial" w:cs="Arial"/>
          <w:bCs/>
          <w:sz w:val="20"/>
          <w:szCs w:val="20"/>
        </w:rPr>
        <w:t xml:space="preserve">The main economic areas </w:t>
      </w:r>
      <w:r w:rsidR="00892317">
        <w:rPr>
          <w:rFonts w:ascii="Arial" w:hAnsi="Arial" w:cs="Arial"/>
          <w:bCs/>
          <w:sz w:val="20"/>
          <w:szCs w:val="20"/>
        </w:rPr>
        <w:t>where</w:t>
      </w:r>
      <w:r w:rsidRPr="00353D85">
        <w:rPr>
          <w:rFonts w:ascii="Arial" w:hAnsi="Arial" w:cs="Arial"/>
          <w:bCs/>
          <w:sz w:val="20"/>
          <w:szCs w:val="20"/>
        </w:rPr>
        <w:t xml:space="preserve"> the suppliers operate </w:t>
      </w:r>
      <w:r w:rsidR="00892317">
        <w:rPr>
          <w:rFonts w:ascii="Arial" w:hAnsi="Arial" w:cs="Arial"/>
          <w:bCs/>
          <w:sz w:val="20"/>
          <w:szCs w:val="20"/>
        </w:rPr>
        <w:t>include</w:t>
      </w:r>
      <w:r w:rsidRPr="00353D85">
        <w:rPr>
          <w:rFonts w:ascii="Arial" w:hAnsi="Arial" w:cs="Arial"/>
          <w:bCs/>
          <w:sz w:val="20"/>
          <w:szCs w:val="20"/>
        </w:rPr>
        <w:t xml:space="preserve"> </w:t>
      </w:r>
      <w:r w:rsidR="00892317">
        <w:rPr>
          <w:rFonts w:ascii="Arial" w:hAnsi="Arial" w:cs="Arial"/>
          <w:bCs/>
          <w:sz w:val="20"/>
          <w:szCs w:val="20"/>
        </w:rPr>
        <w:t>m</w:t>
      </w:r>
      <w:r w:rsidRPr="00353D85">
        <w:rPr>
          <w:rFonts w:ascii="Arial" w:hAnsi="Arial" w:cs="Arial"/>
          <w:bCs/>
          <w:sz w:val="20"/>
          <w:szCs w:val="20"/>
        </w:rPr>
        <w:t>ining and quarrying</w:t>
      </w:r>
      <w:r w:rsidR="00892317">
        <w:rPr>
          <w:rFonts w:ascii="Arial" w:hAnsi="Arial" w:cs="Arial"/>
          <w:bCs/>
          <w:sz w:val="20"/>
          <w:szCs w:val="20"/>
        </w:rPr>
        <w:t>;</w:t>
      </w:r>
      <w:r w:rsidRPr="00353D85">
        <w:rPr>
          <w:rFonts w:ascii="Arial" w:hAnsi="Arial" w:cs="Arial"/>
          <w:bCs/>
          <w:sz w:val="20"/>
          <w:szCs w:val="20"/>
        </w:rPr>
        <w:t xml:space="preserve"> </w:t>
      </w:r>
      <w:r w:rsidR="00892317">
        <w:rPr>
          <w:rFonts w:ascii="Arial" w:hAnsi="Arial" w:cs="Arial"/>
          <w:bCs/>
          <w:sz w:val="20"/>
          <w:szCs w:val="20"/>
        </w:rPr>
        <w:t>t</w:t>
      </w:r>
      <w:r w:rsidRPr="00353D85">
        <w:rPr>
          <w:rFonts w:ascii="Arial" w:hAnsi="Arial" w:cs="Arial"/>
          <w:bCs/>
          <w:sz w:val="20"/>
          <w:szCs w:val="20"/>
        </w:rPr>
        <w:t xml:space="preserve">ransportation and storage. These are followed by </w:t>
      </w:r>
      <w:r w:rsidR="00892317">
        <w:rPr>
          <w:rFonts w:ascii="Arial" w:hAnsi="Arial" w:cs="Arial"/>
          <w:bCs/>
          <w:sz w:val="20"/>
          <w:szCs w:val="20"/>
        </w:rPr>
        <w:t>m</w:t>
      </w:r>
      <w:r w:rsidRPr="00353D85">
        <w:rPr>
          <w:rFonts w:ascii="Arial" w:hAnsi="Arial" w:cs="Arial"/>
          <w:bCs/>
          <w:sz w:val="20"/>
          <w:szCs w:val="20"/>
        </w:rPr>
        <w:t xml:space="preserve">anufacturing and </w:t>
      </w:r>
      <w:r w:rsidR="00892317">
        <w:rPr>
          <w:rFonts w:ascii="Arial" w:hAnsi="Arial" w:cs="Arial"/>
          <w:bCs/>
          <w:sz w:val="20"/>
          <w:szCs w:val="20"/>
        </w:rPr>
        <w:t>e</w:t>
      </w:r>
      <w:r w:rsidRPr="00353D85">
        <w:rPr>
          <w:rFonts w:ascii="Arial" w:hAnsi="Arial" w:cs="Arial"/>
          <w:bCs/>
          <w:sz w:val="20"/>
          <w:szCs w:val="20"/>
        </w:rPr>
        <w:t>lectricty, gas, steam and air-conditioning supply</w:t>
      </w:r>
      <w:r w:rsidR="00854A6F">
        <w:rPr>
          <w:rFonts w:ascii="Arial" w:hAnsi="Arial" w:cs="Arial"/>
          <w:bCs/>
          <w:sz w:val="20"/>
          <w:szCs w:val="20"/>
        </w:rPr>
        <w:t>.</w:t>
      </w:r>
    </w:p>
    <w:p w14:paraId="449E0B35" w14:textId="2382AF52" w:rsidR="000B3BB7" w:rsidRPr="00854A6F" w:rsidRDefault="00353D85" w:rsidP="00854A6F">
      <w:pPr>
        <w:spacing w:after="120"/>
        <w:jc w:val="both"/>
        <w:rPr>
          <w:rFonts w:ascii="Arial" w:hAnsi="Arial" w:cs="Arial"/>
          <w:sz w:val="20"/>
          <w:szCs w:val="20"/>
          <w:lang w:val="en-US" w:eastAsia="en-US"/>
        </w:rPr>
      </w:pPr>
      <w:r w:rsidRPr="00353D85">
        <w:rPr>
          <w:rFonts w:ascii="Arial" w:hAnsi="Arial" w:cs="Arial"/>
          <w:bCs/>
          <w:sz w:val="20"/>
          <w:szCs w:val="20"/>
        </w:rPr>
        <w:t xml:space="preserve">The largest share </w:t>
      </w:r>
      <w:r w:rsidR="008D03A1">
        <w:rPr>
          <w:rFonts w:ascii="Arial" w:hAnsi="Arial" w:cs="Arial"/>
          <w:bCs/>
          <w:sz w:val="20"/>
          <w:szCs w:val="20"/>
        </w:rPr>
        <w:t xml:space="preserve">of </w:t>
      </w:r>
      <w:r w:rsidRPr="00353D85">
        <w:rPr>
          <w:rFonts w:ascii="Arial" w:hAnsi="Arial" w:cs="Arial"/>
          <w:bCs/>
          <w:sz w:val="20"/>
          <w:szCs w:val="20"/>
        </w:rPr>
        <w:t xml:space="preserve">people employed by a supplier is held by a </w:t>
      </w:r>
      <w:r w:rsidR="008D03A1">
        <w:rPr>
          <w:rFonts w:ascii="Arial" w:hAnsi="Arial" w:cs="Arial"/>
          <w:bCs/>
          <w:sz w:val="20"/>
          <w:szCs w:val="20"/>
        </w:rPr>
        <w:t>m</w:t>
      </w:r>
      <w:r w:rsidR="008D03A1" w:rsidRPr="00353D85">
        <w:rPr>
          <w:rFonts w:ascii="Arial" w:hAnsi="Arial" w:cs="Arial"/>
          <w:bCs/>
          <w:sz w:val="20"/>
          <w:szCs w:val="20"/>
        </w:rPr>
        <w:t xml:space="preserve">ining and quarrying </w:t>
      </w:r>
      <w:r w:rsidRPr="00353D85">
        <w:rPr>
          <w:rFonts w:ascii="Arial" w:hAnsi="Arial" w:cs="Arial"/>
          <w:bCs/>
          <w:sz w:val="20"/>
          <w:szCs w:val="20"/>
        </w:rPr>
        <w:t xml:space="preserve">company. We do not know to what extent the listed suppliers are dependent on the Operator's activity </w:t>
      </w:r>
      <w:r w:rsidR="00776039">
        <w:rPr>
          <w:rFonts w:ascii="Arial" w:hAnsi="Arial" w:cs="Arial"/>
          <w:bCs/>
          <w:sz w:val="20"/>
          <w:szCs w:val="20"/>
        </w:rPr>
        <w:t>or</w:t>
      </w:r>
      <w:r w:rsidRPr="00353D85">
        <w:rPr>
          <w:rFonts w:ascii="Arial" w:hAnsi="Arial" w:cs="Arial"/>
          <w:bCs/>
          <w:sz w:val="20"/>
          <w:szCs w:val="20"/>
        </w:rPr>
        <w:t xml:space="preserve"> the magnitude of the indirect effects implied by the transition on the value chain. However, the Operator does not anticipate major changes in the value chain. The dependence may be more significant among service providers (such as maintenance, transport and logistics), followed by companies supplying materials specific to the fertilizer industry.</w:t>
      </w:r>
      <w:r>
        <w:rPr>
          <w:rFonts w:ascii="Arial" w:hAnsi="Arial" w:cs="Arial"/>
          <w:bCs/>
          <w:sz w:val="20"/>
          <w:szCs w:val="20"/>
        </w:rPr>
        <w:t xml:space="preserve"> </w:t>
      </w:r>
      <w:r w:rsidR="002C2E37">
        <w:rPr>
          <w:rFonts w:ascii="Arial" w:hAnsi="Arial" w:cs="Arial"/>
          <w:bCs/>
          <w:sz w:val="20"/>
          <w:szCs w:val="20"/>
          <w:lang w:val="en-US"/>
        </w:rPr>
        <w:t xml:space="preserve">We estimate that an average of 10% </w:t>
      </w:r>
      <w:r w:rsidR="002C2E37">
        <w:rPr>
          <w:rFonts w:ascii="Arial" w:hAnsi="Arial" w:cs="Arial"/>
          <w:sz w:val="20"/>
          <w:szCs w:val="20"/>
          <w:lang w:val="en-US" w:eastAsia="en-US"/>
        </w:rPr>
        <w:t>of people employed throughout the value chain could be subject to the indirect effects of the decarbonisation process</w:t>
      </w:r>
      <w:r w:rsidR="002C2E37" w:rsidDel="002C2E37">
        <w:rPr>
          <w:rFonts w:ascii="Arial" w:hAnsi="Arial" w:cs="Arial"/>
          <w:bCs/>
          <w:sz w:val="20"/>
          <w:szCs w:val="20"/>
          <w:lang w:val="en-US"/>
        </w:rPr>
        <w:t xml:space="preserve"> </w:t>
      </w:r>
      <w:r>
        <w:rPr>
          <w:rFonts w:ascii="Arial" w:hAnsi="Arial" w:cs="Arial"/>
          <w:sz w:val="20"/>
          <w:szCs w:val="20"/>
          <w:lang w:val="en-US" w:eastAsia="en-US"/>
        </w:rPr>
        <w:t>of Azo</w:t>
      </w:r>
      <w:r w:rsidR="0057444A">
        <w:rPr>
          <w:rFonts w:ascii="Arial" w:hAnsi="Arial" w:cs="Arial"/>
          <w:sz w:val="20"/>
          <w:szCs w:val="20"/>
          <w:lang w:val="en-US" w:eastAsia="en-US"/>
        </w:rPr>
        <w:t>m</w:t>
      </w:r>
      <w:r w:rsidR="004F70E0">
        <w:rPr>
          <w:rFonts w:ascii="Arial" w:hAnsi="Arial" w:cs="Arial"/>
          <w:sz w:val="20"/>
          <w:szCs w:val="20"/>
          <w:lang w:val="en-US" w:eastAsia="en-US"/>
        </w:rPr>
        <w:t>ureș</w:t>
      </w:r>
      <w:r>
        <w:rPr>
          <w:rFonts w:ascii="Arial" w:hAnsi="Arial" w:cs="Arial"/>
          <w:sz w:val="20"/>
          <w:szCs w:val="20"/>
          <w:lang w:val="en-US" w:eastAsia="en-US"/>
        </w:rPr>
        <w:t>.</w:t>
      </w:r>
    </w:p>
    <w:p w14:paraId="72C3E2AF" w14:textId="674CF3C3" w:rsidR="000B3BB7" w:rsidRPr="00854A6F" w:rsidRDefault="00353D85" w:rsidP="00854A6F">
      <w:pPr>
        <w:spacing w:after="120"/>
        <w:jc w:val="both"/>
        <w:rPr>
          <w:rFonts w:ascii="Arial" w:hAnsi="Arial" w:cs="Arial"/>
          <w:bCs/>
          <w:color w:val="4F81BD" w:themeColor="accent1"/>
          <w:sz w:val="20"/>
          <w:szCs w:val="20"/>
        </w:rPr>
      </w:pPr>
      <w:r w:rsidRPr="0057444A">
        <w:rPr>
          <w:rFonts w:ascii="Arial" w:hAnsi="Arial" w:cs="Arial"/>
          <w:bCs/>
          <w:color w:val="4F81BD" w:themeColor="accent1"/>
          <w:sz w:val="20"/>
          <w:szCs w:val="20"/>
        </w:rPr>
        <w:t>Petrotel-Lukoil</w:t>
      </w:r>
    </w:p>
    <w:p w14:paraId="45694C32" w14:textId="30F7F021" w:rsidR="00353D85" w:rsidRPr="00353D85" w:rsidRDefault="00353D85" w:rsidP="00854A6F">
      <w:pPr>
        <w:spacing w:after="120"/>
        <w:jc w:val="both"/>
        <w:rPr>
          <w:rFonts w:ascii="Arial" w:hAnsi="Arial" w:cs="Arial"/>
          <w:sz w:val="20"/>
          <w:szCs w:val="20"/>
          <w:lang w:val="en-US"/>
        </w:rPr>
      </w:pPr>
      <w:r w:rsidRPr="00353D85">
        <w:rPr>
          <w:rFonts w:ascii="Arial" w:hAnsi="Arial" w:cs="Arial"/>
          <w:sz w:val="20"/>
          <w:szCs w:val="20"/>
          <w:lang w:val="en-US"/>
        </w:rPr>
        <w:t xml:space="preserve">Based on 2019 data, </w:t>
      </w:r>
      <w:r w:rsidR="00DE47F7">
        <w:rPr>
          <w:rFonts w:ascii="Arial" w:hAnsi="Arial" w:cs="Arial"/>
          <w:sz w:val="20"/>
          <w:szCs w:val="20"/>
          <w:lang w:val="en-US"/>
        </w:rPr>
        <w:t xml:space="preserve">the </w:t>
      </w:r>
      <w:r w:rsidRPr="00353D85">
        <w:rPr>
          <w:rFonts w:ascii="Arial" w:hAnsi="Arial" w:cs="Arial"/>
          <w:sz w:val="20"/>
          <w:szCs w:val="20"/>
          <w:lang w:val="en-US"/>
        </w:rPr>
        <w:t xml:space="preserve">top </w:t>
      </w:r>
      <w:r w:rsidR="00DE47F7">
        <w:rPr>
          <w:rFonts w:ascii="Arial" w:hAnsi="Arial" w:cs="Arial"/>
          <w:sz w:val="20"/>
          <w:szCs w:val="20"/>
          <w:lang w:val="en-US"/>
        </w:rPr>
        <w:t>five</w:t>
      </w:r>
      <w:r w:rsidRPr="00353D85">
        <w:rPr>
          <w:rFonts w:ascii="Arial" w:hAnsi="Arial" w:cs="Arial"/>
          <w:sz w:val="20"/>
          <w:szCs w:val="20"/>
          <w:lang w:val="en-US"/>
        </w:rPr>
        <w:t xml:space="preserve"> listed suppliers employed approximately 680 people in both Prahova</w:t>
      </w:r>
      <w:r>
        <w:rPr>
          <w:rFonts w:ascii="Arial" w:hAnsi="Arial" w:cs="Arial"/>
          <w:sz w:val="20"/>
          <w:szCs w:val="20"/>
          <w:lang w:val="en-US"/>
        </w:rPr>
        <w:t xml:space="preserve"> </w:t>
      </w:r>
      <w:r w:rsidR="00DE47F7">
        <w:rPr>
          <w:rFonts w:ascii="Arial" w:hAnsi="Arial" w:cs="Arial"/>
          <w:sz w:val="20"/>
          <w:szCs w:val="20"/>
          <w:lang w:val="en-US"/>
        </w:rPr>
        <w:t>C</w:t>
      </w:r>
      <w:r w:rsidRPr="00353D85">
        <w:rPr>
          <w:rFonts w:ascii="Arial" w:hAnsi="Arial" w:cs="Arial"/>
          <w:sz w:val="20"/>
          <w:szCs w:val="20"/>
          <w:lang w:val="en-US"/>
        </w:rPr>
        <w:t>ounty and at</w:t>
      </w:r>
      <w:r w:rsidR="00DE47F7">
        <w:rPr>
          <w:rFonts w:ascii="Arial" w:hAnsi="Arial" w:cs="Arial"/>
          <w:sz w:val="20"/>
          <w:szCs w:val="20"/>
          <w:lang w:val="en-US"/>
        </w:rPr>
        <w:t xml:space="preserve"> the</w:t>
      </w:r>
      <w:r w:rsidRPr="00353D85">
        <w:rPr>
          <w:rFonts w:ascii="Arial" w:hAnsi="Arial" w:cs="Arial"/>
          <w:sz w:val="20"/>
          <w:szCs w:val="20"/>
          <w:lang w:val="en-US"/>
        </w:rPr>
        <w:t xml:space="preserve"> national </w:t>
      </w:r>
      <w:r w:rsidR="00DE47F7" w:rsidRPr="00353D85">
        <w:rPr>
          <w:rFonts w:ascii="Arial" w:hAnsi="Arial" w:cs="Arial"/>
          <w:sz w:val="20"/>
          <w:szCs w:val="20"/>
          <w:lang w:val="en-US"/>
        </w:rPr>
        <w:t>compan</w:t>
      </w:r>
      <w:r w:rsidR="00DE47F7">
        <w:rPr>
          <w:rFonts w:ascii="Arial" w:hAnsi="Arial" w:cs="Arial"/>
          <w:sz w:val="20"/>
          <w:szCs w:val="20"/>
          <w:lang w:val="en-US"/>
        </w:rPr>
        <w:t>y</w:t>
      </w:r>
      <w:r w:rsidR="00DE47F7" w:rsidRPr="00353D85">
        <w:rPr>
          <w:rFonts w:ascii="Arial" w:hAnsi="Arial" w:cs="Arial"/>
          <w:sz w:val="20"/>
          <w:szCs w:val="20"/>
          <w:lang w:val="en-US"/>
        </w:rPr>
        <w:t xml:space="preserve"> headquarters</w:t>
      </w:r>
      <w:r w:rsidR="00DE47F7" w:rsidRPr="00353D85" w:rsidDel="00DE47F7">
        <w:rPr>
          <w:rFonts w:ascii="Arial" w:hAnsi="Arial" w:cs="Arial"/>
          <w:sz w:val="20"/>
          <w:szCs w:val="20"/>
          <w:lang w:val="en-US"/>
        </w:rPr>
        <w:t xml:space="preserve"> </w:t>
      </w:r>
      <w:r>
        <w:rPr>
          <w:rFonts w:ascii="Arial" w:hAnsi="Arial" w:cs="Arial"/>
          <w:sz w:val="20"/>
          <w:szCs w:val="20"/>
          <w:lang w:val="en-US"/>
        </w:rPr>
        <w:t>(</w:t>
      </w:r>
      <w:r w:rsidRPr="000B3BB7">
        <w:rPr>
          <w:rFonts w:ascii="Arial" w:hAnsi="Arial" w:cs="Arial"/>
          <w:sz w:val="20"/>
          <w:szCs w:val="20"/>
          <w:lang w:eastAsia="en-US"/>
        </w:rPr>
        <w:t>based outside the six affected regions, mainly in Bucharest</w:t>
      </w:r>
      <w:r>
        <w:rPr>
          <w:rFonts w:ascii="Arial" w:hAnsi="Arial" w:cs="Arial"/>
          <w:sz w:val="20"/>
          <w:szCs w:val="20"/>
          <w:lang w:eastAsia="en-US"/>
        </w:rPr>
        <w:t>)</w:t>
      </w:r>
      <w:r w:rsidRPr="00353D85">
        <w:rPr>
          <w:rFonts w:ascii="Arial" w:hAnsi="Arial" w:cs="Arial"/>
          <w:sz w:val="20"/>
          <w:szCs w:val="20"/>
          <w:lang w:val="en-US"/>
        </w:rPr>
        <w:t xml:space="preserve">. </w:t>
      </w:r>
    </w:p>
    <w:p w14:paraId="64D1387C" w14:textId="32C3F370" w:rsidR="00353D85" w:rsidRPr="00353D85" w:rsidRDefault="00353D85" w:rsidP="00854A6F">
      <w:pPr>
        <w:spacing w:after="120"/>
        <w:jc w:val="both"/>
        <w:rPr>
          <w:rFonts w:ascii="Arial" w:hAnsi="Arial" w:cs="Arial"/>
          <w:sz w:val="20"/>
          <w:szCs w:val="20"/>
          <w:lang w:val="en-US"/>
        </w:rPr>
      </w:pPr>
      <w:r w:rsidRPr="00353D85">
        <w:rPr>
          <w:rFonts w:ascii="Arial" w:hAnsi="Arial" w:cs="Arial"/>
          <w:sz w:val="20"/>
          <w:szCs w:val="20"/>
          <w:lang w:val="en-US"/>
        </w:rPr>
        <w:t xml:space="preserve">The main economic areas </w:t>
      </w:r>
      <w:r w:rsidR="003A257F">
        <w:rPr>
          <w:rFonts w:ascii="Arial" w:hAnsi="Arial" w:cs="Arial"/>
          <w:sz w:val="20"/>
          <w:szCs w:val="20"/>
          <w:lang w:val="en-US"/>
        </w:rPr>
        <w:t>where</w:t>
      </w:r>
      <w:r w:rsidRPr="00353D85">
        <w:rPr>
          <w:rFonts w:ascii="Arial" w:hAnsi="Arial" w:cs="Arial"/>
          <w:sz w:val="20"/>
          <w:szCs w:val="20"/>
          <w:lang w:val="en-US"/>
        </w:rPr>
        <w:t xml:space="preserve"> the suppliers operate </w:t>
      </w:r>
      <w:r w:rsidR="003A257F">
        <w:rPr>
          <w:rFonts w:ascii="Arial" w:hAnsi="Arial" w:cs="Arial"/>
          <w:sz w:val="20"/>
          <w:szCs w:val="20"/>
          <w:lang w:val="en-US"/>
        </w:rPr>
        <w:t>include</w:t>
      </w:r>
      <w:r w:rsidRPr="00353D85">
        <w:rPr>
          <w:rFonts w:ascii="Arial" w:hAnsi="Arial" w:cs="Arial"/>
          <w:sz w:val="20"/>
          <w:szCs w:val="20"/>
          <w:lang w:val="en-US"/>
        </w:rPr>
        <w:t xml:space="preserve"> </w:t>
      </w:r>
      <w:r w:rsidR="003A257F">
        <w:rPr>
          <w:rFonts w:ascii="Arial" w:hAnsi="Arial" w:cs="Arial"/>
          <w:sz w:val="20"/>
          <w:szCs w:val="20"/>
          <w:lang w:val="en-US"/>
        </w:rPr>
        <w:t>c</w:t>
      </w:r>
      <w:r w:rsidRPr="00353D85">
        <w:rPr>
          <w:rFonts w:ascii="Arial" w:hAnsi="Arial" w:cs="Arial"/>
          <w:sz w:val="20"/>
          <w:szCs w:val="20"/>
          <w:lang w:val="en-US"/>
        </w:rPr>
        <w:t>onstruction (</w:t>
      </w:r>
      <w:r w:rsidR="003A257F">
        <w:rPr>
          <w:rFonts w:ascii="Arial" w:hAnsi="Arial" w:cs="Arial"/>
          <w:sz w:val="20"/>
          <w:szCs w:val="20"/>
          <w:lang w:val="en-US"/>
        </w:rPr>
        <w:t>c</w:t>
      </w:r>
      <w:r w:rsidRPr="00353D85">
        <w:rPr>
          <w:rFonts w:ascii="Arial" w:hAnsi="Arial" w:cs="Arial"/>
          <w:sz w:val="20"/>
          <w:szCs w:val="20"/>
          <w:lang w:val="en-US"/>
        </w:rPr>
        <w:t xml:space="preserve">onstruction of other civil engineering projects n.e.c. and </w:t>
      </w:r>
      <w:r w:rsidR="003A257F">
        <w:rPr>
          <w:rFonts w:ascii="Arial" w:hAnsi="Arial" w:cs="Arial"/>
          <w:sz w:val="20"/>
          <w:szCs w:val="20"/>
          <w:lang w:val="en-US"/>
        </w:rPr>
        <w:t>e</w:t>
      </w:r>
      <w:r w:rsidRPr="00353D85">
        <w:rPr>
          <w:rFonts w:ascii="Arial" w:hAnsi="Arial" w:cs="Arial"/>
          <w:sz w:val="20"/>
          <w:szCs w:val="20"/>
          <w:lang w:val="en-US"/>
        </w:rPr>
        <w:t xml:space="preserve">lectrical installation) and </w:t>
      </w:r>
      <w:r w:rsidR="003A257F">
        <w:rPr>
          <w:rFonts w:ascii="Arial" w:hAnsi="Arial" w:cs="Arial"/>
          <w:sz w:val="20"/>
          <w:szCs w:val="20"/>
          <w:lang w:val="en-US"/>
        </w:rPr>
        <w:t>m</w:t>
      </w:r>
      <w:r w:rsidRPr="00353D85">
        <w:rPr>
          <w:rFonts w:ascii="Arial" w:hAnsi="Arial" w:cs="Arial"/>
          <w:sz w:val="20"/>
          <w:szCs w:val="20"/>
          <w:lang w:val="en-US"/>
        </w:rPr>
        <w:t>anufacturing (</w:t>
      </w:r>
      <w:r w:rsidR="003A257F">
        <w:rPr>
          <w:rFonts w:ascii="Arial" w:hAnsi="Arial" w:cs="Arial"/>
          <w:sz w:val="20"/>
          <w:szCs w:val="20"/>
          <w:lang w:val="en-US"/>
        </w:rPr>
        <w:t>m</w:t>
      </w:r>
      <w:r w:rsidRPr="00353D85">
        <w:rPr>
          <w:rFonts w:ascii="Arial" w:hAnsi="Arial" w:cs="Arial"/>
          <w:sz w:val="20"/>
          <w:szCs w:val="20"/>
          <w:lang w:val="en-US"/>
        </w:rPr>
        <w:t xml:space="preserve">anufacture of metal structures and parts of structures and </w:t>
      </w:r>
      <w:r w:rsidR="003A257F">
        <w:rPr>
          <w:rFonts w:ascii="Arial" w:hAnsi="Arial" w:cs="Arial"/>
          <w:sz w:val="20"/>
          <w:szCs w:val="20"/>
          <w:lang w:val="en-US"/>
        </w:rPr>
        <w:t>i</w:t>
      </w:r>
      <w:r w:rsidRPr="00353D85">
        <w:rPr>
          <w:rFonts w:ascii="Arial" w:hAnsi="Arial" w:cs="Arial"/>
          <w:sz w:val="20"/>
          <w:szCs w:val="20"/>
          <w:lang w:val="en-US"/>
        </w:rPr>
        <w:t>nstallation of industrial machinery and equipment).</w:t>
      </w:r>
    </w:p>
    <w:p w14:paraId="4E3BF122" w14:textId="225ED42D" w:rsidR="00353D85" w:rsidRPr="000B3BB7" w:rsidRDefault="00353D85" w:rsidP="00854A6F">
      <w:pPr>
        <w:spacing w:after="120"/>
        <w:jc w:val="both"/>
        <w:rPr>
          <w:rFonts w:ascii="Arial" w:hAnsi="Arial" w:cs="Arial"/>
          <w:sz w:val="20"/>
          <w:szCs w:val="20"/>
          <w:lang w:val="en-US" w:eastAsia="en-US"/>
        </w:rPr>
      </w:pPr>
      <w:r w:rsidRPr="00353D85">
        <w:rPr>
          <w:rFonts w:ascii="Arial" w:hAnsi="Arial" w:cs="Arial"/>
          <w:sz w:val="20"/>
          <w:szCs w:val="20"/>
          <w:lang w:val="en-US"/>
        </w:rPr>
        <w:t xml:space="preserve">The largest share </w:t>
      </w:r>
      <w:r w:rsidR="008E27A5">
        <w:rPr>
          <w:rFonts w:ascii="Arial" w:hAnsi="Arial" w:cs="Arial"/>
          <w:sz w:val="20"/>
          <w:szCs w:val="20"/>
          <w:lang w:val="en-US"/>
        </w:rPr>
        <w:t>of</w:t>
      </w:r>
      <w:r w:rsidRPr="00353D85">
        <w:rPr>
          <w:rFonts w:ascii="Arial" w:hAnsi="Arial" w:cs="Arial"/>
          <w:sz w:val="20"/>
          <w:szCs w:val="20"/>
          <w:lang w:val="en-US"/>
        </w:rPr>
        <w:t xml:space="preserve"> people employed by a supplier is held by a </w:t>
      </w:r>
      <w:r w:rsidR="008E27A5">
        <w:rPr>
          <w:rFonts w:ascii="Arial" w:hAnsi="Arial" w:cs="Arial"/>
          <w:sz w:val="20"/>
          <w:szCs w:val="20"/>
          <w:lang w:val="en-US"/>
        </w:rPr>
        <w:t xml:space="preserve">construction </w:t>
      </w:r>
      <w:r w:rsidRPr="00353D85">
        <w:rPr>
          <w:rFonts w:ascii="Arial" w:hAnsi="Arial" w:cs="Arial"/>
          <w:sz w:val="20"/>
          <w:szCs w:val="20"/>
          <w:lang w:val="en-US"/>
        </w:rPr>
        <w:t xml:space="preserve">company. We do not know to what extent the listed suppliers are dependent on the Operator's activity </w:t>
      </w:r>
      <w:r w:rsidR="008E27A5">
        <w:rPr>
          <w:rFonts w:ascii="Arial" w:hAnsi="Arial" w:cs="Arial"/>
          <w:sz w:val="20"/>
          <w:szCs w:val="20"/>
          <w:lang w:val="en-US"/>
        </w:rPr>
        <w:t>or</w:t>
      </w:r>
      <w:r w:rsidRPr="00353D85">
        <w:rPr>
          <w:rFonts w:ascii="Arial" w:hAnsi="Arial" w:cs="Arial"/>
          <w:sz w:val="20"/>
          <w:szCs w:val="20"/>
          <w:lang w:val="en-US"/>
        </w:rPr>
        <w:t xml:space="preserve"> the magnitude of the indirect effects implied by the transition on the value chain. The Operator has indicated that suppliers in the field of maintenance, repair and industrial construction services are active both </w:t>
      </w:r>
      <w:r w:rsidR="00C00D0E">
        <w:rPr>
          <w:rFonts w:ascii="Arial" w:hAnsi="Arial" w:cs="Arial"/>
          <w:sz w:val="20"/>
          <w:szCs w:val="20"/>
          <w:lang w:val="en-US"/>
        </w:rPr>
        <w:t>i</w:t>
      </w:r>
      <w:r w:rsidRPr="00353D85">
        <w:rPr>
          <w:rFonts w:ascii="Arial" w:hAnsi="Arial" w:cs="Arial"/>
          <w:sz w:val="20"/>
          <w:szCs w:val="20"/>
          <w:lang w:val="en-US"/>
        </w:rPr>
        <w:t>n the Romanian market and abroad.</w:t>
      </w:r>
      <w:r>
        <w:rPr>
          <w:rFonts w:ascii="Arial" w:hAnsi="Arial" w:cs="Arial"/>
          <w:sz w:val="20"/>
          <w:szCs w:val="20"/>
          <w:lang w:val="en-US"/>
        </w:rPr>
        <w:t xml:space="preserve"> </w:t>
      </w:r>
      <w:r>
        <w:rPr>
          <w:rFonts w:ascii="Arial" w:hAnsi="Arial" w:cs="Arial"/>
          <w:bCs/>
          <w:sz w:val="20"/>
          <w:szCs w:val="20"/>
          <w:lang w:val="en-US"/>
        </w:rPr>
        <w:t xml:space="preserve">We estimate that an average of 50% </w:t>
      </w:r>
      <w:r>
        <w:rPr>
          <w:rFonts w:ascii="Arial" w:hAnsi="Arial" w:cs="Arial"/>
          <w:sz w:val="20"/>
          <w:szCs w:val="20"/>
          <w:lang w:val="en-US" w:eastAsia="en-US"/>
        </w:rPr>
        <w:t>of people employed through</w:t>
      </w:r>
      <w:r w:rsidR="00C00D0E">
        <w:rPr>
          <w:rFonts w:ascii="Arial" w:hAnsi="Arial" w:cs="Arial"/>
          <w:sz w:val="20"/>
          <w:szCs w:val="20"/>
          <w:lang w:val="en-US" w:eastAsia="en-US"/>
        </w:rPr>
        <w:t>out</w:t>
      </w:r>
      <w:r>
        <w:rPr>
          <w:rFonts w:ascii="Arial" w:hAnsi="Arial" w:cs="Arial"/>
          <w:sz w:val="20"/>
          <w:szCs w:val="20"/>
          <w:lang w:val="en-US" w:eastAsia="en-US"/>
        </w:rPr>
        <w:t xml:space="preserve"> the value chain </w:t>
      </w:r>
      <w:r w:rsidR="00C00D0E">
        <w:rPr>
          <w:rFonts w:ascii="Arial" w:hAnsi="Arial" w:cs="Arial"/>
          <w:sz w:val="20"/>
          <w:szCs w:val="20"/>
          <w:lang w:val="en-US" w:eastAsia="en-US"/>
        </w:rPr>
        <w:t xml:space="preserve">could be subject to the indirect effects </w:t>
      </w:r>
      <w:r>
        <w:rPr>
          <w:rFonts w:ascii="Arial" w:hAnsi="Arial" w:cs="Arial"/>
          <w:sz w:val="20"/>
          <w:szCs w:val="20"/>
          <w:lang w:val="en-US" w:eastAsia="en-US"/>
        </w:rPr>
        <w:t>of the decarboni</w:t>
      </w:r>
      <w:r w:rsidR="00C00D0E">
        <w:rPr>
          <w:rFonts w:ascii="Arial" w:hAnsi="Arial" w:cs="Arial"/>
          <w:sz w:val="20"/>
          <w:szCs w:val="20"/>
          <w:lang w:val="en-US" w:eastAsia="en-US"/>
        </w:rPr>
        <w:t>s</w:t>
      </w:r>
      <w:r>
        <w:rPr>
          <w:rFonts w:ascii="Arial" w:hAnsi="Arial" w:cs="Arial"/>
          <w:sz w:val="20"/>
          <w:szCs w:val="20"/>
          <w:lang w:val="en-US" w:eastAsia="en-US"/>
        </w:rPr>
        <w:t>ation process of Petrotel-Lukoil.</w:t>
      </w:r>
    </w:p>
    <w:p w14:paraId="4059684E" w14:textId="2AFE7693" w:rsidR="00353D85" w:rsidRPr="00854A6F" w:rsidRDefault="00353D85" w:rsidP="00854A6F">
      <w:pPr>
        <w:spacing w:after="120"/>
        <w:jc w:val="both"/>
        <w:rPr>
          <w:rFonts w:ascii="Arial" w:hAnsi="Arial" w:cs="Arial"/>
          <w:bCs/>
          <w:color w:val="4F81BD" w:themeColor="accent1"/>
          <w:sz w:val="20"/>
          <w:szCs w:val="20"/>
        </w:rPr>
      </w:pPr>
      <w:r w:rsidRPr="0057444A">
        <w:rPr>
          <w:rFonts w:ascii="Arial" w:hAnsi="Arial" w:cs="Arial"/>
          <w:bCs/>
          <w:color w:val="4F81BD" w:themeColor="accent1"/>
          <w:sz w:val="20"/>
          <w:szCs w:val="20"/>
        </w:rPr>
        <w:t>Rompetrol</w:t>
      </w:r>
    </w:p>
    <w:p w14:paraId="125D994F" w14:textId="7F17B007" w:rsidR="00353D85" w:rsidRDefault="00353D85" w:rsidP="00854A6F">
      <w:pPr>
        <w:spacing w:after="120"/>
        <w:jc w:val="both"/>
        <w:rPr>
          <w:rFonts w:ascii="Arial" w:hAnsi="Arial" w:cs="Arial"/>
          <w:b/>
          <w:i/>
          <w:iCs/>
          <w:sz w:val="20"/>
          <w:szCs w:val="20"/>
        </w:rPr>
      </w:pPr>
      <w:r w:rsidRPr="00353D85">
        <w:rPr>
          <w:rFonts w:ascii="Arial" w:hAnsi="Arial" w:cs="Arial"/>
          <w:bCs/>
          <w:sz w:val="20"/>
          <w:szCs w:val="20"/>
        </w:rPr>
        <w:t xml:space="preserve">Based on data received from the Operator, Vega Refinery located in Prahova </w:t>
      </w:r>
      <w:r w:rsidR="0083786A">
        <w:rPr>
          <w:rFonts w:ascii="Arial" w:hAnsi="Arial" w:cs="Arial"/>
          <w:bCs/>
          <w:sz w:val="20"/>
          <w:szCs w:val="20"/>
        </w:rPr>
        <w:t>C</w:t>
      </w:r>
      <w:r w:rsidRPr="00353D85">
        <w:rPr>
          <w:rFonts w:ascii="Arial" w:hAnsi="Arial" w:cs="Arial"/>
          <w:bCs/>
          <w:sz w:val="20"/>
          <w:szCs w:val="20"/>
        </w:rPr>
        <w:t>ounty is</w:t>
      </w:r>
      <w:r w:rsidR="0083786A">
        <w:rPr>
          <w:rFonts w:ascii="Arial" w:hAnsi="Arial" w:cs="Arial"/>
          <w:bCs/>
          <w:sz w:val="20"/>
          <w:szCs w:val="20"/>
        </w:rPr>
        <w:t xml:space="preserve"> only</w:t>
      </w:r>
      <w:r w:rsidRPr="00353D85">
        <w:rPr>
          <w:rFonts w:ascii="Arial" w:hAnsi="Arial" w:cs="Arial"/>
          <w:bCs/>
          <w:sz w:val="20"/>
          <w:szCs w:val="20"/>
        </w:rPr>
        <w:t xml:space="preserve"> processing feedstock from Petromidia Refinery</w:t>
      </w:r>
      <w:r w:rsidRPr="00353D85">
        <w:rPr>
          <w:rFonts w:ascii="Arial" w:hAnsi="Arial" w:cs="Arial"/>
          <w:b/>
          <w:i/>
          <w:iCs/>
          <w:sz w:val="20"/>
          <w:szCs w:val="20"/>
        </w:rPr>
        <w:t>.</w:t>
      </w:r>
    </w:p>
    <w:p w14:paraId="4970DEDD" w14:textId="4AC8F973" w:rsidR="00353D85" w:rsidRPr="00353D85" w:rsidRDefault="00353D85" w:rsidP="00854A6F">
      <w:pPr>
        <w:spacing w:after="120"/>
        <w:jc w:val="both"/>
        <w:rPr>
          <w:rFonts w:ascii="Arial" w:hAnsi="Arial" w:cs="Arial"/>
          <w:sz w:val="20"/>
          <w:szCs w:val="20"/>
          <w:lang w:val="en-US" w:eastAsia="en-US"/>
        </w:rPr>
      </w:pPr>
      <w:r w:rsidRPr="00353D85">
        <w:rPr>
          <w:rFonts w:ascii="Arial" w:hAnsi="Arial" w:cs="Arial"/>
          <w:bCs/>
          <w:sz w:val="20"/>
          <w:szCs w:val="20"/>
        </w:rPr>
        <w:t xml:space="preserve">We estimate that an average of 50% of people employed </w:t>
      </w:r>
      <w:r>
        <w:rPr>
          <w:rFonts w:ascii="Arial" w:hAnsi="Arial" w:cs="Arial"/>
          <w:bCs/>
          <w:sz w:val="20"/>
          <w:szCs w:val="20"/>
        </w:rPr>
        <w:t>by the entity</w:t>
      </w:r>
      <w:r w:rsidRPr="00353D85">
        <w:rPr>
          <w:rFonts w:ascii="Arial" w:hAnsi="Arial" w:cs="Arial"/>
          <w:bCs/>
          <w:sz w:val="20"/>
          <w:szCs w:val="20"/>
        </w:rPr>
        <w:t xml:space="preserve"> could </w:t>
      </w:r>
      <w:r w:rsidR="00E10AFB">
        <w:rPr>
          <w:rFonts w:ascii="Arial" w:hAnsi="Arial" w:cs="Arial"/>
          <w:sz w:val="20"/>
          <w:szCs w:val="20"/>
          <w:lang w:val="en-US" w:eastAsia="en-US"/>
        </w:rPr>
        <w:t xml:space="preserve">be subject to the indirect effects </w:t>
      </w:r>
      <w:r w:rsidRPr="00353D85">
        <w:rPr>
          <w:rFonts w:ascii="Arial" w:hAnsi="Arial" w:cs="Arial"/>
          <w:bCs/>
          <w:sz w:val="20"/>
          <w:szCs w:val="20"/>
        </w:rPr>
        <w:t>of the decarboni</w:t>
      </w:r>
      <w:r w:rsidR="00E10AFB">
        <w:rPr>
          <w:rFonts w:ascii="Arial" w:hAnsi="Arial" w:cs="Arial"/>
          <w:bCs/>
          <w:sz w:val="20"/>
          <w:szCs w:val="20"/>
        </w:rPr>
        <w:t>s</w:t>
      </w:r>
      <w:r w:rsidRPr="00353D85">
        <w:rPr>
          <w:rFonts w:ascii="Arial" w:hAnsi="Arial" w:cs="Arial"/>
          <w:bCs/>
          <w:sz w:val="20"/>
          <w:szCs w:val="20"/>
        </w:rPr>
        <w:t xml:space="preserve">ation process of </w:t>
      </w:r>
      <w:r>
        <w:rPr>
          <w:rFonts w:ascii="Arial" w:hAnsi="Arial" w:cs="Arial"/>
          <w:bCs/>
          <w:sz w:val="20"/>
          <w:szCs w:val="20"/>
        </w:rPr>
        <w:t>Rompetrol Rafinare.</w:t>
      </w:r>
    </w:p>
    <w:p w14:paraId="115A4744" w14:textId="3C74F6A0" w:rsidR="00353D85" w:rsidRPr="00854A6F" w:rsidRDefault="00353D85" w:rsidP="00854A6F">
      <w:pPr>
        <w:spacing w:after="120"/>
        <w:jc w:val="both"/>
        <w:rPr>
          <w:rFonts w:ascii="Arial" w:hAnsi="Arial" w:cs="Arial"/>
          <w:bCs/>
          <w:color w:val="4F81BD" w:themeColor="accent1"/>
          <w:sz w:val="20"/>
          <w:szCs w:val="20"/>
        </w:rPr>
      </w:pPr>
      <w:r w:rsidRPr="0057444A">
        <w:rPr>
          <w:rFonts w:ascii="Arial" w:hAnsi="Arial" w:cs="Arial"/>
          <w:bCs/>
          <w:color w:val="4F81BD" w:themeColor="accent1"/>
          <w:sz w:val="20"/>
          <w:szCs w:val="20"/>
        </w:rPr>
        <w:t xml:space="preserve">Liberty </w:t>
      </w:r>
      <w:r w:rsidR="003751DC">
        <w:rPr>
          <w:rFonts w:ascii="Arial" w:hAnsi="Arial" w:cs="Arial"/>
          <w:bCs/>
          <w:color w:val="4F81BD" w:themeColor="accent1"/>
          <w:sz w:val="20"/>
          <w:szCs w:val="20"/>
        </w:rPr>
        <w:t>Galați</w:t>
      </w:r>
    </w:p>
    <w:p w14:paraId="78F27995" w14:textId="480A5CEA" w:rsidR="00353D85" w:rsidRDefault="00353D85" w:rsidP="00854A6F">
      <w:pPr>
        <w:spacing w:after="120"/>
        <w:jc w:val="both"/>
        <w:rPr>
          <w:rFonts w:ascii="Arial" w:hAnsi="Arial" w:cs="Arial"/>
          <w:bCs/>
          <w:sz w:val="20"/>
          <w:szCs w:val="20"/>
        </w:rPr>
      </w:pPr>
      <w:r w:rsidRPr="00353D85">
        <w:rPr>
          <w:rFonts w:ascii="Arial" w:hAnsi="Arial" w:cs="Arial"/>
          <w:bCs/>
          <w:sz w:val="20"/>
          <w:szCs w:val="20"/>
        </w:rPr>
        <w:t xml:space="preserve">While a nominal listing of the suppliers has not been provided by the </w:t>
      </w:r>
      <w:r>
        <w:rPr>
          <w:rFonts w:ascii="Arial" w:hAnsi="Arial" w:cs="Arial"/>
          <w:bCs/>
          <w:sz w:val="20"/>
          <w:szCs w:val="20"/>
        </w:rPr>
        <w:t>Operator, it has been indicated that a</w:t>
      </w:r>
      <w:r w:rsidRPr="00353D85">
        <w:rPr>
          <w:rFonts w:ascii="Arial" w:hAnsi="Arial" w:cs="Arial"/>
          <w:bCs/>
          <w:sz w:val="20"/>
          <w:szCs w:val="20"/>
        </w:rPr>
        <w:t xml:space="preserve">n important part of </w:t>
      </w:r>
      <w:r>
        <w:rPr>
          <w:rFonts w:ascii="Arial" w:hAnsi="Arial" w:cs="Arial"/>
          <w:bCs/>
          <w:sz w:val="20"/>
          <w:szCs w:val="20"/>
        </w:rPr>
        <w:t xml:space="preserve">the company’s </w:t>
      </w:r>
      <w:r w:rsidRPr="00353D85">
        <w:rPr>
          <w:rFonts w:ascii="Arial" w:hAnsi="Arial" w:cs="Arial"/>
          <w:bCs/>
          <w:sz w:val="20"/>
          <w:szCs w:val="20"/>
        </w:rPr>
        <w:t>suppliers is</w:t>
      </w:r>
      <w:r>
        <w:rPr>
          <w:rFonts w:ascii="Arial" w:hAnsi="Arial" w:cs="Arial"/>
          <w:bCs/>
          <w:sz w:val="20"/>
          <w:szCs w:val="20"/>
        </w:rPr>
        <w:t xml:space="preserve"> located</w:t>
      </w:r>
      <w:r w:rsidRPr="00353D85">
        <w:rPr>
          <w:rFonts w:ascii="Arial" w:hAnsi="Arial" w:cs="Arial"/>
          <w:bCs/>
          <w:sz w:val="20"/>
          <w:szCs w:val="20"/>
        </w:rPr>
        <w:t xml:space="preserve"> in </w:t>
      </w:r>
      <w:r w:rsidR="003751DC">
        <w:rPr>
          <w:rFonts w:ascii="Arial" w:hAnsi="Arial" w:cs="Arial"/>
          <w:bCs/>
          <w:sz w:val="20"/>
          <w:szCs w:val="20"/>
        </w:rPr>
        <w:t>Galați</w:t>
      </w:r>
      <w:r w:rsidR="000E74BF">
        <w:rPr>
          <w:rFonts w:ascii="Arial" w:hAnsi="Arial" w:cs="Arial"/>
          <w:bCs/>
          <w:sz w:val="20"/>
          <w:szCs w:val="20"/>
        </w:rPr>
        <w:t xml:space="preserve"> </w:t>
      </w:r>
      <w:r w:rsidR="00A450B9">
        <w:rPr>
          <w:rFonts w:ascii="Arial" w:hAnsi="Arial" w:cs="Arial"/>
          <w:bCs/>
          <w:sz w:val="20"/>
          <w:szCs w:val="20"/>
        </w:rPr>
        <w:t>C</w:t>
      </w:r>
      <w:r w:rsidRPr="00353D85">
        <w:rPr>
          <w:rFonts w:ascii="Arial" w:hAnsi="Arial" w:cs="Arial"/>
          <w:bCs/>
          <w:sz w:val="20"/>
          <w:szCs w:val="20"/>
        </w:rPr>
        <w:t>ounty</w:t>
      </w:r>
      <w:r>
        <w:rPr>
          <w:rFonts w:ascii="Arial" w:hAnsi="Arial" w:cs="Arial"/>
          <w:bCs/>
          <w:sz w:val="20"/>
          <w:szCs w:val="20"/>
        </w:rPr>
        <w:t>. This concerns approximately</w:t>
      </w:r>
      <w:r w:rsidRPr="00353D85">
        <w:rPr>
          <w:rFonts w:ascii="Arial" w:hAnsi="Arial" w:cs="Arial"/>
          <w:bCs/>
          <w:sz w:val="20"/>
          <w:szCs w:val="20"/>
        </w:rPr>
        <w:t xml:space="preserve"> 200 suppliers with a total </w:t>
      </w:r>
      <w:r w:rsidR="00A450B9">
        <w:rPr>
          <w:rFonts w:ascii="Arial" w:hAnsi="Arial" w:cs="Arial"/>
          <w:bCs/>
          <w:sz w:val="20"/>
          <w:szCs w:val="20"/>
        </w:rPr>
        <w:t xml:space="preserve">invoice </w:t>
      </w:r>
      <w:r w:rsidRPr="00353D85">
        <w:rPr>
          <w:rFonts w:ascii="Arial" w:hAnsi="Arial" w:cs="Arial"/>
          <w:bCs/>
          <w:sz w:val="20"/>
          <w:szCs w:val="20"/>
        </w:rPr>
        <w:t xml:space="preserve">value of approximately </w:t>
      </w:r>
      <w:r>
        <w:rPr>
          <w:rFonts w:ascii="Arial" w:hAnsi="Arial" w:cs="Arial"/>
          <w:bCs/>
          <w:sz w:val="20"/>
          <w:szCs w:val="20"/>
        </w:rPr>
        <w:t xml:space="preserve">EUR </w:t>
      </w:r>
      <w:r w:rsidRPr="00353D85">
        <w:rPr>
          <w:rFonts w:ascii="Arial" w:hAnsi="Arial" w:cs="Arial"/>
          <w:bCs/>
          <w:sz w:val="20"/>
          <w:szCs w:val="20"/>
        </w:rPr>
        <w:t xml:space="preserve">136 </w:t>
      </w:r>
      <w:r>
        <w:rPr>
          <w:rFonts w:ascii="Arial" w:hAnsi="Arial" w:cs="Arial"/>
          <w:bCs/>
          <w:sz w:val="20"/>
          <w:szCs w:val="20"/>
        </w:rPr>
        <w:t>million</w:t>
      </w:r>
      <w:r w:rsidRPr="00353D85">
        <w:rPr>
          <w:rFonts w:ascii="Arial" w:hAnsi="Arial" w:cs="Arial"/>
          <w:bCs/>
          <w:sz w:val="20"/>
          <w:szCs w:val="20"/>
        </w:rPr>
        <w:t xml:space="preserve"> in 2020.</w:t>
      </w:r>
    </w:p>
    <w:p w14:paraId="388F647D" w14:textId="19B45722" w:rsidR="000E74BF" w:rsidRPr="00353D85" w:rsidRDefault="00A450B9" w:rsidP="00854A6F">
      <w:pPr>
        <w:spacing w:after="120"/>
        <w:jc w:val="both"/>
        <w:rPr>
          <w:rFonts w:ascii="Arial" w:hAnsi="Arial" w:cs="Arial"/>
          <w:bCs/>
          <w:sz w:val="20"/>
          <w:szCs w:val="20"/>
        </w:rPr>
      </w:pPr>
      <w:r>
        <w:rPr>
          <w:rFonts w:ascii="Arial" w:hAnsi="Arial" w:cs="Arial"/>
          <w:bCs/>
          <w:sz w:val="20"/>
          <w:szCs w:val="20"/>
        </w:rPr>
        <w:t>Some</w:t>
      </w:r>
      <w:r w:rsidR="00353D85" w:rsidRPr="00353D85">
        <w:rPr>
          <w:rFonts w:ascii="Arial" w:hAnsi="Arial" w:cs="Arial"/>
          <w:bCs/>
          <w:sz w:val="20"/>
          <w:szCs w:val="20"/>
        </w:rPr>
        <w:t xml:space="preserve"> of th</w:t>
      </w:r>
      <w:r w:rsidR="00353D85">
        <w:rPr>
          <w:rFonts w:ascii="Arial" w:hAnsi="Arial" w:cs="Arial"/>
          <w:bCs/>
          <w:sz w:val="20"/>
          <w:szCs w:val="20"/>
        </w:rPr>
        <w:t>ese</w:t>
      </w:r>
      <w:r w:rsidR="00353D85" w:rsidRPr="00353D85">
        <w:rPr>
          <w:rFonts w:ascii="Arial" w:hAnsi="Arial" w:cs="Arial"/>
          <w:bCs/>
          <w:sz w:val="20"/>
          <w:szCs w:val="20"/>
        </w:rPr>
        <w:t xml:space="preserve"> companies have developed around Liberty </w:t>
      </w:r>
      <w:r w:rsidR="003751DC">
        <w:rPr>
          <w:rFonts w:ascii="Arial" w:hAnsi="Arial" w:cs="Arial"/>
          <w:bCs/>
          <w:sz w:val="20"/>
          <w:szCs w:val="20"/>
        </w:rPr>
        <w:t>Galați</w:t>
      </w:r>
      <w:r w:rsidR="00353D85" w:rsidRPr="00353D85">
        <w:rPr>
          <w:rFonts w:ascii="Arial" w:hAnsi="Arial" w:cs="Arial"/>
          <w:bCs/>
          <w:sz w:val="20"/>
          <w:szCs w:val="20"/>
        </w:rPr>
        <w:t xml:space="preserve"> and are strongly connected with </w:t>
      </w:r>
      <w:r w:rsidR="000E74BF">
        <w:rPr>
          <w:rFonts w:ascii="Arial" w:hAnsi="Arial" w:cs="Arial"/>
          <w:bCs/>
          <w:sz w:val="20"/>
          <w:szCs w:val="20"/>
        </w:rPr>
        <w:t>the current business model,</w:t>
      </w:r>
      <w:r w:rsidR="00353D85" w:rsidRPr="00353D85">
        <w:rPr>
          <w:rFonts w:ascii="Arial" w:hAnsi="Arial" w:cs="Arial"/>
          <w:bCs/>
          <w:sz w:val="20"/>
          <w:szCs w:val="20"/>
        </w:rPr>
        <w:t xml:space="preserve"> as Liberty </w:t>
      </w:r>
      <w:r w:rsidR="003751DC">
        <w:rPr>
          <w:rFonts w:ascii="Arial" w:hAnsi="Arial" w:cs="Arial"/>
          <w:bCs/>
          <w:sz w:val="20"/>
          <w:szCs w:val="20"/>
        </w:rPr>
        <w:t>Galați</w:t>
      </w:r>
      <w:r w:rsidR="00353D85" w:rsidRPr="00353D85">
        <w:rPr>
          <w:rFonts w:ascii="Arial" w:hAnsi="Arial" w:cs="Arial"/>
          <w:bCs/>
          <w:sz w:val="20"/>
          <w:szCs w:val="20"/>
        </w:rPr>
        <w:t xml:space="preserve"> is one of the biggest companies in the area.</w:t>
      </w:r>
    </w:p>
    <w:p w14:paraId="1A43C9F6" w14:textId="521F9319" w:rsidR="00353D85" w:rsidRDefault="00353D85" w:rsidP="00854A6F">
      <w:pPr>
        <w:spacing w:after="120"/>
        <w:jc w:val="both"/>
        <w:rPr>
          <w:rFonts w:ascii="Arial" w:hAnsi="Arial" w:cs="Arial"/>
          <w:bCs/>
          <w:sz w:val="20"/>
          <w:szCs w:val="20"/>
        </w:rPr>
      </w:pPr>
      <w:r w:rsidRPr="00353D85">
        <w:rPr>
          <w:rFonts w:ascii="Arial" w:hAnsi="Arial" w:cs="Arial"/>
          <w:bCs/>
          <w:sz w:val="20"/>
          <w:szCs w:val="20"/>
        </w:rPr>
        <w:t xml:space="preserve">Based on a 2019 analysis, 30 of </w:t>
      </w:r>
      <w:r w:rsidR="000E74BF">
        <w:rPr>
          <w:rFonts w:ascii="Arial" w:hAnsi="Arial" w:cs="Arial"/>
          <w:bCs/>
          <w:sz w:val="20"/>
          <w:szCs w:val="20"/>
        </w:rPr>
        <w:t xml:space="preserve">the company’s </w:t>
      </w:r>
      <w:r w:rsidRPr="00353D85">
        <w:rPr>
          <w:rFonts w:ascii="Arial" w:hAnsi="Arial" w:cs="Arial"/>
          <w:bCs/>
          <w:sz w:val="20"/>
          <w:szCs w:val="20"/>
        </w:rPr>
        <w:t xml:space="preserve">suppliers, with </w:t>
      </w:r>
      <w:r w:rsidR="000E74BF">
        <w:rPr>
          <w:rFonts w:ascii="Arial" w:hAnsi="Arial" w:cs="Arial"/>
          <w:bCs/>
          <w:sz w:val="20"/>
          <w:szCs w:val="20"/>
        </w:rPr>
        <w:t xml:space="preserve">a </w:t>
      </w:r>
      <w:r w:rsidRPr="00353D85">
        <w:rPr>
          <w:rFonts w:ascii="Arial" w:hAnsi="Arial" w:cs="Arial"/>
          <w:bCs/>
          <w:sz w:val="20"/>
          <w:szCs w:val="20"/>
        </w:rPr>
        <w:t>cumulat</w:t>
      </w:r>
      <w:r w:rsidR="00A450B9">
        <w:rPr>
          <w:rFonts w:ascii="Arial" w:hAnsi="Arial" w:cs="Arial"/>
          <w:bCs/>
          <w:sz w:val="20"/>
          <w:szCs w:val="20"/>
        </w:rPr>
        <w:t>ive</w:t>
      </w:r>
      <w:r w:rsidRPr="00353D85">
        <w:rPr>
          <w:rFonts w:ascii="Arial" w:hAnsi="Arial" w:cs="Arial"/>
          <w:bCs/>
          <w:sz w:val="20"/>
          <w:szCs w:val="20"/>
        </w:rPr>
        <w:t xml:space="preserve"> turnover of more than </w:t>
      </w:r>
      <w:r w:rsidR="000E74BF">
        <w:rPr>
          <w:rFonts w:ascii="Arial" w:hAnsi="Arial" w:cs="Arial"/>
          <w:bCs/>
          <w:sz w:val="20"/>
          <w:szCs w:val="20"/>
        </w:rPr>
        <w:t xml:space="preserve">EUR </w:t>
      </w:r>
      <w:r w:rsidRPr="00353D85">
        <w:rPr>
          <w:rFonts w:ascii="Arial" w:hAnsi="Arial" w:cs="Arial"/>
          <w:bCs/>
          <w:sz w:val="20"/>
          <w:szCs w:val="20"/>
        </w:rPr>
        <w:t>96</w:t>
      </w:r>
      <w:r w:rsidR="000E74BF">
        <w:rPr>
          <w:rFonts w:ascii="Arial" w:hAnsi="Arial" w:cs="Arial"/>
          <w:bCs/>
          <w:sz w:val="20"/>
          <w:szCs w:val="20"/>
        </w:rPr>
        <w:t xml:space="preserve"> million</w:t>
      </w:r>
      <w:r w:rsidRPr="00353D85">
        <w:rPr>
          <w:rFonts w:ascii="Arial" w:hAnsi="Arial" w:cs="Arial"/>
          <w:bCs/>
          <w:sz w:val="20"/>
          <w:szCs w:val="20"/>
        </w:rPr>
        <w:t>, had a high dependency o</w:t>
      </w:r>
      <w:r w:rsidR="00A450B9">
        <w:rPr>
          <w:rFonts w:ascii="Arial" w:hAnsi="Arial" w:cs="Arial"/>
          <w:bCs/>
          <w:sz w:val="20"/>
          <w:szCs w:val="20"/>
        </w:rPr>
        <w:t>n</w:t>
      </w:r>
      <w:r w:rsidRPr="00353D85">
        <w:rPr>
          <w:rFonts w:ascii="Arial" w:hAnsi="Arial" w:cs="Arial"/>
          <w:bCs/>
          <w:sz w:val="20"/>
          <w:szCs w:val="20"/>
        </w:rPr>
        <w:t xml:space="preserve"> Liberty </w:t>
      </w:r>
      <w:r w:rsidR="003751DC">
        <w:rPr>
          <w:rFonts w:ascii="Arial" w:hAnsi="Arial" w:cs="Arial"/>
          <w:bCs/>
          <w:sz w:val="20"/>
          <w:szCs w:val="20"/>
        </w:rPr>
        <w:t>Galați</w:t>
      </w:r>
      <w:r w:rsidRPr="00353D85">
        <w:rPr>
          <w:rFonts w:ascii="Arial" w:hAnsi="Arial" w:cs="Arial"/>
          <w:bCs/>
          <w:sz w:val="20"/>
          <w:szCs w:val="20"/>
        </w:rPr>
        <w:t xml:space="preserve"> (</w:t>
      </w:r>
      <w:r w:rsidR="00A450B9">
        <w:rPr>
          <w:rFonts w:ascii="Arial" w:hAnsi="Arial" w:cs="Arial"/>
          <w:bCs/>
          <w:sz w:val="20"/>
          <w:szCs w:val="20"/>
        </w:rPr>
        <w:t>&gt;</w:t>
      </w:r>
      <w:r w:rsidRPr="00353D85">
        <w:rPr>
          <w:rFonts w:ascii="Arial" w:hAnsi="Arial" w:cs="Arial"/>
          <w:bCs/>
          <w:sz w:val="20"/>
          <w:szCs w:val="20"/>
        </w:rPr>
        <w:t>50%)</w:t>
      </w:r>
      <w:r w:rsidR="000E74BF">
        <w:rPr>
          <w:rFonts w:ascii="Arial" w:hAnsi="Arial" w:cs="Arial"/>
          <w:bCs/>
          <w:sz w:val="20"/>
          <w:szCs w:val="20"/>
        </w:rPr>
        <w:t xml:space="preserve">. </w:t>
      </w:r>
      <w:r w:rsidR="00A450B9">
        <w:rPr>
          <w:rFonts w:ascii="Arial" w:hAnsi="Arial" w:cs="Arial"/>
          <w:bCs/>
          <w:sz w:val="20"/>
          <w:szCs w:val="20"/>
        </w:rPr>
        <w:t>O</w:t>
      </w:r>
      <w:r w:rsidR="000E74BF">
        <w:rPr>
          <w:rFonts w:ascii="Arial" w:hAnsi="Arial" w:cs="Arial"/>
          <w:bCs/>
          <w:sz w:val="20"/>
          <w:szCs w:val="20"/>
        </w:rPr>
        <w:t>f these,</w:t>
      </w:r>
      <w:r w:rsidRPr="00353D85">
        <w:rPr>
          <w:rFonts w:ascii="Arial" w:hAnsi="Arial" w:cs="Arial"/>
          <w:bCs/>
          <w:sz w:val="20"/>
          <w:szCs w:val="20"/>
        </w:rPr>
        <w:t xml:space="preserve"> </w:t>
      </w:r>
      <w:r w:rsidR="00A450B9">
        <w:rPr>
          <w:rFonts w:ascii="Arial" w:hAnsi="Arial" w:cs="Arial"/>
          <w:bCs/>
          <w:sz w:val="20"/>
          <w:szCs w:val="20"/>
        </w:rPr>
        <w:t>nearly</w:t>
      </w:r>
      <w:r w:rsidRPr="00353D85">
        <w:rPr>
          <w:rFonts w:ascii="Arial" w:hAnsi="Arial" w:cs="Arial"/>
          <w:bCs/>
          <w:sz w:val="20"/>
          <w:szCs w:val="20"/>
        </w:rPr>
        <w:t xml:space="preserve"> half were more than 90% dependent o</w:t>
      </w:r>
      <w:r w:rsidR="00A450B9">
        <w:rPr>
          <w:rFonts w:ascii="Arial" w:hAnsi="Arial" w:cs="Arial"/>
          <w:bCs/>
          <w:sz w:val="20"/>
          <w:szCs w:val="20"/>
        </w:rPr>
        <w:t>n</w:t>
      </w:r>
      <w:r w:rsidRPr="00353D85">
        <w:rPr>
          <w:rFonts w:ascii="Arial" w:hAnsi="Arial" w:cs="Arial"/>
          <w:bCs/>
          <w:sz w:val="20"/>
          <w:szCs w:val="20"/>
        </w:rPr>
        <w:t xml:space="preserve"> </w:t>
      </w:r>
      <w:r w:rsidR="000E74BF">
        <w:rPr>
          <w:rFonts w:ascii="Arial" w:hAnsi="Arial" w:cs="Arial"/>
          <w:bCs/>
          <w:sz w:val="20"/>
          <w:szCs w:val="20"/>
        </w:rPr>
        <w:t xml:space="preserve">Liberty </w:t>
      </w:r>
      <w:r w:rsidR="004F70E0">
        <w:rPr>
          <w:rFonts w:ascii="Arial" w:hAnsi="Arial" w:cs="Arial"/>
          <w:bCs/>
          <w:sz w:val="20"/>
          <w:szCs w:val="20"/>
        </w:rPr>
        <w:t>Galați</w:t>
      </w:r>
      <w:r w:rsidRPr="00353D85">
        <w:rPr>
          <w:rFonts w:ascii="Arial" w:hAnsi="Arial" w:cs="Arial"/>
          <w:bCs/>
          <w:sz w:val="20"/>
          <w:szCs w:val="20"/>
        </w:rPr>
        <w:t>. Most of these suppliers are SME</w:t>
      </w:r>
      <w:r w:rsidR="000E74BF">
        <w:rPr>
          <w:rFonts w:ascii="Arial" w:hAnsi="Arial" w:cs="Arial"/>
          <w:bCs/>
          <w:sz w:val="20"/>
          <w:szCs w:val="20"/>
        </w:rPr>
        <w:t>s</w:t>
      </w:r>
      <w:r w:rsidRPr="00353D85">
        <w:rPr>
          <w:rFonts w:ascii="Arial" w:hAnsi="Arial" w:cs="Arial"/>
          <w:bCs/>
          <w:sz w:val="20"/>
          <w:szCs w:val="20"/>
        </w:rPr>
        <w:t>.</w:t>
      </w:r>
    </w:p>
    <w:p w14:paraId="7894A98C" w14:textId="37397DC2" w:rsidR="005B2421" w:rsidRPr="004025A2" w:rsidRDefault="005B2421" w:rsidP="00854A6F">
      <w:pPr>
        <w:spacing w:after="120"/>
        <w:jc w:val="both"/>
        <w:rPr>
          <w:rFonts w:ascii="Arial" w:hAnsi="Arial" w:cs="Arial"/>
          <w:bCs/>
          <w:i/>
          <w:iCs/>
          <w:sz w:val="20"/>
          <w:szCs w:val="20"/>
        </w:rPr>
      </w:pPr>
      <w:r w:rsidRPr="004025A2">
        <w:rPr>
          <w:rFonts w:ascii="Arial" w:hAnsi="Arial" w:cs="Arial"/>
          <w:bCs/>
          <w:i/>
          <w:iCs/>
          <w:sz w:val="20"/>
          <w:szCs w:val="20"/>
        </w:rPr>
        <w:t xml:space="preserve">For a detailed analysis of the value chain impact from the most representative large enterprises in each of the six affected regions, please see Annex </w:t>
      </w:r>
      <w:r w:rsidR="002B6BEC">
        <w:rPr>
          <w:rFonts w:ascii="Arial" w:hAnsi="Arial" w:cs="Arial"/>
          <w:bCs/>
          <w:i/>
          <w:iCs/>
          <w:sz w:val="20"/>
          <w:szCs w:val="20"/>
        </w:rPr>
        <w:t>7</w:t>
      </w:r>
      <w:r w:rsidRPr="004025A2">
        <w:rPr>
          <w:rFonts w:ascii="Arial" w:hAnsi="Arial" w:cs="Arial"/>
          <w:bCs/>
          <w:i/>
          <w:iCs/>
          <w:sz w:val="20"/>
          <w:szCs w:val="20"/>
        </w:rPr>
        <w:t>.</w:t>
      </w:r>
    </w:p>
    <w:p w14:paraId="299B5991" w14:textId="77777777" w:rsidR="00FF34FD" w:rsidRPr="003516DC" w:rsidRDefault="00FF34FD" w:rsidP="00E42342">
      <w:pPr>
        <w:pStyle w:val="Heading2"/>
        <w:numPr>
          <w:ilvl w:val="0"/>
          <w:numId w:val="127"/>
        </w:numPr>
      </w:pPr>
      <w:bookmarkStart w:id="16" w:name="_Toc90725846"/>
      <w:r w:rsidRPr="003516DC">
        <w:lastRenderedPageBreak/>
        <w:t>Good practices from other EU member states</w:t>
      </w:r>
      <w:bookmarkEnd w:id="16"/>
      <w:r w:rsidRPr="003516DC">
        <w:t xml:space="preserve"> </w:t>
      </w:r>
    </w:p>
    <w:p w14:paraId="47C7C5D9" w14:textId="77777777" w:rsidR="00FF34FD" w:rsidRPr="003516DC" w:rsidRDefault="00FF34FD" w:rsidP="00FF34FD">
      <w:pPr>
        <w:jc w:val="both"/>
        <w:rPr>
          <w:rFonts w:ascii="Arial" w:hAnsi="Arial" w:cs="Arial"/>
          <w:sz w:val="20"/>
          <w:szCs w:val="20"/>
        </w:rPr>
      </w:pPr>
      <w:r w:rsidRPr="003516DC">
        <w:rPr>
          <w:rFonts w:ascii="Arial" w:hAnsi="Arial" w:cs="Arial"/>
          <w:sz w:val="20"/>
          <w:szCs w:val="20"/>
        </w:rPr>
        <w:t>All European countries are at similar stages in the transition process. However, there are a few countries that have made illustrative steps towards the goal of climate neutrality and we recommend that Romanian authorities seek to get inspired by these examples.</w:t>
      </w:r>
    </w:p>
    <w:p w14:paraId="55FDFC2F" w14:textId="66F52D07" w:rsidR="00FF34FD" w:rsidRPr="003516DC" w:rsidRDefault="00FF34FD" w:rsidP="00FF34FD">
      <w:pPr>
        <w:pStyle w:val="Caption"/>
      </w:pPr>
      <w:bookmarkStart w:id="17" w:name="_Toc90725955"/>
      <w:bookmarkStart w:id="18" w:name="_Toc90727252"/>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1</w:t>
      </w:r>
      <w:r w:rsidRPr="003516DC">
        <w:rPr>
          <w:noProof/>
        </w:rPr>
        <w:fldChar w:fldCharType="end"/>
      </w:r>
      <w:r w:rsidRPr="003516DC">
        <w:t>: Selection of EU member states as examples of good practices</w:t>
      </w:r>
      <w:bookmarkEnd w:id="17"/>
      <w:bookmarkEnd w:id="18"/>
    </w:p>
    <w:tbl>
      <w:tblPr>
        <w:tblStyle w:val="TableGrid"/>
        <w:tblW w:w="5000" w:type="pct"/>
        <w:tblLook w:val="04A0" w:firstRow="1" w:lastRow="0" w:firstColumn="1" w:lastColumn="0" w:noHBand="0" w:noVBand="1"/>
      </w:tblPr>
      <w:tblGrid>
        <w:gridCol w:w="1525"/>
        <w:gridCol w:w="1711"/>
        <w:gridCol w:w="5693"/>
      </w:tblGrid>
      <w:tr w:rsidR="00FF34FD" w:rsidRPr="003516DC" w14:paraId="3E7FACD1" w14:textId="77777777" w:rsidTr="00964831">
        <w:trPr>
          <w:tblHeader/>
        </w:trPr>
        <w:tc>
          <w:tcPr>
            <w:tcW w:w="854" w:type="pct"/>
            <w:shd w:val="clear" w:color="auto" w:fill="002060"/>
          </w:tcPr>
          <w:p w14:paraId="0BC07590" w14:textId="77777777" w:rsidR="00FF34FD" w:rsidRPr="003516DC" w:rsidRDefault="00FF34FD"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Country</w:t>
            </w:r>
          </w:p>
        </w:tc>
        <w:tc>
          <w:tcPr>
            <w:tcW w:w="958" w:type="pct"/>
            <w:shd w:val="clear" w:color="auto" w:fill="002060"/>
          </w:tcPr>
          <w:p w14:paraId="716ACAA9" w14:textId="77777777" w:rsidR="00FF34FD" w:rsidRPr="003516DC" w:rsidRDefault="00FF34FD"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 xml:space="preserve">Region </w:t>
            </w:r>
          </w:p>
        </w:tc>
        <w:tc>
          <w:tcPr>
            <w:tcW w:w="3188" w:type="pct"/>
            <w:shd w:val="clear" w:color="auto" w:fill="002060"/>
          </w:tcPr>
          <w:p w14:paraId="28ED9BD3" w14:textId="77777777" w:rsidR="00FF34FD" w:rsidRPr="003516DC" w:rsidRDefault="00FF34FD"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Actions and Initiatives</w:t>
            </w:r>
          </w:p>
        </w:tc>
      </w:tr>
      <w:tr w:rsidR="00FF34FD" w:rsidRPr="003516DC" w14:paraId="742EF430" w14:textId="77777777" w:rsidTr="002D3E59">
        <w:tc>
          <w:tcPr>
            <w:tcW w:w="854" w:type="pct"/>
            <w:tcBorders>
              <w:bottom w:val="single" w:sz="4" w:space="0" w:color="808080" w:themeColor="background1" w:themeShade="80"/>
            </w:tcBorders>
          </w:tcPr>
          <w:p w14:paraId="4315AC7C" w14:textId="77777777" w:rsidR="00FF34FD" w:rsidRPr="003516DC" w:rsidRDefault="00FF34FD" w:rsidP="00964831">
            <w:pPr>
              <w:rPr>
                <w:rFonts w:ascii="Arial" w:hAnsi="Arial" w:cs="Arial"/>
                <w:sz w:val="18"/>
                <w:szCs w:val="18"/>
              </w:rPr>
            </w:pPr>
            <w:r w:rsidRPr="003516DC">
              <w:rPr>
                <w:rFonts w:ascii="Arial" w:hAnsi="Arial" w:cs="Arial"/>
                <w:sz w:val="18"/>
                <w:szCs w:val="18"/>
              </w:rPr>
              <w:t>Poland</w:t>
            </w:r>
          </w:p>
        </w:tc>
        <w:tc>
          <w:tcPr>
            <w:tcW w:w="958" w:type="pct"/>
            <w:tcBorders>
              <w:bottom w:val="single" w:sz="4" w:space="0" w:color="808080" w:themeColor="background1" w:themeShade="80"/>
            </w:tcBorders>
          </w:tcPr>
          <w:p w14:paraId="3186F3BB" w14:textId="77777777" w:rsidR="00FF34FD" w:rsidRPr="003516DC" w:rsidRDefault="00FF34FD" w:rsidP="00964831">
            <w:pPr>
              <w:rPr>
                <w:rFonts w:ascii="Arial" w:hAnsi="Arial" w:cs="Arial"/>
                <w:sz w:val="18"/>
                <w:szCs w:val="18"/>
              </w:rPr>
            </w:pPr>
            <w:r w:rsidRPr="003516DC">
              <w:rPr>
                <w:rFonts w:ascii="Arial" w:hAnsi="Arial" w:cs="Arial"/>
                <w:sz w:val="18"/>
                <w:szCs w:val="18"/>
              </w:rPr>
              <w:t>Silesia</w:t>
            </w:r>
          </w:p>
        </w:tc>
        <w:tc>
          <w:tcPr>
            <w:tcW w:w="3188" w:type="pct"/>
            <w:tcBorders>
              <w:bottom w:val="single" w:sz="4" w:space="0" w:color="808080" w:themeColor="background1" w:themeShade="80"/>
            </w:tcBorders>
          </w:tcPr>
          <w:p w14:paraId="214108E1" w14:textId="77777777" w:rsidR="00FF34FD" w:rsidRPr="003516DC" w:rsidRDefault="00FF34FD" w:rsidP="00E42342">
            <w:pPr>
              <w:pStyle w:val="ListParagraph"/>
              <w:numPr>
                <w:ilvl w:val="0"/>
                <w:numId w:val="105"/>
              </w:numPr>
              <w:rPr>
                <w:sz w:val="18"/>
                <w:szCs w:val="18"/>
              </w:rPr>
            </w:pPr>
            <w:r w:rsidRPr="003516DC">
              <w:rPr>
                <w:sz w:val="18"/>
                <w:szCs w:val="18"/>
              </w:rPr>
              <w:t>The New Silesian Museum</w:t>
            </w:r>
            <w:r w:rsidRPr="003516DC">
              <w:rPr>
                <w:rStyle w:val="FootnoteReference"/>
                <w:sz w:val="18"/>
                <w:szCs w:val="18"/>
              </w:rPr>
              <w:footnoteReference w:id="6"/>
            </w:r>
          </w:p>
          <w:p w14:paraId="56FE5F34" w14:textId="77777777" w:rsidR="00FF34FD" w:rsidRPr="003516DC" w:rsidRDefault="00FF34FD" w:rsidP="00E42342">
            <w:pPr>
              <w:pStyle w:val="ListParagraph"/>
              <w:numPr>
                <w:ilvl w:val="0"/>
                <w:numId w:val="106"/>
              </w:numPr>
              <w:rPr>
                <w:sz w:val="18"/>
                <w:szCs w:val="18"/>
              </w:rPr>
            </w:pPr>
            <w:r w:rsidRPr="003516DC">
              <w:rPr>
                <w:sz w:val="18"/>
                <w:szCs w:val="18"/>
              </w:rPr>
              <w:t>Built on a closed Katowice coal mine and envisaged as a cultural centre that capitalised on the industrial heritage of the former mine.</w:t>
            </w:r>
          </w:p>
          <w:p w14:paraId="779721F5" w14:textId="77777777" w:rsidR="00FF34FD" w:rsidRPr="003516DC" w:rsidRDefault="00FF34FD" w:rsidP="00E42342">
            <w:pPr>
              <w:pStyle w:val="ListParagraph"/>
              <w:numPr>
                <w:ilvl w:val="0"/>
                <w:numId w:val="106"/>
              </w:numPr>
              <w:rPr>
                <w:sz w:val="18"/>
                <w:szCs w:val="18"/>
              </w:rPr>
            </w:pPr>
            <w:r w:rsidRPr="003516DC">
              <w:rPr>
                <w:sz w:val="18"/>
                <w:szCs w:val="18"/>
              </w:rPr>
              <w:t>Permanent and temporary exhibitions of creative projects from current Silesian residents and other Polish residents.</w:t>
            </w:r>
          </w:p>
          <w:p w14:paraId="7BFEAC8F" w14:textId="77777777" w:rsidR="00FF34FD" w:rsidRPr="003516DC" w:rsidRDefault="00FF34FD" w:rsidP="00E42342">
            <w:pPr>
              <w:pStyle w:val="ListParagraph"/>
              <w:numPr>
                <w:ilvl w:val="0"/>
                <w:numId w:val="106"/>
              </w:numPr>
              <w:rPr>
                <w:sz w:val="18"/>
                <w:szCs w:val="18"/>
              </w:rPr>
            </w:pPr>
            <w:r w:rsidRPr="003516DC">
              <w:rPr>
                <w:sz w:val="18"/>
                <w:szCs w:val="18"/>
              </w:rPr>
              <w:t>The museum hosts a diverse range of activities in the form of on-site restaurants, educational rooms, a library and an observation platform that make up a multi-purpose venue.</w:t>
            </w:r>
          </w:p>
        </w:tc>
      </w:tr>
      <w:tr w:rsidR="007839D0" w:rsidRPr="003516DC" w14:paraId="3C56A84E" w14:textId="77777777" w:rsidTr="00B42117">
        <w:tc>
          <w:tcPr>
            <w:tcW w:w="854" w:type="pct"/>
            <w:tcBorders>
              <w:top w:val="single" w:sz="4" w:space="0" w:color="808080" w:themeColor="background1" w:themeShade="80"/>
              <w:left w:val="single" w:sz="4" w:space="0" w:color="auto"/>
              <w:bottom w:val="single" w:sz="4" w:space="0" w:color="808080" w:themeColor="background1" w:themeShade="80"/>
              <w:right w:val="single" w:sz="4" w:space="0" w:color="808080" w:themeColor="background1" w:themeShade="80"/>
            </w:tcBorders>
            <w:shd w:val="clear" w:color="auto" w:fill="DBE5F1" w:themeFill="accent1" w:themeFillTint="33"/>
          </w:tcPr>
          <w:p w14:paraId="207ED07C" w14:textId="1F83E045" w:rsidR="00BE58A2" w:rsidRPr="00B42117" w:rsidRDefault="00BE58A2" w:rsidP="00BE58A2">
            <w:pPr>
              <w:rPr>
                <w:rFonts w:ascii="Arial" w:hAnsi="Arial" w:cs="Arial"/>
                <w:b/>
                <w:bCs/>
                <w:sz w:val="18"/>
                <w:szCs w:val="18"/>
              </w:rPr>
            </w:pPr>
            <w:r w:rsidRPr="00B42117">
              <w:rPr>
                <w:rFonts w:ascii="Arial" w:hAnsi="Arial" w:cs="Arial"/>
                <w:b/>
                <w:bCs/>
                <w:sz w:val="18"/>
                <w:szCs w:val="18"/>
              </w:rPr>
              <w:t>Relevance for Romania</w:t>
            </w:r>
          </w:p>
        </w:tc>
        <w:tc>
          <w:tcPr>
            <w:tcW w:w="4146" w:type="pct"/>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auto"/>
            </w:tcBorders>
            <w:shd w:val="clear" w:color="auto" w:fill="DBE5F1" w:themeFill="accent1" w:themeFillTint="33"/>
          </w:tcPr>
          <w:p w14:paraId="6D499E9C" w14:textId="4CA35E15" w:rsidR="00BE58A2" w:rsidRPr="00B42117" w:rsidRDefault="00E145DA" w:rsidP="00BE58A2">
            <w:pPr>
              <w:rPr>
                <w:rFonts w:ascii="Arial" w:hAnsi="Arial" w:cs="Arial"/>
                <w:sz w:val="18"/>
                <w:szCs w:val="18"/>
              </w:rPr>
            </w:pPr>
            <w:r w:rsidRPr="00B42117">
              <w:rPr>
                <w:rFonts w:ascii="Arial" w:hAnsi="Arial" w:cs="Arial"/>
                <w:sz w:val="18"/>
                <w:szCs w:val="18"/>
              </w:rPr>
              <w:t>Of p</w:t>
            </w:r>
            <w:r w:rsidR="00BE58A2" w:rsidRPr="00B42117">
              <w:rPr>
                <w:rFonts w:ascii="Arial" w:hAnsi="Arial" w:cs="Arial"/>
                <w:sz w:val="18"/>
                <w:szCs w:val="18"/>
              </w:rPr>
              <w:t xml:space="preserve">articular relevance for Hunedoara County in view of the coal phase-out and subsequent mine closure where current sites could be repurposed to reveal and promote the industrial heritage of the region, especially since </w:t>
            </w:r>
            <w:r w:rsidRPr="00B42117">
              <w:rPr>
                <w:rFonts w:ascii="Arial" w:hAnsi="Arial" w:cs="Arial"/>
                <w:sz w:val="18"/>
                <w:szCs w:val="18"/>
              </w:rPr>
              <w:t xml:space="preserve">the </w:t>
            </w:r>
            <w:r w:rsidR="00BE58A2" w:rsidRPr="00B42117">
              <w:rPr>
                <w:rFonts w:ascii="Arial" w:hAnsi="Arial" w:cs="Arial"/>
                <w:sz w:val="18"/>
                <w:szCs w:val="18"/>
              </w:rPr>
              <w:t>local civil society</w:t>
            </w:r>
            <w:r w:rsidRPr="00B42117">
              <w:rPr>
                <w:rFonts w:ascii="Arial" w:hAnsi="Arial" w:cs="Arial"/>
                <w:sz w:val="18"/>
                <w:szCs w:val="18"/>
              </w:rPr>
              <w:t xml:space="preserve"> has</w:t>
            </w:r>
            <w:r w:rsidR="00BE58A2" w:rsidRPr="00B42117">
              <w:rPr>
                <w:rFonts w:ascii="Arial" w:hAnsi="Arial" w:cs="Arial"/>
                <w:sz w:val="18"/>
                <w:szCs w:val="18"/>
              </w:rPr>
              <w:t xml:space="preserve"> already piloted such initiatives (e.g., Planeta Petrila).</w:t>
            </w:r>
          </w:p>
        </w:tc>
      </w:tr>
      <w:tr w:rsidR="00FF34FD" w:rsidRPr="003516DC" w14:paraId="3C3AF25D" w14:textId="77777777" w:rsidTr="00657431">
        <w:tc>
          <w:tcPr>
            <w:tcW w:w="854" w:type="pct"/>
            <w:tcBorders>
              <w:top w:val="single" w:sz="4" w:space="0" w:color="808080" w:themeColor="background1" w:themeShade="80"/>
              <w:bottom w:val="single" w:sz="4" w:space="0" w:color="808080" w:themeColor="background1" w:themeShade="80"/>
            </w:tcBorders>
          </w:tcPr>
          <w:p w14:paraId="485ADA96" w14:textId="77777777" w:rsidR="00FF34FD" w:rsidRPr="003516DC" w:rsidRDefault="00FF34FD" w:rsidP="00964831">
            <w:pPr>
              <w:rPr>
                <w:rFonts w:ascii="Arial" w:hAnsi="Arial" w:cs="Arial"/>
                <w:sz w:val="18"/>
                <w:szCs w:val="18"/>
              </w:rPr>
            </w:pPr>
            <w:r w:rsidRPr="003516DC">
              <w:rPr>
                <w:rFonts w:ascii="Arial" w:hAnsi="Arial" w:cs="Arial"/>
                <w:sz w:val="18"/>
                <w:szCs w:val="18"/>
              </w:rPr>
              <w:t>Germany</w:t>
            </w:r>
          </w:p>
        </w:tc>
        <w:tc>
          <w:tcPr>
            <w:tcW w:w="958" w:type="pct"/>
            <w:tcBorders>
              <w:top w:val="single" w:sz="4" w:space="0" w:color="808080" w:themeColor="background1" w:themeShade="80"/>
              <w:bottom w:val="single" w:sz="4" w:space="0" w:color="808080" w:themeColor="background1" w:themeShade="80"/>
            </w:tcBorders>
          </w:tcPr>
          <w:p w14:paraId="60807DCA" w14:textId="77777777" w:rsidR="00FF34FD" w:rsidRPr="003516DC" w:rsidRDefault="00FF34FD" w:rsidP="00964831">
            <w:pPr>
              <w:rPr>
                <w:rFonts w:ascii="Arial" w:hAnsi="Arial" w:cs="Arial"/>
                <w:sz w:val="18"/>
                <w:szCs w:val="18"/>
              </w:rPr>
            </w:pPr>
            <w:r w:rsidRPr="003516DC">
              <w:rPr>
                <w:rFonts w:ascii="Arial" w:hAnsi="Arial" w:cs="Arial"/>
                <w:sz w:val="18"/>
                <w:szCs w:val="18"/>
              </w:rPr>
              <w:t>Northern Ruhr Region</w:t>
            </w:r>
          </w:p>
        </w:tc>
        <w:tc>
          <w:tcPr>
            <w:tcW w:w="3188" w:type="pct"/>
            <w:tcBorders>
              <w:top w:val="single" w:sz="4" w:space="0" w:color="808080" w:themeColor="background1" w:themeShade="80"/>
              <w:bottom w:val="single" w:sz="4" w:space="0" w:color="808080" w:themeColor="background1" w:themeShade="80"/>
            </w:tcBorders>
          </w:tcPr>
          <w:p w14:paraId="3C668B4B" w14:textId="77777777" w:rsidR="00FF34FD" w:rsidRPr="003516DC" w:rsidRDefault="00FF34FD" w:rsidP="00E42342">
            <w:pPr>
              <w:pStyle w:val="ListParagraph"/>
              <w:numPr>
                <w:ilvl w:val="0"/>
                <w:numId w:val="107"/>
              </w:numPr>
              <w:rPr>
                <w:sz w:val="18"/>
                <w:szCs w:val="18"/>
              </w:rPr>
            </w:pPr>
            <w:r w:rsidRPr="003516DC">
              <w:rPr>
                <w:sz w:val="18"/>
                <w:szCs w:val="18"/>
              </w:rPr>
              <w:t>InnovationCity Management GmbH (ICM)</w:t>
            </w:r>
            <w:r w:rsidRPr="003516DC">
              <w:rPr>
                <w:rStyle w:val="FootnoteReference"/>
                <w:sz w:val="18"/>
                <w:szCs w:val="18"/>
              </w:rPr>
              <w:footnoteReference w:id="7"/>
            </w:r>
          </w:p>
          <w:p w14:paraId="44FA9F14" w14:textId="77777777" w:rsidR="00FF34FD" w:rsidRPr="003516DC" w:rsidRDefault="00FF34FD" w:rsidP="00E42342">
            <w:pPr>
              <w:pStyle w:val="ListParagraph"/>
              <w:numPr>
                <w:ilvl w:val="1"/>
                <w:numId w:val="107"/>
              </w:numPr>
              <w:ind w:left="706"/>
              <w:rPr>
                <w:sz w:val="18"/>
                <w:szCs w:val="18"/>
              </w:rPr>
            </w:pPr>
            <w:r w:rsidRPr="003516DC">
              <w:rPr>
                <w:sz w:val="18"/>
                <w:szCs w:val="18"/>
              </w:rPr>
              <w:t>Intermediary organisation that acts as an interface between diverse stakeholders and serves as a catalyst for urban energy transition.</w:t>
            </w:r>
          </w:p>
          <w:p w14:paraId="5DB58C25" w14:textId="77777777" w:rsidR="00FF34FD" w:rsidRPr="003516DC" w:rsidRDefault="00FF34FD" w:rsidP="00E42342">
            <w:pPr>
              <w:pStyle w:val="ListParagraph"/>
              <w:numPr>
                <w:ilvl w:val="1"/>
                <w:numId w:val="107"/>
              </w:numPr>
              <w:ind w:left="706"/>
              <w:rPr>
                <w:sz w:val="18"/>
                <w:szCs w:val="18"/>
              </w:rPr>
            </w:pPr>
            <w:r w:rsidRPr="003516DC">
              <w:rPr>
                <w:sz w:val="18"/>
                <w:szCs w:val="18"/>
              </w:rPr>
              <w:t xml:space="preserve">Ownership is ensured by leading economic companies and institutions in the region, followed by companies focused on specific areas such as industrial site transformation or waste management and the local municipality. </w:t>
            </w:r>
          </w:p>
          <w:p w14:paraId="18CE4508" w14:textId="77777777" w:rsidR="00FF34FD" w:rsidRPr="003516DC" w:rsidRDefault="00FF34FD" w:rsidP="00E42342">
            <w:pPr>
              <w:pStyle w:val="ListParagraph"/>
              <w:numPr>
                <w:ilvl w:val="1"/>
                <w:numId w:val="107"/>
              </w:numPr>
              <w:ind w:left="706"/>
              <w:rPr>
                <w:sz w:val="18"/>
                <w:szCs w:val="18"/>
              </w:rPr>
            </w:pPr>
            <w:r w:rsidRPr="003516DC">
              <w:rPr>
                <w:sz w:val="18"/>
                <w:szCs w:val="18"/>
              </w:rPr>
              <w:t>Dedicated department within the organisation that supplies information to local residents on energy efficiency.</w:t>
            </w:r>
          </w:p>
        </w:tc>
      </w:tr>
      <w:tr w:rsidR="00BE58A2" w:rsidRPr="003516DC" w14:paraId="5A269F86" w14:textId="77777777" w:rsidTr="00B42117">
        <w:tc>
          <w:tcPr>
            <w:tcW w:w="854" w:type="pct"/>
            <w:tcBorders>
              <w:top w:val="single" w:sz="4" w:space="0" w:color="808080" w:themeColor="background1" w:themeShade="80"/>
              <w:left w:val="single" w:sz="4" w:space="0" w:color="auto"/>
              <w:bottom w:val="single" w:sz="4" w:space="0" w:color="808080" w:themeColor="background1" w:themeShade="80"/>
              <w:right w:val="single" w:sz="4" w:space="0" w:color="808080" w:themeColor="background1" w:themeShade="80"/>
            </w:tcBorders>
            <w:shd w:val="clear" w:color="auto" w:fill="DBE5F1" w:themeFill="accent1" w:themeFillTint="33"/>
          </w:tcPr>
          <w:p w14:paraId="1658D3F8" w14:textId="5F11419A" w:rsidR="00BE58A2" w:rsidRPr="00B42117" w:rsidRDefault="00BE58A2" w:rsidP="00BE58A2">
            <w:pPr>
              <w:rPr>
                <w:rFonts w:ascii="Arial" w:hAnsi="Arial" w:cs="Arial"/>
                <w:b/>
                <w:bCs/>
                <w:sz w:val="18"/>
                <w:szCs w:val="18"/>
              </w:rPr>
            </w:pPr>
            <w:r w:rsidRPr="00B42117">
              <w:rPr>
                <w:rFonts w:ascii="Arial" w:hAnsi="Arial" w:cs="Arial"/>
                <w:b/>
                <w:bCs/>
                <w:sz w:val="18"/>
                <w:szCs w:val="18"/>
              </w:rPr>
              <w:t>Relevance for Romania</w:t>
            </w:r>
          </w:p>
        </w:tc>
        <w:tc>
          <w:tcPr>
            <w:tcW w:w="4146" w:type="pct"/>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auto"/>
            </w:tcBorders>
            <w:shd w:val="clear" w:color="auto" w:fill="DBE5F1" w:themeFill="accent1" w:themeFillTint="33"/>
          </w:tcPr>
          <w:p w14:paraId="70647D44" w14:textId="325D2AA4" w:rsidR="00BE58A2" w:rsidRPr="00B42117" w:rsidRDefault="00BE58A2" w:rsidP="00BE58A2">
            <w:pPr>
              <w:rPr>
                <w:rFonts w:ascii="Arial" w:hAnsi="Arial" w:cs="Arial"/>
                <w:sz w:val="18"/>
                <w:szCs w:val="18"/>
              </w:rPr>
            </w:pPr>
            <w:r w:rsidRPr="00B42117">
              <w:rPr>
                <w:rFonts w:ascii="Arial" w:hAnsi="Arial" w:cs="Arial"/>
                <w:sz w:val="18"/>
                <w:szCs w:val="18"/>
              </w:rPr>
              <w:t>Similar development pattern in Gorj and Hunedoara Counties with existing initatives bringing together representatives from local universities, business environment and new tech firms – e.g.</w:t>
            </w:r>
            <w:r w:rsidR="00E145DA" w:rsidRPr="00B42117">
              <w:rPr>
                <w:rFonts w:ascii="Arial" w:hAnsi="Arial" w:cs="Arial"/>
                <w:sz w:val="18"/>
                <w:szCs w:val="18"/>
              </w:rPr>
              <w:t>,</w:t>
            </w:r>
            <w:r w:rsidRPr="00B42117">
              <w:rPr>
                <w:rFonts w:ascii="Arial" w:hAnsi="Arial" w:cs="Arial"/>
                <w:sz w:val="18"/>
                <w:szCs w:val="18"/>
              </w:rPr>
              <w:t xml:space="preserve"> Initiativa Valea Jiului. These </w:t>
            </w:r>
            <w:r w:rsidR="00E145DA" w:rsidRPr="00B42117">
              <w:rPr>
                <w:rFonts w:ascii="Arial" w:hAnsi="Arial" w:cs="Arial"/>
                <w:sz w:val="18"/>
                <w:szCs w:val="18"/>
              </w:rPr>
              <w:t xml:space="preserve">initiatives </w:t>
            </w:r>
            <w:r w:rsidRPr="00B42117">
              <w:rPr>
                <w:rFonts w:ascii="Arial" w:hAnsi="Arial" w:cs="Arial"/>
                <w:sz w:val="18"/>
                <w:szCs w:val="18"/>
              </w:rPr>
              <w:t>are laying the ground for more permanent models of cross-sector collaboration.</w:t>
            </w:r>
          </w:p>
        </w:tc>
      </w:tr>
      <w:tr w:rsidR="00FF34FD" w:rsidRPr="003516DC" w14:paraId="3B037499" w14:textId="77777777" w:rsidTr="00046976">
        <w:tc>
          <w:tcPr>
            <w:tcW w:w="854" w:type="pct"/>
            <w:tcBorders>
              <w:top w:val="single" w:sz="4" w:space="0" w:color="808080" w:themeColor="background1" w:themeShade="80"/>
              <w:bottom w:val="single" w:sz="4" w:space="0" w:color="808080" w:themeColor="background1" w:themeShade="80"/>
            </w:tcBorders>
          </w:tcPr>
          <w:p w14:paraId="3C70A4F0" w14:textId="77777777" w:rsidR="00FF34FD" w:rsidRPr="003516DC" w:rsidRDefault="00FF34FD" w:rsidP="00964831">
            <w:pPr>
              <w:rPr>
                <w:rFonts w:ascii="Arial" w:hAnsi="Arial" w:cs="Arial"/>
                <w:sz w:val="18"/>
                <w:szCs w:val="18"/>
              </w:rPr>
            </w:pPr>
            <w:r w:rsidRPr="003516DC">
              <w:rPr>
                <w:rFonts w:ascii="Arial" w:hAnsi="Arial" w:cs="Arial"/>
                <w:sz w:val="18"/>
                <w:szCs w:val="18"/>
              </w:rPr>
              <w:t>Czech Republic</w:t>
            </w:r>
          </w:p>
        </w:tc>
        <w:tc>
          <w:tcPr>
            <w:tcW w:w="958" w:type="pct"/>
            <w:tcBorders>
              <w:top w:val="single" w:sz="4" w:space="0" w:color="808080" w:themeColor="background1" w:themeShade="80"/>
              <w:bottom w:val="single" w:sz="4" w:space="0" w:color="808080" w:themeColor="background1" w:themeShade="80"/>
            </w:tcBorders>
          </w:tcPr>
          <w:p w14:paraId="48746C25" w14:textId="77777777" w:rsidR="00FF34FD" w:rsidRPr="003516DC" w:rsidRDefault="00FF34FD" w:rsidP="00964831">
            <w:pPr>
              <w:rPr>
                <w:rFonts w:ascii="Arial" w:hAnsi="Arial" w:cs="Arial"/>
                <w:sz w:val="18"/>
                <w:szCs w:val="18"/>
              </w:rPr>
            </w:pPr>
            <w:r w:rsidRPr="003516DC">
              <w:rPr>
                <w:rFonts w:ascii="Arial" w:hAnsi="Arial" w:cs="Arial"/>
                <w:sz w:val="18"/>
                <w:szCs w:val="18"/>
              </w:rPr>
              <w:t>Karlovy Vary</w:t>
            </w:r>
          </w:p>
        </w:tc>
        <w:tc>
          <w:tcPr>
            <w:tcW w:w="3188" w:type="pct"/>
            <w:tcBorders>
              <w:top w:val="single" w:sz="4" w:space="0" w:color="808080" w:themeColor="background1" w:themeShade="80"/>
              <w:bottom w:val="single" w:sz="4" w:space="0" w:color="808080" w:themeColor="background1" w:themeShade="80"/>
            </w:tcBorders>
          </w:tcPr>
          <w:p w14:paraId="3565A2EE" w14:textId="77777777" w:rsidR="00FF34FD" w:rsidRPr="003516DC" w:rsidRDefault="00FF34FD" w:rsidP="00E42342">
            <w:pPr>
              <w:pStyle w:val="ListParagraph"/>
              <w:numPr>
                <w:ilvl w:val="0"/>
                <w:numId w:val="107"/>
              </w:numPr>
              <w:rPr>
                <w:sz w:val="18"/>
                <w:szCs w:val="18"/>
              </w:rPr>
            </w:pPr>
            <w:r w:rsidRPr="003516DC">
              <w:rPr>
                <w:sz w:val="18"/>
                <w:szCs w:val="18"/>
              </w:rPr>
              <w:t>Karlovy Vary Regional Coal Platform</w:t>
            </w:r>
            <w:r w:rsidRPr="003516DC">
              <w:rPr>
                <w:rStyle w:val="FootnoteReference"/>
                <w:sz w:val="18"/>
                <w:szCs w:val="18"/>
              </w:rPr>
              <w:footnoteReference w:id="8"/>
            </w:r>
          </w:p>
          <w:p w14:paraId="172855FC" w14:textId="77777777" w:rsidR="00FF34FD" w:rsidRPr="003516DC" w:rsidRDefault="00FF34FD" w:rsidP="00E42342">
            <w:pPr>
              <w:pStyle w:val="ListParagraph"/>
              <w:numPr>
                <w:ilvl w:val="1"/>
                <w:numId w:val="107"/>
              </w:numPr>
              <w:ind w:left="796" w:hanging="450"/>
              <w:rPr>
                <w:sz w:val="18"/>
                <w:szCs w:val="18"/>
              </w:rPr>
            </w:pPr>
            <w:r w:rsidRPr="003516DC">
              <w:rPr>
                <w:sz w:val="18"/>
                <w:szCs w:val="18"/>
              </w:rPr>
              <w:t>Created and operational since 2019 with the main goal of preparing the region for the future coal phase-out.</w:t>
            </w:r>
          </w:p>
          <w:p w14:paraId="01777001" w14:textId="77777777" w:rsidR="00FF34FD" w:rsidRPr="003516DC" w:rsidRDefault="00FF34FD" w:rsidP="00E42342">
            <w:pPr>
              <w:pStyle w:val="ListParagraph"/>
              <w:numPr>
                <w:ilvl w:val="1"/>
                <w:numId w:val="107"/>
              </w:numPr>
              <w:ind w:left="796" w:hanging="450"/>
              <w:rPr>
                <w:sz w:val="18"/>
                <w:szCs w:val="18"/>
              </w:rPr>
            </w:pPr>
            <w:r w:rsidRPr="003516DC">
              <w:rPr>
                <w:sz w:val="18"/>
                <w:szCs w:val="18"/>
              </w:rPr>
              <w:t>The platform addresses issues such as education and job creation, research and innovation, future use of mines towards socio-economic transition and transformation.</w:t>
            </w:r>
          </w:p>
          <w:p w14:paraId="5E108677" w14:textId="77777777" w:rsidR="00FF34FD" w:rsidRPr="003516DC" w:rsidRDefault="00FF34FD" w:rsidP="00E42342">
            <w:pPr>
              <w:pStyle w:val="ListParagraph"/>
              <w:numPr>
                <w:ilvl w:val="0"/>
                <w:numId w:val="107"/>
              </w:numPr>
              <w:rPr>
                <w:sz w:val="18"/>
                <w:szCs w:val="18"/>
              </w:rPr>
            </w:pPr>
            <w:r w:rsidRPr="003516DC">
              <w:rPr>
                <w:sz w:val="18"/>
                <w:szCs w:val="18"/>
              </w:rPr>
              <w:t>At the national level, the Czech Coal Commission was established in 2019 and is working towards a coal phase-out calendar. The Karlovy Vary region is also represented on the board.</w:t>
            </w:r>
          </w:p>
        </w:tc>
      </w:tr>
      <w:tr w:rsidR="00BE58A2" w:rsidRPr="003516DC" w14:paraId="26715F62" w14:textId="77777777" w:rsidTr="00B42117">
        <w:tc>
          <w:tcPr>
            <w:tcW w:w="854" w:type="pct"/>
            <w:tcBorders>
              <w:top w:val="single" w:sz="4" w:space="0" w:color="808080" w:themeColor="background1" w:themeShade="80"/>
              <w:left w:val="single" w:sz="4" w:space="0" w:color="auto"/>
              <w:bottom w:val="single" w:sz="4" w:space="0" w:color="808080" w:themeColor="background1" w:themeShade="80"/>
              <w:right w:val="single" w:sz="4" w:space="0" w:color="808080" w:themeColor="background1" w:themeShade="80"/>
            </w:tcBorders>
            <w:shd w:val="clear" w:color="auto" w:fill="DBE5F1" w:themeFill="accent1" w:themeFillTint="33"/>
          </w:tcPr>
          <w:p w14:paraId="62D84E7B" w14:textId="5E5EAEF9" w:rsidR="00BE58A2" w:rsidRPr="00B42117" w:rsidRDefault="00BE58A2" w:rsidP="00BE58A2">
            <w:pPr>
              <w:rPr>
                <w:rFonts w:ascii="Arial" w:hAnsi="Arial" w:cs="Arial"/>
                <w:sz w:val="18"/>
                <w:szCs w:val="18"/>
              </w:rPr>
            </w:pPr>
            <w:r w:rsidRPr="00B42117">
              <w:rPr>
                <w:rFonts w:ascii="Arial" w:hAnsi="Arial" w:cs="Arial"/>
                <w:b/>
                <w:bCs/>
                <w:sz w:val="18"/>
                <w:szCs w:val="18"/>
              </w:rPr>
              <w:t>Relevance for Romania</w:t>
            </w:r>
          </w:p>
        </w:tc>
        <w:tc>
          <w:tcPr>
            <w:tcW w:w="4146" w:type="pct"/>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auto"/>
            </w:tcBorders>
            <w:shd w:val="clear" w:color="auto" w:fill="DBE5F1" w:themeFill="accent1" w:themeFillTint="33"/>
          </w:tcPr>
          <w:p w14:paraId="1D92DE93" w14:textId="094CFBA0" w:rsidR="00BE58A2" w:rsidRPr="00B42117" w:rsidRDefault="00BE58A2" w:rsidP="00BE58A2">
            <w:pPr>
              <w:rPr>
                <w:rFonts w:ascii="Arial" w:hAnsi="Arial" w:cs="Arial"/>
                <w:sz w:val="18"/>
                <w:szCs w:val="18"/>
              </w:rPr>
            </w:pPr>
            <w:r w:rsidRPr="00B42117">
              <w:rPr>
                <w:rFonts w:ascii="Arial" w:hAnsi="Arial" w:cs="Arial"/>
                <w:sz w:val="18"/>
                <w:szCs w:val="18"/>
              </w:rPr>
              <w:t xml:space="preserve">In light of the RRP, these types of initatives are relevant at </w:t>
            </w:r>
            <w:r w:rsidR="00E145DA" w:rsidRPr="00B42117">
              <w:rPr>
                <w:rFonts w:ascii="Arial" w:hAnsi="Arial" w:cs="Arial"/>
                <w:sz w:val="18"/>
                <w:szCs w:val="18"/>
              </w:rPr>
              <w:t xml:space="preserve">the </w:t>
            </w:r>
            <w:r w:rsidRPr="00B42117">
              <w:rPr>
                <w:rFonts w:ascii="Arial" w:hAnsi="Arial" w:cs="Arial"/>
                <w:sz w:val="18"/>
                <w:szCs w:val="18"/>
              </w:rPr>
              <w:t>national level, where a similar multi-stakeholder platform needs to be established</w:t>
            </w:r>
            <w:r w:rsidR="00E145DA" w:rsidRPr="00B42117">
              <w:rPr>
                <w:rFonts w:ascii="Arial" w:hAnsi="Arial" w:cs="Arial"/>
                <w:sz w:val="18"/>
                <w:szCs w:val="18"/>
              </w:rPr>
              <w:t xml:space="preserve"> to</w:t>
            </w:r>
            <w:r w:rsidRPr="00B42117">
              <w:rPr>
                <w:rFonts w:ascii="Arial" w:hAnsi="Arial" w:cs="Arial"/>
                <w:sz w:val="18"/>
                <w:szCs w:val="18"/>
              </w:rPr>
              <w:t xml:space="preserve"> represent all affected territories, </w:t>
            </w:r>
            <w:r w:rsidR="00E145DA" w:rsidRPr="00B42117">
              <w:rPr>
                <w:rFonts w:ascii="Arial" w:hAnsi="Arial" w:cs="Arial"/>
                <w:sz w:val="18"/>
                <w:szCs w:val="18"/>
              </w:rPr>
              <w:t>especially</w:t>
            </w:r>
            <w:r w:rsidRPr="00B42117">
              <w:rPr>
                <w:rFonts w:ascii="Arial" w:hAnsi="Arial" w:cs="Arial"/>
                <w:sz w:val="18"/>
                <w:szCs w:val="18"/>
              </w:rPr>
              <w:t xml:space="preserve"> since the RRP does not set clear and transparent intermediary steps as to which mines and plants will be shut-off</w:t>
            </w:r>
            <w:r w:rsidR="00E145DA" w:rsidRPr="00B42117">
              <w:rPr>
                <w:rFonts w:ascii="Arial" w:hAnsi="Arial" w:cs="Arial"/>
                <w:sz w:val="18"/>
                <w:szCs w:val="18"/>
              </w:rPr>
              <w:t xml:space="preserve"> and</w:t>
            </w:r>
            <w:r w:rsidRPr="00B42117">
              <w:rPr>
                <w:rFonts w:ascii="Arial" w:hAnsi="Arial" w:cs="Arial"/>
                <w:sz w:val="18"/>
                <w:szCs w:val="18"/>
              </w:rPr>
              <w:t xml:space="preserve"> by when. </w:t>
            </w:r>
            <w:r w:rsidR="00E145DA" w:rsidRPr="00B42117">
              <w:rPr>
                <w:rFonts w:ascii="Arial" w:hAnsi="Arial" w:cs="Arial"/>
                <w:sz w:val="18"/>
                <w:szCs w:val="18"/>
              </w:rPr>
              <w:t>A</w:t>
            </w:r>
            <w:r w:rsidRPr="00B42117">
              <w:rPr>
                <w:rFonts w:ascii="Arial" w:hAnsi="Arial" w:cs="Arial"/>
                <w:sz w:val="18"/>
                <w:szCs w:val="18"/>
              </w:rPr>
              <w:t xml:space="preserve"> detailed roadmap is necessary and a participatory approach would increase stakeholder buy-in over the plans.</w:t>
            </w:r>
          </w:p>
        </w:tc>
      </w:tr>
      <w:tr w:rsidR="00FF34FD" w:rsidRPr="003516DC" w14:paraId="46904F5E" w14:textId="77777777" w:rsidTr="00046976">
        <w:tc>
          <w:tcPr>
            <w:tcW w:w="854" w:type="pct"/>
            <w:tcBorders>
              <w:top w:val="single" w:sz="4" w:space="0" w:color="808080" w:themeColor="background1" w:themeShade="80"/>
              <w:bottom w:val="single" w:sz="4" w:space="0" w:color="808080" w:themeColor="background1" w:themeShade="80"/>
            </w:tcBorders>
          </w:tcPr>
          <w:p w14:paraId="0E9CF012" w14:textId="77777777" w:rsidR="00FF34FD" w:rsidRPr="003516DC" w:rsidRDefault="00FF34FD" w:rsidP="00964831">
            <w:pPr>
              <w:rPr>
                <w:rFonts w:ascii="Arial" w:hAnsi="Arial" w:cs="Arial"/>
                <w:sz w:val="18"/>
                <w:szCs w:val="18"/>
              </w:rPr>
            </w:pPr>
            <w:r w:rsidRPr="003516DC">
              <w:rPr>
                <w:rFonts w:ascii="Arial" w:hAnsi="Arial" w:cs="Arial"/>
                <w:sz w:val="18"/>
                <w:szCs w:val="18"/>
              </w:rPr>
              <w:t>Ireland</w:t>
            </w:r>
          </w:p>
        </w:tc>
        <w:tc>
          <w:tcPr>
            <w:tcW w:w="958" w:type="pct"/>
            <w:tcBorders>
              <w:top w:val="single" w:sz="4" w:space="0" w:color="808080" w:themeColor="background1" w:themeShade="80"/>
              <w:bottom w:val="single" w:sz="4" w:space="0" w:color="808080" w:themeColor="background1" w:themeShade="80"/>
            </w:tcBorders>
          </w:tcPr>
          <w:p w14:paraId="35B297E4" w14:textId="77777777" w:rsidR="00FF34FD" w:rsidRPr="003516DC" w:rsidRDefault="00FF34FD" w:rsidP="00964831">
            <w:pPr>
              <w:rPr>
                <w:rFonts w:ascii="Arial" w:hAnsi="Arial" w:cs="Arial"/>
                <w:sz w:val="18"/>
                <w:szCs w:val="18"/>
              </w:rPr>
            </w:pPr>
            <w:r w:rsidRPr="003516DC">
              <w:rPr>
                <w:rFonts w:ascii="Arial" w:hAnsi="Arial" w:cs="Arial"/>
                <w:sz w:val="18"/>
                <w:szCs w:val="18"/>
              </w:rPr>
              <w:t>Midlands</w:t>
            </w:r>
          </w:p>
        </w:tc>
        <w:tc>
          <w:tcPr>
            <w:tcW w:w="3188" w:type="pct"/>
            <w:tcBorders>
              <w:top w:val="single" w:sz="4" w:space="0" w:color="808080" w:themeColor="background1" w:themeShade="80"/>
              <w:bottom w:val="single" w:sz="4" w:space="0" w:color="808080" w:themeColor="background1" w:themeShade="80"/>
            </w:tcBorders>
          </w:tcPr>
          <w:p w14:paraId="1F79C5E5" w14:textId="77777777" w:rsidR="00FF34FD" w:rsidRPr="003516DC" w:rsidRDefault="00FF34FD" w:rsidP="00E42342">
            <w:pPr>
              <w:pStyle w:val="ListParagraph"/>
              <w:numPr>
                <w:ilvl w:val="0"/>
                <w:numId w:val="107"/>
              </w:numPr>
              <w:rPr>
                <w:sz w:val="18"/>
                <w:szCs w:val="18"/>
              </w:rPr>
            </w:pPr>
            <w:r w:rsidRPr="003516DC">
              <w:rPr>
                <w:sz w:val="18"/>
                <w:szCs w:val="18"/>
              </w:rPr>
              <w:t>The Retrofit and NZEB Training Facility at Mount Lucas</w:t>
            </w:r>
            <w:r w:rsidRPr="003516DC">
              <w:rPr>
                <w:rStyle w:val="FootnoteReference"/>
                <w:sz w:val="18"/>
                <w:szCs w:val="18"/>
              </w:rPr>
              <w:footnoteReference w:id="9"/>
            </w:r>
          </w:p>
          <w:p w14:paraId="1DA9A149" w14:textId="77777777" w:rsidR="00FF34FD" w:rsidRPr="003516DC" w:rsidRDefault="00FF34FD" w:rsidP="00E42342">
            <w:pPr>
              <w:pStyle w:val="ListParagraph"/>
              <w:numPr>
                <w:ilvl w:val="0"/>
                <w:numId w:val="107"/>
              </w:numPr>
              <w:rPr>
                <w:sz w:val="18"/>
                <w:szCs w:val="18"/>
              </w:rPr>
            </w:pPr>
            <w:r w:rsidRPr="003516DC">
              <w:rPr>
                <w:sz w:val="18"/>
                <w:szCs w:val="18"/>
              </w:rPr>
              <w:t>The Midlands Skills Centre</w:t>
            </w:r>
          </w:p>
          <w:p w14:paraId="0F9D1EC0" w14:textId="77777777" w:rsidR="00FF34FD" w:rsidRPr="003516DC" w:rsidRDefault="00FF34FD" w:rsidP="00E42342">
            <w:pPr>
              <w:pStyle w:val="ListParagraph"/>
              <w:numPr>
                <w:ilvl w:val="0"/>
                <w:numId w:val="107"/>
              </w:numPr>
              <w:rPr>
                <w:sz w:val="18"/>
                <w:szCs w:val="18"/>
              </w:rPr>
            </w:pPr>
            <w:r w:rsidRPr="003516DC">
              <w:rPr>
                <w:sz w:val="18"/>
                <w:szCs w:val="18"/>
              </w:rPr>
              <w:t>Jobs, Skills and Education Fair</w:t>
            </w:r>
          </w:p>
          <w:p w14:paraId="19B16C31" w14:textId="77777777" w:rsidR="00FF34FD" w:rsidRPr="003516DC" w:rsidRDefault="00FF34FD" w:rsidP="00E42342">
            <w:pPr>
              <w:pStyle w:val="ListParagraph"/>
              <w:numPr>
                <w:ilvl w:val="0"/>
                <w:numId w:val="107"/>
              </w:numPr>
              <w:rPr>
                <w:sz w:val="18"/>
                <w:szCs w:val="18"/>
              </w:rPr>
            </w:pPr>
            <w:r w:rsidRPr="003516DC">
              <w:rPr>
                <w:sz w:val="18"/>
                <w:szCs w:val="18"/>
              </w:rPr>
              <w:lastRenderedPageBreak/>
              <w:t>Information sessions and one-to-one sessions for affected employees by the transition, providing upskilling, retraining and back-to-work support</w:t>
            </w:r>
          </w:p>
        </w:tc>
      </w:tr>
      <w:tr w:rsidR="00BE58A2" w:rsidRPr="00046976" w14:paraId="22B82832" w14:textId="77777777" w:rsidTr="00B42117">
        <w:tc>
          <w:tcPr>
            <w:tcW w:w="854" w:type="pct"/>
            <w:tcBorders>
              <w:top w:val="single" w:sz="4" w:space="0" w:color="808080" w:themeColor="background1" w:themeShade="80"/>
              <w:left w:val="single" w:sz="4" w:space="0" w:color="auto"/>
              <w:bottom w:val="single" w:sz="4" w:space="0" w:color="auto"/>
              <w:right w:val="single" w:sz="4" w:space="0" w:color="808080" w:themeColor="background1" w:themeShade="80"/>
            </w:tcBorders>
            <w:shd w:val="clear" w:color="auto" w:fill="DBE5F1" w:themeFill="accent1" w:themeFillTint="33"/>
          </w:tcPr>
          <w:p w14:paraId="2E6EC4AE" w14:textId="56EC76EF" w:rsidR="00BE58A2" w:rsidRPr="00B42117" w:rsidRDefault="00BE58A2" w:rsidP="00BE58A2">
            <w:pPr>
              <w:rPr>
                <w:rFonts w:ascii="Arial" w:hAnsi="Arial" w:cs="Arial"/>
                <w:b/>
                <w:bCs/>
                <w:sz w:val="18"/>
                <w:szCs w:val="18"/>
              </w:rPr>
            </w:pPr>
            <w:r w:rsidRPr="00B42117">
              <w:rPr>
                <w:rFonts w:ascii="Arial" w:hAnsi="Arial" w:cs="Arial"/>
                <w:b/>
                <w:bCs/>
                <w:sz w:val="18"/>
                <w:szCs w:val="18"/>
              </w:rPr>
              <w:lastRenderedPageBreak/>
              <w:t>Relevance for Romania</w:t>
            </w:r>
          </w:p>
        </w:tc>
        <w:tc>
          <w:tcPr>
            <w:tcW w:w="4146" w:type="pct"/>
            <w:gridSpan w:val="2"/>
            <w:tcBorders>
              <w:top w:val="single" w:sz="4" w:space="0" w:color="808080" w:themeColor="background1" w:themeShade="80"/>
              <w:left w:val="single" w:sz="4" w:space="0" w:color="808080" w:themeColor="background1" w:themeShade="80"/>
              <w:bottom w:val="single" w:sz="4" w:space="0" w:color="auto"/>
              <w:right w:val="single" w:sz="4" w:space="0" w:color="auto"/>
            </w:tcBorders>
            <w:shd w:val="clear" w:color="auto" w:fill="DBE5F1" w:themeFill="accent1" w:themeFillTint="33"/>
          </w:tcPr>
          <w:p w14:paraId="37C1D93F" w14:textId="695DE3F1" w:rsidR="00BE58A2" w:rsidRPr="00B42117" w:rsidRDefault="00BE58A2" w:rsidP="00BE58A2">
            <w:pPr>
              <w:spacing w:after="120"/>
              <w:rPr>
                <w:rFonts w:ascii="Arial" w:hAnsi="Arial" w:cs="Arial"/>
                <w:sz w:val="18"/>
                <w:szCs w:val="18"/>
                <w:lang w:val="en-US"/>
              </w:rPr>
            </w:pPr>
            <w:r w:rsidRPr="00B42117">
              <w:rPr>
                <w:rFonts w:ascii="Arial" w:hAnsi="Arial" w:cs="Arial"/>
                <w:sz w:val="18"/>
                <w:szCs w:val="18"/>
              </w:rPr>
              <w:t xml:space="preserve">Relevant for all six affected regions, particulary </w:t>
            </w:r>
            <w:r w:rsidR="00E145DA" w:rsidRPr="00B42117">
              <w:rPr>
                <w:rFonts w:ascii="Arial" w:hAnsi="Arial" w:cs="Arial"/>
                <w:sz w:val="18"/>
                <w:szCs w:val="18"/>
              </w:rPr>
              <w:t>for</w:t>
            </w:r>
            <w:r w:rsidRPr="00B42117">
              <w:rPr>
                <w:rFonts w:ascii="Arial" w:hAnsi="Arial" w:cs="Arial"/>
                <w:sz w:val="18"/>
                <w:szCs w:val="18"/>
              </w:rPr>
              <w:t xml:space="preserve"> those counties that need to reform their public employment services (e.g., Dolj, Gorj, Galați)</w:t>
            </w:r>
          </w:p>
        </w:tc>
      </w:tr>
    </w:tbl>
    <w:p w14:paraId="58699ACF" w14:textId="77777777" w:rsidR="00FF34FD" w:rsidRPr="003516DC" w:rsidRDefault="00FF34FD" w:rsidP="00046976">
      <w:pPr>
        <w:spacing w:before="120"/>
        <w:jc w:val="both"/>
        <w:rPr>
          <w:rFonts w:ascii="Arial" w:hAnsi="Arial" w:cs="Arial"/>
          <w:sz w:val="20"/>
          <w:szCs w:val="20"/>
        </w:rPr>
      </w:pPr>
      <w:r w:rsidRPr="003516DC">
        <w:rPr>
          <w:rFonts w:ascii="Arial" w:hAnsi="Arial" w:cs="Arial"/>
          <w:sz w:val="20"/>
          <w:szCs w:val="20"/>
        </w:rPr>
        <w:t>Although not within the EU member states, another example of good practice is the case of Appalachian region in the USA. In addressing economic development and job creation in the regional context of the transition, Coalfield Development was created in 2010 and aims towards a bottom-up approach to build up the local economy. This was achieved through a network of social enterprises and cooperatives in green business sectors, which have attracted USD 16 m in new investments to the region</w:t>
      </w:r>
      <w:r w:rsidRPr="003516DC">
        <w:rPr>
          <w:rStyle w:val="FootnoteReference"/>
          <w:rFonts w:ascii="Arial" w:hAnsi="Arial" w:cs="Arial"/>
          <w:sz w:val="20"/>
          <w:szCs w:val="20"/>
        </w:rPr>
        <w:footnoteReference w:id="10"/>
      </w:r>
      <w:r w:rsidRPr="003516DC">
        <w:rPr>
          <w:rFonts w:ascii="Arial" w:hAnsi="Arial" w:cs="Arial"/>
          <w:sz w:val="20"/>
          <w:szCs w:val="20"/>
        </w:rPr>
        <w:t>, and provided new activity sectors in the economy and innovative training methods.</w:t>
      </w:r>
    </w:p>
    <w:p w14:paraId="04260EFF" w14:textId="431A0369" w:rsidR="00954CD3" w:rsidRDefault="00954CD3" w:rsidP="00FD3AD3">
      <w:pPr>
        <w:rPr>
          <w:rFonts w:ascii="Arial" w:hAnsi="Arial" w:cs="Arial"/>
          <w:sz w:val="20"/>
          <w:szCs w:val="20"/>
          <w:lang w:eastAsia="en-US"/>
        </w:rPr>
      </w:pPr>
    </w:p>
    <w:p w14:paraId="71061C0D" w14:textId="3B11386D" w:rsidR="00BD2604" w:rsidRPr="001916C2" w:rsidRDefault="00BD2604" w:rsidP="00E42342">
      <w:pPr>
        <w:pStyle w:val="Heading1"/>
        <w:numPr>
          <w:ilvl w:val="0"/>
          <w:numId w:val="110"/>
        </w:numPr>
        <w:ind w:left="567" w:hanging="567"/>
        <w:rPr>
          <w:color w:val="4F81BD" w:themeColor="accent1"/>
        </w:rPr>
      </w:pPr>
      <w:bookmarkStart w:id="19" w:name="_Toc90725847"/>
      <w:r w:rsidRPr="001916C2">
        <w:rPr>
          <w:color w:val="4F81BD" w:themeColor="accent1"/>
        </w:rPr>
        <w:t>Relevant Trends and Challenges for the Transition Regions</w:t>
      </w:r>
      <w:bookmarkEnd w:id="19"/>
    </w:p>
    <w:p w14:paraId="3BDC3AE0" w14:textId="77777777" w:rsidR="006E3E50" w:rsidRDefault="006E3E50" w:rsidP="00954CD3">
      <w:pPr>
        <w:jc w:val="both"/>
        <w:rPr>
          <w:rFonts w:ascii="Arial" w:hAnsi="Arial" w:cs="Arial"/>
          <w:sz w:val="20"/>
          <w:szCs w:val="20"/>
        </w:rPr>
      </w:pPr>
    </w:p>
    <w:p w14:paraId="4AF4F06A" w14:textId="4AB95A43" w:rsidR="005E0CC8" w:rsidRDefault="006E3E50" w:rsidP="00954CD3">
      <w:pPr>
        <w:jc w:val="both"/>
        <w:rPr>
          <w:rFonts w:ascii="Arial" w:hAnsi="Arial" w:cs="Arial"/>
          <w:sz w:val="20"/>
          <w:szCs w:val="20"/>
        </w:rPr>
      </w:pPr>
      <w:r>
        <w:rPr>
          <w:rFonts w:ascii="Arial" w:hAnsi="Arial" w:cs="Arial"/>
          <w:sz w:val="20"/>
          <w:szCs w:val="20"/>
        </w:rPr>
        <w:t>I</w:t>
      </w:r>
      <w:r w:rsidR="005E0CC8">
        <w:rPr>
          <w:rFonts w:ascii="Arial" w:hAnsi="Arial" w:cs="Arial"/>
          <w:sz w:val="20"/>
          <w:szCs w:val="20"/>
        </w:rPr>
        <w:t xml:space="preserve">n </w:t>
      </w:r>
      <w:r w:rsidR="00B92866">
        <w:rPr>
          <w:rFonts w:ascii="Arial" w:hAnsi="Arial" w:cs="Arial"/>
          <w:sz w:val="20"/>
          <w:szCs w:val="20"/>
        </w:rPr>
        <w:t xml:space="preserve">the </w:t>
      </w:r>
      <w:r w:rsidR="005E0CC8">
        <w:rPr>
          <w:rFonts w:ascii="Arial" w:hAnsi="Arial" w:cs="Arial"/>
          <w:sz w:val="20"/>
          <w:szCs w:val="20"/>
        </w:rPr>
        <w:t xml:space="preserve">section below, we have </w:t>
      </w:r>
      <w:r w:rsidR="00B92866">
        <w:rPr>
          <w:rFonts w:ascii="Arial" w:hAnsi="Arial" w:cs="Arial"/>
          <w:sz w:val="20"/>
          <w:szCs w:val="20"/>
        </w:rPr>
        <w:t xml:space="preserve">highlighted </w:t>
      </w:r>
      <w:r w:rsidR="005E0CC8">
        <w:rPr>
          <w:rFonts w:ascii="Arial" w:hAnsi="Arial" w:cs="Arial"/>
          <w:sz w:val="20"/>
          <w:szCs w:val="20"/>
        </w:rPr>
        <w:t>several area</w:t>
      </w:r>
      <w:r>
        <w:rPr>
          <w:rFonts w:ascii="Arial" w:hAnsi="Arial" w:cs="Arial"/>
          <w:sz w:val="20"/>
          <w:szCs w:val="20"/>
        </w:rPr>
        <w:t>s</w:t>
      </w:r>
      <w:r w:rsidR="005E0CC8">
        <w:rPr>
          <w:rFonts w:ascii="Arial" w:hAnsi="Arial" w:cs="Arial"/>
          <w:sz w:val="20"/>
          <w:szCs w:val="20"/>
        </w:rPr>
        <w:t xml:space="preserve"> that emerged </w:t>
      </w:r>
      <w:r w:rsidR="009625F9">
        <w:rPr>
          <w:rFonts w:ascii="Arial" w:hAnsi="Arial" w:cs="Arial"/>
          <w:sz w:val="20"/>
          <w:szCs w:val="20"/>
        </w:rPr>
        <w:t xml:space="preserve">during discussions with </w:t>
      </w:r>
      <w:r w:rsidR="00F16E23">
        <w:rPr>
          <w:rFonts w:ascii="Arial" w:hAnsi="Arial" w:cs="Arial"/>
          <w:sz w:val="20"/>
          <w:szCs w:val="20"/>
        </w:rPr>
        <w:t>stakeholders</w:t>
      </w:r>
      <w:r w:rsidR="009625F9">
        <w:rPr>
          <w:rFonts w:ascii="Arial" w:hAnsi="Arial" w:cs="Arial"/>
          <w:sz w:val="20"/>
          <w:szCs w:val="20"/>
        </w:rPr>
        <w:t xml:space="preserve"> as either areas of great potential (in light of sectors </w:t>
      </w:r>
      <w:r w:rsidR="00D4082C">
        <w:rPr>
          <w:rFonts w:ascii="Arial" w:hAnsi="Arial" w:cs="Arial"/>
          <w:sz w:val="20"/>
          <w:szCs w:val="20"/>
        </w:rPr>
        <w:t xml:space="preserve">potentially </w:t>
      </w:r>
      <w:r w:rsidR="009625F9">
        <w:rPr>
          <w:rFonts w:ascii="Arial" w:hAnsi="Arial" w:cs="Arial"/>
          <w:sz w:val="20"/>
          <w:szCs w:val="20"/>
        </w:rPr>
        <w:t>eligible for funding under the JTF regulation) or areas of concern (e.g.</w:t>
      </w:r>
      <w:r w:rsidR="00B92866">
        <w:rPr>
          <w:rFonts w:ascii="Arial" w:hAnsi="Arial" w:cs="Arial"/>
          <w:sz w:val="20"/>
          <w:szCs w:val="20"/>
        </w:rPr>
        <w:t>,</w:t>
      </w:r>
      <w:r w:rsidR="009625F9">
        <w:rPr>
          <w:rFonts w:ascii="Arial" w:hAnsi="Arial" w:cs="Arial"/>
          <w:sz w:val="20"/>
          <w:szCs w:val="20"/>
        </w:rPr>
        <w:t xml:space="preserve"> skills mismatch). </w:t>
      </w:r>
      <w:r w:rsidR="00091FE3">
        <w:rPr>
          <w:rFonts w:ascii="Arial" w:hAnsi="Arial" w:cs="Arial"/>
          <w:sz w:val="20"/>
          <w:szCs w:val="20"/>
        </w:rPr>
        <w:t>Chapter</w:t>
      </w:r>
      <w:r w:rsidR="009625F9">
        <w:rPr>
          <w:rFonts w:ascii="Arial" w:hAnsi="Arial" w:cs="Arial"/>
          <w:sz w:val="20"/>
          <w:szCs w:val="20"/>
        </w:rPr>
        <w:t xml:space="preserve"> 2 draws comparisons between counties to </w:t>
      </w:r>
      <w:r w:rsidR="007B2791">
        <w:rPr>
          <w:rFonts w:ascii="Arial" w:hAnsi="Arial" w:cs="Arial"/>
          <w:sz w:val="20"/>
          <w:szCs w:val="20"/>
        </w:rPr>
        <w:t>create</w:t>
      </w:r>
      <w:r w:rsidR="009625F9">
        <w:rPr>
          <w:rFonts w:ascii="Arial" w:hAnsi="Arial" w:cs="Arial"/>
          <w:sz w:val="20"/>
          <w:szCs w:val="20"/>
        </w:rPr>
        <w:t xml:space="preserve"> a more nuan</w:t>
      </w:r>
      <w:r w:rsidR="00BD2C97">
        <w:rPr>
          <w:rFonts w:ascii="Arial" w:hAnsi="Arial" w:cs="Arial"/>
          <w:sz w:val="20"/>
          <w:szCs w:val="20"/>
        </w:rPr>
        <w:t>ced view over each of these areas</w:t>
      </w:r>
      <w:r w:rsidR="007B2791">
        <w:rPr>
          <w:rFonts w:ascii="Arial" w:hAnsi="Arial" w:cs="Arial"/>
          <w:sz w:val="20"/>
          <w:szCs w:val="20"/>
        </w:rPr>
        <w:t xml:space="preserve"> while </w:t>
      </w:r>
      <w:r w:rsidR="00091FE3">
        <w:rPr>
          <w:rFonts w:ascii="Arial" w:hAnsi="Arial" w:cs="Arial"/>
          <w:sz w:val="20"/>
          <w:szCs w:val="20"/>
        </w:rPr>
        <w:t>Chapter</w:t>
      </w:r>
      <w:r w:rsidR="007B2791">
        <w:rPr>
          <w:rFonts w:ascii="Arial" w:hAnsi="Arial" w:cs="Arial"/>
          <w:sz w:val="20"/>
          <w:szCs w:val="20"/>
        </w:rPr>
        <w:t xml:space="preserve">s 3 </w:t>
      </w:r>
      <w:r w:rsidR="007F2EAB">
        <w:rPr>
          <w:rFonts w:ascii="Arial" w:hAnsi="Arial" w:cs="Arial"/>
          <w:sz w:val="20"/>
          <w:szCs w:val="20"/>
        </w:rPr>
        <w:t>to</w:t>
      </w:r>
      <w:r w:rsidR="007B2791">
        <w:rPr>
          <w:rFonts w:ascii="Arial" w:hAnsi="Arial" w:cs="Arial"/>
          <w:sz w:val="20"/>
          <w:szCs w:val="20"/>
        </w:rPr>
        <w:t xml:space="preserve"> 8 detail these opportunities and concern</w:t>
      </w:r>
      <w:r w:rsidR="00DF31AB">
        <w:rPr>
          <w:rFonts w:ascii="Arial" w:hAnsi="Arial" w:cs="Arial"/>
          <w:sz w:val="20"/>
          <w:szCs w:val="20"/>
        </w:rPr>
        <w:t>s in more detail</w:t>
      </w:r>
      <w:r w:rsidR="007F2EAB">
        <w:rPr>
          <w:rFonts w:ascii="Arial" w:hAnsi="Arial" w:cs="Arial"/>
          <w:sz w:val="20"/>
          <w:szCs w:val="20"/>
        </w:rPr>
        <w:t>, county by county.</w:t>
      </w:r>
    </w:p>
    <w:p w14:paraId="735CEF2E" w14:textId="27E57EDC" w:rsidR="005E0CC8" w:rsidRPr="00BD2604" w:rsidRDefault="00BD2604" w:rsidP="00E42342">
      <w:pPr>
        <w:pStyle w:val="Heading2"/>
        <w:numPr>
          <w:ilvl w:val="0"/>
          <w:numId w:val="156"/>
        </w:numPr>
        <w:spacing w:before="120"/>
      </w:pPr>
      <w:bookmarkStart w:id="20" w:name="_Toc90725848"/>
      <w:r w:rsidRPr="00BD2604">
        <w:t>Circular ec</w:t>
      </w:r>
      <w:r>
        <w:t>onomy</w:t>
      </w:r>
      <w:bookmarkEnd w:id="20"/>
      <w:r>
        <w:t xml:space="preserve"> </w:t>
      </w:r>
    </w:p>
    <w:p w14:paraId="412B4FFE" w14:textId="576F2A8E" w:rsidR="00954CD3" w:rsidRPr="00954CD3" w:rsidRDefault="00954CD3" w:rsidP="0057444A">
      <w:pPr>
        <w:spacing w:after="120"/>
        <w:jc w:val="both"/>
        <w:rPr>
          <w:rFonts w:ascii="Arial" w:hAnsi="Arial" w:cs="Arial"/>
          <w:sz w:val="20"/>
          <w:szCs w:val="20"/>
        </w:rPr>
      </w:pPr>
      <w:r w:rsidRPr="00954CD3">
        <w:rPr>
          <w:rFonts w:ascii="Arial" w:hAnsi="Arial" w:cs="Arial"/>
          <w:sz w:val="20"/>
          <w:szCs w:val="20"/>
        </w:rPr>
        <w:t>Circular econom</w:t>
      </w:r>
      <w:r w:rsidR="007F2EAB">
        <w:rPr>
          <w:rFonts w:ascii="Arial" w:hAnsi="Arial" w:cs="Arial"/>
          <w:sz w:val="20"/>
          <w:szCs w:val="20"/>
        </w:rPr>
        <w:t>y</w:t>
      </w:r>
      <w:r w:rsidRPr="00954CD3">
        <w:rPr>
          <w:rFonts w:ascii="Arial" w:hAnsi="Arial" w:cs="Arial"/>
          <w:sz w:val="20"/>
          <w:szCs w:val="20"/>
        </w:rPr>
        <w:t xml:space="preserve"> </w:t>
      </w:r>
      <w:r w:rsidR="007F2EAB">
        <w:rPr>
          <w:rFonts w:ascii="Arial" w:hAnsi="Arial" w:cs="Arial"/>
          <w:sz w:val="20"/>
          <w:szCs w:val="20"/>
        </w:rPr>
        <w:t>is</w:t>
      </w:r>
      <w:r w:rsidRPr="00954CD3">
        <w:rPr>
          <w:rFonts w:ascii="Arial" w:hAnsi="Arial" w:cs="Arial"/>
          <w:sz w:val="20"/>
          <w:szCs w:val="20"/>
        </w:rPr>
        <w:t xml:space="preserve"> underdeveloped across the whole country: not only the basic mechanisms and processes that need to be put in place by public authorities are missing (e.g., selective waste collection facilities, recycling of municipal waste - where nation-wide, Romania is far behind the 2020 target of 50% and the trend is even decreasing). Additionally, entrepreneurship in the field of recycling, reuse and repairing is completely underdeveloped. </w:t>
      </w:r>
    </w:p>
    <w:p w14:paraId="1EFC8617" w14:textId="5EC05C28" w:rsidR="00954CD3" w:rsidRPr="00954CD3" w:rsidRDefault="00954CD3" w:rsidP="0057444A">
      <w:pPr>
        <w:spacing w:after="120"/>
        <w:jc w:val="both"/>
        <w:rPr>
          <w:rFonts w:ascii="Arial" w:hAnsi="Arial" w:cs="Arial"/>
          <w:sz w:val="20"/>
          <w:szCs w:val="20"/>
        </w:rPr>
      </w:pPr>
      <w:r w:rsidRPr="00954CD3">
        <w:rPr>
          <w:rFonts w:ascii="Arial" w:hAnsi="Arial" w:cs="Arial"/>
          <w:sz w:val="20"/>
          <w:szCs w:val="20"/>
        </w:rPr>
        <w:t xml:space="preserve">Waste Electrical and Electronic Equipment (WEEE) is rarely recycled in Romania (Romania is falling behind the 6.2 kg/capita EU average collection rate in 2014, with 1.5 kg/capita), let alone repaired and repurposed. Through specific operations of cleaning, sanitising, testing, repairing, quality testing and repackaging of WEEE, the reuse of electronics becomes a lot more beneficial than pure recycling in terms of environmental impact (less extraction and processing of materials), job creation and economic value added. The organisations currently working to implement the extended responsibility of producers in various areas of waste and packaging (e.g., Ecotic, Rorec, Environ, Recolamp, etc.) will also face challenges in the future to comply with increasing targets for waste collection and repurposing. Furthermore, they don’t currently have a legal obligation to repurpose/reuse any of the WEEE or other reusable waste that they are collecting, which means that stimulating entrepreneurship in circular economy is all the more needed. </w:t>
      </w:r>
    </w:p>
    <w:p w14:paraId="1493114B" w14:textId="149C4AD1" w:rsidR="00687D55" w:rsidRDefault="00954CD3" w:rsidP="0057444A">
      <w:pPr>
        <w:spacing w:after="120"/>
        <w:jc w:val="both"/>
        <w:rPr>
          <w:rFonts w:ascii="Arial" w:hAnsi="Arial" w:cs="Arial"/>
          <w:sz w:val="20"/>
          <w:szCs w:val="20"/>
        </w:rPr>
      </w:pPr>
      <w:r w:rsidRPr="00954CD3">
        <w:rPr>
          <w:rFonts w:ascii="Arial" w:hAnsi="Arial" w:cs="Arial"/>
          <w:sz w:val="20"/>
          <w:szCs w:val="20"/>
        </w:rPr>
        <w:t>According to stakeholder interviews, Romania generates 800 to 1</w:t>
      </w:r>
      <w:r w:rsidR="00687D55">
        <w:rPr>
          <w:rFonts w:ascii="Arial" w:hAnsi="Arial" w:cs="Arial"/>
          <w:sz w:val="20"/>
          <w:szCs w:val="20"/>
        </w:rPr>
        <w:t>,</w:t>
      </w:r>
      <w:r w:rsidRPr="00954CD3">
        <w:rPr>
          <w:rFonts w:ascii="Arial" w:hAnsi="Arial" w:cs="Arial"/>
          <w:sz w:val="20"/>
          <w:szCs w:val="20"/>
        </w:rPr>
        <w:t>000 tonnes of electronic equipment with repair potential yearly which, unfortunately, ends up being disassembled and discarded as waste. Adequate regulation and support of reuse businesses (repair shops, etc.) can support job ad economic value creation in territories exposed to negative consequences due to the energy transition process. Furthermore, it is an alternative to a blooming informal market for importing and selling second-hand electronics and household appliances - without any guarantee certificate, without formal invoicing, etc. The support of such productive investments in SMEs can target not only electronic waste, but also reconditioning and repurposing of furniture (household or office furniture, etc.), household objects, leftovers from the construction industry, etc. The reskilling of laid off staff, in particular from the mining sectors, into jobs such as repairmen, electricians, etc. could prove to be very feasible and very adequate for the development of circular economy businesses at local level.</w:t>
      </w:r>
    </w:p>
    <w:p w14:paraId="2C7EBB8C" w14:textId="50991EA3" w:rsidR="00687D55" w:rsidRPr="003516DC" w:rsidRDefault="00687D55" w:rsidP="0057444A">
      <w:pPr>
        <w:spacing w:after="120"/>
        <w:jc w:val="both"/>
        <w:rPr>
          <w:rFonts w:ascii="Arial" w:hAnsi="Arial" w:cs="Arial"/>
          <w:sz w:val="20"/>
          <w:szCs w:val="20"/>
        </w:rPr>
      </w:pPr>
      <w:r>
        <w:rPr>
          <w:rFonts w:ascii="Arial" w:hAnsi="Arial" w:cs="Arial"/>
          <w:sz w:val="20"/>
          <w:szCs w:val="20"/>
        </w:rPr>
        <w:t>D</w:t>
      </w:r>
      <w:r w:rsidRPr="003516DC">
        <w:rPr>
          <w:rFonts w:ascii="Arial" w:hAnsi="Arial" w:cs="Arial"/>
          <w:sz w:val="20"/>
          <w:szCs w:val="20"/>
        </w:rPr>
        <w:t>uring the regional consultations/ workshops,</w:t>
      </w:r>
      <w:r>
        <w:rPr>
          <w:rFonts w:ascii="Arial" w:hAnsi="Arial" w:cs="Arial"/>
          <w:sz w:val="20"/>
          <w:szCs w:val="20"/>
        </w:rPr>
        <w:t xml:space="preserve"> several p</w:t>
      </w:r>
      <w:r w:rsidRPr="003516DC">
        <w:rPr>
          <w:rFonts w:ascii="Arial" w:hAnsi="Arial" w:cs="Arial"/>
          <w:sz w:val="20"/>
          <w:szCs w:val="20"/>
        </w:rPr>
        <w:t>roject ideas on circular economy emerged as follows:</w:t>
      </w:r>
    </w:p>
    <w:p w14:paraId="242DD859" w14:textId="01179325" w:rsidR="00687D55" w:rsidRDefault="00687D55" w:rsidP="001916C2">
      <w:pPr>
        <w:pStyle w:val="ListParagraph"/>
        <w:numPr>
          <w:ilvl w:val="0"/>
          <w:numId w:val="153"/>
        </w:numPr>
        <w:spacing w:after="120" w:line="240" w:lineRule="auto"/>
        <w:ind w:left="357" w:hanging="357"/>
        <w:contextualSpacing w:val="0"/>
        <w:jc w:val="both"/>
        <w:rPr>
          <w:sz w:val="20"/>
          <w:szCs w:val="20"/>
        </w:rPr>
      </w:pPr>
      <w:r w:rsidRPr="00687D55">
        <w:rPr>
          <w:sz w:val="20"/>
          <w:szCs w:val="20"/>
        </w:rPr>
        <w:lastRenderedPageBreak/>
        <w:t>Hunedoara County:</w:t>
      </w:r>
      <w:r>
        <w:rPr>
          <w:sz w:val="20"/>
          <w:szCs w:val="20"/>
        </w:rPr>
        <w:t xml:space="preserve"> </w:t>
      </w:r>
      <w:r w:rsidRPr="00687D55">
        <w:rPr>
          <w:sz w:val="20"/>
          <w:szCs w:val="20"/>
        </w:rPr>
        <w:t>establishment of a construction materials recycl</w:t>
      </w:r>
      <w:r>
        <w:rPr>
          <w:sz w:val="20"/>
          <w:szCs w:val="20"/>
        </w:rPr>
        <w:t>ing</w:t>
      </w:r>
      <w:r w:rsidRPr="00687D55">
        <w:rPr>
          <w:sz w:val="20"/>
          <w:szCs w:val="20"/>
        </w:rPr>
        <w:t xml:space="preserve"> plant that will process and recycle construction materials from the former mining and energy plants in </w:t>
      </w:r>
      <w:r w:rsidR="004066FD">
        <w:rPr>
          <w:sz w:val="20"/>
          <w:szCs w:val="20"/>
        </w:rPr>
        <w:t xml:space="preserve">closure </w:t>
      </w:r>
      <w:r w:rsidRPr="00687D55">
        <w:rPr>
          <w:sz w:val="20"/>
          <w:szCs w:val="20"/>
        </w:rPr>
        <w:t>process and from the local energy efficiency construction projects.</w:t>
      </w:r>
    </w:p>
    <w:p w14:paraId="71FB5F81" w14:textId="0074985C" w:rsidR="00687D55" w:rsidRDefault="00687D55" w:rsidP="001916C2">
      <w:pPr>
        <w:pStyle w:val="ListParagraph"/>
        <w:numPr>
          <w:ilvl w:val="0"/>
          <w:numId w:val="153"/>
        </w:numPr>
        <w:spacing w:after="120" w:line="240" w:lineRule="auto"/>
        <w:ind w:left="357" w:hanging="357"/>
        <w:contextualSpacing w:val="0"/>
        <w:jc w:val="both"/>
        <w:rPr>
          <w:sz w:val="20"/>
          <w:szCs w:val="20"/>
        </w:rPr>
      </w:pPr>
      <w:r w:rsidRPr="00687D55">
        <w:rPr>
          <w:sz w:val="20"/>
          <w:szCs w:val="20"/>
        </w:rPr>
        <w:t xml:space="preserve">Dolj </w:t>
      </w:r>
      <w:r w:rsidR="004066FD">
        <w:rPr>
          <w:sz w:val="20"/>
          <w:szCs w:val="20"/>
        </w:rPr>
        <w:t>C</w:t>
      </w:r>
      <w:r w:rsidRPr="00687D55">
        <w:rPr>
          <w:sz w:val="20"/>
          <w:szCs w:val="20"/>
        </w:rPr>
        <w:t>ounty: PPPs for circular economy, RADON – recycling of concrete waste</w:t>
      </w:r>
      <w:r>
        <w:rPr>
          <w:sz w:val="20"/>
          <w:szCs w:val="20"/>
        </w:rPr>
        <w:t>.</w:t>
      </w:r>
    </w:p>
    <w:p w14:paraId="34E5FAC0" w14:textId="0F4E6977" w:rsidR="00687D55" w:rsidRDefault="00687D55" w:rsidP="001916C2">
      <w:pPr>
        <w:pStyle w:val="ListParagraph"/>
        <w:numPr>
          <w:ilvl w:val="0"/>
          <w:numId w:val="153"/>
        </w:numPr>
        <w:spacing w:after="120" w:line="240" w:lineRule="auto"/>
        <w:ind w:left="357" w:hanging="357"/>
        <w:contextualSpacing w:val="0"/>
        <w:jc w:val="both"/>
        <w:rPr>
          <w:sz w:val="20"/>
          <w:szCs w:val="20"/>
        </w:rPr>
      </w:pPr>
      <w:r w:rsidRPr="00687D55">
        <w:rPr>
          <w:sz w:val="20"/>
          <w:szCs w:val="20"/>
        </w:rPr>
        <w:t xml:space="preserve">Gorj </w:t>
      </w:r>
      <w:r w:rsidR="004066FD">
        <w:rPr>
          <w:sz w:val="20"/>
          <w:szCs w:val="20"/>
        </w:rPr>
        <w:t>C</w:t>
      </w:r>
      <w:r w:rsidRPr="00687D55">
        <w:rPr>
          <w:sz w:val="20"/>
          <w:szCs w:val="20"/>
        </w:rPr>
        <w:t xml:space="preserve">ounty: </w:t>
      </w:r>
      <w:r>
        <w:rPr>
          <w:sz w:val="20"/>
          <w:szCs w:val="20"/>
        </w:rPr>
        <w:t xml:space="preserve">development of </w:t>
      </w:r>
      <w:r w:rsidRPr="00687D55">
        <w:rPr>
          <w:sz w:val="20"/>
          <w:szCs w:val="20"/>
        </w:rPr>
        <w:t>existing SMEs in the field of circular economy</w:t>
      </w:r>
      <w:r>
        <w:rPr>
          <w:sz w:val="20"/>
          <w:szCs w:val="20"/>
        </w:rPr>
        <w:t>;</w:t>
      </w:r>
      <w:r w:rsidRPr="00687D55">
        <w:rPr>
          <w:sz w:val="20"/>
          <w:szCs w:val="20"/>
        </w:rPr>
        <w:t xml:space="preserve"> specifically for </w:t>
      </w:r>
      <w:r>
        <w:rPr>
          <w:sz w:val="20"/>
          <w:szCs w:val="20"/>
        </w:rPr>
        <w:t xml:space="preserve">Oltenia EC </w:t>
      </w:r>
      <w:r w:rsidRPr="00687D55">
        <w:rPr>
          <w:sz w:val="20"/>
          <w:szCs w:val="20"/>
        </w:rPr>
        <w:t>– industrial residues result</w:t>
      </w:r>
      <w:r w:rsidR="00D1601A">
        <w:rPr>
          <w:sz w:val="20"/>
          <w:szCs w:val="20"/>
        </w:rPr>
        <w:t>ing</w:t>
      </w:r>
      <w:r w:rsidRPr="00687D55">
        <w:rPr>
          <w:sz w:val="20"/>
          <w:szCs w:val="20"/>
        </w:rPr>
        <w:t xml:space="preserve"> from technological processes can be partially used in construction</w:t>
      </w:r>
      <w:r>
        <w:rPr>
          <w:sz w:val="20"/>
          <w:szCs w:val="20"/>
        </w:rPr>
        <w:t>;</w:t>
      </w:r>
      <w:r w:rsidRPr="00687D55">
        <w:rPr>
          <w:sz w:val="20"/>
          <w:szCs w:val="20"/>
        </w:rPr>
        <w:t xml:space="preserve"> </w:t>
      </w:r>
    </w:p>
    <w:p w14:paraId="0D5A860D" w14:textId="3FA1069A" w:rsidR="00DA6B30" w:rsidRDefault="00DA6B30" w:rsidP="001916C2">
      <w:pPr>
        <w:pStyle w:val="ListParagraph"/>
        <w:numPr>
          <w:ilvl w:val="0"/>
          <w:numId w:val="153"/>
        </w:numPr>
        <w:spacing w:after="120" w:line="240" w:lineRule="auto"/>
        <w:ind w:left="357" w:hanging="357"/>
        <w:contextualSpacing w:val="0"/>
        <w:jc w:val="both"/>
        <w:rPr>
          <w:sz w:val="20"/>
          <w:szCs w:val="20"/>
        </w:rPr>
      </w:pPr>
      <w:r w:rsidRPr="00687D55">
        <w:rPr>
          <w:sz w:val="20"/>
          <w:szCs w:val="20"/>
        </w:rPr>
        <w:t xml:space="preserve">Prahova </w:t>
      </w:r>
      <w:r>
        <w:rPr>
          <w:sz w:val="20"/>
          <w:szCs w:val="20"/>
        </w:rPr>
        <w:t>C</w:t>
      </w:r>
      <w:r w:rsidRPr="00687D55">
        <w:rPr>
          <w:sz w:val="20"/>
          <w:szCs w:val="20"/>
        </w:rPr>
        <w:t xml:space="preserve">ounty: </w:t>
      </w:r>
      <w:r>
        <w:rPr>
          <w:sz w:val="20"/>
          <w:szCs w:val="20"/>
        </w:rPr>
        <w:t xml:space="preserve">production of </w:t>
      </w:r>
      <w:r w:rsidRPr="00687D55">
        <w:rPr>
          <w:sz w:val="20"/>
          <w:szCs w:val="20"/>
        </w:rPr>
        <w:t xml:space="preserve">biomass from straws and cobs, biogas from agricultural and </w:t>
      </w:r>
      <w:r>
        <w:rPr>
          <w:sz w:val="20"/>
          <w:szCs w:val="20"/>
        </w:rPr>
        <w:t>animal</w:t>
      </w:r>
      <w:r w:rsidRPr="00687D55">
        <w:rPr>
          <w:sz w:val="20"/>
          <w:szCs w:val="20"/>
        </w:rPr>
        <w:t xml:space="preserve"> waste; circular economy project as </w:t>
      </w:r>
      <w:r>
        <w:rPr>
          <w:sz w:val="20"/>
          <w:szCs w:val="20"/>
        </w:rPr>
        <w:t xml:space="preserve">a </w:t>
      </w:r>
      <w:r w:rsidRPr="00687D55">
        <w:rPr>
          <w:sz w:val="20"/>
          <w:szCs w:val="20"/>
        </w:rPr>
        <w:t xml:space="preserve">component of the waste management system; </w:t>
      </w:r>
      <w:r>
        <w:rPr>
          <w:sz w:val="20"/>
          <w:szCs w:val="20"/>
        </w:rPr>
        <w:t xml:space="preserve">network development </w:t>
      </w:r>
      <w:r w:rsidRPr="00687D55">
        <w:rPr>
          <w:sz w:val="20"/>
          <w:szCs w:val="20"/>
        </w:rPr>
        <w:t xml:space="preserve">for material recovery and PET recycling, PET recovery; </w:t>
      </w:r>
    </w:p>
    <w:p w14:paraId="6D93CA15" w14:textId="25CB8FDB" w:rsidR="00687D55" w:rsidRDefault="004F70E0" w:rsidP="001916C2">
      <w:pPr>
        <w:pStyle w:val="ListParagraph"/>
        <w:numPr>
          <w:ilvl w:val="0"/>
          <w:numId w:val="153"/>
        </w:numPr>
        <w:spacing w:after="120" w:line="240" w:lineRule="auto"/>
        <w:ind w:left="357" w:hanging="357"/>
        <w:contextualSpacing w:val="0"/>
        <w:jc w:val="both"/>
        <w:rPr>
          <w:sz w:val="20"/>
          <w:szCs w:val="20"/>
        </w:rPr>
      </w:pPr>
      <w:r>
        <w:rPr>
          <w:sz w:val="20"/>
          <w:szCs w:val="20"/>
        </w:rPr>
        <w:t>Galați</w:t>
      </w:r>
      <w:r w:rsidR="00687D55" w:rsidRPr="00687D55">
        <w:rPr>
          <w:sz w:val="20"/>
          <w:szCs w:val="20"/>
        </w:rPr>
        <w:t xml:space="preserve"> </w:t>
      </w:r>
      <w:r w:rsidR="0061453F">
        <w:rPr>
          <w:sz w:val="20"/>
          <w:szCs w:val="20"/>
        </w:rPr>
        <w:t>C</w:t>
      </w:r>
      <w:r w:rsidR="00687D55" w:rsidRPr="00687D55">
        <w:rPr>
          <w:sz w:val="20"/>
          <w:szCs w:val="20"/>
        </w:rPr>
        <w:t xml:space="preserve">ounty: electrical/electronic waste repair </w:t>
      </w:r>
      <w:r w:rsidR="00687D55">
        <w:rPr>
          <w:sz w:val="20"/>
          <w:szCs w:val="20"/>
        </w:rPr>
        <w:t>(</w:t>
      </w:r>
      <w:r w:rsidR="00687D55" w:rsidRPr="00687D55">
        <w:rPr>
          <w:sz w:val="20"/>
          <w:szCs w:val="20"/>
        </w:rPr>
        <w:t>recover and reus</w:t>
      </w:r>
      <w:r w:rsidR="00687D55">
        <w:rPr>
          <w:sz w:val="20"/>
          <w:szCs w:val="20"/>
        </w:rPr>
        <w:t>e project)</w:t>
      </w:r>
      <w:r w:rsidR="00183858">
        <w:rPr>
          <w:sz w:val="20"/>
          <w:szCs w:val="20"/>
        </w:rPr>
        <w:t>.</w:t>
      </w:r>
    </w:p>
    <w:p w14:paraId="3E0E728C" w14:textId="6C056E01" w:rsidR="007F2EAB" w:rsidRPr="00DA6B30" w:rsidRDefault="004F70E0" w:rsidP="001916C2">
      <w:pPr>
        <w:pStyle w:val="ListParagraph"/>
        <w:numPr>
          <w:ilvl w:val="0"/>
          <w:numId w:val="153"/>
        </w:numPr>
        <w:spacing w:after="120" w:line="240" w:lineRule="auto"/>
        <w:ind w:left="357" w:hanging="357"/>
        <w:contextualSpacing w:val="0"/>
        <w:jc w:val="both"/>
      </w:pPr>
      <w:r>
        <w:rPr>
          <w:sz w:val="20"/>
          <w:szCs w:val="20"/>
        </w:rPr>
        <w:t>Mureș</w:t>
      </w:r>
      <w:r w:rsidR="00687D55" w:rsidRPr="00402580">
        <w:rPr>
          <w:sz w:val="20"/>
          <w:szCs w:val="20"/>
        </w:rPr>
        <w:t xml:space="preserve"> </w:t>
      </w:r>
      <w:r w:rsidR="00183858" w:rsidRPr="00402580">
        <w:rPr>
          <w:sz w:val="20"/>
          <w:szCs w:val="20"/>
        </w:rPr>
        <w:t>C</w:t>
      </w:r>
      <w:r w:rsidR="00687D55" w:rsidRPr="00402580">
        <w:rPr>
          <w:sz w:val="20"/>
          <w:szCs w:val="20"/>
        </w:rPr>
        <w:t xml:space="preserve">ounty: </w:t>
      </w:r>
      <w:r w:rsidR="00687D55" w:rsidRPr="00402580">
        <w:rPr>
          <w:sz w:val="20"/>
          <w:szCs w:val="20"/>
          <w:lang w:val="ro-RO"/>
        </w:rPr>
        <w:t>metal paring reuse; processing of contaminated material stored in the existing landfills and capitali</w:t>
      </w:r>
      <w:r w:rsidR="00B651DB" w:rsidRPr="00402580">
        <w:rPr>
          <w:sz w:val="20"/>
          <w:szCs w:val="20"/>
          <w:lang w:val="ro-RO"/>
        </w:rPr>
        <w:t>s</w:t>
      </w:r>
      <w:r w:rsidR="00687D55" w:rsidRPr="00402580">
        <w:rPr>
          <w:sz w:val="20"/>
          <w:szCs w:val="20"/>
          <w:lang w:val="ro-RO"/>
        </w:rPr>
        <w:t>ing on the useful elements in the chemical industry, smelting, construction; green tech in circular economy; green hydrogen on solar PV</w:t>
      </w:r>
      <w:r w:rsidR="00033727" w:rsidRPr="00402580">
        <w:rPr>
          <w:sz w:val="20"/>
          <w:szCs w:val="20"/>
          <w:lang w:val="ro-RO"/>
        </w:rPr>
        <w:t>.</w:t>
      </w:r>
      <w:r w:rsidR="00687D55" w:rsidRPr="00402580">
        <w:rPr>
          <w:sz w:val="20"/>
          <w:szCs w:val="20"/>
          <w:lang w:val="ro-RO"/>
        </w:rPr>
        <w:t xml:space="preserve"> </w:t>
      </w:r>
    </w:p>
    <w:p w14:paraId="275A1DC4" w14:textId="60467951" w:rsidR="00DA6B30" w:rsidRPr="00DA6B30" w:rsidRDefault="003751DC" w:rsidP="001916C2">
      <w:pPr>
        <w:pStyle w:val="ListParagraph"/>
        <w:numPr>
          <w:ilvl w:val="0"/>
          <w:numId w:val="153"/>
        </w:numPr>
        <w:spacing w:after="120" w:line="240" w:lineRule="auto"/>
        <w:ind w:left="357" w:hanging="357"/>
        <w:contextualSpacing w:val="0"/>
        <w:jc w:val="both"/>
        <w:rPr>
          <w:sz w:val="20"/>
          <w:szCs w:val="20"/>
        </w:rPr>
      </w:pPr>
      <w:r>
        <w:rPr>
          <w:sz w:val="20"/>
          <w:szCs w:val="20"/>
        </w:rPr>
        <w:t>Galați</w:t>
      </w:r>
      <w:r w:rsidR="00DA6B30" w:rsidRPr="00687D55">
        <w:rPr>
          <w:sz w:val="20"/>
          <w:szCs w:val="20"/>
        </w:rPr>
        <w:t xml:space="preserve"> </w:t>
      </w:r>
      <w:r w:rsidR="00DA6B30">
        <w:rPr>
          <w:sz w:val="20"/>
          <w:szCs w:val="20"/>
        </w:rPr>
        <w:t>C</w:t>
      </w:r>
      <w:r w:rsidR="00DA6B30" w:rsidRPr="00687D55">
        <w:rPr>
          <w:sz w:val="20"/>
          <w:szCs w:val="20"/>
        </w:rPr>
        <w:t xml:space="preserve">ounty: electrical/electronic waste repair </w:t>
      </w:r>
      <w:r w:rsidR="00DA6B30">
        <w:rPr>
          <w:sz w:val="20"/>
          <w:szCs w:val="20"/>
        </w:rPr>
        <w:t>(</w:t>
      </w:r>
      <w:r w:rsidR="00DA6B30" w:rsidRPr="00687D55">
        <w:rPr>
          <w:sz w:val="20"/>
          <w:szCs w:val="20"/>
        </w:rPr>
        <w:t>recover and reus</w:t>
      </w:r>
      <w:r w:rsidR="00DA6B30">
        <w:rPr>
          <w:sz w:val="20"/>
          <w:szCs w:val="20"/>
        </w:rPr>
        <w:t>e project).</w:t>
      </w:r>
    </w:p>
    <w:p w14:paraId="252BB1FC" w14:textId="0F3D628D"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 xml:space="preserve">Data on circular economy is scarce at national level, let alone at the county level. Thus, we analysed company level from the Trade Registry of Romania for all six affected counties and came to some relevant conclusions. The number of companies active in the fields of waste collection (NACE 381), waste treatment and disposal (NACE 382), recovery of recycling materials (NACE 383), and personal and household items repairs (NACE 952) range from as low as 104 entities in Gorj County to 259 in Prahova County. They employ between 922 employees in Gorj County, up to 1,974 employees in Prahova County. Their highest turnover, nonetheless, is in Galați (due to the presence of large players in the field of sorted recycling materials recovery), with approximately RON 600 m, exceeding Prahova by almost 50%, which has a total turnover of RON 417 m. In other words, value added in </w:t>
      </w:r>
      <w:r w:rsidR="003751DC">
        <w:rPr>
          <w:rFonts w:ascii="Arial" w:hAnsi="Arial" w:cs="Arial"/>
          <w:sz w:val="20"/>
          <w:szCs w:val="20"/>
        </w:rPr>
        <w:t>Galați</w:t>
      </w:r>
      <w:r w:rsidRPr="003516DC">
        <w:rPr>
          <w:rFonts w:ascii="Arial" w:hAnsi="Arial" w:cs="Arial"/>
          <w:sz w:val="20"/>
          <w:szCs w:val="20"/>
        </w:rPr>
        <w:t xml:space="preserve"> from the recovery of recycling materials is remarkable - 990 employees achieve a turnover double that of Mureș, where more than 1,500 employees are active in the same classes of companies, yet turnover is approximately RON 368 m.</w:t>
      </w:r>
    </w:p>
    <w:p w14:paraId="1857DE2D" w14:textId="34AFC21F" w:rsidR="00E32B8E" w:rsidRPr="003516DC" w:rsidRDefault="00E32B8E" w:rsidP="00E32B8E">
      <w:pPr>
        <w:pStyle w:val="Caption"/>
      </w:pPr>
      <w:bookmarkStart w:id="21" w:name="_Toc90725956"/>
      <w:bookmarkStart w:id="22" w:name="_Toc90727253"/>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2</w:t>
      </w:r>
      <w:r w:rsidRPr="003516DC">
        <w:rPr>
          <w:noProof/>
        </w:rPr>
        <w:fldChar w:fldCharType="end"/>
      </w:r>
      <w:r w:rsidRPr="003516DC">
        <w:t>: Active companies in the sector of circular economy across the six counties</w:t>
      </w:r>
      <w:bookmarkEnd w:id="21"/>
      <w:bookmarkEnd w:id="22"/>
    </w:p>
    <w:tbl>
      <w:tblPr>
        <w:tblStyle w:val="TableGrid"/>
        <w:tblW w:w="5000" w:type="pct"/>
        <w:tblLook w:val="04A0" w:firstRow="1" w:lastRow="0" w:firstColumn="1" w:lastColumn="0" w:noHBand="0" w:noVBand="1"/>
      </w:tblPr>
      <w:tblGrid>
        <w:gridCol w:w="2233"/>
        <w:gridCol w:w="2232"/>
        <w:gridCol w:w="2232"/>
        <w:gridCol w:w="2232"/>
      </w:tblGrid>
      <w:tr w:rsidR="00E32B8E" w:rsidRPr="003516DC" w14:paraId="2C9DC090" w14:textId="77777777" w:rsidTr="00964831">
        <w:tc>
          <w:tcPr>
            <w:tcW w:w="1250" w:type="pct"/>
            <w:shd w:val="clear" w:color="auto" w:fill="002060"/>
          </w:tcPr>
          <w:p w14:paraId="7DF31EB7" w14:textId="77777777" w:rsidR="00E32B8E" w:rsidRPr="003516DC" w:rsidRDefault="00E32B8E"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County</w:t>
            </w:r>
          </w:p>
        </w:tc>
        <w:tc>
          <w:tcPr>
            <w:tcW w:w="1250" w:type="pct"/>
            <w:shd w:val="clear" w:color="auto" w:fill="002060"/>
          </w:tcPr>
          <w:p w14:paraId="72EE3F6C" w14:textId="77777777" w:rsidR="00E32B8E" w:rsidRPr="003516DC" w:rsidRDefault="00E32B8E" w:rsidP="00964831">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No. companies 2019</w:t>
            </w:r>
          </w:p>
        </w:tc>
        <w:tc>
          <w:tcPr>
            <w:tcW w:w="1250" w:type="pct"/>
            <w:shd w:val="clear" w:color="auto" w:fill="002060"/>
          </w:tcPr>
          <w:p w14:paraId="390416A2" w14:textId="77777777" w:rsidR="00E32B8E" w:rsidRPr="003516DC" w:rsidRDefault="00E32B8E" w:rsidP="00964831">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No. employees 2019</w:t>
            </w:r>
          </w:p>
        </w:tc>
        <w:tc>
          <w:tcPr>
            <w:tcW w:w="1250" w:type="pct"/>
            <w:shd w:val="clear" w:color="auto" w:fill="002060"/>
          </w:tcPr>
          <w:p w14:paraId="6CE51D31" w14:textId="77777777" w:rsidR="00E32B8E" w:rsidRPr="003516DC" w:rsidRDefault="00E32B8E" w:rsidP="00964831">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Turnover 2019</w:t>
            </w:r>
          </w:p>
        </w:tc>
      </w:tr>
      <w:tr w:rsidR="00E32B8E" w:rsidRPr="003516DC" w14:paraId="64BA832D" w14:textId="77777777" w:rsidTr="00964831">
        <w:tc>
          <w:tcPr>
            <w:tcW w:w="1250" w:type="pct"/>
          </w:tcPr>
          <w:p w14:paraId="3AF10D2F"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Dolj</w:t>
            </w:r>
          </w:p>
        </w:tc>
        <w:tc>
          <w:tcPr>
            <w:tcW w:w="1250" w:type="pct"/>
          </w:tcPr>
          <w:p w14:paraId="4C9398BE"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141</w:t>
            </w:r>
          </w:p>
        </w:tc>
        <w:tc>
          <w:tcPr>
            <w:tcW w:w="1250" w:type="pct"/>
          </w:tcPr>
          <w:p w14:paraId="5557949A"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1,235</w:t>
            </w:r>
          </w:p>
        </w:tc>
        <w:tc>
          <w:tcPr>
            <w:tcW w:w="1250" w:type="pct"/>
          </w:tcPr>
          <w:p w14:paraId="1BECC126"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224,372,445</w:t>
            </w:r>
          </w:p>
        </w:tc>
      </w:tr>
      <w:tr w:rsidR="00E32B8E" w:rsidRPr="003516DC" w14:paraId="4F6E949D" w14:textId="77777777" w:rsidTr="00964831">
        <w:tc>
          <w:tcPr>
            <w:tcW w:w="1250" w:type="pct"/>
          </w:tcPr>
          <w:p w14:paraId="62475446" w14:textId="6172E656" w:rsidR="00E32B8E" w:rsidRPr="003516DC" w:rsidRDefault="003751DC" w:rsidP="00964831">
            <w:pPr>
              <w:rPr>
                <w:rFonts w:ascii="Arial" w:hAnsi="Arial" w:cs="Arial"/>
                <w:sz w:val="18"/>
                <w:szCs w:val="18"/>
              </w:rPr>
            </w:pPr>
            <w:r>
              <w:rPr>
                <w:rFonts w:ascii="Arial" w:hAnsi="Arial" w:cs="Arial"/>
                <w:color w:val="000000"/>
                <w:sz w:val="18"/>
                <w:szCs w:val="18"/>
              </w:rPr>
              <w:t>Galați</w:t>
            </w:r>
          </w:p>
        </w:tc>
        <w:tc>
          <w:tcPr>
            <w:tcW w:w="1250" w:type="pct"/>
          </w:tcPr>
          <w:p w14:paraId="6578F617"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127</w:t>
            </w:r>
          </w:p>
        </w:tc>
        <w:tc>
          <w:tcPr>
            <w:tcW w:w="1250" w:type="pct"/>
          </w:tcPr>
          <w:p w14:paraId="6C85C970"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990</w:t>
            </w:r>
          </w:p>
        </w:tc>
        <w:tc>
          <w:tcPr>
            <w:tcW w:w="1250" w:type="pct"/>
          </w:tcPr>
          <w:p w14:paraId="638DBBE8"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633,047,841</w:t>
            </w:r>
          </w:p>
        </w:tc>
      </w:tr>
      <w:tr w:rsidR="00E32B8E" w:rsidRPr="003516DC" w14:paraId="285B815A" w14:textId="77777777" w:rsidTr="00964831">
        <w:tc>
          <w:tcPr>
            <w:tcW w:w="1250" w:type="pct"/>
          </w:tcPr>
          <w:p w14:paraId="60482300"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Gorj</w:t>
            </w:r>
          </w:p>
        </w:tc>
        <w:tc>
          <w:tcPr>
            <w:tcW w:w="1250" w:type="pct"/>
          </w:tcPr>
          <w:p w14:paraId="4A739A48"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104</w:t>
            </w:r>
          </w:p>
        </w:tc>
        <w:tc>
          <w:tcPr>
            <w:tcW w:w="1250" w:type="pct"/>
          </w:tcPr>
          <w:p w14:paraId="4FF2897B"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1,057</w:t>
            </w:r>
          </w:p>
        </w:tc>
        <w:tc>
          <w:tcPr>
            <w:tcW w:w="1250" w:type="pct"/>
          </w:tcPr>
          <w:p w14:paraId="26911EE8"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105,974,001</w:t>
            </w:r>
          </w:p>
        </w:tc>
      </w:tr>
      <w:tr w:rsidR="00E32B8E" w:rsidRPr="003516DC" w14:paraId="24665E51" w14:textId="77777777" w:rsidTr="00964831">
        <w:tc>
          <w:tcPr>
            <w:tcW w:w="1250" w:type="pct"/>
          </w:tcPr>
          <w:p w14:paraId="597E0FB8"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Hunedoara</w:t>
            </w:r>
          </w:p>
        </w:tc>
        <w:tc>
          <w:tcPr>
            <w:tcW w:w="1250" w:type="pct"/>
          </w:tcPr>
          <w:p w14:paraId="542DDE42"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120</w:t>
            </w:r>
          </w:p>
        </w:tc>
        <w:tc>
          <w:tcPr>
            <w:tcW w:w="1250" w:type="pct"/>
          </w:tcPr>
          <w:p w14:paraId="7EB470B3"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922</w:t>
            </w:r>
          </w:p>
        </w:tc>
        <w:tc>
          <w:tcPr>
            <w:tcW w:w="1250" w:type="pct"/>
          </w:tcPr>
          <w:p w14:paraId="6B54845A"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194,599,461</w:t>
            </w:r>
          </w:p>
        </w:tc>
      </w:tr>
      <w:tr w:rsidR="00E32B8E" w:rsidRPr="003516DC" w14:paraId="51024860" w14:textId="77777777" w:rsidTr="00964831">
        <w:tc>
          <w:tcPr>
            <w:tcW w:w="1250" w:type="pct"/>
          </w:tcPr>
          <w:p w14:paraId="063D1961"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Mureş</w:t>
            </w:r>
          </w:p>
        </w:tc>
        <w:tc>
          <w:tcPr>
            <w:tcW w:w="1250" w:type="pct"/>
          </w:tcPr>
          <w:p w14:paraId="71034A71"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178</w:t>
            </w:r>
          </w:p>
        </w:tc>
        <w:tc>
          <w:tcPr>
            <w:tcW w:w="1250" w:type="pct"/>
          </w:tcPr>
          <w:p w14:paraId="264BD7B3"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1,548</w:t>
            </w:r>
          </w:p>
        </w:tc>
        <w:tc>
          <w:tcPr>
            <w:tcW w:w="1250" w:type="pct"/>
          </w:tcPr>
          <w:p w14:paraId="469EB13D"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368,887,321</w:t>
            </w:r>
          </w:p>
        </w:tc>
      </w:tr>
      <w:tr w:rsidR="00E32B8E" w:rsidRPr="003516DC" w14:paraId="1F943E48" w14:textId="77777777" w:rsidTr="00964831">
        <w:tc>
          <w:tcPr>
            <w:tcW w:w="1250" w:type="pct"/>
          </w:tcPr>
          <w:p w14:paraId="5F9F7532"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Prahova</w:t>
            </w:r>
          </w:p>
        </w:tc>
        <w:tc>
          <w:tcPr>
            <w:tcW w:w="1250" w:type="pct"/>
          </w:tcPr>
          <w:p w14:paraId="035FF5B4"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259</w:t>
            </w:r>
          </w:p>
        </w:tc>
        <w:tc>
          <w:tcPr>
            <w:tcW w:w="1250" w:type="pct"/>
          </w:tcPr>
          <w:p w14:paraId="1361BB82"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1,974</w:t>
            </w:r>
          </w:p>
        </w:tc>
        <w:tc>
          <w:tcPr>
            <w:tcW w:w="1250" w:type="pct"/>
          </w:tcPr>
          <w:p w14:paraId="276317C9"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417,325,979</w:t>
            </w:r>
          </w:p>
        </w:tc>
      </w:tr>
      <w:tr w:rsidR="00E32B8E" w:rsidRPr="003516DC" w14:paraId="6FBFE29E" w14:textId="77777777" w:rsidTr="00964831">
        <w:tc>
          <w:tcPr>
            <w:tcW w:w="1250" w:type="pct"/>
          </w:tcPr>
          <w:p w14:paraId="152615D8" w14:textId="77777777" w:rsidR="00E32B8E" w:rsidRPr="003516DC" w:rsidRDefault="00E32B8E" w:rsidP="00964831">
            <w:pPr>
              <w:rPr>
                <w:rFonts w:ascii="Arial" w:hAnsi="Arial" w:cs="Arial"/>
                <w:b/>
                <w:bCs/>
                <w:sz w:val="18"/>
                <w:szCs w:val="18"/>
              </w:rPr>
            </w:pPr>
            <w:r w:rsidRPr="003516DC">
              <w:rPr>
                <w:rFonts w:ascii="Arial" w:hAnsi="Arial" w:cs="Arial"/>
                <w:b/>
                <w:bCs/>
                <w:sz w:val="18"/>
                <w:szCs w:val="18"/>
              </w:rPr>
              <w:t>Total six counties</w:t>
            </w:r>
          </w:p>
        </w:tc>
        <w:tc>
          <w:tcPr>
            <w:tcW w:w="1250" w:type="pct"/>
          </w:tcPr>
          <w:p w14:paraId="7120B018" w14:textId="77777777" w:rsidR="00E32B8E" w:rsidRPr="003516DC" w:rsidRDefault="00E32B8E" w:rsidP="00964831">
            <w:pPr>
              <w:jc w:val="center"/>
              <w:rPr>
                <w:rFonts w:ascii="Arial" w:hAnsi="Arial" w:cs="Arial"/>
                <w:b/>
                <w:bCs/>
                <w:sz w:val="18"/>
                <w:szCs w:val="18"/>
              </w:rPr>
            </w:pPr>
            <w:r w:rsidRPr="003516DC">
              <w:rPr>
                <w:rFonts w:ascii="Arial" w:hAnsi="Arial" w:cs="Arial"/>
                <w:b/>
                <w:bCs/>
                <w:sz w:val="18"/>
                <w:szCs w:val="18"/>
              </w:rPr>
              <w:t>929</w:t>
            </w:r>
          </w:p>
        </w:tc>
        <w:tc>
          <w:tcPr>
            <w:tcW w:w="1250" w:type="pct"/>
          </w:tcPr>
          <w:p w14:paraId="0E108481" w14:textId="77777777" w:rsidR="00E32B8E" w:rsidRPr="003516DC" w:rsidRDefault="00E32B8E" w:rsidP="00964831">
            <w:pPr>
              <w:jc w:val="center"/>
              <w:rPr>
                <w:rFonts w:ascii="Arial" w:hAnsi="Arial" w:cs="Arial"/>
                <w:b/>
                <w:bCs/>
                <w:sz w:val="18"/>
                <w:szCs w:val="18"/>
              </w:rPr>
            </w:pPr>
            <w:r w:rsidRPr="003516DC">
              <w:rPr>
                <w:rFonts w:ascii="Arial" w:hAnsi="Arial" w:cs="Arial"/>
                <w:b/>
                <w:bCs/>
                <w:sz w:val="18"/>
                <w:szCs w:val="18"/>
              </w:rPr>
              <w:t>7,726</w:t>
            </w:r>
          </w:p>
        </w:tc>
        <w:tc>
          <w:tcPr>
            <w:tcW w:w="1250" w:type="pct"/>
          </w:tcPr>
          <w:p w14:paraId="2AB7FF0A" w14:textId="77777777" w:rsidR="00E32B8E" w:rsidRPr="003516DC" w:rsidRDefault="00E32B8E" w:rsidP="00964831">
            <w:pPr>
              <w:jc w:val="center"/>
              <w:rPr>
                <w:rFonts w:ascii="Arial" w:hAnsi="Arial" w:cs="Arial"/>
                <w:b/>
                <w:bCs/>
                <w:sz w:val="18"/>
                <w:szCs w:val="18"/>
              </w:rPr>
            </w:pPr>
            <w:r w:rsidRPr="003516DC">
              <w:rPr>
                <w:rFonts w:ascii="Arial" w:hAnsi="Arial" w:cs="Arial"/>
                <w:b/>
                <w:bCs/>
                <w:sz w:val="18"/>
                <w:szCs w:val="18"/>
              </w:rPr>
              <w:t>1,944,207,048</w:t>
            </w:r>
          </w:p>
        </w:tc>
      </w:tr>
    </w:tbl>
    <w:p w14:paraId="2F65CC3F" w14:textId="77777777" w:rsidR="00E32B8E" w:rsidRPr="003516DC" w:rsidRDefault="00E32B8E" w:rsidP="00E32B8E">
      <w:pPr>
        <w:rPr>
          <w:rFonts w:ascii="Arial" w:hAnsi="Arial" w:cs="Arial"/>
          <w:i/>
          <w:iCs/>
          <w:sz w:val="16"/>
          <w:szCs w:val="16"/>
        </w:rPr>
      </w:pPr>
      <w:r w:rsidRPr="003516DC">
        <w:rPr>
          <w:rFonts w:ascii="Arial" w:hAnsi="Arial" w:cs="Arial"/>
          <w:i/>
          <w:iCs/>
          <w:sz w:val="16"/>
          <w:szCs w:val="16"/>
        </w:rPr>
        <w:t>Source: Processing of National Trade Register Office data, NACE code 381, 382, 383, 952</w:t>
      </w:r>
    </w:p>
    <w:p w14:paraId="6F5968AC" w14:textId="77777777" w:rsidR="00E32B8E" w:rsidRPr="003516DC" w:rsidRDefault="00E32B8E" w:rsidP="00E32B8E">
      <w:pPr>
        <w:rPr>
          <w:rFonts w:ascii="Arial" w:hAnsi="Arial" w:cs="Arial"/>
          <w:i/>
          <w:iCs/>
          <w:sz w:val="16"/>
          <w:szCs w:val="16"/>
        </w:rPr>
      </w:pPr>
    </w:p>
    <w:p w14:paraId="3DCA4812" w14:textId="3B4B1D97"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 xml:space="preserve">When it comes to non-hazardous waste collection, Gorj employs the highest number of people (815), but it generates half the turnover in Prahova, which employs only 608 people in the same category of activity. This shows that Gorj needs to improve labour productivity in this field and the 23 companies (SMEs) active in the field of non-dangerous waste collection (NACE 3811) would benefit from technological transfer, scaling and productive investments. The comparison between Prahova and Gorj is also telling in terms of the ration between number of companies and number of employees active in this field. A Gorj-based company active in this sector employs on average 35 staff, while in Prahova it employs approximately 10 people. </w:t>
      </w:r>
    </w:p>
    <w:p w14:paraId="513BE224" w14:textId="4BBAFCF3"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The situation of business sector development when it comes to waste treatment and elimination (non-dangerous waste -</w:t>
      </w:r>
      <w:r w:rsidR="004640D4">
        <w:rPr>
          <w:rFonts w:ascii="Arial" w:hAnsi="Arial" w:cs="Arial"/>
          <w:sz w:val="20"/>
          <w:szCs w:val="20"/>
        </w:rPr>
        <w:t xml:space="preserve"> </w:t>
      </w:r>
      <w:r w:rsidRPr="003516DC">
        <w:rPr>
          <w:rFonts w:ascii="Arial" w:hAnsi="Arial" w:cs="Arial"/>
          <w:sz w:val="20"/>
          <w:szCs w:val="20"/>
        </w:rPr>
        <w:t xml:space="preserve">NACE 3821) show that the ground is truly fertile for incubating such businesses in all counties, and especially in Gorj and Mureș which have only one company active in this area. Prahova is most developed, probably due to the size of the population, but also due to its technical legacy, with 9 companies in this area that employ 114 staff and generate a turnover of RON 46 m. In contrast, in Dolj the turnover of the 6 companies active in this sector is merely RON 169,000: 272 times lower than Prahova. Mureș has only one active company in this field, with no employees and generating no turnover. Thus, the counties that could benefit mostly from incubating companies in the field of waste treatment and circular economy are Mureș and Dolj, although Gorj and Hunedoara can </w:t>
      </w:r>
      <w:r w:rsidRPr="003516DC">
        <w:rPr>
          <w:rFonts w:ascii="Arial" w:hAnsi="Arial" w:cs="Arial"/>
          <w:sz w:val="20"/>
          <w:szCs w:val="20"/>
        </w:rPr>
        <w:lastRenderedPageBreak/>
        <w:t>also definitely benefit from catching up with Prahova, as their turnover in this sector is four to five times lower than Prahova’s.</w:t>
      </w:r>
    </w:p>
    <w:p w14:paraId="45C2B46D" w14:textId="3A420AD9"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 xml:space="preserve">The sector of dismantling of machines and equipment for the recovery of materials (NACE 3831) is represented best in Dolj, with 122 employees active in 23 companies, which generate a turnover of RON 28 m. This figure is at least triple than all other counties and dwarves Gorj’s, where the turnover generated by the 14 companies active in this field is a mere RON 2.9 m. There is ample opportunity both for more business generation and more employment in this sector in all counties, as the total number of registered employees varies from 55 in Prahova, 87 in Mureș, 36 in Hunedoara, 27 in Gorj and 23 in Galați. </w:t>
      </w:r>
      <w:r w:rsidR="003751DC">
        <w:rPr>
          <w:rFonts w:ascii="Arial" w:hAnsi="Arial" w:cs="Arial"/>
          <w:sz w:val="20"/>
          <w:szCs w:val="20"/>
        </w:rPr>
        <w:t>Galați</w:t>
      </w:r>
      <w:r w:rsidRPr="003516DC">
        <w:rPr>
          <w:rFonts w:ascii="Arial" w:hAnsi="Arial" w:cs="Arial"/>
          <w:sz w:val="20"/>
          <w:szCs w:val="20"/>
        </w:rPr>
        <w:t>, due to its positioning in the proximity of a large harbour is particularly well positioned to develop such industries.</w:t>
      </w:r>
    </w:p>
    <w:p w14:paraId="1A0AB19C" w14:textId="2B365F24"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 xml:space="preserve">As mentioned earlier, the most desirable approach to circular economy support in the six affected counties is the area of reuse - repair, which currently is most developed in Prahova, with 529 staff who generate a turnover of RON 43 m. On average the same number of companies are active in this sector in Mureș, Prahova and Dolj, but Mureș and Dolj have a much lower number of staff and turnover in this area than Prahova. The lowest turnovers in this sector are in </w:t>
      </w:r>
      <w:r w:rsidR="003751DC">
        <w:rPr>
          <w:rFonts w:ascii="Arial" w:hAnsi="Arial" w:cs="Arial"/>
          <w:sz w:val="20"/>
          <w:szCs w:val="20"/>
        </w:rPr>
        <w:t>Galați</w:t>
      </w:r>
      <w:r w:rsidRPr="003516DC">
        <w:rPr>
          <w:rFonts w:ascii="Arial" w:hAnsi="Arial" w:cs="Arial"/>
          <w:sz w:val="20"/>
          <w:szCs w:val="20"/>
        </w:rPr>
        <w:t>, Gorj and Hunedoara, the latter two being exposed to post-transition negative impacts on employment, so people reskilling and productive business support can concentrate in this area.</w:t>
      </w:r>
    </w:p>
    <w:p w14:paraId="088AAD0B" w14:textId="2D2A6420" w:rsidR="00E32B8E" w:rsidRDefault="00E32B8E" w:rsidP="009E2A70">
      <w:pPr>
        <w:spacing w:after="120"/>
        <w:jc w:val="both"/>
        <w:rPr>
          <w:rFonts w:ascii="Arial" w:hAnsi="Arial" w:cs="Arial"/>
          <w:sz w:val="20"/>
          <w:szCs w:val="20"/>
        </w:rPr>
      </w:pPr>
      <w:r w:rsidRPr="003516DC">
        <w:rPr>
          <w:rFonts w:ascii="Arial" w:hAnsi="Arial" w:cs="Arial"/>
          <w:sz w:val="20"/>
          <w:szCs w:val="20"/>
        </w:rPr>
        <w:t xml:space="preserve">The weight of circular economy enterprises in all the aforementioned sector from the total number of companies/ total number of employees/ total turnover is minor in all six affected </w:t>
      </w:r>
      <w:r w:rsidR="001916C2" w:rsidRPr="003516DC">
        <w:rPr>
          <w:rFonts w:ascii="Arial" w:hAnsi="Arial" w:cs="Arial"/>
          <w:sz w:val="20"/>
          <w:szCs w:val="20"/>
        </w:rPr>
        <w:t>counties but</w:t>
      </w:r>
      <w:r w:rsidRPr="003516DC">
        <w:rPr>
          <w:rFonts w:ascii="Arial" w:hAnsi="Arial" w:cs="Arial"/>
          <w:sz w:val="20"/>
          <w:szCs w:val="20"/>
        </w:rPr>
        <w:t xml:space="preserve"> is rising fast. Galați is the champion, as circular economy represents 2.36% of the county’s turnover and is responsible for 1.25% of its employment. In Gorj, the sector needs a boost of productivity, as it employs 2.3% of the county’s employees yet generates only 1.16% of turnover. Prahova has the highest number of enterprises in this field while Gorj has the lowest, but as a proportion of all enterprises in the county, Gorj has the highest ratio. See Table 3 for more details.</w:t>
      </w:r>
    </w:p>
    <w:p w14:paraId="086758F3" w14:textId="718FD187" w:rsidR="00E32B8E" w:rsidRPr="003516DC" w:rsidRDefault="00E32B8E" w:rsidP="001916C2">
      <w:pPr>
        <w:pStyle w:val="Caption"/>
        <w:spacing w:before="0" w:after="0"/>
        <w:ind w:left="851" w:hanging="851"/>
      </w:pPr>
      <w:bookmarkStart w:id="23" w:name="_Toc90725957"/>
      <w:bookmarkStart w:id="24" w:name="_Toc90727254"/>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3</w:t>
      </w:r>
      <w:r w:rsidRPr="003516DC">
        <w:rPr>
          <w:noProof/>
        </w:rPr>
        <w:fldChar w:fldCharType="end"/>
      </w:r>
      <w:r w:rsidRPr="003516DC">
        <w:t>: Share of the circular economy sectors across all sectors of the economy in the six counties</w:t>
      </w:r>
      <w:bookmarkEnd w:id="23"/>
      <w:bookmarkEnd w:id="24"/>
    </w:p>
    <w:tbl>
      <w:tblPr>
        <w:tblStyle w:val="TableGrid"/>
        <w:tblW w:w="5000" w:type="pct"/>
        <w:tblLook w:val="04A0" w:firstRow="1" w:lastRow="0" w:firstColumn="1" w:lastColumn="0" w:noHBand="0" w:noVBand="1"/>
      </w:tblPr>
      <w:tblGrid>
        <w:gridCol w:w="2233"/>
        <w:gridCol w:w="2232"/>
        <w:gridCol w:w="2232"/>
        <w:gridCol w:w="2232"/>
      </w:tblGrid>
      <w:tr w:rsidR="00E32B8E" w:rsidRPr="003516DC" w14:paraId="27B9D99D" w14:textId="77777777" w:rsidTr="00964831">
        <w:tc>
          <w:tcPr>
            <w:tcW w:w="1250" w:type="pct"/>
            <w:shd w:val="clear" w:color="auto" w:fill="002060"/>
          </w:tcPr>
          <w:p w14:paraId="7FCC2137" w14:textId="77777777" w:rsidR="00E32B8E" w:rsidRPr="003516DC" w:rsidRDefault="00E32B8E"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County</w:t>
            </w:r>
          </w:p>
        </w:tc>
        <w:tc>
          <w:tcPr>
            <w:tcW w:w="1250" w:type="pct"/>
            <w:shd w:val="clear" w:color="auto" w:fill="002060"/>
          </w:tcPr>
          <w:p w14:paraId="55232AFF" w14:textId="77777777" w:rsidR="00E32B8E" w:rsidRPr="003516DC" w:rsidRDefault="00E32B8E"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 companies across all sectors of economy</w:t>
            </w:r>
          </w:p>
        </w:tc>
        <w:tc>
          <w:tcPr>
            <w:tcW w:w="1250" w:type="pct"/>
            <w:shd w:val="clear" w:color="auto" w:fill="002060"/>
          </w:tcPr>
          <w:p w14:paraId="413567C1" w14:textId="77777777" w:rsidR="00E32B8E" w:rsidRPr="003516DC" w:rsidRDefault="00E32B8E"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 employees across all sectors of economy</w:t>
            </w:r>
          </w:p>
        </w:tc>
        <w:tc>
          <w:tcPr>
            <w:tcW w:w="1250" w:type="pct"/>
            <w:shd w:val="clear" w:color="auto" w:fill="002060"/>
          </w:tcPr>
          <w:p w14:paraId="38DA3F44" w14:textId="77777777" w:rsidR="00E32B8E" w:rsidRPr="003516DC" w:rsidRDefault="00E32B8E" w:rsidP="00964831">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 turnover across all sectors of economy</w:t>
            </w:r>
          </w:p>
        </w:tc>
      </w:tr>
      <w:tr w:rsidR="00E32B8E" w:rsidRPr="003516DC" w14:paraId="34276D93" w14:textId="77777777" w:rsidTr="00964831">
        <w:tc>
          <w:tcPr>
            <w:tcW w:w="1250" w:type="pct"/>
            <w:vAlign w:val="bottom"/>
          </w:tcPr>
          <w:p w14:paraId="1FDE2192"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Dolj</w:t>
            </w:r>
          </w:p>
        </w:tc>
        <w:tc>
          <w:tcPr>
            <w:tcW w:w="1250" w:type="pct"/>
            <w:vAlign w:val="bottom"/>
          </w:tcPr>
          <w:p w14:paraId="27BAA719"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0.70%</w:t>
            </w:r>
          </w:p>
        </w:tc>
        <w:tc>
          <w:tcPr>
            <w:tcW w:w="1250" w:type="pct"/>
            <w:vAlign w:val="bottom"/>
          </w:tcPr>
          <w:p w14:paraId="3EA92161"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1.31%</w:t>
            </w:r>
          </w:p>
        </w:tc>
        <w:tc>
          <w:tcPr>
            <w:tcW w:w="1250" w:type="pct"/>
            <w:vAlign w:val="bottom"/>
          </w:tcPr>
          <w:p w14:paraId="79726206"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0.63%</w:t>
            </w:r>
          </w:p>
        </w:tc>
      </w:tr>
      <w:tr w:rsidR="00E32B8E" w:rsidRPr="003516DC" w14:paraId="508E2E37" w14:textId="77777777" w:rsidTr="00964831">
        <w:tc>
          <w:tcPr>
            <w:tcW w:w="1250" w:type="pct"/>
            <w:vAlign w:val="bottom"/>
          </w:tcPr>
          <w:p w14:paraId="67A381BB"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Galaţi</w:t>
            </w:r>
          </w:p>
        </w:tc>
        <w:tc>
          <w:tcPr>
            <w:tcW w:w="1250" w:type="pct"/>
            <w:vAlign w:val="bottom"/>
          </w:tcPr>
          <w:p w14:paraId="06B4E144"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0.77%</w:t>
            </w:r>
          </w:p>
        </w:tc>
        <w:tc>
          <w:tcPr>
            <w:tcW w:w="1250" w:type="pct"/>
            <w:vAlign w:val="bottom"/>
          </w:tcPr>
          <w:p w14:paraId="6432AA9E"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1.26%</w:t>
            </w:r>
          </w:p>
        </w:tc>
        <w:tc>
          <w:tcPr>
            <w:tcW w:w="1250" w:type="pct"/>
            <w:vAlign w:val="bottom"/>
          </w:tcPr>
          <w:p w14:paraId="06C86317"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2.36%</w:t>
            </w:r>
          </w:p>
        </w:tc>
      </w:tr>
      <w:tr w:rsidR="00E32B8E" w:rsidRPr="003516DC" w14:paraId="06D21E63" w14:textId="77777777" w:rsidTr="00964831">
        <w:tc>
          <w:tcPr>
            <w:tcW w:w="1250" w:type="pct"/>
            <w:vAlign w:val="bottom"/>
          </w:tcPr>
          <w:p w14:paraId="798FCB0B"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Gorj</w:t>
            </w:r>
          </w:p>
        </w:tc>
        <w:tc>
          <w:tcPr>
            <w:tcW w:w="1250" w:type="pct"/>
            <w:vAlign w:val="bottom"/>
          </w:tcPr>
          <w:p w14:paraId="1C6D67C0"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1.09%</w:t>
            </w:r>
          </w:p>
        </w:tc>
        <w:tc>
          <w:tcPr>
            <w:tcW w:w="1250" w:type="pct"/>
            <w:vAlign w:val="bottom"/>
          </w:tcPr>
          <w:p w14:paraId="2C31E2E1"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2.33%</w:t>
            </w:r>
          </w:p>
        </w:tc>
        <w:tc>
          <w:tcPr>
            <w:tcW w:w="1250" w:type="pct"/>
            <w:vAlign w:val="bottom"/>
          </w:tcPr>
          <w:p w14:paraId="10D99913"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1.16%</w:t>
            </w:r>
          </w:p>
        </w:tc>
      </w:tr>
      <w:tr w:rsidR="00E32B8E" w:rsidRPr="003516DC" w14:paraId="7F5BA38B" w14:textId="77777777" w:rsidTr="00964831">
        <w:tc>
          <w:tcPr>
            <w:tcW w:w="1250" w:type="pct"/>
            <w:vAlign w:val="bottom"/>
          </w:tcPr>
          <w:p w14:paraId="45E45D15"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Hunedoara</w:t>
            </w:r>
          </w:p>
        </w:tc>
        <w:tc>
          <w:tcPr>
            <w:tcW w:w="1250" w:type="pct"/>
            <w:vAlign w:val="bottom"/>
          </w:tcPr>
          <w:p w14:paraId="64D3D368"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1.03%</w:t>
            </w:r>
          </w:p>
        </w:tc>
        <w:tc>
          <w:tcPr>
            <w:tcW w:w="1250" w:type="pct"/>
            <w:vAlign w:val="bottom"/>
          </w:tcPr>
          <w:p w14:paraId="2D622263"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1.47%</w:t>
            </w:r>
          </w:p>
        </w:tc>
        <w:tc>
          <w:tcPr>
            <w:tcW w:w="1250" w:type="pct"/>
            <w:vAlign w:val="bottom"/>
          </w:tcPr>
          <w:p w14:paraId="28CDEF22"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1.48%</w:t>
            </w:r>
          </w:p>
        </w:tc>
      </w:tr>
      <w:tr w:rsidR="00E32B8E" w:rsidRPr="003516DC" w14:paraId="18A6E079" w14:textId="77777777" w:rsidTr="00964831">
        <w:tc>
          <w:tcPr>
            <w:tcW w:w="1250" w:type="pct"/>
            <w:vAlign w:val="bottom"/>
          </w:tcPr>
          <w:p w14:paraId="799E1489"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Mureş</w:t>
            </w:r>
          </w:p>
        </w:tc>
        <w:tc>
          <w:tcPr>
            <w:tcW w:w="1250" w:type="pct"/>
            <w:vAlign w:val="bottom"/>
          </w:tcPr>
          <w:p w14:paraId="4086D484"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0.94%</w:t>
            </w:r>
          </w:p>
        </w:tc>
        <w:tc>
          <w:tcPr>
            <w:tcW w:w="1250" w:type="pct"/>
            <w:vAlign w:val="bottom"/>
          </w:tcPr>
          <w:p w14:paraId="0F939277"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1.63%</w:t>
            </w:r>
          </w:p>
        </w:tc>
        <w:tc>
          <w:tcPr>
            <w:tcW w:w="1250" w:type="pct"/>
            <w:vAlign w:val="bottom"/>
          </w:tcPr>
          <w:p w14:paraId="2B668FC9"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1.05%</w:t>
            </w:r>
          </w:p>
        </w:tc>
      </w:tr>
      <w:tr w:rsidR="00E32B8E" w:rsidRPr="003516DC" w14:paraId="73EA25F8" w14:textId="77777777" w:rsidTr="00964831">
        <w:tc>
          <w:tcPr>
            <w:tcW w:w="1250" w:type="pct"/>
            <w:vAlign w:val="bottom"/>
          </w:tcPr>
          <w:p w14:paraId="54FE3C40" w14:textId="77777777" w:rsidR="00E32B8E" w:rsidRPr="003516DC" w:rsidRDefault="00E32B8E" w:rsidP="00964831">
            <w:pPr>
              <w:rPr>
                <w:rFonts w:ascii="Arial" w:hAnsi="Arial" w:cs="Arial"/>
                <w:sz w:val="18"/>
                <w:szCs w:val="18"/>
              </w:rPr>
            </w:pPr>
            <w:r w:rsidRPr="003516DC">
              <w:rPr>
                <w:rFonts w:ascii="Arial" w:hAnsi="Arial" w:cs="Arial"/>
                <w:color w:val="000000"/>
                <w:sz w:val="18"/>
                <w:szCs w:val="18"/>
              </w:rPr>
              <w:t>Prahova</w:t>
            </w:r>
          </w:p>
        </w:tc>
        <w:tc>
          <w:tcPr>
            <w:tcW w:w="1250" w:type="pct"/>
            <w:vAlign w:val="bottom"/>
          </w:tcPr>
          <w:p w14:paraId="385A493A"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0.99%</w:t>
            </w:r>
          </w:p>
        </w:tc>
        <w:tc>
          <w:tcPr>
            <w:tcW w:w="1250" w:type="pct"/>
            <w:vAlign w:val="bottom"/>
          </w:tcPr>
          <w:p w14:paraId="7AB81813"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1.33%</w:t>
            </w:r>
          </w:p>
        </w:tc>
        <w:tc>
          <w:tcPr>
            <w:tcW w:w="1250" w:type="pct"/>
            <w:vAlign w:val="bottom"/>
          </w:tcPr>
          <w:p w14:paraId="03808139" w14:textId="77777777" w:rsidR="00E32B8E" w:rsidRPr="003516DC" w:rsidRDefault="00E32B8E" w:rsidP="00964831">
            <w:pPr>
              <w:jc w:val="center"/>
              <w:rPr>
                <w:rFonts w:ascii="Arial" w:hAnsi="Arial" w:cs="Arial"/>
                <w:sz w:val="18"/>
                <w:szCs w:val="18"/>
              </w:rPr>
            </w:pPr>
            <w:r w:rsidRPr="003516DC">
              <w:rPr>
                <w:rFonts w:ascii="Arial" w:hAnsi="Arial" w:cs="Arial"/>
                <w:color w:val="000000"/>
                <w:sz w:val="18"/>
                <w:szCs w:val="18"/>
              </w:rPr>
              <w:t>0.71%</w:t>
            </w:r>
          </w:p>
        </w:tc>
      </w:tr>
      <w:tr w:rsidR="00E32B8E" w:rsidRPr="003516DC" w14:paraId="3064507E" w14:textId="77777777" w:rsidTr="00964831">
        <w:tc>
          <w:tcPr>
            <w:tcW w:w="1250" w:type="pct"/>
            <w:vAlign w:val="bottom"/>
          </w:tcPr>
          <w:p w14:paraId="78BF991F" w14:textId="77777777" w:rsidR="00E32B8E" w:rsidRPr="003516DC" w:rsidRDefault="00E32B8E" w:rsidP="00964831">
            <w:pPr>
              <w:rPr>
                <w:rFonts w:ascii="Arial" w:hAnsi="Arial" w:cs="Arial"/>
                <w:sz w:val="18"/>
                <w:szCs w:val="18"/>
              </w:rPr>
            </w:pPr>
            <w:r w:rsidRPr="003516DC">
              <w:rPr>
                <w:rFonts w:ascii="Arial" w:hAnsi="Arial" w:cs="Arial"/>
                <w:b/>
                <w:bCs/>
                <w:color w:val="000000"/>
                <w:sz w:val="18"/>
                <w:szCs w:val="18"/>
              </w:rPr>
              <w:t>Total six counties</w:t>
            </w:r>
          </w:p>
        </w:tc>
        <w:tc>
          <w:tcPr>
            <w:tcW w:w="1250" w:type="pct"/>
            <w:vAlign w:val="bottom"/>
          </w:tcPr>
          <w:p w14:paraId="6962282E" w14:textId="77777777" w:rsidR="00E32B8E" w:rsidRPr="003516DC" w:rsidRDefault="00E32B8E" w:rsidP="00964831">
            <w:pPr>
              <w:jc w:val="center"/>
              <w:rPr>
                <w:rFonts w:ascii="Arial" w:hAnsi="Arial" w:cs="Arial"/>
                <w:sz w:val="18"/>
                <w:szCs w:val="18"/>
              </w:rPr>
            </w:pPr>
            <w:r w:rsidRPr="003516DC">
              <w:rPr>
                <w:rFonts w:ascii="Arial" w:hAnsi="Arial" w:cs="Arial"/>
                <w:b/>
                <w:bCs/>
                <w:color w:val="000000"/>
                <w:sz w:val="18"/>
                <w:szCs w:val="18"/>
              </w:rPr>
              <w:t>0.90%</w:t>
            </w:r>
          </w:p>
        </w:tc>
        <w:tc>
          <w:tcPr>
            <w:tcW w:w="1250" w:type="pct"/>
            <w:vAlign w:val="bottom"/>
          </w:tcPr>
          <w:p w14:paraId="75AC5888" w14:textId="77777777" w:rsidR="00E32B8E" w:rsidRPr="003516DC" w:rsidRDefault="00E32B8E" w:rsidP="00964831">
            <w:pPr>
              <w:jc w:val="center"/>
              <w:rPr>
                <w:rFonts w:ascii="Arial" w:hAnsi="Arial" w:cs="Arial"/>
                <w:sz w:val="18"/>
                <w:szCs w:val="18"/>
              </w:rPr>
            </w:pPr>
            <w:r w:rsidRPr="003516DC">
              <w:rPr>
                <w:rFonts w:ascii="Arial" w:hAnsi="Arial" w:cs="Arial"/>
                <w:b/>
                <w:bCs/>
                <w:color w:val="000000"/>
                <w:sz w:val="18"/>
                <w:szCs w:val="18"/>
              </w:rPr>
              <w:t>1.47%</w:t>
            </w:r>
          </w:p>
        </w:tc>
        <w:tc>
          <w:tcPr>
            <w:tcW w:w="1250" w:type="pct"/>
            <w:vAlign w:val="bottom"/>
          </w:tcPr>
          <w:p w14:paraId="6FCD41DB" w14:textId="77777777" w:rsidR="00E32B8E" w:rsidRPr="003516DC" w:rsidRDefault="00E32B8E" w:rsidP="009E2A70">
            <w:pPr>
              <w:jc w:val="center"/>
              <w:rPr>
                <w:rFonts w:ascii="Arial" w:hAnsi="Arial" w:cs="Arial"/>
                <w:sz w:val="18"/>
                <w:szCs w:val="18"/>
              </w:rPr>
            </w:pPr>
            <w:r w:rsidRPr="003516DC">
              <w:rPr>
                <w:rFonts w:ascii="Arial" w:hAnsi="Arial" w:cs="Arial"/>
                <w:b/>
                <w:bCs/>
                <w:color w:val="000000"/>
                <w:sz w:val="18"/>
                <w:szCs w:val="18"/>
              </w:rPr>
              <w:t>1.09%</w:t>
            </w:r>
          </w:p>
        </w:tc>
      </w:tr>
    </w:tbl>
    <w:p w14:paraId="223BCAB9" w14:textId="5DF02AE7" w:rsidR="005E0CC8" w:rsidRPr="00BD2604" w:rsidRDefault="00BD2604" w:rsidP="00E42342">
      <w:pPr>
        <w:pStyle w:val="Heading2"/>
        <w:numPr>
          <w:ilvl w:val="0"/>
          <w:numId w:val="154"/>
        </w:numPr>
      </w:pPr>
      <w:bookmarkStart w:id="25" w:name="_Toc90725849"/>
      <w:r>
        <w:t>R</w:t>
      </w:r>
      <w:r w:rsidR="005E0CC8" w:rsidRPr="00BD2604">
        <w:t>enewable energy production and auxiliary services</w:t>
      </w:r>
      <w:bookmarkEnd w:id="25"/>
    </w:p>
    <w:p w14:paraId="4DFF1D92" w14:textId="57C099F0" w:rsidR="00E32B8E" w:rsidRPr="00402580" w:rsidRDefault="00E32B8E" w:rsidP="0057444A">
      <w:pPr>
        <w:spacing w:after="120"/>
        <w:jc w:val="both"/>
        <w:rPr>
          <w:rFonts w:ascii="Arial" w:hAnsi="Arial" w:cs="Arial"/>
          <w:sz w:val="20"/>
          <w:szCs w:val="20"/>
        </w:rPr>
      </w:pPr>
      <w:r w:rsidRPr="00402580">
        <w:rPr>
          <w:rFonts w:ascii="Arial" w:hAnsi="Arial" w:cs="Arial"/>
          <w:sz w:val="20"/>
          <w:szCs w:val="20"/>
        </w:rPr>
        <w:t>Romania has seen a significant wave of renewable energy</w:t>
      </w:r>
      <w:r w:rsidR="006E069D">
        <w:rPr>
          <w:rFonts w:ascii="Arial" w:hAnsi="Arial" w:cs="Arial"/>
          <w:sz w:val="20"/>
          <w:szCs w:val="20"/>
        </w:rPr>
        <w:t xml:space="preserve"> deployment</w:t>
      </w:r>
      <w:r w:rsidRPr="00402580">
        <w:rPr>
          <w:rFonts w:ascii="Arial" w:hAnsi="Arial" w:cs="Arial"/>
          <w:sz w:val="20"/>
          <w:szCs w:val="20"/>
        </w:rPr>
        <w:t xml:space="preserve">, </w:t>
      </w:r>
      <w:r w:rsidR="006E069D">
        <w:rPr>
          <w:rFonts w:ascii="Arial" w:hAnsi="Arial" w:cs="Arial"/>
          <w:sz w:val="20"/>
          <w:szCs w:val="20"/>
        </w:rPr>
        <w:t xml:space="preserve">e.g., </w:t>
      </w:r>
      <w:r w:rsidRPr="00402580">
        <w:rPr>
          <w:rFonts w:ascii="Arial" w:hAnsi="Arial" w:cs="Arial"/>
          <w:sz w:val="20"/>
          <w:szCs w:val="20"/>
        </w:rPr>
        <w:t>solar and wind, between 2012 to 2015</w:t>
      </w:r>
      <w:r w:rsidR="006E069D">
        <w:rPr>
          <w:rFonts w:ascii="Arial" w:hAnsi="Arial" w:cs="Arial"/>
          <w:sz w:val="20"/>
          <w:szCs w:val="20"/>
        </w:rPr>
        <w:t>.</w:t>
      </w:r>
      <w:r w:rsidRPr="00402580">
        <w:rPr>
          <w:rFonts w:ascii="Arial" w:hAnsi="Arial" w:cs="Arial"/>
          <w:sz w:val="20"/>
          <w:szCs w:val="20"/>
        </w:rPr>
        <w:t xml:space="preserve"> </w:t>
      </w:r>
      <w:r w:rsidR="006E069D">
        <w:rPr>
          <w:rFonts w:ascii="Arial" w:hAnsi="Arial" w:cs="Arial"/>
          <w:sz w:val="20"/>
          <w:szCs w:val="20"/>
        </w:rPr>
        <w:t>During this time, nearly</w:t>
      </w:r>
      <w:r w:rsidRPr="00402580">
        <w:rPr>
          <w:rFonts w:ascii="Arial" w:hAnsi="Arial" w:cs="Arial"/>
          <w:sz w:val="20"/>
          <w:szCs w:val="20"/>
        </w:rPr>
        <w:t xml:space="preserve"> 1</w:t>
      </w:r>
      <w:r w:rsidR="006E069D">
        <w:rPr>
          <w:rFonts w:ascii="Arial" w:hAnsi="Arial" w:cs="Arial"/>
          <w:sz w:val="20"/>
          <w:szCs w:val="20"/>
        </w:rPr>
        <w:t>,</w:t>
      </w:r>
      <w:r w:rsidRPr="00402580">
        <w:rPr>
          <w:rFonts w:ascii="Arial" w:hAnsi="Arial" w:cs="Arial"/>
          <w:sz w:val="20"/>
          <w:szCs w:val="20"/>
        </w:rPr>
        <w:t>400 MW of solar PV and more than 3</w:t>
      </w:r>
      <w:r w:rsidR="006E069D">
        <w:rPr>
          <w:rFonts w:ascii="Arial" w:hAnsi="Arial" w:cs="Arial"/>
          <w:sz w:val="20"/>
          <w:szCs w:val="20"/>
        </w:rPr>
        <w:t>,</w:t>
      </w:r>
      <w:r w:rsidRPr="00402580">
        <w:rPr>
          <w:rFonts w:ascii="Arial" w:hAnsi="Arial" w:cs="Arial"/>
          <w:sz w:val="20"/>
          <w:szCs w:val="20"/>
        </w:rPr>
        <w:t>200 MW of onshore wind has been added to the power grid. However, Romania has seen an abrupt end of</w:t>
      </w:r>
      <w:r w:rsidR="007F2EAB">
        <w:rPr>
          <w:rFonts w:ascii="Arial" w:hAnsi="Arial" w:cs="Arial"/>
          <w:sz w:val="20"/>
          <w:szCs w:val="20"/>
        </w:rPr>
        <w:t xml:space="preserve"> new</w:t>
      </w:r>
      <w:r w:rsidRPr="00402580">
        <w:rPr>
          <w:rFonts w:ascii="Arial" w:hAnsi="Arial" w:cs="Arial"/>
          <w:sz w:val="20"/>
          <w:szCs w:val="20"/>
        </w:rPr>
        <w:t xml:space="preserve"> </w:t>
      </w:r>
      <w:r w:rsidR="007F2EAB">
        <w:rPr>
          <w:rFonts w:ascii="Arial" w:hAnsi="Arial" w:cs="Arial"/>
          <w:sz w:val="20"/>
          <w:szCs w:val="20"/>
        </w:rPr>
        <w:t>investments in this sector</w:t>
      </w:r>
      <w:r w:rsidRPr="00402580">
        <w:rPr>
          <w:rFonts w:ascii="Arial" w:hAnsi="Arial" w:cs="Arial"/>
          <w:sz w:val="20"/>
          <w:szCs w:val="20"/>
        </w:rPr>
        <w:t xml:space="preserve"> due to retroactive policy changes that have effectively frozen the market. </w:t>
      </w:r>
    </w:p>
    <w:p w14:paraId="4F1E4560" w14:textId="7091896F" w:rsidR="00E32B8E" w:rsidRPr="00402580" w:rsidRDefault="006E069D" w:rsidP="0057444A">
      <w:pPr>
        <w:spacing w:after="120"/>
        <w:jc w:val="both"/>
        <w:rPr>
          <w:rFonts w:ascii="Arial" w:hAnsi="Arial" w:cs="Arial"/>
          <w:sz w:val="20"/>
          <w:szCs w:val="20"/>
        </w:rPr>
      </w:pPr>
      <w:r>
        <w:rPr>
          <w:rFonts w:ascii="Arial" w:hAnsi="Arial" w:cs="Arial"/>
          <w:sz w:val="20"/>
          <w:szCs w:val="20"/>
        </w:rPr>
        <w:t>A</w:t>
      </w:r>
      <w:r w:rsidR="00E32B8E" w:rsidRPr="00402580">
        <w:rPr>
          <w:rFonts w:ascii="Arial" w:hAnsi="Arial" w:cs="Arial"/>
          <w:sz w:val="20"/>
          <w:szCs w:val="20"/>
        </w:rPr>
        <w:t xml:space="preserve"> key barrier to large scale renewable energy deployment in Romania is the absence of a support scheme to create cash flow predictability for new projects. Second, the current </w:t>
      </w:r>
      <w:r>
        <w:rPr>
          <w:rFonts w:ascii="Arial" w:hAnsi="Arial" w:cs="Arial"/>
          <w:sz w:val="20"/>
          <w:szCs w:val="20"/>
        </w:rPr>
        <w:t>primary</w:t>
      </w:r>
      <w:r w:rsidR="00E32B8E" w:rsidRPr="00402580">
        <w:rPr>
          <w:rFonts w:ascii="Arial" w:hAnsi="Arial" w:cs="Arial"/>
          <w:sz w:val="20"/>
          <w:szCs w:val="20"/>
        </w:rPr>
        <w:t xml:space="preserve"> law that regulates the energy market has a ban on long term power contracts</w:t>
      </w:r>
      <w:r>
        <w:rPr>
          <w:rFonts w:ascii="Arial" w:hAnsi="Arial" w:cs="Arial"/>
          <w:sz w:val="20"/>
          <w:szCs w:val="20"/>
        </w:rPr>
        <w:t xml:space="preserve"> beyond </w:t>
      </w:r>
      <w:r w:rsidR="00E32B8E" w:rsidRPr="00402580">
        <w:rPr>
          <w:rFonts w:ascii="Arial" w:hAnsi="Arial" w:cs="Arial"/>
          <w:sz w:val="20"/>
          <w:szCs w:val="20"/>
        </w:rPr>
        <w:t>one year</w:t>
      </w:r>
      <w:r>
        <w:rPr>
          <w:rFonts w:ascii="Arial" w:hAnsi="Arial" w:cs="Arial"/>
          <w:sz w:val="20"/>
          <w:szCs w:val="20"/>
        </w:rPr>
        <w:t>,</w:t>
      </w:r>
      <w:r w:rsidR="00E32B8E" w:rsidRPr="00402580">
        <w:rPr>
          <w:rFonts w:ascii="Arial" w:hAnsi="Arial" w:cs="Arial"/>
          <w:sz w:val="20"/>
          <w:szCs w:val="20"/>
        </w:rPr>
        <w:t xml:space="preserve"> which renders </w:t>
      </w:r>
      <w:r>
        <w:rPr>
          <w:rFonts w:ascii="Arial" w:hAnsi="Arial" w:cs="Arial"/>
          <w:sz w:val="20"/>
          <w:szCs w:val="20"/>
        </w:rPr>
        <w:t xml:space="preserve">it </w:t>
      </w:r>
      <w:r w:rsidR="00E32B8E" w:rsidRPr="00402580">
        <w:rPr>
          <w:rFonts w:ascii="Arial" w:hAnsi="Arial" w:cs="Arial"/>
          <w:sz w:val="20"/>
          <w:szCs w:val="20"/>
        </w:rPr>
        <w:t>impossible</w:t>
      </w:r>
      <w:r>
        <w:rPr>
          <w:rFonts w:ascii="Arial" w:hAnsi="Arial" w:cs="Arial"/>
          <w:sz w:val="20"/>
          <w:szCs w:val="20"/>
        </w:rPr>
        <w:t xml:space="preserve"> to</w:t>
      </w:r>
      <w:r w:rsidR="00E32B8E" w:rsidRPr="00402580">
        <w:rPr>
          <w:rFonts w:ascii="Arial" w:hAnsi="Arial" w:cs="Arial"/>
          <w:sz w:val="20"/>
          <w:szCs w:val="20"/>
        </w:rPr>
        <w:t xml:space="preserve"> build unsubsidized renewable energy projects </w:t>
      </w:r>
      <w:r w:rsidR="007F2EAB">
        <w:rPr>
          <w:rFonts w:ascii="Arial" w:hAnsi="Arial" w:cs="Arial"/>
          <w:sz w:val="20"/>
          <w:szCs w:val="20"/>
        </w:rPr>
        <w:t xml:space="preserve">like </w:t>
      </w:r>
      <w:r w:rsidR="00E32B8E" w:rsidRPr="00402580">
        <w:rPr>
          <w:rFonts w:ascii="Arial" w:hAnsi="Arial" w:cs="Arial"/>
          <w:sz w:val="20"/>
          <w:szCs w:val="20"/>
        </w:rPr>
        <w:t>in Italy, Spain or Poland.</w:t>
      </w:r>
    </w:p>
    <w:p w14:paraId="57585DD3" w14:textId="02DACA71" w:rsidR="00E32B8E" w:rsidRPr="00402580" w:rsidRDefault="00E32B8E" w:rsidP="0057444A">
      <w:pPr>
        <w:spacing w:after="120"/>
        <w:jc w:val="both"/>
        <w:rPr>
          <w:rFonts w:ascii="Arial" w:hAnsi="Arial" w:cs="Arial"/>
          <w:sz w:val="20"/>
          <w:szCs w:val="20"/>
        </w:rPr>
      </w:pPr>
      <w:r w:rsidRPr="00402580">
        <w:rPr>
          <w:rFonts w:ascii="Arial" w:hAnsi="Arial" w:cs="Arial"/>
          <w:sz w:val="20"/>
          <w:szCs w:val="20"/>
        </w:rPr>
        <w:t>Furthermore, most</w:t>
      </w:r>
      <w:r w:rsidR="006E069D">
        <w:rPr>
          <w:rFonts w:ascii="Arial" w:hAnsi="Arial" w:cs="Arial"/>
          <w:sz w:val="20"/>
          <w:szCs w:val="20"/>
        </w:rPr>
        <w:t>,</w:t>
      </w:r>
      <w:r w:rsidRPr="00402580">
        <w:rPr>
          <w:rFonts w:ascii="Arial" w:hAnsi="Arial" w:cs="Arial"/>
          <w:sz w:val="20"/>
          <w:szCs w:val="20"/>
        </w:rPr>
        <w:t xml:space="preserve"> if not all</w:t>
      </w:r>
      <w:r w:rsidR="006E069D">
        <w:rPr>
          <w:rFonts w:ascii="Arial" w:hAnsi="Arial" w:cs="Arial"/>
          <w:sz w:val="20"/>
          <w:szCs w:val="20"/>
        </w:rPr>
        <w:t xml:space="preserve">, </w:t>
      </w:r>
      <w:r w:rsidRPr="00402580">
        <w:rPr>
          <w:rFonts w:ascii="Arial" w:hAnsi="Arial" w:cs="Arial"/>
          <w:sz w:val="20"/>
          <w:szCs w:val="20"/>
        </w:rPr>
        <w:t>banks in Romania have an informal ban on financing the energy sector,</w:t>
      </w:r>
      <w:r w:rsidR="006E069D">
        <w:rPr>
          <w:rFonts w:ascii="Arial" w:hAnsi="Arial" w:cs="Arial"/>
          <w:sz w:val="20"/>
          <w:szCs w:val="20"/>
        </w:rPr>
        <w:t xml:space="preserve"> which</w:t>
      </w:r>
      <w:r w:rsidRPr="00402580">
        <w:rPr>
          <w:rFonts w:ascii="Arial" w:hAnsi="Arial" w:cs="Arial"/>
          <w:sz w:val="20"/>
          <w:szCs w:val="20"/>
        </w:rPr>
        <w:t xml:space="preserve"> is poorly understood by bankers and subject to a certain degree of legislative volatility. A significant number of existing renewable projects were not able to meet bank loan payments due to retroactive changes in the support scheme. The main risks thus stem from legislative changes to revenues regimes. </w:t>
      </w:r>
    </w:p>
    <w:p w14:paraId="47359B0D" w14:textId="1449F725" w:rsidR="00E32B8E" w:rsidRPr="006E069D" w:rsidRDefault="00E32B8E" w:rsidP="0057444A">
      <w:pPr>
        <w:spacing w:after="120"/>
        <w:jc w:val="both"/>
        <w:rPr>
          <w:rFonts w:ascii="Arial" w:hAnsi="Arial" w:cs="Arial"/>
          <w:sz w:val="20"/>
          <w:szCs w:val="20"/>
        </w:rPr>
      </w:pPr>
      <w:r w:rsidRPr="00402580">
        <w:rPr>
          <w:rFonts w:ascii="Arial" w:hAnsi="Arial" w:cs="Arial"/>
          <w:sz w:val="20"/>
          <w:szCs w:val="20"/>
        </w:rPr>
        <w:t>Romania needs a new support scheme for renewable energy deployment, a new Energy Law that will allow the country to transition to a sophisticated power market and confidence build into banks to start financing the sector again. A certain degree of de-risking via governmental guarantees for renewable energy projects might be worth considering.</w:t>
      </w:r>
    </w:p>
    <w:p w14:paraId="6E8A13C4" w14:textId="77777777" w:rsidR="00E32B8E" w:rsidRPr="003516DC" w:rsidRDefault="00E32B8E" w:rsidP="0057444A">
      <w:pPr>
        <w:spacing w:after="120"/>
        <w:jc w:val="both"/>
        <w:rPr>
          <w:rFonts w:ascii="Arial" w:hAnsi="Arial" w:cs="Arial"/>
          <w:sz w:val="20"/>
          <w:szCs w:val="20"/>
        </w:rPr>
      </w:pPr>
      <w:r w:rsidRPr="00E831EE">
        <w:rPr>
          <w:rFonts w:ascii="Arial" w:hAnsi="Arial" w:cs="Arial"/>
          <w:sz w:val="20"/>
          <w:szCs w:val="20"/>
        </w:rPr>
        <w:lastRenderedPageBreak/>
        <w:t xml:space="preserve">Romania’s energy transition is underpinned </w:t>
      </w:r>
      <w:r w:rsidRPr="003516DC">
        <w:rPr>
          <w:rFonts w:ascii="Arial" w:hAnsi="Arial" w:cs="Arial"/>
          <w:sz w:val="20"/>
          <w:szCs w:val="20"/>
        </w:rPr>
        <w:t>by the more conservative National Energy and Climate Plan, which envisages about 3.5 GW of utility scale solar PV, 1.6 GW of small-scale PV and 5.3 GW of utility scale onshore wind until 2030</w:t>
      </w:r>
      <w:r w:rsidRPr="003516DC">
        <w:rPr>
          <w:rStyle w:val="FootnoteReference"/>
          <w:rFonts w:ascii="Arial" w:hAnsi="Arial" w:cs="Arial"/>
          <w:sz w:val="20"/>
          <w:szCs w:val="20"/>
        </w:rPr>
        <w:footnoteReference w:id="11"/>
      </w:r>
      <w:r w:rsidRPr="003516DC">
        <w:rPr>
          <w:rFonts w:ascii="Arial" w:hAnsi="Arial" w:cs="Arial"/>
          <w:sz w:val="20"/>
          <w:szCs w:val="20"/>
        </w:rPr>
        <w:t>. In a least cost power system planning modelled by Bloomberg New Energy Finance, the solar PV utility scale in 2030 would be 4.5 GW and small-scale PV would increase to 3.6 GW while onshore wind would increase to 5.8 GW.</w:t>
      </w:r>
    </w:p>
    <w:p w14:paraId="4225426F" w14:textId="2E958519" w:rsidR="00E32B8E" w:rsidRPr="003516DC" w:rsidRDefault="00E32B8E" w:rsidP="00E32B8E">
      <w:pPr>
        <w:pStyle w:val="Caption"/>
      </w:pPr>
      <w:bookmarkStart w:id="26" w:name="_Toc90727340"/>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w:t>
      </w:r>
      <w:r w:rsidRPr="003516DC">
        <w:rPr>
          <w:noProof/>
        </w:rPr>
        <w:fldChar w:fldCharType="end"/>
      </w:r>
      <w:r w:rsidRPr="003516DC">
        <w:t>: Capacity in 2030 by technology, NECP vs least-cost</w:t>
      </w:r>
      <w:bookmarkEnd w:id="26"/>
    </w:p>
    <w:p w14:paraId="2A727C75" w14:textId="77777777" w:rsidR="00E32B8E" w:rsidRPr="003516DC" w:rsidRDefault="00E32B8E" w:rsidP="00E32B8E">
      <w:pPr>
        <w:rPr>
          <w:rFonts w:ascii="Arial" w:hAnsi="Arial" w:cs="Arial"/>
        </w:rPr>
      </w:pPr>
      <w:r w:rsidRPr="003516DC">
        <w:rPr>
          <w:rFonts w:ascii="Arial" w:hAnsi="Arial" w:cs="Arial"/>
          <w:noProof/>
          <w:lang w:val="en-US" w:eastAsia="en-US"/>
        </w:rPr>
        <w:drawing>
          <wp:inline distT="0" distB="0" distL="0" distR="0" wp14:anchorId="16950B5B" wp14:editId="70A50A95">
            <wp:extent cx="5532120" cy="2400300"/>
            <wp:effectExtent l="0" t="0" r="0" b="0"/>
            <wp:docPr id="199" name="Pictur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32371" cy="2400409"/>
                    </a:xfrm>
                    <a:prstGeom prst="rect">
                      <a:avLst/>
                    </a:prstGeom>
                  </pic:spPr>
                </pic:pic>
              </a:graphicData>
            </a:graphic>
          </wp:inline>
        </w:drawing>
      </w:r>
    </w:p>
    <w:p w14:paraId="556114AA" w14:textId="27ACCA4A" w:rsidR="00E32B8E" w:rsidRPr="0057444A" w:rsidRDefault="00E32B8E" w:rsidP="0057444A">
      <w:pPr>
        <w:spacing w:after="120"/>
        <w:rPr>
          <w:rFonts w:ascii="Arial" w:hAnsi="Arial" w:cs="Arial"/>
          <w:i/>
          <w:iCs/>
          <w:sz w:val="16"/>
          <w:szCs w:val="16"/>
        </w:rPr>
      </w:pPr>
      <w:r w:rsidRPr="003516DC">
        <w:rPr>
          <w:rFonts w:ascii="Arial" w:hAnsi="Arial" w:cs="Arial"/>
          <w:i/>
          <w:iCs/>
          <w:sz w:val="16"/>
          <w:szCs w:val="16"/>
        </w:rPr>
        <w:t xml:space="preserve">Source: </w:t>
      </w:r>
      <w:hyperlink r:id="rId23" w:history="1">
        <w:r w:rsidRPr="003516DC">
          <w:rPr>
            <w:rStyle w:val="Hyperlink"/>
            <w:rFonts w:ascii="Arial" w:hAnsi="Arial" w:cs="Arial"/>
            <w:i/>
            <w:iCs/>
            <w:sz w:val="16"/>
            <w:szCs w:val="16"/>
          </w:rPr>
          <w:t>Bloomberg New Energy Finance</w:t>
        </w:r>
      </w:hyperlink>
    </w:p>
    <w:p w14:paraId="4C5857FB" w14:textId="1C968061" w:rsidR="00E32B8E" w:rsidRPr="003516DC" w:rsidRDefault="00E32B8E" w:rsidP="0057444A">
      <w:pPr>
        <w:spacing w:after="120"/>
        <w:jc w:val="both"/>
        <w:rPr>
          <w:rFonts w:ascii="Arial" w:hAnsi="Arial" w:cs="Arial"/>
          <w:sz w:val="20"/>
          <w:szCs w:val="20"/>
        </w:rPr>
      </w:pPr>
      <w:r w:rsidRPr="003516DC">
        <w:rPr>
          <w:rFonts w:ascii="Arial" w:hAnsi="Arial" w:cs="Arial"/>
          <w:sz w:val="20"/>
          <w:szCs w:val="20"/>
        </w:rPr>
        <w:t>Previous research performed by the International Renewable Energy Agency (IRENA) in 2017 showed that the technical potential of onshore wind in Romania was 84 GW while the cost competitive potential by 2030 was at a maximum of 75 GW. For solar PV, the technical potential was 19.3 GW while the cost competitive solar PV potential by 2030 was 18 GW</w:t>
      </w:r>
      <w:r w:rsidRPr="003516DC">
        <w:rPr>
          <w:rStyle w:val="FootnoteReference"/>
          <w:rFonts w:ascii="Arial" w:hAnsi="Arial" w:cs="Arial"/>
          <w:sz w:val="20"/>
          <w:szCs w:val="20"/>
        </w:rPr>
        <w:footnoteReference w:id="12"/>
      </w:r>
      <w:r w:rsidRPr="003516DC">
        <w:rPr>
          <w:rFonts w:ascii="Arial" w:hAnsi="Arial" w:cs="Arial"/>
          <w:sz w:val="20"/>
          <w:szCs w:val="20"/>
        </w:rPr>
        <w:t xml:space="preserve">. The difference between technical and cost competitive potential is made by constraints such as land, urbanisation, lack of grid infrastructure where technically feasible potential cannot be exploited. Based on IRENA’s analysis, Romania has sufficient cost competitive potential for onshore wind and solar PV to develop a highly decarbonized power system. In this respect, the least cost analysis performed by BNEF shows that Romania needs to exploit a fraction of the cost competitive solar and wind potential to transition to a highly decarbonized power system. Furthermore, if we were to take the more ambitious target set by BNEF modelling of 4.5 GW, a significant share of that capacity can be developed in the six counties that are the focus of the analysis. </w:t>
      </w:r>
    </w:p>
    <w:p w14:paraId="0FA3BF53" w14:textId="54C7B7FE" w:rsidR="00E32B8E" w:rsidRPr="0057444A" w:rsidRDefault="00E32B8E" w:rsidP="0057444A">
      <w:pPr>
        <w:spacing w:after="120"/>
        <w:rPr>
          <w:rFonts w:ascii="Arial" w:hAnsi="Arial" w:cs="Arial"/>
          <w:i/>
          <w:iCs/>
          <w:color w:val="0070C0"/>
          <w:sz w:val="20"/>
          <w:szCs w:val="20"/>
        </w:rPr>
      </w:pPr>
      <w:r w:rsidRPr="003516DC">
        <w:rPr>
          <w:rFonts w:ascii="Arial" w:hAnsi="Arial" w:cs="Arial"/>
          <w:i/>
          <w:iCs/>
          <w:color w:val="0070C0"/>
          <w:sz w:val="20"/>
          <w:szCs w:val="20"/>
        </w:rPr>
        <w:t>Methodology</w:t>
      </w:r>
    </w:p>
    <w:p w14:paraId="5CD2CBBA" w14:textId="2AD94CBB" w:rsidR="00E32B8E" w:rsidRPr="0057444A" w:rsidRDefault="00E32B8E" w:rsidP="0057444A">
      <w:pPr>
        <w:spacing w:after="120"/>
        <w:jc w:val="both"/>
        <w:rPr>
          <w:rFonts w:ascii="Arial" w:hAnsi="Arial" w:cs="Arial"/>
          <w:i/>
          <w:iCs/>
          <w:sz w:val="20"/>
          <w:szCs w:val="20"/>
        </w:rPr>
      </w:pPr>
      <w:r w:rsidRPr="003516DC">
        <w:rPr>
          <w:rFonts w:ascii="Arial" w:hAnsi="Arial" w:cs="Arial"/>
          <w:sz w:val="20"/>
          <w:szCs w:val="20"/>
        </w:rPr>
        <w:t xml:space="preserve">The supply curves are estimated using data on investments costs, capacity factors and O&amp;M costs for market-based projects in preparation in Romania. Capacity factor data is estimated using data from </w:t>
      </w:r>
      <w:hyperlink r:id="rId24" w:history="1">
        <w:r w:rsidRPr="003516DC">
          <w:rPr>
            <w:rStyle w:val="Hyperlink"/>
            <w:rFonts w:ascii="Arial" w:hAnsi="Arial" w:cs="Arial"/>
            <w:sz w:val="20"/>
            <w:szCs w:val="20"/>
          </w:rPr>
          <w:t>RenewableNinja</w:t>
        </w:r>
      </w:hyperlink>
      <w:r w:rsidRPr="003516DC">
        <w:rPr>
          <w:rFonts w:ascii="Arial" w:hAnsi="Arial" w:cs="Arial"/>
          <w:sz w:val="20"/>
          <w:szCs w:val="20"/>
        </w:rPr>
        <w:t xml:space="preserve"> website</w:t>
      </w:r>
      <w:r w:rsidRPr="003516DC">
        <w:rPr>
          <w:rStyle w:val="FootnoteReference"/>
          <w:rFonts w:ascii="Arial" w:hAnsi="Arial" w:cs="Arial"/>
          <w:sz w:val="20"/>
          <w:szCs w:val="20"/>
        </w:rPr>
        <w:footnoteReference w:id="13"/>
      </w:r>
      <w:r w:rsidRPr="003516DC">
        <w:rPr>
          <w:rFonts w:ascii="Arial" w:hAnsi="Arial" w:cs="Arial"/>
          <w:sz w:val="20"/>
          <w:szCs w:val="20"/>
        </w:rPr>
        <w:t>. Costs estimates are based on the LCOE methodology as presented in IRENA cost competitiveness studies</w:t>
      </w:r>
      <w:r w:rsidRPr="003516DC">
        <w:rPr>
          <w:rStyle w:val="FootnoteReference"/>
          <w:rFonts w:ascii="Arial" w:hAnsi="Arial" w:cs="Arial"/>
          <w:sz w:val="20"/>
          <w:szCs w:val="20"/>
        </w:rPr>
        <w:footnoteReference w:id="14"/>
      </w:r>
      <w:r w:rsidRPr="003516DC">
        <w:rPr>
          <w:rFonts w:ascii="Arial" w:hAnsi="Arial" w:cs="Arial"/>
          <w:sz w:val="20"/>
          <w:szCs w:val="20"/>
        </w:rPr>
        <w:t>.</w:t>
      </w:r>
    </w:p>
    <w:p w14:paraId="7AD524C7" w14:textId="192FC473" w:rsidR="00E32B8E" w:rsidRPr="0057444A" w:rsidRDefault="00E32B8E" w:rsidP="0057444A">
      <w:pPr>
        <w:spacing w:after="120"/>
        <w:rPr>
          <w:rFonts w:ascii="Arial" w:hAnsi="Arial" w:cs="Arial"/>
          <w:i/>
          <w:iCs/>
          <w:color w:val="0070C0"/>
          <w:sz w:val="20"/>
          <w:szCs w:val="20"/>
        </w:rPr>
      </w:pPr>
      <w:r w:rsidRPr="003516DC">
        <w:rPr>
          <w:rFonts w:ascii="Arial" w:hAnsi="Arial" w:cs="Arial"/>
          <w:i/>
          <w:iCs/>
          <w:color w:val="0070C0"/>
          <w:sz w:val="20"/>
          <w:szCs w:val="20"/>
        </w:rPr>
        <w:t>Solar PV potential</w:t>
      </w:r>
    </w:p>
    <w:p w14:paraId="7E851F58" w14:textId="58902666" w:rsidR="00E32B8E" w:rsidRPr="003516DC" w:rsidRDefault="00E32B8E" w:rsidP="0057444A">
      <w:pPr>
        <w:spacing w:after="120"/>
        <w:jc w:val="both"/>
        <w:rPr>
          <w:rFonts w:ascii="Arial" w:hAnsi="Arial" w:cs="Arial"/>
        </w:rPr>
      </w:pPr>
      <w:r w:rsidRPr="003516DC">
        <w:rPr>
          <w:rFonts w:ascii="Arial" w:hAnsi="Arial" w:cs="Arial"/>
          <w:sz w:val="20"/>
          <w:szCs w:val="20"/>
        </w:rPr>
        <w:t>Solar PV technology stands out as the most feasible candidate for large scale deployment in all the counties under analysis. Costs of solar PV have decreased dramatically in the last 10 years, by more than 80%</w:t>
      </w:r>
      <w:r w:rsidRPr="003516DC">
        <w:rPr>
          <w:rStyle w:val="FootnoteReference"/>
          <w:rFonts w:ascii="Arial" w:hAnsi="Arial" w:cs="Arial"/>
          <w:sz w:val="20"/>
          <w:szCs w:val="20"/>
        </w:rPr>
        <w:footnoteReference w:id="15"/>
      </w:r>
      <w:r w:rsidRPr="003516DC">
        <w:rPr>
          <w:rFonts w:ascii="Arial" w:hAnsi="Arial" w:cs="Arial"/>
          <w:sz w:val="20"/>
          <w:szCs w:val="20"/>
        </w:rPr>
        <w:t xml:space="preserve">  while technology has improved significantly. The equipment has been commoditised significantly with solar panels traded internationally at prices that vary little from region to region. The difference in project competitiveness come from two sources, mainly: resource quality and grid connection costs. Other costs are important but not as significant as grid connection costs, one of the key drivers of a projects’ competitiveness. In terms of resource quality, the counties that are in the southern part of Romania have a better resource quality but the difference is not that significative in </w:t>
      </w:r>
      <w:r w:rsidRPr="003516DC">
        <w:rPr>
          <w:rFonts w:ascii="Arial" w:hAnsi="Arial" w:cs="Arial"/>
          <w:sz w:val="20"/>
          <w:szCs w:val="20"/>
        </w:rPr>
        <w:lastRenderedPageBreak/>
        <w:t>any meaningful way. Average capacity factors in Southern counties are 2 to 5% higher than in Northern counties leading to small differences in overall production, a key driver of competitiveness (own calculations based on RenewablesNinja website). In a nutshell, county irradiance is not a big differentiator of cost competitiveness of solar PV in Romania because the variation is not that significant</w:t>
      </w:r>
      <w:r w:rsidRPr="003516DC">
        <w:rPr>
          <w:rFonts w:ascii="Arial" w:hAnsi="Arial" w:cs="Arial"/>
        </w:rPr>
        <w:t>.</w:t>
      </w:r>
    </w:p>
    <w:p w14:paraId="41BCDC82" w14:textId="6957E443" w:rsidR="00E32B8E" w:rsidRDefault="00E32B8E" w:rsidP="0057444A">
      <w:pPr>
        <w:spacing w:after="120"/>
        <w:jc w:val="both"/>
        <w:rPr>
          <w:rFonts w:ascii="Arial" w:hAnsi="Arial" w:cs="Arial"/>
          <w:sz w:val="20"/>
          <w:szCs w:val="20"/>
        </w:rPr>
      </w:pPr>
      <w:r w:rsidRPr="003516DC">
        <w:rPr>
          <w:rFonts w:ascii="Arial" w:hAnsi="Arial" w:cs="Arial"/>
          <w:sz w:val="20"/>
          <w:szCs w:val="20"/>
        </w:rPr>
        <w:t xml:space="preserve">The analysis presented </w:t>
      </w:r>
      <w:r w:rsidR="00BE706B">
        <w:rPr>
          <w:rFonts w:ascii="Arial" w:hAnsi="Arial" w:cs="Arial"/>
          <w:sz w:val="20"/>
          <w:szCs w:val="20"/>
        </w:rPr>
        <w:t>at county level</w:t>
      </w:r>
      <w:r w:rsidRPr="003516DC">
        <w:rPr>
          <w:rFonts w:ascii="Arial" w:hAnsi="Arial" w:cs="Arial"/>
          <w:sz w:val="20"/>
          <w:szCs w:val="20"/>
        </w:rPr>
        <w:t xml:space="preserve"> shows that even if we were to constrain the solar PV capacity developed in the six counties up to 2030 at slightly over 50% of the 4.5 GW of solar PV needed for a least cost decarbonized system, most of it can be developed at very competitive costs. In every county analysed, at least 400 MW can be developed at costs that are well below or just above average 2019–2020 spot prices in Romania</w:t>
      </w:r>
      <w:r>
        <w:rPr>
          <w:rFonts w:ascii="Arial" w:hAnsi="Arial" w:cs="Arial"/>
          <w:sz w:val="20"/>
          <w:szCs w:val="20"/>
        </w:rPr>
        <w:t>.</w:t>
      </w:r>
    </w:p>
    <w:p w14:paraId="602C4BAF" w14:textId="344736D8" w:rsidR="001C7238" w:rsidRPr="001C7238" w:rsidRDefault="00E32B8E" w:rsidP="004B6689">
      <w:pPr>
        <w:pStyle w:val="Caption"/>
        <w:keepNext w:val="0"/>
        <w:widowControl w:val="0"/>
        <w:spacing w:before="120"/>
      </w:pPr>
      <w:bookmarkStart w:id="27" w:name="_Toc90727341"/>
      <w:r w:rsidRPr="001C7238">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5</w:t>
      </w:r>
      <w:r w:rsidR="000B273D">
        <w:rPr>
          <w:noProof/>
        </w:rPr>
        <w:fldChar w:fldCharType="end"/>
      </w:r>
      <w:r w:rsidRPr="001C7238">
        <w:t>: Supply curve of solar PV capacity at county level</w:t>
      </w:r>
      <w:bookmarkEnd w:id="27"/>
    </w:p>
    <w:p w14:paraId="6A4FE74A" w14:textId="08D14AB9" w:rsidR="00E32B8E" w:rsidRPr="003516DC" w:rsidRDefault="00E32B8E" w:rsidP="001C7238">
      <w:pPr>
        <w:rPr>
          <w:rFonts w:ascii="Arial" w:hAnsi="Arial" w:cs="Arial"/>
        </w:rPr>
      </w:pPr>
      <w:r w:rsidRPr="003516DC">
        <w:rPr>
          <w:rFonts w:ascii="Arial" w:hAnsi="Arial" w:cs="Arial"/>
          <w:noProof/>
          <w:lang w:val="en-US" w:eastAsia="en-US"/>
        </w:rPr>
        <w:drawing>
          <wp:inline distT="0" distB="0" distL="0" distR="0" wp14:anchorId="548AA2C9" wp14:editId="41B75035">
            <wp:extent cx="5676265" cy="3081528"/>
            <wp:effectExtent l="0" t="0" r="635" b="5080"/>
            <wp:docPr id="200" name="Chart 20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AB37E68-1FAA-476A-9FBB-3C196F49AD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668FBA5" w14:textId="225CE7A7" w:rsidR="00E32B8E" w:rsidRPr="003516DC" w:rsidRDefault="00E32B8E" w:rsidP="00E32B8E">
      <w:pPr>
        <w:spacing w:line="360" w:lineRule="auto"/>
        <w:jc w:val="both"/>
        <w:rPr>
          <w:rStyle w:val="Hyperlink"/>
          <w:rFonts w:ascii="Arial" w:hAnsi="Arial" w:cs="Arial"/>
          <w:i/>
          <w:iCs/>
          <w:sz w:val="16"/>
          <w:szCs w:val="16"/>
        </w:rPr>
      </w:pPr>
      <w:r w:rsidRPr="003516DC">
        <w:rPr>
          <w:rFonts w:ascii="Arial" w:hAnsi="Arial" w:cs="Arial"/>
          <w:i/>
          <w:iCs/>
          <w:sz w:val="16"/>
          <w:szCs w:val="16"/>
        </w:rPr>
        <w:t xml:space="preserve">Source: Own estimates based on market data and capacity factor data from </w:t>
      </w:r>
      <w:hyperlink r:id="rId26" w:history="1">
        <w:r w:rsidRPr="003516DC">
          <w:rPr>
            <w:rStyle w:val="Hyperlink"/>
            <w:rFonts w:ascii="Arial" w:hAnsi="Arial" w:cs="Arial"/>
            <w:i/>
            <w:iCs/>
            <w:sz w:val="16"/>
            <w:szCs w:val="16"/>
          </w:rPr>
          <w:t>RenewablesNinja</w:t>
        </w:r>
      </w:hyperlink>
    </w:p>
    <w:p w14:paraId="28FA39D3" w14:textId="69B62C0B" w:rsidR="00084502" w:rsidRPr="003516DC" w:rsidRDefault="00084502" w:rsidP="0057444A">
      <w:pPr>
        <w:spacing w:after="120"/>
        <w:rPr>
          <w:rFonts w:ascii="Arial" w:hAnsi="Arial" w:cs="Arial"/>
          <w:i/>
          <w:iCs/>
          <w:color w:val="0070C0"/>
          <w:sz w:val="20"/>
          <w:szCs w:val="20"/>
        </w:rPr>
      </w:pPr>
      <w:r w:rsidRPr="003516DC">
        <w:rPr>
          <w:rFonts w:ascii="Arial" w:hAnsi="Arial" w:cs="Arial"/>
          <w:i/>
          <w:iCs/>
          <w:color w:val="0070C0"/>
          <w:sz w:val="20"/>
          <w:szCs w:val="20"/>
        </w:rPr>
        <w:t>Onshore wind potential</w:t>
      </w:r>
    </w:p>
    <w:p w14:paraId="40B28C24" w14:textId="17A1B403" w:rsidR="00084502" w:rsidRPr="0057444A" w:rsidRDefault="00084502" w:rsidP="0057444A">
      <w:pPr>
        <w:spacing w:after="120"/>
        <w:jc w:val="both"/>
        <w:rPr>
          <w:rFonts w:ascii="Arial" w:hAnsi="Arial" w:cs="Arial"/>
          <w:sz w:val="20"/>
          <w:szCs w:val="20"/>
        </w:rPr>
      </w:pPr>
      <w:r w:rsidRPr="003516DC">
        <w:rPr>
          <w:rFonts w:ascii="Arial" w:hAnsi="Arial" w:cs="Arial"/>
          <w:sz w:val="20"/>
          <w:szCs w:val="20"/>
        </w:rPr>
        <w:t>The potential of onshore wind in the six counties under analysis is significantly lower than that of solar PV due to the geographical positioning outside the windiest areas in Romania</w:t>
      </w:r>
      <w:r w:rsidR="006E069D">
        <w:rPr>
          <w:rFonts w:ascii="Arial" w:hAnsi="Arial" w:cs="Arial"/>
          <w:sz w:val="20"/>
          <w:szCs w:val="20"/>
        </w:rPr>
        <w:t>.</w:t>
      </w:r>
      <w:r w:rsidRPr="003516DC">
        <w:rPr>
          <w:rFonts w:ascii="Arial" w:hAnsi="Arial" w:cs="Arial"/>
          <w:sz w:val="20"/>
          <w:szCs w:val="20"/>
        </w:rPr>
        <w:t xml:space="preserve"> </w:t>
      </w:r>
      <w:r w:rsidR="006E069D">
        <w:rPr>
          <w:rFonts w:ascii="Arial" w:hAnsi="Arial" w:cs="Arial"/>
          <w:sz w:val="20"/>
          <w:szCs w:val="20"/>
        </w:rPr>
        <w:t>O</w:t>
      </w:r>
      <w:r w:rsidRPr="003516DC">
        <w:rPr>
          <w:rFonts w:ascii="Arial" w:hAnsi="Arial" w:cs="Arial"/>
          <w:sz w:val="20"/>
          <w:szCs w:val="20"/>
        </w:rPr>
        <w:t xml:space="preserve">f </w:t>
      </w:r>
      <w:r w:rsidR="006E069D">
        <w:rPr>
          <w:rFonts w:ascii="Arial" w:hAnsi="Arial" w:cs="Arial"/>
          <w:sz w:val="20"/>
          <w:szCs w:val="20"/>
        </w:rPr>
        <w:t xml:space="preserve">the </w:t>
      </w:r>
      <w:r w:rsidRPr="003516DC">
        <w:rPr>
          <w:rFonts w:ascii="Arial" w:hAnsi="Arial" w:cs="Arial"/>
          <w:sz w:val="20"/>
          <w:szCs w:val="20"/>
        </w:rPr>
        <w:t>six counties</w:t>
      </w:r>
      <w:r w:rsidR="006E069D">
        <w:rPr>
          <w:rFonts w:ascii="Arial" w:hAnsi="Arial" w:cs="Arial"/>
          <w:sz w:val="20"/>
          <w:szCs w:val="20"/>
        </w:rPr>
        <w:t>,</w:t>
      </w:r>
      <w:r w:rsidRPr="003516DC">
        <w:rPr>
          <w:rFonts w:ascii="Arial" w:hAnsi="Arial" w:cs="Arial"/>
          <w:sz w:val="20"/>
          <w:szCs w:val="20"/>
        </w:rPr>
        <w:t xml:space="preserve"> </w:t>
      </w:r>
      <w:r w:rsidR="003751DC">
        <w:rPr>
          <w:rFonts w:ascii="Arial" w:hAnsi="Arial" w:cs="Arial"/>
          <w:sz w:val="20"/>
          <w:szCs w:val="20"/>
        </w:rPr>
        <w:t>Galați</w:t>
      </w:r>
      <w:r w:rsidR="006E069D">
        <w:rPr>
          <w:rFonts w:ascii="Arial" w:hAnsi="Arial" w:cs="Arial"/>
          <w:sz w:val="20"/>
          <w:szCs w:val="20"/>
        </w:rPr>
        <w:t xml:space="preserve"> is t</w:t>
      </w:r>
      <w:r w:rsidRPr="003516DC">
        <w:rPr>
          <w:rFonts w:ascii="Arial" w:hAnsi="Arial" w:cs="Arial"/>
          <w:sz w:val="20"/>
          <w:szCs w:val="20"/>
        </w:rPr>
        <w:t>he only county with significant onshore wind potential</w:t>
      </w:r>
      <w:r>
        <w:rPr>
          <w:rFonts w:ascii="Arial" w:hAnsi="Arial" w:cs="Arial"/>
          <w:sz w:val="20"/>
          <w:szCs w:val="20"/>
        </w:rPr>
        <w:t>.</w:t>
      </w:r>
    </w:p>
    <w:p w14:paraId="309059F1" w14:textId="50379A4C" w:rsidR="0041188B" w:rsidRDefault="006E069D" w:rsidP="0057444A">
      <w:pPr>
        <w:spacing w:after="120"/>
        <w:jc w:val="both"/>
        <w:rPr>
          <w:rFonts w:ascii="Arial" w:hAnsi="Arial" w:cs="Arial"/>
          <w:i/>
          <w:iCs/>
          <w:sz w:val="20"/>
          <w:szCs w:val="20"/>
        </w:rPr>
      </w:pPr>
      <w:r>
        <w:rPr>
          <w:rFonts w:ascii="Arial" w:hAnsi="Arial" w:cs="Arial"/>
          <w:i/>
          <w:iCs/>
          <w:sz w:val="20"/>
          <w:szCs w:val="20"/>
        </w:rPr>
        <w:t xml:space="preserve">Conclusions for each </w:t>
      </w:r>
      <w:r w:rsidR="00033727" w:rsidRPr="00033727">
        <w:rPr>
          <w:rFonts w:ascii="Arial" w:hAnsi="Arial" w:cs="Arial"/>
          <w:i/>
          <w:iCs/>
          <w:sz w:val="20"/>
          <w:szCs w:val="20"/>
        </w:rPr>
        <w:t xml:space="preserve">county </w:t>
      </w:r>
      <w:r w:rsidR="00033727">
        <w:rPr>
          <w:rFonts w:ascii="Arial" w:hAnsi="Arial" w:cs="Arial"/>
          <w:i/>
          <w:iCs/>
          <w:sz w:val="20"/>
          <w:szCs w:val="20"/>
        </w:rPr>
        <w:t xml:space="preserve">resulting from the renewable energy production potential analysis presented in this section </w:t>
      </w:r>
      <w:r w:rsidR="00033727" w:rsidRPr="00033727">
        <w:rPr>
          <w:rFonts w:ascii="Arial" w:hAnsi="Arial" w:cs="Arial"/>
          <w:i/>
          <w:iCs/>
          <w:sz w:val="20"/>
          <w:szCs w:val="20"/>
        </w:rPr>
        <w:t xml:space="preserve">have been included in </w:t>
      </w:r>
      <w:r w:rsidR="00091FE3">
        <w:rPr>
          <w:rFonts w:ascii="Arial" w:hAnsi="Arial" w:cs="Arial"/>
          <w:i/>
          <w:iCs/>
          <w:sz w:val="20"/>
          <w:szCs w:val="20"/>
        </w:rPr>
        <w:t>Chapter</w:t>
      </w:r>
      <w:r w:rsidR="00033727" w:rsidRPr="00033727">
        <w:rPr>
          <w:rFonts w:ascii="Arial" w:hAnsi="Arial" w:cs="Arial"/>
          <w:i/>
          <w:iCs/>
          <w:sz w:val="20"/>
          <w:szCs w:val="20"/>
        </w:rPr>
        <w:t xml:space="preserve">s </w:t>
      </w:r>
      <w:r w:rsidR="0041188B">
        <w:rPr>
          <w:rFonts w:ascii="Arial" w:hAnsi="Arial" w:cs="Arial"/>
          <w:i/>
          <w:iCs/>
          <w:sz w:val="20"/>
          <w:szCs w:val="20"/>
        </w:rPr>
        <w:t>3-8</w:t>
      </w:r>
      <w:r w:rsidR="00E909F2">
        <w:rPr>
          <w:rFonts w:ascii="Arial" w:hAnsi="Arial" w:cs="Arial"/>
          <w:i/>
          <w:iCs/>
          <w:sz w:val="20"/>
          <w:szCs w:val="20"/>
        </w:rPr>
        <w:t>.</w:t>
      </w:r>
    </w:p>
    <w:p w14:paraId="5C2175A5" w14:textId="12395C5F" w:rsidR="004B6689" w:rsidRPr="00110B0D" w:rsidRDefault="003751DC" w:rsidP="00110B0D">
      <w:pPr>
        <w:spacing w:after="120"/>
        <w:jc w:val="both"/>
        <w:rPr>
          <w:rFonts w:ascii="Arial" w:hAnsi="Arial" w:cs="Arial"/>
          <w:sz w:val="20"/>
          <w:szCs w:val="20"/>
        </w:rPr>
      </w:pPr>
      <w:r>
        <w:rPr>
          <w:rFonts w:ascii="Arial" w:hAnsi="Arial" w:cs="Arial"/>
          <w:sz w:val="20"/>
          <w:szCs w:val="20"/>
        </w:rPr>
        <w:t>Galați</w:t>
      </w:r>
      <w:r w:rsidR="00BE706B" w:rsidRPr="003516DC">
        <w:rPr>
          <w:rFonts w:ascii="Arial" w:hAnsi="Arial" w:cs="Arial"/>
          <w:sz w:val="20"/>
          <w:szCs w:val="20"/>
        </w:rPr>
        <w:t xml:space="preserve"> is already the success story of the country (and definitely of the affected regions) in terms of economic value added from electricity production based on renewables. Unfortunately, the economic sector activity classification (NACE coding) does not distinguish in Romania between electricity production based on renewable sources and electricity production based on non-renewable sources. Table </w:t>
      </w:r>
      <w:r w:rsidR="00F94D6D">
        <w:rPr>
          <w:rFonts w:ascii="Arial" w:hAnsi="Arial" w:cs="Arial"/>
          <w:sz w:val="20"/>
          <w:szCs w:val="20"/>
        </w:rPr>
        <w:t>4</w:t>
      </w:r>
      <w:r w:rsidR="00BE706B" w:rsidRPr="003516DC">
        <w:rPr>
          <w:rFonts w:ascii="Arial" w:hAnsi="Arial" w:cs="Arial"/>
          <w:sz w:val="20"/>
          <w:szCs w:val="20"/>
        </w:rPr>
        <w:t xml:space="preserve"> shows the number of companies that produce electricity in all affected counties, their number of employees, as well as their turnover. The highest number of employees and the highest turnovers are in Gorj and Hunedoara because the two energy complexes are included. However, looking at value creation, the story is very different: Galați, not having any major large fossil-fuel electricity producer on its territory, generates a RON 41 m turnover in the sector with 242 employees, while in Hunedoara 20 times more employees generate a turnover which is only six times higher than </w:t>
      </w:r>
      <w:r>
        <w:rPr>
          <w:rFonts w:ascii="Arial" w:hAnsi="Arial" w:cs="Arial"/>
          <w:sz w:val="20"/>
          <w:szCs w:val="20"/>
        </w:rPr>
        <w:t>Galați</w:t>
      </w:r>
      <w:r w:rsidR="00BE706B" w:rsidRPr="003516DC">
        <w:rPr>
          <w:rFonts w:ascii="Arial" w:hAnsi="Arial" w:cs="Arial"/>
          <w:sz w:val="20"/>
          <w:szCs w:val="20"/>
        </w:rPr>
        <w:t xml:space="preserve">’s. The highest productivity in the sector is in Prahova, where RON 59 m are generated by a staff of 75. In Gorj, 30% of the county’s employees are employed in electricity production, which generates 35% of the county’s turnover, while electricity production turnover hovers around 1% of the rest of the counties’ turnover and 2% of their employment (except Hunedoara, which is already more economically diversified than Gorj, as 8% of the county’s employment is in electricity production and the sector’s turnover is less than 4% that of the county. Investments in renewable energy, although very much needed for the country’s energy transition pathway, will not support employment targets or mitigate social effects in Gorj and Hunedoara, unless they are accompanied by auxiliary services. The number of companies </w:t>
      </w:r>
      <w:r w:rsidR="00BE706B" w:rsidRPr="003516DC">
        <w:rPr>
          <w:rFonts w:ascii="Arial" w:hAnsi="Arial" w:cs="Arial"/>
          <w:sz w:val="20"/>
          <w:szCs w:val="20"/>
        </w:rPr>
        <w:lastRenderedPageBreak/>
        <w:t>and employees performing electrical installations works is limited in Gorj and Hunedoara (45 companies employing 260 staff in Gorj, and 85 companies employing 480 staff in Hunedoara – at relatively similar turnover figures), while it is much higher in the other counties. The turnover of these companies (NACE 4321) is RON 200 m in Prahova, while it barely exceeds RON 100 in Galați and is even lower in Hunedoara and Gorj.</w:t>
      </w:r>
    </w:p>
    <w:p w14:paraId="70717B38" w14:textId="6BC10476" w:rsidR="00BE706B" w:rsidRPr="003516DC" w:rsidRDefault="00BE706B" w:rsidP="00110B0D">
      <w:pPr>
        <w:pStyle w:val="Caption"/>
        <w:spacing w:before="120"/>
        <w:ind w:left="1138" w:hanging="1138"/>
      </w:pPr>
      <w:bookmarkStart w:id="28" w:name="_Toc90725958"/>
      <w:bookmarkStart w:id="29" w:name="_Toc90727255"/>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4</w:t>
      </w:r>
      <w:r w:rsidRPr="003516DC">
        <w:rPr>
          <w:noProof/>
        </w:rPr>
        <w:fldChar w:fldCharType="end"/>
      </w:r>
      <w:r w:rsidRPr="003516DC">
        <w:t>: Active companies in the sector of electricity production across the six counties</w:t>
      </w:r>
      <w:bookmarkEnd w:id="28"/>
      <w:bookmarkEnd w:id="29"/>
    </w:p>
    <w:tbl>
      <w:tblPr>
        <w:tblStyle w:val="TableGrid"/>
        <w:tblW w:w="5000" w:type="pct"/>
        <w:tblLook w:val="04A0" w:firstRow="1" w:lastRow="0" w:firstColumn="1" w:lastColumn="0" w:noHBand="0" w:noVBand="1"/>
      </w:tblPr>
      <w:tblGrid>
        <w:gridCol w:w="2233"/>
        <w:gridCol w:w="2232"/>
        <w:gridCol w:w="2232"/>
        <w:gridCol w:w="2232"/>
      </w:tblGrid>
      <w:tr w:rsidR="00BE706B" w:rsidRPr="003516DC" w14:paraId="69F54E07" w14:textId="77777777" w:rsidTr="00A14E66">
        <w:tc>
          <w:tcPr>
            <w:tcW w:w="1250" w:type="pct"/>
            <w:shd w:val="clear" w:color="auto" w:fill="002060"/>
          </w:tcPr>
          <w:p w14:paraId="4C90F559" w14:textId="77777777" w:rsidR="00BE706B" w:rsidRPr="003516DC" w:rsidRDefault="00BE706B" w:rsidP="00964831">
            <w:pPr>
              <w:rPr>
                <w:rFonts w:ascii="Arial" w:hAnsi="Arial" w:cs="Arial"/>
                <w:sz w:val="18"/>
                <w:szCs w:val="18"/>
              </w:rPr>
            </w:pPr>
            <w:r w:rsidRPr="003516DC">
              <w:rPr>
                <w:rFonts w:ascii="Arial" w:hAnsi="Arial" w:cs="Arial"/>
                <w:b/>
                <w:bCs/>
                <w:color w:val="FFFFFF" w:themeColor="background1"/>
                <w:sz w:val="18"/>
                <w:szCs w:val="18"/>
              </w:rPr>
              <w:t>County</w:t>
            </w:r>
          </w:p>
        </w:tc>
        <w:tc>
          <w:tcPr>
            <w:tcW w:w="1250" w:type="pct"/>
            <w:shd w:val="clear" w:color="auto" w:fill="002060"/>
          </w:tcPr>
          <w:p w14:paraId="702147A6" w14:textId="77777777" w:rsidR="00BE706B" w:rsidRPr="003516DC" w:rsidRDefault="00BE706B" w:rsidP="00964831">
            <w:pPr>
              <w:jc w:val="center"/>
              <w:rPr>
                <w:rFonts w:ascii="Arial" w:hAnsi="Arial" w:cs="Arial"/>
                <w:sz w:val="18"/>
                <w:szCs w:val="18"/>
              </w:rPr>
            </w:pPr>
            <w:r w:rsidRPr="003516DC">
              <w:rPr>
                <w:rFonts w:ascii="Arial" w:hAnsi="Arial" w:cs="Arial"/>
                <w:b/>
                <w:bCs/>
                <w:color w:val="FFFFFF" w:themeColor="background1"/>
                <w:sz w:val="18"/>
                <w:szCs w:val="18"/>
              </w:rPr>
              <w:t>No. companies 2019</w:t>
            </w:r>
          </w:p>
        </w:tc>
        <w:tc>
          <w:tcPr>
            <w:tcW w:w="1250" w:type="pct"/>
            <w:shd w:val="clear" w:color="auto" w:fill="002060"/>
          </w:tcPr>
          <w:p w14:paraId="47C68FDC" w14:textId="77777777" w:rsidR="00BE706B" w:rsidRPr="003516DC" w:rsidRDefault="00BE706B" w:rsidP="00964831">
            <w:pPr>
              <w:jc w:val="center"/>
              <w:rPr>
                <w:rFonts w:ascii="Arial" w:hAnsi="Arial" w:cs="Arial"/>
                <w:sz w:val="18"/>
                <w:szCs w:val="18"/>
              </w:rPr>
            </w:pPr>
            <w:r w:rsidRPr="003516DC">
              <w:rPr>
                <w:rFonts w:ascii="Arial" w:hAnsi="Arial" w:cs="Arial"/>
                <w:b/>
                <w:bCs/>
                <w:color w:val="FFFFFF" w:themeColor="background1"/>
                <w:sz w:val="18"/>
                <w:szCs w:val="18"/>
              </w:rPr>
              <w:t>No. employees 2019</w:t>
            </w:r>
          </w:p>
        </w:tc>
        <w:tc>
          <w:tcPr>
            <w:tcW w:w="1250" w:type="pct"/>
            <w:shd w:val="clear" w:color="auto" w:fill="002060"/>
          </w:tcPr>
          <w:p w14:paraId="2789BBC5" w14:textId="77777777" w:rsidR="00BE706B" w:rsidRPr="003516DC" w:rsidRDefault="00BE706B" w:rsidP="00964831">
            <w:pPr>
              <w:jc w:val="center"/>
              <w:rPr>
                <w:rFonts w:ascii="Arial" w:hAnsi="Arial" w:cs="Arial"/>
                <w:sz w:val="18"/>
                <w:szCs w:val="18"/>
              </w:rPr>
            </w:pPr>
            <w:r w:rsidRPr="003516DC">
              <w:rPr>
                <w:rFonts w:ascii="Arial" w:hAnsi="Arial" w:cs="Arial"/>
                <w:b/>
                <w:bCs/>
                <w:color w:val="FFFFFF" w:themeColor="background1"/>
                <w:sz w:val="18"/>
                <w:szCs w:val="18"/>
              </w:rPr>
              <w:t>Turnover 2019</w:t>
            </w:r>
          </w:p>
        </w:tc>
      </w:tr>
      <w:tr w:rsidR="00BE706B" w:rsidRPr="003516DC" w14:paraId="672CE71E" w14:textId="77777777" w:rsidTr="00A14E66">
        <w:tc>
          <w:tcPr>
            <w:tcW w:w="1250" w:type="pct"/>
            <w:vAlign w:val="bottom"/>
          </w:tcPr>
          <w:p w14:paraId="02BF5E1B" w14:textId="77777777" w:rsidR="00BE706B" w:rsidRPr="003516DC" w:rsidRDefault="00BE706B" w:rsidP="00964831">
            <w:pPr>
              <w:rPr>
                <w:rFonts w:ascii="Arial" w:hAnsi="Arial" w:cs="Arial"/>
                <w:sz w:val="18"/>
                <w:szCs w:val="18"/>
              </w:rPr>
            </w:pPr>
            <w:r w:rsidRPr="003516DC">
              <w:rPr>
                <w:rFonts w:ascii="Arial" w:hAnsi="Arial" w:cs="Arial"/>
                <w:color w:val="000000"/>
                <w:sz w:val="18"/>
                <w:szCs w:val="18"/>
              </w:rPr>
              <w:t>Dolj</w:t>
            </w:r>
          </w:p>
        </w:tc>
        <w:tc>
          <w:tcPr>
            <w:tcW w:w="1250" w:type="pct"/>
            <w:vAlign w:val="bottom"/>
          </w:tcPr>
          <w:p w14:paraId="0289D315"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22</w:t>
            </w:r>
          </w:p>
        </w:tc>
        <w:tc>
          <w:tcPr>
            <w:tcW w:w="1250" w:type="pct"/>
            <w:vAlign w:val="bottom"/>
          </w:tcPr>
          <w:p w14:paraId="7C73729E"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20</w:t>
            </w:r>
          </w:p>
        </w:tc>
        <w:tc>
          <w:tcPr>
            <w:tcW w:w="1250" w:type="pct"/>
            <w:vAlign w:val="bottom"/>
          </w:tcPr>
          <w:p w14:paraId="74010BC1"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2,920,146</w:t>
            </w:r>
          </w:p>
        </w:tc>
      </w:tr>
      <w:tr w:rsidR="00BE706B" w:rsidRPr="003516DC" w14:paraId="11117F9B" w14:textId="77777777" w:rsidTr="00A14E66">
        <w:tc>
          <w:tcPr>
            <w:tcW w:w="1250" w:type="pct"/>
            <w:vAlign w:val="bottom"/>
          </w:tcPr>
          <w:p w14:paraId="40AB5B6A" w14:textId="3616A710" w:rsidR="00BE706B" w:rsidRPr="003516DC" w:rsidRDefault="003751DC" w:rsidP="00964831">
            <w:pPr>
              <w:rPr>
                <w:rFonts w:ascii="Arial" w:hAnsi="Arial" w:cs="Arial"/>
                <w:sz w:val="18"/>
                <w:szCs w:val="18"/>
              </w:rPr>
            </w:pPr>
            <w:r>
              <w:rPr>
                <w:rFonts w:ascii="Arial" w:hAnsi="Arial" w:cs="Arial"/>
                <w:color w:val="000000"/>
                <w:sz w:val="18"/>
                <w:szCs w:val="18"/>
              </w:rPr>
              <w:t>Galați</w:t>
            </w:r>
          </w:p>
        </w:tc>
        <w:tc>
          <w:tcPr>
            <w:tcW w:w="1250" w:type="pct"/>
            <w:vAlign w:val="bottom"/>
          </w:tcPr>
          <w:p w14:paraId="08DED278"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15</w:t>
            </w:r>
          </w:p>
        </w:tc>
        <w:tc>
          <w:tcPr>
            <w:tcW w:w="1250" w:type="pct"/>
            <w:vAlign w:val="bottom"/>
          </w:tcPr>
          <w:p w14:paraId="673CFAB7"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242</w:t>
            </w:r>
          </w:p>
        </w:tc>
        <w:tc>
          <w:tcPr>
            <w:tcW w:w="1250" w:type="pct"/>
            <w:vAlign w:val="bottom"/>
          </w:tcPr>
          <w:p w14:paraId="296B365E"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41,381,982</w:t>
            </w:r>
          </w:p>
        </w:tc>
      </w:tr>
      <w:tr w:rsidR="00BE706B" w:rsidRPr="003516DC" w14:paraId="01260632" w14:textId="77777777" w:rsidTr="00A14E66">
        <w:tc>
          <w:tcPr>
            <w:tcW w:w="1250" w:type="pct"/>
            <w:vAlign w:val="bottom"/>
          </w:tcPr>
          <w:p w14:paraId="67590D69" w14:textId="77777777" w:rsidR="00BE706B" w:rsidRPr="003516DC" w:rsidRDefault="00BE706B" w:rsidP="00964831">
            <w:pPr>
              <w:rPr>
                <w:rFonts w:ascii="Arial" w:hAnsi="Arial" w:cs="Arial"/>
                <w:sz w:val="18"/>
                <w:szCs w:val="18"/>
              </w:rPr>
            </w:pPr>
            <w:r w:rsidRPr="003516DC">
              <w:rPr>
                <w:rFonts w:ascii="Arial" w:hAnsi="Arial" w:cs="Arial"/>
                <w:color w:val="000000"/>
                <w:sz w:val="18"/>
                <w:szCs w:val="18"/>
              </w:rPr>
              <w:t>Gorj</w:t>
            </w:r>
          </w:p>
        </w:tc>
        <w:tc>
          <w:tcPr>
            <w:tcW w:w="1250" w:type="pct"/>
            <w:vAlign w:val="bottom"/>
          </w:tcPr>
          <w:p w14:paraId="5E646682"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10</w:t>
            </w:r>
          </w:p>
        </w:tc>
        <w:tc>
          <w:tcPr>
            <w:tcW w:w="1250" w:type="pct"/>
            <w:vAlign w:val="bottom"/>
          </w:tcPr>
          <w:p w14:paraId="4CBD829C"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12,872</w:t>
            </w:r>
          </w:p>
        </w:tc>
        <w:tc>
          <w:tcPr>
            <w:tcW w:w="1250" w:type="pct"/>
            <w:vAlign w:val="bottom"/>
          </w:tcPr>
          <w:p w14:paraId="1D487E67"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3,121,073,736</w:t>
            </w:r>
          </w:p>
        </w:tc>
      </w:tr>
      <w:tr w:rsidR="00BE706B" w:rsidRPr="003516DC" w14:paraId="688CDB94" w14:textId="77777777" w:rsidTr="00A14E66">
        <w:tc>
          <w:tcPr>
            <w:tcW w:w="1250" w:type="pct"/>
            <w:vAlign w:val="bottom"/>
          </w:tcPr>
          <w:p w14:paraId="2AC8584C" w14:textId="77777777" w:rsidR="00BE706B" w:rsidRPr="003516DC" w:rsidRDefault="00BE706B" w:rsidP="00964831">
            <w:pPr>
              <w:rPr>
                <w:rFonts w:ascii="Arial" w:hAnsi="Arial" w:cs="Arial"/>
                <w:sz w:val="18"/>
                <w:szCs w:val="18"/>
              </w:rPr>
            </w:pPr>
            <w:r w:rsidRPr="003516DC">
              <w:rPr>
                <w:rFonts w:ascii="Arial" w:hAnsi="Arial" w:cs="Arial"/>
                <w:color w:val="000000"/>
                <w:sz w:val="18"/>
                <w:szCs w:val="18"/>
              </w:rPr>
              <w:t>Hunedoara</w:t>
            </w:r>
          </w:p>
        </w:tc>
        <w:tc>
          <w:tcPr>
            <w:tcW w:w="1250" w:type="pct"/>
            <w:vAlign w:val="bottom"/>
          </w:tcPr>
          <w:p w14:paraId="62F034EC"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18</w:t>
            </w:r>
          </w:p>
        </w:tc>
        <w:tc>
          <w:tcPr>
            <w:tcW w:w="1250" w:type="pct"/>
            <w:vAlign w:val="bottom"/>
          </w:tcPr>
          <w:p w14:paraId="342B3ADB"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4,073</w:t>
            </w:r>
          </w:p>
        </w:tc>
        <w:tc>
          <w:tcPr>
            <w:tcW w:w="1250" w:type="pct"/>
            <w:vAlign w:val="bottom"/>
          </w:tcPr>
          <w:p w14:paraId="797DC21D"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260,588,999</w:t>
            </w:r>
          </w:p>
        </w:tc>
      </w:tr>
      <w:tr w:rsidR="00BE706B" w:rsidRPr="003516DC" w14:paraId="31B7884F" w14:textId="77777777" w:rsidTr="00A14E66">
        <w:tc>
          <w:tcPr>
            <w:tcW w:w="1250" w:type="pct"/>
            <w:vAlign w:val="bottom"/>
          </w:tcPr>
          <w:p w14:paraId="7ED09F25" w14:textId="77777777" w:rsidR="00BE706B" w:rsidRPr="003516DC" w:rsidRDefault="00BE706B" w:rsidP="00964831">
            <w:pPr>
              <w:rPr>
                <w:rFonts w:ascii="Arial" w:hAnsi="Arial" w:cs="Arial"/>
                <w:sz w:val="18"/>
                <w:szCs w:val="18"/>
              </w:rPr>
            </w:pPr>
            <w:r w:rsidRPr="003516DC">
              <w:rPr>
                <w:rFonts w:ascii="Arial" w:hAnsi="Arial" w:cs="Arial"/>
                <w:color w:val="000000"/>
                <w:sz w:val="18"/>
                <w:szCs w:val="18"/>
              </w:rPr>
              <w:t>Mureş</w:t>
            </w:r>
          </w:p>
        </w:tc>
        <w:tc>
          <w:tcPr>
            <w:tcW w:w="1250" w:type="pct"/>
            <w:vAlign w:val="bottom"/>
          </w:tcPr>
          <w:p w14:paraId="24763B3D"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23</w:t>
            </w:r>
          </w:p>
        </w:tc>
        <w:tc>
          <w:tcPr>
            <w:tcW w:w="1250" w:type="pct"/>
            <w:vAlign w:val="bottom"/>
          </w:tcPr>
          <w:p w14:paraId="66CB631B"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24</w:t>
            </w:r>
          </w:p>
        </w:tc>
        <w:tc>
          <w:tcPr>
            <w:tcW w:w="1250" w:type="pct"/>
            <w:vAlign w:val="bottom"/>
          </w:tcPr>
          <w:p w14:paraId="23A5FBBF"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15,946,262</w:t>
            </w:r>
          </w:p>
        </w:tc>
      </w:tr>
      <w:tr w:rsidR="00BE706B" w:rsidRPr="003516DC" w14:paraId="5B2DF48E" w14:textId="77777777" w:rsidTr="00A14E66">
        <w:tc>
          <w:tcPr>
            <w:tcW w:w="1250" w:type="pct"/>
            <w:vAlign w:val="bottom"/>
          </w:tcPr>
          <w:p w14:paraId="68F501D5" w14:textId="77777777" w:rsidR="00BE706B" w:rsidRPr="003516DC" w:rsidRDefault="00BE706B" w:rsidP="00964831">
            <w:pPr>
              <w:rPr>
                <w:rFonts w:ascii="Arial" w:hAnsi="Arial" w:cs="Arial"/>
                <w:sz w:val="18"/>
                <w:szCs w:val="18"/>
              </w:rPr>
            </w:pPr>
            <w:r w:rsidRPr="003516DC">
              <w:rPr>
                <w:rFonts w:ascii="Arial" w:hAnsi="Arial" w:cs="Arial"/>
                <w:color w:val="000000"/>
                <w:sz w:val="18"/>
                <w:szCs w:val="18"/>
              </w:rPr>
              <w:t>Prahova</w:t>
            </w:r>
          </w:p>
        </w:tc>
        <w:tc>
          <w:tcPr>
            <w:tcW w:w="1250" w:type="pct"/>
            <w:vAlign w:val="bottom"/>
          </w:tcPr>
          <w:p w14:paraId="1A543EFE"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54</w:t>
            </w:r>
          </w:p>
        </w:tc>
        <w:tc>
          <w:tcPr>
            <w:tcW w:w="1250" w:type="pct"/>
            <w:vAlign w:val="bottom"/>
          </w:tcPr>
          <w:p w14:paraId="2D015E5B"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75</w:t>
            </w:r>
          </w:p>
        </w:tc>
        <w:tc>
          <w:tcPr>
            <w:tcW w:w="1250" w:type="pct"/>
            <w:vAlign w:val="bottom"/>
          </w:tcPr>
          <w:p w14:paraId="288D98DC" w14:textId="77777777" w:rsidR="00BE706B" w:rsidRPr="003516DC" w:rsidRDefault="00BE706B" w:rsidP="00964831">
            <w:pPr>
              <w:jc w:val="center"/>
              <w:rPr>
                <w:rFonts w:ascii="Arial" w:hAnsi="Arial" w:cs="Arial"/>
                <w:sz w:val="18"/>
                <w:szCs w:val="18"/>
              </w:rPr>
            </w:pPr>
            <w:r w:rsidRPr="003516DC">
              <w:rPr>
                <w:rFonts w:ascii="Arial" w:hAnsi="Arial" w:cs="Arial"/>
                <w:color w:val="000000"/>
                <w:sz w:val="18"/>
                <w:szCs w:val="18"/>
              </w:rPr>
              <w:t>59,077,839</w:t>
            </w:r>
          </w:p>
        </w:tc>
      </w:tr>
      <w:tr w:rsidR="00BE706B" w:rsidRPr="003516DC" w14:paraId="32A43C03" w14:textId="77777777" w:rsidTr="00A14E66">
        <w:tc>
          <w:tcPr>
            <w:tcW w:w="1250" w:type="pct"/>
            <w:vAlign w:val="bottom"/>
          </w:tcPr>
          <w:p w14:paraId="0D0BD41D" w14:textId="77777777" w:rsidR="00BE706B" w:rsidRPr="003516DC" w:rsidRDefault="00BE706B" w:rsidP="00964831">
            <w:pPr>
              <w:rPr>
                <w:rFonts w:ascii="Arial" w:hAnsi="Arial" w:cs="Arial"/>
                <w:sz w:val="18"/>
                <w:szCs w:val="18"/>
              </w:rPr>
            </w:pPr>
            <w:r w:rsidRPr="003516DC">
              <w:rPr>
                <w:rFonts w:ascii="Arial" w:hAnsi="Arial" w:cs="Arial"/>
                <w:b/>
                <w:bCs/>
                <w:color w:val="000000"/>
                <w:sz w:val="18"/>
                <w:szCs w:val="18"/>
              </w:rPr>
              <w:t>Total six counties</w:t>
            </w:r>
          </w:p>
        </w:tc>
        <w:tc>
          <w:tcPr>
            <w:tcW w:w="1250" w:type="pct"/>
            <w:vAlign w:val="bottom"/>
          </w:tcPr>
          <w:p w14:paraId="19D51EED" w14:textId="77777777" w:rsidR="00BE706B" w:rsidRPr="003516DC" w:rsidRDefault="00BE706B" w:rsidP="00964831">
            <w:pPr>
              <w:jc w:val="center"/>
              <w:rPr>
                <w:rFonts w:ascii="Arial" w:hAnsi="Arial" w:cs="Arial"/>
                <w:sz w:val="18"/>
                <w:szCs w:val="18"/>
              </w:rPr>
            </w:pPr>
            <w:r w:rsidRPr="003516DC">
              <w:rPr>
                <w:rFonts w:ascii="Arial" w:hAnsi="Arial" w:cs="Arial"/>
                <w:b/>
                <w:bCs/>
                <w:color w:val="000000"/>
                <w:sz w:val="18"/>
                <w:szCs w:val="18"/>
              </w:rPr>
              <w:t>142</w:t>
            </w:r>
          </w:p>
        </w:tc>
        <w:tc>
          <w:tcPr>
            <w:tcW w:w="1250" w:type="pct"/>
            <w:vAlign w:val="bottom"/>
          </w:tcPr>
          <w:p w14:paraId="20101B07" w14:textId="77777777" w:rsidR="00BE706B" w:rsidRPr="003516DC" w:rsidRDefault="00BE706B" w:rsidP="00964831">
            <w:pPr>
              <w:jc w:val="center"/>
              <w:rPr>
                <w:rFonts w:ascii="Arial" w:hAnsi="Arial" w:cs="Arial"/>
                <w:sz w:val="18"/>
                <w:szCs w:val="18"/>
              </w:rPr>
            </w:pPr>
            <w:r w:rsidRPr="003516DC">
              <w:rPr>
                <w:rFonts w:ascii="Arial" w:hAnsi="Arial" w:cs="Arial"/>
                <w:b/>
                <w:bCs/>
                <w:color w:val="000000"/>
                <w:sz w:val="18"/>
                <w:szCs w:val="18"/>
              </w:rPr>
              <w:t>17,306</w:t>
            </w:r>
          </w:p>
        </w:tc>
        <w:tc>
          <w:tcPr>
            <w:tcW w:w="1250" w:type="pct"/>
            <w:vAlign w:val="bottom"/>
          </w:tcPr>
          <w:p w14:paraId="24E9A679" w14:textId="77777777" w:rsidR="00BE706B" w:rsidRPr="003516DC" w:rsidRDefault="00BE706B" w:rsidP="00964831">
            <w:pPr>
              <w:jc w:val="center"/>
              <w:rPr>
                <w:rFonts w:ascii="Arial" w:hAnsi="Arial" w:cs="Arial"/>
                <w:sz w:val="18"/>
                <w:szCs w:val="18"/>
              </w:rPr>
            </w:pPr>
            <w:r w:rsidRPr="003516DC">
              <w:rPr>
                <w:rFonts w:ascii="Arial" w:hAnsi="Arial" w:cs="Arial"/>
                <w:b/>
                <w:bCs/>
                <w:color w:val="000000"/>
                <w:sz w:val="18"/>
                <w:szCs w:val="18"/>
              </w:rPr>
              <w:t>3,500,988,964</w:t>
            </w:r>
          </w:p>
        </w:tc>
      </w:tr>
    </w:tbl>
    <w:p w14:paraId="2BE5FE2A" w14:textId="1CDFFAA5" w:rsidR="00BE706B" w:rsidRPr="003516DC" w:rsidRDefault="00BE706B" w:rsidP="0057444A">
      <w:pPr>
        <w:spacing w:after="120"/>
        <w:rPr>
          <w:rFonts w:ascii="Arial" w:hAnsi="Arial" w:cs="Arial"/>
          <w:i/>
          <w:iCs/>
          <w:sz w:val="16"/>
          <w:szCs w:val="16"/>
        </w:rPr>
      </w:pPr>
      <w:r w:rsidRPr="003516DC">
        <w:rPr>
          <w:rFonts w:ascii="Arial" w:hAnsi="Arial" w:cs="Arial"/>
          <w:i/>
          <w:iCs/>
          <w:sz w:val="16"/>
          <w:szCs w:val="16"/>
        </w:rPr>
        <w:t>Source: Processing of National Trade Register Office data, NACE code 3511</w:t>
      </w:r>
    </w:p>
    <w:p w14:paraId="58CD151E" w14:textId="427C89CD" w:rsidR="005C2775" w:rsidRDefault="00BE706B" w:rsidP="00BE706B">
      <w:pPr>
        <w:jc w:val="both"/>
        <w:rPr>
          <w:rFonts w:ascii="Arial" w:hAnsi="Arial" w:cs="Arial"/>
          <w:sz w:val="20"/>
          <w:szCs w:val="20"/>
        </w:rPr>
      </w:pPr>
      <w:r w:rsidRPr="003516DC">
        <w:rPr>
          <w:rFonts w:ascii="Arial" w:hAnsi="Arial" w:cs="Arial"/>
          <w:sz w:val="20"/>
          <w:szCs w:val="20"/>
        </w:rPr>
        <w:t>Thus, there is a strong argument to be made for the development of new professions in Hunedoara and Gorj (electrician, solar panel installation and maintenance specialist, etc.) alongside investment in individual PV generation than can absorb these staff (given the technical background of workers in these counties). Investments in energy investments and heating–cooling, including building refurbishment, will also need additional staff to be trained in these areas, especially in Dolj, Hunedoara and Gorj. Surprisingly, for the size of the county, Dolj has very few employees in the industry of sanitary installations, heating and cooling works (667). By contrast, Galați (much smaller in size, economy and population) generates 50% more turnover in this sector and employees double the staff in Dolj, which are distributed across several companies. Prahova is arguably best positioned to invest productively in this area already has a large number of enterprises (over 300) active in this field, which generate over RON 300 m.</w:t>
      </w:r>
    </w:p>
    <w:bookmarkStart w:id="30" w:name="_Toc90725850"/>
    <w:p w14:paraId="7E176A6D" w14:textId="58C1D180" w:rsidR="005C2775" w:rsidRPr="00BD2604" w:rsidRDefault="00064D33" w:rsidP="00E42342">
      <w:pPr>
        <w:pStyle w:val="Heading2"/>
        <w:numPr>
          <w:ilvl w:val="0"/>
          <w:numId w:val="155"/>
        </w:numPr>
      </w:pPr>
      <w:r w:rsidRPr="00064D33">
        <w:rPr>
          <w:noProof/>
          <w:sz w:val="20"/>
          <w:szCs w:val="20"/>
          <w:lang w:val="en-US"/>
        </w:rPr>
        <mc:AlternateContent>
          <mc:Choice Requires="wps">
            <w:drawing>
              <wp:anchor distT="45720" distB="45720" distL="114300" distR="114300" simplePos="0" relativeHeight="251702272" behindDoc="0" locked="0" layoutInCell="1" allowOverlap="1" wp14:anchorId="7960547F" wp14:editId="5159054B">
                <wp:simplePos x="0" y="0"/>
                <wp:positionH relativeFrom="column">
                  <wp:posOffset>8890</wp:posOffset>
                </wp:positionH>
                <wp:positionV relativeFrom="paragraph">
                  <wp:posOffset>473075</wp:posOffset>
                </wp:positionV>
                <wp:extent cx="5705475" cy="1404620"/>
                <wp:effectExtent l="0" t="0" r="28575" b="254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404620"/>
                        </a:xfrm>
                        <a:prstGeom prst="rect">
                          <a:avLst/>
                        </a:prstGeom>
                        <a:solidFill>
                          <a:schemeClr val="accent1">
                            <a:lumMod val="20000"/>
                            <a:lumOff val="80000"/>
                          </a:schemeClr>
                        </a:solidFill>
                        <a:ln w="12700">
                          <a:solidFill>
                            <a:schemeClr val="accent1">
                              <a:lumMod val="75000"/>
                            </a:schemeClr>
                          </a:solidFill>
                          <a:miter lim="800000"/>
                          <a:headEnd/>
                          <a:tailEnd/>
                        </a:ln>
                      </wps:spPr>
                      <wps:txbx>
                        <w:txbxContent>
                          <w:p w14:paraId="24E1128A" w14:textId="661D368B" w:rsidR="00190BA4" w:rsidRPr="008231AD" w:rsidRDefault="00190BA4" w:rsidP="00AC376E">
                            <w:pPr>
                              <w:jc w:val="center"/>
                              <w:rPr>
                                <w:rFonts w:ascii="Arial" w:hAnsi="Arial" w:cs="Arial"/>
                                <w:b/>
                                <w:bCs/>
                                <w:sz w:val="20"/>
                                <w:szCs w:val="20"/>
                              </w:rPr>
                            </w:pPr>
                            <w:r w:rsidRPr="008231AD">
                              <w:rPr>
                                <w:rFonts w:ascii="Arial" w:hAnsi="Arial" w:cs="Arial"/>
                                <w:b/>
                                <w:bCs/>
                                <w:sz w:val="20"/>
                                <w:szCs w:val="20"/>
                              </w:rPr>
                              <w:t xml:space="preserve">According to the Regulation establishing the Just Transition Fund, where support is to be provided to investments to achieve the reduction of greenhouse gas emissions from activities listed in Annex I to Directive 2003/87/EC, a list of operations to be supported and a justification that they contribute to a transition to a climate-neutral economy and </w:t>
                            </w:r>
                            <w:r w:rsidRPr="008231AD">
                              <w:rPr>
                                <w:rFonts w:ascii="Arial" w:hAnsi="Arial" w:cs="Arial"/>
                                <w:b/>
                                <w:bCs/>
                                <w:sz w:val="20"/>
                                <w:szCs w:val="20"/>
                                <w:u w:val="single"/>
                              </w:rPr>
                              <w:t>lead to a substantial reduction in greenhouse gas emissions going substantially below the relevant benchmarks</w:t>
                            </w:r>
                            <w:r w:rsidRPr="008231AD">
                              <w:rPr>
                                <w:rFonts w:ascii="Arial" w:hAnsi="Arial" w:cs="Arial"/>
                                <w:b/>
                                <w:bCs/>
                                <w:sz w:val="20"/>
                                <w:szCs w:val="20"/>
                              </w:rPr>
                              <w:t xml:space="preserve"> established for free allocation under Directive 2003/87/EC </w:t>
                            </w:r>
                            <w:r w:rsidRPr="008231AD">
                              <w:rPr>
                                <w:rFonts w:ascii="Arial" w:hAnsi="Arial" w:cs="Arial"/>
                                <w:b/>
                                <w:bCs/>
                                <w:sz w:val="20"/>
                                <w:szCs w:val="20"/>
                                <w:u w:val="single"/>
                              </w:rPr>
                              <w:t>AND</w:t>
                            </w:r>
                            <w:r>
                              <w:rPr>
                                <w:rFonts w:ascii="Arial" w:hAnsi="Arial" w:cs="Arial"/>
                                <w:b/>
                                <w:bCs/>
                                <w:sz w:val="20"/>
                                <w:szCs w:val="20"/>
                                <w:u w:val="single"/>
                              </w:rPr>
                              <w:t xml:space="preserve"> SIMULTANEOUSLY</w:t>
                            </w:r>
                            <w:r w:rsidRPr="008231AD">
                              <w:rPr>
                                <w:rFonts w:ascii="Arial" w:hAnsi="Arial" w:cs="Arial"/>
                                <w:b/>
                                <w:bCs/>
                                <w:sz w:val="20"/>
                                <w:szCs w:val="20"/>
                              </w:rPr>
                              <w:t xml:space="preserve"> provided that these operations </w:t>
                            </w:r>
                            <w:r w:rsidRPr="008231AD">
                              <w:rPr>
                                <w:rFonts w:ascii="Arial" w:hAnsi="Arial" w:cs="Arial"/>
                                <w:b/>
                                <w:bCs/>
                                <w:sz w:val="20"/>
                                <w:szCs w:val="20"/>
                                <w:u w:val="single"/>
                              </w:rPr>
                              <w:t>are necessary for the protection of a significant number of jobs</w:t>
                            </w:r>
                            <w:r w:rsidRPr="008231AD">
                              <w:rPr>
                                <w:rFonts w:ascii="Arial" w:hAnsi="Arial" w:cs="Arial"/>
                                <w:b/>
                                <w:bCs/>
                                <w:sz w:val="20"/>
                                <w:szCs w:val="20"/>
                              </w:rPr>
                              <w:t xml:space="preserve"> should be included in the </w:t>
                            </w:r>
                            <w:r>
                              <w:rPr>
                                <w:rFonts w:ascii="Arial" w:hAnsi="Arial" w:cs="Arial"/>
                                <w:b/>
                                <w:bCs/>
                                <w:sz w:val="20"/>
                                <w:szCs w:val="20"/>
                              </w:rPr>
                              <w:t>T</w:t>
                            </w:r>
                            <w:r w:rsidRPr="008231AD">
                              <w:rPr>
                                <w:rFonts w:ascii="Arial" w:hAnsi="Arial" w:cs="Arial"/>
                                <w:b/>
                                <w:bCs/>
                                <w:sz w:val="20"/>
                                <w:szCs w:val="20"/>
                              </w:rPr>
                              <w:t xml:space="preserve">erritorial </w:t>
                            </w:r>
                            <w:r>
                              <w:rPr>
                                <w:rFonts w:ascii="Arial" w:hAnsi="Arial" w:cs="Arial"/>
                                <w:b/>
                                <w:bCs/>
                                <w:sz w:val="20"/>
                                <w:szCs w:val="20"/>
                              </w:rPr>
                              <w:t>J</w:t>
                            </w:r>
                            <w:r w:rsidRPr="008231AD">
                              <w:rPr>
                                <w:rFonts w:ascii="Arial" w:hAnsi="Arial" w:cs="Arial"/>
                                <w:b/>
                                <w:bCs/>
                                <w:sz w:val="20"/>
                                <w:szCs w:val="20"/>
                              </w:rPr>
                              <w:t xml:space="preserve">ust </w:t>
                            </w:r>
                            <w:r>
                              <w:rPr>
                                <w:rFonts w:ascii="Arial" w:hAnsi="Arial" w:cs="Arial"/>
                                <w:b/>
                                <w:bCs/>
                                <w:sz w:val="20"/>
                                <w:szCs w:val="20"/>
                              </w:rPr>
                              <w:t>T</w:t>
                            </w:r>
                            <w:r w:rsidRPr="008231AD">
                              <w:rPr>
                                <w:rFonts w:ascii="Arial" w:hAnsi="Arial" w:cs="Arial"/>
                                <w:b/>
                                <w:bCs/>
                                <w:sz w:val="20"/>
                                <w:szCs w:val="20"/>
                              </w:rPr>
                              <w:t xml:space="preserve">ransition </w:t>
                            </w:r>
                            <w:r>
                              <w:rPr>
                                <w:rFonts w:ascii="Arial" w:hAnsi="Arial" w:cs="Arial"/>
                                <w:b/>
                                <w:bCs/>
                                <w:sz w:val="20"/>
                                <w:szCs w:val="20"/>
                              </w:rPr>
                              <w:t>P</w:t>
                            </w:r>
                            <w:r w:rsidRPr="008231AD">
                              <w:rPr>
                                <w:rFonts w:ascii="Arial" w:hAnsi="Arial" w:cs="Arial"/>
                                <w:b/>
                                <w:bCs/>
                                <w:sz w:val="20"/>
                                <w:szCs w:val="20"/>
                              </w:rPr>
                              <w:t>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60547F" id="Text Box 2" o:spid="_x0000_s1027" type="#_x0000_t202" style="position:absolute;left:0;text-align:left;margin-left:.7pt;margin-top:37.25pt;width:449.25pt;height:110.6pt;z-index:251702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" fillcolor="#dbe5f1 [660]" strokecolor="#365f91 [2404]" strokeweight="1pt">
                <v:textbox style="mso-fit-shape-to-text:t">
                  <w:txbxContent>
                    <w:p w14:paraId="24E1128A" w14:textId="661D368B" w:rsidR="00190BA4" w:rsidRPr="008231AD" w:rsidRDefault="00190BA4" w:rsidP="00AC376E">
                      <w:pPr>
                        <w:jc w:val="center"/>
                        <w:rPr>
                          <w:rFonts w:ascii="Arial" w:hAnsi="Arial" w:cs="Arial"/>
                          <w:b/>
                          <w:bCs/>
                          <w:sz w:val="20"/>
                          <w:szCs w:val="20"/>
                        </w:rPr>
                      </w:pPr>
                      <w:r w:rsidRPr="008231AD">
                        <w:rPr>
                          <w:rFonts w:ascii="Arial" w:hAnsi="Arial" w:cs="Arial"/>
                          <w:b/>
                          <w:bCs/>
                          <w:sz w:val="20"/>
                          <w:szCs w:val="20"/>
                        </w:rPr>
                        <w:t xml:space="preserve">According to the Regulation establishing the Just Transition Fund, where support is to be provided to investments to achieve the reduction of greenhouse gas emissions from activities listed in Annex I to Directive 2003/87/EC, a list of operations to be supported and a justification that they contribute to a transition to a climate-neutral economy and </w:t>
                      </w:r>
                      <w:r w:rsidRPr="008231AD">
                        <w:rPr>
                          <w:rFonts w:ascii="Arial" w:hAnsi="Arial" w:cs="Arial"/>
                          <w:b/>
                          <w:bCs/>
                          <w:sz w:val="20"/>
                          <w:szCs w:val="20"/>
                          <w:u w:val="single"/>
                        </w:rPr>
                        <w:t>lead to a substantial reduction in greenhouse gas emissions going substantially below the relevant benchmarks</w:t>
                      </w:r>
                      <w:r w:rsidRPr="008231AD">
                        <w:rPr>
                          <w:rFonts w:ascii="Arial" w:hAnsi="Arial" w:cs="Arial"/>
                          <w:b/>
                          <w:bCs/>
                          <w:sz w:val="20"/>
                          <w:szCs w:val="20"/>
                        </w:rPr>
                        <w:t xml:space="preserve"> established for free allocation under Directive 2003/87/EC </w:t>
                      </w:r>
                      <w:r w:rsidRPr="008231AD">
                        <w:rPr>
                          <w:rFonts w:ascii="Arial" w:hAnsi="Arial" w:cs="Arial"/>
                          <w:b/>
                          <w:bCs/>
                          <w:sz w:val="20"/>
                          <w:szCs w:val="20"/>
                          <w:u w:val="single"/>
                        </w:rPr>
                        <w:t>AND</w:t>
                      </w:r>
                      <w:r>
                        <w:rPr>
                          <w:rFonts w:ascii="Arial" w:hAnsi="Arial" w:cs="Arial"/>
                          <w:b/>
                          <w:bCs/>
                          <w:sz w:val="20"/>
                          <w:szCs w:val="20"/>
                          <w:u w:val="single"/>
                        </w:rPr>
                        <w:t xml:space="preserve"> SIMULTANEOUSLY</w:t>
                      </w:r>
                      <w:r w:rsidRPr="008231AD">
                        <w:rPr>
                          <w:rFonts w:ascii="Arial" w:hAnsi="Arial" w:cs="Arial"/>
                          <w:b/>
                          <w:bCs/>
                          <w:sz w:val="20"/>
                          <w:szCs w:val="20"/>
                        </w:rPr>
                        <w:t xml:space="preserve"> provided that these operations </w:t>
                      </w:r>
                      <w:r w:rsidRPr="008231AD">
                        <w:rPr>
                          <w:rFonts w:ascii="Arial" w:hAnsi="Arial" w:cs="Arial"/>
                          <w:b/>
                          <w:bCs/>
                          <w:sz w:val="20"/>
                          <w:szCs w:val="20"/>
                          <w:u w:val="single"/>
                        </w:rPr>
                        <w:t>are necessary for the protection of a significant number of jobs</w:t>
                      </w:r>
                      <w:r w:rsidRPr="008231AD">
                        <w:rPr>
                          <w:rFonts w:ascii="Arial" w:hAnsi="Arial" w:cs="Arial"/>
                          <w:b/>
                          <w:bCs/>
                          <w:sz w:val="20"/>
                          <w:szCs w:val="20"/>
                        </w:rPr>
                        <w:t xml:space="preserve"> should be included in the </w:t>
                      </w:r>
                      <w:r>
                        <w:rPr>
                          <w:rFonts w:ascii="Arial" w:hAnsi="Arial" w:cs="Arial"/>
                          <w:b/>
                          <w:bCs/>
                          <w:sz w:val="20"/>
                          <w:szCs w:val="20"/>
                        </w:rPr>
                        <w:t>T</w:t>
                      </w:r>
                      <w:r w:rsidRPr="008231AD">
                        <w:rPr>
                          <w:rFonts w:ascii="Arial" w:hAnsi="Arial" w:cs="Arial"/>
                          <w:b/>
                          <w:bCs/>
                          <w:sz w:val="20"/>
                          <w:szCs w:val="20"/>
                        </w:rPr>
                        <w:t xml:space="preserve">erritorial </w:t>
                      </w:r>
                      <w:r>
                        <w:rPr>
                          <w:rFonts w:ascii="Arial" w:hAnsi="Arial" w:cs="Arial"/>
                          <w:b/>
                          <w:bCs/>
                          <w:sz w:val="20"/>
                          <w:szCs w:val="20"/>
                        </w:rPr>
                        <w:t>J</w:t>
                      </w:r>
                      <w:r w:rsidRPr="008231AD">
                        <w:rPr>
                          <w:rFonts w:ascii="Arial" w:hAnsi="Arial" w:cs="Arial"/>
                          <w:b/>
                          <w:bCs/>
                          <w:sz w:val="20"/>
                          <w:szCs w:val="20"/>
                        </w:rPr>
                        <w:t xml:space="preserve">ust </w:t>
                      </w:r>
                      <w:r>
                        <w:rPr>
                          <w:rFonts w:ascii="Arial" w:hAnsi="Arial" w:cs="Arial"/>
                          <w:b/>
                          <w:bCs/>
                          <w:sz w:val="20"/>
                          <w:szCs w:val="20"/>
                        </w:rPr>
                        <w:t>T</w:t>
                      </w:r>
                      <w:r w:rsidRPr="008231AD">
                        <w:rPr>
                          <w:rFonts w:ascii="Arial" w:hAnsi="Arial" w:cs="Arial"/>
                          <w:b/>
                          <w:bCs/>
                          <w:sz w:val="20"/>
                          <w:szCs w:val="20"/>
                        </w:rPr>
                        <w:t xml:space="preserve">ransition </w:t>
                      </w:r>
                      <w:r>
                        <w:rPr>
                          <w:rFonts w:ascii="Arial" w:hAnsi="Arial" w:cs="Arial"/>
                          <w:b/>
                          <w:bCs/>
                          <w:sz w:val="20"/>
                          <w:szCs w:val="20"/>
                        </w:rPr>
                        <w:t>P</w:t>
                      </w:r>
                      <w:r w:rsidRPr="008231AD">
                        <w:rPr>
                          <w:rFonts w:ascii="Arial" w:hAnsi="Arial" w:cs="Arial"/>
                          <w:b/>
                          <w:bCs/>
                          <w:sz w:val="20"/>
                          <w:szCs w:val="20"/>
                        </w:rPr>
                        <w:t>lan.</w:t>
                      </w:r>
                    </w:p>
                  </w:txbxContent>
                </v:textbox>
                <w10:wrap type="square"/>
              </v:shape>
            </w:pict>
          </mc:Fallback>
        </mc:AlternateContent>
      </w:r>
      <w:r w:rsidR="005C2775" w:rsidRPr="00BD2604">
        <w:t>ETS support potential in the framework of the JTF</w:t>
      </w:r>
      <w:bookmarkEnd w:id="30"/>
    </w:p>
    <w:p w14:paraId="29E66C2F" w14:textId="24958E5A" w:rsidR="005C2775" w:rsidRPr="003516DC" w:rsidRDefault="005C2775" w:rsidP="0057444A">
      <w:pPr>
        <w:spacing w:after="120"/>
        <w:jc w:val="both"/>
        <w:rPr>
          <w:rFonts w:ascii="Arial" w:hAnsi="Arial" w:cs="Arial"/>
          <w:sz w:val="20"/>
          <w:szCs w:val="20"/>
        </w:rPr>
      </w:pPr>
      <w:r w:rsidRPr="003516DC">
        <w:rPr>
          <w:rFonts w:ascii="Arial" w:hAnsi="Arial" w:cs="Arial"/>
          <w:sz w:val="20"/>
          <w:szCs w:val="20"/>
        </w:rPr>
        <w:t xml:space="preserve">Public finance and public guarantees play a crucial role in the energy transition as they </w:t>
      </w:r>
      <w:r w:rsidR="0046018D">
        <w:rPr>
          <w:rFonts w:ascii="Arial" w:hAnsi="Arial" w:cs="Arial"/>
          <w:sz w:val="20"/>
          <w:szCs w:val="20"/>
        </w:rPr>
        <w:t>reduce</w:t>
      </w:r>
      <w:r w:rsidRPr="003516DC">
        <w:rPr>
          <w:rFonts w:ascii="Arial" w:hAnsi="Arial" w:cs="Arial"/>
          <w:sz w:val="20"/>
          <w:szCs w:val="20"/>
        </w:rPr>
        <w:t xml:space="preserve"> investment and operational costs</w:t>
      </w:r>
      <w:r w:rsidR="00402580">
        <w:rPr>
          <w:rFonts w:ascii="Arial" w:hAnsi="Arial" w:cs="Arial"/>
          <w:sz w:val="20"/>
          <w:szCs w:val="20"/>
        </w:rPr>
        <w:t xml:space="preserve"> </w:t>
      </w:r>
      <w:r w:rsidRPr="003516DC">
        <w:rPr>
          <w:rFonts w:ascii="Arial" w:hAnsi="Arial" w:cs="Arial"/>
          <w:sz w:val="20"/>
          <w:szCs w:val="20"/>
        </w:rPr>
        <w:t xml:space="preserve">borne by investors. The energy transition is capital intensive and requires policy frameworks that can mitigate risks associated with long </w:t>
      </w:r>
      <w:r w:rsidR="003B6D4C">
        <w:rPr>
          <w:rFonts w:ascii="Arial" w:hAnsi="Arial" w:cs="Arial"/>
          <w:sz w:val="20"/>
          <w:szCs w:val="20"/>
        </w:rPr>
        <w:t>durations</w:t>
      </w:r>
      <w:r w:rsidRPr="003516DC">
        <w:rPr>
          <w:rFonts w:ascii="Arial" w:hAnsi="Arial" w:cs="Arial"/>
          <w:sz w:val="20"/>
          <w:szCs w:val="20"/>
        </w:rPr>
        <w:t xml:space="preserve">. </w:t>
      </w:r>
    </w:p>
    <w:p w14:paraId="78A153F3" w14:textId="64F730E3" w:rsidR="005C2775" w:rsidRPr="003516DC" w:rsidRDefault="005C2775" w:rsidP="0057444A">
      <w:pPr>
        <w:spacing w:after="120"/>
        <w:jc w:val="both"/>
        <w:rPr>
          <w:rFonts w:ascii="Arial" w:hAnsi="Arial" w:cs="Arial"/>
          <w:sz w:val="20"/>
          <w:szCs w:val="20"/>
        </w:rPr>
      </w:pPr>
      <w:r w:rsidRPr="003516DC">
        <w:rPr>
          <w:rFonts w:ascii="Arial" w:hAnsi="Arial" w:cs="Arial"/>
          <w:sz w:val="20"/>
          <w:szCs w:val="20"/>
        </w:rPr>
        <w:t>Policies such as Contract-for-Difference</w:t>
      </w:r>
      <w:r w:rsidR="003B6D4C" w:rsidRPr="003516DC">
        <w:rPr>
          <w:rFonts w:ascii="Arial" w:hAnsi="Arial" w:cs="Arial"/>
          <w:sz w:val="20"/>
          <w:szCs w:val="20"/>
        </w:rPr>
        <w:t xml:space="preserve"> (CfD)</w:t>
      </w:r>
      <w:r w:rsidRPr="003516DC">
        <w:rPr>
          <w:rFonts w:ascii="Arial" w:hAnsi="Arial" w:cs="Arial"/>
          <w:sz w:val="20"/>
          <w:szCs w:val="20"/>
        </w:rPr>
        <w:t xml:space="preserve"> where a certain level of revenues are guaranteed for a technology have had tremendous success in de-risking and reducing the cost of zero carbon technologies such as offshore wind, most notably in the United Kingdom. Most recently, Germany </w:t>
      </w:r>
      <w:r w:rsidR="003B6D4C">
        <w:rPr>
          <w:rFonts w:ascii="Arial" w:hAnsi="Arial" w:cs="Arial"/>
          <w:sz w:val="20"/>
          <w:szCs w:val="20"/>
        </w:rPr>
        <w:t xml:space="preserve">has started to </w:t>
      </w:r>
      <w:r w:rsidRPr="003516DC">
        <w:rPr>
          <w:rFonts w:ascii="Arial" w:hAnsi="Arial" w:cs="Arial"/>
          <w:sz w:val="20"/>
          <w:szCs w:val="20"/>
        </w:rPr>
        <w:t>evaluate the merits of</w:t>
      </w:r>
      <w:r w:rsidR="003B6D4C">
        <w:rPr>
          <w:rFonts w:ascii="Arial" w:hAnsi="Arial" w:cs="Arial"/>
          <w:sz w:val="20"/>
          <w:szCs w:val="20"/>
        </w:rPr>
        <w:t xml:space="preserve"> CFD</w:t>
      </w:r>
      <w:r w:rsidRPr="003516DC">
        <w:rPr>
          <w:rFonts w:ascii="Arial" w:hAnsi="Arial" w:cs="Arial"/>
          <w:sz w:val="20"/>
          <w:szCs w:val="20"/>
        </w:rPr>
        <w:t xml:space="preserve"> for industr</w:t>
      </w:r>
      <w:r w:rsidR="003B6D4C">
        <w:rPr>
          <w:rFonts w:ascii="Arial" w:hAnsi="Arial" w:cs="Arial"/>
          <w:sz w:val="20"/>
          <w:szCs w:val="20"/>
        </w:rPr>
        <w:t>ies</w:t>
      </w:r>
      <w:r w:rsidRPr="003516DC">
        <w:rPr>
          <w:rFonts w:ascii="Arial" w:hAnsi="Arial" w:cs="Arial"/>
          <w:sz w:val="20"/>
          <w:szCs w:val="20"/>
        </w:rPr>
        <w:t xml:space="preserve"> exposed to ETS prices, such as cement and steel among others. </w:t>
      </w:r>
      <w:r w:rsidR="003B6D4C">
        <w:rPr>
          <w:rFonts w:ascii="Arial" w:hAnsi="Arial" w:cs="Arial"/>
          <w:sz w:val="20"/>
          <w:szCs w:val="20"/>
        </w:rPr>
        <w:t xml:space="preserve"> </w:t>
      </w:r>
    </w:p>
    <w:p w14:paraId="0F4452EB" w14:textId="7A1B5E8F" w:rsidR="005C2775" w:rsidRPr="003516DC" w:rsidRDefault="005C2775" w:rsidP="0057444A">
      <w:pPr>
        <w:spacing w:after="120"/>
        <w:jc w:val="both"/>
        <w:rPr>
          <w:rFonts w:ascii="Arial" w:hAnsi="Arial" w:cs="Arial"/>
          <w:sz w:val="20"/>
          <w:szCs w:val="20"/>
        </w:rPr>
      </w:pPr>
      <w:r w:rsidRPr="003516DC">
        <w:rPr>
          <w:rFonts w:ascii="Arial" w:hAnsi="Arial" w:cs="Arial"/>
          <w:sz w:val="20"/>
          <w:szCs w:val="20"/>
        </w:rPr>
        <w:t>Under the scheme, capital investments in technologies that reduce CO</w:t>
      </w:r>
      <w:r w:rsidRPr="00402580">
        <w:rPr>
          <w:rFonts w:ascii="Arial" w:hAnsi="Arial" w:cs="Arial"/>
          <w:sz w:val="20"/>
          <w:szCs w:val="20"/>
          <w:vertAlign w:val="subscript"/>
        </w:rPr>
        <w:t>2</w:t>
      </w:r>
      <w:r w:rsidRPr="003516DC">
        <w:rPr>
          <w:rFonts w:ascii="Arial" w:hAnsi="Arial" w:cs="Arial"/>
          <w:sz w:val="20"/>
          <w:szCs w:val="20"/>
        </w:rPr>
        <w:t xml:space="preserve"> emissions receive a guaranteed income to offset the reduced competitiveness from high capital investments based on </w:t>
      </w:r>
      <w:r w:rsidR="003B6D4C">
        <w:rPr>
          <w:rFonts w:ascii="Arial" w:hAnsi="Arial" w:cs="Arial"/>
          <w:sz w:val="20"/>
          <w:szCs w:val="20"/>
        </w:rPr>
        <w:t>abated</w:t>
      </w:r>
      <w:r w:rsidRPr="003516DC">
        <w:rPr>
          <w:rFonts w:ascii="Arial" w:hAnsi="Arial" w:cs="Arial"/>
          <w:sz w:val="20"/>
          <w:szCs w:val="20"/>
        </w:rPr>
        <w:t xml:space="preserve"> CO</w:t>
      </w:r>
      <w:r w:rsidRPr="00402580">
        <w:rPr>
          <w:rFonts w:ascii="Arial" w:hAnsi="Arial" w:cs="Arial"/>
          <w:sz w:val="20"/>
          <w:szCs w:val="20"/>
          <w:vertAlign w:val="subscript"/>
        </w:rPr>
        <w:t>2</w:t>
      </w:r>
      <w:r w:rsidRPr="003516DC">
        <w:rPr>
          <w:rFonts w:ascii="Arial" w:hAnsi="Arial" w:cs="Arial"/>
          <w:sz w:val="20"/>
          <w:szCs w:val="20"/>
        </w:rPr>
        <w:t xml:space="preserve"> emissions. The scheme can certainly play a role in </w:t>
      </w:r>
      <w:r w:rsidR="003B6D4C">
        <w:rPr>
          <w:rFonts w:ascii="Arial" w:hAnsi="Arial" w:cs="Arial"/>
          <w:sz w:val="20"/>
          <w:szCs w:val="20"/>
        </w:rPr>
        <w:t xml:space="preserve">the </w:t>
      </w:r>
      <w:r w:rsidRPr="003516DC">
        <w:rPr>
          <w:rFonts w:ascii="Arial" w:hAnsi="Arial" w:cs="Arial"/>
          <w:sz w:val="20"/>
          <w:szCs w:val="20"/>
        </w:rPr>
        <w:t>decarboni</w:t>
      </w:r>
      <w:r w:rsidR="003B6D4C">
        <w:rPr>
          <w:rFonts w:ascii="Arial" w:hAnsi="Arial" w:cs="Arial"/>
          <w:sz w:val="20"/>
          <w:szCs w:val="20"/>
        </w:rPr>
        <w:t>s</w:t>
      </w:r>
      <w:r w:rsidRPr="003516DC">
        <w:rPr>
          <w:rFonts w:ascii="Arial" w:hAnsi="Arial" w:cs="Arial"/>
          <w:sz w:val="20"/>
          <w:szCs w:val="20"/>
        </w:rPr>
        <w:t>ation sectors such as steel and can qualify for JTF funds given the high reduction of CO</w:t>
      </w:r>
      <w:r w:rsidRPr="00402580">
        <w:rPr>
          <w:rFonts w:ascii="Arial" w:hAnsi="Arial" w:cs="Arial"/>
          <w:sz w:val="20"/>
          <w:szCs w:val="20"/>
          <w:vertAlign w:val="subscript"/>
        </w:rPr>
        <w:t>2</w:t>
      </w:r>
      <w:r w:rsidRPr="003516DC">
        <w:rPr>
          <w:rFonts w:ascii="Arial" w:hAnsi="Arial" w:cs="Arial"/>
          <w:sz w:val="20"/>
          <w:szCs w:val="20"/>
        </w:rPr>
        <w:t xml:space="preserve"> emissions of the new technologies. </w:t>
      </w:r>
    </w:p>
    <w:p w14:paraId="36FDB249" w14:textId="07079BF3" w:rsidR="005C2775" w:rsidRPr="0057444A" w:rsidRDefault="003B6D4C" w:rsidP="0057444A">
      <w:pPr>
        <w:spacing w:after="120"/>
        <w:jc w:val="both"/>
        <w:rPr>
          <w:rFonts w:ascii="Arial" w:hAnsi="Arial" w:cs="Arial"/>
          <w:sz w:val="18"/>
          <w:szCs w:val="18"/>
        </w:rPr>
      </w:pPr>
      <w:r>
        <w:rPr>
          <w:rFonts w:ascii="Arial" w:hAnsi="Arial" w:cs="Arial"/>
          <w:sz w:val="20"/>
          <w:szCs w:val="20"/>
        </w:rPr>
        <w:t>Nevertheless</w:t>
      </w:r>
      <w:r w:rsidR="005C2775" w:rsidRPr="003516DC">
        <w:rPr>
          <w:rFonts w:ascii="Arial" w:hAnsi="Arial" w:cs="Arial"/>
          <w:sz w:val="20"/>
          <w:szCs w:val="20"/>
        </w:rPr>
        <w:t>, the transaction costs of such schemes</w:t>
      </w:r>
      <w:r>
        <w:rPr>
          <w:rFonts w:ascii="Arial" w:hAnsi="Arial" w:cs="Arial"/>
          <w:sz w:val="20"/>
          <w:szCs w:val="20"/>
        </w:rPr>
        <w:t>,</w:t>
      </w:r>
      <w:r w:rsidR="005C2775" w:rsidRPr="003516DC">
        <w:rPr>
          <w:rFonts w:ascii="Arial" w:hAnsi="Arial" w:cs="Arial"/>
          <w:sz w:val="20"/>
          <w:szCs w:val="20"/>
        </w:rPr>
        <w:t xml:space="preserve"> including administrative costs and compliance verification</w:t>
      </w:r>
      <w:r>
        <w:rPr>
          <w:rFonts w:ascii="Arial" w:hAnsi="Arial" w:cs="Arial"/>
          <w:sz w:val="20"/>
          <w:szCs w:val="20"/>
        </w:rPr>
        <w:t>,</w:t>
      </w:r>
      <w:r w:rsidR="005C2775" w:rsidRPr="003516DC">
        <w:rPr>
          <w:rFonts w:ascii="Arial" w:hAnsi="Arial" w:cs="Arial"/>
          <w:sz w:val="20"/>
          <w:szCs w:val="20"/>
        </w:rPr>
        <w:t xml:space="preserve"> are much more significant than CfD</w:t>
      </w:r>
      <w:r>
        <w:rPr>
          <w:rFonts w:ascii="Arial" w:hAnsi="Arial" w:cs="Arial"/>
          <w:sz w:val="20"/>
          <w:szCs w:val="20"/>
        </w:rPr>
        <w:t>s</w:t>
      </w:r>
      <w:r w:rsidR="005C2775" w:rsidRPr="003516DC">
        <w:rPr>
          <w:rFonts w:ascii="Arial" w:hAnsi="Arial" w:cs="Arial"/>
          <w:sz w:val="20"/>
          <w:szCs w:val="20"/>
        </w:rPr>
        <w:t xml:space="preserve"> for renewable energy projects where the spot power price and the guaranteed price were of concern to the parties involved. The CfDs for industry are more technically challenging and require high administrative capital to implement. Pilot schemes can be tried in Romania with smaller installations to better understand how such schemes </w:t>
      </w:r>
      <w:r>
        <w:rPr>
          <w:rFonts w:ascii="Arial" w:hAnsi="Arial" w:cs="Arial"/>
          <w:sz w:val="20"/>
          <w:szCs w:val="20"/>
        </w:rPr>
        <w:t>could</w:t>
      </w:r>
      <w:r w:rsidR="005C2775" w:rsidRPr="003516DC">
        <w:rPr>
          <w:rFonts w:ascii="Arial" w:hAnsi="Arial" w:cs="Arial"/>
          <w:sz w:val="20"/>
          <w:szCs w:val="20"/>
        </w:rPr>
        <w:t xml:space="preserve"> work in Romania. Furthermore, Romania will most likely adopt a CfD scheme to support the development of new renewable energy projects</w:t>
      </w:r>
      <w:r>
        <w:rPr>
          <w:rFonts w:ascii="Arial" w:hAnsi="Arial" w:cs="Arial"/>
          <w:sz w:val="20"/>
          <w:szCs w:val="20"/>
        </w:rPr>
        <w:t>;</w:t>
      </w:r>
      <w:r w:rsidR="005C2775" w:rsidRPr="003516DC">
        <w:rPr>
          <w:rFonts w:ascii="Arial" w:hAnsi="Arial" w:cs="Arial"/>
          <w:sz w:val="20"/>
          <w:szCs w:val="20"/>
        </w:rPr>
        <w:t xml:space="preserve"> an additional scheme for industry could be managed by the same entity.</w:t>
      </w:r>
    </w:p>
    <w:p w14:paraId="642301F8" w14:textId="61387E48" w:rsidR="004B6689" w:rsidRDefault="005C2775" w:rsidP="00110B0D">
      <w:pPr>
        <w:spacing w:after="120"/>
        <w:jc w:val="both"/>
        <w:rPr>
          <w:rFonts w:ascii="Arial" w:hAnsi="Arial" w:cs="Arial"/>
          <w:sz w:val="20"/>
          <w:szCs w:val="20"/>
        </w:rPr>
      </w:pPr>
      <w:r w:rsidRPr="003516DC">
        <w:rPr>
          <w:rFonts w:ascii="Arial" w:hAnsi="Arial" w:cs="Arial"/>
          <w:sz w:val="20"/>
          <w:szCs w:val="20"/>
        </w:rPr>
        <w:lastRenderedPageBreak/>
        <w:t>Romania’s verified CO</w:t>
      </w:r>
      <w:r w:rsidRPr="00402580">
        <w:rPr>
          <w:rFonts w:ascii="Arial" w:hAnsi="Arial" w:cs="Arial"/>
          <w:sz w:val="20"/>
          <w:szCs w:val="20"/>
          <w:vertAlign w:val="subscript"/>
        </w:rPr>
        <w:t>2</w:t>
      </w:r>
      <w:r w:rsidRPr="003516DC">
        <w:rPr>
          <w:rFonts w:ascii="Arial" w:hAnsi="Arial" w:cs="Arial"/>
          <w:sz w:val="20"/>
          <w:szCs w:val="20"/>
        </w:rPr>
        <w:t xml:space="preserve"> emissions from stationary installations declined from 69.6 m tonnes of CO</w:t>
      </w:r>
      <w:r w:rsidRPr="00402580">
        <w:rPr>
          <w:rFonts w:ascii="Arial" w:hAnsi="Arial" w:cs="Arial"/>
          <w:sz w:val="20"/>
          <w:szCs w:val="20"/>
          <w:vertAlign w:val="subscript"/>
        </w:rPr>
        <w:t>2</w:t>
      </w:r>
      <w:r w:rsidRPr="003516DC">
        <w:rPr>
          <w:rFonts w:ascii="Arial" w:hAnsi="Arial" w:cs="Arial"/>
          <w:sz w:val="20"/>
          <w:szCs w:val="20"/>
        </w:rPr>
        <w:t xml:space="preserve"> in 2007 to 36.5 m tonnes of CO</w:t>
      </w:r>
      <w:r w:rsidRPr="00402580">
        <w:rPr>
          <w:rFonts w:ascii="Arial" w:hAnsi="Arial" w:cs="Arial"/>
          <w:sz w:val="20"/>
          <w:szCs w:val="20"/>
          <w:vertAlign w:val="subscript"/>
        </w:rPr>
        <w:t>2</w:t>
      </w:r>
      <w:r w:rsidRPr="003516DC">
        <w:rPr>
          <w:rFonts w:ascii="Arial" w:hAnsi="Arial" w:cs="Arial"/>
          <w:sz w:val="20"/>
          <w:szCs w:val="20"/>
        </w:rPr>
        <w:t xml:space="preserve"> in 2019 (see Graph </w:t>
      </w:r>
      <w:r w:rsidR="0064139C">
        <w:rPr>
          <w:rFonts w:ascii="Arial" w:hAnsi="Arial" w:cs="Arial"/>
          <w:sz w:val="20"/>
          <w:szCs w:val="20"/>
        </w:rPr>
        <w:t>6</w:t>
      </w:r>
      <w:r w:rsidRPr="003516DC">
        <w:rPr>
          <w:rFonts w:ascii="Arial" w:hAnsi="Arial" w:cs="Arial"/>
          <w:sz w:val="20"/>
          <w:szCs w:val="20"/>
        </w:rPr>
        <w:t xml:space="preserve">), a decrease of 48%. The decline is primarily explained by the economic transition from a heavy industry-based economy to a service-oriented economy, the financial crisis of 2008-2009, and the addition of 3.3 GW of onshore wind and 1.1 GW of solar PV to the electricity mix. </w:t>
      </w:r>
    </w:p>
    <w:p w14:paraId="3FEBBAE6" w14:textId="58F666EA" w:rsidR="005C2775" w:rsidRPr="003516DC" w:rsidRDefault="005C2775" w:rsidP="005C2775">
      <w:pPr>
        <w:pStyle w:val="Caption"/>
        <w:keepNext w:val="0"/>
        <w:widowControl w:val="0"/>
        <w:spacing w:before="120" w:after="0"/>
      </w:pPr>
      <w:bookmarkStart w:id="31" w:name="_Toc90727342"/>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6</w:t>
      </w:r>
      <w:r w:rsidRPr="003516DC">
        <w:rPr>
          <w:noProof/>
        </w:rPr>
        <w:fldChar w:fldCharType="end"/>
      </w:r>
      <w:r w:rsidRPr="003516DC">
        <w:t>: Historical emissions of CO</w:t>
      </w:r>
      <w:r w:rsidRPr="00782BFD">
        <w:rPr>
          <w:vertAlign w:val="subscript"/>
        </w:rPr>
        <w:t>2</w:t>
      </w:r>
      <w:r w:rsidRPr="003516DC">
        <w:t xml:space="preserve"> in Romania covered by ETS</w:t>
      </w:r>
      <w:bookmarkEnd w:id="31"/>
    </w:p>
    <w:p w14:paraId="516DE69D" w14:textId="77777777" w:rsidR="005C2775" w:rsidRPr="003516DC" w:rsidRDefault="005C2775" w:rsidP="005C2775">
      <w:pPr>
        <w:jc w:val="both"/>
        <w:rPr>
          <w:rFonts w:ascii="Arial" w:hAnsi="Arial" w:cs="Arial"/>
          <w:b/>
          <w:bCs/>
          <w:sz w:val="18"/>
          <w:szCs w:val="18"/>
        </w:rPr>
      </w:pPr>
      <w:r w:rsidRPr="003516DC">
        <w:rPr>
          <w:rFonts w:ascii="Arial" w:hAnsi="Arial" w:cs="Arial"/>
          <w:noProof/>
          <w:lang w:val="en-US" w:eastAsia="en-US"/>
        </w:rPr>
        <w:drawing>
          <wp:inline distT="0" distB="0" distL="0" distR="0" wp14:anchorId="5A115A19" wp14:editId="66BA60CC">
            <wp:extent cx="5676942" cy="2298700"/>
            <wp:effectExtent l="0" t="0" r="0" b="6350"/>
            <wp:docPr id="201" name="Pictur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88448" cy="2303359"/>
                    </a:xfrm>
                    <a:prstGeom prst="rect">
                      <a:avLst/>
                    </a:prstGeom>
                  </pic:spPr>
                </pic:pic>
              </a:graphicData>
            </a:graphic>
          </wp:inline>
        </w:drawing>
      </w:r>
    </w:p>
    <w:p w14:paraId="003505CE" w14:textId="77777777" w:rsidR="005C2775" w:rsidRPr="003516DC" w:rsidRDefault="005C2775" w:rsidP="0057444A">
      <w:pPr>
        <w:spacing w:after="120"/>
        <w:jc w:val="both"/>
        <w:rPr>
          <w:rFonts w:ascii="Arial" w:hAnsi="Arial" w:cs="Arial"/>
          <w:i/>
          <w:iCs/>
          <w:sz w:val="16"/>
          <w:szCs w:val="16"/>
        </w:rPr>
      </w:pPr>
      <w:r w:rsidRPr="003516DC">
        <w:rPr>
          <w:rFonts w:ascii="Arial" w:hAnsi="Arial" w:cs="Arial"/>
          <w:i/>
          <w:iCs/>
          <w:sz w:val="16"/>
          <w:szCs w:val="16"/>
        </w:rPr>
        <w:t>Source: European Environment Agency</w:t>
      </w:r>
    </w:p>
    <w:p w14:paraId="68EB02E0" w14:textId="416A53F1" w:rsidR="00691A1B" w:rsidRDefault="005C2775" w:rsidP="0057444A">
      <w:pPr>
        <w:pStyle w:val="Caption"/>
        <w:spacing w:before="120"/>
        <w:ind w:left="0" w:firstLine="0"/>
        <w:jc w:val="both"/>
        <w:rPr>
          <w:b w:val="0"/>
          <w:color w:val="auto"/>
        </w:rPr>
      </w:pPr>
      <w:r w:rsidRPr="00402580">
        <w:rPr>
          <w:b w:val="0"/>
          <w:color w:val="auto"/>
        </w:rPr>
        <w:t xml:space="preserve">Between 2007 and 2012, Romania received more freely allocated emissions than verified emissions, which translated into windfall revenues for the owners of the allowances. The situation started reversing in 2013, which is the first year Romania received less free allowances compared to verified emissions. The share of freely allocated emissions certificates dropped to 57% by 2019 (see Graph </w:t>
      </w:r>
      <w:r w:rsidR="0064139C">
        <w:rPr>
          <w:b w:val="0"/>
          <w:color w:val="auto"/>
        </w:rPr>
        <w:t>7</w:t>
      </w:r>
      <w:r w:rsidRPr="00402580">
        <w:rPr>
          <w:b w:val="0"/>
          <w:color w:val="auto"/>
        </w:rPr>
        <w:t>). This decline required Romanian carbon emitters to acquire 15.72 m allowances on the market at an average price of EUR 24.89</w:t>
      </w:r>
      <w:r w:rsidRPr="00402580">
        <w:rPr>
          <w:rStyle w:val="FootnoteReference"/>
          <w:b w:val="0"/>
          <w:color w:val="auto"/>
        </w:rPr>
        <w:footnoteReference w:id="16"/>
      </w:r>
      <w:r w:rsidRPr="00402580">
        <w:rPr>
          <w:b w:val="0"/>
          <w:color w:val="auto"/>
        </w:rPr>
        <w:t xml:space="preserve"> , which represented about EUR 391 m in EUA purchases. Data for 2020 is not yet available but given the </w:t>
      </w:r>
      <w:r w:rsidR="00691A1B">
        <w:rPr>
          <w:b w:val="0"/>
          <w:color w:val="auto"/>
        </w:rPr>
        <w:t>COVID</w:t>
      </w:r>
      <w:r w:rsidRPr="00402580">
        <w:rPr>
          <w:b w:val="0"/>
          <w:color w:val="auto"/>
        </w:rPr>
        <w:t>-19 crisis and the economic downturn associated with it, the amount should be 10-20% lower than 2019 since the price of EUAs went relatively unchanged. The situation will change significantly in 2021 because of the high price of EUAs, EUR 36.46 as of 8 March 2021. Assuming 15 m allowances will need to be purchased by Romania, approximately EUR 550 m will need to be paid by polluters in 2021. The biggest emitters of CO</w:t>
      </w:r>
      <w:r w:rsidRPr="00782BFD">
        <w:rPr>
          <w:b w:val="0"/>
          <w:color w:val="auto"/>
          <w:vertAlign w:val="subscript"/>
        </w:rPr>
        <w:t>2</w:t>
      </w:r>
      <w:r w:rsidRPr="00402580">
        <w:rPr>
          <w:b w:val="0"/>
          <w:color w:val="auto"/>
        </w:rPr>
        <w:t xml:space="preserve"> are in the departments under analysis in this project. </w:t>
      </w:r>
    </w:p>
    <w:p w14:paraId="52106DCB" w14:textId="7B528A7D" w:rsidR="005C2775" w:rsidRPr="003516DC" w:rsidRDefault="005C2775" w:rsidP="005C2775">
      <w:pPr>
        <w:pStyle w:val="Caption"/>
        <w:rPr>
          <w:i/>
          <w:iCs w:val="0"/>
          <w:sz w:val="16"/>
          <w:szCs w:val="16"/>
        </w:rPr>
      </w:pPr>
      <w:bookmarkStart w:id="32" w:name="_Toc90727343"/>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7</w:t>
      </w:r>
      <w:r w:rsidRPr="003516DC">
        <w:rPr>
          <w:noProof/>
        </w:rPr>
        <w:fldChar w:fldCharType="end"/>
      </w:r>
      <w:r w:rsidRPr="003516DC">
        <w:t>: Freely allocated vs verified emissions for Romania</w:t>
      </w:r>
      <w:bookmarkEnd w:id="32"/>
    </w:p>
    <w:p w14:paraId="5B50DD4F" w14:textId="77777777" w:rsidR="005C2775" w:rsidRPr="003516DC" w:rsidRDefault="005C2775" w:rsidP="005C2775">
      <w:pPr>
        <w:jc w:val="both"/>
        <w:rPr>
          <w:rFonts w:ascii="Arial" w:hAnsi="Arial" w:cs="Arial"/>
          <w:b/>
          <w:bCs/>
          <w:sz w:val="18"/>
          <w:szCs w:val="18"/>
        </w:rPr>
      </w:pPr>
      <w:r w:rsidRPr="003516DC">
        <w:rPr>
          <w:rFonts w:ascii="Arial" w:hAnsi="Arial" w:cs="Arial"/>
          <w:noProof/>
          <w:lang w:val="en-US" w:eastAsia="en-US"/>
        </w:rPr>
        <w:drawing>
          <wp:inline distT="0" distB="0" distL="0" distR="0" wp14:anchorId="17206BA5" wp14:editId="51CE643E">
            <wp:extent cx="5678424" cy="2514600"/>
            <wp:effectExtent l="0" t="0" r="0" b="0"/>
            <wp:docPr id="202" name="Pictur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78424" cy="2514600"/>
                    </a:xfrm>
                    <a:prstGeom prst="rect">
                      <a:avLst/>
                    </a:prstGeom>
                  </pic:spPr>
                </pic:pic>
              </a:graphicData>
            </a:graphic>
          </wp:inline>
        </w:drawing>
      </w:r>
    </w:p>
    <w:p w14:paraId="4847145D" w14:textId="77777777" w:rsidR="005C2775" w:rsidRPr="003516DC" w:rsidRDefault="005C2775" w:rsidP="005C2775">
      <w:pPr>
        <w:spacing w:line="360" w:lineRule="auto"/>
        <w:jc w:val="both"/>
        <w:rPr>
          <w:rFonts w:ascii="Arial" w:hAnsi="Arial" w:cs="Arial"/>
          <w:i/>
          <w:iCs/>
          <w:sz w:val="16"/>
          <w:szCs w:val="16"/>
        </w:rPr>
      </w:pPr>
      <w:r w:rsidRPr="003516DC">
        <w:rPr>
          <w:rFonts w:ascii="Arial" w:hAnsi="Arial" w:cs="Arial"/>
          <w:i/>
          <w:iCs/>
          <w:sz w:val="16"/>
          <w:szCs w:val="16"/>
        </w:rPr>
        <w:t>Source: European Environment Agency</w:t>
      </w:r>
    </w:p>
    <w:p w14:paraId="69E50681" w14:textId="77777777" w:rsidR="005C2775" w:rsidRPr="003516DC" w:rsidRDefault="005C2775" w:rsidP="0057444A">
      <w:pPr>
        <w:spacing w:before="120" w:after="120"/>
        <w:jc w:val="both"/>
        <w:rPr>
          <w:rFonts w:ascii="Arial" w:hAnsi="Arial" w:cs="Arial"/>
          <w:b/>
          <w:bCs/>
          <w:sz w:val="18"/>
          <w:szCs w:val="18"/>
        </w:rPr>
      </w:pPr>
      <w:r w:rsidRPr="003516DC">
        <w:rPr>
          <w:rFonts w:ascii="Arial" w:hAnsi="Arial" w:cs="Arial"/>
          <w:sz w:val="20"/>
          <w:szCs w:val="20"/>
        </w:rPr>
        <w:lastRenderedPageBreak/>
        <w:t>Much of the emissions decline (more than 50%) occurred in the fuel sector between 2009 and 2019. From 2007 to 2019, emissions from industrial installations other than combustion of fuels declined by 40%. However, in 2017 emissions from industrial sectors other than fuel combustion increased by 10%, which illustrates a rising trend from industrial sectors, most likely related to construction (cement and steel) and other industrial processes.</w:t>
      </w:r>
    </w:p>
    <w:p w14:paraId="12377116" w14:textId="38ADF79D" w:rsidR="005C2775" w:rsidRPr="003516DC" w:rsidRDefault="005C2775" w:rsidP="005C2775">
      <w:pPr>
        <w:pStyle w:val="Caption"/>
        <w:rPr>
          <w:b w:val="0"/>
          <w:bCs/>
          <w:sz w:val="18"/>
          <w:szCs w:val="18"/>
        </w:rPr>
      </w:pPr>
      <w:bookmarkStart w:id="33" w:name="_Toc90727344"/>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8</w:t>
      </w:r>
      <w:r w:rsidRPr="003516DC">
        <w:rPr>
          <w:noProof/>
        </w:rPr>
        <w:fldChar w:fldCharType="end"/>
      </w:r>
      <w:r w:rsidRPr="003516DC">
        <w:t>: Emissions by sector</w:t>
      </w:r>
      <w:bookmarkEnd w:id="33"/>
    </w:p>
    <w:p w14:paraId="73FA13E2" w14:textId="77777777" w:rsidR="005C2775" w:rsidRPr="003516DC" w:rsidRDefault="005C2775" w:rsidP="005C2775">
      <w:pPr>
        <w:jc w:val="both"/>
        <w:rPr>
          <w:rFonts w:ascii="Arial" w:hAnsi="Arial" w:cs="Arial"/>
          <w:b/>
          <w:bCs/>
          <w:sz w:val="18"/>
          <w:szCs w:val="18"/>
        </w:rPr>
      </w:pPr>
      <w:r w:rsidRPr="003516DC">
        <w:rPr>
          <w:rFonts w:ascii="Arial" w:hAnsi="Arial" w:cs="Arial"/>
          <w:noProof/>
          <w:lang w:val="en-US" w:eastAsia="en-US"/>
        </w:rPr>
        <w:drawing>
          <wp:inline distT="0" distB="0" distL="0" distR="0" wp14:anchorId="75E88D6A" wp14:editId="32432702">
            <wp:extent cx="5678424" cy="2743200"/>
            <wp:effectExtent l="0" t="0" r="0" b="0"/>
            <wp:docPr id="203" name="Pictur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78424" cy="2743200"/>
                    </a:xfrm>
                    <a:prstGeom prst="rect">
                      <a:avLst/>
                    </a:prstGeom>
                  </pic:spPr>
                </pic:pic>
              </a:graphicData>
            </a:graphic>
          </wp:inline>
        </w:drawing>
      </w:r>
    </w:p>
    <w:p w14:paraId="5BD9BC76" w14:textId="77777777" w:rsidR="005C2775" w:rsidRPr="003516DC" w:rsidRDefault="005C2775" w:rsidP="0057444A">
      <w:pPr>
        <w:spacing w:after="120" w:line="360" w:lineRule="auto"/>
        <w:jc w:val="both"/>
        <w:rPr>
          <w:rFonts w:ascii="Arial" w:hAnsi="Arial" w:cs="Arial"/>
          <w:i/>
          <w:iCs/>
          <w:sz w:val="16"/>
          <w:szCs w:val="16"/>
        </w:rPr>
      </w:pPr>
      <w:r w:rsidRPr="003516DC">
        <w:rPr>
          <w:rFonts w:ascii="Arial" w:hAnsi="Arial" w:cs="Arial"/>
          <w:i/>
          <w:iCs/>
          <w:sz w:val="16"/>
          <w:szCs w:val="16"/>
        </w:rPr>
        <w:t>Source: European Environment Agency</w:t>
      </w:r>
    </w:p>
    <w:p w14:paraId="4B1FE258" w14:textId="65931E98" w:rsidR="005C2775" w:rsidRPr="003516DC" w:rsidRDefault="005C2775" w:rsidP="005C2775">
      <w:pPr>
        <w:jc w:val="both"/>
        <w:rPr>
          <w:rFonts w:ascii="Arial" w:hAnsi="Arial" w:cs="Arial"/>
          <w:sz w:val="20"/>
          <w:szCs w:val="20"/>
        </w:rPr>
      </w:pPr>
      <w:r w:rsidRPr="003516DC">
        <w:rPr>
          <w:rFonts w:ascii="Arial" w:hAnsi="Arial" w:cs="Arial"/>
          <w:sz w:val="20"/>
          <w:szCs w:val="20"/>
        </w:rPr>
        <w:t xml:space="preserve">Gorj, Dolj and Prahova are the departments that have the most difficult situations in relation to the energy transition (Table </w:t>
      </w:r>
      <w:r w:rsidR="00F94D6D">
        <w:rPr>
          <w:rFonts w:ascii="Arial" w:hAnsi="Arial" w:cs="Arial"/>
          <w:sz w:val="20"/>
          <w:szCs w:val="20"/>
        </w:rPr>
        <w:t>5</w:t>
      </w:r>
      <w:r w:rsidRPr="003516DC">
        <w:rPr>
          <w:rFonts w:ascii="Arial" w:hAnsi="Arial" w:cs="Arial"/>
          <w:sz w:val="20"/>
          <w:szCs w:val="20"/>
        </w:rPr>
        <w:t xml:space="preserve">). </w:t>
      </w:r>
    </w:p>
    <w:p w14:paraId="213B1DE4" w14:textId="77777777" w:rsidR="005C2775" w:rsidRPr="003516DC" w:rsidRDefault="005C2775" w:rsidP="005C2775">
      <w:pPr>
        <w:jc w:val="both"/>
        <w:rPr>
          <w:rFonts w:ascii="Arial" w:hAnsi="Arial" w:cs="Arial"/>
          <w:sz w:val="8"/>
        </w:rPr>
      </w:pPr>
    </w:p>
    <w:p w14:paraId="73F67816" w14:textId="0090416D" w:rsidR="005C2775" w:rsidRPr="003516DC" w:rsidRDefault="005C2775" w:rsidP="005C2775">
      <w:pPr>
        <w:pStyle w:val="Caption"/>
        <w:spacing w:before="0"/>
      </w:pPr>
      <w:bookmarkStart w:id="34" w:name="_Toc90725959"/>
      <w:bookmarkStart w:id="35" w:name="_Toc90727256"/>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5</w:t>
      </w:r>
      <w:r w:rsidRPr="003516DC">
        <w:rPr>
          <w:noProof/>
        </w:rPr>
        <w:fldChar w:fldCharType="end"/>
      </w:r>
      <w:r w:rsidRPr="003516DC">
        <w:t>: Verified emissions and freely allocated emissions in 2019</w:t>
      </w:r>
      <w:bookmarkEnd w:id="34"/>
      <w:bookmarkEnd w:id="35"/>
    </w:p>
    <w:p w14:paraId="5169D00A" w14:textId="77777777" w:rsidR="005C2775" w:rsidRPr="003516DC" w:rsidRDefault="005C2775" w:rsidP="005C2775">
      <w:pPr>
        <w:jc w:val="both"/>
        <w:rPr>
          <w:rFonts w:ascii="Arial" w:hAnsi="Arial" w:cs="Arial"/>
          <w:sz w:val="16"/>
          <w:szCs w:val="16"/>
        </w:rPr>
      </w:pPr>
      <w:r w:rsidRPr="003516DC">
        <w:rPr>
          <w:rFonts w:ascii="Arial" w:hAnsi="Arial" w:cs="Arial"/>
          <w:noProof/>
          <w:lang w:val="en-US" w:eastAsia="en-US"/>
        </w:rPr>
        <w:drawing>
          <wp:inline distT="0" distB="0" distL="0" distR="0" wp14:anchorId="33E4F23F" wp14:editId="712E2656">
            <wp:extent cx="5678424" cy="1005840"/>
            <wp:effectExtent l="0" t="0" r="0" b="3810"/>
            <wp:docPr id="204" name="Pictur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8424" cy="1005840"/>
                    </a:xfrm>
                    <a:prstGeom prst="rect">
                      <a:avLst/>
                    </a:prstGeom>
                    <a:noFill/>
                    <a:ln>
                      <a:noFill/>
                    </a:ln>
                  </pic:spPr>
                </pic:pic>
              </a:graphicData>
            </a:graphic>
          </wp:inline>
        </w:drawing>
      </w:r>
    </w:p>
    <w:p w14:paraId="4AC81D49" w14:textId="553C3372" w:rsidR="005C2775" w:rsidRPr="00782BFD" w:rsidRDefault="005C2775" w:rsidP="00782BFD">
      <w:pPr>
        <w:spacing w:after="60"/>
        <w:jc w:val="both"/>
        <w:rPr>
          <w:rFonts w:ascii="Arial" w:hAnsi="Arial" w:cs="Arial"/>
          <w:i/>
          <w:iCs/>
          <w:sz w:val="16"/>
          <w:szCs w:val="16"/>
        </w:rPr>
      </w:pPr>
      <w:r w:rsidRPr="003516DC">
        <w:rPr>
          <w:rFonts w:ascii="Arial" w:hAnsi="Arial" w:cs="Arial"/>
          <w:i/>
          <w:iCs/>
          <w:sz w:val="16"/>
          <w:szCs w:val="16"/>
        </w:rPr>
        <w:t>Source: DG Clima</w:t>
      </w:r>
    </w:p>
    <w:p w14:paraId="7A184DD0" w14:textId="54538102" w:rsidR="005C2775" w:rsidRPr="003516DC" w:rsidRDefault="005C2775" w:rsidP="005C2775">
      <w:pPr>
        <w:jc w:val="both"/>
        <w:rPr>
          <w:rFonts w:ascii="Arial" w:hAnsi="Arial" w:cs="Arial"/>
          <w:sz w:val="20"/>
          <w:szCs w:val="20"/>
        </w:rPr>
      </w:pPr>
      <w:r w:rsidRPr="003516DC">
        <w:rPr>
          <w:rFonts w:ascii="Arial" w:hAnsi="Arial" w:cs="Arial"/>
          <w:sz w:val="20"/>
          <w:szCs w:val="20"/>
        </w:rPr>
        <w:t xml:space="preserve">In 2019, 137 entities were responsible for nearly 36 million tonnes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3516DC">
        <w:rPr>
          <w:rFonts w:ascii="Arial" w:hAnsi="Arial" w:cs="Arial"/>
          <w:sz w:val="20"/>
          <w:szCs w:val="20"/>
        </w:rPr>
        <w:t xml:space="preserve">emissions. Only 54% of these emissions were freely allocated; the rest of allowances cost departments approximately EUR 410 m. Liberty </w:t>
      </w:r>
      <w:r w:rsidR="003751DC">
        <w:rPr>
          <w:rFonts w:ascii="Arial" w:hAnsi="Arial" w:cs="Arial"/>
          <w:sz w:val="20"/>
          <w:szCs w:val="20"/>
        </w:rPr>
        <w:t>Galați</w:t>
      </w:r>
      <w:r w:rsidRPr="003516DC">
        <w:rPr>
          <w:rFonts w:ascii="Arial" w:hAnsi="Arial" w:cs="Arial"/>
          <w:sz w:val="20"/>
          <w:szCs w:val="20"/>
        </w:rPr>
        <w:t xml:space="preserve"> is one of the few entities receiving more freely allocated emissions than its verified emissions, which translates into a windfall revenue if these were sold at market prices. Furthermore, 10 installations were responsible for 58% of verified emissions.</w:t>
      </w:r>
    </w:p>
    <w:p w14:paraId="116E0BAB" w14:textId="11DF92F4" w:rsidR="005C2775" w:rsidRPr="003516DC" w:rsidRDefault="005C2775" w:rsidP="00782BFD">
      <w:pPr>
        <w:pStyle w:val="Caption"/>
        <w:spacing w:before="120"/>
        <w:ind w:left="1138" w:hanging="1138"/>
      </w:pPr>
      <w:bookmarkStart w:id="36" w:name="_Toc90727345"/>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9</w:t>
      </w:r>
      <w:r w:rsidRPr="003516DC">
        <w:rPr>
          <w:noProof/>
        </w:rPr>
        <w:fldChar w:fldCharType="end"/>
      </w:r>
      <w:r w:rsidRPr="003516DC">
        <w:t>: Verified emissions vs free allocation of emissions for Romanian installations</w:t>
      </w:r>
      <w:bookmarkEnd w:id="36"/>
    </w:p>
    <w:p w14:paraId="45C25033" w14:textId="77777777" w:rsidR="005C2775" w:rsidRPr="003516DC" w:rsidRDefault="005C2775" w:rsidP="005C2775">
      <w:pPr>
        <w:rPr>
          <w:rFonts w:ascii="Arial" w:hAnsi="Arial" w:cs="Arial"/>
        </w:rPr>
      </w:pPr>
      <w:r w:rsidRPr="003516DC">
        <w:rPr>
          <w:rFonts w:ascii="Arial" w:hAnsi="Arial" w:cs="Arial"/>
          <w:noProof/>
          <w:lang w:val="en-US" w:eastAsia="en-US"/>
        </w:rPr>
        <w:drawing>
          <wp:inline distT="0" distB="0" distL="0" distR="0" wp14:anchorId="1281AE13" wp14:editId="33C4B4FE">
            <wp:extent cx="5678424" cy="2743200"/>
            <wp:effectExtent l="0" t="0" r="0" b="0"/>
            <wp:docPr id="205" name="Pictur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78424" cy="2743200"/>
                    </a:xfrm>
                    <a:prstGeom prst="rect">
                      <a:avLst/>
                    </a:prstGeom>
                    <a:noFill/>
                  </pic:spPr>
                </pic:pic>
              </a:graphicData>
            </a:graphic>
          </wp:inline>
        </w:drawing>
      </w:r>
    </w:p>
    <w:p w14:paraId="285C6274" w14:textId="625A9089" w:rsidR="003F0B80" w:rsidRPr="00505B25" w:rsidRDefault="005C2775" w:rsidP="00505B25">
      <w:pPr>
        <w:spacing w:line="360" w:lineRule="auto"/>
        <w:jc w:val="both"/>
        <w:rPr>
          <w:rFonts w:ascii="Arial" w:hAnsi="Arial" w:cs="Arial"/>
          <w:i/>
          <w:iCs/>
          <w:sz w:val="16"/>
          <w:szCs w:val="16"/>
        </w:rPr>
      </w:pPr>
      <w:r w:rsidRPr="003516DC">
        <w:rPr>
          <w:rFonts w:ascii="Arial" w:hAnsi="Arial" w:cs="Arial"/>
          <w:i/>
          <w:iCs/>
          <w:sz w:val="16"/>
          <w:szCs w:val="16"/>
        </w:rPr>
        <w:t>Source: DG Clima</w:t>
      </w:r>
    </w:p>
    <w:p w14:paraId="16679269" w14:textId="2659F96E" w:rsidR="003F0B80" w:rsidRPr="0057444A" w:rsidRDefault="003B6D4C" w:rsidP="0057444A">
      <w:pPr>
        <w:spacing w:after="120"/>
        <w:jc w:val="both"/>
        <w:rPr>
          <w:rFonts w:ascii="Arial" w:hAnsi="Arial" w:cs="Arial"/>
          <w:i/>
          <w:iCs/>
          <w:sz w:val="20"/>
          <w:szCs w:val="20"/>
        </w:rPr>
      </w:pPr>
      <w:r>
        <w:rPr>
          <w:rFonts w:ascii="Arial" w:hAnsi="Arial" w:cs="Arial"/>
          <w:i/>
          <w:iCs/>
          <w:sz w:val="20"/>
          <w:szCs w:val="20"/>
        </w:rPr>
        <w:t>C</w:t>
      </w:r>
      <w:r w:rsidR="003F0B80" w:rsidRPr="00033727">
        <w:rPr>
          <w:rFonts w:ascii="Arial" w:hAnsi="Arial" w:cs="Arial"/>
          <w:i/>
          <w:iCs/>
          <w:sz w:val="20"/>
          <w:szCs w:val="20"/>
        </w:rPr>
        <w:t>onclusions</w:t>
      </w:r>
      <w:r>
        <w:rPr>
          <w:rFonts w:ascii="Arial" w:hAnsi="Arial" w:cs="Arial"/>
          <w:i/>
          <w:iCs/>
          <w:sz w:val="20"/>
          <w:szCs w:val="20"/>
        </w:rPr>
        <w:t xml:space="preserve"> for each county</w:t>
      </w:r>
      <w:r w:rsidR="003F0B80">
        <w:rPr>
          <w:rFonts w:ascii="Arial" w:hAnsi="Arial" w:cs="Arial"/>
          <w:i/>
          <w:iCs/>
          <w:sz w:val="20"/>
          <w:szCs w:val="20"/>
        </w:rPr>
        <w:t xml:space="preserve"> resulting from the analysis presented in this </w:t>
      </w:r>
      <w:r w:rsidR="00091FE3">
        <w:rPr>
          <w:rFonts w:ascii="Arial" w:hAnsi="Arial" w:cs="Arial"/>
          <w:i/>
          <w:iCs/>
          <w:sz w:val="20"/>
          <w:szCs w:val="20"/>
        </w:rPr>
        <w:t>s</w:t>
      </w:r>
      <w:r w:rsidR="003F0B80">
        <w:rPr>
          <w:rFonts w:ascii="Arial" w:hAnsi="Arial" w:cs="Arial"/>
          <w:i/>
          <w:iCs/>
          <w:sz w:val="20"/>
          <w:szCs w:val="20"/>
        </w:rPr>
        <w:t xml:space="preserve">ection </w:t>
      </w:r>
      <w:r w:rsidR="003F0B80" w:rsidRPr="00033727">
        <w:rPr>
          <w:rFonts w:ascii="Arial" w:hAnsi="Arial" w:cs="Arial"/>
          <w:i/>
          <w:iCs/>
          <w:sz w:val="20"/>
          <w:szCs w:val="20"/>
        </w:rPr>
        <w:t xml:space="preserve">have been included in </w:t>
      </w:r>
      <w:r w:rsidR="00091FE3">
        <w:rPr>
          <w:rFonts w:ascii="Arial" w:hAnsi="Arial" w:cs="Arial"/>
          <w:i/>
          <w:iCs/>
          <w:sz w:val="20"/>
          <w:szCs w:val="20"/>
        </w:rPr>
        <w:t>Chapter</w:t>
      </w:r>
      <w:r w:rsidR="003F0B80" w:rsidRPr="00033727">
        <w:rPr>
          <w:rFonts w:ascii="Arial" w:hAnsi="Arial" w:cs="Arial"/>
          <w:i/>
          <w:iCs/>
          <w:sz w:val="20"/>
          <w:szCs w:val="20"/>
        </w:rPr>
        <w:t xml:space="preserve">s </w:t>
      </w:r>
      <w:r w:rsidR="0041188B">
        <w:rPr>
          <w:rFonts w:ascii="Arial" w:hAnsi="Arial" w:cs="Arial"/>
          <w:i/>
          <w:iCs/>
          <w:sz w:val="20"/>
          <w:szCs w:val="20"/>
        </w:rPr>
        <w:t>3</w:t>
      </w:r>
      <w:r w:rsidR="003F0B80" w:rsidRPr="00033727">
        <w:rPr>
          <w:rFonts w:ascii="Arial" w:hAnsi="Arial" w:cs="Arial"/>
          <w:i/>
          <w:iCs/>
          <w:sz w:val="20"/>
          <w:szCs w:val="20"/>
        </w:rPr>
        <w:t>–</w:t>
      </w:r>
      <w:r w:rsidR="0041188B">
        <w:rPr>
          <w:rFonts w:ascii="Arial" w:hAnsi="Arial" w:cs="Arial"/>
          <w:i/>
          <w:iCs/>
          <w:sz w:val="20"/>
          <w:szCs w:val="20"/>
        </w:rPr>
        <w:t>8</w:t>
      </w:r>
    </w:p>
    <w:p w14:paraId="2E2E104B" w14:textId="01EB0E56" w:rsidR="005C2775" w:rsidRPr="0057444A" w:rsidRDefault="005C2775" w:rsidP="0057444A">
      <w:pPr>
        <w:spacing w:after="120"/>
        <w:rPr>
          <w:rFonts w:ascii="Arial" w:hAnsi="Arial" w:cs="Arial"/>
          <w:i/>
          <w:iCs/>
          <w:color w:val="0070C0"/>
          <w:sz w:val="20"/>
          <w:szCs w:val="20"/>
        </w:rPr>
      </w:pPr>
      <w:r w:rsidRPr="003516DC">
        <w:rPr>
          <w:rFonts w:ascii="Arial" w:hAnsi="Arial" w:cs="Arial"/>
          <w:i/>
          <w:iCs/>
          <w:color w:val="0070C0"/>
          <w:sz w:val="20"/>
          <w:szCs w:val="20"/>
        </w:rPr>
        <w:t>Financial exposure</w:t>
      </w:r>
    </w:p>
    <w:p w14:paraId="3833D002" w14:textId="77777777" w:rsidR="005C2775" w:rsidRPr="003516DC" w:rsidRDefault="005C2775" w:rsidP="0057444A">
      <w:pPr>
        <w:spacing w:after="120"/>
        <w:jc w:val="both"/>
        <w:rPr>
          <w:rFonts w:ascii="Arial" w:hAnsi="Arial" w:cs="Arial"/>
          <w:sz w:val="20"/>
          <w:szCs w:val="20"/>
        </w:rPr>
      </w:pPr>
      <w:r w:rsidRPr="003516DC">
        <w:rPr>
          <w:rFonts w:ascii="Arial" w:hAnsi="Arial" w:cs="Arial"/>
          <w:sz w:val="20"/>
          <w:szCs w:val="20"/>
        </w:rPr>
        <w:t>Currently, EU ETS prices are above EUR 40/tCO</w:t>
      </w:r>
      <w:r w:rsidRPr="00782BFD">
        <w:rPr>
          <w:rFonts w:ascii="Arial" w:hAnsi="Arial" w:cs="Arial"/>
          <w:sz w:val="20"/>
          <w:szCs w:val="20"/>
          <w:vertAlign w:val="subscript"/>
        </w:rPr>
        <w:t>2</w:t>
      </w:r>
      <w:r w:rsidRPr="003516DC">
        <w:rPr>
          <w:rFonts w:ascii="Arial" w:hAnsi="Arial" w:cs="Arial"/>
          <w:sz w:val="20"/>
          <w:szCs w:val="20"/>
        </w:rPr>
        <w:t xml:space="preserve"> and estimated to increase anywhere between EUR 60 to 100 in the coming decade due to the higher climate ambitions of EU</w:t>
      </w:r>
      <w:r w:rsidRPr="003516DC">
        <w:rPr>
          <w:rStyle w:val="FootnoteReference"/>
          <w:rFonts w:ascii="Arial" w:hAnsi="Arial" w:cs="Arial"/>
          <w:sz w:val="20"/>
          <w:szCs w:val="20"/>
        </w:rPr>
        <w:footnoteReference w:id="17"/>
      </w:r>
      <w:r w:rsidRPr="003516DC">
        <w:rPr>
          <w:rFonts w:ascii="Arial" w:hAnsi="Arial" w:cs="Arial"/>
          <w:sz w:val="20"/>
          <w:szCs w:val="20"/>
        </w:rPr>
        <w:t>. At 2019 carbon market prices, the entities from the six counties had to pay around EUR 343 m to be ETS compliant, assuming all allowances were bought at average market prices. At EUR 40 per allowance, that amount would increase to EUR 560 m and at EUR 80 per allowance the costs of compliance would rise to EUR 1.1 bn. Bloomberg expects EU ETS prices to surge to 100–125 EUR per tonne by 2030</w:t>
      </w:r>
      <w:r w:rsidRPr="003516DC">
        <w:rPr>
          <w:rStyle w:val="FootnoteReference"/>
          <w:rFonts w:ascii="Arial" w:hAnsi="Arial" w:cs="Arial"/>
          <w:sz w:val="20"/>
          <w:szCs w:val="20"/>
        </w:rPr>
        <w:footnoteReference w:id="18"/>
      </w:r>
      <w:r w:rsidRPr="003516DC">
        <w:rPr>
          <w:rFonts w:ascii="Arial" w:hAnsi="Arial" w:cs="Arial"/>
          <w:sz w:val="20"/>
          <w:szCs w:val="20"/>
        </w:rPr>
        <w:t xml:space="preserve"> . There is already significant strain on the public central budget, which shoulders the allowances that Oltenia Energy Complex needs to buy. Recently, the Romanian government approved a subsidy of EUR 241 m for this purpose</w:t>
      </w:r>
      <w:r w:rsidRPr="003516DC">
        <w:rPr>
          <w:rStyle w:val="FootnoteReference"/>
          <w:rFonts w:ascii="Arial" w:hAnsi="Arial" w:cs="Arial"/>
          <w:sz w:val="20"/>
          <w:szCs w:val="20"/>
        </w:rPr>
        <w:footnoteReference w:id="19"/>
      </w:r>
      <w:r w:rsidRPr="003516DC">
        <w:rPr>
          <w:rFonts w:ascii="Arial" w:hAnsi="Arial" w:cs="Arial"/>
          <w:sz w:val="20"/>
          <w:szCs w:val="20"/>
        </w:rPr>
        <w:t xml:space="preserve">. </w:t>
      </w:r>
    </w:p>
    <w:p w14:paraId="36BFB07F" w14:textId="19A91DE4" w:rsidR="005C2775" w:rsidRPr="003516DC" w:rsidRDefault="005C2775" w:rsidP="005C2775">
      <w:pPr>
        <w:pStyle w:val="Caption"/>
      </w:pPr>
      <w:bookmarkStart w:id="37" w:name="_Toc90727346"/>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10</w:t>
      </w:r>
      <w:r w:rsidRPr="003516DC">
        <w:rPr>
          <w:noProof/>
        </w:rPr>
        <w:fldChar w:fldCharType="end"/>
      </w:r>
      <w:r w:rsidRPr="003516DC">
        <w:t>: European Union carbon emission allowance price</w:t>
      </w:r>
      <w:bookmarkEnd w:id="37"/>
    </w:p>
    <w:p w14:paraId="72E2D4D2" w14:textId="77777777" w:rsidR="005C2775" w:rsidRPr="003516DC" w:rsidRDefault="005C2775" w:rsidP="005C2775">
      <w:pPr>
        <w:rPr>
          <w:rFonts w:ascii="Arial" w:hAnsi="Arial" w:cs="Arial"/>
        </w:rPr>
      </w:pPr>
      <w:r w:rsidRPr="003516DC">
        <w:rPr>
          <w:rFonts w:ascii="Arial" w:hAnsi="Arial" w:cs="Arial"/>
          <w:noProof/>
          <w:lang w:val="en-US" w:eastAsia="en-US"/>
        </w:rPr>
        <w:drawing>
          <wp:inline distT="0" distB="0" distL="0" distR="0" wp14:anchorId="561D60D3" wp14:editId="43B1289D">
            <wp:extent cx="4625586" cy="2651760"/>
            <wp:effectExtent l="0" t="0" r="381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1855"/>
                    <a:stretch/>
                  </pic:blipFill>
                  <pic:spPr bwMode="auto">
                    <a:xfrm>
                      <a:off x="0" y="0"/>
                      <a:ext cx="4625586" cy="2651760"/>
                    </a:xfrm>
                    <a:prstGeom prst="rect">
                      <a:avLst/>
                    </a:prstGeom>
                    <a:ln>
                      <a:noFill/>
                    </a:ln>
                    <a:extLst>
                      <a:ext uri="{53640926-AAD7-44D8-BBD7-CCE9431645EC}">
                        <a14:shadowObscured xmlns:a14="http://schemas.microsoft.com/office/drawing/2010/main"/>
                      </a:ext>
                    </a:extLst>
                  </pic:spPr>
                </pic:pic>
              </a:graphicData>
            </a:graphic>
          </wp:inline>
        </w:drawing>
      </w:r>
    </w:p>
    <w:p w14:paraId="030B7095" w14:textId="3D660D69" w:rsidR="005C2775" w:rsidRPr="003516DC" w:rsidRDefault="005C2775" w:rsidP="005C2775">
      <w:pPr>
        <w:pStyle w:val="Caption"/>
        <w:ind w:left="993" w:hanging="993"/>
      </w:pPr>
      <w:bookmarkStart w:id="38" w:name="_Toc90727347"/>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11</w:t>
      </w:r>
      <w:r w:rsidRPr="003516DC">
        <w:rPr>
          <w:noProof/>
        </w:rPr>
        <w:fldChar w:fldCharType="end"/>
      </w:r>
      <w:r w:rsidRPr="003516DC">
        <w:t>: Historical European Union Carbon Emission Allowance price and Bloomberg NEF price forecast</w:t>
      </w:r>
      <w:bookmarkEnd w:id="38"/>
    </w:p>
    <w:p w14:paraId="68EAB402" w14:textId="5599AD1A" w:rsidR="005C2775" w:rsidRPr="003516DC" w:rsidRDefault="005C2775" w:rsidP="005C2775">
      <w:pPr>
        <w:rPr>
          <w:rFonts w:ascii="Arial" w:hAnsi="Arial" w:cs="Arial"/>
        </w:rPr>
      </w:pPr>
      <w:r w:rsidRPr="003516DC">
        <w:rPr>
          <w:rFonts w:ascii="Arial" w:hAnsi="Arial" w:cs="Arial"/>
          <w:noProof/>
          <w:lang w:val="en-US" w:eastAsia="en-US"/>
        </w:rPr>
        <w:drawing>
          <wp:inline distT="0" distB="0" distL="0" distR="0" wp14:anchorId="00FC2BF7" wp14:editId="24ECBA91">
            <wp:extent cx="4443231" cy="265176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2365"/>
                    <a:stretch/>
                  </pic:blipFill>
                  <pic:spPr bwMode="auto">
                    <a:xfrm>
                      <a:off x="0" y="0"/>
                      <a:ext cx="4443231" cy="2651760"/>
                    </a:xfrm>
                    <a:prstGeom prst="rect">
                      <a:avLst/>
                    </a:prstGeom>
                    <a:ln>
                      <a:noFill/>
                    </a:ln>
                    <a:extLst>
                      <a:ext uri="{53640926-AAD7-44D8-BBD7-CCE9431645EC}">
                        <a14:shadowObscured xmlns:a14="http://schemas.microsoft.com/office/drawing/2010/main"/>
                      </a:ext>
                    </a:extLst>
                  </pic:spPr>
                </pic:pic>
              </a:graphicData>
            </a:graphic>
          </wp:inline>
        </w:drawing>
      </w:r>
    </w:p>
    <w:p w14:paraId="0ACA2F40" w14:textId="3951E6A5" w:rsidR="00A61F5C" w:rsidRPr="0057444A" w:rsidRDefault="003F0B80" w:rsidP="0057444A">
      <w:pPr>
        <w:spacing w:after="120"/>
        <w:jc w:val="both"/>
        <w:rPr>
          <w:rFonts w:ascii="Arial" w:hAnsi="Arial" w:cs="Arial"/>
          <w:bCs/>
          <w:sz w:val="20"/>
          <w:szCs w:val="20"/>
        </w:rPr>
      </w:pPr>
      <w:r w:rsidRPr="00402580">
        <w:rPr>
          <w:rFonts w:ascii="Arial" w:hAnsi="Arial" w:cs="Arial"/>
          <w:bCs/>
          <w:sz w:val="20"/>
          <w:szCs w:val="20"/>
        </w:rPr>
        <w:t xml:space="preserve">Gorj, Dolj and Prahova have the highest exposure to the increasing price of EU ETS allowances in case decarbonisation does not occur in the three counties. Most of these costs cannot be borne by the </w:t>
      </w:r>
      <w:r w:rsidR="00BF6648">
        <w:rPr>
          <w:rFonts w:ascii="Arial" w:hAnsi="Arial" w:cs="Arial"/>
          <w:bCs/>
          <w:sz w:val="20"/>
          <w:szCs w:val="20"/>
        </w:rPr>
        <w:t>ETS installations</w:t>
      </w:r>
      <w:r w:rsidRPr="00402580">
        <w:rPr>
          <w:rFonts w:ascii="Arial" w:hAnsi="Arial" w:cs="Arial"/>
          <w:bCs/>
          <w:sz w:val="20"/>
          <w:szCs w:val="20"/>
        </w:rPr>
        <w:t xml:space="preserve"> and allow them to be viable in the medium to long</w:t>
      </w:r>
      <w:r w:rsidR="00E831EE" w:rsidRPr="00402580">
        <w:rPr>
          <w:rFonts w:ascii="Arial" w:hAnsi="Arial" w:cs="Arial"/>
          <w:bCs/>
          <w:sz w:val="20"/>
          <w:szCs w:val="20"/>
        </w:rPr>
        <w:t>-</w:t>
      </w:r>
      <w:r w:rsidRPr="00402580">
        <w:rPr>
          <w:rFonts w:ascii="Arial" w:hAnsi="Arial" w:cs="Arial"/>
          <w:bCs/>
          <w:sz w:val="20"/>
          <w:szCs w:val="20"/>
        </w:rPr>
        <w:t xml:space="preserve">term at the same time. </w:t>
      </w:r>
      <w:r w:rsidR="00E831EE" w:rsidRPr="00402580">
        <w:rPr>
          <w:rFonts w:ascii="Arial" w:hAnsi="Arial" w:cs="Arial"/>
          <w:bCs/>
          <w:sz w:val="20"/>
          <w:szCs w:val="20"/>
        </w:rPr>
        <w:t>In</w:t>
      </w:r>
      <w:r w:rsidRPr="00402580">
        <w:rPr>
          <w:rFonts w:ascii="Arial" w:hAnsi="Arial" w:cs="Arial"/>
          <w:bCs/>
          <w:sz w:val="20"/>
          <w:szCs w:val="20"/>
        </w:rPr>
        <w:t xml:space="preserve"> acknowledgement, Romania has recently announced a coal phase</w:t>
      </w:r>
      <w:r w:rsidR="00E831EE" w:rsidRPr="00402580">
        <w:rPr>
          <w:rFonts w:ascii="Arial" w:hAnsi="Arial" w:cs="Arial"/>
          <w:bCs/>
          <w:sz w:val="20"/>
          <w:szCs w:val="20"/>
        </w:rPr>
        <w:t>-</w:t>
      </w:r>
      <w:r w:rsidRPr="00402580">
        <w:rPr>
          <w:rFonts w:ascii="Arial" w:hAnsi="Arial" w:cs="Arial"/>
          <w:bCs/>
          <w:sz w:val="20"/>
          <w:szCs w:val="20"/>
        </w:rPr>
        <w:t>out by 2032</w:t>
      </w:r>
      <w:r w:rsidRPr="00402580">
        <w:rPr>
          <w:rStyle w:val="FootnoteReference"/>
          <w:rFonts w:ascii="Arial" w:hAnsi="Arial" w:cs="Arial"/>
          <w:bCs/>
          <w:sz w:val="20"/>
          <w:szCs w:val="20"/>
        </w:rPr>
        <w:footnoteReference w:id="20"/>
      </w:r>
      <w:r w:rsidRPr="00402580">
        <w:rPr>
          <w:rFonts w:ascii="Arial" w:hAnsi="Arial" w:cs="Arial"/>
          <w:bCs/>
          <w:sz w:val="20"/>
          <w:szCs w:val="20"/>
        </w:rPr>
        <w:t>.</w:t>
      </w:r>
    </w:p>
    <w:p w14:paraId="66647512" w14:textId="2288F961" w:rsidR="005C2775" w:rsidRPr="00A14E66" w:rsidRDefault="005C2775" w:rsidP="0057444A">
      <w:pPr>
        <w:spacing w:after="120"/>
        <w:jc w:val="both"/>
        <w:rPr>
          <w:rFonts w:ascii="Arial" w:hAnsi="Arial" w:cs="Arial"/>
          <w:i/>
          <w:iCs/>
          <w:color w:val="4F81BD" w:themeColor="accent1"/>
          <w:sz w:val="20"/>
          <w:szCs w:val="20"/>
        </w:rPr>
      </w:pPr>
      <w:r w:rsidRPr="00A14E66">
        <w:rPr>
          <w:rFonts w:ascii="Arial" w:hAnsi="Arial" w:cs="Arial"/>
          <w:i/>
          <w:iCs/>
          <w:color w:val="4F81BD" w:themeColor="accent1"/>
          <w:sz w:val="20"/>
          <w:szCs w:val="20"/>
        </w:rPr>
        <w:t>Assess</w:t>
      </w:r>
      <w:r w:rsidR="000574CB" w:rsidRPr="00A14E66">
        <w:rPr>
          <w:rFonts w:ascii="Arial" w:hAnsi="Arial" w:cs="Arial"/>
          <w:i/>
          <w:iCs/>
          <w:color w:val="4F81BD" w:themeColor="accent1"/>
          <w:sz w:val="20"/>
          <w:szCs w:val="20"/>
        </w:rPr>
        <w:t>ment of</w:t>
      </w:r>
      <w:r w:rsidRPr="00A14E66">
        <w:rPr>
          <w:rFonts w:ascii="Arial" w:hAnsi="Arial" w:cs="Arial"/>
          <w:i/>
          <w:iCs/>
          <w:color w:val="4F81BD" w:themeColor="accent1"/>
          <w:sz w:val="20"/>
          <w:szCs w:val="20"/>
        </w:rPr>
        <w:t xml:space="preserve"> the proposed emission reductions by installation owners</w:t>
      </w:r>
      <w:r w:rsidR="000574CB" w:rsidRPr="00A14E66">
        <w:rPr>
          <w:rFonts w:ascii="Arial" w:hAnsi="Arial" w:cs="Arial"/>
          <w:i/>
          <w:iCs/>
          <w:color w:val="4F81BD" w:themeColor="accent1"/>
          <w:sz w:val="20"/>
          <w:szCs w:val="20"/>
        </w:rPr>
        <w:t xml:space="preserve"> </w:t>
      </w:r>
      <w:r w:rsidRPr="00A14E66">
        <w:rPr>
          <w:rFonts w:ascii="Arial" w:hAnsi="Arial" w:cs="Arial"/>
          <w:i/>
          <w:iCs/>
          <w:color w:val="4F81BD" w:themeColor="accent1"/>
          <w:sz w:val="20"/>
          <w:szCs w:val="20"/>
        </w:rPr>
        <w:t xml:space="preserve">by </w:t>
      </w:r>
      <w:r w:rsidR="000D01C4">
        <w:rPr>
          <w:rFonts w:ascii="Arial" w:hAnsi="Arial" w:cs="Arial"/>
          <w:i/>
          <w:iCs/>
          <w:color w:val="4F81BD" w:themeColor="accent1"/>
          <w:sz w:val="20"/>
          <w:szCs w:val="20"/>
        </w:rPr>
        <w:t>examining</w:t>
      </w:r>
      <w:r w:rsidRPr="00A14E66">
        <w:rPr>
          <w:rFonts w:ascii="Arial" w:hAnsi="Arial" w:cs="Arial"/>
          <w:i/>
          <w:iCs/>
          <w:color w:val="4F81BD" w:themeColor="accent1"/>
          <w:sz w:val="20"/>
          <w:szCs w:val="20"/>
        </w:rPr>
        <w:t xml:space="preserve"> the decarbonisation plans of the largest emitters</w:t>
      </w:r>
    </w:p>
    <w:p w14:paraId="2B1E60B3" w14:textId="77777777" w:rsidR="00125D49" w:rsidRDefault="005C2775" w:rsidP="0057444A">
      <w:pPr>
        <w:spacing w:after="120"/>
        <w:jc w:val="both"/>
        <w:rPr>
          <w:rFonts w:ascii="Arial" w:hAnsi="Arial" w:cs="Arial"/>
          <w:bCs/>
          <w:iCs/>
          <w:sz w:val="20"/>
          <w:szCs w:val="20"/>
        </w:rPr>
      </w:pPr>
      <w:r w:rsidRPr="00402580">
        <w:rPr>
          <w:rFonts w:ascii="Arial" w:hAnsi="Arial" w:cs="Arial"/>
          <w:bCs/>
          <w:iCs/>
          <w:sz w:val="20"/>
          <w:szCs w:val="20"/>
        </w:rPr>
        <w:t xml:space="preserve">We decided to examine some ETS installations in </w:t>
      </w:r>
      <w:r w:rsidR="003751DC">
        <w:rPr>
          <w:rFonts w:ascii="Arial" w:hAnsi="Arial" w:cs="Arial"/>
          <w:sz w:val="20"/>
          <w:szCs w:val="20"/>
        </w:rPr>
        <w:t>Galați</w:t>
      </w:r>
      <w:r w:rsidR="00AB0880">
        <w:rPr>
          <w:rFonts w:ascii="Arial" w:hAnsi="Arial" w:cs="Arial"/>
          <w:sz w:val="20"/>
          <w:szCs w:val="20"/>
        </w:rPr>
        <w:t>,</w:t>
      </w:r>
      <w:r w:rsidR="00782BFD">
        <w:rPr>
          <w:rFonts w:ascii="Arial" w:hAnsi="Arial" w:cs="Arial"/>
          <w:sz w:val="20"/>
          <w:szCs w:val="20"/>
        </w:rPr>
        <w:t xml:space="preserve"> </w:t>
      </w:r>
      <w:r w:rsidR="000574CB" w:rsidRPr="00402580">
        <w:rPr>
          <w:rFonts w:ascii="Arial" w:hAnsi="Arial" w:cs="Arial"/>
          <w:sz w:val="20"/>
          <w:szCs w:val="20"/>
        </w:rPr>
        <w:t>Mureș</w:t>
      </w:r>
      <w:r w:rsidR="00AB0880">
        <w:rPr>
          <w:rFonts w:ascii="Arial" w:hAnsi="Arial" w:cs="Arial"/>
          <w:sz w:val="20"/>
          <w:szCs w:val="20"/>
        </w:rPr>
        <w:t>, Hunedoara and Prahova</w:t>
      </w:r>
      <w:r w:rsidR="000574CB" w:rsidRPr="00402580">
        <w:rPr>
          <w:rFonts w:ascii="Arial" w:hAnsi="Arial" w:cs="Arial"/>
          <w:sz w:val="20"/>
          <w:szCs w:val="20"/>
        </w:rPr>
        <w:t xml:space="preserve"> </w:t>
      </w:r>
      <w:r w:rsidR="00A76BD4">
        <w:rPr>
          <w:rFonts w:ascii="Arial" w:hAnsi="Arial" w:cs="Arial"/>
          <w:sz w:val="20"/>
          <w:szCs w:val="20"/>
        </w:rPr>
        <w:t>C</w:t>
      </w:r>
      <w:r w:rsidR="000574CB" w:rsidRPr="00402580">
        <w:rPr>
          <w:rFonts w:ascii="Arial" w:hAnsi="Arial" w:cs="Arial"/>
          <w:sz w:val="20"/>
          <w:szCs w:val="20"/>
        </w:rPr>
        <w:t>ounties</w:t>
      </w:r>
      <w:r w:rsidR="000574CB" w:rsidRPr="00402580">
        <w:rPr>
          <w:rFonts w:ascii="Arial" w:hAnsi="Arial" w:cs="Arial"/>
          <w:b/>
          <w:bCs/>
          <w:i/>
          <w:iCs/>
          <w:sz w:val="20"/>
          <w:szCs w:val="20"/>
        </w:rPr>
        <w:t xml:space="preserve"> </w:t>
      </w:r>
      <w:r w:rsidRPr="00402580">
        <w:rPr>
          <w:rFonts w:ascii="Arial" w:hAnsi="Arial" w:cs="Arial"/>
          <w:bCs/>
          <w:iCs/>
          <w:sz w:val="20"/>
          <w:szCs w:val="20"/>
        </w:rPr>
        <w:t>in further detail</w:t>
      </w:r>
      <w:r w:rsidR="00AB0880">
        <w:rPr>
          <w:rFonts w:ascii="Arial" w:hAnsi="Arial" w:cs="Arial"/>
          <w:bCs/>
          <w:iCs/>
          <w:sz w:val="20"/>
          <w:szCs w:val="20"/>
        </w:rPr>
        <w:t>.</w:t>
      </w:r>
      <w:r w:rsidR="00064D33">
        <w:rPr>
          <w:rFonts w:ascii="Arial" w:hAnsi="Arial" w:cs="Arial"/>
          <w:bCs/>
          <w:iCs/>
          <w:sz w:val="20"/>
          <w:szCs w:val="20"/>
        </w:rPr>
        <w:t xml:space="preserve"> </w:t>
      </w:r>
      <w:r w:rsidR="00AB0880">
        <w:rPr>
          <w:rFonts w:ascii="Arial" w:hAnsi="Arial" w:cs="Arial"/>
          <w:bCs/>
          <w:iCs/>
          <w:sz w:val="20"/>
          <w:szCs w:val="20"/>
        </w:rPr>
        <w:t>D</w:t>
      </w:r>
      <w:r w:rsidRPr="00402580">
        <w:rPr>
          <w:rFonts w:ascii="Arial" w:hAnsi="Arial" w:cs="Arial"/>
          <w:bCs/>
          <w:iCs/>
          <w:sz w:val="20"/>
          <w:szCs w:val="20"/>
        </w:rPr>
        <w:t>uring the stakeholder consultation process</w:t>
      </w:r>
      <w:r w:rsidR="00A76BD4">
        <w:rPr>
          <w:rFonts w:ascii="Arial" w:hAnsi="Arial" w:cs="Arial"/>
          <w:bCs/>
          <w:iCs/>
          <w:sz w:val="20"/>
          <w:szCs w:val="20"/>
        </w:rPr>
        <w:t>,</w:t>
      </w:r>
      <w:r w:rsidR="00AB0880">
        <w:rPr>
          <w:rFonts w:ascii="Arial" w:hAnsi="Arial" w:cs="Arial"/>
          <w:bCs/>
          <w:iCs/>
          <w:sz w:val="20"/>
          <w:szCs w:val="20"/>
        </w:rPr>
        <w:t xml:space="preserve"> the two main ETS installation operators </w:t>
      </w:r>
      <w:r w:rsidRPr="00402580">
        <w:rPr>
          <w:rFonts w:ascii="Arial" w:hAnsi="Arial" w:cs="Arial"/>
          <w:bCs/>
          <w:iCs/>
          <w:sz w:val="20"/>
          <w:szCs w:val="20"/>
        </w:rPr>
        <w:t xml:space="preserve">that </w:t>
      </w:r>
      <w:r w:rsidR="00AB0880">
        <w:rPr>
          <w:rFonts w:ascii="Arial" w:hAnsi="Arial" w:cs="Arial"/>
          <w:bCs/>
          <w:iCs/>
          <w:sz w:val="20"/>
          <w:szCs w:val="20"/>
        </w:rPr>
        <w:t>presented detailed project ideas</w:t>
      </w:r>
      <w:r w:rsidRPr="00402580">
        <w:rPr>
          <w:rFonts w:ascii="Arial" w:hAnsi="Arial" w:cs="Arial"/>
          <w:bCs/>
          <w:iCs/>
          <w:sz w:val="20"/>
          <w:szCs w:val="20"/>
        </w:rPr>
        <w:t xml:space="preserve"> potentially eligible under JT</w:t>
      </w:r>
      <w:r w:rsidR="00BF6648">
        <w:rPr>
          <w:rFonts w:ascii="Arial" w:hAnsi="Arial" w:cs="Arial"/>
          <w:bCs/>
          <w:iCs/>
          <w:sz w:val="20"/>
          <w:szCs w:val="20"/>
        </w:rPr>
        <w:t>F</w:t>
      </w:r>
      <w:r w:rsidR="00AB0880">
        <w:rPr>
          <w:rFonts w:ascii="Arial" w:hAnsi="Arial" w:cs="Arial"/>
          <w:bCs/>
          <w:iCs/>
          <w:sz w:val="20"/>
          <w:szCs w:val="20"/>
        </w:rPr>
        <w:t xml:space="preserve"> </w:t>
      </w:r>
      <w:r w:rsidR="00A76BD4">
        <w:rPr>
          <w:rFonts w:ascii="Arial" w:hAnsi="Arial" w:cs="Arial"/>
          <w:bCs/>
          <w:iCs/>
          <w:sz w:val="20"/>
          <w:szCs w:val="20"/>
        </w:rPr>
        <w:t>were</w:t>
      </w:r>
      <w:r w:rsidR="00AB0880">
        <w:rPr>
          <w:rFonts w:ascii="Arial" w:hAnsi="Arial" w:cs="Arial"/>
          <w:bCs/>
          <w:iCs/>
          <w:sz w:val="20"/>
          <w:szCs w:val="20"/>
        </w:rPr>
        <w:t xml:space="preserve"> Liberty Gala</w:t>
      </w:r>
      <w:r w:rsidR="00AB0880">
        <w:rPr>
          <w:rFonts w:ascii="Arial" w:hAnsi="Arial" w:cs="Arial"/>
          <w:bCs/>
          <w:iCs/>
          <w:sz w:val="20"/>
          <w:szCs w:val="20"/>
          <w:lang w:val="ro-RO"/>
        </w:rPr>
        <w:t>ți and Azomureș</w:t>
      </w:r>
      <w:r w:rsidRPr="00402580">
        <w:rPr>
          <w:rFonts w:ascii="Arial" w:hAnsi="Arial" w:cs="Arial"/>
          <w:bCs/>
          <w:iCs/>
          <w:sz w:val="20"/>
          <w:szCs w:val="20"/>
        </w:rPr>
        <w:t>.</w:t>
      </w:r>
      <w:r w:rsidR="003D2716">
        <w:rPr>
          <w:rFonts w:ascii="Arial" w:hAnsi="Arial" w:cs="Arial"/>
          <w:bCs/>
          <w:iCs/>
          <w:sz w:val="20"/>
          <w:szCs w:val="20"/>
        </w:rPr>
        <w:t xml:space="preserve"> T</w:t>
      </w:r>
      <w:bookmarkStart w:id="39" w:name="_Hlk85564879"/>
      <w:r w:rsidR="003D2716">
        <w:rPr>
          <w:rFonts w:ascii="Arial" w:hAnsi="Arial" w:cs="Arial"/>
          <w:bCs/>
          <w:iCs/>
          <w:sz w:val="20"/>
          <w:szCs w:val="20"/>
        </w:rPr>
        <w:t xml:space="preserve">he other ETS installations in the six affected regions did </w:t>
      </w:r>
      <w:r w:rsidR="00F671EE">
        <w:rPr>
          <w:rFonts w:ascii="Arial" w:hAnsi="Arial" w:cs="Arial"/>
          <w:bCs/>
          <w:iCs/>
          <w:sz w:val="20"/>
          <w:szCs w:val="20"/>
        </w:rPr>
        <w:t>not</w:t>
      </w:r>
      <w:r w:rsidR="003D2716">
        <w:rPr>
          <w:rFonts w:ascii="Arial" w:hAnsi="Arial" w:cs="Arial"/>
          <w:bCs/>
          <w:iCs/>
          <w:sz w:val="20"/>
          <w:szCs w:val="20"/>
        </w:rPr>
        <w:t xml:space="preserve"> share concrete project ideas with the </w:t>
      </w:r>
      <w:r w:rsidR="00A76BD4">
        <w:rPr>
          <w:rFonts w:ascii="Arial" w:hAnsi="Arial" w:cs="Arial"/>
          <w:bCs/>
          <w:iCs/>
          <w:sz w:val="20"/>
          <w:szCs w:val="20"/>
        </w:rPr>
        <w:t xml:space="preserve">consultant </w:t>
      </w:r>
      <w:r w:rsidR="003D2716">
        <w:rPr>
          <w:rFonts w:ascii="Arial" w:hAnsi="Arial" w:cs="Arial"/>
          <w:bCs/>
          <w:iCs/>
          <w:sz w:val="20"/>
          <w:szCs w:val="20"/>
        </w:rPr>
        <w:t>team.</w:t>
      </w:r>
      <w:r w:rsidR="00F671EE">
        <w:rPr>
          <w:rFonts w:ascii="Arial" w:hAnsi="Arial" w:cs="Arial"/>
          <w:bCs/>
          <w:iCs/>
          <w:sz w:val="20"/>
          <w:szCs w:val="20"/>
        </w:rPr>
        <w:t xml:space="preserve"> </w:t>
      </w:r>
      <w:r w:rsidR="00A76BD4">
        <w:rPr>
          <w:rFonts w:ascii="Arial" w:hAnsi="Arial" w:cs="Arial"/>
          <w:bCs/>
          <w:iCs/>
          <w:sz w:val="20"/>
          <w:szCs w:val="20"/>
        </w:rPr>
        <w:t>I</w:t>
      </w:r>
      <w:r w:rsidR="00F671EE">
        <w:rPr>
          <w:rFonts w:ascii="Arial" w:hAnsi="Arial" w:cs="Arial"/>
          <w:bCs/>
          <w:iCs/>
          <w:sz w:val="20"/>
          <w:szCs w:val="20"/>
        </w:rPr>
        <w:t xml:space="preserve">n questionnaires circulated by the </w:t>
      </w:r>
      <w:r w:rsidR="004218B7">
        <w:rPr>
          <w:rFonts w:ascii="Arial" w:hAnsi="Arial" w:cs="Arial"/>
          <w:bCs/>
          <w:iCs/>
          <w:sz w:val="20"/>
          <w:szCs w:val="20"/>
        </w:rPr>
        <w:t>C</w:t>
      </w:r>
      <w:r w:rsidR="00F671EE">
        <w:rPr>
          <w:rFonts w:ascii="Arial" w:hAnsi="Arial" w:cs="Arial"/>
          <w:bCs/>
          <w:iCs/>
          <w:sz w:val="20"/>
          <w:szCs w:val="20"/>
        </w:rPr>
        <w:t xml:space="preserve">ounty </w:t>
      </w:r>
      <w:r w:rsidR="004218B7">
        <w:rPr>
          <w:rFonts w:ascii="Arial" w:hAnsi="Arial" w:cs="Arial"/>
          <w:bCs/>
          <w:iCs/>
          <w:sz w:val="20"/>
          <w:szCs w:val="20"/>
        </w:rPr>
        <w:t>C</w:t>
      </w:r>
      <w:r w:rsidR="00F671EE">
        <w:rPr>
          <w:rFonts w:ascii="Arial" w:hAnsi="Arial" w:cs="Arial"/>
          <w:bCs/>
          <w:iCs/>
          <w:sz w:val="20"/>
          <w:szCs w:val="20"/>
        </w:rPr>
        <w:t>ouncils</w:t>
      </w:r>
      <w:r w:rsidR="00A76BD4">
        <w:rPr>
          <w:rFonts w:ascii="Arial" w:hAnsi="Arial" w:cs="Arial"/>
          <w:bCs/>
          <w:iCs/>
          <w:sz w:val="20"/>
          <w:szCs w:val="20"/>
        </w:rPr>
        <w:t xml:space="preserve"> later on,</w:t>
      </w:r>
      <w:r w:rsidR="003D2716">
        <w:rPr>
          <w:rFonts w:ascii="Arial" w:hAnsi="Arial" w:cs="Arial"/>
          <w:bCs/>
          <w:iCs/>
          <w:sz w:val="20"/>
          <w:szCs w:val="20"/>
        </w:rPr>
        <w:t xml:space="preserve"> </w:t>
      </w:r>
      <w:r w:rsidR="00F671EE">
        <w:rPr>
          <w:rFonts w:ascii="Arial" w:hAnsi="Arial" w:cs="Arial"/>
          <w:bCs/>
          <w:iCs/>
          <w:sz w:val="20"/>
          <w:szCs w:val="20"/>
        </w:rPr>
        <w:t>very early</w:t>
      </w:r>
      <w:r w:rsidR="00331E90">
        <w:rPr>
          <w:rFonts w:ascii="Arial" w:hAnsi="Arial" w:cs="Arial"/>
          <w:bCs/>
          <w:iCs/>
          <w:sz w:val="20"/>
          <w:szCs w:val="20"/>
        </w:rPr>
        <w:t>-</w:t>
      </w:r>
      <w:r w:rsidR="00F671EE">
        <w:rPr>
          <w:rFonts w:ascii="Arial" w:hAnsi="Arial" w:cs="Arial"/>
          <w:bCs/>
          <w:iCs/>
          <w:sz w:val="20"/>
          <w:szCs w:val="20"/>
        </w:rPr>
        <w:t>stage ideas/project</w:t>
      </w:r>
      <w:r w:rsidR="00A76BD4">
        <w:rPr>
          <w:rFonts w:ascii="Arial" w:hAnsi="Arial" w:cs="Arial"/>
          <w:bCs/>
          <w:iCs/>
          <w:sz w:val="20"/>
          <w:szCs w:val="20"/>
        </w:rPr>
        <w:t xml:space="preserve"> were</w:t>
      </w:r>
      <w:r w:rsidR="00F671EE">
        <w:rPr>
          <w:rFonts w:ascii="Arial" w:hAnsi="Arial" w:cs="Arial"/>
          <w:bCs/>
          <w:iCs/>
          <w:sz w:val="20"/>
          <w:szCs w:val="20"/>
        </w:rPr>
        <w:t xml:space="preserve"> submitted by other ETS installations, namely Lukoil, Rompetrol</w:t>
      </w:r>
      <w:r w:rsidR="00AB0880">
        <w:rPr>
          <w:rFonts w:ascii="Arial" w:hAnsi="Arial" w:cs="Arial"/>
          <w:bCs/>
          <w:iCs/>
          <w:sz w:val="20"/>
          <w:szCs w:val="20"/>
        </w:rPr>
        <w:t xml:space="preserve">, </w:t>
      </w:r>
      <w:r w:rsidR="00F671EE">
        <w:rPr>
          <w:rFonts w:ascii="Arial" w:hAnsi="Arial" w:cs="Arial"/>
          <w:bCs/>
          <w:iCs/>
          <w:sz w:val="20"/>
          <w:szCs w:val="20"/>
        </w:rPr>
        <w:t>OMV Petrom</w:t>
      </w:r>
      <w:r w:rsidR="00AB0880">
        <w:rPr>
          <w:rFonts w:ascii="Arial" w:hAnsi="Arial" w:cs="Arial"/>
          <w:bCs/>
          <w:iCs/>
          <w:sz w:val="20"/>
          <w:szCs w:val="20"/>
        </w:rPr>
        <w:t xml:space="preserve">, </w:t>
      </w:r>
      <w:r w:rsidR="00A76BD4">
        <w:rPr>
          <w:rFonts w:ascii="Arial" w:hAnsi="Arial" w:cs="Arial"/>
          <w:bCs/>
          <w:iCs/>
          <w:sz w:val="20"/>
          <w:szCs w:val="20"/>
        </w:rPr>
        <w:t xml:space="preserve">and </w:t>
      </w:r>
      <w:r w:rsidR="00AB0880">
        <w:rPr>
          <w:rFonts w:ascii="Arial" w:hAnsi="Arial" w:cs="Arial"/>
          <w:bCs/>
          <w:iCs/>
          <w:sz w:val="20"/>
          <w:szCs w:val="20"/>
        </w:rPr>
        <w:t>ArcelorMittal</w:t>
      </w:r>
      <w:r w:rsidR="00F671EE">
        <w:rPr>
          <w:rFonts w:ascii="Arial" w:hAnsi="Arial" w:cs="Arial"/>
          <w:bCs/>
          <w:iCs/>
          <w:sz w:val="20"/>
          <w:szCs w:val="20"/>
        </w:rPr>
        <w:t>. However, Rompetrol is proposing ineligible projects, i.e.</w:t>
      </w:r>
      <w:r w:rsidR="00331E90">
        <w:rPr>
          <w:rFonts w:ascii="Arial" w:hAnsi="Arial" w:cs="Arial"/>
          <w:bCs/>
          <w:iCs/>
          <w:sz w:val="20"/>
          <w:szCs w:val="20"/>
        </w:rPr>
        <w:t>,</w:t>
      </w:r>
      <w:r w:rsidR="00F671EE">
        <w:rPr>
          <w:rFonts w:ascii="Arial" w:hAnsi="Arial" w:cs="Arial"/>
          <w:bCs/>
          <w:iCs/>
          <w:sz w:val="20"/>
          <w:szCs w:val="20"/>
        </w:rPr>
        <w:t xml:space="preserve"> training activities and auxiliary activities to </w:t>
      </w:r>
      <w:r w:rsidR="00A76BD4">
        <w:rPr>
          <w:rFonts w:ascii="Arial" w:hAnsi="Arial" w:cs="Arial"/>
          <w:bCs/>
          <w:iCs/>
          <w:sz w:val="20"/>
          <w:szCs w:val="20"/>
        </w:rPr>
        <w:t xml:space="preserve">their core business of </w:t>
      </w:r>
      <w:r w:rsidR="00F671EE">
        <w:rPr>
          <w:rFonts w:ascii="Arial" w:hAnsi="Arial" w:cs="Arial"/>
          <w:bCs/>
          <w:iCs/>
          <w:sz w:val="20"/>
          <w:szCs w:val="20"/>
        </w:rPr>
        <w:t>refinining. The ETS installation</w:t>
      </w:r>
      <w:r w:rsidR="00331E90">
        <w:rPr>
          <w:rFonts w:ascii="Arial" w:hAnsi="Arial" w:cs="Arial"/>
          <w:bCs/>
          <w:iCs/>
          <w:sz w:val="20"/>
          <w:szCs w:val="20"/>
        </w:rPr>
        <w:t>s</w:t>
      </w:r>
      <w:r w:rsidR="00F671EE">
        <w:rPr>
          <w:rFonts w:ascii="Arial" w:hAnsi="Arial" w:cs="Arial"/>
          <w:bCs/>
          <w:iCs/>
          <w:sz w:val="20"/>
          <w:szCs w:val="20"/>
        </w:rPr>
        <w:t xml:space="preserve"> from the oil &amp; gas sector that might be eligible under the very strict JTF Regulation conditions of granting funds to the fossil fuels industry </w:t>
      </w:r>
      <w:r w:rsidR="00331E90">
        <w:rPr>
          <w:rFonts w:ascii="Arial" w:hAnsi="Arial" w:cs="Arial"/>
          <w:bCs/>
          <w:iCs/>
          <w:sz w:val="20"/>
          <w:szCs w:val="20"/>
        </w:rPr>
        <w:t xml:space="preserve">are OMV Petrom and </w:t>
      </w:r>
      <w:r w:rsidR="00F671EE">
        <w:rPr>
          <w:rFonts w:ascii="Arial" w:hAnsi="Arial" w:cs="Arial"/>
          <w:bCs/>
          <w:iCs/>
          <w:sz w:val="20"/>
          <w:szCs w:val="20"/>
        </w:rPr>
        <w:t xml:space="preserve">Petrotel Lukoil, which </w:t>
      </w:r>
      <w:r w:rsidR="00A76BD4">
        <w:rPr>
          <w:rFonts w:ascii="Arial" w:hAnsi="Arial" w:cs="Arial"/>
          <w:bCs/>
          <w:iCs/>
          <w:sz w:val="20"/>
          <w:szCs w:val="20"/>
        </w:rPr>
        <w:t>proposed</w:t>
      </w:r>
      <w:r w:rsidR="00F671EE">
        <w:rPr>
          <w:rFonts w:ascii="Arial" w:hAnsi="Arial" w:cs="Arial"/>
          <w:bCs/>
          <w:iCs/>
          <w:sz w:val="20"/>
          <w:szCs w:val="20"/>
        </w:rPr>
        <w:t xml:space="preserve"> very general project idea</w:t>
      </w:r>
      <w:r w:rsidR="00331E90">
        <w:rPr>
          <w:rFonts w:ascii="Arial" w:hAnsi="Arial" w:cs="Arial"/>
          <w:bCs/>
          <w:iCs/>
          <w:sz w:val="20"/>
          <w:szCs w:val="20"/>
        </w:rPr>
        <w:t>s</w:t>
      </w:r>
      <w:r w:rsidR="00F671EE">
        <w:rPr>
          <w:rFonts w:ascii="Arial" w:hAnsi="Arial" w:cs="Arial"/>
          <w:bCs/>
          <w:iCs/>
          <w:sz w:val="20"/>
          <w:szCs w:val="20"/>
        </w:rPr>
        <w:t xml:space="preserve"> on biofuel production facilit</w:t>
      </w:r>
      <w:r w:rsidR="00A76BD4">
        <w:rPr>
          <w:rFonts w:ascii="Arial" w:hAnsi="Arial" w:cs="Arial"/>
          <w:bCs/>
          <w:iCs/>
          <w:sz w:val="20"/>
          <w:szCs w:val="20"/>
        </w:rPr>
        <w:t>ies</w:t>
      </w:r>
      <w:r w:rsidR="00F671EE">
        <w:rPr>
          <w:rFonts w:ascii="Arial" w:hAnsi="Arial" w:cs="Arial"/>
          <w:bCs/>
          <w:iCs/>
          <w:sz w:val="20"/>
          <w:szCs w:val="20"/>
        </w:rPr>
        <w:t xml:space="preserve">, </w:t>
      </w:r>
      <w:r w:rsidR="00A76BD4">
        <w:rPr>
          <w:rFonts w:ascii="Arial" w:hAnsi="Arial" w:cs="Arial"/>
          <w:bCs/>
          <w:iCs/>
          <w:sz w:val="20"/>
          <w:szCs w:val="20"/>
        </w:rPr>
        <w:t xml:space="preserve">which were </w:t>
      </w:r>
      <w:r w:rsidR="00F671EE">
        <w:rPr>
          <w:rFonts w:ascii="Arial" w:hAnsi="Arial" w:cs="Arial"/>
          <w:bCs/>
          <w:iCs/>
          <w:sz w:val="20"/>
          <w:szCs w:val="20"/>
        </w:rPr>
        <w:t>later analy</w:t>
      </w:r>
      <w:r w:rsidR="00A76BD4">
        <w:rPr>
          <w:rFonts w:ascii="Arial" w:hAnsi="Arial" w:cs="Arial"/>
          <w:bCs/>
          <w:iCs/>
          <w:sz w:val="20"/>
          <w:szCs w:val="20"/>
        </w:rPr>
        <w:t>s</w:t>
      </w:r>
      <w:r w:rsidR="00F671EE">
        <w:rPr>
          <w:rFonts w:ascii="Arial" w:hAnsi="Arial" w:cs="Arial"/>
          <w:bCs/>
          <w:iCs/>
          <w:sz w:val="20"/>
          <w:szCs w:val="20"/>
        </w:rPr>
        <w:t>ed through a</w:t>
      </w:r>
      <w:r w:rsidR="00A76BD4">
        <w:rPr>
          <w:rFonts w:ascii="Arial" w:hAnsi="Arial" w:cs="Arial"/>
          <w:bCs/>
          <w:iCs/>
          <w:sz w:val="20"/>
          <w:szCs w:val="20"/>
        </w:rPr>
        <w:t>n</w:t>
      </w:r>
      <w:r w:rsidR="00F671EE">
        <w:rPr>
          <w:rFonts w:ascii="Arial" w:hAnsi="Arial" w:cs="Arial"/>
          <w:bCs/>
          <w:iCs/>
          <w:sz w:val="20"/>
          <w:szCs w:val="20"/>
        </w:rPr>
        <w:t xml:space="preserve"> interview. </w:t>
      </w:r>
      <w:r w:rsidR="00125D49" w:rsidRPr="00125D49">
        <w:rPr>
          <w:rFonts w:ascii="Arial" w:hAnsi="Arial" w:cs="Arial"/>
          <w:bCs/>
          <w:iCs/>
          <w:sz w:val="20"/>
          <w:szCs w:val="20"/>
        </w:rPr>
        <w:t>In general, the ETS installations that have submitted projects proposals focus more on arguing how the named projects lead to emission reductions below benchmarks and less to job protection.</w:t>
      </w:r>
    </w:p>
    <w:p w14:paraId="19906AFD" w14:textId="094EB264" w:rsidR="005C2775" w:rsidRPr="0057444A" w:rsidRDefault="003D2716" w:rsidP="0057444A">
      <w:pPr>
        <w:spacing w:after="120"/>
        <w:jc w:val="both"/>
        <w:rPr>
          <w:rFonts w:ascii="Arial" w:hAnsi="Arial" w:cs="Arial"/>
          <w:bCs/>
          <w:iCs/>
          <w:sz w:val="20"/>
          <w:szCs w:val="20"/>
        </w:rPr>
      </w:pPr>
      <w:r>
        <w:rPr>
          <w:rFonts w:ascii="Arial" w:hAnsi="Arial" w:cs="Arial"/>
          <w:bCs/>
          <w:iCs/>
          <w:sz w:val="20"/>
          <w:szCs w:val="20"/>
        </w:rPr>
        <w:t>Our interpretation, based on the interviews we had with large companies in each of the six counties and in the group consultations organi</w:t>
      </w:r>
      <w:r w:rsidR="00A76BD4">
        <w:rPr>
          <w:rFonts w:ascii="Arial" w:hAnsi="Arial" w:cs="Arial"/>
          <w:bCs/>
          <w:iCs/>
          <w:sz w:val="20"/>
          <w:szCs w:val="20"/>
        </w:rPr>
        <w:t>s</w:t>
      </w:r>
      <w:r>
        <w:rPr>
          <w:rFonts w:ascii="Arial" w:hAnsi="Arial" w:cs="Arial"/>
          <w:bCs/>
          <w:iCs/>
          <w:sz w:val="20"/>
          <w:szCs w:val="20"/>
        </w:rPr>
        <w:t xml:space="preserve">ed by the </w:t>
      </w:r>
      <w:r w:rsidR="00A76BD4">
        <w:rPr>
          <w:rFonts w:ascii="Arial" w:hAnsi="Arial" w:cs="Arial"/>
          <w:bCs/>
          <w:iCs/>
          <w:sz w:val="20"/>
          <w:szCs w:val="20"/>
        </w:rPr>
        <w:t xml:space="preserve">consultant </w:t>
      </w:r>
      <w:r>
        <w:rPr>
          <w:rFonts w:ascii="Arial" w:hAnsi="Arial" w:cs="Arial"/>
          <w:bCs/>
          <w:iCs/>
          <w:sz w:val="20"/>
          <w:szCs w:val="20"/>
        </w:rPr>
        <w:t xml:space="preserve">team at the request of MIPE, is that </w:t>
      </w:r>
      <w:r w:rsidR="00A76BD4">
        <w:rPr>
          <w:rFonts w:ascii="Arial" w:hAnsi="Arial" w:cs="Arial"/>
          <w:bCs/>
          <w:iCs/>
          <w:sz w:val="20"/>
          <w:szCs w:val="20"/>
        </w:rPr>
        <w:t>the</w:t>
      </w:r>
      <w:r>
        <w:rPr>
          <w:rFonts w:ascii="Arial" w:hAnsi="Arial" w:cs="Arial"/>
          <w:bCs/>
          <w:iCs/>
          <w:sz w:val="20"/>
          <w:szCs w:val="20"/>
        </w:rPr>
        <w:t xml:space="preserve"> reluctance to put forward concrete projects is based on several </w:t>
      </w:r>
      <w:r w:rsidR="00B94E14">
        <w:rPr>
          <w:rFonts w:ascii="Arial" w:hAnsi="Arial" w:cs="Arial"/>
          <w:bCs/>
          <w:iCs/>
          <w:sz w:val="20"/>
          <w:szCs w:val="20"/>
        </w:rPr>
        <w:t xml:space="preserve">factors. First, companies expect to </w:t>
      </w:r>
      <w:r w:rsidR="00A76BD4">
        <w:rPr>
          <w:rFonts w:ascii="Arial" w:hAnsi="Arial" w:cs="Arial"/>
          <w:bCs/>
          <w:iCs/>
          <w:sz w:val="20"/>
          <w:szCs w:val="20"/>
        </w:rPr>
        <w:t>review</w:t>
      </w:r>
      <w:r w:rsidR="00B94E14">
        <w:rPr>
          <w:rFonts w:ascii="Arial" w:hAnsi="Arial" w:cs="Arial"/>
          <w:bCs/>
          <w:iCs/>
          <w:sz w:val="20"/>
          <w:szCs w:val="20"/>
        </w:rPr>
        <w:t xml:space="preserve"> the Operational Programme Just Transition (and others) before they invest resources in</w:t>
      </w:r>
      <w:r w:rsidR="00A76BD4">
        <w:rPr>
          <w:rFonts w:ascii="Arial" w:hAnsi="Arial" w:cs="Arial"/>
          <w:bCs/>
          <w:iCs/>
          <w:sz w:val="20"/>
          <w:szCs w:val="20"/>
        </w:rPr>
        <w:t>to</w:t>
      </w:r>
      <w:r w:rsidR="00B94E14">
        <w:rPr>
          <w:rFonts w:ascii="Arial" w:hAnsi="Arial" w:cs="Arial"/>
          <w:bCs/>
          <w:iCs/>
          <w:sz w:val="20"/>
          <w:szCs w:val="20"/>
        </w:rPr>
        <w:t xml:space="preserve"> project planning, pre-feasibility, etc. This creates a “chicken and egg” problem because the central government is looking for concrete ideas and investment plans from companies to shape the Operational</w:t>
      </w:r>
      <w:r w:rsidR="00782BFD">
        <w:rPr>
          <w:rFonts w:ascii="Arial" w:hAnsi="Arial" w:cs="Arial"/>
          <w:bCs/>
          <w:iCs/>
          <w:sz w:val="20"/>
          <w:szCs w:val="20"/>
        </w:rPr>
        <w:t xml:space="preserve"> Programme</w:t>
      </w:r>
      <w:r w:rsidR="00B94E14">
        <w:rPr>
          <w:rFonts w:ascii="Arial" w:hAnsi="Arial" w:cs="Arial"/>
          <w:bCs/>
          <w:iCs/>
          <w:sz w:val="20"/>
          <w:szCs w:val="20"/>
        </w:rPr>
        <w:t xml:space="preserve">. Second, many of the companies we consulted are in </w:t>
      </w:r>
      <w:r w:rsidR="00A76BD4">
        <w:rPr>
          <w:rFonts w:ascii="Arial" w:hAnsi="Arial" w:cs="Arial"/>
          <w:bCs/>
          <w:iCs/>
          <w:sz w:val="20"/>
          <w:szCs w:val="20"/>
        </w:rPr>
        <w:t xml:space="preserve">the </w:t>
      </w:r>
      <w:r w:rsidR="00B94E14">
        <w:rPr>
          <w:rFonts w:ascii="Arial" w:hAnsi="Arial" w:cs="Arial"/>
          <w:bCs/>
          <w:iCs/>
          <w:sz w:val="20"/>
          <w:szCs w:val="20"/>
        </w:rPr>
        <w:t xml:space="preserve">early stages of </w:t>
      </w:r>
      <w:r w:rsidR="00A76BD4">
        <w:rPr>
          <w:rFonts w:ascii="Arial" w:hAnsi="Arial" w:cs="Arial"/>
          <w:bCs/>
          <w:iCs/>
          <w:sz w:val="20"/>
          <w:szCs w:val="20"/>
        </w:rPr>
        <w:t>establishing</w:t>
      </w:r>
      <w:r w:rsidR="00B94E14">
        <w:rPr>
          <w:rFonts w:ascii="Arial" w:hAnsi="Arial" w:cs="Arial"/>
          <w:bCs/>
          <w:iCs/>
          <w:sz w:val="20"/>
          <w:szCs w:val="20"/>
        </w:rPr>
        <w:t xml:space="preserve"> internal EU funding teams and don’t have experience accessing EU funds</w:t>
      </w:r>
      <w:r w:rsidR="00A76BD4">
        <w:rPr>
          <w:rFonts w:ascii="Arial" w:hAnsi="Arial" w:cs="Arial"/>
          <w:bCs/>
          <w:iCs/>
          <w:sz w:val="20"/>
          <w:szCs w:val="20"/>
        </w:rPr>
        <w:t>. As a result,</w:t>
      </w:r>
      <w:r w:rsidR="00B94E14">
        <w:rPr>
          <w:rFonts w:ascii="Arial" w:hAnsi="Arial" w:cs="Arial"/>
          <w:bCs/>
          <w:iCs/>
          <w:sz w:val="20"/>
          <w:szCs w:val="20"/>
        </w:rPr>
        <w:t xml:space="preserve"> the</w:t>
      </w:r>
      <w:r w:rsidR="00A76BD4">
        <w:rPr>
          <w:rFonts w:ascii="Arial" w:hAnsi="Arial" w:cs="Arial"/>
          <w:bCs/>
          <w:iCs/>
          <w:sz w:val="20"/>
          <w:szCs w:val="20"/>
        </w:rPr>
        <w:t>y</w:t>
      </w:r>
      <w:r w:rsidR="00B94E14">
        <w:rPr>
          <w:rFonts w:ascii="Arial" w:hAnsi="Arial" w:cs="Arial"/>
          <w:bCs/>
          <w:iCs/>
          <w:sz w:val="20"/>
          <w:szCs w:val="20"/>
        </w:rPr>
        <w:t xml:space="preserve"> lack </w:t>
      </w:r>
      <w:r w:rsidR="00A76BD4">
        <w:rPr>
          <w:rFonts w:ascii="Arial" w:hAnsi="Arial" w:cs="Arial"/>
          <w:bCs/>
          <w:iCs/>
          <w:sz w:val="20"/>
          <w:szCs w:val="20"/>
        </w:rPr>
        <w:t>the</w:t>
      </w:r>
      <w:r w:rsidR="00B94E14">
        <w:rPr>
          <w:rFonts w:ascii="Arial" w:hAnsi="Arial" w:cs="Arial"/>
          <w:bCs/>
          <w:iCs/>
          <w:sz w:val="20"/>
          <w:szCs w:val="20"/>
        </w:rPr>
        <w:t xml:space="preserve"> ability to formulate investment ideas in a</w:t>
      </w:r>
      <w:r w:rsidR="00A76BD4">
        <w:rPr>
          <w:rFonts w:ascii="Arial" w:hAnsi="Arial" w:cs="Arial"/>
          <w:bCs/>
          <w:iCs/>
          <w:sz w:val="20"/>
          <w:szCs w:val="20"/>
        </w:rPr>
        <w:t>n</w:t>
      </w:r>
      <w:r w:rsidR="00B94E14">
        <w:rPr>
          <w:rFonts w:ascii="Arial" w:hAnsi="Arial" w:cs="Arial"/>
          <w:bCs/>
          <w:iCs/>
          <w:sz w:val="20"/>
          <w:szCs w:val="20"/>
        </w:rPr>
        <w:t xml:space="preserve"> EU-fit format/ with an EU-fit focus. Third, many companies have not adopted ambitious internal targets for carbon neutrality</w:t>
      </w:r>
      <w:r w:rsidR="004218B7">
        <w:rPr>
          <w:rFonts w:ascii="Arial" w:hAnsi="Arial" w:cs="Arial"/>
          <w:bCs/>
          <w:iCs/>
          <w:sz w:val="20"/>
          <w:szCs w:val="20"/>
        </w:rPr>
        <w:t>.</w:t>
      </w:r>
      <w:r w:rsidR="00A76BD4">
        <w:rPr>
          <w:rFonts w:ascii="Arial" w:hAnsi="Arial" w:cs="Arial"/>
          <w:bCs/>
          <w:iCs/>
          <w:sz w:val="20"/>
          <w:szCs w:val="20"/>
        </w:rPr>
        <w:t xml:space="preserve"> </w:t>
      </w:r>
      <w:r w:rsidR="004218B7">
        <w:rPr>
          <w:rFonts w:ascii="Arial" w:hAnsi="Arial" w:cs="Arial"/>
          <w:bCs/>
          <w:iCs/>
          <w:sz w:val="20"/>
          <w:szCs w:val="20"/>
        </w:rPr>
        <w:t>I</w:t>
      </w:r>
      <w:r w:rsidR="00B94E14">
        <w:rPr>
          <w:rFonts w:ascii="Arial" w:hAnsi="Arial" w:cs="Arial"/>
          <w:bCs/>
          <w:iCs/>
          <w:sz w:val="20"/>
          <w:szCs w:val="20"/>
        </w:rPr>
        <w:t>ncluding the refineries in Prahova, the</w:t>
      </w:r>
      <w:r w:rsidR="004218B7">
        <w:rPr>
          <w:rFonts w:ascii="Arial" w:hAnsi="Arial" w:cs="Arial"/>
          <w:bCs/>
          <w:iCs/>
          <w:sz w:val="20"/>
          <w:szCs w:val="20"/>
        </w:rPr>
        <w:t xml:space="preserve"> companies</w:t>
      </w:r>
      <w:r w:rsidR="00B94E14">
        <w:rPr>
          <w:rFonts w:ascii="Arial" w:hAnsi="Arial" w:cs="Arial"/>
          <w:bCs/>
          <w:iCs/>
          <w:sz w:val="20"/>
          <w:szCs w:val="20"/>
        </w:rPr>
        <w:t xml:space="preserve"> all have relatively small, incremental emissions reduction</w:t>
      </w:r>
      <w:r w:rsidR="004218B7">
        <w:rPr>
          <w:rFonts w:ascii="Arial" w:hAnsi="Arial" w:cs="Arial"/>
          <w:bCs/>
          <w:iCs/>
          <w:sz w:val="20"/>
          <w:szCs w:val="20"/>
        </w:rPr>
        <w:t xml:space="preserve"> targets</w:t>
      </w:r>
      <w:r w:rsidR="00B94E14">
        <w:rPr>
          <w:rFonts w:ascii="Arial" w:hAnsi="Arial" w:cs="Arial"/>
          <w:bCs/>
          <w:iCs/>
          <w:sz w:val="20"/>
          <w:szCs w:val="20"/>
        </w:rPr>
        <w:t xml:space="preserve"> and some have no public targets</w:t>
      </w:r>
      <w:r w:rsidR="004218B7">
        <w:rPr>
          <w:rFonts w:ascii="Arial" w:hAnsi="Arial" w:cs="Arial"/>
          <w:bCs/>
          <w:iCs/>
          <w:sz w:val="20"/>
          <w:szCs w:val="20"/>
        </w:rPr>
        <w:t xml:space="preserve"> at all</w:t>
      </w:r>
      <w:r w:rsidR="00B94E14">
        <w:rPr>
          <w:rFonts w:ascii="Arial" w:hAnsi="Arial" w:cs="Arial"/>
          <w:bCs/>
          <w:iCs/>
          <w:sz w:val="20"/>
          <w:szCs w:val="20"/>
        </w:rPr>
        <w:t xml:space="preserve"> (and could not formulate them concretely during the interviews). This may </w:t>
      </w:r>
      <w:r w:rsidR="004218B7">
        <w:rPr>
          <w:rFonts w:ascii="Arial" w:hAnsi="Arial" w:cs="Arial"/>
          <w:bCs/>
          <w:iCs/>
          <w:sz w:val="20"/>
          <w:szCs w:val="20"/>
        </w:rPr>
        <w:t>be related to</w:t>
      </w:r>
      <w:r w:rsidR="00B94E14">
        <w:rPr>
          <w:rFonts w:ascii="Arial" w:hAnsi="Arial" w:cs="Arial"/>
          <w:bCs/>
          <w:iCs/>
          <w:sz w:val="20"/>
          <w:szCs w:val="20"/>
        </w:rPr>
        <w:t xml:space="preserve"> the fact the government has not sent a strong enough message regarding the national commitment </w:t>
      </w:r>
      <w:r w:rsidR="004218B7">
        <w:rPr>
          <w:rFonts w:ascii="Arial" w:hAnsi="Arial" w:cs="Arial"/>
          <w:bCs/>
          <w:iCs/>
          <w:sz w:val="20"/>
          <w:szCs w:val="20"/>
        </w:rPr>
        <w:t>to</w:t>
      </w:r>
      <w:r w:rsidR="00B94E14">
        <w:rPr>
          <w:rFonts w:ascii="Arial" w:hAnsi="Arial" w:cs="Arial"/>
          <w:bCs/>
          <w:iCs/>
          <w:sz w:val="20"/>
          <w:szCs w:val="20"/>
        </w:rPr>
        <w:t xml:space="preserve"> carbon neutrality. It also has to do – and this is an opinion that was shared by the County Councils with the team of consultants – with the fact that climate policies are not sufficiently mainstreamed and explained at local level, either towards authorities or towards the private sector</w:t>
      </w:r>
      <w:r w:rsidR="004218B7">
        <w:rPr>
          <w:rFonts w:ascii="Arial" w:hAnsi="Arial" w:cs="Arial"/>
          <w:bCs/>
          <w:iCs/>
          <w:sz w:val="20"/>
          <w:szCs w:val="20"/>
        </w:rPr>
        <w:t>.</w:t>
      </w:r>
      <w:r w:rsidR="00B94E14">
        <w:rPr>
          <w:rFonts w:ascii="Arial" w:hAnsi="Arial" w:cs="Arial"/>
          <w:bCs/>
          <w:iCs/>
          <w:sz w:val="20"/>
          <w:szCs w:val="20"/>
        </w:rPr>
        <w:t xml:space="preserve"> </w:t>
      </w:r>
      <w:r w:rsidR="004218B7">
        <w:rPr>
          <w:rFonts w:ascii="Arial" w:hAnsi="Arial" w:cs="Arial"/>
          <w:bCs/>
          <w:iCs/>
          <w:sz w:val="20"/>
          <w:szCs w:val="20"/>
        </w:rPr>
        <w:t>As a result,</w:t>
      </w:r>
      <w:r w:rsidR="00B94E14">
        <w:rPr>
          <w:rFonts w:ascii="Arial" w:hAnsi="Arial" w:cs="Arial"/>
          <w:bCs/>
          <w:iCs/>
          <w:sz w:val="20"/>
          <w:szCs w:val="20"/>
        </w:rPr>
        <w:t xml:space="preserve"> companies and regions do not understand how much they need to contribute to the national </w:t>
      </w:r>
      <w:r w:rsidR="00B94E14">
        <w:rPr>
          <w:rFonts w:ascii="Arial" w:hAnsi="Arial" w:cs="Arial"/>
          <w:bCs/>
          <w:iCs/>
          <w:sz w:val="20"/>
          <w:szCs w:val="20"/>
        </w:rPr>
        <w:lastRenderedPageBreak/>
        <w:t>target. The lack of intermediary targets does not i</w:t>
      </w:r>
      <w:r w:rsidR="00681676">
        <w:rPr>
          <w:rFonts w:ascii="Arial" w:hAnsi="Arial" w:cs="Arial"/>
          <w:bCs/>
          <w:iCs/>
          <w:sz w:val="20"/>
          <w:szCs w:val="20"/>
        </w:rPr>
        <w:t>mprove the situation</w:t>
      </w:r>
      <w:r w:rsidR="004218B7">
        <w:rPr>
          <w:rFonts w:ascii="Arial" w:hAnsi="Arial" w:cs="Arial"/>
          <w:bCs/>
          <w:iCs/>
          <w:sz w:val="20"/>
          <w:szCs w:val="20"/>
        </w:rPr>
        <w:t>.</w:t>
      </w:r>
      <w:r w:rsidR="00681676">
        <w:rPr>
          <w:rFonts w:ascii="Arial" w:hAnsi="Arial" w:cs="Arial"/>
          <w:bCs/>
          <w:iCs/>
          <w:sz w:val="20"/>
          <w:szCs w:val="20"/>
        </w:rPr>
        <w:t xml:space="preserve"> </w:t>
      </w:r>
      <w:r w:rsidR="004218B7">
        <w:rPr>
          <w:rFonts w:ascii="Arial" w:hAnsi="Arial" w:cs="Arial"/>
          <w:bCs/>
          <w:iCs/>
          <w:sz w:val="20"/>
          <w:szCs w:val="20"/>
        </w:rPr>
        <w:t>E</w:t>
      </w:r>
      <w:r w:rsidR="00681676">
        <w:rPr>
          <w:rFonts w:ascii="Arial" w:hAnsi="Arial" w:cs="Arial"/>
          <w:bCs/>
          <w:iCs/>
          <w:sz w:val="20"/>
          <w:szCs w:val="20"/>
        </w:rPr>
        <w:t xml:space="preserve">ven if there is knowledge of </w:t>
      </w:r>
      <w:r w:rsidR="004218B7">
        <w:rPr>
          <w:rFonts w:ascii="Arial" w:hAnsi="Arial" w:cs="Arial"/>
          <w:bCs/>
          <w:iCs/>
          <w:sz w:val="20"/>
          <w:szCs w:val="20"/>
        </w:rPr>
        <w:t xml:space="preserve">the </w:t>
      </w:r>
      <w:r w:rsidR="00681676">
        <w:rPr>
          <w:rFonts w:ascii="Arial" w:hAnsi="Arial" w:cs="Arial"/>
          <w:bCs/>
          <w:iCs/>
          <w:sz w:val="20"/>
          <w:szCs w:val="20"/>
        </w:rPr>
        <w:t xml:space="preserve">EU’s plans </w:t>
      </w:r>
      <w:r w:rsidR="004218B7">
        <w:rPr>
          <w:rFonts w:ascii="Arial" w:hAnsi="Arial" w:cs="Arial"/>
          <w:bCs/>
          <w:iCs/>
          <w:sz w:val="20"/>
          <w:szCs w:val="20"/>
        </w:rPr>
        <w:t>for</w:t>
      </w:r>
      <w:r w:rsidR="00681676">
        <w:rPr>
          <w:rFonts w:ascii="Arial" w:hAnsi="Arial" w:cs="Arial"/>
          <w:bCs/>
          <w:iCs/>
          <w:sz w:val="20"/>
          <w:szCs w:val="20"/>
        </w:rPr>
        <w:t xml:space="preserve"> carbon neutrality by 2050, </w:t>
      </w:r>
      <w:r w:rsidR="004218B7">
        <w:rPr>
          <w:rFonts w:ascii="Arial" w:hAnsi="Arial" w:cs="Arial"/>
          <w:bCs/>
          <w:iCs/>
          <w:sz w:val="20"/>
          <w:szCs w:val="20"/>
        </w:rPr>
        <w:t>the</w:t>
      </w:r>
      <w:r w:rsidR="00681676">
        <w:rPr>
          <w:rFonts w:ascii="Arial" w:hAnsi="Arial" w:cs="Arial"/>
          <w:bCs/>
          <w:iCs/>
          <w:sz w:val="20"/>
          <w:szCs w:val="20"/>
        </w:rPr>
        <w:t xml:space="preserve"> intermediary/yearly national targets for Romania</w:t>
      </w:r>
      <w:r w:rsidR="004218B7">
        <w:rPr>
          <w:rFonts w:ascii="Arial" w:hAnsi="Arial" w:cs="Arial"/>
          <w:bCs/>
          <w:iCs/>
          <w:sz w:val="20"/>
          <w:szCs w:val="20"/>
        </w:rPr>
        <w:t xml:space="preserve"> are not clear</w:t>
      </w:r>
      <w:r w:rsidR="00681676">
        <w:rPr>
          <w:rFonts w:ascii="Arial" w:hAnsi="Arial" w:cs="Arial"/>
          <w:bCs/>
          <w:iCs/>
          <w:sz w:val="20"/>
          <w:szCs w:val="20"/>
        </w:rPr>
        <w:t xml:space="preserve">. The most important aspect is that there isn’t transparent sharing of the emissions reduction obligations at </w:t>
      </w:r>
      <w:r w:rsidR="004218B7">
        <w:rPr>
          <w:rFonts w:ascii="Arial" w:hAnsi="Arial" w:cs="Arial"/>
          <w:bCs/>
          <w:iCs/>
          <w:sz w:val="20"/>
          <w:szCs w:val="20"/>
        </w:rPr>
        <w:t xml:space="preserve">the </w:t>
      </w:r>
      <w:r w:rsidR="00681676">
        <w:rPr>
          <w:rFonts w:ascii="Arial" w:hAnsi="Arial" w:cs="Arial"/>
          <w:bCs/>
          <w:iCs/>
          <w:sz w:val="20"/>
          <w:szCs w:val="20"/>
        </w:rPr>
        <w:t>regional and/or company level</w:t>
      </w:r>
      <w:r w:rsidR="00431A6B">
        <w:rPr>
          <w:rFonts w:ascii="Arial" w:hAnsi="Arial" w:cs="Arial"/>
          <w:bCs/>
          <w:iCs/>
          <w:sz w:val="20"/>
          <w:szCs w:val="20"/>
        </w:rPr>
        <w:t>. I</w:t>
      </w:r>
      <w:r w:rsidR="00681676">
        <w:rPr>
          <w:rFonts w:ascii="Arial" w:hAnsi="Arial" w:cs="Arial"/>
          <w:bCs/>
          <w:iCs/>
          <w:sz w:val="20"/>
          <w:szCs w:val="20"/>
        </w:rPr>
        <w:t xml:space="preserve">n other words, </w:t>
      </w:r>
      <w:r w:rsidR="00431A6B">
        <w:rPr>
          <w:rFonts w:ascii="Arial" w:hAnsi="Arial" w:cs="Arial"/>
          <w:bCs/>
          <w:iCs/>
          <w:sz w:val="20"/>
          <w:szCs w:val="20"/>
        </w:rPr>
        <w:t>if</w:t>
      </w:r>
      <w:r w:rsidR="00681676">
        <w:rPr>
          <w:rFonts w:ascii="Arial" w:hAnsi="Arial" w:cs="Arial"/>
          <w:bCs/>
          <w:iCs/>
          <w:sz w:val="20"/>
          <w:szCs w:val="20"/>
        </w:rPr>
        <w:t xml:space="preserve"> Romania</w:t>
      </w:r>
      <w:r w:rsidR="00431A6B">
        <w:rPr>
          <w:rFonts w:ascii="Arial" w:hAnsi="Arial" w:cs="Arial"/>
          <w:bCs/>
          <w:iCs/>
          <w:sz w:val="20"/>
          <w:szCs w:val="20"/>
        </w:rPr>
        <w:t xml:space="preserve"> is</w:t>
      </w:r>
      <w:r w:rsidR="00681676">
        <w:rPr>
          <w:rFonts w:ascii="Arial" w:hAnsi="Arial" w:cs="Arial"/>
          <w:bCs/>
          <w:iCs/>
          <w:sz w:val="20"/>
          <w:szCs w:val="20"/>
        </w:rPr>
        <w:t xml:space="preserve"> to meet the NECP targets (adopted by law), how much does </w:t>
      </w:r>
      <w:r w:rsidR="00431A6B">
        <w:rPr>
          <w:rFonts w:ascii="Arial" w:hAnsi="Arial" w:cs="Arial"/>
          <w:bCs/>
          <w:iCs/>
          <w:sz w:val="20"/>
          <w:szCs w:val="20"/>
        </w:rPr>
        <w:t>“</w:t>
      </w:r>
      <w:r w:rsidR="00681676">
        <w:rPr>
          <w:rFonts w:ascii="Arial" w:hAnsi="Arial" w:cs="Arial"/>
          <w:bCs/>
          <w:iCs/>
          <w:sz w:val="20"/>
          <w:szCs w:val="20"/>
        </w:rPr>
        <w:t>county X</w:t>
      </w:r>
      <w:r w:rsidR="00431A6B">
        <w:rPr>
          <w:rFonts w:ascii="Arial" w:hAnsi="Arial" w:cs="Arial"/>
          <w:bCs/>
          <w:iCs/>
          <w:sz w:val="20"/>
          <w:szCs w:val="20"/>
        </w:rPr>
        <w:t>”</w:t>
      </w:r>
      <w:r w:rsidR="00681676">
        <w:rPr>
          <w:rFonts w:ascii="Arial" w:hAnsi="Arial" w:cs="Arial"/>
          <w:bCs/>
          <w:iCs/>
          <w:sz w:val="20"/>
          <w:szCs w:val="20"/>
        </w:rPr>
        <w:t xml:space="preserve"> need to contribute and by when. More policy planning assistance is needed </w:t>
      </w:r>
      <w:r w:rsidR="00431A6B">
        <w:rPr>
          <w:rFonts w:ascii="Arial" w:hAnsi="Arial" w:cs="Arial"/>
          <w:bCs/>
          <w:iCs/>
          <w:sz w:val="20"/>
          <w:szCs w:val="20"/>
        </w:rPr>
        <w:t>to</w:t>
      </w:r>
      <w:r w:rsidR="00681676">
        <w:rPr>
          <w:rFonts w:ascii="Arial" w:hAnsi="Arial" w:cs="Arial"/>
          <w:bCs/>
          <w:iCs/>
          <w:sz w:val="20"/>
          <w:szCs w:val="20"/>
        </w:rPr>
        <w:t xml:space="preserve"> help regional authorities and companie</w:t>
      </w:r>
      <w:r w:rsidR="00431A6B">
        <w:rPr>
          <w:rFonts w:ascii="Arial" w:hAnsi="Arial" w:cs="Arial"/>
          <w:bCs/>
          <w:iCs/>
          <w:sz w:val="20"/>
          <w:szCs w:val="20"/>
        </w:rPr>
        <w:t>s</w:t>
      </w:r>
      <w:r w:rsidR="00681676">
        <w:rPr>
          <w:rFonts w:ascii="Arial" w:hAnsi="Arial" w:cs="Arial"/>
          <w:bCs/>
          <w:iCs/>
          <w:sz w:val="20"/>
          <w:szCs w:val="20"/>
        </w:rPr>
        <w:t xml:space="preserve"> break down and understand their responsibilities. In general, alternative funding is targeted, particularly by energy companies and/or energy-intensive companies, especially the Moderni</w:t>
      </w:r>
      <w:r w:rsidR="00431A6B">
        <w:rPr>
          <w:rFonts w:ascii="Arial" w:hAnsi="Arial" w:cs="Arial"/>
          <w:bCs/>
          <w:iCs/>
          <w:sz w:val="20"/>
          <w:szCs w:val="20"/>
        </w:rPr>
        <w:t>s</w:t>
      </w:r>
      <w:r w:rsidR="00681676">
        <w:rPr>
          <w:rFonts w:ascii="Arial" w:hAnsi="Arial" w:cs="Arial"/>
          <w:bCs/>
          <w:iCs/>
          <w:sz w:val="20"/>
          <w:szCs w:val="20"/>
        </w:rPr>
        <w:t>ation Fund. It has been understood that the JTF is primarily targeting the social impact of the transition and not its energy impact</w:t>
      </w:r>
      <w:r w:rsidR="00431A6B">
        <w:rPr>
          <w:rFonts w:ascii="Arial" w:hAnsi="Arial" w:cs="Arial"/>
          <w:bCs/>
          <w:iCs/>
          <w:sz w:val="20"/>
          <w:szCs w:val="20"/>
        </w:rPr>
        <w:t xml:space="preserve">. As a resukt, </w:t>
      </w:r>
      <w:r w:rsidR="00681676">
        <w:rPr>
          <w:rFonts w:ascii="Arial" w:hAnsi="Arial" w:cs="Arial"/>
          <w:bCs/>
          <w:iCs/>
          <w:sz w:val="20"/>
          <w:szCs w:val="20"/>
        </w:rPr>
        <w:t>emissions reductions</w:t>
      </w:r>
      <w:r w:rsidR="00431A6B">
        <w:rPr>
          <w:rFonts w:ascii="Arial" w:hAnsi="Arial" w:cs="Arial"/>
          <w:bCs/>
          <w:iCs/>
          <w:sz w:val="20"/>
          <w:szCs w:val="20"/>
        </w:rPr>
        <w:t xml:space="preserve"> by</w:t>
      </w:r>
      <w:r w:rsidR="00681676">
        <w:rPr>
          <w:rFonts w:ascii="Arial" w:hAnsi="Arial" w:cs="Arial"/>
          <w:bCs/>
          <w:iCs/>
          <w:sz w:val="20"/>
          <w:szCs w:val="20"/>
        </w:rPr>
        <w:t xml:space="preserve"> companies for ETS installations would not necessarily be prioriti</w:t>
      </w:r>
      <w:r w:rsidR="00431A6B">
        <w:rPr>
          <w:rFonts w:ascii="Arial" w:hAnsi="Arial" w:cs="Arial"/>
          <w:bCs/>
          <w:iCs/>
          <w:sz w:val="20"/>
          <w:szCs w:val="20"/>
        </w:rPr>
        <w:t>s</w:t>
      </w:r>
      <w:r w:rsidR="00681676">
        <w:rPr>
          <w:rFonts w:ascii="Arial" w:hAnsi="Arial" w:cs="Arial"/>
          <w:bCs/>
          <w:iCs/>
          <w:sz w:val="20"/>
          <w:szCs w:val="20"/>
        </w:rPr>
        <w:t xml:space="preserve">ed within the JTF framework. </w:t>
      </w:r>
    </w:p>
    <w:bookmarkEnd w:id="39"/>
    <w:p w14:paraId="49C1E47C" w14:textId="389E9BC2" w:rsidR="005C2775" w:rsidRPr="003516DC" w:rsidRDefault="005C2775" w:rsidP="0057444A">
      <w:pPr>
        <w:spacing w:after="120"/>
        <w:jc w:val="both"/>
        <w:rPr>
          <w:rFonts w:ascii="Arial" w:hAnsi="Arial" w:cs="Arial"/>
          <w:i/>
          <w:iCs/>
          <w:color w:val="0070C0"/>
          <w:sz w:val="20"/>
          <w:szCs w:val="20"/>
        </w:rPr>
      </w:pPr>
      <w:r w:rsidRPr="003516DC">
        <w:rPr>
          <w:rFonts w:ascii="Arial" w:hAnsi="Arial" w:cs="Arial"/>
          <w:i/>
          <w:iCs/>
          <w:color w:val="0070C0"/>
          <w:sz w:val="20"/>
          <w:szCs w:val="20"/>
        </w:rPr>
        <w:t>Introduction</w:t>
      </w:r>
    </w:p>
    <w:p w14:paraId="326C18F6" w14:textId="711EC83F" w:rsidR="00B50738" w:rsidRPr="00782BFD" w:rsidRDefault="005C2775" w:rsidP="00782BFD">
      <w:pPr>
        <w:spacing w:after="120"/>
        <w:jc w:val="both"/>
        <w:rPr>
          <w:rFonts w:ascii="Arial" w:hAnsi="Arial" w:cs="Arial"/>
          <w:sz w:val="20"/>
          <w:szCs w:val="20"/>
        </w:rPr>
      </w:pPr>
      <w:r w:rsidRPr="00782BFD">
        <w:rPr>
          <w:rFonts w:ascii="Arial" w:hAnsi="Arial" w:cs="Arial"/>
          <w:sz w:val="20"/>
          <w:szCs w:val="20"/>
        </w:rPr>
        <w:t xml:space="preserve">The Overview of Investment Guidance on the Just Transition Fund (Annex D) provides a country level overview </w:t>
      </w:r>
      <w:r w:rsidR="00A61F5C" w:rsidRPr="00782BFD">
        <w:rPr>
          <w:rFonts w:ascii="Arial" w:hAnsi="Arial" w:cs="Arial"/>
          <w:sz w:val="20"/>
          <w:szCs w:val="20"/>
        </w:rPr>
        <w:t>for</w:t>
      </w:r>
      <w:r w:rsidRPr="00782BFD">
        <w:rPr>
          <w:rFonts w:ascii="Arial" w:hAnsi="Arial" w:cs="Arial"/>
          <w:sz w:val="20"/>
          <w:szCs w:val="20"/>
        </w:rPr>
        <w:t xml:space="preserve"> each European Union country most affected by the energy transition. According to the document, Hunedoara and Gorj represent 90% of greenhouse gas emissions (GHG) </w:t>
      </w:r>
      <w:r w:rsidR="00A61F5C" w:rsidRPr="00782BFD">
        <w:rPr>
          <w:rFonts w:ascii="Arial" w:hAnsi="Arial" w:cs="Arial"/>
          <w:sz w:val="20"/>
          <w:szCs w:val="20"/>
        </w:rPr>
        <w:t>for</w:t>
      </w:r>
      <w:r w:rsidRPr="00782BFD">
        <w:rPr>
          <w:rFonts w:ascii="Arial" w:hAnsi="Arial" w:cs="Arial"/>
          <w:sz w:val="20"/>
          <w:szCs w:val="20"/>
        </w:rPr>
        <w:t xml:space="preserve"> Romania’s coal power plants and approximately 30% of all GHG emissions </w:t>
      </w:r>
      <w:r w:rsidR="00A61F5C" w:rsidRPr="00782BFD">
        <w:rPr>
          <w:rFonts w:ascii="Arial" w:hAnsi="Arial" w:cs="Arial"/>
          <w:sz w:val="20"/>
          <w:szCs w:val="20"/>
        </w:rPr>
        <w:t>from</w:t>
      </w:r>
      <w:r w:rsidRPr="00782BFD">
        <w:rPr>
          <w:rFonts w:ascii="Arial" w:hAnsi="Arial" w:cs="Arial"/>
          <w:sz w:val="20"/>
          <w:szCs w:val="20"/>
        </w:rPr>
        <w:t xml:space="preserve"> mining and manufacturing. The weight of coal mining and electricity generation from coal poses significant challenges in tapping the pool of funds available through the Just Transition Fund for large enterprises, among others.</w:t>
      </w:r>
      <w:r w:rsidR="00B50738" w:rsidRPr="00782BFD">
        <w:rPr>
          <w:rFonts w:ascii="Arial" w:hAnsi="Arial" w:cs="Arial"/>
          <w:sz w:val="20"/>
          <w:szCs w:val="20"/>
        </w:rPr>
        <w:t xml:space="preserve"> </w:t>
      </w:r>
      <w:bookmarkStart w:id="40" w:name="_Hlk85564885"/>
      <w:r w:rsidR="003730D4" w:rsidRPr="00782BFD">
        <w:rPr>
          <w:rFonts w:ascii="Arial" w:hAnsi="Arial" w:cs="Arial"/>
          <w:sz w:val="20"/>
          <w:szCs w:val="20"/>
        </w:rPr>
        <w:t>The projects we analy</w:t>
      </w:r>
      <w:r w:rsidR="0001186C" w:rsidRPr="00782BFD">
        <w:rPr>
          <w:rFonts w:ascii="Arial" w:hAnsi="Arial" w:cs="Arial"/>
          <w:sz w:val="20"/>
          <w:szCs w:val="20"/>
        </w:rPr>
        <w:t>s</w:t>
      </w:r>
      <w:r w:rsidR="003730D4" w:rsidRPr="00782BFD">
        <w:rPr>
          <w:rFonts w:ascii="Arial" w:hAnsi="Arial" w:cs="Arial"/>
          <w:sz w:val="20"/>
          <w:szCs w:val="20"/>
        </w:rPr>
        <w:t>ed for the ETS section of the report come from materials supplied by the companies themselves. The data we found in these materials was analy</w:t>
      </w:r>
      <w:r w:rsidR="0001186C" w:rsidRPr="00782BFD">
        <w:rPr>
          <w:rFonts w:ascii="Arial" w:hAnsi="Arial" w:cs="Arial"/>
          <w:sz w:val="20"/>
          <w:szCs w:val="20"/>
        </w:rPr>
        <w:t>s</w:t>
      </w:r>
      <w:r w:rsidR="003730D4" w:rsidRPr="00782BFD">
        <w:rPr>
          <w:rFonts w:ascii="Arial" w:hAnsi="Arial" w:cs="Arial"/>
          <w:sz w:val="20"/>
          <w:szCs w:val="20"/>
        </w:rPr>
        <w:t>ed against JTF guidelines to assess the likelihood of projects being eligible for funds under JTF. The current situation is that the vast majority of projects</w:t>
      </w:r>
      <w:r w:rsidR="0001186C" w:rsidRPr="00782BFD">
        <w:rPr>
          <w:rFonts w:ascii="Arial" w:hAnsi="Arial" w:cs="Arial"/>
          <w:sz w:val="20"/>
          <w:szCs w:val="20"/>
        </w:rPr>
        <w:t>,</w:t>
      </w:r>
      <w:r w:rsidR="003730D4" w:rsidRPr="00782BFD">
        <w:rPr>
          <w:rFonts w:ascii="Arial" w:hAnsi="Arial" w:cs="Arial"/>
          <w:sz w:val="20"/>
          <w:szCs w:val="20"/>
        </w:rPr>
        <w:t xml:space="preserve"> if not all of them</w:t>
      </w:r>
      <w:r w:rsidR="0001186C" w:rsidRPr="00782BFD">
        <w:rPr>
          <w:rFonts w:ascii="Arial" w:hAnsi="Arial" w:cs="Arial"/>
          <w:sz w:val="20"/>
          <w:szCs w:val="20"/>
        </w:rPr>
        <w:t>,</w:t>
      </w:r>
      <w:r w:rsidR="003730D4" w:rsidRPr="00782BFD">
        <w:rPr>
          <w:rFonts w:ascii="Arial" w:hAnsi="Arial" w:cs="Arial"/>
          <w:sz w:val="20"/>
          <w:szCs w:val="20"/>
        </w:rPr>
        <w:t xml:space="preserve"> have little to show in terms of feasibility analysis </w:t>
      </w:r>
      <w:r w:rsidR="0001186C" w:rsidRPr="00782BFD">
        <w:rPr>
          <w:rFonts w:ascii="Arial" w:hAnsi="Arial" w:cs="Arial"/>
          <w:sz w:val="20"/>
          <w:szCs w:val="20"/>
        </w:rPr>
        <w:t xml:space="preserve">beyond a </w:t>
      </w:r>
      <w:r w:rsidR="003730D4" w:rsidRPr="00782BFD">
        <w:rPr>
          <w:rFonts w:ascii="Arial" w:hAnsi="Arial" w:cs="Arial"/>
          <w:sz w:val="20"/>
          <w:szCs w:val="20"/>
        </w:rPr>
        <w:t xml:space="preserve">short description of intentions. As a rule, following our discussions with different stakeholders, the more capital intensive a project is, the more of a concept it is. Capital intensive projects are more likely to be at the concept stage because corporate constraints make capital available for projects that are commercially viable on commercial terms, without any added public funding. Feasibility studies are usually done when a project has high chances of being viable with as little public funds as possible. </w:t>
      </w:r>
      <w:r w:rsidR="00A93FEA" w:rsidRPr="00782BFD">
        <w:rPr>
          <w:rFonts w:ascii="Arial" w:hAnsi="Arial" w:cs="Arial"/>
          <w:sz w:val="20"/>
          <w:szCs w:val="20"/>
        </w:rPr>
        <w:t>Scarce c</w:t>
      </w:r>
      <w:r w:rsidR="003730D4" w:rsidRPr="00782BFD">
        <w:rPr>
          <w:rFonts w:ascii="Arial" w:hAnsi="Arial" w:cs="Arial"/>
          <w:sz w:val="20"/>
          <w:szCs w:val="20"/>
        </w:rPr>
        <w:t>apital is not invested in costly research and analysis unless there is a clear path to commercial activity. The general impression is that all projects we had access to were in a conceptual stage</w:t>
      </w:r>
      <w:r w:rsidR="00A93FEA" w:rsidRPr="00782BFD">
        <w:rPr>
          <w:rFonts w:ascii="Arial" w:hAnsi="Arial" w:cs="Arial"/>
          <w:sz w:val="20"/>
          <w:szCs w:val="20"/>
        </w:rPr>
        <w:t>.</w:t>
      </w:r>
      <w:r w:rsidR="003730D4" w:rsidRPr="00782BFD">
        <w:rPr>
          <w:rFonts w:ascii="Arial" w:hAnsi="Arial" w:cs="Arial"/>
          <w:sz w:val="20"/>
          <w:szCs w:val="20"/>
        </w:rPr>
        <w:t xml:space="preserve"> </w:t>
      </w:r>
      <w:r w:rsidR="00B50738" w:rsidRPr="00782BFD">
        <w:rPr>
          <w:rFonts w:ascii="Arial" w:hAnsi="Arial" w:cs="Arial"/>
          <w:sz w:val="20"/>
          <w:szCs w:val="20"/>
        </w:rPr>
        <w:t>This impression was also reinforced by interviewees, who stated that these emerging projects are in fact mere intentions that might qualify for further analysis and investments.</w:t>
      </w:r>
    </w:p>
    <w:p w14:paraId="39F6E0D1" w14:textId="32B08B5A" w:rsidR="003730D4" w:rsidRPr="003730D4" w:rsidRDefault="003730D4" w:rsidP="003730D4">
      <w:pPr>
        <w:spacing w:after="120"/>
        <w:jc w:val="both"/>
        <w:rPr>
          <w:rFonts w:ascii="Arial" w:hAnsi="Arial" w:cs="Arial"/>
          <w:sz w:val="20"/>
          <w:szCs w:val="20"/>
        </w:rPr>
      </w:pPr>
      <w:r w:rsidRPr="003730D4">
        <w:rPr>
          <w:rFonts w:ascii="Arial" w:hAnsi="Arial" w:cs="Arial"/>
          <w:sz w:val="20"/>
          <w:szCs w:val="20"/>
        </w:rPr>
        <w:t xml:space="preserve">In our analysis, we had </w:t>
      </w:r>
      <w:r w:rsidR="00A93FEA" w:rsidRPr="003730D4">
        <w:rPr>
          <w:rFonts w:ascii="Arial" w:hAnsi="Arial" w:cs="Arial"/>
          <w:sz w:val="20"/>
          <w:szCs w:val="20"/>
        </w:rPr>
        <w:t xml:space="preserve">little data </w:t>
      </w:r>
      <w:r w:rsidRPr="003730D4">
        <w:rPr>
          <w:rFonts w:ascii="Arial" w:hAnsi="Arial" w:cs="Arial"/>
          <w:sz w:val="20"/>
          <w:szCs w:val="20"/>
        </w:rPr>
        <w:t xml:space="preserve">to rely on to assess project viability under </w:t>
      </w:r>
      <w:r w:rsidR="00A93FEA">
        <w:rPr>
          <w:rFonts w:ascii="Arial" w:hAnsi="Arial" w:cs="Arial"/>
          <w:sz w:val="20"/>
          <w:szCs w:val="20"/>
        </w:rPr>
        <w:t xml:space="preserve">the </w:t>
      </w:r>
      <w:r w:rsidRPr="003730D4">
        <w:rPr>
          <w:rFonts w:ascii="Arial" w:hAnsi="Arial" w:cs="Arial"/>
          <w:sz w:val="20"/>
          <w:szCs w:val="20"/>
        </w:rPr>
        <w:t>JTF framework</w:t>
      </w:r>
      <w:r w:rsidR="00A93FEA">
        <w:rPr>
          <w:rFonts w:ascii="Arial" w:hAnsi="Arial" w:cs="Arial"/>
          <w:sz w:val="20"/>
          <w:szCs w:val="20"/>
        </w:rPr>
        <w:t>,</w:t>
      </w:r>
      <w:r w:rsidRPr="003730D4">
        <w:rPr>
          <w:rFonts w:ascii="Arial" w:hAnsi="Arial" w:cs="Arial"/>
          <w:sz w:val="20"/>
          <w:szCs w:val="20"/>
        </w:rPr>
        <w:t xml:space="preserve"> </w:t>
      </w:r>
      <w:r w:rsidR="00A93FEA">
        <w:rPr>
          <w:rFonts w:ascii="Arial" w:hAnsi="Arial" w:cs="Arial"/>
          <w:sz w:val="20"/>
          <w:szCs w:val="20"/>
        </w:rPr>
        <w:t>which</w:t>
      </w:r>
      <w:r w:rsidRPr="003730D4">
        <w:rPr>
          <w:rFonts w:ascii="Arial" w:hAnsi="Arial" w:cs="Arial"/>
          <w:sz w:val="20"/>
          <w:szCs w:val="20"/>
        </w:rPr>
        <w:t xml:space="preserve"> was likely all </w:t>
      </w:r>
      <w:r w:rsidR="00A93FEA">
        <w:rPr>
          <w:rFonts w:ascii="Arial" w:hAnsi="Arial" w:cs="Arial"/>
          <w:sz w:val="20"/>
          <w:szCs w:val="20"/>
        </w:rPr>
        <w:t xml:space="preserve">of </w:t>
      </w:r>
      <w:r w:rsidRPr="003730D4">
        <w:rPr>
          <w:rFonts w:ascii="Arial" w:hAnsi="Arial" w:cs="Arial"/>
          <w:sz w:val="20"/>
          <w:szCs w:val="20"/>
        </w:rPr>
        <w:t xml:space="preserve">the </w:t>
      </w:r>
      <w:r w:rsidR="00A93FEA">
        <w:rPr>
          <w:rFonts w:ascii="Arial" w:hAnsi="Arial" w:cs="Arial"/>
          <w:sz w:val="20"/>
          <w:szCs w:val="20"/>
        </w:rPr>
        <w:t xml:space="preserve">existing project </w:t>
      </w:r>
      <w:r w:rsidRPr="003730D4">
        <w:rPr>
          <w:rFonts w:ascii="Arial" w:hAnsi="Arial" w:cs="Arial"/>
          <w:sz w:val="20"/>
          <w:szCs w:val="20"/>
        </w:rPr>
        <w:t xml:space="preserve">data given that the likelihood of these projects coming to fruition on commercial terms is very low. Clarity in </w:t>
      </w:r>
      <w:r w:rsidR="001B2726">
        <w:rPr>
          <w:rFonts w:ascii="Arial" w:hAnsi="Arial" w:cs="Arial"/>
          <w:sz w:val="20"/>
          <w:szCs w:val="20"/>
        </w:rPr>
        <w:t xml:space="preserve">funding </w:t>
      </w:r>
      <w:r w:rsidRPr="003730D4">
        <w:rPr>
          <w:rFonts w:ascii="Arial" w:hAnsi="Arial" w:cs="Arial"/>
          <w:sz w:val="20"/>
          <w:szCs w:val="20"/>
        </w:rPr>
        <w:t xml:space="preserve">guidelines usually </w:t>
      </w:r>
      <w:r w:rsidR="001B2726">
        <w:rPr>
          <w:rFonts w:ascii="Arial" w:hAnsi="Arial" w:cs="Arial"/>
          <w:sz w:val="20"/>
          <w:szCs w:val="20"/>
        </w:rPr>
        <w:t>encourages</w:t>
      </w:r>
      <w:r w:rsidRPr="003730D4">
        <w:rPr>
          <w:rFonts w:ascii="Arial" w:hAnsi="Arial" w:cs="Arial"/>
          <w:sz w:val="20"/>
          <w:szCs w:val="20"/>
        </w:rPr>
        <w:t xml:space="preserve"> companies </w:t>
      </w:r>
      <w:r w:rsidR="001B2726">
        <w:rPr>
          <w:rFonts w:ascii="Arial" w:hAnsi="Arial" w:cs="Arial"/>
          <w:sz w:val="20"/>
          <w:szCs w:val="20"/>
        </w:rPr>
        <w:t xml:space="preserve">to </w:t>
      </w:r>
      <w:r w:rsidRPr="003730D4">
        <w:rPr>
          <w:rFonts w:ascii="Arial" w:hAnsi="Arial" w:cs="Arial"/>
          <w:sz w:val="20"/>
          <w:szCs w:val="20"/>
        </w:rPr>
        <w:t xml:space="preserve">put more money into projects that might qualify for funding. Absent this, projects will be listed and briefly sketched out but will not contain the depth of analysis and research needed to advise on their eligibility. Finally, the more criteria projects are required to fulfill decreases </w:t>
      </w:r>
      <w:r w:rsidR="001B2726" w:rsidRPr="003730D4">
        <w:rPr>
          <w:rFonts w:ascii="Arial" w:hAnsi="Arial" w:cs="Arial"/>
          <w:sz w:val="20"/>
          <w:szCs w:val="20"/>
        </w:rPr>
        <w:t>the likelihood of the</w:t>
      </w:r>
      <w:r w:rsidR="001B2726">
        <w:rPr>
          <w:rFonts w:ascii="Arial" w:hAnsi="Arial" w:cs="Arial"/>
          <w:sz w:val="20"/>
          <w:szCs w:val="20"/>
        </w:rPr>
        <w:t>m</w:t>
      </w:r>
      <w:r w:rsidR="001B2726" w:rsidRPr="003730D4">
        <w:rPr>
          <w:rFonts w:ascii="Arial" w:hAnsi="Arial" w:cs="Arial"/>
          <w:sz w:val="20"/>
          <w:szCs w:val="20"/>
        </w:rPr>
        <w:t xml:space="preserve"> receiving </w:t>
      </w:r>
      <w:r w:rsidR="001B2726">
        <w:rPr>
          <w:rFonts w:ascii="Arial" w:hAnsi="Arial" w:cs="Arial"/>
          <w:sz w:val="20"/>
          <w:szCs w:val="20"/>
        </w:rPr>
        <w:t xml:space="preserve">a </w:t>
      </w:r>
      <w:r w:rsidR="001B2726" w:rsidRPr="003730D4">
        <w:rPr>
          <w:rFonts w:ascii="Arial" w:hAnsi="Arial" w:cs="Arial"/>
          <w:sz w:val="20"/>
          <w:szCs w:val="20"/>
        </w:rPr>
        <w:t xml:space="preserve">green light </w:t>
      </w:r>
      <w:r w:rsidR="001B2726">
        <w:rPr>
          <w:rFonts w:ascii="Arial" w:hAnsi="Arial" w:cs="Arial"/>
          <w:sz w:val="20"/>
          <w:szCs w:val="20"/>
        </w:rPr>
        <w:t>since</w:t>
      </w:r>
      <w:r w:rsidRPr="003730D4">
        <w:rPr>
          <w:rFonts w:ascii="Arial" w:hAnsi="Arial" w:cs="Arial"/>
          <w:sz w:val="20"/>
          <w:szCs w:val="20"/>
        </w:rPr>
        <w:t xml:space="preserve"> the </w:t>
      </w:r>
      <w:r w:rsidR="001B2726">
        <w:rPr>
          <w:rFonts w:ascii="Arial" w:hAnsi="Arial" w:cs="Arial"/>
          <w:sz w:val="20"/>
          <w:szCs w:val="20"/>
        </w:rPr>
        <w:t xml:space="preserve">budget for </w:t>
      </w:r>
      <w:r w:rsidRPr="003730D4">
        <w:rPr>
          <w:rFonts w:ascii="Arial" w:hAnsi="Arial" w:cs="Arial"/>
          <w:sz w:val="20"/>
          <w:szCs w:val="20"/>
        </w:rPr>
        <w:t xml:space="preserve">research and analysis increases and companies will regard these projects as being risky. </w:t>
      </w:r>
    </w:p>
    <w:p w14:paraId="4F1B785C" w14:textId="418F54AF" w:rsidR="003730D4" w:rsidRPr="003730D4" w:rsidRDefault="003730D4" w:rsidP="003730D4">
      <w:pPr>
        <w:spacing w:after="120"/>
        <w:jc w:val="both"/>
        <w:rPr>
          <w:rFonts w:ascii="Arial" w:hAnsi="Arial" w:cs="Arial"/>
          <w:sz w:val="20"/>
          <w:szCs w:val="20"/>
        </w:rPr>
      </w:pPr>
      <w:r w:rsidRPr="003730D4">
        <w:rPr>
          <w:rFonts w:ascii="Arial" w:hAnsi="Arial" w:cs="Arial"/>
          <w:sz w:val="20"/>
          <w:szCs w:val="20"/>
        </w:rPr>
        <w:t xml:space="preserve">The criteria that </w:t>
      </w:r>
      <w:r w:rsidR="001B2726">
        <w:rPr>
          <w:rFonts w:ascii="Arial" w:hAnsi="Arial" w:cs="Arial"/>
          <w:sz w:val="20"/>
          <w:szCs w:val="20"/>
        </w:rPr>
        <w:t xml:space="preserve">current </w:t>
      </w:r>
      <w:r w:rsidRPr="003730D4">
        <w:rPr>
          <w:rFonts w:ascii="Arial" w:hAnsi="Arial" w:cs="Arial"/>
          <w:sz w:val="20"/>
          <w:szCs w:val="20"/>
        </w:rPr>
        <w:t xml:space="preserve">JTF rules </w:t>
      </w:r>
      <w:r w:rsidR="001B2726">
        <w:rPr>
          <w:rFonts w:ascii="Arial" w:hAnsi="Arial" w:cs="Arial"/>
          <w:sz w:val="20"/>
          <w:szCs w:val="20"/>
        </w:rPr>
        <w:t xml:space="preserve">will use </w:t>
      </w:r>
      <w:r w:rsidRPr="003730D4">
        <w:rPr>
          <w:rFonts w:ascii="Arial" w:hAnsi="Arial" w:cs="Arial"/>
          <w:sz w:val="20"/>
          <w:szCs w:val="20"/>
        </w:rPr>
        <w:t>to select projects raise</w:t>
      </w:r>
      <w:r w:rsidR="001B2726">
        <w:rPr>
          <w:rFonts w:ascii="Arial" w:hAnsi="Arial" w:cs="Arial"/>
          <w:sz w:val="20"/>
          <w:szCs w:val="20"/>
        </w:rPr>
        <w:t>s</w:t>
      </w:r>
      <w:r w:rsidRPr="003730D4">
        <w:rPr>
          <w:rFonts w:ascii="Arial" w:hAnsi="Arial" w:cs="Arial"/>
          <w:sz w:val="20"/>
          <w:szCs w:val="20"/>
        </w:rPr>
        <w:t xml:space="preserve"> the bar significantly. The first criteri</w:t>
      </w:r>
      <w:r w:rsidR="00B50738">
        <w:rPr>
          <w:rFonts w:ascii="Arial" w:hAnsi="Arial" w:cs="Arial"/>
          <w:sz w:val="20"/>
          <w:szCs w:val="20"/>
        </w:rPr>
        <w:t>on</w:t>
      </w:r>
      <w:r w:rsidRPr="003730D4">
        <w:rPr>
          <w:rFonts w:ascii="Arial" w:hAnsi="Arial" w:cs="Arial"/>
          <w:sz w:val="20"/>
          <w:szCs w:val="20"/>
        </w:rPr>
        <w:t xml:space="preserve">, </w:t>
      </w:r>
      <w:r w:rsidR="00782BFD">
        <w:rPr>
          <w:rFonts w:ascii="Arial" w:hAnsi="Arial" w:cs="Arial"/>
          <w:sz w:val="20"/>
          <w:szCs w:val="20"/>
        </w:rPr>
        <w:t>i.e.,</w:t>
      </w:r>
      <w:r w:rsidR="00B50738">
        <w:rPr>
          <w:rFonts w:ascii="Arial" w:hAnsi="Arial" w:cs="Arial"/>
          <w:sz w:val="20"/>
          <w:szCs w:val="20"/>
        </w:rPr>
        <w:t xml:space="preserve"> the </w:t>
      </w:r>
      <w:r w:rsidRPr="003730D4">
        <w:rPr>
          <w:rFonts w:ascii="Arial" w:hAnsi="Arial" w:cs="Arial"/>
          <w:sz w:val="20"/>
          <w:szCs w:val="20"/>
        </w:rPr>
        <w:t>contributing to a climate-neutral economy</w:t>
      </w:r>
      <w:r w:rsidR="00B50738">
        <w:rPr>
          <w:rFonts w:ascii="Arial" w:hAnsi="Arial" w:cs="Arial"/>
          <w:sz w:val="20"/>
          <w:szCs w:val="20"/>
        </w:rPr>
        <w:t xml:space="preserve"> by </w:t>
      </w:r>
      <w:r w:rsidR="00B50738" w:rsidRPr="003730D4">
        <w:rPr>
          <w:rFonts w:ascii="Arial" w:hAnsi="Arial" w:cs="Arial"/>
          <w:sz w:val="20"/>
          <w:szCs w:val="20"/>
        </w:rPr>
        <w:t xml:space="preserve">reducing GHG emissions below </w:t>
      </w:r>
      <w:r w:rsidR="00B50738">
        <w:rPr>
          <w:rFonts w:ascii="Arial" w:hAnsi="Arial" w:cs="Arial"/>
          <w:sz w:val="20"/>
          <w:szCs w:val="20"/>
        </w:rPr>
        <w:t xml:space="preserve">a </w:t>
      </w:r>
      <w:r w:rsidR="00B50738" w:rsidRPr="003730D4">
        <w:rPr>
          <w:rFonts w:ascii="Arial" w:hAnsi="Arial" w:cs="Arial"/>
          <w:sz w:val="20"/>
          <w:szCs w:val="20"/>
        </w:rPr>
        <w:t>benchmark</w:t>
      </w:r>
      <w:r w:rsidRPr="003730D4">
        <w:rPr>
          <w:rFonts w:ascii="Arial" w:hAnsi="Arial" w:cs="Arial"/>
          <w:sz w:val="20"/>
          <w:szCs w:val="20"/>
        </w:rPr>
        <w:t xml:space="preserve"> is likely to be fulfilled by all projects</w:t>
      </w:r>
      <w:r w:rsidR="00B50738">
        <w:rPr>
          <w:rFonts w:ascii="Arial" w:hAnsi="Arial" w:cs="Arial"/>
          <w:sz w:val="20"/>
          <w:szCs w:val="20"/>
        </w:rPr>
        <w:t>, s</w:t>
      </w:r>
      <w:r w:rsidR="001B2726">
        <w:rPr>
          <w:rFonts w:ascii="Arial" w:hAnsi="Arial" w:cs="Arial"/>
          <w:sz w:val="20"/>
          <w:szCs w:val="20"/>
        </w:rPr>
        <w:t>ince</w:t>
      </w:r>
      <w:r w:rsidRPr="003730D4">
        <w:rPr>
          <w:rFonts w:ascii="Arial" w:hAnsi="Arial" w:cs="Arial"/>
          <w:sz w:val="20"/>
          <w:szCs w:val="20"/>
        </w:rPr>
        <w:t xml:space="preserve"> most of the companies understand the risks derived from their carbon exposure. </w:t>
      </w:r>
      <w:r w:rsidR="00B50738">
        <w:rPr>
          <w:rFonts w:ascii="Arial" w:hAnsi="Arial" w:cs="Arial"/>
          <w:sz w:val="20"/>
          <w:szCs w:val="20"/>
        </w:rPr>
        <w:t>However, the</w:t>
      </w:r>
      <w:r w:rsidRPr="003730D4">
        <w:rPr>
          <w:rFonts w:ascii="Arial" w:hAnsi="Arial" w:cs="Arial"/>
          <w:sz w:val="20"/>
          <w:szCs w:val="20"/>
        </w:rPr>
        <w:t xml:space="preserve"> criteri</w:t>
      </w:r>
      <w:r w:rsidR="00B50738">
        <w:rPr>
          <w:rFonts w:ascii="Arial" w:hAnsi="Arial" w:cs="Arial"/>
          <w:sz w:val="20"/>
          <w:szCs w:val="20"/>
        </w:rPr>
        <w:t xml:space="preserve">on related to jobs protection </w:t>
      </w:r>
      <w:r w:rsidRPr="003730D4">
        <w:rPr>
          <w:rFonts w:ascii="Arial" w:hAnsi="Arial" w:cs="Arial"/>
          <w:sz w:val="20"/>
          <w:szCs w:val="20"/>
        </w:rPr>
        <w:t xml:space="preserve">is likely to be the most difficult </w:t>
      </w:r>
      <w:r w:rsidR="00B50738">
        <w:rPr>
          <w:rFonts w:ascii="Arial" w:hAnsi="Arial" w:cs="Arial"/>
          <w:sz w:val="20"/>
          <w:szCs w:val="20"/>
        </w:rPr>
        <w:t>one</w:t>
      </w:r>
      <w:r w:rsidR="001B2726">
        <w:rPr>
          <w:rFonts w:ascii="Arial" w:hAnsi="Arial" w:cs="Arial"/>
          <w:sz w:val="20"/>
          <w:szCs w:val="20"/>
        </w:rPr>
        <w:t xml:space="preserve"> </w:t>
      </w:r>
      <w:r w:rsidRPr="003730D4">
        <w:rPr>
          <w:rFonts w:ascii="Arial" w:hAnsi="Arial" w:cs="Arial"/>
          <w:sz w:val="20"/>
          <w:szCs w:val="20"/>
        </w:rPr>
        <w:t xml:space="preserve">to meet </w:t>
      </w:r>
      <w:r w:rsidR="001B2726">
        <w:rPr>
          <w:rFonts w:ascii="Arial" w:hAnsi="Arial" w:cs="Arial"/>
          <w:sz w:val="20"/>
          <w:szCs w:val="20"/>
        </w:rPr>
        <w:t>since</w:t>
      </w:r>
      <w:r w:rsidRPr="003730D4">
        <w:rPr>
          <w:rFonts w:ascii="Arial" w:hAnsi="Arial" w:cs="Arial"/>
          <w:sz w:val="20"/>
          <w:szCs w:val="20"/>
        </w:rPr>
        <w:t xml:space="preserve"> these investments </w:t>
      </w:r>
      <w:r w:rsidR="001B2726">
        <w:rPr>
          <w:rFonts w:ascii="Arial" w:hAnsi="Arial" w:cs="Arial"/>
          <w:sz w:val="20"/>
          <w:szCs w:val="20"/>
        </w:rPr>
        <w:t>prioritise</w:t>
      </w:r>
      <w:r w:rsidRPr="003730D4">
        <w:rPr>
          <w:rFonts w:ascii="Arial" w:hAnsi="Arial" w:cs="Arial"/>
          <w:sz w:val="20"/>
          <w:szCs w:val="20"/>
        </w:rPr>
        <w:t xml:space="preserve"> </w:t>
      </w:r>
      <w:r w:rsidR="001B2726">
        <w:rPr>
          <w:rFonts w:ascii="Arial" w:hAnsi="Arial" w:cs="Arial"/>
          <w:sz w:val="20"/>
          <w:szCs w:val="20"/>
        </w:rPr>
        <w:t xml:space="preserve">the </w:t>
      </w:r>
      <w:r w:rsidRPr="003730D4">
        <w:rPr>
          <w:rFonts w:ascii="Arial" w:hAnsi="Arial" w:cs="Arial"/>
          <w:sz w:val="20"/>
          <w:szCs w:val="20"/>
        </w:rPr>
        <w:t>reduc</w:t>
      </w:r>
      <w:r w:rsidR="001B2726">
        <w:rPr>
          <w:rFonts w:ascii="Arial" w:hAnsi="Arial" w:cs="Arial"/>
          <w:sz w:val="20"/>
          <w:szCs w:val="20"/>
        </w:rPr>
        <w:t>tion of</w:t>
      </w:r>
      <w:r w:rsidRPr="003730D4">
        <w:rPr>
          <w:rFonts w:ascii="Arial" w:hAnsi="Arial" w:cs="Arial"/>
          <w:sz w:val="20"/>
          <w:szCs w:val="20"/>
        </w:rPr>
        <w:t xml:space="preserve"> GHG emissions and not necessar</w:t>
      </w:r>
      <w:r w:rsidR="001B2726">
        <w:rPr>
          <w:rFonts w:ascii="Arial" w:hAnsi="Arial" w:cs="Arial"/>
          <w:sz w:val="20"/>
          <w:szCs w:val="20"/>
        </w:rPr>
        <w:t>il</w:t>
      </w:r>
      <w:r w:rsidRPr="003730D4">
        <w:rPr>
          <w:rFonts w:ascii="Arial" w:hAnsi="Arial" w:cs="Arial"/>
          <w:sz w:val="20"/>
          <w:szCs w:val="20"/>
        </w:rPr>
        <w:t xml:space="preserve">y jobs creation or protection. </w:t>
      </w:r>
    </w:p>
    <w:p w14:paraId="537AA6DB" w14:textId="4AAE7702" w:rsidR="003730D4" w:rsidRPr="003516DC" w:rsidRDefault="001B2726" w:rsidP="003730D4">
      <w:pPr>
        <w:spacing w:after="120"/>
        <w:jc w:val="both"/>
        <w:rPr>
          <w:rFonts w:ascii="Arial" w:hAnsi="Arial" w:cs="Arial"/>
          <w:sz w:val="20"/>
          <w:szCs w:val="20"/>
        </w:rPr>
      </w:pPr>
      <w:r>
        <w:rPr>
          <w:rFonts w:ascii="Arial" w:hAnsi="Arial" w:cs="Arial"/>
          <w:sz w:val="20"/>
          <w:szCs w:val="20"/>
        </w:rPr>
        <w:t xml:space="preserve">Finally, </w:t>
      </w:r>
      <w:r w:rsidR="003730D4" w:rsidRPr="003730D4">
        <w:rPr>
          <w:rFonts w:ascii="Arial" w:hAnsi="Arial" w:cs="Arial"/>
          <w:sz w:val="20"/>
          <w:szCs w:val="20"/>
        </w:rPr>
        <w:t xml:space="preserve">some of the projects are </w:t>
      </w:r>
      <w:r w:rsidR="008C03BC">
        <w:rPr>
          <w:rFonts w:ascii="Arial" w:hAnsi="Arial" w:cs="Arial"/>
          <w:sz w:val="20"/>
          <w:szCs w:val="20"/>
        </w:rPr>
        <w:t>motivated</w:t>
      </w:r>
      <w:r w:rsidR="003730D4" w:rsidRPr="003730D4">
        <w:rPr>
          <w:rFonts w:ascii="Arial" w:hAnsi="Arial" w:cs="Arial"/>
          <w:sz w:val="20"/>
          <w:szCs w:val="20"/>
        </w:rPr>
        <w:t xml:space="preserve"> </w:t>
      </w:r>
      <w:r w:rsidR="008C03BC">
        <w:rPr>
          <w:rFonts w:ascii="Arial" w:hAnsi="Arial" w:cs="Arial"/>
          <w:sz w:val="20"/>
          <w:szCs w:val="20"/>
        </w:rPr>
        <w:t>by</w:t>
      </w:r>
      <w:r w:rsidR="003730D4" w:rsidRPr="003730D4">
        <w:rPr>
          <w:rFonts w:ascii="Arial" w:hAnsi="Arial" w:cs="Arial"/>
          <w:sz w:val="20"/>
          <w:szCs w:val="20"/>
        </w:rPr>
        <w:t xml:space="preserve"> supply</w:t>
      </w:r>
      <w:r w:rsidR="008C03BC">
        <w:rPr>
          <w:rFonts w:ascii="Arial" w:hAnsi="Arial" w:cs="Arial"/>
          <w:sz w:val="20"/>
          <w:szCs w:val="20"/>
        </w:rPr>
        <w:t>ing</w:t>
      </w:r>
      <w:r w:rsidR="003730D4" w:rsidRPr="003730D4">
        <w:rPr>
          <w:rFonts w:ascii="Arial" w:hAnsi="Arial" w:cs="Arial"/>
          <w:sz w:val="20"/>
          <w:szCs w:val="20"/>
        </w:rPr>
        <w:t xml:space="preserve"> projects that seem</w:t>
      </w:r>
      <w:r w:rsidR="008C03BC">
        <w:rPr>
          <w:rFonts w:ascii="Arial" w:hAnsi="Arial" w:cs="Arial"/>
          <w:sz w:val="20"/>
          <w:szCs w:val="20"/>
        </w:rPr>
        <w:t xml:space="preserve"> like a</w:t>
      </w:r>
      <w:r w:rsidR="003730D4" w:rsidRPr="003730D4">
        <w:rPr>
          <w:rFonts w:ascii="Arial" w:hAnsi="Arial" w:cs="Arial"/>
          <w:sz w:val="20"/>
          <w:szCs w:val="20"/>
        </w:rPr>
        <w:t xml:space="preserve"> good fit for certain program</w:t>
      </w:r>
      <w:r>
        <w:rPr>
          <w:rFonts w:ascii="Arial" w:hAnsi="Arial" w:cs="Arial"/>
          <w:sz w:val="20"/>
          <w:szCs w:val="20"/>
        </w:rPr>
        <w:t>me</w:t>
      </w:r>
      <w:r w:rsidR="003730D4" w:rsidRPr="003730D4">
        <w:rPr>
          <w:rFonts w:ascii="Arial" w:hAnsi="Arial" w:cs="Arial"/>
          <w:sz w:val="20"/>
          <w:szCs w:val="20"/>
        </w:rPr>
        <w:t>s by local and central authorities and reflect a willingness to please powerful stakeholders</w:t>
      </w:r>
      <w:r w:rsidR="009A7D46">
        <w:rPr>
          <w:rFonts w:ascii="Arial" w:hAnsi="Arial" w:cs="Arial"/>
          <w:sz w:val="20"/>
          <w:szCs w:val="20"/>
        </w:rPr>
        <w:t>,</w:t>
      </w:r>
      <w:r w:rsidR="003730D4" w:rsidRPr="003730D4">
        <w:rPr>
          <w:rFonts w:ascii="Arial" w:hAnsi="Arial" w:cs="Arial"/>
          <w:sz w:val="20"/>
          <w:szCs w:val="20"/>
        </w:rPr>
        <w:t xml:space="preserve"> </w:t>
      </w:r>
      <w:r>
        <w:rPr>
          <w:rFonts w:ascii="Arial" w:hAnsi="Arial" w:cs="Arial"/>
          <w:sz w:val="20"/>
          <w:szCs w:val="20"/>
        </w:rPr>
        <w:t xml:space="preserve">rather </w:t>
      </w:r>
      <w:r w:rsidR="003730D4" w:rsidRPr="003730D4">
        <w:rPr>
          <w:rFonts w:ascii="Arial" w:hAnsi="Arial" w:cs="Arial"/>
          <w:sz w:val="20"/>
          <w:szCs w:val="20"/>
        </w:rPr>
        <w:t xml:space="preserve">than </w:t>
      </w:r>
      <w:r>
        <w:rPr>
          <w:rFonts w:ascii="Arial" w:hAnsi="Arial" w:cs="Arial"/>
          <w:sz w:val="20"/>
          <w:szCs w:val="20"/>
        </w:rPr>
        <w:t xml:space="preserve">create </w:t>
      </w:r>
      <w:r w:rsidR="003730D4" w:rsidRPr="003730D4">
        <w:rPr>
          <w:rFonts w:ascii="Arial" w:hAnsi="Arial" w:cs="Arial"/>
          <w:sz w:val="20"/>
          <w:szCs w:val="20"/>
        </w:rPr>
        <w:t xml:space="preserve">real projects </w:t>
      </w:r>
      <w:r>
        <w:rPr>
          <w:rFonts w:ascii="Arial" w:hAnsi="Arial" w:cs="Arial"/>
          <w:sz w:val="20"/>
          <w:szCs w:val="20"/>
        </w:rPr>
        <w:t>related</w:t>
      </w:r>
      <w:r w:rsidR="003730D4" w:rsidRPr="003730D4">
        <w:rPr>
          <w:rFonts w:ascii="Arial" w:hAnsi="Arial" w:cs="Arial"/>
          <w:sz w:val="20"/>
          <w:szCs w:val="20"/>
        </w:rPr>
        <w:t xml:space="preserve"> </w:t>
      </w:r>
      <w:r>
        <w:rPr>
          <w:rFonts w:ascii="Arial" w:hAnsi="Arial" w:cs="Arial"/>
          <w:sz w:val="20"/>
          <w:szCs w:val="20"/>
        </w:rPr>
        <w:t>to</w:t>
      </w:r>
      <w:r w:rsidR="003730D4" w:rsidRPr="003730D4">
        <w:rPr>
          <w:rFonts w:ascii="Arial" w:hAnsi="Arial" w:cs="Arial"/>
          <w:sz w:val="20"/>
          <w:szCs w:val="20"/>
        </w:rPr>
        <w:t xml:space="preserve"> day-to-day operations and analysis. In this regard, the projects were assessed on </w:t>
      </w:r>
      <w:r>
        <w:rPr>
          <w:rFonts w:ascii="Arial" w:hAnsi="Arial" w:cs="Arial"/>
          <w:sz w:val="20"/>
          <w:szCs w:val="20"/>
        </w:rPr>
        <w:t>insufficient</w:t>
      </w:r>
      <w:r w:rsidR="003730D4" w:rsidRPr="003730D4">
        <w:rPr>
          <w:rFonts w:ascii="Arial" w:hAnsi="Arial" w:cs="Arial"/>
          <w:sz w:val="20"/>
          <w:szCs w:val="20"/>
        </w:rPr>
        <w:t xml:space="preserve"> information</w:t>
      </w:r>
      <w:r>
        <w:rPr>
          <w:rFonts w:ascii="Arial" w:hAnsi="Arial" w:cs="Arial"/>
          <w:sz w:val="20"/>
          <w:szCs w:val="20"/>
        </w:rPr>
        <w:t>,</w:t>
      </w:r>
      <w:r w:rsidR="003730D4" w:rsidRPr="003730D4">
        <w:rPr>
          <w:rFonts w:ascii="Arial" w:hAnsi="Arial" w:cs="Arial"/>
          <w:sz w:val="20"/>
          <w:szCs w:val="20"/>
        </w:rPr>
        <w:t xml:space="preserve"> and the assessment was performed using a likelihood approach instead of </w:t>
      </w:r>
      <w:r>
        <w:rPr>
          <w:rFonts w:ascii="Arial" w:hAnsi="Arial" w:cs="Arial"/>
          <w:sz w:val="20"/>
          <w:szCs w:val="20"/>
        </w:rPr>
        <w:t xml:space="preserve">a </w:t>
      </w:r>
      <w:r w:rsidR="003730D4" w:rsidRPr="003730D4">
        <w:rPr>
          <w:rFonts w:ascii="Arial" w:hAnsi="Arial" w:cs="Arial"/>
          <w:sz w:val="20"/>
          <w:szCs w:val="20"/>
        </w:rPr>
        <w:t>final assessment.</w:t>
      </w:r>
    </w:p>
    <w:bookmarkEnd w:id="40"/>
    <w:p w14:paraId="2827D10F" w14:textId="6557F854" w:rsidR="005C2775" w:rsidRPr="003516DC" w:rsidRDefault="005C2775" w:rsidP="0057444A">
      <w:pPr>
        <w:spacing w:after="120"/>
        <w:jc w:val="both"/>
        <w:rPr>
          <w:rFonts w:ascii="Arial" w:hAnsi="Arial" w:cs="Arial"/>
          <w:i/>
          <w:iCs/>
          <w:color w:val="0070C0"/>
          <w:sz w:val="20"/>
          <w:szCs w:val="20"/>
        </w:rPr>
      </w:pPr>
      <w:r w:rsidRPr="003516DC">
        <w:rPr>
          <w:rFonts w:ascii="Arial" w:hAnsi="Arial" w:cs="Arial"/>
          <w:i/>
          <w:iCs/>
          <w:color w:val="0070C0"/>
          <w:sz w:val="20"/>
          <w:szCs w:val="20"/>
        </w:rPr>
        <w:t>Just Transition Fund funding criteria</w:t>
      </w:r>
    </w:p>
    <w:p w14:paraId="067B91D9" w14:textId="2FE8DF53" w:rsidR="005C2775" w:rsidRPr="00402580" w:rsidRDefault="005C2775" w:rsidP="0057444A">
      <w:pPr>
        <w:spacing w:after="120"/>
        <w:jc w:val="both"/>
        <w:rPr>
          <w:rFonts w:ascii="Arial" w:hAnsi="Arial" w:cs="Arial"/>
          <w:sz w:val="20"/>
          <w:szCs w:val="20"/>
        </w:rPr>
      </w:pPr>
      <w:r w:rsidRPr="00402580">
        <w:rPr>
          <w:rFonts w:ascii="Arial" w:hAnsi="Arial" w:cs="Arial"/>
          <w:sz w:val="20"/>
          <w:szCs w:val="20"/>
        </w:rPr>
        <w:t xml:space="preserve">The Just Transition Fund allows large enterprise </w:t>
      </w:r>
      <w:r w:rsidR="00A61F5C">
        <w:rPr>
          <w:rFonts w:ascii="Arial" w:hAnsi="Arial" w:cs="Arial"/>
          <w:sz w:val="20"/>
          <w:szCs w:val="20"/>
        </w:rPr>
        <w:t xml:space="preserve">to access funds </w:t>
      </w:r>
      <w:r w:rsidRPr="00402580">
        <w:rPr>
          <w:rFonts w:ascii="Arial" w:hAnsi="Arial" w:cs="Arial"/>
          <w:sz w:val="20"/>
          <w:szCs w:val="20"/>
        </w:rPr>
        <w:t xml:space="preserve">under strict conditions. </w:t>
      </w:r>
      <w:r w:rsidR="00A61F5C" w:rsidRPr="00A61F5C">
        <w:rPr>
          <w:rFonts w:ascii="Arial" w:hAnsi="Arial" w:cs="Arial"/>
          <w:sz w:val="20"/>
          <w:szCs w:val="20"/>
        </w:rPr>
        <w:t>First</w:t>
      </w:r>
      <w:r w:rsidRPr="00402580">
        <w:rPr>
          <w:rFonts w:ascii="Arial" w:hAnsi="Arial" w:cs="Arial"/>
          <w:sz w:val="20"/>
          <w:szCs w:val="20"/>
        </w:rPr>
        <w:t xml:space="preserve">, large enterprises have to employ a significant number of people and present investments that </w:t>
      </w:r>
      <w:r w:rsidR="00A61F5C">
        <w:rPr>
          <w:rFonts w:ascii="Arial" w:hAnsi="Arial" w:cs="Arial"/>
          <w:sz w:val="20"/>
          <w:szCs w:val="20"/>
        </w:rPr>
        <w:t xml:space="preserve">substantially </w:t>
      </w:r>
      <w:r w:rsidRPr="00402580">
        <w:rPr>
          <w:rFonts w:ascii="Arial" w:hAnsi="Arial" w:cs="Arial"/>
          <w:sz w:val="20"/>
          <w:szCs w:val="20"/>
        </w:rPr>
        <w:t>reduce GHG emissions</w:t>
      </w:r>
      <w:r w:rsidR="00A61F5C">
        <w:rPr>
          <w:rFonts w:ascii="Arial" w:hAnsi="Arial" w:cs="Arial"/>
          <w:sz w:val="20"/>
          <w:szCs w:val="20"/>
        </w:rPr>
        <w:t xml:space="preserve"> </w:t>
      </w:r>
      <w:r w:rsidRPr="00402580">
        <w:rPr>
          <w:rFonts w:ascii="Arial" w:hAnsi="Arial" w:cs="Arial"/>
          <w:sz w:val="20"/>
          <w:szCs w:val="20"/>
        </w:rPr>
        <w:t xml:space="preserve">– namely, going significantly below the relevant benchmarks used for free allocation under the Directive 2003/87/EC. </w:t>
      </w:r>
      <w:r w:rsidR="00A61F5C">
        <w:rPr>
          <w:rFonts w:ascii="Arial" w:hAnsi="Arial" w:cs="Arial"/>
          <w:sz w:val="20"/>
          <w:szCs w:val="20"/>
        </w:rPr>
        <w:t>Second</w:t>
      </w:r>
      <w:r w:rsidRPr="00402580">
        <w:rPr>
          <w:rFonts w:ascii="Arial" w:hAnsi="Arial" w:cs="Arial"/>
          <w:sz w:val="20"/>
          <w:szCs w:val="20"/>
        </w:rPr>
        <w:t xml:space="preserve">, investments need to be compatible with the </w:t>
      </w:r>
      <w:r w:rsidRPr="00402580">
        <w:rPr>
          <w:rFonts w:ascii="Arial" w:hAnsi="Arial" w:cs="Arial"/>
          <w:sz w:val="20"/>
          <w:szCs w:val="20"/>
        </w:rPr>
        <w:lastRenderedPageBreak/>
        <w:t>objectives of the European Green Deal</w:t>
      </w:r>
      <w:r w:rsidR="00402580">
        <w:rPr>
          <w:rStyle w:val="FootnoteReference"/>
          <w:rFonts w:ascii="Arial" w:hAnsi="Arial" w:cs="Arial"/>
          <w:sz w:val="20"/>
          <w:szCs w:val="20"/>
        </w:rPr>
        <w:footnoteReference w:id="21"/>
      </w:r>
      <w:r w:rsidRPr="00402580">
        <w:rPr>
          <w:rFonts w:ascii="Arial" w:hAnsi="Arial" w:cs="Arial"/>
          <w:sz w:val="20"/>
          <w:szCs w:val="20"/>
        </w:rPr>
        <w:t xml:space="preserve">. Broadly, the objectives of the European Green Deal refer to a 55% </w:t>
      </w:r>
      <w:r w:rsidR="00A61F5C">
        <w:rPr>
          <w:rFonts w:ascii="Arial" w:hAnsi="Arial" w:cs="Arial"/>
          <w:sz w:val="20"/>
          <w:szCs w:val="20"/>
        </w:rPr>
        <w:t xml:space="preserve">reduction </w:t>
      </w:r>
      <w:r w:rsidRPr="00402580">
        <w:rPr>
          <w:rFonts w:ascii="Arial" w:hAnsi="Arial" w:cs="Arial"/>
          <w:sz w:val="20"/>
          <w:szCs w:val="20"/>
        </w:rPr>
        <w:t xml:space="preserve">of GHG emissions by 2030, mostly </w:t>
      </w:r>
      <w:r w:rsidR="00B51EEB">
        <w:rPr>
          <w:rFonts w:ascii="Arial" w:hAnsi="Arial" w:cs="Arial"/>
          <w:sz w:val="20"/>
          <w:szCs w:val="20"/>
        </w:rPr>
        <w:t>focusing</w:t>
      </w:r>
      <w:r w:rsidRPr="00402580">
        <w:rPr>
          <w:rFonts w:ascii="Arial" w:hAnsi="Arial" w:cs="Arial"/>
          <w:sz w:val="20"/>
          <w:szCs w:val="20"/>
        </w:rPr>
        <w:t xml:space="preserve"> o</w:t>
      </w:r>
      <w:r w:rsidR="00B51EEB">
        <w:rPr>
          <w:rFonts w:ascii="Arial" w:hAnsi="Arial" w:cs="Arial"/>
          <w:sz w:val="20"/>
          <w:szCs w:val="20"/>
        </w:rPr>
        <w:t>n</w:t>
      </w:r>
      <w:r w:rsidRPr="00402580">
        <w:rPr>
          <w:rFonts w:ascii="Arial" w:hAnsi="Arial" w:cs="Arial"/>
          <w:sz w:val="20"/>
          <w:szCs w:val="20"/>
        </w:rPr>
        <w:t xml:space="preserve"> projects that reduce significantly carbon emissions</w:t>
      </w:r>
      <w:r w:rsidR="00402580">
        <w:rPr>
          <w:rStyle w:val="FootnoteReference"/>
          <w:rFonts w:ascii="Arial" w:hAnsi="Arial" w:cs="Arial"/>
          <w:sz w:val="20"/>
          <w:szCs w:val="20"/>
        </w:rPr>
        <w:footnoteReference w:id="22"/>
      </w:r>
      <w:r w:rsidRPr="00402580">
        <w:rPr>
          <w:rFonts w:ascii="Arial" w:hAnsi="Arial" w:cs="Arial"/>
          <w:sz w:val="20"/>
          <w:szCs w:val="20"/>
        </w:rPr>
        <w:t xml:space="preserve">. As far as the benchmarks for free allocation used by the EU ETS in Phase 4 are concerned, these are set </w:t>
      </w:r>
      <w:r w:rsidR="00B51EEB">
        <w:rPr>
          <w:rFonts w:ascii="Arial" w:hAnsi="Arial" w:cs="Arial"/>
          <w:sz w:val="20"/>
          <w:szCs w:val="20"/>
        </w:rPr>
        <w:t>by</w:t>
      </w:r>
      <w:r w:rsidRPr="00402580">
        <w:rPr>
          <w:rFonts w:ascii="Arial" w:hAnsi="Arial" w:cs="Arial"/>
          <w:sz w:val="20"/>
          <w:szCs w:val="20"/>
        </w:rPr>
        <w:t xml:space="preserve"> industrial process and are detailed in Regulation 2019/331</w:t>
      </w:r>
      <w:r w:rsidR="00402580">
        <w:rPr>
          <w:rStyle w:val="FootnoteReference"/>
          <w:rFonts w:ascii="Arial" w:hAnsi="Arial" w:cs="Arial"/>
          <w:sz w:val="20"/>
          <w:szCs w:val="20"/>
        </w:rPr>
        <w:footnoteReference w:id="23"/>
      </w:r>
      <w:r w:rsidRPr="00402580">
        <w:rPr>
          <w:rFonts w:ascii="Arial" w:hAnsi="Arial" w:cs="Arial"/>
          <w:sz w:val="20"/>
          <w:szCs w:val="20"/>
        </w:rPr>
        <w:t>. There are a total of 54 benchmark values depending on the industrial process. A key principle of Phase 4 is that no allowances should be allocated for free for electricity production. A specific calculation of how a proposed project’s emissions compare with the benchmarks for free allocation and thus how likely they are to be eligible under the Just Transition Fund capital allocation requires a careful analysis of the project, the sector in which it operates, overall sector emissions and emissions of the most efficient installations</w:t>
      </w:r>
      <w:r w:rsidR="00B51EEB">
        <w:rPr>
          <w:rFonts w:ascii="Arial" w:hAnsi="Arial" w:cs="Arial"/>
          <w:sz w:val="20"/>
          <w:szCs w:val="20"/>
        </w:rPr>
        <w:t>,</w:t>
      </w:r>
      <w:r w:rsidRPr="00402580">
        <w:rPr>
          <w:rFonts w:ascii="Arial" w:hAnsi="Arial" w:cs="Arial"/>
          <w:sz w:val="20"/>
          <w:szCs w:val="20"/>
        </w:rPr>
        <w:t xml:space="preserve"> and finally how the proposed project’s emissions compare to most efficient installations. </w:t>
      </w:r>
      <w:r w:rsidR="00B51EEB">
        <w:rPr>
          <w:rFonts w:ascii="Arial" w:hAnsi="Arial" w:cs="Arial"/>
          <w:sz w:val="20"/>
          <w:szCs w:val="20"/>
        </w:rPr>
        <w:t>Additionally</w:t>
      </w:r>
      <w:r w:rsidRPr="00402580">
        <w:rPr>
          <w:rFonts w:ascii="Arial" w:hAnsi="Arial" w:cs="Arial"/>
          <w:sz w:val="20"/>
          <w:szCs w:val="20"/>
        </w:rPr>
        <w:t xml:space="preserve">, benchmarks </w:t>
      </w:r>
      <w:r w:rsidR="00B51EEB">
        <w:rPr>
          <w:rFonts w:ascii="Arial" w:hAnsi="Arial" w:cs="Arial"/>
          <w:sz w:val="20"/>
          <w:szCs w:val="20"/>
        </w:rPr>
        <w:t xml:space="preserve">will </w:t>
      </w:r>
      <w:r w:rsidRPr="00402580">
        <w:rPr>
          <w:rFonts w:ascii="Arial" w:hAnsi="Arial" w:cs="Arial"/>
          <w:sz w:val="20"/>
          <w:szCs w:val="20"/>
        </w:rPr>
        <w:t>tighten in Phase 4 of EU ETS</w:t>
      </w:r>
      <w:r w:rsidR="00B51EEB">
        <w:rPr>
          <w:rFonts w:ascii="Arial" w:hAnsi="Arial" w:cs="Arial"/>
          <w:sz w:val="20"/>
          <w:szCs w:val="20"/>
        </w:rPr>
        <w:t>,</w:t>
      </w:r>
      <w:r w:rsidRPr="00402580">
        <w:rPr>
          <w:rFonts w:ascii="Arial" w:hAnsi="Arial" w:cs="Arial"/>
          <w:sz w:val="20"/>
          <w:szCs w:val="20"/>
        </w:rPr>
        <w:t xml:space="preserve"> mean</w:t>
      </w:r>
      <w:r w:rsidR="00B51EEB">
        <w:rPr>
          <w:rFonts w:ascii="Arial" w:hAnsi="Arial" w:cs="Arial"/>
          <w:sz w:val="20"/>
          <w:szCs w:val="20"/>
        </w:rPr>
        <w:t>ing</w:t>
      </w:r>
      <w:r w:rsidRPr="00402580">
        <w:rPr>
          <w:rFonts w:ascii="Arial" w:hAnsi="Arial" w:cs="Arial"/>
          <w:sz w:val="20"/>
          <w:szCs w:val="20"/>
        </w:rPr>
        <w:t xml:space="preserve"> that new projects under the Just Transition Fund should operate at emissions rates that are </w:t>
      </w:r>
      <w:r w:rsidR="00B51EEB">
        <w:rPr>
          <w:rFonts w:ascii="Arial" w:hAnsi="Arial" w:cs="Arial"/>
          <w:sz w:val="20"/>
          <w:szCs w:val="20"/>
        </w:rPr>
        <w:t>much</w:t>
      </w:r>
      <w:r w:rsidRPr="00402580">
        <w:rPr>
          <w:rFonts w:ascii="Arial" w:hAnsi="Arial" w:cs="Arial"/>
          <w:sz w:val="20"/>
          <w:szCs w:val="20"/>
        </w:rPr>
        <w:t xml:space="preserve"> lower than the most efficient installations in a given country, a very high bar. Briefly, the bar is set very high for carbon emitting projects and a detailed project analysis is required to estimate the likelihood of a project being successful in acquiring </w:t>
      </w:r>
      <w:r w:rsidR="00B51EEB">
        <w:rPr>
          <w:rFonts w:ascii="Arial" w:hAnsi="Arial" w:cs="Arial"/>
          <w:sz w:val="20"/>
          <w:szCs w:val="20"/>
        </w:rPr>
        <w:t xml:space="preserve">investment from the </w:t>
      </w:r>
      <w:r w:rsidRPr="00402580">
        <w:rPr>
          <w:rFonts w:ascii="Arial" w:hAnsi="Arial" w:cs="Arial"/>
          <w:sz w:val="20"/>
          <w:szCs w:val="20"/>
        </w:rPr>
        <w:t xml:space="preserve">Just Transition Fund. Despite the complexity, we can be certain that the lower the carbon emissions of a project </w:t>
      </w:r>
      <w:r w:rsidR="00B51EEB">
        <w:rPr>
          <w:rFonts w:ascii="Arial" w:hAnsi="Arial" w:cs="Arial"/>
          <w:sz w:val="20"/>
          <w:szCs w:val="20"/>
        </w:rPr>
        <w:t>increases</w:t>
      </w:r>
      <w:r w:rsidRPr="00402580">
        <w:rPr>
          <w:rFonts w:ascii="Arial" w:hAnsi="Arial" w:cs="Arial"/>
          <w:sz w:val="20"/>
          <w:szCs w:val="20"/>
        </w:rPr>
        <w:t xml:space="preserve"> the chances of being eligible under JTF. Zero carbon projects have the highest chances of </w:t>
      </w:r>
      <w:r w:rsidR="00B51EEB">
        <w:rPr>
          <w:rFonts w:ascii="Arial" w:hAnsi="Arial" w:cs="Arial"/>
          <w:sz w:val="20"/>
          <w:szCs w:val="20"/>
        </w:rPr>
        <w:t>receiving</w:t>
      </w:r>
      <w:r w:rsidRPr="00402580">
        <w:rPr>
          <w:rFonts w:ascii="Arial" w:hAnsi="Arial" w:cs="Arial"/>
          <w:sz w:val="20"/>
          <w:szCs w:val="20"/>
        </w:rPr>
        <w:t xml:space="preserve"> funding.</w:t>
      </w:r>
      <w:r w:rsidR="003730D4">
        <w:rPr>
          <w:rFonts w:ascii="Arial" w:hAnsi="Arial" w:cs="Arial"/>
          <w:sz w:val="20"/>
          <w:szCs w:val="20"/>
        </w:rPr>
        <w:t xml:space="preserve"> </w:t>
      </w:r>
      <w:bookmarkStart w:id="41" w:name="_Hlk85564891"/>
      <w:r w:rsidR="003730D4" w:rsidRPr="003730D4">
        <w:rPr>
          <w:rFonts w:ascii="Arial" w:hAnsi="Arial" w:cs="Arial"/>
          <w:sz w:val="20"/>
          <w:szCs w:val="20"/>
        </w:rPr>
        <w:t>At this stage, this type of analys</w:t>
      </w:r>
      <w:r w:rsidR="009A7D46">
        <w:rPr>
          <w:rFonts w:ascii="Arial" w:hAnsi="Arial" w:cs="Arial"/>
          <w:sz w:val="20"/>
          <w:szCs w:val="20"/>
        </w:rPr>
        <w:t>i</w:t>
      </w:r>
      <w:r w:rsidR="003730D4" w:rsidRPr="003730D4">
        <w:rPr>
          <w:rFonts w:ascii="Arial" w:hAnsi="Arial" w:cs="Arial"/>
          <w:sz w:val="20"/>
          <w:szCs w:val="20"/>
        </w:rPr>
        <w:t xml:space="preserve">s cannot be performed because </w:t>
      </w:r>
      <w:r w:rsidR="00FE72B6">
        <w:rPr>
          <w:rFonts w:ascii="Arial" w:hAnsi="Arial" w:cs="Arial"/>
          <w:sz w:val="20"/>
          <w:szCs w:val="20"/>
        </w:rPr>
        <w:t>it</w:t>
      </w:r>
      <w:r w:rsidR="003730D4" w:rsidRPr="003730D4">
        <w:rPr>
          <w:rFonts w:ascii="Arial" w:hAnsi="Arial" w:cs="Arial"/>
          <w:sz w:val="20"/>
          <w:szCs w:val="20"/>
        </w:rPr>
        <w:t xml:space="preserve"> require</w:t>
      </w:r>
      <w:r w:rsidR="00FE72B6">
        <w:rPr>
          <w:rFonts w:ascii="Arial" w:hAnsi="Arial" w:cs="Arial"/>
          <w:sz w:val="20"/>
          <w:szCs w:val="20"/>
        </w:rPr>
        <w:t>s</w:t>
      </w:r>
      <w:r w:rsidR="003730D4" w:rsidRPr="003730D4">
        <w:rPr>
          <w:rFonts w:ascii="Arial" w:hAnsi="Arial" w:cs="Arial"/>
          <w:sz w:val="20"/>
          <w:szCs w:val="20"/>
        </w:rPr>
        <w:t xml:space="preserve"> access to commercially sensitive data </w:t>
      </w:r>
      <w:r w:rsidR="00FE72B6">
        <w:rPr>
          <w:rFonts w:ascii="Arial" w:hAnsi="Arial" w:cs="Arial"/>
          <w:sz w:val="20"/>
          <w:szCs w:val="20"/>
        </w:rPr>
        <w:t>that</w:t>
      </w:r>
      <w:r w:rsidR="003730D4" w:rsidRPr="003730D4">
        <w:rPr>
          <w:rFonts w:ascii="Arial" w:hAnsi="Arial" w:cs="Arial"/>
          <w:sz w:val="20"/>
          <w:szCs w:val="20"/>
        </w:rPr>
        <w:t xml:space="preserve"> </w:t>
      </w:r>
      <w:r w:rsidR="00FE72B6">
        <w:rPr>
          <w:rFonts w:ascii="Arial" w:hAnsi="Arial" w:cs="Arial"/>
          <w:sz w:val="20"/>
          <w:szCs w:val="20"/>
        </w:rPr>
        <w:t>has</w:t>
      </w:r>
      <w:r w:rsidR="003730D4" w:rsidRPr="003730D4">
        <w:rPr>
          <w:rFonts w:ascii="Arial" w:hAnsi="Arial" w:cs="Arial"/>
          <w:sz w:val="20"/>
          <w:szCs w:val="20"/>
        </w:rPr>
        <w:t xml:space="preserve"> not </w:t>
      </w:r>
      <w:r w:rsidR="00FE72B6">
        <w:rPr>
          <w:rFonts w:ascii="Arial" w:hAnsi="Arial" w:cs="Arial"/>
          <w:sz w:val="20"/>
          <w:szCs w:val="20"/>
        </w:rPr>
        <w:t xml:space="preserve">been </w:t>
      </w:r>
      <w:r w:rsidR="003730D4" w:rsidRPr="003730D4">
        <w:rPr>
          <w:rFonts w:ascii="Arial" w:hAnsi="Arial" w:cs="Arial"/>
          <w:sz w:val="20"/>
          <w:szCs w:val="20"/>
        </w:rPr>
        <w:t xml:space="preserve">granted to </w:t>
      </w:r>
      <w:r w:rsidR="00FE72B6">
        <w:rPr>
          <w:rFonts w:ascii="Arial" w:hAnsi="Arial" w:cs="Arial"/>
          <w:sz w:val="20"/>
          <w:szCs w:val="20"/>
        </w:rPr>
        <w:t xml:space="preserve">the </w:t>
      </w:r>
      <w:r w:rsidR="003730D4" w:rsidRPr="003730D4">
        <w:rPr>
          <w:rFonts w:ascii="Arial" w:hAnsi="Arial" w:cs="Arial"/>
          <w:sz w:val="20"/>
          <w:szCs w:val="20"/>
        </w:rPr>
        <w:t>consultant</w:t>
      </w:r>
      <w:r w:rsidR="00FE72B6">
        <w:rPr>
          <w:rFonts w:ascii="Arial" w:hAnsi="Arial" w:cs="Arial"/>
          <w:sz w:val="20"/>
          <w:szCs w:val="20"/>
        </w:rPr>
        <w:t xml:space="preserve"> team</w:t>
      </w:r>
      <w:r w:rsidR="003730D4" w:rsidRPr="003730D4">
        <w:rPr>
          <w:rFonts w:ascii="Arial" w:hAnsi="Arial" w:cs="Arial"/>
          <w:sz w:val="20"/>
          <w:szCs w:val="20"/>
        </w:rPr>
        <w:t>. However, these data</w:t>
      </w:r>
      <w:r w:rsidR="00FE72B6">
        <w:rPr>
          <w:rFonts w:ascii="Arial" w:hAnsi="Arial" w:cs="Arial"/>
          <w:sz w:val="20"/>
          <w:szCs w:val="20"/>
        </w:rPr>
        <w:t xml:space="preserve"> points</w:t>
      </w:r>
      <w:r w:rsidR="003730D4" w:rsidRPr="003730D4">
        <w:rPr>
          <w:rFonts w:ascii="Arial" w:hAnsi="Arial" w:cs="Arial"/>
          <w:sz w:val="20"/>
          <w:szCs w:val="20"/>
        </w:rPr>
        <w:t xml:space="preserve"> will be provided once the companies have a clear understanding of the </w:t>
      </w:r>
      <w:r w:rsidR="00FE72B6">
        <w:rPr>
          <w:rFonts w:ascii="Arial" w:hAnsi="Arial" w:cs="Arial"/>
          <w:sz w:val="20"/>
          <w:szCs w:val="20"/>
        </w:rPr>
        <w:t xml:space="preserve">JTF </w:t>
      </w:r>
      <w:r w:rsidR="003730D4" w:rsidRPr="003730D4">
        <w:rPr>
          <w:rFonts w:ascii="Arial" w:hAnsi="Arial" w:cs="Arial"/>
          <w:sz w:val="20"/>
          <w:szCs w:val="20"/>
        </w:rPr>
        <w:t xml:space="preserve">criteria to fulfill and the projects </w:t>
      </w:r>
      <w:r w:rsidR="00FE72B6">
        <w:rPr>
          <w:rFonts w:ascii="Arial" w:hAnsi="Arial" w:cs="Arial"/>
          <w:sz w:val="20"/>
          <w:szCs w:val="20"/>
        </w:rPr>
        <w:t>are</w:t>
      </w:r>
      <w:r w:rsidR="003730D4" w:rsidRPr="003730D4">
        <w:rPr>
          <w:rFonts w:ascii="Arial" w:hAnsi="Arial" w:cs="Arial"/>
          <w:sz w:val="20"/>
          <w:szCs w:val="20"/>
        </w:rPr>
        <w:t xml:space="preserve"> more advanced</w:t>
      </w:r>
      <w:bookmarkEnd w:id="41"/>
      <w:r w:rsidR="003730D4" w:rsidRPr="003730D4">
        <w:rPr>
          <w:rFonts w:ascii="Arial" w:hAnsi="Arial" w:cs="Arial"/>
          <w:sz w:val="20"/>
          <w:szCs w:val="20"/>
        </w:rPr>
        <w:t>.</w:t>
      </w:r>
    </w:p>
    <w:p w14:paraId="75576AC4" w14:textId="30977BA9" w:rsidR="003F0B80" w:rsidRDefault="000574CB" w:rsidP="0057444A">
      <w:pPr>
        <w:spacing w:after="120"/>
        <w:jc w:val="both"/>
        <w:rPr>
          <w:rFonts w:ascii="Arial" w:hAnsi="Arial" w:cs="Arial"/>
          <w:sz w:val="20"/>
          <w:szCs w:val="20"/>
        </w:rPr>
      </w:pPr>
      <w:r w:rsidRPr="00402580">
        <w:rPr>
          <w:rFonts w:ascii="Arial" w:hAnsi="Arial" w:cs="Arial"/>
          <w:sz w:val="20"/>
          <w:szCs w:val="20"/>
        </w:rPr>
        <w:t>This</w:t>
      </w:r>
      <w:r w:rsidR="005C2775" w:rsidRPr="00402580">
        <w:rPr>
          <w:rFonts w:ascii="Arial" w:hAnsi="Arial" w:cs="Arial"/>
          <w:sz w:val="20"/>
          <w:szCs w:val="20"/>
        </w:rPr>
        <w:t xml:space="preserve"> analysis aims to provide an initial assessment of the projects proposed by two major ETS installations</w:t>
      </w:r>
      <w:r w:rsidR="00B51EEB">
        <w:rPr>
          <w:rFonts w:ascii="Arial" w:hAnsi="Arial" w:cs="Arial"/>
          <w:sz w:val="20"/>
          <w:szCs w:val="20"/>
        </w:rPr>
        <w:t xml:space="preserve">: </w:t>
      </w:r>
      <w:r w:rsidR="005C2775" w:rsidRPr="00402580">
        <w:rPr>
          <w:rFonts w:ascii="Arial" w:hAnsi="Arial" w:cs="Arial"/>
          <w:sz w:val="20"/>
          <w:szCs w:val="20"/>
        </w:rPr>
        <w:t xml:space="preserve">Liberty Steel in </w:t>
      </w:r>
      <w:r w:rsidR="004F70E0">
        <w:rPr>
          <w:rFonts w:ascii="Arial" w:hAnsi="Arial" w:cs="Arial"/>
          <w:sz w:val="20"/>
          <w:szCs w:val="20"/>
        </w:rPr>
        <w:t>Galați</w:t>
      </w:r>
      <w:r w:rsidR="005C2775" w:rsidRPr="00402580">
        <w:rPr>
          <w:rFonts w:ascii="Arial" w:hAnsi="Arial" w:cs="Arial"/>
          <w:sz w:val="20"/>
          <w:szCs w:val="20"/>
        </w:rPr>
        <w:t xml:space="preserve"> </w:t>
      </w:r>
      <w:r w:rsidR="00B51EEB">
        <w:rPr>
          <w:rFonts w:ascii="Arial" w:hAnsi="Arial" w:cs="Arial"/>
          <w:sz w:val="20"/>
          <w:szCs w:val="20"/>
        </w:rPr>
        <w:t>C</w:t>
      </w:r>
      <w:r w:rsidR="005C2775" w:rsidRPr="00402580">
        <w:rPr>
          <w:rFonts w:ascii="Arial" w:hAnsi="Arial" w:cs="Arial"/>
          <w:sz w:val="20"/>
          <w:szCs w:val="20"/>
        </w:rPr>
        <w:t>ounty and Azo</w:t>
      </w:r>
      <w:r w:rsidR="004A16E9">
        <w:rPr>
          <w:rFonts w:ascii="Arial" w:hAnsi="Arial" w:cs="Arial"/>
          <w:sz w:val="20"/>
          <w:szCs w:val="20"/>
        </w:rPr>
        <w:t>m</w:t>
      </w:r>
      <w:r w:rsidR="004F70E0">
        <w:rPr>
          <w:rFonts w:ascii="Arial" w:hAnsi="Arial" w:cs="Arial"/>
          <w:sz w:val="20"/>
          <w:szCs w:val="20"/>
        </w:rPr>
        <w:t>ureș</w:t>
      </w:r>
      <w:r w:rsidR="005C2775" w:rsidRPr="00402580">
        <w:rPr>
          <w:rFonts w:ascii="Arial" w:hAnsi="Arial" w:cs="Arial"/>
          <w:sz w:val="20"/>
          <w:szCs w:val="20"/>
        </w:rPr>
        <w:t xml:space="preserve"> in </w:t>
      </w:r>
      <w:r w:rsidR="004F70E0">
        <w:rPr>
          <w:rFonts w:ascii="Arial" w:hAnsi="Arial" w:cs="Arial"/>
          <w:sz w:val="20"/>
          <w:szCs w:val="20"/>
        </w:rPr>
        <w:t>Mureș</w:t>
      </w:r>
      <w:r w:rsidR="005C2775" w:rsidRPr="00402580">
        <w:rPr>
          <w:rFonts w:ascii="Arial" w:hAnsi="Arial" w:cs="Arial"/>
          <w:sz w:val="20"/>
          <w:szCs w:val="20"/>
        </w:rPr>
        <w:t xml:space="preserve"> </w:t>
      </w:r>
      <w:r w:rsidR="00B51EEB">
        <w:rPr>
          <w:rFonts w:ascii="Arial" w:hAnsi="Arial" w:cs="Arial"/>
          <w:sz w:val="20"/>
          <w:szCs w:val="20"/>
        </w:rPr>
        <w:t>C</w:t>
      </w:r>
      <w:r w:rsidR="005C2775" w:rsidRPr="00402580">
        <w:rPr>
          <w:rFonts w:ascii="Arial" w:hAnsi="Arial" w:cs="Arial"/>
          <w:sz w:val="20"/>
          <w:szCs w:val="20"/>
        </w:rPr>
        <w:t>ounty.</w:t>
      </w:r>
      <w:r w:rsidR="003730D4">
        <w:rPr>
          <w:rFonts w:ascii="Arial" w:hAnsi="Arial" w:cs="Arial"/>
          <w:sz w:val="20"/>
          <w:szCs w:val="20"/>
        </w:rPr>
        <w:t xml:space="preserve"> </w:t>
      </w:r>
      <w:r w:rsidR="003730D4" w:rsidRPr="003730D4">
        <w:rPr>
          <w:rFonts w:ascii="Arial" w:hAnsi="Arial" w:cs="Arial"/>
          <w:sz w:val="20"/>
          <w:szCs w:val="20"/>
        </w:rPr>
        <w:t xml:space="preserve">Additionally, we inserted the comments following a discussion with a major refiner from Prahova. </w:t>
      </w:r>
      <w:r w:rsidR="005C2775" w:rsidRPr="00402580">
        <w:rPr>
          <w:rFonts w:ascii="Arial" w:hAnsi="Arial" w:cs="Arial"/>
          <w:sz w:val="20"/>
          <w:szCs w:val="20"/>
        </w:rPr>
        <w:t xml:space="preserve"> </w:t>
      </w:r>
      <w:r w:rsidR="00B51EEB">
        <w:rPr>
          <w:rFonts w:ascii="Arial" w:hAnsi="Arial" w:cs="Arial"/>
          <w:sz w:val="20"/>
          <w:szCs w:val="20"/>
        </w:rPr>
        <w:t>Although</w:t>
      </w:r>
      <w:r w:rsidR="005C2775" w:rsidRPr="00402580">
        <w:rPr>
          <w:rFonts w:ascii="Arial" w:hAnsi="Arial" w:cs="Arial"/>
          <w:sz w:val="20"/>
          <w:szCs w:val="20"/>
        </w:rPr>
        <w:t xml:space="preserve"> these installations are not situated in the counties most exposed to the downside of the energy transition, they represent the largest CO</w:t>
      </w:r>
      <w:r w:rsidR="005C2775" w:rsidRPr="00402580">
        <w:rPr>
          <w:rFonts w:ascii="Arial" w:hAnsi="Arial" w:cs="Arial"/>
          <w:sz w:val="20"/>
          <w:szCs w:val="20"/>
          <w:vertAlign w:val="subscript"/>
        </w:rPr>
        <w:t>2</w:t>
      </w:r>
      <w:r w:rsidR="005C2775" w:rsidRPr="00402580">
        <w:rPr>
          <w:rFonts w:ascii="Arial" w:hAnsi="Arial" w:cs="Arial"/>
          <w:sz w:val="20"/>
          <w:szCs w:val="20"/>
        </w:rPr>
        <w:t xml:space="preserve"> emitters in the respective counties</w:t>
      </w:r>
      <w:r w:rsidR="003730D4">
        <w:rPr>
          <w:rFonts w:ascii="Arial" w:hAnsi="Arial" w:cs="Arial"/>
          <w:sz w:val="20"/>
          <w:szCs w:val="20"/>
        </w:rPr>
        <w:t xml:space="preserve"> </w:t>
      </w:r>
      <w:r w:rsidR="003730D4" w:rsidRPr="003730D4">
        <w:rPr>
          <w:rFonts w:ascii="Arial" w:hAnsi="Arial" w:cs="Arial"/>
          <w:sz w:val="20"/>
          <w:szCs w:val="20"/>
        </w:rPr>
        <w:t>and emitters that are most likely to reduce their CO</w:t>
      </w:r>
      <w:r w:rsidR="003730D4" w:rsidRPr="00782BFD">
        <w:rPr>
          <w:rFonts w:ascii="Arial" w:hAnsi="Arial" w:cs="Arial"/>
          <w:sz w:val="20"/>
          <w:szCs w:val="20"/>
          <w:vertAlign w:val="subscript"/>
        </w:rPr>
        <w:t>2</w:t>
      </w:r>
      <w:r w:rsidR="003730D4" w:rsidRPr="003730D4">
        <w:rPr>
          <w:rFonts w:ascii="Arial" w:hAnsi="Arial" w:cs="Arial"/>
          <w:sz w:val="20"/>
          <w:szCs w:val="20"/>
        </w:rPr>
        <w:t xml:space="preserve"> emissions in the coming decades</w:t>
      </w:r>
      <w:r w:rsidR="005C2775" w:rsidRPr="00402580">
        <w:rPr>
          <w:rFonts w:ascii="Arial" w:hAnsi="Arial" w:cs="Arial"/>
          <w:sz w:val="20"/>
          <w:szCs w:val="20"/>
        </w:rPr>
        <w:t>.</w:t>
      </w:r>
    </w:p>
    <w:p w14:paraId="330BC71C" w14:textId="3E6FE24E" w:rsidR="003730D4" w:rsidRPr="003730D4" w:rsidRDefault="003730D4" w:rsidP="0057444A">
      <w:pPr>
        <w:spacing w:after="120"/>
        <w:jc w:val="both"/>
        <w:rPr>
          <w:rFonts w:ascii="Arial" w:hAnsi="Arial" w:cs="Arial"/>
          <w:sz w:val="20"/>
          <w:szCs w:val="20"/>
        </w:rPr>
      </w:pPr>
      <w:bookmarkStart w:id="42" w:name="_Hlk85564896"/>
      <w:r w:rsidRPr="003730D4">
        <w:rPr>
          <w:rFonts w:ascii="Arial" w:hAnsi="Arial" w:cs="Arial"/>
          <w:sz w:val="20"/>
          <w:szCs w:val="20"/>
        </w:rPr>
        <w:t>Graphs 12 and 13 present the benchmarks for free allocation that were used to analy</w:t>
      </w:r>
      <w:r w:rsidR="00D64756">
        <w:rPr>
          <w:rFonts w:ascii="Arial" w:hAnsi="Arial" w:cs="Arial"/>
          <w:sz w:val="20"/>
          <w:szCs w:val="20"/>
        </w:rPr>
        <w:t>s</w:t>
      </w:r>
      <w:r w:rsidRPr="003730D4">
        <w:rPr>
          <w:rFonts w:ascii="Arial" w:hAnsi="Arial" w:cs="Arial"/>
          <w:sz w:val="20"/>
          <w:szCs w:val="20"/>
        </w:rPr>
        <w:t>e the operations of Liberty Galati and Azomures.</w:t>
      </w:r>
    </w:p>
    <w:p w14:paraId="18150B85" w14:textId="4164FDE9" w:rsidR="003730D4" w:rsidRDefault="003730D4" w:rsidP="003730D4">
      <w:pPr>
        <w:pStyle w:val="Caption"/>
      </w:pPr>
      <w:bookmarkStart w:id="43" w:name="_Toc90727348"/>
      <w:bookmarkEnd w:id="42"/>
      <w:r w:rsidRPr="003730D4">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12</w:t>
      </w:r>
      <w:r w:rsidR="000B273D">
        <w:rPr>
          <w:noProof/>
        </w:rPr>
        <w:fldChar w:fldCharType="end"/>
      </w:r>
      <w:r w:rsidRPr="003730D4">
        <w:t xml:space="preserve">: EU ETS free allowance benchmarks for 2021 </w:t>
      </w:r>
      <w:r>
        <w:t>–</w:t>
      </w:r>
      <w:r w:rsidRPr="003730D4">
        <w:t xml:space="preserve"> 2025</w:t>
      </w:r>
      <w:bookmarkEnd w:id="43"/>
    </w:p>
    <w:p w14:paraId="5935CD4A" w14:textId="609EC0CD" w:rsidR="003730D4" w:rsidRDefault="003730D4" w:rsidP="003730D4">
      <w:pPr>
        <w:rPr>
          <w:lang w:eastAsia="en-US"/>
        </w:rPr>
      </w:pPr>
      <w:r>
        <w:rPr>
          <w:noProof/>
          <w:lang w:val="en-US" w:eastAsia="en-US"/>
        </w:rPr>
        <w:drawing>
          <wp:inline distT="0" distB="0" distL="0" distR="0" wp14:anchorId="071CAD32" wp14:editId="2A02930A">
            <wp:extent cx="5678424" cy="3200400"/>
            <wp:effectExtent l="0" t="0" r="17780" b="0"/>
            <wp:docPr id="2087055839" name="Chart 208705583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61F60FB-404A-40B8-8987-89E2EDBBA1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5576664" w14:textId="6102ED87" w:rsidR="003730D4" w:rsidRPr="003730D4" w:rsidRDefault="003730D4" w:rsidP="003730D4">
      <w:pPr>
        <w:rPr>
          <w:rFonts w:ascii="Arial" w:hAnsi="Arial" w:cs="Arial"/>
          <w:i/>
          <w:iCs/>
          <w:sz w:val="16"/>
          <w:szCs w:val="16"/>
          <w:lang w:eastAsia="en-US"/>
        </w:rPr>
      </w:pPr>
      <w:r w:rsidRPr="003730D4">
        <w:rPr>
          <w:rFonts w:ascii="Arial" w:hAnsi="Arial" w:cs="Arial"/>
          <w:i/>
          <w:iCs/>
          <w:sz w:val="16"/>
          <w:szCs w:val="16"/>
          <w:lang w:eastAsia="en-US"/>
        </w:rPr>
        <w:t>Source: European Commission; Sandbag</w:t>
      </w:r>
    </w:p>
    <w:p w14:paraId="0ABCF73F" w14:textId="012464BE" w:rsidR="003730D4" w:rsidRDefault="003730D4" w:rsidP="003730D4">
      <w:pPr>
        <w:pStyle w:val="Caption"/>
      </w:pPr>
      <w:bookmarkStart w:id="44" w:name="_Toc90727349"/>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13</w:t>
      </w:r>
      <w:r w:rsidR="000B273D">
        <w:rPr>
          <w:noProof/>
        </w:rPr>
        <w:fldChar w:fldCharType="end"/>
      </w:r>
      <w:r>
        <w:t xml:space="preserve">: </w:t>
      </w:r>
      <w:r w:rsidRPr="003730D4">
        <w:t>Average benchmarks for most emitting sectors in 2019</w:t>
      </w:r>
      <w:bookmarkEnd w:id="44"/>
    </w:p>
    <w:p w14:paraId="3432B0AF" w14:textId="688023B3" w:rsidR="003730D4" w:rsidRDefault="003730D4" w:rsidP="003730D4">
      <w:pPr>
        <w:rPr>
          <w:lang w:eastAsia="en-US"/>
        </w:rPr>
      </w:pPr>
      <w:r>
        <w:rPr>
          <w:noProof/>
          <w:lang w:val="en-US" w:eastAsia="en-US"/>
        </w:rPr>
        <w:drawing>
          <wp:inline distT="0" distB="0" distL="0" distR="0" wp14:anchorId="3D71D32A" wp14:editId="090363B2">
            <wp:extent cx="5676265" cy="2888467"/>
            <wp:effectExtent l="19050" t="19050" r="19685" b="26670"/>
            <wp:docPr id="2087055840" name="Picture 208705584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35"/>
                    <a:stretch>
                      <a:fillRect/>
                    </a:stretch>
                  </pic:blipFill>
                  <pic:spPr>
                    <a:xfrm>
                      <a:off x="0" y="0"/>
                      <a:ext cx="5676265" cy="2888467"/>
                    </a:xfrm>
                    <a:prstGeom prst="rect">
                      <a:avLst/>
                    </a:prstGeom>
                    <a:ln>
                      <a:solidFill>
                        <a:schemeClr val="bg1">
                          <a:lumMod val="85000"/>
                        </a:schemeClr>
                      </a:solidFill>
                    </a:ln>
                  </pic:spPr>
                </pic:pic>
              </a:graphicData>
            </a:graphic>
          </wp:inline>
        </w:drawing>
      </w:r>
    </w:p>
    <w:p w14:paraId="5EDF2532" w14:textId="2BE40281" w:rsidR="003730D4" w:rsidRPr="003730D4" w:rsidRDefault="003730D4" w:rsidP="003730D4">
      <w:pPr>
        <w:rPr>
          <w:rFonts w:ascii="Arial" w:hAnsi="Arial" w:cs="Arial"/>
          <w:i/>
          <w:iCs/>
          <w:sz w:val="16"/>
          <w:szCs w:val="16"/>
          <w:lang w:eastAsia="en-US"/>
        </w:rPr>
      </w:pPr>
      <w:r w:rsidRPr="003730D4">
        <w:rPr>
          <w:rFonts w:ascii="Arial" w:hAnsi="Arial" w:cs="Arial"/>
          <w:i/>
          <w:iCs/>
          <w:sz w:val="16"/>
          <w:szCs w:val="16"/>
          <w:lang w:eastAsia="en-US"/>
        </w:rPr>
        <w:t>Source: Sandbag</w:t>
      </w:r>
    </w:p>
    <w:p w14:paraId="0B8F1BC3" w14:textId="3C83A501" w:rsidR="004A16E9" w:rsidRDefault="00CA6F73" w:rsidP="003730D4">
      <w:pPr>
        <w:spacing w:before="120" w:after="120"/>
        <w:jc w:val="both"/>
        <w:rPr>
          <w:rFonts w:ascii="Arial" w:hAnsi="Arial" w:cs="Arial"/>
          <w:sz w:val="20"/>
          <w:szCs w:val="20"/>
        </w:rPr>
      </w:pPr>
      <w:bookmarkStart w:id="45" w:name="_Hlk85564900"/>
      <w:r w:rsidRPr="00CA6F73">
        <w:rPr>
          <w:rFonts w:ascii="Arial" w:hAnsi="Arial" w:cs="Arial"/>
          <w:sz w:val="20"/>
          <w:szCs w:val="20"/>
        </w:rPr>
        <w:t xml:space="preserve">Azomures and Liberty Galati are well managed companies that understand the exposure to carbon prices and actively manage it to reduce this </w:t>
      </w:r>
      <w:r w:rsidR="00D64756">
        <w:rPr>
          <w:rFonts w:ascii="Arial" w:hAnsi="Arial" w:cs="Arial"/>
          <w:sz w:val="20"/>
          <w:szCs w:val="20"/>
        </w:rPr>
        <w:t>risk</w:t>
      </w:r>
      <w:r w:rsidRPr="00CA6F73">
        <w:rPr>
          <w:rFonts w:ascii="Arial" w:hAnsi="Arial" w:cs="Arial"/>
          <w:sz w:val="20"/>
          <w:szCs w:val="20"/>
        </w:rPr>
        <w:t>. The CO</w:t>
      </w:r>
      <w:r w:rsidRPr="00782BFD">
        <w:rPr>
          <w:rFonts w:ascii="Arial" w:hAnsi="Arial" w:cs="Arial"/>
          <w:sz w:val="20"/>
          <w:szCs w:val="20"/>
          <w:vertAlign w:val="subscript"/>
        </w:rPr>
        <w:t>2</w:t>
      </w:r>
      <w:r w:rsidRPr="00CA6F73">
        <w:rPr>
          <w:rFonts w:ascii="Arial" w:hAnsi="Arial" w:cs="Arial"/>
          <w:sz w:val="20"/>
          <w:szCs w:val="20"/>
        </w:rPr>
        <w:t xml:space="preserve"> emissions per product in both companies are close to the benchmarks for free allocations</w:t>
      </w:r>
      <w:r w:rsidR="00D64756">
        <w:rPr>
          <w:rFonts w:ascii="Arial" w:hAnsi="Arial" w:cs="Arial"/>
          <w:sz w:val="20"/>
          <w:szCs w:val="20"/>
        </w:rPr>
        <w:t xml:space="preserve"> with</w:t>
      </w:r>
      <w:r w:rsidRPr="00CA6F73">
        <w:rPr>
          <w:rFonts w:ascii="Arial" w:hAnsi="Arial" w:cs="Arial"/>
          <w:sz w:val="20"/>
          <w:szCs w:val="20"/>
        </w:rPr>
        <w:t xml:space="preserve"> plans to reduce</w:t>
      </w:r>
      <w:r w:rsidR="00D64756">
        <w:rPr>
          <w:rFonts w:ascii="Arial" w:hAnsi="Arial" w:cs="Arial"/>
          <w:sz w:val="20"/>
          <w:szCs w:val="20"/>
        </w:rPr>
        <w:t xml:space="preserve"> them</w:t>
      </w:r>
      <w:r w:rsidRPr="00CA6F73">
        <w:rPr>
          <w:rFonts w:ascii="Arial" w:hAnsi="Arial" w:cs="Arial"/>
          <w:sz w:val="20"/>
          <w:szCs w:val="20"/>
        </w:rPr>
        <w:t xml:space="preserve"> even further in the coming decade. Liberty Galati has plans to become carbon neutral by 2030. It is highly likely that the projects they will prepare will meet the most relevant criteria, namely </w:t>
      </w:r>
      <w:r w:rsidR="00D64756">
        <w:rPr>
          <w:rFonts w:ascii="Arial" w:hAnsi="Arial" w:cs="Arial"/>
          <w:sz w:val="20"/>
          <w:szCs w:val="20"/>
        </w:rPr>
        <w:t>meeting the</w:t>
      </w:r>
      <w:r w:rsidRPr="00CA6F73">
        <w:rPr>
          <w:rFonts w:ascii="Arial" w:hAnsi="Arial" w:cs="Arial"/>
          <w:sz w:val="20"/>
          <w:szCs w:val="20"/>
        </w:rPr>
        <w:t xml:space="preserve"> benchmarks for free allocation.  </w:t>
      </w:r>
    </w:p>
    <w:p w14:paraId="0C28CB34" w14:textId="6FE2BEF5" w:rsidR="004A16E9" w:rsidRPr="004A16E9" w:rsidRDefault="004A16E9" w:rsidP="004A16E9">
      <w:pPr>
        <w:jc w:val="both"/>
        <w:rPr>
          <w:rFonts w:ascii="Arial" w:hAnsi="Arial" w:cs="Arial"/>
          <w:sz w:val="20"/>
          <w:szCs w:val="20"/>
        </w:rPr>
      </w:pPr>
      <w:r w:rsidRPr="004A16E9">
        <w:rPr>
          <w:rFonts w:ascii="Arial" w:hAnsi="Arial" w:cs="Arial"/>
          <w:sz w:val="20"/>
          <w:szCs w:val="20"/>
        </w:rPr>
        <w:t>While a significant number of projects are close</w:t>
      </w:r>
      <w:r w:rsidR="00D64756">
        <w:rPr>
          <w:rFonts w:ascii="Arial" w:hAnsi="Arial" w:cs="Arial"/>
          <w:sz w:val="20"/>
          <w:szCs w:val="20"/>
        </w:rPr>
        <w:t>r</w:t>
      </w:r>
      <w:r w:rsidRPr="004A16E9">
        <w:rPr>
          <w:rFonts w:ascii="Arial" w:hAnsi="Arial" w:cs="Arial"/>
          <w:sz w:val="20"/>
          <w:szCs w:val="20"/>
        </w:rPr>
        <w:t xml:space="preserve"> to </w:t>
      </w:r>
      <w:r w:rsidR="00D64756">
        <w:rPr>
          <w:rFonts w:ascii="Arial" w:hAnsi="Arial" w:cs="Arial"/>
          <w:sz w:val="20"/>
          <w:szCs w:val="20"/>
        </w:rPr>
        <w:t xml:space="preserve">a </w:t>
      </w:r>
      <w:r w:rsidRPr="004A16E9">
        <w:rPr>
          <w:rFonts w:ascii="Arial" w:hAnsi="Arial" w:cs="Arial"/>
          <w:sz w:val="20"/>
          <w:szCs w:val="20"/>
        </w:rPr>
        <w:t xml:space="preserve">statement of intention without solid research and analysis behind them, </w:t>
      </w:r>
      <w:r w:rsidR="00D64756">
        <w:rPr>
          <w:rFonts w:ascii="Arial" w:hAnsi="Arial" w:cs="Arial"/>
          <w:sz w:val="20"/>
          <w:szCs w:val="20"/>
        </w:rPr>
        <w:t xml:space="preserve">biorefinery </w:t>
      </w:r>
      <w:r w:rsidRPr="004A16E9">
        <w:rPr>
          <w:rFonts w:ascii="Arial" w:hAnsi="Arial" w:cs="Arial"/>
          <w:sz w:val="20"/>
          <w:szCs w:val="20"/>
        </w:rPr>
        <w:t xml:space="preserve">projects in Prahova are even less advanced than those in Galati and Mures. </w:t>
      </w:r>
    </w:p>
    <w:p w14:paraId="6DAE749B" w14:textId="57B3108F" w:rsidR="00CA6F73" w:rsidRPr="00CA6F73" w:rsidRDefault="004A16E9" w:rsidP="003730D4">
      <w:pPr>
        <w:spacing w:before="120" w:after="120"/>
        <w:jc w:val="both"/>
        <w:rPr>
          <w:rFonts w:ascii="Arial" w:hAnsi="Arial" w:cs="Arial"/>
          <w:sz w:val="20"/>
          <w:szCs w:val="20"/>
        </w:rPr>
      </w:pPr>
      <w:r w:rsidRPr="004A16E9">
        <w:rPr>
          <w:rFonts w:ascii="Arial" w:hAnsi="Arial" w:cs="Arial"/>
          <w:sz w:val="20"/>
          <w:szCs w:val="20"/>
        </w:rPr>
        <w:t>Finally, in Hunedoara, ArcelorMittal proposes to develop a 3 MW solar PV plant that will qualify for JTF funding.</w:t>
      </w:r>
    </w:p>
    <w:bookmarkEnd w:id="45"/>
    <w:p w14:paraId="043467E5" w14:textId="59D45299" w:rsidR="003F0B80" w:rsidRPr="0057444A" w:rsidRDefault="003F0B80" w:rsidP="003730D4">
      <w:pPr>
        <w:spacing w:before="120" w:after="120"/>
        <w:jc w:val="both"/>
        <w:rPr>
          <w:rFonts w:ascii="Arial" w:hAnsi="Arial" w:cs="Arial"/>
          <w:i/>
          <w:iCs/>
          <w:sz w:val="20"/>
          <w:szCs w:val="20"/>
        </w:rPr>
      </w:pPr>
      <w:r>
        <w:rPr>
          <w:rFonts w:ascii="Arial" w:hAnsi="Arial" w:cs="Arial"/>
          <w:i/>
          <w:iCs/>
          <w:sz w:val="20"/>
          <w:szCs w:val="20"/>
        </w:rPr>
        <w:t>A more detailed presentation</w:t>
      </w:r>
      <w:r w:rsidR="00505B25">
        <w:rPr>
          <w:rFonts w:ascii="Arial" w:hAnsi="Arial" w:cs="Arial"/>
          <w:i/>
          <w:iCs/>
          <w:sz w:val="20"/>
          <w:szCs w:val="20"/>
        </w:rPr>
        <w:t xml:space="preserve"> of the analysis, as well as corresponding county</w:t>
      </w:r>
      <w:r w:rsidRPr="00033727">
        <w:rPr>
          <w:rFonts w:ascii="Arial" w:hAnsi="Arial" w:cs="Arial"/>
          <w:i/>
          <w:iCs/>
          <w:sz w:val="20"/>
          <w:szCs w:val="20"/>
        </w:rPr>
        <w:t xml:space="preserve"> conclusions</w:t>
      </w:r>
      <w:r w:rsidR="00B51EEB">
        <w:rPr>
          <w:rFonts w:ascii="Arial" w:hAnsi="Arial" w:cs="Arial"/>
          <w:i/>
          <w:iCs/>
          <w:sz w:val="20"/>
          <w:szCs w:val="20"/>
        </w:rPr>
        <w:t>,</w:t>
      </w:r>
      <w:r w:rsidR="00505B25">
        <w:rPr>
          <w:rFonts w:ascii="Arial" w:hAnsi="Arial" w:cs="Arial"/>
          <w:i/>
          <w:iCs/>
          <w:sz w:val="20"/>
          <w:szCs w:val="20"/>
        </w:rPr>
        <w:t xml:space="preserve"> </w:t>
      </w:r>
      <w:r w:rsidRPr="00033727">
        <w:rPr>
          <w:rFonts w:ascii="Arial" w:hAnsi="Arial" w:cs="Arial"/>
          <w:i/>
          <w:iCs/>
          <w:sz w:val="20"/>
          <w:szCs w:val="20"/>
        </w:rPr>
        <w:t xml:space="preserve">have been included in </w:t>
      </w:r>
      <w:r w:rsidR="00091FE3">
        <w:rPr>
          <w:rFonts w:ascii="Arial" w:hAnsi="Arial" w:cs="Arial"/>
          <w:i/>
          <w:iCs/>
          <w:sz w:val="20"/>
          <w:szCs w:val="20"/>
        </w:rPr>
        <w:t>Chapter</w:t>
      </w:r>
      <w:r w:rsidRPr="00033727">
        <w:rPr>
          <w:rFonts w:ascii="Arial" w:hAnsi="Arial" w:cs="Arial"/>
          <w:i/>
          <w:iCs/>
          <w:sz w:val="20"/>
          <w:szCs w:val="20"/>
        </w:rPr>
        <w:t xml:space="preserve">s </w:t>
      </w:r>
      <w:r w:rsidR="004A16E9">
        <w:rPr>
          <w:rFonts w:ascii="Arial" w:hAnsi="Arial" w:cs="Arial"/>
          <w:i/>
          <w:iCs/>
          <w:sz w:val="20"/>
          <w:szCs w:val="20"/>
        </w:rPr>
        <w:t xml:space="preserve">3, </w:t>
      </w:r>
      <w:r w:rsidR="003730D4">
        <w:rPr>
          <w:rFonts w:ascii="Arial" w:hAnsi="Arial" w:cs="Arial"/>
          <w:i/>
          <w:iCs/>
          <w:sz w:val="20"/>
          <w:szCs w:val="20"/>
        </w:rPr>
        <w:t xml:space="preserve">6, </w:t>
      </w:r>
      <w:r w:rsidR="0041188B">
        <w:rPr>
          <w:rFonts w:ascii="Arial" w:hAnsi="Arial" w:cs="Arial"/>
          <w:i/>
          <w:iCs/>
          <w:sz w:val="20"/>
          <w:szCs w:val="20"/>
        </w:rPr>
        <w:t>7</w:t>
      </w:r>
      <w:r w:rsidR="00505B25">
        <w:rPr>
          <w:rFonts w:ascii="Arial" w:hAnsi="Arial" w:cs="Arial"/>
          <w:i/>
          <w:iCs/>
          <w:sz w:val="20"/>
          <w:szCs w:val="20"/>
        </w:rPr>
        <w:t xml:space="preserve"> and </w:t>
      </w:r>
      <w:r w:rsidR="0041188B">
        <w:rPr>
          <w:rFonts w:ascii="Arial" w:hAnsi="Arial" w:cs="Arial"/>
          <w:i/>
          <w:iCs/>
          <w:sz w:val="20"/>
          <w:szCs w:val="20"/>
        </w:rPr>
        <w:t>8</w:t>
      </w:r>
      <w:r w:rsidR="00505B25">
        <w:rPr>
          <w:rFonts w:ascii="Arial" w:hAnsi="Arial" w:cs="Arial"/>
          <w:i/>
          <w:iCs/>
          <w:sz w:val="20"/>
          <w:szCs w:val="20"/>
        </w:rPr>
        <w:t xml:space="preserve"> </w:t>
      </w:r>
      <w:r w:rsidRPr="00033727">
        <w:rPr>
          <w:rFonts w:ascii="Arial" w:hAnsi="Arial" w:cs="Arial"/>
          <w:i/>
          <w:iCs/>
          <w:sz w:val="20"/>
          <w:szCs w:val="20"/>
        </w:rPr>
        <w:t xml:space="preserve">for each of the </w:t>
      </w:r>
      <w:r w:rsidR="00505B25">
        <w:rPr>
          <w:rFonts w:ascii="Arial" w:hAnsi="Arial" w:cs="Arial"/>
          <w:i/>
          <w:iCs/>
          <w:sz w:val="20"/>
          <w:szCs w:val="20"/>
        </w:rPr>
        <w:t>affected regions.</w:t>
      </w:r>
    </w:p>
    <w:p w14:paraId="6B3550A5" w14:textId="0B1A8C22" w:rsidR="005C2775" w:rsidRPr="00BD2604" w:rsidRDefault="00BD2604" w:rsidP="00E42342">
      <w:pPr>
        <w:pStyle w:val="Heading2"/>
        <w:numPr>
          <w:ilvl w:val="0"/>
          <w:numId w:val="157"/>
        </w:numPr>
      </w:pPr>
      <w:bookmarkStart w:id="46" w:name="_Toc90725851"/>
      <w:r>
        <w:t>Energy</w:t>
      </w:r>
      <w:r w:rsidR="00AA17AE" w:rsidRPr="00BD2604">
        <w:t xml:space="preserve"> poverty, energy efficiency in buildings and district heating</w:t>
      </w:r>
      <w:bookmarkEnd w:id="46"/>
    </w:p>
    <w:p w14:paraId="2A5F5FED" w14:textId="0838834A" w:rsidR="00F6026A" w:rsidRDefault="00F6026A" w:rsidP="00F6026A">
      <w:pPr>
        <w:jc w:val="both"/>
        <w:rPr>
          <w:rFonts w:ascii="Arial" w:hAnsi="Arial" w:cs="Arial"/>
          <w:i/>
          <w:iCs/>
          <w:color w:val="0070C0"/>
          <w:sz w:val="20"/>
          <w:szCs w:val="20"/>
        </w:rPr>
      </w:pPr>
      <w:r>
        <w:rPr>
          <w:rFonts w:ascii="Arial" w:hAnsi="Arial" w:cs="Arial"/>
          <w:i/>
          <w:iCs/>
          <w:color w:val="0070C0"/>
          <w:sz w:val="20"/>
          <w:szCs w:val="20"/>
        </w:rPr>
        <w:t>Poverty and unemployment at county level</w:t>
      </w:r>
    </w:p>
    <w:p w14:paraId="4D3A446C" w14:textId="7B116CF8" w:rsidR="00F6026A" w:rsidRPr="003516DC" w:rsidRDefault="00F6026A" w:rsidP="00F6026A">
      <w:pPr>
        <w:pStyle w:val="Caption"/>
        <w:spacing w:before="120"/>
        <w:ind w:left="0" w:firstLine="0"/>
        <w:jc w:val="both"/>
        <w:rPr>
          <w:b w:val="0"/>
          <w:iCs w:val="0"/>
          <w:color w:val="auto"/>
        </w:rPr>
      </w:pPr>
      <w:r w:rsidRPr="003516DC">
        <w:rPr>
          <w:b w:val="0"/>
          <w:iCs w:val="0"/>
          <w:color w:val="auto"/>
        </w:rPr>
        <w:t xml:space="preserve">Given the lack of poverty statistics at the county level, </w:t>
      </w:r>
      <w:r>
        <w:rPr>
          <w:b w:val="0"/>
          <w:iCs w:val="0"/>
          <w:color w:val="auto"/>
        </w:rPr>
        <w:t xml:space="preserve">a </w:t>
      </w:r>
      <w:r w:rsidRPr="003516DC">
        <w:rPr>
          <w:b w:val="0"/>
          <w:iCs w:val="0"/>
          <w:color w:val="auto"/>
        </w:rPr>
        <w:t xml:space="preserve">good proxy is GDP/capita. Table </w:t>
      </w:r>
      <w:r w:rsidR="001C68D2">
        <w:rPr>
          <w:b w:val="0"/>
          <w:iCs w:val="0"/>
          <w:color w:val="auto"/>
        </w:rPr>
        <w:t>6</w:t>
      </w:r>
      <w:r w:rsidRPr="003516DC">
        <w:rPr>
          <w:b w:val="0"/>
          <w:iCs w:val="0"/>
          <w:color w:val="auto"/>
        </w:rPr>
        <w:t xml:space="preserve"> shows the impact of Covid-19 on local prosperity. The National Commission for Strategy and Prognosis expects GDP per capita to recover in 2021 compared to 2020, but at much lower rates than previous GDP/capita expectations made in December 2019 (up to 2,000 EUR/capita lower).</w:t>
      </w:r>
    </w:p>
    <w:p w14:paraId="4F5FB08F" w14:textId="668E640C" w:rsidR="00F6026A" w:rsidRPr="00D64756" w:rsidRDefault="00F6026A" w:rsidP="00F6026A">
      <w:pPr>
        <w:pStyle w:val="Caption"/>
        <w:spacing w:before="120"/>
        <w:ind w:left="1138" w:hanging="1138"/>
        <w:rPr>
          <w:lang w:val="it-IT"/>
        </w:rPr>
      </w:pPr>
      <w:bookmarkStart w:id="47" w:name="_Toc90725960"/>
      <w:bookmarkStart w:id="48" w:name="_Toc90727257"/>
      <w:r w:rsidRPr="00D64756">
        <w:rPr>
          <w:lang w:val="it-IT"/>
        </w:rPr>
        <w:t xml:space="preserve">Table </w:t>
      </w:r>
      <w:r w:rsidRPr="003516DC">
        <w:rPr>
          <w:noProof/>
        </w:rPr>
        <w:fldChar w:fldCharType="begin"/>
      </w:r>
      <w:r w:rsidRPr="00D64756">
        <w:rPr>
          <w:lang w:val="it-IT"/>
        </w:rPr>
        <w:instrText xml:space="preserve"> SEQ Table \* ARABIC </w:instrText>
      </w:r>
      <w:r w:rsidRPr="003516DC">
        <w:rPr>
          <w:noProof/>
        </w:rPr>
        <w:fldChar w:fldCharType="separate"/>
      </w:r>
      <w:r w:rsidR="00FE008A">
        <w:rPr>
          <w:noProof/>
          <w:lang w:val="it-IT"/>
        </w:rPr>
        <w:t>6</w:t>
      </w:r>
      <w:r w:rsidRPr="003516DC">
        <w:rPr>
          <w:noProof/>
        </w:rPr>
        <w:fldChar w:fldCharType="end"/>
      </w:r>
      <w:r w:rsidRPr="00D64756">
        <w:rPr>
          <w:lang w:val="it-IT"/>
        </w:rPr>
        <w:t>: GDP per capita (EUR)</w:t>
      </w:r>
      <w:bookmarkEnd w:id="47"/>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1202"/>
        <w:gridCol w:w="1204"/>
        <w:gridCol w:w="1205"/>
        <w:gridCol w:w="1196"/>
        <w:gridCol w:w="1196"/>
        <w:gridCol w:w="1193"/>
      </w:tblGrid>
      <w:tr w:rsidR="005C2BED" w:rsidRPr="003516DC" w14:paraId="06CC221C" w14:textId="77777777" w:rsidTr="00190BA4">
        <w:tc>
          <w:tcPr>
            <w:tcW w:w="970" w:type="pct"/>
            <w:vMerge w:val="restart"/>
            <w:shd w:val="clear" w:color="auto" w:fill="002060"/>
            <w:tcMar>
              <w:top w:w="40" w:type="dxa"/>
              <w:left w:w="40" w:type="dxa"/>
              <w:bottom w:w="40" w:type="dxa"/>
              <w:right w:w="40" w:type="dxa"/>
            </w:tcMar>
            <w:vAlign w:val="center"/>
          </w:tcPr>
          <w:p w14:paraId="2505492C" w14:textId="77777777" w:rsidR="00F6026A" w:rsidRPr="003516DC" w:rsidRDefault="00F6026A" w:rsidP="00190BA4">
            <w:pPr>
              <w:widowControl w:val="0"/>
              <w:rPr>
                <w:rFonts w:ascii="Arial" w:hAnsi="Arial" w:cs="Arial"/>
                <w:b/>
                <w:bCs/>
                <w:color w:val="FFFFFF" w:themeColor="background1"/>
                <w:sz w:val="18"/>
                <w:szCs w:val="18"/>
              </w:rPr>
            </w:pPr>
            <w:r w:rsidRPr="003516DC">
              <w:rPr>
                <w:rFonts w:ascii="Arial" w:hAnsi="Arial" w:cs="Arial"/>
                <w:b/>
                <w:bCs/>
                <w:color w:val="FFFFFF" w:themeColor="background1"/>
                <w:sz w:val="18"/>
                <w:szCs w:val="18"/>
              </w:rPr>
              <w:t>County</w:t>
            </w:r>
          </w:p>
        </w:tc>
        <w:tc>
          <w:tcPr>
            <w:tcW w:w="2022" w:type="pct"/>
            <w:gridSpan w:val="3"/>
            <w:shd w:val="clear" w:color="auto" w:fill="002060"/>
            <w:tcMar>
              <w:top w:w="40" w:type="dxa"/>
              <w:left w:w="40" w:type="dxa"/>
              <w:bottom w:w="40" w:type="dxa"/>
              <w:right w:w="40" w:type="dxa"/>
            </w:tcMar>
            <w:vAlign w:val="center"/>
          </w:tcPr>
          <w:p w14:paraId="56D4F40D" w14:textId="77777777" w:rsidR="00F6026A" w:rsidRPr="003516DC" w:rsidRDefault="00F6026A" w:rsidP="00190BA4">
            <w:pPr>
              <w:widowControl w:val="0"/>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Est. made in Dec. 2019</w:t>
            </w:r>
          </w:p>
        </w:tc>
        <w:tc>
          <w:tcPr>
            <w:tcW w:w="2008" w:type="pct"/>
            <w:gridSpan w:val="3"/>
            <w:shd w:val="clear" w:color="auto" w:fill="002060"/>
            <w:tcMar>
              <w:top w:w="40" w:type="dxa"/>
              <w:left w:w="40" w:type="dxa"/>
              <w:bottom w:w="40" w:type="dxa"/>
              <w:right w:w="40" w:type="dxa"/>
            </w:tcMar>
            <w:vAlign w:val="center"/>
          </w:tcPr>
          <w:p w14:paraId="42A3731C" w14:textId="77777777" w:rsidR="00F6026A" w:rsidRPr="003516DC" w:rsidRDefault="00F6026A" w:rsidP="00190BA4">
            <w:pPr>
              <w:widowControl w:val="0"/>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Est. made in Feb. 2021</w:t>
            </w:r>
          </w:p>
        </w:tc>
      </w:tr>
      <w:tr w:rsidR="005C2BED" w:rsidRPr="003516DC" w14:paraId="5822F327" w14:textId="77777777" w:rsidTr="00190BA4">
        <w:tc>
          <w:tcPr>
            <w:tcW w:w="970" w:type="pct"/>
            <w:vMerge/>
            <w:shd w:val="clear" w:color="auto" w:fill="002060"/>
            <w:tcMar>
              <w:top w:w="40" w:type="dxa"/>
              <w:left w:w="40" w:type="dxa"/>
              <w:bottom w:w="40" w:type="dxa"/>
              <w:right w:w="40" w:type="dxa"/>
            </w:tcMar>
            <w:vAlign w:val="center"/>
          </w:tcPr>
          <w:p w14:paraId="430C4E38" w14:textId="77777777" w:rsidR="00F6026A" w:rsidRPr="003516DC" w:rsidRDefault="00F6026A" w:rsidP="00190BA4">
            <w:pPr>
              <w:widowControl w:val="0"/>
              <w:rPr>
                <w:rFonts w:ascii="Arial" w:hAnsi="Arial" w:cs="Arial"/>
                <w:b/>
                <w:bCs/>
                <w:color w:val="FFFFFF" w:themeColor="background1"/>
                <w:sz w:val="18"/>
                <w:szCs w:val="18"/>
              </w:rPr>
            </w:pPr>
          </w:p>
        </w:tc>
        <w:tc>
          <w:tcPr>
            <w:tcW w:w="673" w:type="pct"/>
            <w:shd w:val="clear" w:color="auto" w:fill="002060"/>
            <w:tcMar>
              <w:top w:w="40" w:type="dxa"/>
              <w:left w:w="40" w:type="dxa"/>
              <w:bottom w:w="40" w:type="dxa"/>
              <w:right w:w="40" w:type="dxa"/>
            </w:tcMar>
            <w:vAlign w:val="center"/>
          </w:tcPr>
          <w:p w14:paraId="4A21954E"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2019</w:t>
            </w:r>
          </w:p>
        </w:tc>
        <w:tc>
          <w:tcPr>
            <w:tcW w:w="674" w:type="pct"/>
            <w:shd w:val="clear" w:color="auto" w:fill="002060"/>
            <w:tcMar>
              <w:top w:w="40" w:type="dxa"/>
              <w:left w:w="40" w:type="dxa"/>
              <w:bottom w:w="40" w:type="dxa"/>
              <w:right w:w="40" w:type="dxa"/>
            </w:tcMar>
            <w:vAlign w:val="center"/>
          </w:tcPr>
          <w:p w14:paraId="0569BECF"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2020</w:t>
            </w:r>
          </w:p>
        </w:tc>
        <w:tc>
          <w:tcPr>
            <w:tcW w:w="675" w:type="pct"/>
            <w:shd w:val="clear" w:color="auto" w:fill="002060"/>
            <w:tcMar>
              <w:top w:w="40" w:type="dxa"/>
              <w:left w:w="40" w:type="dxa"/>
              <w:bottom w:w="40" w:type="dxa"/>
              <w:right w:w="40" w:type="dxa"/>
            </w:tcMar>
            <w:vAlign w:val="center"/>
          </w:tcPr>
          <w:p w14:paraId="44C9CD23"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2021</w:t>
            </w:r>
          </w:p>
        </w:tc>
        <w:tc>
          <w:tcPr>
            <w:tcW w:w="670" w:type="pct"/>
            <w:shd w:val="clear" w:color="auto" w:fill="002060"/>
            <w:tcMar>
              <w:top w:w="40" w:type="dxa"/>
              <w:left w:w="40" w:type="dxa"/>
              <w:bottom w:w="40" w:type="dxa"/>
              <w:right w:w="40" w:type="dxa"/>
            </w:tcMar>
            <w:vAlign w:val="center"/>
          </w:tcPr>
          <w:p w14:paraId="0CCF8B90"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2019</w:t>
            </w:r>
          </w:p>
        </w:tc>
        <w:tc>
          <w:tcPr>
            <w:tcW w:w="670" w:type="pct"/>
            <w:shd w:val="clear" w:color="auto" w:fill="002060"/>
            <w:tcMar>
              <w:top w:w="40" w:type="dxa"/>
              <w:left w:w="40" w:type="dxa"/>
              <w:bottom w:w="40" w:type="dxa"/>
              <w:right w:w="40" w:type="dxa"/>
            </w:tcMar>
            <w:vAlign w:val="center"/>
          </w:tcPr>
          <w:p w14:paraId="1129D09B"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2020</w:t>
            </w:r>
          </w:p>
        </w:tc>
        <w:tc>
          <w:tcPr>
            <w:tcW w:w="668" w:type="pct"/>
            <w:shd w:val="clear" w:color="auto" w:fill="002060"/>
            <w:tcMar>
              <w:top w:w="40" w:type="dxa"/>
              <w:left w:w="40" w:type="dxa"/>
              <w:bottom w:w="40" w:type="dxa"/>
              <w:right w:w="40" w:type="dxa"/>
            </w:tcMar>
            <w:vAlign w:val="center"/>
          </w:tcPr>
          <w:p w14:paraId="0C34941E" w14:textId="77777777" w:rsidR="00F6026A" w:rsidRPr="003516DC" w:rsidRDefault="00F6026A" w:rsidP="00190BA4">
            <w:pPr>
              <w:widowControl w:val="0"/>
              <w:jc w:val="right"/>
              <w:rPr>
                <w:rFonts w:ascii="Arial" w:hAnsi="Arial" w:cs="Arial"/>
                <w:b/>
                <w:bCs/>
                <w:color w:val="FFFFFF" w:themeColor="background1"/>
                <w:sz w:val="18"/>
                <w:szCs w:val="18"/>
              </w:rPr>
            </w:pPr>
            <w:r w:rsidRPr="003516DC">
              <w:rPr>
                <w:rFonts w:ascii="Arial" w:hAnsi="Arial" w:cs="Arial"/>
                <w:b/>
                <w:bCs/>
                <w:color w:val="FFFFFF" w:themeColor="background1"/>
                <w:sz w:val="18"/>
                <w:szCs w:val="18"/>
              </w:rPr>
              <w:t>2021</w:t>
            </w:r>
          </w:p>
        </w:tc>
      </w:tr>
      <w:tr w:rsidR="005C2BED" w:rsidRPr="003516DC" w14:paraId="0BAE1D80" w14:textId="77777777" w:rsidTr="00190BA4">
        <w:tc>
          <w:tcPr>
            <w:tcW w:w="970" w:type="pct"/>
            <w:tcMar>
              <w:top w:w="40" w:type="dxa"/>
              <w:left w:w="40" w:type="dxa"/>
              <w:bottom w:w="40" w:type="dxa"/>
              <w:right w:w="40" w:type="dxa"/>
            </w:tcMar>
            <w:vAlign w:val="bottom"/>
          </w:tcPr>
          <w:p w14:paraId="4FD6F81B"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Dolj</w:t>
            </w:r>
          </w:p>
        </w:tc>
        <w:tc>
          <w:tcPr>
            <w:tcW w:w="673" w:type="pct"/>
            <w:tcMar>
              <w:top w:w="40" w:type="dxa"/>
              <w:left w:w="40" w:type="dxa"/>
              <w:bottom w:w="40" w:type="dxa"/>
              <w:right w:w="40" w:type="dxa"/>
            </w:tcMar>
            <w:vAlign w:val="bottom"/>
          </w:tcPr>
          <w:p w14:paraId="04F914F4"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9,136</w:t>
            </w:r>
          </w:p>
        </w:tc>
        <w:tc>
          <w:tcPr>
            <w:tcW w:w="674" w:type="pct"/>
            <w:tcMar>
              <w:top w:w="40" w:type="dxa"/>
              <w:left w:w="40" w:type="dxa"/>
              <w:bottom w:w="40" w:type="dxa"/>
              <w:right w:w="40" w:type="dxa"/>
            </w:tcMar>
            <w:vAlign w:val="bottom"/>
          </w:tcPr>
          <w:p w14:paraId="62A592C1"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10,007</w:t>
            </w:r>
          </w:p>
        </w:tc>
        <w:tc>
          <w:tcPr>
            <w:tcW w:w="675" w:type="pct"/>
            <w:tcMar>
              <w:top w:w="40" w:type="dxa"/>
              <w:left w:w="40" w:type="dxa"/>
              <w:bottom w:w="40" w:type="dxa"/>
              <w:right w:w="40" w:type="dxa"/>
            </w:tcMar>
            <w:vAlign w:val="bottom"/>
          </w:tcPr>
          <w:p w14:paraId="04FBE636"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10,900</w:t>
            </w:r>
          </w:p>
        </w:tc>
        <w:tc>
          <w:tcPr>
            <w:tcW w:w="670" w:type="pct"/>
            <w:tcMar>
              <w:top w:w="40" w:type="dxa"/>
              <w:left w:w="40" w:type="dxa"/>
              <w:bottom w:w="40" w:type="dxa"/>
              <w:right w:w="40" w:type="dxa"/>
            </w:tcMar>
            <w:vAlign w:val="bottom"/>
          </w:tcPr>
          <w:p w14:paraId="4EBB4EE7"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8,820</w:t>
            </w:r>
          </w:p>
        </w:tc>
        <w:tc>
          <w:tcPr>
            <w:tcW w:w="670" w:type="pct"/>
            <w:tcMar>
              <w:top w:w="40" w:type="dxa"/>
              <w:left w:w="40" w:type="dxa"/>
              <w:bottom w:w="40" w:type="dxa"/>
              <w:right w:w="40" w:type="dxa"/>
            </w:tcMar>
            <w:vAlign w:val="bottom"/>
          </w:tcPr>
          <w:p w14:paraId="02CED0FC"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8,590</w:t>
            </w:r>
          </w:p>
        </w:tc>
        <w:tc>
          <w:tcPr>
            <w:tcW w:w="668" w:type="pct"/>
            <w:tcMar>
              <w:top w:w="40" w:type="dxa"/>
              <w:left w:w="40" w:type="dxa"/>
              <w:bottom w:w="40" w:type="dxa"/>
              <w:right w:w="40" w:type="dxa"/>
            </w:tcMar>
            <w:vAlign w:val="bottom"/>
          </w:tcPr>
          <w:p w14:paraId="5333F796"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9,235</w:t>
            </w:r>
          </w:p>
        </w:tc>
      </w:tr>
      <w:tr w:rsidR="005C2BED" w:rsidRPr="003516DC" w14:paraId="43612810" w14:textId="77777777" w:rsidTr="00190BA4">
        <w:tc>
          <w:tcPr>
            <w:tcW w:w="970" w:type="pct"/>
            <w:tcMar>
              <w:top w:w="40" w:type="dxa"/>
              <w:left w:w="40" w:type="dxa"/>
              <w:bottom w:w="40" w:type="dxa"/>
              <w:right w:w="40" w:type="dxa"/>
            </w:tcMar>
            <w:vAlign w:val="bottom"/>
          </w:tcPr>
          <w:p w14:paraId="31AE601D"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Galaţi</w:t>
            </w:r>
          </w:p>
        </w:tc>
        <w:tc>
          <w:tcPr>
            <w:tcW w:w="673" w:type="pct"/>
            <w:tcMar>
              <w:top w:w="40" w:type="dxa"/>
              <w:left w:w="40" w:type="dxa"/>
              <w:bottom w:w="40" w:type="dxa"/>
              <w:right w:w="40" w:type="dxa"/>
            </w:tcMar>
            <w:vAlign w:val="bottom"/>
          </w:tcPr>
          <w:p w14:paraId="09A9FD3F"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7,550</w:t>
            </w:r>
          </w:p>
        </w:tc>
        <w:tc>
          <w:tcPr>
            <w:tcW w:w="674" w:type="pct"/>
            <w:tcMar>
              <w:top w:w="40" w:type="dxa"/>
              <w:left w:w="40" w:type="dxa"/>
              <w:bottom w:w="40" w:type="dxa"/>
              <w:right w:w="40" w:type="dxa"/>
            </w:tcMar>
            <w:vAlign w:val="bottom"/>
          </w:tcPr>
          <w:p w14:paraId="59652304"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8,293</w:t>
            </w:r>
          </w:p>
        </w:tc>
        <w:tc>
          <w:tcPr>
            <w:tcW w:w="675" w:type="pct"/>
            <w:tcMar>
              <w:top w:w="40" w:type="dxa"/>
              <w:left w:w="40" w:type="dxa"/>
              <w:bottom w:w="40" w:type="dxa"/>
              <w:right w:w="40" w:type="dxa"/>
            </w:tcMar>
            <w:vAlign w:val="bottom"/>
          </w:tcPr>
          <w:p w14:paraId="17FD3516"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9,054</w:t>
            </w:r>
          </w:p>
        </w:tc>
        <w:tc>
          <w:tcPr>
            <w:tcW w:w="670" w:type="pct"/>
            <w:tcMar>
              <w:top w:w="40" w:type="dxa"/>
              <w:left w:w="40" w:type="dxa"/>
              <w:bottom w:w="40" w:type="dxa"/>
              <w:right w:w="40" w:type="dxa"/>
            </w:tcMar>
            <w:vAlign w:val="bottom"/>
          </w:tcPr>
          <w:p w14:paraId="67EA3E4B"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7,948</w:t>
            </w:r>
          </w:p>
        </w:tc>
        <w:tc>
          <w:tcPr>
            <w:tcW w:w="670" w:type="pct"/>
            <w:tcMar>
              <w:top w:w="40" w:type="dxa"/>
              <w:left w:w="40" w:type="dxa"/>
              <w:bottom w:w="40" w:type="dxa"/>
              <w:right w:w="40" w:type="dxa"/>
            </w:tcMar>
            <w:vAlign w:val="bottom"/>
          </w:tcPr>
          <w:p w14:paraId="2064B105"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7,797</w:t>
            </w:r>
          </w:p>
        </w:tc>
        <w:tc>
          <w:tcPr>
            <w:tcW w:w="668" w:type="pct"/>
            <w:tcMar>
              <w:top w:w="40" w:type="dxa"/>
              <w:left w:w="40" w:type="dxa"/>
              <w:bottom w:w="40" w:type="dxa"/>
              <w:right w:w="40" w:type="dxa"/>
            </w:tcMar>
            <w:vAlign w:val="bottom"/>
          </w:tcPr>
          <w:p w14:paraId="51E7C443"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8,524</w:t>
            </w:r>
          </w:p>
        </w:tc>
      </w:tr>
      <w:tr w:rsidR="005C2BED" w:rsidRPr="003516DC" w14:paraId="1C8561BD" w14:textId="77777777" w:rsidTr="00190BA4">
        <w:tc>
          <w:tcPr>
            <w:tcW w:w="970" w:type="pct"/>
            <w:tcMar>
              <w:top w:w="40" w:type="dxa"/>
              <w:left w:w="40" w:type="dxa"/>
              <w:bottom w:w="40" w:type="dxa"/>
              <w:right w:w="40" w:type="dxa"/>
            </w:tcMar>
            <w:vAlign w:val="bottom"/>
          </w:tcPr>
          <w:p w14:paraId="014AD2F8"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Gorj</w:t>
            </w:r>
          </w:p>
        </w:tc>
        <w:tc>
          <w:tcPr>
            <w:tcW w:w="673" w:type="pct"/>
            <w:tcMar>
              <w:top w:w="40" w:type="dxa"/>
              <w:left w:w="40" w:type="dxa"/>
              <w:bottom w:w="40" w:type="dxa"/>
              <w:right w:w="40" w:type="dxa"/>
            </w:tcMar>
            <w:vAlign w:val="bottom"/>
          </w:tcPr>
          <w:p w14:paraId="2E8C2FD0"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10,572</w:t>
            </w:r>
          </w:p>
        </w:tc>
        <w:tc>
          <w:tcPr>
            <w:tcW w:w="674" w:type="pct"/>
            <w:tcMar>
              <w:top w:w="40" w:type="dxa"/>
              <w:left w:w="40" w:type="dxa"/>
              <w:bottom w:w="40" w:type="dxa"/>
              <w:right w:w="40" w:type="dxa"/>
            </w:tcMar>
            <w:vAlign w:val="bottom"/>
          </w:tcPr>
          <w:p w14:paraId="53130F7C"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11,656</w:t>
            </w:r>
          </w:p>
        </w:tc>
        <w:tc>
          <w:tcPr>
            <w:tcW w:w="675" w:type="pct"/>
            <w:tcMar>
              <w:top w:w="40" w:type="dxa"/>
              <w:left w:w="40" w:type="dxa"/>
              <w:bottom w:w="40" w:type="dxa"/>
              <w:right w:w="40" w:type="dxa"/>
            </w:tcMar>
            <w:vAlign w:val="bottom"/>
          </w:tcPr>
          <w:p w14:paraId="1D45F3FC"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12,766</w:t>
            </w:r>
          </w:p>
        </w:tc>
        <w:tc>
          <w:tcPr>
            <w:tcW w:w="670" w:type="pct"/>
            <w:tcMar>
              <w:top w:w="40" w:type="dxa"/>
              <w:left w:w="40" w:type="dxa"/>
              <w:bottom w:w="40" w:type="dxa"/>
              <w:right w:w="40" w:type="dxa"/>
            </w:tcMar>
            <w:vAlign w:val="bottom"/>
          </w:tcPr>
          <w:p w14:paraId="1FADC3F2"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11,593</w:t>
            </w:r>
          </w:p>
        </w:tc>
        <w:tc>
          <w:tcPr>
            <w:tcW w:w="670" w:type="pct"/>
            <w:tcMar>
              <w:top w:w="40" w:type="dxa"/>
              <w:left w:w="40" w:type="dxa"/>
              <w:bottom w:w="40" w:type="dxa"/>
              <w:right w:w="40" w:type="dxa"/>
            </w:tcMar>
            <w:vAlign w:val="bottom"/>
          </w:tcPr>
          <w:p w14:paraId="6842D3A2"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10,987</w:t>
            </w:r>
          </w:p>
        </w:tc>
        <w:tc>
          <w:tcPr>
            <w:tcW w:w="668" w:type="pct"/>
            <w:tcMar>
              <w:top w:w="40" w:type="dxa"/>
              <w:left w:w="40" w:type="dxa"/>
              <w:bottom w:w="40" w:type="dxa"/>
              <w:right w:w="40" w:type="dxa"/>
            </w:tcMar>
            <w:vAlign w:val="bottom"/>
          </w:tcPr>
          <w:p w14:paraId="66BDDAF2"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11,896</w:t>
            </w:r>
          </w:p>
        </w:tc>
      </w:tr>
      <w:tr w:rsidR="005C2BED" w:rsidRPr="003516DC" w14:paraId="495D3448" w14:textId="77777777" w:rsidTr="00190BA4">
        <w:tc>
          <w:tcPr>
            <w:tcW w:w="970" w:type="pct"/>
            <w:tcMar>
              <w:top w:w="40" w:type="dxa"/>
              <w:left w:w="40" w:type="dxa"/>
              <w:bottom w:w="40" w:type="dxa"/>
              <w:right w:w="40" w:type="dxa"/>
            </w:tcMar>
            <w:vAlign w:val="bottom"/>
          </w:tcPr>
          <w:p w14:paraId="440351BF"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Hunedoara</w:t>
            </w:r>
          </w:p>
        </w:tc>
        <w:tc>
          <w:tcPr>
            <w:tcW w:w="673" w:type="pct"/>
            <w:tcMar>
              <w:top w:w="40" w:type="dxa"/>
              <w:left w:w="40" w:type="dxa"/>
              <w:bottom w:w="40" w:type="dxa"/>
              <w:right w:w="40" w:type="dxa"/>
            </w:tcMar>
            <w:vAlign w:val="bottom"/>
          </w:tcPr>
          <w:p w14:paraId="4E63EE2B"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8,722</w:t>
            </w:r>
          </w:p>
        </w:tc>
        <w:tc>
          <w:tcPr>
            <w:tcW w:w="674" w:type="pct"/>
            <w:tcMar>
              <w:top w:w="40" w:type="dxa"/>
              <w:left w:w="40" w:type="dxa"/>
              <w:bottom w:w="40" w:type="dxa"/>
              <w:right w:w="40" w:type="dxa"/>
            </w:tcMar>
            <w:vAlign w:val="bottom"/>
          </w:tcPr>
          <w:p w14:paraId="6AB4C308"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9,629</w:t>
            </w:r>
          </w:p>
        </w:tc>
        <w:tc>
          <w:tcPr>
            <w:tcW w:w="675" w:type="pct"/>
            <w:tcMar>
              <w:top w:w="40" w:type="dxa"/>
              <w:left w:w="40" w:type="dxa"/>
              <w:bottom w:w="40" w:type="dxa"/>
              <w:right w:w="40" w:type="dxa"/>
            </w:tcMar>
            <w:vAlign w:val="bottom"/>
          </w:tcPr>
          <w:p w14:paraId="33AAFAD3"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10,554</w:t>
            </w:r>
          </w:p>
        </w:tc>
        <w:tc>
          <w:tcPr>
            <w:tcW w:w="670" w:type="pct"/>
            <w:tcMar>
              <w:top w:w="40" w:type="dxa"/>
              <w:left w:w="40" w:type="dxa"/>
              <w:bottom w:w="40" w:type="dxa"/>
              <w:right w:w="40" w:type="dxa"/>
            </w:tcMar>
            <w:vAlign w:val="bottom"/>
          </w:tcPr>
          <w:p w14:paraId="4165403A"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9,081</w:t>
            </w:r>
          </w:p>
        </w:tc>
        <w:tc>
          <w:tcPr>
            <w:tcW w:w="670" w:type="pct"/>
            <w:tcMar>
              <w:top w:w="40" w:type="dxa"/>
              <w:left w:w="40" w:type="dxa"/>
              <w:bottom w:w="40" w:type="dxa"/>
              <w:right w:w="40" w:type="dxa"/>
            </w:tcMar>
            <w:vAlign w:val="bottom"/>
          </w:tcPr>
          <w:p w14:paraId="645DC729"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8,880</w:t>
            </w:r>
          </w:p>
        </w:tc>
        <w:tc>
          <w:tcPr>
            <w:tcW w:w="668" w:type="pct"/>
            <w:tcMar>
              <w:top w:w="40" w:type="dxa"/>
              <w:left w:w="40" w:type="dxa"/>
              <w:bottom w:w="40" w:type="dxa"/>
              <w:right w:w="40" w:type="dxa"/>
            </w:tcMar>
            <w:vAlign w:val="bottom"/>
          </w:tcPr>
          <w:p w14:paraId="7CAE64C7"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9,526</w:t>
            </w:r>
          </w:p>
        </w:tc>
      </w:tr>
      <w:tr w:rsidR="005C2BED" w:rsidRPr="003516DC" w14:paraId="3B16FA18" w14:textId="77777777" w:rsidTr="00190BA4">
        <w:tc>
          <w:tcPr>
            <w:tcW w:w="970" w:type="pct"/>
            <w:tcMar>
              <w:top w:w="40" w:type="dxa"/>
              <w:left w:w="40" w:type="dxa"/>
              <w:bottom w:w="40" w:type="dxa"/>
              <w:right w:w="40" w:type="dxa"/>
            </w:tcMar>
            <w:vAlign w:val="bottom"/>
          </w:tcPr>
          <w:p w14:paraId="17AB9017"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Mureş</w:t>
            </w:r>
          </w:p>
        </w:tc>
        <w:tc>
          <w:tcPr>
            <w:tcW w:w="673" w:type="pct"/>
            <w:tcMar>
              <w:top w:w="40" w:type="dxa"/>
              <w:left w:w="40" w:type="dxa"/>
              <w:bottom w:w="40" w:type="dxa"/>
              <w:right w:w="40" w:type="dxa"/>
            </w:tcMar>
            <w:vAlign w:val="bottom"/>
          </w:tcPr>
          <w:p w14:paraId="2BC38558"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8,569</w:t>
            </w:r>
          </w:p>
        </w:tc>
        <w:tc>
          <w:tcPr>
            <w:tcW w:w="674" w:type="pct"/>
            <w:tcMar>
              <w:top w:w="40" w:type="dxa"/>
              <w:left w:w="40" w:type="dxa"/>
              <w:bottom w:w="40" w:type="dxa"/>
              <w:right w:w="40" w:type="dxa"/>
            </w:tcMar>
            <w:vAlign w:val="bottom"/>
          </w:tcPr>
          <w:p w14:paraId="06DF4349"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9,388</w:t>
            </w:r>
          </w:p>
        </w:tc>
        <w:tc>
          <w:tcPr>
            <w:tcW w:w="675" w:type="pct"/>
            <w:tcMar>
              <w:top w:w="40" w:type="dxa"/>
              <w:left w:w="40" w:type="dxa"/>
              <w:bottom w:w="40" w:type="dxa"/>
              <w:right w:w="40" w:type="dxa"/>
            </w:tcMar>
            <w:vAlign w:val="bottom"/>
          </w:tcPr>
          <w:p w14:paraId="3E24F17B"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10,215</w:t>
            </w:r>
          </w:p>
        </w:tc>
        <w:tc>
          <w:tcPr>
            <w:tcW w:w="670" w:type="pct"/>
            <w:tcMar>
              <w:top w:w="40" w:type="dxa"/>
              <w:left w:w="40" w:type="dxa"/>
              <w:bottom w:w="40" w:type="dxa"/>
              <w:right w:w="40" w:type="dxa"/>
            </w:tcMar>
            <w:vAlign w:val="bottom"/>
          </w:tcPr>
          <w:p w14:paraId="2A50CABC"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9,153</w:t>
            </w:r>
          </w:p>
        </w:tc>
        <w:tc>
          <w:tcPr>
            <w:tcW w:w="670" w:type="pct"/>
            <w:tcMar>
              <w:top w:w="40" w:type="dxa"/>
              <w:left w:w="40" w:type="dxa"/>
              <w:bottom w:w="40" w:type="dxa"/>
              <w:right w:w="40" w:type="dxa"/>
            </w:tcMar>
            <w:vAlign w:val="bottom"/>
          </w:tcPr>
          <w:p w14:paraId="787E59F9"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9,102</w:t>
            </w:r>
          </w:p>
        </w:tc>
        <w:tc>
          <w:tcPr>
            <w:tcW w:w="668" w:type="pct"/>
            <w:tcMar>
              <w:top w:w="40" w:type="dxa"/>
              <w:left w:w="40" w:type="dxa"/>
              <w:bottom w:w="40" w:type="dxa"/>
              <w:right w:w="40" w:type="dxa"/>
            </w:tcMar>
            <w:vAlign w:val="bottom"/>
          </w:tcPr>
          <w:p w14:paraId="224E90D5"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9,740</w:t>
            </w:r>
          </w:p>
        </w:tc>
      </w:tr>
      <w:tr w:rsidR="005C2BED" w:rsidRPr="003516DC" w14:paraId="15904D25" w14:textId="77777777" w:rsidTr="00190BA4">
        <w:tc>
          <w:tcPr>
            <w:tcW w:w="970" w:type="pct"/>
            <w:tcMar>
              <w:top w:w="40" w:type="dxa"/>
              <w:left w:w="40" w:type="dxa"/>
              <w:bottom w:w="40" w:type="dxa"/>
              <w:right w:w="40" w:type="dxa"/>
            </w:tcMar>
            <w:vAlign w:val="bottom"/>
          </w:tcPr>
          <w:p w14:paraId="7B8545D4"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Prahova</w:t>
            </w:r>
          </w:p>
        </w:tc>
        <w:tc>
          <w:tcPr>
            <w:tcW w:w="673" w:type="pct"/>
            <w:tcMar>
              <w:top w:w="40" w:type="dxa"/>
              <w:left w:w="40" w:type="dxa"/>
              <w:bottom w:w="40" w:type="dxa"/>
              <w:right w:w="40" w:type="dxa"/>
            </w:tcMar>
            <w:vAlign w:val="bottom"/>
          </w:tcPr>
          <w:p w14:paraId="42D4D16C"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12,049</w:t>
            </w:r>
          </w:p>
        </w:tc>
        <w:tc>
          <w:tcPr>
            <w:tcW w:w="674" w:type="pct"/>
            <w:tcMar>
              <w:top w:w="40" w:type="dxa"/>
              <w:left w:w="40" w:type="dxa"/>
              <w:bottom w:w="40" w:type="dxa"/>
              <w:right w:w="40" w:type="dxa"/>
            </w:tcMar>
            <w:vAlign w:val="bottom"/>
          </w:tcPr>
          <w:p w14:paraId="7972FC5D"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13,175</w:t>
            </w:r>
          </w:p>
        </w:tc>
        <w:tc>
          <w:tcPr>
            <w:tcW w:w="675" w:type="pct"/>
            <w:tcMar>
              <w:top w:w="40" w:type="dxa"/>
              <w:left w:w="40" w:type="dxa"/>
              <w:bottom w:w="40" w:type="dxa"/>
              <w:right w:w="40" w:type="dxa"/>
            </w:tcMar>
            <w:vAlign w:val="bottom"/>
          </w:tcPr>
          <w:p w14:paraId="4B487DB6"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14,306</w:t>
            </w:r>
          </w:p>
        </w:tc>
        <w:tc>
          <w:tcPr>
            <w:tcW w:w="670" w:type="pct"/>
            <w:tcMar>
              <w:top w:w="40" w:type="dxa"/>
              <w:left w:w="40" w:type="dxa"/>
              <w:bottom w:w="40" w:type="dxa"/>
              <w:right w:w="40" w:type="dxa"/>
            </w:tcMar>
            <w:vAlign w:val="bottom"/>
          </w:tcPr>
          <w:p w14:paraId="370B87C2"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11,739</w:t>
            </w:r>
          </w:p>
        </w:tc>
        <w:tc>
          <w:tcPr>
            <w:tcW w:w="670" w:type="pct"/>
            <w:tcMar>
              <w:top w:w="40" w:type="dxa"/>
              <w:left w:w="40" w:type="dxa"/>
              <w:bottom w:w="40" w:type="dxa"/>
              <w:right w:w="40" w:type="dxa"/>
            </w:tcMar>
            <w:vAlign w:val="bottom"/>
          </w:tcPr>
          <w:p w14:paraId="5063F2BF"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11,612</w:t>
            </w:r>
          </w:p>
        </w:tc>
        <w:tc>
          <w:tcPr>
            <w:tcW w:w="668" w:type="pct"/>
            <w:tcMar>
              <w:top w:w="40" w:type="dxa"/>
              <w:left w:w="40" w:type="dxa"/>
              <w:bottom w:w="40" w:type="dxa"/>
              <w:right w:w="40" w:type="dxa"/>
            </w:tcMar>
            <w:vAlign w:val="bottom"/>
          </w:tcPr>
          <w:p w14:paraId="256457FD"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12,609</w:t>
            </w:r>
          </w:p>
        </w:tc>
      </w:tr>
      <w:tr w:rsidR="005C2BED" w:rsidRPr="003516DC" w14:paraId="0F87D294" w14:textId="77777777" w:rsidTr="00190BA4">
        <w:tc>
          <w:tcPr>
            <w:tcW w:w="970" w:type="pct"/>
            <w:tcMar>
              <w:top w:w="40" w:type="dxa"/>
              <w:left w:w="40" w:type="dxa"/>
              <w:bottom w:w="40" w:type="dxa"/>
              <w:right w:w="40" w:type="dxa"/>
            </w:tcMar>
            <w:vAlign w:val="bottom"/>
          </w:tcPr>
          <w:p w14:paraId="5BEC3BD0" w14:textId="77777777" w:rsidR="00F6026A" w:rsidRPr="003516DC" w:rsidRDefault="00F6026A" w:rsidP="00190BA4">
            <w:pPr>
              <w:widowControl w:val="0"/>
              <w:rPr>
                <w:rFonts w:ascii="Arial" w:hAnsi="Arial" w:cs="Arial"/>
                <w:sz w:val="18"/>
                <w:szCs w:val="18"/>
              </w:rPr>
            </w:pPr>
            <w:r w:rsidRPr="003516DC">
              <w:rPr>
                <w:rFonts w:ascii="Arial" w:hAnsi="Arial" w:cs="Arial"/>
                <w:sz w:val="18"/>
                <w:szCs w:val="18"/>
              </w:rPr>
              <w:t>Country</w:t>
            </w:r>
          </w:p>
        </w:tc>
        <w:tc>
          <w:tcPr>
            <w:tcW w:w="673" w:type="pct"/>
            <w:tcMar>
              <w:top w:w="40" w:type="dxa"/>
              <w:left w:w="40" w:type="dxa"/>
              <w:bottom w:w="40" w:type="dxa"/>
              <w:right w:w="40" w:type="dxa"/>
            </w:tcMar>
            <w:vAlign w:val="bottom"/>
          </w:tcPr>
          <w:p w14:paraId="10BF7D52"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11,333</w:t>
            </w:r>
          </w:p>
        </w:tc>
        <w:tc>
          <w:tcPr>
            <w:tcW w:w="674" w:type="pct"/>
            <w:tcMar>
              <w:top w:w="40" w:type="dxa"/>
              <w:left w:w="40" w:type="dxa"/>
              <w:bottom w:w="40" w:type="dxa"/>
              <w:right w:w="40" w:type="dxa"/>
            </w:tcMar>
            <w:vAlign w:val="bottom"/>
          </w:tcPr>
          <w:p w14:paraId="1D3775B4"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12,357</w:t>
            </w:r>
          </w:p>
        </w:tc>
        <w:tc>
          <w:tcPr>
            <w:tcW w:w="675" w:type="pct"/>
            <w:tcMar>
              <w:top w:w="40" w:type="dxa"/>
              <w:left w:w="40" w:type="dxa"/>
              <w:bottom w:w="40" w:type="dxa"/>
              <w:right w:w="40" w:type="dxa"/>
            </w:tcMar>
            <w:vAlign w:val="bottom"/>
          </w:tcPr>
          <w:p w14:paraId="73AB35BB"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13,389</w:t>
            </w:r>
          </w:p>
        </w:tc>
        <w:tc>
          <w:tcPr>
            <w:tcW w:w="670" w:type="pct"/>
            <w:tcMar>
              <w:top w:w="40" w:type="dxa"/>
              <w:left w:w="40" w:type="dxa"/>
              <w:bottom w:w="40" w:type="dxa"/>
              <w:right w:w="40" w:type="dxa"/>
            </w:tcMar>
            <w:vAlign w:val="bottom"/>
          </w:tcPr>
          <w:p w14:paraId="0A3941BF"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 xml:space="preserve">11,527 </w:t>
            </w:r>
          </w:p>
        </w:tc>
        <w:tc>
          <w:tcPr>
            <w:tcW w:w="670" w:type="pct"/>
            <w:tcMar>
              <w:top w:w="40" w:type="dxa"/>
              <w:left w:w="40" w:type="dxa"/>
              <w:bottom w:w="40" w:type="dxa"/>
              <w:right w:w="40" w:type="dxa"/>
            </w:tcMar>
            <w:vAlign w:val="bottom"/>
          </w:tcPr>
          <w:p w14:paraId="519BE4C6"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11,162</w:t>
            </w:r>
          </w:p>
        </w:tc>
        <w:tc>
          <w:tcPr>
            <w:tcW w:w="668" w:type="pct"/>
            <w:tcMar>
              <w:top w:w="40" w:type="dxa"/>
              <w:left w:w="40" w:type="dxa"/>
              <w:bottom w:w="40" w:type="dxa"/>
              <w:right w:w="40" w:type="dxa"/>
            </w:tcMar>
            <w:vAlign w:val="bottom"/>
          </w:tcPr>
          <w:p w14:paraId="64A45618" w14:textId="77777777" w:rsidR="00F6026A" w:rsidRPr="003516DC" w:rsidRDefault="00F6026A" w:rsidP="00190BA4">
            <w:pPr>
              <w:widowControl w:val="0"/>
              <w:jc w:val="right"/>
              <w:rPr>
                <w:rFonts w:ascii="Arial" w:hAnsi="Arial" w:cs="Arial"/>
                <w:sz w:val="18"/>
                <w:szCs w:val="18"/>
              </w:rPr>
            </w:pPr>
            <w:r w:rsidRPr="003516DC">
              <w:rPr>
                <w:rFonts w:ascii="Arial" w:hAnsi="Arial" w:cs="Arial"/>
                <w:sz w:val="18"/>
                <w:szCs w:val="18"/>
              </w:rPr>
              <w:t>11,904</w:t>
            </w:r>
          </w:p>
        </w:tc>
      </w:tr>
    </w:tbl>
    <w:p w14:paraId="68A634E8"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lastRenderedPageBreak/>
        <w:t>Source: National Commission for Strategy and Prognosis, estimations for 2019-2021 made in Dec. 2019 and Feb. 2021</w:t>
      </w:r>
    </w:p>
    <w:p w14:paraId="4B488A83" w14:textId="77777777" w:rsidR="00F6026A" w:rsidRPr="003516DC" w:rsidRDefault="00F6026A" w:rsidP="00F6026A">
      <w:pPr>
        <w:rPr>
          <w:rFonts w:ascii="Arial" w:hAnsi="Arial" w:cs="Arial"/>
          <w:sz w:val="12"/>
        </w:rPr>
      </w:pPr>
    </w:p>
    <w:p w14:paraId="38F6A273" w14:textId="77777777" w:rsidR="00F6026A" w:rsidRPr="003516DC" w:rsidRDefault="00F6026A" w:rsidP="00F6026A">
      <w:pPr>
        <w:spacing w:after="120"/>
        <w:jc w:val="both"/>
        <w:rPr>
          <w:rFonts w:ascii="Arial" w:hAnsi="Arial" w:cs="Arial"/>
          <w:sz w:val="20"/>
          <w:szCs w:val="20"/>
        </w:rPr>
      </w:pPr>
      <w:r>
        <w:rPr>
          <w:rFonts w:ascii="Arial" w:hAnsi="Arial" w:cs="Arial"/>
          <w:sz w:val="20"/>
          <w:szCs w:val="20"/>
        </w:rPr>
        <w:t>Galați</w:t>
      </w:r>
      <w:r w:rsidRPr="003516DC">
        <w:rPr>
          <w:rFonts w:ascii="Arial" w:hAnsi="Arial" w:cs="Arial"/>
          <w:sz w:val="20"/>
          <w:szCs w:val="20"/>
        </w:rPr>
        <w:t xml:space="preserve"> has the lowest GDP per capita while Prahova has the highest GDP per capita. We use this as a proxy for poverty rates, in the absence of data on county poverty rates. Only Prahova is above the national average for 2021 estimations. GDP per capita decreased between 2019 and 2020. 2021 figures are expected to exceed 2019 levels (but it remains to be seen if these estimations will hold). </w:t>
      </w:r>
    </w:p>
    <w:p w14:paraId="68C2EDF7" w14:textId="77777777" w:rsidR="00F6026A" w:rsidRPr="003516DC" w:rsidRDefault="00F6026A" w:rsidP="00F6026A">
      <w:pPr>
        <w:spacing w:after="120"/>
        <w:jc w:val="both"/>
        <w:rPr>
          <w:rFonts w:ascii="Arial" w:hAnsi="Arial" w:cs="Arial"/>
          <w:sz w:val="20"/>
          <w:szCs w:val="20"/>
        </w:rPr>
      </w:pPr>
      <w:r w:rsidRPr="003516DC">
        <w:rPr>
          <w:rFonts w:ascii="Arial" w:hAnsi="Arial" w:cs="Arial"/>
          <w:sz w:val="20"/>
          <w:szCs w:val="20"/>
        </w:rPr>
        <w:t xml:space="preserve">Figures 1 and 2 compare GDP in the six affected regions compared to neighbouring counties. Hunedoara is lower than its neighbouring counties (and presumably is less attractive to investors in the absence of regulatory and fiscal stimulation – including changes in the aid intensity conditions). </w:t>
      </w:r>
      <w:r>
        <w:rPr>
          <w:rFonts w:ascii="Arial" w:hAnsi="Arial" w:cs="Arial"/>
          <w:sz w:val="20"/>
          <w:szCs w:val="20"/>
        </w:rPr>
        <w:t>Galați</w:t>
      </w:r>
      <w:r w:rsidRPr="003516DC">
        <w:rPr>
          <w:rFonts w:ascii="Arial" w:hAnsi="Arial" w:cs="Arial"/>
          <w:sz w:val="20"/>
          <w:szCs w:val="20"/>
        </w:rPr>
        <w:t xml:space="preserve"> should aspire to catch up with neighbouring Braila and Tulcea, given its positioning and growth opportunities.</w:t>
      </w:r>
    </w:p>
    <w:p w14:paraId="193014EB" w14:textId="77777777" w:rsidR="00F6026A" w:rsidRPr="003516DC" w:rsidRDefault="00F6026A" w:rsidP="00F6026A">
      <w:pPr>
        <w:pStyle w:val="Caption"/>
      </w:pPr>
      <w:bookmarkStart w:id="49" w:name="_Toc90725928"/>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Pr>
          <w:noProof/>
        </w:rPr>
        <w:t>1</w:t>
      </w:r>
      <w:r w:rsidRPr="003516DC">
        <w:rPr>
          <w:noProof/>
        </w:rPr>
        <w:fldChar w:fldCharType="end"/>
      </w:r>
      <w:r w:rsidRPr="003516DC">
        <w:t>: GDP per capita in the six affected regions in 2019 (EUR per resident)</w:t>
      </w:r>
      <w:bookmarkEnd w:id="49"/>
    </w:p>
    <w:p w14:paraId="649F3C55" w14:textId="77777777" w:rsidR="00F6026A" w:rsidRPr="003516DC" w:rsidRDefault="00F6026A" w:rsidP="00F6026A">
      <w:pPr>
        <w:rPr>
          <w:rFonts w:ascii="Arial" w:hAnsi="Arial" w:cs="Arial"/>
        </w:rPr>
      </w:pPr>
      <w:r w:rsidRPr="003516DC">
        <w:rPr>
          <w:rFonts w:ascii="Arial" w:hAnsi="Arial" w:cs="Arial"/>
          <w:noProof/>
          <w:lang w:val="en-US" w:eastAsia="en-US"/>
        </w:rPr>
        <w:drawing>
          <wp:inline distT="0" distB="0" distL="0" distR="0" wp14:anchorId="1277A8AE" wp14:editId="138ED9A1">
            <wp:extent cx="5676265" cy="2939415"/>
            <wp:effectExtent l="0" t="0" r="635" b="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76265" cy="2939415"/>
                    </a:xfrm>
                    <a:prstGeom prst="rect">
                      <a:avLst/>
                    </a:prstGeom>
                  </pic:spPr>
                </pic:pic>
              </a:graphicData>
            </a:graphic>
          </wp:inline>
        </w:drawing>
      </w:r>
    </w:p>
    <w:p w14:paraId="4BDA753A"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t>Source: National Commission for Strategy and Prognosis</w:t>
      </w:r>
    </w:p>
    <w:p w14:paraId="16CFFE93" w14:textId="77777777" w:rsidR="00F6026A" w:rsidRPr="003516DC" w:rsidRDefault="00F6026A" w:rsidP="00F6026A">
      <w:pPr>
        <w:rPr>
          <w:rFonts w:ascii="Arial" w:hAnsi="Arial" w:cs="Arial"/>
          <w:i/>
          <w:iCs/>
          <w:sz w:val="16"/>
          <w:szCs w:val="16"/>
        </w:rPr>
      </w:pPr>
    </w:p>
    <w:p w14:paraId="44661256" w14:textId="77777777" w:rsidR="00F6026A" w:rsidRPr="003516DC" w:rsidRDefault="00F6026A" w:rsidP="00F6026A">
      <w:pPr>
        <w:pStyle w:val="Caption"/>
        <w:spacing w:before="120" w:after="60"/>
        <w:ind w:left="1138" w:hanging="1138"/>
      </w:pPr>
      <w:bookmarkStart w:id="50" w:name="_Toc90725929"/>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Pr>
          <w:noProof/>
        </w:rPr>
        <w:t>2</w:t>
      </w:r>
      <w:r w:rsidRPr="003516DC">
        <w:rPr>
          <w:noProof/>
        </w:rPr>
        <w:fldChar w:fldCharType="end"/>
      </w:r>
      <w:r w:rsidRPr="003516DC">
        <w:t>: GDP per capita in the six affected regions in 2021 (EUR per resident)</w:t>
      </w:r>
      <w:bookmarkEnd w:id="50"/>
    </w:p>
    <w:p w14:paraId="1ADA4B48" w14:textId="77777777" w:rsidR="00F6026A" w:rsidRPr="003516DC" w:rsidRDefault="00F6026A" w:rsidP="00F6026A">
      <w:pPr>
        <w:rPr>
          <w:rFonts w:ascii="Arial" w:hAnsi="Arial" w:cs="Arial"/>
        </w:rPr>
      </w:pPr>
      <w:r w:rsidRPr="003516DC">
        <w:rPr>
          <w:rFonts w:ascii="Arial" w:hAnsi="Arial" w:cs="Arial"/>
          <w:noProof/>
          <w:lang w:val="en-US" w:eastAsia="en-US"/>
        </w:rPr>
        <w:drawing>
          <wp:inline distT="0" distB="0" distL="0" distR="0" wp14:anchorId="6A3FB4BA" wp14:editId="2905291A">
            <wp:extent cx="5678424" cy="2944368"/>
            <wp:effectExtent l="0" t="0" r="0" b="8890"/>
            <wp:docPr id="11" name="Picture 11"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78424" cy="2944368"/>
                    </a:xfrm>
                    <a:prstGeom prst="rect">
                      <a:avLst/>
                    </a:prstGeom>
                  </pic:spPr>
                </pic:pic>
              </a:graphicData>
            </a:graphic>
          </wp:inline>
        </w:drawing>
      </w:r>
    </w:p>
    <w:p w14:paraId="4386BB0F" w14:textId="77777777" w:rsidR="00F6026A" w:rsidRPr="006C46E5" w:rsidRDefault="00F6026A" w:rsidP="00F6026A">
      <w:pPr>
        <w:spacing w:after="120"/>
        <w:rPr>
          <w:rFonts w:ascii="Arial" w:hAnsi="Arial" w:cs="Arial"/>
          <w:i/>
          <w:iCs/>
          <w:sz w:val="16"/>
          <w:szCs w:val="16"/>
        </w:rPr>
      </w:pPr>
      <w:r w:rsidRPr="003516DC">
        <w:rPr>
          <w:rFonts w:ascii="Arial" w:hAnsi="Arial" w:cs="Arial"/>
          <w:i/>
          <w:iCs/>
          <w:sz w:val="16"/>
          <w:szCs w:val="16"/>
        </w:rPr>
        <w:t>Source: National Commission for Strategy and Prognosis</w:t>
      </w:r>
    </w:p>
    <w:p w14:paraId="22C3073E" w14:textId="77777777" w:rsidR="00F6026A" w:rsidRPr="003516DC" w:rsidRDefault="00F6026A" w:rsidP="00F6026A">
      <w:pPr>
        <w:jc w:val="both"/>
        <w:rPr>
          <w:rFonts w:ascii="Arial" w:hAnsi="Arial" w:cs="Arial"/>
          <w:sz w:val="20"/>
          <w:szCs w:val="20"/>
        </w:rPr>
      </w:pPr>
      <w:r w:rsidRPr="003516DC">
        <w:rPr>
          <w:rFonts w:ascii="Arial" w:hAnsi="Arial" w:cs="Arial"/>
          <w:sz w:val="20"/>
          <w:szCs w:val="20"/>
        </w:rPr>
        <w:t>The latest unemployment data available (see Graph 1</w:t>
      </w:r>
      <w:r>
        <w:rPr>
          <w:rFonts w:ascii="Arial" w:hAnsi="Arial" w:cs="Arial"/>
          <w:sz w:val="20"/>
          <w:szCs w:val="20"/>
        </w:rPr>
        <w:t>7</w:t>
      </w:r>
      <w:r w:rsidRPr="003516DC">
        <w:rPr>
          <w:rFonts w:ascii="Arial" w:hAnsi="Arial" w:cs="Arial"/>
          <w:sz w:val="20"/>
          <w:szCs w:val="20"/>
        </w:rPr>
        <w:t xml:space="preserve">), collected in 2020, shows the increasing vulnerability of the working age population in Dolj and </w:t>
      </w:r>
      <w:r>
        <w:rPr>
          <w:rFonts w:ascii="Arial" w:hAnsi="Arial" w:cs="Arial"/>
          <w:sz w:val="20"/>
          <w:szCs w:val="20"/>
        </w:rPr>
        <w:t>Galați</w:t>
      </w:r>
      <w:r w:rsidRPr="003516DC">
        <w:rPr>
          <w:rFonts w:ascii="Arial" w:hAnsi="Arial" w:cs="Arial"/>
          <w:sz w:val="20"/>
          <w:szCs w:val="20"/>
        </w:rPr>
        <w:t xml:space="preserve">. Once the impact of the energy transition </w:t>
      </w:r>
      <w:r w:rsidRPr="003516DC">
        <w:rPr>
          <w:rFonts w:ascii="Arial" w:hAnsi="Arial" w:cs="Arial"/>
          <w:sz w:val="20"/>
          <w:szCs w:val="20"/>
        </w:rPr>
        <w:lastRenderedPageBreak/>
        <w:t>is realised, these counties will be heavily affected. As a result, early investment in active labour market measures is important in these counties.</w:t>
      </w:r>
    </w:p>
    <w:p w14:paraId="2EF9925E" w14:textId="77777777" w:rsidR="00F6026A" w:rsidRPr="003516DC" w:rsidRDefault="00F6026A" w:rsidP="00F6026A">
      <w:pPr>
        <w:pStyle w:val="Caption"/>
        <w:spacing w:before="120" w:after="60"/>
        <w:ind w:left="1138" w:hanging="1138"/>
      </w:pPr>
      <w:bookmarkStart w:id="51" w:name="_Toc90727350"/>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Pr>
          <w:noProof/>
        </w:rPr>
        <w:t>17</w:t>
      </w:r>
      <w:r w:rsidRPr="003516DC">
        <w:rPr>
          <w:noProof/>
        </w:rPr>
        <w:fldChar w:fldCharType="end"/>
      </w:r>
      <w:r w:rsidRPr="003516DC">
        <w:t>: Unemployment rate by county</w:t>
      </w:r>
      <w:bookmarkEnd w:id="51"/>
    </w:p>
    <w:p w14:paraId="3770E682" w14:textId="77777777" w:rsidR="00F6026A" w:rsidRPr="003516DC" w:rsidRDefault="00F6026A" w:rsidP="00F6026A">
      <w:pPr>
        <w:rPr>
          <w:rFonts w:ascii="Arial" w:hAnsi="Arial" w:cs="Arial"/>
        </w:rPr>
      </w:pPr>
      <w:r w:rsidRPr="003516DC">
        <w:rPr>
          <w:rFonts w:ascii="Arial" w:hAnsi="Arial" w:cs="Arial"/>
          <w:noProof/>
          <w:lang w:val="en-US" w:eastAsia="en-US"/>
        </w:rPr>
        <w:drawing>
          <wp:inline distT="0" distB="0" distL="0" distR="0" wp14:anchorId="460682A4" wp14:editId="308CCCC8">
            <wp:extent cx="5678424" cy="2103120"/>
            <wp:effectExtent l="0" t="0" r="17780" b="11430"/>
            <wp:docPr id="12" name="Chart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D2D9E90-29A8-4BFF-A9AF-A1BC6E5F2A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147D236"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t>Source: NIS data, 2020</w:t>
      </w:r>
    </w:p>
    <w:p w14:paraId="3B5811F2" w14:textId="3FEE0232" w:rsidR="00F6026A" w:rsidRPr="003516DC" w:rsidRDefault="00F6026A" w:rsidP="00F6026A">
      <w:pPr>
        <w:pStyle w:val="Caption"/>
        <w:spacing w:before="120" w:after="60"/>
        <w:ind w:left="1138" w:hanging="1138"/>
      </w:pPr>
      <w:bookmarkStart w:id="52" w:name="_Toc90725961"/>
      <w:bookmarkStart w:id="53" w:name="_Toc90727258"/>
      <w:bookmarkStart w:id="54" w:name="_GoBack"/>
      <w:bookmarkEnd w:id="54"/>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E008A">
        <w:rPr>
          <w:noProof/>
        </w:rPr>
        <w:t>7</w:t>
      </w:r>
      <w:r w:rsidRPr="003516DC">
        <w:rPr>
          <w:noProof/>
        </w:rPr>
        <w:fldChar w:fldCharType="end"/>
      </w:r>
      <w:r w:rsidRPr="003516DC">
        <w:t xml:space="preserve">: Average </w:t>
      </w:r>
      <w:r>
        <w:t xml:space="preserve">net </w:t>
      </w:r>
      <w:r w:rsidRPr="003516DC">
        <w:t>salary</w:t>
      </w:r>
      <w:r>
        <w:t xml:space="preserve"> (RON)</w:t>
      </w:r>
      <w:r w:rsidRPr="003516DC">
        <w:t xml:space="preserve"> by county</w:t>
      </w:r>
      <w:bookmarkEnd w:id="52"/>
      <w:bookmarkEnd w:id="53"/>
    </w:p>
    <w:tbl>
      <w:tblPr>
        <w:tblW w:w="5000" w:type="pct"/>
        <w:tblLook w:val="04A0" w:firstRow="1" w:lastRow="0" w:firstColumn="1" w:lastColumn="0" w:noHBand="0" w:noVBand="1"/>
      </w:tblPr>
      <w:tblGrid>
        <w:gridCol w:w="1169"/>
        <w:gridCol w:w="706"/>
        <w:gridCol w:w="706"/>
        <w:gridCol w:w="706"/>
        <w:gridCol w:w="706"/>
        <w:gridCol w:w="706"/>
        <w:gridCol w:w="705"/>
        <w:gridCol w:w="705"/>
        <w:gridCol w:w="705"/>
        <w:gridCol w:w="705"/>
        <w:gridCol w:w="705"/>
        <w:gridCol w:w="705"/>
      </w:tblGrid>
      <w:tr w:rsidR="005C2BED" w:rsidRPr="009F1E8D" w14:paraId="3B29CC08" w14:textId="77777777" w:rsidTr="00190BA4">
        <w:trPr>
          <w:trHeight w:val="315"/>
        </w:trPr>
        <w:tc>
          <w:tcPr>
            <w:tcW w:w="654" w:type="pct"/>
            <w:tcBorders>
              <w:top w:val="single" w:sz="4" w:space="0" w:color="auto"/>
              <w:left w:val="single" w:sz="4" w:space="0" w:color="auto"/>
              <w:bottom w:val="single" w:sz="4" w:space="0" w:color="auto"/>
              <w:right w:val="single" w:sz="4" w:space="0" w:color="auto"/>
            </w:tcBorders>
            <w:shd w:val="clear" w:color="000000" w:fill="002060"/>
            <w:vAlign w:val="center"/>
            <w:hideMark/>
          </w:tcPr>
          <w:p w14:paraId="3CB550D3" w14:textId="77777777" w:rsidR="00F6026A" w:rsidRPr="009F1E8D" w:rsidRDefault="00F6026A" w:rsidP="00190BA4">
            <w:pP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County</w:t>
            </w:r>
          </w:p>
        </w:tc>
        <w:tc>
          <w:tcPr>
            <w:tcW w:w="395" w:type="pct"/>
            <w:tcBorders>
              <w:top w:val="single" w:sz="4" w:space="0" w:color="auto"/>
              <w:left w:val="single" w:sz="4" w:space="0" w:color="auto"/>
              <w:bottom w:val="single" w:sz="4" w:space="0" w:color="auto"/>
              <w:right w:val="single" w:sz="8" w:space="0" w:color="auto"/>
            </w:tcBorders>
            <w:shd w:val="clear" w:color="000000" w:fill="002060"/>
            <w:vAlign w:val="center"/>
            <w:hideMark/>
          </w:tcPr>
          <w:p w14:paraId="12EA80C7"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2010</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495B08C4"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2011</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446C2311"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2012</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038A112E"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2013</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62C1C88F"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2014</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3F37EE4A"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2015</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5FBD6CA4"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2016</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00FDAEAB"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2017</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1F22767E"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2018</w:t>
            </w:r>
          </w:p>
        </w:tc>
        <w:tc>
          <w:tcPr>
            <w:tcW w:w="395" w:type="pct"/>
            <w:tcBorders>
              <w:top w:val="single" w:sz="4" w:space="0" w:color="auto"/>
              <w:left w:val="nil"/>
              <w:bottom w:val="single" w:sz="4" w:space="0" w:color="auto"/>
              <w:right w:val="single" w:sz="8" w:space="0" w:color="auto"/>
            </w:tcBorders>
            <w:shd w:val="clear" w:color="000000" w:fill="002060"/>
            <w:vAlign w:val="center"/>
            <w:hideMark/>
          </w:tcPr>
          <w:p w14:paraId="0828853D"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2019</w:t>
            </w:r>
          </w:p>
        </w:tc>
        <w:tc>
          <w:tcPr>
            <w:tcW w:w="395" w:type="pct"/>
            <w:tcBorders>
              <w:top w:val="single" w:sz="4" w:space="0" w:color="auto"/>
              <w:left w:val="nil"/>
              <w:bottom w:val="single" w:sz="4" w:space="0" w:color="auto"/>
              <w:right w:val="single" w:sz="4" w:space="0" w:color="auto"/>
            </w:tcBorders>
            <w:shd w:val="clear" w:color="000000" w:fill="002060"/>
            <w:vAlign w:val="center"/>
            <w:hideMark/>
          </w:tcPr>
          <w:p w14:paraId="158C1C63" w14:textId="77777777" w:rsidR="00F6026A" w:rsidRPr="009F1E8D" w:rsidRDefault="00F6026A" w:rsidP="00190BA4">
            <w:pPr>
              <w:jc w:val="center"/>
              <w:rPr>
                <w:rFonts w:ascii="Arial" w:eastAsia="Times New Roman" w:hAnsi="Arial" w:cs="Arial"/>
                <w:b/>
                <w:bCs/>
                <w:color w:val="FFFFFF"/>
                <w:sz w:val="18"/>
                <w:szCs w:val="18"/>
                <w:lang w:val="en-US" w:eastAsia="en-US"/>
              </w:rPr>
            </w:pPr>
            <w:r w:rsidRPr="009F1E8D">
              <w:rPr>
                <w:rFonts w:ascii="Arial" w:eastAsia="Times New Roman" w:hAnsi="Arial" w:cs="Arial"/>
                <w:b/>
                <w:bCs/>
                <w:color w:val="FFFFFF"/>
                <w:sz w:val="18"/>
                <w:szCs w:val="18"/>
                <w:lang w:eastAsia="en-US"/>
              </w:rPr>
              <w:t>2020</w:t>
            </w:r>
          </w:p>
        </w:tc>
      </w:tr>
      <w:tr w:rsidR="005C2BED" w:rsidRPr="009F1E8D" w14:paraId="4FBACDEE" w14:textId="77777777" w:rsidTr="00190BA4">
        <w:trPr>
          <w:trHeight w:val="346"/>
        </w:trPr>
        <w:tc>
          <w:tcPr>
            <w:tcW w:w="654" w:type="pct"/>
            <w:tcBorders>
              <w:top w:val="single" w:sz="4" w:space="0" w:color="auto"/>
              <w:left w:val="single" w:sz="4" w:space="0" w:color="auto"/>
              <w:right w:val="single" w:sz="4" w:space="0" w:color="auto"/>
            </w:tcBorders>
            <w:shd w:val="clear" w:color="auto" w:fill="auto"/>
            <w:vAlign w:val="center"/>
            <w:hideMark/>
          </w:tcPr>
          <w:p w14:paraId="4D852ABB"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Hunedoara</w:t>
            </w:r>
          </w:p>
        </w:tc>
        <w:tc>
          <w:tcPr>
            <w:tcW w:w="395" w:type="pct"/>
            <w:tcBorders>
              <w:top w:val="single" w:sz="4" w:space="0" w:color="auto"/>
              <w:left w:val="single" w:sz="4" w:space="0" w:color="auto"/>
            </w:tcBorders>
            <w:shd w:val="clear" w:color="000000" w:fill="FBFCFE"/>
            <w:vAlign w:val="center"/>
            <w:hideMark/>
          </w:tcPr>
          <w:p w14:paraId="08C5259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1,204</w:t>
            </w:r>
          </w:p>
        </w:tc>
        <w:tc>
          <w:tcPr>
            <w:tcW w:w="395" w:type="pct"/>
            <w:tcBorders>
              <w:top w:val="single" w:sz="4" w:space="0" w:color="auto"/>
            </w:tcBorders>
            <w:shd w:val="clear" w:color="000000" w:fill="FCFCFF"/>
            <w:vAlign w:val="center"/>
            <w:hideMark/>
          </w:tcPr>
          <w:p w14:paraId="0E40140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1,187</w:t>
            </w:r>
          </w:p>
        </w:tc>
        <w:tc>
          <w:tcPr>
            <w:tcW w:w="395" w:type="pct"/>
            <w:tcBorders>
              <w:top w:val="single" w:sz="4" w:space="0" w:color="auto"/>
            </w:tcBorders>
            <w:shd w:val="clear" w:color="000000" w:fill="F4F9F8"/>
            <w:vAlign w:val="center"/>
            <w:hideMark/>
          </w:tcPr>
          <w:p w14:paraId="4B4C57C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1,298</w:t>
            </w:r>
          </w:p>
        </w:tc>
        <w:tc>
          <w:tcPr>
            <w:tcW w:w="395" w:type="pct"/>
            <w:tcBorders>
              <w:top w:val="single" w:sz="4" w:space="0" w:color="auto"/>
            </w:tcBorders>
            <w:shd w:val="clear" w:color="000000" w:fill="F3F9F7"/>
            <w:vAlign w:val="center"/>
            <w:hideMark/>
          </w:tcPr>
          <w:p w14:paraId="4ACF8EC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1,311</w:t>
            </w:r>
          </w:p>
        </w:tc>
        <w:tc>
          <w:tcPr>
            <w:tcW w:w="395" w:type="pct"/>
            <w:tcBorders>
              <w:top w:val="single" w:sz="4" w:space="0" w:color="auto"/>
            </w:tcBorders>
            <w:shd w:val="clear" w:color="000000" w:fill="EDF6F2"/>
            <w:vAlign w:val="center"/>
            <w:hideMark/>
          </w:tcPr>
          <w:p w14:paraId="17A6732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1,393</w:t>
            </w:r>
          </w:p>
        </w:tc>
        <w:tc>
          <w:tcPr>
            <w:tcW w:w="395" w:type="pct"/>
            <w:tcBorders>
              <w:top w:val="single" w:sz="4" w:space="0" w:color="auto"/>
            </w:tcBorders>
            <w:shd w:val="clear" w:color="000000" w:fill="E3F2EA"/>
            <w:vAlign w:val="center"/>
            <w:hideMark/>
          </w:tcPr>
          <w:p w14:paraId="679CF58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1,524</w:t>
            </w:r>
          </w:p>
        </w:tc>
        <w:tc>
          <w:tcPr>
            <w:tcW w:w="395" w:type="pct"/>
            <w:tcBorders>
              <w:top w:val="single" w:sz="4" w:space="0" w:color="auto"/>
            </w:tcBorders>
            <w:shd w:val="clear" w:color="000000" w:fill="DDF0E5"/>
            <w:vAlign w:val="center"/>
            <w:hideMark/>
          </w:tcPr>
          <w:p w14:paraId="0B847C76"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1,600</w:t>
            </w:r>
          </w:p>
        </w:tc>
        <w:tc>
          <w:tcPr>
            <w:tcW w:w="395" w:type="pct"/>
            <w:tcBorders>
              <w:top w:val="single" w:sz="4" w:space="0" w:color="auto"/>
            </w:tcBorders>
            <w:shd w:val="clear" w:color="000000" w:fill="C7E7D1"/>
            <w:vAlign w:val="center"/>
            <w:hideMark/>
          </w:tcPr>
          <w:p w14:paraId="74A77FB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1,898</w:t>
            </w:r>
          </w:p>
        </w:tc>
        <w:tc>
          <w:tcPr>
            <w:tcW w:w="395" w:type="pct"/>
            <w:tcBorders>
              <w:top w:val="single" w:sz="4" w:space="0" w:color="auto"/>
            </w:tcBorders>
            <w:shd w:val="clear" w:color="000000" w:fill="B9E1C5"/>
            <w:vAlign w:val="center"/>
            <w:hideMark/>
          </w:tcPr>
          <w:p w14:paraId="58DBD9A3"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2,088</w:t>
            </w:r>
          </w:p>
        </w:tc>
        <w:tc>
          <w:tcPr>
            <w:tcW w:w="395" w:type="pct"/>
            <w:tcBorders>
              <w:top w:val="single" w:sz="4" w:space="0" w:color="auto"/>
            </w:tcBorders>
            <w:shd w:val="clear" w:color="000000" w:fill="9FD7AF"/>
            <w:vAlign w:val="center"/>
            <w:hideMark/>
          </w:tcPr>
          <w:p w14:paraId="05391EC1"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2,426</w:t>
            </w:r>
          </w:p>
        </w:tc>
        <w:tc>
          <w:tcPr>
            <w:tcW w:w="395" w:type="pct"/>
            <w:tcBorders>
              <w:top w:val="single" w:sz="4" w:space="0" w:color="auto"/>
              <w:right w:val="single" w:sz="4" w:space="0" w:color="auto"/>
            </w:tcBorders>
            <w:shd w:val="clear" w:color="000000" w:fill="91D1A3"/>
            <w:vAlign w:val="center"/>
            <w:hideMark/>
          </w:tcPr>
          <w:p w14:paraId="7B5D921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2,617</w:t>
            </w:r>
          </w:p>
        </w:tc>
      </w:tr>
      <w:tr w:rsidR="005C2BED" w:rsidRPr="009F1E8D" w14:paraId="6175850A" w14:textId="77777777" w:rsidTr="00190BA4">
        <w:trPr>
          <w:trHeight w:val="346"/>
        </w:trPr>
        <w:tc>
          <w:tcPr>
            <w:tcW w:w="654" w:type="pct"/>
            <w:tcBorders>
              <w:top w:val="nil"/>
              <w:left w:val="single" w:sz="4" w:space="0" w:color="auto"/>
              <w:right w:val="single" w:sz="4" w:space="0" w:color="auto"/>
            </w:tcBorders>
            <w:shd w:val="clear" w:color="auto" w:fill="auto"/>
            <w:vAlign w:val="center"/>
            <w:hideMark/>
          </w:tcPr>
          <w:p w14:paraId="4C7AFF3F"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Dolj</w:t>
            </w:r>
          </w:p>
        </w:tc>
        <w:tc>
          <w:tcPr>
            <w:tcW w:w="395" w:type="pct"/>
            <w:tcBorders>
              <w:top w:val="nil"/>
              <w:left w:val="single" w:sz="4" w:space="0" w:color="auto"/>
            </w:tcBorders>
            <w:shd w:val="clear" w:color="000000" w:fill="F6FAFA"/>
            <w:vAlign w:val="center"/>
            <w:hideMark/>
          </w:tcPr>
          <w:p w14:paraId="259F014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1,269</w:t>
            </w:r>
          </w:p>
        </w:tc>
        <w:tc>
          <w:tcPr>
            <w:tcW w:w="395" w:type="pct"/>
            <w:tcBorders>
              <w:top w:val="nil"/>
            </w:tcBorders>
            <w:shd w:val="clear" w:color="000000" w:fill="F2F8F6"/>
            <w:vAlign w:val="center"/>
            <w:hideMark/>
          </w:tcPr>
          <w:p w14:paraId="6001087D"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1,332</w:t>
            </w:r>
          </w:p>
        </w:tc>
        <w:tc>
          <w:tcPr>
            <w:tcW w:w="395" w:type="pct"/>
            <w:tcBorders>
              <w:top w:val="nil"/>
            </w:tcBorders>
            <w:shd w:val="clear" w:color="000000" w:fill="EFF7F4"/>
            <w:vAlign w:val="center"/>
            <w:hideMark/>
          </w:tcPr>
          <w:p w14:paraId="22AF7B61"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1,370</w:t>
            </w:r>
          </w:p>
        </w:tc>
        <w:tc>
          <w:tcPr>
            <w:tcW w:w="395" w:type="pct"/>
            <w:tcBorders>
              <w:top w:val="nil"/>
            </w:tcBorders>
            <w:shd w:val="clear" w:color="000000" w:fill="E8F4ED"/>
            <w:vAlign w:val="center"/>
            <w:hideMark/>
          </w:tcPr>
          <w:p w14:paraId="411CF528"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1,465</w:t>
            </w:r>
          </w:p>
        </w:tc>
        <w:tc>
          <w:tcPr>
            <w:tcW w:w="395" w:type="pct"/>
            <w:tcBorders>
              <w:top w:val="nil"/>
            </w:tcBorders>
            <w:shd w:val="clear" w:color="000000" w:fill="E2F2E8"/>
            <w:vAlign w:val="center"/>
            <w:hideMark/>
          </w:tcPr>
          <w:p w14:paraId="0EF5CCD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1,541</w:t>
            </w:r>
          </w:p>
        </w:tc>
        <w:tc>
          <w:tcPr>
            <w:tcW w:w="395" w:type="pct"/>
            <w:tcBorders>
              <w:top w:val="nil"/>
            </w:tcBorders>
            <w:shd w:val="clear" w:color="000000" w:fill="D8EEE0"/>
            <w:vAlign w:val="center"/>
            <w:hideMark/>
          </w:tcPr>
          <w:p w14:paraId="06C0D8C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1,672</w:t>
            </w:r>
          </w:p>
        </w:tc>
        <w:tc>
          <w:tcPr>
            <w:tcW w:w="395" w:type="pct"/>
            <w:tcBorders>
              <w:top w:val="nil"/>
            </w:tcBorders>
            <w:shd w:val="clear" w:color="000000" w:fill="CCE9D6"/>
            <w:vAlign w:val="center"/>
            <w:hideMark/>
          </w:tcPr>
          <w:p w14:paraId="2F4947B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1,824</w:t>
            </w:r>
          </w:p>
        </w:tc>
        <w:tc>
          <w:tcPr>
            <w:tcW w:w="395" w:type="pct"/>
            <w:tcBorders>
              <w:top w:val="nil"/>
            </w:tcBorders>
            <w:shd w:val="clear" w:color="000000" w:fill="B6E0C2"/>
            <w:vAlign w:val="center"/>
            <w:hideMark/>
          </w:tcPr>
          <w:p w14:paraId="29516098"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2,128</w:t>
            </w:r>
          </w:p>
        </w:tc>
        <w:tc>
          <w:tcPr>
            <w:tcW w:w="395" w:type="pct"/>
            <w:tcBorders>
              <w:top w:val="nil"/>
            </w:tcBorders>
            <w:shd w:val="clear" w:color="000000" w:fill="9DD6AD"/>
            <w:vAlign w:val="center"/>
            <w:hideMark/>
          </w:tcPr>
          <w:p w14:paraId="31F37FA3"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2,458</w:t>
            </w:r>
          </w:p>
        </w:tc>
        <w:tc>
          <w:tcPr>
            <w:tcW w:w="395" w:type="pct"/>
            <w:tcBorders>
              <w:top w:val="nil"/>
            </w:tcBorders>
            <w:shd w:val="clear" w:color="000000" w:fill="85CC99"/>
            <w:vAlign w:val="center"/>
            <w:hideMark/>
          </w:tcPr>
          <w:p w14:paraId="65745094"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2,766</w:t>
            </w:r>
          </w:p>
        </w:tc>
        <w:tc>
          <w:tcPr>
            <w:tcW w:w="395" w:type="pct"/>
            <w:tcBorders>
              <w:top w:val="nil"/>
              <w:right w:val="single" w:sz="4" w:space="0" w:color="auto"/>
            </w:tcBorders>
            <w:shd w:val="clear" w:color="000000" w:fill="76C68C"/>
            <w:vAlign w:val="center"/>
            <w:hideMark/>
          </w:tcPr>
          <w:p w14:paraId="3A4418B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2,967</w:t>
            </w:r>
          </w:p>
        </w:tc>
      </w:tr>
      <w:tr w:rsidR="005C2BED" w:rsidRPr="009F1E8D" w14:paraId="45740F02" w14:textId="77777777" w:rsidTr="00190BA4">
        <w:trPr>
          <w:trHeight w:val="346"/>
        </w:trPr>
        <w:tc>
          <w:tcPr>
            <w:tcW w:w="654" w:type="pct"/>
            <w:tcBorders>
              <w:top w:val="nil"/>
              <w:left w:val="single" w:sz="4" w:space="0" w:color="auto"/>
              <w:right w:val="single" w:sz="4" w:space="0" w:color="auto"/>
            </w:tcBorders>
            <w:shd w:val="clear" w:color="auto" w:fill="auto"/>
            <w:vAlign w:val="center"/>
            <w:hideMark/>
          </w:tcPr>
          <w:p w14:paraId="747DB8EE"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Gorj</w:t>
            </w:r>
          </w:p>
        </w:tc>
        <w:tc>
          <w:tcPr>
            <w:tcW w:w="395" w:type="pct"/>
            <w:tcBorders>
              <w:top w:val="nil"/>
              <w:left w:val="single" w:sz="4" w:space="0" w:color="auto"/>
            </w:tcBorders>
            <w:shd w:val="clear" w:color="000000" w:fill="E3F2EA"/>
            <w:vAlign w:val="center"/>
            <w:hideMark/>
          </w:tcPr>
          <w:p w14:paraId="162C7CA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1,520</w:t>
            </w:r>
          </w:p>
        </w:tc>
        <w:tc>
          <w:tcPr>
            <w:tcW w:w="395" w:type="pct"/>
            <w:tcBorders>
              <w:top w:val="nil"/>
            </w:tcBorders>
            <w:shd w:val="clear" w:color="000000" w:fill="E3F2E9"/>
            <w:vAlign w:val="center"/>
            <w:hideMark/>
          </w:tcPr>
          <w:p w14:paraId="43B78FD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1,528</w:t>
            </w:r>
          </w:p>
        </w:tc>
        <w:tc>
          <w:tcPr>
            <w:tcW w:w="395" w:type="pct"/>
            <w:tcBorders>
              <w:top w:val="nil"/>
            </w:tcBorders>
            <w:shd w:val="clear" w:color="000000" w:fill="DFF0E6"/>
            <w:vAlign w:val="center"/>
            <w:hideMark/>
          </w:tcPr>
          <w:p w14:paraId="74166EF7"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1,584</w:t>
            </w:r>
          </w:p>
        </w:tc>
        <w:tc>
          <w:tcPr>
            <w:tcW w:w="395" w:type="pct"/>
            <w:tcBorders>
              <w:top w:val="nil"/>
            </w:tcBorders>
            <w:shd w:val="clear" w:color="000000" w:fill="DDF0E4"/>
            <w:vAlign w:val="center"/>
            <w:hideMark/>
          </w:tcPr>
          <w:p w14:paraId="1BABF298"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1,608</w:t>
            </w:r>
          </w:p>
        </w:tc>
        <w:tc>
          <w:tcPr>
            <w:tcW w:w="395" w:type="pct"/>
            <w:tcBorders>
              <w:top w:val="nil"/>
            </w:tcBorders>
            <w:shd w:val="clear" w:color="000000" w:fill="D1EBDA"/>
            <w:vAlign w:val="center"/>
            <w:hideMark/>
          </w:tcPr>
          <w:p w14:paraId="2E86643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1,761</w:t>
            </w:r>
          </w:p>
        </w:tc>
        <w:tc>
          <w:tcPr>
            <w:tcW w:w="395" w:type="pct"/>
            <w:tcBorders>
              <w:top w:val="nil"/>
            </w:tcBorders>
            <w:shd w:val="clear" w:color="000000" w:fill="D0EAD9"/>
            <w:vAlign w:val="center"/>
            <w:hideMark/>
          </w:tcPr>
          <w:p w14:paraId="74C0931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1,782</w:t>
            </w:r>
          </w:p>
        </w:tc>
        <w:tc>
          <w:tcPr>
            <w:tcW w:w="395" w:type="pct"/>
            <w:tcBorders>
              <w:top w:val="nil"/>
            </w:tcBorders>
            <w:shd w:val="clear" w:color="000000" w:fill="CAE8D4"/>
            <w:vAlign w:val="center"/>
            <w:hideMark/>
          </w:tcPr>
          <w:p w14:paraId="1AD88B4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1,862</w:t>
            </w:r>
          </w:p>
        </w:tc>
        <w:tc>
          <w:tcPr>
            <w:tcW w:w="395" w:type="pct"/>
            <w:tcBorders>
              <w:top w:val="nil"/>
            </w:tcBorders>
            <w:shd w:val="clear" w:color="000000" w:fill="B5DFC2"/>
            <w:vAlign w:val="center"/>
            <w:hideMark/>
          </w:tcPr>
          <w:p w14:paraId="006461F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2,137</w:t>
            </w:r>
          </w:p>
        </w:tc>
        <w:tc>
          <w:tcPr>
            <w:tcW w:w="395" w:type="pct"/>
            <w:tcBorders>
              <w:top w:val="nil"/>
            </w:tcBorders>
            <w:shd w:val="clear" w:color="000000" w:fill="A2D8B1"/>
            <w:vAlign w:val="center"/>
            <w:hideMark/>
          </w:tcPr>
          <w:p w14:paraId="260DF5AD"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2,387</w:t>
            </w:r>
          </w:p>
        </w:tc>
        <w:tc>
          <w:tcPr>
            <w:tcW w:w="395" w:type="pct"/>
            <w:tcBorders>
              <w:top w:val="nil"/>
            </w:tcBorders>
            <w:shd w:val="clear" w:color="000000" w:fill="8ED0A0"/>
            <w:vAlign w:val="center"/>
            <w:hideMark/>
          </w:tcPr>
          <w:p w14:paraId="0096BE4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2,657</w:t>
            </w:r>
          </w:p>
        </w:tc>
        <w:tc>
          <w:tcPr>
            <w:tcW w:w="395" w:type="pct"/>
            <w:tcBorders>
              <w:top w:val="nil"/>
              <w:right w:val="single" w:sz="4" w:space="0" w:color="auto"/>
            </w:tcBorders>
            <w:shd w:val="clear" w:color="000000" w:fill="7FC993"/>
            <w:vAlign w:val="center"/>
            <w:hideMark/>
          </w:tcPr>
          <w:p w14:paraId="320D5B4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2,858</w:t>
            </w:r>
          </w:p>
        </w:tc>
      </w:tr>
      <w:tr w:rsidR="005C2BED" w:rsidRPr="009F1E8D" w14:paraId="3A6E2998" w14:textId="77777777" w:rsidTr="00190BA4">
        <w:trPr>
          <w:trHeight w:val="346"/>
        </w:trPr>
        <w:tc>
          <w:tcPr>
            <w:tcW w:w="654" w:type="pct"/>
            <w:tcBorders>
              <w:top w:val="nil"/>
              <w:left w:val="single" w:sz="4" w:space="0" w:color="auto"/>
              <w:right w:val="single" w:sz="4" w:space="0" w:color="auto"/>
            </w:tcBorders>
            <w:shd w:val="clear" w:color="auto" w:fill="auto"/>
            <w:vAlign w:val="center"/>
            <w:hideMark/>
          </w:tcPr>
          <w:p w14:paraId="10709F00"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Prahova</w:t>
            </w:r>
          </w:p>
        </w:tc>
        <w:tc>
          <w:tcPr>
            <w:tcW w:w="395" w:type="pct"/>
            <w:tcBorders>
              <w:top w:val="nil"/>
              <w:left w:val="single" w:sz="4" w:space="0" w:color="auto"/>
            </w:tcBorders>
            <w:shd w:val="clear" w:color="000000" w:fill="EDF6F2"/>
            <w:vAlign w:val="center"/>
            <w:hideMark/>
          </w:tcPr>
          <w:p w14:paraId="4B9087E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1,389</w:t>
            </w:r>
          </w:p>
        </w:tc>
        <w:tc>
          <w:tcPr>
            <w:tcW w:w="395" w:type="pct"/>
            <w:tcBorders>
              <w:top w:val="nil"/>
            </w:tcBorders>
            <w:shd w:val="clear" w:color="000000" w:fill="ECF6F2"/>
            <w:vAlign w:val="center"/>
            <w:hideMark/>
          </w:tcPr>
          <w:p w14:paraId="02BBB9DD"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1,400</w:t>
            </w:r>
          </w:p>
        </w:tc>
        <w:tc>
          <w:tcPr>
            <w:tcW w:w="395" w:type="pct"/>
            <w:tcBorders>
              <w:top w:val="nil"/>
            </w:tcBorders>
            <w:shd w:val="clear" w:color="000000" w:fill="E4F3EA"/>
            <w:vAlign w:val="center"/>
            <w:hideMark/>
          </w:tcPr>
          <w:p w14:paraId="76D6052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1,510</w:t>
            </w:r>
          </w:p>
        </w:tc>
        <w:tc>
          <w:tcPr>
            <w:tcW w:w="395" w:type="pct"/>
            <w:tcBorders>
              <w:top w:val="nil"/>
            </w:tcBorders>
            <w:shd w:val="clear" w:color="000000" w:fill="E2F2E8"/>
            <w:vAlign w:val="center"/>
            <w:hideMark/>
          </w:tcPr>
          <w:p w14:paraId="0B91DB3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1,542</w:t>
            </w:r>
          </w:p>
        </w:tc>
        <w:tc>
          <w:tcPr>
            <w:tcW w:w="395" w:type="pct"/>
            <w:tcBorders>
              <w:top w:val="nil"/>
            </w:tcBorders>
            <w:shd w:val="clear" w:color="000000" w:fill="D7EDDF"/>
            <w:vAlign w:val="center"/>
            <w:hideMark/>
          </w:tcPr>
          <w:p w14:paraId="75943A47"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1,687</w:t>
            </w:r>
          </w:p>
        </w:tc>
        <w:tc>
          <w:tcPr>
            <w:tcW w:w="395" w:type="pct"/>
            <w:tcBorders>
              <w:top w:val="nil"/>
            </w:tcBorders>
            <w:shd w:val="clear" w:color="000000" w:fill="CCE9D6"/>
            <w:vAlign w:val="center"/>
            <w:hideMark/>
          </w:tcPr>
          <w:p w14:paraId="528C997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1,832</w:t>
            </w:r>
          </w:p>
        </w:tc>
        <w:tc>
          <w:tcPr>
            <w:tcW w:w="395" w:type="pct"/>
            <w:tcBorders>
              <w:top w:val="nil"/>
            </w:tcBorders>
            <w:shd w:val="clear" w:color="000000" w:fill="C3E5CE"/>
            <w:vAlign w:val="center"/>
            <w:hideMark/>
          </w:tcPr>
          <w:p w14:paraId="76E79AB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1,950</w:t>
            </w:r>
          </w:p>
        </w:tc>
        <w:tc>
          <w:tcPr>
            <w:tcW w:w="395" w:type="pct"/>
            <w:tcBorders>
              <w:top w:val="nil"/>
            </w:tcBorders>
            <w:shd w:val="clear" w:color="000000" w:fill="AEDCBB"/>
            <w:vAlign w:val="center"/>
            <w:hideMark/>
          </w:tcPr>
          <w:p w14:paraId="2E27DC7D"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2,235</w:t>
            </w:r>
          </w:p>
        </w:tc>
        <w:tc>
          <w:tcPr>
            <w:tcW w:w="395" w:type="pct"/>
            <w:tcBorders>
              <w:top w:val="nil"/>
            </w:tcBorders>
            <w:shd w:val="clear" w:color="000000" w:fill="9DD6AD"/>
            <w:vAlign w:val="center"/>
            <w:hideMark/>
          </w:tcPr>
          <w:p w14:paraId="4A42784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2,449</w:t>
            </w:r>
          </w:p>
        </w:tc>
        <w:tc>
          <w:tcPr>
            <w:tcW w:w="395" w:type="pct"/>
            <w:tcBorders>
              <w:top w:val="nil"/>
            </w:tcBorders>
            <w:shd w:val="clear" w:color="000000" w:fill="82CB96"/>
            <w:vAlign w:val="center"/>
            <w:hideMark/>
          </w:tcPr>
          <w:p w14:paraId="730C557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2,813</w:t>
            </w:r>
          </w:p>
        </w:tc>
        <w:tc>
          <w:tcPr>
            <w:tcW w:w="395" w:type="pct"/>
            <w:tcBorders>
              <w:top w:val="nil"/>
              <w:right w:val="single" w:sz="4" w:space="0" w:color="auto"/>
            </w:tcBorders>
            <w:shd w:val="clear" w:color="000000" w:fill="72C488"/>
            <w:vAlign w:val="center"/>
            <w:hideMark/>
          </w:tcPr>
          <w:p w14:paraId="3B36A53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3,021</w:t>
            </w:r>
          </w:p>
        </w:tc>
      </w:tr>
      <w:tr w:rsidR="005C2BED" w:rsidRPr="009F1E8D" w14:paraId="0ABE1FCE" w14:textId="77777777" w:rsidTr="00190BA4">
        <w:trPr>
          <w:trHeight w:val="346"/>
        </w:trPr>
        <w:tc>
          <w:tcPr>
            <w:tcW w:w="654" w:type="pct"/>
            <w:tcBorders>
              <w:top w:val="nil"/>
              <w:left w:val="single" w:sz="4" w:space="0" w:color="auto"/>
              <w:right w:val="single" w:sz="4" w:space="0" w:color="auto"/>
            </w:tcBorders>
            <w:shd w:val="clear" w:color="auto" w:fill="auto"/>
            <w:vAlign w:val="center"/>
            <w:hideMark/>
          </w:tcPr>
          <w:p w14:paraId="2F3E7F8A"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val="ro-RO" w:eastAsia="en-US"/>
              </w:rPr>
              <w:t>Mureș</w:t>
            </w:r>
          </w:p>
        </w:tc>
        <w:tc>
          <w:tcPr>
            <w:tcW w:w="395" w:type="pct"/>
            <w:tcBorders>
              <w:top w:val="nil"/>
              <w:left w:val="single" w:sz="4" w:space="0" w:color="auto"/>
            </w:tcBorders>
            <w:shd w:val="clear" w:color="000000" w:fill="F9FBFC"/>
            <w:vAlign w:val="center"/>
            <w:hideMark/>
          </w:tcPr>
          <w:p w14:paraId="0BAFAA6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1,238</w:t>
            </w:r>
          </w:p>
        </w:tc>
        <w:tc>
          <w:tcPr>
            <w:tcW w:w="395" w:type="pct"/>
            <w:tcBorders>
              <w:top w:val="nil"/>
            </w:tcBorders>
            <w:shd w:val="clear" w:color="000000" w:fill="F8FBFB"/>
            <w:vAlign w:val="center"/>
            <w:hideMark/>
          </w:tcPr>
          <w:p w14:paraId="6D27E52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1,252</w:t>
            </w:r>
          </w:p>
        </w:tc>
        <w:tc>
          <w:tcPr>
            <w:tcW w:w="395" w:type="pct"/>
            <w:tcBorders>
              <w:top w:val="nil"/>
            </w:tcBorders>
            <w:shd w:val="clear" w:color="000000" w:fill="F3F9F7"/>
            <w:vAlign w:val="center"/>
            <w:hideMark/>
          </w:tcPr>
          <w:p w14:paraId="2E8F5041"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1,315</w:t>
            </w:r>
          </w:p>
        </w:tc>
        <w:tc>
          <w:tcPr>
            <w:tcW w:w="395" w:type="pct"/>
            <w:tcBorders>
              <w:top w:val="nil"/>
            </w:tcBorders>
            <w:shd w:val="clear" w:color="000000" w:fill="EEF6F3"/>
            <w:vAlign w:val="center"/>
            <w:hideMark/>
          </w:tcPr>
          <w:p w14:paraId="4B0698E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1,386</w:t>
            </w:r>
          </w:p>
        </w:tc>
        <w:tc>
          <w:tcPr>
            <w:tcW w:w="395" w:type="pct"/>
            <w:tcBorders>
              <w:top w:val="nil"/>
            </w:tcBorders>
            <w:shd w:val="clear" w:color="000000" w:fill="E4F3EB"/>
            <w:vAlign w:val="center"/>
            <w:hideMark/>
          </w:tcPr>
          <w:p w14:paraId="572537E7"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1,509</w:t>
            </w:r>
          </w:p>
        </w:tc>
        <w:tc>
          <w:tcPr>
            <w:tcW w:w="395" w:type="pct"/>
            <w:tcBorders>
              <w:top w:val="nil"/>
            </w:tcBorders>
            <w:shd w:val="clear" w:color="000000" w:fill="DBEFE3"/>
            <w:vAlign w:val="center"/>
            <w:hideMark/>
          </w:tcPr>
          <w:p w14:paraId="49DE6C2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1,630</w:t>
            </w:r>
          </w:p>
        </w:tc>
        <w:tc>
          <w:tcPr>
            <w:tcW w:w="395" w:type="pct"/>
            <w:tcBorders>
              <w:top w:val="nil"/>
            </w:tcBorders>
            <w:shd w:val="clear" w:color="000000" w:fill="CAE8D4"/>
            <w:vAlign w:val="center"/>
            <w:hideMark/>
          </w:tcPr>
          <w:p w14:paraId="74E85987"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1,853</w:t>
            </w:r>
          </w:p>
        </w:tc>
        <w:tc>
          <w:tcPr>
            <w:tcW w:w="395" w:type="pct"/>
            <w:tcBorders>
              <w:top w:val="nil"/>
            </w:tcBorders>
            <w:shd w:val="clear" w:color="000000" w:fill="B7E0C3"/>
            <w:vAlign w:val="center"/>
            <w:hideMark/>
          </w:tcPr>
          <w:p w14:paraId="10BF7AD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2,112</w:t>
            </w:r>
          </w:p>
        </w:tc>
        <w:tc>
          <w:tcPr>
            <w:tcW w:w="395" w:type="pct"/>
            <w:tcBorders>
              <w:top w:val="nil"/>
            </w:tcBorders>
            <w:shd w:val="clear" w:color="000000" w:fill="9DD6AD"/>
            <w:vAlign w:val="center"/>
            <w:hideMark/>
          </w:tcPr>
          <w:p w14:paraId="1CD777A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2,459</w:t>
            </w:r>
          </w:p>
        </w:tc>
        <w:tc>
          <w:tcPr>
            <w:tcW w:w="395" w:type="pct"/>
            <w:tcBorders>
              <w:top w:val="nil"/>
            </w:tcBorders>
            <w:shd w:val="clear" w:color="000000" w:fill="88CD9B"/>
            <w:vAlign w:val="center"/>
            <w:hideMark/>
          </w:tcPr>
          <w:p w14:paraId="1114E47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2,739</w:t>
            </w:r>
          </w:p>
        </w:tc>
        <w:tc>
          <w:tcPr>
            <w:tcW w:w="395" w:type="pct"/>
            <w:tcBorders>
              <w:top w:val="nil"/>
              <w:right w:val="single" w:sz="4" w:space="0" w:color="auto"/>
            </w:tcBorders>
            <w:shd w:val="clear" w:color="000000" w:fill="76C68B"/>
            <w:vAlign w:val="center"/>
            <w:hideMark/>
          </w:tcPr>
          <w:p w14:paraId="698E14B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2,975</w:t>
            </w:r>
          </w:p>
        </w:tc>
      </w:tr>
      <w:tr w:rsidR="005C2BED" w:rsidRPr="009F1E8D" w14:paraId="6D429A84" w14:textId="77777777" w:rsidTr="00190BA4">
        <w:trPr>
          <w:trHeight w:val="346"/>
        </w:trPr>
        <w:tc>
          <w:tcPr>
            <w:tcW w:w="654" w:type="pct"/>
            <w:tcBorders>
              <w:top w:val="nil"/>
              <w:left w:val="single" w:sz="4" w:space="0" w:color="auto"/>
              <w:right w:val="single" w:sz="4" w:space="0" w:color="auto"/>
            </w:tcBorders>
            <w:shd w:val="clear" w:color="auto" w:fill="auto"/>
            <w:vAlign w:val="center"/>
            <w:hideMark/>
          </w:tcPr>
          <w:p w14:paraId="3AD6DB75"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Galați</w:t>
            </w:r>
          </w:p>
        </w:tc>
        <w:tc>
          <w:tcPr>
            <w:tcW w:w="395" w:type="pct"/>
            <w:tcBorders>
              <w:top w:val="nil"/>
              <w:left w:val="single" w:sz="4" w:space="0" w:color="auto"/>
            </w:tcBorders>
            <w:shd w:val="clear" w:color="000000" w:fill="F6FAFA"/>
            <w:vAlign w:val="center"/>
            <w:hideMark/>
          </w:tcPr>
          <w:p w14:paraId="5FADE521"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1,269</w:t>
            </w:r>
          </w:p>
        </w:tc>
        <w:tc>
          <w:tcPr>
            <w:tcW w:w="395" w:type="pct"/>
            <w:tcBorders>
              <w:top w:val="nil"/>
            </w:tcBorders>
            <w:shd w:val="clear" w:color="000000" w:fill="F3F9F8"/>
            <w:vAlign w:val="center"/>
            <w:hideMark/>
          </w:tcPr>
          <w:p w14:paraId="2D3C03B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1,310</w:t>
            </w:r>
          </w:p>
        </w:tc>
        <w:tc>
          <w:tcPr>
            <w:tcW w:w="395" w:type="pct"/>
            <w:tcBorders>
              <w:top w:val="nil"/>
            </w:tcBorders>
            <w:shd w:val="clear" w:color="000000" w:fill="F0F7F5"/>
            <w:vAlign w:val="center"/>
            <w:hideMark/>
          </w:tcPr>
          <w:p w14:paraId="726796C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1,351</w:t>
            </w:r>
          </w:p>
        </w:tc>
        <w:tc>
          <w:tcPr>
            <w:tcW w:w="395" w:type="pct"/>
            <w:tcBorders>
              <w:top w:val="nil"/>
            </w:tcBorders>
            <w:shd w:val="clear" w:color="000000" w:fill="EAF5EF"/>
            <w:vAlign w:val="center"/>
            <w:hideMark/>
          </w:tcPr>
          <w:p w14:paraId="0B10A146"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1,435</w:t>
            </w:r>
          </w:p>
        </w:tc>
        <w:tc>
          <w:tcPr>
            <w:tcW w:w="395" w:type="pct"/>
            <w:tcBorders>
              <w:top w:val="nil"/>
            </w:tcBorders>
            <w:shd w:val="clear" w:color="000000" w:fill="DFF1E6"/>
            <w:vAlign w:val="center"/>
            <w:hideMark/>
          </w:tcPr>
          <w:p w14:paraId="18079E79"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1,576</w:t>
            </w:r>
          </w:p>
        </w:tc>
        <w:tc>
          <w:tcPr>
            <w:tcW w:w="395" w:type="pct"/>
            <w:tcBorders>
              <w:top w:val="nil"/>
            </w:tcBorders>
            <w:shd w:val="clear" w:color="000000" w:fill="DAEFE2"/>
            <w:vAlign w:val="center"/>
            <w:hideMark/>
          </w:tcPr>
          <w:p w14:paraId="77574997"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1,642</w:t>
            </w:r>
          </w:p>
        </w:tc>
        <w:tc>
          <w:tcPr>
            <w:tcW w:w="395" w:type="pct"/>
            <w:tcBorders>
              <w:top w:val="nil"/>
            </w:tcBorders>
            <w:shd w:val="clear" w:color="000000" w:fill="D3ECDC"/>
            <w:vAlign w:val="center"/>
            <w:hideMark/>
          </w:tcPr>
          <w:p w14:paraId="6AAF2A8D"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1,740</w:t>
            </w:r>
          </w:p>
        </w:tc>
        <w:tc>
          <w:tcPr>
            <w:tcW w:w="395" w:type="pct"/>
            <w:tcBorders>
              <w:top w:val="nil"/>
            </w:tcBorders>
            <w:shd w:val="clear" w:color="000000" w:fill="BFE3CA"/>
            <w:vAlign w:val="center"/>
            <w:hideMark/>
          </w:tcPr>
          <w:p w14:paraId="5D00576F"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2,007</w:t>
            </w:r>
          </w:p>
        </w:tc>
        <w:tc>
          <w:tcPr>
            <w:tcW w:w="395" w:type="pct"/>
            <w:tcBorders>
              <w:top w:val="nil"/>
            </w:tcBorders>
            <w:shd w:val="clear" w:color="000000" w:fill="A9DBB8"/>
            <w:vAlign w:val="center"/>
            <w:hideMark/>
          </w:tcPr>
          <w:p w14:paraId="712732F5"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2,290</w:t>
            </w:r>
          </w:p>
        </w:tc>
        <w:tc>
          <w:tcPr>
            <w:tcW w:w="395" w:type="pct"/>
            <w:tcBorders>
              <w:top w:val="nil"/>
            </w:tcBorders>
            <w:shd w:val="clear" w:color="000000" w:fill="92D1A3"/>
            <w:vAlign w:val="center"/>
            <w:hideMark/>
          </w:tcPr>
          <w:p w14:paraId="07DAE7F4"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2,602</w:t>
            </w:r>
          </w:p>
        </w:tc>
        <w:tc>
          <w:tcPr>
            <w:tcW w:w="395" w:type="pct"/>
            <w:tcBorders>
              <w:top w:val="nil"/>
              <w:right w:val="single" w:sz="4" w:space="0" w:color="auto"/>
            </w:tcBorders>
            <w:shd w:val="clear" w:color="000000" w:fill="82CB96"/>
            <w:vAlign w:val="center"/>
            <w:hideMark/>
          </w:tcPr>
          <w:p w14:paraId="7401345C"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2,809</w:t>
            </w:r>
          </w:p>
        </w:tc>
      </w:tr>
      <w:tr w:rsidR="005C2BED" w:rsidRPr="009F1E8D" w14:paraId="3718D8C5" w14:textId="77777777" w:rsidTr="00190BA4">
        <w:trPr>
          <w:trHeight w:val="49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F2EA5C7" w14:textId="77777777" w:rsidR="00F6026A" w:rsidRPr="009F1E8D" w:rsidRDefault="00F6026A" w:rsidP="00190BA4">
            <w:pP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National average</w:t>
            </w:r>
          </w:p>
        </w:tc>
        <w:tc>
          <w:tcPr>
            <w:tcW w:w="395" w:type="pct"/>
            <w:tcBorders>
              <w:top w:val="nil"/>
              <w:left w:val="single" w:sz="4" w:space="0" w:color="auto"/>
              <w:bottom w:val="single" w:sz="4" w:space="0" w:color="auto"/>
            </w:tcBorders>
            <w:shd w:val="clear" w:color="000000" w:fill="EDF6F2"/>
            <w:vAlign w:val="center"/>
            <w:hideMark/>
          </w:tcPr>
          <w:p w14:paraId="2B9A8575"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1,391</w:t>
            </w:r>
          </w:p>
        </w:tc>
        <w:tc>
          <w:tcPr>
            <w:tcW w:w="395" w:type="pct"/>
            <w:tcBorders>
              <w:top w:val="nil"/>
              <w:bottom w:val="single" w:sz="4" w:space="0" w:color="auto"/>
            </w:tcBorders>
            <w:shd w:val="clear" w:color="000000" w:fill="E9F5EF"/>
            <w:vAlign w:val="center"/>
            <w:hideMark/>
          </w:tcPr>
          <w:p w14:paraId="61FE9BE3"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1,444</w:t>
            </w:r>
          </w:p>
        </w:tc>
        <w:tc>
          <w:tcPr>
            <w:tcW w:w="395" w:type="pct"/>
            <w:tcBorders>
              <w:top w:val="nil"/>
              <w:bottom w:val="single" w:sz="4" w:space="0" w:color="auto"/>
            </w:tcBorders>
            <w:shd w:val="clear" w:color="000000" w:fill="E4F3EB"/>
            <w:vAlign w:val="center"/>
            <w:hideMark/>
          </w:tcPr>
          <w:p w14:paraId="7FAF511E"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1,507</w:t>
            </w:r>
          </w:p>
        </w:tc>
        <w:tc>
          <w:tcPr>
            <w:tcW w:w="395" w:type="pct"/>
            <w:tcBorders>
              <w:top w:val="nil"/>
              <w:bottom w:val="single" w:sz="4" w:space="0" w:color="auto"/>
            </w:tcBorders>
            <w:shd w:val="clear" w:color="000000" w:fill="DFF1E6"/>
            <w:vAlign w:val="center"/>
            <w:hideMark/>
          </w:tcPr>
          <w:p w14:paraId="03C7DD3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1,579</w:t>
            </w:r>
          </w:p>
        </w:tc>
        <w:tc>
          <w:tcPr>
            <w:tcW w:w="395" w:type="pct"/>
            <w:tcBorders>
              <w:top w:val="nil"/>
              <w:bottom w:val="single" w:sz="4" w:space="0" w:color="auto"/>
            </w:tcBorders>
            <w:shd w:val="clear" w:color="000000" w:fill="D6EDDE"/>
            <w:vAlign w:val="center"/>
            <w:hideMark/>
          </w:tcPr>
          <w:p w14:paraId="257D6CD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1,697</w:t>
            </w:r>
          </w:p>
        </w:tc>
        <w:tc>
          <w:tcPr>
            <w:tcW w:w="395" w:type="pct"/>
            <w:tcBorders>
              <w:top w:val="nil"/>
              <w:bottom w:val="single" w:sz="4" w:space="0" w:color="auto"/>
            </w:tcBorders>
            <w:shd w:val="clear" w:color="000000" w:fill="CAE8D4"/>
            <w:vAlign w:val="center"/>
            <w:hideMark/>
          </w:tcPr>
          <w:p w14:paraId="57C5CF0B"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1,859</w:t>
            </w:r>
          </w:p>
        </w:tc>
        <w:tc>
          <w:tcPr>
            <w:tcW w:w="395" w:type="pct"/>
            <w:tcBorders>
              <w:top w:val="nil"/>
              <w:bottom w:val="single" w:sz="4" w:space="0" w:color="auto"/>
            </w:tcBorders>
            <w:shd w:val="clear" w:color="000000" w:fill="BCE2C8"/>
            <w:vAlign w:val="center"/>
            <w:hideMark/>
          </w:tcPr>
          <w:p w14:paraId="5AA4CFC2"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2,046</w:t>
            </w:r>
          </w:p>
        </w:tc>
        <w:tc>
          <w:tcPr>
            <w:tcW w:w="395" w:type="pct"/>
            <w:tcBorders>
              <w:top w:val="nil"/>
              <w:bottom w:val="single" w:sz="4" w:space="0" w:color="auto"/>
            </w:tcBorders>
            <w:shd w:val="clear" w:color="000000" w:fill="A6D9B5"/>
            <w:vAlign w:val="center"/>
            <w:hideMark/>
          </w:tcPr>
          <w:p w14:paraId="7FC31B7E"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2,338</w:t>
            </w:r>
          </w:p>
        </w:tc>
        <w:tc>
          <w:tcPr>
            <w:tcW w:w="395" w:type="pct"/>
            <w:tcBorders>
              <w:top w:val="nil"/>
              <w:bottom w:val="single" w:sz="4" w:space="0" w:color="auto"/>
            </w:tcBorders>
            <w:shd w:val="clear" w:color="000000" w:fill="8FD0A1"/>
            <w:vAlign w:val="center"/>
            <w:hideMark/>
          </w:tcPr>
          <w:p w14:paraId="7B029EB1"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2,642</w:t>
            </w:r>
          </w:p>
        </w:tc>
        <w:tc>
          <w:tcPr>
            <w:tcW w:w="395" w:type="pct"/>
            <w:tcBorders>
              <w:top w:val="nil"/>
              <w:bottom w:val="single" w:sz="4" w:space="0" w:color="auto"/>
            </w:tcBorders>
            <w:shd w:val="clear" w:color="000000" w:fill="75C68B"/>
            <w:vAlign w:val="center"/>
            <w:hideMark/>
          </w:tcPr>
          <w:p w14:paraId="2E8ED820"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2,986</w:t>
            </w:r>
          </w:p>
        </w:tc>
        <w:tc>
          <w:tcPr>
            <w:tcW w:w="395" w:type="pct"/>
            <w:tcBorders>
              <w:top w:val="nil"/>
              <w:bottom w:val="single" w:sz="4" w:space="0" w:color="auto"/>
              <w:right w:val="single" w:sz="4" w:space="0" w:color="auto"/>
            </w:tcBorders>
            <w:shd w:val="clear" w:color="000000" w:fill="63BE7B"/>
            <w:vAlign w:val="center"/>
            <w:hideMark/>
          </w:tcPr>
          <w:p w14:paraId="390605CA" w14:textId="77777777" w:rsidR="00F6026A" w:rsidRPr="009F1E8D" w:rsidRDefault="00F6026A" w:rsidP="00190BA4">
            <w:pPr>
              <w:jc w:val="center"/>
              <w:rPr>
                <w:rFonts w:ascii="Arial" w:eastAsia="Times New Roman" w:hAnsi="Arial" w:cs="Arial"/>
                <w:color w:val="000000"/>
                <w:sz w:val="18"/>
                <w:szCs w:val="18"/>
                <w:lang w:val="en-US" w:eastAsia="en-US"/>
              </w:rPr>
            </w:pPr>
            <w:r w:rsidRPr="009F1E8D">
              <w:rPr>
                <w:rFonts w:ascii="Arial" w:eastAsia="Times New Roman" w:hAnsi="Arial" w:cs="Arial"/>
                <w:color w:val="000000"/>
                <w:sz w:val="18"/>
                <w:szCs w:val="18"/>
                <w:lang w:eastAsia="en-US"/>
              </w:rPr>
              <w:t>3,217</w:t>
            </w:r>
          </w:p>
        </w:tc>
      </w:tr>
    </w:tbl>
    <w:p w14:paraId="4F40D4DB" w14:textId="77777777" w:rsidR="00F6026A" w:rsidRPr="007F6D88" w:rsidRDefault="00F6026A" w:rsidP="00F6026A">
      <w:pPr>
        <w:rPr>
          <w:rFonts w:ascii="Arial" w:hAnsi="Arial" w:cs="Arial"/>
          <w:i/>
          <w:iCs/>
          <w:sz w:val="16"/>
          <w:szCs w:val="16"/>
        </w:rPr>
      </w:pPr>
      <w:r w:rsidRPr="003516DC">
        <w:rPr>
          <w:rFonts w:ascii="Arial" w:hAnsi="Arial" w:cs="Arial"/>
          <w:i/>
          <w:iCs/>
          <w:sz w:val="16"/>
          <w:szCs w:val="16"/>
        </w:rPr>
        <w:t>Source: NIS data</w:t>
      </w:r>
    </w:p>
    <w:p w14:paraId="0532C6DB" w14:textId="139A96C7" w:rsidR="00F6026A" w:rsidRDefault="00F6026A" w:rsidP="00F6026A">
      <w:pPr>
        <w:pStyle w:val="Caption"/>
        <w:rPr>
          <w:lang w:val="en-US"/>
        </w:rPr>
      </w:pPr>
      <w:bookmarkStart w:id="55" w:name="_Toc90725962"/>
      <w:bookmarkStart w:id="56" w:name="_Toc90727259"/>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FE008A">
        <w:rPr>
          <w:noProof/>
        </w:rPr>
        <w:t>8</w:t>
      </w:r>
      <w:r w:rsidR="000B273D">
        <w:rPr>
          <w:noProof/>
        </w:rPr>
        <w:fldChar w:fldCharType="end"/>
      </w:r>
      <w:r>
        <w:rPr>
          <w:lang w:val="en-US"/>
        </w:rPr>
        <w:t>: Share of registered unemployed (%) by county</w:t>
      </w:r>
      <w:bookmarkEnd w:id="55"/>
      <w:bookmarkEnd w:id="56"/>
    </w:p>
    <w:tbl>
      <w:tblPr>
        <w:tblW w:w="5000" w:type="pct"/>
        <w:tblLook w:val="04A0" w:firstRow="1" w:lastRow="0" w:firstColumn="1" w:lastColumn="0" w:noHBand="0" w:noVBand="1"/>
      </w:tblPr>
      <w:tblGrid>
        <w:gridCol w:w="1251"/>
        <w:gridCol w:w="698"/>
        <w:gridCol w:w="698"/>
        <w:gridCol w:w="698"/>
        <w:gridCol w:w="698"/>
        <w:gridCol w:w="697"/>
        <w:gridCol w:w="697"/>
        <w:gridCol w:w="697"/>
        <w:gridCol w:w="697"/>
        <w:gridCol w:w="697"/>
        <w:gridCol w:w="697"/>
        <w:gridCol w:w="694"/>
      </w:tblGrid>
      <w:tr w:rsidR="005C2BED" w:rsidRPr="00491223" w14:paraId="09B75D7F" w14:textId="77777777" w:rsidTr="00190BA4">
        <w:trPr>
          <w:trHeight w:val="315"/>
        </w:trPr>
        <w:tc>
          <w:tcPr>
            <w:tcW w:w="701" w:type="pct"/>
            <w:tcBorders>
              <w:top w:val="single" w:sz="8" w:space="0" w:color="auto"/>
              <w:left w:val="single" w:sz="8" w:space="0" w:color="auto"/>
              <w:bottom w:val="single" w:sz="8" w:space="0" w:color="auto"/>
              <w:right w:val="single" w:sz="8" w:space="0" w:color="auto"/>
            </w:tcBorders>
            <w:shd w:val="clear" w:color="000000" w:fill="002060"/>
            <w:vAlign w:val="center"/>
            <w:hideMark/>
          </w:tcPr>
          <w:p w14:paraId="08036540" w14:textId="77777777" w:rsidR="00F6026A" w:rsidRPr="00491223" w:rsidRDefault="00F6026A" w:rsidP="00190BA4">
            <w:pP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County</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055009BE"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2010</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6A92680E"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2011</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0DAEDD78"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2012</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08730C27"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2013</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40A5F98D"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2014</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3A6377B4"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2015</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14F41A4C"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2016</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73A18A48"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2017</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1742E099"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2018</w:t>
            </w:r>
          </w:p>
        </w:tc>
        <w:tc>
          <w:tcPr>
            <w:tcW w:w="391" w:type="pct"/>
            <w:tcBorders>
              <w:top w:val="single" w:sz="8" w:space="0" w:color="auto"/>
              <w:left w:val="nil"/>
              <w:bottom w:val="single" w:sz="4" w:space="0" w:color="auto"/>
              <w:right w:val="single" w:sz="8" w:space="0" w:color="auto"/>
            </w:tcBorders>
            <w:shd w:val="clear" w:color="000000" w:fill="002060"/>
            <w:vAlign w:val="center"/>
            <w:hideMark/>
          </w:tcPr>
          <w:p w14:paraId="7BAF0B8B"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2019</w:t>
            </w:r>
          </w:p>
        </w:tc>
        <w:tc>
          <w:tcPr>
            <w:tcW w:w="389" w:type="pct"/>
            <w:tcBorders>
              <w:top w:val="single" w:sz="8" w:space="0" w:color="auto"/>
              <w:left w:val="nil"/>
              <w:bottom w:val="single" w:sz="4" w:space="0" w:color="auto"/>
              <w:right w:val="single" w:sz="8" w:space="0" w:color="auto"/>
            </w:tcBorders>
            <w:shd w:val="clear" w:color="000000" w:fill="002060"/>
            <w:vAlign w:val="center"/>
            <w:hideMark/>
          </w:tcPr>
          <w:p w14:paraId="055ADC05" w14:textId="77777777" w:rsidR="00F6026A" w:rsidRPr="00491223" w:rsidRDefault="00F6026A" w:rsidP="00190BA4">
            <w:pPr>
              <w:jc w:val="center"/>
              <w:rPr>
                <w:rFonts w:ascii="Arial" w:eastAsia="Times New Roman" w:hAnsi="Arial" w:cs="Arial"/>
                <w:b/>
                <w:bCs/>
                <w:color w:val="FFFFFF"/>
                <w:sz w:val="18"/>
                <w:szCs w:val="18"/>
                <w:lang w:val="en-US" w:eastAsia="en-US"/>
              </w:rPr>
            </w:pPr>
            <w:r w:rsidRPr="00491223">
              <w:rPr>
                <w:rFonts w:ascii="Arial" w:eastAsia="Times New Roman" w:hAnsi="Arial" w:cs="Arial"/>
                <w:b/>
                <w:bCs/>
                <w:color w:val="FFFFFF"/>
                <w:sz w:val="18"/>
                <w:szCs w:val="18"/>
                <w:lang w:eastAsia="en-US"/>
              </w:rPr>
              <w:t>2020</w:t>
            </w:r>
          </w:p>
        </w:tc>
      </w:tr>
      <w:tr w:rsidR="005C2BED" w:rsidRPr="00491223" w14:paraId="7E8363B6"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5A8A9505"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Hunedoara</w:t>
            </w:r>
          </w:p>
        </w:tc>
        <w:tc>
          <w:tcPr>
            <w:tcW w:w="391" w:type="pct"/>
            <w:tcBorders>
              <w:top w:val="single" w:sz="4" w:space="0" w:color="auto"/>
              <w:left w:val="single" w:sz="4" w:space="0" w:color="auto"/>
            </w:tcBorders>
            <w:shd w:val="clear" w:color="000000" w:fill="D1AE48"/>
            <w:vAlign w:val="center"/>
            <w:hideMark/>
          </w:tcPr>
          <w:p w14:paraId="1183D06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5.00</w:t>
            </w:r>
          </w:p>
        </w:tc>
        <w:tc>
          <w:tcPr>
            <w:tcW w:w="391" w:type="pct"/>
            <w:tcBorders>
              <w:top w:val="single" w:sz="4" w:space="0" w:color="auto"/>
            </w:tcBorders>
            <w:shd w:val="clear" w:color="000000" w:fill="E4D199"/>
            <w:vAlign w:val="center"/>
            <w:hideMark/>
          </w:tcPr>
          <w:p w14:paraId="08DE2B3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3.40</w:t>
            </w:r>
          </w:p>
        </w:tc>
        <w:tc>
          <w:tcPr>
            <w:tcW w:w="391" w:type="pct"/>
            <w:tcBorders>
              <w:top w:val="single" w:sz="4" w:space="0" w:color="auto"/>
            </w:tcBorders>
            <w:shd w:val="clear" w:color="000000" w:fill="DDC47B"/>
            <w:vAlign w:val="center"/>
            <w:hideMark/>
          </w:tcPr>
          <w:p w14:paraId="4E2C1712"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4.00</w:t>
            </w:r>
          </w:p>
        </w:tc>
        <w:tc>
          <w:tcPr>
            <w:tcW w:w="391" w:type="pct"/>
            <w:tcBorders>
              <w:top w:val="single" w:sz="4" w:space="0" w:color="auto"/>
            </w:tcBorders>
            <w:shd w:val="clear" w:color="000000" w:fill="D5B75C"/>
            <w:vAlign w:val="center"/>
            <w:hideMark/>
          </w:tcPr>
          <w:p w14:paraId="0C7DFBB0"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single" w:sz="4" w:space="0" w:color="auto"/>
            </w:tcBorders>
            <w:shd w:val="clear" w:color="000000" w:fill="DDC47B"/>
            <w:vAlign w:val="center"/>
            <w:hideMark/>
          </w:tcPr>
          <w:p w14:paraId="582D42DD"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4.00</w:t>
            </w:r>
          </w:p>
        </w:tc>
        <w:tc>
          <w:tcPr>
            <w:tcW w:w="391" w:type="pct"/>
            <w:tcBorders>
              <w:top w:val="single" w:sz="4" w:space="0" w:color="auto"/>
            </w:tcBorders>
            <w:shd w:val="clear" w:color="000000" w:fill="E0CA8A"/>
            <w:vAlign w:val="center"/>
            <w:hideMark/>
          </w:tcPr>
          <w:p w14:paraId="5B6AED67"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3.70</w:t>
            </w:r>
          </w:p>
        </w:tc>
        <w:tc>
          <w:tcPr>
            <w:tcW w:w="391" w:type="pct"/>
            <w:tcBorders>
              <w:top w:val="single" w:sz="4" w:space="0" w:color="auto"/>
            </w:tcBorders>
            <w:shd w:val="clear" w:color="000000" w:fill="E3CF94"/>
            <w:vAlign w:val="center"/>
            <w:hideMark/>
          </w:tcPr>
          <w:p w14:paraId="30226F72"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3.50</w:t>
            </w:r>
          </w:p>
        </w:tc>
        <w:tc>
          <w:tcPr>
            <w:tcW w:w="391" w:type="pct"/>
            <w:tcBorders>
              <w:top w:val="single" w:sz="4" w:space="0" w:color="auto"/>
            </w:tcBorders>
            <w:shd w:val="clear" w:color="000000" w:fill="EEE2C2"/>
            <w:vAlign w:val="center"/>
            <w:hideMark/>
          </w:tcPr>
          <w:p w14:paraId="341A38E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2.60</w:t>
            </w:r>
          </w:p>
        </w:tc>
        <w:tc>
          <w:tcPr>
            <w:tcW w:w="391" w:type="pct"/>
            <w:tcBorders>
              <w:top w:val="single" w:sz="4" w:space="0" w:color="auto"/>
            </w:tcBorders>
            <w:shd w:val="clear" w:color="000000" w:fill="F5EFE1"/>
            <w:vAlign w:val="center"/>
            <w:hideMark/>
          </w:tcPr>
          <w:p w14:paraId="6D05397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2.00</w:t>
            </w:r>
          </w:p>
        </w:tc>
        <w:tc>
          <w:tcPr>
            <w:tcW w:w="391" w:type="pct"/>
            <w:tcBorders>
              <w:top w:val="single" w:sz="4" w:space="0" w:color="auto"/>
            </w:tcBorders>
            <w:shd w:val="clear" w:color="000000" w:fill="F8F4EB"/>
            <w:vAlign w:val="center"/>
            <w:hideMark/>
          </w:tcPr>
          <w:p w14:paraId="7C79DA9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c>
          <w:tcPr>
            <w:tcW w:w="389" w:type="pct"/>
            <w:tcBorders>
              <w:top w:val="single" w:sz="4" w:space="0" w:color="auto"/>
              <w:right w:val="single" w:sz="4" w:space="0" w:color="auto"/>
            </w:tcBorders>
            <w:shd w:val="clear" w:color="000000" w:fill="F5EFE1"/>
            <w:vAlign w:val="center"/>
            <w:hideMark/>
          </w:tcPr>
          <w:p w14:paraId="69C3258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2.00</w:t>
            </w:r>
          </w:p>
        </w:tc>
      </w:tr>
      <w:tr w:rsidR="005C2BED" w:rsidRPr="00491223" w14:paraId="7D0B58ED"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11953BC0"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Dolj</w:t>
            </w:r>
          </w:p>
        </w:tc>
        <w:tc>
          <w:tcPr>
            <w:tcW w:w="391" w:type="pct"/>
            <w:tcBorders>
              <w:top w:val="nil"/>
              <w:left w:val="single" w:sz="4" w:space="0" w:color="auto"/>
            </w:tcBorders>
            <w:shd w:val="clear" w:color="000000" w:fill="BF8F00"/>
            <w:vAlign w:val="center"/>
            <w:hideMark/>
          </w:tcPr>
          <w:p w14:paraId="2521E75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6.40</w:t>
            </w:r>
          </w:p>
        </w:tc>
        <w:tc>
          <w:tcPr>
            <w:tcW w:w="391" w:type="pct"/>
            <w:tcBorders>
              <w:top w:val="nil"/>
            </w:tcBorders>
            <w:shd w:val="clear" w:color="000000" w:fill="C9A129"/>
            <w:vAlign w:val="center"/>
            <w:hideMark/>
          </w:tcPr>
          <w:p w14:paraId="20B44C4C"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5.60</w:t>
            </w:r>
          </w:p>
        </w:tc>
        <w:tc>
          <w:tcPr>
            <w:tcW w:w="391" w:type="pct"/>
            <w:tcBorders>
              <w:top w:val="nil"/>
            </w:tcBorders>
            <w:shd w:val="clear" w:color="000000" w:fill="C39610"/>
            <w:vAlign w:val="center"/>
            <w:hideMark/>
          </w:tcPr>
          <w:p w14:paraId="3FDFBDBA"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6.10</w:t>
            </w:r>
          </w:p>
        </w:tc>
        <w:tc>
          <w:tcPr>
            <w:tcW w:w="391" w:type="pct"/>
            <w:tcBorders>
              <w:top w:val="nil"/>
            </w:tcBorders>
            <w:shd w:val="clear" w:color="000000" w:fill="C19206"/>
            <w:vAlign w:val="center"/>
            <w:hideMark/>
          </w:tcPr>
          <w:p w14:paraId="057E524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6.30</w:t>
            </w:r>
          </w:p>
        </w:tc>
        <w:tc>
          <w:tcPr>
            <w:tcW w:w="391" w:type="pct"/>
            <w:tcBorders>
              <w:top w:val="nil"/>
            </w:tcBorders>
            <w:shd w:val="clear" w:color="000000" w:fill="C49815"/>
            <w:vAlign w:val="center"/>
            <w:hideMark/>
          </w:tcPr>
          <w:p w14:paraId="5A28239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6.00</w:t>
            </w:r>
          </w:p>
        </w:tc>
        <w:tc>
          <w:tcPr>
            <w:tcW w:w="391" w:type="pct"/>
            <w:tcBorders>
              <w:top w:val="nil"/>
            </w:tcBorders>
            <w:shd w:val="clear" w:color="000000" w:fill="C69A1A"/>
            <w:vAlign w:val="center"/>
            <w:hideMark/>
          </w:tcPr>
          <w:p w14:paraId="50EB67D2"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5.90</w:t>
            </w:r>
          </w:p>
        </w:tc>
        <w:tc>
          <w:tcPr>
            <w:tcW w:w="391" w:type="pct"/>
            <w:tcBorders>
              <w:top w:val="nil"/>
            </w:tcBorders>
            <w:shd w:val="clear" w:color="000000" w:fill="C69A1A"/>
            <w:vAlign w:val="center"/>
            <w:hideMark/>
          </w:tcPr>
          <w:p w14:paraId="71FAD40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5.90</w:t>
            </w:r>
          </w:p>
        </w:tc>
        <w:tc>
          <w:tcPr>
            <w:tcW w:w="391" w:type="pct"/>
            <w:tcBorders>
              <w:top w:val="nil"/>
            </w:tcBorders>
            <w:shd w:val="clear" w:color="000000" w:fill="CDA739"/>
            <w:vAlign w:val="center"/>
            <w:hideMark/>
          </w:tcPr>
          <w:p w14:paraId="3EA6051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5.30</w:t>
            </w:r>
          </w:p>
        </w:tc>
        <w:tc>
          <w:tcPr>
            <w:tcW w:w="391" w:type="pct"/>
            <w:tcBorders>
              <w:top w:val="nil"/>
            </w:tcBorders>
            <w:shd w:val="clear" w:color="000000" w:fill="D5B75C"/>
            <w:vAlign w:val="center"/>
            <w:hideMark/>
          </w:tcPr>
          <w:p w14:paraId="021DFB55"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nil"/>
            </w:tcBorders>
            <w:shd w:val="clear" w:color="000000" w:fill="DABF71"/>
            <w:vAlign w:val="center"/>
            <w:hideMark/>
          </w:tcPr>
          <w:p w14:paraId="533F934A"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4.20</w:t>
            </w:r>
          </w:p>
        </w:tc>
        <w:tc>
          <w:tcPr>
            <w:tcW w:w="389" w:type="pct"/>
            <w:tcBorders>
              <w:top w:val="nil"/>
              <w:right w:val="single" w:sz="4" w:space="0" w:color="auto"/>
            </w:tcBorders>
            <w:shd w:val="clear" w:color="000000" w:fill="D8BB66"/>
            <w:vAlign w:val="center"/>
            <w:hideMark/>
          </w:tcPr>
          <w:p w14:paraId="49026C8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4.40</w:t>
            </w:r>
          </w:p>
        </w:tc>
      </w:tr>
      <w:tr w:rsidR="005C2BED" w:rsidRPr="00491223" w14:paraId="73A44A61"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375F7808"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Gorj</w:t>
            </w:r>
          </w:p>
        </w:tc>
        <w:tc>
          <w:tcPr>
            <w:tcW w:w="391" w:type="pct"/>
            <w:tcBorders>
              <w:top w:val="nil"/>
              <w:left w:val="single" w:sz="4" w:space="0" w:color="auto"/>
            </w:tcBorders>
            <w:shd w:val="clear" w:color="000000" w:fill="C49815"/>
            <w:vAlign w:val="center"/>
            <w:hideMark/>
          </w:tcPr>
          <w:p w14:paraId="648C8F2A"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6.00</w:t>
            </w:r>
          </w:p>
        </w:tc>
        <w:tc>
          <w:tcPr>
            <w:tcW w:w="391" w:type="pct"/>
            <w:tcBorders>
              <w:top w:val="nil"/>
            </w:tcBorders>
            <w:shd w:val="clear" w:color="000000" w:fill="D5B75C"/>
            <w:vAlign w:val="center"/>
            <w:hideMark/>
          </w:tcPr>
          <w:p w14:paraId="7F5D2A4D"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nil"/>
            </w:tcBorders>
            <w:shd w:val="clear" w:color="000000" w:fill="D5B75C"/>
            <w:vAlign w:val="center"/>
            <w:hideMark/>
          </w:tcPr>
          <w:p w14:paraId="342CC95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nil"/>
            </w:tcBorders>
            <w:shd w:val="clear" w:color="000000" w:fill="D2B04D"/>
            <w:vAlign w:val="center"/>
            <w:hideMark/>
          </w:tcPr>
          <w:p w14:paraId="3534710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4.90</w:t>
            </w:r>
          </w:p>
        </w:tc>
        <w:tc>
          <w:tcPr>
            <w:tcW w:w="391" w:type="pct"/>
            <w:tcBorders>
              <w:top w:val="nil"/>
            </w:tcBorders>
            <w:shd w:val="clear" w:color="000000" w:fill="D9BD6C"/>
            <w:vAlign w:val="center"/>
            <w:hideMark/>
          </w:tcPr>
          <w:p w14:paraId="37E03D3B"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4.30</w:t>
            </w:r>
          </w:p>
        </w:tc>
        <w:tc>
          <w:tcPr>
            <w:tcW w:w="391" w:type="pct"/>
            <w:tcBorders>
              <w:top w:val="nil"/>
            </w:tcBorders>
            <w:shd w:val="clear" w:color="000000" w:fill="D9BD6C"/>
            <w:vAlign w:val="center"/>
            <w:hideMark/>
          </w:tcPr>
          <w:p w14:paraId="3099E2AA"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4.30</w:t>
            </w:r>
          </w:p>
        </w:tc>
        <w:tc>
          <w:tcPr>
            <w:tcW w:w="391" w:type="pct"/>
            <w:tcBorders>
              <w:top w:val="nil"/>
            </w:tcBorders>
            <w:shd w:val="clear" w:color="000000" w:fill="DABF71"/>
            <w:vAlign w:val="center"/>
            <w:hideMark/>
          </w:tcPr>
          <w:p w14:paraId="1A99729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4.20</w:t>
            </w:r>
          </w:p>
        </w:tc>
        <w:tc>
          <w:tcPr>
            <w:tcW w:w="391" w:type="pct"/>
            <w:tcBorders>
              <w:top w:val="nil"/>
            </w:tcBorders>
            <w:shd w:val="clear" w:color="000000" w:fill="E2CD8F"/>
            <w:vAlign w:val="center"/>
            <w:hideMark/>
          </w:tcPr>
          <w:p w14:paraId="0BCEEF98"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3.60</w:t>
            </w:r>
          </w:p>
        </w:tc>
        <w:tc>
          <w:tcPr>
            <w:tcW w:w="391" w:type="pct"/>
            <w:tcBorders>
              <w:top w:val="nil"/>
            </w:tcBorders>
            <w:shd w:val="clear" w:color="000000" w:fill="EFE5C7"/>
            <w:vAlign w:val="center"/>
            <w:hideMark/>
          </w:tcPr>
          <w:p w14:paraId="1CCA45A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2.50</w:t>
            </w:r>
          </w:p>
        </w:tc>
        <w:tc>
          <w:tcPr>
            <w:tcW w:w="391" w:type="pct"/>
            <w:tcBorders>
              <w:top w:val="nil"/>
            </w:tcBorders>
            <w:shd w:val="clear" w:color="000000" w:fill="F5EFE1"/>
            <w:vAlign w:val="center"/>
            <w:hideMark/>
          </w:tcPr>
          <w:p w14:paraId="16DFE52D"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2.00</w:t>
            </w:r>
          </w:p>
        </w:tc>
        <w:tc>
          <w:tcPr>
            <w:tcW w:w="389" w:type="pct"/>
            <w:tcBorders>
              <w:top w:val="nil"/>
              <w:right w:val="single" w:sz="4" w:space="0" w:color="auto"/>
            </w:tcBorders>
            <w:shd w:val="clear" w:color="000000" w:fill="F2E9D2"/>
            <w:vAlign w:val="center"/>
            <w:hideMark/>
          </w:tcPr>
          <w:p w14:paraId="2667B555"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2.30</w:t>
            </w:r>
          </w:p>
        </w:tc>
      </w:tr>
      <w:tr w:rsidR="005C2BED" w:rsidRPr="00491223" w14:paraId="5AB7B767"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00C6568A"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Prahova</w:t>
            </w:r>
          </w:p>
        </w:tc>
        <w:tc>
          <w:tcPr>
            <w:tcW w:w="391" w:type="pct"/>
            <w:tcBorders>
              <w:top w:val="nil"/>
              <w:left w:val="single" w:sz="4" w:space="0" w:color="auto"/>
            </w:tcBorders>
            <w:shd w:val="clear" w:color="000000" w:fill="D1AE48"/>
            <w:vAlign w:val="center"/>
            <w:hideMark/>
          </w:tcPr>
          <w:p w14:paraId="53F2A3C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5.00</w:t>
            </w:r>
          </w:p>
        </w:tc>
        <w:tc>
          <w:tcPr>
            <w:tcW w:w="391" w:type="pct"/>
            <w:tcBorders>
              <w:top w:val="nil"/>
            </w:tcBorders>
            <w:shd w:val="clear" w:color="000000" w:fill="E7D5A4"/>
            <w:vAlign w:val="center"/>
            <w:hideMark/>
          </w:tcPr>
          <w:p w14:paraId="1E82EE1B"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3.20</w:t>
            </w:r>
          </w:p>
        </w:tc>
        <w:tc>
          <w:tcPr>
            <w:tcW w:w="391" w:type="pct"/>
            <w:tcBorders>
              <w:top w:val="nil"/>
            </w:tcBorders>
            <w:shd w:val="clear" w:color="000000" w:fill="E7D5A4"/>
            <w:vAlign w:val="center"/>
            <w:hideMark/>
          </w:tcPr>
          <w:p w14:paraId="1FF53FB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3.20</w:t>
            </w:r>
          </w:p>
        </w:tc>
        <w:tc>
          <w:tcPr>
            <w:tcW w:w="391" w:type="pct"/>
            <w:tcBorders>
              <w:top w:val="nil"/>
            </w:tcBorders>
            <w:shd w:val="clear" w:color="000000" w:fill="E4D199"/>
            <w:vAlign w:val="center"/>
            <w:hideMark/>
          </w:tcPr>
          <w:p w14:paraId="1E999138"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3.40</w:t>
            </w:r>
          </w:p>
        </w:tc>
        <w:tc>
          <w:tcPr>
            <w:tcW w:w="391" w:type="pct"/>
            <w:tcBorders>
              <w:top w:val="nil"/>
            </w:tcBorders>
            <w:shd w:val="clear" w:color="000000" w:fill="E9DAAE"/>
            <w:vAlign w:val="center"/>
            <w:hideMark/>
          </w:tcPr>
          <w:p w14:paraId="0464C6F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3.00</w:t>
            </w:r>
          </w:p>
        </w:tc>
        <w:tc>
          <w:tcPr>
            <w:tcW w:w="391" w:type="pct"/>
            <w:tcBorders>
              <w:top w:val="nil"/>
            </w:tcBorders>
            <w:shd w:val="clear" w:color="000000" w:fill="F0E7CC"/>
            <w:vAlign w:val="center"/>
            <w:hideMark/>
          </w:tcPr>
          <w:p w14:paraId="2932DA3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2.40</w:t>
            </w:r>
          </w:p>
        </w:tc>
        <w:tc>
          <w:tcPr>
            <w:tcW w:w="391" w:type="pct"/>
            <w:tcBorders>
              <w:top w:val="nil"/>
            </w:tcBorders>
            <w:shd w:val="clear" w:color="000000" w:fill="EFE5C7"/>
            <w:vAlign w:val="center"/>
            <w:hideMark/>
          </w:tcPr>
          <w:p w14:paraId="1EEA1E97"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2.50</w:t>
            </w:r>
          </w:p>
        </w:tc>
        <w:tc>
          <w:tcPr>
            <w:tcW w:w="391" w:type="pct"/>
            <w:tcBorders>
              <w:top w:val="nil"/>
            </w:tcBorders>
            <w:shd w:val="clear" w:color="000000" w:fill="F8F4EB"/>
            <w:vAlign w:val="center"/>
            <w:hideMark/>
          </w:tcPr>
          <w:p w14:paraId="16A4399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c>
          <w:tcPr>
            <w:tcW w:w="391" w:type="pct"/>
            <w:tcBorders>
              <w:top w:val="nil"/>
            </w:tcBorders>
            <w:shd w:val="clear" w:color="000000" w:fill="FAF8F5"/>
            <w:vAlign w:val="center"/>
            <w:hideMark/>
          </w:tcPr>
          <w:p w14:paraId="3541E1D8"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1.60</w:t>
            </w:r>
          </w:p>
        </w:tc>
        <w:tc>
          <w:tcPr>
            <w:tcW w:w="391" w:type="pct"/>
            <w:tcBorders>
              <w:top w:val="nil"/>
            </w:tcBorders>
            <w:shd w:val="clear" w:color="000000" w:fill="FCFCFF"/>
            <w:vAlign w:val="center"/>
            <w:hideMark/>
          </w:tcPr>
          <w:p w14:paraId="3B81F7B5"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1.40</w:t>
            </w:r>
          </w:p>
        </w:tc>
        <w:tc>
          <w:tcPr>
            <w:tcW w:w="389" w:type="pct"/>
            <w:tcBorders>
              <w:top w:val="nil"/>
              <w:right w:val="single" w:sz="4" w:space="0" w:color="auto"/>
            </w:tcBorders>
            <w:shd w:val="clear" w:color="000000" w:fill="F8F4EB"/>
            <w:vAlign w:val="center"/>
            <w:hideMark/>
          </w:tcPr>
          <w:p w14:paraId="0408A53D"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r>
      <w:tr w:rsidR="005C2BED" w:rsidRPr="00491223" w14:paraId="7C9D4DAD"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5503C4A1"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ro-RO" w:eastAsia="en-US"/>
              </w:rPr>
              <w:t>Mureș</w:t>
            </w:r>
          </w:p>
        </w:tc>
        <w:tc>
          <w:tcPr>
            <w:tcW w:w="391" w:type="pct"/>
            <w:tcBorders>
              <w:top w:val="nil"/>
              <w:left w:val="single" w:sz="4" w:space="0" w:color="auto"/>
            </w:tcBorders>
            <w:shd w:val="clear" w:color="000000" w:fill="CFAC43"/>
            <w:vAlign w:val="center"/>
            <w:hideMark/>
          </w:tcPr>
          <w:p w14:paraId="0C9B4901"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5.10</w:t>
            </w:r>
          </w:p>
        </w:tc>
        <w:tc>
          <w:tcPr>
            <w:tcW w:w="391" w:type="pct"/>
            <w:tcBorders>
              <w:top w:val="nil"/>
            </w:tcBorders>
            <w:shd w:val="clear" w:color="000000" w:fill="DFC885"/>
            <w:vAlign w:val="center"/>
            <w:hideMark/>
          </w:tcPr>
          <w:p w14:paraId="3C4C702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3.80</w:t>
            </w:r>
          </w:p>
        </w:tc>
        <w:tc>
          <w:tcPr>
            <w:tcW w:w="391" w:type="pct"/>
            <w:tcBorders>
              <w:top w:val="nil"/>
            </w:tcBorders>
            <w:shd w:val="clear" w:color="000000" w:fill="DDC47B"/>
            <w:vAlign w:val="center"/>
            <w:hideMark/>
          </w:tcPr>
          <w:p w14:paraId="5B7731E7"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4.00</w:t>
            </w:r>
          </w:p>
        </w:tc>
        <w:tc>
          <w:tcPr>
            <w:tcW w:w="391" w:type="pct"/>
            <w:tcBorders>
              <w:top w:val="nil"/>
            </w:tcBorders>
            <w:shd w:val="clear" w:color="000000" w:fill="E2CD8F"/>
            <w:vAlign w:val="center"/>
            <w:hideMark/>
          </w:tcPr>
          <w:p w14:paraId="06C24B6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3.60</w:t>
            </w:r>
          </w:p>
        </w:tc>
        <w:tc>
          <w:tcPr>
            <w:tcW w:w="391" w:type="pct"/>
            <w:tcBorders>
              <w:top w:val="nil"/>
            </w:tcBorders>
            <w:shd w:val="clear" w:color="000000" w:fill="E0CA8A"/>
            <w:vAlign w:val="center"/>
            <w:hideMark/>
          </w:tcPr>
          <w:p w14:paraId="66D46CA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3.70</w:t>
            </w:r>
          </w:p>
        </w:tc>
        <w:tc>
          <w:tcPr>
            <w:tcW w:w="391" w:type="pct"/>
            <w:tcBorders>
              <w:top w:val="nil"/>
            </w:tcBorders>
            <w:shd w:val="clear" w:color="000000" w:fill="E9DAAE"/>
            <w:vAlign w:val="center"/>
            <w:hideMark/>
          </w:tcPr>
          <w:p w14:paraId="7E58937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3.00</w:t>
            </w:r>
          </w:p>
        </w:tc>
        <w:tc>
          <w:tcPr>
            <w:tcW w:w="391" w:type="pct"/>
            <w:tcBorders>
              <w:top w:val="nil"/>
            </w:tcBorders>
            <w:shd w:val="clear" w:color="000000" w:fill="EADCB3"/>
            <w:vAlign w:val="center"/>
            <w:hideMark/>
          </w:tcPr>
          <w:p w14:paraId="271E0570"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2.90</w:t>
            </w:r>
          </w:p>
        </w:tc>
        <w:tc>
          <w:tcPr>
            <w:tcW w:w="391" w:type="pct"/>
            <w:tcBorders>
              <w:top w:val="nil"/>
            </w:tcBorders>
            <w:shd w:val="clear" w:color="000000" w:fill="EFE5C7"/>
            <w:vAlign w:val="center"/>
            <w:hideMark/>
          </w:tcPr>
          <w:p w14:paraId="45C35EF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2.50</w:t>
            </w:r>
          </w:p>
        </w:tc>
        <w:tc>
          <w:tcPr>
            <w:tcW w:w="391" w:type="pct"/>
            <w:tcBorders>
              <w:top w:val="nil"/>
            </w:tcBorders>
            <w:shd w:val="clear" w:color="000000" w:fill="F6F2E6"/>
            <w:vAlign w:val="center"/>
            <w:hideMark/>
          </w:tcPr>
          <w:p w14:paraId="7320372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1.90</w:t>
            </w:r>
          </w:p>
        </w:tc>
        <w:tc>
          <w:tcPr>
            <w:tcW w:w="391" w:type="pct"/>
            <w:tcBorders>
              <w:top w:val="nil"/>
            </w:tcBorders>
            <w:shd w:val="clear" w:color="000000" w:fill="F8F4EB"/>
            <w:vAlign w:val="center"/>
            <w:hideMark/>
          </w:tcPr>
          <w:p w14:paraId="35F096D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c>
          <w:tcPr>
            <w:tcW w:w="389" w:type="pct"/>
            <w:tcBorders>
              <w:top w:val="nil"/>
              <w:right w:val="single" w:sz="4" w:space="0" w:color="auto"/>
            </w:tcBorders>
            <w:shd w:val="clear" w:color="000000" w:fill="F8F4EB"/>
            <w:vAlign w:val="center"/>
            <w:hideMark/>
          </w:tcPr>
          <w:p w14:paraId="69D71DC0"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r>
      <w:tr w:rsidR="005C2BED" w:rsidRPr="00491223" w14:paraId="457FFB35" w14:textId="77777777" w:rsidTr="00190BA4">
        <w:trPr>
          <w:trHeight w:val="31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39B9DA83"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Galați</w:t>
            </w:r>
          </w:p>
        </w:tc>
        <w:tc>
          <w:tcPr>
            <w:tcW w:w="391" w:type="pct"/>
            <w:tcBorders>
              <w:top w:val="nil"/>
              <w:left w:val="single" w:sz="4" w:space="0" w:color="auto"/>
            </w:tcBorders>
            <w:shd w:val="clear" w:color="000000" w:fill="D1AE48"/>
            <w:vAlign w:val="center"/>
            <w:hideMark/>
          </w:tcPr>
          <w:p w14:paraId="2A00A66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5.00</w:t>
            </w:r>
          </w:p>
        </w:tc>
        <w:tc>
          <w:tcPr>
            <w:tcW w:w="391" w:type="pct"/>
            <w:tcBorders>
              <w:top w:val="nil"/>
            </w:tcBorders>
            <w:shd w:val="clear" w:color="000000" w:fill="E0CA8A"/>
            <w:vAlign w:val="center"/>
            <w:hideMark/>
          </w:tcPr>
          <w:p w14:paraId="75FBF2C9"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3.70</w:t>
            </w:r>
          </w:p>
        </w:tc>
        <w:tc>
          <w:tcPr>
            <w:tcW w:w="391" w:type="pct"/>
            <w:tcBorders>
              <w:top w:val="nil"/>
            </w:tcBorders>
            <w:shd w:val="clear" w:color="000000" w:fill="D9BD6C"/>
            <w:vAlign w:val="center"/>
            <w:hideMark/>
          </w:tcPr>
          <w:p w14:paraId="5D9E0C8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4.30</w:t>
            </w:r>
          </w:p>
        </w:tc>
        <w:tc>
          <w:tcPr>
            <w:tcW w:w="391" w:type="pct"/>
            <w:tcBorders>
              <w:top w:val="nil"/>
            </w:tcBorders>
            <w:shd w:val="clear" w:color="000000" w:fill="D7B961"/>
            <w:vAlign w:val="center"/>
            <w:hideMark/>
          </w:tcPr>
          <w:p w14:paraId="13531BC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4.50</w:t>
            </w:r>
          </w:p>
        </w:tc>
        <w:tc>
          <w:tcPr>
            <w:tcW w:w="391" w:type="pct"/>
            <w:tcBorders>
              <w:top w:val="nil"/>
            </w:tcBorders>
            <w:shd w:val="clear" w:color="000000" w:fill="D5B75C"/>
            <w:vAlign w:val="center"/>
            <w:hideMark/>
          </w:tcPr>
          <w:p w14:paraId="765CF2A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nil"/>
            </w:tcBorders>
            <w:shd w:val="clear" w:color="000000" w:fill="D9BD6C"/>
            <w:vAlign w:val="center"/>
            <w:hideMark/>
          </w:tcPr>
          <w:p w14:paraId="66D7248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4.30</w:t>
            </w:r>
          </w:p>
        </w:tc>
        <w:tc>
          <w:tcPr>
            <w:tcW w:w="391" w:type="pct"/>
            <w:tcBorders>
              <w:top w:val="nil"/>
            </w:tcBorders>
            <w:shd w:val="clear" w:color="000000" w:fill="D5B75C"/>
            <w:vAlign w:val="center"/>
            <w:hideMark/>
          </w:tcPr>
          <w:p w14:paraId="66A119BF"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4.60</w:t>
            </w:r>
          </w:p>
        </w:tc>
        <w:tc>
          <w:tcPr>
            <w:tcW w:w="391" w:type="pct"/>
            <w:tcBorders>
              <w:top w:val="nil"/>
            </w:tcBorders>
            <w:shd w:val="clear" w:color="000000" w:fill="E0CA8A"/>
            <w:vAlign w:val="center"/>
            <w:hideMark/>
          </w:tcPr>
          <w:p w14:paraId="4D6591E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3.70</w:t>
            </w:r>
          </w:p>
        </w:tc>
        <w:tc>
          <w:tcPr>
            <w:tcW w:w="391" w:type="pct"/>
            <w:tcBorders>
              <w:top w:val="nil"/>
            </w:tcBorders>
            <w:shd w:val="clear" w:color="000000" w:fill="EADCB3"/>
            <w:vAlign w:val="center"/>
            <w:hideMark/>
          </w:tcPr>
          <w:p w14:paraId="4C9AF268"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2.90</w:t>
            </w:r>
          </w:p>
        </w:tc>
        <w:tc>
          <w:tcPr>
            <w:tcW w:w="391" w:type="pct"/>
            <w:tcBorders>
              <w:top w:val="nil"/>
            </w:tcBorders>
            <w:shd w:val="clear" w:color="000000" w:fill="EEE2C2"/>
            <w:vAlign w:val="center"/>
            <w:hideMark/>
          </w:tcPr>
          <w:p w14:paraId="6F524F0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2.60</w:t>
            </w:r>
          </w:p>
        </w:tc>
        <w:tc>
          <w:tcPr>
            <w:tcW w:w="389" w:type="pct"/>
            <w:tcBorders>
              <w:top w:val="nil"/>
              <w:right w:val="single" w:sz="4" w:space="0" w:color="auto"/>
            </w:tcBorders>
            <w:shd w:val="clear" w:color="000000" w:fill="E9DAAE"/>
            <w:vAlign w:val="center"/>
            <w:hideMark/>
          </w:tcPr>
          <w:p w14:paraId="43AFACAB"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3.00</w:t>
            </w:r>
          </w:p>
        </w:tc>
      </w:tr>
      <w:tr w:rsidR="005C2BED" w:rsidRPr="00491223" w14:paraId="695B350B" w14:textId="77777777" w:rsidTr="00190BA4">
        <w:trPr>
          <w:trHeight w:val="495"/>
        </w:trPr>
        <w:tc>
          <w:tcPr>
            <w:tcW w:w="701" w:type="pct"/>
            <w:tcBorders>
              <w:top w:val="nil"/>
              <w:left w:val="single" w:sz="8" w:space="0" w:color="auto"/>
              <w:bottom w:val="single" w:sz="8" w:space="0" w:color="auto"/>
              <w:right w:val="single" w:sz="4" w:space="0" w:color="auto"/>
            </w:tcBorders>
            <w:shd w:val="clear" w:color="auto" w:fill="auto"/>
            <w:vAlign w:val="center"/>
            <w:hideMark/>
          </w:tcPr>
          <w:p w14:paraId="59D4E6FC" w14:textId="77777777" w:rsidR="00F6026A" w:rsidRPr="00491223" w:rsidRDefault="00F6026A" w:rsidP="00190BA4">
            <w:pP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eastAsia="en-US"/>
              </w:rPr>
              <w:t>National average</w:t>
            </w:r>
          </w:p>
        </w:tc>
        <w:tc>
          <w:tcPr>
            <w:tcW w:w="391" w:type="pct"/>
            <w:tcBorders>
              <w:top w:val="nil"/>
              <w:left w:val="single" w:sz="4" w:space="0" w:color="auto"/>
              <w:bottom w:val="single" w:sz="4" w:space="0" w:color="auto"/>
            </w:tcBorders>
            <w:shd w:val="clear" w:color="000000" w:fill="D9BD6C"/>
            <w:vAlign w:val="center"/>
            <w:hideMark/>
          </w:tcPr>
          <w:p w14:paraId="57AE3D5E"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4.30</w:t>
            </w:r>
          </w:p>
        </w:tc>
        <w:tc>
          <w:tcPr>
            <w:tcW w:w="391" w:type="pct"/>
            <w:tcBorders>
              <w:top w:val="nil"/>
              <w:bottom w:val="single" w:sz="4" w:space="0" w:color="auto"/>
            </w:tcBorders>
            <w:shd w:val="clear" w:color="000000" w:fill="E7D5A4"/>
            <w:vAlign w:val="center"/>
            <w:hideMark/>
          </w:tcPr>
          <w:p w14:paraId="52752799"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3.20</w:t>
            </w:r>
          </w:p>
        </w:tc>
        <w:tc>
          <w:tcPr>
            <w:tcW w:w="391" w:type="pct"/>
            <w:tcBorders>
              <w:top w:val="nil"/>
              <w:bottom w:val="single" w:sz="4" w:space="0" w:color="auto"/>
            </w:tcBorders>
            <w:shd w:val="clear" w:color="000000" w:fill="E4D199"/>
            <w:vAlign w:val="center"/>
            <w:hideMark/>
          </w:tcPr>
          <w:p w14:paraId="737CFA5C"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3.40</w:t>
            </w:r>
          </w:p>
        </w:tc>
        <w:tc>
          <w:tcPr>
            <w:tcW w:w="391" w:type="pct"/>
            <w:tcBorders>
              <w:top w:val="nil"/>
              <w:bottom w:val="single" w:sz="4" w:space="0" w:color="auto"/>
            </w:tcBorders>
            <w:shd w:val="clear" w:color="000000" w:fill="E3CF94"/>
            <w:vAlign w:val="center"/>
            <w:hideMark/>
          </w:tcPr>
          <w:p w14:paraId="1C9D9D3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3.50</w:t>
            </w:r>
          </w:p>
        </w:tc>
        <w:tc>
          <w:tcPr>
            <w:tcW w:w="391" w:type="pct"/>
            <w:tcBorders>
              <w:top w:val="nil"/>
              <w:bottom w:val="single" w:sz="4" w:space="0" w:color="auto"/>
            </w:tcBorders>
            <w:shd w:val="clear" w:color="000000" w:fill="E5D39F"/>
            <w:vAlign w:val="center"/>
            <w:hideMark/>
          </w:tcPr>
          <w:p w14:paraId="65A47814"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3.30</w:t>
            </w:r>
          </w:p>
        </w:tc>
        <w:tc>
          <w:tcPr>
            <w:tcW w:w="391" w:type="pct"/>
            <w:tcBorders>
              <w:top w:val="nil"/>
              <w:bottom w:val="single" w:sz="4" w:space="0" w:color="auto"/>
            </w:tcBorders>
            <w:shd w:val="clear" w:color="000000" w:fill="E8D7A9"/>
            <w:vAlign w:val="center"/>
            <w:hideMark/>
          </w:tcPr>
          <w:p w14:paraId="719F8D33"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3.10</w:t>
            </w:r>
          </w:p>
        </w:tc>
        <w:tc>
          <w:tcPr>
            <w:tcW w:w="391" w:type="pct"/>
            <w:tcBorders>
              <w:top w:val="nil"/>
              <w:bottom w:val="single" w:sz="4" w:space="0" w:color="auto"/>
            </w:tcBorders>
            <w:shd w:val="clear" w:color="000000" w:fill="EADCB3"/>
            <w:vAlign w:val="center"/>
            <w:hideMark/>
          </w:tcPr>
          <w:p w14:paraId="10F8D9FD"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2.90</w:t>
            </w:r>
          </w:p>
        </w:tc>
        <w:tc>
          <w:tcPr>
            <w:tcW w:w="391" w:type="pct"/>
            <w:tcBorders>
              <w:top w:val="nil"/>
              <w:bottom w:val="single" w:sz="4" w:space="0" w:color="auto"/>
            </w:tcBorders>
            <w:shd w:val="clear" w:color="000000" w:fill="EFE5C7"/>
            <w:vAlign w:val="center"/>
            <w:hideMark/>
          </w:tcPr>
          <w:p w14:paraId="35CF6726"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2.50</w:t>
            </w:r>
          </w:p>
        </w:tc>
        <w:tc>
          <w:tcPr>
            <w:tcW w:w="391" w:type="pct"/>
            <w:tcBorders>
              <w:top w:val="nil"/>
              <w:bottom w:val="single" w:sz="4" w:space="0" w:color="auto"/>
            </w:tcBorders>
            <w:shd w:val="clear" w:color="000000" w:fill="F4EDDC"/>
            <w:vAlign w:val="center"/>
            <w:hideMark/>
          </w:tcPr>
          <w:p w14:paraId="70B4E508"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2.10</w:t>
            </w:r>
          </w:p>
        </w:tc>
        <w:tc>
          <w:tcPr>
            <w:tcW w:w="391" w:type="pct"/>
            <w:tcBorders>
              <w:top w:val="nil"/>
              <w:bottom w:val="single" w:sz="4" w:space="0" w:color="auto"/>
            </w:tcBorders>
            <w:shd w:val="clear" w:color="000000" w:fill="F8F4EB"/>
            <w:vAlign w:val="center"/>
            <w:hideMark/>
          </w:tcPr>
          <w:p w14:paraId="66C36801"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1.80</w:t>
            </w:r>
          </w:p>
        </w:tc>
        <w:tc>
          <w:tcPr>
            <w:tcW w:w="389" w:type="pct"/>
            <w:tcBorders>
              <w:top w:val="nil"/>
              <w:bottom w:val="single" w:sz="4" w:space="0" w:color="auto"/>
              <w:right w:val="single" w:sz="4" w:space="0" w:color="auto"/>
            </w:tcBorders>
            <w:shd w:val="clear" w:color="000000" w:fill="F4EDDC"/>
            <w:vAlign w:val="center"/>
            <w:hideMark/>
          </w:tcPr>
          <w:p w14:paraId="7179D131" w14:textId="77777777" w:rsidR="00F6026A" w:rsidRPr="00491223" w:rsidRDefault="00F6026A" w:rsidP="00190BA4">
            <w:pPr>
              <w:jc w:val="center"/>
              <w:rPr>
                <w:rFonts w:ascii="Arial" w:eastAsia="Times New Roman" w:hAnsi="Arial" w:cs="Arial"/>
                <w:color w:val="000000"/>
                <w:sz w:val="18"/>
                <w:szCs w:val="18"/>
                <w:lang w:val="en-US" w:eastAsia="en-US"/>
              </w:rPr>
            </w:pPr>
            <w:r w:rsidRPr="00491223">
              <w:rPr>
                <w:rFonts w:ascii="Arial" w:eastAsia="Times New Roman" w:hAnsi="Arial" w:cs="Arial"/>
                <w:color w:val="000000"/>
                <w:sz w:val="18"/>
                <w:szCs w:val="18"/>
                <w:lang w:val="en-US" w:eastAsia="en-US"/>
              </w:rPr>
              <w:t>2.10</w:t>
            </w:r>
          </w:p>
        </w:tc>
      </w:tr>
    </w:tbl>
    <w:p w14:paraId="6B0EC4BB"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t>Source: NIS data</w:t>
      </w:r>
    </w:p>
    <w:p w14:paraId="309E1CB1" w14:textId="29375647" w:rsidR="00F6026A" w:rsidRPr="00FF1CDD" w:rsidRDefault="00F6026A" w:rsidP="00F6026A">
      <w:pPr>
        <w:spacing w:before="120"/>
        <w:jc w:val="both"/>
        <w:rPr>
          <w:rFonts w:ascii="Arial" w:hAnsi="Arial" w:cs="Arial"/>
          <w:sz w:val="20"/>
          <w:szCs w:val="20"/>
          <w:lang w:eastAsia="en-US"/>
        </w:rPr>
      </w:pPr>
      <w:r w:rsidRPr="00FF1CDD">
        <w:rPr>
          <w:rFonts w:ascii="Arial" w:hAnsi="Arial" w:cs="Arial"/>
          <w:sz w:val="20"/>
          <w:szCs w:val="20"/>
          <w:lang w:eastAsia="en-US"/>
        </w:rPr>
        <w:t xml:space="preserve">As </w:t>
      </w:r>
      <w:r>
        <w:rPr>
          <w:rFonts w:ascii="Arial" w:hAnsi="Arial" w:cs="Arial"/>
          <w:sz w:val="20"/>
          <w:szCs w:val="20"/>
          <w:lang w:eastAsia="en-US"/>
        </w:rPr>
        <w:t xml:space="preserve">Tables </w:t>
      </w:r>
      <w:r w:rsidR="001C68D2">
        <w:rPr>
          <w:rFonts w:ascii="Arial" w:hAnsi="Arial" w:cs="Arial"/>
          <w:sz w:val="20"/>
          <w:szCs w:val="20"/>
          <w:lang w:eastAsia="en-US"/>
        </w:rPr>
        <w:t>7</w:t>
      </w:r>
      <w:r>
        <w:rPr>
          <w:rFonts w:ascii="Arial" w:hAnsi="Arial" w:cs="Arial"/>
          <w:sz w:val="20"/>
          <w:szCs w:val="20"/>
          <w:lang w:eastAsia="en-US"/>
        </w:rPr>
        <w:t xml:space="preserve">and </w:t>
      </w:r>
      <w:r w:rsidR="001C68D2">
        <w:rPr>
          <w:rFonts w:ascii="Arial" w:hAnsi="Arial" w:cs="Arial"/>
          <w:sz w:val="20"/>
          <w:szCs w:val="20"/>
          <w:lang w:eastAsia="en-US"/>
        </w:rPr>
        <w:t>8</w:t>
      </w:r>
      <w:r>
        <w:rPr>
          <w:rFonts w:ascii="Arial" w:hAnsi="Arial" w:cs="Arial"/>
          <w:sz w:val="20"/>
          <w:szCs w:val="20"/>
          <w:lang w:eastAsia="en-US"/>
        </w:rPr>
        <w:t xml:space="preserve"> </w:t>
      </w:r>
      <w:r w:rsidRPr="00FF1CDD">
        <w:rPr>
          <w:rFonts w:ascii="Arial" w:hAnsi="Arial" w:cs="Arial"/>
          <w:sz w:val="20"/>
          <w:szCs w:val="20"/>
          <w:lang w:eastAsia="en-US"/>
        </w:rPr>
        <w:t xml:space="preserve">indicate, working poverty </w:t>
      </w:r>
      <w:r>
        <w:rPr>
          <w:rFonts w:ascii="Arial" w:hAnsi="Arial" w:cs="Arial"/>
          <w:sz w:val="20"/>
          <w:szCs w:val="20"/>
          <w:lang w:eastAsia="en-US"/>
        </w:rPr>
        <w:t>is</w:t>
      </w:r>
      <w:r w:rsidRPr="00FF1CDD">
        <w:rPr>
          <w:rFonts w:ascii="Arial" w:hAnsi="Arial" w:cs="Arial"/>
          <w:sz w:val="20"/>
          <w:szCs w:val="20"/>
          <w:lang w:eastAsia="en-US"/>
        </w:rPr>
        <w:t xml:space="preserve"> </w:t>
      </w:r>
      <w:r>
        <w:rPr>
          <w:rFonts w:ascii="Arial" w:hAnsi="Arial" w:cs="Arial"/>
          <w:sz w:val="20"/>
          <w:szCs w:val="20"/>
          <w:lang w:eastAsia="en-US"/>
        </w:rPr>
        <w:t>persistant in</w:t>
      </w:r>
      <w:r w:rsidRPr="00FF1CDD">
        <w:rPr>
          <w:rFonts w:ascii="Arial" w:hAnsi="Arial" w:cs="Arial"/>
          <w:sz w:val="20"/>
          <w:szCs w:val="20"/>
          <w:lang w:eastAsia="en-US"/>
        </w:rPr>
        <w:t xml:space="preserve"> the affected regions. Hunedoara, the county with the lowest average salary (</w:t>
      </w:r>
      <w:r>
        <w:rPr>
          <w:rFonts w:ascii="Arial" w:hAnsi="Arial" w:cs="Arial"/>
          <w:sz w:val="20"/>
          <w:szCs w:val="20"/>
          <w:lang w:eastAsia="en-US"/>
        </w:rPr>
        <w:t>more than</w:t>
      </w:r>
      <w:r w:rsidRPr="00FF1CDD">
        <w:rPr>
          <w:rFonts w:ascii="Arial" w:hAnsi="Arial" w:cs="Arial"/>
          <w:sz w:val="20"/>
          <w:szCs w:val="20"/>
          <w:lang w:eastAsia="en-US"/>
        </w:rPr>
        <w:t xml:space="preserve"> 10% </w:t>
      </w:r>
      <w:r>
        <w:rPr>
          <w:rFonts w:ascii="Arial" w:hAnsi="Arial" w:cs="Arial"/>
          <w:sz w:val="20"/>
          <w:szCs w:val="20"/>
          <w:lang w:eastAsia="en-US"/>
        </w:rPr>
        <w:t>below</w:t>
      </w:r>
      <w:r w:rsidRPr="00FF1CDD">
        <w:rPr>
          <w:rFonts w:ascii="Arial" w:hAnsi="Arial" w:cs="Arial"/>
          <w:sz w:val="20"/>
          <w:szCs w:val="20"/>
          <w:lang w:eastAsia="en-US"/>
        </w:rPr>
        <w:t xml:space="preserve"> the national average) also has one of the lowest unemployment rates </w:t>
      </w:r>
      <w:r>
        <w:rPr>
          <w:rFonts w:ascii="Arial" w:hAnsi="Arial" w:cs="Arial"/>
          <w:sz w:val="20"/>
          <w:szCs w:val="20"/>
          <w:lang w:eastAsia="en-US"/>
        </w:rPr>
        <w:t>in</w:t>
      </w:r>
      <w:r w:rsidRPr="00FF1CDD">
        <w:rPr>
          <w:rFonts w:ascii="Arial" w:hAnsi="Arial" w:cs="Arial"/>
          <w:sz w:val="20"/>
          <w:szCs w:val="20"/>
          <w:lang w:eastAsia="en-US"/>
        </w:rPr>
        <w:t xml:space="preserve"> the six affected regions (2% </w:t>
      </w:r>
      <w:r>
        <w:rPr>
          <w:rFonts w:ascii="Arial" w:hAnsi="Arial" w:cs="Arial"/>
          <w:sz w:val="20"/>
          <w:szCs w:val="20"/>
          <w:lang w:eastAsia="en-US"/>
        </w:rPr>
        <w:t>in</w:t>
      </w:r>
      <w:r w:rsidRPr="00FF1CDD">
        <w:rPr>
          <w:rFonts w:ascii="Arial" w:hAnsi="Arial" w:cs="Arial"/>
          <w:sz w:val="20"/>
          <w:szCs w:val="20"/>
          <w:lang w:eastAsia="en-US"/>
        </w:rPr>
        <w:t xml:space="preserve"> 2020),</w:t>
      </w:r>
      <w:r>
        <w:rPr>
          <w:rFonts w:ascii="Arial" w:hAnsi="Arial" w:cs="Arial"/>
          <w:sz w:val="20"/>
          <w:szCs w:val="20"/>
          <w:lang w:eastAsia="en-US"/>
        </w:rPr>
        <w:t xml:space="preserve"> which is</w:t>
      </w:r>
      <w:r w:rsidRPr="00FF1CDD">
        <w:rPr>
          <w:rFonts w:ascii="Arial" w:hAnsi="Arial" w:cs="Arial"/>
          <w:sz w:val="20"/>
          <w:szCs w:val="20"/>
          <w:lang w:eastAsia="en-US"/>
        </w:rPr>
        <w:t xml:space="preserve"> even lower than the national average and closer to </w:t>
      </w:r>
      <w:r>
        <w:rPr>
          <w:rFonts w:ascii="Arial" w:hAnsi="Arial" w:cs="Arial"/>
          <w:sz w:val="20"/>
          <w:szCs w:val="20"/>
          <w:lang w:eastAsia="en-US"/>
        </w:rPr>
        <w:t>the</w:t>
      </w:r>
      <w:r w:rsidRPr="00FF1CDD">
        <w:rPr>
          <w:rFonts w:ascii="Arial" w:hAnsi="Arial" w:cs="Arial"/>
          <w:sz w:val="20"/>
          <w:szCs w:val="20"/>
          <w:lang w:eastAsia="en-US"/>
        </w:rPr>
        <w:t xml:space="preserve"> more economically dynamic and attractive affected regions like Mures and Prahova. In other words, workers in Hunedoara live in relative precarity </w:t>
      </w:r>
      <w:r>
        <w:rPr>
          <w:rFonts w:ascii="Arial" w:hAnsi="Arial" w:cs="Arial"/>
          <w:sz w:val="20"/>
          <w:szCs w:val="20"/>
          <w:lang w:eastAsia="en-US"/>
        </w:rPr>
        <w:t xml:space="preserve">compared </w:t>
      </w:r>
      <w:r w:rsidRPr="00FF1CDD">
        <w:rPr>
          <w:rFonts w:ascii="Arial" w:hAnsi="Arial" w:cs="Arial"/>
          <w:sz w:val="20"/>
          <w:szCs w:val="20"/>
          <w:lang w:eastAsia="en-US"/>
        </w:rPr>
        <w:t xml:space="preserve">to their peers in other regions. The graphs also </w:t>
      </w:r>
      <w:r>
        <w:rPr>
          <w:rFonts w:ascii="Arial" w:hAnsi="Arial" w:cs="Arial"/>
          <w:sz w:val="20"/>
          <w:szCs w:val="20"/>
          <w:lang w:eastAsia="en-US"/>
        </w:rPr>
        <w:t>indicate that</w:t>
      </w:r>
      <w:r w:rsidRPr="00FF1CDD">
        <w:rPr>
          <w:rFonts w:ascii="Arial" w:hAnsi="Arial" w:cs="Arial"/>
          <w:sz w:val="20"/>
          <w:szCs w:val="20"/>
          <w:lang w:eastAsia="en-US"/>
        </w:rPr>
        <w:t xml:space="preserve"> long-term unemployment </w:t>
      </w:r>
      <w:r>
        <w:rPr>
          <w:rFonts w:ascii="Arial" w:hAnsi="Arial" w:cs="Arial"/>
          <w:sz w:val="20"/>
          <w:szCs w:val="20"/>
          <w:lang w:eastAsia="en-US"/>
        </w:rPr>
        <w:t xml:space="preserve">is persistent </w:t>
      </w:r>
      <w:r w:rsidRPr="00FF1CDD">
        <w:rPr>
          <w:rFonts w:ascii="Arial" w:hAnsi="Arial" w:cs="Arial"/>
          <w:sz w:val="20"/>
          <w:szCs w:val="20"/>
          <w:lang w:eastAsia="en-US"/>
        </w:rPr>
        <w:t>in Dolj</w:t>
      </w:r>
      <w:r>
        <w:rPr>
          <w:rFonts w:ascii="Arial" w:hAnsi="Arial" w:cs="Arial"/>
          <w:sz w:val="20"/>
          <w:szCs w:val="20"/>
          <w:lang w:eastAsia="en-US"/>
        </w:rPr>
        <w:t>.</w:t>
      </w:r>
      <w:r w:rsidRPr="00FF1CDD">
        <w:rPr>
          <w:rFonts w:ascii="Arial" w:hAnsi="Arial" w:cs="Arial"/>
          <w:sz w:val="20"/>
          <w:szCs w:val="20"/>
          <w:lang w:eastAsia="en-US"/>
        </w:rPr>
        <w:t xml:space="preserve"> </w:t>
      </w:r>
      <w:r>
        <w:rPr>
          <w:rFonts w:ascii="Arial" w:hAnsi="Arial" w:cs="Arial"/>
          <w:sz w:val="20"/>
          <w:szCs w:val="20"/>
          <w:lang w:eastAsia="en-US"/>
        </w:rPr>
        <w:t>D</w:t>
      </w:r>
      <w:r w:rsidRPr="00FF1CDD">
        <w:rPr>
          <w:rFonts w:ascii="Arial" w:hAnsi="Arial" w:cs="Arial"/>
          <w:sz w:val="20"/>
          <w:szCs w:val="20"/>
          <w:lang w:eastAsia="en-US"/>
        </w:rPr>
        <w:t xml:space="preserve">espite the average salary </w:t>
      </w:r>
      <w:r>
        <w:rPr>
          <w:rFonts w:ascii="Arial" w:hAnsi="Arial" w:cs="Arial"/>
          <w:sz w:val="20"/>
          <w:szCs w:val="20"/>
          <w:lang w:eastAsia="en-US"/>
        </w:rPr>
        <w:t>being</w:t>
      </w:r>
      <w:r w:rsidRPr="00FF1CDD">
        <w:rPr>
          <w:rFonts w:ascii="Arial" w:hAnsi="Arial" w:cs="Arial"/>
          <w:sz w:val="20"/>
          <w:szCs w:val="20"/>
          <w:lang w:eastAsia="en-US"/>
        </w:rPr>
        <w:t xml:space="preserve"> close</w:t>
      </w:r>
      <w:r>
        <w:rPr>
          <w:rFonts w:ascii="Arial" w:hAnsi="Arial" w:cs="Arial"/>
          <w:sz w:val="20"/>
          <w:szCs w:val="20"/>
          <w:lang w:eastAsia="en-US"/>
        </w:rPr>
        <w:t>r</w:t>
      </w:r>
      <w:r w:rsidRPr="00FF1CDD">
        <w:rPr>
          <w:rFonts w:ascii="Arial" w:hAnsi="Arial" w:cs="Arial"/>
          <w:sz w:val="20"/>
          <w:szCs w:val="20"/>
          <w:lang w:eastAsia="en-US"/>
        </w:rPr>
        <w:t xml:space="preserve"> to the average salary in the more affected regions of Prahova and Mures, unemployment </w:t>
      </w:r>
      <w:r>
        <w:rPr>
          <w:rFonts w:ascii="Arial" w:hAnsi="Arial" w:cs="Arial"/>
          <w:sz w:val="20"/>
          <w:szCs w:val="20"/>
          <w:lang w:eastAsia="en-US"/>
        </w:rPr>
        <w:t xml:space="preserve">in Dolj </w:t>
      </w:r>
      <w:r w:rsidRPr="00FF1CDD">
        <w:rPr>
          <w:rFonts w:ascii="Arial" w:hAnsi="Arial" w:cs="Arial"/>
          <w:sz w:val="20"/>
          <w:szCs w:val="20"/>
          <w:lang w:eastAsia="en-US"/>
        </w:rPr>
        <w:t xml:space="preserve">is </w:t>
      </w:r>
      <w:r>
        <w:rPr>
          <w:rFonts w:ascii="Arial" w:hAnsi="Arial" w:cs="Arial"/>
          <w:sz w:val="20"/>
          <w:szCs w:val="20"/>
          <w:lang w:eastAsia="en-US"/>
        </w:rPr>
        <w:t>more than</w:t>
      </w:r>
      <w:r w:rsidRPr="00FF1CDD">
        <w:rPr>
          <w:rFonts w:ascii="Arial" w:hAnsi="Arial" w:cs="Arial"/>
          <w:sz w:val="20"/>
          <w:szCs w:val="20"/>
          <w:lang w:eastAsia="en-US"/>
        </w:rPr>
        <w:t xml:space="preserve"> two times higher than the national average. These patterns also </w:t>
      </w:r>
      <w:r>
        <w:rPr>
          <w:rFonts w:ascii="Arial" w:hAnsi="Arial" w:cs="Arial"/>
          <w:sz w:val="20"/>
          <w:szCs w:val="20"/>
          <w:lang w:eastAsia="en-US"/>
        </w:rPr>
        <w:t>hint at</w:t>
      </w:r>
      <w:r w:rsidRPr="00FF1CDD">
        <w:rPr>
          <w:rFonts w:ascii="Arial" w:hAnsi="Arial" w:cs="Arial"/>
          <w:sz w:val="20"/>
          <w:szCs w:val="20"/>
          <w:lang w:eastAsia="en-US"/>
        </w:rPr>
        <w:t xml:space="preserve"> </w:t>
      </w:r>
      <w:r>
        <w:rPr>
          <w:rFonts w:ascii="Arial" w:hAnsi="Arial" w:cs="Arial"/>
          <w:sz w:val="20"/>
          <w:szCs w:val="20"/>
          <w:lang w:eastAsia="en-US"/>
        </w:rPr>
        <w:t xml:space="preserve">mitigation </w:t>
      </w:r>
      <w:r w:rsidRPr="00FF1CDD">
        <w:rPr>
          <w:rFonts w:ascii="Arial" w:hAnsi="Arial" w:cs="Arial"/>
          <w:sz w:val="20"/>
          <w:szCs w:val="20"/>
          <w:lang w:eastAsia="en-US"/>
        </w:rPr>
        <w:t>prioriti</w:t>
      </w:r>
      <w:r>
        <w:rPr>
          <w:rFonts w:ascii="Arial" w:hAnsi="Arial" w:cs="Arial"/>
          <w:sz w:val="20"/>
          <w:szCs w:val="20"/>
          <w:lang w:eastAsia="en-US"/>
        </w:rPr>
        <w:t>es</w:t>
      </w:r>
      <w:r w:rsidRPr="00FF1CDD">
        <w:rPr>
          <w:rFonts w:ascii="Arial" w:hAnsi="Arial" w:cs="Arial"/>
          <w:sz w:val="20"/>
          <w:szCs w:val="20"/>
          <w:lang w:eastAsia="en-US"/>
        </w:rPr>
        <w:t xml:space="preserve"> in Hunedoara and Dolj. In Hunedoara</w:t>
      </w:r>
      <w:r>
        <w:rPr>
          <w:rFonts w:ascii="Arial" w:hAnsi="Arial" w:cs="Arial"/>
          <w:sz w:val="20"/>
          <w:szCs w:val="20"/>
          <w:lang w:eastAsia="en-US"/>
        </w:rPr>
        <w:t>,</w:t>
      </w:r>
      <w:r w:rsidRPr="00FF1CDD">
        <w:rPr>
          <w:rFonts w:ascii="Arial" w:hAnsi="Arial" w:cs="Arial"/>
          <w:sz w:val="20"/>
          <w:szCs w:val="20"/>
          <w:lang w:eastAsia="en-US"/>
        </w:rPr>
        <w:t xml:space="preserve"> support for business competitiveness </w:t>
      </w:r>
      <w:r w:rsidRPr="00FF1CDD">
        <w:rPr>
          <w:rFonts w:ascii="Arial" w:hAnsi="Arial" w:cs="Arial"/>
          <w:sz w:val="20"/>
          <w:szCs w:val="20"/>
          <w:lang w:eastAsia="en-US"/>
        </w:rPr>
        <w:lastRenderedPageBreak/>
        <w:t>and scale-up is necessary (as this would arguably bring about higher wages to existing workers)</w:t>
      </w:r>
      <w:r>
        <w:rPr>
          <w:rFonts w:ascii="Arial" w:hAnsi="Arial" w:cs="Arial"/>
          <w:sz w:val="20"/>
          <w:szCs w:val="20"/>
          <w:lang w:eastAsia="en-US"/>
        </w:rPr>
        <w:t>.</w:t>
      </w:r>
      <w:r w:rsidRPr="00FF1CDD">
        <w:rPr>
          <w:rFonts w:ascii="Arial" w:hAnsi="Arial" w:cs="Arial"/>
          <w:sz w:val="20"/>
          <w:szCs w:val="20"/>
          <w:lang w:eastAsia="en-US"/>
        </w:rPr>
        <w:t xml:space="preserve"> </w:t>
      </w:r>
      <w:r>
        <w:rPr>
          <w:rFonts w:ascii="Arial" w:hAnsi="Arial" w:cs="Arial"/>
          <w:sz w:val="20"/>
          <w:szCs w:val="20"/>
          <w:lang w:eastAsia="en-US"/>
        </w:rPr>
        <w:t>I</w:t>
      </w:r>
      <w:r w:rsidRPr="00FF1CDD">
        <w:rPr>
          <w:rFonts w:ascii="Arial" w:hAnsi="Arial" w:cs="Arial"/>
          <w:sz w:val="20"/>
          <w:szCs w:val="20"/>
          <w:lang w:eastAsia="en-US"/>
        </w:rPr>
        <w:t>n Dolj</w:t>
      </w:r>
      <w:r>
        <w:rPr>
          <w:rFonts w:ascii="Arial" w:hAnsi="Arial" w:cs="Arial"/>
          <w:sz w:val="20"/>
          <w:szCs w:val="20"/>
          <w:lang w:eastAsia="en-US"/>
        </w:rPr>
        <w:t>,</w:t>
      </w:r>
      <w:r w:rsidRPr="00FF1CDD">
        <w:rPr>
          <w:rFonts w:ascii="Arial" w:hAnsi="Arial" w:cs="Arial"/>
          <w:sz w:val="20"/>
          <w:szCs w:val="20"/>
          <w:lang w:eastAsia="en-US"/>
        </w:rPr>
        <w:t xml:space="preserve"> emphasis should be on </w:t>
      </w:r>
      <w:r>
        <w:rPr>
          <w:rFonts w:ascii="Arial" w:hAnsi="Arial" w:cs="Arial"/>
          <w:sz w:val="20"/>
          <w:szCs w:val="20"/>
          <w:lang w:eastAsia="en-US"/>
        </w:rPr>
        <w:t>up</w:t>
      </w:r>
      <w:r w:rsidRPr="00FF1CDD">
        <w:rPr>
          <w:rFonts w:ascii="Arial" w:hAnsi="Arial" w:cs="Arial"/>
          <w:sz w:val="20"/>
          <w:szCs w:val="20"/>
          <w:lang w:eastAsia="en-US"/>
        </w:rPr>
        <w:t>skilling and higher innovation in regional public employment services.</w:t>
      </w:r>
    </w:p>
    <w:p w14:paraId="3CBF755D" w14:textId="77777777" w:rsidR="00F6026A" w:rsidRPr="003516DC" w:rsidRDefault="00F6026A" w:rsidP="00F6026A">
      <w:pPr>
        <w:pStyle w:val="Caption"/>
        <w:rPr>
          <w:i/>
          <w:iCs w:val="0"/>
          <w:sz w:val="16"/>
          <w:szCs w:val="16"/>
        </w:rPr>
      </w:pPr>
      <w:bookmarkStart w:id="57" w:name="_Toc90725930"/>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Pr>
          <w:noProof/>
        </w:rPr>
        <w:t>3</w:t>
      </w:r>
      <w:r w:rsidR="000B273D">
        <w:rPr>
          <w:noProof/>
        </w:rPr>
        <w:fldChar w:fldCharType="end"/>
      </w:r>
      <w:r w:rsidRPr="003516DC">
        <w:t>: Active population at county level in 2010</w:t>
      </w:r>
      <w:bookmarkEnd w:id="57"/>
    </w:p>
    <w:p w14:paraId="18063A11" w14:textId="77777777" w:rsidR="00F6026A" w:rsidRPr="003516DC" w:rsidRDefault="00F6026A" w:rsidP="00F6026A">
      <w:pPr>
        <w:jc w:val="center"/>
        <w:rPr>
          <w:rFonts w:ascii="Arial" w:hAnsi="Arial" w:cs="Arial"/>
          <w:i/>
          <w:iCs/>
          <w:color w:val="0070C0"/>
          <w:sz w:val="20"/>
          <w:szCs w:val="20"/>
        </w:rPr>
      </w:pPr>
      <w:r w:rsidRPr="008764B4">
        <w:rPr>
          <w:rFonts w:ascii="Arial" w:hAnsi="Arial" w:cs="Arial"/>
          <w:i/>
          <w:iCs/>
          <w:noProof/>
          <w:color w:val="0070C0"/>
          <w:sz w:val="20"/>
          <w:szCs w:val="20"/>
          <w:lang w:val="en-US" w:eastAsia="en-US"/>
        </w:rPr>
        <w:drawing>
          <wp:inline distT="0" distB="0" distL="0" distR="0" wp14:anchorId="4E4CB648" wp14:editId="6FF9CDFC">
            <wp:extent cx="5029200" cy="3383280"/>
            <wp:effectExtent l="0" t="0" r="0" b="7620"/>
            <wp:docPr id="43" name="Picture 43"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Picture 43" descr="Map&#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029200" cy="3383280"/>
                    </a:xfrm>
                    <a:prstGeom prst="rect">
                      <a:avLst/>
                    </a:prstGeom>
                  </pic:spPr>
                </pic:pic>
              </a:graphicData>
            </a:graphic>
          </wp:inline>
        </w:drawing>
      </w:r>
    </w:p>
    <w:p w14:paraId="41EE6A61" w14:textId="77777777" w:rsidR="00F6026A" w:rsidRPr="003516DC" w:rsidRDefault="00F6026A" w:rsidP="00F6026A">
      <w:pPr>
        <w:pStyle w:val="Caption"/>
      </w:pPr>
      <w:bookmarkStart w:id="58" w:name="_Toc90725931"/>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Pr>
          <w:noProof/>
        </w:rPr>
        <w:t>4</w:t>
      </w:r>
      <w:r w:rsidR="000B273D">
        <w:rPr>
          <w:noProof/>
        </w:rPr>
        <w:fldChar w:fldCharType="end"/>
      </w:r>
      <w:r w:rsidRPr="003516DC">
        <w:t>: Active population at county level in 2019</w:t>
      </w:r>
      <w:bookmarkEnd w:id="58"/>
    </w:p>
    <w:p w14:paraId="7273DAA9" w14:textId="77777777" w:rsidR="00F6026A" w:rsidRPr="003516DC" w:rsidRDefault="00F6026A" w:rsidP="00F6026A">
      <w:pPr>
        <w:jc w:val="center"/>
        <w:rPr>
          <w:rFonts w:ascii="Arial" w:hAnsi="Arial" w:cs="Arial"/>
          <w:lang w:eastAsia="en-US"/>
        </w:rPr>
      </w:pPr>
      <w:r w:rsidRPr="008764B4">
        <w:rPr>
          <w:rFonts w:ascii="Arial" w:hAnsi="Arial" w:cs="Arial"/>
          <w:noProof/>
          <w:lang w:val="en-US" w:eastAsia="en-US"/>
        </w:rPr>
        <w:drawing>
          <wp:inline distT="0" distB="0" distL="0" distR="0" wp14:anchorId="5D60279E" wp14:editId="4CDCC7F7">
            <wp:extent cx="5029200" cy="3383280"/>
            <wp:effectExtent l="0" t="0" r="0" b="7620"/>
            <wp:docPr id="44" name="Picture 44"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44" descr="Map&#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029200" cy="3383280"/>
                    </a:xfrm>
                    <a:prstGeom prst="rect">
                      <a:avLst/>
                    </a:prstGeom>
                  </pic:spPr>
                </pic:pic>
              </a:graphicData>
            </a:graphic>
          </wp:inline>
        </w:drawing>
      </w:r>
    </w:p>
    <w:p w14:paraId="619873E9" w14:textId="77777777" w:rsidR="00F6026A" w:rsidRPr="003516DC" w:rsidRDefault="00F6026A" w:rsidP="00F6026A">
      <w:pPr>
        <w:pStyle w:val="Caption"/>
      </w:pPr>
      <w:bookmarkStart w:id="59" w:name="_Toc90725932"/>
      <w:r w:rsidRPr="003516DC">
        <w:lastRenderedPageBreak/>
        <w:t xml:space="preserve">Figure </w:t>
      </w:r>
      <w:r w:rsidR="000B273D">
        <w:rPr>
          <w:noProof/>
        </w:rPr>
        <w:fldChar w:fldCharType="begin"/>
      </w:r>
      <w:r w:rsidR="000B273D">
        <w:rPr>
          <w:noProof/>
        </w:rPr>
        <w:instrText xml:space="preserve"> SEQ Figure \* ARABIC </w:instrText>
      </w:r>
      <w:r w:rsidR="000B273D">
        <w:rPr>
          <w:noProof/>
        </w:rPr>
        <w:fldChar w:fldCharType="separate"/>
      </w:r>
      <w:r>
        <w:rPr>
          <w:noProof/>
        </w:rPr>
        <w:t>5</w:t>
      </w:r>
      <w:r w:rsidR="000B273D">
        <w:rPr>
          <w:noProof/>
        </w:rPr>
        <w:fldChar w:fldCharType="end"/>
      </w:r>
      <w:r w:rsidRPr="003516DC">
        <w:t>: Evolution of active population at county level from 2010 to 2019</w:t>
      </w:r>
      <w:bookmarkEnd w:id="59"/>
    </w:p>
    <w:p w14:paraId="30A3AEDA" w14:textId="77777777" w:rsidR="00F6026A" w:rsidRPr="006C46E5" w:rsidRDefault="00F6026A" w:rsidP="00F6026A">
      <w:pPr>
        <w:spacing w:after="120"/>
        <w:jc w:val="center"/>
        <w:rPr>
          <w:rFonts w:ascii="Arial" w:hAnsi="Arial" w:cs="Arial"/>
          <w:lang w:eastAsia="en-US"/>
        </w:rPr>
      </w:pPr>
      <w:r w:rsidRPr="008764B4">
        <w:rPr>
          <w:rFonts w:ascii="Arial" w:hAnsi="Arial" w:cs="Arial"/>
          <w:noProof/>
          <w:lang w:val="en-US" w:eastAsia="en-US"/>
        </w:rPr>
        <w:drawing>
          <wp:inline distT="0" distB="0" distL="0" distR="0" wp14:anchorId="4CF03A54" wp14:editId="36FA7C10">
            <wp:extent cx="5029200" cy="3383280"/>
            <wp:effectExtent l="0" t="0" r="0" b="7620"/>
            <wp:docPr id="47" name="Picture 47"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Picture 47" descr="Map&#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029200" cy="3383280"/>
                    </a:xfrm>
                    <a:prstGeom prst="rect">
                      <a:avLst/>
                    </a:prstGeom>
                  </pic:spPr>
                </pic:pic>
              </a:graphicData>
            </a:graphic>
          </wp:inline>
        </w:drawing>
      </w:r>
    </w:p>
    <w:p w14:paraId="21EAE3DC" w14:textId="77777777" w:rsidR="00F6026A" w:rsidRPr="00BD2604" w:rsidRDefault="00F6026A" w:rsidP="00BD2604">
      <w:pPr>
        <w:jc w:val="both"/>
        <w:rPr>
          <w:rFonts w:ascii="Arial" w:hAnsi="Arial" w:cs="Arial"/>
          <w:i/>
          <w:iCs/>
          <w:color w:val="0070C0"/>
          <w:sz w:val="20"/>
          <w:szCs w:val="20"/>
        </w:rPr>
      </w:pPr>
    </w:p>
    <w:p w14:paraId="18F0DFBB" w14:textId="00933DE2" w:rsidR="0023524A" w:rsidRPr="006C46E5" w:rsidRDefault="0023524A" w:rsidP="006C46E5">
      <w:pPr>
        <w:spacing w:after="120"/>
        <w:rPr>
          <w:rFonts w:ascii="Arial" w:hAnsi="Arial" w:cs="Arial"/>
          <w:i/>
          <w:iCs/>
          <w:color w:val="0070C0"/>
          <w:sz w:val="20"/>
          <w:szCs w:val="20"/>
        </w:rPr>
      </w:pPr>
      <w:r w:rsidRPr="003516DC">
        <w:rPr>
          <w:rFonts w:ascii="Arial" w:hAnsi="Arial" w:cs="Arial"/>
          <w:i/>
          <w:iCs/>
          <w:color w:val="0070C0"/>
          <w:sz w:val="20"/>
          <w:szCs w:val="20"/>
        </w:rPr>
        <w:t xml:space="preserve">Energy poverty </w:t>
      </w:r>
    </w:p>
    <w:p w14:paraId="6BC3D954" w14:textId="77777777" w:rsidR="0023524A" w:rsidRPr="003516DC" w:rsidRDefault="0023524A" w:rsidP="0023524A">
      <w:pPr>
        <w:jc w:val="both"/>
        <w:rPr>
          <w:rFonts w:ascii="Arial" w:hAnsi="Arial" w:cs="Arial"/>
          <w:sz w:val="20"/>
          <w:szCs w:val="20"/>
        </w:rPr>
      </w:pPr>
      <w:r w:rsidRPr="003516DC">
        <w:rPr>
          <w:rFonts w:ascii="Arial" w:hAnsi="Arial" w:cs="Arial"/>
          <w:sz w:val="20"/>
          <w:szCs w:val="20"/>
        </w:rPr>
        <w:t xml:space="preserve">Energy poverty is mainly associated with the unaffordability of the energy needed to perform basic household tasks and maintain a decent living standard. Beyond strict household activities, the consequences can be important in terms of social integration. Energy poverty may result in a discrepancy between income and energy expenditure, which in turn can lead to a state of financial strain. The unaffordability or unavailability of alternative fuels or cleaner technology, or simply improper energy consumption habits may result in increased indoor or outdoor emissions. Energy poverty is also multidimensional. Its association with the environment has at least three dimensions: </w:t>
      </w:r>
      <w:r w:rsidRPr="003516DC">
        <w:rPr>
          <w:rFonts w:ascii="Arial" w:hAnsi="Arial" w:cs="Arial"/>
          <w:i/>
          <w:iCs/>
          <w:sz w:val="20"/>
          <w:szCs w:val="20"/>
        </w:rPr>
        <w:t>affordability</w:t>
      </w:r>
      <w:r w:rsidRPr="003516DC">
        <w:rPr>
          <w:rFonts w:ascii="Arial" w:hAnsi="Arial" w:cs="Arial"/>
          <w:sz w:val="20"/>
          <w:szCs w:val="20"/>
        </w:rPr>
        <w:t xml:space="preserve">, which is related to the socio-economic status of the household; </w:t>
      </w:r>
      <w:r w:rsidRPr="003516DC">
        <w:rPr>
          <w:rFonts w:ascii="Arial" w:hAnsi="Arial" w:cs="Arial"/>
          <w:i/>
          <w:iCs/>
          <w:sz w:val="20"/>
          <w:szCs w:val="20"/>
        </w:rPr>
        <w:t>efficiency</w:t>
      </w:r>
      <w:r w:rsidRPr="003516DC">
        <w:rPr>
          <w:rFonts w:ascii="Arial" w:hAnsi="Arial" w:cs="Arial"/>
          <w:sz w:val="20"/>
          <w:szCs w:val="20"/>
        </w:rPr>
        <w:t xml:space="preserve">, which involves both behaviour and building quality, household equipment; </w:t>
      </w:r>
      <w:r w:rsidRPr="003516DC">
        <w:rPr>
          <w:rFonts w:ascii="Arial" w:hAnsi="Arial" w:cs="Arial"/>
          <w:i/>
          <w:iCs/>
          <w:sz w:val="20"/>
          <w:szCs w:val="20"/>
        </w:rPr>
        <w:t>availability</w:t>
      </w:r>
      <w:r w:rsidRPr="003516DC">
        <w:rPr>
          <w:rFonts w:ascii="Arial" w:hAnsi="Arial" w:cs="Arial"/>
          <w:sz w:val="20"/>
          <w:szCs w:val="20"/>
        </w:rPr>
        <w:t>, which considers the diversity of sources that the household may choose from to secure its needs at affordable costs.</w:t>
      </w:r>
    </w:p>
    <w:p w14:paraId="537567E5" w14:textId="746EB286" w:rsidR="0023524A" w:rsidRPr="003516DC" w:rsidRDefault="0023524A" w:rsidP="0023524A">
      <w:pPr>
        <w:pStyle w:val="Caption"/>
        <w:ind w:left="0" w:firstLine="0"/>
      </w:pPr>
      <w:bookmarkStart w:id="60" w:name="_Toc90725963"/>
      <w:bookmarkStart w:id="61" w:name="_Toc90727260"/>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647E42">
        <w:rPr>
          <w:noProof/>
        </w:rPr>
        <w:t>9</w:t>
      </w:r>
      <w:r w:rsidRPr="003516DC">
        <w:rPr>
          <w:noProof/>
        </w:rPr>
        <w:fldChar w:fldCharType="end"/>
      </w:r>
      <w:r w:rsidRPr="003516DC">
        <w:t>: Energy poverty indicators in Europe and their values in Romania</w:t>
      </w:r>
      <w:bookmarkEnd w:id="60"/>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770"/>
        <w:gridCol w:w="7113"/>
      </w:tblGrid>
      <w:tr w:rsidR="0023524A" w:rsidRPr="003516DC" w14:paraId="427D6019" w14:textId="77777777" w:rsidTr="00A14E66">
        <w:tc>
          <w:tcPr>
            <w:tcW w:w="586" w:type="pct"/>
            <w:shd w:val="clear" w:color="auto" w:fill="002060"/>
            <w:tcMar>
              <w:top w:w="100" w:type="dxa"/>
              <w:left w:w="100" w:type="dxa"/>
              <w:bottom w:w="100" w:type="dxa"/>
              <w:right w:w="100" w:type="dxa"/>
            </w:tcMar>
          </w:tcPr>
          <w:p w14:paraId="5A1FAA1C" w14:textId="77777777" w:rsidR="0023524A" w:rsidRPr="003516DC" w:rsidRDefault="0023524A" w:rsidP="00964831">
            <w:pPr>
              <w:widowControl w:val="0"/>
              <w:rPr>
                <w:rFonts w:ascii="Arial" w:hAnsi="Arial" w:cs="Arial"/>
                <w:b/>
                <w:bCs/>
                <w:sz w:val="20"/>
                <w:szCs w:val="20"/>
              </w:rPr>
            </w:pPr>
            <w:r w:rsidRPr="003516DC">
              <w:rPr>
                <w:rFonts w:ascii="Arial" w:hAnsi="Arial" w:cs="Arial"/>
                <w:b/>
                <w:bCs/>
                <w:sz w:val="20"/>
                <w:szCs w:val="20"/>
              </w:rPr>
              <w:t>Indicator</w:t>
            </w:r>
          </w:p>
        </w:tc>
        <w:tc>
          <w:tcPr>
            <w:tcW w:w="431" w:type="pct"/>
            <w:shd w:val="clear" w:color="auto" w:fill="002060"/>
            <w:tcMar>
              <w:top w:w="100" w:type="dxa"/>
              <w:left w:w="100" w:type="dxa"/>
              <w:bottom w:w="100" w:type="dxa"/>
              <w:right w:w="100" w:type="dxa"/>
            </w:tcMar>
          </w:tcPr>
          <w:p w14:paraId="0BCDDFEC" w14:textId="77777777" w:rsidR="0023524A" w:rsidRPr="003516DC" w:rsidRDefault="0023524A" w:rsidP="00964831">
            <w:pPr>
              <w:widowControl w:val="0"/>
              <w:rPr>
                <w:rFonts w:ascii="Arial" w:hAnsi="Arial" w:cs="Arial"/>
                <w:b/>
                <w:bCs/>
                <w:sz w:val="20"/>
                <w:szCs w:val="20"/>
              </w:rPr>
            </w:pPr>
            <w:r w:rsidRPr="003516DC">
              <w:rPr>
                <w:rFonts w:ascii="Arial" w:hAnsi="Arial" w:cs="Arial"/>
                <w:b/>
                <w:bCs/>
                <w:sz w:val="20"/>
                <w:szCs w:val="20"/>
              </w:rPr>
              <w:t>Value</w:t>
            </w:r>
          </w:p>
        </w:tc>
        <w:tc>
          <w:tcPr>
            <w:tcW w:w="3983" w:type="pct"/>
            <w:shd w:val="clear" w:color="auto" w:fill="002060"/>
            <w:tcMar>
              <w:top w:w="100" w:type="dxa"/>
              <w:left w:w="100" w:type="dxa"/>
              <w:bottom w:w="100" w:type="dxa"/>
              <w:right w:w="100" w:type="dxa"/>
            </w:tcMar>
          </w:tcPr>
          <w:p w14:paraId="74141BDA" w14:textId="77777777" w:rsidR="0023524A" w:rsidRPr="003516DC" w:rsidRDefault="0023524A" w:rsidP="00964831">
            <w:pPr>
              <w:widowControl w:val="0"/>
              <w:rPr>
                <w:rFonts w:ascii="Arial" w:hAnsi="Arial" w:cs="Arial"/>
                <w:b/>
                <w:bCs/>
                <w:sz w:val="20"/>
                <w:szCs w:val="20"/>
              </w:rPr>
            </w:pPr>
            <w:r w:rsidRPr="003516DC">
              <w:rPr>
                <w:rFonts w:ascii="Arial" w:hAnsi="Arial" w:cs="Arial"/>
                <w:b/>
                <w:bCs/>
                <w:sz w:val="20"/>
                <w:szCs w:val="20"/>
              </w:rPr>
              <w:t>What does it mean</w:t>
            </w:r>
          </w:p>
        </w:tc>
      </w:tr>
      <w:tr w:rsidR="0023524A" w:rsidRPr="003516DC" w14:paraId="5E3CFB74" w14:textId="77777777" w:rsidTr="00A14E66">
        <w:tc>
          <w:tcPr>
            <w:tcW w:w="586" w:type="pct"/>
            <w:tcMar>
              <w:top w:w="100" w:type="dxa"/>
              <w:left w:w="100" w:type="dxa"/>
              <w:bottom w:w="100" w:type="dxa"/>
              <w:right w:w="100" w:type="dxa"/>
            </w:tcMar>
          </w:tcPr>
          <w:p w14:paraId="5EDC7A1E"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2M</w:t>
            </w:r>
          </w:p>
        </w:tc>
        <w:tc>
          <w:tcPr>
            <w:tcW w:w="431" w:type="pct"/>
            <w:tcMar>
              <w:top w:w="100" w:type="dxa"/>
              <w:left w:w="100" w:type="dxa"/>
              <w:bottom w:w="100" w:type="dxa"/>
              <w:right w:w="100" w:type="dxa"/>
            </w:tcMar>
          </w:tcPr>
          <w:p w14:paraId="4B45C556"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10%</w:t>
            </w:r>
          </w:p>
        </w:tc>
        <w:tc>
          <w:tcPr>
            <w:tcW w:w="3983" w:type="pct"/>
            <w:tcMar>
              <w:top w:w="100" w:type="dxa"/>
              <w:left w:w="100" w:type="dxa"/>
              <w:bottom w:w="100" w:type="dxa"/>
              <w:right w:w="100" w:type="dxa"/>
            </w:tcMar>
          </w:tcPr>
          <w:p w14:paraId="4EB0586C"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Household spends on energy more than double the national median for energy expenses</w:t>
            </w:r>
          </w:p>
        </w:tc>
      </w:tr>
      <w:tr w:rsidR="0023524A" w:rsidRPr="003516DC" w14:paraId="1E51BB8A" w14:textId="77777777" w:rsidTr="00A14E66">
        <w:tc>
          <w:tcPr>
            <w:tcW w:w="586" w:type="pct"/>
            <w:tcMar>
              <w:top w:w="100" w:type="dxa"/>
              <w:left w:w="100" w:type="dxa"/>
              <w:bottom w:w="100" w:type="dxa"/>
              <w:right w:w="100" w:type="dxa"/>
            </w:tcMar>
          </w:tcPr>
          <w:p w14:paraId="64877146"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M/2</w:t>
            </w:r>
          </w:p>
        </w:tc>
        <w:tc>
          <w:tcPr>
            <w:tcW w:w="431" w:type="pct"/>
            <w:tcMar>
              <w:top w:w="100" w:type="dxa"/>
              <w:left w:w="100" w:type="dxa"/>
              <w:bottom w:w="100" w:type="dxa"/>
              <w:right w:w="100" w:type="dxa"/>
            </w:tcMar>
          </w:tcPr>
          <w:p w14:paraId="3B1165FE"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11,7%</w:t>
            </w:r>
          </w:p>
        </w:tc>
        <w:tc>
          <w:tcPr>
            <w:tcW w:w="3983" w:type="pct"/>
            <w:tcMar>
              <w:top w:w="100" w:type="dxa"/>
              <w:left w:w="100" w:type="dxa"/>
              <w:bottom w:w="100" w:type="dxa"/>
              <w:right w:w="100" w:type="dxa"/>
            </w:tcMar>
          </w:tcPr>
          <w:p w14:paraId="258299C4"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Household spends on energy less than half the national median for energy expenses (“hidden energy poverty”)</w:t>
            </w:r>
          </w:p>
        </w:tc>
      </w:tr>
      <w:tr w:rsidR="0023524A" w:rsidRPr="003516DC" w14:paraId="34B4268A" w14:textId="77777777" w:rsidTr="00A14E66">
        <w:tc>
          <w:tcPr>
            <w:tcW w:w="586" w:type="pct"/>
            <w:tcMar>
              <w:top w:w="100" w:type="dxa"/>
              <w:left w:w="100" w:type="dxa"/>
              <w:bottom w:w="100" w:type="dxa"/>
              <w:right w:w="100" w:type="dxa"/>
            </w:tcMar>
          </w:tcPr>
          <w:p w14:paraId="40944D9D"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LIHC</w:t>
            </w:r>
          </w:p>
        </w:tc>
        <w:tc>
          <w:tcPr>
            <w:tcW w:w="431" w:type="pct"/>
            <w:tcMar>
              <w:top w:w="100" w:type="dxa"/>
              <w:left w:w="100" w:type="dxa"/>
              <w:bottom w:w="100" w:type="dxa"/>
              <w:right w:w="100" w:type="dxa"/>
            </w:tcMar>
          </w:tcPr>
          <w:p w14:paraId="14724785"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13%</w:t>
            </w:r>
          </w:p>
        </w:tc>
        <w:tc>
          <w:tcPr>
            <w:tcW w:w="3983" w:type="pct"/>
            <w:tcMar>
              <w:top w:w="100" w:type="dxa"/>
              <w:left w:w="100" w:type="dxa"/>
              <w:bottom w:w="100" w:type="dxa"/>
              <w:right w:w="100" w:type="dxa"/>
            </w:tcMar>
          </w:tcPr>
          <w:p w14:paraId="7F2E77BA"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Household falls below the relative poverty threshold after energy expenses AND spends more than the national median for energy expenses</w:t>
            </w:r>
          </w:p>
        </w:tc>
      </w:tr>
      <w:tr w:rsidR="0023524A" w:rsidRPr="003516DC" w14:paraId="7A8DA904" w14:textId="77777777" w:rsidTr="00A14E66">
        <w:tc>
          <w:tcPr>
            <w:tcW w:w="586" w:type="pct"/>
            <w:tcMar>
              <w:top w:w="100" w:type="dxa"/>
              <w:left w:w="100" w:type="dxa"/>
              <w:bottom w:w="100" w:type="dxa"/>
              <w:right w:w="100" w:type="dxa"/>
            </w:tcMar>
          </w:tcPr>
          <w:p w14:paraId="7E373B4B"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10%</w:t>
            </w:r>
          </w:p>
        </w:tc>
        <w:tc>
          <w:tcPr>
            <w:tcW w:w="431" w:type="pct"/>
            <w:tcMar>
              <w:top w:w="100" w:type="dxa"/>
              <w:left w:w="100" w:type="dxa"/>
              <w:bottom w:w="100" w:type="dxa"/>
              <w:right w:w="100" w:type="dxa"/>
            </w:tcMar>
          </w:tcPr>
          <w:p w14:paraId="27EAB12C"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45,3%</w:t>
            </w:r>
          </w:p>
        </w:tc>
        <w:tc>
          <w:tcPr>
            <w:tcW w:w="3983" w:type="pct"/>
            <w:tcMar>
              <w:top w:w="100" w:type="dxa"/>
              <w:left w:w="100" w:type="dxa"/>
              <w:bottom w:w="100" w:type="dxa"/>
              <w:right w:w="100" w:type="dxa"/>
            </w:tcMar>
          </w:tcPr>
          <w:p w14:paraId="719BA173" w14:textId="77777777" w:rsidR="0023524A" w:rsidRPr="003516DC" w:rsidRDefault="0023524A" w:rsidP="00964831">
            <w:pPr>
              <w:widowControl w:val="0"/>
              <w:rPr>
                <w:rFonts w:ascii="Arial" w:hAnsi="Arial" w:cs="Arial"/>
                <w:sz w:val="20"/>
                <w:szCs w:val="20"/>
              </w:rPr>
            </w:pPr>
            <w:r w:rsidRPr="003516DC">
              <w:rPr>
                <w:rFonts w:ascii="Arial" w:hAnsi="Arial" w:cs="Arial"/>
                <w:sz w:val="20"/>
                <w:szCs w:val="20"/>
              </w:rPr>
              <w:t>Household spends more than 10% of its income for energy</w:t>
            </w:r>
          </w:p>
        </w:tc>
      </w:tr>
    </w:tbl>
    <w:p w14:paraId="4C67E8F7" w14:textId="2C3F1992" w:rsidR="0023524A" w:rsidRPr="003516DC" w:rsidRDefault="0023524A" w:rsidP="00A14E66">
      <w:pPr>
        <w:spacing w:before="120" w:after="120"/>
        <w:jc w:val="both"/>
        <w:rPr>
          <w:rFonts w:ascii="Arial" w:hAnsi="Arial" w:cs="Arial"/>
          <w:sz w:val="20"/>
          <w:szCs w:val="20"/>
        </w:rPr>
      </w:pPr>
      <w:r w:rsidRPr="003516DC">
        <w:rPr>
          <w:rFonts w:ascii="Arial" w:hAnsi="Arial" w:cs="Arial"/>
          <w:sz w:val="20"/>
          <w:szCs w:val="20"/>
        </w:rPr>
        <w:t xml:space="preserve">In the absence of better data, we relied on the 10% indicator to determine the extent of energy poverty. If a household spends more than 10% of its income on fuels for basic energy needs (heating, cooling, warm water, cooking), it is considered to be in energy poverty. In 2018, more than 45% of Romanian households could be identified as energy poor based on this indicator. </w:t>
      </w:r>
    </w:p>
    <w:p w14:paraId="2F7ADD3F" w14:textId="0BC4B249"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 xml:space="preserve">We relied on INS data, in the latest available year (2020, 2019 or 2018, depending on the variable). We used the average income per employee per type of economic activity and then adjusted for the </w:t>
      </w:r>
      <w:r w:rsidRPr="003516DC">
        <w:rPr>
          <w:rFonts w:ascii="Arial" w:hAnsi="Arial" w:cs="Arial"/>
          <w:sz w:val="20"/>
          <w:szCs w:val="20"/>
        </w:rPr>
        <w:lastRenderedPageBreak/>
        <w:t xml:space="preserve">income per household at the county level. We then computed the percentage of people employed per type of economic activity and included the unemployed (assuming they receive the maximum unemployment benefit, which is below RON 500). We computed the expenses for electricity, thermal energy and gas for urban localities and replaced the expenses for gas with average expenses for wood for rural areas. A basic assumption is that at least 90% of the rural population are employed in the agricultural sector, representing 24% of the population in 2020. </w:t>
      </w:r>
    </w:p>
    <w:p w14:paraId="1786850B" w14:textId="0D8864D7"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 xml:space="preserve">Based on this methodology, we calculated energy poverty rates by year and winter season for each of the six counties using the 10% indicator (see Table </w:t>
      </w:r>
      <w:r w:rsidR="001C68D2">
        <w:rPr>
          <w:rFonts w:ascii="Arial" w:hAnsi="Arial" w:cs="Arial"/>
          <w:sz w:val="20"/>
          <w:szCs w:val="20"/>
        </w:rPr>
        <w:t>10</w:t>
      </w:r>
      <w:r w:rsidRPr="003516DC">
        <w:rPr>
          <w:rFonts w:ascii="Arial" w:hAnsi="Arial" w:cs="Arial"/>
          <w:sz w:val="20"/>
          <w:szCs w:val="20"/>
        </w:rPr>
        <w:t>).</w:t>
      </w:r>
    </w:p>
    <w:p w14:paraId="1EAAB198" w14:textId="44914EFB" w:rsidR="0023524A" w:rsidRPr="003516DC" w:rsidRDefault="0023524A" w:rsidP="001C68D2">
      <w:pPr>
        <w:pStyle w:val="Caption"/>
        <w:spacing w:before="120"/>
        <w:ind w:left="1138" w:hanging="1138"/>
      </w:pPr>
      <w:bookmarkStart w:id="62" w:name="_Toc90725964"/>
      <w:bookmarkStart w:id="63" w:name="_Toc90727261"/>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647E42">
        <w:rPr>
          <w:noProof/>
        </w:rPr>
        <w:t>10</w:t>
      </w:r>
      <w:r w:rsidRPr="003516DC">
        <w:rPr>
          <w:noProof/>
        </w:rPr>
        <w:fldChar w:fldCharType="end"/>
      </w:r>
      <w:r w:rsidRPr="003516DC">
        <w:t>: Energy poverty rates in the six affected regions</w:t>
      </w:r>
      <w:bookmarkEnd w:id="62"/>
      <w:bookmarkEnd w:id="63"/>
    </w:p>
    <w:tbl>
      <w:tblPr>
        <w:tblStyle w:val="TableGrid"/>
        <w:tblW w:w="5000" w:type="pct"/>
        <w:tblLook w:val="04A0" w:firstRow="1" w:lastRow="0" w:firstColumn="1" w:lastColumn="0" w:noHBand="0" w:noVBand="1"/>
      </w:tblPr>
      <w:tblGrid>
        <w:gridCol w:w="2976"/>
        <w:gridCol w:w="2976"/>
        <w:gridCol w:w="2977"/>
      </w:tblGrid>
      <w:tr w:rsidR="0023524A" w:rsidRPr="003516DC" w14:paraId="2D90168A" w14:textId="77777777" w:rsidTr="00A14E66">
        <w:trPr>
          <w:trHeight w:val="288"/>
        </w:trPr>
        <w:tc>
          <w:tcPr>
            <w:tcW w:w="1666" w:type="pct"/>
            <w:shd w:val="clear" w:color="auto" w:fill="002060"/>
            <w:vAlign w:val="bottom"/>
          </w:tcPr>
          <w:p w14:paraId="156BC959" w14:textId="77777777" w:rsidR="0023524A" w:rsidRPr="003516DC" w:rsidRDefault="0023524A" w:rsidP="00964831">
            <w:pPr>
              <w:spacing w:before="120" w:after="120"/>
              <w:rPr>
                <w:rFonts w:ascii="Arial" w:hAnsi="Arial" w:cs="Arial"/>
                <w:b/>
                <w:bCs/>
                <w:color w:val="FFFFFF" w:themeColor="background1"/>
                <w:sz w:val="20"/>
                <w:szCs w:val="18"/>
              </w:rPr>
            </w:pPr>
            <w:r w:rsidRPr="003516DC">
              <w:rPr>
                <w:rFonts w:ascii="Arial" w:hAnsi="Arial" w:cs="Arial"/>
                <w:b/>
                <w:bCs/>
                <w:color w:val="FFFFFF" w:themeColor="background1"/>
                <w:sz w:val="20"/>
                <w:szCs w:val="18"/>
              </w:rPr>
              <w:t>County</w:t>
            </w:r>
          </w:p>
        </w:tc>
        <w:tc>
          <w:tcPr>
            <w:tcW w:w="1666" w:type="pct"/>
            <w:shd w:val="clear" w:color="auto" w:fill="002060"/>
            <w:vAlign w:val="bottom"/>
          </w:tcPr>
          <w:p w14:paraId="6318067D" w14:textId="77777777" w:rsidR="0023524A" w:rsidRPr="003516DC" w:rsidRDefault="0023524A" w:rsidP="00964831">
            <w:pPr>
              <w:spacing w:before="120" w:after="120"/>
              <w:jc w:val="center"/>
              <w:rPr>
                <w:rFonts w:ascii="Arial" w:hAnsi="Arial" w:cs="Arial"/>
                <w:b/>
                <w:bCs/>
                <w:color w:val="FFFFFF" w:themeColor="background1"/>
                <w:sz w:val="20"/>
                <w:szCs w:val="18"/>
              </w:rPr>
            </w:pPr>
            <w:r w:rsidRPr="003516DC">
              <w:rPr>
                <w:rFonts w:ascii="Arial" w:hAnsi="Arial" w:cs="Arial"/>
                <w:b/>
                <w:bCs/>
                <w:color w:val="FFFFFF" w:themeColor="background1"/>
                <w:sz w:val="20"/>
                <w:szCs w:val="18"/>
              </w:rPr>
              <w:t>% per year</w:t>
            </w:r>
          </w:p>
        </w:tc>
        <w:tc>
          <w:tcPr>
            <w:tcW w:w="1667" w:type="pct"/>
            <w:shd w:val="clear" w:color="auto" w:fill="002060"/>
            <w:vAlign w:val="bottom"/>
          </w:tcPr>
          <w:p w14:paraId="2BBDDB3A" w14:textId="77777777" w:rsidR="0023524A" w:rsidRPr="003516DC" w:rsidRDefault="0023524A" w:rsidP="00964831">
            <w:pPr>
              <w:spacing w:before="120" w:after="120"/>
              <w:jc w:val="center"/>
              <w:rPr>
                <w:rFonts w:ascii="Arial" w:hAnsi="Arial" w:cs="Arial"/>
                <w:b/>
                <w:bCs/>
                <w:color w:val="FFFFFF" w:themeColor="background1"/>
                <w:sz w:val="20"/>
                <w:szCs w:val="18"/>
              </w:rPr>
            </w:pPr>
            <w:r w:rsidRPr="003516DC">
              <w:rPr>
                <w:rFonts w:ascii="Arial" w:hAnsi="Arial" w:cs="Arial"/>
                <w:b/>
                <w:bCs/>
                <w:color w:val="FFFFFF" w:themeColor="background1"/>
                <w:sz w:val="20"/>
                <w:szCs w:val="18"/>
              </w:rPr>
              <w:t>% in winter</w:t>
            </w:r>
          </w:p>
        </w:tc>
      </w:tr>
      <w:tr w:rsidR="0023524A" w:rsidRPr="003516DC" w14:paraId="2CC05964" w14:textId="77777777" w:rsidTr="00435820">
        <w:trPr>
          <w:trHeight w:val="288"/>
        </w:trPr>
        <w:tc>
          <w:tcPr>
            <w:tcW w:w="1666" w:type="pct"/>
            <w:vAlign w:val="center"/>
          </w:tcPr>
          <w:p w14:paraId="0BBD7724" w14:textId="1D20F8EF"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w:t>
            </w:r>
            <w:r w:rsidR="003751DC">
              <w:rPr>
                <w:rFonts w:ascii="Arial" w:hAnsi="Arial" w:cs="Arial"/>
                <w:color w:val="000000"/>
                <w:sz w:val="20"/>
                <w:szCs w:val="18"/>
              </w:rPr>
              <w:t>Galați</w:t>
            </w:r>
            <w:r w:rsidRPr="003516DC">
              <w:rPr>
                <w:rFonts w:ascii="Arial" w:hAnsi="Arial" w:cs="Arial"/>
                <w:color w:val="000000"/>
                <w:sz w:val="20"/>
                <w:szCs w:val="18"/>
              </w:rPr>
              <w:t xml:space="preserve">  </w:t>
            </w:r>
          </w:p>
        </w:tc>
        <w:tc>
          <w:tcPr>
            <w:tcW w:w="1666" w:type="pct"/>
            <w:vAlign w:val="bottom"/>
          </w:tcPr>
          <w:p w14:paraId="7E904CBB"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40%</w:t>
            </w:r>
          </w:p>
        </w:tc>
        <w:tc>
          <w:tcPr>
            <w:tcW w:w="1667" w:type="pct"/>
            <w:vAlign w:val="bottom"/>
          </w:tcPr>
          <w:p w14:paraId="00DCAC08"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55%</w:t>
            </w:r>
          </w:p>
        </w:tc>
      </w:tr>
      <w:tr w:rsidR="0023524A" w:rsidRPr="003516DC" w14:paraId="420F0894" w14:textId="77777777" w:rsidTr="00435820">
        <w:trPr>
          <w:trHeight w:val="288"/>
        </w:trPr>
        <w:tc>
          <w:tcPr>
            <w:tcW w:w="1666" w:type="pct"/>
            <w:vAlign w:val="center"/>
          </w:tcPr>
          <w:p w14:paraId="6A322ACB" w14:textId="77777777"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Mureș </w:t>
            </w:r>
          </w:p>
        </w:tc>
        <w:tc>
          <w:tcPr>
            <w:tcW w:w="1666" w:type="pct"/>
            <w:vAlign w:val="bottom"/>
          </w:tcPr>
          <w:p w14:paraId="21A08E71"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21%</w:t>
            </w:r>
          </w:p>
        </w:tc>
        <w:tc>
          <w:tcPr>
            <w:tcW w:w="1667" w:type="pct"/>
            <w:vAlign w:val="bottom"/>
          </w:tcPr>
          <w:p w14:paraId="27855B5F"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30%</w:t>
            </w:r>
          </w:p>
        </w:tc>
      </w:tr>
      <w:tr w:rsidR="0023524A" w:rsidRPr="003516DC" w14:paraId="7DB5F57A" w14:textId="77777777" w:rsidTr="00435820">
        <w:trPr>
          <w:trHeight w:val="288"/>
        </w:trPr>
        <w:tc>
          <w:tcPr>
            <w:tcW w:w="1666" w:type="pct"/>
            <w:vAlign w:val="center"/>
          </w:tcPr>
          <w:p w14:paraId="55C8F107" w14:textId="77777777"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Prahova </w:t>
            </w:r>
          </w:p>
        </w:tc>
        <w:tc>
          <w:tcPr>
            <w:tcW w:w="1666" w:type="pct"/>
            <w:vAlign w:val="bottom"/>
          </w:tcPr>
          <w:p w14:paraId="18D37C87"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30%</w:t>
            </w:r>
          </w:p>
        </w:tc>
        <w:tc>
          <w:tcPr>
            <w:tcW w:w="1667" w:type="pct"/>
            <w:vAlign w:val="bottom"/>
          </w:tcPr>
          <w:p w14:paraId="045CF880"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38%</w:t>
            </w:r>
          </w:p>
        </w:tc>
      </w:tr>
      <w:tr w:rsidR="0023524A" w:rsidRPr="003516DC" w14:paraId="74935397" w14:textId="77777777" w:rsidTr="00435820">
        <w:trPr>
          <w:trHeight w:val="288"/>
        </w:trPr>
        <w:tc>
          <w:tcPr>
            <w:tcW w:w="1666" w:type="pct"/>
            <w:vAlign w:val="center"/>
          </w:tcPr>
          <w:p w14:paraId="48974540" w14:textId="77777777"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Hunedoara </w:t>
            </w:r>
          </w:p>
        </w:tc>
        <w:tc>
          <w:tcPr>
            <w:tcW w:w="1666" w:type="pct"/>
            <w:vAlign w:val="bottom"/>
          </w:tcPr>
          <w:p w14:paraId="6E4892DF"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45%</w:t>
            </w:r>
          </w:p>
        </w:tc>
        <w:tc>
          <w:tcPr>
            <w:tcW w:w="1667" w:type="pct"/>
            <w:vAlign w:val="bottom"/>
          </w:tcPr>
          <w:p w14:paraId="7137610E"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70%</w:t>
            </w:r>
          </w:p>
        </w:tc>
      </w:tr>
      <w:tr w:rsidR="0023524A" w:rsidRPr="003516DC" w14:paraId="7589F812" w14:textId="77777777" w:rsidTr="00435820">
        <w:trPr>
          <w:trHeight w:val="288"/>
        </w:trPr>
        <w:tc>
          <w:tcPr>
            <w:tcW w:w="1666" w:type="pct"/>
            <w:vAlign w:val="center"/>
          </w:tcPr>
          <w:p w14:paraId="52FAAB49" w14:textId="77777777"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Gorj </w:t>
            </w:r>
          </w:p>
        </w:tc>
        <w:tc>
          <w:tcPr>
            <w:tcW w:w="1666" w:type="pct"/>
            <w:vAlign w:val="bottom"/>
          </w:tcPr>
          <w:p w14:paraId="7589EADB"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37%</w:t>
            </w:r>
          </w:p>
        </w:tc>
        <w:tc>
          <w:tcPr>
            <w:tcW w:w="1667" w:type="pct"/>
            <w:vAlign w:val="bottom"/>
          </w:tcPr>
          <w:p w14:paraId="4703BD82"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55%</w:t>
            </w:r>
          </w:p>
        </w:tc>
      </w:tr>
      <w:tr w:rsidR="0023524A" w:rsidRPr="003516DC" w14:paraId="481F17FD" w14:textId="77777777" w:rsidTr="00435820">
        <w:trPr>
          <w:trHeight w:val="288"/>
        </w:trPr>
        <w:tc>
          <w:tcPr>
            <w:tcW w:w="1666" w:type="pct"/>
            <w:vAlign w:val="center"/>
          </w:tcPr>
          <w:p w14:paraId="48FEAE32" w14:textId="77777777" w:rsidR="0023524A" w:rsidRPr="003516DC" w:rsidRDefault="0023524A" w:rsidP="00964831">
            <w:pPr>
              <w:spacing w:before="120" w:after="120"/>
              <w:rPr>
                <w:rFonts w:ascii="Arial" w:hAnsi="Arial" w:cs="Arial"/>
                <w:sz w:val="20"/>
                <w:szCs w:val="18"/>
              </w:rPr>
            </w:pPr>
            <w:r w:rsidRPr="003516DC">
              <w:rPr>
                <w:rFonts w:ascii="Arial" w:hAnsi="Arial" w:cs="Arial"/>
                <w:color w:val="000000"/>
                <w:sz w:val="20"/>
                <w:szCs w:val="18"/>
              </w:rPr>
              <w:t xml:space="preserve"> Dolj </w:t>
            </w:r>
          </w:p>
        </w:tc>
        <w:tc>
          <w:tcPr>
            <w:tcW w:w="1666" w:type="pct"/>
            <w:vAlign w:val="bottom"/>
          </w:tcPr>
          <w:p w14:paraId="6D6D7E1E"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40%</w:t>
            </w:r>
          </w:p>
        </w:tc>
        <w:tc>
          <w:tcPr>
            <w:tcW w:w="1667" w:type="pct"/>
            <w:vAlign w:val="bottom"/>
          </w:tcPr>
          <w:p w14:paraId="1C8C2974" w14:textId="77777777" w:rsidR="0023524A" w:rsidRPr="003516DC" w:rsidRDefault="0023524A" w:rsidP="00964831">
            <w:pPr>
              <w:spacing w:before="120" w:after="120"/>
              <w:jc w:val="center"/>
              <w:rPr>
                <w:rFonts w:ascii="Arial" w:hAnsi="Arial" w:cs="Arial"/>
                <w:sz w:val="20"/>
                <w:szCs w:val="18"/>
              </w:rPr>
            </w:pPr>
            <w:r w:rsidRPr="003516DC">
              <w:rPr>
                <w:rFonts w:ascii="Arial" w:hAnsi="Arial" w:cs="Arial"/>
                <w:color w:val="000000"/>
                <w:sz w:val="20"/>
                <w:szCs w:val="18"/>
              </w:rPr>
              <w:t>57%</w:t>
            </w:r>
          </w:p>
        </w:tc>
      </w:tr>
    </w:tbl>
    <w:p w14:paraId="42E21E12" w14:textId="358BD93D" w:rsidR="0023524A" w:rsidRPr="006C46E5" w:rsidRDefault="0023524A" w:rsidP="006C46E5">
      <w:pPr>
        <w:spacing w:after="120"/>
        <w:rPr>
          <w:rFonts w:ascii="Arial" w:hAnsi="Arial" w:cs="Arial"/>
          <w:i/>
          <w:iCs/>
          <w:sz w:val="16"/>
          <w:szCs w:val="16"/>
        </w:rPr>
      </w:pPr>
      <w:r w:rsidRPr="003516DC">
        <w:rPr>
          <w:rFonts w:ascii="Arial" w:hAnsi="Arial" w:cs="Arial"/>
          <w:i/>
          <w:iCs/>
          <w:sz w:val="16"/>
          <w:szCs w:val="16"/>
        </w:rPr>
        <w:t>Source: Own estimates based on NIS data</w:t>
      </w:r>
    </w:p>
    <w:p w14:paraId="11812436" w14:textId="19B06B98"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 xml:space="preserve">These indicators reflect certain dynamics with respect to energy poverty. Counties with more rural localities and lower incomes have higher rates of energy poverty. This is due mainly to income, low levels of gas connectivity, and inefficient dwellings. Heavy reliance on wood leads to low consumption and massive underheating during winter or to high expenses for wood, above 10% of income. For an average household of three rooms in the countryside during a milder cold season, the expenses for wood can reach RON 500/month, whereas the average income for an “agricultural” household is below RON 1000.  </w:t>
      </w:r>
    </w:p>
    <w:p w14:paraId="79A26E6C" w14:textId="201C64C9"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 xml:space="preserve">One exception is Hunedoara, which has many urban localities. Nevertheless, the county has very high levels of energy poverty. The urban areas are poor in terms of income. Therefore, any indicator based on income (such as the 10%) yields high results. Additionally, the county has an old, urban building stock from the communism days when the mining urban localities were built. However, today these dwellings are poor and have limited administrative capacity to invest in renovation. </w:t>
      </w:r>
    </w:p>
    <w:p w14:paraId="293E0EBA" w14:textId="7F35DC80" w:rsidR="001A611D" w:rsidRDefault="0023524A" w:rsidP="006C46E5">
      <w:pPr>
        <w:spacing w:after="120"/>
        <w:jc w:val="both"/>
        <w:rPr>
          <w:rFonts w:ascii="Arial" w:hAnsi="Arial" w:cs="Arial"/>
          <w:sz w:val="20"/>
          <w:szCs w:val="20"/>
        </w:rPr>
      </w:pPr>
      <w:r w:rsidRPr="003516DC">
        <w:rPr>
          <w:rFonts w:ascii="Arial" w:hAnsi="Arial" w:cs="Arial"/>
          <w:sz w:val="20"/>
          <w:szCs w:val="20"/>
        </w:rPr>
        <w:t xml:space="preserve">At the opposite end of the spectrum, Mureș is very well connected to the gas network. This translates to lower energy expenses and explains the lower levels of energy poverty, despite GDP per capita falling below the national average. To reduce energy poverty, incomes must increase or expenses must decrease. Switching </w:t>
      </w:r>
      <w:r w:rsidR="001A611D">
        <w:rPr>
          <w:rFonts w:ascii="Arial" w:hAnsi="Arial" w:cs="Arial"/>
          <w:sz w:val="20"/>
          <w:szCs w:val="20"/>
        </w:rPr>
        <w:t>from wood to</w:t>
      </w:r>
      <w:r w:rsidRPr="003516DC">
        <w:rPr>
          <w:rFonts w:ascii="Arial" w:hAnsi="Arial" w:cs="Arial"/>
          <w:sz w:val="20"/>
          <w:szCs w:val="20"/>
        </w:rPr>
        <w:t xml:space="preserve"> gas in the countryside</w:t>
      </w:r>
      <w:r w:rsidR="001A611D">
        <w:rPr>
          <w:rFonts w:ascii="Arial" w:hAnsi="Arial" w:cs="Arial"/>
          <w:sz w:val="20"/>
          <w:szCs w:val="20"/>
        </w:rPr>
        <w:t xml:space="preserve"> </w:t>
      </w:r>
      <w:r w:rsidR="00432AC6">
        <w:rPr>
          <w:rFonts w:ascii="Arial" w:hAnsi="Arial" w:cs="Arial"/>
          <w:sz w:val="20"/>
          <w:szCs w:val="20"/>
        </w:rPr>
        <w:t>can</w:t>
      </w:r>
      <w:r w:rsidR="001A611D" w:rsidRPr="006A4C87">
        <w:rPr>
          <w:rFonts w:ascii="Arial" w:hAnsi="Arial" w:cs="Arial"/>
          <w:sz w:val="20"/>
          <w:szCs w:val="20"/>
        </w:rPr>
        <w:t xml:space="preserve"> significantly increase the quality of life </w:t>
      </w:r>
      <w:r w:rsidR="00432AC6">
        <w:rPr>
          <w:rFonts w:ascii="Arial" w:hAnsi="Arial" w:cs="Arial"/>
          <w:sz w:val="20"/>
          <w:szCs w:val="20"/>
        </w:rPr>
        <w:t>for</w:t>
      </w:r>
      <w:r w:rsidR="001A611D" w:rsidRPr="006A4C87">
        <w:rPr>
          <w:rFonts w:ascii="Arial" w:hAnsi="Arial" w:cs="Arial"/>
          <w:sz w:val="20"/>
          <w:szCs w:val="20"/>
        </w:rPr>
        <w:t xml:space="preserve"> households at similar prices</w:t>
      </w:r>
      <w:r w:rsidR="001A611D">
        <w:rPr>
          <w:rFonts w:ascii="Arial" w:hAnsi="Arial" w:cs="Arial"/>
          <w:sz w:val="20"/>
          <w:szCs w:val="20"/>
        </w:rPr>
        <w:t xml:space="preserve"> to wood-based heating</w:t>
      </w:r>
      <w:r w:rsidRPr="003516DC">
        <w:rPr>
          <w:rFonts w:ascii="Arial" w:hAnsi="Arial" w:cs="Arial"/>
          <w:sz w:val="20"/>
          <w:szCs w:val="20"/>
        </w:rPr>
        <w:t xml:space="preserve"> , while switching to thermal energy in urban areas is cheaper than gas. In this context, a policy such as the one in </w:t>
      </w:r>
      <w:r w:rsidR="003751DC">
        <w:rPr>
          <w:rFonts w:ascii="Arial" w:hAnsi="Arial" w:cs="Arial"/>
          <w:sz w:val="20"/>
          <w:szCs w:val="20"/>
        </w:rPr>
        <w:t>Galați</w:t>
      </w:r>
      <w:r w:rsidRPr="003516DC">
        <w:rPr>
          <w:rFonts w:ascii="Arial" w:hAnsi="Arial" w:cs="Arial"/>
          <w:sz w:val="20"/>
          <w:szCs w:val="20"/>
        </w:rPr>
        <w:t>, i.e., willingly taking consumers out of the district heating company, is counterproductive and will lead to higher costs and higher emissions in the long term, despite the short-term savings for the local budget.</w:t>
      </w:r>
    </w:p>
    <w:p w14:paraId="01914CDD" w14:textId="77777777" w:rsidR="00F6026A" w:rsidRPr="003516DC" w:rsidRDefault="00F6026A" w:rsidP="00F6026A">
      <w:pPr>
        <w:pStyle w:val="Caption"/>
        <w:spacing w:before="120"/>
        <w:ind w:left="0" w:firstLine="0"/>
        <w:jc w:val="both"/>
        <w:rPr>
          <w:b w:val="0"/>
          <w:iCs w:val="0"/>
          <w:color w:val="auto"/>
        </w:rPr>
      </w:pPr>
      <w:r w:rsidRPr="003516DC">
        <w:rPr>
          <w:b w:val="0"/>
          <w:iCs w:val="0"/>
          <w:color w:val="auto"/>
        </w:rPr>
        <w:t>To assess the level of energy poverty for each of the six regions, we first need to ascertain the general poverty trends in each county. Then, we can determine the urgency of investing in areas such as energy efficiency in buildings or improving the district heating at the level of municipalities.</w:t>
      </w:r>
    </w:p>
    <w:p w14:paraId="3E3E6A9D" w14:textId="27793AE9" w:rsidR="00F6026A" w:rsidRPr="003516DC" w:rsidRDefault="00F6026A" w:rsidP="00F6026A">
      <w:pPr>
        <w:spacing w:after="120"/>
        <w:jc w:val="both"/>
        <w:rPr>
          <w:rFonts w:ascii="Arial" w:hAnsi="Arial" w:cs="Arial"/>
          <w:sz w:val="20"/>
          <w:szCs w:val="20"/>
        </w:rPr>
      </w:pPr>
      <w:r w:rsidRPr="003516DC">
        <w:rPr>
          <w:rFonts w:ascii="Arial" w:hAnsi="Arial" w:cs="Arial"/>
          <w:sz w:val="20"/>
          <w:szCs w:val="20"/>
        </w:rPr>
        <w:t xml:space="preserve">The population distribution (see Table </w:t>
      </w:r>
      <w:r w:rsidR="001C68D2">
        <w:rPr>
          <w:rFonts w:ascii="Arial" w:hAnsi="Arial" w:cs="Arial"/>
          <w:sz w:val="20"/>
          <w:szCs w:val="20"/>
        </w:rPr>
        <w:t>11</w:t>
      </w:r>
      <w:r w:rsidRPr="003516DC">
        <w:rPr>
          <w:rFonts w:ascii="Arial" w:hAnsi="Arial" w:cs="Arial"/>
          <w:sz w:val="20"/>
          <w:szCs w:val="20"/>
        </w:rPr>
        <w:t xml:space="preserve">) illustrates the story of depopulation and population scarcity in Hunedoara, where the average population per household is 2.5, while higher population density per household is seen in counties like Gorj and Prahova – some of it may also hide material deprivation. </w:t>
      </w:r>
    </w:p>
    <w:p w14:paraId="7B8CE8F1" w14:textId="4A8B9EDB" w:rsidR="00F6026A" w:rsidRPr="003516DC" w:rsidRDefault="00F6026A" w:rsidP="00F6026A">
      <w:pPr>
        <w:pStyle w:val="Caption"/>
      </w:pPr>
      <w:bookmarkStart w:id="64" w:name="_Toc90725965"/>
      <w:bookmarkStart w:id="65" w:name="_Toc90727262"/>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Pr>
          <w:noProof/>
        </w:rPr>
        <w:t>6</w:t>
      </w:r>
      <w:r w:rsidRPr="003516DC">
        <w:rPr>
          <w:noProof/>
        </w:rPr>
        <w:fldChar w:fldCharType="end"/>
      </w:r>
      <w:r w:rsidRPr="003516DC">
        <w:t>: Population and number of households in the six affected regions</w:t>
      </w:r>
      <w:bookmarkEnd w:id="64"/>
      <w:bookmarkEnd w:id="65"/>
    </w:p>
    <w:tbl>
      <w:tblPr>
        <w:tblStyle w:val="TableGrid"/>
        <w:tblW w:w="5000" w:type="pct"/>
        <w:tblLook w:val="04A0" w:firstRow="1" w:lastRow="0" w:firstColumn="1" w:lastColumn="0" w:noHBand="0" w:noVBand="1"/>
      </w:tblPr>
      <w:tblGrid>
        <w:gridCol w:w="1706"/>
        <w:gridCol w:w="2339"/>
        <w:gridCol w:w="1889"/>
        <w:gridCol w:w="2995"/>
      </w:tblGrid>
      <w:tr w:rsidR="00F6026A" w:rsidRPr="003516DC" w14:paraId="493D5989" w14:textId="77777777" w:rsidTr="00190BA4">
        <w:trPr>
          <w:tblHeader/>
        </w:trPr>
        <w:tc>
          <w:tcPr>
            <w:tcW w:w="955" w:type="pct"/>
            <w:shd w:val="clear" w:color="auto" w:fill="002060"/>
            <w:vAlign w:val="center"/>
          </w:tcPr>
          <w:p w14:paraId="67D15E09" w14:textId="77777777" w:rsidR="00F6026A" w:rsidRPr="003516DC" w:rsidRDefault="00F6026A" w:rsidP="00190BA4">
            <w:pPr>
              <w:rPr>
                <w:rFonts w:ascii="Arial" w:hAnsi="Arial" w:cs="Arial"/>
                <w:b/>
                <w:bCs/>
                <w:color w:val="FFFFFF" w:themeColor="background1"/>
                <w:sz w:val="18"/>
                <w:szCs w:val="18"/>
              </w:rPr>
            </w:pPr>
            <w:r w:rsidRPr="003516DC">
              <w:rPr>
                <w:rFonts w:ascii="Arial" w:hAnsi="Arial" w:cs="Arial"/>
                <w:b/>
                <w:bCs/>
                <w:color w:val="FFFFFF" w:themeColor="background1"/>
                <w:sz w:val="18"/>
                <w:szCs w:val="18"/>
              </w:rPr>
              <w:t>County</w:t>
            </w:r>
          </w:p>
        </w:tc>
        <w:tc>
          <w:tcPr>
            <w:tcW w:w="1310" w:type="pct"/>
            <w:shd w:val="clear" w:color="auto" w:fill="002060"/>
            <w:vAlign w:val="center"/>
          </w:tcPr>
          <w:p w14:paraId="66115C1B" w14:textId="77777777" w:rsidR="00F6026A" w:rsidRPr="003516DC" w:rsidRDefault="00F6026A" w:rsidP="00190BA4">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Population</w:t>
            </w:r>
          </w:p>
        </w:tc>
        <w:tc>
          <w:tcPr>
            <w:tcW w:w="1058" w:type="pct"/>
            <w:shd w:val="clear" w:color="auto" w:fill="002060"/>
            <w:vAlign w:val="center"/>
          </w:tcPr>
          <w:p w14:paraId="430753AC" w14:textId="77777777" w:rsidR="00F6026A" w:rsidRPr="003516DC" w:rsidRDefault="00F6026A" w:rsidP="00190BA4">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Households</w:t>
            </w:r>
          </w:p>
        </w:tc>
        <w:tc>
          <w:tcPr>
            <w:tcW w:w="1677" w:type="pct"/>
            <w:shd w:val="clear" w:color="auto" w:fill="002060"/>
            <w:vAlign w:val="center"/>
          </w:tcPr>
          <w:p w14:paraId="0B21BB7D" w14:textId="77777777" w:rsidR="00F6026A" w:rsidRPr="003516DC" w:rsidRDefault="00F6026A" w:rsidP="00190BA4">
            <w:pPr>
              <w:jc w:val="center"/>
              <w:rPr>
                <w:rFonts w:ascii="Arial" w:hAnsi="Arial" w:cs="Arial"/>
                <w:b/>
                <w:bCs/>
                <w:color w:val="FFFFFF" w:themeColor="background1"/>
                <w:sz w:val="18"/>
                <w:szCs w:val="18"/>
              </w:rPr>
            </w:pPr>
            <w:r w:rsidRPr="003516DC">
              <w:rPr>
                <w:rFonts w:ascii="Arial" w:hAnsi="Arial" w:cs="Arial"/>
                <w:b/>
                <w:bCs/>
                <w:color w:val="FFFFFF" w:themeColor="background1"/>
                <w:sz w:val="18"/>
                <w:szCs w:val="18"/>
              </w:rPr>
              <w:t>Average population / household</w:t>
            </w:r>
          </w:p>
        </w:tc>
      </w:tr>
      <w:tr w:rsidR="00F6026A" w:rsidRPr="003516DC" w14:paraId="765B6520" w14:textId="77777777" w:rsidTr="00190BA4">
        <w:tc>
          <w:tcPr>
            <w:tcW w:w="955" w:type="pct"/>
            <w:vAlign w:val="center"/>
          </w:tcPr>
          <w:p w14:paraId="49F9F951"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t xml:space="preserve"> Galați  </w:t>
            </w:r>
          </w:p>
        </w:tc>
        <w:tc>
          <w:tcPr>
            <w:tcW w:w="1310" w:type="pct"/>
            <w:vAlign w:val="center"/>
          </w:tcPr>
          <w:p w14:paraId="15DE7830"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626,089</w:t>
            </w:r>
          </w:p>
        </w:tc>
        <w:tc>
          <w:tcPr>
            <w:tcW w:w="1058" w:type="pct"/>
            <w:vAlign w:val="center"/>
          </w:tcPr>
          <w:p w14:paraId="12B58229"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234,490</w:t>
            </w:r>
          </w:p>
        </w:tc>
        <w:tc>
          <w:tcPr>
            <w:tcW w:w="1677" w:type="pct"/>
            <w:vAlign w:val="center"/>
          </w:tcPr>
          <w:p w14:paraId="584F25A0"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2.67</w:t>
            </w:r>
          </w:p>
        </w:tc>
      </w:tr>
      <w:tr w:rsidR="00F6026A" w:rsidRPr="003516DC" w14:paraId="337A151C" w14:textId="77777777" w:rsidTr="00190BA4">
        <w:tc>
          <w:tcPr>
            <w:tcW w:w="955" w:type="pct"/>
            <w:vAlign w:val="center"/>
          </w:tcPr>
          <w:p w14:paraId="510B6A5D"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t xml:space="preserve"> Mureș </w:t>
            </w:r>
          </w:p>
        </w:tc>
        <w:tc>
          <w:tcPr>
            <w:tcW w:w="1310" w:type="pct"/>
            <w:vAlign w:val="center"/>
          </w:tcPr>
          <w:p w14:paraId="3DFC53B8"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590,824</w:t>
            </w:r>
          </w:p>
        </w:tc>
        <w:tc>
          <w:tcPr>
            <w:tcW w:w="1058" w:type="pct"/>
            <w:vAlign w:val="center"/>
          </w:tcPr>
          <w:p w14:paraId="14247CD5"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218,016</w:t>
            </w:r>
          </w:p>
        </w:tc>
        <w:tc>
          <w:tcPr>
            <w:tcW w:w="1677" w:type="pct"/>
            <w:vAlign w:val="center"/>
          </w:tcPr>
          <w:p w14:paraId="56D5B9B0"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2.71</w:t>
            </w:r>
          </w:p>
        </w:tc>
      </w:tr>
      <w:tr w:rsidR="00F6026A" w:rsidRPr="003516DC" w14:paraId="6335E472" w14:textId="77777777" w:rsidTr="00190BA4">
        <w:tc>
          <w:tcPr>
            <w:tcW w:w="955" w:type="pct"/>
            <w:vAlign w:val="center"/>
          </w:tcPr>
          <w:p w14:paraId="4D96482D"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lastRenderedPageBreak/>
              <w:t xml:space="preserve"> Prahova </w:t>
            </w:r>
          </w:p>
        </w:tc>
        <w:tc>
          <w:tcPr>
            <w:tcW w:w="1310" w:type="pct"/>
            <w:vAlign w:val="center"/>
          </w:tcPr>
          <w:p w14:paraId="195BB207"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789,935</w:t>
            </w:r>
          </w:p>
        </w:tc>
        <w:tc>
          <w:tcPr>
            <w:tcW w:w="1058" w:type="pct"/>
            <w:vAlign w:val="center"/>
          </w:tcPr>
          <w:p w14:paraId="6DC97B8D"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285,175</w:t>
            </w:r>
          </w:p>
        </w:tc>
        <w:tc>
          <w:tcPr>
            <w:tcW w:w="1677" w:type="pct"/>
            <w:vAlign w:val="center"/>
          </w:tcPr>
          <w:p w14:paraId="6595B539"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2.77</w:t>
            </w:r>
          </w:p>
        </w:tc>
      </w:tr>
      <w:tr w:rsidR="00F6026A" w:rsidRPr="003516DC" w14:paraId="77C4D704" w14:textId="77777777" w:rsidTr="00190BA4">
        <w:tc>
          <w:tcPr>
            <w:tcW w:w="955" w:type="pct"/>
            <w:vAlign w:val="center"/>
          </w:tcPr>
          <w:p w14:paraId="77D08524"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t xml:space="preserve"> Hunedoara </w:t>
            </w:r>
          </w:p>
        </w:tc>
        <w:tc>
          <w:tcPr>
            <w:tcW w:w="1310" w:type="pct"/>
            <w:vAlign w:val="center"/>
          </w:tcPr>
          <w:p w14:paraId="1590BC21"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455,173</w:t>
            </w:r>
          </w:p>
        </w:tc>
        <w:tc>
          <w:tcPr>
            <w:tcW w:w="1058" w:type="pct"/>
            <w:vAlign w:val="center"/>
          </w:tcPr>
          <w:p w14:paraId="6C8DEFD0"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182,069</w:t>
            </w:r>
          </w:p>
        </w:tc>
        <w:tc>
          <w:tcPr>
            <w:tcW w:w="1677" w:type="pct"/>
            <w:vAlign w:val="center"/>
          </w:tcPr>
          <w:p w14:paraId="1C35F6C0"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2.50</w:t>
            </w:r>
          </w:p>
        </w:tc>
      </w:tr>
      <w:tr w:rsidR="00F6026A" w:rsidRPr="003516DC" w14:paraId="113D8784" w14:textId="77777777" w:rsidTr="00190BA4">
        <w:tc>
          <w:tcPr>
            <w:tcW w:w="955" w:type="pct"/>
            <w:vAlign w:val="center"/>
          </w:tcPr>
          <w:p w14:paraId="2A1E0677"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t xml:space="preserve"> Gorj </w:t>
            </w:r>
          </w:p>
        </w:tc>
        <w:tc>
          <w:tcPr>
            <w:tcW w:w="1310" w:type="pct"/>
            <w:vAlign w:val="center"/>
          </w:tcPr>
          <w:p w14:paraId="5CEACFBB"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356,571</w:t>
            </w:r>
          </w:p>
        </w:tc>
        <w:tc>
          <w:tcPr>
            <w:tcW w:w="1058" w:type="pct"/>
            <w:vAlign w:val="center"/>
          </w:tcPr>
          <w:p w14:paraId="3730243B"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128,263</w:t>
            </w:r>
          </w:p>
        </w:tc>
        <w:tc>
          <w:tcPr>
            <w:tcW w:w="1677" w:type="pct"/>
            <w:vAlign w:val="center"/>
          </w:tcPr>
          <w:p w14:paraId="4CEAC978"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2.78</w:t>
            </w:r>
          </w:p>
        </w:tc>
      </w:tr>
      <w:tr w:rsidR="00F6026A" w:rsidRPr="003516DC" w14:paraId="06B11902" w14:textId="77777777" w:rsidTr="00190BA4">
        <w:tc>
          <w:tcPr>
            <w:tcW w:w="955" w:type="pct"/>
            <w:vAlign w:val="center"/>
          </w:tcPr>
          <w:p w14:paraId="3A6F48B6" w14:textId="77777777" w:rsidR="00F6026A" w:rsidRPr="003516DC" w:rsidRDefault="00F6026A" w:rsidP="00190BA4">
            <w:pPr>
              <w:rPr>
                <w:rFonts w:ascii="Arial" w:hAnsi="Arial" w:cs="Arial"/>
                <w:sz w:val="18"/>
                <w:szCs w:val="18"/>
              </w:rPr>
            </w:pPr>
            <w:r w:rsidRPr="003516DC">
              <w:rPr>
                <w:rFonts w:ascii="Arial" w:hAnsi="Arial" w:cs="Arial"/>
                <w:color w:val="000000"/>
                <w:sz w:val="18"/>
                <w:szCs w:val="18"/>
              </w:rPr>
              <w:t xml:space="preserve"> Dolj </w:t>
            </w:r>
          </w:p>
        </w:tc>
        <w:tc>
          <w:tcPr>
            <w:tcW w:w="1310" w:type="pct"/>
            <w:vAlign w:val="center"/>
          </w:tcPr>
          <w:p w14:paraId="5A455152"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687,186</w:t>
            </w:r>
          </w:p>
        </w:tc>
        <w:tc>
          <w:tcPr>
            <w:tcW w:w="1058" w:type="pct"/>
            <w:vAlign w:val="center"/>
          </w:tcPr>
          <w:p w14:paraId="304DA383"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253,574</w:t>
            </w:r>
          </w:p>
        </w:tc>
        <w:tc>
          <w:tcPr>
            <w:tcW w:w="1677" w:type="pct"/>
            <w:vAlign w:val="center"/>
          </w:tcPr>
          <w:p w14:paraId="2D86A192" w14:textId="77777777" w:rsidR="00F6026A" w:rsidRPr="003516DC" w:rsidRDefault="00F6026A" w:rsidP="00190BA4">
            <w:pPr>
              <w:jc w:val="center"/>
              <w:rPr>
                <w:rFonts w:ascii="Arial" w:hAnsi="Arial" w:cs="Arial"/>
                <w:sz w:val="18"/>
                <w:szCs w:val="18"/>
              </w:rPr>
            </w:pPr>
            <w:r w:rsidRPr="003516DC">
              <w:rPr>
                <w:rFonts w:ascii="Arial" w:hAnsi="Arial" w:cs="Arial"/>
                <w:color w:val="000000"/>
                <w:sz w:val="18"/>
                <w:szCs w:val="18"/>
              </w:rPr>
              <w:t>2.71</w:t>
            </w:r>
          </w:p>
        </w:tc>
      </w:tr>
    </w:tbl>
    <w:p w14:paraId="6080C9D7" w14:textId="77777777" w:rsidR="00F6026A" w:rsidRPr="003516DC" w:rsidRDefault="00F6026A" w:rsidP="00F6026A">
      <w:pPr>
        <w:spacing w:after="120"/>
        <w:rPr>
          <w:rFonts w:ascii="Arial" w:hAnsi="Arial" w:cs="Arial"/>
          <w:i/>
          <w:iCs/>
          <w:sz w:val="16"/>
          <w:szCs w:val="16"/>
        </w:rPr>
      </w:pPr>
      <w:r w:rsidRPr="003516DC">
        <w:rPr>
          <w:rFonts w:ascii="Arial" w:hAnsi="Arial" w:cs="Arial"/>
          <w:i/>
          <w:iCs/>
          <w:sz w:val="16"/>
          <w:szCs w:val="16"/>
        </w:rPr>
        <w:t>Source: NIS, 2020</w:t>
      </w:r>
    </w:p>
    <w:p w14:paraId="47CC2A20" w14:textId="77777777" w:rsidR="00F6026A" w:rsidRDefault="00F6026A" w:rsidP="00F6026A">
      <w:pPr>
        <w:pStyle w:val="Caption"/>
        <w:spacing w:before="120"/>
        <w:ind w:left="0" w:firstLine="0"/>
        <w:jc w:val="both"/>
        <w:rPr>
          <w:b w:val="0"/>
          <w:iCs w:val="0"/>
          <w:color w:val="auto"/>
        </w:rPr>
      </w:pPr>
      <w:r w:rsidRPr="003516DC">
        <w:rPr>
          <w:b w:val="0"/>
          <w:iCs w:val="0"/>
          <w:color w:val="auto"/>
        </w:rPr>
        <w:t>Gorj has the highest percentage of the population living in rural areas, where energy poverty is particularly difficult to eradicate. Hunedoara has a special situation, with a relatively high urban population compared to the other counties. This offers an opportunity for potential interventions in building rehabilitation and other energy efficiency works that can be coupled with the eradication of energy poverty.</w:t>
      </w:r>
    </w:p>
    <w:p w14:paraId="7E78F27A" w14:textId="756CCC2C" w:rsidR="00F6026A" w:rsidRPr="00CF1AD9" w:rsidRDefault="00F6026A" w:rsidP="00F6026A">
      <w:pPr>
        <w:pStyle w:val="Caption"/>
        <w:spacing w:before="120"/>
        <w:ind w:left="0" w:firstLine="0"/>
        <w:jc w:val="both"/>
        <w:rPr>
          <w:b w:val="0"/>
          <w:iCs w:val="0"/>
          <w:color w:val="auto"/>
        </w:rPr>
      </w:pPr>
      <w:bookmarkStart w:id="66" w:name="_Toc90727351"/>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FC29CC">
        <w:rPr>
          <w:noProof/>
        </w:rPr>
        <w:t>15</w:t>
      </w:r>
      <w:r w:rsidRPr="003516DC">
        <w:rPr>
          <w:noProof/>
        </w:rPr>
        <w:fldChar w:fldCharType="end"/>
      </w:r>
      <w:r w:rsidRPr="003516DC">
        <w:t>: Share of urban and rural population in the six affected regions</w:t>
      </w:r>
      <w:bookmarkEnd w:id="66"/>
    </w:p>
    <w:p w14:paraId="00FB1EE5" w14:textId="0164D6C1" w:rsidR="00F6026A" w:rsidRPr="003516DC" w:rsidRDefault="00F6026A" w:rsidP="00F6026A">
      <w:pPr>
        <w:rPr>
          <w:rFonts w:ascii="Arial" w:hAnsi="Arial" w:cs="Arial"/>
        </w:rPr>
      </w:pPr>
      <w:r w:rsidRPr="003516DC">
        <w:rPr>
          <w:rFonts w:ascii="Arial" w:hAnsi="Arial" w:cs="Arial"/>
          <w:noProof/>
          <w:lang w:val="en-US" w:eastAsia="en-US"/>
        </w:rPr>
        <w:drawing>
          <wp:inline distT="0" distB="0" distL="0" distR="0" wp14:anchorId="4F2CF140" wp14:editId="3EAC7F18">
            <wp:extent cx="5678424" cy="2560320"/>
            <wp:effectExtent l="0" t="0" r="17780" b="11430"/>
            <wp:docPr id="52" name="Chart 5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3B8D4FE-E11C-4FFD-85A4-FC2E81EB6A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CDCF24F" w14:textId="77777777" w:rsidR="00F6026A" w:rsidRPr="006C46E5" w:rsidRDefault="00F6026A" w:rsidP="00F6026A">
      <w:pPr>
        <w:rPr>
          <w:rFonts w:ascii="Arial" w:hAnsi="Arial" w:cs="Arial"/>
          <w:i/>
          <w:iCs/>
          <w:sz w:val="16"/>
          <w:szCs w:val="16"/>
        </w:rPr>
      </w:pPr>
      <w:r w:rsidRPr="003516DC">
        <w:rPr>
          <w:rFonts w:ascii="Arial" w:hAnsi="Arial" w:cs="Arial"/>
          <w:i/>
          <w:iCs/>
          <w:sz w:val="16"/>
          <w:szCs w:val="16"/>
        </w:rPr>
        <w:t>Source: NIS, 2020</w:t>
      </w:r>
    </w:p>
    <w:p w14:paraId="0348A69B" w14:textId="7096F182" w:rsidR="00F6026A" w:rsidRPr="003516DC" w:rsidRDefault="00F6026A" w:rsidP="00F6026A">
      <w:pPr>
        <w:spacing w:before="120" w:after="120"/>
        <w:jc w:val="both"/>
        <w:rPr>
          <w:rFonts w:ascii="Arial" w:hAnsi="Arial" w:cs="Arial"/>
          <w:sz w:val="20"/>
          <w:szCs w:val="20"/>
        </w:rPr>
      </w:pPr>
      <w:r w:rsidRPr="003516DC">
        <w:rPr>
          <w:rFonts w:ascii="Arial" w:hAnsi="Arial" w:cs="Arial"/>
          <w:sz w:val="20"/>
          <w:szCs w:val="20"/>
        </w:rPr>
        <w:t xml:space="preserve">Access to the natural gas grid is a good </w:t>
      </w:r>
      <w:r>
        <w:rPr>
          <w:rFonts w:ascii="Arial" w:hAnsi="Arial" w:cs="Arial"/>
          <w:sz w:val="20"/>
          <w:szCs w:val="20"/>
        </w:rPr>
        <w:t>proxy</w:t>
      </w:r>
      <w:r w:rsidRPr="003516DC">
        <w:rPr>
          <w:rFonts w:ascii="Arial" w:hAnsi="Arial" w:cs="Arial"/>
          <w:sz w:val="20"/>
          <w:szCs w:val="20"/>
        </w:rPr>
        <w:t xml:space="preserve"> for energy poverty</w:t>
      </w:r>
      <w:r>
        <w:rPr>
          <w:rFonts w:ascii="Arial" w:hAnsi="Arial" w:cs="Arial"/>
          <w:sz w:val="20"/>
          <w:szCs w:val="20"/>
        </w:rPr>
        <w:t xml:space="preserve"> and underdevelopment in the wider sense </w:t>
      </w:r>
      <w:r w:rsidRPr="003516DC">
        <w:rPr>
          <w:rFonts w:ascii="Arial" w:hAnsi="Arial" w:cs="Arial"/>
          <w:sz w:val="20"/>
          <w:szCs w:val="20"/>
        </w:rPr>
        <w:t xml:space="preserve">and stresses the urgency of </w:t>
      </w:r>
      <w:r>
        <w:rPr>
          <w:rFonts w:ascii="Arial" w:hAnsi="Arial" w:cs="Arial"/>
          <w:sz w:val="20"/>
          <w:szCs w:val="20"/>
        </w:rPr>
        <w:t>focusing on solutions that improve people’s access to affordable, low-carbon heating sources</w:t>
      </w:r>
      <w:r w:rsidRPr="003516DC">
        <w:rPr>
          <w:rFonts w:ascii="Arial" w:hAnsi="Arial" w:cs="Arial"/>
          <w:sz w:val="20"/>
          <w:szCs w:val="20"/>
        </w:rPr>
        <w:t xml:space="preserve">. From this perspective, Dolj and Gorj are the most urgent to intervene. Despite the relatively high density of Dolj and Gorj, 47% and 35% of the population do not have access to the gas grid respectively. </w:t>
      </w:r>
      <w:r>
        <w:rPr>
          <w:rFonts w:ascii="Arial" w:hAnsi="Arial" w:cs="Arial"/>
          <w:sz w:val="20"/>
          <w:szCs w:val="20"/>
        </w:rPr>
        <w:t>From discussions with stakeholders, virtually none contemplate heating through other means than gas heating (e.g., heat pumps, etc.), except the small commune in Ghelari, Hunedoara, where the local public authorities submitted to Hunedoara County Council a project idea (with a budget of approx. EUR 2 mio) to introduce a heating system based on renewable energy in the small commune of 1500 inhabitants</w:t>
      </w:r>
      <w:r w:rsidRPr="003516DC">
        <w:rPr>
          <w:rFonts w:ascii="Arial" w:hAnsi="Arial" w:cs="Arial"/>
          <w:sz w:val="20"/>
          <w:szCs w:val="20"/>
        </w:rPr>
        <w:t xml:space="preserve">. </w:t>
      </w:r>
    </w:p>
    <w:p w14:paraId="152C4873" w14:textId="77777777" w:rsidR="00F6026A" w:rsidRPr="003516DC" w:rsidRDefault="00F6026A" w:rsidP="00F6026A">
      <w:pPr>
        <w:pStyle w:val="Caption"/>
      </w:pPr>
      <w:bookmarkStart w:id="67" w:name="_Toc90727352"/>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Pr>
          <w:noProof/>
        </w:rPr>
        <w:t>15</w:t>
      </w:r>
      <w:r w:rsidRPr="003516DC">
        <w:rPr>
          <w:noProof/>
        </w:rPr>
        <w:fldChar w:fldCharType="end"/>
      </w:r>
      <w:r w:rsidRPr="003516DC">
        <w:t>: Share of population without gas</w:t>
      </w:r>
      <w:bookmarkEnd w:id="67"/>
    </w:p>
    <w:p w14:paraId="5EE429D6" w14:textId="04A2BD37" w:rsidR="00F6026A" w:rsidRPr="003516DC" w:rsidRDefault="00F6026A" w:rsidP="00F6026A">
      <w:pPr>
        <w:rPr>
          <w:rFonts w:ascii="Arial" w:hAnsi="Arial" w:cs="Arial"/>
        </w:rPr>
      </w:pPr>
      <w:r w:rsidRPr="003516DC">
        <w:rPr>
          <w:rFonts w:ascii="Arial" w:hAnsi="Arial" w:cs="Arial"/>
          <w:noProof/>
          <w:color w:val="FFFFFF" w:themeColor="background1"/>
          <w:lang w:val="en-US" w:eastAsia="en-US"/>
        </w:rPr>
        <w:drawing>
          <wp:inline distT="0" distB="0" distL="0" distR="0" wp14:anchorId="6D227650" wp14:editId="7A949016">
            <wp:extent cx="5678424" cy="2926080"/>
            <wp:effectExtent l="0" t="0" r="17780" b="7620"/>
            <wp:docPr id="53" name="Chart 5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EE3F19D-82C8-4193-9326-DB8D847C31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225E136"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t>Source: NIS, 2020</w:t>
      </w:r>
    </w:p>
    <w:p w14:paraId="323DD917" w14:textId="77777777" w:rsidR="00F6026A" w:rsidRPr="00BE58A2" w:rsidRDefault="00F6026A" w:rsidP="00F6026A">
      <w:pPr>
        <w:pStyle w:val="Caption"/>
        <w:ind w:left="0" w:firstLine="0"/>
        <w:jc w:val="both"/>
        <w:rPr>
          <w:b w:val="0"/>
          <w:iCs w:val="0"/>
          <w:color w:val="auto"/>
        </w:rPr>
      </w:pPr>
      <w:r w:rsidRPr="003516DC">
        <w:rPr>
          <w:b w:val="0"/>
          <w:iCs w:val="0"/>
          <w:color w:val="auto"/>
        </w:rPr>
        <w:t>Graph 1</w:t>
      </w:r>
      <w:r>
        <w:rPr>
          <w:b w:val="0"/>
          <w:iCs w:val="0"/>
          <w:color w:val="auto"/>
        </w:rPr>
        <w:t>6</w:t>
      </w:r>
      <w:r w:rsidRPr="003516DC">
        <w:rPr>
          <w:b w:val="0"/>
          <w:iCs w:val="0"/>
          <w:color w:val="auto"/>
        </w:rPr>
        <w:t xml:space="preserve"> shows the percentage of urban and rural populations without gas access. It shows that low-carbon interventions for urban energy poverty should to be prioritised in Dolj (where 16% of the urban population does not have gas access) and to a lesser extent in Hunedoara (where </w:t>
      </w:r>
      <w:r>
        <w:rPr>
          <w:b w:val="0"/>
          <w:iCs w:val="0"/>
          <w:color w:val="auto"/>
        </w:rPr>
        <w:t xml:space="preserve">only </w:t>
      </w:r>
      <w:r w:rsidRPr="003516DC">
        <w:rPr>
          <w:b w:val="0"/>
          <w:iCs w:val="0"/>
          <w:color w:val="auto"/>
        </w:rPr>
        <w:t xml:space="preserve">4% of the urban population lacks gas access). </w:t>
      </w:r>
    </w:p>
    <w:p w14:paraId="09BE2698" w14:textId="77777777" w:rsidR="00F6026A" w:rsidRPr="003516DC" w:rsidRDefault="00F6026A" w:rsidP="00F6026A">
      <w:pPr>
        <w:pStyle w:val="Caption"/>
      </w:pPr>
      <w:bookmarkStart w:id="68" w:name="_Toc90727353"/>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Pr>
          <w:noProof/>
        </w:rPr>
        <w:t>16</w:t>
      </w:r>
      <w:r w:rsidRPr="003516DC">
        <w:rPr>
          <w:noProof/>
        </w:rPr>
        <w:fldChar w:fldCharType="end"/>
      </w:r>
      <w:r w:rsidRPr="003516DC">
        <w:t>: Share of urban and rural population without gas in the six affected regions</w:t>
      </w:r>
      <w:bookmarkEnd w:id="68"/>
    </w:p>
    <w:p w14:paraId="5EDB4386" w14:textId="7913A639" w:rsidR="00F6026A" w:rsidRPr="003516DC" w:rsidRDefault="00F6026A" w:rsidP="00F6026A">
      <w:pPr>
        <w:rPr>
          <w:rFonts w:ascii="Arial" w:hAnsi="Arial" w:cs="Arial"/>
        </w:rPr>
      </w:pPr>
      <w:r w:rsidRPr="003516DC">
        <w:rPr>
          <w:rFonts w:ascii="Arial" w:hAnsi="Arial" w:cs="Arial"/>
          <w:noProof/>
          <w:lang w:val="en-US" w:eastAsia="en-US"/>
        </w:rPr>
        <w:drawing>
          <wp:inline distT="0" distB="0" distL="0" distR="0" wp14:anchorId="4F4266F0" wp14:editId="30688A10">
            <wp:extent cx="5678424" cy="2926080"/>
            <wp:effectExtent l="0" t="0" r="17780" b="7620"/>
            <wp:docPr id="58" name="Chart 5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B5B2762-267C-4F49-A42C-883D389CCD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CBA4F43" w14:textId="77777777" w:rsidR="00F6026A" w:rsidRPr="003516DC" w:rsidRDefault="00F6026A" w:rsidP="00F6026A">
      <w:pPr>
        <w:rPr>
          <w:rFonts w:ascii="Arial" w:hAnsi="Arial" w:cs="Arial"/>
          <w:i/>
          <w:iCs/>
          <w:sz w:val="16"/>
          <w:szCs w:val="16"/>
        </w:rPr>
      </w:pPr>
      <w:r w:rsidRPr="003516DC">
        <w:rPr>
          <w:rFonts w:ascii="Arial" w:hAnsi="Arial" w:cs="Arial"/>
          <w:i/>
          <w:iCs/>
          <w:sz w:val="16"/>
          <w:szCs w:val="16"/>
        </w:rPr>
        <w:t>Source: NIS, 2020</w:t>
      </w:r>
    </w:p>
    <w:p w14:paraId="327F802D" w14:textId="77777777" w:rsidR="00F6026A" w:rsidRPr="003516DC" w:rsidRDefault="00F6026A" w:rsidP="00F6026A">
      <w:pPr>
        <w:rPr>
          <w:rFonts w:ascii="Arial" w:hAnsi="Arial" w:cs="Arial"/>
          <w:sz w:val="8"/>
        </w:rPr>
      </w:pPr>
    </w:p>
    <w:p w14:paraId="60651916" w14:textId="77777777" w:rsidR="00F6026A" w:rsidRPr="003516DC" w:rsidRDefault="00F6026A" w:rsidP="00F6026A">
      <w:pPr>
        <w:spacing w:after="120"/>
        <w:jc w:val="both"/>
        <w:rPr>
          <w:rFonts w:ascii="Arial" w:hAnsi="Arial" w:cs="Arial"/>
          <w:sz w:val="20"/>
          <w:szCs w:val="20"/>
        </w:rPr>
      </w:pPr>
      <w:r w:rsidRPr="003516DC">
        <w:rPr>
          <w:rFonts w:ascii="Arial" w:hAnsi="Arial" w:cs="Arial"/>
          <w:sz w:val="20"/>
          <w:szCs w:val="20"/>
        </w:rPr>
        <w:t xml:space="preserve">These figures correspond to households that are in a locality where there is general access to gas. This is not based on how many households are in fact connected to the gas network in each locality. While a commune may appear in statistics as having natural gas access, in reality not all villages </w:t>
      </w:r>
      <w:r w:rsidRPr="00D64756">
        <w:rPr>
          <w:rFonts w:ascii="Arial" w:hAnsi="Arial" w:cs="Arial"/>
          <w:sz w:val="20"/>
          <w:szCs w:val="20"/>
        </w:rPr>
        <w:t>fr</w:t>
      </w:r>
      <w:r w:rsidRPr="00D64756">
        <w:rPr>
          <w:rFonts w:ascii="Arial" w:hAnsi="Arial"/>
          <w:sz w:val="20"/>
        </w:rPr>
        <w:t>o</w:t>
      </w:r>
      <w:r w:rsidRPr="00D64756">
        <w:rPr>
          <w:rFonts w:ascii="Arial" w:hAnsi="Arial" w:cs="Arial"/>
          <w:sz w:val="20"/>
          <w:szCs w:val="20"/>
        </w:rPr>
        <w:t>m</w:t>
      </w:r>
      <w:r w:rsidRPr="003516DC">
        <w:rPr>
          <w:rFonts w:ascii="Arial" w:hAnsi="Arial" w:cs="Arial"/>
          <w:sz w:val="20"/>
          <w:szCs w:val="20"/>
        </w:rPr>
        <w:t xml:space="preserve"> the respective commune actually have access – unfortunately data to show access at village-level is not collected. So, the number of households who use gas is in fact slightly lower.</w:t>
      </w:r>
    </w:p>
    <w:p w14:paraId="2180398F" w14:textId="77777777" w:rsidR="00F6026A" w:rsidRPr="0023524A" w:rsidRDefault="00F6026A" w:rsidP="00F6026A">
      <w:pPr>
        <w:jc w:val="both"/>
        <w:rPr>
          <w:rFonts w:ascii="Arial" w:hAnsi="Arial" w:cs="Arial"/>
          <w:sz w:val="20"/>
          <w:szCs w:val="20"/>
        </w:rPr>
      </w:pPr>
      <w:r w:rsidRPr="003516DC">
        <w:rPr>
          <w:rFonts w:ascii="Arial" w:hAnsi="Arial" w:cs="Arial"/>
          <w:sz w:val="20"/>
          <w:szCs w:val="20"/>
        </w:rPr>
        <w:t xml:space="preserve">Mureș stands out as a county with good connectivity to gas, including rural areas. This is reflected in the significantly lower rate of households in energy poverty. </w:t>
      </w:r>
    </w:p>
    <w:p w14:paraId="50591A41" w14:textId="77777777" w:rsidR="00F6026A" w:rsidRPr="003516DC" w:rsidRDefault="00F6026A" w:rsidP="006C46E5">
      <w:pPr>
        <w:spacing w:after="120"/>
        <w:jc w:val="both"/>
        <w:rPr>
          <w:rFonts w:ascii="Arial" w:hAnsi="Arial" w:cs="Arial"/>
          <w:sz w:val="20"/>
          <w:szCs w:val="20"/>
        </w:rPr>
      </w:pPr>
    </w:p>
    <w:p w14:paraId="590270DC" w14:textId="22AABD6C" w:rsidR="0023524A" w:rsidRPr="006C46E5" w:rsidRDefault="00F6026A" w:rsidP="006C46E5">
      <w:pPr>
        <w:spacing w:after="120"/>
        <w:rPr>
          <w:rFonts w:ascii="Arial" w:hAnsi="Arial" w:cs="Arial"/>
          <w:i/>
          <w:iCs/>
          <w:color w:val="0070C0"/>
          <w:sz w:val="20"/>
          <w:szCs w:val="20"/>
        </w:rPr>
      </w:pPr>
      <w:bookmarkStart w:id="69" w:name="_Hlk89707197"/>
      <w:r>
        <w:rPr>
          <w:rFonts w:ascii="Arial" w:hAnsi="Arial" w:cs="Arial"/>
          <w:i/>
          <w:iCs/>
          <w:color w:val="0070C0"/>
          <w:sz w:val="20"/>
          <w:szCs w:val="20"/>
        </w:rPr>
        <w:lastRenderedPageBreak/>
        <w:t>Heating options</w:t>
      </w:r>
      <w:r w:rsidR="00BD2C97">
        <w:rPr>
          <w:rFonts w:ascii="Arial" w:hAnsi="Arial" w:cs="Arial"/>
          <w:i/>
          <w:iCs/>
          <w:color w:val="0070C0"/>
          <w:sz w:val="20"/>
          <w:szCs w:val="20"/>
        </w:rPr>
        <w:t xml:space="preserve"> of vulnerable groups in rural areas</w:t>
      </w:r>
    </w:p>
    <w:bookmarkEnd w:id="69"/>
    <w:p w14:paraId="0C0C525D" w14:textId="134D8AC9" w:rsidR="0023524A" w:rsidRPr="003516DC" w:rsidRDefault="0023524A" w:rsidP="006C46E5">
      <w:pPr>
        <w:spacing w:after="120"/>
        <w:jc w:val="both"/>
        <w:rPr>
          <w:rFonts w:ascii="Arial" w:hAnsi="Arial" w:cs="Arial"/>
          <w:sz w:val="20"/>
          <w:szCs w:val="20"/>
          <w:shd w:val="solid" w:color="FFFFFF" w:fill="FFFFFF"/>
        </w:rPr>
      </w:pPr>
      <w:r w:rsidRPr="003516DC">
        <w:rPr>
          <w:rFonts w:ascii="Arial" w:hAnsi="Arial" w:cs="Arial"/>
          <w:sz w:val="20"/>
          <w:szCs w:val="20"/>
        </w:rPr>
        <w:t xml:space="preserve">Rural Romania is characterised by a low standard of living, limited investment in high-performance and safe installations, limited access to alternative fuels for heating, and unregulated access to firewood. Consumption behaviour and the habit of using certain fuel types cannot be excluded from this discussion. Energy poverty is also more widespread. </w:t>
      </w:r>
      <w:r w:rsidRPr="003516DC">
        <w:rPr>
          <w:rFonts w:ascii="Arial" w:hAnsi="Arial" w:cs="Arial"/>
          <w:sz w:val="20"/>
          <w:szCs w:val="20"/>
          <w:shd w:val="solid" w:color="FFFFFF" w:fill="FFFFFF"/>
        </w:rPr>
        <w:t>European Energy Poverty Observatory</w:t>
      </w:r>
      <w:r w:rsidRPr="003516DC">
        <w:rPr>
          <w:rStyle w:val="FootnoteReference"/>
          <w:rFonts w:ascii="Arial" w:hAnsi="Arial" w:cs="Arial"/>
          <w:sz w:val="20"/>
          <w:szCs w:val="20"/>
          <w:shd w:val="solid" w:color="FFFFFF" w:fill="FFFFFF"/>
        </w:rPr>
        <w:footnoteReference w:id="24"/>
      </w:r>
      <w:r w:rsidRPr="003516DC">
        <w:rPr>
          <w:rFonts w:ascii="Arial" w:hAnsi="Arial" w:cs="Arial"/>
          <w:sz w:val="20"/>
          <w:szCs w:val="20"/>
          <w:shd w:val="solid" w:color="FFFFFF" w:fill="FFFFFF"/>
        </w:rPr>
        <w:t xml:space="preserve"> data shows that there are twice as many utility arrears in the thinly populated areas (14.4%) than in the densely populated regions (7.9%). Investment programmes in energy efficiency in housing have mostly targeted urban households. There is a general lack of national vision for the development of the rural and suburban areas and a lack of local capacity to develop programmes in still overly centralised state structures. </w:t>
      </w:r>
    </w:p>
    <w:p w14:paraId="233DDFBF" w14:textId="494A7ACA" w:rsidR="0023524A" w:rsidRDefault="0023524A" w:rsidP="00610168">
      <w:pPr>
        <w:spacing w:after="120"/>
        <w:jc w:val="both"/>
        <w:rPr>
          <w:rFonts w:ascii="Arial" w:hAnsi="Arial" w:cs="Arial"/>
          <w:sz w:val="20"/>
          <w:szCs w:val="20"/>
          <w:shd w:val="solid" w:color="FFFFFF" w:fill="FFFFFF"/>
        </w:rPr>
      </w:pPr>
      <w:r w:rsidRPr="003516DC">
        <w:rPr>
          <w:rFonts w:ascii="Arial" w:hAnsi="Arial" w:cs="Arial"/>
          <w:sz w:val="20"/>
          <w:szCs w:val="20"/>
          <w:shd w:val="solid" w:color="FFFFFF" w:fill="FFFFFF"/>
        </w:rPr>
        <w:t xml:space="preserve">Moreover, houses in the rural areas have low market values; energy efficiency improvements such as insulation and heating system upgrades can cost more than the value of the building. Investment in energy efficiency will not increase the value of a house if it is located in a place where no one wants to buy. This makes energy efficiency investment challenging in low-income regions with low employment levels, such as rural areas. </w:t>
      </w:r>
      <w:r w:rsidR="00D37820" w:rsidRPr="00D37820">
        <w:t xml:space="preserve"> </w:t>
      </w:r>
    </w:p>
    <w:p w14:paraId="3CE7D614" w14:textId="32815778" w:rsidR="00F6026A" w:rsidRPr="00190BA4" w:rsidRDefault="00F6026A" w:rsidP="00190BA4">
      <w:pPr>
        <w:spacing w:before="120" w:after="120"/>
        <w:jc w:val="both"/>
        <w:rPr>
          <w:rFonts w:ascii="Arial" w:hAnsi="Arial" w:cs="Arial"/>
          <w:sz w:val="20"/>
          <w:szCs w:val="20"/>
          <w:lang w:val="ro-RO"/>
        </w:rPr>
      </w:pPr>
      <w:r w:rsidRPr="006A4C87">
        <w:rPr>
          <w:rFonts w:ascii="Arial" w:hAnsi="Arial" w:cs="Arial"/>
          <w:sz w:val="20"/>
          <w:szCs w:val="20"/>
          <w:lang w:val="ro-RO"/>
        </w:rPr>
        <w:t xml:space="preserve">Based on a </w:t>
      </w:r>
      <w:r>
        <w:rPr>
          <w:rFonts w:ascii="Arial" w:hAnsi="Arial" w:cs="Arial"/>
          <w:sz w:val="20"/>
          <w:szCs w:val="20"/>
          <w:lang w:val="ro-RO"/>
        </w:rPr>
        <w:t xml:space="preserve">2018 </w:t>
      </w:r>
      <w:r w:rsidRPr="006A4C87">
        <w:rPr>
          <w:rFonts w:ascii="Arial" w:hAnsi="Arial" w:cs="Arial"/>
          <w:sz w:val="20"/>
          <w:szCs w:val="20"/>
          <w:lang w:val="ro-RO"/>
        </w:rPr>
        <w:t>study on the usage of natural gas in the residential sector, for a household with average features</w:t>
      </w:r>
      <w:r w:rsidRPr="006A4C87">
        <w:rPr>
          <w:rStyle w:val="FootnoteReference"/>
          <w:rFonts w:ascii="Arial" w:hAnsi="Arial" w:cs="Arial"/>
          <w:sz w:val="20"/>
          <w:szCs w:val="20"/>
          <w:lang w:val="ro-RO"/>
        </w:rPr>
        <w:footnoteReference w:id="25"/>
      </w:r>
      <w:r w:rsidRPr="006A4C87">
        <w:rPr>
          <w:rFonts w:ascii="Arial" w:hAnsi="Arial" w:cs="Arial"/>
          <w:sz w:val="20"/>
          <w:szCs w:val="20"/>
          <w:lang w:val="ro-RO"/>
        </w:rPr>
        <w:t xml:space="preserve"> located in a medium temperature area, it is estimated that </w:t>
      </w:r>
      <w:r>
        <w:rPr>
          <w:rFonts w:ascii="Arial" w:hAnsi="Arial" w:cs="Arial"/>
          <w:sz w:val="20"/>
          <w:szCs w:val="20"/>
          <w:lang w:val="ro-RO"/>
        </w:rPr>
        <w:t xml:space="preserve">electric </w:t>
      </w:r>
      <w:r w:rsidRPr="006A4C87">
        <w:rPr>
          <w:rFonts w:ascii="Arial" w:hAnsi="Arial" w:cs="Arial"/>
          <w:sz w:val="20"/>
          <w:szCs w:val="20"/>
          <w:lang w:val="ro-RO"/>
        </w:rPr>
        <w:t xml:space="preserve">heating would cost three times more than heating based on natural gas, while the cost for gas is only slightly higher than heating with wood. </w:t>
      </w:r>
      <w:r>
        <w:rPr>
          <w:rFonts w:ascii="Arial" w:hAnsi="Arial" w:cs="Arial"/>
          <w:sz w:val="20"/>
          <w:szCs w:val="20"/>
          <w:lang w:val="ro-RO"/>
        </w:rPr>
        <w:t xml:space="preserve">For further details, see Table 12 below. However, in light of recent price developments in the energy markets this assessment should be redone. </w:t>
      </w:r>
    </w:p>
    <w:p w14:paraId="654C4855" w14:textId="25F936EB" w:rsidR="007F6D88" w:rsidRDefault="007F6D88" w:rsidP="007F6D88">
      <w:pPr>
        <w:pStyle w:val="Caption"/>
      </w:pPr>
      <w:bookmarkStart w:id="70" w:name="_Toc90725966"/>
      <w:bookmarkStart w:id="71" w:name="_Toc90727263"/>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FC29CC">
        <w:rPr>
          <w:noProof/>
        </w:rPr>
        <w:t>12</w:t>
      </w:r>
      <w:r w:rsidR="000B273D">
        <w:rPr>
          <w:noProof/>
        </w:rPr>
        <w:fldChar w:fldCharType="end"/>
      </w:r>
      <w:r>
        <w:t>: Estimate</w:t>
      </w:r>
      <w:r w:rsidR="009D61D5">
        <w:t>d</w:t>
      </w:r>
      <w:r>
        <w:t xml:space="preserve"> heating consumption</w:t>
      </w:r>
      <w:bookmarkEnd w:id="70"/>
      <w:bookmarkEnd w:id="71"/>
    </w:p>
    <w:tbl>
      <w:tblPr>
        <w:tblStyle w:val="TableGrid"/>
        <w:tblW w:w="0" w:type="auto"/>
        <w:tblLook w:val="04A0" w:firstRow="1" w:lastRow="0" w:firstColumn="1" w:lastColumn="0" w:noHBand="0" w:noVBand="1"/>
      </w:tblPr>
      <w:tblGrid>
        <w:gridCol w:w="1348"/>
        <w:gridCol w:w="1612"/>
        <w:gridCol w:w="1556"/>
        <w:gridCol w:w="1515"/>
        <w:gridCol w:w="1549"/>
        <w:gridCol w:w="1349"/>
      </w:tblGrid>
      <w:tr w:rsidR="004B7A44" w:rsidRPr="004B7A44" w14:paraId="3C2BF88F" w14:textId="2316FE47" w:rsidTr="004B7A44">
        <w:tc>
          <w:tcPr>
            <w:tcW w:w="1348" w:type="dxa"/>
            <w:shd w:val="clear" w:color="auto" w:fill="002060"/>
            <w:vAlign w:val="center"/>
          </w:tcPr>
          <w:p w14:paraId="763AAEC9" w14:textId="77777777" w:rsidR="004B7A44" w:rsidRPr="004B7A44" w:rsidRDefault="004B7A44" w:rsidP="009D61D5">
            <w:pPr>
              <w:rPr>
                <w:rFonts w:ascii="Arial" w:hAnsi="Arial" w:cs="Arial"/>
                <w:b/>
                <w:bCs/>
                <w:sz w:val="20"/>
                <w:szCs w:val="20"/>
                <w:lang w:eastAsia="en-US"/>
              </w:rPr>
            </w:pPr>
          </w:p>
        </w:tc>
        <w:tc>
          <w:tcPr>
            <w:tcW w:w="1612" w:type="dxa"/>
            <w:shd w:val="clear" w:color="auto" w:fill="002060"/>
            <w:vAlign w:val="center"/>
          </w:tcPr>
          <w:p w14:paraId="44505094" w14:textId="010CA644" w:rsidR="004B7A44" w:rsidRPr="004B7A44" w:rsidRDefault="004B7A44" w:rsidP="009D61D5">
            <w:pPr>
              <w:rPr>
                <w:rFonts w:ascii="Arial" w:hAnsi="Arial" w:cs="Arial"/>
                <w:b/>
                <w:bCs/>
                <w:sz w:val="20"/>
                <w:szCs w:val="20"/>
                <w:lang w:eastAsia="en-US"/>
              </w:rPr>
            </w:pPr>
            <w:r w:rsidRPr="004B7A44">
              <w:rPr>
                <w:rFonts w:ascii="Arial" w:hAnsi="Arial" w:cs="Arial"/>
                <w:b/>
                <w:bCs/>
                <w:sz w:val="20"/>
                <w:szCs w:val="20"/>
                <w:lang w:eastAsia="en-US"/>
              </w:rPr>
              <w:t>kWh/year</w:t>
            </w:r>
          </w:p>
        </w:tc>
        <w:tc>
          <w:tcPr>
            <w:tcW w:w="1556" w:type="dxa"/>
            <w:shd w:val="clear" w:color="auto" w:fill="002060"/>
            <w:vAlign w:val="center"/>
          </w:tcPr>
          <w:p w14:paraId="58300579" w14:textId="22EFF68E" w:rsidR="004B7A44" w:rsidRPr="004B7A44" w:rsidRDefault="004B7A44" w:rsidP="009D61D5">
            <w:pPr>
              <w:rPr>
                <w:rFonts w:ascii="Arial" w:hAnsi="Arial" w:cs="Arial"/>
                <w:b/>
                <w:bCs/>
                <w:sz w:val="20"/>
                <w:szCs w:val="20"/>
                <w:lang w:eastAsia="en-US"/>
              </w:rPr>
            </w:pPr>
            <w:r w:rsidRPr="004B7A44">
              <w:rPr>
                <w:rFonts w:ascii="Arial" w:hAnsi="Arial" w:cs="Arial"/>
                <w:b/>
                <w:bCs/>
                <w:sz w:val="20"/>
                <w:szCs w:val="20"/>
                <w:lang w:eastAsia="en-US"/>
              </w:rPr>
              <w:t>kWh/sq m year</w:t>
            </w:r>
          </w:p>
        </w:tc>
        <w:tc>
          <w:tcPr>
            <w:tcW w:w="1515" w:type="dxa"/>
            <w:shd w:val="clear" w:color="auto" w:fill="002060"/>
            <w:vAlign w:val="center"/>
          </w:tcPr>
          <w:p w14:paraId="454EC647" w14:textId="6CC4E7C7" w:rsidR="004B7A44" w:rsidRPr="004B7A44" w:rsidRDefault="004B7A44" w:rsidP="009D61D5">
            <w:pPr>
              <w:rPr>
                <w:rFonts w:ascii="Arial" w:hAnsi="Arial" w:cs="Arial"/>
                <w:b/>
                <w:bCs/>
                <w:sz w:val="20"/>
                <w:szCs w:val="20"/>
                <w:lang w:eastAsia="en-US"/>
              </w:rPr>
            </w:pPr>
            <w:r w:rsidRPr="004B7A44">
              <w:rPr>
                <w:rFonts w:ascii="Arial" w:hAnsi="Arial" w:cs="Arial"/>
                <w:b/>
                <w:bCs/>
                <w:sz w:val="20"/>
                <w:szCs w:val="20"/>
                <w:lang w:eastAsia="en-US"/>
              </w:rPr>
              <w:t>Price per unit (PPU)</w:t>
            </w:r>
          </w:p>
        </w:tc>
        <w:tc>
          <w:tcPr>
            <w:tcW w:w="1549" w:type="dxa"/>
            <w:shd w:val="clear" w:color="auto" w:fill="002060"/>
            <w:vAlign w:val="center"/>
          </w:tcPr>
          <w:p w14:paraId="7A196B08" w14:textId="3E27839A" w:rsidR="004B7A44" w:rsidRPr="004B7A44" w:rsidRDefault="004B7A44" w:rsidP="009D61D5">
            <w:pPr>
              <w:rPr>
                <w:rFonts w:ascii="Arial" w:hAnsi="Arial" w:cs="Arial"/>
                <w:b/>
                <w:bCs/>
                <w:sz w:val="20"/>
                <w:szCs w:val="20"/>
                <w:lang w:eastAsia="en-US"/>
              </w:rPr>
            </w:pPr>
            <w:r w:rsidRPr="004B7A44">
              <w:rPr>
                <w:rFonts w:ascii="Arial" w:hAnsi="Arial" w:cs="Arial"/>
                <w:b/>
                <w:bCs/>
                <w:sz w:val="20"/>
                <w:szCs w:val="20"/>
                <w:lang w:eastAsia="en-US"/>
              </w:rPr>
              <w:t>PPU/sq m year</w:t>
            </w:r>
          </w:p>
        </w:tc>
        <w:tc>
          <w:tcPr>
            <w:tcW w:w="1349" w:type="dxa"/>
            <w:shd w:val="clear" w:color="auto" w:fill="002060"/>
            <w:vAlign w:val="center"/>
          </w:tcPr>
          <w:p w14:paraId="4425C1AF" w14:textId="27F7D090" w:rsidR="004B7A44" w:rsidRPr="004B7A44" w:rsidRDefault="004B7A44" w:rsidP="009D61D5">
            <w:pPr>
              <w:rPr>
                <w:rFonts w:ascii="Arial" w:hAnsi="Arial" w:cs="Arial"/>
                <w:b/>
                <w:bCs/>
                <w:sz w:val="20"/>
                <w:szCs w:val="20"/>
                <w:lang w:eastAsia="en-US"/>
              </w:rPr>
            </w:pPr>
            <w:r w:rsidRPr="004B7A44">
              <w:rPr>
                <w:rFonts w:ascii="Arial" w:hAnsi="Arial" w:cs="Arial"/>
                <w:b/>
                <w:bCs/>
                <w:sz w:val="20"/>
                <w:szCs w:val="20"/>
                <w:lang w:eastAsia="en-US"/>
              </w:rPr>
              <w:t>Total price/year</w:t>
            </w:r>
          </w:p>
        </w:tc>
      </w:tr>
      <w:tr w:rsidR="004B7A44" w:rsidRPr="004B7A44" w14:paraId="3824BE87" w14:textId="778432E2" w:rsidTr="00E12DC1">
        <w:tc>
          <w:tcPr>
            <w:tcW w:w="8929" w:type="dxa"/>
            <w:gridSpan w:val="6"/>
            <w:shd w:val="clear" w:color="auto" w:fill="4F81BD"/>
            <w:vAlign w:val="center"/>
          </w:tcPr>
          <w:p w14:paraId="25A0FFEA" w14:textId="718E0ED1" w:rsidR="004B7A44" w:rsidRPr="004B7A44" w:rsidRDefault="004B7A44" w:rsidP="009D61D5">
            <w:pPr>
              <w:rPr>
                <w:rFonts w:ascii="Arial" w:hAnsi="Arial" w:cs="Arial"/>
                <w:b/>
                <w:bCs/>
                <w:sz w:val="20"/>
                <w:szCs w:val="20"/>
                <w:lang w:eastAsia="en-US"/>
              </w:rPr>
            </w:pPr>
            <w:r w:rsidRPr="004B7A44">
              <w:rPr>
                <w:rFonts w:ascii="Arial" w:hAnsi="Arial" w:cs="Arial"/>
                <w:b/>
                <w:bCs/>
                <w:color w:val="FFFFFF" w:themeColor="background1"/>
                <w:sz w:val="20"/>
                <w:szCs w:val="20"/>
                <w:lang w:eastAsia="en-US"/>
              </w:rPr>
              <w:t>Brick construction</w:t>
            </w:r>
          </w:p>
        </w:tc>
      </w:tr>
      <w:tr w:rsidR="004B7A44" w:rsidRPr="004B7A44" w14:paraId="479C1ECA" w14:textId="2C867892" w:rsidTr="004B7A44">
        <w:tc>
          <w:tcPr>
            <w:tcW w:w="1348" w:type="dxa"/>
            <w:vAlign w:val="center"/>
          </w:tcPr>
          <w:p w14:paraId="74AE25F8" w14:textId="07087B75" w:rsidR="004B7A44" w:rsidRPr="004B7A44" w:rsidRDefault="004B7A44" w:rsidP="009D61D5">
            <w:pPr>
              <w:rPr>
                <w:rFonts w:ascii="Arial" w:hAnsi="Arial" w:cs="Arial"/>
                <w:sz w:val="20"/>
                <w:szCs w:val="20"/>
                <w:lang w:eastAsia="en-US"/>
              </w:rPr>
            </w:pPr>
            <w:r>
              <w:rPr>
                <w:rFonts w:ascii="Arial" w:hAnsi="Arial" w:cs="Arial"/>
                <w:sz w:val="20"/>
                <w:szCs w:val="20"/>
                <w:lang w:eastAsia="en-US"/>
              </w:rPr>
              <w:t>Gas</w:t>
            </w:r>
          </w:p>
        </w:tc>
        <w:tc>
          <w:tcPr>
            <w:tcW w:w="1612" w:type="dxa"/>
            <w:vAlign w:val="center"/>
          </w:tcPr>
          <w:p w14:paraId="57F38EA2" w14:textId="70EF4757" w:rsidR="004B7A44" w:rsidRPr="004B7A44" w:rsidRDefault="004B7A44" w:rsidP="009D61D5">
            <w:pPr>
              <w:rPr>
                <w:rFonts w:ascii="Arial" w:hAnsi="Arial" w:cs="Arial"/>
                <w:sz w:val="20"/>
                <w:szCs w:val="20"/>
                <w:lang w:eastAsia="en-US"/>
              </w:rPr>
            </w:pPr>
            <w:r>
              <w:rPr>
                <w:rFonts w:ascii="Arial" w:hAnsi="Arial" w:cs="Arial"/>
                <w:sz w:val="20"/>
                <w:szCs w:val="20"/>
                <w:lang w:eastAsia="en-US"/>
              </w:rPr>
              <w:t>83,517</w:t>
            </w:r>
          </w:p>
        </w:tc>
        <w:tc>
          <w:tcPr>
            <w:tcW w:w="1556" w:type="dxa"/>
            <w:vAlign w:val="center"/>
          </w:tcPr>
          <w:p w14:paraId="35B3BA4A" w14:textId="75B41B6B" w:rsidR="004B7A44" w:rsidRPr="004B7A44" w:rsidRDefault="004B7A44" w:rsidP="009D61D5">
            <w:pPr>
              <w:rPr>
                <w:rFonts w:ascii="Arial" w:hAnsi="Arial" w:cs="Arial"/>
                <w:sz w:val="20"/>
                <w:szCs w:val="20"/>
                <w:lang w:eastAsia="en-US"/>
              </w:rPr>
            </w:pPr>
            <w:r>
              <w:rPr>
                <w:rFonts w:ascii="Arial" w:hAnsi="Arial" w:cs="Arial"/>
                <w:sz w:val="20"/>
                <w:szCs w:val="20"/>
                <w:lang w:eastAsia="en-US"/>
              </w:rPr>
              <w:t>1,119.1</w:t>
            </w:r>
          </w:p>
        </w:tc>
        <w:tc>
          <w:tcPr>
            <w:tcW w:w="1515" w:type="dxa"/>
            <w:vAlign w:val="center"/>
          </w:tcPr>
          <w:p w14:paraId="4AFE6FC4" w14:textId="1159DF69" w:rsidR="004B7A44" w:rsidRPr="004B7A44" w:rsidRDefault="004B7A44" w:rsidP="009D61D5">
            <w:pPr>
              <w:rPr>
                <w:rFonts w:ascii="Arial" w:hAnsi="Arial" w:cs="Arial"/>
                <w:sz w:val="20"/>
                <w:szCs w:val="20"/>
                <w:lang w:eastAsia="en-US"/>
              </w:rPr>
            </w:pPr>
            <w:r>
              <w:rPr>
                <w:rFonts w:ascii="Arial" w:hAnsi="Arial" w:cs="Arial"/>
                <w:sz w:val="20"/>
                <w:szCs w:val="20"/>
                <w:lang w:eastAsia="en-US"/>
              </w:rPr>
              <w:t>0.122</w:t>
            </w:r>
          </w:p>
        </w:tc>
        <w:tc>
          <w:tcPr>
            <w:tcW w:w="1549" w:type="dxa"/>
            <w:vAlign w:val="center"/>
          </w:tcPr>
          <w:p w14:paraId="1E12859A" w14:textId="67F01EC2" w:rsidR="004B7A44" w:rsidRPr="004B7A44" w:rsidRDefault="004B7A44" w:rsidP="009D61D5">
            <w:pPr>
              <w:rPr>
                <w:rFonts w:ascii="Arial" w:hAnsi="Arial" w:cs="Arial"/>
                <w:sz w:val="20"/>
                <w:szCs w:val="20"/>
                <w:lang w:eastAsia="en-US"/>
              </w:rPr>
            </w:pPr>
            <w:r>
              <w:rPr>
                <w:rFonts w:ascii="Arial" w:hAnsi="Arial" w:cs="Arial"/>
                <w:sz w:val="20"/>
                <w:szCs w:val="20"/>
                <w:lang w:eastAsia="en-US"/>
              </w:rPr>
              <w:t>136.530</w:t>
            </w:r>
          </w:p>
        </w:tc>
        <w:tc>
          <w:tcPr>
            <w:tcW w:w="1349" w:type="dxa"/>
            <w:vAlign w:val="center"/>
          </w:tcPr>
          <w:p w14:paraId="3DCC343C" w14:textId="76CCF579" w:rsidR="004B7A44" w:rsidRPr="004B7A44" w:rsidRDefault="004B7A44" w:rsidP="009D61D5">
            <w:pPr>
              <w:rPr>
                <w:rFonts w:ascii="Arial" w:hAnsi="Arial" w:cs="Arial"/>
                <w:sz w:val="20"/>
                <w:szCs w:val="20"/>
                <w:lang w:eastAsia="en-US"/>
              </w:rPr>
            </w:pPr>
            <w:r>
              <w:rPr>
                <w:rFonts w:ascii="Arial" w:hAnsi="Arial" w:cs="Arial"/>
                <w:sz w:val="20"/>
                <w:szCs w:val="20"/>
                <w:lang w:eastAsia="en-US"/>
              </w:rPr>
              <w:t>10,189.</w:t>
            </w:r>
            <w:r w:rsidR="00610168">
              <w:rPr>
                <w:rFonts w:ascii="Arial" w:hAnsi="Arial" w:cs="Arial"/>
                <w:sz w:val="20"/>
                <w:szCs w:val="20"/>
                <w:lang w:eastAsia="en-US"/>
              </w:rPr>
              <w:t>074</w:t>
            </w:r>
          </w:p>
        </w:tc>
      </w:tr>
      <w:tr w:rsidR="004B7A44" w:rsidRPr="004B7A44" w14:paraId="1BE8F800" w14:textId="5DFCA84E" w:rsidTr="004B7A44">
        <w:tc>
          <w:tcPr>
            <w:tcW w:w="1348" w:type="dxa"/>
            <w:vAlign w:val="center"/>
          </w:tcPr>
          <w:p w14:paraId="4B560DEA" w14:textId="0FB6D1E0" w:rsidR="004B7A44" w:rsidRPr="004B7A44" w:rsidRDefault="004B7A44" w:rsidP="009D61D5">
            <w:pPr>
              <w:rPr>
                <w:rFonts w:ascii="Arial" w:hAnsi="Arial" w:cs="Arial"/>
                <w:sz w:val="20"/>
                <w:szCs w:val="20"/>
                <w:lang w:eastAsia="en-US"/>
              </w:rPr>
            </w:pPr>
            <w:r>
              <w:rPr>
                <w:rFonts w:ascii="Arial" w:hAnsi="Arial" w:cs="Arial"/>
                <w:sz w:val="20"/>
                <w:szCs w:val="20"/>
                <w:lang w:eastAsia="en-US"/>
              </w:rPr>
              <w:t>Electricity</w:t>
            </w:r>
          </w:p>
        </w:tc>
        <w:tc>
          <w:tcPr>
            <w:tcW w:w="1612" w:type="dxa"/>
            <w:vAlign w:val="center"/>
          </w:tcPr>
          <w:p w14:paraId="3F609E61" w14:textId="18E86CEC" w:rsidR="004B7A44" w:rsidRPr="004B7A44" w:rsidRDefault="004B7A44" w:rsidP="009D61D5">
            <w:pPr>
              <w:rPr>
                <w:rFonts w:ascii="Arial" w:hAnsi="Arial" w:cs="Arial"/>
                <w:sz w:val="20"/>
                <w:szCs w:val="20"/>
                <w:lang w:eastAsia="en-US"/>
              </w:rPr>
            </w:pPr>
            <w:r>
              <w:rPr>
                <w:rFonts w:ascii="Arial" w:hAnsi="Arial" w:cs="Arial"/>
                <w:sz w:val="20"/>
                <w:szCs w:val="20"/>
                <w:lang w:eastAsia="en-US"/>
              </w:rPr>
              <w:t>47,971</w:t>
            </w:r>
          </w:p>
        </w:tc>
        <w:tc>
          <w:tcPr>
            <w:tcW w:w="1556" w:type="dxa"/>
            <w:vAlign w:val="center"/>
          </w:tcPr>
          <w:p w14:paraId="78A8B6F1" w14:textId="0225A2F8" w:rsidR="004B7A44" w:rsidRPr="004B7A44" w:rsidRDefault="004B7A44" w:rsidP="009D61D5">
            <w:pPr>
              <w:rPr>
                <w:rFonts w:ascii="Arial" w:hAnsi="Arial" w:cs="Arial"/>
                <w:sz w:val="20"/>
                <w:szCs w:val="20"/>
                <w:lang w:eastAsia="en-US"/>
              </w:rPr>
            </w:pPr>
            <w:r>
              <w:rPr>
                <w:rFonts w:ascii="Arial" w:hAnsi="Arial" w:cs="Arial"/>
                <w:sz w:val="20"/>
                <w:szCs w:val="20"/>
                <w:lang w:eastAsia="en-US"/>
              </w:rPr>
              <w:t>1,426.6</w:t>
            </w:r>
          </w:p>
        </w:tc>
        <w:tc>
          <w:tcPr>
            <w:tcW w:w="1515" w:type="dxa"/>
            <w:vAlign w:val="center"/>
          </w:tcPr>
          <w:p w14:paraId="7B7F353B" w14:textId="19478619" w:rsidR="004B7A44" w:rsidRPr="004B7A44" w:rsidRDefault="004B7A44" w:rsidP="009D61D5">
            <w:pPr>
              <w:rPr>
                <w:rFonts w:ascii="Arial" w:hAnsi="Arial" w:cs="Arial"/>
                <w:sz w:val="20"/>
                <w:szCs w:val="20"/>
                <w:lang w:eastAsia="en-US"/>
              </w:rPr>
            </w:pPr>
            <w:r>
              <w:rPr>
                <w:rFonts w:ascii="Arial" w:hAnsi="Arial" w:cs="Arial"/>
                <w:sz w:val="20"/>
                <w:szCs w:val="20"/>
                <w:lang w:eastAsia="en-US"/>
              </w:rPr>
              <w:t>0.639</w:t>
            </w:r>
          </w:p>
        </w:tc>
        <w:tc>
          <w:tcPr>
            <w:tcW w:w="1549" w:type="dxa"/>
            <w:vAlign w:val="center"/>
          </w:tcPr>
          <w:p w14:paraId="5A2A1809" w14:textId="17874270" w:rsidR="004B7A44" w:rsidRPr="004B7A44" w:rsidRDefault="004B7A44" w:rsidP="009D61D5">
            <w:pPr>
              <w:rPr>
                <w:rFonts w:ascii="Arial" w:hAnsi="Arial" w:cs="Arial"/>
                <w:sz w:val="20"/>
                <w:szCs w:val="20"/>
                <w:lang w:eastAsia="en-US"/>
              </w:rPr>
            </w:pPr>
            <w:r>
              <w:rPr>
                <w:rFonts w:ascii="Arial" w:hAnsi="Arial" w:cs="Arial"/>
                <w:sz w:val="20"/>
                <w:szCs w:val="20"/>
                <w:lang w:eastAsia="en-US"/>
              </w:rPr>
              <w:t>912.596</w:t>
            </w:r>
          </w:p>
        </w:tc>
        <w:tc>
          <w:tcPr>
            <w:tcW w:w="1349" w:type="dxa"/>
            <w:vAlign w:val="center"/>
          </w:tcPr>
          <w:p w14:paraId="40D18F41" w14:textId="0F62586B" w:rsidR="004B7A44" w:rsidRPr="004B7A44" w:rsidRDefault="00610168" w:rsidP="009D61D5">
            <w:pPr>
              <w:rPr>
                <w:rFonts w:ascii="Arial" w:hAnsi="Arial" w:cs="Arial"/>
                <w:sz w:val="20"/>
                <w:szCs w:val="20"/>
                <w:lang w:eastAsia="en-US"/>
              </w:rPr>
            </w:pPr>
            <w:r>
              <w:rPr>
                <w:rFonts w:ascii="Arial" w:hAnsi="Arial" w:cs="Arial"/>
                <w:sz w:val="20"/>
                <w:szCs w:val="20"/>
                <w:lang w:eastAsia="en-US"/>
              </w:rPr>
              <w:t>30,687.048</w:t>
            </w:r>
          </w:p>
        </w:tc>
      </w:tr>
      <w:tr w:rsidR="004B7A44" w:rsidRPr="004B7A44" w14:paraId="5A5B9CFF" w14:textId="77777777" w:rsidTr="004B7A44">
        <w:tc>
          <w:tcPr>
            <w:tcW w:w="1348" w:type="dxa"/>
            <w:vAlign w:val="center"/>
          </w:tcPr>
          <w:p w14:paraId="2347BA97" w14:textId="4D374263" w:rsidR="004B7A44" w:rsidRPr="004B7A44" w:rsidRDefault="004B7A44" w:rsidP="009D61D5">
            <w:pPr>
              <w:rPr>
                <w:rFonts w:ascii="Arial" w:hAnsi="Arial" w:cs="Arial"/>
                <w:sz w:val="20"/>
                <w:szCs w:val="20"/>
                <w:lang w:eastAsia="en-US"/>
              </w:rPr>
            </w:pPr>
            <w:r>
              <w:rPr>
                <w:rFonts w:ascii="Arial" w:hAnsi="Arial" w:cs="Arial"/>
                <w:sz w:val="20"/>
                <w:szCs w:val="20"/>
                <w:lang w:eastAsia="en-US"/>
              </w:rPr>
              <w:t>Wood</w:t>
            </w:r>
          </w:p>
        </w:tc>
        <w:tc>
          <w:tcPr>
            <w:tcW w:w="1612" w:type="dxa"/>
            <w:vAlign w:val="center"/>
          </w:tcPr>
          <w:p w14:paraId="11CDFA1E" w14:textId="2ED3D7DA" w:rsidR="004B7A44" w:rsidRPr="004B7A44" w:rsidRDefault="004B7A44" w:rsidP="009D61D5">
            <w:pPr>
              <w:rPr>
                <w:rFonts w:ascii="Arial" w:hAnsi="Arial" w:cs="Arial"/>
                <w:sz w:val="20"/>
                <w:szCs w:val="20"/>
                <w:lang w:eastAsia="en-US"/>
              </w:rPr>
            </w:pPr>
            <w:r>
              <w:rPr>
                <w:rFonts w:ascii="Arial" w:hAnsi="Arial" w:cs="Arial"/>
                <w:sz w:val="20"/>
                <w:szCs w:val="20"/>
                <w:lang w:eastAsia="en-US"/>
              </w:rPr>
              <w:t>106,469</w:t>
            </w:r>
          </w:p>
        </w:tc>
        <w:tc>
          <w:tcPr>
            <w:tcW w:w="1556" w:type="dxa"/>
            <w:vAlign w:val="center"/>
          </w:tcPr>
          <w:p w14:paraId="2600FA69" w14:textId="118AC8AF" w:rsidR="004B7A44" w:rsidRPr="004B7A44" w:rsidRDefault="004B7A44" w:rsidP="009D61D5">
            <w:pPr>
              <w:rPr>
                <w:rFonts w:ascii="Arial" w:hAnsi="Arial" w:cs="Arial"/>
                <w:sz w:val="20"/>
                <w:szCs w:val="20"/>
                <w:lang w:eastAsia="en-US"/>
              </w:rPr>
            </w:pPr>
            <w:r>
              <w:rPr>
                <w:rFonts w:ascii="Arial" w:hAnsi="Arial" w:cs="Arial"/>
                <w:sz w:val="20"/>
                <w:szCs w:val="20"/>
                <w:lang w:eastAsia="en-US"/>
              </w:rPr>
              <w:t>1,191.2</w:t>
            </w:r>
          </w:p>
        </w:tc>
        <w:tc>
          <w:tcPr>
            <w:tcW w:w="1515" w:type="dxa"/>
            <w:vAlign w:val="center"/>
          </w:tcPr>
          <w:p w14:paraId="0E9359C0" w14:textId="34159FC5" w:rsidR="004B7A44" w:rsidRPr="004B7A44" w:rsidRDefault="004B7A44" w:rsidP="009D61D5">
            <w:pPr>
              <w:rPr>
                <w:rFonts w:ascii="Arial" w:hAnsi="Arial" w:cs="Arial"/>
                <w:sz w:val="20"/>
                <w:szCs w:val="20"/>
                <w:lang w:eastAsia="en-US"/>
              </w:rPr>
            </w:pPr>
            <w:r>
              <w:rPr>
                <w:rFonts w:ascii="Arial" w:hAnsi="Arial" w:cs="Arial"/>
                <w:sz w:val="20"/>
                <w:szCs w:val="20"/>
                <w:lang w:eastAsia="en-US"/>
              </w:rPr>
              <w:t>0.086</w:t>
            </w:r>
          </w:p>
        </w:tc>
        <w:tc>
          <w:tcPr>
            <w:tcW w:w="1549" w:type="dxa"/>
            <w:vAlign w:val="center"/>
          </w:tcPr>
          <w:p w14:paraId="45E6D8CA" w14:textId="3AC9B7E9" w:rsidR="004B7A44" w:rsidRPr="004B7A44" w:rsidRDefault="004B7A44" w:rsidP="009D61D5">
            <w:pPr>
              <w:rPr>
                <w:rFonts w:ascii="Arial" w:hAnsi="Arial" w:cs="Arial"/>
                <w:sz w:val="20"/>
                <w:szCs w:val="20"/>
                <w:lang w:eastAsia="en-US"/>
              </w:rPr>
            </w:pPr>
            <w:r>
              <w:rPr>
                <w:rFonts w:ascii="Arial" w:hAnsi="Arial" w:cs="Arial"/>
                <w:sz w:val="20"/>
                <w:szCs w:val="20"/>
                <w:lang w:eastAsia="en-US"/>
              </w:rPr>
              <w:t>102.443</w:t>
            </w:r>
          </w:p>
        </w:tc>
        <w:tc>
          <w:tcPr>
            <w:tcW w:w="1349" w:type="dxa"/>
            <w:vAlign w:val="center"/>
          </w:tcPr>
          <w:p w14:paraId="4417A682" w14:textId="26591838" w:rsidR="004B7A44" w:rsidRPr="004B7A44" w:rsidRDefault="00610168" w:rsidP="009D61D5">
            <w:pPr>
              <w:rPr>
                <w:rFonts w:ascii="Arial" w:hAnsi="Arial" w:cs="Arial"/>
                <w:sz w:val="20"/>
                <w:szCs w:val="20"/>
                <w:lang w:eastAsia="en-US"/>
              </w:rPr>
            </w:pPr>
            <w:r>
              <w:rPr>
                <w:rFonts w:ascii="Arial" w:hAnsi="Arial" w:cs="Arial"/>
                <w:sz w:val="20"/>
                <w:szCs w:val="20"/>
                <w:lang w:eastAsia="en-US"/>
              </w:rPr>
              <w:t>9,156.334</w:t>
            </w:r>
          </w:p>
        </w:tc>
      </w:tr>
      <w:tr w:rsidR="004B7A44" w:rsidRPr="004B7A44" w14:paraId="1C2E4DDA" w14:textId="77777777" w:rsidTr="00E12DC1">
        <w:tc>
          <w:tcPr>
            <w:tcW w:w="8929" w:type="dxa"/>
            <w:gridSpan w:val="6"/>
            <w:shd w:val="clear" w:color="auto" w:fill="4F81BD"/>
            <w:vAlign w:val="center"/>
          </w:tcPr>
          <w:p w14:paraId="5F1DFAE0" w14:textId="6A1EC8FD" w:rsidR="004B7A44" w:rsidRPr="004B7A44" w:rsidRDefault="004B7A44" w:rsidP="009D61D5">
            <w:pPr>
              <w:rPr>
                <w:rFonts w:ascii="Arial" w:hAnsi="Arial" w:cs="Arial"/>
                <w:b/>
                <w:bCs/>
                <w:sz w:val="20"/>
                <w:szCs w:val="20"/>
                <w:lang w:eastAsia="en-US"/>
              </w:rPr>
            </w:pPr>
            <w:r w:rsidRPr="004B7A44">
              <w:rPr>
                <w:rFonts w:ascii="Arial" w:hAnsi="Arial" w:cs="Arial"/>
                <w:b/>
                <w:bCs/>
                <w:color w:val="FFFFFF" w:themeColor="background1"/>
                <w:sz w:val="20"/>
                <w:szCs w:val="20"/>
                <w:lang w:eastAsia="en-US"/>
              </w:rPr>
              <w:t>Timber frame construction</w:t>
            </w:r>
          </w:p>
        </w:tc>
      </w:tr>
      <w:tr w:rsidR="004B7A44" w:rsidRPr="004B7A44" w14:paraId="774FC140" w14:textId="77777777" w:rsidTr="004B7A44">
        <w:tc>
          <w:tcPr>
            <w:tcW w:w="1348" w:type="dxa"/>
            <w:vAlign w:val="center"/>
          </w:tcPr>
          <w:p w14:paraId="376D5BF1" w14:textId="5C0062EE" w:rsidR="004B7A44" w:rsidRPr="004B7A44" w:rsidRDefault="004B7A44" w:rsidP="004B7A44">
            <w:pPr>
              <w:rPr>
                <w:rFonts w:ascii="Arial" w:hAnsi="Arial" w:cs="Arial"/>
                <w:sz w:val="20"/>
                <w:szCs w:val="20"/>
                <w:lang w:eastAsia="en-US"/>
              </w:rPr>
            </w:pPr>
            <w:r>
              <w:rPr>
                <w:rFonts w:ascii="Arial" w:hAnsi="Arial" w:cs="Arial"/>
                <w:sz w:val="20"/>
                <w:szCs w:val="20"/>
                <w:lang w:eastAsia="en-US"/>
              </w:rPr>
              <w:t>Gas</w:t>
            </w:r>
          </w:p>
        </w:tc>
        <w:tc>
          <w:tcPr>
            <w:tcW w:w="1612" w:type="dxa"/>
            <w:vAlign w:val="center"/>
          </w:tcPr>
          <w:p w14:paraId="796D0BC8" w14:textId="7AD7FACA" w:rsidR="004B7A44" w:rsidRPr="004B7A44" w:rsidRDefault="00610168" w:rsidP="004B7A44">
            <w:pPr>
              <w:rPr>
                <w:rFonts w:ascii="Arial" w:hAnsi="Arial" w:cs="Arial"/>
                <w:sz w:val="20"/>
                <w:szCs w:val="20"/>
                <w:lang w:eastAsia="en-US"/>
              </w:rPr>
            </w:pPr>
            <w:r>
              <w:rPr>
                <w:rFonts w:ascii="Arial" w:hAnsi="Arial" w:cs="Arial"/>
                <w:sz w:val="20"/>
                <w:szCs w:val="20"/>
                <w:lang w:eastAsia="en-US"/>
              </w:rPr>
              <w:t>80,688</w:t>
            </w:r>
          </w:p>
        </w:tc>
        <w:tc>
          <w:tcPr>
            <w:tcW w:w="1556" w:type="dxa"/>
            <w:vAlign w:val="center"/>
          </w:tcPr>
          <w:p w14:paraId="6769F2B0" w14:textId="1BB1562F" w:rsidR="004B7A44" w:rsidRPr="004B7A44" w:rsidRDefault="00610168" w:rsidP="004B7A44">
            <w:pPr>
              <w:rPr>
                <w:rFonts w:ascii="Arial" w:hAnsi="Arial" w:cs="Arial"/>
                <w:sz w:val="20"/>
                <w:szCs w:val="20"/>
                <w:lang w:eastAsia="en-US"/>
              </w:rPr>
            </w:pPr>
            <w:r>
              <w:rPr>
                <w:rFonts w:ascii="Arial" w:hAnsi="Arial" w:cs="Arial"/>
                <w:sz w:val="20"/>
                <w:szCs w:val="20"/>
                <w:lang w:eastAsia="en-US"/>
              </w:rPr>
              <w:t>1,081.2</w:t>
            </w:r>
          </w:p>
        </w:tc>
        <w:tc>
          <w:tcPr>
            <w:tcW w:w="1515" w:type="dxa"/>
            <w:vAlign w:val="center"/>
          </w:tcPr>
          <w:p w14:paraId="66902DAA" w14:textId="6C4580F0" w:rsidR="004B7A44" w:rsidRPr="004B7A44" w:rsidRDefault="00610168" w:rsidP="004B7A44">
            <w:pPr>
              <w:rPr>
                <w:rFonts w:ascii="Arial" w:hAnsi="Arial" w:cs="Arial"/>
                <w:sz w:val="20"/>
                <w:szCs w:val="20"/>
                <w:lang w:eastAsia="en-US"/>
              </w:rPr>
            </w:pPr>
            <w:r>
              <w:rPr>
                <w:rFonts w:ascii="Arial" w:hAnsi="Arial" w:cs="Arial"/>
                <w:sz w:val="20"/>
                <w:szCs w:val="20"/>
                <w:lang w:eastAsia="en-US"/>
              </w:rPr>
              <w:t>0.122</w:t>
            </w:r>
          </w:p>
        </w:tc>
        <w:tc>
          <w:tcPr>
            <w:tcW w:w="1549" w:type="dxa"/>
            <w:vAlign w:val="center"/>
          </w:tcPr>
          <w:p w14:paraId="4434C9E5" w14:textId="69FDA334" w:rsidR="004B7A44" w:rsidRPr="004B7A44" w:rsidRDefault="00610168" w:rsidP="004B7A44">
            <w:pPr>
              <w:rPr>
                <w:rFonts w:ascii="Arial" w:hAnsi="Arial" w:cs="Arial"/>
                <w:sz w:val="20"/>
                <w:szCs w:val="20"/>
                <w:lang w:eastAsia="en-US"/>
              </w:rPr>
            </w:pPr>
            <w:r>
              <w:rPr>
                <w:rFonts w:ascii="Arial" w:hAnsi="Arial" w:cs="Arial"/>
                <w:sz w:val="20"/>
                <w:szCs w:val="20"/>
                <w:lang w:eastAsia="en-US"/>
              </w:rPr>
              <w:t>131.906</w:t>
            </w:r>
          </w:p>
        </w:tc>
        <w:tc>
          <w:tcPr>
            <w:tcW w:w="1349" w:type="dxa"/>
            <w:vAlign w:val="center"/>
          </w:tcPr>
          <w:p w14:paraId="383228B0" w14:textId="640157FD" w:rsidR="004B7A44" w:rsidRPr="004B7A44" w:rsidRDefault="00610168" w:rsidP="004B7A44">
            <w:pPr>
              <w:rPr>
                <w:rFonts w:ascii="Arial" w:hAnsi="Arial" w:cs="Arial"/>
                <w:sz w:val="20"/>
                <w:szCs w:val="20"/>
                <w:lang w:eastAsia="en-US"/>
              </w:rPr>
            </w:pPr>
            <w:r>
              <w:rPr>
                <w:rFonts w:ascii="Arial" w:hAnsi="Arial" w:cs="Arial"/>
                <w:sz w:val="20"/>
                <w:szCs w:val="20"/>
                <w:lang w:eastAsia="en-US"/>
              </w:rPr>
              <w:t>9,843.936</w:t>
            </w:r>
          </w:p>
        </w:tc>
      </w:tr>
      <w:tr w:rsidR="00610168" w:rsidRPr="004B7A44" w14:paraId="2C066E11" w14:textId="77777777" w:rsidTr="004B7A44">
        <w:tc>
          <w:tcPr>
            <w:tcW w:w="1348" w:type="dxa"/>
            <w:vAlign w:val="center"/>
          </w:tcPr>
          <w:p w14:paraId="49B5A1DF" w14:textId="15E032AF" w:rsidR="00610168" w:rsidRPr="004B7A44" w:rsidRDefault="00610168" w:rsidP="00610168">
            <w:pPr>
              <w:rPr>
                <w:rFonts w:ascii="Arial" w:hAnsi="Arial" w:cs="Arial"/>
                <w:sz w:val="20"/>
                <w:szCs w:val="20"/>
                <w:lang w:eastAsia="en-US"/>
              </w:rPr>
            </w:pPr>
            <w:r>
              <w:rPr>
                <w:rFonts w:ascii="Arial" w:hAnsi="Arial" w:cs="Arial"/>
                <w:sz w:val="20"/>
                <w:szCs w:val="20"/>
                <w:lang w:eastAsia="en-US"/>
              </w:rPr>
              <w:t>Electricity</w:t>
            </w:r>
          </w:p>
        </w:tc>
        <w:tc>
          <w:tcPr>
            <w:tcW w:w="1612" w:type="dxa"/>
            <w:vAlign w:val="center"/>
          </w:tcPr>
          <w:p w14:paraId="580FB7F6" w14:textId="307310B2" w:rsidR="00610168" w:rsidRPr="004B7A44" w:rsidRDefault="00610168" w:rsidP="00610168">
            <w:pPr>
              <w:rPr>
                <w:rFonts w:ascii="Arial" w:hAnsi="Arial" w:cs="Arial"/>
                <w:sz w:val="20"/>
                <w:szCs w:val="20"/>
                <w:lang w:eastAsia="en-US"/>
              </w:rPr>
            </w:pPr>
            <w:r>
              <w:rPr>
                <w:rFonts w:ascii="Arial" w:hAnsi="Arial" w:cs="Arial"/>
                <w:sz w:val="20"/>
                <w:szCs w:val="20"/>
                <w:lang w:eastAsia="en-US"/>
              </w:rPr>
              <w:t>46,346</w:t>
            </w:r>
          </w:p>
        </w:tc>
        <w:tc>
          <w:tcPr>
            <w:tcW w:w="1556" w:type="dxa"/>
            <w:vAlign w:val="center"/>
          </w:tcPr>
          <w:p w14:paraId="6E112AF0" w14:textId="3DC5D7B0" w:rsidR="00610168" w:rsidRPr="004B7A44" w:rsidRDefault="00610168" w:rsidP="00610168">
            <w:pPr>
              <w:rPr>
                <w:rFonts w:ascii="Arial" w:hAnsi="Arial" w:cs="Arial"/>
                <w:sz w:val="20"/>
                <w:szCs w:val="20"/>
                <w:lang w:eastAsia="en-US"/>
              </w:rPr>
            </w:pPr>
            <w:r>
              <w:rPr>
                <w:rFonts w:ascii="Arial" w:hAnsi="Arial" w:cs="Arial"/>
                <w:sz w:val="20"/>
                <w:szCs w:val="20"/>
                <w:lang w:eastAsia="en-US"/>
              </w:rPr>
              <w:t>1,378.3</w:t>
            </w:r>
          </w:p>
        </w:tc>
        <w:tc>
          <w:tcPr>
            <w:tcW w:w="1515" w:type="dxa"/>
            <w:vAlign w:val="center"/>
          </w:tcPr>
          <w:p w14:paraId="23A91979" w14:textId="732E2BD3" w:rsidR="00610168" w:rsidRPr="004B7A44" w:rsidRDefault="00610168" w:rsidP="00610168">
            <w:pPr>
              <w:rPr>
                <w:rFonts w:ascii="Arial" w:hAnsi="Arial" w:cs="Arial"/>
                <w:sz w:val="20"/>
                <w:szCs w:val="20"/>
                <w:lang w:eastAsia="en-US"/>
              </w:rPr>
            </w:pPr>
            <w:r>
              <w:rPr>
                <w:rFonts w:ascii="Arial" w:hAnsi="Arial" w:cs="Arial"/>
                <w:sz w:val="20"/>
                <w:szCs w:val="20"/>
                <w:lang w:eastAsia="en-US"/>
              </w:rPr>
              <w:t>0.639</w:t>
            </w:r>
          </w:p>
        </w:tc>
        <w:tc>
          <w:tcPr>
            <w:tcW w:w="1549" w:type="dxa"/>
            <w:vAlign w:val="center"/>
          </w:tcPr>
          <w:p w14:paraId="2942FA2B" w14:textId="630B93D0" w:rsidR="00610168" w:rsidRPr="004B7A44" w:rsidRDefault="00610168" w:rsidP="00610168">
            <w:pPr>
              <w:rPr>
                <w:rFonts w:ascii="Arial" w:hAnsi="Arial" w:cs="Arial"/>
                <w:sz w:val="20"/>
                <w:szCs w:val="20"/>
                <w:lang w:eastAsia="en-US"/>
              </w:rPr>
            </w:pPr>
            <w:r>
              <w:rPr>
                <w:rFonts w:ascii="Arial" w:hAnsi="Arial" w:cs="Arial"/>
                <w:sz w:val="20"/>
                <w:szCs w:val="20"/>
                <w:lang w:eastAsia="en-US"/>
              </w:rPr>
              <w:t>881.698</w:t>
            </w:r>
          </w:p>
        </w:tc>
        <w:tc>
          <w:tcPr>
            <w:tcW w:w="1349" w:type="dxa"/>
            <w:vAlign w:val="center"/>
          </w:tcPr>
          <w:p w14:paraId="09841AD7" w14:textId="4D51EB79" w:rsidR="00610168" w:rsidRPr="004B7A44" w:rsidRDefault="00610168" w:rsidP="00610168">
            <w:pPr>
              <w:rPr>
                <w:rFonts w:ascii="Arial" w:hAnsi="Arial" w:cs="Arial"/>
                <w:sz w:val="20"/>
                <w:szCs w:val="20"/>
                <w:lang w:eastAsia="en-US"/>
              </w:rPr>
            </w:pPr>
            <w:r>
              <w:rPr>
                <w:rFonts w:ascii="Arial" w:hAnsi="Arial" w:cs="Arial"/>
                <w:sz w:val="20"/>
                <w:szCs w:val="20"/>
                <w:lang w:eastAsia="en-US"/>
              </w:rPr>
              <w:t>29,647.536</w:t>
            </w:r>
          </w:p>
        </w:tc>
      </w:tr>
      <w:tr w:rsidR="00610168" w:rsidRPr="004B7A44" w14:paraId="17F17DC3" w14:textId="77777777" w:rsidTr="004B7A44">
        <w:tc>
          <w:tcPr>
            <w:tcW w:w="1348" w:type="dxa"/>
            <w:vAlign w:val="center"/>
          </w:tcPr>
          <w:p w14:paraId="164F70CA" w14:textId="55051E78" w:rsidR="00610168" w:rsidRPr="004B7A44" w:rsidRDefault="00610168" w:rsidP="00610168">
            <w:pPr>
              <w:rPr>
                <w:rFonts w:ascii="Arial" w:hAnsi="Arial" w:cs="Arial"/>
                <w:sz w:val="20"/>
                <w:szCs w:val="20"/>
                <w:lang w:eastAsia="en-US"/>
              </w:rPr>
            </w:pPr>
            <w:r>
              <w:rPr>
                <w:rFonts w:ascii="Arial" w:hAnsi="Arial" w:cs="Arial"/>
                <w:sz w:val="20"/>
                <w:szCs w:val="20"/>
                <w:lang w:eastAsia="en-US"/>
              </w:rPr>
              <w:t>Wood</w:t>
            </w:r>
          </w:p>
        </w:tc>
        <w:tc>
          <w:tcPr>
            <w:tcW w:w="1612" w:type="dxa"/>
            <w:vAlign w:val="center"/>
          </w:tcPr>
          <w:p w14:paraId="00A6B287" w14:textId="617DCD08" w:rsidR="00610168" w:rsidRPr="004B7A44" w:rsidRDefault="00610168" w:rsidP="00610168">
            <w:pPr>
              <w:rPr>
                <w:rFonts w:ascii="Arial" w:hAnsi="Arial" w:cs="Arial"/>
                <w:sz w:val="20"/>
                <w:szCs w:val="20"/>
                <w:lang w:eastAsia="en-US"/>
              </w:rPr>
            </w:pPr>
            <w:r>
              <w:rPr>
                <w:rFonts w:ascii="Arial" w:hAnsi="Arial" w:cs="Arial"/>
                <w:sz w:val="20"/>
                <w:szCs w:val="20"/>
                <w:lang w:eastAsia="en-US"/>
              </w:rPr>
              <w:t>102,863</w:t>
            </w:r>
          </w:p>
        </w:tc>
        <w:tc>
          <w:tcPr>
            <w:tcW w:w="1556" w:type="dxa"/>
            <w:vAlign w:val="center"/>
          </w:tcPr>
          <w:p w14:paraId="161BA0EA" w14:textId="771AB72E" w:rsidR="00610168" w:rsidRPr="004B7A44" w:rsidRDefault="00610168" w:rsidP="00610168">
            <w:pPr>
              <w:rPr>
                <w:rFonts w:ascii="Arial" w:hAnsi="Arial" w:cs="Arial"/>
                <w:sz w:val="20"/>
                <w:szCs w:val="20"/>
                <w:lang w:eastAsia="en-US"/>
              </w:rPr>
            </w:pPr>
            <w:r>
              <w:rPr>
                <w:rFonts w:ascii="Arial" w:hAnsi="Arial" w:cs="Arial"/>
                <w:sz w:val="20"/>
                <w:szCs w:val="20"/>
                <w:lang w:eastAsia="en-US"/>
              </w:rPr>
              <w:t>1,150.5</w:t>
            </w:r>
          </w:p>
        </w:tc>
        <w:tc>
          <w:tcPr>
            <w:tcW w:w="1515" w:type="dxa"/>
            <w:vAlign w:val="center"/>
          </w:tcPr>
          <w:p w14:paraId="3CF8E981" w14:textId="4D543949" w:rsidR="00610168" w:rsidRPr="004B7A44" w:rsidRDefault="00610168" w:rsidP="00610168">
            <w:pPr>
              <w:rPr>
                <w:rFonts w:ascii="Arial" w:hAnsi="Arial" w:cs="Arial"/>
                <w:sz w:val="20"/>
                <w:szCs w:val="20"/>
                <w:lang w:eastAsia="en-US"/>
              </w:rPr>
            </w:pPr>
            <w:r>
              <w:rPr>
                <w:rFonts w:ascii="Arial" w:hAnsi="Arial" w:cs="Arial"/>
                <w:sz w:val="20"/>
                <w:szCs w:val="20"/>
                <w:lang w:eastAsia="en-US"/>
              </w:rPr>
              <w:t>0.086</w:t>
            </w:r>
          </w:p>
        </w:tc>
        <w:tc>
          <w:tcPr>
            <w:tcW w:w="1549" w:type="dxa"/>
            <w:vAlign w:val="center"/>
          </w:tcPr>
          <w:p w14:paraId="3422DD8E" w14:textId="49FF398D" w:rsidR="00610168" w:rsidRPr="004B7A44" w:rsidRDefault="00610168" w:rsidP="00610168">
            <w:pPr>
              <w:rPr>
                <w:rFonts w:ascii="Arial" w:hAnsi="Arial" w:cs="Arial"/>
                <w:sz w:val="20"/>
                <w:szCs w:val="20"/>
                <w:lang w:eastAsia="en-US"/>
              </w:rPr>
            </w:pPr>
            <w:r>
              <w:rPr>
                <w:rFonts w:ascii="Arial" w:hAnsi="Arial" w:cs="Arial"/>
                <w:sz w:val="20"/>
                <w:szCs w:val="20"/>
                <w:lang w:eastAsia="en-US"/>
              </w:rPr>
              <w:t>98.943</w:t>
            </w:r>
          </w:p>
        </w:tc>
        <w:tc>
          <w:tcPr>
            <w:tcW w:w="1349" w:type="dxa"/>
            <w:vAlign w:val="center"/>
          </w:tcPr>
          <w:p w14:paraId="389A7118" w14:textId="6C0B2F4E" w:rsidR="00610168" w:rsidRPr="004B7A44" w:rsidRDefault="00610168" w:rsidP="00610168">
            <w:pPr>
              <w:rPr>
                <w:rFonts w:ascii="Arial" w:hAnsi="Arial" w:cs="Arial"/>
                <w:sz w:val="20"/>
                <w:szCs w:val="20"/>
                <w:lang w:eastAsia="en-US"/>
              </w:rPr>
            </w:pPr>
            <w:r>
              <w:rPr>
                <w:rFonts w:ascii="Arial" w:hAnsi="Arial" w:cs="Arial"/>
                <w:sz w:val="20"/>
                <w:szCs w:val="20"/>
                <w:lang w:eastAsia="en-US"/>
              </w:rPr>
              <w:t>8,846.218</w:t>
            </w:r>
          </w:p>
        </w:tc>
      </w:tr>
    </w:tbl>
    <w:p w14:paraId="31C522B3" w14:textId="57AB0833" w:rsidR="003416BF" w:rsidRPr="003416BF" w:rsidRDefault="00610168" w:rsidP="003416BF">
      <w:pPr>
        <w:rPr>
          <w:rFonts w:ascii="Arial" w:hAnsi="Arial" w:cs="Arial"/>
          <w:i/>
          <w:iCs/>
          <w:sz w:val="16"/>
          <w:szCs w:val="16"/>
          <w:lang w:eastAsia="en-US"/>
        </w:rPr>
      </w:pPr>
      <w:r w:rsidRPr="00610168">
        <w:rPr>
          <w:rFonts w:ascii="Arial" w:hAnsi="Arial" w:cs="Arial"/>
          <w:i/>
          <w:iCs/>
          <w:sz w:val="16"/>
          <w:szCs w:val="16"/>
          <w:lang w:eastAsia="en-US"/>
        </w:rPr>
        <w:t xml:space="preserve">Source: </w:t>
      </w:r>
      <w:r>
        <w:rPr>
          <w:rFonts w:ascii="Arial" w:hAnsi="Arial" w:cs="Arial"/>
          <w:i/>
          <w:iCs/>
          <w:sz w:val="16"/>
          <w:szCs w:val="16"/>
          <w:lang w:eastAsia="en-US"/>
        </w:rPr>
        <w:t xml:space="preserve">Center for the Study of Democracy, 2018, </w:t>
      </w:r>
      <w:r w:rsidR="003416BF">
        <w:rPr>
          <w:rFonts w:ascii="Arial" w:hAnsi="Arial" w:cs="Arial"/>
          <w:i/>
          <w:iCs/>
          <w:sz w:val="16"/>
          <w:szCs w:val="16"/>
          <w:lang w:eastAsia="en-US"/>
        </w:rPr>
        <w:t>The opportunity of natural gas in the residential sector in Romania,</w:t>
      </w:r>
      <w:r w:rsidR="003416BF" w:rsidRPr="003416BF">
        <w:t xml:space="preserve"> </w:t>
      </w:r>
      <w:hyperlink r:id="rId45" w:history="1">
        <w:r w:rsidR="003416BF" w:rsidRPr="003416BF">
          <w:rPr>
            <w:rStyle w:val="Hyperlink"/>
            <w:rFonts w:ascii="Arial" w:hAnsi="Arial" w:cs="Arial"/>
            <w:i/>
            <w:iCs/>
            <w:sz w:val="16"/>
            <w:szCs w:val="16"/>
          </w:rPr>
          <w:t>https://democracycenter.ro/romana/publicatii/rapoarte-de-cercetare/oportunitatea-gazelor-naturale-sectorul-rezidential-din-romania</w:t>
        </w:r>
      </w:hyperlink>
    </w:p>
    <w:p w14:paraId="79EDE4CC" w14:textId="7EE4571A" w:rsidR="00F6026A" w:rsidRDefault="00F6026A" w:rsidP="006C46E5">
      <w:pPr>
        <w:spacing w:after="120"/>
        <w:jc w:val="both"/>
        <w:rPr>
          <w:rFonts w:ascii="Arial" w:hAnsi="Arial" w:cs="Arial"/>
          <w:sz w:val="20"/>
          <w:szCs w:val="20"/>
        </w:rPr>
      </w:pPr>
    </w:p>
    <w:p w14:paraId="50209ECC" w14:textId="128D7DAD" w:rsidR="0023524A" w:rsidRPr="003516DC" w:rsidRDefault="00F6026A" w:rsidP="00CA4D6E">
      <w:pPr>
        <w:spacing w:after="120"/>
        <w:jc w:val="both"/>
        <w:rPr>
          <w:rFonts w:ascii="Arial" w:hAnsi="Arial" w:cs="Arial"/>
          <w:sz w:val="20"/>
          <w:szCs w:val="20"/>
        </w:rPr>
      </w:pPr>
      <w:r>
        <w:rPr>
          <w:rFonts w:ascii="Arial" w:hAnsi="Arial" w:cs="Arial"/>
          <w:sz w:val="20"/>
          <w:szCs w:val="20"/>
        </w:rPr>
        <w:t>In some rural areas</w:t>
      </w:r>
      <w:r w:rsidR="00514E98">
        <w:rPr>
          <w:rFonts w:ascii="Arial" w:hAnsi="Arial" w:cs="Arial"/>
          <w:sz w:val="20"/>
          <w:szCs w:val="20"/>
        </w:rPr>
        <w:t xml:space="preserve">, energy poverty is reflected not only in lack of affordable heating options, but also in access to electricity. Unfortunately, </w:t>
      </w:r>
      <w:r w:rsidR="00CA4D6E">
        <w:rPr>
          <w:rFonts w:ascii="Arial" w:hAnsi="Arial" w:cs="Arial"/>
          <w:sz w:val="20"/>
          <w:szCs w:val="20"/>
        </w:rPr>
        <w:t xml:space="preserve">existing programmes to offer renewable electricity access to offgrid rural households have encountered several implementation difficulties. </w:t>
      </w:r>
      <w:r w:rsidR="0023524A" w:rsidRPr="003516DC">
        <w:rPr>
          <w:rFonts w:ascii="Arial" w:hAnsi="Arial" w:cs="Arial"/>
          <w:sz w:val="20"/>
          <w:szCs w:val="20"/>
        </w:rPr>
        <w:t>For example, in April 2019, the government launched a financing project for the installation of photovoltaic panels that would allow isolated households to access electricity. The basic assumption of the programme was that the 7,136 households in Romania that are not connected to electricity and which are located more than 2 km from any distribution network can apply for 100% financing of investment costs up to a limit of EUR 5,000 for the installation of the technology. Most of the households identified in the programme are located in hard-to-reach areas in mountainous regions. The applications were to be submitted by the county authority in a single appeal. By the deadline, no application had been submitted and the deadline had to be extended due to the lack of capacity of local authorities to timely collect applications.</w:t>
      </w:r>
      <w:r w:rsidR="00EA3E89">
        <w:rPr>
          <w:rFonts w:ascii="Arial" w:hAnsi="Arial" w:cs="Arial"/>
          <w:sz w:val="20"/>
          <w:szCs w:val="20"/>
        </w:rPr>
        <w:t xml:space="preserve"> </w:t>
      </w:r>
      <w:bookmarkStart w:id="72" w:name="_Hlk85564945"/>
      <w:r w:rsidR="00EA3E89">
        <w:rPr>
          <w:rFonts w:ascii="Arial" w:hAnsi="Arial" w:cs="Arial"/>
          <w:sz w:val="20"/>
          <w:szCs w:val="20"/>
        </w:rPr>
        <w:t xml:space="preserve">The question of how many households in Romania lack access to electricity is a sensitive </w:t>
      </w:r>
      <w:r w:rsidR="00B8217F">
        <w:rPr>
          <w:rFonts w:ascii="Arial" w:hAnsi="Arial" w:cs="Arial"/>
          <w:sz w:val="20"/>
          <w:szCs w:val="20"/>
        </w:rPr>
        <w:t>topic</w:t>
      </w:r>
      <w:r w:rsidR="00EA3E89">
        <w:rPr>
          <w:rFonts w:ascii="Arial" w:hAnsi="Arial" w:cs="Arial"/>
          <w:sz w:val="20"/>
          <w:szCs w:val="20"/>
        </w:rPr>
        <w:t xml:space="preserve">, </w:t>
      </w:r>
      <w:r w:rsidR="00B8217F">
        <w:rPr>
          <w:rFonts w:ascii="Arial" w:hAnsi="Arial" w:cs="Arial"/>
          <w:sz w:val="20"/>
          <w:szCs w:val="20"/>
        </w:rPr>
        <w:t>where</w:t>
      </w:r>
      <w:r w:rsidR="00EA3E89">
        <w:rPr>
          <w:rFonts w:ascii="Arial" w:hAnsi="Arial" w:cs="Arial"/>
          <w:sz w:val="20"/>
          <w:szCs w:val="20"/>
        </w:rPr>
        <w:t xml:space="preserve"> </w:t>
      </w:r>
      <w:r w:rsidR="00EA3E89">
        <w:rPr>
          <w:rFonts w:ascii="Arial" w:hAnsi="Arial" w:cs="Arial"/>
          <w:sz w:val="20"/>
          <w:szCs w:val="20"/>
        </w:rPr>
        <w:lastRenderedPageBreak/>
        <w:t xml:space="preserve">existing data is contradictory or lacking. At the </w:t>
      </w:r>
      <w:r w:rsidR="0045605E">
        <w:rPr>
          <w:rFonts w:ascii="Arial" w:hAnsi="Arial" w:cs="Arial"/>
          <w:sz w:val="20"/>
          <w:szCs w:val="20"/>
        </w:rPr>
        <w:t>2011 census, 110,552 convention</w:t>
      </w:r>
      <w:r w:rsidR="00B8217F">
        <w:rPr>
          <w:rFonts w:ascii="Arial" w:hAnsi="Arial" w:cs="Arial"/>
          <w:sz w:val="20"/>
          <w:szCs w:val="20"/>
        </w:rPr>
        <w:t>al</w:t>
      </w:r>
      <w:r w:rsidR="0045605E">
        <w:rPr>
          <w:rFonts w:ascii="Arial" w:hAnsi="Arial" w:cs="Arial"/>
          <w:sz w:val="20"/>
          <w:szCs w:val="20"/>
        </w:rPr>
        <w:t xml:space="preserve"> houses (meaning not informal settlements) were identified as lacking access to electricity. More recent media articles on the aforementioned solar panel electrification programme that did not work </w:t>
      </w:r>
      <w:r w:rsidR="00B8217F">
        <w:rPr>
          <w:rFonts w:ascii="Arial" w:hAnsi="Arial" w:cs="Arial"/>
          <w:sz w:val="20"/>
          <w:szCs w:val="20"/>
        </w:rPr>
        <w:t>mentions that</w:t>
      </w:r>
      <w:r w:rsidR="0045605E">
        <w:rPr>
          <w:rFonts w:ascii="Arial" w:hAnsi="Arial" w:cs="Arial"/>
          <w:sz w:val="20"/>
          <w:szCs w:val="20"/>
        </w:rPr>
        <w:t xml:space="preserve"> 20,000 houses nationally </w:t>
      </w:r>
      <w:r w:rsidR="00B8217F">
        <w:rPr>
          <w:rFonts w:ascii="Arial" w:hAnsi="Arial" w:cs="Arial"/>
          <w:sz w:val="20"/>
          <w:szCs w:val="20"/>
        </w:rPr>
        <w:t>do</w:t>
      </w:r>
      <w:r w:rsidR="0045605E">
        <w:rPr>
          <w:rFonts w:ascii="Arial" w:hAnsi="Arial" w:cs="Arial"/>
          <w:sz w:val="20"/>
          <w:szCs w:val="20"/>
        </w:rPr>
        <w:t xml:space="preserve"> not hav</w:t>
      </w:r>
      <w:r w:rsidR="00B8217F">
        <w:rPr>
          <w:rFonts w:ascii="Arial" w:hAnsi="Arial" w:cs="Arial"/>
          <w:sz w:val="20"/>
          <w:szCs w:val="20"/>
        </w:rPr>
        <w:t>e</w:t>
      </w:r>
      <w:r w:rsidR="0045605E">
        <w:rPr>
          <w:rFonts w:ascii="Arial" w:hAnsi="Arial" w:cs="Arial"/>
          <w:sz w:val="20"/>
          <w:szCs w:val="20"/>
        </w:rPr>
        <w:t xml:space="preserve"> access to electricity</w:t>
      </w:r>
      <w:r w:rsidR="00B8217F">
        <w:rPr>
          <w:rFonts w:ascii="Arial" w:hAnsi="Arial" w:cs="Arial"/>
          <w:sz w:val="20"/>
          <w:szCs w:val="20"/>
        </w:rPr>
        <w:t>.</w:t>
      </w:r>
      <w:r w:rsidR="0045605E">
        <w:rPr>
          <w:rFonts w:ascii="Arial" w:hAnsi="Arial" w:cs="Arial"/>
          <w:sz w:val="20"/>
          <w:szCs w:val="20"/>
        </w:rPr>
        <w:t xml:space="preserve"> </w:t>
      </w:r>
      <w:r w:rsidR="00B8217F">
        <w:rPr>
          <w:rFonts w:ascii="Arial" w:hAnsi="Arial" w:cs="Arial"/>
          <w:sz w:val="20"/>
          <w:szCs w:val="20"/>
        </w:rPr>
        <w:t>However,</w:t>
      </w:r>
      <w:r w:rsidR="0045605E">
        <w:rPr>
          <w:rFonts w:ascii="Arial" w:hAnsi="Arial" w:cs="Arial"/>
          <w:sz w:val="20"/>
          <w:szCs w:val="20"/>
        </w:rPr>
        <w:t xml:space="preserve"> it is not clear wh</w:t>
      </w:r>
      <w:r w:rsidR="00B8217F">
        <w:rPr>
          <w:rFonts w:ascii="Arial" w:hAnsi="Arial" w:cs="Arial"/>
          <w:sz w:val="20"/>
          <w:szCs w:val="20"/>
        </w:rPr>
        <w:t>ere</w:t>
      </w:r>
      <w:r w:rsidR="0045605E">
        <w:rPr>
          <w:rFonts w:ascii="Arial" w:hAnsi="Arial" w:cs="Arial"/>
          <w:sz w:val="20"/>
          <w:szCs w:val="20"/>
        </w:rPr>
        <w:t xml:space="preserve"> th</w:t>
      </w:r>
      <w:r w:rsidR="00B8217F">
        <w:rPr>
          <w:rFonts w:ascii="Arial" w:hAnsi="Arial" w:cs="Arial"/>
          <w:sz w:val="20"/>
          <w:szCs w:val="20"/>
        </w:rPr>
        <w:t>is</w:t>
      </w:r>
      <w:r w:rsidR="0045605E">
        <w:rPr>
          <w:rFonts w:ascii="Arial" w:hAnsi="Arial" w:cs="Arial"/>
          <w:sz w:val="20"/>
          <w:szCs w:val="20"/>
        </w:rPr>
        <w:t xml:space="preserve"> data </w:t>
      </w:r>
      <w:r w:rsidR="00B8217F">
        <w:rPr>
          <w:rFonts w:ascii="Arial" w:hAnsi="Arial" w:cs="Arial"/>
          <w:sz w:val="20"/>
          <w:szCs w:val="20"/>
        </w:rPr>
        <w:t xml:space="preserve">is </w:t>
      </w:r>
      <w:r w:rsidR="0045605E">
        <w:rPr>
          <w:rFonts w:ascii="Arial" w:hAnsi="Arial" w:cs="Arial"/>
          <w:sz w:val="20"/>
          <w:szCs w:val="20"/>
        </w:rPr>
        <w:t>source</w:t>
      </w:r>
      <w:r w:rsidR="00B8217F">
        <w:rPr>
          <w:rFonts w:ascii="Arial" w:hAnsi="Arial" w:cs="Arial"/>
          <w:sz w:val="20"/>
          <w:szCs w:val="20"/>
        </w:rPr>
        <w:t>d</w:t>
      </w:r>
      <w:r w:rsidR="0045605E">
        <w:rPr>
          <w:rFonts w:ascii="Arial" w:hAnsi="Arial" w:cs="Arial"/>
          <w:sz w:val="20"/>
          <w:szCs w:val="20"/>
        </w:rPr>
        <w:t xml:space="preserve">. Furthermore, we believe </w:t>
      </w:r>
      <w:r w:rsidR="00B8217F">
        <w:rPr>
          <w:rFonts w:ascii="Arial" w:hAnsi="Arial" w:cs="Arial"/>
          <w:sz w:val="20"/>
          <w:szCs w:val="20"/>
        </w:rPr>
        <w:t>it unlikely</w:t>
      </w:r>
      <w:r w:rsidR="0045605E">
        <w:rPr>
          <w:rFonts w:ascii="Arial" w:hAnsi="Arial" w:cs="Arial"/>
          <w:sz w:val="20"/>
          <w:szCs w:val="20"/>
        </w:rPr>
        <w:t xml:space="preserve"> </w:t>
      </w:r>
      <w:r w:rsidR="00B8217F">
        <w:rPr>
          <w:rFonts w:ascii="Arial" w:hAnsi="Arial" w:cs="Arial"/>
          <w:sz w:val="20"/>
          <w:szCs w:val="20"/>
        </w:rPr>
        <w:t xml:space="preserve">that </w:t>
      </w:r>
      <w:r w:rsidR="0045605E">
        <w:rPr>
          <w:rFonts w:ascii="Arial" w:hAnsi="Arial" w:cs="Arial"/>
          <w:sz w:val="20"/>
          <w:szCs w:val="20"/>
        </w:rPr>
        <w:t xml:space="preserve">the number </w:t>
      </w:r>
      <w:r w:rsidR="00B8217F">
        <w:rPr>
          <w:rFonts w:ascii="Arial" w:hAnsi="Arial" w:cs="Arial"/>
          <w:sz w:val="20"/>
          <w:szCs w:val="20"/>
        </w:rPr>
        <w:t xml:space="preserve">has </w:t>
      </w:r>
      <w:r w:rsidR="0045605E">
        <w:rPr>
          <w:rFonts w:ascii="Arial" w:hAnsi="Arial" w:cs="Arial"/>
          <w:sz w:val="20"/>
          <w:szCs w:val="20"/>
        </w:rPr>
        <w:t xml:space="preserve">dropped so drastically since the 2011 census. The 2011 census data is not publicly available at </w:t>
      </w:r>
      <w:r w:rsidR="00B8217F">
        <w:rPr>
          <w:rFonts w:ascii="Arial" w:hAnsi="Arial" w:cs="Arial"/>
          <w:sz w:val="20"/>
          <w:szCs w:val="20"/>
        </w:rPr>
        <w:t xml:space="preserve">the </w:t>
      </w:r>
      <w:r w:rsidR="0045605E">
        <w:rPr>
          <w:rFonts w:ascii="Arial" w:hAnsi="Arial" w:cs="Arial"/>
          <w:sz w:val="20"/>
          <w:szCs w:val="20"/>
        </w:rPr>
        <w:t xml:space="preserve">county level and a new census is planned for 2022, </w:t>
      </w:r>
      <w:r w:rsidR="00B8217F">
        <w:rPr>
          <w:rFonts w:ascii="Arial" w:hAnsi="Arial" w:cs="Arial"/>
          <w:sz w:val="20"/>
          <w:szCs w:val="20"/>
        </w:rPr>
        <w:t>which</w:t>
      </w:r>
      <w:r w:rsidR="0045605E">
        <w:rPr>
          <w:rFonts w:ascii="Arial" w:hAnsi="Arial" w:cs="Arial"/>
          <w:sz w:val="20"/>
          <w:szCs w:val="20"/>
        </w:rPr>
        <w:t xml:space="preserve"> could </w:t>
      </w:r>
      <w:r w:rsidR="00B8217F">
        <w:rPr>
          <w:rFonts w:ascii="Arial" w:hAnsi="Arial" w:cs="Arial"/>
          <w:sz w:val="20"/>
          <w:szCs w:val="20"/>
        </w:rPr>
        <w:t>shed</w:t>
      </w:r>
      <w:r w:rsidR="0045605E">
        <w:rPr>
          <w:rFonts w:ascii="Arial" w:hAnsi="Arial" w:cs="Arial"/>
          <w:sz w:val="20"/>
          <w:szCs w:val="20"/>
        </w:rPr>
        <w:t xml:space="preserve"> more light </w:t>
      </w:r>
      <w:r w:rsidR="00B8217F">
        <w:rPr>
          <w:rFonts w:ascii="Arial" w:hAnsi="Arial" w:cs="Arial"/>
          <w:sz w:val="20"/>
          <w:szCs w:val="20"/>
        </w:rPr>
        <w:t>on the topic</w:t>
      </w:r>
      <w:r w:rsidR="0045605E">
        <w:rPr>
          <w:rFonts w:ascii="Arial" w:hAnsi="Arial" w:cs="Arial"/>
          <w:sz w:val="20"/>
          <w:szCs w:val="20"/>
        </w:rPr>
        <w:t xml:space="preserve">. </w:t>
      </w:r>
      <w:bookmarkEnd w:id="72"/>
      <w:r w:rsidR="0045605E">
        <w:rPr>
          <w:rFonts w:ascii="Arial" w:hAnsi="Arial" w:cs="Arial"/>
          <w:sz w:val="20"/>
          <w:szCs w:val="20"/>
        </w:rPr>
        <w:t xml:space="preserve">  </w:t>
      </w:r>
    </w:p>
    <w:p w14:paraId="43F6FAB4" w14:textId="77777777" w:rsidR="0023524A" w:rsidRPr="003516DC" w:rsidRDefault="0023524A"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General data on district heating systems and the price of energy in each county</w:t>
      </w:r>
    </w:p>
    <w:p w14:paraId="74FCA42E" w14:textId="009CA3E5" w:rsidR="0023524A" w:rsidRPr="003516DC" w:rsidRDefault="0023524A" w:rsidP="00D963B9">
      <w:pPr>
        <w:pStyle w:val="Caption"/>
        <w:spacing w:before="120"/>
        <w:ind w:left="0" w:firstLine="0"/>
        <w:jc w:val="both"/>
        <w:rPr>
          <w:b w:val="0"/>
          <w:iCs w:val="0"/>
          <w:color w:val="auto"/>
        </w:rPr>
      </w:pPr>
      <w:r w:rsidRPr="003516DC">
        <w:rPr>
          <w:b w:val="0"/>
          <w:iCs w:val="0"/>
          <w:color w:val="auto"/>
        </w:rPr>
        <w:t xml:space="preserve">The highest heating prices were recorded in Mureș and have been risen more recently in Prahova. The difference between real costs and municipal subsidies is notorious in many of the JTF affected regions, particularly in Hunedoara where the real production cost exceeds RON 800/gcal while the population pays only a quarter of the amount. </w:t>
      </w:r>
    </w:p>
    <w:p w14:paraId="1B335BEB" w14:textId="6711F22F" w:rsidR="0023524A" w:rsidRPr="003516DC" w:rsidRDefault="0023524A" w:rsidP="00CF1AD9">
      <w:pPr>
        <w:pStyle w:val="Caption"/>
        <w:spacing w:before="120"/>
        <w:ind w:left="1138" w:hanging="1138"/>
      </w:pPr>
      <w:bookmarkStart w:id="73" w:name="_Toc90725967"/>
      <w:bookmarkStart w:id="74" w:name="_Toc90727264"/>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FC29CC">
        <w:rPr>
          <w:noProof/>
        </w:rPr>
        <w:t>13</w:t>
      </w:r>
      <w:r w:rsidRPr="003516DC">
        <w:rPr>
          <w:noProof/>
        </w:rPr>
        <w:fldChar w:fldCharType="end"/>
      </w:r>
      <w:r w:rsidRPr="003516DC">
        <w:t>: Price per Gcal (including VAT) in winter 2018-2019</w:t>
      </w:r>
      <w:bookmarkEnd w:id="73"/>
      <w:bookmarkEnd w:id="74"/>
    </w:p>
    <w:tbl>
      <w:tblPr>
        <w:tblStyle w:val="TableGrid"/>
        <w:tblW w:w="5000" w:type="pct"/>
        <w:tblLook w:val="04A0" w:firstRow="1" w:lastRow="0" w:firstColumn="1" w:lastColumn="0" w:noHBand="0" w:noVBand="1"/>
      </w:tblPr>
      <w:tblGrid>
        <w:gridCol w:w="1886"/>
        <w:gridCol w:w="4066"/>
        <w:gridCol w:w="2977"/>
      </w:tblGrid>
      <w:tr w:rsidR="0023524A" w:rsidRPr="003516DC" w14:paraId="081A97F0" w14:textId="77777777" w:rsidTr="003F7DD3">
        <w:tc>
          <w:tcPr>
            <w:tcW w:w="1056" w:type="pct"/>
            <w:shd w:val="clear" w:color="auto" w:fill="002060"/>
          </w:tcPr>
          <w:p w14:paraId="1C5A0CBB" w14:textId="77777777" w:rsidR="0023524A" w:rsidRPr="003516DC" w:rsidRDefault="0023524A" w:rsidP="00964831">
            <w:pPr>
              <w:rPr>
                <w:rFonts w:ascii="Arial" w:hAnsi="Arial" w:cs="Arial"/>
                <w:b/>
                <w:bCs/>
                <w:sz w:val="18"/>
                <w:szCs w:val="18"/>
              </w:rPr>
            </w:pPr>
            <w:r w:rsidRPr="003516DC">
              <w:rPr>
                <w:rFonts w:ascii="Arial" w:hAnsi="Arial" w:cs="Arial"/>
                <w:b/>
                <w:bCs/>
                <w:sz w:val="18"/>
                <w:szCs w:val="18"/>
              </w:rPr>
              <w:t>County</w:t>
            </w:r>
          </w:p>
        </w:tc>
        <w:tc>
          <w:tcPr>
            <w:tcW w:w="2277" w:type="pct"/>
            <w:shd w:val="clear" w:color="auto" w:fill="002060"/>
          </w:tcPr>
          <w:p w14:paraId="45A72AEA" w14:textId="77777777" w:rsidR="0023524A" w:rsidRPr="003516DC" w:rsidRDefault="0023524A" w:rsidP="00964831">
            <w:pPr>
              <w:rPr>
                <w:rFonts w:ascii="Arial" w:hAnsi="Arial" w:cs="Arial"/>
                <w:b/>
                <w:bCs/>
                <w:sz w:val="18"/>
                <w:szCs w:val="18"/>
              </w:rPr>
            </w:pPr>
            <w:r w:rsidRPr="003516DC">
              <w:rPr>
                <w:rFonts w:ascii="Arial" w:hAnsi="Arial" w:cs="Arial"/>
                <w:b/>
                <w:bCs/>
                <w:sz w:val="18"/>
                <w:szCs w:val="18"/>
              </w:rPr>
              <w:t>SACET</w:t>
            </w:r>
          </w:p>
        </w:tc>
        <w:tc>
          <w:tcPr>
            <w:tcW w:w="1667" w:type="pct"/>
            <w:shd w:val="clear" w:color="auto" w:fill="002060"/>
          </w:tcPr>
          <w:p w14:paraId="392629B3" w14:textId="77777777" w:rsidR="0023524A" w:rsidRPr="003516DC" w:rsidRDefault="0023524A" w:rsidP="00964831">
            <w:pPr>
              <w:rPr>
                <w:rFonts w:ascii="Arial" w:hAnsi="Arial" w:cs="Arial"/>
                <w:b/>
                <w:bCs/>
                <w:sz w:val="18"/>
                <w:szCs w:val="18"/>
              </w:rPr>
            </w:pPr>
            <w:r w:rsidRPr="003516DC">
              <w:rPr>
                <w:rFonts w:ascii="Arial" w:hAnsi="Arial" w:cs="Arial"/>
                <w:b/>
                <w:bCs/>
                <w:sz w:val="18"/>
                <w:szCs w:val="18"/>
              </w:rPr>
              <w:t>RON per Gcal</w:t>
            </w:r>
          </w:p>
        </w:tc>
      </w:tr>
      <w:tr w:rsidR="0023524A" w:rsidRPr="003516DC" w14:paraId="025F9B93" w14:textId="77777777" w:rsidTr="003F7DD3">
        <w:tc>
          <w:tcPr>
            <w:tcW w:w="1056" w:type="pct"/>
          </w:tcPr>
          <w:p w14:paraId="7F4398D7" w14:textId="7F87D83D" w:rsidR="0023524A" w:rsidRPr="003516DC" w:rsidRDefault="003751DC" w:rsidP="00964831">
            <w:pPr>
              <w:rPr>
                <w:rFonts w:ascii="Arial" w:hAnsi="Arial" w:cs="Arial"/>
                <w:sz w:val="18"/>
                <w:szCs w:val="18"/>
              </w:rPr>
            </w:pPr>
            <w:r>
              <w:rPr>
                <w:rFonts w:ascii="Arial" w:hAnsi="Arial" w:cs="Arial"/>
                <w:sz w:val="18"/>
                <w:szCs w:val="18"/>
              </w:rPr>
              <w:t>Galați</w:t>
            </w:r>
          </w:p>
        </w:tc>
        <w:tc>
          <w:tcPr>
            <w:tcW w:w="2277" w:type="pct"/>
          </w:tcPr>
          <w:p w14:paraId="5F4B7B52" w14:textId="77777777" w:rsidR="0023524A" w:rsidRPr="003516DC" w:rsidRDefault="0023524A" w:rsidP="00964831">
            <w:pPr>
              <w:rPr>
                <w:rFonts w:ascii="Arial" w:hAnsi="Arial" w:cs="Arial"/>
                <w:sz w:val="18"/>
                <w:szCs w:val="18"/>
              </w:rPr>
            </w:pPr>
            <w:r w:rsidRPr="003516DC">
              <w:rPr>
                <w:rFonts w:ascii="Arial" w:hAnsi="Arial" w:cs="Arial"/>
                <w:sz w:val="18"/>
                <w:szCs w:val="18"/>
              </w:rPr>
              <w:t>CALORGAL S.A.</w:t>
            </w:r>
          </w:p>
        </w:tc>
        <w:tc>
          <w:tcPr>
            <w:tcW w:w="1667" w:type="pct"/>
          </w:tcPr>
          <w:p w14:paraId="6DC6E582" w14:textId="77777777" w:rsidR="0023524A" w:rsidRPr="003516DC" w:rsidRDefault="0023524A" w:rsidP="00964831">
            <w:pPr>
              <w:rPr>
                <w:rFonts w:ascii="Arial" w:hAnsi="Arial" w:cs="Arial"/>
                <w:sz w:val="18"/>
                <w:szCs w:val="18"/>
              </w:rPr>
            </w:pPr>
            <w:r w:rsidRPr="003516DC">
              <w:rPr>
                <w:rFonts w:ascii="Arial" w:hAnsi="Arial" w:cs="Arial"/>
                <w:sz w:val="18"/>
                <w:szCs w:val="18"/>
              </w:rPr>
              <w:t>190.21</w:t>
            </w:r>
          </w:p>
        </w:tc>
      </w:tr>
      <w:tr w:rsidR="0023524A" w:rsidRPr="003516DC" w14:paraId="5A3E252E" w14:textId="77777777" w:rsidTr="003F7DD3">
        <w:tc>
          <w:tcPr>
            <w:tcW w:w="1056" w:type="pct"/>
          </w:tcPr>
          <w:p w14:paraId="28E006E2" w14:textId="77777777" w:rsidR="0023524A" w:rsidRPr="003516DC" w:rsidRDefault="0023524A" w:rsidP="00964831">
            <w:pPr>
              <w:rPr>
                <w:rFonts w:ascii="Arial" w:hAnsi="Arial" w:cs="Arial"/>
                <w:sz w:val="18"/>
                <w:szCs w:val="18"/>
              </w:rPr>
            </w:pPr>
            <w:r w:rsidRPr="003516DC">
              <w:rPr>
                <w:rFonts w:ascii="Arial" w:hAnsi="Arial" w:cs="Arial"/>
                <w:sz w:val="18"/>
                <w:szCs w:val="18"/>
              </w:rPr>
              <w:t>Mureș</w:t>
            </w:r>
          </w:p>
        </w:tc>
        <w:tc>
          <w:tcPr>
            <w:tcW w:w="2277" w:type="pct"/>
          </w:tcPr>
          <w:p w14:paraId="3574D396" w14:textId="77777777" w:rsidR="0023524A" w:rsidRPr="003516DC" w:rsidRDefault="0023524A" w:rsidP="00964831">
            <w:pPr>
              <w:rPr>
                <w:rFonts w:ascii="Arial" w:hAnsi="Arial" w:cs="Arial"/>
                <w:sz w:val="18"/>
                <w:szCs w:val="18"/>
              </w:rPr>
            </w:pPr>
            <w:r w:rsidRPr="003516DC">
              <w:rPr>
                <w:rFonts w:ascii="Arial" w:hAnsi="Arial" w:cs="Arial"/>
                <w:sz w:val="18"/>
                <w:szCs w:val="18"/>
              </w:rPr>
              <w:t>SC ATT</w:t>
            </w:r>
          </w:p>
        </w:tc>
        <w:tc>
          <w:tcPr>
            <w:tcW w:w="1667" w:type="pct"/>
          </w:tcPr>
          <w:p w14:paraId="5DE5F6E9" w14:textId="77777777" w:rsidR="0023524A" w:rsidRPr="003516DC" w:rsidRDefault="0023524A" w:rsidP="00964831">
            <w:pPr>
              <w:rPr>
                <w:rFonts w:ascii="Arial" w:hAnsi="Arial" w:cs="Arial"/>
                <w:sz w:val="18"/>
                <w:szCs w:val="18"/>
              </w:rPr>
            </w:pPr>
            <w:r w:rsidRPr="003516DC">
              <w:rPr>
                <w:rFonts w:ascii="Arial" w:hAnsi="Arial" w:cs="Arial"/>
                <w:sz w:val="18"/>
                <w:szCs w:val="18"/>
              </w:rPr>
              <w:t>379.11</w:t>
            </w:r>
          </w:p>
        </w:tc>
      </w:tr>
      <w:tr w:rsidR="0023524A" w:rsidRPr="003516DC" w14:paraId="690CA337" w14:textId="77777777" w:rsidTr="003F7DD3">
        <w:tc>
          <w:tcPr>
            <w:tcW w:w="1056" w:type="pct"/>
          </w:tcPr>
          <w:p w14:paraId="1D253C11" w14:textId="77777777" w:rsidR="0023524A" w:rsidRPr="003516DC" w:rsidRDefault="0023524A" w:rsidP="00964831">
            <w:pPr>
              <w:rPr>
                <w:rFonts w:ascii="Arial" w:hAnsi="Arial" w:cs="Arial"/>
                <w:sz w:val="18"/>
                <w:szCs w:val="18"/>
              </w:rPr>
            </w:pPr>
            <w:r w:rsidRPr="003516DC">
              <w:rPr>
                <w:rFonts w:ascii="Arial" w:hAnsi="Arial" w:cs="Arial"/>
                <w:sz w:val="18"/>
                <w:szCs w:val="18"/>
              </w:rPr>
              <w:t>Prahova</w:t>
            </w:r>
          </w:p>
        </w:tc>
        <w:tc>
          <w:tcPr>
            <w:tcW w:w="2277" w:type="pct"/>
          </w:tcPr>
          <w:p w14:paraId="387E104C" w14:textId="77777777" w:rsidR="0023524A" w:rsidRPr="003516DC" w:rsidRDefault="0023524A" w:rsidP="00964831">
            <w:pPr>
              <w:rPr>
                <w:rFonts w:ascii="Arial" w:hAnsi="Arial" w:cs="Arial"/>
                <w:sz w:val="18"/>
                <w:szCs w:val="18"/>
              </w:rPr>
            </w:pPr>
            <w:r w:rsidRPr="003516DC">
              <w:rPr>
                <w:rFonts w:ascii="Arial" w:hAnsi="Arial" w:cs="Arial"/>
                <w:sz w:val="18"/>
                <w:szCs w:val="18"/>
              </w:rPr>
              <w:t>VEOLIA ENERGIE SRL</w:t>
            </w:r>
          </w:p>
        </w:tc>
        <w:tc>
          <w:tcPr>
            <w:tcW w:w="1667" w:type="pct"/>
          </w:tcPr>
          <w:p w14:paraId="57440F52" w14:textId="77777777" w:rsidR="0023524A" w:rsidRPr="003516DC" w:rsidRDefault="0023524A" w:rsidP="00964831">
            <w:pPr>
              <w:rPr>
                <w:rFonts w:ascii="Arial" w:hAnsi="Arial" w:cs="Arial"/>
                <w:sz w:val="18"/>
                <w:szCs w:val="18"/>
              </w:rPr>
            </w:pPr>
            <w:r w:rsidRPr="003516DC">
              <w:rPr>
                <w:rFonts w:ascii="Arial" w:hAnsi="Arial" w:cs="Arial"/>
                <w:sz w:val="18"/>
                <w:szCs w:val="18"/>
              </w:rPr>
              <w:t>222.49 (raised to 392,7 in 2020)</w:t>
            </w:r>
          </w:p>
        </w:tc>
      </w:tr>
      <w:tr w:rsidR="0023524A" w:rsidRPr="003516DC" w14:paraId="0A636523" w14:textId="77777777" w:rsidTr="003F7DD3">
        <w:tc>
          <w:tcPr>
            <w:tcW w:w="1056" w:type="pct"/>
            <w:vAlign w:val="center"/>
          </w:tcPr>
          <w:p w14:paraId="24DE5A6F" w14:textId="77777777" w:rsidR="0023524A" w:rsidRPr="003516DC" w:rsidRDefault="0023524A" w:rsidP="00964831">
            <w:pPr>
              <w:rPr>
                <w:rFonts w:ascii="Arial" w:hAnsi="Arial" w:cs="Arial"/>
                <w:sz w:val="18"/>
                <w:szCs w:val="18"/>
              </w:rPr>
            </w:pPr>
            <w:r w:rsidRPr="003516DC">
              <w:rPr>
                <w:rFonts w:ascii="Arial" w:hAnsi="Arial" w:cs="Arial"/>
                <w:sz w:val="18"/>
                <w:szCs w:val="18"/>
              </w:rPr>
              <w:t>Hunedoara</w:t>
            </w:r>
          </w:p>
        </w:tc>
        <w:tc>
          <w:tcPr>
            <w:tcW w:w="2277" w:type="pct"/>
            <w:vAlign w:val="center"/>
          </w:tcPr>
          <w:p w14:paraId="01402BEB" w14:textId="77777777" w:rsidR="0023524A" w:rsidRPr="003516DC" w:rsidRDefault="0023524A" w:rsidP="00964831">
            <w:pPr>
              <w:rPr>
                <w:rFonts w:ascii="Arial" w:hAnsi="Arial" w:cs="Arial"/>
                <w:sz w:val="18"/>
                <w:szCs w:val="18"/>
                <w:lang w:val="fr-BE"/>
              </w:rPr>
            </w:pPr>
            <w:r w:rsidRPr="003516DC">
              <w:rPr>
                <w:rFonts w:ascii="Arial" w:hAnsi="Arial" w:cs="Arial"/>
                <w:sz w:val="18"/>
                <w:szCs w:val="18"/>
                <w:lang w:val="fr-BE"/>
              </w:rPr>
              <w:t>HUNEDOARA ENERGY COMPLEX - ELECTROCENTRALE DEVA SA</w:t>
            </w:r>
          </w:p>
        </w:tc>
        <w:tc>
          <w:tcPr>
            <w:tcW w:w="1667" w:type="pct"/>
            <w:vAlign w:val="center"/>
          </w:tcPr>
          <w:p w14:paraId="15E196D0" w14:textId="77777777" w:rsidR="0023524A" w:rsidRPr="003516DC" w:rsidRDefault="0023524A" w:rsidP="00964831">
            <w:pPr>
              <w:rPr>
                <w:rFonts w:ascii="Arial" w:hAnsi="Arial" w:cs="Arial"/>
                <w:sz w:val="18"/>
                <w:szCs w:val="18"/>
              </w:rPr>
            </w:pPr>
            <w:r w:rsidRPr="003516DC">
              <w:rPr>
                <w:rFonts w:ascii="Arial" w:hAnsi="Arial" w:cs="Arial"/>
                <w:sz w:val="18"/>
                <w:szCs w:val="18"/>
              </w:rPr>
              <w:t>174.71 (raised to 193,08 in 2020)</w:t>
            </w:r>
          </w:p>
        </w:tc>
      </w:tr>
      <w:tr w:rsidR="0023524A" w:rsidRPr="003516DC" w14:paraId="323F3CE0" w14:textId="77777777" w:rsidTr="003F7DD3">
        <w:tc>
          <w:tcPr>
            <w:tcW w:w="1056" w:type="pct"/>
          </w:tcPr>
          <w:p w14:paraId="222B97D7" w14:textId="77777777" w:rsidR="0023524A" w:rsidRPr="003516DC" w:rsidRDefault="0023524A" w:rsidP="00964831">
            <w:pPr>
              <w:rPr>
                <w:rFonts w:ascii="Arial" w:hAnsi="Arial" w:cs="Arial"/>
                <w:sz w:val="18"/>
                <w:szCs w:val="18"/>
              </w:rPr>
            </w:pPr>
            <w:r w:rsidRPr="003516DC">
              <w:rPr>
                <w:rFonts w:ascii="Arial" w:hAnsi="Arial" w:cs="Arial"/>
                <w:sz w:val="18"/>
                <w:szCs w:val="18"/>
              </w:rPr>
              <w:t>Hunedoara</w:t>
            </w:r>
          </w:p>
        </w:tc>
        <w:tc>
          <w:tcPr>
            <w:tcW w:w="2277" w:type="pct"/>
          </w:tcPr>
          <w:p w14:paraId="7D6CE410" w14:textId="00719259" w:rsidR="0023524A" w:rsidRPr="003516DC" w:rsidRDefault="0023524A" w:rsidP="00964831">
            <w:pPr>
              <w:rPr>
                <w:rFonts w:ascii="Arial" w:hAnsi="Arial" w:cs="Arial"/>
                <w:sz w:val="18"/>
                <w:szCs w:val="18"/>
                <w:lang w:val="es-ES"/>
              </w:rPr>
            </w:pPr>
            <w:r w:rsidRPr="003516DC">
              <w:rPr>
                <w:rFonts w:ascii="Arial" w:hAnsi="Arial" w:cs="Arial"/>
                <w:sz w:val="18"/>
                <w:szCs w:val="18"/>
                <w:lang w:val="es-ES"/>
              </w:rPr>
              <w:t>SC TERMICA BRAD S.A</w:t>
            </w:r>
            <w:r w:rsidR="003F7DD3">
              <w:rPr>
                <w:rFonts w:ascii="Arial" w:hAnsi="Arial" w:cs="Arial"/>
                <w:sz w:val="18"/>
                <w:szCs w:val="18"/>
                <w:lang w:val="es-ES"/>
              </w:rPr>
              <w:t>.</w:t>
            </w:r>
          </w:p>
        </w:tc>
        <w:tc>
          <w:tcPr>
            <w:tcW w:w="1667" w:type="pct"/>
          </w:tcPr>
          <w:p w14:paraId="557630E9" w14:textId="77777777" w:rsidR="0023524A" w:rsidRPr="003516DC" w:rsidRDefault="0023524A" w:rsidP="00964831">
            <w:pPr>
              <w:rPr>
                <w:rFonts w:ascii="Arial" w:hAnsi="Arial" w:cs="Arial"/>
                <w:sz w:val="18"/>
                <w:szCs w:val="18"/>
              </w:rPr>
            </w:pPr>
            <w:r w:rsidRPr="003516DC">
              <w:rPr>
                <w:rFonts w:ascii="Arial" w:hAnsi="Arial" w:cs="Arial"/>
                <w:sz w:val="18"/>
                <w:szCs w:val="18"/>
              </w:rPr>
              <w:t>223.60</w:t>
            </w:r>
          </w:p>
        </w:tc>
      </w:tr>
      <w:tr w:rsidR="0023524A" w:rsidRPr="003516DC" w14:paraId="67EA4542" w14:textId="77777777" w:rsidTr="003F7DD3">
        <w:tc>
          <w:tcPr>
            <w:tcW w:w="1056" w:type="pct"/>
          </w:tcPr>
          <w:p w14:paraId="3F0F3C3C" w14:textId="77777777" w:rsidR="0023524A" w:rsidRPr="003516DC" w:rsidRDefault="0023524A" w:rsidP="00964831">
            <w:pPr>
              <w:rPr>
                <w:rFonts w:ascii="Arial" w:hAnsi="Arial" w:cs="Arial"/>
                <w:sz w:val="18"/>
                <w:szCs w:val="18"/>
              </w:rPr>
            </w:pPr>
            <w:r w:rsidRPr="003516DC">
              <w:rPr>
                <w:rFonts w:ascii="Arial" w:hAnsi="Arial" w:cs="Arial"/>
                <w:sz w:val="18"/>
                <w:szCs w:val="18"/>
              </w:rPr>
              <w:t>Gorj</w:t>
            </w:r>
          </w:p>
        </w:tc>
        <w:tc>
          <w:tcPr>
            <w:tcW w:w="2277" w:type="pct"/>
          </w:tcPr>
          <w:p w14:paraId="4686A1FD" w14:textId="4B38C264" w:rsidR="0023524A" w:rsidRPr="003516DC" w:rsidRDefault="0023524A" w:rsidP="00964831">
            <w:pPr>
              <w:rPr>
                <w:rFonts w:ascii="Arial" w:hAnsi="Arial" w:cs="Arial"/>
                <w:sz w:val="18"/>
                <w:szCs w:val="18"/>
              </w:rPr>
            </w:pPr>
            <w:r w:rsidRPr="003516DC">
              <w:rPr>
                <w:rFonts w:ascii="Arial" w:hAnsi="Arial" w:cs="Arial"/>
                <w:sz w:val="18"/>
                <w:szCs w:val="18"/>
              </w:rPr>
              <w:t>SC. UATAA S</w:t>
            </w:r>
            <w:r w:rsidR="003F7DD3">
              <w:rPr>
                <w:rFonts w:ascii="Arial" w:hAnsi="Arial" w:cs="Arial"/>
                <w:sz w:val="18"/>
                <w:szCs w:val="18"/>
              </w:rPr>
              <w:t>.</w:t>
            </w:r>
            <w:r w:rsidRPr="003516DC">
              <w:rPr>
                <w:rFonts w:ascii="Arial" w:hAnsi="Arial" w:cs="Arial"/>
                <w:sz w:val="18"/>
                <w:szCs w:val="18"/>
              </w:rPr>
              <w:t>A</w:t>
            </w:r>
            <w:r w:rsidR="003F7DD3">
              <w:rPr>
                <w:rFonts w:ascii="Arial" w:hAnsi="Arial" w:cs="Arial"/>
                <w:sz w:val="18"/>
                <w:szCs w:val="18"/>
              </w:rPr>
              <w:t>.</w:t>
            </w:r>
          </w:p>
        </w:tc>
        <w:tc>
          <w:tcPr>
            <w:tcW w:w="1667" w:type="pct"/>
          </w:tcPr>
          <w:p w14:paraId="360138BC" w14:textId="77777777" w:rsidR="0023524A" w:rsidRPr="003516DC" w:rsidRDefault="0023524A" w:rsidP="00964831">
            <w:pPr>
              <w:rPr>
                <w:rFonts w:ascii="Arial" w:hAnsi="Arial" w:cs="Arial"/>
                <w:sz w:val="18"/>
                <w:szCs w:val="18"/>
              </w:rPr>
            </w:pPr>
            <w:r w:rsidRPr="003516DC">
              <w:rPr>
                <w:rFonts w:ascii="Arial" w:hAnsi="Arial" w:cs="Arial"/>
                <w:sz w:val="18"/>
                <w:szCs w:val="18"/>
              </w:rPr>
              <w:t>155.86</w:t>
            </w:r>
          </w:p>
        </w:tc>
      </w:tr>
      <w:tr w:rsidR="0023524A" w:rsidRPr="003516DC" w14:paraId="47D3EFC4" w14:textId="77777777" w:rsidTr="003F7DD3">
        <w:tc>
          <w:tcPr>
            <w:tcW w:w="1056" w:type="pct"/>
          </w:tcPr>
          <w:p w14:paraId="216FE153" w14:textId="77777777" w:rsidR="0023524A" w:rsidRPr="003516DC" w:rsidRDefault="0023524A" w:rsidP="00964831">
            <w:pPr>
              <w:rPr>
                <w:rFonts w:ascii="Arial" w:hAnsi="Arial" w:cs="Arial"/>
                <w:sz w:val="18"/>
                <w:szCs w:val="18"/>
              </w:rPr>
            </w:pPr>
            <w:r w:rsidRPr="003516DC">
              <w:rPr>
                <w:rFonts w:ascii="Arial" w:hAnsi="Arial" w:cs="Arial"/>
                <w:sz w:val="18"/>
                <w:szCs w:val="18"/>
              </w:rPr>
              <w:t>Dolj</w:t>
            </w:r>
          </w:p>
        </w:tc>
        <w:tc>
          <w:tcPr>
            <w:tcW w:w="2277" w:type="pct"/>
          </w:tcPr>
          <w:p w14:paraId="5C23F9A7" w14:textId="77777777" w:rsidR="0023524A" w:rsidRPr="003516DC" w:rsidRDefault="0023524A" w:rsidP="00964831">
            <w:pPr>
              <w:rPr>
                <w:rFonts w:ascii="Arial" w:hAnsi="Arial" w:cs="Arial"/>
                <w:sz w:val="18"/>
                <w:szCs w:val="18"/>
              </w:rPr>
            </w:pPr>
            <w:r w:rsidRPr="003516DC">
              <w:rPr>
                <w:rFonts w:ascii="Arial" w:hAnsi="Arial" w:cs="Arial"/>
                <w:sz w:val="18"/>
                <w:szCs w:val="18"/>
              </w:rPr>
              <w:t>SC TERMO CRAIOVA SRL</w:t>
            </w:r>
          </w:p>
        </w:tc>
        <w:tc>
          <w:tcPr>
            <w:tcW w:w="1667" w:type="pct"/>
          </w:tcPr>
          <w:p w14:paraId="6B2D66F7" w14:textId="77777777" w:rsidR="0023524A" w:rsidRPr="003516DC" w:rsidRDefault="0023524A" w:rsidP="00964831">
            <w:pPr>
              <w:rPr>
                <w:rFonts w:ascii="Arial" w:hAnsi="Arial" w:cs="Arial"/>
                <w:sz w:val="18"/>
                <w:szCs w:val="18"/>
              </w:rPr>
            </w:pPr>
            <w:r w:rsidRPr="003516DC">
              <w:rPr>
                <w:rFonts w:ascii="Arial" w:hAnsi="Arial" w:cs="Arial"/>
                <w:sz w:val="18"/>
                <w:szCs w:val="18"/>
              </w:rPr>
              <w:t>220.5 (raised to 282,54 in 2020)</w:t>
            </w:r>
          </w:p>
        </w:tc>
      </w:tr>
    </w:tbl>
    <w:p w14:paraId="28A20A8C" w14:textId="4C861BE8" w:rsidR="0023524A" w:rsidRPr="003516DC" w:rsidRDefault="0023524A" w:rsidP="0023524A">
      <w:pPr>
        <w:pStyle w:val="Caption"/>
        <w:ind w:left="0" w:firstLine="0"/>
        <w:rPr>
          <w:shd w:val="solid" w:color="FFFFFF" w:fill="FFFFFF"/>
        </w:rPr>
      </w:pPr>
      <w:bookmarkStart w:id="75" w:name="_Toc90725968"/>
      <w:bookmarkStart w:id="76" w:name="_Toc90727265"/>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7E5B0B">
        <w:rPr>
          <w:noProof/>
        </w:rPr>
        <w:t>14</w:t>
      </w:r>
      <w:r w:rsidRPr="003516DC">
        <w:rPr>
          <w:noProof/>
        </w:rPr>
        <w:fldChar w:fldCharType="end"/>
      </w:r>
      <w:r w:rsidRPr="003516DC">
        <w:t>: Share of households, public and private institutions connected to SACET for each county</w:t>
      </w:r>
      <w:bookmarkEnd w:id="75"/>
      <w:bookmarkEnd w:id="76"/>
    </w:p>
    <w:tbl>
      <w:tblPr>
        <w:tblStyle w:val="TableGrid"/>
        <w:tblW w:w="5000" w:type="pct"/>
        <w:tblLook w:val="04A0" w:firstRow="1" w:lastRow="0" w:firstColumn="1" w:lastColumn="0" w:noHBand="0" w:noVBand="1"/>
      </w:tblPr>
      <w:tblGrid>
        <w:gridCol w:w="3324"/>
        <w:gridCol w:w="1629"/>
        <w:gridCol w:w="1988"/>
        <w:gridCol w:w="1988"/>
      </w:tblGrid>
      <w:tr w:rsidR="0023524A" w:rsidRPr="003516DC" w14:paraId="3CFF3ED2" w14:textId="77777777" w:rsidTr="003F7DD3">
        <w:tc>
          <w:tcPr>
            <w:tcW w:w="1862" w:type="pct"/>
            <w:shd w:val="clear" w:color="auto" w:fill="002060"/>
            <w:vAlign w:val="center"/>
          </w:tcPr>
          <w:p w14:paraId="6B7B5641" w14:textId="77777777" w:rsidR="0023524A" w:rsidRPr="003516DC" w:rsidRDefault="0023524A" w:rsidP="00964831">
            <w:pPr>
              <w:rPr>
                <w:rFonts w:ascii="Arial" w:hAnsi="Arial" w:cs="Arial"/>
                <w:b/>
                <w:bCs/>
                <w:sz w:val="18"/>
                <w:szCs w:val="18"/>
              </w:rPr>
            </w:pPr>
            <w:r w:rsidRPr="003516DC">
              <w:rPr>
                <w:rFonts w:ascii="Arial" w:hAnsi="Arial" w:cs="Arial"/>
                <w:b/>
                <w:bCs/>
                <w:sz w:val="18"/>
                <w:szCs w:val="18"/>
              </w:rPr>
              <w:t>SACET</w:t>
            </w:r>
          </w:p>
        </w:tc>
        <w:tc>
          <w:tcPr>
            <w:tcW w:w="912" w:type="pct"/>
            <w:shd w:val="clear" w:color="auto" w:fill="002060"/>
            <w:vAlign w:val="center"/>
          </w:tcPr>
          <w:p w14:paraId="75A8DAB2" w14:textId="77777777" w:rsidR="0023524A" w:rsidRPr="003516DC" w:rsidRDefault="0023524A" w:rsidP="00964831">
            <w:pPr>
              <w:jc w:val="center"/>
              <w:rPr>
                <w:rFonts w:ascii="Arial" w:hAnsi="Arial" w:cs="Arial"/>
                <w:b/>
                <w:bCs/>
                <w:sz w:val="18"/>
                <w:szCs w:val="18"/>
              </w:rPr>
            </w:pPr>
            <w:r w:rsidRPr="003516DC">
              <w:rPr>
                <w:rFonts w:ascii="Arial" w:hAnsi="Arial" w:cs="Arial"/>
                <w:b/>
                <w:bCs/>
                <w:sz w:val="18"/>
                <w:szCs w:val="18"/>
              </w:rPr>
              <w:t>Population</w:t>
            </w:r>
          </w:p>
        </w:tc>
        <w:tc>
          <w:tcPr>
            <w:tcW w:w="1113" w:type="pct"/>
            <w:shd w:val="clear" w:color="auto" w:fill="002060"/>
            <w:vAlign w:val="center"/>
          </w:tcPr>
          <w:p w14:paraId="69DACBD5" w14:textId="77777777" w:rsidR="0023524A" w:rsidRPr="003516DC" w:rsidRDefault="0023524A" w:rsidP="00964831">
            <w:pPr>
              <w:jc w:val="center"/>
              <w:rPr>
                <w:rFonts w:ascii="Arial" w:hAnsi="Arial" w:cs="Arial"/>
                <w:b/>
                <w:bCs/>
                <w:sz w:val="18"/>
                <w:szCs w:val="18"/>
              </w:rPr>
            </w:pPr>
            <w:r w:rsidRPr="003516DC">
              <w:rPr>
                <w:rFonts w:ascii="Arial" w:hAnsi="Arial" w:cs="Arial"/>
                <w:b/>
                <w:bCs/>
                <w:sz w:val="18"/>
                <w:szCs w:val="18"/>
              </w:rPr>
              <w:t>Public institutions</w:t>
            </w:r>
          </w:p>
        </w:tc>
        <w:tc>
          <w:tcPr>
            <w:tcW w:w="1113" w:type="pct"/>
            <w:shd w:val="clear" w:color="auto" w:fill="002060"/>
            <w:vAlign w:val="center"/>
          </w:tcPr>
          <w:p w14:paraId="09CA9D3F" w14:textId="77777777" w:rsidR="0023524A" w:rsidRPr="003516DC" w:rsidRDefault="0023524A" w:rsidP="00964831">
            <w:pPr>
              <w:jc w:val="center"/>
              <w:rPr>
                <w:rFonts w:ascii="Arial" w:hAnsi="Arial" w:cs="Arial"/>
                <w:b/>
                <w:bCs/>
                <w:sz w:val="18"/>
                <w:szCs w:val="18"/>
              </w:rPr>
            </w:pPr>
            <w:r w:rsidRPr="003516DC">
              <w:rPr>
                <w:rFonts w:ascii="Arial" w:hAnsi="Arial" w:cs="Arial"/>
                <w:b/>
                <w:bCs/>
                <w:sz w:val="18"/>
                <w:szCs w:val="18"/>
              </w:rPr>
              <w:t>Economic operators</w:t>
            </w:r>
          </w:p>
        </w:tc>
      </w:tr>
      <w:tr w:rsidR="0023524A" w:rsidRPr="003516DC" w14:paraId="1232254E" w14:textId="77777777" w:rsidTr="003F7DD3">
        <w:tc>
          <w:tcPr>
            <w:tcW w:w="1862" w:type="pct"/>
            <w:vAlign w:val="center"/>
          </w:tcPr>
          <w:p w14:paraId="2719DC53" w14:textId="77777777" w:rsidR="0023524A" w:rsidRPr="003516DC" w:rsidRDefault="0023524A" w:rsidP="00964831">
            <w:pPr>
              <w:rPr>
                <w:rFonts w:ascii="Arial" w:hAnsi="Arial" w:cs="Arial"/>
                <w:sz w:val="18"/>
                <w:szCs w:val="18"/>
              </w:rPr>
            </w:pPr>
            <w:r w:rsidRPr="003516DC">
              <w:rPr>
                <w:rFonts w:ascii="Arial" w:hAnsi="Arial" w:cs="Arial"/>
                <w:sz w:val="18"/>
                <w:szCs w:val="18"/>
              </w:rPr>
              <w:t>CALORGAL S.A.</w:t>
            </w:r>
          </w:p>
        </w:tc>
        <w:tc>
          <w:tcPr>
            <w:tcW w:w="912" w:type="pct"/>
            <w:vAlign w:val="center"/>
          </w:tcPr>
          <w:p w14:paraId="2626346B"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5.94%</w:t>
            </w:r>
          </w:p>
        </w:tc>
        <w:tc>
          <w:tcPr>
            <w:tcW w:w="1113" w:type="pct"/>
            <w:vAlign w:val="center"/>
          </w:tcPr>
          <w:p w14:paraId="22B5C5AA"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11.72%</w:t>
            </w:r>
          </w:p>
        </w:tc>
        <w:tc>
          <w:tcPr>
            <w:tcW w:w="1113" w:type="pct"/>
            <w:vAlign w:val="center"/>
          </w:tcPr>
          <w:p w14:paraId="326CC79A"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5.26%</w:t>
            </w:r>
          </w:p>
        </w:tc>
      </w:tr>
      <w:tr w:rsidR="0023524A" w:rsidRPr="003516DC" w14:paraId="31502F6A" w14:textId="77777777" w:rsidTr="003F7DD3">
        <w:tc>
          <w:tcPr>
            <w:tcW w:w="1862" w:type="pct"/>
            <w:vAlign w:val="center"/>
          </w:tcPr>
          <w:p w14:paraId="28CDEA51" w14:textId="77777777" w:rsidR="0023524A" w:rsidRPr="003516DC" w:rsidRDefault="0023524A" w:rsidP="00964831">
            <w:pPr>
              <w:rPr>
                <w:rFonts w:ascii="Arial" w:hAnsi="Arial" w:cs="Arial"/>
                <w:sz w:val="18"/>
                <w:szCs w:val="18"/>
              </w:rPr>
            </w:pPr>
            <w:r w:rsidRPr="003516DC">
              <w:rPr>
                <w:rFonts w:ascii="Arial" w:hAnsi="Arial" w:cs="Arial"/>
                <w:sz w:val="18"/>
                <w:szCs w:val="18"/>
              </w:rPr>
              <w:t>VEOLIA ENERGIE SRL</w:t>
            </w:r>
          </w:p>
        </w:tc>
        <w:tc>
          <w:tcPr>
            <w:tcW w:w="912" w:type="pct"/>
            <w:vAlign w:val="center"/>
          </w:tcPr>
          <w:p w14:paraId="7EA2FC1D"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83.24%</w:t>
            </w:r>
          </w:p>
        </w:tc>
        <w:tc>
          <w:tcPr>
            <w:tcW w:w="1113" w:type="pct"/>
            <w:vAlign w:val="center"/>
          </w:tcPr>
          <w:p w14:paraId="4DAEEACE"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100%</w:t>
            </w:r>
          </w:p>
        </w:tc>
        <w:tc>
          <w:tcPr>
            <w:tcW w:w="1113" w:type="pct"/>
            <w:vAlign w:val="center"/>
          </w:tcPr>
          <w:p w14:paraId="4A72CDDB"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45.79%</w:t>
            </w:r>
          </w:p>
        </w:tc>
      </w:tr>
      <w:tr w:rsidR="0023524A" w:rsidRPr="003516DC" w14:paraId="1554FAAF" w14:textId="77777777" w:rsidTr="003F7DD3">
        <w:tc>
          <w:tcPr>
            <w:tcW w:w="1862" w:type="pct"/>
            <w:vAlign w:val="center"/>
          </w:tcPr>
          <w:p w14:paraId="6C37BBB7" w14:textId="216EDF6F" w:rsidR="0023524A" w:rsidRPr="003516DC" w:rsidRDefault="0023524A" w:rsidP="00964831">
            <w:pPr>
              <w:rPr>
                <w:rFonts w:ascii="Arial" w:hAnsi="Arial" w:cs="Arial"/>
                <w:sz w:val="18"/>
                <w:szCs w:val="18"/>
                <w:lang w:val="fr-BE"/>
              </w:rPr>
            </w:pPr>
            <w:r w:rsidRPr="003516DC">
              <w:rPr>
                <w:rFonts w:ascii="Arial" w:hAnsi="Arial" w:cs="Arial"/>
                <w:sz w:val="18"/>
                <w:szCs w:val="18"/>
                <w:lang w:val="fr-BE"/>
              </w:rPr>
              <w:t xml:space="preserve">HUNEDOARA ENERGY COMPLEX </w:t>
            </w:r>
            <w:r w:rsidR="003F7DD3">
              <w:rPr>
                <w:rFonts w:ascii="Arial" w:hAnsi="Arial" w:cs="Arial"/>
                <w:sz w:val="18"/>
                <w:szCs w:val="18"/>
                <w:lang w:val="fr-BE"/>
              </w:rPr>
              <w:t>–</w:t>
            </w:r>
            <w:r w:rsidRPr="003516DC">
              <w:rPr>
                <w:rFonts w:ascii="Arial" w:hAnsi="Arial" w:cs="Arial"/>
                <w:sz w:val="18"/>
                <w:szCs w:val="18"/>
                <w:lang w:val="fr-BE"/>
              </w:rPr>
              <w:t xml:space="preserve"> ELECTROCENTRALE DEVA S</w:t>
            </w:r>
            <w:r w:rsidR="003F7DD3">
              <w:rPr>
                <w:rFonts w:ascii="Arial" w:hAnsi="Arial" w:cs="Arial"/>
                <w:sz w:val="18"/>
                <w:szCs w:val="18"/>
                <w:lang w:val="fr-BE"/>
              </w:rPr>
              <w:t>.</w:t>
            </w:r>
            <w:r w:rsidRPr="003516DC">
              <w:rPr>
                <w:rFonts w:ascii="Arial" w:hAnsi="Arial" w:cs="Arial"/>
                <w:sz w:val="18"/>
                <w:szCs w:val="18"/>
                <w:lang w:val="fr-BE"/>
              </w:rPr>
              <w:t>A</w:t>
            </w:r>
            <w:r w:rsidR="003F7DD3">
              <w:rPr>
                <w:rFonts w:ascii="Arial" w:hAnsi="Arial" w:cs="Arial"/>
                <w:sz w:val="18"/>
                <w:szCs w:val="18"/>
                <w:lang w:val="fr-BE"/>
              </w:rPr>
              <w:t>.</w:t>
            </w:r>
          </w:p>
        </w:tc>
        <w:tc>
          <w:tcPr>
            <w:tcW w:w="912" w:type="pct"/>
            <w:vAlign w:val="center"/>
          </w:tcPr>
          <w:p w14:paraId="31293CE3"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18%</w:t>
            </w:r>
          </w:p>
        </w:tc>
        <w:tc>
          <w:tcPr>
            <w:tcW w:w="1113" w:type="pct"/>
            <w:vAlign w:val="center"/>
          </w:tcPr>
          <w:p w14:paraId="1611AF67"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95%</w:t>
            </w:r>
          </w:p>
        </w:tc>
        <w:tc>
          <w:tcPr>
            <w:tcW w:w="1113" w:type="pct"/>
            <w:vAlign w:val="center"/>
          </w:tcPr>
          <w:p w14:paraId="3F82BB37"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65%</w:t>
            </w:r>
          </w:p>
        </w:tc>
      </w:tr>
      <w:tr w:rsidR="0023524A" w:rsidRPr="003516DC" w14:paraId="20619078" w14:textId="77777777" w:rsidTr="003F7DD3">
        <w:tc>
          <w:tcPr>
            <w:tcW w:w="1862" w:type="pct"/>
            <w:vAlign w:val="center"/>
          </w:tcPr>
          <w:p w14:paraId="7821CCE9" w14:textId="53A48861" w:rsidR="0023524A" w:rsidRPr="003516DC" w:rsidRDefault="0023524A" w:rsidP="00964831">
            <w:pPr>
              <w:rPr>
                <w:rFonts w:ascii="Arial" w:hAnsi="Arial" w:cs="Arial"/>
                <w:sz w:val="18"/>
                <w:szCs w:val="18"/>
                <w:lang w:val="es-ES"/>
              </w:rPr>
            </w:pPr>
            <w:r w:rsidRPr="003516DC">
              <w:rPr>
                <w:rFonts w:ascii="Arial" w:hAnsi="Arial" w:cs="Arial"/>
                <w:sz w:val="18"/>
                <w:szCs w:val="18"/>
                <w:lang w:val="es-ES"/>
              </w:rPr>
              <w:t>SC TERMICA BRAD S.A</w:t>
            </w:r>
            <w:r w:rsidR="003F7DD3">
              <w:rPr>
                <w:rFonts w:ascii="Arial" w:hAnsi="Arial" w:cs="Arial"/>
                <w:sz w:val="18"/>
                <w:szCs w:val="18"/>
                <w:lang w:val="es-ES"/>
              </w:rPr>
              <w:t>.</w:t>
            </w:r>
          </w:p>
        </w:tc>
        <w:tc>
          <w:tcPr>
            <w:tcW w:w="912" w:type="pct"/>
            <w:vAlign w:val="center"/>
          </w:tcPr>
          <w:p w14:paraId="43BEEF78"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99%</w:t>
            </w:r>
          </w:p>
        </w:tc>
        <w:tc>
          <w:tcPr>
            <w:tcW w:w="1113" w:type="pct"/>
            <w:vAlign w:val="center"/>
          </w:tcPr>
          <w:p w14:paraId="0EF5ACEF"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0.43%</w:t>
            </w:r>
          </w:p>
        </w:tc>
        <w:tc>
          <w:tcPr>
            <w:tcW w:w="1113" w:type="pct"/>
            <w:vAlign w:val="center"/>
          </w:tcPr>
          <w:p w14:paraId="01F7F43E"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0.79%</w:t>
            </w:r>
          </w:p>
        </w:tc>
      </w:tr>
      <w:tr w:rsidR="0023524A" w:rsidRPr="003516DC" w14:paraId="6DC1F525" w14:textId="77777777" w:rsidTr="003F7DD3">
        <w:tc>
          <w:tcPr>
            <w:tcW w:w="1862" w:type="pct"/>
            <w:vAlign w:val="center"/>
          </w:tcPr>
          <w:p w14:paraId="59F009EF" w14:textId="3436FE21" w:rsidR="0023524A" w:rsidRPr="003516DC" w:rsidRDefault="0023524A" w:rsidP="00964831">
            <w:pPr>
              <w:rPr>
                <w:rFonts w:ascii="Arial" w:hAnsi="Arial" w:cs="Arial"/>
                <w:sz w:val="18"/>
                <w:szCs w:val="18"/>
              </w:rPr>
            </w:pPr>
            <w:r w:rsidRPr="003516DC">
              <w:rPr>
                <w:rFonts w:ascii="Arial" w:hAnsi="Arial" w:cs="Arial"/>
                <w:sz w:val="18"/>
                <w:szCs w:val="18"/>
              </w:rPr>
              <w:t>SC. UATAA S</w:t>
            </w:r>
            <w:r w:rsidR="003F7DD3">
              <w:rPr>
                <w:rFonts w:ascii="Arial" w:hAnsi="Arial" w:cs="Arial"/>
                <w:sz w:val="18"/>
                <w:szCs w:val="18"/>
              </w:rPr>
              <w:t>.</w:t>
            </w:r>
            <w:r w:rsidRPr="003516DC">
              <w:rPr>
                <w:rFonts w:ascii="Arial" w:hAnsi="Arial" w:cs="Arial"/>
                <w:sz w:val="18"/>
                <w:szCs w:val="18"/>
              </w:rPr>
              <w:t>A</w:t>
            </w:r>
            <w:r w:rsidR="003F7DD3">
              <w:rPr>
                <w:rFonts w:ascii="Arial" w:hAnsi="Arial" w:cs="Arial"/>
                <w:sz w:val="18"/>
                <w:szCs w:val="18"/>
              </w:rPr>
              <w:t>.</w:t>
            </w:r>
          </w:p>
        </w:tc>
        <w:tc>
          <w:tcPr>
            <w:tcW w:w="912" w:type="pct"/>
            <w:vAlign w:val="center"/>
          </w:tcPr>
          <w:p w14:paraId="68BA0B76"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75.76%</w:t>
            </w:r>
          </w:p>
        </w:tc>
        <w:tc>
          <w:tcPr>
            <w:tcW w:w="1113" w:type="pct"/>
            <w:vAlign w:val="center"/>
          </w:tcPr>
          <w:p w14:paraId="44568E73"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100%</w:t>
            </w:r>
          </w:p>
        </w:tc>
        <w:tc>
          <w:tcPr>
            <w:tcW w:w="1113" w:type="pct"/>
            <w:vAlign w:val="center"/>
          </w:tcPr>
          <w:p w14:paraId="47A3B0C9"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100%</w:t>
            </w:r>
          </w:p>
        </w:tc>
      </w:tr>
      <w:tr w:rsidR="0023524A" w:rsidRPr="003516DC" w14:paraId="6A8595BC" w14:textId="77777777" w:rsidTr="003F7DD3">
        <w:tc>
          <w:tcPr>
            <w:tcW w:w="1862" w:type="pct"/>
            <w:vAlign w:val="center"/>
          </w:tcPr>
          <w:p w14:paraId="44E67C62" w14:textId="77777777" w:rsidR="0023524A" w:rsidRPr="003516DC" w:rsidRDefault="0023524A" w:rsidP="00964831">
            <w:pPr>
              <w:rPr>
                <w:rFonts w:ascii="Arial" w:hAnsi="Arial" w:cs="Arial"/>
                <w:sz w:val="18"/>
                <w:szCs w:val="18"/>
              </w:rPr>
            </w:pPr>
            <w:r w:rsidRPr="003516DC">
              <w:rPr>
                <w:rFonts w:ascii="Arial" w:hAnsi="Arial" w:cs="Arial"/>
                <w:sz w:val="18"/>
                <w:szCs w:val="18"/>
              </w:rPr>
              <w:t>SC TERMO CRAIOVA SRL</w:t>
            </w:r>
          </w:p>
        </w:tc>
        <w:tc>
          <w:tcPr>
            <w:tcW w:w="912" w:type="pct"/>
            <w:vAlign w:val="center"/>
          </w:tcPr>
          <w:p w14:paraId="593EA3D3"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76%</w:t>
            </w:r>
          </w:p>
        </w:tc>
        <w:tc>
          <w:tcPr>
            <w:tcW w:w="1113" w:type="pct"/>
            <w:vAlign w:val="center"/>
          </w:tcPr>
          <w:p w14:paraId="531FC8E4"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100%</w:t>
            </w:r>
          </w:p>
        </w:tc>
        <w:tc>
          <w:tcPr>
            <w:tcW w:w="1113" w:type="pct"/>
            <w:vAlign w:val="center"/>
          </w:tcPr>
          <w:p w14:paraId="056ABA9C" w14:textId="77777777" w:rsidR="0023524A" w:rsidRPr="003516DC" w:rsidRDefault="0023524A" w:rsidP="00964831">
            <w:pPr>
              <w:jc w:val="center"/>
              <w:rPr>
                <w:rFonts w:ascii="Arial" w:hAnsi="Arial" w:cs="Arial"/>
                <w:sz w:val="18"/>
                <w:szCs w:val="18"/>
              </w:rPr>
            </w:pPr>
            <w:r w:rsidRPr="003516DC">
              <w:rPr>
                <w:rFonts w:ascii="Arial" w:hAnsi="Arial" w:cs="Arial"/>
                <w:sz w:val="18"/>
                <w:szCs w:val="18"/>
              </w:rPr>
              <w:t>100%</w:t>
            </w:r>
          </w:p>
        </w:tc>
      </w:tr>
    </w:tbl>
    <w:p w14:paraId="3BA08DF0" w14:textId="017F187B" w:rsidR="0023524A" w:rsidRPr="003516DC" w:rsidRDefault="003751DC" w:rsidP="002B45D6">
      <w:pPr>
        <w:spacing w:before="120" w:after="120"/>
        <w:jc w:val="both"/>
        <w:rPr>
          <w:rFonts w:ascii="Arial" w:hAnsi="Arial" w:cs="Arial"/>
          <w:sz w:val="20"/>
          <w:szCs w:val="20"/>
        </w:rPr>
      </w:pPr>
      <w:r>
        <w:rPr>
          <w:rFonts w:ascii="Arial" w:hAnsi="Arial" w:cs="Arial"/>
          <w:sz w:val="20"/>
          <w:szCs w:val="20"/>
        </w:rPr>
        <w:t>Galați</w:t>
      </w:r>
      <w:r w:rsidR="0023524A" w:rsidRPr="003516DC">
        <w:rPr>
          <w:rFonts w:ascii="Arial" w:hAnsi="Arial" w:cs="Arial"/>
          <w:sz w:val="20"/>
          <w:szCs w:val="20"/>
        </w:rPr>
        <w:t xml:space="preserve"> is the only municipality with</w:t>
      </w:r>
      <w:r w:rsidR="00CA4D6E">
        <w:rPr>
          <w:rFonts w:ascii="Arial" w:hAnsi="Arial" w:cs="Arial"/>
          <w:sz w:val="20"/>
          <w:szCs w:val="20"/>
        </w:rPr>
        <w:t>out</w:t>
      </w:r>
      <w:r w:rsidR="0023524A" w:rsidRPr="003516DC">
        <w:rPr>
          <w:rFonts w:ascii="Arial" w:hAnsi="Arial" w:cs="Arial"/>
          <w:sz w:val="20"/>
          <w:szCs w:val="20"/>
        </w:rPr>
        <w:t xml:space="preserve"> district heating. The number of households connected to SACET dropped by 9,656 from 2018 to 2019, the largest drop in the country, due to an intentional policy of the municipality that awarded benefits of RON 3,000 to each household replacing district heating with individual gas boilers. However, many buildings are not connected to the gas pipes. As a result, at least 8,000 households cannot access this solution (and other systems, using electricity, are much more expensive). Many other consumers cannot afford the extra money beyond the RON 3</w:t>
      </w:r>
      <w:r w:rsidR="003F7DD3">
        <w:rPr>
          <w:rFonts w:ascii="Arial" w:hAnsi="Arial" w:cs="Arial"/>
          <w:sz w:val="20"/>
          <w:szCs w:val="20"/>
        </w:rPr>
        <w:t>,</w:t>
      </w:r>
      <w:r w:rsidR="0023524A" w:rsidRPr="003516DC">
        <w:rPr>
          <w:rFonts w:ascii="Arial" w:hAnsi="Arial" w:cs="Arial"/>
          <w:sz w:val="20"/>
          <w:szCs w:val="20"/>
        </w:rPr>
        <w:t xml:space="preserve">000 to buy an individual gas boiler or another system. </w:t>
      </w:r>
    </w:p>
    <w:p w14:paraId="7CE7E403" w14:textId="357E591A" w:rsidR="00AA17AE" w:rsidRDefault="0023524A" w:rsidP="006C46E5">
      <w:pPr>
        <w:spacing w:after="120"/>
        <w:jc w:val="both"/>
        <w:rPr>
          <w:rFonts w:ascii="Arial" w:hAnsi="Arial" w:cs="Arial"/>
          <w:sz w:val="20"/>
          <w:szCs w:val="20"/>
        </w:rPr>
      </w:pPr>
      <w:r w:rsidRPr="003516DC">
        <w:rPr>
          <w:rFonts w:ascii="Arial" w:hAnsi="Arial" w:cs="Arial"/>
          <w:sz w:val="20"/>
          <w:szCs w:val="20"/>
        </w:rPr>
        <w:t xml:space="preserve">Hunedoara is a county with a high degree of urbanisation but is also affected by poverty. Of the six counties, it </w:t>
      </w:r>
      <w:r w:rsidR="00CA4D6E">
        <w:rPr>
          <w:rFonts w:ascii="Arial" w:hAnsi="Arial" w:cs="Arial"/>
          <w:sz w:val="20"/>
          <w:szCs w:val="20"/>
        </w:rPr>
        <w:t xml:space="preserve">has </w:t>
      </w:r>
      <w:r w:rsidRPr="003516DC">
        <w:rPr>
          <w:rFonts w:ascii="Arial" w:hAnsi="Arial" w:cs="Arial"/>
          <w:sz w:val="20"/>
          <w:szCs w:val="20"/>
        </w:rPr>
        <w:t>the lowest average incomes. District heating is present in Hunedoara</w:t>
      </w:r>
      <w:r w:rsidR="00CA4D6E">
        <w:rPr>
          <w:rFonts w:ascii="Arial" w:hAnsi="Arial" w:cs="Arial"/>
          <w:sz w:val="20"/>
          <w:szCs w:val="20"/>
        </w:rPr>
        <w:t xml:space="preserve"> municipality</w:t>
      </w:r>
      <w:r w:rsidRPr="003516DC">
        <w:rPr>
          <w:rFonts w:ascii="Arial" w:hAnsi="Arial" w:cs="Arial"/>
          <w:sz w:val="20"/>
          <w:szCs w:val="20"/>
        </w:rPr>
        <w:t xml:space="preserve">, the rest of the county relies on individual gas boilers, electricity and wood, which is present to a significant extent in urban areas compared to other counties. </w:t>
      </w:r>
      <w:r w:rsidR="00E868B0">
        <w:rPr>
          <w:rFonts w:ascii="Arial" w:hAnsi="Arial" w:cs="Arial"/>
          <w:sz w:val="20"/>
          <w:szCs w:val="20"/>
        </w:rPr>
        <w:t>A</w:t>
      </w:r>
      <w:r w:rsidR="00D77DBD">
        <w:rPr>
          <w:rFonts w:ascii="Arial" w:hAnsi="Arial" w:cs="Arial"/>
          <w:sz w:val="20"/>
          <w:szCs w:val="20"/>
        </w:rPr>
        <w:t>n exception is the municipality of Brad, where over 90% of residential consumers are connected, yet the local thermal plant is fueled by heating oil, one of the most polluting and expensive energy sources used in heating. The cost of producing heating in Brad is close to 800 RON/ Gcal, and the local population cannot cover more than 150 RON/ Gcal, the rest being subsidized by the municipality. According to the latest National Report on District Heating published by the National Energy Regulatory Authority, in 2020 SC Termina Brad SA did not invest any funds in improving its competitiveness. In Deva municipality, due to the financial and tehnical conditions of coal-fired power plant Mintia, that is providing heating to the city, heating was suspended for several weeks in March 2021, with schools having to close down due to this situation. The local city hall is looking, according to media statements, into supporting schools to install individual gas boilers and potentially also residential consumers, with no long-term, low-carbon heating supply solutions being envisaged. In summer 2021</w:t>
      </w:r>
      <w:r w:rsidR="003F7DD3">
        <w:rPr>
          <w:rFonts w:ascii="Arial" w:hAnsi="Arial" w:cs="Arial"/>
          <w:sz w:val="20"/>
          <w:szCs w:val="20"/>
        </w:rPr>
        <w:t>,</w:t>
      </w:r>
      <w:r w:rsidR="00D77DBD">
        <w:rPr>
          <w:rFonts w:ascii="Arial" w:hAnsi="Arial" w:cs="Arial"/>
          <w:sz w:val="20"/>
          <w:szCs w:val="20"/>
        </w:rPr>
        <w:t xml:space="preserve"> Mintia power plant closed down its activity and in Deva approximately 6</w:t>
      </w:r>
      <w:r w:rsidR="003F7DD3">
        <w:rPr>
          <w:rFonts w:ascii="Arial" w:hAnsi="Arial" w:cs="Arial"/>
          <w:sz w:val="20"/>
          <w:szCs w:val="20"/>
        </w:rPr>
        <w:t>,</w:t>
      </w:r>
      <w:r w:rsidR="00D77DBD">
        <w:rPr>
          <w:rFonts w:ascii="Arial" w:hAnsi="Arial" w:cs="Arial"/>
          <w:sz w:val="20"/>
          <w:szCs w:val="20"/>
        </w:rPr>
        <w:t>000 residents have been left without centralized heating.</w:t>
      </w:r>
    </w:p>
    <w:p w14:paraId="484D8F58" w14:textId="4B2D01A0" w:rsidR="0068645B" w:rsidRDefault="0068645B" w:rsidP="006C46E5">
      <w:pPr>
        <w:spacing w:after="120"/>
        <w:jc w:val="both"/>
        <w:rPr>
          <w:rFonts w:ascii="Arial" w:hAnsi="Arial" w:cs="Arial"/>
          <w:sz w:val="20"/>
          <w:szCs w:val="20"/>
        </w:rPr>
      </w:pPr>
      <w:r>
        <w:rPr>
          <w:rFonts w:ascii="Arial" w:hAnsi="Arial" w:cs="Arial"/>
          <w:sz w:val="20"/>
          <w:szCs w:val="20"/>
        </w:rPr>
        <w:lastRenderedPageBreak/>
        <w:t>Recent media evidence shows the critical hardships faces by distri</w:t>
      </w:r>
      <w:r w:rsidR="003F7DD3">
        <w:rPr>
          <w:rFonts w:ascii="Arial" w:hAnsi="Arial" w:cs="Arial"/>
          <w:sz w:val="20"/>
          <w:szCs w:val="20"/>
        </w:rPr>
        <w:t>c</w:t>
      </w:r>
      <w:r>
        <w:rPr>
          <w:rFonts w:ascii="Arial" w:hAnsi="Arial" w:cs="Arial"/>
          <w:sz w:val="20"/>
          <w:szCs w:val="20"/>
        </w:rPr>
        <w:t>t heating operators in other municipalities, too. For instance, in Crai</w:t>
      </w:r>
      <w:r w:rsidR="003F7DD3">
        <w:rPr>
          <w:rFonts w:ascii="Arial" w:hAnsi="Arial" w:cs="Arial"/>
          <w:sz w:val="20"/>
          <w:szCs w:val="20"/>
        </w:rPr>
        <w:t>o</w:t>
      </w:r>
      <w:r>
        <w:rPr>
          <w:rFonts w:ascii="Arial" w:hAnsi="Arial" w:cs="Arial"/>
          <w:sz w:val="20"/>
          <w:szCs w:val="20"/>
        </w:rPr>
        <w:t>va SC Termo Craiova SRL is facing bankruptcy and ha</w:t>
      </w:r>
      <w:r w:rsidR="003F7DD3">
        <w:rPr>
          <w:rFonts w:ascii="Arial" w:hAnsi="Arial" w:cs="Arial"/>
          <w:sz w:val="20"/>
          <w:szCs w:val="20"/>
        </w:rPr>
        <w:t>s</w:t>
      </w:r>
      <w:r>
        <w:rPr>
          <w:rFonts w:ascii="Arial" w:hAnsi="Arial" w:cs="Arial"/>
          <w:sz w:val="20"/>
          <w:szCs w:val="20"/>
        </w:rPr>
        <w:t xml:space="preserve"> already written official notifications in spring 2021 to both residential buildings and schools that they should seek altenative heating sources, particularly in areas in the city where many subscribers have disconnected from the centralized heating system in the past.</w:t>
      </w:r>
      <w:r>
        <w:rPr>
          <w:rStyle w:val="FootnoteReference"/>
          <w:rFonts w:ascii="Arial" w:hAnsi="Arial" w:cs="Arial"/>
          <w:sz w:val="20"/>
          <w:szCs w:val="20"/>
        </w:rPr>
        <w:footnoteReference w:id="26"/>
      </w:r>
      <w:r>
        <w:rPr>
          <w:rFonts w:ascii="Arial" w:hAnsi="Arial" w:cs="Arial"/>
          <w:sz w:val="20"/>
          <w:szCs w:val="20"/>
        </w:rPr>
        <w:t xml:space="preserve"> </w:t>
      </w:r>
      <w:r w:rsidR="00B65BFA">
        <w:rPr>
          <w:rFonts w:ascii="Arial" w:hAnsi="Arial" w:cs="Arial"/>
          <w:sz w:val="20"/>
          <w:szCs w:val="20"/>
        </w:rPr>
        <w:t>The Municipality of Ploiesti will soon be in a similar situation. Due to its deteriorating financial situation caused by losses in the primary grid, local heating provider Veolia Energie SRL has canceled the contract for heating provision with effect starting March 2022, when local authorities will need to put in place solutions.</w:t>
      </w:r>
    </w:p>
    <w:p w14:paraId="6999E0EC" w14:textId="5F913380" w:rsidR="0023524A" w:rsidRDefault="0023524A" w:rsidP="006C46E5">
      <w:pPr>
        <w:spacing w:after="120"/>
        <w:jc w:val="both"/>
        <w:rPr>
          <w:rFonts w:ascii="Arial" w:hAnsi="Arial" w:cs="Arial"/>
          <w:sz w:val="20"/>
          <w:szCs w:val="20"/>
        </w:rPr>
      </w:pPr>
      <w:r>
        <w:rPr>
          <w:rFonts w:ascii="Arial" w:hAnsi="Arial" w:cs="Arial"/>
          <w:i/>
          <w:iCs/>
          <w:color w:val="0070C0"/>
          <w:sz w:val="20"/>
          <w:szCs w:val="20"/>
        </w:rPr>
        <w:t>Energy efficiency</w:t>
      </w:r>
    </w:p>
    <w:p w14:paraId="3B385036" w14:textId="447A8966" w:rsidR="0023524A" w:rsidRPr="003516DC" w:rsidRDefault="0023524A" w:rsidP="00D963B9">
      <w:pPr>
        <w:pStyle w:val="Caption"/>
        <w:spacing w:before="120"/>
        <w:ind w:left="0" w:firstLine="0"/>
        <w:jc w:val="both"/>
        <w:rPr>
          <w:b w:val="0"/>
          <w:iCs w:val="0"/>
          <w:color w:val="auto"/>
        </w:rPr>
      </w:pPr>
      <w:r w:rsidRPr="003516DC">
        <w:rPr>
          <w:b w:val="0"/>
          <w:iCs w:val="0"/>
          <w:color w:val="auto"/>
        </w:rPr>
        <w:t>This section provides an analysis of energy performance and energy efficiency in residential buildings. We choose to focus on residential buildings for two main reasons</w:t>
      </w:r>
      <w:r w:rsidR="00154053">
        <w:rPr>
          <w:b w:val="0"/>
          <w:iCs w:val="0"/>
          <w:color w:val="auto"/>
        </w:rPr>
        <w:t>:</w:t>
      </w:r>
      <w:r w:rsidRPr="003516DC">
        <w:rPr>
          <w:b w:val="0"/>
          <w:iCs w:val="0"/>
          <w:color w:val="auto"/>
        </w:rPr>
        <w:t xml:space="preserve"> </w:t>
      </w:r>
      <w:r w:rsidR="00691A1B">
        <w:rPr>
          <w:b w:val="0"/>
          <w:iCs w:val="0"/>
          <w:color w:val="auto"/>
        </w:rPr>
        <w:t xml:space="preserve">(1) </w:t>
      </w:r>
      <w:r w:rsidRPr="003516DC">
        <w:rPr>
          <w:b w:val="0"/>
          <w:iCs w:val="0"/>
          <w:color w:val="auto"/>
        </w:rPr>
        <w:t>they collectively form the largest energy consumer, with over a third of energy consumption going towards heating, cooling and household appliances</w:t>
      </w:r>
      <w:r w:rsidR="00BF6648">
        <w:rPr>
          <w:b w:val="0"/>
          <w:iCs w:val="0"/>
          <w:color w:val="auto"/>
        </w:rPr>
        <w:t xml:space="preserve"> in residential buildings</w:t>
      </w:r>
      <w:r w:rsidRPr="003516DC">
        <w:rPr>
          <w:b w:val="0"/>
          <w:iCs w:val="0"/>
          <w:color w:val="auto"/>
        </w:rPr>
        <w:t xml:space="preserve">; </w:t>
      </w:r>
      <w:r w:rsidR="00154053">
        <w:rPr>
          <w:b w:val="0"/>
          <w:iCs w:val="0"/>
          <w:color w:val="auto"/>
        </w:rPr>
        <w:t xml:space="preserve">and, </w:t>
      </w:r>
      <w:r w:rsidR="00691A1B">
        <w:rPr>
          <w:b w:val="0"/>
          <w:iCs w:val="0"/>
          <w:color w:val="auto"/>
        </w:rPr>
        <w:t>(2)</w:t>
      </w:r>
      <w:r w:rsidRPr="003516DC">
        <w:rPr>
          <w:b w:val="0"/>
          <w:iCs w:val="0"/>
          <w:color w:val="auto"/>
        </w:rPr>
        <w:t xml:space="preserve"> the challenges </w:t>
      </w:r>
      <w:r w:rsidR="00691A1B">
        <w:rPr>
          <w:b w:val="0"/>
          <w:iCs w:val="0"/>
          <w:color w:val="auto"/>
        </w:rPr>
        <w:t>related</w:t>
      </w:r>
      <w:r w:rsidRPr="003516DC">
        <w:rPr>
          <w:b w:val="0"/>
          <w:iCs w:val="0"/>
          <w:color w:val="auto"/>
        </w:rPr>
        <w:t xml:space="preserve"> to heating and efficiency are complicated by the property regime, where close to 100% of Romanian households are privately owned, which points to a profound collective action problem</w:t>
      </w:r>
      <w:r w:rsidR="00154053">
        <w:rPr>
          <w:b w:val="0"/>
          <w:iCs w:val="0"/>
          <w:color w:val="auto"/>
        </w:rPr>
        <w:t>.</w:t>
      </w:r>
      <w:r w:rsidR="00200858">
        <w:rPr>
          <w:b w:val="0"/>
          <w:iCs w:val="0"/>
          <w:color w:val="auto"/>
        </w:rPr>
        <w:t xml:space="preserve"> </w:t>
      </w:r>
      <w:bookmarkStart w:id="77" w:name="_Hlk85564959"/>
      <w:r w:rsidR="00154053">
        <w:rPr>
          <w:b w:val="0"/>
          <w:iCs w:val="0"/>
          <w:color w:val="auto"/>
        </w:rPr>
        <w:t>For</w:t>
      </w:r>
      <w:r w:rsidR="00200858">
        <w:rPr>
          <w:b w:val="0"/>
          <w:iCs w:val="0"/>
          <w:color w:val="auto"/>
        </w:rPr>
        <w:t xml:space="preserve"> urban blocks of flats</w:t>
      </w:r>
      <w:r w:rsidR="00154053">
        <w:rPr>
          <w:b w:val="0"/>
          <w:iCs w:val="0"/>
          <w:color w:val="auto"/>
        </w:rPr>
        <w:t>,</w:t>
      </w:r>
      <w:r w:rsidR="00200858">
        <w:rPr>
          <w:b w:val="0"/>
          <w:iCs w:val="0"/>
          <w:color w:val="auto"/>
        </w:rPr>
        <w:t xml:space="preserve"> the decision making process of co-paying for building retro-fitting is extremely complex due to large private ownership of the apartments</w:t>
      </w:r>
      <w:r w:rsidR="00154053">
        <w:rPr>
          <w:b w:val="0"/>
          <w:iCs w:val="0"/>
          <w:color w:val="auto"/>
        </w:rPr>
        <w:t>,</w:t>
      </w:r>
      <w:r w:rsidR="00200858">
        <w:rPr>
          <w:b w:val="0"/>
          <w:iCs w:val="0"/>
          <w:color w:val="auto"/>
        </w:rPr>
        <w:t xml:space="preserve"> </w:t>
      </w:r>
      <w:r w:rsidR="00154053">
        <w:rPr>
          <w:b w:val="0"/>
          <w:iCs w:val="0"/>
          <w:color w:val="auto"/>
        </w:rPr>
        <w:t>where</w:t>
      </w:r>
      <w:r w:rsidR="00200858">
        <w:rPr>
          <w:b w:val="0"/>
          <w:iCs w:val="0"/>
          <w:color w:val="auto"/>
        </w:rPr>
        <w:t xml:space="preserve"> if one owner out of several tens of owners does not accept to co-pay, the retro-fitting work cannot go forward</w:t>
      </w:r>
      <w:bookmarkEnd w:id="77"/>
      <w:r w:rsidR="00154053">
        <w:rPr>
          <w:b w:val="0"/>
          <w:iCs w:val="0"/>
          <w:color w:val="auto"/>
        </w:rPr>
        <w:t xml:space="preserve"> for anyone</w:t>
      </w:r>
      <w:r w:rsidR="00200858">
        <w:rPr>
          <w:b w:val="0"/>
          <w:iCs w:val="0"/>
          <w:color w:val="auto"/>
        </w:rPr>
        <w:t>.</w:t>
      </w:r>
      <w:r w:rsidRPr="003516DC">
        <w:rPr>
          <w:b w:val="0"/>
          <w:iCs w:val="0"/>
          <w:color w:val="auto"/>
        </w:rPr>
        <w:t xml:space="preserve"> Unfortunately, data in this respect is largely missing at the county level (if it is even being collected). </w:t>
      </w:r>
    </w:p>
    <w:p w14:paraId="7A69ED5F" w14:textId="7BF67027" w:rsidR="0023524A" w:rsidRPr="003516DC" w:rsidRDefault="0023524A" w:rsidP="0023524A">
      <w:pPr>
        <w:pStyle w:val="Caption"/>
      </w:pPr>
      <w:bookmarkStart w:id="78" w:name="_Toc90725969"/>
      <w:bookmarkStart w:id="79" w:name="_Toc90727266"/>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5B64B2">
        <w:rPr>
          <w:noProof/>
        </w:rPr>
        <w:t>15</w:t>
      </w:r>
      <w:r w:rsidRPr="003516DC">
        <w:rPr>
          <w:noProof/>
        </w:rPr>
        <w:fldChar w:fldCharType="end"/>
      </w:r>
      <w:r w:rsidRPr="003516DC">
        <w:t>: Building stock in the residential sector</w:t>
      </w:r>
      <w:bookmarkEnd w:id="78"/>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2"/>
        <w:gridCol w:w="1355"/>
        <w:gridCol w:w="1995"/>
        <w:gridCol w:w="1720"/>
        <w:gridCol w:w="2047"/>
      </w:tblGrid>
      <w:tr w:rsidR="0023524A" w:rsidRPr="003516DC" w14:paraId="0EF8E581" w14:textId="77777777" w:rsidTr="00964831">
        <w:tc>
          <w:tcPr>
            <w:tcW w:w="1014" w:type="pct"/>
            <w:shd w:val="clear" w:color="auto" w:fill="002060"/>
            <w:tcMar>
              <w:top w:w="100" w:type="dxa"/>
              <w:left w:w="100" w:type="dxa"/>
              <w:bottom w:w="100" w:type="dxa"/>
              <w:right w:w="100" w:type="dxa"/>
            </w:tcMar>
            <w:vAlign w:val="center"/>
          </w:tcPr>
          <w:p w14:paraId="4CC459D6" w14:textId="77777777" w:rsidR="0023524A" w:rsidRPr="003516DC" w:rsidRDefault="0023524A" w:rsidP="00964831">
            <w:pPr>
              <w:widowControl w:val="0"/>
              <w:rPr>
                <w:rFonts w:ascii="Arial" w:hAnsi="Arial" w:cs="Arial"/>
                <w:b/>
                <w:bCs/>
                <w:sz w:val="18"/>
                <w:szCs w:val="18"/>
              </w:rPr>
            </w:pPr>
            <w:r w:rsidRPr="003516DC">
              <w:rPr>
                <w:rFonts w:ascii="Arial" w:hAnsi="Arial" w:cs="Arial"/>
                <w:b/>
                <w:bCs/>
                <w:sz w:val="18"/>
                <w:szCs w:val="18"/>
              </w:rPr>
              <w:t>Type of building</w:t>
            </w:r>
          </w:p>
        </w:tc>
        <w:tc>
          <w:tcPr>
            <w:tcW w:w="759" w:type="pct"/>
            <w:shd w:val="clear" w:color="auto" w:fill="002060"/>
            <w:tcMar>
              <w:top w:w="100" w:type="dxa"/>
              <w:left w:w="100" w:type="dxa"/>
              <w:bottom w:w="100" w:type="dxa"/>
              <w:right w:w="100" w:type="dxa"/>
            </w:tcMar>
            <w:vAlign w:val="center"/>
          </w:tcPr>
          <w:p w14:paraId="23B73831" w14:textId="77777777" w:rsidR="0023524A" w:rsidRPr="003516DC" w:rsidRDefault="0023524A" w:rsidP="004B6689">
            <w:pPr>
              <w:widowControl w:val="0"/>
              <w:jc w:val="center"/>
              <w:rPr>
                <w:rFonts w:ascii="Arial" w:hAnsi="Arial" w:cs="Arial"/>
                <w:b/>
                <w:bCs/>
                <w:sz w:val="18"/>
                <w:szCs w:val="18"/>
              </w:rPr>
            </w:pPr>
            <w:r w:rsidRPr="003516DC">
              <w:rPr>
                <w:rFonts w:ascii="Arial" w:hAnsi="Arial" w:cs="Arial"/>
                <w:b/>
                <w:bCs/>
                <w:sz w:val="18"/>
                <w:szCs w:val="18"/>
              </w:rPr>
              <w:t>Category</w:t>
            </w:r>
          </w:p>
        </w:tc>
        <w:tc>
          <w:tcPr>
            <w:tcW w:w="1117" w:type="pct"/>
            <w:shd w:val="clear" w:color="auto" w:fill="002060"/>
            <w:tcMar>
              <w:top w:w="100" w:type="dxa"/>
              <w:left w:w="100" w:type="dxa"/>
              <w:bottom w:w="100" w:type="dxa"/>
              <w:right w:w="100" w:type="dxa"/>
            </w:tcMar>
            <w:vAlign w:val="center"/>
          </w:tcPr>
          <w:p w14:paraId="46F37449" w14:textId="77777777" w:rsidR="0023524A" w:rsidRPr="003516DC" w:rsidRDefault="0023524A" w:rsidP="00964831">
            <w:pPr>
              <w:widowControl w:val="0"/>
              <w:rPr>
                <w:rFonts w:ascii="Arial" w:hAnsi="Arial" w:cs="Arial"/>
                <w:b/>
                <w:bCs/>
                <w:sz w:val="18"/>
                <w:szCs w:val="18"/>
              </w:rPr>
            </w:pPr>
            <w:r w:rsidRPr="003516DC">
              <w:rPr>
                <w:rFonts w:ascii="Arial" w:hAnsi="Arial" w:cs="Arial"/>
                <w:b/>
                <w:bCs/>
                <w:sz w:val="18"/>
                <w:szCs w:val="18"/>
              </w:rPr>
              <w:t>Number of buildings</w:t>
            </w:r>
          </w:p>
        </w:tc>
        <w:tc>
          <w:tcPr>
            <w:tcW w:w="963" w:type="pct"/>
            <w:shd w:val="clear" w:color="auto" w:fill="002060"/>
            <w:tcMar>
              <w:top w:w="100" w:type="dxa"/>
              <w:left w:w="100" w:type="dxa"/>
              <w:bottom w:w="100" w:type="dxa"/>
              <w:right w:w="100" w:type="dxa"/>
            </w:tcMar>
            <w:vAlign w:val="center"/>
          </w:tcPr>
          <w:p w14:paraId="04C0EF1D" w14:textId="6A5BDDB9" w:rsidR="0023524A" w:rsidRPr="003516DC" w:rsidRDefault="0023524A" w:rsidP="004B6689">
            <w:pPr>
              <w:widowControl w:val="0"/>
              <w:jc w:val="center"/>
              <w:rPr>
                <w:rFonts w:ascii="Arial" w:hAnsi="Arial" w:cs="Arial"/>
                <w:b/>
                <w:bCs/>
                <w:sz w:val="18"/>
                <w:szCs w:val="18"/>
              </w:rPr>
            </w:pPr>
            <w:r w:rsidRPr="003516DC">
              <w:rPr>
                <w:rFonts w:ascii="Arial" w:hAnsi="Arial" w:cs="Arial"/>
                <w:b/>
                <w:bCs/>
                <w:sz w:val="18"/>
                <w:szCs w:val="18"/>
              </w:rPr>
              <w:t>Total heated area</w:t>
            </w:r>
          </w:p>
          <w:p w14:paraId="78A1CFCC" w14:textId="77777777" w:rsidR="0023524A" w:rsidRPr="003516DC" w:rsidRDefault="0023524A" w:rsidP="004B6689">
            <w:pPr>
              <w:widowControl w:val="0"/>
              <w:jc w:val="center"/>
              <w:rPr>
                <w:rFonts w:ascii="Arial" w:hAnsi="Arial" w:cs="Arial"/>
                <w:b/>
                <w:bCs/>
                <w:sz w:val="18"/>
                <w:szCs w:val="18"/>
              </w:rPr>
            </w:pPr>
            <w:r w:rsidRPr="003516DC">
              <w:rPr>
                <w:rFonts w:ascii="Arial" w:hAnsi="Arial" w:cs="Arial"/>
                <w:b/>
                <w:bCs/>
                <w:sz w:val="18"/>
                <w:szCs w:val="18"/>
              </w:rPr>
              <w:t>(th M2)</w:t>
            </w:r>
          </w:p>
        </w:tc>
        <w:tc>
          <w:tcPr>
            <w:tcW w:w="1146" w:type="pct"/>
            <w:shd w:val="clear" w:color="auto" w:fill="002060"/>
            <w:tcMar>
              <w:top w:w="100" w:type="dxa"/>
              <w:left w:w="100" w:type="dxa"/>
              <w:bottom w:w="100" w:type="dxa"/>
              <w:right w:w="100" w:type="dxa"/>
            </w:tcMar>
            <w:vAlign w:val="center"/>
          </w:tcPr>
          <w:p w14:paraId="72ADC203" w14:textId="77777777" w:rsidR="0023524A" w:rsidRPr="003516DC" w:rsidRDefault="0023524A" w:rsidP="004B6689">
            <w:pPr>
              <w:widowControl w:val="0"/>
              <w:jc w:val="center"/>
              <w:rPr>
                <w:rFonts w:ascii="Arial" w:hAnsi="Arial" w:cs="Arial"/>
                <w:b/>
                <w:bCs/>
                <w:sz w:val="18"/>
                <w:szCs w:val="18"/>
              </w:rPr>
            </w:pPr>
            <w:r w:rsidRPr="003516DC">
              <w:rPr>
                <w:rFonts w:ascii="Arial" w:hAnsi="Arial" w:cs="Arial"/>
                <w:b/>
                <w:bCs/>
                <w:sz w:val="18"/>
                <w:szCs w:val="18"/>
              </w:rPr>
              <w:t>Renovated until 2020</w:t>
            </w:r>
          </w:p>
        </w:tc>
      </w:tr>
      <w:tr w:rsidR="0023524A" w:rsidRPr="003516DC" w14:paraId="180DF873" w14:textId="77777777" w:rsidTr="00964831">
        <w:tc>
          <w:tcPr>
            <w:tcW w:w="1014" w:type="pct"/>
            <w:vMerge w:val="restart"/>
            <w:tcMar>
              <w:top w:w="100" w:type="dxa"/>
              <w:left w:w="100" w:type="dxa"/>
              <w:bottom w:w="100" w:type="dxa"/>
              <w:right w:w="100" w:type="dxa"/>
            </w:tcMar>
            <w:vAlign w:val="center"/>
          </w:tcPr>
          <w:p w14:paraId="7D893570"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Single family hh</w:t>
            </w:r>
          </w:p>
          <w:p w14:paraId="13D41701" w14:textId="77777777" w:rsidR="0023524A" w:rsidRPr="003516DC" w:rsidRDefault="0023524A" w:rsidP="00964831">
            <w:pPr>
              <w:widowControl w:val="0"/>
              <w:rPr>
                <w:rFonts w:ascii="Arial" w:hAnsi="Arial" w:cs="Arial"/>
                <w:sz w:val="18"/>
                <w:szCs w:val="18"/>
              </w:rPr>
            </w:pPr>
          </w:p>
        </w:tc>
        <w:tc>
          <w:tcPr>
            <w:tcW w:w="759" w:type="pct"/>
            <w:tcMar>
              <w:top w:w="100" w:type="dxa"/>
              <w:left w:w="100" w:type="dxa"/>
              <w:bottom w:w="100" w:type="dxa"/>
              <w:right w:w="100" w:type="dxa"/>
            </w:tcMar>
            <w:vAlign w:val="center"/>
          </w:tcPr>
          <w:p w14:paraId="4A834B04"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Rural</w:t>
            </w:r>
          </w:p>
        </w:tc>
        <w:tc>
          <w:tcPr>
            <w:tcW w:w="1117" w:type="pct"/>
            <w:tcMar>
              <w:top w:w="100" w:type="dxa"/>
              <w:left w:w="100" w:type="dxa"/>
              <w:bottom w:w="100" w:type="dxa"/>
              <w:right w:w="100" w:type="dxa"/>
            </w:tcMar>
            <w:vAlign w:val="center"/>
          </w:tcPr>
          <w:p w14:paraId="29E1C780"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3,810,737 (71.6%)</w:t>
            </w:r>
          </w:p>
        </w:tc>
        <w:tc>
          <w:tcPr>
            <w:tcW w:w="963" w:type="pct"/>
            <w:tcMar>
              <w:top w:w="100" w:type="dxa"/>
              <w:left w:w="100" w:type="dxa"/>
              <w:bottom w:w="100" w:type="dxa"/>
              <w:right w:w="100" w:type="dxa"/>
            </w:tcMar>
            <w:vAlign w:val="center"/>
          </w:tcPr>
          <w:p w14:paraId="55AF3451"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247.80</w:t>
            </w:r>
          </w:p>
        </w:tc>
        <w:tc>
          <w:tcPr>
            <w:tcW w:w="1146" w:type="pct"/>
            <w:tcMar>
              <w:top w:w="100" w:type="dxa"/>
              <w:left w:w="100" w:type="dxa"/>
              <w:bottom w:w="100" w:type="dxa"/>
              <w:right w:w="100" w:type="dxa"/>
            </w:tcMar>
            <w:vAlign w:val="center"/>
          </w:tcPr>
          <w:p w14:paraId="3D76F7D2"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3%</w:t>
            </w:r>
          </w:p>
        </w:tc>
      </w:tr>
      <w:tr w:rsidR="0023524A" w:rsidRPr="003516DC" w14:paraId="5EEF460A" w14:textId="77777777" w:rsidTr="00964831">
        <w:tc>
          <w:tcPr>
            <w:tcW w:w="1014" w:type="pct"/>
            <w:vMerge/>
            <w:tcMar>
              <w:top w:w="100" w:type="dxa"/>
              <w:left w:w="100" w:type="dxa"/>
              <w:bottom w:w="100" w:type="dxa"/>
              <w:right w:w="100" w:type="dxa"/>
            </w:tcMar>
            <w:vAlign w:val="center"/>
          </w:tcPr>
          <w:p w14:paraId="6B01205A" w14:textId="77777777" w:rsidR="0023524A" w:rsidRPr="003516DC" w:rsidRDefault="0023524A" w:rsidP="00964831">
            <w:pPr>
              <w:widowControl w:val="0"/>
              <w:rPr>
                <w:rFonts w:ascii="Arial" w:hAnsi="Arial" w:cs="Arial"/>
                <w:sz w:val="18"/>
                <w:szCs w:val="18"/>
              </w:rPr>
            </w:pPr>
          </w:p>
        </w:tc>
        <w:tc>
          <w:tcPr>
            <w:tcW w:w="759" w:type="pct"/>
            <w:tcMar>
              <w:top w:w="100" w:type="dxa"/>
              <w:left w:w="100" w:type="dxa"/>
              <w:bottom w:w="100" w:type="dxa"/>
              <w:right w:w="100" w:type="dxa"/>
            </w:tcMar>
            <w:vAlign w:val="center"/>
          </w:tcPr>
          <w:p w14:paraId="25430EF7"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Urban</w:t>
            </w:r>
          </w:p>
        </w:tc>
        <w:tc>
          <w:tcPr>
            <w:tcW w:w="1117" w:type="pct"/>
            <w:tcMar>
              <w:top w:w="100" w:type="dxa"/>
              <w:left w:w="100" w:type="dxa"/>
              <w:bottom w:w="100" w:type="dxa"/>
              <w:right w:w="100" w:type="dxa"/>
            </w:tcMar>
            <w:vAlign w:val="center"/>
          </w:tcPr>
          <w:p w14:paraId="18A1CD5C"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1,354,263 (25.46%)</w:t>
            </w:r>
          </w:p>
        </w:tc>
        <w:tc>
          <w:tcPr>
            <w:tcW w:w="963" w:type="pct"/>
            <w:tcMar>
              <w:top w:w="100" w:type="dxa"/>
              <w:left w:w="100" w:type="dxa"/>
              <w:bottom w:w="100" w:type="dxa"/>
              <w:right w:w="100" w:type="dxa"/>
            </w:tcMar>
            <w:vAlign w:val="center"/>
          </w:tcPr>
          <w:p w14:paraId="124FFBAC"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124.46</w:t>
            </w:r>
          </w:p>
        </w:tc>
        <w:tc>
          <w:tcPr>
            <w:tcW w:w="1146" w:type="pct"/>
            <w:tcMar>
              <w:top w:w="100" w:type="dxa"/>
              <w:left w:w="100" w:type="dxa"/>
              <w:bottom w:w="100" w:type="dxa"/>
              <w:right w:w="100" w:type="dxa"/>
            </w:tcMar>
            <w:vAlign w:val="center"/>
          </w:tcPr>
          <w:p w14:paraId="2176A045"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8%</w:t>
            </w:r>
          </w:p>
        </w:tc>
      </w:tr>
      <w:tr w:rsidR="0023524A" w:rsidRPr="003516DC" w14:paraId="02FC028D" w14:textId="77777777" w:rsidTr="00964831">
        <w:tc>
          <w:tcPr>
            <w:tcW w:w="1014" w:type="pct"/>
            <w:vMerge w:val="restart"/>
            <w:tcMar>
              <w:top w:w="100" w:type="dxa"/>
              <w:left w:w="100" w:type="dxa"/>
              <w:bottom w:w="100" w:type="dxa"/>
              <w:right w:w="100" w:type="dxa"/>
            </w:tcMar>
            <w:vAlign w:val="center"/>
          </w:tcPr>
          <w:p w14:paraId="1C5ED8B5"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Multifamily hh (30%</w:t>
            </w:r>
          </w:p>
        </w:tc>
        <w:tc>
          <w:tcPr>
            <w:tcW w:w="759" w:type="pct"/>
            <w:tcMar>
              <w:top w:w="100" w:type="dxa"/>
              <w:left w:w="100" w:type="dxa"/>
              <w:bottom w:w="100" w:type="dxa"/>
              <w:right w:w="100" w:type="dxa"/>
            </w:tcMar>
            <w:vAlign w:val="center"/>
          </w:tcPr>
          <w:p w14:paraId="7DAC60E1"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P+ &gt;= 4 floors</w:t>
            </w:r>
          </w:p>
        </w:tc>
        <w:tc>
          <w:tcPr>
            <w:tcW w:w="1117" w:type="pct"/>
            <w:tcMar>
              <w:top w:w="100" w:type="dxa"/>
              <w:left w:w="100" w:type="dxa"/>
              <w:bottom w:w="100" w:type="dxa"/>
              <w:right w:w="100" w:type="dxa"/>
            </w:tcMar>
            <w:vAlign w:val="center"/>
          </w:tcPr>
          <w:p w14:paraId="590DA2BB" w14:textId="282D2992" w:rsidR="0023524A" w:rsidRPr="003516DC" w:rsidRDefault="0023524A" w:rsidP="00964831">
            <w:pPr>
              <w:widowControl w:val="0"/>
              <w:rPr>
                <w:rFonts w:ascii="Arial" w:hAnsi="Arial" w:cs="Arial"/>
                <w:sz w:val="18"/>
                <w:szCs w:val="18"/>
              </w:rPr>
            </w:pPr>
            <w:r w:rsidRPr="003516DC">
              <w:rPr>
                <w:rFonts w:ascii="Arial" w:hAnsi="Arial" w:cs="Arial"/>
                <w:sz w:val="18"/>
                <w:szCs w:val="18"/>
              </w:rPr>
              <w:t>92</w:t>
            </w:r>
            <w:r w:rsidR="004B6689">
              <w:rPr>
                <w:rFonts w:ascii="Arial" w:hAnsi="Arial" w:cs="Arial"/>
                <w:sz w:val="18"/>
                <w:szCs w:val="18"/>
              </w:rPr>
              <w:t>,</w:t>
            </w:r>
            <w:r w:rsidRPr="003516DC">
              <w:rPr>
                <w:rFonts w:ascii="Arial" w:hAnsi="Arial" w:cs="Arial"/>
                <w:sz w:val="18"/>
                <w:szCs w:val="18"/>
              </w:rPr>
              <w:t>332 (1.7%)</w:t>
            </w:r>
          </w:p>
        </w:tc>
        <w:tc>
          <w:tcPr>
            <w:tcW w:w="963" w:type="pct"/>
            <w:tcMar>
              <w:top w:w="100" w:type="dxa"/>
              <w:left w:w="100" w:type="dxa"/>
              <w:bottom w:w="100" w:type="dxa"/>
              <w:right w:w="100" w:type="dxa"/>
            </w:tcMar>
            <w:vAlign w:val="center"/>
          </w:tcPr>
          <w:p w14:paraId="7B28B7AC"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94.51</w:t>
            </w:r>
          </w:p>
        </w:tc>
        <w:tc>
          <w:tcPr>
            <w:tcW w:w="1146" w:type="pct"/>
            <w:tcMar>
              <w:top w:w="100" w:type="dxa"/>
              <w:left w:w="100" w:type="dxa"/>
              <w:bottom w:w="100" w:type="dxa"/>
              <w:right w:w="100" w:type="dxa"/>
            </w:tcMar>
            <w:vAlign w:val="center"/>
          </w:tcPr>
          <w:p w14:paraId="641B3639"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7%</w:t>
            </w:r>
          </w:p>
        </w:tc>
      </w:tr>
      <w:tr w:rsidR="0023524A" w:rsidRPr="003516DC" w14:paraId="0FC6F5E9" w14:textId="77777777" w:rsidTr="00964831">
        <w:tc>
          <w:tcPr>
            <w:tcW w:w="1014" w:type="pct"/>
            <w:vMerge/>
            <w:tcMar>
              <w:top w:w="100" w:type="dxa"/>
              <w:left w:w="100" w:type="dxa"/>
              <w:bottom w:w="100" w:type="dxa"/>
              <w:right w:w="100" w:type="dxa"/>
            </w:tcMar>
            <w:vAlign w:val="center"/>
          </w:tcPr>
          <w:p w14:paraId="18FA8689" w14:textId="77777777" w:rsidR="0023524A" w:rsidRPr="003516DC" w:rsidRDefault="0023524A" w:rsidP="00964831">
            <w:pPr>
              <w:widowControl w:val="0"/>
              <w:rPr>
                <w:rFonts w:ascii="Arial" w:hAnsi="Arial" w:cs="Arial"/>
                <w:sz w:val="18"/>
                <w:szCs w:val="18"/>
              </w:rPr>
            </w:pPr>
          </w:p>
        </w:tc>
        <w:tc>
          <w:tcPr>
            <w:tcW w:w="759" w:type="pct"/>
            <w:tcMar>
              <w:top w:w="100" w:type="dxa"/>
              <w:left w:w="100" w:type="dxa"/>
              <w:bottom w:w="100" w:type="dxa"/>
              <w:right w:w="100" w:type="dxa"/>
            </w:tcMar>
            <w:vAlign w:val="center"/>
          </w:tcPr>
          <w:p w14:paraId="5E07E8CC"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P + &lt; 4 floors</w:t>
            </w:r>
          </w:p>
        </w:tc>
        <w:tc>
          <w:tcPr>
            <w:tcW w:w="1117" w:type="pct"/>
            <w:tcMar>
              <w:top w:w="100" w:type="dxa"/>
              <w:left w:w="100" w:type="dxa"/>
              <w:bottom w:w="100" w:type="dxa"/>
              <w:right w:w="100" w:type="dxa"/>
            </w:tcMar>
            <w:vAlign w:val="center"/>
          </w:tcPr>
          <w:p w14:paraId="707ABF56" w14:textId="0D78FB61" w:rsidR="0023524A" w:rsidRPr="003516DC" w:rsidRDefault="0023524A" w:rsidP="00964831">
            <w:pPr>
              <w:widowControl w:val="0"/>
              <w:rPr>
                <w:rFonts w:ascii="Arial" w:hAnsi="Arial" w:cs="Arial"/>
                <w:sz w:val="18"/>
                <w:szCs w:val="18"/>
              </w:rPr>
            </w:pPr>
            <w:r w:rsidRPr="003516DC">
              <w:rPr>
                <w:rFonts w:ascii="Arial" w:hAnsi="Arial" w:cs="Arial"/>
                <w:sz w:val="18"/>
                <w:szCs w:val="18"/>
              </w:rPr>
              <w:t>61</w:t>
            </w:r>
            <w:r w:rsidR="004B6689">
              <w:rPr>
                <w:rFonts w:ascii="Arial" w:hAnsi="Arial" w:cs="Arial"/>
                <w:sz w:val="18"/>
                <w:szCs w:val="18"/>
              </w:rPr>
              <w:t>,</w:t>
            </w:r>
            <w:r w:rsidRPr="003516DC">
              <w:rPr>
                <w:rFonts w:ascii="Arial" w:hAnsi="Arial" w:cs="Arial"/>
                <w:sz w:val="18"/>
                <w:szCs w:val="18"/>
              </w:rPr>
              <w:t>554 (1.1%)</w:t>
            </w:r>
          </w:p>
        </w:tc>
        <w:tc>
          <w:tcPr>
            <w:tcW w:w="963" w:type="pct"/>
            <w:tcMar>
              <w:top w:w="100" w:type="dxa"/>
              <w:left w:w="100" w:type="dxa"/>
              <w:bottom w:w="100" w:type="dxa"/>
              <w:right w:w="100" w:type="dxa"/>
            </w:tcMar>
            <w:vAlign w:val="center"/>
          </w:tcPr>
          <w:p w14:paraId="300B2F4B"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115.51</w:t>
            </w:r>
          </w:p>
        </w:tc>
        <w:tc>
          <w:tcPr>
            <w:tcW w:w="1146" w:type="pct"/>
            <w:tcMar>
              <w:top w:w="100" w:type="dxa"/>
              <w:left w:w="100" w:type="dxa"/>
              <w:bottom w:w="100" w:type="dxa"/>
              <w:right w:w="100" w:type="dxa"/>
            </w:tcMar>
            <w:vAlign w:val="center"/>
          </w:tcPr>
          <w:p w14:paraId="38221D33"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7%</w:t>
            </w:r>
          </w:p>
        </w:tc>
      </w:tr>
      <w:tr w:rsidR="0023524A" w:rsidRPr="003516DC" w14:paraId="22323C84" w14:textId="77777777" w:rsidTr="00964831">
        <w:tc>
          <w:tcPr>
            <w:tcW w:w="1014" w:type="pct"/>
            <w:tcMar>
              <w:top w:w="100" w:type="dxa"/>
              <w:left w:w="100" w:type="dxa"/>
              <w:bottom w:w="100" w:type="dxa"/>
              <w:right w:w="100" w:type="dxa"/>
            </w:tcMar>
            <w:vAlign w:val="center"/>
          </w:tcPr>
          <w:p w14:paraId="5ED4B0F4"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Totals</w:t>
            </w:r>
          </w:p>
        </w:tc>
        <w:tc>
          <w:tcPr>
            <w:tcW w:w="759" w:type="pct"/>
            <w:tcMar>
              <w:top w:w="100" w:type="dxa"/>
              <w:left w:w="100" w:type="dxa"/>
              <w:bottom w:w="100" w:type="dxa"/>
              <w:right w:w="100" w:type="dxa"/>
            </w:tcMar>
            <w:vAlign w:val="center"/>
          </w:tcPr>
          <w:p w14:paraId="20955B28" w14:textId="77777777" w:rsidR="0023524A" w:rsidRPr="003516DC" w:rsidRDefault="0023524A" w:rsidP="004B6689">
            <w:pPr>
              <w:widowControl w:val="0"/>
              <w:jc w:val="center"/>
              <w:rPr>
                <w:rFonts w:ascii="Arial" w:hAnsi="Arial" w:cs="Arial"/>
                <w:sz w:val="18"/>
                <w:szCs w:val="18"/>
              </w:rPr>
            </w:pPr>
          </w:p>
        </w:tc>
        <w:tc>
          <w:tcPr>
            <w:tcW w:w="1117" w:type="pct"/>
            <w:tcMar>
              <w:top w:w="100" w:type="dxa"/>
              <w:left w:w="100" w:type="dxa"/>
              <w:bottom w:w="100" w:type="dxa"/>
              <w:right w:w="100" w:type="dxa"/>
            </w:tcMar>
            <w:vAlign w:val="center"/>
          </w:tcPr>
          <w:p w14:paraId="1CD6D132" w14:textId="77777777" w:rsidR="0023524A" w:rsidRPr="003516DC" w:rsidRDefault="0023524A" w:rsidP="00964831">
            <w:pPr>
              <w:widowControl w:val="0"/>
              <w:rPr>
                <w:rFonts w:ascii="Arial" w:hAnsi="Arial" w:cs="Arial"/>
                <w:sz w:val="18"/>
                <w:szCs w:val="18"/>
              </w:rPr>
            </w:pPr>
            <w:r w:rsidRPr="003516DC">
              <w:rPr>
                <w:rFonts w:ascii="Arial" w:hAnsi="Arial" w:cs="Arial"/>
                <w:sz w:val="18"/>
                <w:szCs w:val="18"/>
              </w:rPr>
              <w:t>5,318,886 buildings</w:t>
            </w:r>
          </w:p>
        </w:tc>
        <w:tc>
          <w:tcPr>
            <w:tcW w:w="963" w:type="pct"/>
            <w:tcMar>
              <w:top w:w="100" w:type="dxa"/>
              <w:left w:w="100" w:type="dxa"/>
              <w:bottom w:w="100" w:type="dxa"/>
              <w:right w:w="100" w:type="dxa"/>
            </w:tcMar>
            <w:vAlign w:val="center"/>
          </w:tcPr>
          <w:p w14:paraId="78241F76"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582.27</w:t>
            </w:r>
          </w:p>
        </w:tc>
        <w:tc>
          <w:tcPr>
            <w:tcW w:w="1146" w:type="pct"/>
            <w:tcMar>
              <w:top w:w="100" w:type="dxa"/>
              <w:left w:w="100" w:type="dxa"/>
              <w:bottom w:w="100" w:type="dxa"/>
              <w:right w:w="100" w:type="dxa"/>
            </w:tcMar>
            <w:vAlign w:val="center"/>
          </w:tcPr>
          <w:p w14:paraId="1CD7E9D4" w14:textId="77777777" w:rsidR="0023524A" w:rsidRPr="003516DC" w:rsidRDefault="0023524A" w:rsidP="004B6689">
            <w:pPr>
              <w:widowControl w:val="0"/>
              <w:jc w:val="center"/>
              <w:rPr>
                <w:rFonts w:ascii="Arial" w:hAnsi="Arial" w:cs="Arial"/>
                <w:sz w:val="18"/>
                <w:szCs w:val="18"/>
              </w:rPr>
            </w:pPr>
            <w:r w:rsidRPr="003516DC">
              <w:rPr>
                <w:rFonts w:ascii="Arial" w:hAnsi="Arial" w:cs="Arial"/>
                <w:sz w:val="18"/>
                <w:szCs w:val="18"/>
              </w:rPr>
              <w:t>5%</w:t>
            </w:r>
          </w:p>
        </w:tc>
      </w:tr>
    </w:tbl>
    <w:p w14:paraId="7C4846E7" w14:textId="77777777" w:rsidR="0023524A" w:rsidRPr="003516DC" w:rsidRDefault="0023524A" w:rsidP="0023524A">
      <w:pPr>
        <w:rPr>
          <w:rFonts w:ascii="Arial" w:hAnsi="Arial" w:cs="Arial"/>
          <w:i/>
          <w:iCs/>
          <w:sz w:val="16"/>
          <w:szCs w:val="16"/>
        </w:rPr>
      </w:pPr>
      <w:r w:rsidRPr="003516DC">
        <w:rPr>
          <w:rFonts w:ascii="Arial" w:hAnsi="Arial" w:cs="Arial"/>
          <w:i/>
          <w:iCs/>
          <w:sz w:val="16"/>
          <w:szCs w:val="16"/>
        </w:rPr>
        <w:t>Source: World Bank 2019 based on URBAN INCERC INCD</w:t>
      </w:r>
    </w:p>
    <w:p w14:paraId="7BD4F989" w14:textId="77777777" w:rsidR="0023524A" w:rsidRPr="003516DC" w:rsidRDefault="0023524A" w:rsidP="0023524A">
      <w:pPr>
        <w:rPr>
          <w:rFonts w:ascii="Arial" w:hAnsi="Arial" w:cs="Arial"/>
          <w:sz w:val="12"/>
        </w:rPr>
      </w:pPr>
    </w:p>
    <w:p w14:paraId="3475F315" w14:textId="77777777" w:rsidR="0023524A" w:rsidRPr="003516DC" w:rsidRDefault="0023524A" w:rsidP="00E42342">
      <w:pPr>
        <w:pStyle w:val="ListParagraph"/>
        <w:numPr>
          <w:ilvl w:val="0"/>
          <w:numId w:val="100"/>
        </w:numPr>
        <w:spacing w:line="240" w:lineRule="auto"/>
        <w:ind w:left="360"/>
        <w:jc w:val="both"/>
        <w:rPr>
          <w:sz w:val="20"/>
          <w:szCs w:val="20"/>
        </w:rPr>
      </w:pPr>
      <w:r w:rsidRPr="003516DC">
        <w:rPr>
          <w:sz w:val="20"/>
          <w:szCs w:val="20"/>
        </w:rPr>
        <w:t xml:space="preserve">Less than 5% of the building stock in the residential sector has been renovated. </w:t>
      </w:r>
    </w:p>
    <w:p w14:paraId="2BFB3F47" w14:textId="77777777" w:rsidR="0023524A" w:rsidRPr="003516DC" w:rsidRDefault="0023524A" w:rsidP="0023524A">
      <w:pPr>
        <w:jc w:val="both"/>
        <w:rPr>
          <w:rFonts w:ascii="Arial" w:hAnsi="Arial" w:cs="Arial"/>
          <w:sz w:val="8"/>
        </w:rPr>
      </w:pPr>
    </w:p>
    <w:p w14:paraId="60B747AE" w14:textId="77777777" w:rsidR="0023524A" w:rsidRPr="003516DC" w:rsidRDefault="0023524A" w:rsidP="00E42342">
      <w:pPr>
        <w:pStyle w:val="ListParagraph"/>
        <w:numPr>
          <w:ilvl w:val="0"/>
          <w:numId w:val="100"/>
        </w:numPr>
        <w:spacing w:line="240" w:lineRule="auto"/>
        <w:ind w:left="360"/>
        <w:jc w:val="both"/>
        <w:rPr>
          <w:sz w:val="20"/>
          <w:szCs w:val="20"/>
        </w:rPr>
      </w:pPr>
      <w:r w:rsidRPr="003516DC">
        <w:rPr>
          <w:sz w:val="20"/>
          <w:szCs w:val="20"/>
        </w:rPr>
        <w:t>87% of buildings at the national level were constructed before 1990, only 6% after 2000.</w:t>
      </w:r>
    </w:p>
    <w:p w14:paraId="54F413E3" w14:textId="77777777" w:rsidR="00B65BFA" w:rsidRDefault="00B65BFA" w:rsidP="003F7DD3">
      <w:pPr>
        <w:pStyle w:val="ListParagraph"/>
        <w:rPr>
          <w:sz w:val="8"/>
        </w:rPr>
      </w:pPr>
    </w:p>
    <w:p w14:paraId="7245C396" w14:textId="77777777" w:rsidR="0023524A" w:rsidRPr="003516DC" w:rsidRDefault="0023524A" w:rsidP="0023524A">
      <w:pPr>
        <w:jc w:val="both"/>
        <w:rPr>
          <w:rFonts w:ascii="Arial" w:hAnsi="Arial" w:cs="Arial"/>
          <w:sz w:val="8"/>
        </w:rPr>
      </w:pPr>
    </w:p>
    <w:p w14:paraId="796D487A" w14:textId="77777777" w:rsidR="0023524A" w:rsidRPr="003516DC" w:rsidRDefault="0023524A" w:rsidP="00E42342">
      <w:pPr>
        <w:pStyle w:val="ListParagraph"/>
        <w:numPr>
          <w:ilvl w:val="0"/>
          <w:numId w:val="100"/>
        </w:numPr>
        <w:spacing w:line="240" w:lineRule="auto"/>
        <w:ind w:left="360"/>
        <w:jc w:val="both"/>
        <w:rPr>
          <w:sz w:val="20"/>
          <w:szCs w:val="20"/>
        </w:rPr>
      </w:pPr>
      <w:r w:rsidRPr="003516DC">
        <w:rPr>
          <w:sz w:val="20"/>
          <w:szCs w:val="20"/>
        </w:rPr>
        <w:t>34% of energy consumption comes from buildings in the residential sector.</w:t>
      </w:r>
    </w:p>
    <w:p w14:paraId="32ABE0CE" w14:textId="77777777" w:rsidR="00B65BFA" w:rsidRDefault="00B65BFA" w:rsidP="003F7DD3">
      <w:pPr>
        <w:pStyle w:val="ListParagraph"/>
        <w:rPr>
          <w:sz w:val="8"/>
        </w:rPr>
      </w:pPr>
    </w:p>
    <w:p w14:paraId="70825B3E" w14:textId="77777777" w:rsidR="0023524A" w:rsidRPr="003516DC" w:rsidRDefault="0023524A" w:rsidP="0023524A">
      <w:pPr>
        <w:jc w:val="both"/>
        <w:rPr>
          <w:rFonts w:ascii="Arial" w:hAnsi="Arial" w:cs="Arial"/>
          <w:sz w:val="8"/>
        </w:rPr>
      </w:pPr>
    </w:p>
    <w:p w14:paraId="53F33B27" w14:textId="77777777" w:rsidR="0023524A" w:rsidRPr="003516DC" w:rsidRDefault="0023524A" w:rsidP="00E42342">
      <w:pPr>
        <w:pStyle w:val="ListParagraph"/>
        <w:numPr>
          <w:ilvl w:val="0"/>
          <w:numId w:val="100"/>
        </w:numPr>
        <w:spacing w:line="240" w:lineRule="auto"/>
        <w:ind w:left="360"/>
        <w:jc w:val="both"/>
        <w:rPr>
          <w:sz w:val="20"/>
          <w:szCs w:val="20"/>
        </w:rPr>
      </w:pPr>
      <w:r w:rsidRPr="003516DC">
        <w:rPr>
          <w:sz w:val="20"/>
          <w:szCs w:val="20"/>
        </w:rPr>
        <w:t xml:space="preserve">At the national level, the sources for heating in the residential sector include: 48% use biomass (mainly wood), 28% use gas, 23% use thermal energy, 1% use electricity. </w:t>
      </w:r>
    </w:p>
    <w:p w14:paraId="06DC038D" w14:textId="77777777" w:rsidR="00B65BFA" w:rsidRDefault="00B65BFA" w:rsidP="003F7DD3">
      <w:pPr>
        <w:pStyle w:val="ListParagraph"/>
        <w:rPr>
          <w:sz w:val="8"/>
        </w:rPr>
      </w:pPr>
    </w:p>
    <w:p w14:paraId="35313B15" w14:textId="77777777" w:rsidR="0023524A" w:rsidRPr="003516DC" w:rsidRDefault="0023524A" w:rsidP="0023524A">
      <w:pPr>
        <w:jc w:val="both"/>
        <w:rPr>
          <w:rFonts w:ascii="Arial" w:hAnsi="Arial" w:cs="Arial"/>
          <w:sz w:val="8"/>
        </w:rPr>
      </w:pPr>
    </w:p>
    <w:p w14:paraId="3CB46E65" w14:textId="0E3DC900" w:rsidR="0023524A" w:rsidRPr="003516DC" w:rsidRDefault="0023524A" w:rsidP="00E42342">
      <w:pPr>
        <w:pStyle w:val="ListParagraph"/>
        <w:numPr>
          <w:ilvl w:val="0"/>
          <w:numId w:val="100"/>
        </w:numPr>
        <w:spacing w:line="240" w:lineRule="auto"/>
        <w:ind w:left="360"/>
        <w:jc w:val="both"/>
        <w:rPr>
          <w:sz w:val="20"/>
          <w:szCs w:val="20"/>
        </w:rPr>
      </w:pPr>
      <w:r w:rsidRPr="003516DC">
        <w:rPr>
          <w:sz w:val="20"/>
          <w:szCs w:val="20"/>
        </w:rPr>
        <w:t xml:space="preserve">50% of </w:t>
      </w:r>
      <w:r w:rsidR="00423341">
        <w:rPr>
          <w:sz w:val="20"/>
          <w:szCs w:val="20"/>
        </w:rPr>
        <w:t>single-family</w:t>
      </w:r>
      <w:r w:rsidR="00200858">
        <w:rPr>
          <w:sz w:val="20"/>
          <w:szCs w:val="20"/>
        </w:rPr>
        <w:t xml:space="preserve"> houses</w:t>
      </w:r>
      <w:r w:rsidRPr="003516DC">
        <w:rPr>
          <w:sz w:val="20"/>
          <w:szCs w:val="20"/>
        </w:rPr>
        <w:t xml:space="preserve"> are made of wood and soil-based materials (“paianta”), disproportionately in rural areas.</w:t>
      </w:r>
    </w:p>
    <w:p w14:paraId="4180DAFD" w14:textId="77777777" w:rsidR="00B65BFA" w:rsidRDefault="00B65BFA" w:rsidP="003F7DD3">
      <w:pPr>
        <w:pStyle w:val="ListParagraph"/>
        <w:rPr>
          <w:sz w:val="8"/>
        </w:rPr>
      </w:pPr>
    </w:p>
    <w:p w14:paraId="70FBE364" w14:textId="77777777" w:rsidR="0023524A" w:rsidRPr="003516DC" w:rsidRDefault="0023524A" w:rsidP="0023524A">
      <w:pPr>
        <w:jc w:val="both"/>
        <w:rPr>
          <w:rFonts w:ascii="Arial" w:hAnsi="Arial" w:cs="Arial"/>
          <w:sz w:val="8"/>
        </w:rPr>
      </w:pPr>
    </w:p>
    <w:p w14:paraId="075E008B" w14:textId="356ACADE" w:rsidR="00B65BFA" w:rsidRPr="003F7DD3" w:rsidRDefault="0023524A" w:rsidP="003F7DD3">
      <w:pPr>
        <w:pStyle w:val="ListParagraph"/>
        <w:numPr>
          <w:ilvl w:val="0"/>
          <w:numId w:val="100"/>
        </w:numPr>
        <w:spacing w:after="120" w:line="240" w:lineRule="auto"/>
        <w:ind w:left="360"/>
        <w:jc w:val="both"/>
        <w:rPr>
          <w:sz w:val="20"/>
          <w:szCs w:val="20"/>
          <w:shd w:val="solid" w:color="FFFFFF" w:fill="FFFFFF"/>
        </w:rPr>
      </w:pPr>
      <w:r w:rsidRPr="003516DC">
        <w:rPr>
          <w:sz w:val="20"/>
          <w:szCs w:val="20"/>
        </w:rPr>
        <w:t xml:space="preserve">In urban areas, </w:t>
      </w:r>
      <w:r w:rsidRPr="003516DC">
        <w:rPr>
          <w:sz w:val="20"/>
          <w:szCs w:val="20"/>
          <w:shd w:val="solid" w:color="FFFFFF" w:fill="FFFFFF"/>
        </w:rPr>
        <w:t>over 70% percent of the urban dwellings are multifamily apartment blocks made of concrete</w:t>
      </w:r>
      <w:r w:rsidR="006C46E5">
        <w:rPr>
          <w:sz w:val="20"/>
          <w:szCs w:val="20"/>
          <w:shd w:val="solid" w:color="FFFFFF" w:fill="FFFFFF"/>
        </w:rPr>
        <w:t>.</w:t>
      </w:r>
    </w:p>
    <w:p w14:paraId="56B01731" w14:textId="442EE1EF"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For an average building with P+4 floors built before 1990, a deep thermal renovation (including windows, ceiling, staircases, lighting) can raise the energy class of the building by two units (usually D to B). This lowers energy consumption by a yearly average of 53% and of GES by 55%. NZEB would reduce the consumption and GEs by up to 95%</w:t>
      </w:r>
      <w:r w:rsidRPr="003516DC">
        <w:rPr>
          <w:rStyle w:val="FootnoteReference"/>
          <w:rFonts w:ascii="Arial" w:hAnsi="Arial" w:cs="Arial"/>
          <w:sz w:val="20"/>
          <w:szCs w:val="20"/>
        </w:rPr>
        <w:footnoteReference w:id="27"/>
      </w:r>
      <w:r w:rsidRPr="003516DC">
        <w:rPr>
          <w:rFonts w:ascii="Arial" w:hAnsi="Arial" w:cs="Arial"/>
          <w:sz w:val="20"/>
          <w:szCs w:val="20"/>
        </w:rPr>
        <w:t>.</w:t>
      </w:r>
    </w:p>
    <w:p w14:paraId="3C7691CF" w14:textId="77777777" w:rsidR="0023524A" w:rsidRPr="003516DC" w:rsidRDefault="0023524A" w:rsidP="006C46E5">
      <w:pPr>
        <w:shd w:val="clear" w:color="auto" w:fill="FFFFFF"/>
        <w:spacing w:after="120"/>
        <w:jc w:val="both"/>
        <w:rPr>
          <w:rFonts w:ascii="Arial" w:hAnsi="Arial" w:cs="Arial"/>
          <w:i/>
          <w:iCs/>
          <w:color w:val="0070C0"/>
          <w:sz w:val="20"/>
          <w:szCs w:val="20"/>
          <w:highlight w:val="white"/>
        </w:rPr>
      </w:pPr>
      <w:r w:rsidRPr="003516DC">
        <w:rPr>
          <w:rFonts w:ascii="Arial" w:hAnsi="Arial" w:cs="Arial"/>
          <w:i/>
          <w:iCs/>
          <w:color w:val="0070C0"/>
          <w:sz w:val="20"/>
          <w:szCs w:val="20"/>
          <w:highlight w:val="white"/>
        </w:rPr>
        <w:t>The interplay of behaviour and private ownership plays an important role</w:t>
      </w:r>
    </w:p>
    <w:p w14:paraId="2BC49854" w14:textId="18A44665" w:rsidR="0023524A" w:rsidRPr="00190BA4" w:rsidRDefault="0023524A" w:rsidP="00B65BFA">
      <w:pPr>
        <w:spacing w:before="120" w:after="120"/>
        <w:jc w:val="both"/>
        <w:rPr>
          <w:rFonts w:ascii="Arial" w:hAnsi="Arial" w:cs="Arial"/>
        </w:rPr>
      </w:pPr>
      <w:r w:rsidRPr="003516DC">
        <w:rPr>
          <w:rFonts w:ascii="Arial" w:hAnsi="Arial" w:cs="Arial"/>
          <w:sz w:val="20"/>
          <w:szCs w:val="20"/>
          <w:shd w:val="solid" w:color="FFFFFF" w:fill="FFFFFF"/>
        </w:rPr>
        <w:lastRenderedPageBreak/>
        <w:t>High rivate ownership of housing leaves much of the decision in the hands of households themselves. The high ownership ratio is a legacy of communism. At the beginning of the 1990’s, most of the housing units were inhabited by tenants who benefited from “giveaway” privatisation programmes, where the sitting tenants were encouraged to purchase the properties through various forms of programmes and payment schemes at low prices</w:t>
      </w:r>
      <w:r w:rsidRPr="003516DC">
        <w:rPr>
          <w:rStyle w:val="FootnoteReference"/>
          <w:rFonts w:ascii="Arial" w:hAnsi="Arial" w:cs="Arial"/>
          <w:sz w:val="20"/>
          <w:szCs w:val="20"/>
          <w:shd w:val="solid" w:color="FFFFFF" w:fill="FFFFFF"/>
        </w:rPr>
        <w:footnoteReference w:id="28"/>
      </w:r>
      <w:r w:rsidRPr="003516DC" w:rsidDel="00DE0161">
        <w:rPr>
          <w:rFonts w:ascii="Arial" w:hAnsi="Arial" w:cs="Arial"/>
        </w:rPr>
        <w:t xml:space="preserve"> </w:t>
      </w:r>
      <w:r w:rsidRPr="003516DC">
        <w:rPr>
          <w:rFonts w:ascii="Arial" w:hAnsi="Arial" w:cs="Arial"/>
          <w:sz w:val="20"/>
          <w:szCs w:val="20"/>
          <w:shd w:val="solid" w:color="FFFFFF" w:fill="FFFFFF"/>
        </w:rPr>
        <w:t>. Romania leads the private property ratio in the region with 96%. As a result, many people, who under normal circumstances could have never afforded to own properties, have become owners. Unfortunately, they cannot afford to renovate or maintain. For many households, taking a loan to renovate their house is not an option, either because they do not qualify or because loans are used for other more urgent purposes. In the case of multifamily buildings, this involves common decisions between apartment owners, which is often difficult to reach due to the high degree of mutual mistrust.</w:t>
      </w:r>
    </w:p>
    <w:p w14:paraId="30149819" w14:textId="7D8AEEE9" w:rsidR="0023524A" w:rsidRPr="003516DC" w:rsidRDefault="0023524A" w:rsidP="0023524A">
      <w:pPr>
        <w:pStyle w:val="Caption"/>
      </w:pPr>
      <w:bookmarkStart w:id="80" w:name="_Toc90727354"/>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18</w:t>
      </w:r>
      <w:r w:rsidRPr="003516DC">
        <w:rPr>
          <w:noProof/>
        </w:rPr>
        <w:fldChar w:fldCharType="end"/>
      </w:r>
      <w:r w:rsidRPr="003516DC">
        <w:t>: Share of households in private properties in urban areas</w:t>
      </w:r>
      <w:bookmarkEnd w:id="80"/>
    </w:p>
    <w:p w14:paraId="3F8D290D" w14:textId="73CB9179" w:rsidR="0023524A" w:rsidRPr="006C46E5" w:rsidRDefault="0023524A" w:rsidP="006C46E5">
      <w:pPr>
        <w:rPr>
          <w:rFonts w:ascii="Arial" w:hAnsi="Arial" w:cs="Arial"/>
        </w:rPr>
      </w:pPr>
      <w:r w:rsidRPr="003516DC">
        <w:rPr>
          <w:rFonts w:ascii="Arial" w:hAnsi="Arial" w:cs="Arial"/>
          <w:noProof/>
          <w:lang w:val="en-US" w:eastAsia="en-US"/>
        </w:rPr>
        <w:drawing>
          <wp:inline distT="0" distB="0" distL="0" distR="0" wp14:anchorId="00DA205F" wp14:editId="35855B35">
            <wp:extent cx="5678424" cy="3081528"/>
            <wp:effectExtent l="0" t="0" r="17780" b="5080"/>
            <wp:docPr id="218" name="Chart 2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381F8D0-B865-4CCE-A7E5-11E35DAD0B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377CEEB" w14:textId="174E0D41" w:rsidR="0023524A" w:rsidRPr="003516DC" w:rsidRDefault="0023524A" w:rsidP="006C46E5">
      <w:pPr>
        <w:spacing w:before="120" w:after="120"/>
        <w:jc w:val="both"/>
        <w:rPr>
          <w:rFonts w:ascii="Arial" w:hAnsi="Arial" w:cs="Arial"/>
          <w:sz w:val="20"/>
          <w:szCs w:val="20"/>
        </w:rPr>
      </w:pPr>
      <w:r w:rsidRPr="003516DC">
        <w:rPr>
          <w:rFonts w:ascii="Arial" w:hAnsi="Arial" w:cs="Arial"/>
          <w:sz w:val="20"/>
          <w:szCs w:val="20"/>
        </w:rPr>
        <w:t xml:space="preserve">There is little data on the behaviour of people with respect to household energy consumption other than what is reflected in expenses and consumptions (which is also limited). A survey conducted in Cluj-Napoca in 2020 shows that over half of households prefer to keep a temperature above 21C, even though this expense places more than 40% of households in a state of vulnerability. This is a matter of choice since most of these households have a thermostat to control temperature. Moreover, 76% of the city uses individual gas boilers and only 20% are connected to the district heating system. Studies show that a decrease of temperature by 1C reduces the energy bill by 7%. In urban settings where there is a functional district heating system, most households would also have the possibility to switch from gas to thermal centralised heating systems (unlike </w:t>
      </w:r>
      <w:r w:rsidR="003751DC">
        <w:rPr>
          <w:rFonts w:ascii="Arial" w:hAnsi="Arial" w:cs="Arial"/>
          <w:sz w:val="20"/>
          <w:szCs w:val="20"/>
        </w:rPr>
        <w:t>Galați</w:t>
      </w:r>
      <w:r w:rsidRPr="003516DC">
        <w:rPr>
          <w:rFonts w:ascii="Arial" w:hAnsi="Arial" w:cs="Arial"/>
          <w:sz w:val="20"/>
          <w:szCs w:val="20"/>
        </w:rPr>
        <w:t xml:space="preserve">), which decreases the likelihood of energy poverty by allowing consumers the possibility to switch to a different fuel. </w:t>
      </w:r>
    </w:p>
    <w:p w14:paraId="4D51879D" w14:textId="7464F6D9" w:rsidR="0023524A" w:rsidRPr="003516DC" w:rsidRDefault="0023524A" w:rsidP="006C46E5">
      <w:pPr>
        <w:spacing w:before="120" w:after="120"/>
        <w:jc w:val="both"/>
        <w:rPr>
          <w:rFonts w:ascii="Arial" w:hAnsi="Arial" w:cs="Arial"/>
          <w:sz w:val="20"/>
          <w:szCs w:val="20"/>
        </w:rPr>
      </w:pPr>
      <w:r w:rsidRPr="003516DC">
        <w:rPr>
          <w:rFonts w:ascii="Arial" w:hAnsi="Arial" w:cs="Arial"/>
          <w:sz w:val="20"/>
          <w:szCs w:val="20"/>
        </w:rPr>
        <w:t>For such situations, and specific to the urban context where there is a district heating system, solutions to reduce energy consumption, energy bills, and emissions should simultaneously target building renovation. This requires raising awareness on energy choices in privately owned households and a campaign to reintroduce more efficient thermal heating compared to inefficient gas boilers.</w:t>
      </w:r>
    </w:p>
    <w:p w14:paraId="7EF9A386" w14:textId="324FCC91" w:rsidR="0023524A" w:rsidRPr="006C46E5" w:rsidRDefault="0023524A" w:rsidP="006C46E5">
      <w:pPr>
        <w:shd w:val="clear" w:color="auto" w:fill="FFFFFF"/>
        <w:spacing w:before="120" w:after="120"/>
        <w:jc w:val="both"/>
        <w:rPr>
          <w:rFonts w:ascii="Arial" w:hAnsi="Arial" w:cs="Arial"/>
          <w:i/>
          <w:iCs/>
          <w:color w:val="0070C0"/>
          <w:sz w:val="20"/>
          <w:szCs w:val="20"/>
          <w:highlight w:val="white"/>
        </w:rPr>
      </w:pPr>
      <w:r w:rsidRPr="003516DC">
        <w:rPr>
          <w:rFonts w:ascii="Arial" w:hAnsi="Arial" w:cs="Arial"/>
          <w:i/>
          <w:iCs/>
          <w:color w:val="0070C0"/>
          <w:sz w:val="20"/>
          <w:szCs w:val="20"/>
          <w:highlight w:val="white"/>
        </w:rPr>
        <w:t>Relevant from NECP on the renovation objectives</w:t>
      </w:r>
    </w:p>
    <w:p w14:paraId="796C46E6" w14:textId="73AB05CC" w:rsidR="0023524A" w:rsidRPr="003516DC" w:rsidRDefault="0023524A" w:rsidP="006C46E5">
      <w:pPr>
        <w:spacing w:before="120" w:after="120"/>
        <w:jc w:val="both"/>
        <w:rPr>
          <w:rFonts w:ascii="Arial" w:hAnsi="Arial" w:cs="Arial"/>
          <w:sz w:val="20"/>
          <w:szCs w:val="20"/>
        </w:rPr>
      </w:pPr>
      <w:r w:rsidRPr="003516DC">
        <w:rPr>
          <w:rFonts w:ascii="Arial" w:hAnsi="Arial" w:cs="Arial"/>
          <w:sz w:val="20"/>
          <w:szCs w:val="20"/>
        </w:rPr>
        <w:t xml:space="preserve">The recommended scenario (scenario 2) leads to a reduction in final consumption in 2030 of 0.83 Mtep compared to the baseline scenario. By 2050, scenario 2 predicts a final energy consumption in buildings of 3.38 Mtoe, a reduction of 66% compared to the same year in the baseline scenario. Scenario 2 also leads to a reduction in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3516DC">
        <w:rPr>
          <w:rFonts w:ascii="Arial" w:hAnsi="Arial" w:cs="Arial"/>
          <w:sz w:val="20"/>
          <w:szCs w:val="20"/>
        </w:rPr>
        <w:t>emissions of 2.34 million tonnes compared to the baseline scenario from the building stock of Romania with an estimated value of 7.50 million tons in 2030.</w:t>
      </w:r>
    </w:p>
    <w:p w14:paraId="49E8EB87" w14:textId="7D751A30" w:rsidR="0023524A" w:rsidRPr="003516DC" w:rsidRDefault="0023524A" w:rsidP="006C46E5">
      <w:pPr>
        <w:spacing w:before="120" w:after="120"/>
        <w:jc w:val="both"/>
        <w:rPr>
          <w:rFonts w:ascii="Arial" w:hAnsi="Arial" w:cs="Arial"/>
          <w:sz w:val="20"/>
          <w:szCs w:val="20"/>
        </w:rPr>
      </w:pPr>
      <w:r w:rsidRPr="003516DC">
        <w:rPr>
          <w:rFonts w:ascii="Arial" w:hAnsi="Arial" w:cs="Arial"/>
          <w:sz w:val="20"/>
          <w:szCs w:val="20"/>
        </w:rPr>
        <w:lastRenderedPageBreak/>
        <w:t>To implement the recommended scenario, SRTL (long term renovation strategy) suggests EUR 12.8 b</w:t>
      </w:r>
      <w:r w:rsidR="00B248C3">
        <w:rPr>
          <w:rFonts w:ascii="Arial" w:hAnsi="Arial" w:cs="Arial"/>
          <w:sz w:val="20"/>
          <w:szCs w:val="20"/>
        </w:rPr>
        <w:t>illion (b</w:t>
      </w:r>
      <w:r w:rsidRPr="003516DC">
        <w:rPr>
          <w:rFonts w:ascii="Arial" w:hAnsi="Arial" w:cs="Arial"/>
          <w:sz w:val="20"/>
          <w:szCs w:val="20"/>
        </w:rPr>
        <w:t>n</w:t>
      </w:r>
      <w:r w:rsidR="00B248C3">
        <w:rPr>
          <w:rFonts w:ascii="Arial" w:hAnsi="Arial" w:cs="Arial"/>
          <w:sz w:val="20"/>
          <w:szCs w:val="20"/>
        </w:rPr>
        <w:t>)</w:t>
      </w:r>
      <w:r w:rsidRPr="003516DC">
        <w:rPr>
          <w:rFonts w:ascii="Arial" w:hAnsi="Arial" w:cs="Arial"/>
          <w:sz w:val="20"/>
          <w:szCs w:val="20"/>
        </w:rPr>
        <w:t xml:space="preserve"> of investments are required. In addition, an estimated EUR 1 bn should be committed to cover the costs of technical assistance. Recommended sources of investment include:</w:t>
      </w:r>
    </w:p>
    <w:p w14:paraId="07A06B32" w14:textId="77777777" w:rsidR="0023524A" w:rsidRPr="003516DC" w:rsidRDefault="0023524A" w:rsidP="0023524A">
      <w:pPr>
        <w:jc w:val="both"/>
        <w:rPr>
          <w:rFonts w:ascii="Arial" w:hAnsi="Arial" w:cs="Arial"/>
          <w:sz w:val="12"/>
        </w:rPr>
      </w:pPr>
    </w:p>
    <w:p w14:paraId="303D05C7" w14:textId="77777777" w:rsidR="0023524A" w:rsidRPr="003516DC" w:rsidRDefault="0023524A" w:rsidP="004B6689">
      <w:pPr>
        <w:numPr>
          <w:ilvl w:val="0"/>
          <w:numId w:val="101"/>
        </w:numPr>
        <w:tabs>
          <w:tab w:val="left" w:pos="360"/>
          <w:tab w:val="left" w:pos="720"/>
        </w:tabs>
        <w:ind w:hanging="218"/>
        <w:jc w:val="both"/>
        <w:rPr>
          <w:rFonts w:ascii="Arial" w:hAnsi="Arial" w:cs="Arial"/>
          <w:sz w:val="20"/>
          <w:szCs w:val="20"/>
        </w:rPr>
      </w:pPr>
      <w:r w:rsidRPr="003516DC">
        <w:rPr>
          <w:rFonts w:ascii="Arial" w:hAnsi="Arial" w:cs="Arial"/>
          <w:sz w:val="20"/>
          <w:szCs w:val="20"/>
        </w:rPr>
        <w:t>EUR 3 bn from non-reimbursable funds from the state budget or the European Union;</w:t>
      </w:r>
    </w:p>
    <w:p w14:paraId="30136801" w14:textId="77777777" w:rsidR="0023524A" w:rsidRPr="003516DC" w:rsidRDefault="0023524A" w:rsidP="00E42342">
      <w:pPr>
        <w:numPr>
          <w:ilvl w:val="0"/>
          <w:numId w:val="102"/>
        </w:numPr>
        <w:tabs>
          <w:tab w:val="left" w:pos="360"/>
          <w:tab w:val="left" w:pos="720"/>
        </w:tabs>
        <w:jc w:val="both"/>
        <w:rPr>
          <w:rFonts w:ascii="Arial" w:hAnsi="Arial" w:cs="Arial"/>
          <w:sz w:val="20"/>
          <w:szCs w:val="20"/>
        </w:rPr>
      </w:pPr>
      <w:r w:rsidRPr="003516DC">
        <w:rPr>
          <w:rFonts w:ascii="Arial" w:hAnsi="Arial" w:cs="Arial"/>
          <w:sz w:val="20"/>
          <w:szCs w:val="20"/>
        </w:rPr>
        <w:t>Between EUR 6 and 8 bn to be financed through reimbursable financial mechanisms such as inclusive reimbursable grants;</w:t>
      </w:r>
    </w:p>
    <w:p w14:paraId="05514168" w14:textId="0E091BAB" w:rsidR="0023524A" w:rsidRPr="006C46E5" w:rsidRDefault="0023524A" w:rsidP="00E42342">
      <w:pPr>
        <w:numPr>
          <w:ilvl w:val="0"/>
          <w:numId w:val="102"/>
        </w:numPr>
        <w:tabs>
          <w:tab w:val="left" w:pos="360"/>
          <w:tab w:val="left" w:pos="720"/>
        </w:tabs>
        <w:spacing w:after="120"/>
        <w:jc w:val="both"/>
        <w:rPr>
          <w:rFonts w:ascii="Arial" w:hAnsi="Arial" w:cs="Arial"/>
          <w:sz w:val="20"/>
          <w:szCs w:val="20"/>
        </w:rPr>
      </w:pPr>
      <w:r w:rsidRPr="003516DC">
        <w:rPr>
          <w:rFonts w:ascii="Arial" w:hAnsi="Arial" w:cs="Arial"/>
          <w:sz w:val="20"/>
          <w:szCs w:val="20"/>
        </w:rPr>
        <w:t>EUR 1.8 bn to be provided by the owners of the buildings that will be renovated within a co-financing scheme.</w:t>
      </w:r>
    </w:p>
    <w:p w14:paraId="1946E429" w14:textId="6750AF4E" w:rsidR="0023524A" w:rsidRPr="003516DC" w:rsidRDefault="0023524A" w:rsidP="006C46E5">
      <w:pPr>
        <w:spacing w:after="120"/>
        <w:jc w:val="both"/>
        <w:rPr>
          <w:rFonts w:ascii="Arial" w:hAnsi="Arial" w:cs="Arial"/>
          <w:sz w:val="20"/>
          <w:szCs w:val="20"/>
        </w:rPr>
      </w:pPr>
      <w:r w:rsidRPr="003516DC">
        <w:rPr>
          <w:rFonts w:ascii="Arial" w:hAnsi="Arial" w:cs="Arial"/>
          <w:sz w:val="20"/>
          <w:szCs w:val="20"/>
        </w:rPr>
        <w:t>Graph 1</w:t>
      </w:r>
      <w:r w:rsidR="00F140B0">
        <w:rPr>
          <w:rFonts w:ascii="Arial" w:hAnsi="Arial" w:cs="Arial"/>
          <w:sz w:val="20"/>
          <w:szCs w:val="20"/>
        </w:rPr>
        <w:t>9</w:t>
      </w:r>
      <w:r w:rsidRPr="003516DC">
        <w:rPr>
          <w:rFonts w:ascii="Arial" w:hAnsi="Arial" w:cs="Arial"/>
          <w:sz w:val="20"/>
          <w:szCs w:val="20"/>
        </w:rPr>
        <w:t xml:space="preserve"> shows the number of private housing in public ownership. A special focus on energy efficiency projects in social housing buildings as the JTF recommends needs to receive priority in Hunedoara and Gorj.</w:t>
      </w:r>
    </w:p>
    <w:p w14:paraId="0C087BC2" w14:textId="384BC274" w:rsidR="0023524A" w:rsidRPr="003516DC" w:rsidRDefault="0023524A" w:rsidP="00D963B9">
      <w:pPr>
        <w:pStyle w:val="Caption"/>
      </w:pPr>
      <w:bookmarkStart w:id="81" w:name="_Toc90727355"/>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19</w:t>
      </w:r>
      <w:r w:rsidRPr="003516DC">
        <w:rPr>
          <w:noProof/>
        </w:rPr>
        <w:fldChar w:fldCharType="end"/>
      </w:r>
      <w:r w:rsidRPr="003516DC">
        <w:t>: Housing in state property in urban and rural areas by county at the end of in 2019</w:t>
      </w:r>
      <w:bookmarkEnd w:id="81"/>
    </w:p>
    <w:p w14:paraId="3C808536" w14:textId="77777777" w:rsidR="0023524A" w:rsidRPr="003516DC" w:rsidRDefault="0023524A" w:rsidP="00D963B9">
      <w:pPr>
        <w:rPr>
          <w:rFonts w:ascii="Arial" w:hAnsi="Arial" w:cs="Arial"/>
        </w:rPr>
      </w:pPr>
      <w:r w:rsidRPr="003516DC">
        <w:rPr>
          <w:rFonts w:ascii="Arial" w:hAnsi="Arial" w:cs="Arial"/>
          <w:noProof/>
          <w:lang w:val="en-US" w:eastAsia="en-US"/>
        </w:rPr>
        <w:drawing>
          <wp:inline distT="0" distB="0" distL="0" distR="0" wp14:anchorId="06B22199" wp14:editId="5808E076">
            <wp:extent cx="5678424" cy="3081528"/>
            <wp:effectExtent l="0" t="0" r="17780" b="5080"/>
            <wp:docPr id="219" name="Chart 2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00FE077-0C9C-4306-9E17-2F5FCE9D51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012181E" w14:textId="51A5D523" w:rsidR="0023524A" w:rsidRPr="006C46E5" w:rsidRDefault="0023524A" w:rsidP="006C46E5">
      <w:pPr>
        <w:spacing w:after="120"/>
        <w:rPr>
          <w:rFonts w:ascii="Arial" w:hAnsi="Arial" w:cs="Arial"/>
          <w:i/>
          <w:iCs/>
          <w:sz w:val="16"/>
          <w:szCs w:val="16"/>
        </w:rPr>
      </w:pPr>
      <w:r w:rsidRPr="003516DC">
        <w:rPr>
          <w:rFonts w:ascii="Arial" w:hAnsi="Arial" w:cs="Arial"/>
          <w:i/>
          <w:iCs/>
          <w:sz w:val="16"/>
          <w:szCs w:val="16"/>
        </w:rPr>
        <w:t>Source: NIS, 2020</w:t>
      </w:r>
    </w:p>
    <w:p w14:paraId="49142236" w14:textId="4672ADBC" w:rsidR="00DB1E5D" w:rsidRDefault="00BC1883" w:rsidP="006C46E5">
      <w:pPr>
        <w:spacing w:after="120"/>
        <w:jc w:val="both"/>
        <w:rPr>
          <w:rFonts w:ascii="Arial" w:hAnsi="Arial" w:cs="Arial"/>
          <w:sz w:val="20"/>
          <w:szCs w:val="20"/>
        </w:rPr>
      </w:pPr>
      <w:r>
        <w:rPr>
          <w:rFonts w:ascii="Arial" w:hAnsi="Arial" w:cs="Arial"/>
          <w:i/>
          <w:iCs/>
          <w:sz w:val="20"/>
          <w:szCs w:val="20"/>
        </w:rPr>
        <w:t xml:space="preserve">Conclusions for each </w:t>
      </w:r>
      <w:r w:rsidR="00DB1E5D" w:rsidRPr="00033727">
        <w:rPr>
          <w:rFonts w:ascii="Arial" w:hAnsi="Arial" w:cs="Arial"/>
          <w:i/>
          <w:iCs/>
          <w:sz w:val="20"/>
          <w:szCs w:val="20"/>
        </w:rPr>
        <w:t>county</w:t>
      </w:r>
      <w:r w:rsidR="00DB1E5D">
        <w:rPr>
          <w:rFonts w:ascii="Arial" w:hAnsi="Arial" w:cs="Arial"/>
          <w:i/>
          <w:iCs/>
          <w:sz w:val="20"/>
          <w:szCs w:val="20"/>
        </w:rPr>
        <w:t xml:space="preserve"> resulting from the energy poverty and energy efficiency analysis presented in this section </w:t>
      </w:r>
      <w:r w:rsidR="00DB1E5D" w:rsidRPr="00033727">
        <w:rPr>
          <w:rFonts w:ascii="Arial" w:hAnsi="Arial" w:cs="Arial"/>
          <w:i/>
          <w:iCs/>
          <w:sz w:val="20"/>
          <w:szCs w:val="20"/>
        </w:rPr>
        <w:t xml:space="preserve">have been included in </w:t>
      </w:r>
      <w:r w:rsidR="004B6689">
        <w:rPr>
          <w:rFonts w:ascii="Arial" w:hAnsi="Arial" w:cs="Arial"/>
          <w:i/>
          <w:iCs/>
          <w:sz w:val="20"/>
          <w:szCs w:val="20"/>
        </w:rPr>
        <w:t>Chapters</w:t>
      </w:r>
      <w:r w:rsidR="00DB1E5D" w:rsidRPr="00033727">
        <w:rPr>
          <w:rFonts w:ascii="Arial" w:hAnsi="Arial" w:cs="Arial"/>
          <w:i/>
          <w:iCs/>
          <w:sz w:val="20"/>
          <w:szCs w:val="20"/>
        </w:rPr>
        <w:t xml:space="preserve"> </w:t>
      </w:r>
      <w:r w:rsidR="0041188B">
        <w:rPr>
          <w:rFonts w:ascii="Arial" w:hAnsi="Arial" w:cs="Arial"/>
          <w:i/>
          <w:iCs/>
          <w:sz w:val="20"/>
          <w:szCs w:val="20"/>
        </w:rPr>
        <w:t>3</w:t>
      </w:r>
      <w:r w:rsidR="00DB1E5D" w:rsidRPr="00033727">
        <w:rPr>
          <w:rFonts w:ascii="Arial" w:hAnsi="Arial" w:cs="Arial"/>
          <w:i/>
          <w:iCs/>
          <w:sz w:val="20"/>
          <w:szCs w:val="20"/>
        </w:rPr>
        <w:t>–</w:t>
      </w:r>
      <w:r w:rsidR="0041188B">
        <w:rPr>
          <w:rFonts w:ascii="Arial" w:hAnsi="Arial" w:cs="Arial"/>
          <w:i/>
          <w:iCs/>
          <w:sz w:val="20"/>
          <w:szCs w:val="20"/>
        </w:rPr>
        <w:t>8</w:t>
      </w:r>
      <w:r w:rsidR="00DB1E5D">
        <w:rPr>
          <w:rFonts w:ascii="Arial" w:hAnsi="Arial" w:cs="Arial"/>
          <w:i/>
          <w:iCs/>
          <w:sz w:val="20"/>
          <w:szCs w:val="20"/>
        </w:rPr>
        <w:t>.</w:t>
      </w:r>
    </w:p>
    <w:p w14:paraId="6006EFBB" w14:textId="0CCF0540" w:rsidR="00472E96" w:rsidRDefault="00472E96" w:rsidP="00E42342">
      <w:pPr>
        <w:pStyle w:val="Heading2"/>
        <w:numPr>
          <w:ilvl w:val="0"/>
          <w:numId w:val="158"/>
        </w:numPr>
      </w:pPr>
      <w:bookmarkStart w:id="82" w:name="_Toc90725852"/>
      <w:r>
        <w:t>T</w:t>
      </w:r>
      <w:r w:rsidR="00C90B03" w:rsidRPr="00472E96">
        <w:t xml:space="preserve">ourism </w:t>
      </w:r>
      <w:r w:rsidR="00BD2604">
        <w:t>support potential in the framework of the JTF</w:t>
      </w:r>
      <w:bookmarkEnd w:id="82"/>
    </w:p>
    <w:p w14:paraId="6287F5E8" w14:textId="1AE07161" w:rsidR="005F14EF" w:rsidRPr="00A776E4" w:rsidRDefault="00F700CD" w:rsidP="005F14EF">
      <w:pPr>
        <w:jc w:val="both"/>
        <w:rPr>
          <w:rFonts w:ascii="Arial" w:hAnsi="Arial" w:cs="Arial"/>
          <w:lang w:eastAsia="en-US"/>
        </w:rPr>
      </w:pPr>
      <w:bookmarkStart w:id="83" w:name="_Hlk85565024"/>
      <w:r w:rsidRPr="00A776E4">
        <w:rPr>
          <w:rFonts w:ascii="Arial" w:hAnsi="Arial" w:cs="Arial"/>
          <w:sz w:val="20"/>
          <w:szCs w:val="20"/>
        </w:rPr>
        <w:t>Investments in tourism, including tourism businesses and infrastructure (e.g., conversion of a coal mine into a museum, rehabilitation of a narrow-gauge railways for steam engines, mountain bike treks, etc.) as drivers of endogenous growth have been repeatedly highlighted by local stakeholders</w:t>
      </w:r>
      <w:r w:rsidR="005F14EF" w:rsidRPr="00A776E4">
        <w:rPr>
          <w:rFonts w:ascii="Arial" w:hAnsi="Arial" w:cs="Arial"/>
          <w:sz w:val="20"/>
          <w:szCs w:val="20"/>
        </w:rPr>
        <w:t>,</w:t>
      </w:r>
      <w:r w:rsidRPr="00A776E4">
        <w:rPr>
          <w:rFonts w:ascii="Arial" w:hAnsi="Arial" w:cs="Arial"/>
          <w:sz w:val="20"/>
          <w:szCs w:val="20"/>
        </w:rPr>
        <w:t xml:space="preserve"> especially in Hunedoara and Gorj. We appreciate the clarification received from the European Commission during the review process of this deliverable, in the sense of clearly stressing that investments in sustainable tourism can be supported by the JTF. Like any other investment, they must help in mitigating the impacts of the transition and must be linked to the transition challenges identified in the TJTP. They can be part of the diversification strategy if consistent with the relevant, updated regional tourism development strategies as the support to new economic activities should concentrate on areas identified as promising ones in these strategies, contributing to a development path in line with the endogenous potential and capabilities of territories. While it has been not been the main scope of this technical assistance project to analyse in-depth the proposed project ideas in the field of tourism, we can make the general appreciation that in Hunedoara and Gorj counties there is a multi-stakeholder appreciation of the opportunity for this development and there is endogenous potential for tourism development.</w:t>
      </w:r>
      <w:bookmarkEnd w:id="83"/>
      <w:r w:rsidRPr="00A776E4" w:rsidDel="00F700CD">
        <w:rPr>
          <w:rFonts w:ascii="Arial" w:hAnsi="Arial" w:cs="Arial"/>
          <w:sz w:val="20"/>
          <w:szCs w:val="20"/>
        </w:rPr>
        <w:t xml:space="preserve"> </w:t>
      </w:r>
    </w:p>
    <w:p w14:paraId="798C9A7C" w14:textId="5ED7E039" w:rsidR="005E0CC8" w:rsidRPr="00BD2604" w:rsidRDefault="0023524A" w:rsidP="00CF1AD9">
      <w:pPr>
        <w:pStyle w:val="Heading2"/>
        <w:numPr>
          <w:ilvl w:val="0"/>
          <w:numId w:val="351"/>
        </w:numPr>
      </w:pPr>
      <w:bookmarkStart w:id="84" w:name="_Toc90725853"/>
      <w:r w:rsidRPr="00BD2604">
        <w:lastRenderedPageBreak/>
        <w:t>Description and brief analysis of large enterprises</w:t>
      </w:r>
      <w:bookmarkEnd w:id="84"/>
      <w:r w:rsidRPr="00BD2604">
        <w:t xml:space="preserve"> </w:t>
      </w:r>
    </w:p>
    <w:p w14:paraId="23BD4308" w14:textId="3214325B" w:rsidR="0023524A" w:rsidRPr="003516DC" w:rsidRDefault="0023524A" w:rsidP="0023524A">
      <w:pPr>
        <w:jc w:val="both"/>
        <w:rPr>
          <w:rFonts w:ascii="Arial" w:hAnsi="Arial" w:cs="Arial"/>
          <w:sz w:val="20"/>
          <w:szCs w:val="20"/>
        </w:rPr>
      </w:pPr>
      <w:r w:rsidRPr="003516DC">
        <w:rPr>
          <w:rFonts w:ascii="Arial" w:hAnsi="Arial" w:cs="Arial"/>
          <w:sz w:val="20"/>
          <w:szCs w:val="20"/>
        </w:rPr>
        <w:t>Annex 5 contains an analysis of the ten biggest enterprises (in terms of turnover and number of employees)</w:t>
      </w:r>
      <w:r w:rsidR="00DA7158">
        <w:rPr>
          <w:rFonts w:ascii="Arial" w:hAnsi="Arial" w:cs="Arial"/>
          <w:sz w:val="20"/>
          <w:szCs w:val="20"/>
        </w:rPr>
        <w:t xml:space="preserve"> with registered administrative headquarters</w:t>
      </w:r>
      <w:r w:rsidRPr="003516DC">
        <w:rPr>
          <w:rFonts w:ascii="Arial" w:hAnsi="Arial" w:cs="Arial"/>
          <w:sz w:val="20"/>
          <w:szCs w:val="20"/>
        </w:rPr>
        <w:t xml:space="preserve"> in each of the six affected counties, which gives information on the following items:</w:t>
      </w:r>
    </w:p>
    <w:p w14:paraId="2EC155A9" w14:textId="77777777" w:rsidR="0023524A" w:rsidRPr="003516DC" w:rsidRDefault="0023524A" w:rsidP="0023524A">
      <w:pPr>
        <w:jc w:val="both"/>
        <w:rPr>
          <w:rFonts w:ascii="Arial" w:hAnsi="Arial" w:cs="Arial"/>
          <w:sz w:val="12"/>
        </w:rPr>
      </w:pPr>
    </w:p>
    <w:p w14:paraId="4A00005F" w14:textId="77777777"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names of these enterprises</w:t>
      </w:r>
    </w:p>
    <w:p w14:paraId="7D1B1D64" w14:textId="77777777"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field of activity of these enterprises</w:t>
      </w:r>
    </w:p>
    <w:p w14:paraId="14438037" w14:textId="77777777"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number of employees</w:t>
      </w:r>
    </w:p>
    <w:p w14:paraId="7C9A6D42" w14:textId="77777777"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firm turnover</w:t>
      </w:r>
    </w:p>
    <w:p w14:paraId="4B5E6E6B" w14:textId="60F62679"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 xml:space="preserve">ratio between the number of employees of the </w:t>
      </w:r>
      <w:r w:rsidR="00DA7158">
        <w:rPr>
          <w:sz w:val="20"/>
          <w:szCs w:val="20"/>
        </w:rPr>
        <w:t xml:space="preserve">selected </w:t>
      </w:r>
      <w:r w:rsidRPr="003516DC">
        <w:rPr>
          <w:sz w:val="20"/>
          <w:szCs w:val="20"/>
        </w:rPr>
        <w:t xml:space="preserve">enterprise and the total number of employees in the top 10 companies at the county level </w:t>
      </w:r>
    </w:p>
    <w:p w14:paraId="00BED904" w14:textId="15D6E0B9"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ratio between the number of employees of the</w:t>
      </w:r>
      <w:r w:rsidR="00DA7158">
        <w:rPr>
          <w:sz w:val="20"/>
          <w:szCs w:val="20"/>
        </w:rPr>
        <w:t xml:space="preserve"> selected</w:t>
      </w:r>
      <w:r w:rsidRPr="003516DC">
        <w:rPr>
          <w:sz w:val="20"/>
          <w:szCs w:val="20"/>
        </w:rPr>
        <w:t xml:space="preserve"> enterprise and the total number of employees of all companies at the county level </w:t>
      </w:r>
    </w:p>
    <w:p w14:paraId="34980F46" w14:textId="1A663188" w:rsidR="0023524A" w:rsidRPr="003516DC" w:rsidRDefault="0023524A" w:rsidP="00E42342">
      <w:pPr>
        <w:pStyle w:val="ListParagraph"/>
        <w:numPr>
          <w:ilvl w:val="0"/>
          <w:numId w:val="108"/>
        </w:numPr>
        <w:spacing w:line="240" w:lineRule="auto"/>
        <w:jc w:val="both"/>
        <w:rPr>
          <w:sz w:val="20"/>
          <w:szCs w:val="20"/>
        </w:rPr>
      </w:pPr>
      <w:r w:rsidRPr="003516DC">
        <w:rPr>
          <w:sz w:val="20"/>
          <w:szCs w:val="20"/>
        </w:rPr>
        <w:t xml:space="preserve">ratio between the turnover of the </w:t>
      </w:r>
      <w:r w:rsidR="00DA7158">
        <w:rPr>
          <w:sz w:val="20"/>
          <w:szCs w:val="20"/>
        </w:rPr>
        <w:t xml:space="preserve">selected </w:t>
      </w:r>
      <w:r w:rsidRPr="003516DC">
        <w:rPr>
          <w:sz w:val="20"/>
          <w:szCs w:val="20"/>
        </w:rPr>
        <w:t xml:space="preserve">enterprise and the total turnover of the top 10 companies at the county level </w:t>
      </w:r>
    </w:p>
    <w:p w14:paraId="2668F378" w14:textId="35415CCB" w:rsidR="0023524A" w:rsidRPr="006C46E5" w:rsidRDefault="0023524A" w:rsidP="00E42342">
      <w:pPr>
        <w:pStyle w:val="ListParagraph"/>
        <w:numPr>
          <w:ilvl w:val="0"/>
          <w:numId w:val="108"/>
        </w:numPr>
        <w:spacing w:after="120" w:line="240" w:lineRule="auto"/>
        <w:jc w:val="both"/>
        <w:rPr>
          <w:sz w:val="20"/>
          <w:szCs w:val="20"/>
        </w:rPr>
      </w:pPr>
      <w:r w:rsidRPr="003516DC">
        <w:rPr>
          <w:sz w:val="20"/>
          <w:szCs w:val="20"/>
        </w:rPr>
        <w:t>ratio between the turnover of the</w:t>
      </w:r>
      <w:r w:rsidR="00DA7158">
        <w:rPr>
          <w:sz w:val="20"/>
          <w:szCs w:val="20"/>
        </w:rPr>
        <w:t xml:space="preserve"> selected</w:t>
      </w:r>
      <w:r w:rsidRPr="003516DC">
        <w:rPr>
          <w:sz w:val="20"/>
          <w:szCs w:val="20"/>
        </w:rPr>
        <w:t xml:space="preserve"> enterprise and the total turnover of all companies at the </w:t>
      </w:r>
      <w:r w:rsidR="00405C56">
        <w:rPr>
          <w:sz w:val="20"/>
          <w:szCs w:val="20"/>
        </w:rPr>
        <w:t>county</w:t>
      </w:r>
      <w:r w:rsidR="00405C56" w:rsidRPr="003516DC">
        <w:rPr>
          <w:sz w:val="20"/>
          <w:szCs w:val="20"/>
        </w:rPr>
        <w:t xml:space="preserve"> </w:t>
      </w:r>
      <w:r w:rsidRPr="003516DC">
        <w:rPr>
          <w:sz w:val="20"/>
          <w:szCs w:val="20"/>
        </w:rPr>
        <w:t>level</w:t>
      </w:r>
    </w:p>
    <w:p w14:paraId="5F8D260A" w14:textId="64A204BA" w:rsidR="0011490E" w:rsidRDefault="0023524A" w:rsidP="006C46E5">
      <w:pPr>
        <w:spacing w:after="120"/>
        <w:jc w:val="both"/>
        <w:rPr>
          <w:rFonts w:ascii="Arial" w:hAnsi="Arial" w:cs="Arial"/>
          <w:sz w:val="20"/>
          <w:szCs w:val="20"/>
        </w:rPr>
      </w:pPr>
      <w:r w:rsidRPr="003516DC">
        <w:rPr>
          <w:rFonts w:ascii="Arial" w:hAnsi="Arial" w:cs="Arial"/>
          <w:sz w:val="20"/>
          <w:szCs w:val="20"/>
        </w:rPr>
        <w:t xml:space="preserve">Several aspects related to the economic trends at the county can be assessed, and a more extensive analysis </w:t>
      </w:r>
      <w:r w:rsidR="00816D61">
        <w:rPr>
          <w:rFonts w:ascii="Arial" w:hAnsi="Arial" w:cs="Arial"/>
          <w:sz w:val="20"/>
          <w:szCs w:val="20"/>
        </w:rPr>
        <w:t>has been</w:t>
      </w:r>
      <w:r w:rsidRPr="003516DC">
        <w:rPr>
          <w:rFonts w:ascii="Arial" w:hAnsi="Arial" w:cs="Arial"/>
          <w:sz w:val="20"/>
          <w:szCs w:val="20"/>
        </w:rPr>
        <w:t xml:space="preserve"> conducted following the </w:t>
      </w:r>
      <w:r w:rsidR="00816D61">
        <w:rPr>
          <w:rFonts w:ascii="Arial" w:hAnsi="Arial" w:cs="Arial"/>
          <w:sz w:val="20"/>
          <w:szCs w:val="20"/>
        </w:rPr>
        <w:t xml:space="preserve">six regional </w:t>
      </w:r>
      <w:r w:rsidRPr="003516DC">
        <w:rPr>
          <w:rFonts w:ascii="Arial" w:hAnsi="Arial" w:cs="Arial"/>
          <w:sz w:val="20"/>
          <w:szCs w:val="20"/>
        </w:rPr>
        <w:t>working meeting</w:t>
      </w:r>
      <w:r w:rsidR="00816D61">
        <w:rPr>
          <w:rFonts w:ascii="Arial" w:hAnsi="Arial" w:cs="Arial"/>
          <w:sz w:val="20"/>
          <w:szCs w:val="20"/>
        </w:rPr>
        <w:t>s</w:t>
      </w:r>
      <w:r w:rsidRPr="003516DC">
        <w:rPr>
          <w:rFonts w:ascii="Arial" w:hAnsi="Arial" w:cs="Arial"/>
          <w:sz w:val="20"/>
          <w:szCs w:val="20"/>
        </w:rPr>
        <w:t xml:space="preserve"> scheduled with large enterprises </w:t>
      </w:r>
      <w:r w:rsidR="00816D61">
        <w:rPr>
          <w:rFonts w:ascii="Arial" w:hAnsi="Arial" w:cs="Arial"/>
          <w:sz w:val="20"/>
          <w:szCs w:val="20"/>
        </w:rPr>
        <w:t>in April</w:t>
      </w:r>
      <w:r w:rsidRPr="003516DC">
        <w:rPr>
          <w:rFonts w:ascii="Arial" w:hAnsi="Arial" w:cs="Arial"/>
          <w:sz w:val="20"/>
          <w:szCs w:val="20"/>
        </w:rPr>
        <w:t xml:space="preserve"> 2021, given M</w:t>
      </w:r>
      <w:r w:rsidR="003751DC">
        <w:rPr>
          <w:rFonts w:ascii="Arial" w:hAnsi="Arial" w:cs="Arial"/>
          <w:sz w:val="20"/>
          <w:szCs w:val="20"/>
        </w:rPr>
        <w:t>EIP</w:t>
      </w:r>
      <w:r w:rsidRPr="003516DC">
        <w:rPr>
          <w:rFonts w:ascii="Arial" w:hAnsi="Arial" w:cs="Arial"/>
          <w:sz w:val="20"/>
          <w:szCs w:val="20"/>
        </w:rPr>
        <w:t xml:space="preserve">’s request during the </w:t>
      </w:r>
      <w:r w:rsidR="00DB1E5D">
        <w:rPr>
          <w:rFonts w:ascii="Arial" w:hAnsi="Arial" w:cs="Arial"/>
          <w:sz w:val="20"/>
          <w:szCs w:val="20"/>
        </w:rPr>
        <w:t xml:space="preserve">second </w:t>
      </w:r>
      <w:r w:rsidRPr="003516DC">
        <w:rPr>
          <w:rFonts w:ascii="Arial" w:hAnsi="Arial" w:cs="Arial"/>
          <w:sz w:val="20"/>
          <w:szCs w:val="20"/>
        </w:rPr>
        <w:t>Steering Committee and following on more specific requests from the County Councils/RDAs.</w:t>
      </w:r>
      <w:r w:rsidR="00816D61">
        <w:rPr>
          <w:rFonts w:ascii="Arial" w:hAnsi="Arial" w:cs="Arial"/>
          <w:sz w:val="20"/>
          <w:szCs w:val="20"/>
        </w:rPr>
        <w:t xml:space="preserve"> </w:t>
      </w:r>
    </w:p>
    <w:p w14:paraId="412B3268" w14:textId="741D407C" w:rsidR="0011490E" w:rsidRDefault="0011490E" w:rsidP="006C46E5">
      <w:pPr>
        <w:spacing w:after="120"/>
        <w:jc w:val="both"/>
        <w:rPr>
          <w:rFonts w:ascii="Arial" w:hAnsi="Arial" w:cs="Arial"/>
          <w:i/>
          <w:iCs/>
          <w:sz w:val="20"/>
          <w:szCs w:val="20"/>
        </w:rPr>
      </w:pPr>
      <w:r w:rsidRPr="00033727">
        <w:rPr>
          <w:rFonts w:ascii="Arial" w:hAnsi="Arial" w:cs="Arial"/>
          <w:i/>
          <w:iCs/>
          <w:sz w:val="20"/>
          <w:szCs w:val="20"/>
        </w:rPr>
        <w:t>C</w:t>
      </w:r>
      <w:r w:rsidR="00691A1B">
        <w:rPr>
          <w:rFonts w:ascii="Arial" w:hAnsi="Arial" w:cs="Arial"/>
          <w:i/>
          <w:iCs/>
          <w:sz w:val="20"/>
          <w:szCs w:val="20"/>
        </w:rPr>
        <w:t xml:space="preserve">onclusions for each </w:t>
      </w:r>
      <w:r w:rsidRPr="00033727">
        <w:rPr>
          <w:rFonts w:ascii="Arial" w:hAnsi="Arial" w:cs="Arial"/>
          <w:i/>
          <w:iCs/>
          <w:sz w:val="20"/>
          <w:szCs w:val="20"/>
        </w:rPr>
        <w:t>county</w:t>
      </w:r>
      <w:r>
        <w:rPr>
          <w:rFonts w:ascii="Arial" w:hAnsi="Arial" w:cs="Arial"/>
          <w:i/>
          <w:iCs/>
          <w:sz w:val="20"/>
          <w:szCs w:val="20"/>
        </w:rPr>
        <w:t xml:space="preserve"> resulting from the analysis of large enterprises </w:t>
      </w:r>
      <w:r w:rsidRPr="00033727">
        <w:rPr>
          <w:rFonts w:ascii="Arial" w:hAnsi="Arial" w:cs="Arial"/>
          <w:i/>
          <w:iCs/>
          <w:sz w:val="20"/>
          <w:szCs w:val="20"/>
        </w:rPr>
        <w:t xml:space="preserve">have been included in </w:t>
      </w:r>
      <w:r w:rsidR="00091FE3">
        <w:rPr>
          <w:rFonts w:ascii="Arial" w:hAnsi="Arial" w:cs="Arial"/>
          <w:i/>
          <w:iCs/>
          <w:sz w:val="20"/>
          <w:szCs w:val="20"/>
        </w:rPr>
        <w:t>Chapter</w:t>
      </w:r>
      <w:r w:rsidRPr="00033727">
        <w:rPr>
          <w:rFonts w:ascii="Arial" w:hAnsi="Arial" w:cs="Arial"/>
          <w:i/>
          <w:iCs/>
          <w:sz w:val="20"/>
          <w:szCs w:val="20"/>
        </w:rPr>
        <w:t xml:space="preserve">s </w:t>
      </w:r>
      <w:r w:rsidR="0041188B">
        <w:rPr>
          <w:rFonts w:ascii="Arial" w:hAnsi="Arial" w:cs="Arial"/>
          <w:i/>
          <w:iCs/>
          <w:sz w:val="20"/>
          <w:szCs w:val="20"/>
        </w:rPr>
        <w:t>3</w:t>
      </w:r>
      <w:r w:rsidRPr="00033727">
        <w:rPr>
          <w:rFonts w:ascii="Arial" w:hAnsi="Arial" w:cs="Arial"/>
          <w:i/>
          <w:iCs/>
          <w:sz w:val="20"/>
          <w:szCs w:val="20"/>
        </w:rPr>
        <w:t>–</w:t>
      </w:r>
      <w:r w:rsidR="0041188B">
        <w:rPr>
          <w:rFonts w:ascii="Arial" w:hAnsi="Arial" w:cs="Arial"/>
          <w:i/>
          <w:iCs/>
          <w:sz w:val="20"/>
          <w:szCs w:val="20"/>
        </w:rPr>
        <w:t>8</w:t>
      </w:r>
      <w:r>
        <w:rPr>
          <w:rFonts w:ascii="Arial" w:hAnsi="Arial" w:cs="Arial"/>
          <w:i/>
          <w:iCs/>
          <w:sz w:val="20"/>
          <w:szCs w:val="20"/>
        </w:rPr>
        <w:t>.</w:t>
      </w:r>
    </w:p>
    <w:p w14:paraId="7DE3EDFB" w14:textId="09A0DE83" w:rsidR="00DA2D0C" w:rsidRPr="00DA2D0C" w:rsidRDefault="00DA2D0C" w:rsidP="00DA2D0C">
      <w:pPr>
        <w:spacing w:after="120"/>
        <w:jc w:val="both"/>
        <w:rPr>
          <w:rFonts w:ascii="Arial" w:hAnsi="Arial" w:cs="Arial"/>
          <w:sz w:val="20"/>
          <w:szCs w:val="20"/>
        </w:rPr>
      </w:pPr>
      <w:bookmarkStart w:id="85" w:name="_Hlk85565032"/>
      <w:r w:rsidRPr="00DA2D0C">
        <w:rPr>
          <w:rFonts w:ascii="Arial" w:hAnsi="Arial" w:cs="Arial"/>
          <w:sz w:val="20"/>
          <w:szCs w:val="20"/>
        </w:rPr>
        <w:t>Annex</w:t>
      </w:r>
      <w:r w:rsidR="00146B99">
        <w:rPr>
          <w:rFonts w:ascii="Arial" w:hAnsi="Arial" w:cs="Arial"/>
          <w:sz w:val="20"/>
          <w:szCs w:val="20"/>
        </w:rPr>
        <w:t xml:space="preserve"> </w:t>
      </w:r>
      <w:r w:rsidR="001F0479">
        <w:rPr>
          <w:rFonts w:ascii="Arial" w:hAnsi="Arial" w:cs="Arial"/>
          <w:sz w:val="20"/>
          <w:szCs w:val="20"/>
        </w:rPr>
        <w:t>6</w:t>
      </w:r>
      <w:r w:rsidRPr="00DA2D0C">
        <w:rPr>
          <w:rFonts w:ascii="Arial" w:hAnsi="Arial" w:cs="Arial"/>
          <w:sz w:val="20"/>
          <w:szCs w:val="20"/>
        </w:rPr>
        <w:t xml:space="preserve"> contains an analysis of the job creation potential of large enterprises </w:t>
      </w:r>
      <w:r w:rsidR="001C5037">
        <w:rPr>
          <w:rFonts w:ascii="Arial" w:hAnsi="Arial" w:cs="Arial"/>
          <w:sz w:val="20"/>
          <w:szCs w:val="20"/>
        </w:rPr>
        <w:t>that</w:t>
      </w:r>
      <w:r w:rsidRPr="00DA2D0C">
        <w:rPr>
          <w:rFonts w:ascii="Arial" w:hAnsi="Arial" w:cs="Arial"/>
          <w:sz w:val="20"/>
          <w:szCs w:val="20"/>
        </w:rPr>
        <w:t xml:space="preserve"> showed interest in </w:t>
      </w:r>
      <w:r w:rsidR="001C5037">
        <w:rPr>
          <w:rFonts w:ascii="Arial" w:hAnsi="Arial" w:cs="Arial"/>
          <w:sz w:val="20"/>
          <w:szCs w:val="20"/>
        </w:rPr>
        <w:t xml:space="preserve">the </w:t>
      </w:r>
      <w:r w:rsidRPr="00DA2D0C">
        <w:rPr>
          <w:rFonts w:ascii="Arial" w:hAnsi="Arial" w:cs="Arial"/>
          <w:sz w:val="20"/>
          <w:szCs w:val="20"/>
        </w:rPr>
        <w:t xml:space="preserve">JTF by sending project ideas to the </w:t>
      </w:r>
      <w:r w:rsidR="00DB5DEF">
        <w:rPr>
          <w:rFonts w:ascii="Arial" w:hAnsi="Arial" w:cs="Arial"/>
          <w:sz w:val="20"/>
          <w:szCs w:val="20"/>
        </w:rPr>
        <w:t>C</w:t>
      </w:r>
      <w:r w:rsidRPr="00DA2D0C">
        <w:rPr>
          <w:rFonts w:ascii="Arial" w:hAnsi="Arial" w:cs="Arial"/>
          <w:sz w:val="20"/>
          <w:szCs w:val="20"/>
        </w:rPr>
        <w:t xml:space="preserve">ounty </w:t>
      </w:r>
      <w:r w:rsidR="00DB5DEF">
        <w:rPr>
          <w:rFonts w:ascii="Arial" w:hAnsi="Arial" w:cs="Arial"/>
          <w:sz w:val="20"/>
          <w:szCs w:val="20"/>
        </w:rPr>
        <w:t>C</w:t>
      </w:r>
      <w:r w:rsidRPr="00DA2D0C">
        <w:rPr>
          <w:rFonts w:ascii="Arial" w:hAnsi="Arial" w:cs="Arial"/>
          <w:sz w:val="20"/>
          <w:szCs w:val="20"/>
        </w:rPr>
        <w:t xml:space="preserve">ouncils. The analysis shows which companies proposed projects, how many they proposed, what the projects consist of, how many jobs they claim to be creating, as well as a preliminary analysis of JTF eligibility. </w:t>
      </w:r>
    </w:p>
    <w:p w14:paraId="71F137BE" w14:textId="22F6B800" w:rsidR="00DA2D0C" w:rsidRPr="00DA2D0C" w:rsidRDefault="001C5037" w:rsidP="00DA2D0C">
      <w:pPr>
        <w:spacing w:after="120"/>
        <w:jc w:val="both"/>
        <w:rPr>
          <w:rFonts w:ascii="Arial" w:hAnsi="Arial" w:cs="Arial"/>
          <w:sz w:val="20"/>
          <w:szCs w:val="20"/>
        </w:rPr>
      </w:pPr>
      <w:r>
        <w:rPr>
          <w:rFonts w:ascii="Arial" w:hAnsi="Arial" w:cs="Arial"/>
          <w:sz w:val="20"/>
          <w:szCs w:val="20"/>
        </w:rPr>
        <w:t>Collectively, w</w:t>
      </w:r>
      <w:r w:rsidR="00DA2D0C" w:rsidRPr="00DA2D0C">
        <w:rPr>
          <w:rFonts w:ascii="Arial" w:hAnsi="Arial" w:cs="Arial"/>
          <w:sz w:val="20"/>
          <w:szCs w:val="20"/>
        </w:rPr>
        <w:t xml:space="preserve">e could </w:t>
      </w:r>
      <w:r>
        <w:rPr>
          <w:rFonts w:ascii="Arial" w:hAnsi="Arial" w:cs="Arial"/>
          <w:sz w:val="20"/>
          <w:szCs w:val="20"/>
        </w:rPr>
        <w:t>some</w:t>
      </w:r>
      <w:r w:rsidR="00DA2D0C" w:rsidRPr="00DA2D0C">
        <w:rPr>
          <w:rFonts w:ascii="Arial" w:hAnsi="Arial" w:cs="Arial"/>
          <w:sz w:val="20"/>
          <w:szCs w:val="20"/>
        </w:rPr>
        <w:t xml:space="preserve"> conclusions upon analysing the data. First, many large enterprises estimate they would not be creating any new jobs or cannot give a rough estimate of how many jobs the </w:t>
      </w:r>
      <w:r>
        <w:rPr>
          <w:rFonts w:ascii="Arial" w:hAnsi="Arial" w:cs="Arial"/>
          <w:sz w:val="20"/>
          <w:szCs w:val="20"/>
        </w:rPr>
        <w:t>projects</w:t>
      </w:r>
      <w:r w:rsidR="00DA2D0C" w:rsidRPr="00DA2D0C">
        <w:rPr>
          <w:rFonts w:ascii="Arial" w:hAnsi="Arial" w:cs="Arial"/>
          <w:sz w:val="20"/>
          <w:szCs w:val="20"/>
        </w:rPr>
        <w:t xml:space="preserve"> could create (e.g.</w:t>
      </w:r>
      <w:r>
        <w:rPr>
          <w:rFonts w:ascii="Arial" w:hAnsi="Arial" w:cs="Arial"/>
          <w:sz w:val="20"/>
          <w:szCs w:val="20"/>
        </w:rPr>
        <w:t>,</w:t>
      </w:r>
      <w:r w:rsidR="00DA2D0C" w:rsidRPr="00DA2D0C">
        <w:rPr>
          <w:rFonts w:ascii="Arial" w:hAnsi="Arial" w:cs="Arial"/>
          <w:sz w:val="20"/>
          <w:szCs w:val="20"/>
        </w:rPr>
        <w:t xml:space="preserve"> in Prahova none of the enterprises submitt</w:t>
      </w:r>
      <w:r>
        <w:rPr>
          <w:rFonts w:ascii="Arial" w:hAnsi="Arial" w:cs="Arial"/>
          <w:sz w:val="20"/>
          <w:szCs w:val="20"/>
        </w:rPr>
        <w:t>ing</w:t>
      </w:r>
      <w:r w:rsidR="00DA2D0C" w:rsidRPr="00DA2D0C">
        <w:rPr>
          <w:rFonts w:ascii="Arial" w:hAnsi="Arial" w:cs="Arial"/>
          <w:sz w:val="20"/>
          <w:szCs w:val="20"/>
        </w:rPr>
        <w:t xml:space="preserve"> project ideas estimate</w:t>
      </w:r>
      <w:r>
        <w:rPr>
          <w:rFonts w:ascii="Arial" w:hAnsi="Arial" w:cs="Arial"/>
          <w:sz w:val="20"/>
          <w:szCs w:val="20"/>
        </w:rPr>
        <w:t>d</w:t>
      </w:r>
      <w:r w:rsidR="00DA2D0C" w:rsidRPr="00DA2D0C">
        <w:rPr>
          <w:rFonts w:ascii="Arial" w:hAnsi="Arial" w:cs="Arial"/>
          <w:sz w:val="20"/>
          <w:szCs w:val="20"/>
        </w:rPr>
        <w:t xml:space="preserve"> the number of jobs they would be creating), which </w:t>
      </w:r>
      <w:r>
        <w:rPr>
          <w:rFonts w:ascii="Arial" w:hAnsi="Arial" w:cs="Arial"/>
          <w:sz w:val="20"/>
          <w:szCs w:val="20"/>
        </w:rPr>
        <w:t>illustrates</w:t>
      </w:r>
      <w:r w:rsidR="00DA2D0C" w:rsidRPr="00DA2D0C">
        <w:rPr>
          <w:rFonts w:ascii="Arial" w:hAnsi="Arial" w:cs="Arial"/>
          <w:sz w:val="20"/>
          <w:szCs w:val="20"/>
        </w:rPr>
        <w:t xml:space="preserve"> that the project ideas are at an early stage.</w:t>
      </w:r>
    </w:p>
    <w:p w14:paraId="33A06379" w14:textId="469649D0" w:rsidR="00DA2D0C" w:rsidRPr="00DA2D0C" w:rsidRDefault="00DA2D0C" w:rsidP="00DA2D0C">
      <w:pPr>
        <w:spacing w:after="120"/>
        <w:jc w:val="both"/>
        <w:rPr>
          <w:rFonts w:ascii="Arial" w:hAnsi="Arial" w:cs="Arial"/>
          <w:sz w:val="20"/>
          <w:szCs w:val="20"/>
        </w:rPr>
      </w:pPr>
      <w:r w:rsidRPr="00DA2D0C">
        <w:rPr>
          <w:rFonts w:ascii="Arial" w:hAnsi="Arial" w:cs="Arial"/>
          <w:sz w:val="20"/>
          <w:szCs w:val="20"/>
        </w:rPr>
        <w:t>We deem project ideas to be more mature when a precise number of jobs</w:t>
      </w:r>
      <w:r w:rsidR="001C5037">
        <w:rPr>
          <w:rFonts w:ascii="Arial" w:hAnsi="Arial" w:cs="Arial"/>
          <w:sz w:val="20"/>
          <w:szCs w:val="20"/>
        </w:rPr>
        <w:t xml:space="preserve"> created</w:t>
      </w:r>
      <w:r w:rsidRPr="00DA2D0C">
        <w:rPr>
          <w:rFonts w:ascii="Arial" w:hAnsi="Arial" w:cs="Arial"/>
          <w:sz w:val="20"/>
          <w:szCs w:val="20"/>
        </w:rPr>
        <w:t xml:space="preserve"> is estimated and when the budget figure is detailed to decimals. A couple of </w:t>
      </w:r>
      <w:r w:rsidR="001C5037">
        <w:rPr>
          <w:rFonts w:ascii="Arial" w:hAnsi="Arial" w:cs="Arial"/>
          <w:sz w:val="20"/>
          <w:szCs w:val="20"/>
        </w:rPr>
        <w:t xml:space="preserve">good </w:t>
      </w:r>
      <w:r w:rsidRPr="00DA2D0C">
        <w:rPr>
          <w:rFonts w:ascii="Arial" w:hAnsi="Arial" w:cs="Arial"/>
          <w:sz w:val="20"/>
          <w:szCs w:val="20"/>
        </w:rPr>
        <w:t>examples are the projects advanced by Casa Noastra SRL (Dolj); Azomures, Hochland, Larix Mobila SRL (Mure</w:t>
      </w:r>
      <w:r w:rsidR="00146B99">
        <w:rPr>
          <w:rFonts w:ascii="Arial" w:hAnsi="Arial" w:cs="Arial"/>
          <w:sz w:val="20"/>
          <w:szCs w:val="20"/>
        </w:rPr>
        <w:t>ș</w:t>
      </w:r>
      <w:r w:rsidRPr="00DA2D0C">
        <w:rPr>
          <w:rFonts w:ascii="Arial" w:hAnsi="Arial" w:cs="Arial"/>
          <w:sz w:val="20"/>
          <w:szCs w:val="20"/>
        </w:rPr>
        <w:t>); Liberty Galati (Gala</w:t>
      </w:r>
      <w:r w:rsidR="00146B99">
        <w:rPr>
          <w:rFonts w:ascii="Arial" w:hAnsi="Arial" w:cs="Arial"/>
          <w:sz w:val="20"/>
          <w:szCs w:val="20"/>
        </w:rPr>
        <w:t>ț</w:t>
      </w:r>
      <w:r w:rsidRPr="00DA2D0C">
        <w:rPr>
          <w:rFonts w:ascii="Arial" w:hAnsi="Arial" w:cs="Arial"/>
          <w:sz w:val="20"/>
          <w:szCs w:val="20"/>
        </w:rPr>
        <w:t xml:space="preserve">i). In terms of new jobs created, </w:t>
      </w:r>
      <w:r w:rsidR="001C5037">
        <w:rPr>
          <w:rFonts w:ascii="Arial" w:hAnsi="Arial" w:cs="Arial"/>
          <w:sz w:val="20"/>
          <w:szCs w:val="20"/>
        </w:rPr>
        <w:t xml:space="preserve">the leader is </w:t>
      </w:r>
      <w:r w:rsidRPr="00DA2D0C">
        <w:rPr>
          <w:rFonts w:ascii="Arial" w:hAnsi="Arial" w:cs="Arial"/>
          <w:sz w:val="20"/>
          <w:szCs w:val="20"/>
        </w:rPr>
        <w:t>Casa Noastra SRL from Dolj, a European leader in producing thermal insulating glass and windows, with an estimate of 1,915 jobs at a budget of approx</w:t>
      </w:r>
      <w:r w:rsidR="001C5037">
        <w:rPr>
          <w:rFonts w:ascii="Arial" w:hAnsi="Arial" w:cs="Arial"/>
          <w:sz w:val="20"/>
          <w:szCs w:val="20"/>
        </w:rPr>
        <w:t>imately</w:t>
      </w:r>
      <w:r w:rsidRPr="00DA2D0C">
        <w:rPr>
          <w:rFonts w:ascii="Arial" w:hAnsi="Arial" w:cs="Arial"/>
          <w:sz w:val="20"/>
          <w:szCs w:val="20"/>
        </w:rPr>
        <w:t xml:space="preserve"> EUR 350 mi</w:t>
      </w:r>
      <w:r w:rsidR="00146B99">
        <w:rPr>
          <w:rFonts w:ascii="Arial" w:hAnsi="Arial" w:cs="Arial"/>
          <w:sz w:val="20"/>
          <w:szCs w:val="20"/>
        </w:rPr>
        <w:t>llion</w:t>
      </w:r>
      <w:r w:rsidR="00812DD9">
        <w:rPr>
          <w:rFonts w:ascii="Arial" w:hAnsi="Arial" w:cs="Arial"/>
          <w:sz w:val="20"/>
          <w:szCs w:val="20"/>
        </w:rPr>
        <w:t>.</w:t>
      </w:r>
      <w:r w:rsidRPr="00DA2D0C">
        <w:rPr>
          <w:rFonts w:ascii="Arial" w:hAnsi="Arial" w:cs="Arial"/>
          <w:sz w:val="20"/>
          <w:szCs w:val="20"/>
        </w:rPr>
        <w:t xml:space="preserve"> Liberty Galati estimate</w:t>
      </w:r>
      <w:r w:rsidR="00812DD9">
        <w:rPr>
          <w:rFonts w:ascii="Arial" w:hAnsi="Arial" w:cs="Arial"/>
          <w:sz w:val="20"/>
          <w:szCs w:val="20"/>
        </w:rPr>
        <w:t>s</w:t>
      </w:r>
      <w:r w:rsidRPr="00DA2D0C">
        <w:rPr>
          <w:rFonts w:ascii="Arial" w:hAnsi="Arial" w:cs="Arial"/>
          <w:sz w:val="20"/>
          <w:szCs w:val="20"/>
        </w:rPr>
        <w:t xml:space="preserve"> </w:t>
      </w:r>
      <w:r w:rsidR="00812DD9">
        <w:rPr>
          <w:rFonts w:ascii="Arial" w:hAnsi="Arial" w:cs="Arial"/>
          <w:sz w:val="20"/>
          <w:szCs w:val="20"/>
        </w:rPr>
        <w:t xml:space="preserve">a creation </w:t>
      </w:r>
      <w:r w:rsidRPr="00DA2D0C">
        <w:rPr>
          <w:rFonts w:ascii="Arial" w:hAnsi="Arial" w:cs="Arial"/>
          <w:sz w:val="20"/>
          <w:szCs w:val="20"/>
        </w:rPr>
        <w:t>of 598 jobs, yet a</w:t>
      </w:r>
      <w:r w:rsidR="00812DD9">
        <w:rPr>
          <w:rFonts w:ascii="Arial" w:hAnsi="Arial" w:cs="Arial"/>
          <w:sz w:val="20"/>
          <w:szCs w:val="20"/>
        </w:rPr>
        <w:t>t a</w:t>
      </w:r>
      <w:r w:rsidRPr="00DA2D0C">
        <w:rPr>
          <w:rFonts w:ascii="Arial" w:hAnsi="Arial" w:cs="Arial"/>
          <w:sz w:val="20"/>
          <w:szCs w:val="20"/>
        </w:rPr>
        <w:t xml:space="preserve"> massive budget of EUR 1.8 bi</w:t>
      </w:r>
      <w:r w:rsidR="00146B99">
        <w:rPr>
          <w:rFonts w:ascii="Arial" w:hAnsi="Arial" w:cs="Arial"/>
          <w:sz w:val="20"/>
          <w:szCs w:val="20"/>
        </w:rPr>
        <w:t>llion</w:t>
      </w:r>
      <w:r w:rsidRPr="00DA2D0C">
        <w:rPr>
          <w:rFonts w:ascii="Arial" w:hAnsi="Arial" w:cs="Arial"/>
          <w:sz w:val="20"/>
          <w:szCs w:val="20"/>
        </w:rPr>
        <w:t>. The project proposed by CET Govora SA in Dolj, a PV investment of EUR 210 mi</w:t>
      </w:r>
      <w:r w:rsidR="00146B99">
        <w:rPr>
          <w:rFonts w:ascii="Arial" w:hAnsi="Arial" w:cs="Arial"/>
          <w:sz w:val="20"/>
          <w:szCs w:val="20"/>
        </w:rPr>
        <w:t>llion</w:t>
      </w:r>
      <w:r w:rsidRPr="00DA2D0C">
        <w:rPr>
          <w:rFonts w:ascii="Arial" w:hAnsi="Arial" w:cs="Arial"/>
          <w:sz w:val="20"/>
          <w:szCs w:val="20"/>
        </w:rPr>
        <w:t>, plans to create 1,000 jobs, which in our opinion is grossly overestimated given the nature of the renewable energy business.</w:t>
      </w:r>
    </w:p>
    <w:p w14:paraId="5E3A67B4" w14:textId="0AB38BD3" w:rsidR="00DA2D0C" w:rsidRPr="00DA2D0C" w:rsidRDefault="00DA2D0C" w:rsidP="00DA2D0C">
      <w:pPr>
        <w:spacing w:after="120"/>
        <w:jc w:val="both"/>
        <w:rPr>
          <w:rFonts w:ascii="Arial" w:hAnsi="Arial" w:cs="Arial"/>
          <w:sz w:val="20"/>
          <w:szCs w:val="20"/>
        </w:rPr>
      </w:pPr>
      <w:r w:rsidRPr="00DA2D0C">
        <w:rPr>
          <w:rFonts w:ascii="Arial" w:hAnsi="Arial" w:cs="Arial"/>
          <w:sz w:val="20"/>
          <w:szCs w:val="20"/>
        </w:rPr>
        <w:t xml:space="preserve">Out of the </w:t>
      </w:r>
      <w:r w:rsidR="00146B99">
        <w:rPr>
          <w:rFonts w:ascii="Arial" w:hAnsi="Arial" w:cs="Arial"/>
          <w:sz w:val="20"/>
          <w:szCs w:val="20"/>
        </w:rPr>
        <w:t>94</w:t>
      </w:r>
      <w:r w:rsidRPr="00DA2D0C">
        <w:rPr>
          <w:rFonts w:ascii="Arial" w:hAnsi="Arial" w:cs="Arial"/>
          <w:sz w:val="20"/>
          <w:szCs w:val="20"/>
        </w:rPr>
        <w:t xml:space="preserve"> projects </w:t>
      </w:r>
      <w:r w:rsidR="0077626C">
        <w:rPr>
          <w:rFonts w:ascii="Arial" w:hAnsi="Arial" w:cs="Arial"/>
          <w:sz w:val="20"/>
          <w:szCs w:val="20"/>
        </w:rPr>
        <w:t xml:space="preserve">proposed </w:t>
      </w:r>
      <w:r w:rsidRPr="00DA2D0C">
        <w:rPr>
          <w:rFonts w:ascii="Arial" w:hAnsi="Arial" w:cs="Arial"/>
          <w:sz w:val="20"/>
          <w:szCs w:val="20"/>
        </w:rPr>
        <w:t>by large enterprises in the six affected regions, we deem</w:t>
      </w:r>
      <w:r w:rsidR="00146B99">
        <w:rPr>
          <w:rFonts w:ascii="Arial" w:hAnsi="Arial" w:cs="Arial"/>
          <w:sz w:val="20"/>
          <w:szCs w:val="20"/>
        </w:rPr>
        <w:t xml:space="preserve"> 46</w:t>
      </w:r>
      <w:r w:rsidRPr="00DA2D0C">
        <w:rPr>
          <w:rFonts w:ascii="Arial" w:hAnsi="Arial" w:cs="Arial"/>
          <w:sz w:val="20"/>
          <w:szCs w:val="20"/>
        </w:rPr>
        <w:t xml:space="preserve"> to be ineligible, </w:t>
      </w:r>
      <w:r w:rsidR="0033148E">
        <w:rPr>
          <w:rFonts w:ascii="Arial" w:hAnsi="Arial" w:cs="Arial"/>
          <w:sz w:val="20"/>
          <w:szCs w:val="20"/>
        </w:rPr>
        <w:t>45</w:t>
      </w:r>
      <w:r w:rsidRPr="00DA2D0C">
        <w:rPr>
          <w:rFonts w:ascii="Arial" w:hAnsi="Arial" w:cs="Arial"/>
          <w:sz w:val="20"/>
          <w:szCs w:val="20"/>
        </w:rPr>
        <w:t xml:space="preserve"> to be potentially eligible</w:t>
      </w:r>
      <w:r w:rsidR="0077626C">
        <w:rPr>
          <w:rFonts w:ascii="Arial" w:hAnsi="Arial" w:cs="Arial"/>
          <w:sz w:val="20"/>
          <w:szCs w:val="20"/>
        </w:rPr>
        <w:t>.</w:t>
      </w:r>
      <w:r w:rsidRPr="00DA2D0C">
        <w:rPr>
          <w:rFonts w:ascii="Arial" w:hAnsi="Arial" w:cs="Arial"/>
          <w:sz w:val="20"/>
          <w:szCs w:val="20"/>
        </w:rPr>
        <w:t xml:space="preserve"> </w:t>
      </w:r>
      <w:r w:rsidR="0077626C">
        <w:rPr>
          <w:rFonts w:ascii="Arial" w:hAnsi="Arial" w:cs="Arial"/>
          <w:sz w:val="20"/>
          <w:szCs w:val="20"/>
        </w:rPr>
        <w:t>W</w:t>
      </w:r>
      <w:r w:rsidRPr="00DA2D0C">
        <w:rPr>
          <w:rFonts w:ascii="Arial" w:hAnsi="Arial" w:cs="Arial"/>
          <w:sz w:val="20"/>
          <w:szCs w:val="20"/>
        </w:rPr>
        <w:t xml:space="preserve">e could not estimate </w:t>
      </w:r>
      <w:r w:rsidR="00BD63A6">
        <w:rPr>
          <w:rFonts w:ascii="Arial" w:hAnsi="Arial" w:cs="Arial"/>
          <w:sz w:val="20"/>
          <w:szCs w:val="20"/>
        </w:rPr>
        <w:t xml:space="preserve">potential </w:t>
      </w:r>
      <w:r w:rsidRPr="00DA2D0C">
        <w:rPr>
          <w:rFonts w:ascii="Arial" w:hAnsi="Arial" w:cs="Arial"/>
          <w:sz w:val="20"/>
          <w:szCs w:val="20"/>
        </w:rPr>
        <w:t xml:space="preserve">eligibility </w:t>
      </w:r>
      <w:r w:rsidR="0077626C">
        <w:rPr>
          <w:rFonts w:ascii="Arial" w:hAnsi="Arial" w:cs="Arial"/>
          <w:bCs/>
          <w:iCs/>
          <w:sz w:val="20"/>
          <w:szCs w:val="20"/>
        </w:rPr>
        <w:t>for the remaining 3 projects</w:t>
      </w:r>
      <w:r w:rsidR="0077626C">
        <w:rPr>
          <w:rFonts w:ascii="Arial" w:hAnsi="Arial" w:cs="Arial"/>
          <w:sz w:val="20"/>
          <w:szCs w:val="20"/>
        </w:rPr>
        <w:t xml:space="preserve"> </w:t>
      </w:r>
      <w:r w:rsidRPr="00DA2D0C">
        <w:rPr>
          <w:rFonts w:ascii="Arial" w:hAnsi="Arial" w:cs="Arial"/>
          <w:sz w:val="20"/>
          <w:szCs w:val="20"/>
        </w:rPr>
        <w:t xml:space="preserve">due to </w:t>
      </w:r>
      <w:r w:rsidR="0077626C">
        <w:rPr>
          <w:rFonts w:ascii="Arial" w:hAnsi="Arial" w:cs="Arial"/>
          <w:sz w:val="20"/>
          <w:szCs w:val="20"/>
        </w:rPr>
        <w:t>a</w:t>
      </w:r>
      <w:r w:rsidRPr="00DA2D0C">
        <w:rPr>
          <w:rFonts w:ascii="Arial" w:hAnsi="Arial" w:cs="Arial"/>
          <w:sz w:val="20"/>
          <w:szCs w:val="20"/>
        </w:rPr>
        <w:t xml:space="preserve"> lack of clarity and detail over the project concept.</w:t>
      </w:r>
    </w:p>
    <w:p w14:paraId="546C131D" w14:textId="16C6B17F" w:rsidR="00DA2D0C" w:rsidRPr="00DA2D0C" w:rsidRDefault="0033148E" w:rsidP="00DA2D0C">
      <w:pPr>
        <w:spacing w:after="120"/>
        <w:jc w:val="both"/>
        <w:rPr>
          <w:rFonts w:ascii="Arial" w:hAnsi="Arial" w:cs="Arial"/>
          <w:sz w:val="20"/>
          <w:szCs w:val="20"/>
        </w:rPr>
      </w:pPr>
      <w:r>
        <w:rPr>
          <w:rFonts w:ascii="Arial" w:hAnsi="Arial" w:cs="Arial"/>
          <w:sz w:val="20"/>
          <w:szCs w:val="20"/>
        </w:rPr>
        <w:t>Section 10</w:t>
      </w:r>
      <w:r w:rsidR="00DA2D0C" w:rsidRPr="00DA2D0C">
        <w:rPr>
          <w:rFonts w:ascii="Arial" w:hAnsi="Arial" w:cs="Arial"/>
          <w:sz w:val="20"/>
          <w:szCs w:val="20"/>
        </w:rPr>
        <w:t xml:space="preserve"> </w:t>
      </w:r>
      <w:r w:rsidR="0077626C">
        <w:rPr>
          <w:rFonts w:ascii="Arial" w:hAnsi="Arial" w:cs="Arial"/>
          <w:sz w:val="20"/>
          <w:szCs w:val="20"/>
        </w:rPr>
        <w:t>provides</w:t>
      </w:r>
      <w:r w:rsidR="00DA2D0C" w:rsidRPr="00DA2D0C">
        <w:rPr>
          <w:rFonts w:ascii="Arial" w:hAnsi="Arial" w:cs="Arial"/>
          <w:sz w:val="20"/>
          <w:szCs w:val="20"/>
        </w:rPr>
        <w:t xml:space="preserve"> an analysis of all projects submitted by potential project promoters, </w:t>
      </w:r>
      <w:r w:rsidR="0077626C">
        <w:rPr>
          <w:rFonts w:ascii="Arial" w:hAnsi="Arial" w:cs="Arial"/>
          <w:sz w:val="20"/>
          <w:szCs w:val="20"/>
        </w:rPr>
        <w:t>and highlights</w:t>
      </w:r>
      <w:r w:rsidR="00DA2D0C" w:rsidRPr="00DA2D0C">
        <w:rPr>
          <w:rFonts w:ascii="Arial" w:hAnsi="Arial" w:cs="Arial"/>
          <w:sz w:val="20"/>
          <w:szCs w:val="20"/>
        </w:rPr>
        <w:t xml:space="preserve"> that the projects </w:t>
      </w:r>
      <w:r w:rsidR="0077626C">
        <w:rPr>
          <w:rFonts w:ascii="Arial" w:hAnsi="Arial" w:cs="Arial"/>
          <w:sz w:val="20"/>
          <w:szCs w:val="20"/>
        </w:rPr>
        <w:t>proposed</w:t>
      </w:r>
      <w:r w:rsidR="00DA2D0C" w:rsidRPr="00DA2D0C">
        <w:rPr>
          <w:rFonts w:ascii="Arial" w:hAnsi="Arial" w:cs="Arial"/>
          <w:sz w:val="20"/>
          <w:szCs w:val="20"/>
        </w:rPr>
        <w:t xml:space="preserve"> by large enterprises are not ideal in terms of the jobs created to budget ratio. The only potential exception is Artego </w:t>
      </w:r>
      <w:r w:rsidR="00146B99">
        <w:rPr>
          <w:rFonts w:ascii="Arial" w:hAnsi="Arial" w:cs="Arial"/>
          <w:sz w:val="20"/>
          <w:szCs w:val="20"/>
        </w:rPr>
        <w:t>SA</w:t>
      </w:r>
      <w:r w:rsidR="00DA2D0C" w:rsidRPr="00DA2D0C">
        <w:rPr>
          <w:rFonts w:ascii="Arial" w:hAnsi="Arial" w:cs="Arial"/>
          <w:sz w:val="20"/>
          <w:szCs w:val="20"/>
        </w:rPr>
        <w:t>, which proposes a series of investment in upskilling, new technologies and PV panels, budgeted at EUR 6 mi</w:t>
      </w:r>
      <w:r w:rsidR="00146B99">
        <w:rPr>
          <w:rFonts w:ascii="Arial" w:hAnsi="Arial" w:cs="Arial"/>
          <w:sz w:val="20"/>
          <w:szCs w:val="20"/>
        </w:rPr>
        <w:t>llion</w:t>
      </w:r>
      <w:r w:rsidR="00DA2D0C" w:rsidRPr="00DA2D0C">
        <w:rPr>
          <w:rFonts w:ascii="Arial" w:hAnsi="Arial" w:cs="Arial"/>
          <w:sz w:val="20"/>
          <w:szCs w:val="20"/>
        </w:rPr>
        <w:t xml:space="preserve">, believed to create 200 jobs. </w:t>
      </w:r>
      <w:r w:rsidR="0077626C">
        <w:rPr>
          <w:rFonts w:ascii="Arial" w:hAnsi="Arial" w:cs="Arial"/>
          <w:sz w:val="20"/>
          <w:szCs w:val="20"/>
        </w:rPr>
        <w:t>E</w:t>
      </w:r>
      <w:r w:rsidR="00DA2D0C" w:rsidRPr="00DA2D0C">
        <w:rPr>
          <w:rFonts w:ascii="Arial" w:hAnsi="Arial" w:cs="Arial"/>
          <w:sz w:val="20"/>
          <w:szCs w:val="20"/>
        </w:rPr>
        <w:t xml:space="preserve">ven in </w:t>
      </w:r>
      <w:r w:rsidR="0077626C">
        <w:rPr>
          <w:rFonts w:ascii="Arial" w:hAnsi="Arial" w:cs="Arial"/>
          <w:sz w:val="20"/>
          <w:szCs w:val="20"/>
        </w:rPr>
        <w:t>this</w:t>
      </w:r>
      <w:r w:rsidR="00DA2D0C" w:rsidRPr="00DA2D0C">
        <w:rPr>
          <w:rFonts w:ascii="Arial" w:hAnsi="Arial" w:cs="Arial"/>
          <w:sz w:val="20"/>
          <w:szCs w:val="20"/>
        </w:rPr>
        <w:t xml:space="preserve"> case, the average budget for the creation of one job would be EUR 30,000</w:t>
      </w:r>
      <w:r w:rsidR="0077626C">
        <w:rPr>
          <w:rFonts w:ascii="Arial" w:hAnsi="Arial" w:cs="Arial"/>
          <w:sz w:val="20"/>
          <w:szCs w:val="20"/>
        </w:rPr>
        <w:t>.</w:t>
      </w:r>
      <w:r w:rsidR="00DA2D0C" w:rsidRPr="00DA2D0C">
        <w:rPr>
          <w:rFonts w:ascii="Arial" w:hAnsi="Arial" w:cs="Arial"/>
          <w:sz w:val="20"/>
          <w:szCs w:val="20"/>
        </w:rPr>
        <w:t xml:space="preserve"> </w:t>
      </w:r>
      <w:r w:rsidR="0077626C">
        <w:rPr>
          <w:rFonts w:ascii="Arial" w:hAnsi="Arial" w:cs="Arial"/>
          <w:sz w:val="20"/>
          <w:szCs w:val="20"/>
        </w:rPr>
        <w:t>I</w:t>
      </w:r>
      <w:r w:rsidR="00DA2D0C" w:rsidRPr="00DA2D0C">
        <w:rPr>
          <w:rFonts w:ascii="Arial" w:hAnsi="Arial" w:cs="Arial"/>
          <w:sz w:val="20"/>
          <w:szCs w:val="20"/>
        </w:rPr>
        <w:t xml:space="preserve">n the case of other players, </w:t>
      </w:r>
      <w:r w:rsidR="0077626C">
        <w:rPr>
          <w:rFonts w:ascii="Arial" w:hAnsi="Arial" w:cs="Arial"/>
          <w:sz w:val="20"/>
          <w:szCs w:val="20"/>
        </w:rPr>
        <w:t>the cost per job created</w:t>
      </w:r>
      <w:r w:rsidR="00DA2D0C" w:rsidRPr="00DA2D0C">
        <w:rPr>
          <w:rFonts w:ascii="Arial" w:hAnsi="Arial" w:cs="Arial"/>
          <w:sz w:val="20"/>
          <w:szCs w:val="20"/>
        </w:rPr>
        <w:t xml:space="preserve"> would skyrocket. </w:t>
      </w:r>
    </w:p>
    <w:p w14:paraId="3F7CDFEE" w14:textId="3118945D" w:rsidR="00DA2D0C" w:rsidRPr="00DA2D0C" w:rsidRDefault="00DA2D0C" w:rsidP="00DA2D0C">
      <w:pPr>
        <w:spacing w:after="120"/>
        <w:jc w:val="both"/>
        <w:rPr>
          <w:rFonts w:ascii="Arial" w:hAnsi="Arial" w:cs="Arial"/>
          <w:sz w:val="20"/>
          <w:szCs w:val="20"/>
        </w:rPr>
      </w:pPr>
      <w:r w:rsidRPr="00DA2D0C">
        <w:rPr>
          <w:rFonts w:ascii="Arial" w:hAnsi="Arial" w:cs="Arial"/>
          <w:sz w:val="20"/>
          <w:szCs w:val="20"/>
        </w:rPr>
        <w:t>As a result, our recommendation is that support for large enterprises consist primarily of financial instruments (Pillar 2), except potentially for large ETS installations that convincingly plan both to create/ maintain jobs and to drastically reduce emissions (</w:t>
      </w:r>
      <w:r w:rsidR="0033148E" w:rsidRPr="00DA2D0C">
        <w:rPr>
          <w:rFonts w:ascii="Arial" w:hAnsi="Arial" w:cs="Arial"/>
          <w:sz w:val="20"/>
          <w:szCs w:val="20"/>
        </w:rPr>
        <w:t>e.g.</w:t>
      </w:r>
      <w:r w:rsidR="0033148E">
        <w:rPr>
          <w:rFonts w:ascii="Arial" w:hAnsi="Arial" w:cs="Arial"/>
          <w:sz w:val="20"/>
          <w:szCs w:val="20"/>
        </w:rPr>
        <w:t>,</w:t>
      </w:r>
      <w:r w:rsidRPr="00DA2D0C">
        <w:rPr>
          <w:rFonts w:ascii="Arial" w:hAnsi="Arial" w:cs="Arial"/>
          <w:sz w:val="20"/>
          <w:szCs w:val="20"/>
        </w:rPr>
        <w:t xml:space="preserve"> Liberty, Azomures), where a mix of grants and financial instruments can be used to stimulate their transformation and pathway to net zero. County Councils and RDAs should nonetheless engage in constructive dialogue with other large enterprises </w:t>
      </w:r>
      <w:r w:rsidRPr="00DA2D0C">
        <w:rPr>
          <w:rFonts w:ascii="Arial" w:hAnsi="Arial" w:cs="Arial"/>
          <w:sz w:val="20"/>
          <w:szCs w:val="20"/>
        </w:rPr>
        <w:lastRenderedPageBreak/>
        <w:t xml:space="preserve">with fairly advanced project ideas to identify synergies between their ideas and potential EU funding support, from </w:t>
      </w:r>
      <w:r w:rsidR="00956A6B">
        <w:rPr>
          <w:rFonts w:ascii="Arial" w:hAnsi="Arial" w:cs="Arial"/>
          <w:sz w:val="20"/>
          <w:szCs w:val="20"/>
        </w:rPr>
        <w:t xml:space="preserve">the </w:t>
      </w:r>
      <w:r w:rsidRPr="00DA2D0C">
        <w:rPr>
          <w:rFonts w:ascii="Arial" w:hAnsi="Arial" w:cs="Arial"/>
          <w:sz w:val="20"/>
          <w:szCs w:val="20"/>
        </w:rPr>
        <w:t xml:space="preserve">JTF and other sources. </w:t>
      </w:r>
      <w:r w:rsidR="00956A6B">
        <w:rPr>
          <w:rFonts w:ascii="Arial" w:hAnsi="Arial" w:cs="Arial"/>
          <w:sz w:val="20"/>
          <w:szCs w:val="20"/>
        </w:rPr>
        <w:t>F</w:t>
      </w:r>
      <w:r w:rsidRPr="00DA2D0C">
        <w:rPr>
          <w:rFonts w:ascii="Arial" w:hAnsi="Arial" w:cs="Arial"/>
          <w:sz w:val="20"/>
          <w:szCs w:val="20"/>
        </w:rPr>
        <w:t xml:space="preserve">urther scoping of the proposed ideas should </w:t>
      </w:r>
      <w:r w:rsidR="00956A6B">
        <w:rPr>
          <w:rFonts w:ascii="Arial" w:hAnsi="Arial" w:cs="Arial"/>
          <w:sz w:val="20"/>
          <w:szCs w:val="20"/>
        </w:rPr>
        <w:t xml:space="preserve">also </w:t>
      </w:r>
      <w:r w:rsidRPr="00DA2D0C">
        <w:rPr>
          <w:rFonts w:ascii="Arial" w:hAnsi="Arial" w:cs="Arial"/>
          <w:sz w:val="20"/>
          <w:szCs w:val="20"/>
        </w:rPr>
        <w:t>be made, particularly for the project ideas proposed by Casa Noastra SRL (Dolj); Grup Luzan, Artego (Gorj); Larix Mobila SRL, Irum SA (Mures).</w:t>
      </w:r>
    </w:p>
    <w:p w14:paraId="213FC01F" w14:textId="1F761D43" w:rsidR="00DA2D0C" w:rsidRDefault="00DA2D0C" w:rsidP="00DA2D0C">
      <w:pPr>
        <w:spacing w:after="120"/>
        <w:jc w:val="both"/>
        <w:rPr>
          <w:rFonts w:ascii="Arial" w:hAnsi="Arial" w:cs="Arial"/>
          <w:sz w:val="20"/>
          <w:szCs w:val="20"/>
        </w:rPr>
      </w:pPr>
      <w:r w:rsidRPr="00DA2D0C">
        <w:rPr>
          <w:rFonts w:ascii="Arial" w:hAnsi="Arial" w:cs="Arial"/>
          <w:sz w:val="20"/>
          <w:szCs w:val="20"/>
        </w:rPr>
        <w:t>A special mention and request for clarification ought to be made for the projects proposed by fossil fuels companies (OMV Petrom, Rompetrol, Lukoil, Conpet, Romgaz). Some of the activities proposed fit under the</w:t>
      </w:r>
      <w:r w:rsidR="00334DF2">
        <w:rPr>
          <w:rFonts w:ascii="Arial" w:hAnsi="Arial" w:cs="Arial"/>
          <w:sz w:val="20"/>
          <w:szCs w:val="20"/>
        </w:rPr>
        <w:t xml:space="preserve"> scope of the</w:t>
      </w:r>
      <w:r w:rsidRPr="00DA2D0C">
        <w:rPr>
          <w:rFonts w:ascii="Arial" w:hAnsi="Arial" w:cs="Arial"/>
          <w:sz w:val="20"/>
          <w:szCs w:val="20"/>
        </w:rPr>
        <w:t xml:space="preserve"> JTF (</w:t>
      </w:r>
      <w:r w:rsidR="0033148E" w:rsidRPr="00DA2D0C">
        <w:rPr>
          <w:rFonts w:ascii="Arial" w:hAnsi="Arial" w:cs="Arial"/>
          <w:sz w:val="20"/>
          <w:szCs w:val="20"/>
        </w:rPr>
        <w:t>e.g.</w:t>
      </w:r>
      <w:r w:rsidR="0033148E">
        <w:rPr>
          <w:rFonts w:ascii="Arial" w:hAnsi="Arial" w:cs="Arial"/>
          <w:sz w:val="20"/>
          <w:szCs w:val="20"/>
        </w:rPr>
        <w:t>,</w:t>
      </w:r>
      <w:r w:rsidRPr="00DA2D0C">
        <w:rPr>
          <w:rFonts w:ascii="Arial" w:hAnsi="Arial" w:cs="Arial"/>
          <w:sz w:val="20"/>
          <w:szCs w:val="20"/>
        </w:rPr>
        <w:t xml:space="preserve"> RES investments, decontamination activities, brownfield redevelopment, etc.). The question we would kindly see</w:t>
      </w:r>
      <w:r w:rsidR="00334DF2">
        <w:rPr>
          <w:rFonts w:ascii="Arial" w:hAnsi="Arial" w:cs="Arial"/>
          <w:sz w:val="20"/>
          <w:szCs w:val="20"/>
        </w:rPr>
        <w:t>k</w:t>
      </w:r>
      <w:r w:rsidRPr="00DA2D0C">
        <w:rPr>
          <w:rFonts w:ascii="Arial" w:hAnsi="Arial" w:cs="Arial"/>
          <w:sz w:val="20"/>
          <w:szCs w:val="20"/>
        </w:rPr>
        <w:t xml:space="preserve"> clarification from the Commission </w:t>
      </w:r>
      <w:r w:rsidR="00334DF2">
        <w:rPr>
          <w:rFonts w:ascii="Arial" w:hAnsi="Arial" w:cs="Arial"/>
          <w:sz w:val="20"/>
          <w:szCs w:val="20"/>
        </w:rPr>
        <w:t xml:space="preserve">on </w:t>
      </w:r>
      <w:r w:rsidRPr="00DA2D0C">
        <w:rPr>
          <w:rFonts w:ascii="Arial" w:hAnsi="Arial" w:cs="Arial"/>
          <w:sz w:val="20"/>
          <w:szCs w:val="20"/>
        </w:rPr>
        <w:t xml:space="preserve">is whether these activities would qualify </w:t>
      </w:r>
      <w:r w:rsidR="00334DF2">
        <w:rPr>
          <w:rFonts w:ascii="Arial" w:hAnsi="Arial" w:cs="Arial"/>
          <w:sz w:val="20"/>
          <w:szCs w:val="20"/>
        </w:rPr>
        <w:t xml:space="preserve">for </w:t>
      </w:r>
      <w:r w:rsidRPr="00DA2D0C">
        <w:rPr>
          <w:rFonts w:ascii="Arial" w:hAnsi="Arial" w:cs="Arial"/>
          <w:sz w:val="20"/>
          <w:szCs w:val="20"/>
        </w:rPr>
        <w:t xml:space="preserve">JTF support given that they are proposed by oil &amp; gas players. It also </w:t>
      </w:r>
      <w:r w:rsidR="00334DF2">
        <w:rPr>
          <w:rFonts w:ascii="Arial" w:hAnsi="Arial" w:cs="Arial"/>
          <w:sz w:val="20"/>
          <w:szCs w:val="20"/>
        </w:rPr>
        <w:t>should</w:t>
      </w:r>
      <w:r w:rsidRPr="00DA2D0C">
        <w:rPr>
          <w:rFonts w:ascii="Arial" w:hAnsi="Arial" w:cs="Arial"/>
          <w:sz w:val="20"/>
          <w:szCs w:val="20"/>
        </w:rPr>
        <w:t xml:space="preserve"> be noted that OMV Petrom and Lukoil, both of which are in the refining business, are proposing investments in biofuel production facilities</w:t>
      </w:r>
      <w:r w:rsidR="00334DF2">
        <w:rPr>
          <w:rFonts w:ascii="Arial" w:hAnsi="Arial" w:cs="Arial"/>
          <w:sz w:val="20"/>
          <w:szCs w:val="20"/>
        </w:rPr>
        <w:t>.</w:t>
      </w:r>
      <w:r w:rsidRPr="00DA2D0C">
        <w:rPr>
          <w:rFonts w:ascii="Arial" w:hAnsi="Arial" w:cs="Arial"/>
          <w:sz w:val="20"/>
          <w:szCs w:val="20"/>
        </w:rPr>
        <w:t xml:space="preserve"> </w:t>
      </w:r>
      <w:r w:rsidR="00334DF2">
        <w:rPr>
          <w:rFonts w:ascii="Arial" w:hAnsi="Arial" w:cs="Arial"/>
          <w:sz w:val="20"/>
          <w:szCs w:val="20"/>
        </w:rPr>
        <w:t>These proposals should</w:t>
      </w:r>
      <w:r w:rsidRPr="00DA2D0C">
        <w:rPr>
          <w:rFonts w:ascii="Arial" w:hAnsi="Arial" w:cs="Arial"/>
          <w:sz w:val="20"/>
          <w:szCs w:val="20"/>
        </w:rPr>
        <w:t xml:space="preserve"> be examined more closely since we understand that typically these are the only type of investments proposed by refineries that could be supported. We made a preliminary analysis of these ideas in </w:t>
      </w:r>
      <w:r w:rsidR="0033148E">
        <w:rPr>
          <w:rFonts w:ascii="Arial" w:hAnsi="Arial" w:cs="Arial"/>
          <w:sz w:val="20"/>
          <w:szCs w:val="20"/>
        </w:rPr>
        <w:t>Section 2.3.</w:t>
      </w:r>
    </w:p>
    <w:p w14:paraId="114D5F05" w14:textId="5BAAD97A" w:rsidR="00E5181F" w:rsidRDefault="00E5181F" w:rsidP="00DA2D0C">
      <w:pPr>
        <w:spacing w:after="120"/>
        <w:jc w:val="both"/>
        <w:rPr>
          <w:rFonts w:ascii="Arial" w:hAnsi="Arial" w:cs="Arial"/>
          <w:sz w:val="20"/>
          <w:szCs w:val="20"/>
        </w:rPr>
      </w:pPr>
      <w:r>
        <w:rPr>
          <w:rFonts w:ascii="Arial" w:hAnsi="Arial" w:cs="Arial"/>
          <w:sz w:val="20"/>
          <w:szCs w:val="20"/>
        </w:rPr>
        <w:t>The analytical table below is meant to offer insights into the gap between the expected numbers of jobs that will likely be lost in each county</w:t>
      </w:r>
      <w:r w:rsidR="00297EB1">
        <w:rPr>
          <w:rFonts w:ascii="Arial" w:hAnsi="Arial" w:cs="Arial"/>
          <w:sz w:val="20"/>
          <w:szCs w:val="20"/>
        </w:rPr>
        <w:t xml:space="preserve"> in the absence of the investment</w:t>
      </w:r>
      <w:r>
        <w:rPr>
          <w:rFonts w:ascii="Arial" w:hAnsi="Arial" w:cs="Arial"/>
          <w:sz w:val="20"/>
          <w:szCs w:val="20"/>
        </w:rPr>
        <w:t xml:space="preserve"> and the expected number of jobs that will be created by large enterprises active at county level, as Section </w:t>
      </w:r>
      <w:r w:rsidR="00CC51C5">
        <w:rPr>
          <w:rFonts w:ascii="Arial" w:hAnsi="Arial" w:cs="Arial"/>
          <w:sz w:val="20"/>
          <w:szCs w:val="20"/>
        </w:rPr>
        <w:t>2.4</w:t>
      </w:r>
      <w:r>
        <w:rPr>
          <w:rFonts w:ascii="Arial" w:hAnsi="Arial" w:cs="Arial"/>
          <w:sz w:val="20"/>
          <w:szCs w:val="20"/>
        </w:rPr>
        <w:t xml:space="preserve"> in the </w:t>
      </w:r>
      <w:r w:rsidR="009041BD">
        <w:rPr>
          <w:rFonts w:ascii="Arial" w:hAnsi="Arial" w:cs="Arial"/>
          <w:sz w:val="20"/>
          <w:szCs w:val="20"/>
        </w:rPr>
        <w:t xml:space="preserve">template for </w:t>
      </w:r>
      <w:r>
        <w:rPr>
          <w:rFonts w:ascii="Arial" w:hAnsi="Arial" w:cs="Arial"/>
          <w:sz w:val="20"/>
          <w:szCs w:val="20"/>
        </w:rPr>
        <w:t>TJTP proposes to have a</w:t>
      </w:r>
      <w:r w:rsidR="009041BD">
        <w:rPr>
          <w:rFonts w:ascii="Arial" w:hAnsi="Arial" w:cs="Arial"/>
          <w:sz w:val="20"/>
          <w:szCs w:val="20"/>
        </w:rPr>
        <w:t xml:space="preserve"> </w:t>
      </w:r>
      <w:r w:rsidR="00D1593D">
        <w:rPr>
          <w:rFonts w:ascii="Arial" w:hAnsi="Arial" w:cs="Arial"/>
          <w:sz w:val="20"/>
          <w:szCs w:val="20"/>
        </w:rPr>
        <w:t>justification</w:t>
      </w:r>
      <w:r>
        <w:rPr>
          <w:rFonts w:ascii="Arial" w:hAnsi="Arial" w:cs="Arial"/>
          <w:sz w:val="20"/>
          <w:szCs w:val="20"/>
        </w:rPr>
        <w:t xml:space="preserve"> </w:t>
      </w:r>
      <w:r w:rsidR="00D1593D">
        <w:rPr>
          <w:rFonts w:ascii="Arial" w:hAnsi="Arial" w:cs="Arial"/>
          <w:sz w:val="20"/>
          <w:szCs w:val="20"/>
        </w:rPr>
        <w:t>of the necessity of support to productive investments in enterprises other than SMEs</w:t>
      </w:r>
      <w:r w:rsidR="00A473A6">
        <w:rPr>
          <w:rFonts w:ascii="Arial" w:hAnsi="Arial" w:cs="Arial"/>
          <w:sz w:val="20"/>
          <w:szCs w:val="20"/>
        </w:rPr>
        <w:t xml:space="preserve"> through a gap analysis </w:t>
      </w:r>
      <w:r w:rsidR="00A51865">
        <w:rPr>
          <w:rFonts w:ascii="Arial" w:hAnsi="Arial" w:cs="Arial"/>
          <w:sz w:val="20"/>
          <w:szCs w:val="20"/>
        </w:rPr>
        <w:t xml:space="preserve">for </w:t>
      </w:r>
      <w:r w:rsidR="00CB0451">
        <w:rPr>
          <w:rFonts w:ascii="Arial" w:hAnsi="Arial" w:cs="Arial"/>
          <w:sz w:val="20"/>
          <w:szCs w:val="20"/>
        </w:rPr>
        <w:t>t</w:t>
      </w:r>
      <w:r w:rsidR="00297EB1">
        <w:rPr>
          <w:rFonts w:ascii="Arial" w:hAnsi="Arial" w:cs="Arial"/>
          <w:sz w:val="20"/>
          <w:szCs w:val="20"/>
        </w:rPr>
        <w:t>h</w:t>
      </w:r>
      <w:r w:rsidR="00CB0451">
        <w:rPr>
          <w:rFonts w:ascii="Arial" w:hAnsi="Arial" w:cs="Arial"/>
          <w:sz w:val="20"/>
          <w:szCs w:val="20"/>
        </w:rPr>
        <w:t>is type of support</w:t>
      </w:r>
      <w:r w:rsidR="00FE008A">
        <w:rPr>
          <w:rFonts w:ascii="Arial" w:hAnsi="Arial" w:cs="Arial"/>
          <w:sz w:val="20"/>
          <w:szCs w:val="20"/>
        </w:rPr>
        <w:t>,</w:t>
      </w:r>
      <w:r w:rsidR="00CB0451">
        <w:rPr>
          <w:rFonts w:ascii="Arial" w:hAnsi="Arial" w:cs="Arial"/>
          <w:sz w:val="20"/>
          <w:szCs w:val="20"/>
        </w:rPr>
        <w:t xml:space="preserve"> in reference to Article 11(2) point (h) of the Regulation.</w:t>
      </w:r>
      <w:r>
        <w:rPr>
          <w:rFonts w:ascii="Arial" w:hAnsi="Arial" w:cs="Arial"/>
          <w:sz w:val="20"/>
          <w:szCs w:val="20"/>
        </w:rPr>
        <w:t xml:space="preserve"> We advise the reader to take the analysis as purely indicative due to the lack of robust data on concrete projects to be implemented under the JTM mechanism in each county. Column two offers, industry by industry, an estimate of the number of jobs that will be lost/ gained in all economic sectors at county level, according to our econometric modelling described at length in Deliverable 3. For ease of reading, we only looked at the baseline scenario in the modelling, bearing into account that this scenario, being market-driven, is quite close to a Green Deal scenario. However, in some industries and in some counties the number of jobs lost will be slightly higher in a Green Deal scenario. The third column lists the numbers of jobs proposed to be created by all large enterprises that proposed submitted project. We took out the figures based on the questionnaires filled in by organisations in each county and submitted to the County Councils. There are many caveats, nonetheless, with regards to this data. On the one hand</w:t>
      </w:r>
      <w:r w:rsidR="007341C1">
        <w:rPr>
          <w:rFonts w:ascii="Arial" w:hAnsi="Arial" w:cs="Arial"/>
          <w:sz w:val="20"/>
          <w:szCs w:val="20"/>
        </w:rPr>
        <w:t xml:space="preserve">, due to the lack of resources, time and capacity for disseminating the questionnaire to relevant companies at county level, relatively few investment ideas were collected by the County Councils. Secondly, due to the lack of high-level political focus from a communications perspective on the JTF agenda few other relevant large economic players, from other counties or with a national presence, which would be potentially interested in productive investments in the six affected regions found out about the the JTM opportunites and about the possibility to contribute with concrete ideas to be submitted via the questionnaire to the County Council. As mentioned in other parts of our deliverables, for economic players to start to have a genuine interest in the JTM opportunities more national high-level coordination of this agenda is needed. </w:t>
      </w:r>
      <w:r w:rsidR="005C2BED">
        <w:rPr>
          <w:rFonts w:ascii="Arial" w:hAnsi="Arial" w:cs="Arial"/>
          <w:sz w:val="20"/>
          <w:szCs w:val="20"/>
        </w:rPr>
        <w:t>We thus expect that the potential for job creation via investments delivered by large enterprises is much higher in all the affected counties. In addition, there are also many job creation opportunities by SMEs and we should in different parts of our report what is the value for money in terms of job creation of SME investments. All in all, the gap may be in reality smaller than the table below shows, but nonetheless, there is a gap – substantiated by skills mismatch – for the filling of which which active support is needed.</w:t>
      </w:r>
    </w:p>
    <w:p w14:paraId="74AC3140" w14:textId="3520597F" w:rsidR="00FE008A" w:rsidRDefault="00FE008A" w:rsidP="00224284">
      <w:pPr>
        <w:pStyle w:val="Caption"/>
      </w:pPr>
      <w:bookmarkStart w:id="86" w:name="_Toc90725970"/>
      <w:bookmarkStart w:id="87" w:name="_Toc90727267"/>
      <w:r>
        <w:t xml:space="preserve">Table </w:t>
      </w:r>
      <w:r w:rsidR="000B273D">
        <w:fldChar w:fldCharType="begin"/>
      </w:r>
      <w:r w:rsidR="000B273D">
        <w:instrText xml:space="preserve"> SEQ Table \* ARABIC </w:instrText>
      </w:r>
      <w:r w:rsidR="000B273D">
        <w:fldChar w:fldCharType="separate"/>
      </w:r>
      <w:r>
        <w:t>16</w:t>
      </w:r>
      <w:r w:rsidR="000B273D">
        <w:fldChar w:fldCharType="end"/>
      </w:r>
      <w:r>
        <w:t xml:space="preserve">: </w:t>
      </w:r>
      <w:r w:rsidR="00AC0678">
        <w:t xml:space="preserve">High-level gap analysis </w:t>
      </w:r>
      <w:r w:rsidR="00224284">
        <w:t>by sectors at county level</w:t>
      </w:r>
      <w:bookmarkEnd w:id="86"/>
      <w:bookmarkEnd w:id="87"/>
    </w:p>
    <w:tbl>
      <w:tblPr>
        <w:tblStyle w:val="CEnumberstable"/>
        <w:tblW w:w="5000" w:type="pct"/>
        <w:tblLook w:val="04A0" w:firstRow="1" w:lastRow="0" w:firstColumn="1" w:lastColumn="0" w:noHBand="0" w:noVBand="1"/>
      </w:tblPr>
      <w:tblGrid>
        <w:gridCol w:w="2335"/>
        <w:gridCol w:w="2147"/>
        <w:gridCol w:w="2395"/>
        <w:gridCol w:w="2052"/>
      </w:tblGrid>
      <w:tr w:rsidR="001B4DA3" w:rsidRPr="00116C0A" w14:paraId="75CD4E05" w14:textId="77777777" w:rsidTr="0094761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08" w:type="pct"/>
          </w:tcPr>
          <w:p w14:paraId="25B15C27" w14:textId="055EC6DB" w:rsidR="00116C0A" w:rsidRPr="00116C0A" w:rsidRDefault="00116C0A" w:rsidP="00116C0A">
            <w:pPr>
              <w:rPr>
                <w:rFonts w:ascii="Arial" w:eastAsia="Calibri" w:hAnsi="Arial" w:cs="Arial"/>
                <w:b/>
                <w:bCs/>
                <w:sz w:val="18"/>
                <w:szCs w:val="18"/>
                <w:lang w:val="en-US" w:eastAsia="en-US"/>
              </w:rPr>
            </w:pPr>
          </w:p>
        </w:tc>
        <w:tc>
          <w:tcPr>
            <w:tcW w:w="1202" w:type="pct"/>
          </w:tcPr>
          <w:p w14:paraId="202919E3"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b/>
                <w:bCs/>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 xml:space="preserve">Projected sectoral employment changes from 2018 </w:t>
            </w:r>
            <w:r w:rsidRPr="00116C0A">
              <w:rPr>
                <w:rFonts w:ascii="Arial" w:eastAsia="Calibri" w:hAnsi="Arial" w:cs="Arial"/>
                <w:b/>
                <w:bCs/>
                <w:color w:val="FFFFFF" w:themeColor="background1"/>
                <w:sz w:val="18"/>
                <w:szCs w:val="18"/>
                <w:lang w:val="en-US" w:eastAsia="en-US"/>
              </w:rPr>
              <w:t>in 2030</w:t>
            </w:r>
            <w:r w:rsidRPr="00116C0A">
              <w:rPr>
                <w:rFonts w:ascii="Arial" w:eastAsia="Calibri" w:hAnsi="Arial" w:cs="Arial"/>
                <w:color w:val="FFFFFF" w:themeColor="background1"/>
                <w:sz w:val="18"/>
                <w:szCs w:val="18"/>
                <w:lang w:val="en-US" w:eastAsia="en-US"/>
              </w:rPr>
              <w:t xml:space="preserve">, excluding Agriculture </w:t>
            </w:r>
            <w:r w:rsidRPr="00116C0A">
              <w:rPr>
                <w:rFonts w:ascii="Arial" w:eastAsia="Calibri" w:hAnsi="Arial" w:cs="Arial"/>
                <w:b/>
                <w:bCs/>
                <w:color w:val="FFFFFF" w:themeColor="background1"/>
                <w:sz w:val="18"/>
                <w:szCs w:val="18"/>
                <w:lang w:val="en-US" w:eastAsia="en-US"/>
              </w:rPr>
              <w:t xml:space="preserve">in the baseline </w:t>
            </w:r>
          </w:p>
          <w:p w14:paraId="63D2EB82"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[no.jobs]</w:t>
            </w:r>
          </w:p>
        </w:tc>
        <w:tc>
          <w:tcPr>
            <w:tcW w:w="1341" w:type="pct"/>
          </w:tcPr>
          <w:p w14:paraId="2DA1D676"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Expected sectoral employment from the ideas submitted at county level by large enterprises</w:t>
            </w:r>
          </w:p>
          <w:p w14:paraId="34AD267D"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[no. jobs]</w:t>
            </w:r>
          </w:p>
        </w:tc>
        <w:tc>
          <w:tcPr>
            <w:tcW w:w="1149" w:type="pct"/>
          </w:tcPr>
          <w:p w14:paraId="71AA5708"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 xml:space="preserve">Expected investment projects from the ideas submitted at county level by large enterprises </w:t>
            </w:r>
          </w:p>
          <w:p w14:paraId="2ED9D501" w14:textId="77777777" w:rsidR="00116C0A" w:rsidRPr="00116C0A" w:rsidRDefault="00116C0A" w:rsidP="001B4DA3">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color w:val="FFFFFF" w:themeColor="background1"/>
                <w:sz w:val="18"/>
                <w:szCs w:val="18"/>
                <w:lang w:val="en-US" w:eastAsia="en-US"/>
              </w:rPr>
            </w:pPr>
            <w:r w:rsidRPr="00116C0A">
              <w:rPr>
                <w:rFonts w:ascii="Arial" w:eastAsia="Calibri" w:hAnsi="Arial" w:cs="Arial"/>
                <w:color w:val="FFFFFF" w:themeColor="background1"/>
                <w:sz w:val="18"/>
                <w:szCs w:val="18"/>
                <w:lang w:val="en-US" w:eastAsia="en-US"/>
              </w:rPr>
              <w:t>[no. projects]</w:t>
            </w:r>
          </w:p>
        </w:tc>
      </w:tr>
      <w:tr w:rsidR="00FC40AC" w:rsidRPr="00116C0A" w14:paraId="08C8A287" w14:textId="77777777" w:rsidTr="00D0389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278A8979" w14:textId="112167CB" w:rsidR="00FC40AC" w:rsidRPr="00116C0A" w:rsidRDefault="00FC40AC" w:rsidP="00FC40AC">
            <w:pPr>
              <w:rPr>
                <w:rFonts w:ascii="Arial" w:eastAsia="Calibri" w:hAnsi="Arial" w:cs="Arial"/>
                <w:sz w:val="18"/>
                <w:szCs w:val="18"/>
                <w:lang w:val="en-US" w:eastAsia="en-US"/>
              </w:rPr>
            </w:pPr>
            <w:r w:rsidRPr="00116C0A">
              <w:rPr>
                <w:rFonts w:ascii="Arial" w:eastAsia="Calibri" w:hAnsi="Arial" w:cs="Arial"/>
                <w:b/>
                <w:bCs/>
                <w:sz w:val="18"/>
                <w:szCs w:val="18"/>
                <w:lang w:val="en-US" w:eastAsia="en-US"/>
              </w:rPr>
              <w:t>HUNEDOARA</w:t>
            </w:r>
          </w:p>
        </w:tc>
      </w:tr>
      <w:tr w:rsidR="001B4DA3" w:rsidRPr="00116C0A" w14:paraId="258EDA81"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036FAAB"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Energy &amp; utilities</w:t>
            </w:r>
          </w:p>
        </w:tc>
        <w:tc>
          <w:tcPr>
            <w:tcW w:w="1202" w:type="pct"/>
            <w:vAlign w:val="center"/>
          </w:tcPr>
          <w:p w14:paraId="383B5ED8"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-5,000</w:t>
            </w:r>
          </w:p>
        </w:tc>
        <w:tc>
          <w:tcPr>
            <w:tcW w:w="1341" w:type="pct"/>
            <w:vAlign w:val="center"/>
          </w:tcPr>
          <w:p w14:paraId="58B24D73"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250</w:t>
            </w:r>
          </w:p>
        </w:tc>
        <w:tc>
          <w:tcPr>
            <w:tcW w:w="1149" w:type="pct"/>
            <w:vAlign w:val="center"/>
          </w:tcPr>
          <w:p w14:paraId="4B520B78"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1</w:t>
            </w:r>
          </w:p>
        </w:tc>
      </w:tr>
      <w:tr w:rsidR="001B4DA3" w:rsidRPr="00116C0A" w14:paraId="5DF2231E"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4614D85"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Manufacturing</w:t>
            </w:r>
          </w:p>
        </w:tc>
        <w:tc>
          <w:tcPr>
            <w:tcW w:w="1202" w:type="pct"/>
            <w:vAlign w:val="center"/>
          </w:tcPr>
          <w:p w14:paraId="53E7CC2B"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3,000</w:t>
            </w:r>
          </w:p>
        </w:tc>
        <w:tc>
          <w:tcPr>
            <w:tcW w:w="1341" w:type="pct"/>
            <w:vAlign w:val="center"/>
          </w:tcPr>
          <w:p w14:paraId="7E907A57"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0*</w:t>
            </w:r>
          </w:p>
        </w:tc>
        <w:tc>
          <w:tcPr>
            <w:tcW w:w="1149" w:type="pct"/>
            <w:vAlign w:val="center"/>
          </w:tcPr>
          <w:p w14:paraId="07B24AF4"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5</w:t>
            </w:r>
          </w:p>
        </w:tc>
      </w:tr>
      <w:tr w:rsidR="001B4DA3" w:rsidRPr="00116C0A" w14:paraId="60F0D285"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D3A23BF"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Construction</w:t>
            </w:r>
          </w:p>
        </w:tc>
        <w:tc>
          <w:tcPr>
            <w:tcW w:w="1202" w:type="pct"/>
            <w:vAlign w:val="center"/>
          </w:tcPr>
          <w:p w14:paraId="2A7A14CE"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-5,000</w:t>
            </w:r>
          </w:p>
        </w:tc>
        <w:tc>
          <w:tcPr>
            <w:tcW w:w="1341" w:type="pct"/>
            <w:vAlign w:val="center"/>
          </w:tcPr>
          <w:p w14:paraId="287CE214"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59F9D86E"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32F05EC4"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1C91B00"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Retail, transport, tourism services</w:t>
            </w:r>
          </w:p>
        </w:tc>
        <w:tc>
          <w:tcPr>
            <w:tcW w:w="1202" w:type="pct"/>
            <w:vAlign w:val="center"/>
          </w:tcPr>
          <w:p w14:paraId="6B1D8AF1"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0</w:t>
            </w:r>
          </w:p>
        </w:tc>
        <w:tc>
          <w:tcPr>
            <w:tcW w:w="1341" w:type="pct"/>
            <w:vAlign w:val="center"/>
          </w:tcPr>
          <w:p w14:paraId="67682560"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216ECE63"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1030F29D"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A7064E3"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Information and communication</w:t>
            </w:r>
          </w:p>
        </w:tc>
        <w:tc>
          <w:tcPr>
            <w:tcW w:w="1202" w:type="pct"/>
            <w:vAlign w:val="center"/>
          </w:tcPr>
          <w:p w14:paraId="54DB3094"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0</w:t>
            </w:r>
          </w:p>
        </w:tc>
        <w:tc>
          <w:tcPr>
            <w:tcW w:w="1341" w:type="pct"/>
            <w:vAlign w:val="center"/>
          </w:tcPr>
          <w:p w14:paraId="77E38EFB"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6FF11EA1"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1489EF50"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0D828B5"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lastRenderedPageBreak/>
              <w:t>Financial and insurance activities</w:t>
            </w:r>
          </w:p>
        </w:tc>
        <w:tc>
          <w:tcPr>
            <w:tcW w:w="1202" w:type="pct"/>
            <w:vAlign w:val="center"/>
          </w:tcPr>
          <w:p w14:paraId="3F9E8005"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0</w:t>
            </w:r>
          </w:p>
        </w:tc>
        <w:tc>
          <w:tcPr>
            <w:tcW w:w="1341" w:type="pct"/>
            <w:vAlign w:val="center"/>
          </w:tcPr>
          <w:p w14:paraId="3EA2189B"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6B96D583"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2AEC82A2"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AAE991F"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Real estate activities</w:t>
            </w:r>
          </w:p>
        </w:tc>
        <w:tc>
          <w:tcPr>
            <w:tcW w:w="1202" w:type="pct"/>
            <w:vAlign w:val="center"/>
          </w:tcPr>
          <w:p w14:paraId="6734F18F"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0</w:t>
            </w:r>
          </w:p>
        </w:tc>
        <w:tc>
          <w:tcPr>
            <w:tcW w:w="1341" w:type="pct"/>
            <w:vAlign w:val="center"/>
          </w:tcPr>
          <w:p w14:paraId="7523D6BC"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7AF1D7B0"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69C35F58"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E5C58E4"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Professional services</w:t>
            </w:r>
          </w:p>
        </w:tc>
        <w:tc>
          <w:tcPr>
            <w:tcW w:w="1202" w:type="pct"/>
            <w:vAlign w:val="center"/>
          </w:tcPr>
          <w:p w14:paraId="47CB0D14"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-1,000</w:t>
            </w:r>
          </w:p>
        </w:tc>
        <w:tc>
          <w:tcPr>
            <w:tcW w:w="1341" w:type="pct"/>
            <w:vAlign w:val="center"/>
          </w:tcPr>
          <w:p w14:paraId="53C18178"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4190C431"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3DCF89C4"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72DA11E" w14:textId="77777777" w:rsidR="00116C0A" w:rsidRPr="00116C0A" w:rsidRDefault="00116C0A" w:rsidP="00116C0A">
            <w:pPr>
              <w:rPr>
                <w:rFonts w:ascii="Arial" w:eastAsia="Calibri" w:hAnsi="Arial" w:cs="Arial"/>
                <w:sz w:val="18"/>
                <w:szCs w:val="18"/>
                <w:lang w:val="en-US" w:eastAsia="en-US"/>
              </w:rPr>
            </w:pPr>
            <w:r w:rsidRPr="00116C0A">
              <w:rPr>
                <w:rFonts w:ascii="Arial" w:eastAsia="Calibri" w:hAnsi="Arial" w:cs="Arial"/>
                <w:sz w:val="18"/>
                <w:szCs w:val="18"/>
                <w:lang w:val="en-US" w:eastAsia="en-US"/>
              </w:rPr>
              <w:t>Public and other services</w:t>
            </w:r>
          </w:p>
        </w:tc>
        <w:tc>
          <w:tcPr>
            <w:tcW w:w="1202" w:type="pct"/>
            <w:vAlign w:val="center"/>
          </w:tcPr>
          <w:p w14:paraId="7C8AAFD2"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 xml:space="preserve"> 3,000</w:t>
            </w:r>
          </w:p>
        </w:tc>
        <w:tc>
          <w:tcPr>
            <w:tcW w:w="1341" w:type="pct"/>
            <w:vAlign w:val="center"/>
          </w:tcPr>
          <w:p w14:paraId="6F8806C5"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c>
          <w:tcPr>
            <w:tcW w:w="1149" w:type="pct"/>
            <w:vAlign w:val="center"/>
          </w:tcPr>
          <w:p w14:paraId="50789A98" w14:textId="77777777" w:rsidR="00116C0A" w:rsidRPr="00116C0A" w:rsidRDefault="00116C0A" w:rsidP="00116C0A">
            <w:pPr>
              <w:jc w:val="center"/>
              <w:cnfStyle w:val="000000010000" w:firstRow="0" w:lastRow="0" w:firstColumn="0" w:lastColumn="0" w:oddVBand="0" w:evenVBand="0" w:oddHBand="0" w:evenHBand="1" w:firstRowFirstColumn="0" w:firstRowLastColumn="0" w:lastRowFirstColumn="0" w:lastRowLastColumn="0"/>
              <w:rPr>
                <w:rFonts w:ascii="Arial" w:eastAsia="Calibri" w:hAnsi="Arial" w:cs="Arial"/>
                <w:sz w:val="18"/>
                <w:szCs w:val="18"/>
                <w:lang w:val="en-US" w:eastAsia="en-US"/>
              </w:rPr>
            </w:pPr>
            <w:r w:rsidRPr="00116C0A">
              <w:rPr>
                <w:rFonts w:ascii="Arial" w:eastAsia="Calibri" w:hAnsi="Arial" w:cs="Arial"/>
                <w:sz w:val="18"/>
                <w:szCs w:val="18"/>
                <w:lang w:val="en-US" w:eastAsia="en-US"/>
              </w:rPr>
              <w:t>0</w:t>
            </w:r>
          </w:p>
        </w:tc>
      </w:tr>
      <w:tr w:rsidR="001B4DA3" w:rsidRPr="00116C0A" w14:paraId="382FB57E"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DE50828" w14:textId="55D484F6" w:rsidR="00116C0A" w:rsidRPr="00116C0A" w:rsidRDefault="00116C0A" w:rsidP="00116C0A">
            <w:pPr>
              <w:rPr>
                <w:rFonts w:ascii="Arial" w:eastAsia="Calibri" w:hAnsi="Arial" w:cs="Arial"/>
                <w:b/>
                <w:bCs/>
                <w:color w:val="FFFFFF" w:themeColor="background1"/>
                <w:sz w:val="18"/>
                <w:szCs w:val="18"/>
                <w:lang w:val="en-US" w:eastAsia="en-US"/>
              </w:rPr>
            </w:pPr>
            <w:r w:rsidRPr="00116C0A">
              <w:rPr>
                <w:rFonts w:ascii="Arial" w:eastAsia="Calibri" w:hAnsi="Arial" w:cs="Arial"/>
                <w:b/>
                <w:bCs/>
                <w:color w:val="FFFFFF" w:themeColor="background1"/>
                <w:sz w:val="18"/>
                <w:szCs w:val="18"/>
                <w:lang w:val="en-US" w:eastAsia="en-US"/>
              </w:rPr>
              <w:t>Total</w:t>
            </w:r>
            <w:r w:rsidR="000C6794" w:rsidRPr="00D03894">
              <w:rPr>
                <w:rFonts w:ascii="Arial" w:hAnsi="Arial" w:cs="Arial"/>
                <w:b/>
                <w:bCs/>
                <w:color w:val="FFFFFF" w:themeColor="background1"/>
                <w:sz w:val="18"/>
                <w:szCs w:val="18"/>
                <w:lang w:eastAsia="en-US"/>
              </w:rPr>
              <w:t xml:space="preserve"> HD</w:t>
            </w:r>
          </w:p>
        </w:tc>
        <w:tc>
          <w:tcPr>
            <w:tcW w:w="1202" w:type="pct"/>
            <w:shd w:val="clear" w:color="auto" w:fill="006398"/>
            <w:vAlign w:val="center"/>
          </w:tcPr>
          <w:p w14:paraId="3676CC36"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FFFFFF" w:themeColor="background1"/>
                <w:sz w:val="18"/>
                <w:szCs w:val="18"/>
                <w:lang w:val="en-US" w:eastAsia="en-US"/>
              </w:rPr>
            </w:pPr>
            <w:r w:rsidRPr="00116C0A">
              <w:rPr>
                <w:rFonts w:ascii="Arial" w:eastAsia="Calibri" w:hAnsi="Arial" w:cs="Arial"/>
                <w:b/>
                <w:bCs/>
                <w:color w:val="FFFFFF" w:themeColor="background1"/>
                <w:sz w:val="18"/>
                <w:szCs w:val="18"/>
                <w:lang w:val="en-US" w:eastAsia="en-US"/>
              </w:rPr>
              <w:t>-5,000</w:t>
            </w:r>
          </w:p>
        </w:tc>
        <w:tc>
          <w:tcPr>
            <w:tcW w:w="1341" w:type="pct"/>
            <w:shd w:val="clear" w:color="auto" w:fill="006398"/>
            <w:vAlign w:val="center"/>
          </w:tcPr>
          <w:p w14:paraId="0684F9C1"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FFFFFF" w:themeColor="background1"/>
                <w:sz w:val="18"/>
                <w:szCs w:val="18"/>
                <w:lang w:val="en-US" w:eastAsia="en-US"/>
              </w:rPr>
            </w:pPr>
            <w:r w:rsidRPr="00116C0A">
              <w:rPr>
                <w:rFonts w:ascii="Arial" w:eastAsia="Calibri" w:hAnsi="Arial" w:cs="Arial"/>
                <w:b/>
                <w:bCs/>
                <w:color w:val="FFFFFF" w:themeColor="background1"/>
                <w:sz w:val="18"/>
                <w:szCs w:val="18"/>
                <w:lang w:val="en-US" w:eastAsia="en-US"/>
              </w:rPr>
              <w:t>250</w:t>
            </w:r>
          </w:p>
        </w:tc>
        <w:tc>
          <w:tcPr>
            <w:tcW w:w="1149" w:type="pct"/>
            <w:shd w:val="clear" w:color="auto" w:fill="006398"/>
            <w:vAlign w:val="center"/>
          </w:tcPr>
          <w:p w14:paraId="366E1530" w14:textId="77777777" w:rsidR="00116C0A" w:rsidRPr="00116C0A" w:rsidRDefault="00116C0A" w:rsidP="00116C0A">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FFFFFF" w:themeColor="background1"/>
                <w:sz w:val="18"/>
                <w:szCs w:val="18"/>
                <w:lang w:val="en-US" w:eastAsia="en-US"/>
              </w:rPr>
            </w:pPr>
            <w:r w:rsidRPr="00116C0A">
              <w:rPr>
                <w:rFonts w:ascii="Arial" w:eastAsia="Calibri" w:hAnsi="Arial" w:cs="Arial"/>
                <w:b/>
                <w:bCs/>
                <w:color w:val="FFFFFF" w:themeColor="background1"/>
                <w:sz w:val="18"/>
                <w:szCs w:val="18"/>
                <w:lang w:val="en-US" w:eastAsia="en-US"/>
              </w:rPr>
              <w:t>11</w:t>
            </w:r>
          </w:p>
        </w:tc>
      </w:tr>
      <w:tr w:rsidR="000C6794" w14:paraId="2A1FF794" w14:textId="77777777" w:rsidTr="00536B5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30AAF905" w14:textId="332EC120" w:rsidR="000C6794" w:rsidRPr="00116C0A" w:rsidRDefault="000C6794" w:rsidP="00190BA4">
            <w:pPr>
              <w:rPr>
                <w:rFonts w:ascii="Arial" w:hAnsi="Arial" w:cs="Arial"/>
                <w:sz w:val="18"/>
                <w:szCs w:val="18"/>
              </w:rPr>
            </w:pPr>
            <w:r w:rsidRPr="00116C0A">
              <w:rPr>
                <w:rFonts w:ascii="Arial" w:hAnsi="Arial" w:cs="Arial"/>
                <w:b/>
                <w:bCs/>
                <w:color w:val="FFFFFF" w:themeColor="background1"/>
                <w:sz w:val="18"/>
                <w:szCs w:val="18"/>
              </w:rPr>
              <w:t>DOLJ</w:t>
            </w:r>
          </w:p>
        </w:tc>
      </w:tr>
      <w:tr w:rsidR="00116C0A" w14:paraId="6AF4675A"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769BC8A" w14:textId="77777777" w:rsidR="00116C0A" w:rsidRPr="00116C0A" w:rsidRDefault="00116C0A" w:rsidP="00190BA4">
            <w:pPr>
              <w:rPr>
                <w:rFonts w:ascii="Arial" w:hAnsi="Arial" w:cs="Arial"/>
                <w:sz w:val="18"/>
                <w:szCs w:val="18"/>
              </w:rPr>
            </w:pPr>
            <w:r w:rsidRPr="00116C0A">
              <w:rPr>
                <w:rFonts w:ascii="Arial" w:hAnsi="Arial" w:cs="Arial"/>
                <w:sz w:val="18"/>
                <w:szCs w:val="18"/>
              </w:rPr>
              <w:t>Energy &amp; utilities</w:t>
            </w:r>
          </w:p>
        </w:tc>
        <w:tc>
          <w:tcPr>
            <w:tcW w:w="1202" w:type="pct"/>
            <w:vAlign w:val="center"/>
          </w:tcPr>
          <w:p w14:paraId="1E72B075"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c>
          <w:tcPr>
            <w:tcW w:w="1341" w:type="pct"/>
            <w:vAlign w:val="center"/>
          </w:tcPr>
          <w:p w14:paraId="30E8466E"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1,014</w:t>
            </w:r>
          </w:p>
        </w:tc>
        <w:tc>
          <w:tcPr>
            <w:tcW w:w="1149" w:type="pct"/>
            <w:vAlign w:val="center"/>
          </w:tcPr>
          <w:p w14:paraId="59E2C034"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10</w:t>
            </w:r>
          </w:p>
        </w:tc>
      </w:tr>
      <w:tr w:rsidR="00116C0A" w14:paraId="36F8000E"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D2DC714" w14:textId="77777777" w:rsidR="00116C0A" w:rsidRPr="00116C0A" w:rsidRDefault="00116C0A" w:rsidP="00190BA4">
            <w:pPr>
              <w:rPr>
                <w:rFonts w:ascii="Arial" w:hAnsi="Arial" w:cs="Arial"/>
                <w:sz w:val="18"/>
                <w:szCs w:val="18"/>
              </w:rPr>
            </w:pPr>
            <w:r w:rsidRPr="00116C0A">
              <w:rPr>
                <w:rFonts w:ascii="Arial" w:hAnsi="Arial" w:cs="Arial"/>
                <w:sz w:val="18"/>
                <w:szCs w:val="18"/>
              </w:rPr>
              <w:t>Manufacturing</w:t>
            </w:r>
          </w:p>
        </w:tc>
        <w:tc>
          <w:tcPr>
            <w:tcW w:w="1202" w:type="pct"/>
            <w:vAlign w:val="center"/>
          </w:tcPr>
          <w:p w14:paraId="203B2CF3"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-5,000</w:t>
            </w:r>
          </w:p>
        </w:tc>
        <w:tc>
          <w:tcPr>
            <w:tcW w:w="1341" w:type="pct"/>
            <w:vAlign w:val="center"/>
          </w:tcPr>
          <w:p w14:paraId="19382239"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1,915</w:t>
            </w:r>
          </w:p>
        </w:tc>
        <w:tc>
          <w:tcPr>
            <w:tcW w:w="1149" w:type="pct"/>
            <w:vAlign w:val="center"/>
          </w:tcPr>
          <w:p w14:paraId="1985A42D"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1</w:t>
            </w:r>
          </w:p>
        </w:tc>
      </w:tr>
      <w:tr w:rsidR="00116C0A" w14:paraId="26E82D8D"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326EB48" w14:textId="77777777" w:rsidR="00116C0A" w:rsidRPr="00116C0A" w:rsidRDefault="00116C0A" w:rsidP="00190BA4">
            <w:pPr>
              <w:rPr>
                <w:rFonts w:ascii="Arial" w:hAnsi="Arial" w:cs="Arial"/>
                <w:sz w:val="18"/>
                <w:szCs w:val="18"/>
              </w:rPr>
            </w:pPr>
            <w:r w:rsidRPr="00116C0A">
              <w:rPr>
                <w:rFonts w:ascii="Arial" w:hAnsi="Arial" w:cs="Arial"/>
                <w:sz w:val="18"/>
                <w:szCs w:val="18"/>
              </w:rPr>
              <w:t>Construction</w:t>
            </w:r>
          </w:p>
        </w:tc>
        <w:tc>
          <w:tcPr>
            <w:tcW w:w="1202" w:type="pct"/>
            <w:vAlign w:val="center"/>
          </w:tcPr>
          <w:p w14:paraId="671D0CF5"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-4,000</w:t>
            </w:r>
          </w:p>
        </w:tc>
        <w:tc>
          <w:tcPr>
            <w:tcW w:w="1341" w:type="pct"/>
            <w:vAlign w:val="center"/>
          </w:tcPr>
          <w:p w14:paraId="6087111B"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38A82D8C"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55BB31E8"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4283DF5" w14:textId="77777777" w:rsidR="00116C0A" w:rsidRPr="00116C0A" w:rsidRDefault="00116C0A" w:rsidP="00190BA4">
            <w:pPr>
              <w:rPr>
                <w:rFonts w:ascii="Arial" w:hAnsi="Arial" w:cs="Arial"/>
                <w:sz w:val="18"/>
                <w:szCs w:val="18"/>
              </w:rPr>
            </w:pPr>
            <w:r w:rsidRPr="00116C0A">
              <w:rPr>
                <w:rFonts w:ascii="Arial" w:hAnsi="Arial" w:cs="Arial"/>
                <w:sz w:val="18"/>
                <w:szCs w:val="18"/>
              </w:rPr>
              <w:t>Retail, transport, tourism services</w:t>
            </w:r>
          </w:p>
        </w:tc>
        <w:tc>
          <w:tcPr>
            <w:tcW w:w="1202" w:type="pct"/>
            <w:vAlign w:val="center"/>
          </w:tcPr>
          <w:p w14:paraId="06DDC1A4"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1,000</w:t>
            </w:r>
          </w:p>
        </w:tc>
        <w:tc>
          <w:tcPr>
            <w:tcW w:w="1341" w:type="pct"/>
            <w:vAlign w:val="center"/>
          </w:tcPr>
          <w:p w14:paraId="045A57B2"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18E2F419"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7E20403D"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9766E6C" w14:textId="77777777" w:rsidR="00116C0A" w:rsidRPr="00116C0A" w:rsidRDefault="00116C0A" w:rsidP="00190BA4">
            <w:pPr>
              <w:rPr>
                <w:rFonts w:ascii="Arial" w:hAnsi="Arial" w:cs="Arial"/>
                <w:sz w:val="18"/>
                <w:szCs w:val="18"/>
              </w:rPr>
            </w:pPr>
            <w:r w:rsidRPr="00116C0A">
              <w:rPr>
                <w:rFonts w:ascii="Arial" w:hAnsi="Arial" w:cs="Arial"/>
                <w:sz w:val="18"/>
                <w:szCs w:val="18"/>
              </w:rPr>
              <w:t>Information and communication</w:t>
            </w:r>
          </w:p>
        </w:tc>
        <w:tc>
          <w:tcPr>
            <w:tcW w:w="1202" w:type="pct"/>
            <w:vAlign w:val="center"/>
          </w:tcPr>
          <w:p w14:paraId="1F76D03F"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c>
          <w:tcPr>
            <w:tcW w:w="1341" w:type="pct"/>
            <w:vAlign w:val="center"/>
          </w:tcPr>
          <w:p w14:paraId="2C1FBE68"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58D85420"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257FD023"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64D6497" w14:textId="77777777" w:rsidR="00116C0A" w:rsidRPr="00116C0A" w:rsidRDefault="00116C0A" w:rsidP="00190BA4">
            <w:pPr>
              <w:rPr>
                <w:rFonts w:ascii="Arial" w:hAnsi="Arial" w:cs="Arial"/>
                <w:sz w:val="18"/>
                <w:szCs w:val="18"/>
              </w:rPr>
            </w:pPr>
            <w:r w:rsidRPr="00116C0A">
              <w:rPr>
                <w:rFonts w:ascii="Arial" w:hAnsi="Arial" w:cs="Arial"/>
                <w:sz w:val="18"/>
                <w:szCs w:val="18"/>
              </w:rPr>
              <w:t>Financial and insurance activities</w:t>
            </w:r>
          </w:p>
        </w:tc>
        <w:tc>
          <w:tcPr>
            <w:tcW w:w="1202" w:type="pct"/>
            <w:vAlign w:val="center"/>
          </w:tcPr>
          <w:p w14:paraId="5218B538"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c>
          <w:tcPr>
            <w:tcW w:w="1341" w:type="pct"/>
            <w:vAlign w:val="center"/>
          </w:tcPr>
          <w:p w14:paraId="18ED004F"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57319DCE"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0C8BBF1C"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360A290" w14:textId="77777777" w:rsidR="00116C0A" w:rsidRPr="00116C0A" w:rsidRDefault="00116C0A" w:rsidP="00190BA4">
            <w:pPr>
              <w:rPr>
                <w:rFonts w:ascii="Arial" w:hAnsi="Arial" w:cs="Arial"/>
                <w:sz w:val="18"/>
                <w:szCs w:val="18"/>
              </w:rPr>
            </w:pPr>
            <w:r w:rsidRPr="00116C0A">
              <w:rPr>
                <w:rFonts w:ascii="Arial" w:hAnsi="Arial" w:cs="Arial"/>
                <w:sz w:val="18"/>
                <w:szCs w:val="18"/>
              </w:rPr>
              <w:t>Real estate activities</w:t>
            </w:r>
          </w:p>
        </w:tc>
        <w:tc>
          <w:tcPr>
            <w:tcW w:w="1202" w:type="pct"/>
            <w:vAlign w:val="center"/>
          </w:tcPr>
          <w:p w14:paraId="1D492B9B"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c>
          <w:tcPr>
            <w:tcW w:w="1341" w:type="pct"/>
            <w:vAlign w:val="center"/>
          </w:tcPr>
          <w:p w14:paraId="1B1AA31E"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67F06626"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3A4F0C0E"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82F5FF3" w14:textId="77777777" w:rsidR="00116C0A" w:rsidRPr="00116C0A" w:rsidRDefault="00116C0A" w:rsidP="00190BA4">
            <w:pPr>
              <w:rPr>
                <w:rFonts w:ascii="Arial" w:hAnsi="Arial" w:cs="Arial"/>
                <w:sz w:val="18"/>
                <w:szCs w:val="18"/>
              </w:rPr>
            </w:pPr>
            <w:r w:rsidRPr="00116C0A">
              <w:rPr>
                <w:rFonts w:ascii="Arial" w:hAnsi="Arial" w:cs="Arial"/>
                <w:sz w:val="18"/>
                <w:szCs w:val="18"/>
              </w:rPr>
              <w:t>Professional services</w:t>
            </w:r>
          </w:p>
        </w:tc>
        <w:tc>
          <w:tcPr>
            <w:tcW w:w="1202" w:type="pct"/>
            <w:vAlign w:val="center"/>
          </w:tcPr>
          <w:p w14:paraId="7C80D1C1"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-1,000</w:t>
            </w:r>
          </w:p>
        </w:tc>
        <w:tc>
          <w:tcPr>
            <w:tcW w:w="1341" w:type="pct"/>
            <w:vAlign w:val="center"/>
          </w:tcPr>
          <w:p w14:paraId="74FBC934"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7A62C5E6" w14:textId="77777777" w:rsidR="00116C0A" w:rsidRPr="00116C0A"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1105DFDD"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58E4689" w14:textId="77777777" w:rsidR="00116C0A" w:rsidRPr="00116C0A" w:rsidRDefault="00116C0A" w:rsidP="00190BA4">
            <w:pPr>
              <w:rPr>
                <w:rFonts w:ascii="Arial" w:hAnsi="Arial" w:cs="Arial"/>
                <w:sz w:val="18"/>
                <w:szCs w:val="18"/>
              </w:rPr>
            </w:pPr>
            <w:r w:rsidRPr="00116C0A">
              <w:rPr>
                <w:rFonts w:ascii="Arial" w:hAnsi="Arial" w:cs="Arial"/>
                <w:sz w:val="18"/>
                <w:szCs w:val="18"/>
              </w:rPr>
              <w:t>Public and other services</w:t>
            </w:r>
          </w:p>
        </w:tc>
        <w:tc>
          <w:tcPr>
            <w:tcW w:w="1202" w:type="pct"/>
            <w:vAlign w:val="center"/>
          </w:tcPr>
          <w:p w14:paraId="3E34BA41"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1,000</w:t>
            </w:r>
          </w:p>
        </w:tc>
        <w:tc>
          <w:tcPr>
            <w:tcW w:w="1341" w:type="pct"/>
            <w:vAlign w:val="center"/>
          </w:tcPr>
          <w:p w14:paraId="07DA2A35"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0</w:t>
            </w:r>
          </w:p>
        </w:tc>
        <w:tc>
          <w:tcPr>
            <w:tcW w:w="1149" w:type="pct"/>
            <w:vAlign w:val="center"/>
          </w:tcPr>
          <w:p w14:paraId="5791D785" w14:textId="77777777" w:rsidR="00116C0A" w:rsidRPr="00116C0A" w:rsidRDefault="00116C0A" w:rsidP="00190BA4">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116C0A">
              <w:rPr>
                <w:rFonts w:ascii="Arial" w:hAnsi="Arial" w:cs="Arial"/>
                <w:sz w:val="18"/>
                <w:szCs w:val="18"/>
              </w:rPr>
              <w:t xml:space="preserve"> 0</w:t>
            </w:r>
          </w:p>
        </w:tc>
      </w:tr>
      <w:tr w:rsidR="00116C0A" w14:paraId="0E3D2128"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969CCE5" w14:textId="10D8007D" w:rsidR="00116C0A" w:rsidRPr="00674779" w:rsidRDefault="00116C0A" w:rsidP="00190BA4">
            <w:pPr>
              <w:rPr>
                <w:rFonts w:ascii="Arial" w:hAnsi="Arial" w:cs="Arial"/>
                <w:b/>
                <w:bCs/>
                <w:color w:val="FFFFFF" w:themeColor="background1"/>
                <w:sz w:val="18"/>
                <w:szCs w:val="18"/>
              </w:rPr>
            </w:pPr>
            <w:r w:rsidRPr="00674779">
              <w:rPr>
                <w:rFonts w:ascii="Arial" w:hAnsi="Arial" w:cs="Arial"/>
                <w:b/>
                <w:bCs/>
                <w:color w:val="FFFFFF" w:themeColor="background1"/>
                <w:sz w:val="18"/>
                <w:szCs w:val="18"/>
              </w:rPr>
              <w:t>Total</w:t>
            </w:r>
            <w:r w:rsidR="00D03894" w:rsidRPr="00674779">
              <w:rPr>
                <w:rFonts w:ascii="Arial" w:hAnsi="Arial" w:cs="Arial"/>
                <w:b/>
                <w:bCs/>
                <w:color w:val="FFFFFF" w:themeColor="background1"/>
                <w:sz w:val="18"/>
                <w:szCs w:val="18"/>
              </w:rPr>
              <w:t xml:space="preserve"> DJ</w:t>
            </w:r>
          </w:p>
        </w:tc>
        <w:tc>
          <w:tcPr>
            <w:tcW w:w="1202" w:type="pct"/>
            <w:shd w:val="clear" w:color="auto" w:fill="006398"/>
            <w:vAlign w:val="center"/>
          </w:tcPr>
          <w:p w14:paraId="5AE63C17" w14:textId="77777777" w:rsidR="00116C0A" w:rsidRPr="00674779"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674779">
              <w:rPr>
                <w:rFonts w:ascii="Arial" w:hAnsi="Arial" w:cs="Arial"/>
                <w:b/>
                <w:bCs/>
                <w:color w:val="FFFFFF" w:themeColor="background1"/>
                <w:sz w:val="18"/>
                <w:szCs w:val="18"/>
              </w:rPr>
              <w:t>-8,000</w:t>
            </w:r>
          </w:p>
        </w:tc>
        <w:tc>
          <w:tcPr>
            <w:tcW w:w="1341" w:type="pct"/>
            <w:shd w:val="clear" w:color="auto" w:fill="006398"/>
            <w:vAlign w:val="center"/>
          </w:tcPr>
          <w:p w14:paraId="4D9C2276" w14:textId="77777777" w:rsidR="00116C0A" w:rsidRPr="00674779"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674779">
              <w:rPr>
                <w:rFonts w:ascii="Arial" w:hAnsi="Arial" w:cs="Arial"/>
                <w:b/>
                <w:bCs/>
                <w:color w:val="FFFFFF" w:themeColor="background1"/>
                <w:sz w:val="18"/>
                <w:szCs w:val="18"/>
              </w:rPr>
              <w:t>2,929</w:t>
            </w:r>
          </w:p>
        </w:tc>
        <w:tc>
          <w:tcPr>
            <w:tcW w:w="1149" w:type="pct"/>
            <w:shd w:val="clear" w:color="auto" w:fill="006398"/>
            <w:vAlign w:val="center"/>
          </w:tcPr>
          <w:p w14:paraId="79E2D61D" w14:textId="77777777" w:rsidR="00116C0A" w:rsidRPr="00674779" w:rsidRDefault="00116C0A" w:rsidP="00190BA4">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674779">
              <w:rPr>
                <w:rFonts w:ascii="Arial" w:hAnsi="Arial" w:cs="Arial"/>
                <w:b/>
                <w:bCs/>
                <w:color w:val="FFFFFF" w:themeColor="background1"/>
                <w:sz w:val="18"/>
                <w:szCs w:val="18"/>
              </w:rPr>
              <w:t>11</w:t>
            </w:r>
          </w:p>
        </w:tc>
      </w:tr>
      <w:tr w:rsidR="0030558F" w14:paraId="7507275A" w14:textId="77777777" w:rsidTr="00536B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4FD68DB5" w14:textId="67EB1726" w:rsidR="0030558F" w:rsidRPr="00674779" w:rsidRDefault="00947616" w:rsidP="00947616">
            <w:pPr>
              <w:rPr>
                <w:rFonts w:ascii="Arial" w:hAnsi="Arial" w:cs="Arial"/>
                <w:b/>
                <w:bCs/>
                <w:color w:val="FFFFFF" w:themeColor="background1"/>
                <w:sz w:val="18"/>
                <w:szCs w:val="18"/>
              </w:rPr>
            </w:pPr>
            <w:r>
              <w:rPr>
                <w:rFonts w:ascii="Arial" w:hAnsi="Arial" w:cs="Arial"/>
                <w:b/>
                <w:bCs/>
                <w:color w:val="FFFFFF" w:themeColor="background1"/>
                <w:sz w:val="18"/>
                <w:szCs w:val="18"/>
              </w:rPr>
              <w:t>GORJ</w:t>
            </w:r>
          </w:p>
        </w:tc>
      </w:tr>
      <w:tr w:rsidR="00947616" w14:paraId="0D9237C3"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E7D964A" w14:textId="45FD08CC"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Energy &amp; utilities</w:t>
            </w:r>
          </w:p>
        </w:tc>
        <w:tc>
          <w:tcPr>
            <w:tcW w:w="1202" w:type="pct"/>
            <w:shd w:val="clear" w:color="auto" w:fill="auto"/>
            <w:vAlign w:val="center"/>
          </w:tcPr>
          <w:p w14:paraId="22FB729F" w14:textId="33386D44"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-7,000</w:t>
            </w:r>
          </w:p>
        </w:tc>
        <w:tc>
          <w:tcPr>
            <w:tcW w:w="1341" w:type="pct"/>
            <w:shd w:val="clear" w:color="auto" w:fill="auto"/>
            <w:vAlign w:val="center"/>
          </w:tcPr>
          <w:p w14:paraId="2368FA28" w14:textId="16C4A3D8"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0D519372" w14:textId="10CE5CA7"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1</w:t>
            </w:r>
          </w:p>
        </w:tc>
      </w:tr>
      <w:tr w:rsidR="00947616" w14:paraId="6BC72C42"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D71E1EC" w14:textId="17475D78"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Manufacturing</w:t>
            </w:r>
          </w:p>
        </w:tc>
        <w:tc>
          <w:tcPr>
            <w:tcW w:w="1202" w:type="pct"/>
            <w:shd w:val="clear" w:color="auto" w:fill="auto"/>
            <w:vAlign w:val="center"/>
          </w:tcPr>
          <w:p w14:paraId="54F4E968" w14:textId="57C53B92"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-3,000</w:t>
            </w:r>
          </w:p>
        </w:tc>
        <w:tc>
          <w:tcPr>
            <w:tcW w:w="1341" w:type="pct"/>
            <w:shd w:val="clear" w:color="auto" w:fill="auto"/>
            <w:vAlign w:val="center"/>
          </w:tcPr>
          <w:p w14:paraId="52AB3058" w14:textId="448B4620"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200</w:t>
            </w:r>
          </w:p>
        </w:tc>
        <w:tc>
          <w:tcPr>
            <w:tcW w:w="1149" w:type="pct"/>
            <w:shd w:val="clear" w:color="auto" w:fill="auto"/>
            <w:vAlign w:val="center"/>
          </w:tcPr>
          <w:p w14:paraId="0C6A7996" w14:textId="2E0E1DA8"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1</w:t>
            </w:r>
          </w:p>
        </w:tc>
      </w:tr>
      <w:tr w:rsidR="00947616" w14:paraId="37167D67"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2F9C5BA" w14:textId="27D97287"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Construction</w:t>
            </w:r>
          </w:p>
        </w:tc>
        <w:tc>
          <w:tcPr>
            <w:tcW w:w="1202" w:type="pct"/>
            <w:shd w:val="clear" w:color="auto" w:fill="auto"/>
            <w:vAlign w:val="center"/>
          </w:tcPr>
          <w:p w14:paraId="5323642F" w14:textId="6E947C50"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-1,000</w:t>
            </w:r>
          </w:p>
        </w:tc>
        <w:tc>
          <w:tcPr>
            <w:tcW w:w="1341" w:type="pct"/>
            <w:shd w:val="clear" w:color="auto" w:fill="auto"/>
            <w:vAlign w:val="center"/>
          </w:tcPr>
          <w:p w14:paraId="0FC74355" w14:textId="5171F170"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6A6EC8B3" w14:textId="1B483094"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r>
      <w:tr w:rsidR="00947616" w14:paraId="2CE7C6B2"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4D5B45A" w14:textId="5C0B65C8"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Retail, transport, tourism services</w:t>
            </w:r>
          </w:p>
        </w:tc>
        <w:tc>
          <w:tcPr>
            <w:tcW w:w="1202" w:type="pct"/>
            <w:shd w:val="clear" w:color="auto" w:fill="auto"/>
            <w:vAlign w:val="center"/>
          </w:tcPr>
          <w:p w14:paraId="4574DC07" w14:textId="3B7C5DE8"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2,000</w:t>
            </w:r>
          </w:p>
        </w:tc>
        <w:tc>
          <w:tcPr>
            <w:tcW w:w="1341" w:type="pct"/>
            <w:shd w:val="clear" w:color="auto" w:fill="auto"/>
            <w:vAlign w:val="center"/>
          </w:tcPr>
          <w:p w14:paraId="2F29D1C9" w14:textId="2D2B5357"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25</w:t>
            </w:r>
          </w:p>
        </w:tc>
        <w:tc>
          <w:tcPr>
            <w:tcW w:w="1149" w:type="pct"/>
            <w:shd w:val="clear" w:color="auto" w:fill="auto"/>
            <w:vAlign w:val="center"/>
          </w:tcPr>
          <w:p w14:paraId="7261CC4E" w14:textId="72290413"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3</w:t>
            </w:r>
          </w:p>
        </w:tc>
      </w:tr>
      <w:tr w:rsidR="00947616" w14:paraId="3170FD4D"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2BE65F7" w14:textId="3C4C8119"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Information and communication</w:t>
            </w:r>
          </w:p>
        </w:tc>
        <w:tc>
          <w:tcPr>
            <w:tcW w:w="1202" w:type="pct"/>
            <w:shd w:val="clear" w:color="auto" w:fill="auto"/>
            <w:vAlign w:val="center"/>
          </w:tcPr>
          <w:p w14:paraId="6D5AA39F" w14:textId="2A8E3415"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1,000</w:t>
            </w:r>
          </w:p>
        </w:tc>
        <w:tc>
          <w:tcPr>
            <w:tcW w:w="1341" w:type="pct"/>
            <w:shd w:val="clear" w:color="auto" w:fill="auto"/>
            <w:vAlign w:val="center"/>
          </w:tcPr>
          <w:p w14:paraId="4944045F" w14:textId="2C70C1C0"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516882DB" w14:textId="7CC5BE75"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r>
      <w:tr w:rsidR="00947616" w14:paraId="14189BBE"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6B24278" w14:textId="5E0174F2"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Financial and insurance activities</w:t>
            </w:r>
          </w:p>
        </w:tc>
        <w:tc>
          <w:tcPr>
            <w:tcW w:w="1202" w:type="pct"/>
            <w:shd w:val="clear" w:color="auto" w:fill="auto"/>
            <w:vAlign w:val="center"/>
          </w:tcPr>
          <w:p w14:paraId="0FACEB16" w14:textId="49289B4B"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0</w:t>
            </w:r>
          </w:p>
        </w:tc>
        <w:tc>
          <w:tcPr>
            <w:tcW w:w="1341" w:type="pct"/>
            <w:shd w:val="clear" w:color="auto" w:fill="auto"/>
            <w:vAlign w:val="center"/>
          </w:tcPr>
          <w:p w14:paraId="77C35746" w14:textId="35DA71C6"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1BF7FFAF" w14:textId="184B977E"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r>
      <w:tr w:rsidR="00947616" w14:paraId="5609A272"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F1B8039" w14:textId="78F05216"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Real estate activities</w:t>
            </w:r>
          </w:p>
        </w:tc>
        <w:tc>
          <w:tcPr>
            <w:tcW w:w="1202" w:type="pct"/>
            <w:shd w:val="clear" w:color="auto" w:fill="auto"/>
            <w:vAlign w:val="center"/>
          </w:tcPr>
          <w:p w14:paraId="2D12C707" w14:textId="26FF7918"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0</w:t>
            </w:r>
          </w:p>
        </w:tc>
        <w:tc>
          <w:tcPr>
            <w:tcW w:w="1341" w:type="pct"/>
            <w:shd w:val="clear" w:color="auto" w:fill="auto"/>
            <w:vAlign w:val="center"/>
          </w:tcPr>
          <w:p w14:paraId="446A137C" w14:textId="31D549AA"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200</w:t>
            </w:r>
          </w:p>
        </w:tc>
        <w:tc>
          <w:tcPr>
            <w:tcW w:w="1149" w:type="pct"/>
            <w:shd w:val="clear" w:color="auto" w:fill="auto"/>
            <w:vAlign w:val="center"/>
          </w:tcPr>
          <w:p w14:paraId="347A61E0" w14:textId="5E77BE38"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1</w:t>
            </w:r>
          </w:p>
        </w:tc>
      </w:tr>
      <w:tr w:rsidR="00947616" w14:paraId="2177D400"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AA9C19C" w14:textId="3689FE98"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Professional services</w:t>
            </w:r>
          </w:p>
        </w:tc>
        <w:tc>
          <w:tcPr>
            <w:tcW w:w="1202" w:type="pct"/>
            <w:shd w:val="clear" w:color="auto" w:fill="auto"/>
            <w:vAlign w:val="center"/>
          </w:tcPr>
          <w:p w14:paraId="6D756179" w14:textId="32C964C7"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1,000</w:t>
            </w:r>
          </w:p>
        </w:tc>
        <w:tc>
          <w:tcPr>
            <w:tcW w:w="1341" w:type="pct"/>
            <w:shd w:val="clear" w:color="auto" w:fill="auto"/>
            <w:vAlign w:val="center"/>
          </w:tcPr>
          <w:p w14:paraId="4B295D10" w14:textId="732BF87D"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0CE3FD44" w14:textId="78E8B736"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r>
      <w:tr w:rsidR="00947616" w14:paraId="33907914"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D0CC39E" w14:textId="66F8D692" w:rsidR="00947616" w:rsidRPr="00674779" w:rsidRDefault="00947616" w:rsidP="00947616">
            <w:pPr>
              <w:rPr>
                <w:rFonts w:ascii="Arial" w:hAnsi="Arial" w:cs="Arial"/>
                <w:b/>
                <w:bCs/>
                <w:color w:val="FFFFFF" w:themeColor="background1"/>
                <w:sz w:val="18"/>
                <w:szCs w:val="18"/>
              </w:rPr>
            </w:pPr>
            <w:r w:rsidRPr="00116C0A">
              <w:rPr>
                <w:rFonts w:ascii="Arial" w:hAnsi="Arial" w:cs="Arial"/>
                <w:sz w:val="18"/>
                <w:szCs w:val="18"/>
              </w:rPr>
              <w:t>Public and other services</w:t>
            </w:r>
          </w:p>
        </w:tc>
        <w:tc>
          <w:tcPr>
            <w:tcW w:w="1202" w:type="pct"/>
            <w:shd w:val="clear" w:color="auto" w:fill="auto"/>
            <w:vAlign w:val="center"/>
          </w:tcPr>
          <w:p w14:paraId="3DB9400B" w14:textId="12C990B9"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 xml:space="preserve"> 3,000</w:t>
            </w:r>
          </w:p>
        </w:tc>
        <w:tc>
          <w:tcPr>
            <w:tcW w:w="1341" w:type="pct"/>
            <w:shd w:val="clear" w:color="auto" w:fill="auto"/>
            <w:vAlign w:val="center"/>
          </w:tcPr>
          <w:p w14:paraId="06DAAFF4" w14:textId="59C1D7A8"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c>
          <w:tcPr>
            <w:tcW w:w="1149" w:type="pct"/>
            <w:shd w:val="clear" w:color="auto" w:fill="auto"/>
            <w:vAlign w:val="center"/>
          </w:tcPr>
          <w:p w14:paraId="0E9CE1D6" w14:textId="7C7B28AF" w:rsidR="00947616" w:rsidRPr="00947616" w:rsidRDefault="00947616" w:rsidP="00947616">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sz w:val="18"/>
                <w:szCs w:val="18"/>
              </w:rPr>
              <w:t>0</w:t>
            </w:r>
          </w:p>
        </w:tc>
      </w:tr>
      <w:tr w:rsidR="00947616" w:rsidRPr="00947616" w14:paraId="7319C043"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881BFCB" w14:textId="419515B2" w:rsidR="00947616" w:rsidRPr="00947616" w:rsidRDefault="00947616" w:rsidP="00947616">
            <w:pPr>
              <w:rPr>
                <w:rFonts w:ascii="Arial" w:hAnsi="Arial" w:cs="Arial"/>
                <w:b/>
                <w:bCs/>
                <w:color w:val="FFFFFF" w:themeColor="background1"/>
                <w:sz w:val="18"/>
                <w:szCs w:val="18"/>
              </w:rPr>
            </w:pPr>
            <w:r w:rsidRPr="00947616">
              <w:rPr>
                <w:rFonts w:ascii="Arial" w:hAnsi="Arial" w:cs="Arial"/>
                <w:b/>
                <w:bCs/>
                <w:color w:val="FFFFFF" w:themeColor="background1"/>
                <w:sz w:val="18"/>
                <w:szCs w:val="18"/>
              </w:rPr>
              <w:t>Total GJ</w:t>
            </w:r>
          </w:p>
        </w:tc>
        <w:tc>
          <w:tcPr>
            <w:tcW w:w="1202" w:type="pct"/>
            <w:shd w:val="clear" w:color="auto" w:fill="006398"/>
            <w:vAlign w:val="center"/>
          </w:tcPr>
          <w:p w14:paraId="34A7AC2F" w14:textId="1BD4CDEB"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b/>
                <w:bCs/>
                <w:color w:val="FFFFFF" w:themeColor="background1"/>
                <w:sz w:val="18"/>
                <w:szCs w:val="18"/>
              </w:rPr>
              <w:t>-4,000</w:t>
            </w:r>
          </w:p>
        </w:tc>
        <w:tc>
          <w:tcPr>
            <w:tcW w:w="1341" w:type="pct"/>
            <w:shd w:val="clear" w:color="auto" w:fill="006398"/>
            <w:vAlign w:val="center"/>
          </w:tcPr>
          <w:p w14:paraId="1F854DF5" w14:textId="4DEC6C17"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b/>
                <w:bCs/>
                <w:color w:val="FFFFFF" w:themeColor="background1"/>
                <w:sz w:val="18"/>
                <w:szCs w:val="18"/>
              </w:rPr>
              <w:t>425</w:t>
            </w:r>
          </w:p>
        </w:tc>
        <w:tc>
          <w:tcPr>
            <w:tcW w:w="1149" w:type="pct"/>
            <w:shd w:val="clear" w:color="auto" w:fill="006398"/>
            <w:vAlign w:val="center"/>
          </w:tcPr>
          <w:p w14:paraId="580C8366" w14:textId="01FB7F48" w:rsidR="00947616" w:rsidRPr="00947616" w:rsidRDefault="00947616" w:rsidP="00947616">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947616">
              <w:rPr>
                <w:rFonts w:ascii="Arial" w:hAnsi="Arial" w:cs="Arial"/>
                <w:b/>
                <w:bCs/>
                <w:color w:val="FFFFFF" w:themeColor="background1"/>
                <w:sz w:val="18"/>
                <w:szCs w:val="18"/>
              </w:rPr>
              <w:t>6</w:t>
            </w:r>
          </w:p>
        </w:tc>
      </w:tr>
      <w:tr w:rsidR="00CF061A" w:rsidRPr="00947616" w14:paraId="71B4E893" w14:textId="77777777" w:rsidTr="00536B5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568970B0" w14:textId="6CF4C69C" w:rsidR="00CF061A" w:rsidRPr="00947616" w:rsidRDefault="00CF061A" w:rsidP="00CF061A">
            <w:pPr>
              <w:rPr>
                <w:rFonts w:ascii="Arial" w:hAnsi="Arial" w:cs="Arial"/>
                <w:b/>
                <w:bCs/>
                <w:color w:val="FFFFFF" w:themeColor="background1"/>
                <w:sz w:val="18"/>
                <w:szCs w:val="18"/>
              </w:rPr>
            </w:pPr>
            <w:r>
              <w:rPr>
                <w:rFonts w:ascii="Arial" w:hAnsi="Arial" w:cs="Arial"/>
                <w:b/>
                <w:bCs/>
                <w:color w:val="FFFFFF" w:themeColor="background1"/>
                <w:sz w:val="18"/>
                <w:szCs w:val="18"/>
              </w:rPr>
              <w:t>PRAHOVA</w:t>
            </w:r>
          </w:p>
        </w:tc>
      </w:tr>
      <w:tr w:rsidR="00CF061A" w:rsidRPr="00947616" w14:paraId="69FCF823"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44B4B09" w14:textId="13BB6C0C"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Energy &amp; utilities</w:t>
            </w:r>
          </w:p>
        </w:tc>
        <w:tc>
          <w:tcPr>
            <w:tcW w:w="1202" w:type="pct"/>
            <w:shd w:val="clear" w:color="auto" w:fill="auto"/>
            <w:vAlign w:val="center"/>
          </w:tcPr>
          <w:p w14:paraId="178A6706" w14:textId="5B7E3C27"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-3,000</w:t>
            </w:r>
          </w:p>
        </w:tc>
        <w:tc>
          <w:tcPr>
            <w:tcW w:w="1341" w:type="pct"/>
            <w:shd w:val="clear" w:color="auto" w:fill="auto"/>
            <w:vAlign w:val="center"/>
          </w:tcPr>
          <w:p w14:paraId="339F00FC" w14:textId="14D67FE2"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 xml:space="preserve">  0*</w:t>
            </w:r>
          </w:p>
        </w:tc>
        <w:tc>
          <w:tcPr>
            <w:tcW w:w="1149" w:type="pct"/>
            <w:shd w:val="clear" w:color="auto" w:fill="auto"/>
            <w:vAlign w:val="center"/>
          </w:tcPr>
          <w:p w14:paraId="75F59909" w14:textId="03F4C12B"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13</w:t>
            </w:r>
          </w:p>
        </w:tc>
      </w:tr>
      <w:tr w:rsidR="00CF061A" w:rsidRPr="00947616" w14:paraId="066B4DF5"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8C838F3" w14:textId="182CBFF5"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Manufacturing</w:t>
            </w:r>
          </w:p>
        </w:tc>
        <w:tc>
          <w:tcPr>
            <w:tcW w:w="1202" w:type="pct"/>
            <w:shd w:val="clear" w:color="auto" w:fill="auto"/>
            <w:vAlign w:val="center"/>
          </w:tcPr>
          <w:p w14:paraId="243D7AC6" w14:textId="5FA34DB6"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-5,000</w:t>
            </w:r>
          </w:p>
        </w:tc>
        <w:tc>
          <w:tcPr>
            <w:tcW w:w="1341" w:type="pct"/>
            <w:shd w:val="clear" w:color="auto" w:fill="auto"/>
            <w:vAlign w:val="center"/>
          </w:tcPr>
          <w:p w14:paraId="659BD61E" w14:textId="16E916B6"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 xml:space="preserve">  0*</w:t>
            </w:r>
          </w:p>
        </w:tc>
        <w:tc>
          <w:tcPr>
            <w:tcW w:w="1149" w:type="pct"/>
            <w:shd w:val="clear" w:color="auto" w:fill="auto"/>
            <w:vAlign w:val="center"/>
          </w:tcPr>
          <w:p w14:paraId="26723516" w14:textId="0719048F"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17</w:t>
            </w:r>
          </w:p>
        </w:tc>
      </w:tr>
      <w:tr w:rsidR="00CF061A" w:rsidRPr="00947616" w14:paraId="4375CF42"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D9A75FC" w14:textId="07CCEB4E"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Construction</w:t>
            </w:r>
          </w:p>
        </w:tc>
        <w:tc>
          <w:tcPr>
            <w:tcW w:w="1202" w:type="pct"/>
            <w:shd w:val="clear" w:color="auto" w:fill="auto"/>
            <w:vAlign w:val="center"/>
          </w:tcPr>
          <w:p w14:paraId="09AD376A" w14:textId="65D09D84"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-5,000</w:t>
            </w:r>
          </w:p>
        </w:tc>
        <w:tc>
          <w:tcPr>
            <w:tcW w:w="1341" w:type="pct"/>
            <w:shd w:val="clear" w:color="auto" w:fill="auto"/>
            <w:vAlign w:val="center"/>
          </w:tcPr>
          <w:p w14:paraId="5533A271" w14:textId="5309937B" w:rsidR="00CF061A" w:rsidRPr="00CF061A" w:rsidRDefault="00FA034B"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Pr>
                <w:rFonts w:ascii="Arial" w:hAnsi="Arial" w:cs="Arial"/>
                <w:sz w:val="18"/>
                <w:szCs w:val="18"/>
              </w:rPr>
              <w:t xml:space="preserve"> </w:t>
            </w:r>
            <w:r w:rsidR="00CF061A" w:rsidRPr="00CF061A">
              <w:rPr>
                <w:rFonts w:ascii="Arial" w:hAnsi="Arial" w:cs="Arial"/>
                <w:sz w:val="18"/>
                <w:szCs w:val="18"/>
              </w:rPr>
              <w:t>0</w:t>
            </w:r>
          </w:p>
        </w:tc>
        <w:tc>
          <w:tcPr>
            <w:tcW w:w="1149" w:type="pct"/>
            <w:shd w:val="clear" w:color="auto" w:fill="auto"/>
            <w:vAlign w:val="center"/>
          </w:tcPr>
          <w:p w14:paraId="38EBA716" w14:textId="67F304A5"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6C2D3929"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99CEFC5" w14:textId="5B6BC5E2"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Retail, transport, tourism services</w:t>
            </w:r>
          </w:p>
        </w:tc>
        <w:tc>
          <w:tcPr>
            <w:tcW w:w="1202" w:type="pct"/>
            <w:shd w:val="clear" w:color="auto" w:fill="auto"/>
            <w:vAlign w:val="center"/>
          </w:tcPr>
          <w:p w14:paraId="34A71569" w14:textId="710624A0"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6,000</w:t>
            </w:r>
          </w:p>
        </w:tc>
        <w:tc>
          <w:tcPr>
            <w:tcW w:w="1341" w:type="pct"/>
            <w:shd w:val="clear" w:color="auto" w:fill="auto"/>
            <w:vAlign w:val="center"/>
          </w:tcPr>
          <w:p w14:paraId="08ED2382" w14:textId="13B8038A"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 xml:space="preserve">  0*</w:t>
            </w:r>
          </w:p>
        </w:tc>
        <w:tc>
          <w:tcPr>
            <w:tcW w:w="1149" w:type="pct"/>
            <w:shd w:val="clear" w:color="auto" w:fill="auto"/>
            <w:vAlign w:val="center"/>
          </w:tcPr>
          <w:p w14:paraId="0C77D4D9" w14:textId="156C90E3"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8</w:t>
            </w:r>
          </w:p>
        </w:tc>
      </w:tr>
      <w:tr w:rsidR="00CF061A" w:rsidRPr="00947616" w14:paraId="6771D412"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DF6B9CE" w14:textId="509351EE"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Information and communication</w:t>
            </w:r>
          </w:p>
        </w:tc>
        <w:tc>
          <w:tcPr>
            <w:tcW w:w="1202" w:type="pct"/>
            <w:shd w:val="clear" w:color="auto" w:fill="auto"/>
            <w:vAlign w:val="center"/>
          </w:tcPr>
          <w:p w14:paraId="1D42DA7F" w14:textId="00FF2072"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-1,000</w:t>
            </w:r>
          </w:p>
        </w:tc>
        <w:tc>
          <w:tcPr>
            <w:tcW w:w="1341" w:type="pct"/>
            <w:shd w:val="clear" w:color="auto" w:fill="auto"/>
            <w:vAlign w:val="center"/>
          </w:tcPr>
          <w:p w14:paraId="28C4F8A1" w14:textId="568C6FEF"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149" w:type="pct"/>
            <w:shd w:val="clear" w:color="auto" w:fill="auto"/>
            <w:vAlign w:val="center"/>
          </w:tcPr>
          <w:p w14:paraId="2782FEB3" w14:textId="64AEF858"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04EB69FC"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4E1957A" w14:textId="3EBB07B4"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Financial and insurance activities</w:t>
            </w:r>
          </w:p>
        </w:tc>
        <w:tc>
          <w:tcPr>
            <w:tcW w:w="1202" w:type="pct"/>
            <w:shd w:val="clear" w:color="auto" w:fill="auto"/>
            <w:vAlign w:val="center"/>
          </w:tcPr>
          <w:p w14:paraId="2D30221E" w14:textId="277A2914"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341" w:type="pct"/>
            <w:shd w:val="clear" w:color="auto" w:fill="auto"/>
            <w:vAlign w:val="center"/>
          </w:tcPr>
          <w:p w14:paraId="2A99A69A" w14:textId="1486A754"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149" w:type="pct"/>
            <w:shd w:val="clear" w:color="auto" w:fill="auto"/>
            <w:vAlign w:val="center"/>
          </w:tcPr>
          <w:p w14:paraId="63992348" w14:textId="0CCE0ACD"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6A48BC5D"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64DA071" w14:textId="282361FA"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Real estate activities</w:t>
            </w:r>
          </w:p>
        </w:tc>
        <w:tc>
          <w:tcPr>
            <w:tcW w:w="1202" w:type="pct"/>
            <w:shd w:val="clear" w:color="auto" w:fill="auto"/>
            <w:vAlign w:val="center"/>
          </w:tcPr>
          <w:p w14:paraId="7B10FC38" w14:textId="5781004F"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341" w:type="pct"/>
            <w:shd w:val="clear" w:color="auto" w:fill="auto"/>
            <w:vAlign w:val="center"/>
          </w:tcPr>
          <w:p w14:paraId="55A8E322" w14:textId="0AF5CC7D"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149" w:type="pct"/>
            <w:shd w:val="clear" w:color="auto" w:fill="auto"/>
            <w:vAlign w:val="center"/>
          </w:tcPr>
          <w:p w14:paraId="4B1E73AE" w14:textId="12B29F92"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391133A8"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36F3A0B" w14:textId="707288A3"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Professional services</w:t>
            </w:r>
          </w:p>
        </w:tc>
        <w:tc>
          <w:tcPr>
            <w:tcW w:w="1202" w:type="pct"/>
            <w:shd w:val="clear" w:color="auto" w:fill="auto"/>
            <w:vAlign w:val="center"/>
          </w:tcPr>
          <w:p w14:paraId="5D126DF1" w14:textId="69A05471"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341" w:type="pct"/>
            <w:shd w:val="clear" w:color="auto" w:fill="auto"/>
            <w:vAlign w:val="center"/>
          </w:tcPr>
          <w:p w14:paraId="2710AE5D" w14:textId="46D459ED"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149" w:type="pct"/>
            <w:shd w:val="clear" w:color="auto" w:fill="auto"/>
            <w:vAlign w:val="center"/>
          </w:tcPr>
          <w:p w14:paraId="45FDEA45" w14:textId="5B8AC1FF"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295912DA"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3F77EA8" w14:textId="74F0C6BA" w:rsidR="00CF061A" w:rsidRPr="00947616" w:rsidRDefault="00CF061A" w:rsidP="00CF061A">
            <w:pPr>
              <w:rPr>
                <w:rFonts w:ascii="Arial" w:hAnsi="Arial" w:cs="Arial"/>
                <w:b/>
                <w:bCs/>
                <w:color w:val="FFFFFF" w:themeColor="background1"/>
                <w:sz w:val="18"/>
                <w:szCs w:val="18"/>
              </w:rPr>
            </w:pPr>
            <w:r w:rsidRPr="00116C0A">
              <w:rPr>
                <w:rFonts w:ascii="Arial" w:hAnsi="Arial" w:cs="Arial"/>
                <w:sz w:val="18"/>
                <w:szCs w:val="18"/>
              </w:rPr>
              <w:t>Public and other services</w:t>
            </w:r>
          </w:p>
        </w:tc>
        <w:tc>
          <w:tcPr>
            <w:tcW w:w="1202" w:type="pct"/>
            <w:shd w:val="clear" w:color="auto" w:fill="auto"/>
            <w:vAlign w:val="center"/>
          </w:tcPr>
          <w:p w14:paraId="28C2EFF0" w14:textId="754138DD"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10,000</w:t>
            </w:r>
          </w:p>
        </w:tc>
        <w:tc>
          <w:tcPr>
            <w:tcW w:w="1341" w:type="pct"/>
            <w:shd w:val="clear" w:color="auto" w:fill="auto"/>
            <w:vAlign w:val="center"/>
          </w:tcPr>
          <w:p w14:paraId="597B9C28" w14:textId="622F5F55"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c>
          <w:tcPr>
            <w:tcW w:w="1149" w:type="pct"/>
            <w:shd w:val="clear" w:color="auto" w:fill="auto"/>
            <w:vAlign w:val="center"/>
          </w:tcPr>
          <w:p w14:paraId="76229FCB" w14:textId="4E693331" w:rsidR="00CF061A" w:rsidRPr="00CF061A" w:rsidRDefault="00CF061A" w:rsidP="00CF06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sz w:val="18"/>
                <w:szCs w:val="18"/>
              </w:rPr>
              <w:t>0</w:t>
            </w:r>
          </w:p>
        </w:tc>
      </w:tr>
      <w:tr w:rsidR="00CF061A" w:rsidRPr="00947616" w14:paraId="31C4DE0E"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9350272" w14:textId="6743BAC1" w:rsidR="00CF061A" w:rsidRPr="00947616" w:rsidRDefault="00CF061A" w:rsidP="00CF061A">
            <w:pPr>
              <w:rPr>
                <w:rFonts w:ascii="Arial" w:hAnsi="Arial" w:cs="Arial"/>
                <w:b/>
                <w:bCs/>
                <w:color w:val="FFFFFF" w:themeColor="background1"/>
                <w:sz w:val="18"/>
                <w:szCs w:val="18"/>
              </w:rPr>
            </w:pPr>
            <w:r w:rsidRPr="00947616">
              <w:rPr>
                <w:rFonts w:ascii="Arial" w:hAnsi="Arial" w:cs="Arial"/>
                <w:b/>
                <w:bCs/>
                <w:color w:val="FFFFFF" w:themeColor="background1"/>
                <w:sz w:val="18"/>
                <w:szCs w:val="18"/>
              </w:rPr>
              <w:t xml:space="preserve">Total </w:t>
            </w:r>
            <w:r>
              <w:rPr>
                <w:rFonts w:ascii="Arial" w:hAnsi="Arial" w:cs="Arial"/>
                <w:b/>
                <w:bCs/>
                <w:color w:val="FFFFFF" w:themeColor="background1"/>
                <w:sz w:val="18"/>
                <w:szCs w:val="18"/>
              </w:rPr>
              <w:t>PH</w:t>
            </w:r>
          </w:p>
        </w:tc>
        <w:tc>
          <w:tcPr>
            <w:tcW w:w="1202" w:type="pct"/>
            <w:shd w:val="clear" w:color="auto" w:fill="006398"/>
            <w:vAlign w:val="center"/>
          </w:tcPr>
          <w:p w14:paraId="61ABB3AB" w14:textId="34DDCD8C"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b/>
                <w:bCs/>
                <w:color w:val="FFFFFF" w:themeColor="background1"/>
                <w:sz w:val="18"/>
                <w:szCs w:val="18"/>
              </w:rPr>
              <w:t>2,000</w:t>
            </w:r>
          </w:p>
        </w:tc>
        <w:tc>
          <w:tcPr>
            <w:tcW w:w="1341" w:type="pct"/>
            <w:shd w:val="clear" w:color="auto" w:fill="006398"/>
            <w:vAlign w:val="center"/>
          </w:tcPr>
          <w:p w14:paraId="13188250" w14:textId="3C23392B"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b/>
                <w:bCs/>
                <w:color w:val="FFFFFF" w:themeColor="background1"/>
                <w:sz w:val="18"/>
                <w:szCs w:val="18"/>
              </w:rPr>
              <w:t>0</w:t>
            </w:r>
          </w:p>
        </w:tc>
        <w:tc>
          <w:tcPr>
            <w:tcW w:w="1149" w:type="pct"/>
            <w:shd w:val="clear" w:color="auto" w:fill="006398"/>
            <w:vAlign w:val="center"/>
          </w:tcPr>
          <w:p w14:paraId="2E4BECB6" w14:textId="2E550123" w:rsidR="00CF061A" w:rsidRPr="00CF061A" w:rsidRDefault="00CF061A" w:rsidP="00CF061A">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CF061A">
              <w:rPr>
                <w:rFonts w:ascii="Arial" w:hAnsi="Arial" w:cs="Arial"/>
                <w:b/>
                <w:bCs/>
                <w:color w:val="FFFFFF" w:themeColor="background1"/>
                <w:sz w:val="18"/>
                <w:szCs w:val="18"/>
              </w:rPr>
              <w:t>38</w:t>
            </w:r>
          </w:p>
        </w:tc>
      </w:tr>
      <w:tr w:rsidR="00FA034B" w:rsidRPr="00947616" w14:paraId="45E31F60" w14:textId="77777777" w:rsidTr="00536B5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59E87526" w14:textId="38E0EA03" w:rsidR="00FA034B" w:rsidRPr="00CF061A" w:rsidRDefault="00FA034B" w:rsidP="00FA034B">
            <w:pPr>
              <w:rPr>
                <w:rFonts w:ascii="Arial" w:hAnsi="Arial" w:cs="Arial"/>
                <w:b/>
                <w:bCs/>
                <w:color w:val="FFFFFF" w:themeColor="background1"/>
                <w:sz w:val="18"/>
                <w:szCs w:val="18"/>
              </w:rPr>
            </w:pPr>
            <w:r>
              <w:rPr>
                <w:rFonts w:ascii="Arial" w:hAnsi="Arial" w:cs="Arial"/>
                <w:b/>
                <w:bCs/>
                <w:color w:val="FFFFFF" w:themeColor="background1"/>
                <w:sz w:val="18"/>
                <w:szCs w:val="18"/>
              </w:rPr>
              <w:t>MUREȘ</w:t>
            </w:r>
          </w:p>
        </w:tc>
      </w:tr>
      <w:tr w:rsidR="00FA034B" w:rsidRPr="00947616" w14:paraId="7EDB2C71"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5378748" w14:textId="3C79979E"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Energy &amp; utilities</w:t>
            </w:r>
          </w:p>
        </w:tc>
        <w:tc>
          <w:tcPr>
            <w:tcW w:w="1202" w:type="pct"/>
            <w:shd w:val="clear" w:color="auto" w:fill="auto"/>
            <w:vAlign w:val="center"/>
          </w:tcPr>
          <w:p w14:paraId="2E4DB418" w14:textId="0492A6FE"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-2,000</w:t>
            </w:r>
          </w:p>
        </w:tc>
        <w:tc>
          <w:tcPr>
            <w:tcW w:w="1341" w:type="pct"/>
            <w:shd w:val="clear" w:color="auto" w:fill="auto"/>
            <w:vAlign w:val="center"/>
          </w:tcPr>
          <w:p w14:paraId="7602B583" w14:textId="091D1D5E"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4</w:t>
            </w:r>
          </w:p>
        </w:tc>
        <w:tc>
          <w:tcPr>
            <w:tcW w:w="1149" w:type="pct"/>
            <w:shd w:val="clear" w:color="auto" w:fill="auto"/>
            <w:vAlign w:val="center"/>
          </w:tcPr>
          <w:p w14:paraId="60FA56A7" w14:textId="3CFC5060"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1</w:t>
            </w:r>
          </w:p>
        </w:tc>
      </w:tr>
      <w:tr w:rsidR="00FA034B" w:rsidRPr="00947616" w14:paraId="114747F5"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944DAD8" w14:textId="1FBA6C6E"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Manufacturing</w:t>
            </w:r>
          </w:p>
        </w:tc>
        <w:tc>
          <w:tcPr>
            <w:tcW w:w="1202" w:type="pct"/>
            <w:shd w:val="clear" w:color="auto" w:fill="auto"/>
            <w:vAlign w:val="center"/>
          </w:tcPr>
          <w:p w14:paraId="218C6A9C" w14:textId="36A459AD"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-3,000</w:t>
            </w:r>
          </w:p>
        </w:tc>
        <w:tc>
          <w:tcPr>
            <w:tcW w:w="1341" w:type="pct"/>
            <w:shd w:val="clear" w:color="auto" w:fill="auto"/>
            <w:vAlign w:val="center"/>
          </w:tcPr>
          <w:p w14:paraId="22E2A9DB" w14:textId="5A1123C7"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252</w:t>
            </w:r>
          </w:p>
        </w:tc>
        <w:tc>
          <w:tcPr>
            <w:tcW w:w="1149" w:type="pct"/>
            <w:shd w:val="clear" w:color="auto" w:fill="auto"/>
            <w:vAlign w:val="center"/>
          </w:tcPr>
          <w:p w14:paraId="6C9AFF76" w14:textId="5E9672A4"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17</w:t>
            </w:r>
          </w:p>
        </w:tc>
      </w:tr>
      <w:tr w:rsidR="00FA034B" w:rsidRPr="00947616" w14:paraId="458692F4"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6A03FAB" w14:textId="4DDE7E3E"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Construction</w:t>
            </w:r>
          </w:p>
        </w:tc>
        <w:tc>
          <w:tcPr>
            <w:tcW w:w="1202" w:type="pct"/>
            <w:shd w:val="clear" w:color="auto" w:fill="auto"/>
            <w:vAlign w:val="center"/>
          </w:tcPr>
          <w:p w14:paraId="7CB76FC4" w14:textId="4CB8E641"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-3,000</w:t>
            </w:r>
          </w:p>
        </w:tc>
        <w:tc>
          <w:tcPr>
            <w:tcW w:w="1341" w:type="pct"/>
            <w:shd w:val="clear" w:color="auto" w:fill="auto"/>
            <w:vAlign w:val="center"/>
          </w:tcPr>
          <w:p w14:paraId="24479ABB" w14:textId="6C661BEF"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6A07BA65" w14:textId="244A953D"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239B348B"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6C06172" w14:textId="6B9DF8E5"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Retail, transport, tourism services</w:t>
            </w:r>
          </w:p>
        </w:tc>
        <w:tc>
          <w:tcPr>
            <w:tcW w:w="1202" w:type="pct"/>
            <w:shd w:val="clear" w:color="auto" w:fill="auto"/>
            <w:vAlign w:val="center"/>
          </w:tcPr>
          <w:p w14:paraId="2D674535" w14:textId="5C4C10E9"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 xml:space="preserve"> 2,000</w:t>
            </w:r>
          </w:p>
        </w:tc>
        <w:tc>
          <w:tcPr>
            <w:tcW w:w="1341" w:type="pct"/>
            <w:shd w:val="clear" w:color="auto" w:fill="auto"/>
            <w:vAlign w:val="center"/>
          </w:tcPr>
          <w:p w14:paraId="6DD6C038" w14:textId="6D31ACFC"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6299067F" w14:textId="25C6206E"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0C80E1CC"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43B7C62" w14:textId="26626A5F"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Information and communication</w:t>
            </w:r>
          </w:p>
        </w:tc>
        <w:tc>
          <w:tcPr>
            <w:tcW w:w="1202" w:type="pct"/>
            <w:shd w:val="clear" w:color="auto" w:fill="auto"/>
            <w:vAlign w:val="center"/>
          </w:tcPr>
          <w:p w14:paraId="491F84CE" w14:textId="3CD6F08E"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 xml:space="preserve"> 1,000</w:t>
            </w:r>
          </w:p>
        </w:tc>
        <w:tc>
          <w:tcPr>
            <w:tcW w:w="1341" w:type="pct"/>
            <w:shd w:val="clear" w:color="auto" w:fill="auto"/>
            <w:vAlign w:val="center"/>
          </w:tcPr>
          <w:p w14:paraId="5936BE6F" w14:textId="1CD75433"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24347BDF" w14:textId="0BC5EF7D"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13B8D187"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7630309" w14:textId="289777AF"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lastRenderedPageBreak/>
              <w:t>Financial and insurance activities</w:t>
            </w:r>
          </w:p>
        </w:tc>
        <w:tc>
          <w:tcPr>
            <w:tcW w:w="1202" w:type="pct"/>
            <w:shd w:val="clear" w:color="auto" w:fill="auto"/>
            <w:vAlign w:val="center"/>
          </w:tcPr>
          <w:p w14:paraId="3C784563" w14:textId="43814269"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-1,000</w:t>
            </w:r>
          </w:p>
        </w:tc>
        <w:tc>
          <w:tcPr>
            <w:tcW w:w="1341" w:type="pct"/>
            <w:shd w:val="clear" w:color="auto" w:fill="auto"/>
            <w:vAlign w:val="center"/>
          </w:tcPr>
          <w:p w14:paraId="6D0ACDFD" w14:textId="50DD923B"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528D59BF" w14:textId="5F3FC456"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2DE4F896"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344AD30E" w14:textId="55D73EC1"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Real estate activities</w:t>
            </w:r>
          </w:p>
        </w:tc>
        <w:tc>
          <w:tcPr>
            <w:tcW w:w="1202" w:type="pct"/>
            <w:shd w:val="clear" w:color="auto" w:fill="auto"/>
            <w:vAlign w:val="center"/>
          </w:tcPr>
          <w:p w14:paraId="358F7D9A" w14:textId="2C5C0E74"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 xml:space="preserve"> 0</w:t>
            </w:r>
          </w:p>
        </w:tc>
        <w:tc>
          <w:tcPr>
            <w:tcW w:w="1341" w:type="pct"/>
            <w:shd w:val="clear" w:color="auto" w:fill="auto"/>
            <w:vAlign w:val="center"/>
          </w:tcPr>
          <w:p w14:paraId="5CD25BA7" w14:textId="62A3519A"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0D13064A" w14:textId="2E7E7C81"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04743AE6"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42152B5" w14:textId="3D8F4536"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Professional services</w:t>
            </w:r>
          </w:p>
        </w:tc>
        <w:tc>
          <w:tcPr>
            <w:tcW w:w="1202" w:type="pct"/>
            <w:shd w:val="clear" w:color="auto" w:fill="auto"/>
            <w:vAlign w:val="center"/>
          </w:tcPr>
          <w:p w14:paraId="4D6EB6C8" w14:textId="457B287F"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 xml:space="preserve"> 1,000</w:t>
            </w:r>
          </w:p>
        </w:tc>
        <w:tc>
          <w:tcPr>
            <w:tcW w:w="1341" w:type="pct"/>
            <w:shd w:val="clear" w:color="auto" w:fill="auto"/>
            <w:vAlign w:val="center"/>
          </w:tcPr>
          <w:p w14:paraId="2B66E602" w14:textId="20CD5C7E"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25929BEB" w14:textId="016204C6"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25CCF17B"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A0449B1" w14:textId="3C5EECF4" w:rsidR="00FA034B" w:rsidRPr="00FA034B" w:rsidRDefault="00FA034B" w:rsidP="00FA034B">
            <w:pPr>
              <w:rPr>
                <w:rFonts w:ascii="Arial" w:hAnsi="Arial" w:cs="Arial"/>
                <w:b/>
                <w:bCs/>
                <w:color w:val="FFFFFF" w:themeColor="background1"/>
                <w:sz w:val="18"/>
                <w:szCs w:val="18"/>
              </w:rPr>
            </w:pPr>
            <w:r w:rsidRPr="00FA034B">
              <w:rPr>
                <w:rFonts w:ascii="Arial" w:hAnsi="Arial" w:cs="Arial"/>
                <w:sz w:val="18"/>
                <w:szCs w:val="18"/>
              </w:rPr>
              <w:t>Public and other services</w:t>
            </w:r>
          </w:p>
        </w:tc>
        <w:tc>
          <w:tcPr>
            <w:tcW w:w="1202" w:type="pct"/>
            <w:shd w:val="clear" w:color="auto" w:fill="auto"/>
            <w:vAlign w:val="center"/>
          </w:tcPr>
          <w:p w14:paraId="118BF7BA" w14:textId="285DDFD8"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 xml:space="preserve"> 5,000</w:t>
            </w:r>
          </w:p>
        </w:tc>
        <w:tc>
          <w:tcPr>
            <w:tcW w:w="1341" w:type="pct"/>
            <w:shd w:val="clear" w:color="auto" w:fill="auto"/>
            <w:vAlign w:val="center"/>
          </w:tcPr>
          <w:p w14:paraId="41AB47C1" w14:textId="346138FD"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c>
          <w:tcPr>
            <w:tcW w:w="1149" w:type="pct"/>
            <w:shd w:val="clear" w:color="auto" w:fill="auto"/>
            <w:vAlign w:val="center"/>
          </w:tcPr>
          <w:p w14:paraId="62EC7EE5" w14:textId="10D406E3" w:rsidR="00FA034B" w:rsidRPr="00FA034B" w:rsidRDefault="00FA034B" w:rsidP="00FA034B">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sz w:val="18"/>
                <w:szCs w:val="18"/>
              </w:rPr>
              <w:t>0</w:t>
            </w:r>
          </w:p>
        </w:tc>
      </w:tr>
      <w:tr w:rsidR="00FA034B" w:rsidRPr="00947616" w14:paraId="6AEE8AD9"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258D0CD" w14:textId="503B1E2A" w:rsidR="00FA034B" w:rsidRPr="00FA034B" w:rsidRDefault="00FA034B" w:rsidP="00FA034B">
            <w:pPr>
              <w:rPr>
                <w:rFonts w:ascii="Arial" w:hAnsi="Arial" w:cs="Arial"/>
                <w:b/>
                <w:bCs/>
                <w:color w:val="FFFFFF" w:themeColor="background1"/>
                <w:sz w:val="18"/>
                <w:szCs w:val="18"/>
              </w:rPr>
            </w:pPr>
            <w:r w:rsidRPr="00FA034B">
              <w:rPr>
                <w:rFonts w:ascii="Arial" w:hAnsi="Arial" w:cs="Arial"/>
                <w:b/>
                <w:bCs/>
                <w:color w:val="FFFFFF" w:themeColor="background1"/>
                <w:sz w:val="18"/>
                <w:szCs w:val="18"/>
              </w:rPr>
              <w:t>Total MS</w:t>
            </w:r>
          </w:p>
        </w:tc>
        <w:tc>
          <w:tcPr>
            <w:tcW w:w="1202" w:type="pct"/>
            <w:shd w:val="clear" w:color="auto" w:fill="006398"/>
            <w:vAlign w:val="center"/>
          </w:tcPr>
          <w:p w14:paraId="644F2F7F" w14:textId="3118DA71"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b/>
                <w:bCs/>
                <w:color w:val="FFFFFF" w:themeColor="background1"/>
                <w:sz w:val="18"/>
                <w:szCs w:val="18"/>
              </w:rPr>
              <w:t xml:space="preserve"> 0</w:t>
            </w:r>
          </w:p>
        </w:tc>
        <w:tc>
          <w:tcPr>
            <w:tcW w:w="1341" w:type="pct"/>
            <w:shd w:val="clear" w:color="auto" w:fill="006398"/>
            <w:vAlign w:val="center"/>
          </w:tcPr>
          <w:p w14:paraId="4CDE11F9" w14:textId="2180E414"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b/>
                <w:bCs/>
                <w:color w:val="FFFFFF" w:themeColor="background1"/>
                <w:sz w:val="18"/>
                <w:szCs w:val="18"/>
              </w:rPr>
              <w:t>256</w:t>
            </w:r>
          </w:p>
        </w:tc>
        <w:tc>
          <w:tcPr>
            <w:tcW w:w="1149" w:type="pct"/>
            <w:shd w:val="clear" w:color="auto" w:fill="006398"/>
            <w:vAlign w:val="center"/>
          </w:tcPr>
          <w:p w14:paraId="7E645A71" w14:textId="68BA85E1" w:rsidR="00FA034B" w:rsidRPr="00FA034B" w:rsidRDefault="00FA034B" w:rsidP="00FA034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FA034B">
              <w:rPr>
                <w:rFonts w:ascii="Arial" w:hAnsi="Arial" w:cs="Arial"/>
                <w:b/>
                <w:bCs/>
                <w:color w:val="FFFFFF" w:themeColor="background1"/>
                <w:sz w:val="18"/>
                <w:szCs w:val="18"/>
              </w:rPr>
              <w:t>18</w:t>
            </w:r>
          </w:p>
        </w:tc>
      </w:tr>
      <w:tr w:rsidR="00536B58" w:rsidRPr="00947616" w14:paraId="70DCAEBD" w14:textId="77777777" w:rsidTr="00536B5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95B3D7" w:themeFill="accent1" w:themeFillTint="99"/>
            <w:vAlign w:val="center"/>
          </w:tcPr>
          <w:p w14:paraId="30B6D380" w14:textId="007EA375" w:rsidR="00536B58" w:rsidRPr="00FA034B" w:rsidRDefault="00536B58" w:rsidP="00536B58">
            <w:pPr>
              <w:rPr>
                <w:rFonts w:ascii="Arial" w:hAnsi="Arial" w:cs="Arial"/>
                <w:b/>
                <w:bCs/>
                <w:color w:val="FFFFFF" w:themeColor="background1"/>
                <w:sz w:val="18"/>
                <w:szCs w:val="18"/>
              </w:rPr>
            </w:pPr>
            <w:r>
              <w:rPr>
                <w:rFonts w:ascii="Arial" w:hAnsi="Arial" w:cs="Arial"/>
                <w:b/>
                <w:bCs/>
                <w:color w:val="FFFFFF" w:themeColor="background1"/>
                <w:sz w:val="18"/>
                <w:szCs w:val="18"/>
              </w:rPr>
              <w:t>GALAȚI</w:t>
            </w:r>
          </w:p>
        </w:tc>
      </w:tr>
      <w:tr w:rsidR="00536B58" w:rsidRPr="00947616" w14:paraId="71FC7584"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D286F4F" w14:textId="2DA5BA32"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Energy &amp; utilities</w:t>
            </w:r>
          </w:p>
        </w:tc>
        <w:tc>
          <w:tcPr>
            <w:tcW w:w="1202" w:type="pct"/>
            <w:shd w:val="clear" w:color="auto" w:fill="auto"/>
            <w:vAlign w:val="center"/>
          </w:tcPr>
          <w:p w14:paraId="73432434" w14:textId="2AD11901"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-1,000</w:t>
            </w:r>
          </w:p>
        </w:tc>
        <w:tc>
          <w:tcPr>
            <w:tcW w:w="1341" w:type="pct"/>
            <w:shd w:val="clear" w:color="auto" w:fill="auto"/>
            <w:vAlign w:val="center"/>
          </w:tcPr>
          <w:p w14:paraId="71D0DE6A" w14:textId="32B90338"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74F18EB4" w14:textId="7EBD5C99"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2</w:t>
            </w:r>
          </w:p>
        </w:tc>
      </w:tr>
      <w:tr w:rsidR="00536B58" w:rsidRPr="00947616" w14:paraId="1C24029E"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D3538F8" w14:textId="49E4D6F9"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Manufacturing</w:t>
            </w:r>
          </w:p>
        </w:tc>
        <w:tc>
          <w:tcPr>
            <w:tcW w:w="1202" w:type="pct"/>
            <w:shd w:val="clear" w:color="auto" w:fill="auto"/>
            <w:vAlign w:val="center"/>
          </w:tcPr>
          <w:p w14:paraId="7DD77135" w14:textId="419650F1"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-3,000</w:t>
            </w:r>
          </w:p>
        </w:tc>
        <w:tc>
          <w:tcPr>
            <w:tcW w:w="1341" w:type="pct"/>
            <w:shd w:val="clear" w:color="auto" w:fill="auto"/>
            <w:vAlign w:val="center"/>
          </w:tcPr>
          <w:p w14:paraId="4D1F0CD8" w14:textId="3EAC1507"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598</w:t>
            </w:r>
          </w:p>
        </w:tc>
        <w:tc>
          <w:tcPr>
            <w:tcW w:w="1149" w:type="pct"/>
            <w:shd w:val="clear" w:color="auto" w:fill="auto"/>
            <w:vAlign w:val="center"/>
          </w:tcPr>
          <w:p w14:paraId="3B3C876C" w14:textId="6AAF8176"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13</w:t>
            </w:r>
          </w:p>
        </w:tc>
      </w:tr>
      <w:tr w:rsidR="00536B58" w:rsidRPr="00947616" w14:paraId="7C579965"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2C852CB5" w14:textId="6B17DAE2"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Construction</w:t>
            </w:r>
          </w:p>
        </w:tc>
        <w:tc>
          <w:tcPr>
            <w:tcW w:w="1202" w:type="pct"/>
            <w:shd w:val="clear" w:color="auto" w:fill="auto"/>
            <w:vAlign w:val="center"/>
          </w:tcPr>
          <w:p w14:paraId="0C10F645" w14:textId="6A06767D"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-5,000</w:t>
            </w:r>
          </w:p>
        </w:tc>
        <w:tc>
          <w:tcPr>
            <w:tcW w:w="1341" w:type="pct"/>
            <w:shd w:val="clear" w:color="auto" w:fill="auto"/>
            <w:vAlign w:val="center"/>
          </w:tcPr>
          <w:p w14:paraId="01C478BB" w14:textId="14FC8576"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6958523B" w14:textId="3698B07F"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6F3823C1"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47A4A11E" w14:textId="0D34F46F"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Retail, transport, tourism services</w:t>
            </w:r>
          </w:p>
        </w:tc>
        <w:tc>
          <w:tcPr>
            <w:tcW w:w="1202" w:type="pct"/>
            <w:shd w:val="clear" w:color="auto" w:fill="auto"/>
            <w:vAlign w:val="center"/>
          </w:tcPr>
          <w:p w14:paraId="11C5C542" w14:textId="1AB7CD8F"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 xml:space="preserve"> 1,000</w:t>
            </w:r>
          </w:p>
        </w:tc>
        <w:tc>
          <w:tcPr>
            <w:tcW w:w="1341" w:type="pct"/>
            <w:shd w:val="clear" w:color="auto" w:fill="auto"/>
            <w:vAlign w:val="center"/>
          </w:tcPr>
          <w:p w14:paraId="6B2D21C8" w14:textId="18559D20"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3D75E753" w14:textId="2779949E"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12136FAD"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7C0A3B0" w14:textId="43920231"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Information and communication</w:t>
            </w:r>
          </w:p>
        </w:tc>
        <w:tc>
          <w:tcPr>
            <w:tcW w:w="1202" w:type="pct"/>
            <w:shd w:val="clear" w:color="auto" w:fill="auto"/>
            <w:vAlign w:val="center"/>
          </w:tcPr>
          <w:p w14:paraId="14548B74" w14:textId="7E472984"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 xml:space="preserve"> 0</w:t>
            </w:r>
          </w:p>
        </w:tc>
        <w:tc>
          <w:tcPr>
            <w:tcW w:w="1341" w:type="pct"/>
            <w:shd w:val="clear" w:color="auto" w:fill="auto"/>
            <w:vAlign w:val="center"/>
          </w:tcPr>
          <w:p w14:paraId="0A76A5EE" w14:textId="0B10AF08"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04C84533" w14:textId="1A1785F9"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25AC299B"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EAFF187" w14:textId="536AF0A9"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Financial and insurance activities</w:t>
            </w:r>
          </w:p>
        </w:tc>
        <w:tc>
          <w:tcPr>
            <w:tcW w:w="1202" w:type="pct"/>
            <w:shd w:val="clear" w:color="auto" w:fill="auto"/>
            <w:vAlign w:val="center"/>
          </w:tcPr>
          <w:p w14:paraId="0ED18BEE" w14:textId="137B608D"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 xml:space="preserve"> 0</w:t>
            </w:r>
          </w:p>
        </w:tc>
        <w:tc>
          <w:tcPr>
            <w:tcW w:w="1341" w:type="pct"/>
            <w:shd w:val="clear" w:color="auto" w:fill="auto"/>
            <w:vAlign w:val="center"/>
          </w:tcPr>
          <w:p w14:paraId="17F1F2AB" w14:textId="7F33B272"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37F74F5B" w14:textId="7D51CC93"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63B740CB"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58C4E717" w14:textId="489F5B96"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Real estate activities</w:t>
            </w:r>
          </w:p>
        </w:tc>
        <w:tc>
          <w:tcPr>
            <w:tcW w:w="1202" w:type="pct"/>
            <w:shd w:val="clear" w:color="auto" w:fill="auto"/>
            <w:vAlign w:val="center"/>
          </w:tcPr>
          <w:p w14:paraId="14E237A6" w14:textId="46222BB2"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 xml:space="preserve"> 0</w:t>
            </w:r>
          </w:p>
        </w:tc>
        <w:tc>
          <w:tcPr>
            <w:tcW w:w="1341" w:type="pct"/>
            <w:shd w:val="clear" w:color="auto" w:fill="auto"/>
            <w:vAlign w:val="center"/>
          </w:tcPr>
          <w:p w14:paraId="457D8A0F" w14:textId="27F33517"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7C264879" w14:textId="38487CA3"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4CB2BC65"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083D88E3" w14:textId="24895B51"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Professional services</w:t>
            </w:r>
          </w:p>
        </w:tc>
        <w:tc>
          <w:tcPr>
            <w:tcW w:w="1202" w:type="pct"/>
            <w:shd w:val="clear" w:color="auto" w:fill="auto"/>
            <w:vAlign w:val="center"/>
          </w:tcPr>
          <w:p w14:paraId="3BB91779" w14:textId="4FE2456B"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 xml:space="preserve"> 0</w:t>
            </w:r>
          </w:p>
        </w:tc>
        <w:tc>
          <w:tcPr>
            <w:tcW w:w="1341" w:type="pct"/>
            <w:shd w:val="clear" w:color="auto" w:fill="auto"/>
            <w:vAlign w:val="center"/>
          </w:tcPr>
          <w:p w14:paraId="46C660D6" w14:textId="368DE94C"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437DD074" w14:textId="7D3BD0C3"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27792DBB" w14:textId="77777777" w:rsidTr="00536B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7FF248C0" w14:textId="4480F363" w:rsidR="00536B58" w:rsidRPr="00FA034B" w:rsidRDefault="00536B58" w:rsidP="00536B58">
            <w:pPr>
              <w:rPr>
                <w:rFonts w:ascii="Arial" w:hAnsi="Arial" w:cs="Arial"/>
                <w:b/>
                <w:bCs/>
                <w:color w:val="FFFFFF" w:themeColor="background1"/>
                <w:sz w:val="18"/>
                <w:szCs w:val="18"/>
              </w:rPr>
            </w:pPr>
            <w:r w:rsidRPr="00FA034B">
              <w:rPr>
                <w:rFonts w:ascii="Arial" w:hAnsi="Arial" w:cs="Arial"/>
                <w:sz w:val="18"/>
                <w:szCs w:val="18"/>
              </w:rPr>
              <w:t>Public and other services</w:t>
            </w:r>
          </w:p>
        </w:tc>
        <w:tc>
          <w:tcPr>
            <w:tcW w:w="1202" w:type="pct"/>
            <w:shd w:val="clear" w:color="auto" w:fill="auto"/>
            <w:vAlign w:val="center"/>
          </w:tcPr>
          <w:p w14:paraId="0CDDFAB2" w14:textId="7AC4C5F8"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5,000</w:t>
            </w:r>
          </w:p>
        </w:tc>
        <w:tc>
          <w:tcPr>
            <w:tcW w:w="1341" w:type="pct"/>
            <w:shd w:val="clear" w:color="auto" w:fill="auto"/>
            <w:vAlign w:val="center"/>
          </w:tcPr>
          <w:p w14:paraId="3AE72567" w14:textId="69EBA21E"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c>
          <w:tcPr>
            <w:tcW w:w="1149" w:type="pct"/>
            <w:shd w:val="clear" w:color="auto" w:fill="auto"/>
            <w:vAlign w:val="center"/>
          </w:tcPr>
          <w:p w14:paraId="5092B6BC" w14:textId="0FB74FD0" w:rsidR="00536B58" w:rsidRPr="00536B58" w:rsidRDefault="00536B58" w:rsidP="00536B5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sz w:val="18"/>
                <w:szCs w:val="18"/>
              </w:rPr>
              <w:t>0</w:t>
            </w:r>
          </w:p>
        </w:tc>
      </w:tr>
      <w:tr w:rsidR="00536B58" w:rsidRPr="00947616" w14:paraId="733DFB52" w14:textId="77777777" w:rsidTr="00536B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EDC13D5" w14:textId="015EB582" w:rsidR="00536B58" w:rsidRPr="00536B58" w:rsidRDefault="00536B58" w:rsidP="00536B58">
            <w:pPr>
              <w:rPr>
                <w:rFonts w:ascii="Arial" w:hAnsi="Arial" w:cs="Arial"/>
                <w:b/>
                <w:bCs/>
                <w:color w:val="FFFFFF" w:themeColor="background1"/>
                <w:sz w:val="18"/>
                <w:szCs w:val="18"/>
              </w:rPr>
            </w:pPr>
            <w:r w:rsidRPr="00536B58">
              <w:rPr>
                <w:rFonts w:ascii="Arial" w:hAnsi="Arial" w:cs="Arial"/>
                <w:b/>
                <w:bCs/>
                <w:color w:val="FFFFFF" w:themeColor="background1"/>
                <w:sz w:val="18"/>
                <w:szCs w:val="18"/>
              </w:rPr>
              <w:t>Total GL</w:t>
            </w:r>
          </w:p>
        </w:tc>
        <w:tc>
          <w:tcPr>
            <w:tcW w:w="1202" w:type="pct"/>
            <w:shd w:val="clear" w:color="auto" w:fill="006398"/>
            <w:vAlign w:val="center"/>
          </w:tcPr>
          <w:p w14:paraId="0BF1B55D" w14:textId="067D9C28"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b/>
                <w:bCs/>
                <w:color w:val="FFFFFF" w:themeColor="background1"/>
                <w:sz w:val="18"/>
                <w:szCs w:val="18"/>
              </w:rPr>
              <w:t>-3,000</w:t>
            </w:r>
          </w:p>
        </w:tc>
        <w:tc>
          <w:tcPr>
            <w:tcW w:w="1341" w:type="pct"/>
            <w:shd w:val="clear" w:color="auto" w:fill="006398"/>
            <w:vAlign w:val="center"/>
          </w:tcPr>
          <w:p w14:paraId="52C76250" w14:textId="1BDC69D9"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b/>
                <w:bCs/>
                <w:color w:val="FFFFFF" w:themeColor="background1"/>
                <w:sz w:val="18"/>
                <w:szCs w:val="18"/>
              </w:rPr>
              <w:t>598</w:t>
            </w:r>
          </w:p>
        </w:tc>
        <w:tc>
          <w:tcPr>
            <w:tcW w:w="1149" w:type="pct"/>
            <w:shd w:val="clear" w:color="auto" w:fill="006398"/>
            <w:vAlign w:val="center"/>
          </w:tcPr>
          <w:p w14:paraId="46137360" w14:textId="71D56FF6" w:rsidR="00536B58" w:rsidRPr="00536B58" w:rsidRDefault="00536B58" w:rsidP="00536B58">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FFFFFF" w:themeColor="background1"/>
                <w:sz w:val="18"/>
                <w:szCs w:val="18"/>
              </w:rPr>
            </w:pPr>
            <w:r w:rsidRPr="00536B58">
              <w:rPr>
                <w:rFonts w:ascii="Arial" w:hAnsi="Arial" w:cs="Arial"/>
                <w:b/>
                <w:bCs/>
                <w:color w:val="FFFFFF" w:themeColor="background1"/>
                <w:sz w:val="18"/>
                <w:szCs w:val="18"/>
              </w:rPr>
              <w:t>15</w:t>
            </w:r>
          </w:p>
        </w:tc>
      </w:tr>
    </w:tbl>
    <w:p w14:paraId="20355749" w14:textId="77777777" w:rsidR="00BB6C48" w:rsidRDefault="00BB6C48" w:rsidP="00BB6C48">
      <w:pPr>
        <w:jc w:val="both"/>
        <w:rPr>
          <w:lang w:eastAsia="en-US"/>
        </w:rPr>
      </w:pPr>
      <w:r>
        <w:rPr>
          <w:rFonts w:ascii="Arial" w:hAnsi="Arial" w:cs="Arial"/>
          <w:sz w:val="18"/>
          <w:szCs w:val="18"/>
          <w:lang w:eastAsia="en-US"/>
        </w:rPr>
        <w:t>*</w:t>
      </w:r>
      <w:bookmarkStart w:id="88" w:name="_Hlk90732505"/>
      <w:bookmarkStart w:id="89" w:name="_Hlk90732805"/>
      <w:r>
        <w:rPr>
          <w:rFonts w:ascii="Arial" w:hAnsi="Arial" w:cs="Arial"/>
          <w:i/>
          <w:iCs/>
          <w:sz w:val="18"/>
          <w:szCs w:val="18"/>
        </w:rPr>
        <w:t xml:space="preserve">Even though an estimated number of jobs expected to be created following the implementation of the project was not available at the time of writing the report, we estimate that new jobs will inevitably occur and some level of job creation is expected in all counties. </w:t>
      </w:r>
      <w:bookmarkEnd w:id="88"/>
      <w:r>
        <w:rPr>
          <w:rFonts w:ascii="Arial" w:hAnsi="Arial" w:cs="Arial"/>
          <w:i/>
          <w:iCs/>
          <w:sz w:val="18"/>
          <w:szCs w:val="18"/>
        </w:rPr>
        <w:t>However, this information is necessary to be included in the TJTP when support is provided to productive investments in large enterprises in order to demonstrate that the expected job losses would exceed the expected number of jobs created in the absence of the investment and to determine eligibility.</w:t>
      </w:r>
      <w:bookmarkEnd w:id="89"/>
    </w:p>
    <w:p w14:paraId="0D075965" w14:textId="7BFE028B" w:rsidR="0023524A" w:rsidRPr="006C46E5" w:rsidRDefault="00472E96" w:rsidP="00E42342">
      <w:pPr>
        <w:pStyle w:val="Heading2"/>
        <w:numPr>
          <w:ilvl w:val="0"/>
          <w:numId w:val="205"/>
        </w:numPr>
      </w:pPr>
      <w:bookmarkStart w:id="90" w:name="_Toc90725854"/>
      <w:bookmarkEnd w:id="85"/>
      <w:r>
        <w:t>Challenges related to skills mismatch in the affected regions</w:t>
      </w:r>
      <w:bookmarkEnd w:id="90"/>
    </w:p>
    <w:p w14:paraId="77CDFE9C" w14:textId="1B00583D"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 xml:space="preserve">This </w:t>
      </w:r>
      <w:r w:rsidR="004B6689">
        <w:rPr>
          <w:rFonts w:ascii="Arial" w:hAnsi="Arial" w:cs="Arial"/>
          <w:sz w:val="20"/>
          <w:szCs w:val="20"/>
        </w:rPr>
        <w:t>section</w:t>
      </w:r>
      <w:r w:rsidRPr="003516DC">
        <w:rPr>
          <w:rFonts w:ascii="Arial" w:hAnsi="Arial" w:cs="Arial"/>
          <w:sz w:val="20"/>
          <w:szCs w:val="20"/>
        </w:rPr>
        <w:t xml:space="preserve"> provides an analysis of potential “skills mismatch” and sectoral and occupational projections based on the modelling delivered in Task 3 of the project “Support to the Preparation of Territorial Just Transition Plans in Romania” and CEDEFOP’s Skills Panorama database</w:t>
      </w:r>
      <w:r w:rsidRPr="003516DC">
        <w:rPr>
          <w:rStyle w:val="FootnoteReference"/>
          <w:rFonts w:ascii="Arial" w:hAnsi="Arial" w:cs="Arial"/>
          <w:sz w:val="20"/>
          <w:szCs w:val="20"/>
        </w:rPr>
        <w:footnoteReference w:id="29"/>
      </w:r>
      <w:r w:rsidRPr="003516DC">
        <w:rPr>
          <w:rFonts w:ascii="Arial" w:hAnsi="Arial" w:cs="Arial"/>
          <w:sz w:val="20"/>
          <w:szCs w:val="20"/>
        </w:rPr>
        <w:t>. The projections provide insights into projected sector and occupation structure transformations, and thus re-skilling and re-training needs, in the six target regions of the project.</w:t>
      </w:r>
    </w:p>
    <w:p w14:paraId="03E4FCC4" w14:textId="22C50A7B"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“Skills mismatch” refers to a mismatch between the skills available on the labour market and the skills demanded in the labour market. As defined by ILO skills mismatch can occur in multiple, various situations</w:t>
      </w:r>
      <w:r w:rsidRPr="003516DC">
        <w:rPr>
          <w:rStyle w:val="FootnoteReference"/>
          <w:rFonts w:ascii="Arial" w:hAnsi="Arial" w:cs="Arial"/>
          <w:sz w:val="20"/>
          <w:szCs w:val="20"/>
        </w:rPr>
        <w:footnoteReference w:id="30"/>
      </w:r>
      <w:r w:rsidRPr="003516DC">
        <w:rPr>
          <w:rFonts w:ascii="Arial" w:hAnsi="Arial" w:cs="Arial"/>
          <w:sz w:val="20"/>
          <w:szCs w:val="20"/>
        </w:rPr>
        <w:t>. Here we focus on what ILO defines as “skill shortage” and “skill gap”. We analyse changes in the sectoral and occupation composition of employment in the target regions.</w:t>
      </w:r>
    </w:p>
    <w:p w14:paraId="02C19877" w14:textId="3E5A6401"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The section proceed</w:t>
      </w:r>
      <w:r w:rsidR="0084090A">
        <w:rPr>
          <w:rFonts w:ascii="Arial" w:hAnsi="Arial" w:cs="Arial"/>
          <w:sz w:val="20"/>
          <w:szCs w:val="20"/>
        </w:rPr>
        <w:t>s</w:t>
      </w:r>
      <w:r w:rsidRPr="003516DC">
        <w:rPr>
          <w:rFonts w:ascii="Arial" w:hAnsi="Arial" w:cs="Arial"/>
          <w:sz w:val="20"/>
          <w:szCs w:val="20"/>
        </w:rPr>
        <w:t xml:space="preserve"> as follows: first, we briefly introduce the methodology of the analysis, then we provide a brief description of the occupational groups used (adopted from CEDEFOP</w:t>
      </w:r>
      <w:r w:rsidRPr="003516DC">
        <w:rPr>
          <w:rStyle w:val="FootnoteReference"/>
          <w:rFonts w:ascii="Arial" w:hAnsi="Arial" w:cs="Arial"/>
          <w:sz w:val="20"/>
          <w:szCs w:val="20"/>
        </w:rPr>
        <w:footnoteReference w:id="31"/>
      </w:r>
      <w:r w:rsidRPr="003516DC">
        <w:rPr>
          <w:rFonts w:ascii="Arial" w:hAnsi="Arial" w:cs="Arial"/>
          <w:sz w:val="20"/>
          <w:szCs w:val="20"/>
        </w:rPr>
        <w:t xml:space="preserve">). Finally, </w:t>
      </w:r>
      <w:r w:rsidR="00C606EE">
        <w:rPr>
          <w:rFonts w:ascii="Arial" w:hAnsi="Arial" w:cs="Arial"/>
          <w:sz w:val="20"/>
          <w:szCs w:val="20"/>
        </w:rPr>
        <w:t xml:space="preserve">in </w:t>
      </w:r>
      <w:r w:rsidR="00091FE3">
        <w:rPr>
          <w:rFonts w:ascii="Arial" w:hAnsi="Arial" w:cs="Arial"/>
          <w:sz w:val="20"/>
          <w:szCs w:val="20"/>
        </w:rPr>
        <w:t>chapter</w:t>
      </w:r>
      <w:r w:rsidR="00C606EE">
        <w:rPr>
          <w:rFonts w:ascii="Arial" w:hAnsi="Arial" w:cs="Arial"/>
          <w:sz w:val="20"/>
          <w:szCs w:val="20"/>
        </w:rPr>
        <w:t>s 3–8 of the current deliverable</w:t>
      </w:r>
      <w:r w:rsidR="0084090A">
        <w:rPr>
          <w:rFonts w:ascii="Arial" w:hAnsi="Arial" w:cs="Arial"/>
          <w:sz w:val="20"/>
          <w:szCs w:val="20"/>
        </w:rPr>
        <w:t>,</w:t>
      </w:r>
      <w:r w:rsidR="00C606EE">
        <w:rPr>
          <w:rFonts w:ascii="Arial" w:hAnsi="Arial" w:cs="Arial"/>
          <w:sz w:val="20"/>
          <w:szCs w:val="20"/>
        </w:rPr>
        <w:t xml:space="preserve"> </w:t>
      </w:r>
      <w:r w:rsidRPr="003516DC">
        <w:rPr>
          <w:rFonts w:ascii="Arial" w:hAnsi="Arial" w:cs="Arial"/>
          <w:sz w:val="20"/>
          <w:szCs w:val="20"/>
        </w:rPr>
        <w:t>we discuss the results of the analysis in a region-by-region fashion.</w:t>
      </w:r>
    </w:p>
    <w:p w14:paraId="7AFE4491" w14:textId="77777777" w:rsidR="00E755F8" w:rsidRPr="00A64776" w:rsidRDefault="00E755F8" w:rsidP="00E42342">
      <w:pPr>
        <w:pStyle w:val="Heading3"/>
        <w:numPr>
          <w:ilvl w:val="0"/>
          <w:numId w:val="206"/>
        </w:numPr>
        <w:rPr>
          <w:b w:val="0"/>
          <w:bCs/>
        </w:rPr>
      </w:pPr>
      <w:r w:rsidRPr="00A64776">
        <w:rPr>
          <w:b w:val="0"/>
          <w:bCs/>
        </w:rPr>
        <w:t>Brief description of the methodology used</w:t>
      </w:r>
    </w:p>
    <w:p w14:paraId="214B816D" w14:textId="317586B1"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In the analysis we use projected changes in employment structures together with the observed occupational structure of the industries to project occupational changes and needs for re-skilling, re-training and remaining employment gaps (</w:t>
      </w:r>
      <w:r w:rsidR="00510E4B" w:rsidRPr="003516DC">
        <w:rPr>
          <w:rFonts w:ascii="Arial" w:hAnsi="Arial" w:cs="Arial"/>
          <w:sz w:val="20"/>
          <w:szCs w:val="20"/>
        </w:rPr>
        <w:t>i.e.,</w:t>
      </w:r>
      <w:r w:rsidRPr="003516DC">
        <w:rPr>
          <w:rFonts w:ascii="Arial" w:hAnsi="Arial" w:cs="Arial"/>
          <w:sz w:val="20"/>
          <w:szCs w:val="20"/>
        </w:rPr>
        <w:t xml:space="preserve"> unemployment).</w:t>
      </w:r>
    </w:p>
    <w:p w14:paraId="66D8C8AA" w14:textId="04BCF80A" w:rsidR="00E755F8" w:rsidRPr="003516DC" w:rsidRDefault="00F61F0F" w:rsidP="006C46E5">
      <w:pPr>
        <w:spacing w:after="120"/>
        <w:jc w:val="both"/>
        <w:rPr>
          <w:rFonts w:ascii="Arial" w:hAnsi="Arial" w:cs="Arial"/>
          <w:sz w:val="20"/>
          <w:szCs w:val="20"/>
        </w:rPr>
      </w:pPr>
      <w:r w:rsidRPr="003516DC">
        <w:rPr>
          <w:rFonts w:ascii="Arial" w:hAnsi="Arial" w:cs="Arial"/>
          <w:sz w:val="20"/>
          <w:szCs w:val="20"/>
        </w:rPr>
        <w:lastRenderedPageBreak/>
        <w:t>For</w:t>
      </w:r>
      <w:r w:rsidR="00E755F8" w:rsidRPr="003516DC">
        <w:rPr>
          <w:rFonts w:ascii="Arial" w:hAnsi="Arial" w:cs="Arial"/>
          <w:sz w:val="20"/>
          <w:szCs w:val="20"/>
        </w:rPr>
        <w:t xml:space="preserve"> the analysis, the Green Deal scenario was chosen because it has more pronounced impacts and</w:t>
      </w:r>
      <w:r>
        <w:rPr>
          <w:rFonts w:ascii="Arial" w:hAnsi="Arial" w:cs="Arial"/>
          <w:sz w:val="20"/>
          <w:szCs w:val="20"/>
        </w:rPr>
        <w:t>,</w:t>
      </w:r>
      <w:r w:rsidR="00E755F8" w:rsidRPr="003516DC">
        <w:rPr>
          <w:rFonts w:ascii="Arial" w:hAnsi="Arial" w:cs="Arial"/>
          <w:sz w:val="20"/>
          <w:szCs w:val="20"/>
        </w:rPr>
        <w:t xml:space="preserve"> in general</w:t>
      </w:r>
      <w:r>
        <w:rPr>
          <w:rFonts w:ascii="Arial" w:hAnsi="Arial" w:cs="Arial"/>
          <w:sz w:val="20"/>
          <w:szCs w:val="20"/>
        </w:rPr>
        <w:t>,</w:t>
      </w:r>
      <w:r w:rsidR="00E755F8" w:rsidRPr="003516DC">
        <w:rPr>
          <w:rFonts w:ascii="Arial" w:hAnsi="Arial" w:cs="Arial"/>
          <w:sz w:val="20"/>
          <w:szCs w:val="20"/>
        </w:rPr>
        <w:t xml:space="preserve"> leads to a more ambitious transition. It also leads to a larger-scale transition in the labour market</w:t>
      </w:r>
      <w:r>
        <w:rPr>
          <w:rFonts w:ascii="Arial" w:hAnsi="Arial" w:cs="Arial"/>
          <w:sz w:val="20"/>
          <w:szCs w:val="20"/>
        </w:rPr>
        <w:t xml:space="preserve"> and was therefore deemed important.</w:t>
      </w:r>
    </w:p>
    <w:p w14:paraId="25971958" w14:textId="76DE6AF1" w:rsidR="00E755F8" w:rsidRDefault="00E755F8" w:rsidP="006C46E5">
      <w:pPr>
        <w:spacing w:after="120"/>
        <w:jc w:val="both"/>
        <w:rPr>
          <w:rFonts w:ascii="Arial" w:hAnsi="Arial" w:cs="Arial"/>
          <w:sz w:val="20"/>
          <w:szCs w:val="20"/>
        </w:rPr>
      </w:pPr>
      <w:r w:rsidRPr="003516DC">
        <w:rPr>
          <w:rFonts w:ascii="Arial" w:hAnsi="Arial" w:cs="Arial"/>
          <w:sz w:val="20"/>
          <w:szCs w:val="20"/>
        </w:rPr>
        <w:t>We can categori</w:t>
      </w:r>
      <w:r w:rsidR="00F61F0F">
        <w:rPr>
          <w:rFonts w:ascii="Arial" w:hAnsi="Arial" w:cs="Arial"/>
          <w:sz w:val="20"/>
          <w:szCs w:val="20"/>
        </w:rPr>
        <w:t>s</w:t>
      </w:r>
      <w:r w:rsidRPr="003516DC">
        <w:rPr>
          <w:rFonts w:ascii="Arial" w:hAnsi="Arial" w:cs="Arial"/>
          <w:sz w:val="20"/>
          <w:szCs w:val="20"/>
        </w:rPr>
        <w:t>e possible employment movements/mobility needs into four categories, defined as:</w:t>
      </w:r>
    </w:p>
    <w:p w14:paraId="30B41AEA" w14:textId="529165D9" w:rsidR="00E755F8" w:rsidRPr="003516DC" w:rsidRDefault="00E755F8" w:rsidP="00E755F8">
      <w:pPr>
        <w:pStyle w:val="Caption"/>
      </w:pPr>
      <w:bookmarkStart w:id="91" w:name="_Toc90725971"/>
      <w:bookmarkStart w:id="92" w:name="_Toc9072726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17</w:t>
      </w:r>
      <w:r w:rsidRPr="003516DC">
        <w:rPr>
          <w:noProof/>
        </w:rPr>
        <w:fldChar w:fldCharType="end"/>
      </w:r>
      <w:r w:rsidRPr="003516DC">
        <w:t>: Illustrative categori</w:t>
      </w:r>
      <w:r w:rsidR="004E7B64">
        <w:t>sation</w:t>
      </w:r>
      <w:r w:rsidRPr="003516DC">
        <w:t xml:space="preserve"> of potential job change outcomes</w:t>
      </w:r>
      <w:bookmarkEnd w:id="91"/>
      <w:bookmarkEnd w:id="92"/>
    </w:p>
    <w:tbl>
      <w:tblPr>
        <w:tblStyle w:val="TableGrid"/>
        <w:tblW w:w="5000" w:type="pct"/>
        <w:tblLook w:val="04A0" w:firstRow="1" w:lastRow="0" w:firstColumn="1" w:lastColumn="0" w:noHBand="0" w:noVBand="1"/>
      </w:tblPr>
      <w:tblGrid>
        <w:gridCol w:w="600"/>
        <w:gridCol w:w="600"/>
        <w:gridCol w:w="3867"/>
        <w:gridCol w:w="3867"/>
      </w:tblGrid>
      <w:tr w:rsidR="00E755F8" w:rsidRPr="003516DC" w14:paraId="2C7AFF82" w14:textId="77777777" w:rsidTr="00964831">
        <w:tc>
          <w:tcPr>
            <w:tcW w:w="336" w:type="pct"/>
            <w:tcBorders>
              <w:top w:val="nil"/>
              <w:left w:val="nil"/>
              <w:bottom w:val="nil"/>
              <w:right w:val="nil"/>
            </w:tcBorders>
          </w:tcPr>
          <w:p w14:paraId="0879439A" w14:textId="77777777" w:rsidR="00E755F8" w:rsidRPr="003516DC" w:rsidRDefault="00E755F8" w:rsidP="00964831">
            <w:pPr>
              <w:rPr>
                <w:rFonts w:ascii="Arial" w:hAnsi="Arial" w:cs="Arial"/>
                <w:sz w:val="18"/>
                <w:szCs w:val="18"/>
              </w:rPr>
            </w:pPr>
          </w:p>
        </w:tc>
        <w:tc>
          <w:tcPr>
            <w:tcW w:w="336" w:type="pct"/>
            <w:tcBorders>
              <w:top w:val="nil"/>
              <w:left w:val="nil"/>
              <w:bottom w:val="nil"/>
              <w:right w:val="single" w:sz="4" w:space="0" w:color="000000"/>
            </w:tcBorders>
          </w:tcPr>
          <w:p w14:paraId="2F230E17" w14:textId="77777777" w:rsidR="00E755F8" w:rsidRPr="003516DC" w:rsidRDefault="00E755F8" w:rsidP="00964831">
            <w:pPr>
              <w:rPr>
                <w:rFonts w:ascii="Arial" w:hAnsi="Arial" w:cs="Arial"/>
                <w:sz w:val="18"/>
                <w:szCs w:val="18"/>
              </w:rPr>
            </w:pPr>
          </w:p>
        </w:tc>
        <w:tc>
          <w:tcPr>
            <w:tcW w:w="4328" w:type="pct"/>
            <w:gridSpan w:val="2"/>
            <w:tcBorders>
              <w:left w:val="single" w:sz="4" w:space="0" w:color="000000"/>
            </w:tcBorders>
            <w:vAlign w:val="center"/>
          </w:tcPr>
          <w:p w14:paraId="6EE04319" w14:textId="77777777" w:rsidR="00E755F8" w:rsidRPr="003516DC" w:rsidRDefault="00E755F8" w:rsidP="00964831">
            <w:pPr>
              <w:jc w:val="center"/>
              <w:rPr>
                <w:rFonts w:ascii="Arial" w:hAnsi="Arial" w:cs="Arial"/>
                <w:sz w:val="18"/>
                <w:szCs w:val="18"/>
              </w:rPr>
            </w:pPr>
            <w:r w:rsidRPr="003516DC">
              <w:rPr>
                <w:rFonts w:ascii="Arial" w:hAnsi="Arial" w:cs="Arial"/>
                <w:sz w:val="18"/>
                <w:szCs w:val="18"/>
              </w:rPr>
              <w:t>Occupation</w:t>
            </w:r>
          </w:p>
        </w:tc>
      </w:tr>
      <w:tr w:rsidR="00E755F8" w:rsidRPr="003516DC" w14:paraId="2B7C9666" w14:textId="77777777" w:rsidTr="00964831">
        <w:tc>
          <w:tcPr>
            <w:tcW w:w="336" w:type="pct"/>
            <w:tcBorders>
              <w:top w:val="nil"/>
              <w:left w:val="nil"/>
              <w:bottom w:val="single" w:sz="4" w:space="0" w:color="000000"/>
              <w:right w:val="nil"/>
            </w:tcBorders>
          </w:tcPr>
          <w:p w14:paraId="05A8E796" w14:textId="77777777" w:rsidR="00E755F8" w:rsidRPr="003516DC" w:rsidRDefault="00E755F8" w:rsidP="00964831">
            <w:pPr>
              <w:rPr>
                <w:rFonts w:ascii="Arial" w:hAnsi="Arial" w:cs="Arial"/>
                <w:sz w:val="18"/>
                <w:szCs w:val="18"/>
              </w:rPr>
            </w:pPr>
          </w:p>
        </w:tc>
        <w:tc>
          <w:tcPr>
            <w:tcW w:w="336" w:type="pct"/>
            <w:tcBorders>
              <w:top w:val="nil"/>
              <w:left w:val="nil"/>
              <w:bottom w:val="single" w:sz="4" w:space="0" w:color="000000"/>
              <w:right w:val="single" w:sz="4" w:space="0" w:color="000000"/>
            </w:tcBorders>
          </w:tcPr>
          <w:p w14:paraId="3BC9124D" w14:textId="77777777" w:rsidR="00E755F8" w:rsidRPr="003516DC" w:rsidRDefault="00E755F8" w:rsidP="00964831">
            <w:pPr>
              <w:rPr>
                <w:rFonts w:ascii="Arial" w:hAnsi="Arial" w:cs="Arial"/>
                <w:sz w:val="18"/>
                <w:szCs w:val="18"/>
              </w:rPr>
            </w:pPr>
          </w:p>
        </w:tc>
        <w:tc>
          <w:tcPr>
            <w:tcW w:w="2164" w:type="pct"/>
            <w:tcBorders>
              <w:left w:val="single" w:sz="4" w:space="0" w:color="000000"/>
            </w:tcBorders>
            <w:vAlign w:val="center"/>
          </w:tcPr>
          <w:p w14:paraId="2BCFDF47" w14:textId="77777777" w:rsidR="00E755F8" w:rsidRPr="003516DC" w:rsidRDefault="00E755F8" w:rsidP="00964831">
            <w:pPr>
              <w:jc w:val="center"/>
              <w:rPr>
                <w:rFonts w:ascii="Arial" w:hAnsi="Arial" w:cs="Arial"/>
                <w:sz w:val="18"/>
                <w:szCs w:val="18"/>
              </w:rPr>
            </w:pPr>
            <w:r w:rsidRPr="003516DC">
              <w:rPr>
                <w:rFonts w:ascii="Arial" w:hAnsi="Arial" w:cs="Arial"/>
                <w:sz w:val="18"/>
                <w:szCs w:val="18"/>
              </w:rPr>
              <w:t>Current</w:t>
            </w:r>
          </w:p>
        </w:tc>
        <w:tc>
          <w:tcPr>
            <w:tcW w:w="2164" w:type="pct"/>
            <w:vAlign w:val="center"/>
          </w:tcPr>
          <w:p w14:paraId="60B56F52" w14:textId="77777777" w:rsidR="00E755F8" w:rsidRPr="003516DC" w:rsidRDefault="00E755F8" w:rsidP="00964831">
            <w:pPr>
              <w:jc w:val="center"/>
              <w:rPr>
                <w:rFonts w:ascii="Arial" w:hAnsi="Arial" w:cs="Arial"/>
                <w:sz w:val="18"/>
                <w:szCs w:val="18"/>
              </w:rPr>
            </w:pPr>
            <w:r w:rsidRPr="003516DC">
              <w:rPr>
                <w:rFonts w:ascii="Arial" w:hAnsi="Arial" w:cs="Arial"/>
                <w:sz w:val="18"/>
                <w:szCs w:val="18"/>
              </w:rPr>
              <w:t>New</w:t>
            </w:r>
          </w:p>
        </w:tc>
      </w:tr>
      <w:tr w:rsidR="00E755F8" w:rsidRPr="003516DC" w14:paraId="7280D462" w14:textId="77777777" w:rsidTr="00964831">
        <w:trPr>
          <w:trHeight w:val="850"/>
        </w:trPr>
        <w:tc>
          <w:tcPr>
            <w:tcW w:w="336" w:type="pct"/>
            <w:vMerge w:val="restart"/>
            <w:tcBorders>
              <w:top w:val="single" w:sz="4" w:space="0" w:color="000000"/>
            </w:tcBorders>
            <w:textDirection w:val="btLr"/>
            <w:vAlign w:val="center"/>
          </w:tcPr>
          <w:p w14:paraId="65A29953" w14:textId="77777777" w:rsidR="00E755F8" w:rsidRPr="003516DC" w:rsidRDefault="00E755F8" w:rsidP="00964831">
            <w:pPr>
              <w:ind w:left="113" w:right="113"/>
              <w:jc w:val="center"/>
              <w:rPr>
                <w:rFonts w:ascii="Arial" w:hAnsi="Arial" w:cs="Arial"/>
                <w:sz w:val="18"/>
                <w:szCs w:val="18"/>
              </w:rPr>
            </w:pPr>
            <w:r w:rsidRPr="003516DC">
              <w:rPr>
                <w:rFonts w:ascii="Arial" w:hAnsi="Arial" w:cs="Arial"/>
                <w:sz w:val="18"/>
                <w:szCs w:val="18"/>
              </w:rPr>
              <w:t>Sector</w:t>
            </w:r>
          </w:p>
        </w:tc>
        <w:tc>
          <w:tcPr>
            <w:tcW w:w="336" w:type="pct"/>
            <w:tcBorders>
              <w:top w:val="single" w:sz="4" w:space="0" w:color="000000"/>
            </w:tcBorders>
            <w:textDirection w:val="btLr"/>
            <w:vAlign w:val="center"/>
          </w:tcPr>
          <w:p w14:paraId="29E0EFED" w14:textId="77777777" w:rsidR="00E755F8" w:rsidRPr="003516DC" w:rsidRDefault="00E755F8" w:rsidP="00964831">
            <w:pPr>
              <w:ind w:left="113" w:right="113"/>
              <w:jc w:val="center"/>
              <w:rPr>
                <w:rFonts w:ascii="Arial" w:hAnsi="Arial" w:cs="Arial"/>
                <w:sz w:val="18"/>
                <w:szCs w:val="18"/>
              </w:rPr>
            </w:pPr>
            <w:r w:rsidRPr="003516DC">
              <w:rPr>
                <w:rFonts w:ascii="Arial" w:hAnsi="Arial" w:cs="Arial"/>
                <w:sz w:val="18"/>
                <w:szCs w:val="18"/>
              </w:rPr>
              <w:t>Current</w:t>
            </w:r>
          </w:p>
        </w:tc>
        <w:tc>
          <w:tcPr>
            <w:tcW w:w="2164" w:type="pct"/>
            <w:shd w:val="clear" w:color="auto" w:fill="auto"/>
            <w:vAlign w:val="center"/>
          </w:tcPr>
          <w:p w14:paraId="35612AB8" w14:textId="77777777" w:rsidR="00E755F8" w:rsidRPr="003516DC" w:rsidRDefault="00E755F8" w:rsidP="00964831">
            <w:pPr>
              <w:jc w:val="center"/>
              <w:rPr>
                <w:rFonts w:ascii="Arial" w:hAnsi="Arial" w:cs="Arial"/>
                <w:sz w:val="18"/>
                <w:szCs w:val="18"/>
              </w:rPr>
            </w:pPr>
            <w:r w:rsidRPr="003516DC">
              <w:rPr>
                <w:rFonts w:ascii="Arial" w:hAnsi="Arial" w:cs="Arial"/>
                <w:sz w:val="18"/>
                <w:szCs w:val="18"/>
              </w:rPr>
              <w:t>No change</w:t>
            </w:r>
          </w:p>
        </w:tc>
        <w:tc>
          <w:tcPr>
            <w:tcW w:w="2164" w:type="pct"/>
            <w:shd w:val="clear" w:color="auto" w:fill="D9D9D9" w:themeFill="background1" w:themeFillShade="D9"/>
            <w:vAlign w:val="center"/>
          </w:tcPr>
          <w:p w14:paraId="6BB0A397" w14:textId="77777777" w:rsidR="00E755F8" w:rsidRPr="003516DC" w:rsidRDefault="00E755F8" w:rsidP="00964831">
            <w:pPr>
              <w:jc w:val="center"/>
              <w:rPr>
                <w:rFonts w:ascii="Arial" w:hAnsi="Arial" w:cs="Arial"/>
                <w:sz w:val="18"/>
                <w:szCs w:val="18"/>
              </w:rPr>
            </w:pPr>
            <w:r w:rsidRPr="003516DC">
              <w:rPr>
                <w:rFonts w:ascii="Arial" w:hAnsi="Arial" w:cs="Arial"/>
                <w:sz w:val="18"/>
                <w:szCs w:val="18"/>
              </w:rPr>
              <w:t>Not projected</w:t>
            </w:r>
          </w:p>
        </w:tc>
      </w:tr>
      <w:tr w:rsidR="00E755F8" w:rsidRPr="003516DC" w14:paraId="5B7C2F6A" w14:textId="77777777" w:rsidTr="00964831">
        <w:trPr>
          <w:cantSplit/>
          <w:trHeight w:val="850"/>
        </w:trPr>
        <w:tc>
          <w:tcPr>
            <w:tcW w:w="336" w:type="pct"/>
            <w:vMerge/>
            <w:textDirection w:val="btLr"/>
          </w:tcPr>
          <w:p w14:paraId="5360AF9B" w14:textId="77777777" w:rsidR="00E755F8" w:rsidRPr="003516DC" w:rsidRDefault="00E755F8" w:rsidP="00964831">
            <w:pPr>
              <w:ind w:left="113" w:right="113"/>
              <w:rPr>
                <w:rFonts w:ascii="Arial" w:hAnsi="Arial" w:cs="Arial"/>
                <w:sz w:val="18"/>
                <w:szCs w:val="18"/>
              </w:rPr>
            </w:pPr>
          </w:p>
        </w:tc>
        <w:tc>
          <w:tcPr>
            <w:tcW w:w="336" w:type="pct"/>
            <w:textDirection w:val="btLr"/>
            <w:vAlign w:val="center"/>
          </w:tcPr>
          <w:p w14:paraId="3F3DBED3" w14:textId="77777777" w:rsidR="00E755F8" w:rsidRPr="003516DC" w:rsidRDefault="00E755F8" w:rsidP="00964831">
            <w:pPr>
              <w:ind w:left="113" w:right="113"/>
              <w:jc w:val="center"/>
              <w:rPr>
                <w:rFonts w:ascii="Arial" w:hAnsi="Arial" w:cs="Arial"/>
                <w:sz w:val="18"/>
                <w:szCs w:val="18"/>
              </w:rPr>
            </w:pPr>
            <w:r w:rsidRPr="003516DC">
              <w:rPr>
                <w:rFonts w:ascii="Arial" w:hAnsi="Arial" w:cs="Arial"/>
                <w:sz w:val="18"/>
                <w:szCs w:val="18"/>
              </w:rPr>
              <w:t>New</w:t>
            </w:r>
          </w:p>
        </w:tc>
        <w:tc>
          <w:tcPr>
            <w:tcW w:w="2164" w:type="pct"/>
            <w:shd w:val="clear" w:color="auto" w:fill="D5E524"/>
            <w:vAlign w:val="center"/>
          </w:tcPr>
          <w:p w14:paraId="3ECE859C" w14:textId="77777777" w:rsidR="00E755F8" w:rsidRPr="003516DC" w:rsidRDefault="00E755F8" w:rsidP="00964831">
            <w:pPr>
              <w:jc w:val="center"/>
              <w:rPr>
                <w:rFonts w:ascii="Arial" w:hAnsi="Arial" w:cs="Arial"/>
                <w:b/>
                <w:bCs/>
                <w:sz w:val="18"/>
                <w:szCs w:val="18"/>
              </w:rPr>
            </w:pPr>
            <w:r w:rsidRPr="003516DC">
              <w:rPr>
                <w:rFonts w:ascii="Arial" w:hAnsi="Arial" w:cs="Arial"/>
                <w:i/>
                <w:iCs/>
                <w:sz w:val="18"/>
                <w:szCs w:val="18"/>
              </w:rPr>
              <w:t>Potential skill gap</w:t>
            </w:r>
            <w:r w:rsidRPr="003516DC">
              <w:rPr>
                <w:rFonts w:ascii="Arial" w:hAnsi="Arial" w:cs="Arial"/>
                <w:b/>
                <w:bCs/>
                <w:sz w:val="18"/>
                <w:szCs w:val="18"/>
              </w:rPr>
              <w:br/>
              <w:t xml:space="preserve">Re-skilling </w:t>
            </w:r>
            <w:r w:rsidRPr="003516DC">
              <w:rPr>
                <w:rFonts w:ascii="Arial" w:hAnsi="Arial" w:cs="Arial"/>
                <w:b/>
                <w:bCs/>
                <w:sz w:val="18"/>
                <w:szCs w:val="18"/>
              </w:rPr>
              <w:br/>
              <w:t>within occupation</w:t>
            </w:r>
          </w:p>
        </w:tc>
        <w:tc>
          <w:tcPr>
            <w:tcW w:w="2164" w:type="pct"/>
            <w:shd w:val="clear" w:color="auto" w:fill="D8839E"/>
            <w:vAlign w:val="center"/>
          </w:tcPr>
          <w:p w14:paraId="13E88D2A" w14:textId="77777777" w:rsidR="00E755F8" w:rsidRPr="003516DC" w:rsidRDefault="00E755F8" w:rsidP="00964831">
            <w:pPr>
              <w:jc w:val="center"/>
              <w:rPr>
                <w:rFonts w:ascii="Arial" w:hAnsi="Arial" w:cs="Arial"/>
                <w:b/>
                <w:bCs/>
                <w:sz w:val="18"/>
                <w:szCs w:val="18"/>
              </w:rPr>
            </w:pPr>
            <w:r w:rsidRPr="003516DC">
              <w:rPr>
                <w:rFonts w:ascii="Arial" w:hAnsi="Arial" w:cs="Arial"/>
                <w:i/>
                <w:iCs/>
                <w:sz w:val="18"/>
                <w:szCs w:val="18"/>
              </w:rPr>
              <w:t>Potential skill shortage</w:t>
            </w:r>
            <w:r w:rsidRPr="003516DC">
              <w:rPr>
                <w:rFonts w:ascii="Arial" w:hAnsi="Arial" w:cs="Arial"/>
                <w:b/>
                <w:bCs/>
                <w:sz w:val="18"/>
                <w:szCs w:val="18"/>
              </w:rPr>
              <w:br/>
              <w:t xml:space="preserve">Re-training </w:t>
            </w:r>
            <w:r w:rsidRPr="003516DC">
              <w:rPr>
                <w:rFonts w:ascii="Arial" w:hAnsi="Arial" w:cs="Arial"/>
                <w:b/>
                <w:bCs/>
                <w:sz w:val="18"/>
                <w:szCs w:val="18"/>
              </w:rPr>
              <w:br/>
              <w:t>sector and occupation</w:t>
            </w:r>
          </w:p>
        </w:tc>
      </w:tr>
    </w:tbl>
    <w:p w14:paraId="4633E753" w14:textId="77777777" w:rsidR="00E755F8" w:rsidRPr="003516DC" w:rsidRDefault="00E755F8" w:rsidP="00E755F8">
      <w:pPr>
        <w:rPr>
          <w:rFonts w:ascii="Arial" w:hAnsi="Arial" w:cs="Arial"/>
        </w:rPr>
      </w:pPr>
    </w:p>
    <w:p w14:paraId="7D026BC3" w14:textId="2F61231D"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To determine occupational mismatch and therefore identify re-skilling and re-training needs based on projected trends we develop a methodology to match region level occupational changes to sector level projected employment changes.</w:t>
      </w:r>
    </w:p>
    <w:p w14:paraId="01BA9B71" w14:textId="3C8CCB1B"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We use regional and sectoral employment projections from the modelling done in D3 using the E3ME macroeconometric model</w:t>
      </w:r>
      <w:r w:rsidRPr="003516DC">
        <w:rPr>
          <w:rStyle w:val="FootnoteReference"/>
          <w:rFonts w:ascii="Arial" w:hAnsi="Arial" w:cs="Arial"/>
          <w:sz w:val="20"/>
          <w:szCs w:val="20"/>
        </w:rPr>
        <w:footnoteReference w:id="32"/>
      </w:r>
      <w:r w:rsidRPr="003516DC">
        <w:rPr>
          <w:rFonts w:ascii="Arial" w:hAnsi="Arial" w:cs="Arial"/>
          <w:sz w:val="20"/>
          <w:szCs w:val="20"/>
        </w:rPr>
        <w:t xml:space="preserve"> and its regional extension E3ME-TRE (which builds on the method described by Mayor et al</w:t>
      </w:r>
      <w:r w:rsidRPr="003516DC">
        <w:rPr>
          <w:rStyle w:val="FootnoteReference"/>
          <w:rFonts w:ascii="Arial" w:hAnsi="Arial" w:cs="Arial"/>
          <w:sz w:val="20"/>
          <w:szCs w:val="20"/>
        </w:rPr>
        <w:footnoteReference w:id="33"/>
      </w:r>
      <w:r w:rsidRPr="003516DC">
        <w:rPr>
          <w:rFonts w:ascii="Arial" w:hAnsi="Arial" w:cs="Arial"/>
          <w:sz w:val="20"/>
          <w:szCs w:val="20"/>
        </w:rPr>
        <w:t xml:space="preserve"> for regional estimation) to obtain regional-sectoral estimates. The projection methods are described in detail in D3 “Report on the Transition Process to Climate Neutrality in Romania”. Then we use data for Romania from the Skills Panorama database</w:t>
      </w:r>
      <w:r w:rsidRPr="003516DC">
        <w:rPr>
          <w:rStyle w:val="FootnoteReference"/>
          <w:rFonts w:ascii="Arial" w:hAnsi="Arial" w:cs="Arial"/>
          <w:sz w:val="20"/>
          <w:szCs w:val="20"/>
        </w:rPr>
        <w:footnoteReference w:id="34"/>
      </w:r>
      <w:r w:rsidRPr="003516DC">
        <w:rPr>
          <w:rFonts w:ascii="Arial" w:hAnsi="Arial" w:cs="Arial"/>
          <w:sz w:val="20"/>
          <w:szCs w:val="20"/>
        </w:rPr>
        <w:t xml:space="preserve"> to match sectoral changes to occupation level changes. We do this by sharing out projected changes (from 2018 sectoral employment data) across occupational categories using the CEDEFOP reported national occupational structure of the relevant sectors.</w:t>
      </w:r>
    </w:p>
    <w:p w14:paraId="2015FB00" w14:textId="6A1A3545" w:rsidR="00E755F8" w:rsidRPr="00E755F8" w:rsidRDefault="00E755F8" w:rsidP="006C46E5">
      <w:pPr>
        <w:spacing w:after="120"/>
        <w:jc w:val="both"/>
        <w:rPr>
          <w:rFonts w:ascii="Arial" w:hAnsi="Arial" w:cs="Arial"/>
          <w:sz w:val="20"/>
          <w:szCs w:val="20"/>
        </w:rPr>
      </w:pPr>
      <w:r w:rsidRPr="003516DC">
        <w:rPr>
          <w:rFonts w:ascii="Arial" w:hAnsi="Arial" w:cs="Arial"/>
          <w:sz w:val="20"/>
          <w:szCs w:val="20"/>
        </w:rPr>
        <w:t>To simplify assumptions, we assume that the overall occupational structure of the individual sectors does not change, and that the occupational composition of sectors is equal across regions.</w:t>
      </w:r>
      <w:r w:rsidR="00121B47">
        <w:rPr>
          <w:rFonts w:ascii="Arial" w:hAnsi="Arial" w:cs="Arial"/>
          <w:sz w:val="20"/>
          <w:szCs w:val="20"/>
        </w:rPr>
        <w:t xml:space="preserve"> </w:t>
      </w:r>
      <w:r w:rsidR="00121B47" w:rsidRPr="00121B47">
        <w:rPr>
          <w:rFonts w:ascii="Arial" w:hAnsi="Arial" w:cs="Arial"/>
          <w:sz w:val="20"/>
          <w:szCs w:val="20"/>
        </w:rPr>
        <w:t>The analysis is</w:t>
      </w:r>
      <w:r w:rsidR="00A06BD4">
        <w:rPr>
          <w:rFonts w:ascii="Arial" w:hAnsi="Arial" w:cs="Arial"/>
          <w:sz w:val="20"/>
          <w:szCs w:val="20"/>
        </w:rPr>
        <w:t xml:space="preserve"> intended</w:t>
      </w:r>
      <w:r w:rsidR="00121B47" w:rsidRPr="00121B47">
        <w:rPr>
          <w:rFonts w:ascii="Arial" w:hAnsi="Arial" w:cs="Arial"/>
          <w:sz w:val="20"/>
          <w:szCs w:val="20"/>
        </w:rPr>
        <w:t xml:space="preserve"> to </w:t>
      </w:r>
      <w:r w:rsidR="00A06BD4">
        <w:rPr>
          <w:rFonts w:ascii="Arial" w:hAnsi="Arial" w:cs="Arial"/>
          <w:sz w:val="20"/>
          <w:szCs w:val="20"/>
        </w:rPr>
        <w:t>highlight</w:t>
      </w:r>
      <w:r w:rsidR="00121B47" w:rsidRPr="00121B47">
        <w:rPr>
          <w:rFonts w:ascii="Arial" w:hAnsi="Arial" w:cs="Arial"/>
          <w:sz w:val="20"/>
          <w:szCs w:val="20"/>
        </w:rPr>
        <w:t xml:space="preserve"> the needs for cross-occupation within sector and cross-sector labour transition needs. Analysis of within</w:t>
      </w:r>
      <w:r w:rsidR="00A06BD4">
        <w:rPr>
          <w:rFonts w:ascii="Arial" w:hAnsi="Arial" w:cs="Arial"/>
          <w:sz w:val="20"/>
          <w:szCs w:val="20"/>
        </w:rPr>
        <w:t>-</w:t>
      </w:r>
      <w:r w:rsidR="00121B47" w:rsidRPr="00121B47">
        <w:rPr>
          <w:rFonts w:ascii="Arial" w:hAnsi="Arial" w:cs="Arial"/>
          <w:sz w:val="20"/>
          <w:szCs w:val="20"/>
        </w:rPr>
        <w:t>sector occupational restructuring and the transformation of skills needs within occupations was outside of the scope of the analysis.</w:t>
      </w:r>
      <w:r w:rsidRPr="003516DC">
        <w:rPr>
          <w:rFonts w:ascii="Arial" w:hAnsi="Arial" w:cs="Arial"/>
          <w:sz w:val="20"/>
          <w:szCs w:val="20"/>
        </w:rPr>
        <w:t xml:space="preserve"> To illustrate this with an example: if the occupation composition of the retail sector is 50% sales workers and 50% managers in the Skills Panorama data, we assume that the ratio between the occupations will stay the same, e.g., if the sector gains 100 jobs it will be assumed that 50 of those jobs are in sales workers occupations, while 50 of those will be in managerial positions. The “equal composition across regions” assumption further posits that this occupational structure is constant across regions, </w:t>
      </w:r>
      <w:r w:rsidR="00D021AF" w:rsidRPr="003516DC">
        <w:rPr>
          <w:rFonts w:ascii="Arial" w:hAnsi="Arial" w:cs="Arial"/>
          <w:sz w:val="20"/>
          <w:szCs w:val="20"/>
        </w:rPr>
        <w:t>i.e.,</w:t>
      </w:r>
      <w:r w:rsidRPr="003516DC">
        <w:rPr>
          <w:rFonts w:ascii="Arial" w:hAnsi="Arial" w:cs="Arial"/>
          <w:sz w:val="20"/>
          <w:szCs w:val="20"/>
        </w:rPr>
        <w:t xml:space="preserve"> if the national composition of the sector is the above (50-50 in sales and managerial) then the same structure will apply to both </w:t>
      </w:r>
      <w:r w:rsidR="003751DC">
        <w:rPr>
          <w:rFonts w:ascii="Arial" w:hAnsi="Arial" w:cs="Arial"/>
          <w:sz w:val="20"/>
          <w:szCs w:val="20"/>
        </w:rPr>
        <w:t>Galați</w:t>
      </w:r>
      <w:r w:rsidRPr="003516DC">
        <w:rPr>
          <w:rFonts w:ascii="Arial" w:hAnsi="Arial" w:cs="Arial"/>
          <w:sz w:val="20"/>
          <w:szCs w:val="20"/>
        </w:rPr>
        <w:t xml:space="preserve"> or Mureș or Prahova. Finally, when presenting the results, we do not make any assumptions on the openness of the regional labour market: we show differences in absolute employment from 2018. We do not make an assumption on how these jobs are lost or who will be employed in the new jobs created, i.e., if jobs are lost due to internal migration (which will not lead to unemployment on the national level), that is counted as a loss as well as if a factory closes down (which will probably contribute to unemployment). Similarly gains can be realised both as ‘new’ people migrating to the region or current residents finding (new) jobs.</w:t>
      </w:r>
    </w:p>
    <w:p w14:paraId="064AFFB4" w14:textId="77777777" w:rsidR="00E755F8" w:rsidRPr="00A64776" w:rsidRDefault="00E755F8" w:rsidP="00E42342">
      <w:pPr>
        <w:pStyle w:val="Heading3"/>
        <w:numPr>
          <w:ilvl w:val="0"/>
          <w:numId w:val="207"/>
        </w:numPr>
        <w:rPr>
          <w:b w:val="0"/>
          <w:bCs/>
        </w:rPr>
      </w:pPr>
      <w:r w:rsidRPr="00A64776">
        <w:rPr>
          <w:b w:val="0"/>
          <w:bCs/>
        </w:rPr>
        <w:t>Description of the occupational categories</w:t>
      </w:r>
    </w:p>
    <w:p w14:paraId="6A1FC205" w14:textId="0BBBD0AC" w:rsidR="00E755F8" w:rsidRPr="006C46E5" w:rsidRDefault="00E755F8" w:rsidP="006C46E5">
      <w:pPr>
        <w:spacing w:after="120"/>
        <w:jc w:val="both"/>
        <w:rPr>
          <w:rFonts w:ascii="Arial" w:hAnsi="Arial" w:cs="Arial"/>
          <w:sz w:val="20"/>
          <w:szCs w:val="20"/>
        </w:rPr>
      </w:pPr>
      <w:r w:rsidRPr="003516DC">
        <w:rPr>
          <w:rFonts w:ascii="Arial" w:hAnsi="Arial" w:cs="Arial"/>
          <w:sz w:val="20"/>
          <w:szCs w:val="20"/>
        </w:rPr>
        <w:t>The description of the occupation categories is adopted from the definitions of the Skills Panorama database</w:t>
      </w:r>
      <w:r w:rsidRPr="003516DC">
        <w:rPr>
          <w:rStyle w:val="FootnoteReference"/>
          <w:rFonts w:ascii="Arial" w:hAnsi="Arial" w:cs="Arial"/>
          <w:sz w:val="20"/>
          <w:szCs w:val="20"/>
        </w:rPr>
        <w:footnoteReference w:id="35"/>
      </w:r>
      <w:r w:rsidRPr="003516DC">
        <w:rPr>
          <w:rFonts w:ascii="Arial" w:hAnsi="Arial" w:cs="Arial"/>
          <w:sz w:val="20"/>
          <w:szCs w:val="20"/>
        </w:rPr>
        <w:t>. We provide a shortened version of the occupational groups here.</w:t>
      </w:r>
    </w:p>
    <w:p w14:paraId="79DE6434" w14:textId="3F411EA4"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Associate professionals</w:t>
      </w:r>
    </w:p>
    <w:p w14:paraId="04250267" w14:textId="40415058" w:rsidR="00E755F8" w:rsidRPr="006C46E5" w:rsidRDefault="00E755F8" w:rsidP="006C46E5">
      <w:pPr>
        <w:spacing w:after="120"/>
        <w:jc w:val="both"/>
        <w:rPr>
          <w:rFonts w:ascii="Arial" w:hAnsi="Arial" w:cs="Arial"/>
          <w:sz w:val="20"/>
          <w:szCs w:val="20"/>
          <w:lang w:val="en-US"/>
        </w:rPr>
      </w:pPr>
      <w:r w:rsidRPr="003516DC">
        <w:rPr>
          <w:rFonts w:ascii="Arial" w:hAnsi="Arial" w:cs="Arial"/>
          <w:sz w:val="20"/>
          <w:szCs w:val="20"/>
        </w:rPr>
        <w:lastRenderedPageBreak/>
        <w:t xml:space="preserve">Associate professionals perform mostly technical and related tasks connected with research and the application of scientific or artistic concepts and methods, and government or business regulations. Most jobs require knowledge and skills usually obtained as the result of study at a higher educational institution, following completion of secondary education for a period of one to three years. The types of job classified under this heading include: building inspectors, engineering technicians, medical laboratory technicians, aircraft pilots and flight engineers, buyers, office supervisors, photographers, etc. </w:t>
      </w:r>
    </w:p>
    <w:p w14:paraId="322A384E" w14:textId="24B426D9" w:rsidR="00E755F8" w:rsidRPr="006C46E5" w:rsidRDefault="00E755F8" w:rsidP="00603F61">
      <w:pPr>
        <w:keepNext/>
        <w:spacing w:after="120"/>
        <w:jc w:val="both"/>
        <w:rPr>
          <w:rFonts w:ascii="Arial" w:hAnsi="Arial" w:cs="Arial"/>
          <w:i/>
          <w:iCs/>
          <w:color w:val="0070C0"/>
          <w:sz w:val="20"/>
          <w:szCs w:val="20"/>
        </w:rPr>
      </w:pPr>
      <w:r w:rsidRPr="003516DC">
        <w:rPr>
          <w:rFonts w:ascii="Arial" w:hAnsi="Arial" w:cs="Arial"/>
          <w:i/>
          <w:iCs/>
          <w:color w:val="0070C0"/>
          <w:sz w:val="20"/>
          <w:szCs w:val="20"/>
        </w:rPr>
        <w:t>Clerks</w:t>
      </w:r>
    </w:p>
    <w:p w14:paraId="6CFD9545" w14:textId="2E43155F"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Clerks record, organise, store, compute and retrieve information, and perform a number of clerical duties in connection with money-handling operations, travel arrangements, requests for information, and appointments. Their jobs include: typists and word processing operators, bank tellers and related clerks, telephone switchboard operators, receptionists, etc. Most occupations in this major group require completion of the first stage of secondary education, but some occupations will require the completion of the second stage of secondary education.</w:t>
      </w:r>
    </w:p>
    <w:p w14:paraId="5AC28CFD" w14:textId="5E979C60"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Elementary workers</w:t>
      </w:r>
    </w:p>
    <w:p w14:paraId="5D8E7B96" w14:textId="7956F7EC"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Elementary workers involve the performance of simple and routine tasks which may require the use of hand-held tools and considerable physical effort. For competent performance in many elementary occupations, completion of primary education or the first stage of basic education are required. A short period of on-the-job training may be required. Jobs classified as elementary include office cleaners, freight handlers, garden labourers, and kitchen assistants.</w:t>
      </w:r>
    </w:p>
    <w:p w14:paraId="1FD56866" w14:textId="18720BE7"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Farm and related workers</w:t>
      </w:r>
    </w:p>
    <w:p w14:paraId="420FCFCD" w14:textId="6A3F576F"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These jobs are all undertaken in order to provide food, shelter and income for these workers and their households. Most of the jobs they carry out require completion of the first stage of secondary education, but some occupations will require the completion of the second stage of secondary education. The types of jobs carried out by skilled agricultural forestry and fishery workers include: market gardeners; livestock and dairy producers; apiarists and sericulturists; forestry workers; subsistence farmers, fishers, hunters and gatherers; inland and coastal waters fishery workers; deep-sea fishery workers, etc.</w:t>
      </w:r>
    </w:p>
    <w:p w14:paraId="6AD5B6C1" w14:textId="1B0A3836"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Managers</w:t>
      </w:r>
    </w:p>
    <w:p w14:paraId="2066D226" w14:textId="721B1EE5"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Managers plan, direct, coordinate and evaluate the overall activities of organisations, including enterprises and governments. This occupation includes jobs such as chief executives and legislators, and a wide range of managerial roles relating to finance management, administrative management, R&amp;D management, production management, hotel management, etc.</w:t>
      </w:r>
    </w:p>
    <w:p w14:paraId="346C449D" w14:textId="157D28A3"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Operators and assemblers</w:t>
      </w:r>
    </w:p>
    <w:p w14:paraId="2DFDA807" w14:textId="3097402D" w:rsidR="00E755F8" w:rsidRPr="003516DC" w:rsidRDefault="00E755F8" w:rsidP="006C46E5">
      <w:pPr>
        <w:spacing w:after="120"/>
        <w:jc w:val="both"/>
        <w:rPr>
          <w:rFonts w:ascii="Arial" w:hAnsi="Arial" w:cs="Arial"/>
          <w:sz w:val="20"/>
          <w:szCs w:val="20"/>
        </w:rPr>
      </w:pPr>
      <w:r w:rsidRPr="003516DC">
        <w:rPr>
          <w:rFonts w:ascii="Arial" w:hAnsi="Arial" w:cs="Arial"/>
          <w:sz w:val="20"/>
          <w:szCs w:val="20"/>
        </w:rPr>
        <w:t xml:space="preserve">Operators and assemblers operate and monitor industrial and agricultural machinery and equipment; drive and operate trains, and motor vehicles; and assemble products from component parts according to strict specifications and procedures. The work mainly calls for experience with, and an understanding of, industrial and agricultural machinery and equipment as well as an ability to cope with machine-paced operations and to adapt to technological innovations. Most plant and machine operator jobs, as well as assembler jobs require completion of the first stage of secondary education and some jobs may require the completion of the second stage of secondary education. The types of job undertaken </w:t>
      </w:r>
      <w:r w:rsidR="00FD0C1E" w:rsidRPr="003516DC">
        <w:rPr>
          <w:rFonts w:ascii="Arial" w:hAnsi="Arial" w:cs="Arial"/>
          <w:sz w:val="20"/>
          <w:szCs w:val="20"/>
        </w:rPr>
        <w:t>include</w:t>
      </w:r>
      <w:r w:rsidRPr="003516DC">
        <w:rPr>
          <w:rFonts w:ascii="Arial" w:hAnsi="Arial" w:cs="Arial"/>
          <w:sz w:val="20"/>
          <w:szCs w:val="20"/>
        </w:rPr>
        <w:t xml:space="preserve"> miners and quarry workers; metal finishing, plating and coating machine operators; weaving and knitting machine operators; food and related products machine operators; wood processing and papermaking plant operators; electrical and electronic equipment assemblers; bus and tram drivers; etc.</w:t>
      </w:r>
    </w:p>
    <w:p w14:paraId="34EDC045" w14:textId="183BDF75" w:rsidR="00E755F8" w:rsidRPr="003516DC"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Professionals</w:t>
      </w:r>
    </w:p>
    <w:p w14:paraId="3967031C" w14:textId="23EB3620" w:rsidR="00E755F8" w:rsidRPr="006C46E5" w:rsidRDefault="00E755F8" w:rsidP="006C46E5">
      <w:pPr>
        <w:spacing w:after="120"/>
        <w:jc w:val="both"/>
        <w:rPr>
          <w:rFonts w:ascii="Arial" w:hAnsi="Arial" w:cs="Arial"/>
          <w:sz w:val="20"/>
          <w:szCs w:val="20"/>
        </w:rPr>
      </w:pPr>
      <w:r w:rsidRPr="003516DC">
        <w:rPr>
          <w:rFonts w:ascii="Arial" w:hAnsi="Arial" w:cs="Arial"/>
          <w:sz w:val="20"/>
          <w:szCs w:val="20"/>
        </w:rPr>
        <w:t xml:space="preserve">Professionals typically fulfil specialist roles. Competent performance as a professional requires skills to be developed to a high level, with most professionals having attained tertiary-level education. The types of activities performed by professionals include: conducting analysis and research in the sciences and mathematics, social sciences and humanities; a number of specialist roles in medical and health services; teaching in one or more disciplines at different educational levels; providing various business, legal and social services; creating and performing works of art, etc. The types of jobs professionals carry out </w:t>
      </w:r>
      <w:r w:rsidR="00FD0C1E" w:rsidRPr="003516DC">
        <w:rPr>
          <w:rFonts w:ascii="Arial" w:hAnsi="Arial" w:cs="Arial"/>
          <w:sz w:val="20"/>
          <w:szCs w:val="20"/>
        </w:rPr>
        <w:t>include</w:t>
      </w:r>
      <w:r w:rsidRPr="003516DC">
        <w:rPr>
          <w:rFonts w:ascii="Arial" w:hAnsi="Arial" w:cs="Arial"/>
          <w:sz w:val="20"/>
          <w:szCs w:val="20"/>
        </w:rPr>
        <w:t xml:space="preserve"> science and engineering professionals; health professionals </w:t>
      </w:r>
      <w:r w:rsidRPr="003516DC">
        <w:rPr>
          <w:rFonts w:ascii="Arial" w:hAnsi="Arial" w:cs="Arial"/>
          <w:sz w:val="20"/>
          <w:szCs w:val="20"/>
        </w:rPr>
        <w:lastRenderedPageBreak/>
        <w:t>(including medical doctors and nursing professionals); teaching professionals; business and administration professionals, journalists, visual artists, etc.</w:t>
      </w:r>
    </w:p>
    <w:p w14:paraId="51F71497" w14:textId="10D0CF9D" w:rsidR="00E755F8" w:rsidRPr="006C46E5"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Service and sales workers</w:t>
      </w:r>
    </w:p>
    <w:p w14:paraId="6F701BBA" w14:textId="4A148BF7" w:rsidR="00E755F8" w:rsidRPr="006C46E5" w:rsidRDefault="00E755F8" w:rsidP="006C46E5">
      <w:pPr>
        <w:spacing w:after="120"/>
        <w:jc w:val="both"/>
        <w:rPr>
          <w:rFonts w:ascii="Arial" w:hAnsi="Arial" w:cs="Arial"/>
          <w:sz w:val="20"/>
          <w:szCs w:val="20"/>
        </w:rPr>
      </w:pPr>
      <w:r w:rsidRPr="003516DC">
        <w:rPr>
          <w:rFonts w:ascii="Arial" w:hAnsi="Arial" w:cs="Arial"/>
          <w:sz w:val="20"/>
          <w:szCs w:val="20"/>
        </w:rPr>
        <w:t xml:space="preserve">Service and sales workers provide personal and protective services related to travel, housekeeping, catering, personal care, and selling goods in wholesale or retail shops. Most occupations in this major group require skills that require completion of the first stage of secondary education, but some occupations will require the completion of the second stage of secondary education. The types of jobs that people carry out as service and sales workers </w:t>
      </w:r>
      <w:r w:rsidR="00FD0C1E" w:rsidRPr="003516DC">
        <w:rPr>
          <w:rFonts w:ascii="Arial" w:hAnsi="Arial" w:cs="Arial"/>
          <w:sz w:val="20"/>
          <w:szCs w:val="20"/>
        </w:rPr>
        <w:t>include</w:t>
      </w:r>
      <w:r w:rsidRPr="003516DC">
        <w:rPr>
          <w:rFonts w:ascii="Arial" w:hAnsi="Arial" w:cs="Arial"/>
          <w:sz w:val="20"/>
          <w:szCs w:val="20"/>
        </w:rPr>
        <w:t xml:space="preserve"> cooks, waiters, bartenders, travel guides, hairdressers and beauticians, undertakers and embalmers, housekeepers, astrologers, shopkeepers, sales workers and cashiers, etc.</w:t>
      </w:r>
    </w:p>
    <w:p w14:paraId="6DCD64D1" w14:textId="25F5C8E7" w:rsidR="00E755F8" w:rsidRPr="006C46E5" w:rsidRDefault="00E755F8"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Trades workers</w:t>
      </w:r>
    </w:p>
    <w:p w14:paraId="5A25C385" w14:textId="67A17F30" w:rsidR="006D4336" w:rsidRDefault="00E755F8" w:rsidP="006C46E5">
      <w:pPr>
        <w:spacing w:after="120"/>
        <w:jc w:val="both"/>
        <w:rPr>
          <w:rFonts w:ascii="Arial" w:hAnsi="Arial" w:cs="Arial"/>
          <w:sz w:val="20"/>
          <w:szCs w:val="20"/>
        </w:rPr>
      </w:pPr>
      <w:r w:rsidRPr="003516DC">
        <w:rPr>
          <w:rFonts w:ascii="Arial" w:hAnsi="Arial" w:cs="Arial"/>
          <w:sz w:val="20"/>
          <w:szCs w:val="20"/>
        </w:rPr>
        <w:t xml:space="preserve">Trades workers apply specific knowledge and skills to: construct and maintain buildings; form metal; erect metal structures; set machine tools, or make, fit, maintain and repair machinery, equipment or tools; carry out printing work; produce or process foodstuffs; and produce or process textiles, wooden, metal and other articles. The work is carried out by hand and by hand-powered and other tools. Most occupations require completion of the first stage of secondary education, but many jobs will require the completion of the second stage of secondary education, which may include a significant component of specialised vocational education and on-the-job training. Jobs classified as craft and related trades </w:t>
      </w:r>
      <w:r w:rsidR="00FD0C1E" w:rsidRPr="003516DC">
        <w:rPr>
          <w:rFonts w:ascii="Arial" w:hAnsi="Arial" w:cs="Arial"/>
          <w:sz w:val="20"/>
          <w:szCs w:val="20"/>
        </w:rPr>
        <w:t>include</w:t>
      </w:r>
      <w:r w:rsidRPr="003516DC">
        <w:rPr>
          <w:rFonts w:ascii="Arial" w:hAnsi="Arial" w:cs="Arial"/>
          <w:sz w:val="20"/>
          <w:szCs w:val="20"/>
        </w:rPr>
        <w:t xml:space="preserve"> bricklayers; joiners and carpenters, plumbers, sheet and structural metal workers, moulders and welders, and related workers; toolmakers; blacksmiths; printers, electrical equipment installers and repairers; electronics mechanics and servicers; food processing and related trades workers; underwater divers, etc.</w:t>
      </w:r>
    </w:p>
    <w:p w14:paraId="79B00E8B" w14:textId="4C016D3C" w:rsidR="006D4336" w:rsidRPr="00A64776" w:rsidRDefault="006D4336" w:rsidP="00E42342">
      <w:pPr>
        <w:pStyle w:val="Heading3"/>
        <w:numPr>
          <w:ilvl w:val="0"/>
          <w:numId w:val="208"/>
        </w:numPr>
        <w:rPr>
          <w:b w:val="0"/>
          <w:bCs/>
          <w:noProof/>
        </w:rPr>
      </w:pPr>
      <w:r w:rsidRPr="00A64776">
        <w:rPr>
          <w:b w:val="0"/>
          <w:bCs/>
          <w:noProof/>
        </w:rPr>
        <w:t>Result of occupational mismatch analysis</w:t>
      </w:r>
    </w:p>
    <w:p w14:paraId="5F1C08AA" w14:textId="0545A07C" w:rsidR="00E755F8" w:rsidRPr="003516DC" w:rsidRDefault="00E755F8" w:rsidP="00E755F8">
      <w:pPr>
        <w:jc w:val="both"/>
        <w:rPr>
          <w:rFonts w:ascii="Arial" w:hAnsi="Arial" w:cs="Arial"/>
          <w:noProof/>
          <w:sz w:val="20"/>
          <w:szCs w:val="20"/>
        </w:rPr>
      </w:pPr>
      <w:r w:rsidRPr="003516DC">
        <w:rPr>
          <w:rFonts w:ascii="Arial" w:hAnsi="Arial" w:cs="Arial"/>
          <w:noProof/>
          <w:sz w:val="20"/>
          <w:szCs w:val="20"/>
        </w:rPr>
        <w:t>The table below shows the effects of a Green Deal Scenario compared to a Baseline scenario (which is anyhow, as per the latest updates to the methodology used in D3, quite decarboni</w:t>
      </w:r>
      <w:r w:rsidR="002739E2">
        <w:rPr>
          <w:rFonts w:ascii="Arial" w:hAnsi="Arial" w:cs="Arial"/>
          <w:noProof/>
          <w:sz w:val="20"/>
          <w:szCs w:val="20"/>
        </w:rPr>
        <w:t>s</w:t>
      </w:r>
      <w:r w:rsidRPr="003516DC">
        <w:rPr>
          <w:rFonts w:ascii="Arial" w:hAnsi="Arial" w:cs="Arial"/>
          <w:noProof/>
          <w:sz w:val="20"/>
          <w:szCs w:val="20"/>
        </w:rPr>
        <w:t xml:space="preserve">ed, based on market-based trends) in terms of job losses </w:t>
      </w:r>
      <w:r w:rsidR="00A06BD4">
        <w:rPr>
          <w:rFonts w:ascii="Arial" w:hAnsi="Arial" w:cs="Arial"/>
          <w:noProof/>
          <w:sz w:val="20"/>
          <w:szCs w:val="20"/>
        </w:rPr>
        <w:t>by</w:t>
      </w:r>
      <w:r w:rsidRPr="003516DC">
        <w:rPr>
          <w:rFonts w:ascii="Arial" w:hAnsi="Arial" w:cs="Arial"/>
          <w:noProof/>
          <w:sz w:val="20"/>
          <w:szCs w:val="20"/>
        </w:rPr>
        <w:t xml:space="preserve"> type/class of occupations and </w:t>
      </w:r>
      <w:r w:rsidR="00A06BD4">
        <w:rPr>
          <w:rFonts w:ascii="Arial" w:hAnsi="Arial" w:cs="Arial"/>
          <w:noProof/>
          <w:sz w:val="20"/>
          <w:szCs w:val="20"/>
        </w:rPr>
        <w:t>by</w:t>
      </w:r>
      <w:r w:rsidRPr="003516DC">
        <w:rPr>
          <w:rFonts w:ascii="Arial" w:hAnsi="Arial" w:cs="Arial"/>
          <w:noProof/>
          <w:sz w:val="20"/>
          <w:szCs w:val="20"/>
        </w:rPr>
        <w:t xml:space="preserve"> region.</w:t>
      </w:r>
    </w:p>
    <w:p w14:paraId="2FF4A30C" w14:textId="18457E58" w:rsidR="00E755F8" w:rsidRPr="006C46E5" w:rsidRDefault="006C46E5" w:rsidP="006C46E5">
      <w:pPr>
        <w:pStyle w:val="Caption"/>
        <w:rPr>
          <w:i/>
          <w:iCs w:val="0"/>
          <w:color w:val="0070C0"/>
          <w:lang w:val="hu-HU"/>
        </w:rPr>
      </w:pPr>
      <w:bookmarkStart w:id="93" w:name="_Toc90725972"/>
      <w:bookmarkStart w:id="94" w:name="_Toc90727269"/>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18</w:t>
      </w:r>
      <w:r w:rsidR="000B273D">
        <w:rPr>
          <w:noProof/>
        </w:rPr>
        <w:fldChar w:fldCharType="end"/>
      </w:r>
      <w:r>
        <w:t xml:space="preserve">: </w:t>
      </w:r>
      <w:r w:rsidR="00E755F8" w:rsidRPr="006C46E5">
        <w:t>Occupation / region</w:t>
      </w:r>
      <w:r w:rsidR="002739E2" w:rsidRPr="006C46E5">
        <w:t>al</w:t>
      </w:r>
      <w:r w:rsidR="00E755F8" w:rsidRPr="006C46E5">
        <w:t xml:space="preserve"> job losses and within occupation transition opportunities</w:t>
      </w:r>
      <w:bookmarkEnd w:id="93"/>
      <w:bookmarkEnd w:id="94"/>
    </w:p>
    <w:tbl>
      <w:tblPr>
        <w:tblW w:w="5000" w:type="pct"/>
        <w:tblLook w:val="04A0" w:firstRow="1" w:lastRow="0" w:firstColumn="1" w:lastColumn="0" w:noHBand="0" w:noVBand="1"/>
      </w:tblPr>
      <w:tblGrid>
        <w:gridCol w:w="2102"/>
        <w:gridCol w:w="570"/>
        <w:gridCol w:w="570"/>
        <w:gridCol w:w="570"/>
        <w:gridCol w:w="568"/>
        <w:gridCol w:w="568"/>
        <w:gridCol w:w="568"/>
        <w:gridCol w:w="568"/>
        <w:gridCol w:w="568"/>
        <w:gridCol w:w="568"/>
        <w:gridCol w:w="568"/>
        <w:gridCol w:w="568"/>
        <w:gridCol w:w="573"/>
      </w:tblGrid>
      <w:tr w:rsidR="00E755F8" w:rsidRPr="003516DC" w14:paraId="78DB1FB6" w14:textId="77777777" w:rsidTr="00964831">
        <w:trPr>
          <w:trHeight w:val="280"/>
        </w:trPr>
        <w:tc>
          <w:tcPr>
            <w:tcW w:w="5000" w:type="pct"/>
            <w:gridSpan w:val="13"/>
            <w:tcBorders>
              <w:top w:val="nil"/>
              <w:left w:val="single" w:sz="4" w:space="0" w:color="auto"/>
              <w:bottom w:val="nil"/>
              <w:right w:val="single" w:sz="4" w:space="0" w:color="000000"/>
            </w:tcBorders>
            <w:shd w:val="clear" w:color="000000" w:fill="009FE3"/>
            <w:noWrap/>
            <w:vAlign w:val="bottom"/>
            <w:hideMark/>
          </w:tcPr>
          <w:p w14:paraId="571FC526" w14:textId="77777777" w:rsidR="00E755F8" w:rsidRPr="003516DC" w:rsidRDefault="00E755F8" w:rsidP="00964831">
            <w:pPr>
              <w:rPr>
                <w:rFonts w:ascii="Arial" w:eastAsia="Times New Roman" w:hAnsi="Arial" w:cs="Arial"/>
                <w:b/>
                <w:bCs/>
                <w:i/>
                <w:iCs/>
                <w:color w:val="FFFFFF"/>
                <w:sz w:val="16"/>
                <w:szCs w:val="16"/>
              </w:rPr>
            </w:pPr>
            <w:r w:rsidRPr="003516DC">
              <w:rPr>
                <w:rFonts w:ascii="Arial" w:eastAsia="Times New Roman" w:hAnsi="Arial" w:cs="Arial"/>
                <w:b/>
                <w:bCs/>
                <w:i/>
                <w:iCs/>
                <w:color w:val="FFFFFF"/>
                <w:sz w:val="16"/>
                <w:szCs w:val="16"/>
              </w:rPr>
              <w:t>Occupation level job losses (Green Deal scenario compared to baseline), number of jobs</w:t>
            </w:r>
            <w:r w:rsidRPr="003516DC">
              <w:rPr>
                <w:rFonts w:ascii="Arial" w:eastAsia="Times New Roman" w:hAnsi="Arial" w:cs="Arial"/>
                <w:b/>
                <w:bCs/>
                <w:i/>
                <w:iCs/>
                <w:color w:val="FFFFFF"/>
                <w:sz w:val="16"/>
                <w:szCs w:val="16"/>
              </w:rPr>
              <w:br/>
              <w:t>Rounded to nearest 100</w:t>
            </w:r>
          </w:p>
        </w:tc>
      </w:tr>
      <w:tr w:rsidR="00E755F8" w:rsidRPr="003516DC" w14:paraId="50E5FC6C" w14:textId="77777777" w:rsidTr="00964831">
        <w:trPr>
          <w:trHeight w:val="280"/>
        </w:trPr>
        <w:tc>
          <w:tcPr>
            <w:tcW w:w="1155" w:type="pct"/>
            <w:tcBorders>
              <w:top w:val="nil"/>
              <w:left w:val="single" w:sz="4" w:space="0" w:color="auto"/>
              <w:bottom w:val="nil"/>
              <w:right w:val="nil"/>
            </w:tcBorders>
            <w:shd w:val="clear" w:color="000000" w:fill="009FE3"/>
            <w:noWrap/>
            <w:vAlign w:val="bottom"/>
            <w:hideMark/>
          </w:tcPr>
          <w:p w14:paraId="095C9251"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1923" w:type="pct"/>
            <w:gridSpan w:val="6"/>
            <w:tcBorders>
              <w:top w:val="nil"/>
              <w:left w:val="nil"/>
              <w:bottom w:val="nil"/>
              <w:right w:val="nil"/>
            </w:tcBorders>
            <w:shd w:val="clear" w:color="000000" w:fill="009FE3"/>
            <w:noWrap/>
            <w:vAlign w:val="bottom"/>
            <w:hideMark/>
          </w:tcPr>
          <w:p w14:paraId="3F65D104" w14:textId="77777777" w:rsidR="00E755F8" w:rsidRPr="003516DC" w:rsidRDefault="00E755F8" w:rsidP="00964831">
            <w:pPr>
              <w:jc w:val="cente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2025</w:t>
            </w:r>
          </w:p>
        </w:tc>
        <w:tc>
          <w:tcPr>
            <w:tcW w:w="1922" w:type="pct"/>
            <w:gridSpan w:val="6"/>
            <w:tcBorders>
              <w:top w:val="nil"/>
              <w:left w:val="nil"/>
              <w:bottom w:val="nil"/>
              <w:right w:val="single" w:sz="4" w:space="0" w:color="000000"/>
            </w:tcBorders>
            <w:shd w:val="clear" w:color="000000" w:fill="009FE3"/>
            <w:noWrap/>
            <w:vAlign w:val="bottom"/>
            <w:hideMark/>
          </w:tcPr>
          <w:p w14:paraId="40106B02" w14:textId="77777777" w:rsidR="00E755F8" w:rsidRPr="003516DC" w:rsidRDefault="00E755F8" w:rsidP="00964831">
            <w:pPr>
              <w:jc w:val="cente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2030</w:t>
            </w:r>
          </w:p>
        </w:tc>
      </w:tr>
      <w:tr w:rsidR="00E755F8" w:rsidRPr="003516DC" w14:paraId="782DF695" w14:textId="77777777" w:rsidTr="00964831">
        <w:trPr>
          <w:trHeight w:val="280"/>
        </w:trPr>
        <w:tc>
          <w:tcPr>
            <w:tcW w:w="1155" w:type="pct"/>
            <w:tcBorders>
              <w:top w:val="nil"/>
              <w:left w:val="single" w:sz="4" w:space="0" w:color="auto"/>
              <w:bottom w:val="nil"/>
              <w:right w:val="single" w:sz="4" w:space="0" w:color="auto"/>
            </w:tcBorders>
            <w:shd w:val="clear" w:color="000000" w:fill="009FE3"/>
            <w:noWrap/>
            <w:vAlign w:val="bottom"/>
          </w:tcPr>
          <w:p w14:paraId="2211AD21" w14:textId="77777777" w:rsidR="00E755F8" w:rsidRPr="003516DC" w:rsidRDefault="00E755F8" w:rsidP="00964831">
            <w:pPr>
              <w:rPr>
                <w:rFonts w:ascii="Arial" w:eastAsia="Times New Roman" w:hAnsi="Arial" w:cs="Arial"/>
                <w:b/>
                <w:bCs/>
                <w:color w:val="FFFFFF"/>
                <w:sz w:val="16"/>
                <w:szCs w:val="16"/>
              </w:rPr>
            </w:pPr>
          </w:p>
        </w:tc>
        <w:tc>
          <w:tcPr>
            <w:tcW w:w="321" w:type="pct"/>
            <w:tcBorders>
              <w:top w:val="nil"/>
              <w:left w:val="nil"/>
              <w:bottom w:val="nil"/>
              <w:right w:val="nil"/>
            </w:tcBorders>
            <w:shd w:val="clear" w:color="000000" w:fill="009FE3"/>
            <w:noWrap/>
            <w:vAlign w:val="bottom"/>
          </w:tcPr>
          <w:p w14:paraId="1B2B8210" w14:textId="77777777" w:rsidR="00E755F8" w:rsidRPr="003516DC" w:rsidRDefault="00E755F8" w:rsidP="00964831">
            <w:pPr>
              <w:rPr>
                <w:rFonts w:ascii="Arial" w:eastAsia="Times New Roman" w:hAnsi="Arial" w:cs="Arial"/>
                <w:b/>
                <w:bCs/>
                <w:color w:val="FFFFFF"/>
                <w:sz w:val="16"/>
                <w:szCs w:val="16"/>
              </w:rPr>
            </w:pPr>
          </w:p>
        </w:tc>
        <w:tc>
          <w:tcPr>
            <w:tcW w:w="321" w:type="pct"/>
            <w:tcBorders>
              <w:top w:val="nil"/>
              <w:left w:val="nil"/>
              <w:bottom w:val="nil"/>
              <w:right w:val="nil"/>
            </w:tcBorders>
            <w:shd w:val="clear" w:color="000000" w:fill="009FE3"/>
            <w:noWrap/>
            <w:vAlign w:val="bottom"/>
          </w:tcPr>
          <w:p w14:paraId="6F2966B1" w14:textId="77777777" w:rsidR="00E755F8" w:rsidRPr="003516DC" w:rsidRDefault="00E755F8" w:rsidP="00964831">
            <w:pPr>
              <w:rPr>
                <w:rFonts w:ascii="Arial" w:eastAsia="Times New Roman" w:hAnsi="Arial" w:cs="Arial"/>
                <w:b/>
                <w:bCs/>
                <w:color w:val="FFFFFF"/>
                <w:sz w:val="16"/>
                <w:szCs w:val="16"/>
              </w:rPr>
            </w:pPr>
          </w:p>
        </w:tc>
        <w:tc>
          <w:tcPr>
            <w:tcW w:w="321" w:type="pct"/>
            <w:tcBorders>
              <w:top w:val="nil"/>
              <w:left w:val="nil"/>
              <w:bottom w:val="nil"/>
              <w:right w:val="nil"/>
            </w:tcBorders>
            <w:shd w:val="clear" w:color="000000" w:fill="009FE3"/>
            <w:noWrap/>
            <w:vAlign w:val="bottom"/>
          </w:tcPr>
          <w:p w14:paraId="22558E10" w14:textId="77777777" w:rsidR="00E755F8" w:rsidRPr="003516DC" w:rsidRDefault="00E755F8" w:rsidP="00964831">
            <w:pPr>
              <w:rPr>
                <w:rFonts w:ascii="Arial" w:eastAsia="Times New Roman" w:hAnsi="Arial" w:cs="Arial"/>
                <w:b/>
                <w:bCs/>
                <w:color w:val="FFFFFF"/>
                <w:sz w:val="16"/>
                <w:szCs w:val="16"/>
              </w:rPr>
            </w:pPr>
          </w:p>
        </w:tc>
        <w:tc>
          <w:tcPr>
            <w:tcW w:w="320" w:type="pct"/>
            <w:tcBorders>
              <w:top w:val="nil"/>
              <w:left w:val="nil"/>
              <w:bottom w:val="nil"/>
              <w:right w:val="nil"/>
            </w:tcBorders>
            <w:shd w:val="clear" w:color="000000" w:fill="009FE3"/>
            <w:noWrap/>
            <w:vAlign w:val="bottom"/>
          </w:tcPr>
          <w:p w14:paraId="4737B5BB" w14:textId="77777777" w:rsidR="00E755F8" w:rsidRPr="003516DC" w:rsidRDefault="00E755F8" w:rsidP="00964831">
            <w:pPr>
              <w:rPr>
                <w:rFonts w:ascii="Arial" w:eastAsia="Times New Roman" w:hAnsi="Arial" w:cs="Arial"/>
                <w:b/>
                <w:bCs/>
                <w:color w:val="FFFFFF"/>
                <w:sz w:val="16"/>
                <w:szCs w:val="16"/>
              </w:rPr>
            </w:pPr>
          </w:p>
        </w:tc>
        <w:tc>
          <w:tcPr>
            <w:tcW w:w="320" w:type="pct"/>
            <w:tcBorders>
              <w:top w:val="nil"/>
              <w:left w:val="nil"/>
              <w:bottom w:val="nil"/>
              <w:right w:val="nil"/>
            </w:tcBorders>
            <w:shd w:val="clear" w:color="000000" w:fill="009FE3"/>
            <w:noWrap/>
            <w:vAlign w:val="bottom"/>
          </w:tcPr>
          <w:p w14:paraId="3F43B06F" w14:textId="77777777" w:rsidR="00E755F8" w:rsidRPr="003516DC" w:rsidRDefault="00E755F8" w:rsidP="00964831">
            <w:pPr>
              <w:rPr>
                <w:rFonts w:ascii="Arial" w:eastAsia="Times New Roman" w:hAnsi="Arial" w:cs="Arial"/>
                <w:b/>
                <w:bCs/>
                <w:color w:val="FFFFFF"/>
                <w:sz w:val="16"/>
                <w:szCs w:val="16"/>
              </w:rPr>
            </w:pPr>
          </w:p>
        </w:tc>
        <w:tc>
          <w:tcPr>
            <w:tcW w:w="320" w:type="pct"/>
            <w:tcBorders>
              <w:top w:val="nil"/>
              <w:left w:val="nil"/>
              <w:bottom w:val="nil"/>
              <w:right w:val="nil"/>
            </w:tcBorders>
            <w:shd w:val="clear" w:color="000000" w:fill="009FE3"/>
            <w:noWrap/>
            <w:vAlign w:val="bottom"/>
          </w:tcPr>
          <w:p w14:paraId="22D46293" w14:textId="77777777" w:rsidR="00E755F8" w:rsidRPr="003516DC" w:rsidRDefault="00E755F8" w:rsidP="00964831">
            <w:pPr>
              <w:rPr>
                <w:rFonts w:ascii="Arial" w:eastAsia="Times New Roman" w:hAnsi="Arial" w:cs="Arial"/>
                <w:b/>
                <w:bCs/>
                <w:color w:val="FFFFFF"/>
                <w:sz w:val="16"/>
                <w:szCs w:val="16"/>
              </w:rPr>
            </w:pPr>
          </w:p>
        </w:tc>
        <w:tc>
          <w:tcPr>
            <w:tcW w:w="320" w:type="pct"/>
            <w:tcBorders>
              <w:top w:val="nil"/>
              <w:left w:val="single" w:sz="12" w:space="0" w:color="auto"/>
              <w:bottom w:val="nil"/>
              <w:right w:val="nil"/>
            </w:tcBorders>
            <w:shd w:val="clear" w:color="000000" w:fill="009FE3"/>
            <w:noWrap/>
            <w:vAlign w:val="bottom"/>
          </w:tcPr>
          <w:p w14:paraId="48D6697C"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528</w:t>
            </w:r>
          </w:p>
        </w:tc>
        <w:tc>
          <w:tcPr>
            <w:tcW w:w="320" w:type="pct"/>
            <w:tcBorders>
              <w:top w:val="nil"/>
              <w:left w:val="nil"/>
              <w:bottom w:val="nil"/>
              <w:right w:val="nil"/>
            </w:tcBorders>
            <w:shd w:val="clear" w:color="000000" w:fill="009FE3"/>
            <w:noWrap/>
            <w:vAlign w:val="bottom"/>
          </w:tcPr>
          <w:p w14:paraId="649989D8"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491</w:t>
            </w:r>
          </w:p>
        </w:tc>
        <w:tc>
          <w:tcPr>
            <w:tcW w:w="320" w:type="pct"/>
            <w:tcBorders>
              <w:top w:val="nil"/>
              <w:left w:val="nil"/>
              <w:bottom w:val="nil"/>
              <w:right w:val="nil"/>
            </w:tcBorders>
            <w:shd w:val="clear" w:color="000000" w:fill="009FE3"/>
            <w:noWrap/>
            <w:vAlign w:val="bottom"/>
          </w:tcPr>
          <w:p w14:paraId="714A0E77"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700</w:t>
            </w:r>
          </w:p>
        </w:tc>
        <w:tc>
          <w:tcPr>
            <w:tcW w:w="320" w:type="pct"/>
            <w:tcBorders>
              <w:top w:val="nil"/>
              <w:left w:val="nil"/>
              <w:bottom w:val="nil"/>
              <w:right w:val="nil"/>
            </w:tcBorders>
            <w:shd w:val="clear" w:color="000000" w:fill="009FE3"/>
            <w:noWrap/>
            <w:vAlign w:val="bottom"/>
          </w:tcPr>
          <w:p w14:paraId="4119D3C1"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613</w:t>
            </w:r>
          </w:p>
        </w:tc>
        <w:tc>
          <w:tcPr>
            <w:tcW w:w="320" w:type="pct"/>
            <w:tcBorders>
              <w:top w:val="nil"/>
              <w:left w:val="nil"/>
              <w:bottom w:val="nil"/>
              <w:right w:val="nil"/>
            </w:tcBorders>
            <w:shd w:val="clear" w:color="000000" w:fill="009FE3"/>
            <w:noWrap/>
            <w:vAlign w:val="bottom"/>
          </w:tcPr>
          <w:p w14:paraId="16DD7BF1"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307</w:t>
            </w:r>
          </w:p>
        </w:tc>
        <w:tc>
          <w:tcPr>
            <w:tcW w:w="320" w:type="pct"/>
            <w:tcBorders>
              <w:top w:val="nil"/>
              <w:left w:val="nil"/>
              <w:bottom w:val="nil"/>
              <w:right w:val="single" w:sz="4" w:space="0" w:color="auto"/>
            </w:tcBorders>
            <w:shd w:val="clear" w:color="000000" w:fill="009FE3"/>
            <w:noWrap/>
            <w:vAlign w:val="bottom"/>
          </w:tcPr>
          <w:p w14:paraId="49E88472"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371</w:t>
            </w:r>
          </w:p>
        </w:tc>
      </w:tr>
      <w:tr w:rsidR="00E755F8" w:rsidRPr="003516DC" w14:paraId="411B0A0C" w14:textId="77777777" w:rsidTr="00964831">
        <w:trPr>
          <w:trHeight w:val="280"/>
        </w:trPr>
        <w:tc>
          <w:tcPr>
            <w:tcW w:w="1155" w:type="pct"/>
            <w:tcBorders>
              <w:top w:val="nil"/>
              <w:left w:val="single" w:sz="4" w:space="0" w:color="auto"/>
              <w:bottom w:val="nil"/>
              <w:right w:val="single" w:sz="4" w:space="0" w:color="auto"/>
            </w:tcBorders>
            <w:shd w:val="clear" w:color="000000" w:fill="009FE3"/>
            <w:noWrap/>
            <w:vAlign w:val="bottom"/>
            <w:hideMark/>
          </w:tcPr>
          <w:p w14:paraId="1659A4EC"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Occupation / Region</w:t>
            </w:r>
          </w:p>
        </w:tc>
        <w:tc>
          <w:tcPr>
            <w:tcW w:w="321" w:type="pct"/>
            <w:tcBorders>
              <w:top w:val="nil"/>
              <w:left w:val="nil"/>
              <w:bottom w:val="nil"/>
              <w:right w:val="nil"/>
            </w:tcBorders>
            <w:shd w:val="clear" w:color="000000" w:fill="009FE3"/>
            <w:noWrap/>
            <w:vAlign w:val="bottom"/>
            <w:hideMark/>
          </w:tcPr>
          <w:p w14:paraId="0818AFB4"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MS</w:t>
            </w:r>
          </w:p>
        </w:tc>
        <w:tc>
          <w:tcPr>
            <w:tcW w:w="321" w:type="pct"/>
            <w:tcBorders>
              <w:top w:val="nil"/>
              <w:left w:val="nil"/>
              <w:bottom w:val="nil"/>
              <w:right w:val="nil"/>
            </w:tcBorders>
            <w:shd w:val="clear" w:color="000000" w:fill="009FE3"/>
            <w:noWrap/>
            <w:vAlign w:val="bottom"/>
            <w:hideMark/>
          </w:tcPr>
          <w:p w14:paraId="3619482F"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GL</w:t>
            </w:r>
          </w:p>
        </w:tc>
        <w:tc>
          <w:tcPr>
            <w:tcW w:w="321" w:type="pct"/>
            <w:tcBorders>
              <w:top w:val="nil"/>
              <w:left w:val="nil"/>
              <w:bottom w:val="nil"/>
              <w:right w:val="nil"/>
            </w:tcBorders>
            <w:shd w:val="clear" w:color="000000" w:fill="009FE3"/>
            <w:noWrap/>
            <w:vAlign w:val="bottom"/>
            <w:hideMark/>
          </w:tcPr>
          <w:p w14:paraId="02F30AF8"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PH</w:t>
            </w:r>
          </w:p>
        </w:tc>
        <w:tc>
          <w:tcPr>
            <w:tcW w:w="320" w:type="pct"/>
            <w:tcBorders>
              <w:top w:val="nil"/>
              <w:left w:val="nil"/>
              <w:bottom w:val="nil"/>
              <w:right w:val="nil"/>
            </w:tcBorders>
            <w:shd w:val="clear" w:color="000000" w:fill="009FE3"/>
            <w:noWrap/>
            <w:vAlign w:val="bottom"/>
            <w:hideMark/>
          </w:tcPr>
          <w:p w14:paraId="40F8820B"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DJ</w:t>
            </w:r>
          </w:p>
        </w:tc>
        <w:tc>
          <w:tcPr>
            <w:tcW w:w="320" w:type="pct"/>
            <w:tcBorders>
              <w:top w:val="nil"/>
              <w:left w:val="nil"/>
              <w:bottom w:val="nil"/>
              <w:right w:val="nil"/>
            </w:tcBorders>
            <w:shd w:val="clear" w:color="000000" w:fill="009FE3"/>
            <w:noWrap/>
            <w:vAlign w:val="bottom"/>
            <w:hideMark/>
          </w:tcPr>
          <w:p w14:paraId="18A1B173"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GJ</w:t>
            </w:r>
          </w:p>
        </w:tc>
        <w:tc>
          <w:tcPr>
            <w:tcW w:w="320" w:type="pct"/>
            <w:tcBorders>
              <w:top w:val="nil"/>
              <w:left w:val="nil"/>
              <w:bottom w:val="nil"/>
              <w:right w:val="nil"/>
            </w:tcBorders>
            <w:shd w:val="clear" w:color="000000" w:fill="009FE3"/>
            <w:noWrap/>
            <w:vAlign w:val="bottom"/>
            <w:hideMark/>
          </w:tcPr>
          <w:p w14:paraId="0E213DE8"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HD</w:t>
            </w:r>
          </w:p>
        </w:tc>
        <w:tc>
          <w:tcPr>
            <w:tcW w:w="320" w:type="pct"/>
            <w:tcBorders>
              <w:top w:val="nil"/>
              <w:left w:val="single" w:sz="12" w:space="0" w:color="auto"/>
              <w:bottom w:val="nil"/>
              <w:right w:val="nil"/>
            </w:tcBorders>
            <w:shd w:val="clear" w:color="000000" w:fill="009FE3"/>
            <w:noWrap/>
            <w:vAlign w:val="bottom"/>
            <w:hideMark/>
          </w:tcPr>
          <w:p w14:paraId="2C509871"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MS</w:t>
            </w:r>
          </w:p>
        </w:tc>
        <w:tc>
          <w:tcPr>
            <w:tcW w:w="320" w:type="pct"/>
            <w:tcBorders>
              <w:top w:val="nil"/>
              <w:left w:val="nil"/>
              <w:bottom w:val="nil"/>
              <w:right w:val="nil"/>
            </w:tcBorders>
            <w:shd w:val="clear" w:color="000000" w:fill="009FE3"/>
            <w:noWrap/>
            <w:vAlign w:val="bottom"/>
            <w:hideMark/>
          </w:tcPr>
          <w:p w14:paraId="2AF4F281"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GL</w:t>
            </w:r>
          </w:p>
        </w:tc>
        <w:tc>
          <w:tcPr>
            <w:tcW w:w="320" w:type="pct"/>
            <w:tcBorders>
              <w:top w:val="nil"/>
              <w:left w:val="nil"/>
              <w:bottom w:val="nil"/>
              <w:right w:val="nil"/>
            </w:tcBorders>
            <w:shd w:val="clear" w:color="000000" w:fill="009FE3"/>
            <w:noWrap/>
            <w:vAlign w:val="bottom"/>
            <w:hideMark/>
          </w:tcPr>
          <w:p w14:paraId="12081555"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PH</w:t>
            </w:r>
          </w:p>
        </w:tc>
        <w:tc>
          <w:tcPr>
            <w:tcW w:w="320" w:type="pct"/>
            <w:tcBorders>
              <w:top w:val="nil"/>
              <w:left w:val="nil"/>
              <w:bottom w:val="nil"/>
              <w:right w:val="nil"/>
            </w:tcBorders>
            <w:shd w:val="clear" w:color="000000" w:fill="009FE3"/>
            <w:noWrap/>
            <w:vAlign w:val="bottom"/>
            <w:hideMark/>
          </w:tcPr>
          <w:p w14:paraId="5B2728E1"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DJ</w:t>
            </w:r>
          </w:p>
        </w:tc>
        <w:tc>
          <w:tcPr>
            <w:tcW w:w="320" w:type="pct"/>
            <w:tcBorders>
              <w:top w:val="nil"/>
              <w:left w:val="nil"/>
              <w:bottom w:val="nil"/>
              <w:right w:val="nil"/>
            </w:tcBorders>
            <w:shd w:val="clear" w:color="000000" w:fill="009FE3"/>
            <w:noWrap/>
            <w:vAlign w:val="bottom"/>
            <w:hideMark/>
          </w:tcPr>
          <w:p w14:paraId="08583920"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GJ</w:t>
            </w:r>
          </w:p>
        </w:tc>
        <w:tc>
          <w:tcPr>
            <w:tcW w:w="320" w:type="pct"/>
            <w:tcBorders>
              <w:top w:val="nil"/>
              <w:left w:val="nil"/>
              <w:bottom w:val="nil"/>
              <w:right w:val="single" w:sz="4" w:space="0" w:color="auto"/>
            </w:tcBorders>
            <w:shd w:val="clear" w:color="000000" w:fill="009FE3"/>
            <w:noWrap/>
            <w:vAlign w:val="bottom"/>
            <w:hideMark/>
          </w:tcPr>
          <w:p w14:paraId="3B943DFE"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HD</w:t>
            </w:r>
          </w:p>
        </w:tc>
      </w:tr>
      <w:tr w:rsidR="00E755F8" w:rsidRPr="003516DC" w14:paraId="6DC37A9D"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455D40DB"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Associate professionals</w:t>
            </w:r>
          </w:p>
        </w:tc>
        <w:tc>
          <w:tcPr>
            <w:tcW w:w="321" w:type="pct"/>
            <w:tcBorders>
              <w:top w:val="nil"/>
              <w:left w:val="nil"/>
              <w:bottom w:val="nil"/>
              <w:right w:val="nil"/>
            </w:tcBorders>
            <w:shd w:val="clear" w:color="auto" w:fill="auto"/>
            <w:noWrap/>
            <w:vAlign w:val="bottom"/>
            <w:hideMark/>
          </w:tcPr>
          <w:p w14:paraId="258DEAE0"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50785AA2"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000000" w:fill="FCFCFF"/>
            <w:noWrap/>
            <w:vAlign w:val="bottom"/>
            <w:hideMark/>
          </w:tcPr>
          <w:p w14:paraId="3439C8B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27D6532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6441A36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auto" w:fill="auto"/>
            <w:noWrap/>
            <w:vAlign w:val="bottom"/>
            <w:hideMark/>
          </w:tcPr>
          <w:p w14:paraId="4525F617" w14:textId="77777777" w:rsidR="00E755F8" w:rsidRPr="003516DC" w:rsidRDefault="00E755F8" w:rsidP="00964831">
            <w:pPr>
              <w:jc w:val="right"/>
              <w:rPr>
                <w:rFonts w:ascii="Arial" w:eastAsia="Times New Roman" w:hAnsi="Arial" w:cs="Arial"/>
                <w:color w:val="000000"/>
                <w:sz w:val="16"/>
                <w:szCs w:val="16"/>
              </w:rPr>
            </w:pPr>
          </w:p>
        </w:tc>
        <w:tc>
          <w:tcPr>
            <w:tcW w:w="320" w:type="pct"/>
            <w:tcBorders>
              <w:top w:val="nil"/>
              <w:left w:val="single" w:sz="12" w:space="0" w:color="auto"/>
              <w:bottom w:val="nil"/>
              <w:right w:val="nil"/>
            </w:tcBorders>
            <w:shd w:val="clear" w:color="000000" w:fill="FCFCFF"/>
            <w:noWrap/>
            <w:vAlign w:val="bottom"/>
            <w:hideMark/>
          </w:tcPr>
          <w:p w14:paraId="5C5EA420"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35CB3C50"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ACBCD"/>
            <w:noWrap/>
            <w:vAlign w:val="bottom"/>
            <w:hideMark/>
          </w:tcPr>
          <w:p w14:paraId="50D596F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2D0E3E27"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16733AA2"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single" w:sz="4" w:space="0" w:color="auto"/>
            </w:tcBorders>
            <w:shd w:val="clear" w:color="000000" w:fill="FCFCFF"/>
            <w:noWrap/>
            <w:vAlign w:val="bottom"/>
            <w:hideMark/>
          </w:tcPr>
          <w:p w14:paraId="5D9D11DF"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r>
      <w:tr w:rsidR="00E755F8" w:rsidRPr="003516DC" w14:paraId="73E45A39"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7F43DABC"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Clerks</w:t>
            </w:r>
          </w:p>
        </w:tc>
        <w:tc>
          <w:tcPr>
            <w:tcW w:w="321" w:type="pct"/>
            <w:tcBorders>
              <w:top w:val="nil"/>
              <w:left w:val="nil"/>
              <w:bottom w:val="nil"/>
              <w:right w:val="nil"/>
            </w:tcBorders>
            <w:shd w:val="clear" w:color="auto" w:fill="auto"/>
            <w:noWrap/>
            <w:vAlign w:val="bottom"/>
            <w:hideMark/>
          </w:tcPr>
          <w:p w14:paraId="692B4851"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C824C87"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6DBEAF9B"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763C1F9"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59154040"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F4ECC71"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2D05C1D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50E98D06"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000000" w:fill="FCFCFF"/>
            <w:noWrap/>
            <w:vAlign w:val="bottom"/>
            <w:hideMark/>
          </w:tcPr>
          <w:p w14:paraId="2AD40310"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22863529"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11B23027"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single" w:sz="4" w:space="0" w:color="auto"/>
            </w:tcBorders>
            <w:shd w:val="clear" w:color="auto" w:fill="auto"/>
            <w:noWrap/>
            <w:vAlign w:val="bottom"/>
            <w:hideMark/>
          </w:tcPr>
          <w:p w14:paraId="7BEDFBD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33F6DEA8"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1A66302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Elementary workers</w:t>
            </w:r>
          </w:p>
        </w:tc>
        <w:tc>
          <w:tcPr>
            <w:tcW w:w="321" w:type="pct"/>
            <w:tcBorders>
              <w:top w:val="nil"/>
              <w:left w:val="nil"/>
              <w:bottom w:val="nil"/>
              <w:right w:val="nil"/>
            </w:tcBorders>
            <w:shd w:val="clear" w:color="auto" w:fill="auto"/>
            <w:noWrap/>
            <w:vAlign w:val="bottom"/>
            <w:hideMark/>
          </w:tcPr>
          <w:p w14:paraId="5D52DE60"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4F29F346"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000000" w:fill="FCFCFF"/>
            <w:noWrap/>
            <w:vAlign w:val="bottom"/>
            <w:hideMark/>
          </w:tcPr>
          <w:p w14:paraId="17669B9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566B1365"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ACBCD"/>
            <w:noWrap/>
            <w:vAlign w:val="bottom"/>
            <w:hideMark/>
          </w:tcPr>
          <w:p w14:paraId="64D3DDFC"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2EF7F3A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single" w:sz="12" w:space="0" w:color="auto"/>
              <w:bottom w:val="nil"/>
              <w:right w:val="nil"/>
            </w:tcBorders>
            <w:shd w:val="clear" w:color="auto" w:fill="auto"/>
            <w:noWrap/>
            <w:vAlign w:val="bottom"/>
            <w:hideMark/>
          </w:tcPr>
          <w:p w14:paraId="794AFEBE"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4D1BBE40"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000000" w:fill="FACBCD"/>
            <w:noWrap/>
            <w:vAlign w:val="bottom"/>
            <w:hideMark/>
          </w:tcPr>
          <w:p w14:paraId="3C5E879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1183E294"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ACBCD"/>
            <w:noWrap/>
            <w:vAlign w:val="bottom"/>
            <w:hideMark/>
          </w:tcPr>
          <w:p w14:paraId="0B9808E2"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single" w:sz="4" w:space="0" w:color="auto"/>
            </w:tcBorders>
            <w:shd w:val="clear" w:color="auto" w:fill="auto"/>
            <w:noWrap/>
            <w:vAlign w:val="bottom"/>
            <w:hideMark/>
          </w:tcPr>
          <w:p w14:paraId="629973A8"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5B63691D"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20C898B7"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Farm and related workers</w:t>
            </w:r>
          </w:p>
        </w:tc>
        <w:tc>
          <w:tcPr>
            <w:tcW w:w="321" w:type="pct"/>
            <w:tcBorders>
              <w:top w:val="nil"/>
              <w:left w:val="nil"/>
              <w:bottom w:val="nil"/>
              <w:right w:val="nil"/>
            </w:tcBorders>
            <w:shd w:val="clear" w:color="auto" w:fill="auto"/>
            <w:noWrap/>
            <w:vAlign w:val="bottom"/>
            <w:hideMark/>
          </w:tcPr>
          <w:p w14:paraId="4A977B7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068A660"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39C38D6A"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E14DB80"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13575A0"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AEE307A"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3EC67862"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5F052D0E"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649E49AD"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77D58A7"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EBEBA3D"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45FB7925"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3A524D64"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0FC4743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Managers</w:t>
            </w:r>
          </w:p>
        </w:tc>
        <w:tc>
          <w:tcPr>
            <w:tcW w:w="321" w:type="pct"/>
            <w:tcBorders>
              <w:top w:val="nil"/>
              <w:left w:val="nil"/>
              <w:bottom w:val="nil"/>
              <w:right w:val="nil"/>
            </w:tcBorders>
            <w:shd w:val="clear" w:color="auto" w:fill="auto"/>
            <w:noWrap/>
            <w:vAlign w:val="bottom"/>
            <w:hideMark/>
          </w:tcPr>
          <w:p w14:paraId="7EAB7DC1"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14044728"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032A8EB2"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2B0E8E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7E2CBA5"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2AB437F"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3F492EB6"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7591D235"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763A3024"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3155BCB5"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1352752"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2F325E24"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5F637974"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026FC5A8"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Operators and assemblers</w:t>
            </w:r>
          </w:p>
        </w:tc>
        <w:tc>
          <w:tcPr>
            <w:tcW w:w="321" w:type="pct"/>
            <w:tcBorders>
              <w:top w:val="nil"/>
              <w:left w:val="nil"/>
              <w:bottom w:val="nil"/>
              <w:right w:val="nil"/>
            </w:tcBorders>
            <w:shd w:val="clear" w:color="auto" w:fill="auto"/>
            <w:noWrap/>
            <w:vAlign w:val="bottom"/>
            <w:hideMark/>
          </w:tcPr>
          <w:p w14:paraId="14FE66B8"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7EB76C85"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5DCB2CB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000000" w:fill="FCFCFF"/>
            <w:noWrap/>
            <w:vAlign w:val="bottom"/>
            <w:hideMark/>
          </w:tcPr>
          <w:p w14:paraId="567E5E3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48F21F21"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auto" w:fill="auto"/>
            <w:noWrap/>
            <w:vAlign w:val="bottom"/>
            <w:hideMark/>
          </w:tcPr>
          <w:p w14:paraId="0BA10E15" w14:textId="77777777" w:rsidR="00E755F8" w:rsidRPr="003516DC" w:rsidRDefault="00E755F8" w:rsidP="00964831">
            <w:pPr>
              <w:jc w:val="right"/>
              <w:rPr>
                <w:rFonts w:ascii="Arial" w:eastAsia="Times New Roman" w:hAnsi="Arial" w:cs="Arial"/>
                <w:color w:val="000000"/>
                <w:sz w:val="16"/>
                <w:szCs w:val="16"/>
              </w:rPr>
            </w:pPr>
          </w:p>
        </w:tc>
        <w:tc>
          <w:tcPr>
            <w:tcW w:w="320" w:type="pct"/>
            <w:tcBorders>
              <w:top w:val="nil"/>
              <w:left w:val="single" w:sz="12" w:space="0" w:color="auto"/>
              <w:bottom w:val="nil"/>
              <w:right w:val="nil"/>
            </w:tcBorders>
            <w:shd w:val="clear" w:color="000000" w:fill="FCFCFF"/>
            <w:noWrap/>
            <w:vAlign w:val="bottom"/>
            <w:hideMark/>
          </w:tcPr>
          <w:p w14:paraId="3CA5EDFB"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44A7926C"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ACBCD"/>
            <w:noWrap/>
            <w:vAlign w:val="bottom"/>
            <w:hideMark/>
          </w:tcPr>
          <w:p w14:paraId="6BA903B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4E004C1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7C73C247"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single" w:sz="4" w:space="0" w:color="auto"/>
            </w:tcBorders>
            <w:shd w:val="clear" w:color="000000" w:fill="FCFCFF"/>
            <w:noWrap/>
            <w:vAlign w:val="bottom"/>
            <w:hideMark/>
          </w:tcPr>
          <w:p w14:paraId="7FF11945"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r>
      <w:tr w:rsidR="00E755F8" w:rsidRPr="003516DC" w14:paraId="638EB6EA"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06374E0E"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Professionals</w:t>
            </w:r>
          </w:p>
        </w:tc>
        <w:tc>
          <w:tcPr>
            <w:tcW w:w="321" w:type="pct"/>
            <w:tcBorders>
              <w:top w:val="nil"/>
              <w:left w:val="single" w:sz="4" w:space="0" w:color="auto"/>
              <w:bottom w:val="nil"/>
              <w:right w:val="nil"/>
            </w:tcBorders>
            <w:shd w:val="clear" w:color="000000" w:fill="FACBCD"/>
            <w:noWrap/>
            <w:vAlign w:val="bottom"/>
            <w:hideMark/>
          </w:tcPr>
          <w:p w14:paraId="12BA2CAE"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1" w:type="pct"/>
            <w:tcBorders>
              <w:top w:val="nil"/>
              <w:left w:val="nil"/>
              <w:bottom w:val="nil"/>
              <w:right w:val="nil"/>
            </w:tcBorders>
            <w:shd w:val="clear" w:color="000000" w:fill="FCFCFF"/>
            <w:noWrap/>
            <w:vAlign w:val="bottom"/>
            <w:hideMark/>
          </w:tcPr>
          <w:p w14:paraId="0B50CE87"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1" w:type="pct"/>
            <w:tcBorders>
              <w:top w:val="nil"/>
              <w:left w:val="nil"/>
              <w:bottom w:val="nil"/>
              <w:right w:val="nil"/>
            </w:tcBorders>
            <w:shd w:val="clear" w:color="000000" w:fill="FACBCD"/>
            <w:noWrap/>
            <w:vAlign w:val="bottom"/>
            <w:hideMark/>
          </w:tcPr>
          <w:p w14:paraId="360FD72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ACBCD"/>
            <w:noWrap/>
            <w:vAlign w:val="bottom"/>
            <w:hideMark/>
          </w:tcPr>
          <w:p w14:paraId="18BEB3C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ACBCD"/>
            <w:noWrap/>
            <w:vAlign w:val="bottom"/>
            <w:hideMark/>
          </w:tcPr>
          <w:p w14:paraId="6704091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20DCFCB0"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single" w:sz="12" w:space="0" w:color="auto"/>
              <w:bottom w:val="nil"/>
              <w:right w:val="nil"/>
            </w:tcBorders>
            <w:shd w:val="clear" w:color="000000" w:fill="FACBCD"/>
            <w:noWrap/>
            <w:vAlign w:val="bottom"/>
            <w:hideMark/>
          </w:tcPr>
          <w:p w14:paraId="58D6BD29"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ACBCD"/>
            <w:noWrap/>
            <w:vAlign w:val="bottom"/>
            <w:hideMark/>
          </w:tcPr>
          <w:p w14:paraId="4123A3D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8696B"/>
            <w:noWrap/>
            <w:vAlign w:val="bottom"/>
            <w:hideMark/>
          </w:tcPr>
          <w:p w14:paraId="0F512FB2"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-400</w:t>
            </w:r>
          </w:p>
        </w:tc>
        <w:tc>
          <w:tcPr>
            <w:tcW w:w="320" w:type="pct"/>
            <w:tcBorders>
              <w:top w:val="nil"/>
              <w:left w:val="nil"/>
              <w:bottom w:val="nil"/>
              <w:right w:val="nil"/>
            </w:tcBorders>
            <w:shd w:val="clear" w:color="000000" w:fill="F99A9C"/>
            <w:noWrap/>
            <w:vAlign w:val="bottom"/>
            <w:hideMark/>
          </w:tcPr>
          <w:p w14:paraId="389F892B"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-300</w:t>
            </w:r>
          </w:p>
        </w:tc>
        <w:tc>
          <w:tcPr>
            <w:tcW w:w="320" w:type="pct"/>
            <w:tcBorders>
              <w:top w:val="nil"/>
              <w:left w:val="nil"/>
              <w:bottom w:val="nil"/>
              <w:right w:val="nil"/>
            </w:tcBorders>
            <w:shd w:val="clear" w:color="000000" w:fill="FACBCD"/>
            <w:noWrap/>
            <w:vAlign w:val="bottom"/>
            <w:hideMark/>
          </w:tcPr>
          <w:p w14:paraId="5B5E17B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single" w:sz="4" w:space="0" w:color="auto"/>
            </w:tcBorders>
            <w:shd w:val="clear" w:color="000000" w:fill="FACBCD"/>
            <w:noWrap/>
            <w:vAlign w:val="bottom"/>
            <w:hideMark/>
          </w:tcPr>
          <w:p w14:paraId="43C123FF"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r>
      <w:tr w:rsidR="00E755F8" w:rsidRPr="003516DC" w14:paraId="11061FFF"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750C2192"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Service and sales workers</w:t>
            </w:r>
          </w:p>
        </w:tc>
        <w:tc>
          <w:tcPr>
            <w:tcW w:w="321" w:type="pct"/>
            <w:tcBorders>
              <w:top w:val="nil"/>
              <w:left w:val="single" w:sz="4" w:space="0" w:color="auto"/>
              <w:bottom w:val="nil"/>
              <w:right w:val="nil"/>
            </w:tcBorders>
            <w:shd w:val="clear" w:color="000000" w:fill="FCFCFF"/>
            <w:noWrap/>
            <w:vAlign w:val="bottom"/>
            <w:hideMark/>
          </w:tcPr>
          <w:p w14:paraId="6D70D3D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1" w:type="pct"/>
            <w:tcBorders>
              <w:top w:val="nil"/>
              <w:left w:val="nil"/>
              <w:bottom w:val="nil"/>
              <w:right w:val="nil"/>
            </w:tcBorders>
            <w:shd w:val="clear" w:color="000000" w:fill="FCFCFF"/>
            <w:noWrap/>
            <w:vAlign w:val="bottom"/>
            <w:hideMark/>
          </w:tcPr>
          <w:p w14:paraId="1C7B342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1" w:type="pct"/>
            <w:tcBorders>
              <w:top w:val="nil"/>
              <w:left w:val="nil"/>
              <w:bottom w:val="nil"/>
              <w:right w:val="nil"/>
            </w:tcBorders>
            <w:shd w:val="clear" w:color="000000" w:fill="FCFCFF"/>
            <w:noWrap/>
            <w:vAlign w:val="bottom"/>
            <w:hideMark/>
          </w:tcPr>
          <w:p w14:paraId="3D8D52D4"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CFCFF"/>
            <w:noWrap/>
            <w:vAlign w:val="bottom"/>
            <w:hideMark/>
          </w:tcPr>
          <w:p w14:paraId="71AF567F"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auto" w:fill="auto"/>
            <w:noWrap/>
            <w:vAlign w:val="bottom"/>
            <w:hideMark/>
          </w:tcPr>
          <w:p w14:paraId="6E962AEA" w14:textId="77777777" w:rsidR="00E755F8" w:rsidRPr="003516DC" w:rsidRDefault="00E755F8" w:rsidP="00964831">
            <w:pPr>
              <w:jc w:val="right"/>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11F938B0"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000000" w:fill="FACBCD"/>
            <w:noWrap/>
            <w:vAlign w:val="bottom"/>
            <w:hideMark/>
          </w:tcPr>
          <w:p w14:paraId="21007E2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2AF432D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000000" w:fill="FACBCD"/>
            <w:noWrap/>
            <w:vAlign w:val="bottom"/>
            <w:hideMark/>
          </w:tcPr>
          <w:p w14:paraId="754F8DC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ACBCD"/>
            <w:noWrap/>
            <w:vAlign w:val="bottom"/>
            <w:hideMark/>
          </w:tcPr>
          <w:p w14:paraId="07FE775E"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nil"/>
              <w:right w:val="nil"/>
            </w:tcBorders>
            <w:shd w:val="clear" w:color="000000" w:fill="FCFCFF"/>
            <w:noWrap/>
            <w:vAlign w:val="bottom"/>
            <w:hideMark/>
          </w:tcPr>
          <w:p w14:paraId="4835F8A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single" w:sz="4" w:space="0" w:color="auto"/>
            </w:tcBorders>
            <w:shd w:val="clear" w:color="000000" w:fill="FCFCFF"/>
            <w:noWrap/>
            <w:vAlign w:val="bottom"/>
            <w:hideMark/>
          </w:tcPr>
          <w:p w14:paraId="5990547D"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r>
      <w:tr w:rsidR="00E755F8" w:rsidRPr="003516DC" w14:paraId="79E8DFB8" w14:textId="77777777" w:rsidTr="00964831">
        <w:trPr>
          <w:trHeight w:val="280"/>
        </w:trPr>
        <w:tc>
          <w:tcPr>
            <w:tcW w:w="1155" w:type="pct"/>
            <w:tcBorders>
              <w:top w:val="nil"/>
              <w:left w:val="single" w:sz="4" w:space="0" w:color="auto"/>
              <w:bottom w:val="single" w:sz="4" w:space="0" w:color="auto"/>
              <w:right w:val="single" w:sz="4" w:space="0" w:color="auto"/>
            </w:tcBorders>
            <w:shd w:val="clear" w:color="auto" w:fill="auto"/>
            <w:noWrap/>
            <w:vAlign w:val="bottom"/>
            <w:hideMark/>
          </w:tcPr>
          <w:p w14:paraId="3306324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Trades workers</w:t>
            </w:r>
          </w:p>
        </w:tc>
        <w:tc>
          <w:tcPr>
            <w:tcW w:w="321" w:type="pct"/>
            <w:tcBorders>
              <w:top w:val="nil"/>
              <w:left w:val="nil"/>
              <w:bottom w:val="single" w:sz="4" w:space="0" w:color="auto"/>
              <w:right w:val="nil"/>
            </w:tcBorders>
            <w:shd w:val="clear" w:color="auto" w:fill="auto"/>
            <w:noWrap/>
            <w:vAlign w:val="bottom"/>
            <w:hideMark/>
          </w:tcPr>
          <w:p w14:paraId="0FC3DA4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single" w:sz="4" w:space="0" w:color="auto"/>
              <w:right w:val="nil"/>
            </w:tcBorders>
            <w:shd w:val="clear" w:color="000000" w:fill="91B1DA"/>
            <w:noWrap/>
            <w:vAlign w:val="bottom"/>
            <w:hideMark/>
          </w:tcPr>
          <w:p w14:paraId="6799EC19"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1" w:type="pct"/>
            <w:tcBorders>
              <w:top w:val="nil"/>
              <w:left w:val="nil"/>
              <w:bottom w:val="single" w:sz="4" w:space="0" w:color="auto"/>
              <w:right w:val="nil"/>
            </w:tcBorders>
            <w:shd w:val="clear" w:color="auto" w:fill="auto"/>
            <w:noWrap/>
            <w:vAlign w:val="bottom"/>
            <w:hideMark/>
          </w:tcPr>
          <w:p w14:paraId="1703632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single" w:sz="4" w:space="0" w:color="auto"/>
              <w:right w:val="nil"/>
            </w:tcBorders>
            <w:shd w:val="clear" w:color="000000" w:fill="FCFCFF"/>
            <w:noWrap/>
            <w:vAlign w:val="bottom"/>
            <w:hideMark/>
          </w:tcPr>
          <w:p w14:paraId="77FFDAD5"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FACBCD"/>
            <w:noWrap/>
            <w:vAlign w:val="bottom"/>
            <w:hideMark/>
          </w:tcPr>
          <w:p w14:paraId="2D7B0D6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single" w:sz="4" w:space="0" w:color="auto"/>
              <w:right w:val="nil"/>
            </w:tcBorders>
            <w:shd w:val="clear" w:color="auto" w:fill="auto"/>
            <w:noWrap/>
            <w:vAlign w:val="bottom"/>
            <w:hideMark/>
          </w:tcPr>
          <w:p w14:paraId="64BDCACF"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single" w:sz="12" w:space="0" w:color="auto"/>
              <w:bottom w:val="single" w:sz="4" w:space="0" w:color="auto"/>
              <w:right w:val="nil"/>
            </w:tcBorders>
            <w:shd w:val="clear" w:color="000000" w:fill="91B1DA"/>
            <w:noWrap/>
            <w:vAlign w:val="bottom"/>
            <w:hideMark/>
          </w:tcPr>
          <w:p w14:paraId="601A4F59"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91B1DA"/>
            <w:noWrap/>
            <w:vAlign w:val="bottom"/>
            <w:hideMark/>
          </w:tcPr>
          <w:p w14:paraId="6C62F59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FCFCFF"/>
            <w:noWrap/>
            <w:vAlign w:val="bottom"/>
            <w:hideMark/>
          </w:tcPr>
          <w:p w14:paraId="2B7500D8"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FCFCFF"/>
            <w:noWrap/>
            <w:vAlign w:val="bottom"/>
            <w:hideMark/>
          </w:tcPr>
          <w:p w14:paraId="42AE2786"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FCFCFF"/>
            <w:noWrap/>
            <w:vAlign w:val="bottom"/>
            <w:hideMark/>
          </w:tcPr>
          <w:p w14:paraId="2E2F1D57"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single" w:sz="4" w:space="0" w:color="auto"/>
            </w:tcBorders>
            <w:shd w:val="clear" w:color="000000" w:fill="FCFCFF"/>
            <w:noWrap/>
            <w:vAlign w:val="bottom"/>
            <w:hideMark/>
          </w:tcPr>
          <w:p w14:paraId="60856E64"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r>
      <w:tr w:rsidR="00E755F8" w:rsidRPr="003516DC" w14:paraId="2D8F4676"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75DB9D8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05378F2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F7C754F"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24AD27E0"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1DF7D7D"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5DDF855"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F8C992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4FDBBFC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3C5872FB"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283FEA8A"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3715846E"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F8630B3"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6A071A77"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404E3573" w14:textId="77777777" w:rsidTr="00964831">
        <w:trPr>
          <w:trHeight w:val="280"/>
        </w:trPr>
        <w:tc>
          <w:tcPr>
            <w:tcW w:w="5000" w:type="pct"/>
            <w:gridSpan w:val="13"/>
            <w:tcBorders>
              <w:top w:val="nil"/>
              <w:left w:val="single" w:sz="4" w:space="0" w:color="auto"/>
              <w:bottom w:val="nil"/>
              <w:right w:val="single" w:sz="4" w:space="0" w:color="000000"/>
            </w:tcBorders>
            <w:shd w:val="clear" w:color="000000" w:fill="009FE3"/>
            <w:noWrap/>
            <w:vAlign w:val="bottom"/>
            <w:hideMark/>
          </w:tcPr>
          <w:p w14:paraId="6C8EE0AD" w14:textId="77777777" w:rsidR="00E755F8" w:rsidRPr="003516DC" w:rsidRDefault="00E755F8" w:rsidP="00964831">
            <w:pPr>
              <w:rPr>
                <w:rFonts w:ascii="Arial" w:eastAsia="Times New Roman" w:hAnsi="Arial" w:cs="Arial"/>
                <w:b/>
                <w:bCs/>
                <w:i/>
                <w:iCs/>
                <w:color w:val="FFFFFF"/>
                <w:sz w:val="16"/>
                <w:szCs w:val="16"/>
              </w:rPr>
            </w:pPr>
            <w:r w:rsidRPr="003516DC">
              <w:rPr>
                <w:rFonts w:ascii="Arial" w:eastAsia="Times New Roman" w:hAnsi="Arial" w:cs="Arial"/>
                <w:b/>
                <w:bCs/>
                <w:i/>
                <w:iCs/>
                <w:color w:val="FFFFFF"/>
                <w:sz w:val="16"/>
                <w:szCs w:val="16"/>
              </w:rPr>
              <w:t>Within occupation transition opportunities (Green Deal scenario compared to baseline), number of jobs</w:t>
            </w:r>
            <w:r w:rsidRPr="003516DC">
              <w:rPr>
                <w:rFonts w:ascii="Arial" w:eastAsia="Times New Roman" w:hAnsi="Arial" w:cs="Arial"/>
                <w:b/>
                <w:bCs/>
                <w:i/>
                <w:iCs/>
                <w:color w:val="FFFFFF"/>
                <w:sz w:val="16"/>
                <w:szCs w:val="16"/>
              </w:rPr>
              <w:br/>
              <w:t>Rounded to nearest 100</w:t>
            </w:r>
          </w:p>
        </w:tc>
      </w:tr>
      <w:tr w:rsidR="00E755F8" w:rsidRPr="003516DC" w14:paraId="59787014" w14:textId="77777777" w:rsidTr="00964831">
        <w:trPr>
          <w:trHeight w:val="280"/>
        </w:trPr>
        <w:tc>
          <w:tcPr>
            <w:tcW w:w="1155" w:type="pct"/>
            <w:tcBorders>
              <w:top w:val="nil"/>
              <w:left w:val="single" w:sz="4" w:space="0" w:color="auto"/>
              <w:bottom w:val="nil"/>
              <w:right w:val="nil"/>
            </w:tcBorders>
            <w:shd w:val="clear" w:color="000000" w:fill="009FE3"/>
            <w:noWrap/>
            <w:vAlign w:val="bottom"/>
            <w:hideMark/>
          </w:tcPr>
          <w:p w14:paraId="1365462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1923" w:type="pct"/>
            <w:gridSpan w:val="6"/>
            <w:tcBorders>
              <w:top w:val="nil"/>
              <w:left w:val="nil"/>
              <w:bottom w:val="nil"/>
              <w:right w:val="nil"/>
            </w:tcBorders>
            <w:shd w:val="clear" w:color="000000" w:fill="009FE3"/>
            <w:noWrap/>
            <w:vAlign w:val="bottom"/>
            <w:hideMark/>
          </w:tcPr>
          <w:p w14:paraId="2F405986" w14:textId="77777777" w:rsidR="00E755F8" w:rsidRPr="003516DC" w:rsidRDefault="00E755F8" w:rsidP="00964831">
            <w:pPr>
              <w:jc w:val="cente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2025</w:t>
            </w:r>
          </w:p>
        </w:tc>
        <w:tc>
          <w:tcPr>
            <w:tcW w:w="1922" w:type="pct"/>
            <w:gridSpan w:val="6"/>
            <w:tcBorders>
              <w:top w:val="nil"/>
              <w:left w:val="nil"/>
              <w:bottom w:val="nil"/>
              <w:right w:val="single" w:sz="4" w:space="0" w:color="000000"/>
            </w:tcBorders>
            <w:shd w:val="clear" w:color="000000" w:fill="009FE3"/>
            <w:noWrap/>
            <w:vAlign w:val="bottom"/>
            <w:hideMark/>
          </w:tcPr>
          <w:p w14:paraId="52B734FB" w14:textId="77777777" w:rsidR="00E755F8" w:rsidRPr="003516DC" w:rsidRDefault="00E755F8" w:rsidP="00964831">
            <w:pPr>
              <w:jc w:val="cente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2030</w:t>
            </w:r>
          </w:p>
        </w:tc>
      </w:tr>
      <w:tr w:rsidR="00E755F8" w:rsidRPr="003516DC" w14:paraId="74BA5FFE" w14:textId="77777777" w:rsidTr="00964831">
        <w:trPr>
          <w:trHeight w:val="280"/>
        </w:trPr>
        <w:tc>
          <w:tcPr>
            <w:tcW w:w="1155" w:type="pct"/>
            <w:tcBorders>
              <w:top w:val="nil"/>
              <w:left w:val="single" w:sz="4" w:space="0" w:color="auto"/>
              <w:bottom w:val="nil"/>
              <w:right w:val="single" w:sz="4" w:space="0" w:color="auto"/>
            </w:tcBorders>
            <w:shd w:val="clear" w:color="000000" w:fill="009FE3"/>
            <w:noWrap/>
            <w:vAlign w:val="bottom"/>
            <w:hideMark/>
          </w:tcPr>
          <w:p w14:paraId="7C708282"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Occupation / Region</w:t>
            </w:r>
          </w:p>
        </w:tc>
        <w:tc>
          <w:tcPr>
            <w:tcW w:w="321" w:type="pct"/>
            <w:tcBorders>
              <w:top w:val="nil"/>
              <w:left w:val="nil"/>
              <w:bottom w:val="nil"/>
              <w:right w:val="nil"/>
            </w:tcBorders>
            <w:shd w:val="clear" w:color="000000" w:fill="009FE3"/>
            <w:noWrap/>
            <w:vAlign w:val="bottom"/>
            <w:hideMark/>
          </w:tcPr>
          <w:p w14:paraId="034BADDD"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MS</w:t>
            </w:r>
          </w:p>
        </w:tc>
        <w:tc>
          <w:tcPr>
            <w:tcW w:w="321" w:type="pct"/>
            <w:tcBorders>
              <w:top w:val="nil"/>
              <w:left w:val="nil"/>
              <w:bottom w:val="nil"/>
              <w:right w:val="nil"/>
            </w:tcBorders>
            <w:shd w:val="clear" w:color="000000" w:fill="009FE3"/>
            <w:noWrap/>
            <w:vAlign w:val="bottom"/>
            <w:hideMark/>
          </w:tcPr>
          <w:p w14:paraId="0959BBD9"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GL</w:t>
            </w:r>
          </w:p>
        </w:tc>
        <w:tc>
          <w:tcPr>
            <w:tcW w:w="321" w:type="pct"/>
            <w:tcBorders>
              <w:top w:val="nil"/>
              <w:left w:val="nil"/>
              <w:bottom w:val="nil"/>
              <w:right w:val="nil"/>
            </w:tcBorders>
            <w:shd w:val="clear" w:color="000000" w:fill="009FE3"/>
            <w:noWrap/>
            <w:vAlign w:val="bottom"/>
            <w:hideMark/>
          </w:tcPr>
          <w:p w14:paraId="52882F07"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PH</w:t>
            </w:r>
          </w:p>
        </w:tc>
        <w:tc>
          <w:tcPr>
            <w:tcW w:w="320" w:type="pct"/>
            <w:tcBorders>
              <w:top w:val="nil"/>
              <w:left w:val="nil"/>
              <w:bottom w:val="nil"/>
              <w:right w:val="nil"/>
            </w:tcBorders>
            <w:shd w:val="clear" w:color="000000" w:fill="009FE3"/>
            <w:noWrap/>
            <w:vAlign w:val="bottom"/>
            <w:hideMark/>
          </w:tcPr>
          <w:p w14:paraId="4D80FD0B"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DJ</w:t>
            </w:r>
          </w:p>
        </w:tc>
        <w:tc>
          <w:tcPr>
            <w:tcW w:w="320" w:type="pct"/>
            <w:tcBorders>
              <w:top w:val="nil"/>
              <w:left w:val="nil"/>
              <w:bottom w:val="nil"/>
              <w:right w:val="nil"/>
            </w:tcBorders>
            <w:shd w:val="clear" w:color="000000" w:fill="009FE3"/>
            <w:noWrap/>
            <w:vAlign w:val="bottom"/>
            <w:hideMark/>
          </w:tcPr>
          <w:p w14:paraId="687873EC"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GJ</w:t>
            </w:r>
          </w:p>
        </w:tc>
        <w:tc>
          <w:tcPr>
            <w:tcW w:w="320" w:type="pct"/>
            <w:tcBorders>
              <w:top w:val="nil"/>
              <w:left w:val="nil"/>
              <w:bottom w:val="nil"/>
              <w:right w:val="nil"/>
            </w:tcBorders>
            <w:shd w:val="clear" w:color="000000" w:fill="009FE3"/>
            <w:noWrap/>
            <w:vAlign w:val="bottom"/>
            <w:hideMark/>
          </w:tcPr>
          <w:p w14:paraId="70041845"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HD</w:t>
            </w:r>
          </w:p>
        </w:tc>
        <w:tc>
          <w:tcPr>
            <w:tcW w:w="320" w:type="pct"/>
            <w:tcBorders>
              <w:top w:val="nil"/>
              <w:left w:val="single" w:sz="12" w:space="0" w:color="auto"/>
              <w:bottom w:val="nil"/>
              <w:right w:val="nil"/>
            </w:tcBorders>
            <w:shd w:val="clear" w:color="000000" w:fill="009FE3"/>
            <w:noWrap/>
            <w:vAlign w:val="bottom"/>
            <w:hideMark/>
          </w:tcPr>
          <w:p w14:paraId="682412B7"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MS</w:t>
            </w:r>
          </w:p>
        </w:tc>
        <w:tc>
          <w:tcPr>
            <w:tcW w:w="320" w:type="pct"/>
            <w:tcBorders>
              <w:top w:val="nil"/>
              <w:left w:val="nil"/>
              <w:bottom w:val="nil"/>
              <w:right w:val="nil"/>
            </w:tcBorders>
            <w:shd w:val="clear" w:color="000000" w:fill="009FE3"/>
            <w:noWrap/>
            <w:vAlign w:val="bottom"/>
            <w:hideMark/>
          </w:tcPr>
          <w:p w14:paraId="4AEED5DD"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GL</w:t>
            </w:r>
          </w:p>
        </w:tc>
        <w:tc>
          <w:tcPr>
            <w:tcW w:w="320" w:type="pct"/>
            <w:tcBorders>
              <w:top w:val="nil"/>
              <w:left w:val="nil"/>
              <w:bottom w:val="nil"/>
              <w:right w:val="nil"/>
            </w:tcBorders>
            <w:shd w:val="clear" w:color="000000" w:fill="009FE3"/>
            <w:noWrap/>
            <w:vAlign w:val="bottom"/>
            <w:hideMark/>
          </w:tcPr>
          <w:p w14:paraId="478F61E4"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PH</w:t>
            </w:r>
          </w:p>
        </w:tc>
        <w:tc>
          <w:tcPr>
            <w:tcW w:w="320" w:type="pct"/>
            <w:tcBorders>
              <w:top w:val="nil"/>
              <w:left w:val="nil"/>
              <w:bottom w:val="nil"/>
              <w:right w:val="nil"/>
            </w:tcBorders>
            <w:shd w:val="clear" w:color="000000" w:fill="009FE3"/>
            <w:noWrap/>
            <w:vAlign w:val="bottom"/>
            <w:hideMark/>
          </w:tcPr>
          <w:p w14:paraId="62AB432A"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DJ</w:t>
            </w:r>
          </w:p>
        </w:tc>
        <w:tc>
          <w:tcPr>
            <w:tcW w:w="320" w:type="pct"/>
            <w:tcBorders>
              <w:top w:val="nil"/>
              <w:left w:val="nil"/>
              <w:bottom w:val="nil"/>
              <w:right w:val="nil"/>
            </w:tcBorders>
            <w:shd w:val="clear" w:color="000000" w:fill="009FE3"/>
            <w:noWrap/>
            <w:vAlign w:val="bottom"/>
            <w:hideMark/>
          </w:tcPr>
          <w:p w14:paraId="5F3C8C34"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GJ</w:t>
            </w:r>
          </w:p>
        </w:tc>
        <w:tc>
          <w:tcPr>
            <w:tcW w:w="320" w:type="pct"/>
            <w:tcBorders>
              <w:top w:val="nil"/>
              <w:left w:val="nil"/>
              <w:bottom w:val="nil"/>
              <w:right w:val="single" w:sz="4" w:space="0" w:color="auto"/>
            </w:tcBorders>
            <w:shd w:val="clear" w:color="000000" w:fill="009FE3"/>
            <w:noWrap/>
            <w:vAlign w:val="bottom"/>
            <w:hideMark/>
          </w:tcPr>
          <w:p w14:paraId="30DBA0F3" w14:textId="77777777" w:rsidR="00E755F8" w:rsidRPr="003516DC" w:rsidRDefault="00E755F8" w:rsidP="00964831">
            <w:pPr>
              <w:rPr>
                <w:rFonts w:ascii="Arial" w:eastAsia="Times New Roman" w:hAnsi="Arial" w:cs="Arial"/>
                <w:b/>
                <w:bCs/>
                <w:color w:val="FFFFFF"/>
                <w:sz w:val="16"/>
                <w:szCs w:val="16"/>
              </w:rPr>
            </w:pPr>
            <w:r w:rsidRPr="003516DC">
              <w:rPr>
                <w:rFonts w:ascii="Arial" w:eastAsia="Times New Roman" w:hAnsi="Arial" w:cs="Arial"/>
                <w:b/>
                <w:bCs/>
                <w:color w:val="FFFFFF"/>
                <w:sz w:val="16"/>
                <w:szCs w:val="16"/>
              </w:rPr>
              <w:t>HD</w:t>
            </w:r>
          </w:p>
        </w:tc>
      </w:tr>
      <w:tr w:rsidR="00E755F8" w:rsidRPr="003516DC" w14:paraId="1CF4DFFD"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2D018BAF"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Associate professionals</w:t>
            </w:r>
          </w:p>
        </w:tc>
        <w:tc>
          <w:tcPr>
            <w:tcW w:w="321" w:type="pct"/>
            <w:tcBorders>
              <w:top w:val="nil"/>
              <w:left w:val="nil"/>
              <w:bottom w:val="nil"/>
              <w:right w:val="nil"/>
            </w:tcBorders>
            <w:shd w:val="clear" w:color="auto" w:fill="auto"/>
            <w:noWrap/>
            <w:vAlign w:val="bottom"/>
            <w:hideMark/>
          </w:tcPr>
          <w:p w14:paraId="2F588E85"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736044E7"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4F4041C9"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6F289D33"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4239DEC"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656E2BE4"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4E96BCC4"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07D49D79"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02A9DE83"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9C9F9DE"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64838EEB"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260EB2F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77ED4AC4"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7941A51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Clerks</w:t>
            </w:r>
          </w:p>
        </w:tc>
        <w:tc>
          <w:tcPr>
            <w:tcW w:w="321" w:type="pct"/>
            <w:tcBorders>
              <w:top w:val="nil"/>
              <w:left w:val="nil"/>
              <w:bottom w:val="nil"/>
              <w:right w:val="nil"/>
            </w:tcBorders>
            <w:shd w:val="clear" w:color="auto" w:fill="auto"/>
            <w:noWrap/>
            <w:vAlign w:val="bottom"/>
            <w:hideMark/>
          </w:tcPr>
          <w:p w14:paraId="6667DF7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9F5A0CB"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1F26522E"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C2B7EA9"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BA6EBF7"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5DB74303"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5A92B396"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4900781A"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320C6BE4"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193D9A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010BA1F"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5CC11FC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4DF90417"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655A3EDB"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Elementary workers</w:t>
            </w:r>
          </w:p>
        </w:tc>
        <w:tc>
          <w:tcPr>
            <w:tcW w:w="321" w:type="pct"/>
            <w:tcBorders>
              <w:top w:val="nil"/>
              <w:left w:val="nil"/>
              <w:bottom w:val="nil"/>
              <w:right w:val="nil"/>
            </w:tcBorders>
            <w:shd w:val="clear" w:color="auto" w:fill="auto"/>
            <w:noWrap/>
            <w:vAlign w:val="bottom"/>
            <w:hideMark/>
          </w:tcPr>
          <w:p w14:paraId="522A48E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B3C7F1E"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1AE585A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2444242"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3FAED6D6"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3174A922"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000000" w:fill="91B1DA"/>
            <w:noWrap/>
            <w:vAlign w:val="bottom"/>
            <w:hideMark/>
          </w:tcPr>
          <w:p w14:paraId="63894B93"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auto" w:fill="auto"/>
            <w:noWrap/>
            <w:vAlign w:val="bottom"/>
            <w:hideMark/>
          </w:tcPr>
          <w:p w14:paraId="25253885" w14:textId="77777777" w:rsidR="00E755F8" w:rsidRPr="003516DC" w:rsidRDefault="00E755F8" w:rsidP="00964831">
            <w:pPr>
              <w:jc w:val="right"/>
              <w:rPr>
                <w:rFonts w:ascii="Arial" w:eastAsia="Times New Roman" w:hAnsi="Arial" w:cs="Arial"/>
                <w:color w:val="000000"/>
                <w:sz w:val="16"/>
                <w:szCs w:val="16"/>
              </w:rPr>
            </w:pPr>
          </w:p>
        </w:tc>
        <w:tc>
          <w:tcPr>
            <w:tcW w:w="320" w:type="pct"/>
            <w:tcBorders>
              <w:top w:val="nil"/>
              <w:left w:val="nil"/>
              <w:bottom w:val="nil"/>
              <w:right w:val="nil"/>
            </w:tcBorders>
            <w:shd w:val="clear" w:color="000000" w:fill="91B1DA"/>
            <w:noWrap/>
            <w:vAlign w:val="bottom"/>
            <w:hideMark/>
          </w:tcPr>
          <w:p w14:paraId="1FF6124C"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nil"/>
              <w:right w:val="nil"/>
            </w:tcBorders>
            <w:shd w:val="clear" w:color="auto" w:fill="auto"/>
            <w:noWrap/>
            <w:vAlign w:val="bottom"/>
            <w:hideMark/>
          </w:tcPr>
          <w:p w14:paraId="3E28A821" w14:textId="77777777" w:rsidR="00E755F8" w:rsidRPr="003516DC" w:rsidRDefault="00E755F8" w:rsidP="00964831">
            <w:pPr>
              <w:jc w:val="right"/>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38C6CE82"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3DED26DF"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4065041B"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651EC058"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Farm and related workers</w:t>
            </w:r>
          </w:p>
        </w:tc>
        <w:tc>
          <w:tcPr>
            <w:tcW w:w="321" w:type="pct"/>
            <w:tcBorders>
              <w:top w:val="nil"/>
              <w:left w:val="nil"/>
              <w:bottom w:val="nil"/>
              <w:right w:val="nil"/>
            </w:tcBorders>
            <w:shd w:val="clear" w:color="auto" w:fill="auto"/>
            <w:noWrap/>
            <w:vAlign w:val="bottom"/>
            <w:hideMark/>
          </w:tcPr>
          <w:p w14:paraId="67C5CF9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2AB931EA"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1DBCACFC"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6A45044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4C1211B"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301FED70"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53E4B96D"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08AA7F57"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0FE3DFEF"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3412978F"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84D2A95"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5367639B"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127C33A5"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7E5B4EA1"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lastRenderedPageBreak/>
              <w:t>Managers</w:t>
            </w:r>
          </w:p>
        </w:tc>
        <w:tc>
          <w:tcPr>
            <w:tcW w:w="321" w:type="pct"/>
            <w:tcBorders>
              <w:top w:val="nil"/>
              <w:left w:val="nil"/>
              <w:bottom w:val="nil"/>
              <w:right w:val="nil"/>
            </w:tcBorders>
            <w:shd w:val="clear" w:color="auto" w:fill="auto"/>
            <w:noWrap/>
            <w:vAlign w:val="bottom"/>
            <w:hideMark/>
          </w:tcPr>
          <w:p w14:paraId="0FE479FE"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4B28B05B"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73027DE7"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1A507DF"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32BC0B6"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08D09FD"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6DC5231F"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3EE151F9"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6512A515"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753F87D"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B708F6E"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783B3564"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6E3C25EE"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41D5ED3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Operators and assemblers</w:t>
            </w:r>
          </w:p>
        </w:tc>
        <w:tc>
          <w:tcPr>
            <w:tcW w:w="321" w:type="pct"/>
            <w:tcBorders>
              <w:top w:val="nil"/>
              <w:left w:val="nil"/>
              <w:bottom w:val="nil"/>
              <w:right w:val="nil"/>
            </w:tcBorders>
            <w:shd w:val="clear" w:color="auto" w:fill="auto"/>
            <w:noWrap/>
            <w:vAlign w:val="bottom"/>
            <w:hideMark/>
          </w:tcPr>
          <w:p w14:paraId="46FA8AF5"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14B1BE63"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01E1863B"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3E723A1"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54EB90D"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81DDEE0"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7CFBDEDC"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65A1938F"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02A6B5B0"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5094C128"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5C2F96A"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53E75F34"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70E476E8"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148805B6"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Professionals</w:t>
            </w:r>
          </w:p>
        </w:tc>
        <w:tc>
          <w:tcPr>
            <w:tcW w:w="321" w:type="pct"/>
            <w:tcBorders>
              <w:top w:val="nil"/>
              <w:left w:val="nil"/>
              <w:bottom w:val="nil"/>
              <w:right w:val="nil"/>
            </w:tcBorders>
            <w:shd w:val="clear" w:color="auto" w:fill="auto"/>
            <w:noWrap/>
            <w:vAlign w:val="bottom"/>
            <w:hideMark/>
          </w:tcPr>
          <w:p w14:paraId="414FE079"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30635521"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6DC59E4A"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51566BC7"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B718489"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4CF67467"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25DC7E58"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16E7B12A"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51845EC4"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5E345C1E"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19BEDFB7"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4A9929C6"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258AD78E" w14:textId="77777777" w:rsidTr="00964831">
        <w:trPr>
          <w:trHeight w:val="280"/>
        </w:trPr>
        <w:tc>
          <w:tcPr>
            <w:tcW w:w="1155" w:type="pct"/>
            <w:tcBorders>
              <w:top w:val="nil"/>
              <w:left w:val="single" w:sz="4" w:space="0" w:color="auto"/>
              <w:bottom w:val="nil"/>
              <w:right w:val="single" w:sz="4" w:space="0" w:color="auto"/>
            </w:tcBorders>
            <w:shd w:val="clear" w:color="auto" w:fill="auto"/>
            <w:noWrap/>
            <w:vAlign w:val="bottom"/>
            <w:hideMark/>
          </w:tcPr>
          <w:p w14:paraId="07B2844B"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Service and sales workers</w:t>
            </w:r>
          </w:p>
        </w:tc>
        <w:tc>
          <w:tcPr>
            <w:tcW w:w="321" w:type="pct"/>
            <w:tcBorders>
              <w:top w:val="nil"/>
              <w:left w:val="nil"/>
              <w:bottom w:val="nil"/>
              <w:right w:val="nil"/>
            </w:tcBorders>
            <w:shd w:val="clear" w:color="auto" w:fill="auto"/>
            <w:noWrap/>
            <w:vAlign w:val="bottom"/>
            <w:hideMark/>
          </w:tcPr>
          <w:p w14:paraId="6689D4D6"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nil"/>
              <w:right w:val="nil"/>
            </w:tcBorders>
            <w:shd w:val="clear" w:color="auto" w:fill="auto"/>
            <w:noWrap/>
            <w:vAlign w:val="bottom"/>
            <w:hideMark/>
          </w:tcPr>
          <w:p w14:paraId="50B6FA4C" w14:textId="77777777" w:rsidR="00E755F8" w:rsidRPr="003516DC" w:rsidRDefault="00E755F8" w:rsidP="00964831">
            <w:pPr>
              <w:rPr>
                <w:rFonts w:ascii="Arial" w:eastAsia="Times New Roman" w:hAnsi="Arial" w:cs="Arial"/>
                <w:color w:val="000000"/>
                <w:sz w:val="16"/>
                <w:szCs w:val="16"/>
              </w:rPr>
            </w:pPr>
          </w:p>
        </w:tc>
        <w:tc>
          <w:tcPr>
            <w:tcW w:w="321" w:type="pct"/>
            <w:tcBorders>
              <w:top w:val="nil"/>
              <w:left w:val="nil"/>
              <w:bottom w:val="nil"/>
              <w:right w:val="nil"/>
            </w:tcBorders>
            <w:shd w:val="clear" w:color="auto" w:fill="auto"/>
            <w:noWrap/>
            <w:vAlign w:val="bottom"/>
            <w:hideMark/>
          </w:tcPr>
          <w:p w14:paraId="16AD064F"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6D7D03B"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205C1E82"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090B281D" w14:textId="77777777" w:rsidR="00E755F8" w:rsidRPr="003516DC" w:rsidRDefault="00E755F8" w:rsidP="00964831">
            <w:pPr>
              <w:rPr>
                <w:rFonts w:ascii="Arial" w:eastAsia="Times New Roman" w:hAnsi="Arial" w:cs="Arial"/>
                <w:sz w:val="16"/>
                <w:szCs w:val="16"/>
              </w:rPr>
            </w:pPr>
          </w:p>
        </w:tc>
        <w:tc>
          <w:tcPr>
            <w:tcW w:w="320" w:type="pct"/>
            <w:tcBorders>
              <w:top w:val="nil"/>
              <w:left w:val="single" w:sz="12" w:space="0" w:color="auto"/>
              <w:bottom w:val="nil"/>
              <w:right w:val="nil"/>
            </w:tcBorders>
            <w:shd w:val="clear" w:color="auto" w:fill="auto"/>
            <w:noWrap/>
            <w:vAlign w:val="bottom"/>
            <w:hideMark/>
          </w:tcPr>
          <w:p w14:paraId="0C0E8D92"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nil"/>
              <w:right w:val="nil"/>
            </w:tcBorders>
            <w:shd w:val="clear" w:color="auto" w:fill="auto"/>
            <w:noWrap/>
            <w:vAlign w:val="bottom"/>
            <w:hideMark/>
          </w:tcPr>
          <w:p w14:paraId="2559D3E3" w14:textId="77777777" w:rsidR="00E755F8" w:rsidRPr="003516DC" w:rsidRDefault="00E755F8" w:rsidP="00964831">
            <w:pPr>
              <w:rPr>
                <w:rFonts w:ascii="Arial" w:eastAsia="Times New Roman" w:hAnsi="Arial" w:cs="Arial"/>
                <w:color w:val="000000"/>
                <w:sz w:val="16"/>
                <w:szCs w:val="16"/>
              </w:rPr>
            </w:pPr>
          </w:p>
        </w:tc>
        <w:tc>
          <w:tcPr>
            <w:tcW w:w="320" w:type="pct"/>
            <w:tcBorders>
              <w:top w:val="nil"/>
              <w:left w:val="nil"/>
              <w:bottom w:val="nil"/>
              <w:right w:val="nil"/>
            </w:tcBorders>
            <w:shd w:val="clear" w:color="auto" w:fill="auto"/>
            <w:noWrap/>
            <w:vAlign w:val="bottom"/>
            <w:hideMark/>
          </w:tcPr>
          <w:p w14:paraId="022267A3"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7CEE8638"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nil"/>
            </w:tcBorders>
            <w:shd w:val="clear" w:color="auto" w:fill="auto"/>
            <w:noWrap/>
            <w:vAlign w:val="bottom"/>
            <w:hideMark/>
          </w:tcPr>
          <w:p w14:paraId="65A0006A" w14:textId="77777777" w:rsidR="00E755F8" w:rsidRPr="003516DC" w:rsidRDefault="00E755F8" w:rsidP="00964831">
            <w:pPr>
              <w:rPr>
                <w:rFonts w:ascii="Arial" w:eastAsia="Times New Roman" w:hAnsi="Arial" w:cs="Arial"/>
                <w:sz w:val="16"/>
                <w:szCs w:val="16"/>
              </w:rPr>
            </w:pPr>
          </w:p>
        </w:tc>
        <w:tc>
          <w:tcPr>
            <w:tcW w:w="320" w:type="pct"/>
            <w:tcBorders>
              <w:top w:val="nil"/>
              <w:left w:val="nil"/>
              <w:bottom w:val="nil"/>
              <w:right w:val="single" w:sz="4" w:space="0" w:color="auto"/>
            </w:tcBorders>
            <w:shd w:val="clear" w:color="auto" w:fill="auto"/>
            <w:noWrap/>
            <w:vAlign w:val="bottom"/>
            <w:hideMark/>
          </w:tcPr>
          <w:p w14:paraId="463CCCD5"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r w:rsidR="00E755F8" w:rsidRPr="003516DC" w14:paraId="3B539750" w14:textId="77777777" w:rsidTr="00964831">
        <w:trPr>
          <w:trHeight w:val="280"/>
        </w:trPr>
        <w:tc>
          <w:tcPr>
            <w:tcW w:w="1155" w:type="pct"/>
            <w:tcBorders>
              <w:top w:val="nil"/>
              <w:left w:val="single" w:sz="4" w:space="0" w:color="auto"/>
              <w:bottom w:val="single" w:sz="4" w:space="0" w:color="auto"/>
              <w:right w:val="single" w:sz="4" w:space="0" w:color="auto"/>
            </w:tcBorders>
            <w:shd w:val="clear" w:color="auto" w:fill="auto"/>
            <w:noWrap/>
            <w:vAlign w:val="bottom"/>
            <w:hideMark/>
          </w:tcPr>
          <w:p w14:paraId="5A7C23B3"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Trades workers</w:t>
            </w:r>
          </w:p>
        </w:tc>
        <w:tc>
          <w:tcPr>
            <w:tcW w:w="321" w:type="pct"/>
            <w:tcBorders>
              <w:top w:val="nil"/>
              <w:left w:val="nil"/>
              <w:bottom w:val="single" w:sz="4" w:space="0" w:color="auto"/>
              <w:right w:val="nil"/>
            </w:tcBorders>
            <w:shd w:val="clear" w:color="auto" w:fill="auto"/>
            <w:noWrap/>
            <w:vAlign w:val="bottom"/>
            <w:hideMark/>
          </w:tcPr>
          <w:p w14:paraId="67725DF2"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single" w:sz="4" w:space="0" w:color="auto"/>
              <w:right w:val="nil"/>
            </w:tcBorders>
            <w:shd w:val="clear" w:color="auto" w:fill="auto"/>
            <w:noWrap/>
            <w:vAlign w:val="bottom"/>
            <w:hideMark/>
          </w:tcPr>
          <w:p w14:paraId="298AF78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1" w:type="pct"/>
            <w:tcBorders>
              <w:top w:val="nil"/>
              <w:left w:val="nil"/>
              <w:bottom w:val="single" w:sz="4" w:space="0" w:color="auto"/>
              <w:right w:val="nil"/>
            </w:tcBorders>
            <w:shd w:val="clear" w:color="000000" w:fill="91B1DA"/>
            <w:noWrap/>
            <w:vAlign w:val="bottom"/>
            <w:hideMark/>
          </w:tcPr>
          <w:p w14:paraId="53472ED1"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auto" w:fill="auto"/>
            <w:noWrap/>
            <w:vAlign w:val="bottom"/>
            <w:hideMark/>
          </w:tcPr>
          <w:p w14:paraId="6CDBDEE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single" w:sz="4" w:space="0" w:color="auto"/>
              <w:right w:val="nil"/>
            </w:tcBorders>
            <w:shd w:val="clear" w:color="auto" w:fill="auto"/>
            <w:noWrap/>
            <w:vAlign w:val="bottom"/>
            <w:hideMark/>
          </w:tcPr>
          <w:p w14:paraId="4A03B2CA"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nil"/>
              <w:bottom w:val="single" w:sz="4" w:space="0" w:color="auto"/>
              <w:right w:val="nil"/>
            </w:tcBorders>
            <w:shd w:val="clear" w:color="auto" w:fill="auto"/>
            <w:noWrap/>
            <w:vAlign w:val="bottom"/>
            <w:hideMark/>
          </w:tcPr>
          <w:p w14:paraId="0AEECBEC"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c>
          <w:tcPr>
            <w:tcW w:w="320" w:type="pct"/>
            <w:tcBorders>
              <w:top w:val="nil"/>
              <w:left w:val="single" w:sz="12" w:space="0" w:color="auto"/>
              <w:bottom w:val="single" w:sz="4" w:space="0" w:color="auto"/>
              <w:right w:val="nil"/>
            </w:tcBorders>
            <w:shd w:val="clear" w:color="000000" w:fill="91B1DA"/>
            <w:noWrap/>
            <w:vAlign w:val="bottom"/>
            <w:hideMark/>
          </w:tcPr>
          <w:p w14:paraId="0611DCBA"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91B1DA"/>
            <w:noWrap/>
            <w:vAlign w:val="bottom"/>
            <w:hideMark/>
          </w:tcPr>
          <w:p w14:paraId="764D83B0"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5A8AC6"/>
            <w:noWrap/>
            <w:vAlign w:val="bottom"/>
            <w:hideMark/>
          </w:tcPr>
          <w:p w14:paraId="16C1F904"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200</w:t>
            </w:r>
          </w:p>
        </w:tc>
        <w:tc>
          <w:tcPr>
            <w:tcW w:w="320" w:type="pct"/>
            <w:tcBorders>
              <w:top w:val="nil"/>
              <w:left w:val="nil"/>
              <w:bottom w:val="single" w:sz="4" w:space="0" w:color="auto"/>
              <w:right w:val="nil"/>
            </w:tcBorders>
            <w:shd w:val="clear" w:color="000000" w:fill="91B1DA"/>
            <w:noWrap/>
            <w:vAlign w:val="bottom"/>
            <w:hideMark/>
          </w:tcPr>
          <w:p w14:paraId="2A7ACE85"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nil"/>
            </w:tcBorders>
            <w:shd w:val="clear" w:color="000000" w:fill="91B1DA"/>
            <w:noWrap/>
            <w:vAlign w:val="bottom"/>
            <w:hideMark/>
          </w:tcPr>
          <w:p w14:paraId="44518368" w14:textId="77777777" w:rsidR="00E755F8" w:rsidRPr="003516DC" w:rsidRDefault="00E755F8" w:rsidP="00964831">
            <w:pPr>
              <w:jc w:val="right"/>
              <w:rPr>
                <w:rFonts w:ascii="Arial" w:eastAsia="Times New Roman" w:hAnsi="Arial" w:cs="Arial"/>
                <w:color w:val="000000"/>
                <w:sz w:val="16"/>
                <w:szCs w:val="16"/>
              </w:rPr>
            </w:pPr>
            <w:r w:rsidRPr="003516DC">
              <w:rPr>
                <w:rFonts w:ascii="Arial" w:eastAsia="Times New Roman" w:hAnsi="Arial" w:cs="Arial"/>
                <w:color w:val="000000"/>
                <w:sz w:val="16"/>
                <w:szCs w:val="16"/>
              </w:rPr>
              <w:t>100</w:t>
            </w:r>
          </w:p>
        </w:tc>
        <w:tc>
          <w:tcPr>
            <w:tcW w:w="320" w:type="pct"/>
            <w:tcBorders>
              <w:top w:val="nil"/>
              <w:left w:val="nil"/>
              <w:bottom w:val="single" w:sz="4" w:space="0" w:color="auto"/>
              <w:right w:val="single" w:sz="4" w:space="0" w:color="auto"/>
            </w:tcBorders>
            <w:shd w:val="clear" w:color="auto" w:fill="auto"/>
            <w:noWrap/>
            <w:vAlign w:val="bottom"/>
            <w:hideMark/>
          </w:tcPr>
          <w:p w14:paraId="062B0460" w14:textId="77777777" w:rsidR="00E755F8" w:rsidRPr="003516DC" w:rsidRDefault="00E755F8" w:rsidP="00964831">
            <w:pPr>
              <w:rPr>
                <w:rFonts w:ascii="Arial" w:eastAsia="Times New Roman" w:hAnsi="Arial" w:cs="Arial"/>
                <w:color w:val="000000"/>
                <w:sz w:val="16"/>
                <w:szCs w:val="16"/>
              </w:rPr>
            </w:pPr>
            <w:r w:rsidRPr="003516DC">
              <w:rPr>
                <w:rFonts w:ascii="Arial" w:eastAsia="Times New Roman" w:hAnsi="Arial" w:cs="Arial"/>
                <w:color w:val="000000"/>
                <w:sz w:val="16"/>
                <w:szCs w:val="16"/>
              </w:rPr>
              <w:t> </w:t>
            </w:r>
          </w:p>
        </w:tc>
      </w:tr>
    </w:tbl>
    <w:p w14:paraId="3DA57270" w14:textId="3C119A19" w:rsidR="00E755F8" w:rsidRPr="00402580" w:rsidRDefault="001C79A9" w:rsidP="00D963B9">
      <w:pPr>
        <w:spacing w:before="120" w:after="120"/>
        <w:jc w:val="both"/>
        <w:rPr>
          <w:rFonts w:ascii="Arial" w:hAnsi="Arial" w:cs="Arial"/>
          <w:noProof/>
          <w:sz w:val="20"/>
          <w:szCs w:val="20"/>
        </w:rPr>
      </w:pPr>
      <w:r>
        <w:rPr>
          <w:rFonts w:ascii="Arial" w:hAnsi="Arial" w:cs="Arial"/>
          <w:noProof/>
          <w:sz w:val="20"/>
          <w:szCs w:val="20"/>
        </w:rPr>
        <w:t>T</w:t>
      </w:r>
      <w:r w:rsidR="00E755F8" w:rsidRPr="00402580">
        <w:rPr>
          <w:rFonts w:ascii="Arial" w:hAnsi="Arial" w:cs="Arial"/>
          <w:noProof/>
          <w:sz w:val="20"/>
          <w:szCs w:val="20"/>
        </w:rPr>
        <w:t>he modelling shows potential employment losses in the target regions due to the effects of the Green Deal scenario in most</w:t>
      </w:r>
      <w:r w:rsidR="00213A83">
        <w:rPr>
          <w:rFonts w:ascii="Arial" w:hAnsi="Arial" w:cs="Arial"/>
          <w:noProof/>
          <w:sz w:val="20"/>
          <w:szCs w:val="20"/>
        </w:rPr>
        <w:t xml:space="preserve"> </w:t>
      </w:r>
      <w:r w:rsidR="00E755F8" w:rsidRPr="00402580">
        <w:rPr>
          <w:rFonts w:ascii="Arial" w:hAnsi="Arial" w:cs="Arial"/>
          <w:noProof/>
          <w:sz w:val="20"/>
          <w:szCs w:val="20"/>
        </w:rPr>
        <w:t xml:space="preserve">occupational groups by 2030. The losses are the most prominent </w:t>
      </w:r>
      <w:r w:rsidR="00213A83">
        <w:rPr>
          <w:rFonts w:ascii="Arial" w:hAnsi="Arial" w:cs="Arial"/>
          <w:noProof/>
          <w:sz w:val="20"/>
          <w:szCs w:val="20"/>
        </w:rPr>
        <w:t>for</w:t>
      </w:r>
      <w:r w:rsidR="00E755F8" w:rsidRPr="00402580">
        <w:rPr>
          <w:rFonts w:ascii="Arial" w:hAnsi="Arial" w:cs="Arial"/>
          <w:noProof/>
          <w:sz w:val="20"/>
          <w:szCs w:val="20"/>
        </w:rPr>
        <w:t xml:space="preserve"> professionals (engineers, technicians with tertiary education, business administration professionals, etc.)</w:t>
      </w:r>
      <w:r w:rsidR="00213A83">
        <w:rPr>
          <w:rFonts w:ascii="Arial" w:hAnsi="Arial" w:cs="Arial"/>
          <w:noProof/>
          <w:sz w:val="20"/>
          <w:szCs w:val="20"/>
        </w:rPr>
        <w:t>.</w:t>
      </w:r>
      <w:r w:rsidR="00E755F8" w:rsidRPr="00402580">
        <w:rPr>
          <w:rFonts w:ascii="Arial" w:hAnsi="Arial" w:cs="Arial"/>
          <w:noProof/>
          <w:sz w:val="20"/>
          <w:szCs w:val="20"/>
        </w:rPr>
        <w:t xml:space="preserve"> </w:t>
      </w:r>
      <w:r w:rsidR="00213A83">
        <w:rPr>
          <w:rFonts w:ascii="Arial" w:hAnsi="Arial" w:cs="Arial"/>
          <w:noProof/>
          <w:sz w:val="20"/>
          <w:szCs w:val="20"/>
        </w:rPr>
        <w:t>O</w:t>
      </w:r>
      <w:r w:rsidR="00E755F8" w:rsidRPr="00402580">
        <w:rPr>
          <w:rFonts w:ascii="Arial" w:hAnsi="Arial" w:cs="Arial"/>
          <w:noProof/>
          <w:sz w:val="20"/>
          <w:szCs w:val="20"/>
        </w:rPr>
        <w:t xml:space="preserve">nly the trades workers </w:t>
      </w:r>
      <w:r w:rsidR="00213A83">
        <w:rPr>
          <w:rFonts w:ascii="Arial" w:hAnsi="Arial" w:cs="Arial"/>
          <w:noProof/>
          <w:sz w:val="20"/>
          <w:szCs w:val="20"/>
        </w:rPr>
        <w:t>show gains</w:t>
      </w:r>
      <w:r w:rsidR="00E755F8" w:rsidRPr="00402580">
        <w:rPr>
          <w:rFonts w:ascii="Arial" w:hAnsi="Arial" w:cs="Arial"/>
          <w:noProof/>
          <w:sz w:val="20"/>
          <w:szCs w:val="20"/>
        </w:rPr>
        <w:t xml:space="preserve"> (e.g.</w:t>
      </w:r>
      <w:r w:rsidR="00213A83">
        <w:rPr>
          <w:rFonts w:ascii="Arial" w:hAnsi="Arial" w:cs="Arial"/>
          <w:noProof/>
          <w:sz w:val="20"/>
          <w:szCs w:val="20"/>
        </w:rPr>
        <w:t>,</w:t>
      </w:r>
      <w:r w:rsidR="00E755F8" w:rsidRPr="00402580">
        <w:rPr>
          <w:rFonts w:ascii="Arial" w:hAnsi="Arial" w:cs="Arial"/>
          <w:noProof/>
          <w:sz w:val="20"/>
          <w:szCs w:val="20"/>
        </w:rPr>
        <w:t xml:space="preserve"> bricklayers; joiners and carpenters, plumbers, sheet and structural metal workers, moulders and welders, and related workers; toolmakers; blacksmiths; printers, electrical equipment installers and repairers; electronics mechanics, etc.). This is obviously problematic </w:t>
      </w:r>
      <w:r w:rsidR="00213A83">
        <w:rPr>
          <w:rFonts w:ascii="Arial" w:hAnsi="Arial" w:cs="Arial"/>
          <w:noProof/>
          <w:sz w:val="20"/>
          <w:szCs w:val="20"/>
        </w:rPr>
        <w:t>since</w:t>
      </w:r>
      <w:r w:rsidR="00E755F8" w:rsidRPr="00402580">
        <w:rPr>
          <w:rFonts w:ascii="Arial" w:hAnsi="Arial" w:cs="Arial"/>
          <w:noProof/>
          <w:sz w:val="20"/>
          <w:szCs w:val="20"/>
        </w:rPr>
        <w:t xml:space="preserve"> the </w:t>
      </w:r>
      <w:r w:rsidR="00213A83">
        <w:rPr>
          <w:rFonts w:ascii="Arial" w:hAnsi="Arial" w:cs="Arial"/>
          <w:noProof/>
          <w:sz w:val="20"/>
          <w:szCs w:val="20"/>
        </w:rPr>
        <w:t xml:space="preserve">created </w:t>
      </w:r>
      <w:r w:rsidR="00E755F8" w:rsidRPr="00402580">
        <w:rPr>
          <w:rFonts w:ascii="Arial" w:hAnsi="Arial" w:cs="Arial"/>
          <w:noProof/>
          <w:sz w:val="20"/>
          <w:szCs w:val="20"/>
        </w:rPr>
        <w:t xml:space="preserve">jobs exhibit lower qualification requirements than the jobs lost, so a diversification of the regional economic activity must accompany reskilling programmes for professionals to be able to identify </w:t>
      </w:r>
      <w:r w:rsidR="00213A83">
        <w:rPr>
          <w:rFonts w:ascii="Arial" w:hAnsi="Arial" w:cs="Arial"/>
          <w:noProof/>
          <w:sz w:val="20"/>
          <w:szCs w:val="20"/>
        </w:rPr>
        <w:t xml:space="preserve">future </w:t>
      </w:r>
      <w:r w:rsidR="00E755F8" w:rsidRPr="00402580">
        <w:rPr>
          <w:rFonts w:ascii="Arial" w:hAnsi="Arial" w:cs="Arial"/>
          <w:noProof/>
          <w:sz w:val="20"/>
          <w:szCs w:val="20"/>
        </w:rPr>
        <w:t>job opportunities. Prahova has the highest overall projected losses</w:t>
      </w:r>
      <w:r w:rsidR="00213A83">
        <w:rPr>
          <w:rFonts w:ascii="Arial" w:hAnsi="Arial" w:cs="Arial"/>
          <w:noProof/>
          <w:sz w:val="20"/>
          <w:szCs w:val="20"/>
        </w:rPr>
        <w:t>.</w:t>
      </w:r>
      <w:r w:rsidR="00E755F8" w:rsidRPr="00402580">
        <w:rPr>
          <w:rFonts w:ascii="Arial" w:hAnsi="Arial" w:cs="Arial"/>
          <w:noProof/>
          <w:sz w:val="20"/>
          <w:szCs w:val="20"/>
        </w:rPr>
        <w:t xml:space="preserve"> </w:t>
      </w:r>
      <w:bookmarkStart w:id="95" w:name="_Hlk85565042"/>
      <w:r w:rsidR="00405C56">
        <w:rPr>
          <w:rFonts w:ascii="Arial" w:hAnsi="Arial" w:cs="Arial"/>
          <w:noProof/>
          <w:sz w:val="20"/>
          <w:szCs w:val="20"/>
        </w:rPr>
        <w:t xml:space="preserve">This </w:t>
      </w:r>
      <w:r w:rsidR="00AE169B">
        <w:rPr>
          <w:rFonts w:ascii="Arial" w:hAnsi="Arial" w:cs="Arial"/>
          <w:noProof/>
          <w:sz w:val="20"/>
          <w:szCs w:val="20"/>
        </w:rPr>
        <w:t>poses</w:t>
      </w:r>
      <w:r w:rsidR="00405C56">
        <w:rPr>
          <w:rFonts w:ascii="Arial" w:hAnsi="Arial" w:cs="Arial"/>
          <w:noProof/>
          <w:sz w:val="20"/>
          <w:szCs w:val="20"/>
        </w:rPr>
        <w:t xml:space="preserve"> </w:t>
      </w:r>
      <w:r w:rsidR="00FA4B2F">
        <w:rPr>
          <w:rFonts w:ascii="Arial" w:hAnsi="Arial" w:cs="Arial"/>
          <w:noProof/>
          <w:sz w:val="20"/>
          <w:szCs w:val="20"/>
        </w:rPr>
        <w:t xml:space="preserve">an </w:t>
      </w:r>
      <w:r w:rsidR="00405C56">
        <w:rPr>
          <w:rFonts w:ascii="Arial" w:hAnsi="Arial" w:cs="Arial"/>
          <w:noProof/>
          <w:sz w:val="20"/>
          <w:szCs w:val="20"/>
        </w:rPr>
        <w:t>even gre</w:t>
      </w:r>
      <w:r w:rsidR="009A36C3">
        <w:rPr>
          <w:rFonts w:ascii="Arial" w:hAnsi="Arial" w:cs="Arial"/>
          <w:noProof/>
          <w:sz w:val="20"/>
          <w:szCs w:val="20"/>
        </w:rPr>
        <w:t>a</w:t>
      </w:r>
      <w:r w:rsidR="00405C56">
        <w:rPr>
          <w:rFonts w:ascii="Arial" w:hAnsi="Arial" w:cs="Arial"/>
          <w:noProof/>
          <w:sz w:val="20"/>
          <w:szCs w:val="20"/>
        </w:rPr>
        <w:t>ter risk</w:t>
      </w:r>
      <w:r w:rsidR="00FA4B2F">
        <w:rPr>
          <w:rFonts w:ascii="Arial" w:hAnsi="Arial" w:cs="Arial"/>
          <w:noProof/>
          <w:sz w:val="20"/>
          <w:szCs w:val="20"/>
        </w:rPr>
        <w:t xml:space="preserve"> considering</w:t>
      </w:r>
      <w:r w:rsidR="009A36C3">
        <w:rPr>
          <w:rFonts w:ascii="Arial" w:hAnsi="Arial" w:cs="Arial"/>
          <w:noProof/>
          <w:sz w:val="20"/>
          <w:szCs w:val="20"/>
        </w:rPr>
        <w:t xml:space="preserve"> that Prahova has the Petroleum-Gas University, which is a historically important center </w:t>
      </w:r>
      <w:r w:rsidR="00AE169B">
        <w:rPr>
          <w:rFonts w:ascii="Arial" w:hAnsi="Arial" w:cs="Arial"/>
          <w:noProof/>
          <w:sz w:val="20"/>
          <w:szCs w:val="20"/>
        </w:rPr>
        <w:t>of academic thought</w:t>
      </w:r>
      <w:r w:rsidR="009A36C3">
        <w:rPr>
          <w:rFonts w:ascii="Arial" w:hAnsi="Arial" w:cs="Arial"/>
          <w:noProof/>
          <w:sz w:val="20"/>
          <w:szCs w:val="20"/>
        </w:rPr>
        <w:t>.</w:t>
      </w:r>
      <w:r w:rsidR="0030216E">
        <w:rPr>
          <w:rFonts w:ascii="Arial" w:hAnsi="Arial" w:cs="Arial"/>
          <w:noProof/>
          <w:sz w:val="20"/>
          <w:szCs w:val="20"/>
        </w:rPr>
        <w:t xml:space="preserve"> Inertia towards refocusing the activity of such a significant</w:t>
      </w:r>
      <w:r w:rsidR="00AE169B">
        <w:rPr>
          <w:rFonts w:ascii="Arial" w:hAnsi="Arial" w:cs="Arial"/>
          <w:noProof/>
          <w:sz w:val="20"/>
          <w:szCs w:val="20"/>
        </w:rPr>
        <w:t xml:space="preserve"> educational</w:t>
      </w:r>
      <w:r w:rsidR="0030216E">
        <w:rPr>
          <w:rFonts w:ascii="Arial" w:hAnsi="Arial" w:cs="Arial"/>
          <w:noProof/>
          <w:sz w:val="20"/>
          <w:szCs w:val="20"/>
        </w:rPr>
        <w:t xml:space="preserve"> institution </w:t>
      </w:r>
      <w:r w:rsidR="00AE169B">
        <w:rPr>
          <w:rFonts w:ascii="Arial" w:hAnsi="Arial" w:cs="Arial"/>
          <w:noProof/>
          <w:sz w:val="20"/>
          <w:szCs w:val="20"/>
        </w:rPr>
        <w:t xml:space="preserve">towards the </w:t>
      </w:r>
      <w:r w:rsidR="00FA4B2F">
        <w:rPr>
          <w:rFonts w:ascii="Arial" w:hAnsi="Arial" w:cs="Arial"/>
          <w:noProof/>
          <w:sz w:val="20"/>
          <w:szCs w:val="20"/>
        </w:rPr>
        <w:t xml:space="preserve">future </w:t>
      </w:r>
      <w:r w:rsidR="00AE169B">
        <w:rPr>
          <w:rFonts w:ascii="Arial" w:hAnsi="Arial" w:cs="Arial"/>
          <w:noProof/>
          <w:sz w:val="20"/>
          <w:szCs w:val="20"/>
        </w:rPr>
        <w:t xml:space="preserve">energy technologies </w:t>
      </w:r>
      <w:r w:rsidR="0030216E">
        <w:rPr>
          <w:rFonts w:ascii="Arial" w:hAnsi="Arial" w:cs="Arial"/>
          <w:noProof/>
          <w:sz w:val="20"/>
          <w:szCs w:val="20"/>
        </w:rPr>
        <w:t>could lead to additional job losses</w:t>
      </w:r>
      <w:r w:rsidR="003641DF">
        <w:rPr>
          <w:rFonts w:ascii="Arial" w:hAnsi="Arial" w:cs="Arial"/>
          <w:noProof/>
          <w:sz w:val="20"/>
          <w:szCs w:val="20"/>
        </w:rPr>
        <w:t xml:space="preserve">, </w:t>
      </w:r>
      <w:r w:rsidR="00FA4B2F">
        <w:rPr>
          <w:rFonts w:ascii="Arial" w:hAnsi="Arial" w:cs="Arial"/>
          <w:noProof/>
          <w:sz w:val="20"/>
          <w:szCs w:val="20"/>
        </w:rPr>
        <w:t xml:space="preserve">which is </w:t>
      </w:r>
      <w:r w:rsidR="003641DF">
        <w:rPr>
          <w:rFonts w:ascii="Arial" w:hAnsi="Arial" w:cs="Arial"/>
          <w:noProof/>
          <w:sz w:val="20"/>
          <w:szCs w:val="20"/>
        </w:rPr>
        <w:t>not necessarily measurable at this point</w:t>
      </w:r>
      <w:bookmarkEnd w:id="95"/>
      <w:r w:rsidR="003641DF">
        <w:rPr>
          <w:rFonts w:ascii="Arial" w:hAnsi="Arial" w:cs="Arial"/>
          <w:noProof/>
          <w:sz w:val="20"/>
          <w:szCs w:val="20"/>
        </w:rPr>
        <w:t>.</w:t>
      </w:r>
      <w:r w:rsidR="009A36C3">
        <w:rPr>
          <w:rFonts w:ascii="Arial" w:hAnsi="Arial" w:cs="Arial"/>
          <w:noProof/>
          <w:sz w:val="20"/>
          <w:szCs w:val="20"/>
        </w:rPr>
        <w:t xml:space="preserve"> </w:t>
      </w:r>
      <w:r w:rsidR="00213A83">
        <w:rPr>
          <w:rFonts w:ascii="Arial" w:hAnsi="Arial" w:cs="Arial"/>
          <w:noProof/>
          <w:sz w:val="20"/>
          <w:szCs w:val="20"/>
        </w:rPr>
        <w:t>H</w:t>
      </w:r>
      <w:r w:rsidR="00E755F8" w:rsidRPr="00402580">
        <w:rPr>
          <w:rFonts w:ascii="Arial" w:hAnsi="Arial" w:cs="Arial"/>
          <w:noProof/>
          <w:sz w:val="20"/>
          <w:szCs w:val="20"/>
        </w:rPr>
        <w:t>owever</w:t>
      </w:r>
      <w:r w:rsidR="00213A83">
        <w:rPr>
          <w:rFonts w:ascii="Arial" w:hAnsi="Arial" w:cs="Arial"/>
          <w:noProof/>
          <w:sz w:val="20"/>
          <w:szCs w:val="20"/>
        </w:rPr>
        <w:t>,</w:t>
      </w:r>
      <w:r w:rsidR="00E755F8" w:rsidRPr="00402580">
        <w:rPr>
          <w:rFonts w:ascii="Arial" w:hAnsi="Arial" w:cs="Arial"/>
          <w:noProof/>
          <w:sz w:val="20"/>
          <w:szCs w:val="20"/>
        </w:rPr>
        <w:t xml:space="preserve"> Prahova is also the largest region </w:t>
      </w:r>
      <w:r w:rsidR="00D01908" w:rsidRPr="00402580">
        <w:rPr>
          <w:rFonts w:ascii="Arial" w:hAnsi="Arial" w:cs="Arial"/>
          <w:noProof/>
          <w:sz w:val="20"/>
          <w:szCs w:val="20"/>
        </w:rPr>
        <w:t xml:space="preserve">among the target regions </w:t>
      </w:r>
      <w:r w:rsidR="00E755F8" w:rsidRPr="00402580">
        <w:rPr>
          <w:rFonts w:ascii="Arial" w:hAnsi="Arial" w:cs="Arial"/>
          <w:noProof/>
          <w:sz w:val="20"/>
          <w:szCs w:val="20"/>
        </w:rPr>
        <w:t xml:space="preserve">(in terms of population). Gains are shown in the trade workers group in </w:t>
      </w:r>
      <w:r w:rsidR="004F70E0">
        <w:rPr>
          <w:rFonts w:ascii="Arial" w:hAnsi="Arial" w:cs="Arial"/>
          <w:noProof/>
          <w:sz w:val="20"/>
          <w:szCs w:val="20"/>
        </w:rPr>
        <w:t>Mureș</w:t>
      </w:r>
      <w:r w:rsidR="00E755F8" w:rsidRPr="00402580">
        <w:rPr>
          <w:rFonts w:ascii="Arial" w:hAnsi="Arial" w:cs="Arial"/>
          <w:noProof/>
          <w:sz w:val="20"/>
          <w:szCs w:val="20"/>
        </w:rPr>
        <w:t xml:space="preserve"> and </w:t>
      </w:r>
      <w:r w:rsidR="003751DC">
        <w:rPr>
          <w:rFonts w:ascii="Arial" w:hAnsi="Arial" w:cs="Arial"/>
          <w:noProof/>
          <w:sz w:val="20"/>
          <w:szCs w:val="20"/>
        </w:rPr>
        <w:t>Galați</w:t>
      </w:r>
      <w:r w:rsidR="00E755F8" w:rsidRPr="00402580">
        <w:rPr>
          <w:rFonts w:ascii="Arial" w:hAnsi="Arial" w:cs="Arial"/>
          <w:noProof/>
          <w:sz w:val="20"/>
          <w:szCs w:val="20"/>
        </w:rPr>
        <w:t xml:space="preserve"> (see the report for discussion on overall impacts in the regions)</w:t>
      </w:r>
      <w:r w:rsidR="00213A83">
        <w:rPr>
          <w:rFonts w:ascii="Arial" w:hAnsi="Arial" w:cs="Arial"/>
          <w:noProof/>
          <w:sz w:val="20"/>
          <w:szCs w:val="20"/>
        </w:rPr>
        <w:t>, which</w:t>
      </w:r>
      <w:r w:rsidR="00E755F8" w:rsidRPr="00402580">
        <w:rPr>
          <w:rFonts w:ascii="Arial" w:hAnsi="Arial" w:cs="Arial"/>
          <w:noProof/>
          <w:sz w:val="20"/>
          <w:szCs w:val="20"/>
        </w:rPr>
        <w:t xml:space="preserve"> can be linked to the transition of the energy </w:t>
      </w:r>
      <w:r w:rsidR="00213A83">
        <w:rPr>
          <w:rFonts w:ascii="Arial" w:hAnsi="Arial" w:cs="Arial"/>
          <w:noProof/>
          <w:sz w:val="20"/>
          <w:szCs w:val="20"/>
        </w:rPr>
        <w:t>and</w:t>
      </w:r>
      <w:r w:rsidR="00E755F8" w:rsidRPr="00402580">
        <w:rPr>
          <w:rFonts w:ascii="Arial" w:hAnsi="Arial" w:cs="Arial"/>
          <w:noProof/>
          <w:sz w:val="20"/>
          <w:szCs w:val="20"/>
        </w:rPr>
        <w:t xml:space="preserve"> utilities sector</w:t>
      </w:r>
      <w:r w:rsidR="00213A83">
        <w:rPr>
          <w:rFonts w:ascii="Arial" w:hAnsi="Arial" w:cs="Arial"/>
          <w:noProof/>
          <w:sz w:val="20"/>
          <w:szCs w:val="20"/>
        </w:rPr>
        <w:t>.</w:t>
      </w:r>
      <w:r w:rsidR="00E755F8" w:rsidRPr="00402580">
        <w:rPr>
          <w:rFonts w:ascii="Arial" w:hAnsi="Arial" w:cs="Arial"/>
          <w:noProof/>
          <w:sz w:val="20"/>
          <w:szCs w:val="20"/>
        </w:rPr>
        <w:t xml:space="preserve"> </w:t>
      </w:r>
      <w:r w:rsidR="00213A83">
        <w:rPr>
          <w:rFonts w:ascii="Arial" w:hAnsi="Arial" w:cs="Arial"/>
          <w:noProof/>
          <w:sz w:val="20"/>
          <w:szCs w:val="20"/>
        </w:rPr>
        <w:t>I</w:t>
      </w:r>
      <w:r w:rsidR="00E755F8" w:rsidRPr="00402580">
        <w:rPr>
          <w:rFonts w:ascii="Arial" w:hAnsi="Arial" w:cs="Arial"/>
          <w:noProof/>
          <w:sz w:val="20"/>
          <w:szCs w:val="20"/>
        </w:rPr>
        <w:t>n the</w:t>
      </w:r>
      <w:r w:rsidR="00213A83">
        <w:rPr>
          <w:rFonts w:ascii="Arial" w:hAnsi="Arial" w:cs="Arial"/>
          <w:noProof/>
          <w:sz w:val="20"/>
          <w:szCs w:val="20"/>
        </w:rPr>
        <w:t xml:space="preserve"> energy and utilities</w:t>
      </w:r>
      <w:r w:rsidR="00E755F8" w:rsidRPr="00402580">
        <w:rPr>
          <w:rFonts w:ascii="Arial" w:hAnsi="Arial" w:cs="Arial"/>
          <w:noProof/>
          <w:sz w:val="20"/>
          <w:szCs w:val="20"/>
        </w:rPr>
        <w:t xml:space="preserve"> sector</w:t>
      </w:r>
      <w:r w:rsidR="00213A83">
        <w:rPr>
          <w:rFonts w:ascii="Arial" w:hAnsi="Arial" w:cs="Arial"/>
          <w:noProof/>
          <w:sz w:val="20"/>
          <w:szCs w:val="20"/>
        </w:rPr>
        <w:t>,</w:t>
      </w:r>
      <w:r w:rsidR="00E755F8" w:rsidRPr="00402580">
        <w:rPr>
          <w:rFonts w:ascii="Arial" w:hAnsi="Arial" w:cs="Arial"/>
          <w:noProof/>
          <w:sz w:val="20"/>
          <w:szCs w:val="20"/>
        </w:rPr>
        <w:t xml:space="preserve"> about 50% of the workforce is trade workers, while the share of professionals is about 25%</w:t>
      </w:r>
      <w:r w:rsidR="00213A83">
        <w:rPr>
          <w:rFonts w:ascii="Arial" w:hAnsi="Arial" w:cs="Arial"/>
          <w:noProof/>
          <w:sz w:val="20"/>
          <w:szCs w:val="20"/>
        </w:rPr>
        <w:t>.</w:t>
      </w:r>
      <w:r w:rsidR="00E755F8" w:rsidRPr="00402580">
        <w:rPr>
          <w:rFonts w:ascii="Arial" w:hAnsi="Arial" w:cs="Arial"/>
          <w:noProof/>
          <w:sz w:val="20"/>
          <w:szCs w:val="20"/>
        </w:rPr>
        <w:t xml:space="preserve"> </w:t>
      </w:r>
      <w:r w:rsidR="00213A83">
        <w:rPr>
          <w:rFonts w:ascii="Arial" w:hAnsi="Arial" w:cs="Arial"/>
          <w:noProof/>
          <w:sz w:val="20"/>
          <w:szCs w:val="20"/>
        </w:rPr>
        <w:t>W</w:t>
      </w:r>
      <w:r w:rsidR="00E755F8" w:rsidRPr="00402580">
        <w:rPr>
          <w:rFonts w:ascii="Arial" w:hAnsi="Arial" w:cs="Arial"/>
          <w:noProof/>
          <w:sz w:val="20"/>
          <w:szCs w:val="20"/>
        </w:rPr>
        <w:t xml:space="preserve">hile trade workers </w:t>
      </w:r>
      <w:r w:rsidR="00213A83">
        <w:rPr>
          <w:rFonts w:ascii="Arial" w:hAnsi="Arial" w:cs="Arial"/>
          <w:noProof/>
          <w:sz w:val="20"/>
          <w:szCs w:val="20"/>
        </w:rPr>
        <w:t>will likely</w:t>
      </w:r>
      <w:r w:rsidR="00E755F8" w:rsidRPr="00402580">
        <w:rPr>
          <w:rFonts w:ascii="Arial" w:hAnsi="Arial" w:cs="Arial"/>
          <w:noProof/>
          <w:sz w:val="20"/>
          <w:szCs w:val="20"/>
        </w:rPr>
        <w:t xml:space="preserve"> have new opportunities (e.g.</w:t>
      </w:r>
      <w:r w:rsidR="00213A83">
        <w:rPr>
          <w:rFonts w:ascii="Arial" w:hAnsi="Arial" w:cs="Arial"/>
          <w:noProof/>
          <w:sz w:val="20"/>
          <w:szCs w:val="20"/>
        </w:rPr>
        <w:t>,</w:t>
      </w:r>
      <w:r w:rsidR="00E755F8" w:rsidRPr="00402580">
        <w:rPr>
          <w:rFonts w:ascii="Arial" w:hAnsi="Arial" w:cs="Arial"/>
          <w:noProof/>
          <w:sz w:val="20"/>
          <w:szCs w:val="20"/>
        </w:rPr>
        <w:t xml:space="preserve"> construction, manufacturing)</w:t>
      </w:r>
      <w:r w:rsidR="00213A83">
        <w:rPr>
          <w:rFonts w:ascii="Arial" w:hAnsi="Arial" w:cs="Arial"/>
          <w:noProof/>
          <w:sz w:val="20"/>
          <w:szCs w:val="20"/>
        </w:rPr>
        <w:t>,</w:t>
      </w:r>
      <w:r w:rsidR="00E755F8" w:rsidRPr="00402580">
        <w:rPr>
          <w:rFonts w:ascii="Arial" w:hAnsi="Arial" w:cs="Arial"/>
          <w:noProof/>
          <w:sz w:val="20"/>
          <w:szCs w:val="20"/>
        </w:rPr>
        <w:t xml:space="preserve"> it is not evident which </w:t>
      </w:r>
      <w:r w:rsidR="00213A83">
        <w:rPr>
          <w:rFonts w:ascii="Arial" w:hAnsi="Arial" w:cs="Arial"/>
          <w:noProof/>
          <w:sz w:val="20"/>
          <w:szCs w:val="20"/>
        </w:rPr>
        <w:t xml:space="preserve">fields will </w:t>
      </w:r>
      <w:r w:rsidR="00BF6648">
        <w:rPr>
          <w:rFonts w:ascii="Arial" w:hAnsi="Arial" w:cs="Arial"/>
          <w:noProof/>
          <w:sz w:val="20"/>
          <w:szCs w:val="20"/>
        </w:rPr>
        <w:t>require</w:t>
      </w:r>
      <w:r w:rsidR="00213A83">
        <w:rPr>
          <w:rFonts w:ascii="Arial" w:hAnsi="Arial" w:cs="Arial"/>
          <w:noProof/>
          <w:sz w:val="20"/>
          <w:szCs w:val="20"/>
        </w:rPr>
        <w:t xml:space="preserve"> </w:t>
      </w:r>
      <w:r w:rsidR="00E755F8" w:rsidRPr="00402580">
        <w:rPr>
          <w:rFonts w:ascii="Arial" w:hAnsi="Arial" w:cs="Arial"/>
          <w:noProof/>
          <w:sz w:val="20"/>
          <w:szCs w:val="20"/>
        </w:rPr>
        <w:t>professionals</w:t>
      </w:r>
      <w:r w:rsidR="00BF6648">
        <w:rPr>
          <w:rFonts w:ascii="Arial" w:hAnsi="Arial" w:cs="Arial"/>
          <w:noProof/>
          <w:sz w:val="20"/>
          <w:szCs w:val="20"/>
        </w:rPr>
        <w:t xml:space="preserve">. </w:t>
      </w:r>
      <w:r w:rsidR="00E755F8" w:rsidRPr="00402580">
        <w:rPr>
          <w:rFonts w:ascii="Arial" w:hAnsi="Arial" w:cs="Arial"/>
          <w:noProof/>
          <w:sz w:val="20"/>
          <w:szCs w:val="20"/>
        </w:rPr>
        <w:t xml:space="preserve">While these occupations are highly skilled, they also typically fulfil a specialist role. However, there are </w:t>
      </w:r>
      <w:r w:rsidR="00213A83">
        <w:rPr>
          <w:rFonts w:ascii="Arial" w:hAnsi="Arial" w:cs="Arial"/>
          <w:noProof/>
          <w:sz w:val="20"/>
          <w:szCs w:val="20"/>
        </w:rPr>
        <w:t xml:space="preserve">previous </w:t>
      </w:r>
      <w:r w:rsidR="00E755F8" w:rsidRPr="00402580">
        <w:rPr>
          <w:rFonts w:ascii="Arial" w:hAnsi="Arial" w:cs="Arial"/>
          <w:noProof/>
          <w:sz w:val="20"/>
          <w:szCs w:val="20"/>
        </w:rPr>
        <w:t xml:space="preserve">success stories </w:t>
      </w:r>
      <w:r w:rsidR="00213A83">
        <w:rPr>
          <w:rFonts w:ascii="Arial" w:hAnsi="Arial" w:cs="Arial"/>
          <w:noProof/>
          <w:sz w:val="20"/>
          <w:szCs w:val="20"/>
        </w:rPr>
        <w:t>where</w:t>
      </w:r>
      <w:r w:rsidR="00E755F8" w:rsidRPr="00402580">
        <w:rPr>
          <w:rFonts w:ascii="Arial" w:hAnsi="Arial" w:cs="Arial"/>
          <w:noProof/>
          <w:sz w:val="20"/>
          <w:szCs w:val="20"/>
        </w:rPr>
        <w:t xml:space="preserve"> technicians or engineers working in mining reskill</w:t>
      </w:r>
      <w:r w:rsidR="00213A83">
        <w:rPr>
          <w:rFonts w:ascii="Arial" w:hAnsi="Arial" w:cs="Arial"/>
          <w:noProof/>
          <w:sz w:val="20"/>
          <w:szCs w:val="20"/>
        </w:rPr>
        <w:t>ed</w:t>
      </w:r>
      <w:r w:rsidR="00E755F8" w:rsidRPr="00402580">
        <w:rPr>
          <w:rFonts w:ascii="Arial" w:hAnsi="Arial" w:cs="Arial"/>
          <w:noProof/>
          <w:sz w:val="20"/>
          <w:szCs w:val="20"/>
        </w:rPr>
        <w:t xml:space="preserve"> themselves to other engineering roles such as ICT or electrical engineering.</w:t>
      </w:r>
    </w:p>
    <w:p w14:paraId="73945923" w14:textId="00ECB960" w:rsidR="00E755F8" w:rsidRPr="00402580" w:rsidRDefault="00E755F8" w:rsidP="006C46E5">
      <w:pPr>
        <w:spacing w:after="120"/>
        <w:jc w:val="both"/>
        <w:rPr>
          <w:rFonts w:ascii="Arial" w:hAnsi="Arial" w:cs="Arial"/>
          <w:noProof/>
          <w:sz w:val="20"/>
          <w:szCs w:val="20"/>
        </w:rPr>
      </w:pPr>
      <w:r w:rsidRPr="00402580">
        <w:rPr>
          <w:rFonts w:ascii="Arial" w:hAnsi="Arial" w:cs="Arial"/>
          <w:noProof/>
          <w:sz w:val="20"/>
          <w:szCs w:val="20"/>
        </w:rPr>
        <w:t>Overall, this result highlights that</w:t>
      </w:r>
      <w:r w:rsidR="00213A83">
        <w:rPr>
          <w:rFonts w:ascii="Arial" w:hAnsi="Arial" w:cs="Arial"/>
          <w:noProof/>
          <w:sz w:val="20"/>
          <w:szCs w:val="20"/>
        </w:rPr>
        <w:t>,</w:t>
      </w:r>
      <w:r w:rsidRPr="00402580">
        <w:rPr>
          <w:rFonts w:ascii="Arial" w:hAnsi="Arial" w:cs="Arial"/>
          <w:noProof/>
          <w:sz w:val="20"/>
          <w:szCs w:val="20"/>
        </w:rPr>
        <w:t xml:space="preserve"> without interventions</w:t>
      </w:r>
      <w:r w:rsidR="00213A83">
        <w:rPr>
          <w:rFonts w:ascii="Arial" w:hAnsi="Arial" w:cs="Arial"/>
          <w:noProof/>
          <w:sz w:val="20"/>
          <w:szCs w:val="20"/>
        </w:rPr>
        <w:t xml:space="preserve"> to ease the impact of the transition,</w:t>
      </w:r>
      <w:r w:rsidRPr="00402580">
        <w:rPr>
          <w:rFonts w:ascii="Arial" w:hAnsi="Arial" w:cs="Arial"/>
          <w:noProof/>
          <w:sz w:val="20"/>
          <w:szCs w:val="20"/>
        </w:rPr>
        <w:t xml:space="preserve"> employment losses </w:t>
      </w:r>
      <w:r w:rsidR="00213A83">
        <w:rPr>
          <w:rFonts w:ascii="Arial" w:hAnsi="Arial" w:cs="Arial"/>
          <w:noProof/>
          <w:sz w:val="20"/>
          <w:szCs w:val="20"/>
        </w:rPr>
        <w:t xml:space="preserve">could materialise </w:t>
      </w:r>
      <w:r w:rsidRPr="00402580">
        <w:rPr>
          <w:rFonts w:ascii="Arial" w:hAnsi="Arial" w:cs="Arial"/>
          <w:noProof/>
          <w:sz w:val="20"/>
          <w:szCs w:val="20"/>
        </w:rPr>
        <w:t xml:space="preserve">in the target regions. </w:t>
      </w:r>
      <w:r w:rsidR="00213A83">
        <w:rPr>
          <w:rFonts w:ascii="Arial" w:hAnsi="Arial" w:cs="Arial"/>
          <w:noProof/>
          <w:sz w:val="20"/>
          <w:szCs w:val="20"/>
        </w:rPr>
        <w:t>T</w:t>
      </w:r>
      <w:r w:rsidRPr="00402580">
        <w:rPr>
          <w:rFonts w:ascii="Arial" w:hAnsi="Arial" w:cs="Arial"/>
          <w:noProof/>
          <w:sz w:val="20"/>
          <w:szCs w:val="20"/>
        </w:rPr>
        <w:t>his could lead to outward migration as well as increasing unemployment.</w:t>
      </w:r>
    </w:p>
    <w:p w14:paraId="3FDB6BEA" w14:textId="14904A28" w:rsidR="00D83F43" w:rsidRPr="00402580" w:rsidRDefault="00E755F8" w:rsidP="006C46E5">
      <w:pPr>
        <w:spacing w:after="120"/>
        <w:jc w:val="both"/>
        <w:rPr>
          <w:rFonts w:ascii="Arial" w:hAnsi="Arial" w:cs="Arial"/>
          <w:noProof/>
          <w:sz w:val="20"/>
          <w:szCs w:val="20"/>
        </w:rPr>
      </w:pPr>
      <w:r w:rsidRPr="00402580">
        <w:rPr>
          <w:rFonts w:ascii="Arial" w:hAnsi="Arial" w:cs="Arial"/>
          <w:noProof/>
          <w:sz w:val="20"/>
          <w:szCs w:val="20"/>
        </w:rPr>
        <w:t xml:space="preserve">Within occupation transition opportunities are limited in the first </w:t>
      </w:r>
      <w:r w:rsidR="007A52A8">
        <w:rPr>
          <w:rFonts w:ascii="Arial" w:hAnsi="Arial" w:cs="Arial"/>
          <w:noProof/>
          <w:sz w:val="20"/>
          <w:szCs w:val="20"/>
        </w:rPr>
        <w:t>half</w:t>
      </w:r>
      <w:r w:rsidRPr="00402580">
        <w:rPr>
          <w:rFonts w:ascii="Arial" w:hAnsi="Arial" w:cs="Arial"/>
          <w:noProof/>
          <w:sz w:val="20"/>
          <w:szCs w:val="20"/>
        </w:rPr>
        <w:t xml:space="preserve"> of the decade</w:t>
      </w:r>
      <w:r w:rsidR="007A52A8">
        <w:rPr>
          <w:rFonts w:ascii="Arial" w:hAnsi="Arial" w:cs="Arial"/>
          <w:noProof/>
          <w:sz w:val="20"/>
          <w:szCs w:val="20"/>
        </w:rPr>
        <w:t>.</w:t>
      </w:r>
      <w:r w:rsidRPr="00402580">
        <w:rPr>
          <w:rFonts w:ascii="Arial" w:hAnsi="Arial" w:cs="Arial"/>
          <w:noProof/>
          <w:sz w:val="20"/>
          <w:szCs w:val="20"/>
        </w:rPr>
        <w:t xml:space="preserve"> </w:t>
      </w:r>
      <w:r w:rsidR="007A52A8">
        <w:rPr>
          <w:rFonts w:ascii="Arial" w:hAnsi="Arial" w:cs="Arial"/>
          <w:noProof/>
          <w:sz w:val="20"/>
          <w:szCs w:val="20"/>
        </w:rPr>
        <w:t>H</w:t>
      </w:r>
      <w:r w:rsidRPr="00402580">
        <w:rPr>
          <w:rFonts w:ascii="Arial" w:hAnsi="Arial" w:cs="Arial"/>
          <w:noProof/>
          <w:sz w:val="20"/>
          <w:szCs w:val="20"/>
        </w:rPr>
        <w:t>owever</w:t>
      </w:r>
      <w:r w:rsidR="007A52A8">
        <w:rPr>
          <w:rFonts w:ascii="Arial" w:hAnsi="Arial" w:cs="Arial"/>
          <w:noProof/>
          <w:sz w:val="20"/>
          <w:szCs w:val="20"/>
        </w:rPr>
        <w:t>,</w:t>
      </w:r>
      <w:r w:rsidRPr="00402580">
        <w:rPr>
          <w:rFonts w:ascii="Arial" w:hAnsi="Arial" w:cs="Arial"/>
          <w:noProof/>
          <w:sz w:val="20"/>
          <w:szCs w:val="20"/>
        </w:rPr>
        <w:t xml:space="preserve"> by 2030</w:t>
      </w:r>
      <w:r w:rsidR="007A52A8">
        <w:rPr>
          <w:rFonts w:ascii="Arial" w:hAnsi="Arial" w:cs="Arial"/>
          <w:noProof/>
          <w:sz w:val="20"/>
          <w:szCs w:val="20"/>
        </w:rPr>
        <w:t>,</w:t>
      </w:r>
      <w:r w:rsidRPr="00402580">
        <w:rPr>
          <w:rFonts w:ascii="Arial" w:hAnsi="Arial" w:cs="Arial"/>
          <w:noProof/>
          <w:sz w:val="20"/>
          <w:szCs w:val="20"/>
        </w:rPr>
        <w:t xml:space="preserve"> transition opportunities appear </w:t>
      </w:r>
      <w:r w:rsidR="007A52A8">
        <w:rPr>
          <w:rFonts w:ascii="Arial" w:hAnsi="Arial" w:cs="Arial"/>
          <w:noProof/>
          <w:sz w:val="20"/>
          <w:szCs w:val="20"/>
        </w:rPr>
        <w:t>for</w:t>
      </w:r>
      <w:r w:rsidRPr="00402580">
        <w:rPr>
          <w:rFonts w:ascii="Arial" w:hAnsi="Arial" w:cs="Arial"/>
          <w:noProof/>
          <w:sz w:val="20"/>
          <w:szCs w:val="20"/>
        </w:rPr>
        <w:t xml:space="preserve"> elementary workers (e.g.</w:t>
      </w:r>
      <w:r w:rsidR="007A52A8">
        <w:rPr>
          <w:rFonts w:ascii="Arial" w:hAnsi="Arial" w:cs="Arial"/>
          <w:noProof/>
          <w:sz w:val="20"/>
          <w:szCs w:val="20"/>
        </w:rPr>
        <w:t>,</w:t>
      </w:r>
      <w:r w:rsidRPr="00402580">
        <w:rPr>
          <w:rFonts w:ascii="Arial" w:hAnsi="Arial" w:cs="Arial"/>
          <w:noProof/>
          <w:sz w:val="20"/>
          <w:szCs w:val="20"/>
        </w:rPr>
        <w:t xml:space="preserve"> office cleaners, freight handlers, etc.) and trade workers. These are usually lower-skilled occupations and </w:t>
      </w:r>
      <w:r w:rsidR="00636411">
        <w:rPr>
          <w:rFonts w:ascii="Arial" w:hAnsi="Arial" w:cs="Arial"/>
          <w:noProof/>
          <w:sz w:val="20"/>
          <w:szCs w:val="20"/>
        </w:rPr>
        <w:t>provide</w:t>
      </w:r>
      <w:r w:rsidRPr="00402580">
        <w:rPr>
          <w:rFonts w:ascii="Arial" w:hAnsi="Arial" w:cs="Arial"/>
          <w:noProof/>
          <w:sz w:val="20"/>
          <w:szCs w:val="20"/>
        </w:rPr>
        <w:t xml:space="preserve"> opportunities in construction, manufacturing and power generation. Nevertheless, while staying in more-or-less the same “occupation”</w:t>
      </w:r>
      <w:r w:rsidR="00636411">
        <w:rPr>
          <w:rFonts w:ascii="Arial" w:hAnsi="Arial" w:cs="Arial"/>
          <w:noProof/>
          <w:sz w:val="20"/>
          <w:szCs w:val="20"/>
        </w:rPr>
        <w:t>,</w:t>
      </w:r>
      <w:r w:rsidRPr="00402580">
        <w:rPr>
          <w:rFonts w:ascii="Arial" w:hAnsi="Arial" w:cs="Arial"/>
          <w:noProof/>
          <w:sz w:val="20"/>
          <w:szCs w:val="20"/>
        </w:rPr>
        <w:t xml:space="preserve"> these employees need to switch between sectors (e.g.</w:t>
      </w:r>
      <w:r w:rsidR="00636411">
        <w:rPr>
          <w:rFonts w:ascii="Arial" w:hAnsi="Arial" w:cs="Arial"/>
          <w:noProof/>
          <w:sz w:val="20"/>
          <w:szCs w:val="20"/>
        </w:rPr>
        <w:t>,</w:t>
      </w:r>
      <w:r w:rsidRPr="00402580">
        <w:rPr>
          <w:rFonts w:ascii="Arial" w:hAnsi="Arial" w:cs="Arial"/>
          <w:noProof/>
          <w:sz w:val="20"/>
          <w:szCs w:val="20"/>
        </w:rPr>
        <w:t xml:space="preserve"> from a mining task involving lower skills to a construction, retrofitting job or renewable installation). Training </w:t>
      </w:r>
      <w:r w:rsidR="00636411">
        <w:rPr>
          <w:rFonts w:ascii="Arial" w:hAnsi="Arial" w:cs="Arial"/>
          <w:noProof/>
          <w:sz w:val="20"/>
          <w:szCs w:val="20"/>
        </w:rPr>
        <w:t>for</w:t>
      </w:r>
      <w:r w:rsidRPr="00402580">
        <w:rPr>
          <w:rFonts w:ascii="Arial" w:hAnsi="Arial" w:cs="Arial"/>
          <w:noProof/>
          <w:sz w:val="20"/>
          <w:szCs w:val="20"/>
        </w:rPr>
        <w:t xml:space="preserve"> these kind</w:t>
      </w:r>
      <w:r w:rsidR="00636411">
        <w:rPr>
          <w:rFonts w:ascii="Arial" w:hAnsi="Arial" w:cs="Arial"/>
          <w:noProof/>
          <w:sz w:val="20"/>
          <w:szCs w:val="20"/>
        </w:rPr>
        <w:t>s</w:t>
      </w:r>
      <w:r w:rsidRPr="00402580">
        <w:rPr>
          <w:rFonts w:ascii="Arial" w:hAnsi="Arial" w:cs="Arial"/>
          <w:noProof/>
          <w:sz w:val="20"/>
          <w:szCs w:val="20"/>
        </w:rPr>
        <w:t xml:space="preserve"> of transitions is often carried out on the job</w:t>
      </w:r>
      <w:r w:rsidR="00636411">
        <w:rPr>
          <w:rFonts w:ascii="Arial" w:hAnsi="Arial" w:cs="Arial"/>
          <w:noProof/>
          <w:sz w:val="20"/>
          <w:szCs w:val="20"/>
        </w:rPr>
        <w:t>.</w:t>
      </w:r>
      <w:r w:rsidRPr="00402580">
        <w:rPr>
          <w:rFonts w:ascii="Arial" w:hAnsi="Arial" w:cs="Arial"/>
          <w:noProof/>
          <w:sz w:val="20"/>
          <w:szCs w:val="20"/>
        </w:rPr>
        <w:t xml:space="preserve"> </w:t>
      </w:r>
      <w:r w:rsidR="00636411">
        <w:rPr>
          <w:rFonts w:ascii="Arial" w:hAnsi="Arial" w:cs="Arial"/>
          <w:noProof/>
          <w:sz w:val="20"/>
          <w:szCs w:val="20"/>
        </w:rPr>
        <w:t>H</w:t>
      </w:r>
      <w:r w:rsidRPr="00402580">
        <w:rPr>
          <w:rFonts w:ascii="Arial" w:hAnsi="Arial" w:cs="Arial"/>
          <w:noProof/>
          <w:sz w:val="20"/>
          <w:szCs w:val="20"/>
        </w:rPr>
        <w:t>owever</w:t>
      </w:r>
      <w:r w:rsidR="00636411">
        <w:rPr>
          <w:rFonts w:ascii="Arial" w:hAnsi="Arial" w:cs="Arial"/>
          <w:noProof/>
          <w:sz w:val="20"/>
          <w:szCs w:val="20"/>
        </w:rPr>
        <w:t>,</w:t>
      </w:r>
      <w:r w:rsidRPr="00402580">
        <w:rPr>
          <w:rFonts w:ascii="Arial" w:hAnsi="Arial" w:cs="Arial"/>
          <w:noProof/>
          <w:sz w:val="20"/>
          <w:szCs w:val="20"/>
        </w:rPr>
        <w:t xml:space="preserve"> supporting this transition or giving potential employees the skills </w:t>
      </w:r>
      <w:r w:rsidR="00636411">
        <w:rPr>
          <w:rFonts w:ascii="Arial" w:hAnsi="Arial" w:cs="Arial"/>
          <w:noProof/>
          <w:sz w:val="20"/>
          <w:szCs w:val="20"/>
        </w:rPr>
        <w:t>to</w:t>
      </w:r>
      <w:r w:rsidRPr="00402580">
        <w:rPr>
          <w:rFonts w:ascii="Arial" w:hAnsi="Arial" w:cs="Arial"/>
          <w:noProof/>
          <w:sz w:val="20"/>
          <w:szCs w:val="20"/>
        </w:rPr>
        <w:t xml:space="preserve"> mak</w:t>
      </w:r>
      <w:r w:rsidR="00636411">
        <w:rPr>
          <w:rFonts w:ascii="Arial" w:hAnsi="Arial" w:cs="Arial"/>
          <w:noProof/>
          <w:sz w:val="20"/>
          <w:szCs w:val="20"/>
        </w:rPr>
        <w:t>e</w:t>
      </w:r>
      <w:r w:rsidRPr="00402580">
        <w:rPr>
          <w:rFonts w:ascii="Arial" w:hAnsi="Arial" w:cs="Arial"/>
          <w:noProof/>
          <w:sz w:val="20"/>
          <w:szCs w:val="20"/>
        </w:rPr>
        <w:t xml:space="preserve"> the transition is a potential contribution of policy makers </w:t>
      </w:r>
      <w:r w:rsidR="00636411">
        <w:rPr>
          <w:rFonts w:ascii="Arial" w:hAnsi="Arial" w:cs="Arial"/>
          <w:noProof/>
          <w:sz w:val="20"/>
          <w:szCs w:val="20"/>
        </w:rPr>
        <w:t xml:space="preserve">to ease the </w:t>
      </w:r>
      <w:r w:rsidRPr="00402580">
        <w:rPr>
          <w:rFonts w:ascii="Arial" w:hAnsi="Arial" w:cs="Arial"/>
          <w:noProof/>
          <w:sz w:val="20"/>
          <w:szCs w:val="20"/>
        </w:rPr>
        <w:t>transition.</w:t>
      </w:r>
    </w:p>
    <w:p w14:paraId="55D819A3" w14:textId="28413015" w:rsidR="005E0CC8" w:rsidRPr="00402580" w:rsidRDefault="005E0CC8" w:rsidP="006C46E5">
      <w:pPr>
        <w:spacing w:after="120"/>
        <w:jc w:val="both"/>
        <w:rPr>
          <w:rFonts w:ascii="Arial" w:hAnsi="Arial" w:cs="Arial"/>
          <w:i/>
          <w:iCs/>
          <w:noProof/>
          <w:sz w:val="20"/>
          <w:szCs w:val="20"/>
        </w:rPr>
      </w:pPr>
      <w:r w:rsidRPr="00402580">
        <w:rPr>
          <w:rFonts w:ascii="Arial" w:hAnsi="Arial" w:cs="Arial"/>
          <w:i/>
          <w:iCs/>
          <w:noProof/>
          <w:sz w:val="20"/>
          <w:szCs w:val="20"/>
        </w:rPr>
        <w:t xml:space="preserve">Further </w:t>
      </w:r>
      <w:r w:rsidR="004C08EE" w:rsidRPr="00402580">
        <w:rPr>
          <w:rFonts w:ascii="Arial" w:hAnsi="Arial" w:cs="Arial"/>
          <w:i/>
          <w:iCs/>
          <w:noProof/>
          <w:sz w:val="20"/>
          <w:szCs w:val="20"/>
        </w:rPr>
        <w:t xml:space="preserve">county analysis </w:t>
      </w:r>
      <w:r w:rsidRPr="00402580">
        <w:rPr>
          <w:rFonts w:ascii="Arial" w:hAnsi="Arial" w:cs="Arial"/>
          <w:i/>
          <w:iCs/>
          <w:noProof/>
          <w:sz w:val="20"/>
          <w:szCs w:val="20"/>
        </w:rPr>
        <w:t xml:space="preserve">on </w:t>
      </w:r>
      <w:r w:rsidR="004C08EE" w:rsidRPr="00402580">
        <w:rPr>
          <w:rFonts w:ascii="Arial" w:hAnsi="Arial" w:cs="Arial"/>
          <w:i/>
          <w:iCs/>
          <w:noProof/>
          <w:sz w:val="20"/>
          <w:szCs w:val="20"/>
        </w:rPr>
        <w:t>potential “skills mismatch” and sectoral and occupational projections can be found in</w:t>
      </w:r>
      <w:r w:rsidRPr="00402580">
        <w:rPr>
          <w:rFonts w:ascii="Arial" w:hAnsi="Arial" w:cs="Arial"/>
          <w:i/>
          <w:iCs/>
          <w:noProof/>
          <w:sz w:val="20"/>
          <w:szCs w:val="20"/>
        </w:rPr>
        <w:t xml:space="preserve"> </w:t>
      </w:r>
      <w:r w:rsidR="00091FE3">
        <w:rPr>
          <w:rFonts w:ascii="Arial" w:hAnsi="Arial" w:cs="Arial"/>
          <w:i/>
          <w:iCs/>
          <w:noProof/>
          <w:sz w:val="20"/>
          <w:szCs w:val="20"/>
        </w:rPr>
        <w:t>Chapter</w:t>
      </w:r>
      <w:r w:rsidR="004C08EE" w:rsidRPr="00402580">
        <w:rPr>
          <w:rFonts w:ascii="Arial" w:hAnsi="Arial" w:cs="Arial"/>
          <w:i/>
          <w:iCs/>
          <w:noProof/>
          <w:sz w:val="20"/>
          <w:szCs w:val="20"/>
        </w:rPr>
        <w:t>s 3–8.</w:t>
      </w:r>
    </w:p>
    <w:p w14:paraId="3E7AF55D" w14:textId="340A051C" w:rsidR="00D83F43" w:rsidRDefault="00BD2C97" w:rsidP="00E42342">
      <w:pPr>
        <w:pStyle w:val="Heading2"/>
        <w:numPr>
          <w:ilvl w:val="0"/>
          <w:numId w:val="209"/>
        </w:numPr>
        <w:rPr>
          <w:noProof/>
        </w:rPr>
      </w:pPr>
      <w:bookmarkStart w:id="96" w:name="_Toc90725855"/>
      <w:r>
        <w:rPr>
          <w:noProof/>
        </w:rPr>
        <w:t>Model</w:t>
      </w:r>
      <w:r w:rsidR="001C7238">
        <w:rPr>
          <w:noProof/>
        </w:rPr>
        <w:t>l</w:t>
      </w:r>
      <w:r>
        <w:rPr>
          <w:noProof/>
        </w:rPr>
        <w:t xml:space="preserve">ed </w:t>
      </w:r>
      <w:r w:rsidR="00636411">
        <w:rPr>
          <w:noProof/>
        </w:rPr>
        <w:t xml:space="preserve">knockon </w:t>
      </w:r>
      <w:r w:rsidR="00A64776">
        <w:rPr>
          <w:noProof/>
        </w:rPr>
        <w:t>effects of different expenditure scenarios</w:t>
      </w:r>
      <w:bookmarkEnd w:id="96"/>
    </w:p>
    <w:p w14:paraId="4CD0E9FC" w14:textId="2E8E482B" w:rsidR="00D83F43" w:rsidRDefault="00D83F43" w:rsidP="006C46E5">
      <w:pPr>
        <w:spacing w:after="120"/>
        <w:jc w:val="both"/>
        <w:rPr>
          <w:rFonts w:ascii="Arial" w:hAnsi="Arial" w:cs="Arial"/>
          <w:sz w:val="20"/>
          <w:szCs w:val="20"/>
          <w:highlight w:val="white"/>
        </w:rPr>
      </w:pPr>
      <w:r w:rsidRPr="00A64776">
        <w:rPr>
          <w:rFonts w:ascii="Arial" w:hAnsi="Arial" w:cs="Arial"/>
          <w:sz w:val="20"/>
          <w:szCs w:val="20"/>
          <w:highlight w:val="white"/>
        </w:rPr>
        <w:t>In the absence of advanced TJTPs, with clear financial allocations across regions and across sectors, we nonetheless sought to estimate, in this section, an econometric impact assessment in all the six affected regions of several illustrative actions (within the JTF scope), looking into the impact on the local economies as well as labour markets.</w:t>
      </w:r>
    </w:p>
    <w:p w14:paraId="3501FDB6" w14:textId="4C2FF267" w:rsidR="00D83F43" w:rsidRPr="003516DC" w:rsidRDefault="00D83F43" w:rsidP="006C46E5">
      <w:pPr>
        <w:spacing w:before="240" w:after="120"/>
        <w:jc w:val="both"/>
        <w:rPr>
          <w:rFonts w:ascii="Arial" w:hAnsi="Arial" w:cs="Arial"/>
          <w:sz w:val="20"/>
          <w:szCs w:val="20"/>
        </w:rPr>
      </w:pPr>
      <w:r w:rsidRPr="003516DC">
        <w:rPr>
          <w:rFonts w:ascii="Arial" w:hAnsi="Arial" w:cs="Arial"/>
          <w:sz w:val="20"/>
          <w:szCs w:val="20"/>
        </w:rPr>
        <w:t xml:space="preserve">In this </w:t>
      </w:r>
      <w:r w:rsidR="004B6689">
        <w:rPr>
          <w:rFonts w:ascii="Arial" w:hAnsi="Arial" w:cs="Arial"/>
          <w:sz w:val="20"/>
          <w:szCs w:val="20"/>
        </w:rPr>
        <w:t>section</w:t>
      </w:r>
      <w:r w:rsidRPr="003516DC">
        <w:rPr>
          <w:rFonts w:ascii="Arial" w:hAnsi="Arial" w:cs="Arial"/>
          <w:sz w:val="20"/>
          <w:szCs w:val="20"/>
        </w:rPr>
        <w:t xml:space="preserve"> we aim to estimate the potential effects of different “illustrative actions” on the targeted counties’ economies and labour markets. </w:t>
      </w:r>
    </w:p>
    <w:p w14:paraId="286EFE65" w14:textId="6EEF20B6" w:rsidR="00D83F43" w:rsidRPr="003516DC" w:rsidRDefault="00D83F43" w:rsidP="006C46E5">
      <w:pPr>
        <w:spacing w:before="240" w:after="120"/>
        <w:jc w:val="both"/>
        <w:rPr>
          <w:rFonts w:ascii="Arial" w:hAnsi="Arial" w:cs="Arial"/>
          <w:sz w:val="20"/>
          <w:szCs w:val="20"/>
        </w:rPr>
      </w:pPr>
      <w:r w:rsidRPr="003516DC">
        <w:rPr>
          <w:rFonts w:ascii="Arial" w:hAnsi="Arial" w:cs="Arial"/>
          <w:sz w:val="20"/>
          <w:szCs w:val="20"/>
        </w:rPr>
        <w:t xml:space="preserve">The </w:t>
      </w:r>
      <w:r w:rsidR="004B6689">
        <w:rPr>
          <w:rFonts w:ascii="Arial" w:hAnsi="Arial" w:cs="Arial"/>
          <w:sz w:val="20"/>
          <w:szCs w:val="20"/>
        </w:rPr>
        <w:t>section</w:t>
      </w:r>
      <w:r w:rsidRPr="003516DC">
        <w:rPr>
          <w:rFonts w:ascii="Arial" w:hAnsi="Arial" w:cs="Arial"/>
          <w:sz w:val="20"/>
          <w:szCs w:val="20"/>
        </w:rPr>
        <w:t xml:space="preserve"> will proceed as follows: first we present the methodology of the modelling exercise and the assumptions in the illustrative scenarios, then we move on to discuss the results comparing across regions and illustrative actions, finally the regional level disaggregated results are presented. </w:t>
      </w:r>
    </w:p>
    <w:p w14:paraId="452222E9" w14:textId="77777777" w:rsidR="00D83F43" w:rsidRPr="003516DC" w:rsidRDefault="00D83F43" w:rsidP="006C46E5">
      <w:pPr>
        <w:spacing w:before="240" w:after="120"/>
        <w:jc w:val="both"/>
        <w:rPr>
          <w:rFonts w:ascii="Arial" w:hAnsi="Arial" w:cs="Arial"/>
          <w:sz w:val="20"/>
          <w:szCs w:val="20"/>
        </w:rPr>
      </w:pPr>
      <w:r w:rsidRPr="003516DC">
        <w:rPr>
          <w:rFonts w:ascii="Arial" w:hAnsi="Arial" w:cs="Arial"/>
          <w:sz w:val="20"/>
          <w:szCs w:val="20"/>
        </w:rPr>
        <w:lastRenderedPageBreak/>
        <w:t>The results presented are preliminary. They also build on the modelling done in D3, however, as these are “illustrative actions” and the modelling exercise does not take potential capacity constraints into account, the choice of the scenario (baseline) which we use for calculating the impacts of the illustrative cases should not influence the results substantially.</w:t>
      </w:r>
    </w:p>
    <w:p w14:paraId="6653B98B" w14:textId="41A14273" w:rsidR="00D83F43" w:rsidRPr="00A64776" w:rsidRDefault="00D83F43" w:rsidP="00E42342">
      <w:pPr>
        <w:pStyle w:val="Heading3"/>
        <w:numPr>
          <w:ilvl w:val="0"/>
          <w:numId w:val="210"/>
        </w:numPr>
        <w:rPr>
          <w:b w:val="0"/>
          <w:bCs/>
          <w:highlight w:val="white"/>
        </w:rPr>
      </w:pPr>
      <w:r w:rsidRPr="00A64776">
        <w:rPr>
          <w:b w:val="0"/>
          <w:bCs/>
          <w:highlight w:val="white"/>
        </w:rPr>
        <w:t>Description of the “illustrative actions”</w:t>
      </w:r>
    </w:p>
    <w:p w14:paraId="1BB71398" w14:textId="23736C45" w:rsidR="00D83F43" w:rsidRPr="003516DC" w:rsidRDefault="00D83F43" w:rsidP="006C46E5">
      <w:pPr>
        <w:spacing w:before="240" w:after="120"/>
        <w:jc w:val="both"/>
        <w:rPr>
          <w:rFonts w:ascii="Arial" w:hAnsi="Arial" w:cs="Arial"/>
          <w:sz w:val="20"/>
          <w:szCs w:val="20"/>
        </w:rPr>
      </w:pPr>
      <w:r w:rsidRPr="003516DC">
        <w:rPr>
          <w:rFonts w:ascii="Arial" w:hAnsi="Arial" w:cs="Arial"/>
          <w:sz w:val="20"/>
          <w:szCs w:val="20"/>
        </w:rPr>
        <w:t xml:space="preserve">The illustrative cases are comparable hypothetical scenarios that are used to estimate regional impacts and resulting multipliers of different policy actions. Three action types were selected as most common / relevant from the potential JTF activities: support for SME’s, R&amp;D investments and promoting circular economy. </w:t>
      </w:r>
      <w:r w:rsidRPr="003516DC">
        <w:rPr>
          <w:rFonts w:ascii="Arial" w:hAnsi="Arial" w:cs="Arial"/>
          <w:color w:val="000000" w:themeColor="text1"/>
          <w:sz w:val="20"/>
          <w:szCs w:val="20"/>
        </w:rPr>
        <w:t xml:space="preserve">The </w:t>
      </w:r>
      <w:r w:rsidRPr="00402580">
        <w:rPr>
          <w:rFonts w:ascii="Arial" w:hAnsi="Arial" w:cs="Arial"/>
          <w:sz w:val="20"/>
          <w:szCs w:val="20"/>
        </w:rPr>
        <w:t xml:space="preserve">cases were selected based on an overview of potential action directions and JTP eligible actions as shown by the early indications in the stakeholder consultation process. </w:t>
      </w:r>
      <w:r w:rsidRPr="003516DC">
        <w:rPr>
          <w:rFonts w:ascii="Arial" w:hAnsi="Arial" w:cs="Arial"/>
          <w:color w:val="000000" w:themeColor="text1"/>
          <w:sz w:val="20"/>
          <w:szCs w:val="20"/>
        </w:rPr>
        <w:t>These cases were selected as being sufficiently generic.</w:t>
      </w:r>
    </w:p>
    <w:p w14:paraId="2EE7FDFE" w14:textId="77777777" w:rsidR="002739E2" w:rsidRDefault="00D83F43" w:rsidP="006C46E5">
      <w:pPr>
        <w:spacing w:before="240" w:after="120"/>
        <w:jc w:val="both"/>
        <w:rPr>
          <w:rFonts w:ascii="Arial" w:hAnsi="Arial" w:cs="Arial"/>
          <w:sz w:val="20"/>
          <w:szCs w:val="20"/>
        </w:rPr>
      </w:pPr>
      <w:r w:rsidRPr="003516DC">
        <w:rPr>
          <w:rFonts w:ascii="Arial" w:hAnsi="Arial" w:cs="Arial"/>
          <w:sz w:val="20"/>
          <w:szCs w:val="20"/>
        </w:rPr>
        <w:t xml:space="preserve">We model the impacts of these action types individually for all cases and for all regions (i.e., 3 x 6 = 18 modelling tasks were set up and run). In each case we assume EUR 100 million to be spent over the programming period (2021-2027) in equally distributed amounts through the programming period. </w:t>
      </w:r>
    </w:p>
    <w:p w14:paraId="57091BDA" w14:textId="431244D8" w:rsidR="002739E2" w:rsidRDefault="00D83F43" w:rsidP="006C46E5">
      <w:pPr>
        <w:jc w:val="both"/>
        <w:rPr>
          <w:rFonts w:ascii="Arial" w:hAnsi="Arial" w:cs="Arial"/>
          <w:sz w:val="20"/>
          <w:szCs w:val="20"/>
        </w:rPr>
      </w:pPr>
      <w:r w:rsidRPr="003516DC">
        <w:rPr>
          <w:rFonts w:ascii="Arial" w:hAnsi="Arial" w:cs="Arial"/>
          <w:sz w:val="20"/>
          <w:szCs w:val="20"/>
        </w:rPr>
        <w:t xml:space="preserve">To illustrate this with an example, </w:t>
      </w:r>
    </w:p>
    <w:p w14:paraId="70568FD8" w14:textId="4E97071C" w:rsidR="002739E2" w:rsidRDefault="00D83F43" w:rsidP="006C46E5">
      <w:pPr>
        <w:jc w:val="both"/>
        <w:rPr>
          <w:rFonts w:ascii="Arial" w:hAnsi="Arial" w:cs="Arial"/>
          <w:sz w:val="20"/>
          <w:szCs w:val="20"/>
        </w:rPr>
      </w:pPr>
      <w:r w:rsidRPr="003516DC">
        <w:rPr>
          <w:rFonts w:ascii="Arial" w:hAnsi="Arial" w:cs="Arial"/>
          <w:sz w:val="20"/>
          <w:szCs w:val="20"/>
        </w:rPr>
        <w:t xml:space="preserve">Scenario #1: 2021: </w:t>
      </w:r>
      <w:r w:rsidR="002739E2">
        <w:rPr>
          <w:rFonts w:ascii="Arial" w:hAnsi="Arial" w:cs="Arial"/>
          <w:sz w:val="20"/>
          <w:szCs w:val="20"/>
        </w:rPr>
        <w:t xml:space="preserve">EUR </w:t>
      </w:r>
      <w:r w:rsidRPr="003516DC">
        <w:rPr>
          <w:rFonts w:ascii="Arial" w:hAnsi="Arial" w:cs="Arial"/>
          <w:sz w:val="20"/>
          <w:szCs w:val="20"/>
        </w:rPr>
        <w:t xml:space="preserve">14.3 m for SME support in Gorj; 2022: </w:t>
      </w:r>
      <w:r w:rsidR="002739E2">
        <w:rPr>
          <w:rFonts w:ascii="Arial" w:hAnsi="Arial" w:cs="Arial"/>
          <w:sz w:val="20"/>
          <w:szCs w:val="20"/>
        </w:rPr>
        <w:t xml:space="preserve">EUR </w:t>
      </w:r>
      <w:r w:rsidRPr="003516DC">
        <w:rPr>
          <w:rFonts w:ascii="Arial" w:hAnsi="Arial" w:cs="Arial"/>
          <w:sz w:val="20"/>
          <w:szCs w:val="20"/>
        </w:rPr>
        <w:t xml:space="preserve">14.3 m for SME support in Gorj; Scenario #2: 2021: </w:t>
      </w:r>
      <w:r w:rsidR="002739E2">
        <w:rPr>
          <w:rFonts w:ascii="Arial" w:hAnsi="Arial" w:cs="Arial"/>
          <w:sz w:val="20"/>
          <w:szCs w:val="20"/>
        </w:rPr>
        <w:t xml:space="preserve">EUR </w:t>
      </w:r>
      <w:r w:rsidRPr="003516DC">
        <w:rPr>
          <w:rFonts w:ascii="Arial" w:hAnsi="Arial" w:cs="Arial"/>
          <w:sz w:val="20"/>
          <w:szCs w:val="20"/>
        </w:rPr>
        <w:t xml:space="preserve">14.3 m for R&amp;D support in Gorj; 2022: </w:t>
      </w:r>
      <w:r w:rsidR="002739E2">
        <w:rPr>
          <w:rFonts w:ascii="Arial" w:hAnsi="Arial" w:cs="Arial"/>
          <w:sz w:val="20"/>
          <w:szCs w:val="20"/>
        </w:rPr>
        <w:t xml:space="preserve">EUR </w:t>
      </w:r>
      <w:r w:rsidRPr="003516DC">
        <w:rPr>
          <w:rFonts w:ascii="Arial" w:hAnsi="Arial" w:cs="Arial"/>
          <w:sz w:val="20"/>
          <w:szCs w:val="20"/>
        </w:rPr>
        <w:t>14.3 m for R&amp;D support in Gorj; Scenario #3: 2021:</w:t>
      </w:r>
      <w:r w:rsidR="002739E2">
        <w:rPr>
          <w:rFonts w:ascii="Arial" w:hAnsi="Arial" w:cs="Arial"/>
          <w:sz w:val="20"/>
          <w:szCs w:val="20"/>
        </w:rPr>
        <w:t xml:space="preserve"> EUR</w:t>
      </w:r>
      <w:r w:rsidRPr="003516DC">
        <w:rPr>
          <w:rFonts w:ascii="Arial" w:hAnsi="Arial" w:cs="Arial"/>
          <w:sz w:val="20"/>
          <w:szCs w:val="20"/>
        </w:rPr>
        <w:t xml:space="preserve"> 14.3 m for SME support in Dolj; 2022: </w:t>
      </w:r>
      <w:r w:rsidR="002739E2">
        <w:rPr>
          <w:rFonts w:ascii="Arial" w:hAnsi="Arial" w:cs="Arial"/>
          <w:sz w:val="20"/>
          <w:szCs w:val="20"/>
        </w:rPr>
        <w:t xml:space="preserve">EUR </w:t>
      </w:r>
      <w:r w:rsidRPr="003516DC">
        <w:rPr>
          <w:rFonts w:ascii="Arial" w:hAnsi="Arial" w:cs="Arial"/>
          <w:sz w:val="20"/>
          <w:szCs w:val="20"/>
        </w:rPr>
        <w:t xml:space="preserve">14.3 m for SME support in Dolj. </w:t>
      </w:r>
    </w:p>
    <w:p w14:paraId="59776823" w14:textId="137E5383"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This helps us to make the outcomes and the multipliers comparable across action types and across regions. The “illustrative actions” and their assumptions are described in detail below, while the methodology used for the assessment is described in the next section.</w:t>
      </w:r>
    </w:p>
    <w:p w14:paraId="21263E3B" w14:textId="17FD3C04" w:rsidR="00D83F43" w:rsidRPr="003516DC" w:rsidRDefault="00D83F43" w:rsidP="006C46E5">
      <w:pPr>
        <w:shd w:val="clear" w:color="auto" w:fill="FFFFFF"/>
        <w:spacing w:after="120"/>
        <w:jc w:val="both"/>
        <w:rPr>
          <w:rFonts w:ascii="Arial" w:hAnsi="Arial" w:cs="Arial"/>
          <w:i/>
          <w:iCs/>
          <w:color w:val="0070C0"/>
          <w:sz w:val="20"/>
          <w:szCs w:val="20"/>
        </w:rPr>
      </w:pPr>
      <w:r w:rsidRPr="003516DC">
        <w:rPr>
          <w:rFonts w:ascii="Arial" w:hAnsi="Arial" w:cs="Arial"/>
          <w:i/>
          <w:iCs/>
          <w:color w:val="0070C0"/>
          <w:sz w:val="20"/>
          <w:szCs w:val="20"/>
        </w:rPr>
        <w:t>Support for SMEs (‘SME’)</w:t>
      </w:r>
    </w:p>
    <w:p w14:paraId="532E2584" w14:textId="75F7D346" w:rsidR="00D83F43" w:rsidRPr="003516DC" w:rsidRDefault="00D83F43" w:rsidP="006C46E5">
      <w:pPr>
        <w:shd w:val="clear" w:color="auto" w:fill="FFFFFF"/>
        <w:spacing w:after="120"/>
        <w:jc w:val="both"/>
        <w:rPr>
          <w:rFonts w:ascii="Arial" w:hAnsi="Arial" w:cs="Arial"/>
          <w:sz w:val="20"/>
          <w:szCs w:val="20"/>
        </w:rPr>
      </w:pPr>
      <w:r w:rsidRPr="003516DC">
        <w:rPr>
          <w:rFonts w:ascii="Arial" w:hAnsi="Arial" w:cs="Arial"/>
          <w:sz w:val="20"/>
          <w:szCs w:val="20"/>
        </w:rPr>
        <w:t>The SME illustrative action case assumes that financial subsidies for productive investments are provided to SMEs in the region. It is further assumed that the targeted SMEs spend a 100% of these subsidies on investments (capital goods)</w:t>
      </w:r>
      <w:r w:rsidR="00B04936">
        <w:rPr>
          <w:rStyle w:val="FootnoteReference"/>
          <w:rFonts w:ascii="Arial" w:hAnsi="Arial" w:cs="Arial"/>
          <w:sz w:val="20"/>
          <w:szCs w:val="20"/>
        </w:rPr>
        <w:footnoteReference w:id="36"/>
      </w:r>
      <w:r w:rsidR="00B04936" w:rsidRPr="003516DC">
        <w:rPr>
          <w:rFonts w:ascii="Arial" w:hAnsi="Arial" w:cs="Arial"/>
          <w:sz w:val="20"/>
          <w:szCs w:val="20"/>
        </w:rPr>
        <w:t>.</w:t>
      </w:r>
      <w:r w:rsidRPr="003516DC">
        <w:rPr>
          <w:rFonts w:ascii="Arial" w:hAnsi="Arial" w:cs="Arial"/>
          <w:sz w:val="20"/>
          <w:szCs w:val="20"/>
        </w:rPr>
        <w:t xml:space="preserve"> and that these capital goods are bought within the region (e.g., if the firm decides to buy machinery to increase its productivity the machinery will be bought in the same region)</w:t>
      </w:r>
      <w:r w:rsidR="00B04936">
        <w:rPr>
          <w:rStyle w:val="FootnoteReference"/>
          <w:rFonts w:ascii="Arial" w:hAnsi="Arial" w:cs="Arial"/>
          <w:sz w:val="20"/>
          <w:szCs w:val="20"/>
        </w:rPr>
        <w:footnoteReference w:id="37"/>
      </w:r>
      <w:r w:rsidRPr="003516DC">
        <w:rPr>
          <w:rFonts w:ascii="Arial" w:hAnsi="Arial" w:cs="Arial"/>
          <w:sz w:val="20"/>
          <w:szCs w:val="20"/>
        </w:rPr>
        <w:t xml:space="preserve"> We assume that the sectoral distribution of SMEs getting support is equal to the current structure of SMEs in the regions, which we quantify by employment (in SMEs) distributions across sectors. These investments trigger two types of response in the economic structure of the respective regions. First, a direct consumption effect boosts demand (and output) as firms spend the subsidies on capital goods and second, a productivity impact kicks-in once the new capital goods are integrated (we assume a one year delay in the process) boosting the targeted firms’ productivity. It is assumed that productivity gains in this case lead to GVA gains, as we assume that the firms are price-takers and an increase in production will be met by demand nationally. Finally, due to the integration of the input-output impacts with E3ME-TRE (described in D3) we calculate with an indirect effect through increased regional competitiveness in the long-term.</w:t>
      </w:r>
    </w:p>
    <w:p w14:paraId="2C6208C1" w14:textId="77777777" w:rsidR="00D83F43" w:rsidRPr="003516DC" w:rsidRDefault="00D83F43"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Investment to promote circular economy across the economic sectors (‘Circular’)</w:t>
      </w:r>
    </w:p>
    <w:p w14:paraId="47F698BF" w14:textId="3D8CFA4C"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 xml:space="preserve">The illustrative action is a highly stylized scenario, that considers some aspects of a shift towards circular economy activities. The case builds on assumptions and findings of the study on the impacts of circular economy policies on the labour market by Cambridge Econometrics, Trinomics and ICF, conducted for DG Environment (European Commission et al. 2018). Investments are assumed to be made in the recycling and waste management sectors, boosting the sectors’ productivity (on average about 15% total increase in the sectors output by 2030 years is assumed). The sector buys capital goods from manufacturing, professional services and itself. Employment intensity of the sector is also </w:t>
      </w:r>
      <w:r w:rsidRPr="003516DC">
        <w:rPr>
          <w:rFonts w:ascii="Arial" w:hAnsi="Arial" w:cs="Arial"/>
          <w:sz w:val="20"/>
          <w:szCs w:val="20"/>
        </w:rPr>
        <w:lastRenderedPageBreak/>
        <w:t>assumed to increase substantially. At the same time, we assume a decreasing demand for products, due to longer product lifecycles, sharing and repairing activities</w:t>
      </w:r>
      <w:r w:rsidR="00B04936">
        <w:rPr>
          <w:rStyle w:val="FootnoteReference"/>
          <w:rFonts w:ascii="Arial" w:hAnsi="Arial" w:cs="Arial"/>
          <w:sz w:val="20"/>
          <w:szCs w:val="20"/>
        </w:rPr>
        <w:footnoteReference w:id="38"/>
      </w:r>
      <w:r w:rsidRPr="003516DC">
        <w:rPr>
          <w:rFonts w:ascii="Arial" w:hAnsi="Arial" w:cs="Arial"/>
          <w:sz w:val="20"/>
          <w:szCs w:val="20"/>
        </w:rPr>
        <w:t>. This amounts to a decrease of about 2% (by 2030) in the retail and manufacturing sectors.</w:t>
      </w:r>
      <w:r w:rsidR="00121B47">
        <w:rPr>
          <w:rFonts w:ascii="Arial" w:hAnsi="Arial" w:cs="Arial"/>
          <w:sz w:val="20"/>
          <w:szCs w:val="20"/>
        </w:rPr>
        <w:t xml:space="preserve"> </w:t>
      </w:r>
      <w:r w:rsidR="00121B47" w:rsidRPr="00121B47">
        <w:rPr>
          <w:rFonts w:ascii="Arial" w:hAnsi="Arial" w:cs="Arial"/>
          <w:sz w:val="20"/>
          <w:szCs w:val="20"/>
        </w:rPr>
        <w:t>Productivity growth is assumed in the recycling and waste management sector, which drives employment increases in the same sectors.</w:t>
      </w:r>
      <w:r w:rsidRPr="003516DC">
        <w:rPr>
          <w:rFonts w:ascii="Arial" w:hAnsi="Arial" w:cs="Arial"/>
          <w:sz w:val="20"/>
          <w:szCs w:val="20"/>
        </w:rPr>
        <w:t xml:space="preserve"> An important limitation of the case is that in the sectoral classification used the aggregated B+D+E sector (B – Mining, D – Electricity, gas, E – water supply and waste management)</w:t>
      </w:r>
      <w:r w:rsidR="003F5FF8">
        <w:rPr>
          <w:rFonts w:ascii="Arial" w:hAnsi="Arial" w:cs="Arial"/>
          <w:sz w:val="20"/>
          <w:szCs w:val="20"/>
        </w:rPr>
        <w:t>,</w:t>
      </w:r>
      <w:r w:rsidRPr="003516DC">
        <w:rPr>
          <w:rFonts w:ascii="Arial" w:hAnsi="Arial" w:cs="Arial"/>
          <w:sz w:val="20"/>
          <w:szCs w:val="20"/>
        </w:rPr>
        <w:t xml:space="preserve"> includ</w:t>
      </w:r>
      <w:r w:rsidR="003F5FF8">
        <w:rPr>
          <w:rFonts w:ascii="Arial" w:hAnsi="Arial" w:cs="Arial"/>
          <w:sz w:val="20"/>
          <w:szCs w:val="20"/>
        </w:rPr>
        <w:t>ing</w:t>
      </w:r>
      <w:r w:rsidRPr="003516DC">
        <w:rPr>
          <w:rFonts w:ascii="Arial" w:hAnsi="Arial" w:cs="Arial"/>
          <w:sz w:val="20"/>
          <w:szCs w:val="20"/>
        </w:rPr>
        <w:t xml:space="preserve"> recycling, waste management activities as well as energy and extraction sectors.</w:t>
      </w:r>
    </w:p>
    <w:p w14:paraId="5A4EBFE9" w14:textId="77777777" w:rsidR="00D83F43" w:rsidRPr="003516DC" w:rsidRDefault="00D83F43"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R&amp;D investment to enhance long-run growth and productivity increase in various sectors of the economy (‘R&amp;D’)</w:t>
      </w:r>
    </w:p>
    <w:p w14:paraId="515B1861" w14:textId="2CD5C617" w:rsidR="00D83F43" w:rsidRDefault="00D83F43" w:rsidP="006C46E5">
      <w:pPr>
        <w:spacing w:after="120"/>
        <w:jc w:val="both"/>
        <w:rPr>
          <w:rFonts w:ascii="Arial" w:hAnsi="Arial" w:cs="Arial"/>
          <w:sz w:val="20"/>
          <w:szCs w:val="20"/>
        </w:rPr>
      </w:pPr>
      <w:r w:rsidRPr="003516DC">
        <w:rPr>
          <w:rFonts w:ascii="Arial" w:hAnsi="Arial" w:cs="Arial"/>
          <w:sz w:val="20"/>
          <w:szCs w:val="20"/>
        </w:rPr>
        <w:t>In this case we assume that R&amp;D grants or subsidies are provided to enterprises, promoting knowledge intensive growth and knowledge accumulation. The R&amp;D investment is distributed across sectors following national level R&amp;D intensity patterns. We assume that firms engage in external R&amp;D activities, therefore boosting demand for R&amp;D type capital goods (concentrated in the ICT and professional services sectors). Just as in the case of the SME illustrative action, there is a direct consumption boost and an important productivity effect. It is important to note that the ICT and professional services are usually both the more R&amp;D intensive sectors and get the most (capital good type) additional demand from this setup, therefore significantly boosting the sectors’ capabilities. A limitation of the case is that we assume that capital goods are bought locally, which might be less realistic in this case</w:t>
      </w:r>
      <w:r>
        <w:rPr>
          <w:rFonts w:ascii="Arial" w:hAnsi="Arial" w:cs="Arial"/>
          <w:sz w:val="20"/>
          <w:szCs w:val="20"/>
        </w:rPr>
        <w:t>.</w:t>
      </w:r>
    </w:p>
    <w:p w14:paraId="55F3506E" w14:textId="77777777" w:rsidR="00D83F43" w:rsidRPr="00A64776" w:rsidRDefault="00D83F43" w:rsidP="00E42342">
      <w:pPr>
        <w:pStyle w:val="Heading3"/>
        <w:numPr>
          <w:ilvl w:val="0"/>
          <w:numId w:val="211"/>
        </w:numPr>
        <w:rPr>
          <w:b w:val="0"/>
          <w:bCs/>
        </w:rPr>
      </w:pPr>
      <w:r w:rsidRPr="00A64776">
        <w:rPr>
          <w:b w:val="0"/>
          <w:bCs/>
        </w:rPr>
        <w:t>Brief description of the methodology used</w:t>
      </w:r>
    </w:p>
    <w:p w14:paraId="6410698D" w14:textId="0DA050FF"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 xml:space="preserve">To estimate the potential effects of the actions in the “illustrative cases” we employ E3ME modelling results from D3, regional input-output tables, representing supply-chain structures in the target regions, elasticity coefficients estimated in the E3ME framework and the E3ME-TRE regional modelling tool. </w:t>
      </w:r>
    </w:p>
    <w:p w14:paraId="0A21942F" w14:textId="5A500EDE"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We start with the calculation of the GVA impacts. First, we build the assumptions about how financial resources are allocated across sectors in each region and each case. The method for this is described in the description of the illustrative cases. This gives us annual assumptions for the magnitude of capital goods bought by buying sector (and supplying sector through the use of gross fixed capital formation statistics). Second, we use methods of input-output (IO) analysis, namely the calculation of the Leontief inverse</w:t>
      </w:r>
      <w:r w:rsidRPr="003516DC">
        <w:rPr>
          <w:rStyle w:val="FootnoteReference"/>
          <w:rFonts w:ascii="Arial" w:hAnsi="Arial" w:cs="Arial"/>
          <w:sz w:val="20"/>
          <w:szCs w:val="20"/>
        </w:rPr>
        <w:footnoteReference w:id="39"/>
      </w:r>
      <w:r w:rsidRPr="003516DC">
        <w:rPr>
          <w:rFonts w:ascii="Arial" w:hAnsi="Arial" w:cs="Arial"/>
          <w:sz w:val="20"/>
          <w:szCs w:val="20"/>
        </w:rPr>
        <w:t xml:space="preserve"> on regional input-output tables</w:t>
      </w:r>
      <w:r w:rsidRPr="003516DC">
        <w:rPr>
          <w:rStyle w:val="FootnoteReference"/>
          <w:rFonts w:ascii="Arial" w:hAnsi="Arial" w:cs="Arial"/>
          <w:sz w:val="20"/>
          <w:szCs w:val="20"/>
        </w:rPr>
        <w:footnoteReference w:id="40"/>
      </w:r>
      <w:r w:rsidRPr="003516DC">
        <w:rPr>
          <w:rFonts w:ascii="Arial" w:hAnsi="Arial" w:cs="Arial"/>
          <w:sz w:val="20"/>
          <w:szCs w:val="20"/>
        </w:rPr>
        <w:t xml:space="preserve"> , to derive the effect of demand shock (positive, firms buying capital goods) on the regional economy. Third, we use the calculated increase in capital goods / knowledge stock (compared to existing capital stock / knowledge stock in the region), together with sectoral coefficients calculated in the E3ME framework, to calculate productivity effects induced by the increasing level of production factors. Finally, we integrate both type of impacts (consumption and productivity) into the E3ME-TRE framework, to account for arising competitiveness effects and to estimate long-run outcomes. It is important to note, that neither the IO method, nor the E3ME-TRE framework is able to capture constraints on sectoral growth at the moment and sectors are estimated independent of each other (i.e., no competition effects across sectors), which is an evident limitation of the methodology.</w:t>
      </w:r>
    </w:p>
    <w:p w14:paraId="453E7596"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Employment impacts are estimated following the estimation of GVA impacts. Employment increase is assumed to be a direct consequence of the increase in GVA (i.e., a GVA increase will lead to employment increase in most cases). Employment impacts by sector are estimated multiplying the annual new GVA impacts (in percentage terms) with sectoral coefficients estimated in the E3ME framework. This is done within the E3ME-TRE framework, integrating estimated region competitiveness effects in the process and providing long-run estimates.</w:t>
      </w:r>
    </w:p>
    <w:p w14:paraId="22B2B1D9" w14:textId="67E1B40A" w:rsidR="00D83F43" w:rsidRPr="00A64776" w:rsidRDefault="00D83F43" w:rsidP="00E42342">
      <w:pPr>
        <w:pStyle w:val="Heading3"/>
        <w:numPr>
          <w:ilvl w:val="0"/>
          <w:numId w:val="212"/>
        </w:numPr>
        <w:rPr>
          <w:b w:val="0"/>
          <w:bCs/>
        </w:rPr>
      </w:pPr>
      <w:r w:rsidRPr="00A64776">
        <w:rPr>
          <w:b w:val="0"/>
          <w:bCs/>
        </w:rPr>
        <w:t>Employment and GVA multipliers by region and by illustrative action</w:t>
      </w:r>
    </w:p>
    <w:p w14:paraId="4B4B8F29" w14:textId="107C215F"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This section summarises the short-term and long-term multipliers observed based on the derived GVA- and employment impacts in the six focal regions, under each of the illustrative action.</w:t>
      </w:r>
    </w:p>
    <w:p w14:paraId="2CBFE380"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lastRenderedPageBreak/>
        <w:t xml:space="preserve">Short-term multipliers capture the employment- and GVA-generating potential by 2025, long-term multipliers capture the employment- and GVA-creation potential by 2030. Long-term multipliers yield better results (indicate higher value-creation potential of the same level of investment), which is primarily due to the compound nature of the impacts. I.e., positive impacts of an investment / grant made in year t spreading across several years following the investment / grant year t and generate productivity gains even after the ‘policy implementation’ period ends. </w:t>
      </w:r>
    </w:p>
    <w:p w14:paraId="5887638A"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In other words, the associated positive GVA impacts of an investment made in a specific year spread across several years by increasing the regional value added (e.g. through new, innovative manufacturing processes) in the subsequent years as well, while in the case of employment, FTE jobs derived as a result of a specific investment are not necessarily generated in the same year when the investment is made, but to a certain extent are assumed to be created over the years following the investment. Therefore, the long-run multipliers are considered to show a more accurate picture in that they are better able to capture the total GVA- and employment generation potential of the investments made under the selected illustrative actions.</w:t>
      </w:r>
    </w:p>
    <w:p w14:paraId="5D028E41"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The GVA multiplier is calculated as the cumulated GVA impact induced by the selected action (i.e., difference from baseline trends), divided by the total amount of financing the action (e.g., EUR 100 million vs. EUR 50 million by 2025 yields a multiplier of 2). Higher GVA multipliers indicate higher value-added creation potential.</w:t>
      </w:r>
    </w:p>
    <w:p w14:paraId="46184DBF"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The employment multiplier captures the cost of creating one FTE job, i.e., the cost of creating a year's worth of employment for a person. In this case, lower employment multipliers indicate an overall better generation potential, i.e., results show under which action is the creation of one FTE job ‘cheaper’.</w:t>
      </w:r>
    </w:p>
    <w:p w14:paraId="0E7727D5" w14:textId="254DC420" w:rsidR="00D83F43" w:rsidRPr="006C46E5" w:rsidRDefault="00D83F43" w:rsidP="006C46E5">
      <w:pPr>
        <w:spacing w:after="120"/>
        <w:jc w:val="both"/>
        <w:rPr>
          <w:rFonts w:ascii="Arial" w:hAnsi="Arial" w:cs="Arial"/>
          <w:sz w:val="20"/>
          <w:szCs w:val="20"/>
        </w:rPr>
      </w:pPr>
      <w:r w:rsidRPr="003516DC">
        <w:rPr>
          <w:rFonts w:ascii="Arial" w:hAnsi="Arial" w:cs="Arial"/>
          <w:sz w:val="20"/>
          <w:szCs w:val="20"/>
        </w:rPr>
        <w:t>In sum, short-term and long-term multipliers show largely similar trends across the illustrative actions both with regards to GVA and in employment terms.</w:t>
      </w:r>
    </w:p>
    <w:p w14:paraId="05A5AE71" w14:textId="3369C562" w:rsidR="00D83F43" w:rsidRPr="006C46E5" w:rsidRDefault="00D83F43" w:rsidP="00FD0C1E">
      <w:pPr>
        <w:spacing w:after="120"/>
        <w:jc w:val="both"/>
        <w:rPr>
          <w:rFonts w:ascii="Arial" w:hAnsi="Arial" w:cs="Arial"/>
          <w:sz w:val="20"/>
          <w:szCs w:val="20"/>
        </w:rPr>
      </w:pPr>
      <w:r w:rsidRPr="003516DC">
        <w:rPr>
          <w:rFonts w:ascii="Arial" w:hAnsi="Arial" w:cs="Arial"/>
          <w:i/>
          <w:iCs/>
          <w:color w:val="0070C0"/>
          <w:sz w:val="20"/>
          <w:szCs w:val="20"/>
        </w:rPr>
        <w:t>GVA multipliers</w:t>
      </w:r>
    </w:p>
    <w:p w14:paraId="6E513B24" w14:textId="1CC74B0D"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 xml:space="preserve">Table </w:t>
      </w:r>
      <w:r w:rsidR="001C68D2">
        <w:rPr>
          <w:rFonts w:ascii="Arial" w:hAnsi="Arial" w:cs="Arial"/>
          <w:sz w:val="20"/>
          <w:szCs w:val="20"/>
        </w:rPr>
        <w:t>19</w:t>
      </w:r>
      <w:r w:rsidR="001C68D2" w:rsidRPr="003516DC">
        <w:rPr>
          <w:rFonts w:ascii="Arial" w:hAnsi="Arial" w:cs="Arial"/>
          <w:sz w:val="20"/>
          <w:szCs w:val="20"/>
        </w:rPr>
        <w:t xml:space="preserve"> </w:t>
      </w:r>
      <w:r w:rsidRPr="003516DC">
        <w:rPr>
          <w:rFonts w:ascii="Arial" w:hAnsi="Arial" w:cs="Arial"/>
          <w:sz w:val="20"/>
          <w:szCs w:val="20"/>
        </w:rPr>
        <w:t xml:space="preserve">presents the simulated GVA multipliers. In case of GVA multipliers, the action yielding the highest positive results is R&amp;D grants to businesses in all counties (very closely followed by SME investments in Prahova, </w:t>
      </w:r>
      <w:r w:rsidR="003751DC">
        <w:rPr>
          <w:rFonts w:ascii="Arial" w:hAnsi="Arial" w:cs="Arial"/>
          <w:sz w:val="20"/>
          <w:szCs w:val="20"/>
        </w:rPr>
        <w:t>Galați</w:t>
      </w:r>
      <w:r w:rsidRPr="003516DC">
        <w:rPr>
          <w:rFonts w:ascii="Arial" w:hAnsi="Arial" w:cs="Arial"/>
          <w:sz w:val="20"/>
          <w:szCs w:val="20"/>
        </w:rPr>
        <w:t xml:space="preserve"> and Hunedoara counties). By 2030, the overall GVA multiplier of this type of action is around 5.6-7.8 in all counties, indicating that 1 EUR million spent under this type of action may result in more than 6 EUR million GVA impact across the economy (including both direct and indirect GVA impacts, accounting for supply chain impacts too). Effects in Gorj and Dolj are stronger than in the other counties, an effect of a low initial knowledge and capital stock, i.e., the initial capital/knowledge stock is low, therefore the same absolute level of investment, e.g., 1 EUR million, creates a higher productivity effect on the long term. This can be seen in the difference between short-term and long-term multipliers: while in the short-term (where productivity effects are weaker) the differences between the regions are smaller, on the long-term it increases. This phenomena is caused by the diminishing returns of investments, if the capital/knowledge stock is already high to start with then the same additional investment will induce smaller effects. </w:t>
      </w:r>
    </w:p>
    <w:p w14:paraId="3D56D5C8" w14:textId="77777777"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The SME illustrative action yields similar estimates, with similar ranges. The range by 2030 is between 5.3-6.5. In Hunedoara and Prahova, the long-term multiplier is quite close to the R&amp;D multiplier. This is because in these counties capital/knowledge stock in the ICT sector is comparable to those of capital stocks in other sectors, therefore the R&amp;D type investment, which focuses spending on the ICT and professional services sectors does not create a higher productivity impact (than spending the same financial resources on SME support in general).</w:t>
      </w:r>
    </w:p>
    <w:p w14:paraId="47541D51" w14:textId="2496FCA7" w:rsidR="00D83F43" w:rsidRPr="001C7238" w:rsidRDefault="00D83F43" w:rsidP="001C7238">
      <w:pPr>
        <w:pStyle w:val="Caption"/>
        <w:ind w:left="990" w:hanging="990"/>
      </w:pPr>
      <w:bookmarkStart w:id="97" w:name="_Toc90725973"/>
      <w:bookmarkStart w:id="98" w:name="_Toc90727270"/>
      <w:r w:rsidRPr="003516DC">
        <w:t xml:space="preserve">Table </w:t>
      </w:r>
      <w:r w:rsidRPr="001C7238">
        <w:fldChar w:fldCharType="begin"/>
      </w:r>
      <w:r w:rsidRPr="003516DC">
        <w:instrText xml:space="preserve"> SEQ Table \* ARABIC </w:instrText>
      </w:r>
      <w:r w:rsidRPr="001C7238">
        <w:fldChar w:fldCharType="separate"/>
      </w:r>
      <w:r w:rsidR="004E2DCB">
        <w:rPr>
          <w:noProof/>
        </w:rPr>
        <w:t>19</w:t>
      </w:r>
      <w:r w:rsidRPr="001C7238">
        <w:fldChar w:fldCharType="end"/>
      </w:r>
      <w:r w:rsidRPr="003516DC">
        <w:t>: Summary of the GVA multipliers by region under the three selected illustrative actions</w:t>
      </w:r>
      <w:bookmarkEnd w:id="97"/>
      <w:bookmarkEnd w:id="98"/>
    </w:p>
    <w:tbl>
      <w:tblPr>
        <w:tblStyle w:val="CEnumberstable"/>
        <w:tblW w:w="5000" w:type="pct"/>
        <w:tblLook w:val="04A0" w:firstRow="1" w:lastRow="0" w:firstColumn="1" w:lastColumn="0" w:noHBand="0" w:noVBand="1"/>
      </w:tblPr>
      <w:tblGrid>
        <w:gridCol w:w="4110"/>
        <w:gridCol w:w="2410"/>
        <w:gridCol w:w="2409"/>
      </w:tblGrid>
      <w:tr w:rsidR="00D83F43" w:rsidRPr="003516DC" w14:paraId="2A3178A0" w14:textId="77777777" w:rsidTr="00CF1AD9">
        <w:trPr>
          <w:cnfStyle w:val="100000000000" w:firstRow="1" w:lastRow="0" w:firstColumn="0" w:lastColumn="0" w:oddVBand="0" w:evenVBand="0" w:oddHBand="0" w:evenHBand="0" w:firstRowFirstColumn="0" w:firstRowLastColumn="0" w:lastRowFirstColumn="0" w:lastRowLastColumn="0"/>
          <w:trHeight w:val="551"/>
          <w:tblHeader/>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00F58718" w14:textId="77777777" w:rsidR="00D83F43" w:rsidRPr="003516DC" w:rsidRDefault="00D83F43" w:rsidP="00964831">
            <w:pPr>
              <w:rPr>
                <w:rFonts w:ascii="Arial" w:hAnsi="Arial" w:cs="Arial"/>
              </w:rPr>
            </w:pPr>
          </w:p>
        </w:tc>
        <w:tc>
          <w:tcPr>
            <w:tcW w:w="0" w:type="pct"/>
            <w:hideMark/>
          </w:tcPr>
          <w:p w14:paraId="664C4EF3" w14:textId="77777777" w:rsidR="00D83F43" w:rsidRPr="003516DC" w:rsidRDefault="00D83F43" w:rsidP="00964831">
            <w:pPr>
              <w:cnfStyle w:val="100000000000" w:firstRow="1" w:lastRow="0" w:firstColumn="0" w:lastColumn="0" w:oddVBand="0" w:evenVBand="0" w:oddHBand="0" w:evenHBand="0" w:firstRowFirstColumn="0" w:firstRowLastColumn="0" w:lastRowFirstColumn="0" w:lastRowLastColumn="0"/>
              <w:rPr>
                <w:rFonts w:ascii="Arial" w:hAnsi="Arial" w:cs="Arial"/>
                <w:b/>
                <w:bCs/>
                <w:sz w:val="20"/>
              </w:rPr>
            </w:pPr>
            <w:r w:rsidRPr="003516DC">
              <w:rPr>
                <w:rFonts w:ascii="Arial" w:hAnsi="Arial" w:cs="Arial"/>
                <w:b/>
                <w:bCs/>
                <w:sz w:val="20"/>
              </w:rPr>
              <w:t>Short-term GVA multiplier (2025)</w:t>
            </w:r>
          </w:p>
        </w:tc>
        <w:tc>
          <w:tcPr>
            <w:tcW w:w="0" w:type="pct"/>
            <w:hideMark/>
          </w:tcPr>
          <w:p w14:paraId="187DB911" w14:textId="77777777" w:rsidR="00D83F43" w:rsidRPr="003516DC" w:rsidRDefault="00D83F43" w:rsidP="00964831">
            <w:pPr>
              <w:cnfStyle w:val="100000000000" w:firstRow="1" w:lastRow="0" w:firstColumn="0" w:lastColumn="0" w:oddVBand="0" w:evenVBand="0" w:oddHBand="0" w:evenHBand="0" w:firstRowFirstColumn="0" w:firstRowLastColumn="0" w:lastRowFirstColumn="0" w:lastRowLastColumn="0"/>
              <w:rPr>
                <w:rFonts w:ascii="Arial" w:hAnsi="Arial" w:cs="Arial"/>
                <w:b/>
                <w:bCs/>
                <w:sz w:val="20"/>
              </w:rPr>
            </w:pPr>
            <w:r w:rsidRPr="003516DC">
              <w:rPr>
                <w:rFonts w:ascii="Arial" w:hAnsi="Arial" w:cs="Arial"/>
                <w:b/>
                <w:bCs/>
                <w:sz w:val="20"/>
              </w:rPr>
              <w:t>Long-term GVA multiplier (2030)</w:t>
            </w:r>
          </w:p>
        </w:tc>
      </w:tr>
      <w:tr w:rsidR="00D83F43" w:rsidRPr="003516DC" w14:paraId="68505298" w14:textId="77777777" w:rsidTr="00964831">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46ED557C" w14:textId="77777777" w:rsidR="00D83F43" w:rsidRPr="003516DC" w:rsidRDefault="00D83F43" w:rsidP="00964831">
            <w:pPr>
              <w:rPr>
                <w:rFonts w:ascii="Arial" w:hAnsi="Arial" w:cs="Arial"/>
                <w:b/>
                <w:bCs/>
                <w:sz w:val="20"/>
              </w:rPr>
            </w:pPr>
            <w:r w:rsidRPr="003516DC">
              <w:rPr>
                <w:rFonts w:ascii="Arial" w:hAnsi="Arial" w:cs="Arial"/>
                <w:b/>
                <w:bCs/>
                <w:sz w:val="20"/>
              </w:rPr>
              <w:t>RO125 - Mureș County</w:t>
            </w:r>
          </w:p>
        </w:tc>
        <w:tc>
          <w:tcPr>
            <w:tcW w:w="0" w:type="pct"/>
            <w:noWrap/>
            <w:vAlign w:val="bottom"/>
            <w:hideMark/>
          </w:tcPr>
          <w:p w14:paraId="19F55B3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p>
        </w:tc>
        <w:tc>
          <w:tcPr>
            <w:tcW w:w="0" w:type="pct"/>
            <w:noWrap/>
            <w:vAlign w:val="bottom"/>
            <w:hideMark/>
          </w:tcPr>
          <w:p w14:paraId="74B8959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sz w:val="20"/>
              </w:rPr>
            </w:pPr>
          </w:p>
        </w:tc>
      </w:tr>
      <w:tr w:rsidR="00D83F43" w:rsidRPr="003516DC" w14:paraId="03E25C7B"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6C7D71A6"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hideMark/>
          </w:tcPr>
          <w:p w14:paraId="237DE4BE"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2.60</w:t>
            </w:r>
          </w:p>
        </w:tc>
        <w:tc>
          <w:tcPr>
            <w:tcW w:w="0" w:type="pct"/>
            <w:shd w:val="clear" w:color="auto" w:fill="C2D69B"/>
            <w:noWrap/>
            <w:hideMark/>
          </w:tcPr>
          <w:p w14:paraId="2FBD152E"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6.31</w:t>
            </w:r>
          </w:p>
        </w:tc>
      </w:tr>
      <w:tr w:rsidR="00D83F43" w:rsidRPr="003516DC" w14:paraId="40F38DAF" w14:textId="77777777" w:rsidTr="00964831">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1E029B33"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0" w:type="pct"/>
            <w:noWrap/>
            <w:hideMark/>
          </w:tcPr>
          <w:p w14:paraId="6508B610"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2.27</w:t>
            </w:r>
          </w:p>
        </w:tc>
        <w:tc>
          <w:tcPr>
            <w:tcW w:w="0" w:type="pct"/>
            <w:shd w:val="clear" w:color="auto" w:fill="D6E3BC"/>
            <w:noWrap/>
            <w:hideMark/>
          </w:tcPr>
          <w:p w14:paraId="1A3D690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5.62</w:t>
            </w:r>
          </w:p>
        </w:tc>
      </w:tr>
      <w:tr w:rsidR="00D83F43" w:rsidRPr="003516DC" w14:paraId="442C0664"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5A8F3F60"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hideMark/>
          </w:tcPr>
          <w:p w14:paraId="447F26AF"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1.30</w:t>
            </w:r>
          </w:p>
        </w:tc>
        <w:tc>
          <w:tcPr>
            <w:tcW w:w="0" w:type="pct"/>
            <w:shd w:val="clear" w:color="auto" w:fill="EAF1DD"/>
            <w:noWrap/>
            <w:hideMark/>
          </w:tcPr>
          <w:p w14:paraId="5CFBD52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3.11</w:t>
            </w:r>
          </w:p>
        </w:tc>
      </w:tr>
      <w:tr w:rsidR="00D83F43" w:rsidRPr="003516DC" w14:paraId="2A9E9F7C" w14:textId="77777777" w:rsidTr="00964831">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67FDF508" w14:textId="4C51624D" w:rsidR="00D83F43" w:rsidRPr="003516DC" w:rsidRDefault="00D83F43" w:rsidP="00964831">
            <w:pPr>
              <w:rPr>
                <w:rFonts w:ascii="Arial" w:hAnsi="Arial" w:cs="Arial"/>
                <w:b/>
                <w:bCs/>
                <w:sz w:val="20"/>
              </w:rPr>
            </w:pPr>
            <w:r w:rsidRPr="003516DC">
              <w:rPr>
                <w:rFonts w:ascii="Arial" w:hAnsi="Arial" w:cs="Arial"/>
                <w:b/>
                <w:bCs/>
                <w:sz w:val="20"/>
              </w:rPr>
              <w:t xml:space="preserve">RO224 - </w:t>
            </w:r>
            <w:r w:rsidR="003751DC">
              <w:rPr>
                <w:rFonts w:ascii="Arial" w:hAnsi="Arial" w:cs="Arial"/>
                <w:b/>
                <w:bCs/>
                <w:sz w:val="20"/>
              </w:rPr>
              <w:t>Galați</w:t>
            </w:r>
            <w:r w:rsidRPr="003516DC">
              <w:rPr>
                <w:rFonts w:ascii="Arial" w:hAnsi="Arial" w:cs="Arial"/>
                <w:b/>
                <w:bCs/>
                <w:sz w:val="20"/>
              </w:rPr>
              <w:t xml:space="preserve"> County</w:t>
            </w:r>
          </w:p>
        </w:tc>
        <w:tc>
          <w:tcPr>
            <w:tcW w:w="0" w:type="pct"/>
            <w:noWrap/>
            <w:vAlign w:val="bottom"/>
            <w:hideMark/>
          </w:tcPr>
          <w:p w14:paraId="14AE116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p>
        </w:tc>
        <w:tc>
          <w:tcPr>
            <w:tcW w:w="0" w:type="pct"/>
            <w:shd w:val="clear" w:color="auto" w:fill="auto"/>
            <w:noWrap/>
            <w:vAlign w:val="bottom"/>
            <w:hideMark/>
          </w:tcPr>
          <w:p w14:paraId="74DF03B8"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09C9F7E0"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2259126B"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hideMark/>
          </w:tcPr>
          <w:p w14:paraId="4E245974"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2.59</w:t>
            </w:r>
          </w:p>
        </w:tc>
        <w:tc>
          <w:tcPr>
            <w:tcW w:w="0" w:type="pct"/>
            <w:shd w:val="clear" w:color="auto" w:fill="C2D69B"/>
            <w:noWrap/>
            <w:hideMark/>
          </w:tcPr>
          <w:p w14:paraId="63889506"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6.29</w:t>
            </w:r>
          </w:p>
        </w:tc>
      </w:tr>
      <w:tr w:rsidR="00D83F43" w:rsidRPr="003516DC" w14:paraId="586E9E66"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2437070C" w14:textId="77777777" w:rsidR="00D83F43" w:rsidRPr="003516DC" w:rsidRDefault="00D83F43" w:rsidP="00964831">
            <w:pPr>
              <w:rPr>
                <w:rFonts w:ascii="Arial" w:hAnsi="Arial" w:cs="Arial"/>
                <w:sz w:val="20"/>
              </w:rPr>
            </w:pPr>
            <w:r w:rsidRPr="003516DC">
              <w:rPr>
                <w:rFonts w:ascii="Arial" w:hAnsi="Arial" w:cs="Arial"/>
                <w:sz w:val="20"/>
              </w:rPr>
              <w:lastRenderedPageBreak/>
              <w:t>SME investments</w:t>
            </w:r>
          </w:p>
        </w:tc>
        <w:tc>
          <w:tcPr>
            <w:tcW w:w="0" w:type="pct"/>
            <w:noWrap/>
            <w:hideMark/>
          </w:tcPr>
          <w:p w14:paraId="6E161373"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2.52</w:t>
            </w:r>
          </w:p>
        </w:tc>
        <w:tc>
          <w:tcPr>
            <w:tcW w:w="0" w:type="pct"/>
            <w:shd w:val="clear" w:color="auto" w:fill="D6E3BC"/>
            <w:noWrap/>
            <w:hideMark/>
          </w:tcPr>
          <w:p w14:paraId="5FF5168A"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6.27</w:t>
            </w:r>
          </w:p>
        </w:tc>
      </w:tr>
      <w:tr w:rsidR="00D83F43" w:rsidRPr="003516DC" w14:paraId="4EE92046"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26BF88F8"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hideMark/>
          </w:tcPr>
          <w:p w14:paraId="1CF66ABD"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1.57</w:t>
            </w:r>
          </w:p>
        </w:tc>
        <w:tc>
          <w:tcPr>
            <w:tcW w:w="0" w:type="pct"/>
            <w:shd w:val="clear" w:color="auto" w:fill="EAF1DD"/>
            <w:noWrap/>
            <w:hideMark/>
          </w:tcPr>
          <w:p w14:paraId="34698391"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3.76</w:t>
            </w:r>
          </w:p>
        </w:tc>
      </w:tr>
      <w:tr w:rsidR="00D83F43" w:rsidRPr="003516DC" w14:paraId="0D74C01E"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60880C06" w14:textId="77777777" w:rsidR="00D83F43" w:rsidRPr="003516DC" w:rsidRDefault="00D83F43" w:rsidP="00964831">
            <w:pPr>
              <w:rPr>
                <w:rFonts w:ascii="Arial" w:hAnsi="Arial" w:cs="Arial"/>
                <w:sz w:val="20"/>
              </w:rPr>
            </w:pPr>
            <w:r w:rsidRPr="003516DC">
              <w:rPr>
                <w:rFonts w:ascii="Arial" w:hAnsi="Arial" w:cs="Arial"/>
                <w:b/>
                <w:bCs/>
                <w:sz w:val="20"/>
              </w:rPr>
              <w:t>RO316 - Prahova County</w:t>
            </w:r>
          </w:p>
        </w:tc>
        <w:tc>
          <w:tcPr>
            <w:tcW w:w="0" w:type="pct"/>
            <w:noWrap/>
            <w:vAlign w:val="bottom"/>
          </w:tcPr>
          <w:p w14:paraId="5E421FEA"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0" w:type="pct"/>
            <w:shd w:val="clear" w:color="auto" w:fill="auto"/>
            <w:noWrap/>
            <w:vAlign w:val="bottom"/>
          </w:tcPr>
          <w:p w14:paraId="29CF36C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21DBDCC5"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52FAFA3E"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tcPr>
          <w:p w14:paraId="015EF0F9"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2.31</w:t>
            </w:r>
          </w:p>
        </w:tc>
        <w:tc>
          <w:tcPr>
            <w:tcW w:w="0" w:type="pct"/>
            <w:shd w:val="clear" w:color="auto" w:fill="C2D69B"/>
            <w:noWrap/>
          </w:tcPr>
          <w:p w14:paraId="324F28C5"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5.61</w:t>
            </w:r>
          </w:p>
        </w:tc>
      </w:tr>
      <w:tr w:rsidR="00D83F43" w:rsidRPr="003516DC" w14:paraId="2D01B34C"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0AB13053"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0" w:type="pct"/>
            <w:noWrap/>
          </w:tcPr>
          <w:p w14:paraId="4A97853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2.26</w:t>
            </w:r>
          </w:p>
        </w:tc>
        <w:tc>
          <w:tcPr>
            <w:tcW w:w="0" w:type="pct"/>
            <w:shd w:val="clear" w:color="auto" w:fill="C2D69B"/>
            <w:noWrap/>
          </w:tcPr>
          <w:p w14:paraId="31DE020E"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5.61</w:t>
            </w:r>
          </w:p>
        </w:tc>
      </w:tr>
      <w:tr w:rsidR="00D83F43" w:rsidRPr="003516DC" w14:paraId="0ACD598E"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354826C7"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tcPr>
          <w:p w14:paraId="2C0474AA"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0.07</w:t>
            </w:r>
          </w:p>
        </w:tc>
        <w:tc>
          <w:tcPr>
            <w:tcW w:w="0" w:type="pct"/>
            <w:shd w:val="clear" w:color="auto" w:fill="EAF1DD"/>
            <w:noWrap/>
          </w:tcPr>
          <w:p w14:paraId="41FC6577"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0.28</w:t>
            </w:r>
          </w:p>
        </w:tc>
      </w:tr>
      <w:tr w:rsidR="00D83F43" w:rsidRPr="003516DC" w14:paraId="0E3DE14C"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02F14F77" w14:textId="77777777" w:rsidR="00D83F43" w:rsidRPr="003516DC" w:rsidRDefault="00D83F43" w:rsidP="00964831">
            <w:pPr>
              <w:rPr>
                <w:rFonts w:ascii="Arial" w:hAnsi="Arial" w:cs="Arial"/>
                <w:sz w:val="20"/>
              </w:rPr>
            </w:pPr>
            <w:r w:rsidRPr="003516DC">
              <w:rPr>
                <w:rFonts w:ascii="Arial" w:hAnsi="Arial" w:cs="Arial"/>
                <w:b/>
                <w:bCs/>
                <w:sz w:val="20"/>
              </w:rPr>
              <w:t>RO411 - Dolj County</w:t>
            </w:r>
          </w:p>
        </w:tc>
        <w:tc>
          <w:tcPr>
            <w:tcW w:w="0" w:type="pct"/>
            <w:noWrap/>
            <w:vAlign w:val="bottom"/>
          </w:tcPr>
          <w:p w14:paraId="7E82488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0" w:type="pct"/>
            <w:shd w:val="clear" w:color="auto" w:fill="auto"/>
            <w:noWrap/>
            <w:vAlign w:val="bottom"/>
          </w:tcPr>
          <w:p w14:paraId="6724EA50"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41D86D7C"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76F8D91A"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tcPr>
          <w:p w14:paraId="43ADB90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2.96</w:t>
            </w:r>
          </w:p>
        </w:tc>
        <w:tc>
          <w:tcPr>
            <w:tcW w:w="0" w:type="pct"/>
            <w:shd w:val="clear" w:color="auto" w:fill="C2D69B"/>
            <w:noWrap/>
          </w:tcPr>
          <w:p w14:paraId="7A9F06E5"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7.21</w:t>
            </w:r>
          </w:p>
        </w:tc>
      </w:tr>
      <w:tr w:rsidR="00D83F43" w:rsidRPr="003516DC" w14:paraId="644CE20A"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26ED1646"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0" w:type="pct"/>
            <w:noWrap/>
          </w:tcPr>
          <w:p w14:paraId="707C484E"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2.50</w:t>
            </w:r>
          </w:p>
        </w:tc>
        <w:tc>
          <w:tcPr>
            <w:tcW w:w="0" w:type="pct"/>
            <w:shd w:val="clear" w:color="auto" w:fill="D6E3BC"/>
            <w:noWrap/>
          </w:tcPr>
          <w:p w14:paraId="6AEEC01C"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6.25</w:t>
            </w:r>
          </w:p>
        </w:tc>
      </w:tr>
      <w:tr w:rsidR="00D83F43" w:rsidRPr="003516DC" w14:paraId="52FFB8D5"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74887AD0"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tcPr>
          <w:p w14:paraId="32DC6DF5"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1.53</w:t>
            </w:r>
          </w:p>
        </w:tc>
        <w:tc>
          <w:tcPr>
            <w:tcW w:w="0" w:type="pct"/>
            <w:shd w:val="clear" w:color="auto" w:fill="EAF1DD"/>
            <w:noWrap/>
          </w:tcPr>
          <w:p w14:paraId="4D73152A"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3.94</w:t>
            </w:r>
          </w:p>
        </w:tc>
      </w:tr>
      <w:tr w:rsidR="00D83F43" w:rsidRPr="003516DC" w14:paraId="5E442FCB"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3762B5A5" w14:textId="77777777" w:rsidR="00D83F43" w:rsidRPr="003516DC" w:rsidRDefault="00D83F43" w:rsidP="00964831">
            <w:pPr>
              <w:rPr>
                <w:rFonts w:ascii="Arial" w:hAnsi="Arial" w:cs="Arial"/>
                <w:sz w:val="20"/>
              </w:rPr>
            </w:pPr>
            <w:r w:rsidRPr="003516DC">
              <w:rPr>
                <w:rFonts w:ascii="Arial" w:hAnsi="Arial" w:cs="Arial"/>
                <w:b/>
                <w:bCs/>
                <w:sz w:val="20"/>
              </w:rPr>
              <w:t>RO412 - Gorj County</w:t>
            </w:r>
          </w:p>
        </w:tc>
        <w:tc>
          <w:tcPr>
            <w:tcW w:w="0" w:type="pct"/>
            <w:noWrap/>
            <w:vAlign w:val="bottom"/>
          </w:tcPr>
          <w:p w14:paraId="60DF54D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0" w:type="pct"/>
            <w:shd w:val="clear" w:color="auto" w:fill="auto"/>
            <w:noWrap/>
            <w:vAlign w:val="bottom"/>
          </w:tcPr>
          <w:p w14:paraId="72C72E32"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041FF015"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78EA73DB"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tcPr>
          <w:p w14:paraId="556B9517"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3.19</w:t>
            </w:r>
          </w:p>
        </w:tc>
        <w:tc>
          <w:tcPr>
            <w:tcW w:w="0" w:type="pct"/>
            <w:shd w:val="clear" w:color="auto" w:fill="C2D69B"/>
            <w:noWrap/>
          </w:tcPr>
          <w:p w14:paraId="1B43690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7.78</w:t>
            </w:r>
          </w:p>
        </w:tc>
      </w:tr>
      <w:tr w:rsidR="00D83F43" w:rsidRPr="003516DC" w14:paraId="32962189"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584A0941"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0" w:type="pct"/>
            <w:noWrap/>
          </w:tcPr>
          <w:p w14:paraId="2B51E239"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2.58</w:t>
            </w:r>
          </w:p>
        </w:tc>
        <w:tc>
          <w:tcPr>
            <w:tcW w:w="0" w:type="pct"/>
            <w:shd w:val="clear" w:color="auto" w:fill="D6E3BC"/>
            <w:noWrap/>
          </w:tcPr>
          <w:p w14:paraId="7F6075DA"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6.45</w:t>
            </w:r>
          </w:p>
        </w:tc>
      </w:tr>
      <w:tr w:rsidR="00D83F43" w:rsidRPr="003516DC" w14:paraId="6E0A3BDF"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tcPr>
          <w:p w14:paraId="449149A1"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tcPr>
          <w:p w14:paraId="14C27C8F"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1.92</w:t>
            </w:r>
          </w:p>
        </w:tc>
        <w:tc>
          <w:tcPr>
            <w:tcW w:w="0" w:type="pct"/>
            <w:shd w:val="clear" w:color="auto" w:fill="EAF1DD"/>
            <w:noWrap/>
          </w:tcPr>
          <w:p w14:paraId="04312FFA"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4.95</w:t>
            </w:r>
          </w:p>
        </w:tc>
      </w:tr>
      <w:tr w:rsidR="00D83F43" w:rsidRPr="003516DC" w14:paraId="75305B9F" w14:textId="77777777" w:rsidTr="00964831">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19A7C0BE" w14:textId="77777777" w:rsidR="00D83F43" w:rsidRPr="003516DC" w:rsidRDefault="00D83F43" w:rsidP="00964831">
            <w:pPr>
              <w:rPr>
                <w:rFonts w:ascii="Arial" w:hAnsi="Arial" w:cs="Arial"/>
                <w:b/>
                <w:bCs/>
                <w:sz w:val="20"/>
              </w:rPr>
            </w:pPr>
            <w:r w:rsidRPr="003516DC">
              <w:rPr>
                <w:rFonts w:ascii="Arial" w:hAnsi="Arial" w:cs="Arial"/>
                <w:b/>
                <w:bCs/>
                <w:sz w:val="20"/>
              </w:rPr>
              <w:t>RO423 - Hunedoara County</w:t>
            </w:r>
          </w:p>
        </w:tc>
        <w:tc>
          <w:tcPr>
            <w:tcW w:w="0" w:type="pct"/>
            <w:noWrap/>
            <w:vAlign w:val="bottom"/>
            <w:hideMark/>
          </w:tcPr>
          <w:p w14:paraId="5399EDB2"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p>
        </w:tc>
        <w:tc>
          <w:tcPr>
            <w:tcW w:w="0" w:type="pct"/>
            <w:shd w:val="clear" w:color="auto" w:fill="auto"/>
            <w:noWrap/>
            <w:vAlign w:val="bottom"/>
            <w:hideMark/>
          </w:tcPr>
          <w:p w14:paraId="5340BA1A"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sz w:val="20"/>
              </w:rPr>
            </w:pPr>
          </w:p>
        </w:tc>
      </w:tr>
      <w:tr w:rsidR="00D83F43" w:rsidRPr="003516DC" w14:paraId="75CF2337"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5B37DD58"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0" w:type="pct"/>
            <w:noWrap/>
            <w:hideMark/>
          </w:tcPr>
          <w:p w14:paraId="0933591B" w14:textId="17657B23"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highlight w:val="yellow"/>
              </w:rPr>
            </w:pPr>
            <w:r w:rsidRPr="003516DC">
              <w:rPr>
                <w:rFonts w:ascii="Arial" w:hAnsi="Arial" w:cs="Arial"/>
                <w:sz w:val="20"/>
              </w:rPr>
              <w:t>2.</w:t>
            </w:r>
            <w:r w:rsidR="005319A3">
              <w:rPr>
                <w:rFonts w:ascii="Arial" w:hAnsi="Arial" w:cs="Arial"/>
                <w:sz w:val="20"/>
              </w:rPr>
              <w:t>4</w:t>
            </w:r>
            <w:r w:rsidRPr="003516DC">
              <w:rPr>
                <w:rFonts w:ascii="Arial" w:hAnsi="Arial" w:cs="Arial"/>
                <w:sz w:val="20"/>
              </w:rPr>
              <w:t>1</w:t>
            </w:r>
          </w:p>
        </w:tc>
        <w:tc>
          <w:tcPr>
            <w:tcW w:w="0" w:type="pct"/>
            <w:shd w:val="clear" w:color="auto" w:fill="C2D69B"/>
            <w:noWrap/>
            <w:hideMark/>
          </w:tcPr>
          <w:p w14:paraId="11EE1603" w14:textId="2B319940"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highlight w:val="yellow"/>
              </w:rPr>
            </w:pPr>
            <w:r w:rsidRPr="003516DC">
              <w:rPr>
                <w:rFonts w:ascii="Arial" w:hAnsi="Arial" w:cs="Arial"/>
                <w:sz w:val="20"/>
              </w:rPr>
              <w:t>5.</w:t>
            </w:r>
            <w:r w:rsidR="005319A3">
              <w:rPr>
                <w:rFonts w:ascii="Arial" w:hAnsi="Arial" w:cs="Arial"/>
                <w:sz w:val="20"/>
              </w:rPr>
              <w:t>88</w:t>
            </w:r>
          </w:p>
        </w:tc>
      </w:tr>
      <w:tr w:rsidR="00D83F43" w:rsidRPr="003516DC" w14:paraId="21785B70" w14:textId="77777777" w:rsidTr="00964831">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2686E2AD"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0" w:type="pct"/>
            <w:noWrap/>
            <w:hideMark/>
          </w:tcPr>
          <w:p w14:paraId="1FB2DDB1" w14:textId="28D0FFAF"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highlight w:val="yellow"/>
              </w:rPr>
            </w:pPr>
            <w:r w:rsidRPr="003516DC">
              <w:rPr>
                <w:rFonts w:ascii="Arial" w:hAnsi="Arial" w:cs="Arial"/>
                <w:sz w:val="20"/>
              </w:rPr>
              <w:t>2.</w:t>
            </w:r>
            <w:r w:rsidR="005319A3">
              <w:rPr>
                <w:rFonts w:ascii="Arial" w:hAnsi="Arial" w:cs="Arial"/>
                <w:sz w:val="20"/>
              </w:rPr>
              <w:t>26</w:t>
            </w:r>
          </w:p>
        </w:tc>
        <w:tc>
          <w:tcPr>
            <w:tcW w:w="0" w:type="pct"/>
            <w:shd w:val="clear" w:color="auto" w:fill="D6E3BC"/>
            <w:noWrap/>
            <w:hideMark/>
          </w:tcPr>
          <w:p w14:paraId="2BEF96C9" w14:textId="74EDAD15"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highlight w:val="yellow"/>
              </w:rPr>
            </w:pPr>
            <w:r w:rsidRPr="003516DC">
              <w:rPr>
                <w:rFonts w:ascii="Arial" w:hAnsi="Arial" w:cs="Arial"/>
                <w:sz w:val="20"/>
              </w:rPr>
              <w:t>5.</w:t>
            </w:r>
            <w:r w:rsidR="005319A3">
              <w:rPr>
                <w:rFonts w:ascii="Arial" w:hAnsi="Arial" w:cs="Arial"/>
                <w:sz w:val="20"/>
              </w:rPr>
              <w:t>63</w:t>
            </w:r>
          </w:p>
        </w:tc>
      </w:tr>
      <w:tr w:rsidR="00D83F43" w:rsidRPr="003516DC" w14:paraId="5B0BF341" w14:textId="77777777" w:rsidTr="00964831">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0" w:type="pct"/>
            <w:noWrap/>
            <w:vAlign w:val="bottom"/>
            <w:hideMark/>
          </w:tcPr>
          <w:p w14:paraId="215896EE"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0" w:type="pct"/>
            <w:noWrap/>
            <w:hideMark/>
          </w:tcPr>
          <w:p w14:paraId="5EA2E7A0" w14:textId="5D15F24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highlight w:val="yellow"/>
              </w:rPr>
            </w:pPr>
            <w:r w:rsidRPr="003516DC">
              <w:rPr>
                <w:rFonts w:ascii="Arial" w:hAnsi="Arial" w:cs="Arial"/>
                <w:sz w:val="20"/>
              </w:rPr>
              <w:t>1.</w:t>
            </w:r>
            <w:r w:rsidR="005319A3">
              <w:rPr>
                <w:rFonts w:ascii="Arial" w:hAnsi="Arial" w:cs="Arial"/>
                <w:sz w:val="20"/>
              </w:rPr>
              <w:t>6</w:t>
            </w:r>
            <w:r w:rsidRPr="003516DC">
              <w:rPr>
                <w:rFonts w:ascii="Arial" w:hAnsi="Arial" w:cs="Arial"/>
                <w:sz w:val="20"/>
              </w:rPr>
              <w:t>6</w:t>
            </w:r>
          </w:p>
        </w:tc>
        <w:tc>
          <w:tcPr>
            <w:tcW w:w="0" w:type="pct"/>
            <w:shd w:val="clear" w:color="auto" w:fill="EAF1DD"/>
            <w:noWrap/>
            <w:hideMark/>
          </w:tcPr>
          <w:p w14:paraId="2A9CC3B0" w14:textId="2DFC88C0" w:rsidR="00D83F43" w:rsidRPr="003516DC" w:rsidRDefault="005319A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highlight w:val="yellow"/>
              </w:rPr>
            </w:pPr>
            <w:r>
              <w:rPr>
                <w:rFonts w:ascii="Arial" w:hAnsi="Arial" w:cs="Arial"/>
                <w:sz w:val="20"/>
              </w:rPr>
              <w:t>4.12</w:t>
            </w:r>
          </w:p>
        </w:tc>
      </w:tr>
    </w:tbl>
    <w:p w14:paraId="1F1697AD" w14:textId="660F7852" w:rsidR="00D83F43" w:rsidRPr="006C46E5" w:rsidRDefault="00D83F43" w:rsidP="006C46E5">
      <w:pPr>
        <w:spacing w:before="120" w:after="120"/>
        <w:jc w:val="both"/>
        <w:rPr>
          <w:rFonts w:ascii="Arial" w:hAnsi="Arial" w:cs="Arial"/>
          <w:sz w:val="20"/>
          <w:szCs w:val="20"/>
        </w:rPr>
      </w:pPr>
      <w:r w:rsidRPr="003516DC">
        <w:rPr>
          <w:rFonts w:ascii="Arial" w:hAnsi="Arial" w:cs="Arial"/>
          <w:sz w:val="20"/>
          <w:szCs w:val="20"/>
        </w:rPr>
        <w:t>Finally, the circular economy illustrative action yields smaller GVA impacts, in the range of 0.3-5.0 by 2030. It is important to note that the Circular case is the only one that has an explicit negative consumption assumption, reducing final consumption of the manufacturing and the retail sectors. Nevertheless, the action has overall positive multipliers, largely thanks to productivity increases and growth in the recycling and waste management sector. The long-term multiplier is particularly low in Prahova, because both the manufacturing and the retail is highly developed in the county (accounting for 51% of GVA in the region). In contrast, Gorj county has a large positive multiplier (4.95), because of a relatively small manufacturing and retail sector (30% of GVA in the region) and developments in the utilities sector. However, the result for Gorj should be treated with caution, because as we discussed earlier the BDE sector (which includes recycling, utilities) also includes power generation, therefore the positive impacts in Gorj (where power generation has a high share, 27% of GVA) are potentially inflated.</w:t>
      </w:r>
    </w:p>
    <w:p w14:paraId="72FF11FC" w14:textId="7A87CBCF" w:rsidR="00D83F43" w:rsidRPr="003516DC" w:rsidRDefault="00D83F43" w:rsidP="006C46E5">
      <w:pPr>
        <w:spacing w:after="120"/>
        <w:jc w:val="both"/>
        <w:rPr>
          <w:rFonts w:ascii="Arial" w:hAnsi="Arial" w:cs="Arial"/>
          <w:i/>
          <w:iCs/>
          <w:color w:val="0070C0"/>
          <w:sz w:val="20"/>
          <w:szCs w:val="20"/>
        </w:rPr>
      </w:pPr>
      <w:r w:rsidRPr="003516DC">
        <w:rPr>
          <w:rFonts w:ascii="Arial" w:hAnsi="Arial" w:cs="Arial"/>
          <w:i/>
          <w:iCs/>
          <w:color w:val="0070C0"/>
          <w:sz w:val="20"/>
          <w:szCs w:val="20"/>
        </w:rPr>
        <w:t>Employment multipliers</w:t>
      </w:r>
    </w:p>
    <w:p w14:paraId="3E61EF07" w14:textId="57A3B04F" w:rsidR="00D83F43" w:rsidRPr="003516DC" w:rsidRDefault="00D83F43" w:rsidP="006C46E5">
      <w:pPr>
        <w:spacing w:after="120"/>
        <w:jc w:val="both"/>
        <w:rPr>
          <w:rFonts w:ascii="Arial" w:hAnsi="Arial" w:cs="Arial"/>
          <w:sz w:val="20"/>
          <w:szCs w:val="20"/>
        </w:rPr>
      </w:pPr>
      <w:r w:rsidRPr="003516DC">
        <w:rPr>
          <w:rFonts w:ascii="Arial" w:hAnsi="Arial" w:cs="Arial"/>
          <w:sz w:val="20"/>
          <w:szCs w:val="20"/>
        </w:rPr>
        <w:t xml:space="preserve">Contrary to the GVA results, the long-term employment generation potential is in certain counties larger in the case of SME investments, where the cost of creating a full-time equivalent (year) job is in certain cases below 5 thousand EUR (in Galați). Nevertheless, R&amp;D investment is also expected to yield the highest employment benefits out of the illustrative actions in Prahova, Dolj and Gorj counties. Table </w:t>
      </w:r>
      <w:r w:rsidR="001C68D2">
        <w:rPr>
          <w:rFonts w:ascii="Arial" w:hAnsi="Arial" w:cs="Arial"/>
          <w:sz w:val="20"/>
          <w:szCs w:val="20"/>
        </w:rPr>
        <w:t>20</w:t>
      </w:r>
      <w:r w:rsidR="001C68D2" w:rsidRPr="003516DC">
        <w:rPr>
          <w:rFonts w:ascii="Arial" w:hAnsi="Arial" w:cs="Arial"/>
          <w:sz w:val="20"/>
          <w:szCs w:val="20"/>
        </w:rPr>
        <w:t xml:space="preserve"> </w:t>
      </w:r>
      <w:r w:rsidRPr="003516DC">
        <w:rPr>
          <w:rFonts w:ascii="Arial" w:hAnsi="Arial" w:cs="Arial"/>
          <w:sz w:val="20"/>
          <w:szCs w:val="20"/>
        </w:rPr>
        <w:t xml:space="preserve">presents the results in terms described at the beginning of the section (cost of net employment creation per FTE-year). </w:t>
      </w:r>
    </w:p>
    <w:p w14:paraId="4E1BAA65" w14:textId="3DAF9AC5" w:rsidR="00D83F43" w:rsidRPr="001C7238" w:rsidRDefault="00D83F43" w:rsidP="001C7238">
      <w:pPr>
        <w:pStyle w:val="Caption"/>
        <w:ind w:left="990" w:hanging="990"/>
      </w:pPr>
      <w:bookmarkStart w:id="99" w:name="_Toc90725974"/>
      <w:bookmarkStart w:id="100" w:name="_Toc90727271"/>
      <w:r w:rsidRPr="003516DC">
        <w:t xml:space="preserve">Table </w:t>
      </w:r>
      <w:r w:rsidRPr="001C7238">
        <w:fldChar w:fldCharType="begin"/>
      </w:r>
      <w:r w:rsidRPr="003516DC">
        <w:instrText xml:space="preserve"> SEQ Table \* ARABIC </w:instrText>
      </w:r>
      <w:r w:rsidRPr="001C7238">
        <w:fldChar w:fldCharType="separate"/>
      </w:r>
      <w:r w:rsidR="004E2DCB">
        <w:rPr>
          <w:noProof/>
        </w:rPr>
        <w:t>20</w:t>
      </w:r>
      <w:r w:rsidRPr="001C7238">
        <w:fldChar w:fldCharType="end"/>
      </w:r>
      <w:r w:rsidRPr="003516DC">
        <w:t>: Summary of the employment multipliers by region under the three selected illustrative actions</w:t>
      </w:r>
      <w:bookmarkEnd w:id="99"/>
      <w:bookmarkEnd w:id="100"/>
    </w:p>
    <w:tbl>
      <w:tblPr>
        <w:tblStyle w:val="CEnumberstable"/>
        <w:tblW w:w="5000" w:type="pct"/>
        <w:tblLook w:val="04A0" w:firstRow="1" w:lastRow="0" w:firstColumn="1" w:lastColumn="0" w:noHBand="0" w:noVBand="1"/>
      </w:tblPr>
      <w:tblGrid>
        <w:gridCol w:w="3326"/>
        <w:gridCol w:w="2880"/>
        <w:gridCol w:w="2723"/>
      </w:tblGrid>
      <w:tr w:rsidR="00D83F43" w:rsidRPr="003516DC" w14:paraId="6C24D3E7" w14:textId="77777777" w:rsidTr="00CF1AD9">
        <w:trPr>
          <w:cnfStyle w:val="100000000000" w:firstRow="1" w:lastRow="0" w:firstColumn="0" w:lastColumn="0" w:oddVBand="0" w:evenVBand="0" w:oddHBand="0" w:evenHBand="0" w:firstRowFirstColumn="0" w:firstRowLastColumn="0" w:lastRowFirstColumn="0" w:lastRowLastColumn="0"/>
          <w:trHeight w:val="551"/>
          <w:tblHeader/>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1664D024" w14:textId="77777777" w:rsidR="00D83F43" w:rsidRPr="003516DC" w:rsidRDefault="00D83F43" w:rsidP="00964831">
            <w:pPr>
              <w:rPr>
                <w:rFonts w:ascii="Arial" w:hAnsi="Arial" w:cs="Arial"/>
              </w:rPr>
            </w:pPr>
          </w:p>
        </w:tc>
        <w:tc>
          <w:tcPr>
            <w:tcW w:w="1613" w:type="pct"/>
            <w:hideMark/>
          </w:tcPr>
          <w:p w14:paraId="3491BAB0" w14:textId="77777777" w:rsidR="00D83F43" w:rsidRPr="003516DC" w:rsidRDefault="00D83F43" w:rsidP="00964831">
            <w:pPr>
              <w:cnfStyle w:val="100000000000" w:firstRow="1" w:lastRow="0" w:firstColumn="0" w:lastColumn="0" w:oddVBand="0" w:evenVBand="0" w:oddHBand="0" w:evenHBand="0" w:firstRowFirstColumn="0" w:firstRowLastColumn="0" w:lastRowFirstColumn="0" w:lastRowLastColumn="0"/>
              <w:rPr>
                <w:rFonts w:ascii="Arial" w:hAnsi="Arial" w:cs="Arial"/>
                <w:b/>
                <w:bCs/>
                <w:sz w:val="20"/>
              </w:rPr>
            </w:pPr>
            <w:r w:rsidRPr="003516DC">
              <w:rPr>
                <w:rFonts w:ascii="Arial" w:hAnsi="Arial" w:cs="Arial"/>
                <w:b/>
                <w:bCs/>
                <w:sz w:val="20"/>
              </w:rPr>
              <w:t>Total job creation cost per FTE ('000 EUR) short-term (2025)</w:t>
            </w:r>
          </w:p>
        </w:tc>
        <w:tc>
          <w:tcPr>
            <w:tcW w:w="1525" w:type="pct"/>
            <w:hideMark/>
          </w:tcPr>
          <w:p w14:paraId="55B3C1F6" w14:textId="77777777" w:rsidR="00D83F43" w:rsidRPr="003516DC" w:rsidRDefault="00D83F43" w:rsidP="00964831">
            <w:pPr>
              <w:cnfStyle w:val="100000000000" w:firstRow="1" w:lastRow="0" w:firstColumn="0" w:lastColumn="0" w:oddVBand="0" w:evenVBand="0" w:oddHBand="0" w:evenHBand="0" w:firstRowFirstColumn="0" w:firstRowLastColumn="0" w:lastRowFirstColumn="0" w:lastRowLastColumn="0"/>
              <w:rPr>
                <w:rFonts w:ascii="Arial" w:hAnsi="Arial" w:cs="Arial"/>
                <w:b/>
                <w:bCs/>
                <w:sz w:val="20"/>
              </w:rPr>
            </w:pPr>
            <w:r w:rsidRPr="003516DC">
              <w:rPr>
                <w:rFonts w:ascii="Arial" w:hAnsi="Arial" w:cs="Arial"/>
                <w:b/>
                <w:bCs/>
                <w:sz w:val="20"/>
              </w:rPr>
              <w:t>Total job creation cost per FTE ('000 EUR) long-term (2030)</w:t>
            </w:r>
          </w:p>
        </w:tc>
      </w:tr>
      <w:tr w:rsidR="00D83F43" w:rsidRPr="003516DC" w14:paraId="16F05747" w14:textId="77777777" w:rsidTr="00402580">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5BE24771" w14:textId="77777777" w:rsidR="00D83F43" w:rsidRPr="003516DC" w:rsidRDefault="00D83F43" w:rsidP="00964831">
            <w:pPr>
              <w:rPr>
                <w:rFonts w:ascii="Arial" w:hAnsi="Arial" w:cs="Arial"/>
                <w:b/>
                <w:bCs/>
                <w:sz w:val="20"/>
              </w:rPr>
            </w:pPr>
            <w:r w:rsidRPr="003516DC">
              <w:rPr>
                <w:rFonts w:ascii="Arial" w:hAnsi="Arial" w:cs="Arial"/>
                <w:b/>
                <w:bCs/>
                <w:sz w:val="20"/>
              </w:rPr>
              <w:t>RO125 - Mureș County</w:t>
            </w:r>
          </w:p>
        </w:tc>
        <w:tc>
          <w:tcPr>
            <w:tcW w:w="1613" w:type="pct"/>
            <w:noWrap/>
            <w:vAlign w:val="bottom"/>
            <w:hideMark/>
          </w:tcPr>
          <w:p w14:paraId="12DBA41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p>
        </w:tc>
        <w:tc>
          <w:tcPr>
            <w:tcW w:w="1525" w:type="pct"/>
            <w:noWrap/>
            <w:vAlign w:val="bottom"/>
            <w:hideMark/>
          </w:tcPr>
          <w:p w14:paraId="0F324792"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sz w:val="20"/>
              </w:rPr>
            </w:pPr>
          </w:p>
        </w:tc>
      </w:tr>
      <w:tr w:rsidR="00D83F43" w:rsidRPr="003516DC" w14:paraId="4A63DAE0"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1D50EADA"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1613" w:type="pct"/>
            <w:noWrap/>
            <w:hideMark/>
          </w:tcPr>
          <w:p w14:paraId="444E7F8B"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15.89</w:t>
            </w:r>
          </w:p>
        </w:tc>
        <w:tc>
          <w:tcPr>
            <w:tcW w:w="1525" w:type="pct"/>
            <w:shd w:val="clear" w:color="auto" w:fill="D6E3BC"/>
            <w:noWrap/>
            <w:hideMark/>
          </w:tcPr>
          <w:p w14:paraId="127FC2E1"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6.72</w:t>
            </w:r>
          </w:p>
        </w:tc>
      </w:tr>
      <w:tr w:rsidR="00D83F43" w:rsidRPr="003516DC" w14:paraId="64CA588C" w14:textId="77777777" w:rsidTr="00402580">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73D0927F"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1613" w:type="pct"/>
            <w:noWrap/>
            <w:hideMark/>
          </w:tcPr>
          <w:p w14:paraId="23910B26"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14.07</w:t>
            </w:r>
          </w:p>
        </w:tc>
        <w:tc>
          <w:tcPr>
            <w:tcW w:w="1525" w:type="pct"/>
            <w:shd w:val="clear" w:color="auto" w:fill="C2D69B"/>
            <w:noWrap/>
            <w:hideMark/>
          </w:tcPr>
          <w:p w14:paraId="0E6571C5"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6.20</w:t>
            </w:r>
          </w:p>
        </w:tc>
      </w:tr>
      <w:tr w:rsidR="00D83F43" w:rsidRPr="003516DC" w14:paraId="7FB5B6D1"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41B3E5BA"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1613" w:type="pct"/>
            <w:noWrap/>
            <w:hideMark/>
          </w:tcPr>
          <w:p w14:paraId="2D80D581"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17.52</w:t>
            </w:r>
          </w:p>
        </w:tc>
        <w:tc>
          <w:tcPr>
            <w:tcW w:w="1525" w:type="pct"/>
            <w:shd w:val="clear" w:color="auto" w:fill="EAF1DD"/>
            <w:noWrap/>
            <w:hideMark/>
          </w:tcPr>
          <w:p w14:paraId="428B93E6"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7.59</w:t>
            </w:r>
          </w:p>
        </w:tc>
      </w:tr>
      <w:tr w:rsidR="00D83F43" w:rsidRPr="003516DC" w14:paraId="1B181B2B" w14:textId="77777777" w:rsidTr="00402580">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79336F13" w14:textId="3380A923" w:rsidR="00D83F43" w:rsidRPr="003516DC" w:rsidRDefault="00D83F43" w:rsidP="00964831">
            <w:pPr>
              <w:rPr>
                <w:rFonts w:ascii="Arial" w:hAnsi="Arial" w:cs="Arial"/>
                <w:b/>
                <w:bCs/>
                <w:sz w:val="20"/>
              </w:rPr>
            </w:pPr>
            <w:r w:rsidRPr="003516DC">
              <w:rPr>
                <w:rFonts w:ascii="Arial" w:hAnsi="Arial" w:cs="Arial"/>
                <w:b/>
                <w:bCs/>
                <w:sz w:val="20"/>
              </w:rPr>
              <w:t xml:space="preserve">RO224 - </w:t>
            </w:r>
            <w:r w:rsidR="003751DC">
              <w:rPr>
                <w:rFonts w:ascii="Arial" w:hAnsi="Arial" w:cs="Arial"/>
                <w:b/>
                <w:bCs/>
                <w:sz w:val="20"/>
              </w:rPr>
              <w:t>Galați</w:t>
            </w:r>
            <w:r w:rsidRPr="003516DC">
              <w:rPr>
                <w:rFonts w:ascii="Arial" w:hAnsi="Arial" w:cs="Arial"/>
                <w:b/>
                <w:bCs/>
                <w:sz w:val="20"/>
              </w:rPr>
              <w:t xml:space="preserve"> County</w:t>
            </w:r>
          </w:p>
        </w:tc>
        <w:tc>
          <w:tcPr>
            <w:tcW w:w="1613" w:type="pct"/>
            <w:noWrap/>
            <w:vAlign w:val="bottom"/>
            <w:hideMark/>
          </w:tcPr>
          <w:p w14:paraId="4539358C"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0"/>
              </w:rPr>
            </w:pPr>
          </w:p>
        </w:tc>
        <w:tc>
          <w:tcPr>
            <w:tcW w:w="1525" w:type="pct"/>
            <w:shd w:val="clear" w:color="auto" w:fill="auto"/>
            <w:noWrap/>
            <w:vAlign w:val="bottom"/>
            <w:hideMark/>
          </w:tcPr>
          <w:p w14:paraId="3EC80943"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2CE21D40"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06D71392"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1613" w:type="pct"/>
            <w:noWrap/>
          </w:tcPr>
          <w:p w14:paraId="04167E71"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14.96</w:t>
            </w:r>
          </w:p>
        </w:tc>
        <w:tc>
          <w:tcPr>
            <w:tcW w:w="1525" w:type="pct"/>
            <w:shd w:val="clear" w:color="auto" w:fill="D6E3BC"/>
            <w:noWrap/>
          </w:tcPr>
          <w:p w14:paraId="6DFD6394"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6.33</w:t>
            </w:r>
          </w:p>
        </w:tc>
      </w:tr>
      <w:tr w:rsidR="00D83F43" w:rsidRPr="003516DC" w14:paraId="72235DE6"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7988FD15"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1613" w:type="pct"/>
            <w:noWrap/>
          </w:tcPr>
          <w:p w14:paraId="176210D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11.14</w:t>
            </w:r>
          </w:p>
        </w:tc>
        <w:tc>
          <w:tcPr>
            <w:tcW w:w="1525" w:type="pct"/>
            <w:shd w:val="clear" w:color="auto" w:fill="C2D69B"/>
            <w:noWrap/>
          </w:tcPr>
          <w:p w14:paraId="282D6FB6"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4.88</w:t>
            </w:r>
          </w:p>
        </w:tc>
      </w:tr>
      <w:tr w:rsidR="00D83F43" w:rsidRPr="003516DC" w14:paraId="0B5FBEEC"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hideMark/>
          </w:tcPr>
          <w:p w14:paraId="51D63704" w14:textId="77777777" w:rsidR="00D83F43" w:rsidRPr="003516DC" w:rsidRDefault="00D83F43" w:rsidP="00964831">
            <w:pPr>
              <w:rPr>
                <w:rFonts w:ascii="Arial" w:hAnsi="Arial" w:cs="Arial"/>
                <w:sz w:val="20"/>
              </w:rPr>
            </w:pPr>
            <w:r w:rsidRPr="003516DC">
              <w:rPr>
                <w:rFonts w:ascii="Arial" w:hAnsi="Arial" w:cs="Arial"/>
                <w:sz w:val="20"/>
              </w:rPr>
              <w:lastRenderedPageBreak/>
              <w:t>Circular economy</w:t>
            </w:r>
          </w:p>
        </w:tc>
        <w:tc>
          <w:tcPr>
            <w:tcW w:w="1613" w:type="pct"/>
            <w:noWrap/>
          </w:tcPr>
          <w:p w14:paraId="2209750A"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17.57</w:t>
            </w:r>
          </w:p>
        </w:tc>
        <w:tc>
          <w:tcPr>
            <w:tcW w:w="1525" w:type="pct"/>
            <w:shd w:val="clear" w:color="auto" w:fill="EAF1DD"/>
            <w:noWrap/>
          </w:tcPr>
          <w:p w14:paraId="5FDBB947"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7.85</w:t>
            </w:r>
          </w:p>
        </w:tc>
      </w:tr>
      <w:tr w:rsidR="00D83F43" w:rsidRPr="003516DC" w14:paraId="7EA12B57"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732C2D50" w14:textId="77777777" w:rsidR="00D83F43" w:rsidRPr="003516DC" w:rsidRDefault="00D83F43" w:rsidP="00964831">
            <w:pPr>
              <w:rPr>
                <w:rFonts w:ascii="Arial" w:hAnsi="Arial" w:cs="Arial"/>
                <w:sz w:val="20"/>
              </w:rPr>
            </w:pPr>
            <w:r w:rsidRPr="003516DC">
              <w:rPr>
                <w:rFonts w:ascii="Arial" w:hAnsi="Arial" w:cs="Arial"/>
                <w:b/>
                <w:bCs/>
                <w:sz w:val="20"/>
              </w:rPr>
              <w:t>RO316- Prahova County</w:t>
            </w:r>
          </w:p>
        </w:tc>
        <w:tc>
          <w:tcPr>
            <w:tcW w:w="1613" w:type="pct"/>
            <w:noWrap/>
            <w:vAlign w:val="bottom"/>
          </w:tcPr>
          <w:p w14:paraId="00D33E2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1525" w:type="pct"/>
            <w:shd w:val="clear" w:color="auto" w:fill="auto"/>
            <w:noWrap/>
            <w:vAlign w:val="bottom"/>
          </w:tcPr>
          <w:p w14:paraId="4303AA18"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68CA3514"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08089EFF"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1613" w:type="pct"/>
            <w:noWrap/>
          </w:tcPr>
          <w:p w14:paraId="4DC84FD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19.27</w:t>
            </w:r>
          </w:p>
        </w:tc>
        <w:tc>
          <w:tcPr>
            <w:tcW w:w="1525" w:type="pct"/>
            <w:shd w:val="clear" w:color="auto" w:fill="C2D69B"/>
            <w:noWrap/>
          </w:tcPr>
          <w:p w14:paraId="18AABABA"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8.27</w:t>
            </w:r>
          </w:p>
        </w:tc>
      </w:tr>
      <w:tr w:rsidR="00D83F43" w:rsidRPr="003516DC" w14:paraId="54386A75"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3063335B"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1613" w:type="pct"/>
            <w:noWrap/>
          </w:tcPr>
          <w:p w14:paraId="68B603E5"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21.41</w:t>
            </w:r>
          </w:p>
        </w:tc>
        <w:tc>
          <w:tcPr>
            <w:tcW w:w="1525" w:type="pct"/>
            <w:shd w:val="clear" w:color="auto" w:fill="D6E3BC"/>
            <w:noWrap/>
          </w:tcPr>
          <w:p w14:paraId="29C0603A"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9.61</w:t>
            </w:r>
          </w:p>
        </w:tc>
      </w:tr>
      <w:tr w:rsidR="00D83F43" w:rsidRPr="003516DC" w14:paraId="174249B6"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1358FF18"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1613" w:type="pct"/>
            <w:noWrap/>
          </w:tcPr>
          <w:p w14:paraId="583F0778"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39.94</w:t>
            </w:r>
          </w:p>
        </w:tc>
        <w:tc>
          <w:tcPr>
            <w:tcW w:w="1525" w:type="pct"/>
            <w:shd w:val="clear" w:color="auto" w:fill="EAF1DD"/>
            <w:noWrap/>
          </w:tcPr>
          <w:p w14:paraId="050E78F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15.36</w:t>
            </w:r>
          </w:p>
        </w:tc>
      </w:tr>
      <w:tr w:rsidR="00D83F43" w:rsidRPr="003516DC" w14:paraId="4F8E362C"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65127945" w14:textId="77777777" w:rsidR="00D83F43" w:rsidRPr="003516DC" w:rsidRDefault="00D83F43" w:rsidP="00964831">
            <w:pPr>
              <w:rPr>
                <w:rFonts w:ascii="Arial" w:hAnsi="Arial" w:cs="Arial"/>
                <w:sz w:val="20"/>
              </w:rPr>
            </w:pPr>
            <w:r w:rsidRPr="003516DC">
              <w:rPr>
                <w:rFonts w:ascii="Arial" w:hAnsi="Arial" w:cs="Arial"/>
                <w:b/>
                <w:bCs/>
                <w:sz w:val="20"/>
              </w:rPr>
              <w:t>RO411 - Dolj County</w:t>
            </w:r>
          </w:p>
        </w:tc>
        <w:tc>
          <w:tcPr>
            <w:tcW w:w="1613" w:type="pct"/>
            <w:noWrap/>
            <w:vAlign w:val="bottom"/>
          </w:tcPr>
          <w:p w14:paraId="10C34813"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1525" w:type="pct"/>
            <w:shd w:val="clear" w:color="auto" w:fill="auto"/>
            <w:noWrap/>
            <w:vAlign w:val="bottom"/>
          </w:tcPr>
          <w:p w14:paraId="2EB0CBF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2C2C8256"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1DC11598"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1613" w:type="pct"/>
            <w:noWrap/>
          </w:tcPr>
          <w:p w14:paraId="1366395E"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16.36</w:t>
            </w:r>
          </w:p>
        </w:tc>
        <w:tc>
          <w:tcPr>
            <w:tcW w:w="1525" w:type="pct"/>
            <w:shd w:val="clear" w:color="auto" w:fill="C2D69B"/>
            <w:noWrap/>
          </w:tcPr>
          <w:p w14:paraId="53B39A1F"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7.01</w:t>
            </w:r>
          </w:p>
        </w:tc>
      </w:tr>
      <w:tr w:rsidR="00D83F43" w:rsidRPr="003516DC" w14:paraId="26DF99CC"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4290E65F"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1613" w:type="pct"/>
            <w:noWrap/>
          </w:tcPr>
          <w:p w14:paraId="4BE2AF24"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19.32</w:t>
            </w:r>
          </w:p>
        </w:tc>
        <w:tc>
          <w:tcPr>
            <w:tcW w:w="1525" w:type="pct"/>
            <w:shd w:val="clear" w:color="auto" w:fill="D6E3BC"/>
            <w:noWrap/>
          </w:tcPr>
          <w:p w14:paraId="5265CFBE"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8.53</w:t>
            </w:r>
          </w:p>
        </w:tc>
      </w:tr>
      <w:tr w:rsidR="00D83F43" w:rsidRPr="003516DC" w14:paraId="10EF2B26"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6B1BDE8E"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1613" w:type="pct"/>
            <w:noWrap/>
          </w:tcPr>
          <w:p w14:paraId="2735D750"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31.92</w:t>
            </w:r>
          </w:p>
        </w:tc>
        <w:tc>
          <w:tcPr>
            <w:tcW w:w="1525" w:type="pct"/>
            <w:shd w:val="clear" w:color="auto" w:fill="EAF1DD"/>
            <w:noWrap/>
          </w:tcPr>
          <w:p w14:paraId="5791D6ED"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13.68</w:t>
            </w:r>
          </w:p>
        </w:tc>
      </w:tr>
      <w:tr w:rsidR="00D83F43" w:rsidRPr="003516DC" w14:paraId="5F52758A"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42571D9B" w14:textId="77777777" w:rsidR="00D83F43" w:rsidRPr="003516DC" w:rsidRDefault="00D83F43" w:rsidP="00964831">
            <w:pPr>
              <w:rPr>
                <w:rFonts w:ascii="Arial" w:hAnsi="Arial" w:cs="Arial"/>
                <w:sz w:val="20"/>
              </w:rPr>
            </w:pPr>
            <w:r w:rsidRPr="003516DC">
              <w:rPr>
                <w:rFonts w:ascii="Arial" w:hAnsi="Arial" w:cs="Arial"/>
                <w:b/>
                <w:bCs/>
                <w:sz w:val="20"/>
              </w:rPr>
              <w:t>RO412 - Gorj County</w:t>
            </w:r>
          </w:p>
        </w:tc>
        <w:tc>
          <w:tcPr>
            <w:tcW w:w="1613" w:type="pct"/>
            <w:noWrap/>
            <w:vAlign w:val="bottom"/>
          </w:tcPr>
          <w:p w14:paraId="2317A41E"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c>
          <w:tcPr>
            <w:tcW w:w="1525" w:type="pct"/>
            <w:shd w:val="clear" w:color="auto" w:fill="auto"/>
            <w:noWrap/>
            <w:vAlign w:val="bottom"/>
          </w:tcPr>
          <w:p w14:paraId="5CFFE073"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p>
        </w:tc>
      </w:tr>
      <w:tr w:rsidR="00D83F43" w:rsidRPr="003516DC" w14:paraId="6C180F65"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79742032" w14:textId="77777777" w:rsidR="00D83F43" w:rsidRPr="003516DC" w:rsidRDefault="00D83F43" w:rsidP="00964831">
            <w:pPr>
              <w:rPr>
                <w:rFonts w:ascii="Arial" w:hAnsi="Arial" w:cs="Arial"/>
                <w:sz w:val="20"/>
              </w:rPr>
            </w:pPr>
            <w:r w:rsidRPr="003516DC">
              <w:rPr>
                <w:rFonts w:ascii="Arial" w:hAnsi="Arial" w:cs="Arial"/>
                <w:sz w:val="20"/>
              </w:rPr>
              <w:t>R&amp;D grants to business</w:t>
            </w:r>
          </w:p>
        </w:tc>
        <w:tc>
          <w:tcPr>
            <w:tcW w:w="1613" w:type="pct"/>
            <w:noWrap/>
          </w:tcPr>
          <w:p w14:paraId="77042209"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7.46</w:t>
            </w:r>
          </w:p>
        </w:tc>
        <w:tc>
          <w:tcPr>
            <w:tcW w:w="1525" w:type="pct"/>
            <w:shd w:val="clear" w:color="auto" w:fill="C2D69B"/>
            <w:noWrap/>
          </w:tcPr>
          <w:p w14:paraId="749AA77B"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3.13</w:t>
            </w:r>
          </w:p>
        </w:tc>
      </w:tr>
      <w:tr w:rsidR="00D83F43" w:rsidRPr="003516DC" w14:paraId="59EB9867"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72137D51" w14:textId="77777777" w:rsidR="00D83F43" w:rsidRPr="003516DC" w:rsidRDefault="00D83F43" w:rsidP="00964831">
            <w:pPr>
              <w:rPr>
                <w:rFonts w:ascii="Arial" w:hAnsi="Arial" w:cs="Arial"/>
                <w:sz w:val="20"/>
              </w:rPr>
            </w:pPr>
            <w:r w:rsidRPr="003516DC">
              <w:rPr>
                <w:rFonts w:ascii="Arial" w:hAnsi="Arial" w:cs="Arial"/>
                <w:sz w:val="20"/>
              </w:rPr>
              <w:t>SME investments</w:t>
            </w:r>
          </w:p>
        </w:tc>
        <w:tc>
          <w:tcPr>
            <w:tcW w:w="1613" w:type="pct"/>
            <w:noWrap/>
          </w:tcPr>
          <w:p w14:paraId="70BB6E5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16.29</w:t>
            </w:r>
          </w:p>
        </w:tc>
        <w:tc>
          <w:tcPr>
            <w:tcW w:w="1525" w:type="pct"/>
            <w:shd w:val="clear" w:color="auto" w:fill="D6E3BC"/>
            <w:noWrap/>
          </w:tcPr>
          <w:p w14:paraId="6185827B" w14:textId="77777777" w:rsidR="00D83F43" w:rsidRPr="003516DC" w:rsidRDefault="00D83F43" w:rsidP="00964831">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rPr>
            </w:pPr>
            <w:r w:rsidRPr="003516DC">
              <w:rPr>
                <w:rFonts w:ascii="Arial" w:hAnsi="Arial" w:cs="Arial"/>
                <w:sz w:val="20"/>
              </w:rPr>
              <w:t>6.89</w:t>
            </w:r>
          </w:p>
        </w:tc>
      </w:tr>
      <w:tr w:rsidR="00D83F43" w:rsidRPr="003516DC" w14:paraId="7E536FD7"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3E427A97" w14:textId="77777777" w:rsidR="00D83F43" w:rsidRPr="003516DC" w:rsidRDefault="00D83F43" w:rsidP="00964831">
            <w:pPr>
              <w:rPr>
                <w:rFonts w:ascii="Arial" w:hAnsi="Arial" w:cs="Arial"/>
                <w:sz w:val="20"/>
              </w:rPr>
            </w:pPr>
            <w:r w:rsidRPr="003516DC">
              <w:rPr>
                <w:rFonts w:ascii="Arial" w:hAnsi="Arial" w:cs="Arial"/>
                <w:sz w:val="20"/>
              </w:rPr>
              <w:t>Circular economy</w:t>
            </w:r>
          </w:p>
        </w:tc>
        <w:tc>
          <w:tcPr>
            <w:tcW w:w="1613" w:type="pct"/>
            <w:noWrap/>
          </w:tcPr>
          <w:p w14:paraId="1765BE29"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19.81</w:t>
            </w:r>
          </w:p>
        </w:tc>
        <w:tc>
          <w:tcPr>
            <w:tcW w:w="1525" w:type="pct"/>
            <w:shd w:val="clear" w:color="auto" w:fill="EAF1DD"/>
            <w:noWrap/>
          </w:tcPr>
          <w:p w14:paraId="353CF36D" w14:textId="77777777" w:rsidR="00D83F43" w:rsidRPr="003516DC" w:rsidRDefault="00D83F43" w:rsidP="00964831">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3516DC">
              <w:rPr>
                <w:rFonts w:ascii="Arial" w:hAnsi="Arial" w:cs="Arial"/>
                <w:sz w:val="20"/>
              </w:rPr>
              <w:t>8.22</w:t>
            </w:r>
          </w:p>
        </w:tc>
      </w:tr>
      <w:tr w:rsidR="005319A3" w:rsidRPr="003516DC" w14:paraId="378F3C34"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2EF498AD" w14:textId="2810850A" w:rsidR="005319A3" w:rsidRPr="003516DC" w:rsidRDefault="005319A3" w:rsidP="005319A3">
            <w:pPr>
              <w:rPr>
                <w:rFonts w:ascii="Arial" w:hAnsi="Arial" w:cs="Arial"/>
                <w:sz w:val="20"/>
              </w:rPr>
            </w:pPr>
            <w:r w:rsidRPr="003516DC">
              <w:rPr>
                <w:rFonts w:ascii="Arial" w:hAnsi="Arial" w:cs="Arial"/>
                <w:b/>
                <w:bCs/>
                <w:sz w:val="20"/>
              </w:rPr>
              <w:t>RO4</w:t>
            </w:r>
            <w:r>
              <w:rPr>
                <w:rFonts w:ascii="Arial" w:hAnsi="Arial" w:cs="Arial"/>
                <w:b/>
                <w:bCs/>
                <w:sz w:val="20"/>
              </w:rPr>
              <w:t>23</w:t>
            </w:r>
            <w:r w:rsidRPr="003516DC">
              <w:rPr>
                <w:rFonts w:ascii="Arial" w:hAnsi="Arial" w:cs="Arial"/>
                <w:b/>
                <w:bCs/>
                <w:sz w:val="20"/>
              </w:rPr>
              <w:t xml:space="preserve"> </w:t>
            </w:r>
            <w:r>
              <w:rPr>
                <w:rFonts w:ascii="Arial" w:hAnsi="Arial" w:cs="Arial"/>
                <w:b/>
                <w:bCs/>
                <w:sz w:val="20"/>
              </w:rPr>
              <w:t>–</w:t>
            </w:r>
            <w:r w:rsidRPr="003516DC">
              <w:rPr>
                <w:rFonts w:ascii="Arial" w:hAnsi="Arial" w:cs="Arial"/>
                <w:b/>
                <w:bCs/>
                <w:sz w:val="20"/>
              </w:rPr>
              <w:t xml:space="preserve"> </w:t>
            </w:r>
            <w:r>
              <w:rPr>
                <w:rFonts w:ascii="Arial" w:hAnsi="Arial" w:cs="Arial"/>
                <w:b/>
                <w:bCs/>
                <w:sz w:val="20"/>
              </w:rPr>
              <w:t xml:space="preserve">Hunedoara </w:t>
            </w:r>
            <w:r w:rsidRPr="003516DC">
              <w:rPr>
                <w:rFonts w:ascii="Arial" w:hAnsi="Arial" w:cs="Arial"/>
                <w:b/>
                <w:bCs/>
                <w:sz w:val="20"/>
              </w:rPr>
              <w:t>County</w:t>
            </w:r>
          </w:p>
        </w:tc>
        <w:tc>
          <w:tcPr>
            <w:tcW w:w="1613" w:type="pct"/>
            <w:shd w:val="clear" w:color="auto" w:fill="auto"/>
            <w:noWrap/>
          </w:tcPr>
          <w:p w14:paraId="7891E548" w14:textId="090722F6" w:rsidR="005319A3" w:rsidRPr="005319A3" w:rsidRDefault="005319A3" w:rsidP="005319A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c>
          <w:tcPr>
            <w:tcW w:w="1525" w:type="pct"/>
            <w:shd w:val="clear" w:color="auto" w:fill="auto"/>
            <w:noWrap/>
          </w:tcPr>
          <w:p w14:paraId="10160374" w14:textId="71D4F914" w:rsidR="005319A3" w:rsidRPr="005319A3" w:rsidRDefault="005319A3" w:rsidP="005319A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tc>
      </w:tr>
      <w:tr w:rsidR="005319A3" w:rsidRPr="003516DC" w14:paraId="2C9A4A71"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0D05602D" w14:textId="7B4B5937" w:rsidR="005319A3" w:rsidRPr="003516DC" w:rsidRDefault="005319A3" w:rsidP="005319A3">
            <w:pPr>
              <w:rPr>
                <w:rFonts w:ascii="Arial" w:hAnsi="Arial" w:cs="Arial"/>
                <w:sz w:val="20"/>
              </w:rPr>
            </w:pPr>
            <w:r w:rsidRPr="003516DC">
              <w:rPr>
                <w:rFonts w:ascii="Arial" w:hAnsi="Arial" w:cs="Arial"/>
                <w:sz w:val="20"/>
              </w:rPr>
              <w:t>R&amp;D grants to business</w:t>
            </w:r>
          </w:p>
        </w:tc>
        <w:tc>
          <w:tcPr>
            <w:tcW w:w="1613" w:type="pct"/>
            <w:noWrap/>
          </w:tcPr>
          <w:p w14:paraId="22474430" w14:textId="12645992" w:rsidR="005319A3" w:rsidRPr="005319A3" w:rsidRDefault="005319A3" w:rsidP="005319A3">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5319A3">
              <w:rPr>
                <w:rFonts w:ascii="Arial" w:hAnsi="Arial" w:cs="Arial"/>
                <w:sz w:val="20"/>
                <w:szCs w:val="20"/>
              </w:rPr>
              <w:t>19.71</w:t>
            </w:r>
          </w:p>
        </w:tc>
        <w:tc>
          <w:tcPr>
            <w:tcW w:w="1525" w:type="pct"/>
            <w:shd w:val="clear" w:color="auto" w:fill="C2D69B" w:themeFill="accent3" w:themeFillTint="99"/>
            <w:noWrap/>
          </w:tcPr>
          <w:p w14:paraId="230FB4DD" w14:textId="2C04C927" w:rsidR="005319A3" w:rsidRPr="00A26615" w:rsidRDefault="005319A3" w:rsidP="005319A3">
            <w:pPr>
              <w:cnfStyle w:val="000000010000" w:firstRow="0" w:lastRow="0" w:firstColumn="0" w:lastColumn="0" w:oddVBand="0" w:evenVBand="0" w:oddHBand="0" w:evenHBand="1" w:firstRowFirstColumn="0" w:firstRowLastColumn="0" w:lastRowFirstColumn="0" w:lastRowLastColumn="0"/>
              <w:rPr>
                <w:rFonts w:ascii="Arial" w:hAnsi="Arial" w:cs="Arial"/>
                <w:sz w:val="20"/>
              </w:rPr>
            </w:pPr>
            <w:r w:rsidRPr="00A26615">
              <w:rPr>
                <w:rFonts w:ascii="Arial" w:hAnsi="Arial" w:cs="Arial"/>
                <w:sz w:val="20"/>
              </w:rPr>
              <w:t>8.50</w:t>
            </w:r>
          </w:p>
        </w:tc>
      </w:tr>
      <w:tr w:rsidR="005319A3" w:rsidRPr="003516DC" w14:paraId="1D23D9BE" w14:textId="77777777" w:rsidTr="0040258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3626A7D2" w14:textId="14AA9462" w:rsidR="005319A3" w:rsidRPr="003516DC" w:rsidRDefault="005319A3" w:rsidP="005319A3">
            <w:pPr>
              <w:rPr>
                <w:rFonts w:ascii="Arial" w:hAnsi="Arial" w:cs="Arial"/>
                <w:sz w:val="20"/>
              </w:rPr>
            </w:pPr>
            <w:r w:rsidRPr="003516DC">
              <w:rPr>
                <w:rFonts w:ascii="Arial" w:hAnsi="Arial" w:cs="Arial"/>
                <w:sz w:val="20"/>
              </w:rPr>
              <w:t>SME investments</w:t>
            </w:r>
          </w:p>
        </w:tc>
        <w:tc>
          <w:tcPr>
            <w:tcW w:w="1613" w:type="pct"/>
            <w:noWrap/>
          </w:tcPr>
          <w:p w14:paraId="0400E3CE" w14:textId="2ECCFFB2" w:rsidR="005319A3" w:rsidRPr="005319A3" w:rsidRDefault="005319A3" w:rsidP="005319A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319A3">
              <w:rPr>
                <w:rFonts w:ascii="Arial" w:hAnsi="Arial" w:cs="Arial"/>
                <w:sz w:val="20"/>
                <w:szCs w:val="20"/>
              </w:rPr>
              <w:t>13.53</w:t>
            </w:r>
          </w:p>
        </w:tc>
        <w:tc>
          <w:tcPr>
            <w:tcW w:w="1525" w:type="pct"/>
            <w:shd w:val="clear" w:color="auto" w:fill="D6E3BC" w:themeFill="accent3" w:themeFillTint="66"/>
            <w:noWrap/>
          </w:tcPr>
          <w:p w14:paraId="31301860" w14:textId="4EA5A732" w:rsidR="005319A3" w:rsidRPr="005319A3" w:rsidRDefault="005319A3" w:rsidP="005319A3">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5319A3">
              <w:rPr>
                <w:rFonts w:ascii="Arial" w:hAnsi="Arial" w:cs="Arial"/>
                <w:sz w:val="20"/>
                <w:szCs w:val="20"/>
              </w:rPr>
              <w:t>5.96</w:t>
            </w:r>
          </w:p>
        </w:tc>
      </w:tr>
      <w:tr w:rsidR="005319A3" w:rsidRPr="003516DC" w14:paraId="2A55DC43" w14:textId="77777777" w:rsidTr="00402580">
        <w:trPr>
          <w:cnfStyle w:val="000000010000" w:firstRow="0" w:lastRow="0" w:firstColumn="0" w:lastColumn="0" w:oddVBand="0" w:evenVBand="0" w:oddHBand="0" w:evenHBand="1"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1862" w:type="pct"/>
            <w:noWrap/>
            <w:vAlign w:val="bottom"/>
          </w:tcPr>
          <w:p w14:paraId="036510B7" w14:textId="6F0B41C0" w:rsidR="005319A3" w:rsidRPr="003516DC" w:rsidRDefault="005319A3" w:rsidP="005319A3">
            <w:pPr>
              <w:rPr>
                <w:rFonts w:ascii="Arial" w:hAnsi="Arial" w:cs="Arial"/>
                <w:sz w:val="20"/>
              </w:rPr>
            </w:pPr>
            <w:r w:rsidRPr="003516DC">
              <w:rPr>
                <w:rFonts w:ascii="Arial" w:hAnsi="Arial" w:cs="Arial"/>
                <w:sz w:val="20"/>
              </w:rPr>
              <w:t>Circular economy</w:t>
            </w:r>
          </w:p>
        </w:tc>
        <w:tc>
          <w:tcPr>
            <w:tcW w:w="1613" w:type="pct"/>
            <w:noWrap/>
          </w:tcPr>
          <w:p w14:paraId="573EE2EB" w14:textId="097A1859" w:rsidR="005319A3" w:rsidRPr="005319A3" w:rsidRDefault="005319A3" w:rsidP="005319A3">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5319A3">
              <w:rPr>
                <w:rFonts w:ascii="Arial" w:hAnsi="Arial" w:cs="Arial"/>
                <w:sz w:val="20"/>
                <w:szCs w:val="20"/>
              </w:rPr>
              <w:t>23.79</w:t>
            </w:r>
          </w:p>
        </w:tc>
        <w:tc>
          <w:tcPr>
            <w:tcW w:w="1525" w:type="pct"/>
            <w:shd w:val="clear" w:color="auto" w:fill="EAF1DD"/>
            <w:noWrap/>
          </w:tcPr>
          <w:p w14:paraId="2294322E" w14:textId="440C14B0" w:rsidR="005319A3" w:rsidRPr="005319A3" w:rsidRDefault="005319A3" w:rsidP="005319A3">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5319A3">
              <w:rPr>
                <w:rFonts w:ascii="Arial" w:hAnsi="Arial" w:cs="Arial"/>
                <w:sz w:val="20"/>
                <w:szCs w:val="20"/>
              </w:rPr>
              <w:t>12.82</w:t>
            </w:r>
          </w:p>
        </w:tc>
      </w:tr>
    </w:tbl>
    <w:p w14:paraId="3E7039B0" w14:textId="23032E4A" w:rsidR="00D83F43" w:rsidRPr="003516DC" w:rsidRDefault="00D83F43" w:rsidP="006C46E5">
      <w:pPr>
        <w:spacing w:before="120" w:after="120"/>
        <w:jc w:val="both"/>
        <w:rPr>
          <w:rFonts w:ascii="Arial" w:hAnsi="Arial" w:cs="Arial"/>
          <w:sz w:val="20"/>
          <w:szCs w:val="20"/>
        </w:rPr>
      </w:pPr>
      <w:r w:rsidRPr="003516DC">
        <w:rPr>
          <w:rFonts w:ascii="Arial" w:hAnsi="Arial" w:cs="Arial"/>
          <w:sz w:val="20"/>
          <w:szCs w:val="20"/>
        </w:rPr>
        <w:t xml:space="preserve">Job creation cost per FTE-year in the long-term for the SME case is between 4.9-9.6 EUR thousand. The cost is the lowest in </w:t>
      </w:r>
      <w:r w:rsidR="003751DC">
        <w:rPr>
          <w:rFonts w:ascii="Arial" w:hAnsi="Arial" w:cs="Arial"/>
          <w:sz w:val="20"/>
          <w:szCs w:val="20"/>
        </w:rPr>
        <w:t>Galați</w:t>
      </w:r>
      <w:r w:rsidRPr="003516DC">
        <w:rPr>
          <w:rFonts w:ascii="Arial" w:hAnsi="Arial" w:cs="Arial"/>
          <w:sz w:val="20"/>
          <w:szCs w:val="20"/>
        </w:rPr>
        <w:t>, actually the lowest across action types and counties as well. It is explained by a higher direct GVA increase in the construction sector in the region (from capital investments), as well as a higher productivity growth for the sector. This is important, because the construction sector has the highest GVA to employment coefficient (0.747 log-log coefficient). Therefore, what we see here is a higher increase in GVA in the construction sector due to the sectoral structure of the region, which leads to a higher increase in the construction sector employment and thus overall employment. This is because the construction sector is generally more labour intensive than other sectors.</w:t>
      </w:r>
    </w:p>
    <w:p w14:paraId="324BADA4" w14:textId="529E0CF3" w:rsidR="007C0AA6" w:rsidRPr="006C46E5" w:rsidRDefault="00D83F43" w:rsidP="006C46E5">
      <w:pPr>
        <w:spacing w:after="120"/>
        <w:jc w:val="both"/>
        <w:rPr>
          <w:rFonts w:ascii="Arial" w:hAnsi="Arial" w:cs="Arial"/>
          <w:sz w:val="20"/>
          <w:szCs w:val="20"/>
        </w:rPr>
      </w:pPr>
      <w:r w:rsidRPr="003516DC">
        <w:rPr>
          <w:rFonts w:ascii="Arial" w:hAnsi="Arial" w:cs="Arial"/>
          <w:sz w:val="20"/>
          <w:szCs w:val="20"/>
        </w:rPr>
        <w:t>The Circular economy case is the highest cost across counties</w:t>
      </w:r>
      <w:r w:rsidR="00F830F4">
        <w:rPr>
          <w:rStyle w:val="FootnoteReference"/>
          <w:rFonts w:ascii="Arial" w:hAnsi="Arial" w:cs="Arial"/>
          <w:sz w:val="20"/>
          <w:szCs w:val="20"/>
        </w:rPr>
        <w:footnoteReference w:id="41"/>
      </w:r>
      <w:r w:rsidRPr="003516DC">
        <w:rPr>
          <w:rFonts w:ascii="Arial" w:hAnsi="Arial" w:cs="Arial"/>
          <w:sz w:val="20"/>
          <w:szCs w:val="20"/>
        </w:rPr>
        <w:t xml:space="preserve">. Range of estimates is between 7.6-15.4 EUR thousand per FTE-year. This is due to the negative effects of the case: this is the only action type that explicitly models job losses (in manufacturing and retail) due to its actions. Therefore, it is important here, to consider that the provided cost estimate is for the </w:t>
      </w:r>
      <w:r w:rsidRPr="003516DC">
        <w:rPr>
          <w:rFonts w:ascii="Arial" w:hAnsi="Arial" w:cs="Arial"/>
          <w:i/>
          <w:iCs/>
          <w:sz w:val="20"/>
          <w:szCs w:val="20"/>
        </w:rPr>
        <w:t xml:space="preserve">net </w:t>
      </w:r>
      <w:r w:rsidRPr="003516DC">
        <w:rPr>
          <w:rFonts w:ascii="Arial" w:hAnsi="Arial" w:cs="Arial"/>
          <w:sz w:val="20"/>
          <w:szCs w:val="20"/>
        </w:rPr>
        <w:t xml:space="preserve">job creation (e.g., if one job is lost in manufacturing, but two jobs are gained in recycling the estimate will still be calculated as </w:t>
      </w:r>
      <m:oMath>
        <m:f>
          <m:fPr>
            <m:ctrlPr>
              <w:rPr>
                <w:rFonts w:ascii="Cambria Math" w:hAnsi="Cambria Math" w:cs="Arial"/>
                <w:i/>
                <w:sz w:val="20"/>
                <w:szCs w:val="20"/>
              </w:rPr>
            </m:ctrlPr>
          </m:fPr>
          <m:num>
            <m:r>
              <w:rPr>
                <w:rFonts w:ascii="Cambria Math" w:hAnsi="Cambria Math" w:cs="Arial"/>
                <w:sz w:val="20"/>
                <w:szCs w:val="20"/>
              </w:rPr>
              <m:t>+2-1</m:t>
            </m:r>
          </m:num>
          <m:den>
            <m:r>
              <w:rPr>
                <w:rFonts w:ascii="Cambria Math" w:hAnsi="Cambria Math" w:cs="Arial"/>
                <w:sz w:val="20"/>
                <w:szCs w:val="20"/>
              </w:rPr>
              <m:t>cost of action</m:t>
            </m:r>
          </m:den>
        </m:f>
      </m:oMath>
      <w:r w:rsidRPr="003516DC">
        <w:rPr>
          <w:rFonts w:ascii="Arial" w:hAnsi="Arial" w:cs="Arial"/>
          <w:sz w:val="20"/>
          <w:szCs w:val="20"/>
        </w:rPr>
        <w:t xml:space="preserve">  ). </w:t>
      </w:r>
    </w:p>
    <w:p w14:paraId="00D5940F" w14:textId="757CCED9" w:rsidR="007C0AA6" w:rsidRPr="003516DC" w:rsidRDefault="007C0AA6" w:rsidP="006C46E5">
      <w:pPr>
        <w:spacing w:after="120"/>
        <w:jc w:val="both"/>
        <w:rPr>
          <w:rFonts w:ascii="Arial" w:hAnsi="Arial" w:cs="Arial"/>
          <w:sz w:val="20"/>
          <w:szCs w:val="20"/>
        </w:rPr>
      </w:pPr>
      <w:r w:rsidRPr="003516DC">
        <w:rPr>
          <w:rFonts w:ascii="Arial" w:hAnsi="Arial" w:cs="Arial"/>
          <w:sz w:val="20"/>
          <w:szCs w:val="20"/>
        </w:rPr>
        <w:t>In the following section</w:t>
      </w:r>
      <w:r w:rsidR="00A26615">
        <w:rPr>
          <w:rFonts w:ascii="Arial" w:hAnsi="Arial" w:cs="Arial"/>
          <w:sz w:val="20"/>
          <w:szCs w:val="20"/>
        </w:rPr>
        <w:t>s</w:t>
      </w:r>
      <w:r w:rsidRPr="003516DC">
        <w:rPr>
          <w:rFonts w:ascii="Arial" w:hAnsi="Arial" w:cs="Arial"/>
          <w:sz w:val="20"/>
          <w:szCs w:val="20"/>
        </w:rPr>
        <w:t xml:space="preserve">, the estimated GVA and employment impacts are presented for each of the target regions and for each of the selected illustrative actions. With respect to sectoral disaggregation, our modelling yields results for ten economic sectors (Agriculture; Forestry and fishing; Energy &amp; utilities; Manufacturing; Construction; Retail, transport, tourism services; Information and communication; Financial and insurance activities; Real estate activities; Professional services; Public and other services). Wherever the GVA or employment impact equals zero, the respective sector is not presented on the chart. </w:t>
      </w:r>
    </w:p>
    <w:p w14:paraId="66B0D41A" w14:textId="50184E39" w:rsidR="007C0AA6" w:rsidRPr="003516DC" w:rsidRDefault="007C0AA6" w:rsidP="006C46E5">
      <w:pPr>
        <w:spacing w:after="120"/>
        <w:jc w:val="both"/>
        <w:rPr>
          <w:rFonts w:ascii="Arial" w:hAnsi="Arial" w:cs="Arial"/>
          <w:sz w:val="20"/>
          <w:szCs w:val="20"/>
        </w:rPr>
      </w:pPr>
      <w:r w:rsidRPr="003516DC">
        <w:rPr>
          <w:rFonts w:ascii="Arial" w:hAnsi="Arial" w:cs="Arial"/>
          <w:sz w:val="20"/>
          <w:szCs w:val="20"/>
        </w:rPr>
        <w:t xml:space="preserve">In general, the results show that the sectoral distribution of impacts (both in terms of GVA and employment) is considerably different across the selected illustrative actions. R&amp;D grants to businesses is expected to have the largest positive impact on the Information and communication sector (both in GVA- and employment-terms), as the nature of most R&amp;D projects are such that IT inputs, computers and software solutions, are required. </w:t>
      </w:r>
    </w:p>
    <w:p w14:paraId="46B4DFB9" w14:textId="4F7DBE71" w:rsidR="007C0AA6" w:rsidRPr="003516DC" w:rsidRDefault="007C0AA6" w:rsidP="006C46E5">
      <w:pPr>
        <w:spacing w:after="120"/>
        <w:jc w:val="both"/>
        <w:rPr>
          <w:rFonts w:ascii="Arial" w:hAnsi="Arial" w:cs="Arial"/>
          <w:sz w:val="20"/>
          <w:szCs w:val="20"/>
        </w:rPr>
      </w:pPr>
      <w:r w:rsidRPr="003516DC">
        <w:rPr>
          <w:rFonts w:ascii="Arial" w:hAnsi="Arial" w:cs="Arial"/>
          <w:sz w:val="20"/>
          <w:szCs w:val="20"/>
        </w:rPr>
        <w:lastRenderedPageBreak/>
        <w:t xml:space="preserve">SME investment is expected to yield to the highest positive impacts in Manufacturing and Construction, not only because a large share of SMEs are active in these sectors, but also because investments from other sectors usually mean consumption increase for these sectors (e.g. buying machinery or real estate investments). </w:t>
      </w:r>
    </w:p>
    <w:p w14:paraId="2A106E9C" w14:textId="25FFD7CF" w:rsidR="004C08EE" w:rsidRDefault="007C0AA6" w:rsidP="006C46E5">
      <w:pPr>
        <w:spacing w:after="120"/>
        <w:jc w:val="both"/>
        <w:rPr>
          <w:rFonts w:ascii="Arial" w:hAnsi="Arial" w:cs="Arial"/>
          <w:sz w:val="20"/>
          <w:szCs w:val="20"/>
        </w:rPr>
      </w:pPr>
      <w:r w:rsidRPr="003516DC">
        <w:rPr>
          <w:rFonts w:ascii="Arial" w:hAnsi="Arial" w:cs="Arial"/>
          <w:sz w:val="20"/>
          <w:szCs w:val="20"/>
        </w:rPr>
        <w:t>Finally, investment in circular economy services and activities is anticipated to result the largest GVA impact in the Professional services sector, while with regards to employment, the employment generation resulting from circular economy investment is larger in the Energy &amp; Utilities sector (due to Waste management activities, in which the most circular economy-driven jobs are expected to be created, also belonging to the Energy &amp; Utilities sector) than in the Professional services – indicating that such investment would likely yield relatively higher number of jobs in relatively lower value-added job categories within Energy &amp; Utilities, which is expected to – at least partly - compensate for the job losses that are expected to occur (primarily in Manufacturing). However, it needs to be noted, that these results are of course heavily dependent on the type of assumptions we make about the direct impacts of circular economy activities.</w:t>
      </w:r>
    </w:p>
    <w:p w14:paraId="13541CC3" w14:textId="5AB4E848" w:rsidR="004C08EE" w:rsidRPr="000A7086" w:rsidRDefault="00A26615" w:rsidP="006C46E5">
      <w:pPr>
        <w:spacing w:after="120"/>
        <w:jc w:val="both"/>
        <w:rPr>
          <w:rFonts w:ascii="Arial" w:hAnsi="Arial" w:cs="Arial"/>
          <w:i/>
          <w:iCs/>
          <w:noProof/>
          <w:sz w:val="20"/>
          <w:szCs w:val="20"/>
        </w:rPr>
      </w:pPr>
      <w:r w:rsidRPr="000A7086">
        <w:rPr>
          <w:rFonts w:ascii="Arial" w:hAnsi="Arial" w:cs="Arial"/>
          <w:i/>
          <w:iCs/>
          <w:noProof/>
          <w:sz w:val="20"/>
          <w:szCs w:val="20"/>
        </w:rPr>
        <w:t>C</w:t>
      </w:r>
      <w:r w:rsidR="004C08EE" w:rsidRPr="000A7086">
        <w:rPr>
          <w:rFonts w:ascii="Arial" w:hAnsi="Arial" w:cs="Arial"/>
          <w:i/>
          <w:iCs/>
          <w:noProof/>
          <w:sz w:val="20"/>
          <w:szCs w:val="20"/>
        </w:rPr>
        <w:t xml:space="preserve">ounty by county </w:t>
      </w:r>
      <w:r w:rsidRPr="000A7086">
        <w:rPr>
          <w:rFonts w:ascii="Arial" w:hAnsi="Arial" w:cs="Arial"/>
          <w:i/>
          <w:iCs/>
          <w:noProof/>
          <w:sz w:val="20"/>
          <w:szCs w:val="20"/>
        </w:rPr>
        <w:t xml:space="preserve">results of the </w:t>
      </w:r>
      <w:r w:rsidR="004C08EE" w:rsidRPr="000A7086">
        <w:rPr>
          <w:rFonts w:ascii="Arial" w:hAnsi="Arial" w:cs="Arial"/>
          <w:i/>
          <w:iCs/>
          <w:noProof/>
          <w:sz w:val="20"/>
          <w:szCs w:val="20"/>
        </w:rPr>
        <w:t xml:space="preserve">analysis on the multiplication effects of different expenditure scenarios can be found in </w:t>
      </w:r>
      <w:r w:rsidR="00091FE3">
        <w:rPr>
          <w:rFonts w:ascii="Arial" w:hAnsi="Arial" w:cs="Arial"/>
          <w:i/>
          <w:iCs/>
          <w:noProof/>
          <w:sz w:val="20"/>
          <w:szCs w:val="20"/>
        </w:rPr>
        <w:t>Chapter</w:t>
      </w:r>
      <w:r w:rsidR="004C08EE" w:rsidRPr="000A7086">
        <w:rPr>
          <w:rFonts w:ascii="Arial" w:hAnsi="Arial" w:cs="Arial"/>
          <w:i/>
          <w:iCs/>
          <w:noProof/>
          <w:sz w:val="20"/>
          <w:szCs w:val="20"/>
        </w:rPr>
        <w:t>s 3–8.</w:t>
      </w:r>
    </w:p>
    <w:p w14:paraId="7DA2337C" w14:textId="58694601" w:rsidR="00D83F43" w:rsidRPr="00A64776" w:rsidRDefault="007C0AA6" w:rsidP="00E42342">
      <w:pPr>
        <w:pStyle w:val="Heading3"/>
        <w:numPr>
          <w:ilvl w:val="0"/>
          <w:numId w:val="213"/>
        </w:numPr>
        <w:rPr>
          <w:b w:val="0"/>
          <w:bCs/>
        </w:rPr>
      </w:pPr>
      <w:r w:rsidRPr="00A64776">
        <w:rPr>
          <w:b w:val="0"/>
          <w:bCs/>
        </w:rPr>
        <w:t>Limitations/considerations</w:t>
      </w:r>
    </w:p>
    <w:p w14:paraId="1BE2DDC9" w14:textId="453FFB7A" w:rsidR="007C0AA6" w:rsidRPr="003516DC" w:rsidRDefault="007C0AA6" w:rsidP="006C46E5">
      <w:pPr>
        <w:spacing w:after="120"/>
        <w:jc w:val="both"/>
        <w:rPr>
          <w:rFonts w:ascii="Arial" w:hAnsi="Arial" w:cs="Arial"/>
          <w:sz w:val="20"/>
          <w:szCs w:val="20"/>
        </w:rPr>
      </w:pPr>
      <w:r w:rsidRPr="003516DC">
        <w:rPr>
          <w:rFonts w:ascii="Arial" w:hAnsi="Arial" w:cs="Arial"/>
          <w:sz w:val="20"/>
          <w:szCs w:val="20"/>
        </w:rPr>
        <w:t xml:space="preserve">There are certain limitations/considerations that need to be </w:t>
      </w:r>
      <w:r w:rsidR="0086568C">
        <w:rPr>
          <w:rFonts w:ascii="Arial" w:hAnsi="Arial" w:cs="Arial"/>
          <w:sz w:val="20"/>
          <w:szCs w:val="20"/>
        </w:rPr>
        <w:t>considered</w:t>
      </w:r>
      <w:r w:rsidRPr="003516DC">
        <w:rPr>
          <w:rFonts w:ascii="Arial" w:hAnsi="Arial" w:cs="Arial"/>
          <w:sz w:val="20"/>
          <w:szCs w:val="20"/>
        </w:rPr>
        <w:t xml:space="preserve"> when interpreting the results</w:t>
      </w:r>
      <w:r w:rsidR="00F830F4">
        <w:rPr>
          <w:rStyle w:val="FootnoteReference"/>
          <w:rFonts w:ascii="Arial" w:hAnsi="Arial" w:cs="Arial"/>
          <w:sz w:val="20"/>
          <w:szCs w:val="20"/>
        </w:rPr>
        <w:footnoteReference w:id="42"/>
      </w:r>
      <w:r w:rsidRPr="003516DC">
        <w:rPr>
          <w:rFonts w:ascii="Arial" w:hAnsi="Arial" w:cs="Arial"/>
          <w:sz w:val="20"/>
          <w:szCs w:val="20"/>
        </w:rPr>
        <w:t xml:space="preserve">. </w:t>
      </w:r>
    </w:p>
    <w:p w14:paraId="1C618EF2" w14:textId="5AF13F07" w:rsidR="007C0AA6" w:rsidRPr="003516DC" w:rsidRDefault="007C0AA6" w:rsidP="006C46E5">
      <w:pPr>
        <w:spacing w:after="120"/>
        <w:jc w:val="both"/>
        <w:rPr>
          <w:rFonts w:ascii="Arial" w:hAnsi="Arial" w:cs="Arial"/>
          <w:sz w:val="20"/>
          <w:szCs w:val="20"/>
        </w:rPr>
      </w:pPr>
      <w:r w:rsidRPr="003516DC">
        <w:rPr>
          <w:rFonts w:ascii="Arial" w:hAnsi="Arial" w:cs="Arial"/>
          <w:sz w:val="20"/>
          <w:szCs w:val="20"/>
        </w:rPr>
        <w:t xml:space="preserve">First, as noted before, the methodology does not take capacity and/or growth constraints into account. </w:t>
      </w:r>
      <w:r w:rsidR="0086568C">
        <w:rPr>
          <w:rFonts w:ascii="Arial" w:hAnsi="Arial" w:cs="Arial"/>
          <w:sz w:val="20"/>
          <w:szCs w:val="20"/>
        </w:rPr>
        <w:t>Th</w:t>
      </w:r>
      <w:r w:rsidR="004F7390">
        <w:rPr>
          <w:rFonts w:ascii="Arial" w:hAnsi="Arial" w:cs="Arial"/>
          <w:sz w:val="20"/>
          <w:szCs w:val="20"/>
        </w:rPr>
        <w:t>is</w:t>
      </w:r>
      <w:r w:rsidR="0086568C">
        <w:rPr>
          <w:rFonts w:ascii="Arial" w:hAnsi="Arial" w:cs="Arial"/>
          <w:sz w:val="20"/>
          <w:szCs w:val="20"/>
        </w:rPr>
        <w:t xml:space="preserve"> m</w:t>
      </w:r>
      <w:r w:rsidRPr="003516DC">
        <w:rPr>
          <w:rFonts w:ascii="Arial" w:hAnsi="Arial" w:cs="Arial"/>
          <w:sz w:val="20"/>
          <w:szCs w:val="20"/>
        </w:rPr>
        <w:t>ean</w:t>
      </w:r>
      <w:r w:rsidR="0086568C">
        <w:rPr>
          <w:rFonts w:ascii="Arial" w:hAnsi="Arial" w:cs="Arial"/>
          <w:sz w:val="20"/>
          <w:szCs w:val="20"/>
        </w:rPr>
        <w:t>s</w:t>
      </w:r>
      <w:r w:rsidRPr="003516DC">
        <w:rPr>
          <w:rFonts w:ascii="Arial" w:hAnsi="Arial" w:cs="Arial"/>
          <w:sz w:val="20"/>
          <w:szCs w:val="20"/>
        </w:rPr>
        <w:t xml:space="preserve"> that the absorption capacity of the individual regions/sectors is not included in the calculation</w:t>
      </w:r>
      <w:r w:rsidRPr="0086568C">
        <w:rPr>
          <w:rFonts w:ascii="Arial" w:hAnsi="Arial" w:cs="Arial"/>
          <w:sz w:val="20"/>
          <w:szCs w:val="20"/>
        </w:rPr>
        <w:t xml:space="preserve">s, </w:t>
      </w:r>
      <w:r w:rsidRPr="00402580">
        <w:rPr>
          <w:rFonts w:ascii="Arial" w:hAnsi="Arial" w:cs="Arial"/>
          <w:sz w:val="20"/>
          <w:szCs w:val="20"/>
        </w:rPr>
        <w:t>i.e.</w:t>
      </w:r>
      <w:r w:rsidRPr="0086568C">
        <w:rPr>
          <w:rFonts w:ascii="Arial" w:hAnsi="Arial" w:cs="Arial"/>
          <w:sz w:val="20"/>
          <w:szCs w:val="20"/>
        </w:rPr>
        <w:t>, theoretically</w:t>
      </w:r>
      <w:r w:rsidR="0086568C">
        <w:rPr>
          <w:rFonts w:ascii="Arial" w:hAnsi="Arial" w:cs="Arial"/>
          <w:sz w:val="20"/>
          <w:szCs w:val="20"/>
        </w:rPr>
        <w:t>,</w:t>
      </w:r>
      <w:r w:rsidRPr="0086568C">
        <w:rPr>
          <w:rFonts w:ascii="Arial" w:hAnsi="Arial" w:cs="Arial"/>
          <w:sz w:val="20"/>
          <w:szCs w:val="20"/>
        </w:rPr>
        <w:t xml:space="preserve"> it is possible to have exogenous shocks in the framework that are higher than the initial values. </w:t>
      </w:r>
      <w:r w:rsidRPr="00402580">
        <w:rPr>
          <w:rFonts w:ascii="Arial" w:hAnsi="Arial" w:cs="Arial"/>
          <w:sz w:val="20"/>
          <w:szCs w:val="20"/>
        </w:rPr>
        <w:t>For example, in the regional modelling</w:t>
      </w:r>
      <w:r w:rsidR="0086568C">
        <w:rPr>
          <w:rFonts w:ascii="Arial" w:hAnsi="Arial" w:cs="Arial"/>
          <w:sz w:val="20"/>
          <w:szCs w:val="20"/>
        </w:rPr>
        <w:t>,</w:t>
      </w:r>
      <w:r w:rsidRPr="00402580">
        <w:rPr>
          <w:rFonts w:ascii="Arial" w:hAnsi="Arial" w:cs="Arial"/>
          <w:sz w:val="20"/>
          <w:szCs w:val="20"/>
        </w:rPr>
        <w:t xml:space="preserve"> it would be possible to have investment and thus output growth that is higher than the current output levels, e.g., we could have EUR 100 m </w:t>
      </w:r>
      <w:r w:rsidR="0086568C">
        <w:rPr>
          <w:rFonts w:ascii="Arial" w:hAnsi="Arial" w:cs="Arial"/>
          <w:sz w:val="20"/>
          <w:szCs w:val="20"/>
        </w:rPr>
        <w:t xml:space="preserve">of </w:t>
      </w:r>
      <w:r w:rsidRPr="00402580">
        <w:rPr>
          <w:rFonts w:ascii="Arial" w:hAnsi="Arial" w:cs="Arial"/>
          <w:sz w:val="20"/>
          <w:szCs w:val="20"/>
        </w:rPr>
        <w:t xml:space="preserve">exogenous growth to the value-added of the manufacturing sector, even though the current value-added is only EUR 10 m. </w:t>
      </w:r>
      <w:r w:rsidRPr="0086568C">
        <w:rPr>
          <w:rFonts w:ascii="Arial" w:hAnsi="Arial" w:cs="Arial"/>
          <w:sz w:val="20"/>
          <w:szCs w:val="20"/>
        </w:rPr>
        <w:t>Nevertheless, we aim to avoid any issues stemming from this</w:t>
      </w:r>
      <w:r w:rsidR="0086568C">
        <w:rPr>
          <w:rFonts w:ascii="Arial" w:hAnsi="Arial" w:cs="Arial"/>
          <w:sz w:val="20"/>
          <w:szCs w:val="20"/>
        </w:rPr>
        <w:t xml:space="preserve"> modelling choice</w:t>
      </w:r>
      <w:r w:rsidRPr="0086568C">
        <w:rPr>
          <w:rFonts w:ascii="Arial" w:hAnsi="Arial" w:cs="Arial"/>
          <w:sz w:val="20"/>
          <w:szCs w:val="20"/>
        </w:rPr>
        <w:t xml:space="preserve"> </w:t>
      </w:r>
      <w:r w:rsidR="0086568C">
        <w:rPr>
          <w:rFonts w:ascii="Arial" w:hAnsi="Arial" w:cs="Arial"/>
          <w:sz w:val="20"/>
          <w:szCs w:val="20"/>
        </w:rPr>
        <w:t>by</w:t>
      </w:r>
      <w:r w:rsidRPr="0086568C">
        <w:rPr>
          <w:rFonts w:ascii="Arial" w:hAnsi="Arial" w:cs="Arial"/>
          <w:sz w:val="20"/>
          <w:szCs w:val="20"/>
        </w:rPr>
        <w:t xml:space="preserve"> making sure that the input values (magnitude of shocks) is reasonable and does not cause unrealistic increases </w:t>
      </w:r>
      <w:r w:rsidRPr="00402580">
        <w:rPr>
          <w:rFonts w:ascii="Arial" w:hAnsi="Arial" w:cs="Arial"/>
          <w:sz w:val="20"/>
          <w:szCs w:val="20"/>
        </w:rPr>
        <w:t>in projected economic activity</w:t>
      </w:r>
      <w:r w:rsidRPr="0086568C">
        <w:rPr>
          <w:rFonts w:ascii="Arial" w:hAnsi="Arial" w:cs="Arial"/>
          <w:sz w:val="20"/>
          <w:szCs w:val="20"/>
        </w:rPr>
        <w:t>.</w:t>
      </w:r>
    </w:p>
    <w:p w14:paraId="7CB0AA62" w14:textId="127EA35D" w:rsidR="00D963B9" w:rsidRDefault="007C0AA6" w:rsidP="00D963B9">
      <w:pPr>
        <w:spacing w:after="120"/>
        <w:jc w:val="both"/>
        <w:rPr>
          <w:rFonts w:ascii="Arial" w:hAnsi="Arial" w:cs="Arial"/>
          <w:sz w:val="20"/>
          <w:szCs w:val="20"/>
        </w:rPr>
      </w:pPr>
      <w:r w:rsidRPr="003516DC">
        <w:rPr>
          <w:rFonts w:ascii="Arial" w:hAnsi="Arial" w:cs="Arial"/>
          <w:sz w:val="20"/>
          <w:szCs w:val="20"/>
        </w:rPr>
        <w:t>Even so, the lack of treatment for absorption capacity</w:t>
      </w:r>
      <w:r w:rsidRPr="003516DC">
        <w:rPr>
          <w:rStyle w:val="FootnoteReference"/>
          <w:rFonts w:ascii="Arial" w:hAnsi="Arial" w:cs="Arial"/>
          <w:sz w:val="20"/>
          <w:szCs w:val="20"/>
        </w:rPr>
        <w:footnoteReference w:id="43"/>
      </w:r>
      <w:r w:rsidRPr="003516DC">
        <w:rPr>
          <w:rFonts w:ascii="Arial" w:hAnsi="Arial" w:cs="Arial"/>
          <w:sz w:val="20"/>
          <w:szCs w:val="20"/>
        </w:rPr>
        <w:t xml:space="preserve"> means that our estimates are likely to be upward biased, as a lower absorption capacity can lead to </w:t>
      </w:r>
      <w:r w:rsidR="0086568C" w:rsidRPr="003516DC">
        <w:rPr>
          <w:rFonts w:ascii="Arial" w:hAnsi="Arial" w:cs="Arial"/>
          <w:sz w:val="20"/>
          <w:szCs w:val="20"/>
        </w:rPr>
        <w:t>several</w:t>
      </w:r>
      <w:r w:rsidRPr="003516DC">
        <w:rPr>
          <w:rFonts w:ascii="Arial" w:hAnsi="Arial" w:cs="Arial"/>
          <w:sz w:val="20"/>
          <w:szCs w:val="20"/>
        </w:rPr>
        <w:t xml:space="preserve"> negative </w:t>
      </w:r>
      <w:r w:rsidR="0086568C">
        <w:rPr>
          <w:rFonts w:ascii="Arial" w:hAnsi="Arial" w:cs="Arial"/>
          <w:sz w:val="20"/>
          <w:szCs w:val="20"/>
        </w:rPr>
        <w:t>impacts</w:t>
      </w:r>
      <w:r w:rsidRPr="003516DC">
        <w:rPr>
          <w:rFonts w:ascii="Arial" w:hAnsi="Arial" w:cs="Arial"/>
          <w:sz w:val="20"/>
          <w:szCs w:val="20"/>
        </w:rPr>
        <w:t xml:space="preserve">: such as partial uptake of the funds, lower than expected productivity gains or lower employment multipliers. A similar concern is about our assumption </w:t>
      </w:r>
      <w:r w:rsidR="0086568C">
        <w:rPr>
          <w:rFonts w:ascii="Arial" w:hAnsi="Arial" w:cs="Arial"/>
          <w:sz w:val="20"/>
          <w:szCs w:val="20"/>
        </w:rPr>
        <w:t>that</w:t>
      </w:r>
      <w:r w:rsidRPr="003516DC">
        <w:rPr>
          <w:rFonts w:ascii="Arial" w:hAnsi="Arial" w:cs="Arial"/>
          <w:sz w:val="20"/>
          <w:szCs w:val="20"/>
        </w:rPr>
        <w:t xml:space="preserve"> firms buy capital goods locally</w:t>
      </w:r>
      <w:r w:rsidR="0086568C">
        <w:rPr>
          <w:rFonts w:ascii="Arial" w:hAnsi="Arial" w:cs="Arial"/>
          <w:sz w:val="20"/>
          <w:szCs w:val="20"/>
        </w:rPr>
        <w:t>.</w:t>
      </w:r>
      <w:r w:rsidRPr="003516DC">
        <w:rPr>
          <w:rFonts w:ascii="Arial" w:hAnsi="Arial" w:cs="Arial"/>
          <w:sz w:val="20"/>
          <w:szCs w:val="20"/>
        </w:rPr>
        <w:t xml:space="preserve"> </w:t>
      </w:r>
      <w:r w:rsidR="0086568C">
        <w:rPr>
          <w:rFonts w:ascii="Arial" w:hAnsi="Arial" w:cs="Arial"/>
          <w:sz w:val="20"/>
          <w:szCs w:val="20"/>
        </w:rPr>
        <w:t>I</w:t>
      </w:r>
      <w:r w:rsidRPr="003516DC">
        <w:rPr>
          <w:rFonts w:ascii="Arial" w:hAnsi="Arial" w:cs="Arial"/>
          <w:sz w:val="20"/>
          <w:szCs w:val="20"/>
        </w:rPr>
        <w:t>f this assumption is violated (e.g., firms buy capital goods from/in other regions)</w:t>
      </w:r>
      <w:r w:rsidR="0086568C">
        <w:rPr>
          <w:rFonts w:ascii="Arial" w:hAnsi="Arial" w:cs="Arial"/>
          <w:sz w:val="20"/>
          <w:szCs w:val="20"/>
        </w:rPr>
        <w:t>,</w:t>
      </w:r>
      <w:r w:rsidRPr="003516DC">
        <w:rPr>
          <w:rFonts w:ascii="Arial" w:hAnsi="Arial" w:cs="Arial"/>
          <w:sz w:val="20"/>
          <w:szCs w:val="20"/>
        </w:rPr>
        <w:t xml:space="preserve"> then our estimates are upward biased.</w:t>
      </w:r>
    </w:p>
    <w:p w14:paraId="1F4DE92D" w14:textId="77777777" w:rsidR="00E17BBA" w:rsidRPr="003516DC" w:rsidRDefault="00E17BBA" w:rsidP="00D963B9">
      <w:pPr>
        <w:spacing w:after="120"/>
        <w:jc w:val="both"/>
        <w:rPr>
          <w:rFonts w:ascii="Arial" w:hAnsi="Arial" w:cs="Arial"/>
          <w:sz w:val="20"/>
          <w:szCs w:val="20"/>
        </w:rPr>
      </w:pPr>
    </w:p>
    <w:p w14:paraId="22B181E0" w14:textId="233DC81E" w:rsidR="006854F6" w:rsidRPr="00FD0C1E" w:rsidRDefault="00C7596F" w:rsidP="00E42342">
      <w:pPr>
        <w:pStyle w:val="Heading1"/>
        <w:numPr>
          <w:ilvl w:val="0"/>
          <w:numId w:val="110"/>
        </w:numPr>
        <w:ind w:left="567" w:hanging="567"/>
        <w:rPr>
          <w:color w:val="4F81BD" w:themeColor="accent1"/>
        </w:rPr>
      </w:pPr>
      <w:bookmarkStart w:id="101" w:name="_Toc68871784"/>
      <w:bookmarkStart w:id="102" w:name="_Toc90725856"/>
      <w:r w:rsidRPr="00FD0C1E">
        <w:rPr>
          <w:color w:val="4F81BD" w:themeColor="accent1"/>
        </w:rPr>
        <w:t>Just Transition Assessment</w:t>
      </w:r>
      <w:r w:rsidR="00FF34FD" w:rsidRPr="00FD0C1E">
        <w:rPr>
          <w:color w:val="4F81BD" w:themeColor="accent1"/>
        </w:rPr>
        <w:t>, Actions and Investment Needs</w:t>
      </w:r>
      <w:r w:rsidRPr="00FD0C1E">
        <w:rPr>
          <w:color w:val="4F81BD" w:themeColor="accent1"/>
        </w:rPr>
        <w:t xml:space="preserve"> for </w:t>
      </w:r>
      <w:bookmarkEnd w:id="101"/>
      <w:r w:rsidR="00E83033" w:rsidRPr="00FD0C1E">
        <w:rPr>
          <w:color w:val="4F81BD" w:themeColor="accent1"/>
        </w:rPr>
        <w:t>Hunedoara County</w:t>
      </w:r>
      <w:bookmarkEnd w:id="102"/>
    </w:p>
    <w:p w14:paraId="18605969" w14:textId="77777777" w:rsidR="006703DC" w:rsidRDefault="006703DC" w:rsidP="006703DC">
      <w:pPr>
        <w:pStyle w:val="FootnoteText"/>
        <w:rPr>
          <w:sz w:val="20"/>
          <w:szCs w:val="20"/>
        </w:rPr>
      </w:pPr>
      <w:bookmarkStart w:id="103" w:name="_1g058ahw7ml0" w:colFirst="0" w:colLast="0"/>
      <w:bookmarkStart w:id="104" w:name="_Toc68871785"/>
      <w:bookmarkEnd w:id="103"/>
    </w:p>
    <w:p w14:paraId="2F3AFD24" w14:textId="5807BC5F" w:rsidR="00BD2C97" w:rsidRDefault="00BD2C97" w:rsidP="00F77450">
      <w:pPr>
        <w:pStyle w:val="FootnoteText"/>
        <w:jc w:val="both"/>
        <w:rPr>
          <w:sz w:val="20"/>
          <w:szCs w:val="20"/>
        </w:rPr>
      </w:pPr>
      <w:r>
        <w:rPr>
          <w:sz w:val="20"/>
          <w:szCs w:val="20"/>
        </w:rPr>
        <w:t xml:space="preserve">In this </w:t>
      </w:r>
      <w:r w:rsidR="00091FE3">
        <w:rPr>
          <w:sz w:val="20"/>
          <w:szCs w:val="20"/>
        </w:rPr>
        <w:t>chapter</w:t>
      </w:r>
      <w:r w:rsidR="000E1B95">
        <w:rPr>
          <w:sz w:val="20"/>
          <w:szCs w:val="20"/>
        </w:rPr>
        <w:t>,</w:t>
      </w:r>
      <w:r>
        <w:rPr>
          <w:sz w:val="20"/>
          <w:szCs w:val="20"/>
        </w:rPr>
        <w:t xml:space="preserve"> we </w:t>
      </w:r>
      <w:r w:rsidR="000E1B95">
        <w:rPr>
          <w:sz w:val="20"/>
          <w:szCs w:val="20"/>
        </w:rPr>
        <w:t xml:space="preserve">first </w:t>
      </w:r>
      <w:r>
        <w:rPr>
          <w:sz w:val="20"/>
          <w:szCs w:val="20"/>
        </w:rPr>
        <w:t xml:space="preserve">present the logic of the intervention as an overarching </w:t>
      </w:r>
      <w:r w:rsidR="009A5DDF">
        <w:rPr>
          <w:sz w:val="20"/>
          <w:szCs w:val="20"/>
        </w:rPr>
        <w:t>high-level</w:t>
      </w:r>
      <w:r>
        <w:rPr>
          <w:sz w:val="20"/>
          <w:szCs w:val="20"/>
        </w:rPr>
        <w:t xml:space="preserve"> picture and then go into </w:t>
      </w:r>
      <w:r w:rsidR="000E1B95">
        <w:rPr>
          <w:sz w:val="20"/>
          <w:szCs w:val="20"/>
        </w:rPr>
        <w:t xml:space="preserve">the </w:t>
      </w:r>
      <w:r>
        <w:rPr>
          <w:sz w:val="20"/>
          <w:szCs w:val="20"/>
        </w:rPr>
        <w:t>details concerning the context, challenges, opportunities, SWOT analysis</w:t>
      </w:r>
      <w:r w:rsidR="000E1B95">
        <w:rPr>
          <w:sz w:val="20"/>
          <w:szCs w:val="20"/>
        </w:rPr>
        <w:t>,</w:t>
      </w:r>
      <w:r>
        <w:rPr>
          <w:sz w:val="20"/>
          <w:szCs w:val="20"/>
        </w:rPr>
        <w:t xml:space="preserve"> and recommende</w:t>
      </w:r>
      <w:r w:rsidR="00A26615">
        <w:rPr>
          <w:sz w:val="20"/>
          <w:szCs w:val="20"/>
        </w:rPr>
        <w:t>d</w:t>
      </w:r>
      <w:r>
        <w:rPr>
          <w:sz w:val="20"/>
          <w:szCs w:val="20"/>
        </w:rPr>
        <w:t xml:space="preserve"> investment needs</w:t>
      </w:r>
      <w:r w:rsidR="009A5DDF">
        <w:rPr>
          <w:sz w:val="20"/>
          <w:szCs w:val="20"/>
        </w:rPr>
        <w:t>.</w:t>
      </w:r>
    </w:p>
    <w:p w14:paraId="1885BB8D" w14:textId="3FF2F708" w:rsidR="009118F7" w:rsidRDefault="009118F7" w:rsidP="00E42342">
      <w:pPr>
        <w:pStyle w:val="Heading2"/>
        <w:numPr>
          <w:ilvl w:val="0"/>
          <w:numId w:val="160"/>
        </w:numPr>
        <w:spacing w:before="240" w:line="240" w:lineRule="auto"/>
      </w:pPr>
      <w:bookmarkStart w:id="105" w:name="_Toc90725857"/>
      <w:r>
        <w:t xml:space="preserve">Logic of the intervention for Hunedoara </w:t>
      </w:r>
      <w:r w:rsidR="00F77450">
        <w:t>C</w:t>
      </w:r>
      <w:r>
        <w:t>ounty</w:t>
      </w:r>
      <w:bookmarkEnd w:id="105"/>
    </w:p>
    <w:p w14:paraId="1B7DDC92" w14:textId="12F112E7" w:rsidR="009118F7" w:rsidRDefault="009118F7" w:rsidP="009118F7">
      <w:pPr>
        <w:rPr>
          <w:rFonts w:ascii="Arial" w:hAnsi="Arial" w:cs="Arial"/>
          <w:sz w:val="20"/>
          <w:szCs w:val="20"/>
          <w:lang w:eastAsia="en-US"/>
        </w:rPr>
      </w:pPr>
      <w:r w:rsidRPr="009118F7">
        <w:rPr>
          <w:rFonts w:ascii="Arial" w:hAnsi="Arial" w:cs="Arial"/>
          <w:sz w:val="20"/>
          <w:szCs w:val="20"/>
          <w:lang w:eastAsia="en-US"/>
        </w:rPr>
        <w:t>The logic of the intervention is summarised in the figure below</w:t>
      </w:r>
      <w:r>
        <w:rPr>
          <w:rFonts w:ascii="Arial" w:hAnsi="Arial" w:cs="Arial"/>
          <w:sz w:val="20"/>
          <w:szCs w:val="20"/>
          <w:lang w:eastAsia="en-US"/>
        </w:rPr>
        <w:t xml:space="preserve"> and blends together all elements analysed in this </w:t>
      </w:r>
      <w:r w:rsidR="00091FE3">
        <w:rPr>
          <w:rFonts w:ascii="Arial" w:hAnsi="Arial" w:cs="Arial"/>
          <w:sz w:val="20"/>
          <w:szCs w:val="20"/>
          <w:lang w:eastAsia="en-US"/>
        </w:rPr>
        <w:t>chapter</w:t>
      </w:r>
      <w:r>
        <w:rPr>
          <w:rFonts w:ascii="Arial" w:hAnsi="Arial" w:cs="Arial"/>
          <w:sz w:val="20"/>
          <w:szCs w:val="20"/>
          <w:lang w:eastAsia="en-US"/>
        </w:rPr>
        <w:t>.</w:t>
      </w:r>
    </w:p>
    <w:p w14:paraId="6DDE54A5" w14:textId="05622FB0" w:rsidR="009118F7" w:rsidRDefault="009118F7" w:rsidP="009118F7">
      <w:pPr>
        <w:rPr>
          <w:rFonts w:ascii="Arial" w:hAnsi="Arial" w:cs="Arial"/>
          <w:sz w:val="20"/>
          <w:szCs w:val="20"/>
          <w:lang w:eastAsia="en-US"/>
        </w:rPr>
      </w:pPr>
    </w:p>
    <w:p w14:paraId="22CC1C3A" w14:textId="0B6393C6" w:rsidR="009118F7" w:rsidRDefault="009118F7" w:rsidP="009118F7">
      <w:pPr>
        <w:rPr>
          <w:rFonts w:ascii="Arial" w:hAnsi="Arial" w:cs="Arial"/>
          <w:sz w:val="20"/>
          <w:szCs w:val="20"/>
          <w:lang w:eastAsia="en-US"/>
        </w:rPr>
      </w:pPr>
    </w:p>
    <w:p w14:paraId="0628B6F9" w14:textId="63003018" w:rsidR="009118F7" w:rsidRDefault="009118F7" w:rsidP="009118F7">
      <w:pPr>
        <w:rPr>
          <w:rFonts w:ascii="Arial" w:hAnsi="Arial" w:cs="Arial"/>
          <w:sz w:val="20"/>
          <w:szCs w:val="20"/>
          <w:lang w:eastAsia="en-US"/>
        </w:rPr>
      </w:pPr>
    </w:p>
    <w:p w14:paraId="7BB45BB5" w14:textId="77777777" w:rsidR="009118F7" w:rsidRDefault="009118F7" w:rsidP="009118F7">
      <w:pPr>
        <w:rPr>
          <w:rFonts w:ascii="Arial" w:hAnsi="Arial" w:cs="Arial"/>
          <w:sz w:val="20"/>
          <w:szCs w:val="20"/>
          <w:lang w:eastAsia="en-US"/>
        </w:rPr>
        <w:sectPr w:rsidR="009118F7" w:rsidSect="002037BE">
          <w:headerReference w:type="default" r:id="rId48"/>
          <w:footerReference w:type="default" r:id="rId49"/>
          <w:pgSz w:w="11909" w:h="16834"/>
          <w:pgMar w:top="1440" w:right="1440" w:bottom="1440" w:left="1530" w:header="720" w:footer="720" w:gutter="0"/>
          <w:pgNumType w:start="1"/>
          <w:cols w:space="720"/>
        </w:sectPr>
      </w:pPr>
    </w:p>
    <w:p w14:paraId="27E11133" w14:textId="13D92BBF" w:rsidR="00605399" w:rsidRDefault="00175B54" w:rsidP="00D306CB">
      <w:pPr>
        <w:pStyle w:val="Caption"/>
        <w:spacing w:before="0"/>
        <w:ind w:left="0" w:right="-893" w:firstLine="274"/>
      </w:pPr>
      <w:bookmarkStart w:id="106" w:name="_Toc90725933"/>
      <w:r>
        <w:rPr>
          <w:noProof/>
          <w:lang w:val="en-US"/>
        </w:rPr>
        <w:lastRenderedPageBreak/>
        <w:drawing>
          <wp:anchor distT="0" distB="0" distL="114300" distR="114300" simplePos="0" relativeHeight="251677696" behindDoc="1" locked="0" layoutInCell="1" allowOverlap="1" wp14:anchorId="46F07300" wp14:editId="440BB80A">
            <wp:simplePos x="0" y="0"/>
            <wp:positionH relativeFrom="column">
              <wp:posOffset>-196850</wp:posOffset>
            </wp:positionH>
            <wp:positionV relativeFrom="paragraph">
              <wp:posOffset>190500</wp:posOffset>
            </wp:positionV>
            <wp:extent cx="8915400" cy="6248400"/>
            <wp:effectExtent l="0" t="0" r="0" b="0"/>
            <wp:wrapNone/>
            <wp:docPr id="2087055750" name="Picture 208705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8915400" cy="6248400"/>
                    </a:xfrm>
                    <a:prstGeom prst="rect">
                      <a:avLst/>
                    </a:prstGeom>
                  </pic:spPr>
                </pic:pic>
              </a:graphicData>
            </a:graphic>
            <wp14:sizeRelV relativeFrom="margin">
              <wp14:pctHeight>0</wp14:pctHeight>
            </wp14:sizeRelV>
          </wp:anchor>
        </w:drawing>
      </w:r>
      <w:r w:rsidR="00605399">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6</w:t>
      </w:r>
      <w:r w:rsidR="000B273D">
        <w:rPr>
          <w:noProof/>
        </w:rPr>
        <w:fldChar w:fldCharType="end"/>
      </w:r>
      <w:r w:rsidR="00605399">
        <w:t>:</w:t>
      </w:r>
      <w:r w:rsidR="00605399" w:rsidRPr="009118F7">
        <w:t xml:space="preserve"> </w:t>
      </w:r>
      <w:r w:rsidR="00605399">
        <w:t>Logic of the intervention for Hunedoara County</w:t>
      </w:r>
      <w:bookmarkEnd w:id="106"/>
    </w:p>
    <w:p w14:paraId="19AAC472" w14:textId="005D9172" w:rsidR="009118F7" w:rsidRDefault="009118F7" w:rsidP="009118F7">
      <w:pPr>
        <w:rPr>
          <w:rFonts w:ascii="Arial" w:hAnsi="Arial" w:cs="Arial"/>
          <w:sz w:val="20"/>
          <w:szCs w:val="20"/>
          <w:lang w:eastAsia="en-US"/>
        </w:rPr>
        <w:sectPr w:rsidR="009118F7" w:rsidSect="00175B54">
          <w:headerReference w:type="default" r:id="rId51"/>
          <w:footerReference w:type="default" r:id="rId52"/>
          <w:pgSz w:w="16834" w:h="11909" w:orient="landscape"/>
          <w:pgMar w:top="1530" w:right="1440" w:bottom="1440" w:left="1440" w:header="720" w:footer="720" w:gutter="0"/>
          <w:cols w:space="720"/>
          <w:docGrid w:linePitch="326"/>
        </w:sectPr>
      </w:pPr>
    </w:p>
    <w:p w14:paraId="73B868B1" w14:textId="0BCE7664" w:rsidR="00D83F43" w:rsidRPr="009F2C15" w:rsidRDefault="00C7596F" w:rsidP="00E42342">
      <w:pPr>
        <w:pStyle w:val="Heading2"/>
        <w:numPr>
          <w:ilvl w:val="0"/>
          <w:numId w:val="161"/>
        </w:numPr>
        <w:spacing w:before="240" w:line="240" w:lineRule="auto"/>
      </w:pPr>
      <w:bookmarkStart w:id="107" w:name="_Toc90725858"/>
      <w:r w:rsidRPr="003516DC">
        <w:lastRenderedPageBreak/>
        <w:t>Assessment of the transition challenges at the political-administrative, econom</w:t>
      </w:r>
      <w:r w:rsidR="00F149DA" w:rsidRPr="003516DC">
        <w:t>ic</w:t>
      </w:r>
      <w:r w:rsidRPr="003516DC">
        <w:t xml:space="preserve"> and employment, environmental, socio-cultural and digital/</w:t>
      </w:r>
      <w:r w:rsidR="00F149DA" w:rsidRPr="003516DC">
        <w:t xml:space="preserve"> </w:t>
      </w:r>
      <w:r w:rsidRPr="003516DC">
        <w:t>technological level</w:t>
      </w:r>
      <w:bookmarkEnd w:id="104"/>
      <w:r w:rsidR="00F149DA" w:rsidRPr="003516DC">
        <w:t>s</w:t>
      </w:r>
      <w:bookmarkEnd w:id="107"/>
    </w:p>
    <w:p w14:paraId="3AC2A914" w14:textId="19EEC667" w:rsidR="00C7596F" w:rsidRPr="009118F7" w:rsidRDefault="00C7596F" w:rsidP="00E42342">
      <w:pPr>
        <w:pStyle w:val="Heading3"/>
        <w:numPr>
          <w:ilvl w:val="0"/>
          <w:numId w:val="129"/>
        </w:numPr>
        <w:rPr>
          <w:b w:val="0"/>
          <w:bCs/>
        </w:rPr>
      </w:pPr>
      <w:r w:rsidRPr="009118F7">
        <w:rPr>
          <w:b w:val="0"/>
          <w:bCs/>
        </w:rPr>
        <w:t>State of play</w:t>
      </w:r>
      <w:r w:rsidR="00480A1F" w:rsidRPr="009118F7">
        <w:rPr>
          <w:b w:val="0"/>
          <w:bCs/>
        </w:rPr>
        <w:t xml:space="preserve"> in </w:t>
      </w:r>
      <w:r w:rsidR="00F0070A" w:rsidRPr="009118F7">
        <w:rPr>
          <w:b w:val="0"/>
          <w:bCs/>
        </w:rPr>
        <w:t xml:space="preserve">Hunedoara </w:t>
      </w:r>
      <w:r w:rsidR="00AF33DB">
        <w:rPr>
          <w:b w:val="0"/>
          <w:bCs/>
        </w:rPr>
        <w:t>C</w:t>
      </w:r>
      <w:r w:rsidR="009949C8" w:rsidRPr="009118F7">
        <w:rPr>
          <w:b w:val="0"/>
          <w:bCs/>
        </w:rPr>
        <w:t>ounty</w:t>
      </w:r>
    </w:p>
    <w:p w14:paraId="2ADE4B3C" w14:textId="482D8EC0" w:rsidR="008B6516" w:rsidRPr="00A87A4B" w:rsidRDefault="008B6516" w:rsidP="00A87A4B">
      <w:pPr>
        <w:pStyle w:val="Heading4"/>
        <w:rPr>
          <w:sz w:val="20"/>
          <w:szCs w:val="20"/>
        </w:rPr>
      </w:pPr>
      <w:r w:rsidRPr="00A87A4B">
        <w:rPr>
          <w:sz w:val="20"/>
          <w:szCs w:val="20"/>
        </w:rPr>
        <w:t>Political-administrative level</w:t>
      </w:r>
    </w:p>
    <w:p w14:paraId="0BDA470E" w14:textId="1DA551A4" w:rsidR="00FE3BCD" w:rsidRPr="008B6516" w:rsidRDefault="00FE3BCD" w:rsidP="008B6516">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political-administrative</w:t>
      </w:r>
      <w:r w:rsidRPr="003516DC">
        <w:rPr>
          <w:rFonts w:ascii="Arial" w:hAnsi="Arial" w:cs="Arial"/>
          <w:sz w:val="20"/>
          <w:szCs w:val="20"/>
        </w:rPr>
        <w:t xml:space="preserve"> perspective, the 2020 local elections brought changes in the administrative structures at the</w:t>
      </w:r>
      <w:r w:rsidR="00196CBD" w:rsidRPr="003516DC">
        <w:rPr>
          <w:rFonts w:ascii="Arial" w:hAnsi="Arial" w:cs="Arial"/>
          <w:sz w:val="20"/>
          <w:szCs w:val="20"/>
        </w:rPr>
        <w:t xml:space="preserve"> county and municipal</w:t>
      </w:r>
      <w:r w:rsidRPr="003516DC">
        <w:rPr>
          <w:rFonts w:ascii="Arial" w:hAnsi="Arial" w:cs="Arial"/>
          <w:sz w:val="20"/>
          <w:szCs w:val="20"/>
        </w:rPr>
        <w:t xml:space="preserve"> level</w:t>
      </w:r>
      <w:r w:rsidR="00196CBD" w:rsidRPr="003516DC">
        <w:rPr>
          <w:rFonts w:ascii="Arial" w:hAnsi="Arial" w:cs="Arial"/>
          <w:sz w:val="20"/>
          <w:szCs w:val="20"/>
        </w:rPr>
        <w:t>s</w:t>
      </w:r>
      <w:r w:rsidR="00D60E24" w:rsidRPr="003516DC">
        <w:rPr>
          <w:rFonts w:ascii="Arial" w:hAnsi="Arial" w:cs="Arial"/>
          <w:sz w:val="20"/>
          <w:szCs w:val="20"/>
        </w:rPr>
        <w:t>. This was</w:t>
      </w:r>
      <w:r w:rsidRPr="003516DC">
        <w:rPr>
          <w:rFonts w:ascii="Arial" w:hAnsi="Arial" w:cs="Arial"/>
          <w:sz w:val="20"/>
          <w:szCs w:val="20"/>
        </w:rPr>
        <w:t xml:space="preserve"> coupled with slow progress in the revision and/or elaboration of the local development strategies of the </w:t>
      </w:r>
      <w:r w:rsidR="00196CBD" w:rsidRPr="003516DC">
        <w:rPr>
          <w:rFonts w:ascii="Arial" w:hAnsi="Arial" w:cs="Arial"/>
          <w:sz w:val="20"/>
          <w:szCs w:val="20"/>
        </w:rPr>
        <w:t xml:space="preserve">major </w:t>
      </w:r>
      <w:r w:rsidRPr="003516DC">
        <w:rPr>
          <w:rFonts w:ascii="Arial" w:hAnsi="Arial" w:cs="Arial"/>
          <w:sz w:val="20"/>
          <w:szCs w:val="20"/>
        </w:rPr>
        <w:t>towns and the count</w:t>
      </w:r>
      <w:r w:rsidR="00CD498F" w:rsidRPr="003516DC">
        <w:rPr>
          <w:rFonts w:ascii="Arial" w:hAnsi="Arial" w:cs="Arial"/>
          <w:sz w:val="20"/>
          <w:szCs w:val="20"/>
        </w:rPr>
        <w:t>ies</w:t>
      </w:r>
      <w:r w:rsidRPr="003516DC">
        <w:rPr>
          <w:rFonts w:ascii="Arial" w:hAnsi="Arial" w:cs="Arial"/>
          <w:sz w:val="20"/>
          <w:szCs w:val="20"/>
        </w:rPr>
        <w:t xml:space="preserve">. </w:t>
      </w:r>
      <w:r w:rsidR="00787AB3" w:rsidRPr="003516DC">
        <w:rPr>
          <w:rFonts w:ascii="Arial" w:hAnsi="Arial" w:cs="Arial"/>
          <w:sz w:val="20"/>
          <w:szCs w:val="20"/>
        </w:rPr>
        <w:t>Additionally</w:t>
      </w:r>
      <w:r w:rsidRPr="003516DC">
        <w:rPr>
          <w:rFonts w:ascii="Arial" w:hAnsi="Arial" w:cs="Arial"/>
          <w:sz w:val="20"/>
          <w:szCs w:val="20"/>
        </w:rPr>
        <w:t>, the general elections at the end of 2020 and the subsequent lengthy political negotiations</w:t>
      </w:r>
      <w:r w:rsidR="00787AB3" w:rsidRPr="003516DC">
        <w:rPr>
          <w:rFonts w:ascii="Arial" w:hAnsi="Arial" w:cs="Arial"/>
          <w:sz w:val="20"/>
          <w:szCs w:val="20"/>
        </w:rPr>
        <w:t xml:space="preserve"> were</w:t>
      </w:r>
      <w:r w:rsidRPr="003516DC">
        <w:rPr>
          <w:rFonts w:ascii="Arial" w:hAnsi="Arial" w:cs="Arial"/>
          <w:sz w:val="20"/>
          <w:szCs w:val="20"/>
        </w:rPr>
        <w:t xml:space="preserve"> exacerbated </w:t>
      </w:r>
      <w:r w:rsidR="002C53F0" w:rsidRPr="003516DC">
        <w:rPr>
          <w:rFonts w:ascii="Arial" w:hAnsi="Arial" w:cs="Arial"/>
          <w:sz w:val="20"/>
          <w:szCs w:val="20"/>
        </w:rPr>
        <w:t xml:space="preserve">by a </w:t>
      </w:r>
      <w:r w:rsidRPr="003516DC">
        <w:rPr>
          <w:rFonts w:ascii="Arial" w:hAnsi="Arial" w:cs="Arial"/>
          <w:sz w:val="20"/>
          <w:szCs w:val="20"/>
        </w:rPr>
        <w:t xml:space="preserve">lack of clarity over the short- and medium-term plans of Hunedoara Energy Complex (state-owned enterprise). </w:t>
      </w:r>
      <w:r w:rsidR="006A56B4" w:rsidRPr="003516DC">
        <w:rPr>
          <w:rFonts w:ascii="Arial" w:hAnsi="Arial" w:cs="Arial"/>
          <w:sz w:val="20"/>
          <w:szCs w:val="20"/>
        </w:rPr>
        <w:t>This context, we believe, induced a relative lack of interest and low engagement in the just transition consultation process initiated by the Hunedoara County Council of local municipalities, local branches of public agencies, state- or privately-owned enterprises that fall under the ETS scheme (i.e., Hunedoara Energy Complex, ArcelorMittal Hunedoara)</w:t>
      </w:r>
      <w:r w:rsidR="00ED5FD7" w:rsidRPr="003516DC">
        <w:rPr>
          <w:rFonts w:ascii="Arial" w:hAnsi="Arial" w:cs="Arial"/>
          <w:sz w:val="20"/>
          <w:szCs w:val="20"/>
        </w:rPr>
        <w:t xml:space="preserve">, despite the intense efforts made at </w:t>
      </w:r>
      <w:r w:rsidR="000E1B95">
        <w:rPr>
          <w:rFonts w:ascii="Arial" w:hAnsi="Arial" w:cs="Arial"/>
          <w:sz w:val="20"/>
          <w:szCs w:val="20"/>
        </w:rPr>
        <w:t xml:space="preserve">the </w:t>
      </w:r>
      <w:r w:rsidR="00ED5FD7" w:rsidRPr="003516DC">
        <w:rPr>
          <w:rFonts w:ascii="Arial" w:hAnsi="Arial" w:cs="Arial"/>
          <w:sz w:val="20"/>
          <w:szCs w:val="20"/>
        </w:rPr>
        <w:t>MEIP level to promote this topic, to maintain a constant and coordinated dialogue and to make relevant information and data on the JTF available to the WG and local stakeholders</w:t>
      </w:r>
      <w:r w:rsidR="006A56B4" w:rsidRPr="003516DC">
        <w:rPr>
          <w:rFonts w:ascii="Arial" w:hAnsi="Arial" w:cs="Arial"/>
          <w:sz w:val="20"/>
          <w:szCs w:val="20"/>
        </w:rPr>
        <w:t xml:space="preserve">. </w:t>
      </w:r>
      <w:r w:rsidR="009F1F99" w:rsidRPr="003516DC">
        <w:rPr>
          <w:rFonts w:ascii="Arial" w:hAnsi="Arial" w:cs="Arial"/>
          <w:sz w:val="20"/>
          <w:szCs w:val="20"/>
        </w:rPr>
        <w:t xml:space="preserve">Transition fatigue </w:t>
      </w:r>
      <w:r w:rsidRPr="003516DC">
        <w:rPr>
          <w:rFonts w:ascii="Arial" w:hAnsi="Arial" w:cs="Arial"/>
          <w:sz w:val="20"/>
          <w:szCs w:val="20"/>
        </w:rPr>
        <w:t xml:space="preserve">at </w:t>
      </w:r>
      <w:r w:rsidR="00561310" w:rsidRPr="003516DC">
        <w:rPr>
          <w:rFonts w:ascii="Arial" w:hAnsi="Arial" w:cs="Arial"/>
          <w:sz w:val="20"/>
          <w:szCs w:val="20"/>
        </w:rPr>
        <w:t xml:space="preserve">the </w:t>
      </w:r>
      <w:r w:rsidRPr="003516DC">
        <w:rPr>
          <w:rFonts w:ascii="Arial" w:hAnsi="Arial" w:cs="Arial"/>
          <w:sz w:val="20"/>
          <w:szCs w:val="20"/>
        </w:rPr>
        <w:t>local level was also prominent in the stakeholder engagement process undertaken by the consultant team</w:t>
      </w:r>
      <w:r w:rsidR="00561310" w:rsidRPr="003516DC">
        <w:rPr>
          <w:rFonts w:ascii="Arial" w:hAnsi="Arial" w:cs="Arial"/>
          <w:sz w:val="20"/>
          <w:szCs w:val="20"/>
        </w:rPr>
        <w:t>. One</w:t>
      </w:r>
      <w:r w:rsidRPr="003516DC">
        <w:rPr>
          <w:rFonts w:ascii="Arial" w:hAnsi="Arial" w:cs="Arial"/>
          <w:sz w:val="20"/>
          <w:szCs w:val="20"/>
        </w:rPr>
        <w:t xml:space="preserve"> </w:t>
      </w:r>
      <w:r w:rsidR="00561310" w:rsidRPr="003516DC">
        <w:rPr>
          <w:rFonts w:ascii="Arial" w:hAnsi="Arial" w:cs="Arial"/>
          <w:sz w:val="20"/>
          <w:szCs w:val="20"/>
        </w:rPr>
        <w:t>potential</w:t>
      </w:r>
      <w:r w:rsidRPr="003516DC">
        <w:rPr>
          <w:rFonts w:ascii="Arial" w:hAnsi="Arial" w:cs="Arial"/>
          <w:sz w:val="20"/>
          <w:szCs w:val="20"/>
        </w:rPr>
        <w:t xml:space="preserve"> factor </w:t>
      </w:r>
      <w:r w:rsidR="00561310" w:rsidRPr="003516DC">
        <w:rPr>
          <w:rFonts w:ascii="Arial" w:hAnsi="Arial" w:cs="Arial"/>
          <w:sz w:val="20"/>
          <w:szCs w:val="20"/>
        </w:rPr>
        <w:t xml:space="preserve">for the fatigue </w:t>
      </w:r>
      <w:r w:rsidRPr="003516DC">
        <w:rPr>
          <w:rFonts w:ascii="Arial" w:hAnsi="Arial" w:cs="Arial"/>
          <w:sz w:val="20"/>
          <w:szCs w:val="20"/>
        </w:rPr>
        <w:t>may be the overlap of several energy-transition related technical assistance projects at</w:t>
      </w:r>
      <w:r w:rsidR="003B13D7" w:rsidRPr="003516DC">
        <w:rPr>
          <w:rFonts w:ascii="Arial" w:hAnsi="Arial" w:cs="Arial"/>
          <w:sz w:val="20"/>
          <w:szCs w:val="20"/>
        </w:rPr>
        <w:t xml:space="preserve"> the</w:t>
      </w:r>
      <w:r w:rsidRPr="003516DC">
        <w:rPr>
          <w:rFonts w:ascii="Arial" w:hAnsi="Arial" w:cs="Arial"/>
          <w:sz w:val="20"/>
          <w:szCs w:val="20"/>
        </w:rPr>
        <w:t xml:space="preserve"> county level.</w:t>
      </w:r>
    </w:p>
    <w:p w14:paraId="61C3551E" w14:textId="43B70439" w:rsidR="008B6516" w:rsidRDefault="00025711" w:rsidP="008B6516">
      <w:pPr>
        <w:spacing w:after="120"/>
        <w:jc w:val="both"/>
        <w:rPr>
          <w:rFonts w:ascii="Arial" w:hAnsi="Arial" w:cs="Arial"/>
          <w:sz w:val="20"/>
          <w:szCs w:val="20"/>
        </w:rPr>
      </w:pPr>
      <w:r w:rsidRPr="003516DC">
        <w:rPr>
          <w:rFonts w:ascii="Arial" w:hAnsi="Arial" w:cs="Arial"/>
          <w:sz w:val="20"/>
          <w:szCs w:val="20"/>
        </w:rPr>
        <w:t>I</w:t>
      </w:r>
      <w:r w:rsidR="00FE3BCD" w:rsidRPr="003516DC">
        <w:rPr>
          <w:rFonts w:ascii="Arial" w:hAnsi="Arial" w:cs="Arial"/>
          <w:sz w:val="20"/>
          <w:szCs w:val="20"/>
        </w:rPr>
        <w:t>nteresting exceptions of local actors involved from a political-administrative perspective in the just transition process</w:t>
      </w:r>
      <w:r w:rsidR="00F26629" w:rsidRPr="003516DC">
        <w:rPr>
          <w:rFonts w:ascii="Arial" w:hAnsi="Arial" w:cs="Arial"/>
          <w:sz w:val="20"/>
          <w:szCs w:val="20"/>
        </w:rPr>
        <w:t xml:space="preserve"> </w:t>
      </w:r>
      <w:r w:rsidR="002C3CD2" w:rsidRPr="003516DC">
        <w:rPr>
          <w:rFonts w:ascii="Arial" w:hAnsi="Arial" w:cs="Arial"/>
          <w:sz w:val="20"/>
          <w:szCs w:val="20"/>
        </w:rPr>
        <w:t>include</w:t>
      </w:r>
      <w:r w:rsidR="00FE3BCD" w:rsidRPr="003516DC">
        <w:rPr>
          <w:rFonts w:ascii="Arial" w:hAnsi="Arial" w:cs="Arial"/>
          <w:sz w:val="20"/>
          <w:szCs w:val="20"/>
        </w:rPr>
        <w:t xml:space="preserve"> Hunedoara and Vulcan municipalities, local NGOs (e.g.</w:t>
      </w:r>
      <w:r w:rsidR="002C53F0" w:rsidRPr="003516DC">
        <w:rPr>
          <w:rFonts w:ascii="Arial" w:hAnsi="Arial" w:cs="Arial"/>
          <w:sz w:val="20"/>
          <w:szCs w:val="20"/>
        </w:rPr>
        <w:t>,</w:t>
      </w:r>
      <w:r w:rsidR="00FE3BCD" w:rsidRPr="003516DC">
        <w:rPr>
          <w:rFonts w:ascii="Arial" w:hAnsi="Arial" w:cs="Arial"/>
          <w:sz w:val="20"/>
          <w:szCs w:val="20"/>
        </w:rPr>
        <w:t xml:space="preserve"> the Local Action Groups and “Valea Jiului Implicata” coalition of NGOs from the Jiu Valley microregion), the University in Petrosani, local microcredit providers and the National Association of Wind Energy Producers.</w:t>
      </w:r>
    </w:p>
    <w:p w14:paraId="7515BA39" w14:textId="460C5C08" w:rsidR="008B6516" w:rsidRPr="008B6516" w:rsidRDefault="008B6516" w:rsidP="008B6516">
      <w:pPr>
        <w:pStyle w:val="Heading4"/>
        <w:spacing w:before="0" w:after="120"/>
        <w:rPr>
          <w:sz w:val="20"/>
          <w:szCs w:val="20"/>
        </w:rPr>
      </w:pPr>
      <w:r w:rsidRPr="008B6516">
        <w:rPr>
          <w:sz w:val="20"/>
          <w:szCs w:val="20"/>
        </w:rPr>
        <w:t xml:space="preserve">Economic </w:t>
      </w:r>
      <w:r>
        <w:rPr>
          <w:sz w:val="20"/>
          <w:szCs w:val="20"/>
        </w:rPr>
        <w:t>development</w:t>
      </w:r>
    </w:p>
    <w:p w14:paraId="5BBAADD4" w14:textId="3542BF0D" w:rsidR="002C3CD2" w:rsidRPr="003516DC" w:rsidRDefault="00984E57" w:rsidP="008B6516">
      <w:pPr>
        <w:spacing w:after="120"/>
        <w:jc w:val="both"/>
        <w:rPr>
          <w:rFonts w:ascii="Arial" w:hAnsi="Arial" w:cs="Arial"/>
          <w:sz w:val="20"/>
          <w:szCs w:val="20"/>
        </w:rPr>
      </w:pPr>
      <w:r w:rsidRPr="003516DC">
        <w:rPr>
          <w:rFonts w:ascii="Arial" w:hAnsi="Arial" w:cs="Arial"/>
          <w:sz w:val="20"/>
          <w:szCs w:val="20"/>
        </w:rPr>
        <w:t xml:space="preserve">From an </w:t>
      </w:r>
      <w:r w:rsidRPr="003516DC">
        <w:rPr>
          <w:rFonts w:ascii="Arial" w:hAnsi="Arial" w:cs="Arial"/>
          <w:b/>
          <w:sz w:val="20"/>
          <w:szCs w:val="20"/>
        </w:rPr>
        <w:t>economic</w:t>
      </w:r>
      <w:r w:rsidRPr="003516DC">
        <w:rPr>
          <w:rFonts w:ascii="Arial" w:hAnsi="Arial" w:cs="Arial"/>
          <w:sz w:val="20"/>
          <w:szCs w:val="20"/>
        </w:rPr>
        <w:t xml:space="preserve"> perspective</w:t>
      </w:r>
      <w:r w:rsidR="00FE3BCD" w:rsidRPr="003516DC">
        <w:rPr>
          <w:rFonts w:ascii="Arial" w:hAnsi="Arial" w:cs="Arial"/>
          <w:sz w:val="20"/>
          <w:szCs w:val="20"/>
        </w:rPr>
        <w:t>, the dynamic of the private sector development in the analy</w:t>
      </w:r>
      <w:r w:rsidR="002C3CD2" w:rsidRPr="003516DC">
        <w:rPr>
          <w:rFonts w:ascii="Arial" w:hAnsi="Arial" w:cs="Arial"/>
          <w:sz w:val="20"/>
          <w:szCs w:val="20"/>
        </w:rPr>
        <w:t>s</w:t>
      </w:r>
      <w:r w:rsidR="00FE3BCD" w:rsidRPr="003516DC">
        <w:rPr>
          <w:rFonts w:ascii="Arial" w:hAnsi="Arial" w:cs="Arial"/>
          <w:sz w:val="20"/>
          <w:szCs w:val="20"/>
        </w:rPr>
        <w:t>ed period</w:t>
      </w:r>
      <w:r w:rsidR="002C3CD2" w:rsidRPr="003516DC">
        <w:rPr>
          <w:rFonts w:ascii="Arial" w:hAnsi="Arial" w:cs="Arial"/>
          <w:sz w:val="20"/>
          <w:szCs w:val="20"/>
        </w:rPr>
        <w:t xml:space="preserve"> of</w:t>
      </w:r>
      <w:r w:rsidR="00FE3BCD" w:rsidRPr="003516DC">
        <w:rPr>
          <w:rFonts w:ascii="Arial" w:hAnsi="Arial" w:cs="Arial"/>
          <w:sz w:val="20"/>
          <w:szCs w:val="20"/>
        </w:rPr>
        <w:t xml:space="preserve"> 2010-2019 reveals a slow growth of the number of registered companies (+7.7%) and a much higher growth rate of the self-employed (+58%). There is a low graduation rate from self-employed to micro and small companies and further to medium companies</w:t>
      </w:r>
      <w:r w:rsidR="002C3CD2" w:rsidRPr="003516DC">
        <w:rPr>
          <w:rFonts w:ascii="Arial" w:hAnsi="Arial" w:cs="Arial"/>
          <w:sz w:val="20"/>
          <w:szCs w:val="20"/>
        </w:rPr>
        <w:t>. As a result,</w:t>
      </w:r>
      <w:r w:rsidR="00FE3BCD" w:rsidRPr="003516DC">
        <w:rPr>
          <w:rFonts w:ascii="Arial" w:hAnsi="Arial" w:cs="Arial"/>
          <w:sz w:val="20"/>
          <w:szCs w:val="20"/>
        </w:rPr>
        <w:t xml:space="preserve"> the local SME sector consists mainly of micro-companies with low survival rate. In 2019 Foreign Direct Investment (FDI) in Hunedoara </w:t>
      </w:r>
      <w:r w:rsidR="001E7F14">
        <w:rPr>
          <w:rFonts w:ascii="Arial" w:hAnsi="Arial" w:cs="Arial"/>
          <w:sz w:val="20"/>
          <w:szCs w:val="20"/>
        </w:rPr>
        <w:t>C</w:t>
      </w:r>
      <w:r w:rsidR="009949C8" w:rsidRPr="003516DC">
        <w:rPr>
          <w:rFonts w:ascii="Arial" w:hAnsi="Arial" w:cs="Arial"/>
          <w:sz w:val="20"/>
          <w:szCs w:val="20"/>
        </w:rPr>
        <w:t>ounty</w:t>
      </w:r>
      <w:r w:rsidR="00FE3BCD" w:rsidRPr="003516DC">
        <w:rPr>
          <w:rFonts w:ascii="Arial" w:hAnsi="Arial" w:cs="Arial"/>
          <w:sz w:val="20"/>
          <w:szCs w:val="20"/>
        </w:rPr>
        <w:t xml:space="preserve"> was EUR 411 </w:t>
      </w:r>
      <w:r w:rsidR="002C3CD2" w:rsidRPr="003516DC">
        <w:rPr>
          <w:rFonts w:ascii="Arial" w:hAnsi="Arial" w:cs="Arial"/>
          <w:sz w:val="20"/>
          <w:szCs w:val="20"/>
        </w:rPr>
        <w:t>m</w:t>
      </w:r>
      <w:r w:rsidR="00FE3BCD" w:rsidRPr="003516DC">
        <w:rPr>
          <w:rFonts w:ascii="Arial" w:hAnsi="Arial" w:cs="Arial"/>
          <w:sz w:val="20"/>
          <w:szCs w:val="20"/>
        </w:rPr>
        <w:t>, representing only 7% of the FDI in West Region.</w:t>
      </w:r>
    </w:p>
    <w:p w14:paraId="50A4CE2D" w14:textId="46CCAE2D" w:rsidR="00FE3BCD" w:rsidRPr="003516DC" w:rsidRDefault="00FE3BCD" w:rsidP="008B6516">
      <w:pPr>
        <w:spacing w:after="120"/>
        <w:jc w:val="both"/>
        <w:rPr>
          <w:rFonts w:ascii="Arial" w:hAnsi="Arial" w:cs="Arial"/>
          <w:sz w:val="20"/>
          <w:szCs w:val="20"/>
        </w:rPr>
      </w:pPr>
      <w:r w:rsidRPr="003516DC">
        <w:rPr>
          <w:rFonts w:ascii="Arial" w:hAnsi="Arial" w:cs="Arial"/>
          <w:sz w:val="20"/>
          <w:szCs w:val="20"/>
        </w:rPr>
        <w:t xml:space="preserve">The </w:t>
      </w:r>
      <w:r w:rsidR="00F05E49" w:rsidRPr="003516DC">
        <w:rPr>
          <w:rFonts w:ascii="Arial" w:hAnsi="Arial" w:cs="Arial"/>
          <w:sz w:val="20"/>
          <w:szCs w:val="20"/>
        </w:rPr>
        <w:t xml:space="preserve">annual turnover of active companies registered in Hunedoara </w:t>
      </w:r>
      <w:r w:rsidR="001E7F14">
        <w:rPr>
          <w:rFonts w:ascii="Arial" w:hAnsi="Arial" w:cs="Arial"/>
          <w:sz w:val="20"/>
          <w:szCs w:val="20"/>
        </w:rPr>
        <w:t>C</w:t>
      </w:r>
      <w:r w:rsidR="00F05E49" w:rsidRPr="003516DC">
        <w:rPr>
          <w:rFonts w:ascii="Arial" w:hAnsi="Arial" w:cs="Arial"/>
          <w:sz w:val="20"/>
          <w:szCs w:val="20"/>
        </w:rPr>
        <w:t xml:space="preserve">ounty increased on average by only 3% from 2017-2019, reaching a total of RON 13.2 bn in 2019. The 9,129 profitable companies in the county recorded a profit of RON 1.05 bn. The losses of the 2,332 companies that reported losses amounted to RON 1.41 bn in 2019, almost 40% higher than the profits registered at county level. </w:t>
      </w:r>
    </w:p>
    <w:p w14:paraId="04E5B42A" w14:textId="343DED7D" w:rsidR="00FE3BCD" w:rsidRPr="003516DC" w:rsidRDefault="00FE3BCD" w:rsidP="008B6516">
      <w:pPr>
        <w:spacing w:after="120"/>
        <w:jc w:val="both"/>
        <w:rPr>
          <w:rFonts w:ascii="Arial" w:hAnsi="Arial" w:cs="Arial"/>
          <w:sz w:val="20"/>
          <w:szCs w:val="20"/>
        </w:rPr>
      </w:pPr>
      <w:r w:rsidRPr="003516DC">
        <w:rPr>
          <w:rFonts w:ascii="Arial" w:hAnsi="Arial" w:cs="Arial"/>
          <w:sz w:val="20"/>
          <w:szCs w:val="20"/>
        </w:rPr>
        <w:t xml:space="preserve">The </w:t>
      </w:r>
      <w:r w:rsidR="00586B4E" w:rsidRPr="003516DC">
        <w:rPr>
          <w:rFonts w:ascii="Arial" w:hAnsi="Arial" w:cs="Arial"/>
          <w:sz w:val="20"/>
          <w:szCs w:val="20"/>
        </w:rPr>
        <w:t>mining, energy production and distribution sector</w:t>
      </w:r>
      <w:r w:rsidR="00586B4E" w:rsidRPr="003516DC" w:rsidDel="00586B4E">
        <w:rPr>
          <w:rFonts w:ascii="Arial" w:hAnsi="Arial" w:cs="Arial"/>
          <w:sz w:val="20"/>
          <w:szCs w:val="20"/>
        </w:rPr>
        <w:t xml:space="preserve"> </w:t>
      </w:r>
      <w:r w:rsidR="00586B4E" w:rsidRPr="003516DC">
        <w:rPr>
          <w:rFonts w:ascii="Arial" w:hAnsi="Arial" w:cs="Arial"/>
          <w:sz w:val="20"/>
          <w:szCs w:val="20"/>
        </w:rPr>
        <w:t xml:space="preserve">is </w:t>
      </w:r>
      <w:r w:rsidRPr="003516DC">
        <w:rPr>
          <w:rFonts w:ascii="Arial" w:hAnsi="Arial" w:cs="Arial"/>
          <w:sz w:val="20"/>
          <w:szCs w:val="20"/>
        </w:rPr>
        <w:t xml:space="preserve">responsible for 80% of the </w:t>
      </w:r>
      <w:r w:rsidR="00393A60" w:rsidRPr="003516DC">
        <w:rPr>
          <w:rFonts w:ascii="Arial" w:hAnsi="Arial" w:cs="Arial"/>
          <w:sz w:val="20"/>
          <w:szCs w:val="20"/>
        </w:rPr>
        <w:t xml:space="preserve">economic </w:t>
      </w:r>
      <w:r w:rsidRPr="003516DC">
        <w:rPr>
          <w:rFonts w:ascii="Arial" w:hAnsi="Arial" w:cs="Arial"/>
          <w:sz w:val="20"/>
          <w:szCs w:val="20"/>
        </w:rPr>
        <w:t xml:space="preserve">losses recorded in Hunedoara </w:t>
      </w:r>
      <w:r w:rsidR="001E7F14">
        <w:rPr>
          <w:rFonts w:ascii="Arial" w:hAnsi="Arial" w:cs="Arial"/>
          <w:sz w:val="20"/>
          <w:szCs w:val="20"/>
        </w:rPr>
        <w:t>C</w:t>
      </w:r>
      <w:r w:rsidRPr="003516DC">
        <w:rPr>
          <w:rFonts w:ascii="Arial" w:hAnsi="Arial" w:cs="Arial"/>
          <w:sz w:val="20"/>
          <w:szCs w:val="20"/>
        </w:rPr>
        <w:t xml:space="preserve">ounty, which represents just 5% </w:t>
      </w:r>
      <w:r w:rsidR="001B0277" w:rsidRPr="003516DC">
        <w:rPr>
          <w:rFonts w:ascii="Arial" w:hAnsi="Arial" w:cs="Arial"/>
          <w:sz w:val="20"/>
          <w:szCs w:val="20"/>
        </w:rPr>
        <w:t xml:space="preserve">of </w:t>
      </w:r>
      <w:r w:rsidRPr="003516DC">
        <w:rPr>
          <w:rFonts w:ascii="Arial" w:hAnsi="Arial" w:cs="Arial"/>
          <w:sz w:val="20"/>
          <w:szCs w:val="20"/>
        </w:rPr>
        <w:t xml:space="preserve">the county’s turnover in 2019. The </w:t>
      </w:r>
      <w:r w:rsidR="004A14E7" w:rsidRPr="003516DC">
        <w:rPr>
          <w:rFonts w:ascii="Arial" w:hAnsi="Arial" w:cs="Arial"/>
          <w:sz w:val="20"/>
          <w:szCs w:val="20"/>
        </w:rPr>
        <w:t xml:space="preserve">main local representative of this sector, </w:t>
      </w:r>
      <w:r w:rsidRPr="003516DC">
        <w:rPr>
          <w:rFonts w:ascii="Arial" w:hAnsi="Arial" w:cs="Arial"/>
          <w:sz w:val="20"/>
          <w:szCs w:val="20"/>
        </w:rPr>
        <w:t xml:space="preserve">Hunedoara Energy Complex, </w:t>
      </w:r>
      <w:r w:rsidR="004A14E7" w:rsidRPr="003516DC">
        <w:rPr>
          <w:rFonts w:ascii="Arial" w:hAnsi="Arial" w:cs="Arial"/>
          <w:sz w:val="20"/>
          <w:szCs w:val="20"/>
        </w:rPr>
        <w:t xml:space="preserve">is </w:t>
      </w:r>
      <w:r w:rsidRPr="003516DC">
        <w:rPr>
          <w:rFonts w:ascii="Arial" w:hAnsi="Arial" w:cs="Arial"/>
          <w:sz w:val="20"/>
          <w:szCs w:val="20"/>
        </w:rPr>
        <w:t>currently in insolvency</w:t>
      </w:r>
      <w:r w:rsidR="004A14E7" w:rsidRPr="003516DC">
        <w:rPr>
          <w:rFonts w:ascii="Arial" w:hAnsi="Arial" w:cs="Arial"/>
          <w:sz w:val="20"/>
          <w:szCs w:val="20"/>
        </w:rPr>
        <w:t xml:space="preserve"> and</w:t>
      </w:r>
      <w:r w:rsidRPr="003516DC">
        <w:rPr>
          <w:rFonts w:ascii="Arial" w:hAnsi="Arial" w:cs="Arial"/>
          <w:sz w:val="20"/>
          <w:szCs w:val="20"/>
        </w:rPr>
        <w:t xml:space="preserve"> does not yet have a clear and agreed restructuring plan. Therefore, the future of this loss-generating sector at</w:t>
      </w:r>
      <w:r w:rsidR="00A55E93" w:rsidRPr="003516DC">
        <w:rPr>
          <w:rFonts w:ascii="Arial" w:hAnsi="Arial" w:cs="Arial"/>
          <w:sz w:val="20"/>
          <w:szCs w:val="20"/>
        </w:rPr>
        <w:t xml:space="preserve"> the</w:t>
      </w:r>
      <w:r w:rsidRPr="003516DC">
        <w:rPr>
          <w:rFonts w:ascii="Arial" w:hAnsi="Arial" w:cs="Arial"/>
          <w:sz w:val="20"/>
          <w:szCs w:val="20"/>
        </w:rPr>
        <w:t xml:space="preserve"> local level remains uncertain. The trade sector (</w:t>
      </w:r>
      <w:r w:rsidR="00A55E93" w:rsidRPr="003516DC">
        <w:rPr>
          <w:rFonts w:ascii="Arial" w:hAnsi="Arial" w:cs="Arial"/>
          <w:sz w:val="20"/>
          <w:szCs w:val="20"/>
        </w:rPr>
        <w:t>w</w:t>
      </w:r>
      <w:r w:rsidRPr="003516DC">
        <w:rPr>
          <w:rFonts w:ascii="Arial" w:hAnsi="Arial" w:cs="Arial"/>
          <w:sz w:val="20"/>
          <w:szCs w:val="20"/>
        </w:rPr>
        <w:t xml:space="preserve">holesale/ </w:t>
      </w:r>
      <w:r w:rsidR="00A55E93" w:rsidRPr="003516DC">
        <w:rPr>
          <w:rFonts w:ascii="Arial" w:hAnsi="Arial" w:cs="Arial"/>
          <w:sz w:val="20"/>
          <w:szCs w:val="20"/>
        </w:rPr>
        <w:t>r</w:t>
      </w:r>
      <w:r w:rsidRPr="003516DC">
        <w:rPr>
          <w:rFonts w:ascii="Arial" w:hAnsi="Arial" w:cs="Arial"/>
          <w:sz w:val="20"/>
          <w:szCs w:val="20"/>
        </w:rPr>
        <w:t>etail</w:t>
      </w:r>
      <w:r w:rsidR="00A55E93" w:rsidRPr="003516DC">
        <w:rPr>
          <w:rFonts w:ascii="Arial" w:hAnsi="Arial" w:cs="Arial"/>
          <w:sz w:val="20"/>
          <w:szCs w:val="20"/>
        </w:rPr>
        <w:t>)</w:t>
      </w:r>
      <w:r w:rsidRPr="003516DC">
        <w:rPr>
          <w:rFonts w:ascii="Arial" w:hAnsi="Arial" w:cs="Arial"/>
          <w:sz w:val="20"/>
          <w:szCs w:val="20"/>
        </w:rPr>
        <w:t xml:space="preserve"> contribut</w:t>
      </w:r>
      <w:r w:rsidR="00D73ACD" w:rsidRPr="003516DC">
        <w:rPr>
          <w:rFonts w:ascii="Arial" w:hAnsi="Arial" w:cs="Arial"/>
          <w:sz w:val="20"/>
          <w:szCs w:val="20"/>
        </w:rPr>
        <w:t>ed the most</w:t>
      </w:r>
      <w:r w:rsidRPr="003516DC">
        <w:rPr>
          <w:rFonts w:ascii="Arial" w:hAnsi="Arial" w:cs="Arial"/>
          <w:sz w:val="20"/>
          <w:szCs w:val="20"/>
        </w:rPr>
        <w:t xml:space="preserve"> to the Hunedoara County turnover</w:t>
      </w:r>
      <w:r w:rsidR="00D73ACD" w:rsidRPr="003516DC">
        <w:rPr>
          <w:rFonts w:ascii="Arial" w:hAnsi="Arial" w:cs="Arial"/>
          <w:sz w:val="20"/>
          <w:szCs w:val="20"/>
        </w:rPr>
        <w:t xml:space="preserve"> in 2019</w:t>
      </w:r>
      <w:r w:rsidRPr="003516DC">
        <w:rPr>
          <w:rFonts w:ascii="Arial" w:hAnsi="Arial" w:cs="Arial"/>
          <w:sz w:val="20"/>
          <w:szCs w:val="20"/>
        </w:rPr>
        <w:t xml:space="preserve"> </w:t>
      </w:r>
      <w:r w:rsidR="00D73ACD" w:rsidRPr="003516DC">
        <w:rPr>
          <w:rFonts w:ascii="Arial" w:hAnsi="Arial" w:cs="Arial"/>
          <w:sz w:val="20"/>
          <w:szCs w:val="20"/>
        </w:rPr>
        <w:t xml:space="preserve">with </w:t>
      </w:r>
      <w:r w:rsidRPr="003516DC">
        <w:rPr>
          <w:rFonts w:ascii="Arial" w:hAnsi="Arial" w:cs="Arial"/>
          <w:sz w:val="20"/>
          <w:szCs w:val="20"/>
        </w:rPr>
        <w:t>40%,</w:t>
      </w:r>
      <w:r w:rsidR="00D27B0D" w:rsidRPr="003516DC">
        <w:rPr>
          <w:rFonts w:ascii="Arial" w:hAnsi="Arial" w:cs="Arial"/>
          <w:sz w:val="20"/>
          <w:szCs w:val="20"/>
        </w:rPr>
        <w:t xml:space="preserve"> which was</w:t>
      </w:r>
      <w:r w:rsidRPr="003516DC">
        <w:rPr>
          <w:rFonts w:ascii="Arial" w:hAnsi="Arial" w:cs="Arial"/>
          <w:sz w:val="20"/>
          <w:szCs w:val="20"/>
        </w:rPr>
        <w:t xml:space="preserve"> followed by</w:t>
      </w:r>
      <w:r w:rsidR="00D27B0D" w:rsidRPr="003516DC">
        <w:rPr>
          <w:rFonts w:ascii="Arial" w:hAnsi="Arial" w:cs="Arial"/>
          <w:sz w:val="20"/>
          <w:szCs w:val="20"/>
        </w:rPr>
        <w:t xml:space="preserve"> following sectors:</w:t>
      </w:r>
      <w:r w:rsidRPr="003516DC">
        <w:rPr>
          <w:rFonts w:ascii="Arial" w:hAnsi="Arial" w:cs="Arial"/>
          <w:sz w:val="20"/>
          <w:szCs w:val="20"/>
        </w:rPr>
        <w:t xml:space="preserve"> </w:t>
      </w:r>
      <w:r w:rsidR="00D27B0D" w:rsidRPr="003516DC">
        <w:rPr>
          <w:rFonts w:ascii="Arial" w:hAnsi="Arial" w:cs="Arial"/>
          <w:sz w:val="20"/>
          <w:szCs w:val="20"/>
        </w:rPr>
        <w:t>m</w:t>
      </w:r>
      <w:r w:rsidRPr="003516DC">
        <w:rPr>
          <w:rFonts w:ascii="Arial" w:hAnsi="Arial" w:cs="Arial"/>
          <w:sz w:val="20"/>
          <w:szCs w:val="20"/>
        </w:rPr>
        <w:t>anufacturing</w:t>
      </w:r>
      <w:r w:rsidR="00D27B0D" w:rsidRPr="003516DC">
        <w:rPr>
          <w:rFonts w:ascii="Arial" w:hAnsi="Arial" w:cs="Arial"/>
          <w:sz w:val="20"/>
          <w:szCs w:val="20"/>
        </w:rPr>
        <w:t xml:space="preserve"> (</w:t>
      </w:r>
      <w:r w:rsidRPr="003516DC">
        <w:rPr>
          <w:rFonts w:ascii="Arial" w:hAnsi="Arial" w:cs="Arial"/>
          <w:sz w:val="20"/>
          <w:szCs w:val="20"/>
        </w:rPr>
        <w:t>36%</w:t>
      </w:r>
      <w:r w:rsidR="00D27B0D" w:rsidRPr="003516DC">
        <w:rPr>
          <w:rFonts w:ascii="Arial" w:hAnsi="Arial" w:cs="Arial"/>
          <w:sz w:val="20"/>
          <w:szCs w:val="20"/>
        </w:rPr>
        <w:t>)</w:t>
      </w:r>
      <w:r w:rsidRPr="003516DC">
        <w:rPr>
          <w:rFonts w:ascii="Arial" w:hAnsi="Arial" w:cs="Arial"/>
          <w:sz w:val="20"/>
          <w:szCs w:val="20"/>
        </w:rPr>
        <w:t xml:space="preserve">, </w:t>
      </w:r>
      <w:r w:rsidR="00D27B0D" w:rsidRPr="003516DC">
        <w:rPr>
          <w:rFonts w:ascii="Arial" w:hAnsi="Arial" w:cs="Arial"/>
          <w:sz w:val="20"/>
          <w:szCs w:val="20"/>
        </w:rPr>
        <w:t>c</w:t>
      </w:r>
      <w:r w:rsidRPr="003516DC">
        <w:rPr>
          <w:rFonts w:ascii="Arial" w:hAnsi="Arial" w:cs="Arial"/>
          <w:sz w:val="20"/>
          <w:szCs w:val="20"/>
        </w:rPr>
        <w:t xml:space="preserve">onstruction </w:t>
      </w:r>
      <w:r w:rsidR="00D27B0D" w:rsidRPr="003516DC">
        <w:rPr>
          <w:rFonts w:ascii="Arial" w:hAnsi="Arial" w:cs="Arial"/>
          <w:sz w:val="20"/>
          <w:szCs w:val="20"/>
        </w:rPr>
        <w:t>(</w:t>
      </w:r>
      <w:r w:rsidRPr="003516DC">
        <w:rPr>
          <w:rFonts w:ascii="Arial" w:hAnsi="Arial" w:cs="Arial"/>
          <w:sz w:val="20"/>
          <w:szCs w:val="20"/>
        </w:rPr>
        <w:t>8%</w:t>
      </w:r>
      <w:r w:rsidR="00D27B0D" w:rsidRPr="003516DC">
        <w:rPr>
          <w:rFonts w:ascii="Arial" w:hAnsi="Arial" w:cs="Arial"/>
          <w:sz w:val="20"/>
          <w:szCs w:val="20"/>
        </w:rPr>
        <w:t>)</w:t>
      </w:r>
      <w:r w:rsidRPr="003516DC">
        <w:rPr>
          <w:rFonts w:ascii="Arial" w:hAnsi="Arial" w:cs="Arial"/>
          <w:sz w:val="20"/>
          <w:szCs w:val="20"/>
        </w:rPr>
        <w:t xml:space="preserve"> and IT &amp; </w:t>
      </w:r>
      <w:r w:rsidR="00987248" w:rsidRPr="003516DC">
        <w:rPr>
          <w:rFonts w:ascii="Arial" w:hAnsi="Arial" w:cs="Arial"/>
          <w:sz w:val="20"/>
          <w:szCs w:val="20"/>
        </w:rPr>
        <w:t>c</w:t>
      </w:r>
      <w:r w:rsidRPr="003516DC">
        <w:rPr>
          <w:rFonts w:ascii="Arial" w:hAnsi="Arial" w:cs="Arial"/>
          <w:sz w:val="20"/>
          <w:szCs w:val="20"/>
        </w:rPr>
        <w:t xml:space="preserve">reative industry </w:t>
      </w:r>
      <w:r w:rsidR="00D27B0D" w:rsidRPr="003516DC">
        <w:rPr>
          <w:rFonts w:ascii="Arial" w:hAnsi="Arial" w:cs="Arial"/>
          <w:sz w:val="20"/>
          <w:szCs w:val="20"/>
        </w:rPr>
        <w:t>(</w:t>
      </w:r>
      <w:r w:rsidRPr="003516DC">
        <w:rPr>
          <w:rFonts w:ascii="Arial" w:hAnsi="Arial" w:cs="Arial"/>
          <w:sz w:val="20"/>
          <w:szCs w:val="20"/>
        </w:rPr>
        <w:t>1%</w:t>
      </w:r>
      <w:r w:rsidR="00D27B0D" w:rsidRPr="003516DC">
        <w:rPr>
          <w:rFonts w:ascii="Arial" w:hAnsi="Arial" w:cs="Arial"/>
          <w:sz w:val="20"/>
          <w:szCs w:val="20"/>
        </w:rPr>
        <w:t>)</w:t>
      </w:r>
      <w:r w:rsidRPr="003516DC">
        <w:rPr>
          <w:rFonts w:ascii="Arial" w:hAnsi="Arial" w:cs="Arial"/>
          <w:sz w:val="20"/>
          <w:szCs w:val="20"/>
        </w:rPr>
        <w:t xml:space="preserve">. </w:t>
      </w:r>
    </w:p>
    <w:p w14:paraId="33306038" w14:textId="581596C8" w:rsidR="00FE3BCD" w:rsidRPr="003516DC" w:rsidRDefault="00EC03D6" w:rsidP="008B6516">
      <w:pPr>
        <w:spacing w:after="120"/>
        <w:jc w:val="both"/>
        <w:rPr>
          <w:rFonts w:ascii="Arial" w:hAnsi="Arial" w:cs="Arial"/>
          <w:sz w:val="20"/>
          <w:szCs w:val="20"/>
        </w:rPr>
      </w:pPr>
      <w:r w:rsidRPr="003516DC">
        <w:rPr>
          <w:rFonts w:ascii="Arial" w:hAnsi="Arial" w:cs="Arial"/>
          <w:sz w:val="20"/>
          <w:szCs w:val="20"/>
        </w:rPr>
        <w:t>From 2010-2019, t</w:t>
      </w:r>
      <w:r w:rsidR="00E45B2D" w:rsidRPr="003516DC">
        <w:rPr>
          <w:rFonts w:ascii="Arial" w:hAnsi="Arial" w:cs="Arial"/>
          <w:sz w:val="20"/>
          <w:szCs w:val="20"/>
        </w:rPr>
        <w:t>urnover in t</w:t>
      </w:r>
      <w:r w:rsidR="00FE3BCD" w:rsidRPr="003516DC">
        <w:rPr>
          <w:rFonts w:ascii="Arial" w:hAnsi="Arial" w:cs="Arial"/>
          <w:sz w:val="20"/>
          <w:szCs w:val="20"/>
        </w:rPr>
        <w:t>he manufacturing sector increased</w:t>
      </w:r>
      <w:r w:rsidR="00E45B2D" w:rsidRPr="003516DC">
        <w:rPr>
          <w:rFonts w:ascii="Arial" w:hAnsi="Arial" w:cs="Arial"/>
          <w:sz w:val="20"/>
          <w:szCs w:val="20"/>
        </w:rPr>
        <w:t xml:space="preserve"> from </w:t>
      </w:r>
      <w:r w:rsidR="00BA3AA0" w:rsidRPr="003516DC">
        <w:rPr>
          <w:rFonts w:ascii="Arial" w:hAnsi="Arial" w:cs="Arial"/>
          <w:sz w:val="20"/>
          <w:szCs w:val="20"/>
        </w:rPr>
        <w:t xml:space="preserve">RON </w:t>
      </w:r>
      <w:r w:rsidR="00E45B2D" w:rsidRPr="003516DC">
        <w:rPr>
          <w:rFonts w:ascii="Arial" w:hAnsi="Arial" w:cs="Arial"/>
          <w:sz w:val="20"/>
          <w:szCs w:val="20"/>
        </w:rPr>
        <w:t xml:space="preserve">3.02 to 4.77 </w:t>
      </w:r>
      <w:r w:rsidR="00BA3AA0" w:rsidRPr="003516DC">
        <w:rPr>
          <w:rFonts w:ascii="Arial" w:hAnsi="Arial" w:cs="Arial"/>
          <w:sz w:val="20"/>
          <w:szCs w:val="20"/>
        </w:rPr>
        <w:t>bn</w:t>
      </w:r>
      <w:r w:rsidR="00E45B2D" w:rsidRPr="003516DC">
        <w:rPr>
          <w:rFonts w:ascii="Arial" w:hAnsi="Arial" w:cs="Arial"/>
          <w:sz w:val="20"/>
          <w:szCs w:val="20"/>
        </w:rPr>
        <w:t xml:space="preserve"> (</w:t>
      </w:r>
      <w:r w:rsidR="00F86115" w:rsidRPr="003516DC">
        <w:rPr>
          <w:rFonts w:ascii="Arial" w:hAnsi="Arial" w:cs="Arial"/>
          <w:sz w:val="20"/>
          <w:szCs w:val="20"/>
        </w:rPr>
        <w:t xml:space="preserve">increase of </w:t>
      </w:r>
      <w:r w:rsidR="00E45B2D" w:rsidRPr="003516DC">
        <w:rPr>
          <w:rFonts w:ascii="Arial" w:hAnsi="Arial" w:cs="Arial"/>
          <w:sz w:val="20"/>
          <w:szCs w:val="20"/>
        </w:rPr>
        <w:t>58%)</w:t>
      </w:r>
      <w:r w:rsidR="00636E0B" w:rsidRPr="003516DC">
        <w:rPr>
          <w:rFonts w:ascii="Arial" w:hAnsi="Arial" w:cs="Arial"/>
          <w:sz w:val="20"/>
          <w:szCs w:val="20"/>
        </w:rPr>
        <w:t>.</w:t>
      </w:r>
      <w:r w:rsidR="00FE3BCD" w:rsidRPr="003516DC">
        <w:rPr>
          <w:rFonts w:ascii="Arial" w:hAnsi="Arial" w:cs="Arial"/>
          <w:sz w:val="20"/>
          <w:szCs w:val="20"/>
        </w:rPr>
        <w:t xml:space="preserve"> </w:t>
      </w:r>
      <w:r w:rsidR="00636E0B" w:rsidRPr="003516DC">
        <w:rPr>
          <w:rFonts w:ascii="Arial" w:hAnsi="Arial" w:cs="Arial"/>
          <w:sz w:val="20"/>
          <w:szCs w:val="20"/>
        </w:rPr>
        <w:t>T</w:t>
      </w:r>
      <w:r w:rsidR="00FE3BCD" w:rsidRPr="003516DC">
        <w:rPr>
          <w:rFonts w:ascii="Arial" w:hAnsi="Arial" w:cs="Arial"/>
          <w:sz w:val="20"/>
          <w:szCs w:val="20"/>
        </w:rPr>
        <w:t xml:space="preserve">he three main manufacturing sectors are fabricated metal products (27% </w:t>
      </w:r>
      <w:r w:rsidR="00636E0B" w:rsidRPr="003516DC">
        <w:rPr>
          <w:rFonts w:ascii="Arial" w:hAnsi="Arial" w:cs="Arial"/>
          <w:sz w:val="20"/>
          <w:szCs w:val="20"/>
        </w:rPr>
        <w:t xml:space="preserve">of </w:t>
      </w:r>
      <w:r w:rsidR="00FE3BCD" w:rsidRPr="003516DC">
        <w:rPr>
          <w:rFonts w:ascii="Arial" w:hAnsi="Arial" w:cs="Arial"/>
          <w:sz w:val="20"/>
          <w:szCs w:val="20"/>
        </w:rPr>
        <w:t>total manufacturing turnover in 2019), electrical equipment (19%) and rubber and plastic products (10%)</w:t>
      </w:r>
      <w:r w:rsidR="00A2016E" w:rsidRPr="003516DC">
        <w:rPr>
          <w:rFonts w:ascii="Arial" w:hAnsi="Arial" w:cs="Arial"/>
          <w:sz w:val="20"/>
          <w:szCs w:val="20"/>
        </w:rPr>
        <w:t>.</w:t>
      </w:r>
      <w:r w:rsidR="00FE3BCD" w:rsidRPr="003516DC">
        <w:rPr>
          <w:rFonts w:ascii="Arial" w:hAnsi="Arial" w:cs="Arial"/>
          <w:sz w:val="20"/>
          <w:szCs w:val="20"/>
        </w:rPr>
        <w:t xml:space="preserve"> </w:t>
      </w:r>
      <w:r w:rsidR="00A2016E" w:rsidRPr="003516DC">
        <w:rPr>
          <w:rFonts w:ascii="Arial" w:hAnsi="Arial" w:cs="Arial"/>
          <w:sz w:val="20"/>
          <w:szCs w:val="20"/>
        </w:rPr>
        <w:t>Other manufacturing subsectors include</w:t>
      </w:r>
      <w:r w:rsidR="00FE3BCD" w:rsidRPr="003516DC">
        <w:rPr>
          <w:rFonts w:ascii="Arial" w:hAnsi="Arial" w:cs="Arial"/>
          <w:sz w:val="20"/>
          <w:szCs w:val="20"/>
        </w:rPr>
        <w:t xml:space="preserve"> metals, textile, food sectors and furniture production. The highest growth during the period was </w:t>
      </w:r>
      <w:r w:rsidR="00397E9B" w:rsidRPr="003516DC">
        <w:rPr>
          <w:rFonts w:ascii="Arial" w:hAnsi="Arial" w:cs="Arial"/>
          <w:sz w:val="20"/>
          <w:szCs w:val="20"/>
        </w:rPr>
        <w:t>in the</w:t>
      </w:r>
      <w:r w:rsidR="00FE3BCD" w:rsidRPr="003516DC">
        <w:rPr>
          <w:rFonts w:ascii="Arial" w:hAnsi="Arial" w:cs="Arial"/>
          <w:sz w:val="20"/>
          <w:szCs w:val="20"/>
        </w:rPr>
        <w:t xml:space="preserve"> manufacturing of electrical equipment </w:t>
      </w:r>
      <w:r w:rsidR="00397E9B" w:rsidRPr="003516DC">
        <w:rPr>
          <w:rFonts w:ascii="Arial" w:hAnsi="Arial" w:cs="Arial"/>
          <w:sz w:val="20"/>
          <w:szCs w:val="20"/>
        </w:rPr>
        <w:t>(340%)</w:t>
      </w:r>
      <w:r w:rsidR="003A0A31" w:rsidRPr="003516DC">
        <w:rPr>
          <w:rFonts w:ascii="Arial" w:hAnsi="Arial" w:cs="Arial"/>
          <w:sz w:val="20"/>
          <w:szCs w:val="20"/>
        </w:rPr>
        <w:t>,</w:t>
      </w:r>
      <w:r w:rsidR="00397E9B" w:rsidRPr="003516DC">
        <w:rPr>
          <w:rFonts w:ascii="Arial" w:hAnsi="Arial" w:cs="Arial"/>
          <w:sz w:val="20"/>
          <w:szCs w:val="20"/>
        </w:rPr>
        <w:t xml:space="preserve"> </w:t>
      </w:r>
      <w:r w:rsidR="00FE3BCD" w:rsidRPr="003516DC">
        <w:rPr>
          <w:rFonts w:ascii="Arial" w:hAnsi="Arial" w:cs="Arial"/>
          <w:sz w:val="20"/>
          <w:szCs w:val="20"/>
        </w:rPr>
        <w:t>with the dominant Philips Orăștie (</w:t>
      </w:r>
      <w:r w:rsidR="00397E9B" w:rsidRPr="003516DC">
        <w:rPr>
          <w:rFonts w:ascii="Arial" w:hAnsi="Arial" w:cs="Arial"/>
          <w:sz w:val="20"/>
          <w:szCs w:val="20"/>
        </w:rPr>
        <w:t>m</w:t>
      </w:r>
      <w:r w:rsidR="00FE3BCD" w:rsidRPr="003516DC">
        <w:rPr>
          <w:rFonts w:ascii="Arial" w:hAnsi="Arial" w:cs="Arial"/>
          <w:sz w:val="20"/>
          <w:szCs w:val="20"/>
        </w:rPr>
        <w:t>anufacture</w:t>
      </w:r>
      <w:r w:rsidR="00397E9B" w:rsidRPr="003516DC">
        <w:rPr>
          <w:rFonts w:ascii="Arial" w:hAnsi="Arial" w:cs="Arial"/>
          <w:sz w:val="20"/>
          <w:szCs w:val="20"/>
        </w:rPr>
        <w:t>r</w:t>
      </w:r>
      <w:r w:rsidR="00FE3BCD" w:rsidRPr="003516DC">
        <w:rPr>
          <w:rFonts w:ascii="Arial" w:hAnsi="Arial" w:cs="Arial"/>
          <w:sz w:val="20"/>
          <w:szCs w:val="20"/>
        </w:rPr>
        <w:t xml:space="preserve"> of household appliances)</w:t>
      </w:r>
      <w:r w:rsidR="003A0A31" w:rsidRPr="003516DC">
        <w:rPr>
          <w:rFonts w:ascii="Arial" w:hAnsi="Arial" w:cs="Arial"/>
          <w:sz w:val="20"/>
          <w:szCs w:val="20"/>
        </w:rPr>
        <w:t xml:space="preserve"> leading the way,</w:t>
      </w:r>
      <w:r w:rsidR="00FE3BCD" w:rsidRPr="003516DC">
        <w:rPr>
          <w:rFonts w:ascii="Arial" w:hAnsi="Arial" w:cs="Arial"/>
          <w:sz w:val="20"/>
          <w:szCs w:val="20"/>
        </w:rPr>
        <w:t xml:space="preserve"> followed by SEWS Romania SRL</w:t>
      </w:r>
      <w:r w:rsidR="005725D2" w:rsidRPr="003516DC">
        <w:rPr>
          <w:rFonts w:ascii="Arial" w:hAnsi="Arial" w:cs="Arial"/>
          <w:sz w:val="20"/>
          <w:szCs w:val="20"/>
        </w:rPr>
        <w:t xml:space="preserve"> and</w:t>
      </w:r>
      <w:r w:rsidR="00FE3BCD" w:rsidRPr="003516DC">
        <w:rPr>
          <w:rFonts w:ascii="Arial" w:hAnsi="Arial" w:cs="Arial"/>
          <w:sz w:val="20"/>
          <w:szCs w:val="20"/>
        </w:rPr>
        <w:t xml:space="preserve"> </w:t>
      </w:r>
      <w:r w:rsidR="005725D2" w:rsidRPr="003516DC">
        <w:rPr>
          <w:rFonts w:ascii="Arial" w:hAnsi="Arial" w:cs="Arial"/>
          <w:sz w:val="20"/>
          <w:szCs w:val="20"/>
        </w:rPr>
        <w:t xml:space="preserve">its </w:t>
      </w:r>
      <w:r w:rsidR="00FE3BCD" w:rsidRPr="003516DC">
        <w:rPr>
          <w:rFonts w:ascii="Arial" w:hAnsi="Arial" w:cs="Arial"/>
          <w:sz w:val="20"/>
          <w:szCs w:val="20"/>
        </w:rPr>
        <w:t>two factories in Deva and Orăștie (</w:t>
      </w:r>
      <w:r w:rsidR="00833956" w:rsidRPr="003516DC">
        <w:rPr>
          <w:rFonts w:ascii="Arial" w:hAnsi="Arial" w:cs="Arial"/>
          <w:sz w:val="20"/>
          <w:szCs w:val="20"/>
        </w:rPr>
        <w:t>w</w:t>
      </w:r>
      <w:r w:rsidR="00FE3BCD" w:rsidRPr="003516DC">
        <w:rPr>
          <w:rFonts w:ascii="Arial" w:hAnsi="Arial" w:cs="Arial"/>
          <w:sz w:val="20"/>
          <w:szCs w:val="20"/>
        </w:rPr>
        <w:t>iring and pipe harnesses).</w:t>
      </w:r>
    </w:p>
    <w:p w14:paraId="7145EEB0" w14:textId="77777777" w:rsidR="00D963B9" w:rsidRDefault="00FE3BCD" w:rsidP="008B6516">
      <w:pPr>
        <w:spacing w:after="120"/>
        <w:jc w:val="both"/>
        <w:rPr>
          <w:rFonts w:ascii="Arial" w:hAnsi="Arial" w:cs="Arial"/>
          <w:sz w:val="20"/>
          <w:szCs w:val="20"/>
        </w:rPr>
      </w:pPr>
      <w:r w:rsidRPr="003516DC">
        <w:rPr>
          <w:rFonts w:ascii="Arial" w:hAnsi="Arial" w:cs="Arial"/>
          <w:sz w:val="20"/>
          <w:szCs w:val="20"/>
        </w:rPr>
        <w:t xml:space="preserve">In terms of manufacturing, </w:t>
      </w:r>
      <w:r w:rsidR="006B3324" w:rsidRPr="003516DC">
        <w:rPr>
          <w:rFonts w:ascii="Arial" w:hAnsi="Arial" w:cs="Arial"/>
          <w:sz w:val="20"/>
          <w:szCs w:val="20"/>
        </w:rPr>
        <w:t xml:space="preserve">the </w:t>
      </w:r>
      <w:r w:rsidRPr="003516DC">
        <w:rPr>
          <w:rFonts w:ascii="Arial" w:hAnsi="Arial" w:cs="Arial"/>
          <w:sz w:val="20"/>
          <w:szCs w:val="20"/>
        </w:rPr>
        <w:t xml:space="preserve">Hunedoara </w:t>
      </w:r>
      <w:r w:rsidR="009901CB" w:rsidRPr="003516DC">
        <w:rPr>
          <w:rFonts w:ascii="Arial" w:hAnsi="Arial" w:cs="Arial"/>
          <w:sz w:val="20"/>
          <w:szCs w:val="20"/>
        </w:rPr>
        <w:t>C</w:t>
      </w:r>
      <w:r w:rsidRPr="003516DC">
        <w:rPr>
          <w:rFonts w:ascii="Arial" w:hAnsi="Arial" w:cs="Arial"/>
          <w:sz w:val="20"/>
          <w:szCs w:val="20"/>
        </w:rPr>
        <w:t xml:space="preserve">ounty landscape is concentrated in </w:t>
      </w:r>
      <w:r w:rsidR="006B3324" w:rsidRPr="003516DC">
        <w:rPr>
          <w:rFonts w:ascii="Arial" w:hAnsi="Arial" w:cs="Arial"/>
          <w:sz w:val="20"/>
          <w:szCs w:val="20"/>
        </w:rPr>
        <w:t>six</w:t>
      </w:r>
      <w:r w:rsidRPr="003516DC">
        <w:rPr>
          <w:rFonts w:ascii="Arial" w:hAnsi="Arial" w:cs="Arial"/>
          <w:sz w:val="20"/>
          <w:szCs w:val="20"/>
        </w:rPr>
        <w:t xml:space="preserve"> main sectors that generate</w:t>
      </w:r>
      <w:r w:rsidR="009F5E24" w:rsidRPr="003516DC">
        <w:rPr>
          <w:rFonts w:ascii="Arial" w:hAnsi="Arial" w:cs="Arial"/>
          <w:sz w:val="20"/>
          <w:szCs w:val="20"/>
        </w:rPr>
        <w:t>d</w:t>
      </w:r>
      <w:r w:rsidRPr="003516DC">
        <w:rPr>
          <w:rFonts w:ascii="Arial" w:hAnsi="Arial" w:cs="Arial"/>
          <w:sz w:val="20"/>
          <w:szCs w:val="20"/>
        </w:rPr>
        <w:t xml:space="preserve"> 84% of the manufacturing turnover in 2019. </w:t>
      </w:r>
      <w:r w:rsidR="00821F30" w:rsidRPr="003516DC">
        <w:rPr>
          <w:rFonts w:ascii="Arial" w:hAnsi="Arial" w:cs="Arial"/>
          <w:sz w:val="20"/>
          <w:szCs w:val="20"/>
        </w:rPr>
        <w:t xml:space="preserve">Manufacturing </w:t>
      </w:r>
      <w:r w:rsidR="00DF1B43" w:rsidRPr="003516DC">
        <w:rPr>
          <w:rFonts w:ascii="Arial" w:hAnsi="Arial" w:cs="Arial"/>
          <w:sz w:val="20"/>
          <w:szCs w:val="20"/>
        </w:rPr>
        <w:t>a</w:t>
      </w:r>
      <w:r w:rsidRPr="003516DC">
        <w:rPr>
          <w:rFonts w:ascii="Arial" w:hAnsi="Arial" w:cs="Arial"/>
          <w:sz w:val="20"/>
          <w:szCs w:val="20"/>
        </w:rPr>
        <w:t xml:space="preserve">reas with potential for further development and job creation </w:t>
      </w:r>
      <w:r w:rsidR="009F5E24" w:rsidRPr="003516DC">
        <w:rPr>
          <w:rFonts w:ascii="Arial" w:hAnsi="Arial" w:cs="Arial"/>
          <w:sz w:val="20"/>
          <w:szCs w:val="20"/>
        </w:rPr>
        <w:t xml:space="preserve">include </w:t>
      </w:r>
      <w:r w:rsidRPr="003516DC">
        <w:rPr>
          <w:rFonts w:ascii="Arial" w:hAnsi="Arial" w:cs="Arial"/>
          <w:sz w:val="20"/>
          <w:szCs w:val="20"/>
        </w:rPr>
        <w:t>the metal and electrical industr</w:t>
      </w:r>
      <w:r w:rsidR="00280F28" w:rsidRPr="003516DC">
        <w:rPr>
          <w:rFonts w:ascii="Arial" w:hAnsi="Arial" w:cs="Arial"/>
          <w:sz w:val="20"/>
          <w:szCs w:val="20"/>
        </w:rPr>
        <w:t>y</w:t>
      </w:r>
      <w:r w:rsidRPr="003516DC">
        <w:rPr>
          <w:rFonts w:ascii="Arial" w:hAnsi="Arial" w:cs="Arial"/>
          <w:sz w:val="20"/>
          <w:szCs w:val="20"/>
        </w:rPr>
        <w:t>, the textile and food processing sector (</w:t>
      </w:r>
      <w:r w:rsidR="009F5E24" w:rsidRPr="003516DC">
        <w:rPr>
          <w:rFonts w:ascii="Arial" w:hAnsi="Arial" w:cs="Arial"/>
          <w:sz w:val="20"/>
          <w:szCs w:val="20"/>
        </w:rPr>
        <w:t xml:space="preserve">already </w:t>
      </w:r>
      <w:r w:rsidRPr="003516DC">
        <w:rPr>
          <w:rFonts w:ascii="Arial" w:hAnsi="Arial" w:cs="Arial"/>
          <w:sz w:val="20"/>
          <w:szCs w:val="20"/>
        </w:rPr>
        <w:t>well represented by profitable medium</w:t>
      </w:r>
      <w:r w:rsidR="00726C38" w:rsidRPr="003516DC">
        <w:rPr>
          <w:rFonts w:ascii="Arial" w:hAnsi="Arial" w:cs="Arial"/>
          <w:sz w:val="20"/>
          <w:szCs w:val="20"/>
        </w:rPr>
        <w:t>-sized</w:t>
      </w:r>
      <w:r w:rsidRPr="003516DC">
        <w:rPr>
          <w:rFonts w:ascii="Arial" w:hAnsi="Arial" w:cs="Arial"/>
          <w:sz w:val="20"/>
          <w:szCs w:val="20"/>
        </w:rPr>
        <w:t xml:space="preserve"> companies) and the furniture industry.</w:t>
      </w:r>
    </w:p>
    <w:p w14:paraId="3492DF04" w14:textId="0FCC5409" w:rsidR="00FE3BCD" w:rsidRPr="003516DC" w:rsidRDefault="002E526F" w:rsidP="008B6516">
      <w:pPr>
        <w:spacing w:after="120"/>
        <w:jc w:val="both"/>
        <w:rPr>
          <w:rFonts w:ascii="Arial" w:hAnsi="Arial" w:cs="Arial"/>
          <w:sz w:val="20"/>
          <w:szCs w:val="20"/>
        </w:rPr>
      </w:pPr>
      <w:r w:rsidRPr="003516DC">
        <w:rPr>
          <w:rFonts w:ascii="Arial" w:hAnsi="Arial" w:cs="Arial"/>
          <w:b/>
          <w:sz w:val="20"/>
          <w:szCs w:val="20"/>
        </w:rPr>
        <w:lastRenderedPageBreak/>
        <w:t>Economic trends by sector</w:t>
      </w:r>
      <w:r w:rsidRPr="003516DC">
        <w:rPr>
          <w:rFonts w:ascii="Arial" w:hAnsi="Arial" w:cs="Arial"/>
          <w:sz w:val="20"/>
          <w:szCs w:val="20"/>
        </w:rPr>
        <w:t xml:space="preserve"> are presented in the Table </w:t>
      </w:r>
      <w:r w:rsidR="001C68D2">
        <w:rPr>
          <w:rFonts w:ascii="Arial" w:hAnsi="Arial" w:cs="Arial"/>
          <w:sz w:val="20"/>
          <w:szCs w:val="20"/>
        </w:rPr>
        <w:t>21</w:t>
      </w:r>
      <w:r w:rsidRPr="003516DC">
        <w:rPr>
          <w:rFonts w:ascii="Arial" w:hAnsi="Arial" w:cs="Arial"/>
          <w:sz w:val="20"/>
          <w:szCs w:val="20"/>
        </w:rPr>
        <w:t xml:space="preserve">. Nearly all sectors recorded growth during the period, with the exception of the mining and energy production and distribution </w:t>
      </w:r>
      <w:r w:rsidR="00EB3293" w:rsidRPr="003516DC">
        <w:rPr>
          <w:rFonts w:ascii="Arial" w:hAnsi="Arial" w:cs="Arial"/>
          <w:sz w:val="20"/>
          <w:szCs w:val="20"/>
        </w:rPr>
        <w:t>(</w:t>
      </w:r>
      <w:r w:rsidR="00FE3BCD" w:rsidRPr="003516DC">
        <w:rPr>
          <w:rFonts w:ascii="Arial" w:hAnsi="Arial" w:cs="Arial"/>
          <w:sz w:val="20"/>
          <w:szCs w:val="20"/>
        </w:rPr>
        <w:t xml:space="preserve">which recorded </w:t>
      </w:r>
      <w:r w:rsidR="00622738" w:rsidRPr="003516DC">
        <w:rPr>
          <w:rFonts w:ascii="Arial" w:hAnsi="Arial" w:cs="Arial"/>
          <w:sz w:val="20"/>
          <w:szCs w:val="20"/>
        </w:rPr>
        <w:t>a decline</w:t>
      </w:r>
      <w:r w:rsidR="00EB3293" w:rsidRPr="003516DC">
        <w:rPr>
          <w:rFonts w:ascii="Arial" w:hAnsi="Arial" w:cs="Arial"/>
          <w:sz w:val="20"/>
          <w:szCs w:val="20"/>
        </w:rPr>
        <w:t>)</w:t>
      </w:r>
      <w:r w:rsidR="00FE3BCD" w:rsidRPr="003516DC">
        <w:rPr>
          <w:rFonts w:ascii="Arial" w:hAnsi="Arial" w:cs="Arial"/>
          <w:sz w:val="20"/>
          <w:szCs w:val="20"/>
        </w:rPr>
        <w:t xml:space="preserve">, and stagnant financial and real estate services. </w:t>
      </w:r>
    </w:p>
    <w:p w14:paraId="011899ED" w14:textId="2CC09E02" w:rsidR="00FE3BCD" w:rsidRPr="003516DC" w:rsidRDefault="00FE3BCD" w:rsidP="00FE3BCD">
      <w:pPr>
        <w:pStyle w:val="Caption"/>
      </w:pPr>
      <w:bookmarkStart w:id="108" w:name="_Toc90725975"/>
      <w:bookmarkStart w:id="109" w:name="_Toc90727272"/>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5B64B2">
        <w:rPr>
          <w:noProof/>
        </w:rPr>
        <w:t>21</w:t>
      </w:r>
      <w:r w:rsidR="0040363E" w:rsidRPr="003516DC">
        <w:rPr>
          <w:noProof/>
        </w:rPr>
        <w:fldChar w:fldCharType="end"/>
      </w:r>
      <w:r w:rsidRPr="003516DC">
        <w:t>: Economic sector trends during 2010-2019</w:t>
      </w:r>
      <w:r w:rsidR="00782488" w:rsidRPr="003516DC">
        <w:t>:</w:t>
      </w:r>
      <w:r w:rsidRPr="003516DC">
        <w:t xml:space="preserve"> Hunedoara </w:t>
      </w:r>
      <w:r w:rsidR="00F77450">
        <w:t>C</w:t>
      </w:r>
      <w:r w:rsidRPr="003516DC">
        <w:t>ounty</w:t>
      </w:r>
      <w:bookmarkEnd w:id="108"/>
      <w:bookmarkEnd w:id="109"/>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2836"/>
        <w:gridCol w:w="1416"/>
        <w:gridCol w:w="1657"/>
        <w:gridCol w:w="1522"/>
        <w:gridCol w:w="1498"/>
      </w:tblGrid>
      <w:tr w:rsidR="006F5F7C" w:rsidRPr="003516DC" w14:paraId="6DCB0698" w14:textId="77777777" w:rsidTr="00D963B9">
        <w:trPr>
          <w:trHeight w:val="1275"/>
          <w:tblHeader/>
        </w:trPr>
        <w:tc>
          <w:tcPr>
            <w:tcW w:w="1588" w:type="pct"/>
            <w:shd w:val="clear" w:color="auto" w:fill="002060"/>
            <w:vAlign w:val="center"/>
            <w:hideMark/>
          </w:tcPr>
          <w:p w14:paraId="632B3126" w14:textId="77777777" w:rsidR="006F5F7C" w:rsidRPr="006F5F7C" w:rsidRDefault="006F5F7C" w:rsidP="00FE3BCD">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Economic sector</w:t>
            </w:r>
          </w:p>
        </w:tc>
        <w:tc>
          <w:tcPr>
            <w:tcW w:w="793" w:type="pct"/>
            <w:shd w:val="clear" w:color="auto" w:fill="002060"/>
            <w:vAlign w:val="center"/>
            <w:hideMark/>
          </w:tcPr>
          <w:p w14:paraId="0B09683B" w14:textId="2078E5CB" w:rsidR="006F5F7C" w:rsidRPr="006F5F7C" w:rsidRDefault="006F5F7C" w:rsidP="00FE3BCD">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from Total HD County Turnover in 2019</w:t>
            </w:r>
          </w:p>
        </w:tc>
        <w:tc>
          <w:tcPr>
            <w:tcW w:w="928" w:type="pct"/>
            <w:shd w:val="clear" w:color="auto" w:fill="002060"/>
            <w:vAlign w:val="center"/>
            <w:hideMark/>
          </w:tcPr>
          <w:p w14:paraId="02F068B8" w14:textId="62489A03" w:rsidR="006F5F7C" w:rsidRPr="006F5F7C" w:rsidRDefault="006F5F7C" w:rsidP="00FE3BCD">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of growth (+)/ decrease (-) of turnover 2019-2010</w:t>
            </w:r>
          </w:p>
        </w:tc>
        <w:tc>
          <w:tcPr>
            <w:tcW w:w="852" w:type="pct"/>
            <w:shd w:val="clear" w:color="auto" w:fill="002060"/>
            <w:vAlign w:val="center"/>
            <w:hideMark/>
          </w:tcPr>
          <w:p w14:paraId="5BEE00AE" w14:textId="77777777" w:rsidR="006F5F7C" w:rsidRPr="006F5F7C" w:rsidRDefault="006F5F7C" w:rsidP="00FE3BCD">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from Total HD County Employment in 2019</w:t>
            </w:r>
          </w:p>
        </w:tc>
        <w:tc>
          <w:tcPr>
            <w:tcW w:w="839" w:type="pct"/>
            <w:shd w:val="clear" w:color="auto" w:fill="002060"/>
            <w:vAlign w:val="center"/>
            <w:hideMark/>
          </w:tcPr>
          <w:p w14:paraId="549D0900" w14:textId="27A0F91D" w:rsidR="006F5F7C" w:rsidRPr="006F5F7C" w:rsidRDefault="006F5F7C" w:rsidP="00FE3BCD">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of growth (+)/ decrease (-) of employment 2019-2010</w:t>
            </w:r>
          </w:p>
        </w:tc>
      </w:tr>
      <w:tr w:rsidR="006F5F7C" w:rsidRPr="003516DC" w14:paraId="00754D4A" w14:textId="77777777" w:rsidTr="00D963B9">
        <w:trPr>
          <w:trHeight w:val="432"/>
        </w:trPr>
        <w:tc>
          <w:tcPr>
            <w:tcW w:w="1588" w:type="pct"/>
            <w:shd w:val="clear" w:color="000000" w:fill="FFFFFF"/>
            <w:noWrap/>
            <w:vAlign w:val="center"/>
            <w:hideMark/>
          </w:tcPr>
          <w:p w14:paraId="20C8DCEC"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793" w:type="pct"/>
            <w:shd w:val="clear" w:color="auto" w:fill="C2D69B" w:themeFill="accent3" w:themeFillTint="99"/>
            <w:noWrap/>
            <w:vAlign w:val="center"/>
            <w:hideMark/>
          </w:tcPr>
          <w:p w14:paraId="54D00C32"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w:t>
            </w:r>
          </w:p>
        </w:tc>
        <w:tc>
          <w:tcPr>
            <w:tcW w:w="928" w:type="pct"/>
            <w:shd w:val="clear" w:color="auto" w:fill="C2D69B" w:themeFill="accent3" w:themeFillTint="99"/>
            <w:vAlign w:val="center"/>
            <w:hideMark/>
          </w:tcPr>
          <w:p w14:paraId="4C70B86C" w14:textId="65C76843"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63.0%</w:t>
            </w:r>
          </w:p>
        </w:tc>
        <w:tc>
          <w:tcPr>
            <w:tcW w:w="852" w:type="pct"/>
            <w:shd w:val="clear" w:color="auto" w:fill="C2D69B" w:themeFill="accent3" w:themeFillTint="99"/>
            <w:vAlign w:val="center"/>
            <w:hideMark/>
          </w:tcPr>
          <w:p w14:paraId="1B5FF468"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3.1%</w:t>
            </w:r>
          </w:p>
        </w:tc>
        <w:tc>
          <w:tcPr>
            <w:tcW w:w="839" w:type="pct"/>
            <w:shd w:val="clear" w:color="auto" w:fill="C2D69B" w:themeFill="accent3" w:themeFillTint="99"/>
            <w:vAlign w:val="center"/>
            <w:hideMark/>
          </w:tcPr>
          <w:p w14:paraId="4B300635" w14:textId="2DF7C462"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1.5%</w:t>
            </w:r>
          </w:p>
        </w:tc>
      </w:tr>
      <w:tr w:rsidR="006F5F7C" w:rsidRPr="003516DC" w14:paraId="0EBD8355" w14:textId="77777777" w:rsidTr="00D963B9">
        <w:trPr>
          <w:trHeight w:val="432"/>
        </w:trPr>
        <w:tc>
          <w:tcPr>
            <w:tcW w:w="1588" w:type="pct"/>
            <w:shd w:val="clear" w:color="000000" w:fill="FFFFFF"/>
            <w:vAlign w:val="center"/>
            <w:hideMark/>
          </w:tcPr>
          <w:p w14:paraId="2F22C169" w14:textId="4EB06C3D"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Mining Energy production &amp; Distribution</w:t>
            </w:r>
          </w:p>
        </w:tc>
        <w:tc>
          <w:tcPr>
            <w:tcW w:w="793" w:type="pct"/>
            <w:shd w:val="clear" w:color="auto" w:fill="FF7575"/>
            <w:noWrap/>
            <w:vAlign w:val="center"/>
            <w:hideMark/>
          </w:tcPr>
          <w:p w14:paraId="6362B575"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w:t>
            </w:r>
          </w:p>
        </w:tc>
        <w:tc>
          <w:tcPr>
            <w:tcW w:w="928" w:type="pct"/>
            <w:shd w:val="clear" w:color="auto" w:fill="FF7575"/>
            <w:vAlign w:val="center"/>
            <w:hideMark/>
          </w:tcPr>
          <w:p w14:paraId="5CD82673" w14:textId="1535A89D"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-67.7%</w:t>
            </w:r>
          </w:p>
        </w:tc>
        <w:tc>
          <w:tcPr>
            <w:tcW w:w="852" w:type="pct"/>
            <w:shd w:val="clear" w:color="auto" w:fill="FF7575"/>
            <w:vAlign w:val="center"/>
            <w:hideMark/>
          </w:tcPr>
          <w:p w14:paraId="6B48034F"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11.6%</w:t>
            </w:r>
          </w:p>
        </w:tc>
        <w:tc>
          <w:tcPr>
            <w:tcW w:w="839" w:type="pct"/>
            <w:shd w:val="clear" w:color="auto" w:fill="FF7575"/>
            <w:vAlign w:val="center"/>
            <w:hideMark/>
          </w:tcPr>
          <w:p w14:paraId="44B3DF5E" w14:textId="46924DAD"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-49.5%</w:t>
            </w:r>
          </w:p>
        </w:tc>
      </w:tr>
      <w:tr w:rsidR="006F5F7C" w:rsidRPr="003516DC" w14:paraId="137FE83E" w14:textId="77777777" w:rsidTr="00D963B9">
        <w:trPr>
          <w:trHeight w:val="432"/>
        </w:trPr>
        <w:tc>
          <w:tcPr>
            <w:tcW w:w="1588" w:type="pct"/>
            <w:shd w:val="clear" w:color="000000" w:fill="FFFFFF"/>
            <w:noWrap/>
            <w:vAlign w:val="center"/>
            <w:hideMark/>
          </w:tcPr>
          <w:p w14:paraId="1763FBAB"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793" w:type="pct"/>
            <w:shd w:val="clear" w:color="auto" w:fill="D9D9D9" w:themeFill="background1" w:themeFillShade="D9"/>
            <w:noWrap/>
            <w:vAlign w:val="center"/>
            <w:hideMark/>
          </w:tcPr>
          <w:p w14:paraId="71BA93E7"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36%</w:t>
            </w:r>
          </w:p>
        </w:tc>
        <w:tc>
          <w:tcPr>
            <w:tcW w:w="928" w:type="pct"/>
            <w:shd w:val="clear" w:color="auto" w:fill="D9D9D9" w:themeFill="background1" w:themeFillShade="D9"/>
            <w:vAlign w:val="center"/>
            <w:hideMark/>
          </w:tcPr>
          <w:p w14:paraId="1DC8FB62" w14:textId="75BAB9FD"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57.8%</w:t>
            </w:r>
          </w:p>
        </w:tc>
        <w:tc>
          <w:tcPr>
            <w:tcW w:w="852" w:type="pct"/>
            <w:shd w:val="clear" w:color="auto" w:fill="D9D9D9" w:themeFill="background1" w:themeFillShade="D9"/>
            <w:vAlign w:val="center"/>
            <w:hideMark/>
          </w:tcPr>
          <w:p w14:paraId="426098D2"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34.9%</w:t>
            </w:r>
          </w:p>
        </w:tc>
        <w:tc>
          <w:tcPr>
            <w:tcW w:w="839" w:type="pct"/>
            <w:shd w:val="clear" w:color="auto" w:fill="D9D9D9" w:themeFill="background1" w:themeFillShade="D9"/>
            <w:vAlign w:val="center"/>
            <w:hideMark/>
          </w:tcPr>
          <w:p w14:paraId="0ED38F4D" w14:textId="177E1E71"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-14.9%</w:t>
            </w:r>
          </w:p>
        </w:tc>
      </w:tr>
      <w:tr w:rsidR="006F5F7C" w:rsidRPr="003516DC" w14:paraId="10D57B98" w14:textId="77777777" w:rsidTr="00D963B9">
        <w:trPr>
          <w:trHeight w:val="432"/>
        </w:trPr>
        <w:tc>
          <w:tcPr>
            <w:tcW w:w="1588" w:type="pct"/>
            <w:shd w:val="clear" w:color="000000" w:fill="FFFFFF"/>
            <w:noWrap/>
            <w:vAlign w:val="center"/>
            <w:hideMark/>
          </w:tcPr>
          <w:p w14:paraId="2CFD543D"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793" w:type="pct"/>
            <w:shd w:val="clear" w:color="auto" w:fill="D9D9D9" w:themeFill="background1" w:themeFillShade="D9"/>
            <w:noWrap/>
            <w:vAlign w:val="center"/>
            <w:hideMark/>
          </w:tcPr>
          <w:p w14:paraId="0D95671A"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w:t>
            </w:r>
          </w:p>
        </w:tc>
        <w:tc>
          <w:tcPr>
            <w:tcW w:w="928" w:type="pct"/>
            <w:shd w:val="clear" w:color="auto" w:fill="D9D9D9" w:themeFill="background1" w:themeFillShade="D9"/>
            <w:vAlign w:val="center"/>
            <w:hideMark/>
          </w:tcPr>
          <w:p w14:paraId="37A11A1A" w14:textId="5C628E85"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42.0%</w:t>
            </w:r>
          </w:p>
        </w:tc>
        <w:tc>
          <w:tcPr>
            <w:tcW w:w="852" w:type="pct"/>
            <w:shd w:val="clear" w:color="auto" w:fill="D9D9D9" w:themeFill="background1" w:themeFillShade="D9"/>
            <w:vAlign w:val="center"/>
            <w:hideMark/>
          </w:tcPr>
          <w:p w14:paraId="3A732020"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8.5%</w:t>
            </w:r>
          </w:p>
        </w:tc>
        <w:tc>
          <w:tcPr>
            <w:tcW w:w="839" w:type="pct"/>
            <w:shd w:val="clear" w:color="auto" w:fill="D9D9D9" w:themeFill="background1" w:themeFillShade="D9"/>
            <w:vAlign w:val="center"/>
            <w:hideMark/>
          </w:tcPr>
          <w:p w14:paraId="6DA44CCE" w14:textId="4C026A5E"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-16.2%</w:t>
            </w:r>
          </w:p>
        </w:tc>
      </w:tr>
      <w:tr w:rsidR="006F5F7C" w:rsidRPr="003516DC" w14:paraId="0F142E60" w14:textId="77777777" w:rsidTr="00D963B9">
        <w:trPr>
          <w:trHeight w:val="432"/>
        </w:trPr>
        <w:tc>
          <w:tcPr>
            <w:tcW w:w="1588" w:type="pct"/>
            <w:shd w:val="clear" w:color="000000" w:fill="FFFFFF"/>
            <w:noWrap/>
            <w:vAlign w:val="center"/>
            <w:hideMark/>
          </w:tcPr>
          <w:p w14:paraId="68F342CB" w14:textId="445A8FA3"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793" w:type="pct"/>
            <w:shd w:val="clear" w:color="auto" w:fill="D9D9D9" w:themeFill="background1" w:themeFillShade="D9"/>
            <w:noWrap/>
            <w:vAlign w:val="center"/>
            <w:hideMark/>
          </w:tcPr>
          <w:p w14:paraId="57565803"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40%</w:t>
            </w:r>
          </w:p>
        </w:tc>
        <w:tc>
          <w:tcPr>
            <w:tcW w:w="928" w:type="pct"/>
            <w:shd w:val="clear" w:color="auto" w:fill="D9D9D9" w:themeFill="background1" w:themeFillShade="D9"/>
            <w:vAlign w:val="center"/>
            <w:hideMark/>
          </w:tcPr>
          <w:p w14:paraId="267B4501" w14:textId="13B78120"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44.1%</w:t>
            </w:r>
          </w:p>
        </w:tc>
        <w:tc>
          <w:tcPr>
            <w:tcW w:w="852" w:type="pct"/>
            <w:shd w:val="clear" w:color="auto" w:fill="D9D9D9" w:themeFill="background1" w:themeFillShade="D9"/>
            <w:vAlign w:val="center"/>
            <w:hideMark/>
          </w:tcPr>
          <w:p w14:paraId="62131000"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29.2%</w:t>
            </w:r>
          </w:p>
        </w:tc>
        <w:tc>
          <w:tcPr>
            <w:tcW w:w="839" w:type="pct"/>
            <w:shd w:val="clear" w:color="auto" w:fill="D9D9D9" w:themeFill="background1" w:themeFillShade="D9"/>
            <w:vAlign w:val="center"/>
            <w:hideMark/>
          </w:tcPr>
          <w:p w14:paraId="1059CBA3" w14:textId="01E16E76"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-9.6%</w:t>
            </w:r>
          </w:p>
        </w:tc>
      </w:tr>
      <w:tr w:rsidR="006F5F7C" w:rsidRPr="003516DC" w14:paraId="1F742538" w14:textId="77777777" w:rsidTr="00D963B9">
        <w:trPr>
          <w:trHeight w:val="432"/>
        </w:trPr>
        <w:tc>
          <w:tcPr>
            <w:tcW w:w="1588" w:type="pct"/>
            <w:shd w:val="clear" w:color="000000" w:fill="FFFFFF"/>
            <w:noWrap/>
            <w:vAlign w:val="center"/>
            <w:hideMark/>
          </w:tcPr>
          <w:p w14:paraId="1443D040"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793" w:type="pct"/>
            <w:shd w:val="clear" w:color="auto" w:fill="D9D9D9" w:themeFill="background1" w:themeFillShade="D9"/>
            <w:noWrap/>
            <w:vAlign w:val="center"/>
            <w:hideMark/>
          </w:tcPr>
          <w:p w14:paraId="0898E3A5"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w:t>
            </w:r>
          </w:p>
        </w:tc>
        <w:tc>
          <w:tcPr>
            <w:tcW w:w="928" w:type="pct"/>
            <w:shd w:val="clear" w:color="auto" w:fill="D9D9D9" w:themeFill="background1" w:themeFillShade="D9"/>
            <w:vAlign w:val="center"/>
            <w:hideMark/>
          </w:tcPr>
          <w:p w14:paraId="6C61F3DA" w14:textId="4057636F"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91.4%</w:t>
            </w:r>
          </w:p>
        </w:tc>
        <w:tc>
          <w:tcPr>
            <w:tcW w:w="852" w:type="pct"/>
            <w:shd w:val="clear" w:color="auto" w:fill="D9D9D9" w:themeFill="background1" w:themeFillShade="D9"/>
            <w:vAlign w:val="center"/>
            <w:hideMark/>
          </w:tcPr>
          <w:p w14:paraId="04D4D3E8"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0.7%</w:t>
            </w:r>
          </w:p>
        </w:tc>
        <w:tc>
          <w:tcPr>
            <w:tcW w:w="839" w:type="pct"/>
            <w:shd w:val="clear" w:color="auto" w:fill="D9D9D9" w:themeFill="background1" w:themeFillShade="D9"/>
            <w:vAlign w:val="center"/>
            <w:hideMark/>
          </w:tcPr>
          <w:p w14:paraId="73D2195C" w14:textId="738E6680"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-8.3%</w:t>
            </w:r>
          </w:p>
        </w:tc>
      </w:tr>
      <w:tr w:rsidR="006F5F7C" w:rsidRPr="003516DC" w14:paraId="141E6106" w14:textId="77777777" w:rsidTr="00D963B9">
        <w:trPr>
          <w:trHeight w:val="432"/>
        </w:trPr>
        <w:tc>
          <w:tcPr>
            <w:tcW w:w="1588" w:type="pct"/>
            <w:shd w:val="clear" w:color="000000" w:fill="FFFFFF"/>
            <w:noWrap/>
            <w:vAlign w:val="center"/>
            <w:hideMark/>
          </w:tcPr>
          <w:p w14:paraId="45C49688"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793" w:type="pct"/>
            <w:shd w:val="clear" w:color="auto" w:fill="C2D69B" w:themeFill="accent3" w:themeFillTint="99"/>
            <w:noWrap/>
            <w:vAlign w:val="center"/>
            <w:hideMark/>
          </w:tcPr>
          <w:p w14:paraId="21CFBA4C"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w:t>
            </w:r>
          </w:p>
        </w:tc>
        <w:tc>
          <w:tcPr>
            <w:tcW w:w="928" w:type="pct"/>
            <w:shd w:val="clear" w:color="auto" w:fill="C2D69B" w:themeFill="accent3" w:themeFillTint="99"/>
            <w:vAlign w:val="center"/>
            <w:hideMark/>
          </w:tcPr>
          <w:p w14:paraId="392AB5C0" w14:textId="38FF30CA"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62.3%</w:t>
            </w:r>
          </w:p>
        </w:tc>
        <w:tc>
          <w:tcPr>
            <w:tcW w:w="852" w:type="pct"/>
            <w:shd w:val="clear" w:color="auto" w:fill="C2D69B" w:themeFill="accent3" w:themeFillTint="99"/>
            <w:vAlign w:val="center"/>
            <w:hideMark/>
          </w:tcPr>
          <w:p w14:paraId="368B4CCF"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0.6%</w:t>
            </w:r>
          </w:p>
        </w:tc>
        <w:tc>
          <w:tcPr>
            <w:tcW w:w="839" w:type="pct"/>
            <w:shd w:val="clear" w:color="auto" w:fill="C2D69B" w:themeFill="accent3" w:themeFillTint="99"/>
            <w:vAlign w:val="center"/>
            <w:hideMark/>
          </w:tcPr>
          <w:p w14:paraId="190E74AC" w14:textId="30FF8BA0"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16.5%</w:t>
            </w:r>
          </w:p>
        </w:tc>
      </w:tr>
      <w:tr w:rsidR="006F5F7C" w:rsidRPr="003516DC" w14:paraId="737322E2" w14:textId="77777777" w:rsidTr="00D963B9">
        <w:trPr>
          <w:trHeight w:val="432"/>
        </w:trPr>
        <w:tc>
          <w:tcPr>
            <w:tcW w:w="1588" w:type="pct"/>
            <w:shd w:val="clear" w:color="000000" w:fill="FFFFFF"/>
            <w:noWrap/>
            <w:vAlign w:val="center"/>
            <w:hideMark/>
          </w:tcPr>
          <w:p w14:paraId="6C7CD18F"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793" w:type="pct"/>
            <w:shd w:val="clear" w:color="auto" w:fill="C2D69B" w:themeFill="accent3" w:themeFillTint="99"/>
            <w:noWrap/>
            <w:vAlign w:val="center"/>
            <w:hideMark/>
          </w:tcPr>
          <w:p w14:paraId="0B804580"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w:t>
            </w:r>
          </w:p>
        </w:tc>
        <w:tc>
          <w:tcPr>
            <w:tcW w:w="928" w:type="pct"/>
            <w:shd w:val="clear" w:color="auto" w:fill="C2D69B" w:themeFill="accent3" w:themeFillTint="99"/>
            <w:vAlign w:val="center"/>
            <w:hideMark/>
          </w:tcPr>
          <w:p w14:paraId="52F6FE5D" w14:textId="569C5596"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41.9%</w:t>
            </w:r>
          </w:p>
        </w:tc>
        <w:tc>
          <w:tcPr>
            <w:tcW w:w="852" w:type="pct"/>
            <w:shd w:val="clear" w:color="auto" w:fill="C2D69B" w:themeFill="accent3" w:themeFillTint="99"/>
            <w:vAlign w:val="center"/>
            <w:hideMark/>
          </w:tcPr>
          <w:p w14:paraId="68891ED5"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0.5%</w:t>
            </w:r>
          </w:p>
        </w:tc>
        <w:tc>
          <w:tcPr>
            <w:tcW w:w="839" w:type="pct"/>
            <w:shd w:val="clear" w:color="auto" w:fill="C2D69B" w:themeFill="accent3" w:themeFillTint="99"/>
            <w:vAlign w:val="center"/>
            <w:hideMark/>
          </w:tcPr>
          <w:p w14:paraId="6F70C48B" w14:textId="468C3AE0"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5.4%</w:t>
            </w:r>
          </w:p>
        </w:tc>
      </w:tr>
      <w:tr w:rsidR="006F5F7C" w:rsidRPr="003516DC" w14:paraId="1912B7F8" w14:textId="77777777" w:rsidTr="00D963B9">
        <w:trPr>
          <w:trHeight w:val="432"/>
        </w:trPr>
        <w:tc>
          <w:tcPr>
            <w:tcW w:w="1588" w:type="pct"/>
            <w:shd w:val="clear" w:color="000000" w:fill="FFFFFF"/>
            <w:noWrap/>
            <w:vAlign w:val="center"/>
            <w:hideMark/>
          </w:tcPr>
          <w:p w14:paraId="230E383B"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793" w:type="pct"/>
            <w:shd w:val="clear" w:color="auto" w:fill="D9D9D9" w:themeFill="background1" w:themeFillShade="D9"/>
            <w:noWrap/>
            <w:vAlign w:val="center"/>
            <w:hideMark/>
          </w:tcPr>
          <w:p w14:paraId="738FFA49"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w:t>
            </w:r>
          </w:p>
        </w:tc>
        <w:tc>
          <w:tcPr>
            <w:tcW w:w="928" w:type="pct"/>
            <w:shd w:val="clear" w:color="auto" w:fill="D9D9D9" w:themeFill="background1" w:themeFillShade="D9"/>
            <w:vAlign w:val="center"/>
            <w:hideMark/>
          </w:tcPr>
          <w:p w14:paraId="7581ADF7" w14:textId="0CBB85FC"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80.5%</w:t>
            </w:r>
          </w:p>
        </w:tc>
        <w:tc>
          <w:tcPr>
            <w:tcW w:w="852" w:type="pct"/>
            <w:shd w:val="clear" w:color="auto" w:fill="D9D9D9" w:themeFill="background1" w:themeFillShade="D9"/>
            <w:vAlign w:val="center"/>
            <w:hideMark/>
          </w:tcPr>
          <w:p w14:paraId="0AFBC8DB"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7.3%</w:t>
            </w:r>
          </w:p>
        </w:tc>
        <w:tc>
          <w:tcPr>
            <w:tcW w:w="839" w:type="pct"/>
            <w:shd w:val="clear" w:color="auto" w:fill="D9D9D9" w:themeFill="background1" w:themeFillShade="D9"/>
            <w:vAlign w:val="center"/>
            <w:hideMark/>
          </w:tcPr>
          <w:p w14:paraId="7855313A" w14:textId="110FC986"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-11.8%</w:t>
            </w:r>
          </w:p>
        </w:tc>
      </w:tr>
      <w:tr w:rsidR="006F5F7C" w:rsidRPr="003516DC" w14:paraId="3525B9D2" w14:textId="77777777" w:rsidTr="00D963B9">
        <w:trPr>
          <w:trHeight w:val="432"/>
        </w:trPr>
        <w:tc>
          <w:tcPr>
            <w:tcW w:w="1588" w:type="pct"/>
            <w:shd w:val="clear" w:color="000000" w:fill="FFFFFF"/>
            <w:noWrap/>
            <w:vAlign w:val="center"/>
            <w:hideMark/>
          </w:tcPr>
          <w:p w14:paraId="7E286FF2" w14:textId="77777777" w:rsidR="006F5F7C" w:rsidRPr="003516DC" w:rsidRDefault="006F5F7C" w:rsidP="005E276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793" w:type="pct"/>
            <w:shd w:val="clear" w:color="auto" w:fill="C2D69B" w:themeFill="accent3" w:themeFillTint="99"/>
            <w:noWrap/>
            <w:vAlign w:val="center"/>
            <w:hideMark/>
          </w:tcPr>
          <w:p w14:paraId="705B825C"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w:t>
            </w:r>
          </w:p>
        </w:tc>
        <w:tc>
          <w:tcPr>
            <w:tcW w:w="928" w:type="pct"/>
            <w:shd w:val="clear" w:color="auto" w:fill="C2D69B" w:themeFill="accent3" w:themeFillTint="99"/>
            <w:vAlign w:val="center"/>
            <w:hideMark/>
          </w:tcPr>
          <w:p w14:paraId="01A4EF8C" w14:textId="25B2DD44" w:rsidR="006F5F7C" w:rsidRPr="003516DC" w:rsidRDefault="006F5F7C" w:rsidP="005E2760">
            <w:pPr>
              <w:jc w:val="center"/>
              <w:rPr>
                <w:rFonts w:ascii="Arial" w:eastAsia="Times New Roman" w:hAnsi="Arial" w:cs="Arial"/>
                <w:color w:val="000000"/>
                <w:sz w:val="18"/>
                <w:szCs w:val="18"/>
                <w:lang w:val="en-US"/>
              </w:rPr>
            </w:pPr>
            <w:r w:rsidRPr="003516DC">
              <w:rPr>
                <w:rFonts w:ascii="Arial" w:hAnsi="Arial" w:cs="Arial"/>
                <w:sz w:val="18"/>
                <w:szCs w:val="18"/>
              </w:rPr>
              <w:t>291.8%</w:t>
            </w:r>
          </w:p>
        </w:tc>
        <w:tc>
          <w:tcPr>
            <w:tcW w:w="852" w:type="pct"/>
            <w:shd w:val="clear" w:color="auto" w:fill="C2D69B" w:themeFill="accent3" w:themeFillTint="99"/>
            <w:vAlign w:val="center"/>
            <w:hideMark/>
          </w:tcPr>
          <w:p w14:paraId="2F868588" w14:textId="77777777"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3.6%</w:t>
            </w:r>
          </w:p>
        </w:tc>
        <w:tc>
          <w:tcPr>
            <w:tcW w:w="839" w:type="pct"/>
            <w:shd w:val="clear" w:color="auto" w:fill="C2D69B" w:themeFill="accent3" w:themeFillTint="99"/>
            <w:vAlign w:val="center"/>
            <w:hideMark/>
          </w:tcPr>
          <w:p w14:paraId="56BD8AAC" w14:textId="59DF4D66" w:rsidR="006F5F7C" w:rsidRPr="003516DC" w:rsidRDefault="006F5F7C" w:rsidP="005E2760">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45.2%</w:t>
            </w:r>
          </w:p>
        </w:tc>
      </w:tr>
    </w:tbl>
    <w:p w14:paraId="2616438B" w14:textId="684CA6A4" w:rsidR="00903249" w:rsidRDefault="00850AB0" w:rsidP="00903249">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6BF55B87" w14:textId="1A6E64BC" w:rsidR="005166AE" w:rsidRDefault="005166AE" w:rsidP="00695EBD">
      <w:pPr>
        <w:spacing w:after="120"/>
        <w:jc w:val="both"/>
        <w:rPr>
          <w:rFonts w:ascii="Arial" w:hAnsi="Arial" w:cs="Arial"/>
          <w:i/>
          <w:iCs/>
          <w:sz w:val="16"/>
          <w:szCs w:val="16"/>
        </w:rPr>
      </w:pPr>
      <w:r>
        <w:rPr>
          <w:rFonts w:ascii="Arial" w:hAnsi="Arial" w:cs="Arial"/>
          <w:i/>
          <w:iCs/>
          <w:sz w:val="16"/>
          <w:szCs w:val="16"/>
        </w:rPr>
        <w:t xml:space="preserve">*Legend: economic sectors highlighted </w:t>
      </w:r>
      <w:r w:rsidR="00066341">
        <w:rPr>
          <w:rFonts w:ascii="Arial" w:hAnsi="Arial" w:cs="Arial"/>
          <w:i/>
          <w:iCs/>
          <w:sz w:val="16"/>
          <w:szCs w:val="16"/>
        </w:rPr>
        <w:t>in</w:t>
      </w:r>
      <w:r>
        <w:rPr>
          <w:rFonts w:ascii="Arial" w:hAnsi="Arial" w:cs="Arial"/>
          <w:i/>
          <w:iCs/>
          <w:sz w:val="16"/>
          <w:szCs w:val="16"/>
        </w:rPr>
        <w:t xml:space="preserve"> green registered growth in terms turnover and employment; economic sectors highlighted </w:t>
      </w:r>
      <w:r w:rsidR="00066341">
        <w:rPr>
          <w:rFonts w:ascii="Arial" w:hAnsi="Arial" w:cs="Arial"/>
          <w:i/>
          <w:iCs/>
          <w:sz w:val="16"/>
          <w:szCs w:val="16"/>
        </w:rPr>
        <w:t>in</w:t>
      </w:r>
      <w:r>
        <w:rPr>
          <w:rFonts w:ascii="Arial" w:hAnsi="Arial" w:cs="Arial"/>
          <w:i/>
          <w:iCs/>
          <w:sz w:val="16"/>
          <w:szCs w:val="16"/>
        </w:rPr>
        <w:t xml:space="preserve"> red registered decrease</w:t>
      </w:r>
      <w:r w:rsidR="00066341">
        <w:rPr>
          <w:rFonts w:ascii="Arial" w:hAnsi="Arial" w:cs="Arial"/>
          <w:i/>
          <w:iCs/>
          <w:sz w:val="16"/>
          <w:szCs w:val="16"/>
        </w:rPr>
        <w:t>s</w:t>
      </w:r>
      <w:r>
        <w:rPr>
          <w:rFonts w:ascii="Arial" w:hAnsi="Arial" w:cs="Arial"/>
          <w:i/>
          <w:iCs/>
          <w:sz w:val="16"/>
          <w:szCs w:val="16"/>
        </w:rPr>
        <w:t xml:space="preserve"> in terms of both turnover and employment; economic sectors highlighted </w:t>
      </w:r>
      <w:r w:rsidR="00066341">
        <w:rPr>
          <w:rFonts w:ascii="Arial" w:hAnsi="Arial" w:cs="Arial"/>
          <w:i/>
          <w:iCs/>
          <w:sz w:val="16"/>
          <w:szCs w:val="16"/>
        </w:rPr>
        <w:t>in</w:t>
      </w:r>
      <w:r>
        <w:rPr>
          <w:rFonts w:ascii="Arial" w:hAnsi="Arial" w:cs="Arial"/>
          <w:i/>
          <w:iCs/>
          <w:sz w:val="16"/>
          <w:szCs w:val="16"/>
        </w:rPr>
        <w:t xml:space="preserve"> grey registered diverging evolution</w:t>
      </w:r>
      <w:r w:rsidR="00066341">
        <w:rPr>
          <w:rFonts w:ascii="Arial" w:hAnsi="Arial" w:cs="Arial"/>
          <w:i/>
          <w:iCs/>
          <w:sz w:val="16"/>
          <w:szCs w:val="16"/>
        </w:rPr>
        <w:t>s</w:t>
      </w:r>
      <w:r>
        <w:rPr>
          <w:rFonts w:ascii="Arial" w:hAnsi="Arial" w:cs="Arial"/>
          <w:i/>
          <w:iCs/>
          <w:sz w:val="16"/>
          <w:szCs w:val="16"/>
        </w:rPr>
        <w:t xml:space="preserve"> in terms of turnover and employment, e.g., growth in turnover and decrease in employment.</w:t>
      </w:r>
    </w:p>
    <w:p w14:paraId="29C5A997" w14:textId="77777777" w:rsidR="00695EBD" w:rsidRPr="001552CD" w:rsidRDefault="00695EBD" w:rsidP="00695EBD">
      <w:pPr>
        <w:spacing w:after="120"/>
        <w:jc w:val="both"/>
        <w:rPr>
          <w:rFonts w:ascii="Arial" w:hAnsi="Arial" w:cs="Arial"/>
          <w:sz w:val="20"/>
          <w:szCs w:val="20"/>
        </w:rPr>
      </w:pPr>
      <w:r w:rsidRPr="0089031B">
        <w:rPr>
          <w:rFonts w:ascii="Arial" w:hAnsi="Arial" w:cs="Arial"/>
          <w:sz w:val="20"/>
          <w:szCs w:val="20"/>
        </w:rPr>
        <w:t xml:space="preserve">Hunedoara County can be characterised as a region with depressed human capital. Yet, the local labour market does have a certain degree of elasticity: while the restructuring of the mining sector cost 6,400 lost jobs over 2014-2019, nearly 5,000 new jobs were generated in other sectors (tourism, technical services, telecommunications, etc.) over the same period. This again underlines the importance of re-up-skilling and of case management for job-seekers, but also highlights that part of the workforce will be at high risk due to the transition process. </w:t>
      </w:r>
      <w:r w:rsidRPr="00E273BF">
        <w:rPr>
          <w:rFonts w:ascii="Arial" w:hAnsi="Arial" w:cs="Arial"/>
          <w:sz w:val="20"/>
          <w:szCs w:val="20"/>
        </w:rPr>
        <w:t>In 2019, manufacturing generated 35% of the total jobs</w:t>
      </w:r>
      <w:r w:rsidRPr="00EC5708">
        <w:rPr>
          <w:rFonts w:ascii="Arial" w:hAnsi="Arial" w:cs="Arial"/>
          <w:sz w:val="20"/>
          <w:szCs w:val="20"/>
        </w:rPr>
        <w:t xml:space="preserve"> in Hunedoara County. Other sectors accounted for the following employment percentages: trade (29%); mining, energy production and distribution (12%); construction (9%), professional and social services (</w:t>
      </w:r>
      <w:r w:rsidRPr="002E5127">
        <w:rPr>
          <w:rFonts w:ascii="Arial" w:hAnsi="Arial" w:cs="Arial"/>
          <w:sz w:val="20"/>
          <w:szCs w:val="20"/>
        </w:rPr>
        <w:t xml:space="preserve">11%); </w:t>
      </w:r>
      <w:r w:rsidRPr="001552CD">
        <w:rPr>
          <w:rFonts w:ascii="Arial" w:hAnsi="Arial" w:cs="Arial"/>
          <w:sz w:val="20"/>
          <w:szCs w:val="20"/>
        </w:rPr>
        <w:t xml:space="preserve">and agriculture (3%). </w:t>
      </w:r>
    </w:p>
    <w:p w14:paraId="37E365D0" w14:textId="7F0358E9" w:rsidR="00695EBD" w:rsidRDefault="00695EBD" w:rsidP="00695EBD">
      <w:pPr>
        <w:spacing w:after="120"/>
        <w:jc w:val="both"/>
        <w:rPr>
          <w:rFonts w:ascii="Arial" w:hAnsi="Arial" w:cs="Arial"/>
          <w:sz w:val="20"/>
          <w:szCs w:val="20"/>
        </w:rPr>
      </w:pPr>
      <w:r w:rsidRPr="003516DC">
        <w:rPr>
          <w:rFonts w:ascii="Arial" w:hAnsi="Arial" w:cs="Arial"/>
          <w:sz w:val="20"/>
          <w:szCs w:val="20"/>
        </w:rPr>
        <w:t>In terms of employment in the manufacturing sector, jobs were reduced by 15% from 2010 to 2019: from 25,770 jobs to 21,930 jobs. The main employers are manufacturing companies from the fabrication of metal products (31% of jobs), textiles (16%) and food processing (11%), followed by rubber and plastic (9.7%) and electrical equipment (6.9%). The fastest growth in terms of the number of jobs generated is the electrical equipment manufacturing sector and furniture production.</w:t>
      </w:r>
    </w:p>
    <w:p w14:paraId="3EC542E7" w14:textId="1A37C40D" w:rsidR="005166AE" w:rsidRDefault="00066341" w:rsidP="005166AE">
      <w:pPr>
        <w:jc w:val="both"/>
        <w:rPr>
          <w:rFonts w:ascii="Arial" w:hAnsi="Arial" w:cs="Arial"/>
          <w:sz w:val="20"/>
          <w:szCs w:val="20"/>
        </w:rPr>
      </w:pPr>
      <w:r>
        <w:rPr>
          <w:rFonts w:ascii="Arial" w:hAnsi="Arial" w:cs="Arial"/>
          <w:sz w:val="20"/>
          <w:szCs w:val="20"/>
        </w:rPr>
        <w:t>T</w:t>
      </w:r>
      <w:r w:rsidR="005166AE" w:rsidRPr="005166AE">
        <w:rPr>
          <w:rFonts w:ascii="Arial" w:hAnsi="Arial" w:cs="Arial"/>
          <w:sz w:val="20"/>
          <w:szCs w:val="20"/>
        </w:rPr>
        <w:t xml:space="preserve">able </w:t>
      </w:r>
      <w:r w:rsidR="001C68D2">
        <w:rPr>
          <w:rFonts w:ascii="Arial" w:hAnsi="Arial" w:cs="Arial"/>
          <w:sz w:val="20"/>
          <w:szCs w:val="20"/>
        </w:rPr>
        <w:t xml:space="preserve">22 </w:t>
      </w:r>
      <w:r w:rsidR="005166AE" w:rsidRPr="005166AE">
        <w:rPr>
          <w:rFonts w:ascii="Arial" w:hAnsi="Arial" w:cs="Arial"/>
          <w:sz w:val="20"/>
          <w:szCs w:val="20"/>
        </w:rPr>
        <w:t xml:space="preserve">presents </w:t>
      </w:r>
      <w:r>
        <w:rPr>
          <w:rFonts w:ascii="Arial" w:hAnsi="Arial" w:cs="Arial"/>
          <w:sz w:val="20"/>
          <w:szCs w:val="20"/>
        </w:rPr>
        <w:t xml:space="preserve">the </w:t>
      </w:r>
      <w:r w:rsidR="005166AE" w:rsidRPr="005166AE">
        <w:rPr>
          <w:rFonts w:ascii="Arial" w:hAnsi="Arial" w:cs="Arial"/>
          <w:sz w:val="20"/>
          <w:szCs w:val="20"/>
        </w:rPr>
        <w:t xml:space="preserve">top 10 companies in Hunedoara </w:t>
      </w:r>
      <w:r>
        <w:rPr>
          <w:rFonts w:ascii="Arial" w:hAnsi="Arial" w:cs="Arial"/>
          <w:sz w:val="20"/>
          <w:szCs w:val="20"/>
        </w:rPr>
        <w:t>C</w:t>
      </w:r>
      <w:r w:rsidR="005166AE" w:rsidRPr="005166AE">
        <w:rPr>
          <w:rFonts w:ascii="Arial" w:hAnsi="Arial" w:cs="Arial"/>
          <w:sz w:val="20"/>
          <w:szCs w:val="20"/>
        </w:rPr>
        <w:t xml:space="preserve">ounty in terms of turnover and number of employees. The </w:t>
      </w:r>
      <w:r>
        <w:rPr>
          <w:rFonts w:ascii="Arial" w:hAnsi="Arial" w:cs="Arial"/>
          <w:sz w:val="20"/>
          <w:szCs w:val="20"/>
        </w:rPr>
        <w:t>table</w:t>
      </w:r>
      <w:r w:rsidR="005166AE" w:rsidRPr="005166AE">
        <w:rPr>
          <w:rFonts w:ascii="Arial" w:hAnsi="Arial" w:cs="Arial"/>
          <w:sz w:val="20"/>
          <w:szCs w:val="20"/>
        </w:rPr>
        <w:t xml:space="preserve"> </w:t>
      </w:r>
      <w:r>
        <w:rPr>
          <w:rFonts w:ascii="Arial" w:hAnsi="Arial" w:cs="Arial"/>
          <w:sz w:val="20"/>
          <w:szCs w:val="20"/>
        </w:rPr>
        <w:t>illustrates</w:t>
      </w:r>
      <w:r w:rsidR="005166AE" w:rsidRPr="005166AE">
        <w:rPr>
          <w:rFonts w:ascii="Arial" w:hAnsi="Arial" w:cs="Arial"/>
          <w:sz w:val="20"/>
          <w:szCs w:val="20"/>
        </w:rPr>
        <w:t xml:space="preserve"> the share of energy intensive companies, main economic sector, whether they are part of the European Union Emissions Trading Systems and whether or not they are affected by the transition. At </w:t>
      </w:r>
      <w:r>
        <w:rPr>
          <w:rFonts w:ascii="Arial" w:hAnsi="Arial" w:cs="Arial"/>
          <w:sz w:val="20"/>
          <w:szCs w:val="20"/>
        </w:rPr>
        <w:t xml:space="preserve">the </w:t>
      </w:r>
      <w:r w:rsidR="005166AE" w:rsidRPr="005166AE">
        <w:rPr>
          <w:rFonts w:ascii="Arial" w:hAnsi="Arial" w:cs="Arial"/>
          <w:sz w:val="20"/>
          <w:szCs w:val="20"/>
        </w:rPr>
        <w:t xml:space="preserve">county level, there are </w:t>
      </w:r>
      <w:r>
        <w:rPr>
          <w:rFonts w:ascii="Arial" w:hAnsi="Arial" w:cs="Arial"/>
          <w:sz w:val="20"/>
          <w:szCs w:val="20"/>
        </w:rPr>
        <w:t>a total of six</w:t>
      </w:r>
      <w:r w:rsidR="005166AE" w:rsidRPr="005166AE">
        <w:rPr>
          <w:rFonts w:ascii="Arial" w:hAnsi="Arial" w:cs="Arial"/>
          <w:sz w:val="20"/>
          <w:szCs w:val="20"/>
        </w:rPr>
        <w:t xml:space="preserve"> EU-ETS installations, of which two are listed below.</w:t>
      </w:r>
    </w:p>
    <w:p w14:paraId="30A4714F" w14:textId="6492013F" w:rsidR="005166AE" w:rsidRDefault="005166AE" w:rsidP="008B6516">
      <w:pPr>
        <w:pStyle w:val="Caption"/>
        <w:ind w:left="0" w:firstLine="0"/>
        <w:sectPr w:rsidR="005166AE" w:rsidSect="009F2C15">
          <w:headerReference w:type="default" r:id="rId53"/>
          <w:footerReference w:type="default" r:id="rId54"/>
          <w:pgSz w:w="11909" w:h="16834"/>
          <w:pgMar w:top="1440" w:right="1440" w:bottom="1440" w:left="1530" w:header="720" w:footer="720" w:gutter="0"/>
          <w:cols w:space="720"/>
        </w:sectPr>
      </w:pPr>
    </w:p>
    <w:p w14:paraId="29A743CC" w14:textId="6868EB6E" w:rsidR="005166AE" w:rsidRDefault="008B6516" w:rsidP="008B6516">
      <w:pPr>
        <w:pStyle w:val="Caption"/>
      </w:pPr>
      <w:bookmarkStart w:id="110" w:name="_Toc90725976"/>
      <w:bookmarkStart w:id="111" w:name="_Toc90727273"/>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22</w:t>
      </w:r>
      <w:r w:rsidR="000B273D">
        <w:rPr>
          <w:noProof/>
        </w:rPr>
        <w:fldChar w:fldCharType="end"/>
      </w:r>
      <w:r>
        <w:t xml:space="preserve">: Large enterprises by turnover and employees, 2019, Hunedoara </w:t>
      </w:r>
      <w:r w:rsidR="00D021AF">
        <w:t>C</w:t>
      </w:r>
      <w:r>
        <w:t>ounty</w:t>
      </w:r>
      <w:bookmarkEnd w:id="110"/>
      <w:bookmarkEnd w:id="111"/>
    </w:p>
    <w:tbl>
      <w:tblPr>
        <w:tblStyle w:val="TableGrid"/>
        <w:tblW w:w="5000" w:type="pct"/>
        <w:tblLook w:val="04A0" w:firstRow="1" w:lastRow="0" w:firstColumn="1" w:lastColumn="0" w:noHBand="0" w:noVBand="1"/>
      </w:tblPr>
      <w:tblGrid>
        <w:gridCol w:w="2529"/>
        <w:gridCol w:w="3143"/>
        <w:gridCol w:w="1107"/>
        <w:gridCol w:w="937"/>
        <w:gridCol w:w="1188"/>
        <w:gridCol w:w="1113"/>
        <w:gridCol w:w="1319"/>
        <w:gridCol w:w="2608"/>
      </w:tblGrid>
      <w:tr w:rsidR="005166AE" w:rsidRPr="005166AE" w14:paraId="0621F209" w14:textId="77777777" w:rsidTr="00402580">
        <w:trPr>
          <w:tblHeader/>
        </w:trPr>
        <w:tc>
          <w:tcPr>
            <w:tcW w:w="907" w:type="pct"/>
            <w:shd w:val="clear" w:color="auto" w:fill="002060"/>
          </w:tcPr>
          <w:p w14:paraId="74B19A1B"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Company</w:t>
            </w:r>
          </w:p>
        </w:tc>
        <w:tc>
          <w:tcPr>
            <w:tcW w:w="1127" w:type="pct"/>
            <w:shd w:val="clear" w:color="auto" w:fill="002060"/>
          </w:tcPr>
          <w:p w14:paraId="5C71EF2C"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Main NACE class</w:t>
            </w:r>
          </w:p>
        </w:tc>
        <w:tc>
          <w:tcPr>
            <w:tcW w:w="397" w:type="pct"/>
            <w:shd w:val="clear" w:color="auto" w:fill="002060"/>
          </w:tcPr>
          <w:p w14:paraId="19F16472"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Employees (no.)</w:t>
            </w:r>
          </w:p>
        </w:tc>
        <w:tc>
          <w:tcPr>
            <w:tcW w:w="336" w:type="pct"/>
            <w:shd w:val="clear" w:color="auto" w:fill="002060"/>
          </w:tcPr>
          <w:p w14:paraId="5CA72DBF"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Turnover (RON million)</w:t>
            </w:r>
          </w:p>
        </w:tc>
        <w:tc>
          <w:tcPr>
            <w:tcW w:w="426" w:type="pct"/>
            <w:shd w:val="clear" w:color="auto" w:fill="002060"/>
          </w:tcPr>
          <w:p w14:paraId="1492EB68"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EU ETS participation</w:t>
            </w:r>
          </w:p>
        </w:tc>
        <w:tc>
          <w:tcPr>
            <w:tcW w:w="399" w:type="pct"/>
            <w:shd w:val="clear" w:color="auto" w:fill="002060"/>
          </w:tcPr>
          <w:p w14:paraId="635DA149"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Affected by the transition</w:t>
            </w:r>
          </w:p>
        </w:tc>
        <w:tc>
          <w:tcPr>
            <w:tcW w:w="473" w:type="pct"/>
            <w:shd w:val="clear" w:color="auto" w:fill="002060"/>
          </w:tcPr>
          <w:p w14:paraId="1A0169AE"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Engaged during the TA</w:t>
            </w:r>
          </w:p>
        </w:tc>
        <w:tc>
          <w:tcPr>
            <w:tcW w:w="935" w:type="pct"/>
            <w:shd w:val="clear" w:color="auto" w:fill="002060"/>
          </w:tcPr>
          <w:p w14:paraId="433FEADD" w14:textId="77777777" w:rsidR="005166AE" w:rsidRPr="005166AE" w:rsidRDefault="005166AE" w:rsidP="00964831">
            <w:pPr>
              <w:rPr>
                <w:rFonts w:ascii="Arial" w:hAnsi="Arial" w:cs="Arial"/>
                <w:color w:val="FFFFFF" w:themeColor="background1"/>
                <w:sz w:val="18"/>
                <w:szCs w:val="18"/>
                <w:lang w:val="ro-RO"/>
              </w:rPr>
            </w:pPr>
            <w:r w:rsidRPr="005166AE">
              <w:rPr>
                <w:rFonts w:ascii="Arial" w:hAnsi="Arial" w:cs="Arial"/>
                <w:color w:val="FFFFFF" w:themeColor="background1"/>
                <w:sz w:val="18"/>
                <w:szCs w:val="18"/>
                <w:lang w:val="ro-RO"/>
              </w:rPr>
              <w:t>Observations</w:t>
            </w:r>
          </w:p>
        </w:tc>
      </w:tr>
      <w:tr w:rsidR="005166AE" w:rsidRPr="005166AE" w14:paraId="2FDE32F5" w14:textId="77777777" w:rsidTr="00402580">
        <w:tc>
          <w:tcPr>
            <w:tcW w:w="907" w:type="pct"/>
          </w:tcPr>
          <w:p w14:paraId="5F4EFD43"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SOCIETATEA COMPLEXUL ENERGETIC HUNEDOARA S.A.</w:t>
            </w:r>
          </w:p>
        </w:tc>
        <w:tc>
          <w:tcPr>
            <w:tcW w:w="1127" w:type="pct"/>
          </w:tcPr>
          <w:p w14:paraId="7456E3C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D ELECTRICITY, GAS, STEAM AND AIR CONDITIONING SUPPLY</w:t>
            </w:r>
          </w:p>
        </w:tc>
        <w:tc>
          <w:tcPr>
            <w:tcW w:w="397" w:type="pct"/>
          </w:tcPr>
          <w:p w14:paraId="446E4854"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4,044</w:t>
            </w:r>
          </w:p>
        </w:tc>
        <w:tc>
          <w:tcPr>
            <w:tcW w:w="336" w:type="pct"/>
          </w:tcPr>
          <w:p w14:paraId="55D986F8"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250</w:t>
            </w:r>
          </w:p>
        </w:tc>
        <w:tc>
          <w:tcPr>
            <w:tcW w:w="426" w:type="pct"/>
          </w:tcPr>
          <w:p w14:paraId="151BCABD"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399" w:type="pct"/>
          </w:tcPr>
          <w:p w14:paraId="663D64B0" w14:textId="77777777" w:rsidR="005166AE" w:rsidRPr="005166AE" w:rsidRDefault="005166AE" w:rsidP="00964831">
            <w:pPr>
              <w:rPr>
                <w:rFonts w:ascii="Arial" w:hAnsi="Arial" w:cs="Arial"/>
                <w:sz w:val="18"/>
                <w:szCs w:val="18"/>
              </w:rPr>
            </w:pPr>
            <w:r w:rsidRPr="005166AE">
              <w:rPr>
                <w:rFonts w:ascii="Arial" w:hAnsi="Arial" w:cs="Arial"/>
                <w:sz w:val="18"/>
                <w:szCs w:val="18"/>
              </w:rPr>
              <w:t>YES</w:t>
            </w:r>
          </w:p>
        </w:tc>
        <w:tc>
          <w:tcPr>
            <w:tcW w:w="473" w:type="pct"/>
          </w:tcPr>
          <w:p w14:paraId="5C4C9E56"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935" w:type="pct"/>
          </w:tcPr>
          <w:p w14:paraId="02632063" w14:textId="1031848F"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Directly affected by decarboni</w:t>
            </w:r>
            <w:r w:rsidR="004E7B64">
              <w:rPr>
                <w:rFonts w:ascii="Arial" w:hAnsi="Arial" w:cs="Arial"/>
                <w:sz w:val="18"/>
                <w:szCs w:val="18"/>
                <w:lang w:val="ro-RO"/>
              </w:rPr>
              <w:t>sation</w:t>
            </w:r>
          </w:p>
        </w:tc>
      </w:tr>
      <w:tr w:rsidR="005166AE" w:rsidRPr="005166AE" w14:paraId="2E8B9B2B" w14:textId="77777777" w:rsidTr="00402580">
        <w:tc>
          <w:tcPr>
            <w:tcW w:w="907" w:type="pct"/>
          </w:tcPr>
          <w:p w14:paraId="7A55B54C"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PHILIPS ORĂŞTIE SRL</w:t>
            </w:r>
          </w:p>
        </w:tc>
        <w:tc>
          <w:tcPr>
            <w:tcW w:w="1127" w:type="pct"/>
          </w:tcPr>
          <w:p w14:paraId="451922B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 (home appliances)</w:t>
            </w:r>
          </w:p>
        </w:tc>
        <w:tc>
          <w:tcPr>
            <w:tcW w:w="397" w:type="pct"/>
          </w:tcPr>
          <w:p w14:paraId="705594E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1,329</w:t>
            </w:r>
          </w:p>
        </w:tc>
        <w:tc>
          <w:tcPr>
            <w:tcW w:w="336" w:type="pct"/>
          </w:tcPr>
          <w:p w14:paraId="1E3F4F1F"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905</w:t>
            </w:r>
          </w:p>
        </w:tc>
        <w:tc>
          <w:tcPr>
            <w:tcW w:w="426" w:type="pct"/>
          </w:tcPr>
          <w:p w14:paraId="7DCB1806"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73658E1F"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473" w:type="pct"/>
          </w:tcPr>
          <w:p w14:paraId="1A0A237D"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935" w:type="pct"/>
          </w:tcPr>
          <w:p w14:paraId="12003F5D"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Interested in reskilling/ upskilling</w:t>
            </w:r>
          </w:p>
        </w:tc>
      </w:tr>
      <w:tr w:rsidR="005166AE" w:rsidRPr="005166AE" w14:paraId="36A38408" w14:textId="77777777" w:rsidTr="00402580">
        <w:tc>
          <w:tcPr>
            <w:tcW w:w="907" w:type="pct"/>
          </w:tcPr>
          <w:p w14:paraId="3CCC85E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ARCELORMITTAL HUNEDOARA SA</w:t>
            </w:r>
          </w:p>
        </w:tc>
        <w:tc>
          <w:tcPr>
            <w:tcW w:w="1127" w:type="pct"/>
          </w:tcPr>
          <w:p w14:paraId="0D3AD5FA" w14:textId="65C7D0C5"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w:t>
            </w:r>
            <w:r w:rsidR="008D4D22">
              <w:rPr>
                <w:rFonts w:ascii="Arial" w:hAnsi="Arial" w:cs="Arial"/>
                <w:sz w:val="18"/>
                <w:szCs w:val="18"/>
                <w:lang w:val="ro-RO"/>
              </w:rPr>
              <w:t xml:space="preserve"> (steel products)</w:t>
            </w:r>
          </w:p>
        </w:tc>
        <w:tc>
          <w:tcPr>
            <w:tcW w:w="397" w:type="pct"/>
          </w:tcPr>
          <w:p w14:paraId="252F9B7C"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621</w:t>
            </w:r>
          </w:p>
        </w:tc>
        <w:tc>
          <w:tcPr>
            <w:tcW w:w="336" w:type="pct"/>
          </w:tcPr>
          <w:p w14:paraId="2E6C9859"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487</w:t>
            </w:r>
          </w:p>
        </w:tc>
        <w:tc>
          <w:tcPr>
            <w:tcW w:w="426" w:type="pct"/>
          </w:tcPr>
          <w:p w14:paraId="171D5FEF"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399" w:type="pct"/>
          </w:tcPr>
          <w:p w14:paraId="5CF5FFE1"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473" w:type="pct"/>
          </w:tcPr>
          <w:p w14:paraId="64665372"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935" w:type="pct"/>
          </w:tcPr>
          <w:p w14:paraId="449C2E28"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Potential for transformational investments</w:t>
            </w:r>
          </w:p>
        </w:tc>
      </w:tr>
      <w:tr w:rsidR="005166AE" w:rsidRPr="005166AE" w14:paraId="1EA27159" w14:textId="77777777" w:rsidTr="00402580">
        <w:tc>
          <w:tcPr>
            <w:tcW w:w="907" w:type="pct"/>
          </w:tcPr>
          <w:p w14:paraId="3A0CF608"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REVA SA</w:t>
            </w:r>
          </w:p>
        </w:tc>
        <w:tc>
          <w:tcPr>
            <w:tcW w:w="1127" w:type="pct"/>
          </w:tcPr>
          <w:p w14:paraId="1E47638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 (rail equipment)</w:t>
            </w:r>
          </w:p>
        </w:tc>
        <w:tc>
          <w:tcPr>
            <w:tcW w:w="397" w:type="pct"/>
          </w:tcPr>
          <w:p w14:paraId="33C2FF7A"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588</w:t>
            </w:r>
          </w:p>
        </w:tc>
        <w:tc>
          <w:tcPr>
            <w:tcW w:w="336" w:type="pct"/>
          </w:tcPr>
          <w:p w14:paraId="5ACFAA5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74</w:t>
            </w:r>
          </w:p>
        </w:tc>
        <w:tc>
          <w:tcPr>
            <w:tcW w:w="426" w:type="pct"/>
          </w:tcPr>
          <w:p w14:paraId="6BC675DD"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37A48A3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 (positively)</w:t>
            </w:r>
          </w:p>
        </w:tc>
        <w:tc>
          <w:tcPr>
            <w:tcW w:w="473" w:type="pct"/>
          </w:tcPr>
          <w:p w14:paraId="3E56F4E3"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935" w:type="pct"/>
          </w:tcPr>
          <w:p w14:paraId="28FD75F1" w14:textId="4C6F7DB9"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Directly affected by decarboni</w:t>
            </w:r>
            <w:r w:rsidR="004E7B64">
              <w:rPr>
                <w:rFonts w:ascii="Arial" w:hAnsi="Arial" w:cs="Arial"/>
                <w:sz w:val="18"/>
                <w:szCs w:val="18"/>
                <w:lang w:val="ro-RO"/>
              </w:rPr>
              <w:t>sation</w:t>
            </w:r>
            <w:r w:rsidRPr="005166AE">
              <w:rPr>
                <w:rFonts w:ascii="Arial" w:hAnsi="Arial" w:cs="Arial"/>
                <w:sz w:val="18"/>
                <w:szCs w:val="18"/>
                <w:lang w:val="ro-RO"/>
              </w:rPr>
              <w:t xml:space="preserve"> / Potential for economic diversification / Resilience</w:t>
            </w:r>
          </w:p>
        </w:tc>
      </w:tr>
      <w:tr w:rsidR="005166AE" w:rsidRPr="005166AE" w14:paraId="2B8568D1" w14:textId="77777777" w:rsidTr="00402580">
        <w:tc>
          <w:tcPr>
            <w:tcW w:w="907" w:type="pct"/>
          </w:tcPr>
          <w:p w14:paraId="58E33228"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MACON SRL</w:t>
            </w:r>
          </w:p>
        </w:tc>
        <w:tc>
          <w:tcPr>
            <w:tcW w:w="1127" w:type="pct"/>
          </w:tcPr>
          <w:p w14:paraId="1F0805AB"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 (construction materials)</w:t>
            </w:r>
          </w:p>
        </w:tc>
        <w:tc>
          <w:tcPr>
            <w:tcW w:w="397" w:type="pct"/>
          </w:tcPr>
          <w:p w14:paraId="11CE427F"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490</w:t>
            </w:r>
          </w:p>
        </w:tc>
        <w:tc>
          <w:tcPr>
            <w:tcW w:w="336" w:type="pct"/>
          </w:tcPr>
          <w:p w14:paraId="30D9BFA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141</w:t>
            </w:r>
          </w:p>
        </w:tc>
        <w:tc>
          <w:tcPr>
            <w:tcW w:w="426" w:type="pct"/>
          </w:tcPr>
          <w:p w14:paraId="2C9A4861"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35D77B7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473" w:type="pct"/>
          </w:tcPr>
          <w:p w14:paraId="26A96AD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935" w:type="pct"/>
          </w:tcPr>
          <w:p w14:paraId="4C747A52"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Economy of the future / Energy efficient solutions for buildings</w:t>
            </w:r>
          </w:p>
        </w:tc>
      </w:tr>
      <w:tr w:rsidR="005166AE" w:rsidRPr="005166AE" w14:paraId="57F9C6FE" w14:textId="77777777" w:rsidTr="00402580">
        <w:tc>
          <w:tcPr>
            <w:tcW w:w="907" w:type="pct"/>
          </w:tcPr>
          <w:p w14:paraId="3812E94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SEWS ROMANIA SRL</w:t>
            </w:r>
          </w:p>
        </w:tc>
        <w:tc>
          <w:tcPr>
            <w:tcW w:w="1127" w:type="pct"/>
          </w:tcPr>
          <w:p w14:paraId="488C09FB" w14:textId="4FFBA5F3"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 (wire production</w:t>
            </w:r>
            <w:r>
              <w:rPr>
                <w:rFonts w:ascii="Arial" w:hAnsi="Arial" w:cs="Arial"/>
                <w:sz w:val="18"/>
                <w:szCs w:val="18"/>
                <w:lang w:val="ro-RO"/>
              </w:rPr>
              <w:t>, chain and springs</w:t>
            </w:r>
            <w:r w:rsidRPr="005166AE">
              <w:rPr>
                <w:rFonts w:ascii="Arial" w:hAnsi="Arial" w:cs="Arial"/>
                <w:sz w:val="18"/>
                <w:szCs w:val="18"/>
                <w:lang w:val="ro-RO"/>
              </w:rPr>
              <w:t>)</w:t>
            </w:r>
          </w:p>
        </w:tc>
        <w:tc>
          <w:tcPr>
            <w:tcW w:w="397" w:type="pct"/>
          </w:tcPr>
          <w:p w14:paraId="3F67BD12"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5,513</w:t>
            </w:r>
          </w:p>
        </w:tc>
        <w:tc>
          <w:tcPr>
            <w:tcW w:w="336" w:type="pct"/>
          </w:tcPr>
          <w:p w14:paraId="09CD420B"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876</w:t>
            </w:r>
          </w:p>
        </w:tc>
        <w:tc>
          <w:tcPr>
            <w:tcW w:w="426" w:type="pct"/>
          </w:tcPr>
          <w:p w14:paraId="226B660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0D36FA8F"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YES</w:t>
            </w:r>
          </w:p>
        </w:tc>
        <w:tc>
          <w:tcPr>
            <w:tcW w:w="473" w:type="pct"/>
          </w:tcPr>
          <w:p w14:paraId="113700C4" w14:textId="37B70976"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r>
              <w:rPr>
                <w:rStyle w:val="FootnoteReference"/>
                <w:rFonts w:ascii="Arial" w:hAnsi="Arial" w:cs="Arial"/>
                <w:sz w:val="18"/>
                <w:szCs w:val="18"/>
                <w:lang w:val="ro-RO"/>
              </w:rPr>
              <w:footnoteReference w:id="44"/>
            </w:r>
          </w:p>
        </w:tc>
        <w:tc>
          <w:tcPr>
            <w:tcW w:w="935" w:type="pct"/>
          </w:tcPr>
          <w:p w14:paraId="06251741" w14:textId="1267E171"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Indirectly affected by decarboni</w:t>
            </w:r>
            <w:r w:rsidR="004E7B64">
              <w:rPr>
                <w:rFonts w:ascii="Arial" w:hAnsi="Arial" w:cs="Arial"/>
                <w:sz w:val="18"/>
                <w:szCs w:val="18"/>
                <w:lang w:val="ro-RO"/>
              </w:rPr>
              <w:t>sation</w:t>
            </w:r>
            <w:r w:rsidRPr="005166AE">
              <w:rPr>
                <w:rFonts w:ascii="Arial" w:hAnsi="Arial" w:cs="Arial"/>
                <w:sz w:val="18"/>
                <w:szCs w:val="18"/>
                <w:lang w:val="ro-RO"/>
              </w:rPr>
              <w:t xml:space="preserve"> </w:t>
            </w:r>
            <w:r w:rsidRPr="005166AE">
              <w:rPr>
                <w:rFonts w:ascii="Arial" w:hAnsi="Arial" w:cs="Arial"/>
                <w:color w:val="E36C0A" w:themeColor="accent6" w:themeShade="BF"/>
                <w:sz w:val="18"/>
                <w:szCs w:val="18"/>
                <w:lang w:val="ro-RO"/>
              </w:rPr>
              <w:t xml:space="preserve">/ </w:t>
            </w:r>
            <w:r w:rsidRPr="005166AE">
              <w:rPr>
                <w:rFonts w:ascii="Arial" w:hAnsi="Arial" w:cs="Arial"/>
                <w:sz w:val="18"/>
                <w:szCs w:val="18"/>
                <w:lang w:val="ro-RO"/>
              </w:rPr>
              <w:t xml:space="preserve">Largest employer and second largest turnover </w:t>
            </w:r>
          </w:p>
        </w:tc>
      </w:tr>
      <w:tr w:rsidR="005166AE" w:rsidRPr="005166AE" w14:paraId="631F53A7" w14:textId="77777777" w:rsidTr="00402580">
        <w:tc>
          <w:tcPr>
            <w:tcW w:w="907" w:type="pct"/>
          </w:tcPr>
          <w:p w14:paraId="2453E8D3"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LABORATOARELE FARES BIO VITAL SRL</w:t>
            </w:r>
          </w:p>
        </w:tc>
        <w:tc>
          <w:tcPr>
            <w:tcW w:w="1127" w:type="pct"/>
          </w:tcPr>
          <w:p w14:paraId="4217A55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C MANUFACTURING (plants/ bio pharma)</w:t>
            </w:r>
          </w:p>
        </w:tc>
        <w:tc>
          <w:tcPr>
            <w:tcW w:w="397" w:type="pct"/>
          </w:tcPr>
          <w:p w14:paraId="202FE243"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392</w:t>
            </w:r>
          </w:p>
        </w:tc>
        <w:tc>
          <w:tcPr>
            <w:tcW w:w="336" w:type="pct"/>
          </w:tcPr>
          <w:p w14:paraId="6807F962"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82</w:t>
            </w:r>
          </w:p>
        </w:tc>
        <w:tc>
          <w:tcPr>
            <w:tcW w:w="426" w:type="pct"/>
          </w:tcPr>
          <w:p w14:paraId="14F704AA"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637A9BFD"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473" w:type="pct"/>
          </w:tcPr>
          <w:p w14:paraId="71BF158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935" w:type="pct"/>
          </w:tcPr>
          <w:p w14:paraId="4AA97CA3" w14:textId="2BA6367D" w:rsidR="005166AE" w:rsidRPr="005166AE" w:rsidRDefault="008D4D22" w:rsidP="00964831">
            <w:pPr>
              <w:rPr>
                <w:rFonts w:ascii="Arial" w:hAnsi="Arial" w:cs="Arial"/>
                <w:sz w:val="18"/>
                <w:szCs w:val="18"/>
                <w:lang w:val="ro-RO"/>
              </w:rPr>
            </w:pPr>
            <w:r>
              <w:rPr>
                <w:rFonts w:ascii="Arial" w:hAnsi="Arial" w:cs="Arial"/>
                <w:sz w:val="18"/>
                <w:szCs w:val="18"/>
                <w:lang w:val="ro-RO"/>
              </w:rPr>
              <w:t>Not affected by the transition from a business model perspective</w:t>
            </w:r>
          </w:p>
        </w:tc>
      </w:tr>
      <w:tr w:rsidR="005166AE" w:rsidRPr="005166AE" w14:paraId="4D564D8E" w14:textId="77777777" w:rsidTr="00402580">
        <w:tc>
          <w:tcPr>
            <w:tcW w:w="907" w:type="pct"/>
          </w:tcPr>
          <w:p w14:paraId="43D910B9"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FARMACEUTICA REMEDIA DISTRIBUTION &amp; LOGISTICS SRL</w:t>
            </w:r>
          </w:p>
        </w:tc>
        <w:tc>
          <w:tcPr>
            <w:tcW w:w="1127" w:type="pct"/>
          </w:tcPr>
          <w:p w14:paraId="796367FD" w14:textId="7D821080"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G WHOLESALE AND RETAIL TRADE; REPAIR OF MOTOR VEHICLES AND MOTORCYCLES</w:t>
            </w:r>
            <w:r w:rsidR="00920AEC">
              <w:rPr>
                <w:rFonts w:ascii="Arial" w:hAnsi="Arial" w:cs="Arial"/>
                <w:sz w:val="18"/>
                <w:szCs w:val="18"/>
                <w:lang w:val="ro-RO"/>
              </w:rPr>
              <w:t xml:space="preserve"> (pharma distribution and logistics)</w:t>
            </w:r>
          </w:p>
        </w:tc>
        <w:tc>
          <w:tcPr>
            <w:tcW w:w="397" w:type="pct"/>
          </w:tcPr>
          <w:p w14:paraId="75994C7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227</w:t>
            </w:r>
          </w:p>
        </w:tc>
        <w:tc>
          <w:tcPr>
            <w:tcW w:w="336" w:type="pct"/>
          </w:tcPr>
          <w:p w14:paraId="15187A1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415</w:t>
            </w:r>
          </w:p>
        </w:tc>
        <w:tc>
          <w:tcPr>
            <w:tcW w:w="426" w:type="pct"/>
          </w:tcPr>
          <w:p w14:paraId="6710384A"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744C65B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473" w:type="pct"/>
          </w:tcPr>
          <w:p w14:paraId="31E720D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935" w:type="pct"/>
          </w:tcPr>
          <w:p w14:paraId="0AE34EE5" w14:textId="2285283D" w:rsidR="005166AE" w:rsidRPr="005166AE" w:rsidRDefault="008D4D22" w:rsidP="00964831">
            <w:pPr>
              <w:rPr>
                <w:rFonts w:ascii="Arial" w:hAnsi="Arial" w:cs="Arial"/>
                <w:sz w:val="18"/>
                <w:szCs w:val="18"/>
                <w:lang w:val="ro-RO"/>
              </w:rPr>
            </w:pPr>
            <w:r>
              <w:rPr>
                <w:rFonts w:ascii="Arial" w:hAnsi="Arial" w:cs="Arial"/>
                <w:sz w:val="18"/>
                <w:szCs w:val="18"/>
                <w:lang w:val="ro-RO"/>
              </w:rPr>
              <w:t>Not affected by the transition from a business model perspective</w:t>
            </w:r>
          </w:p>
        </w:tc>
      </w:tr>
      <w:tr w:rsidR="005166AE" w:rsidRPr="005166AE" w14:paraId="6D5F0124" w14:textId="77777777" w:rsidTr="00402580">
        <w:tc>
          <w:tcPr>
            <w:tcW w:w="907" w:type="pct"/>
          </w:tcPr>
          <w:p w14:paraId="02EA1A6E"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ASSA ABLOY ENTRANCE SYSTEMS PRODUCTION ROMANIA SRL</w:t>
            </w:r>
          </w:p>
        </w:tc>
        <w:tc>
          <w:tcPr>
            <w:tcW w:w="1127" w:type="pct"/>
          </w:tcPr>
          <w:p w14:paraId="75B04377" w14:textId="77777777" w:rsidR="005166AE" w:rsidRDefault="005166AE" w:rsidP="00964831">
            <w:pPr>
              <w:rPr>
                <w:rFonts w:ascii="Arial" w:hAnsi="Arial" w:cs="Arial"/>
                <w:sz w:val="18"/>
                <w:szCs w:val="18"/>
                <w:lang w:val="ro-RO"/>
              </w:rPr>
            </w:pPr>
            <w:r w:rsidRPr="005166AE">
              <w:rPr>
                <w:rFonts w:ascii="Arial" w:hAnsi="Arial" w:cs="Arial"/>
                <w:sz w:val="18"/>
                <w:szCs w:val="18"/>
                <w:lang w:val="ro-RO"/>
              </w:rPr>
              <w:t>C MANUFACTURING</w:t>
            </w:r>
          </w:p>
          <w:p w14:paraId="6A049944" w14:textId="3920EBEA" w:rsidR="005166AE" w:rsidRPr="005166AE" w:rsidRDefault="005166AE" w:rsidP="00964831">
            <w:pPr>
              <w:rPr>
                <w:rFonts w:ascii="Arial" w:hAnsi="Arial" w:cs="Arial"/>
                <w:sz w:val="18"/>
                <w:szCs w:val="18"/>
                <w:lang w:val="ro-RO"/>
              </w:rPr>
            </w:pPr>
            <w:r>
              <w:rPr>
                <w:rFonts w:ascii="Arial" w:hAnsi="Arial" w:cs="Arial"/>
                <w:sz w:val="18"/>
                <w:szCs w:val="18"/>
                <w:lang w:val="ro-RO"/>
              </w:rPr>
              <w:t>(metal constructions, doors and systems)</w:t>
            </w:r>
          </w:p>
        </w:tc>
        <w:tc>
          <w:tcPr>
            <w:tcW w:w="397" w:type="pct"/>
          </w:tcPr>
          <w:p w14:paraId="4D78C575"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283</w:t>
            </w:r>
          </w:p>
        </w:tc>
        <w:tc>
          <w:tcPr>
            <w:tcW w:w="336" w:type="pct"/>
          </w:tcPr>
          <w:p w14:paraId="2D3BFEBC"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186</w:t>
            </w:r>
          </w:p>
        </w:tc>
        <w:tc>
          <w:tcPr>
            <w:tcW w:w="426" w:type="pct"/>
          </w:tcPr>
          <w:p w14:paraId="71A834FB"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399" w:type="pct"/>
          </w:tcPr>
          <w:p w14:paraId="5D057459"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473" w:type="pct"/>
          </w:tcPr>
          <w:p w14:paraId="354D5B37" w14:textId="77777777" w:rsidR="005166AE" w:rsidRPr="005166AE" w:rsidRDefault="005166AE" w:rsidP="00964831">
            <w:pPr>
              <w:rPr>
                <w:rFonts w:ascii="Arial" w:hAnsi="Arial" w:cs="Arial"/>
                <w:sz w:val="18"/>
                <w:szCs w:val="18"/>
                <w:lang w:val="ro-RO"/>
              </w:rPr>
            </w:pPr>
            <w:r w:rsidRPr="005166AE">
              <w:rPr>
                <w:rFonts w:ascii="Arial" w:hAnsi="Arial" w:cs="Arial"/>
                <w:sz w:val="18"/>
                <w:szCs w:val="18"/>
                <w:lang w:val="ro-RO"/>
              </w:rPr>
              <w:t>NO</w:t>
            </w:r>
          </w:p>
        </w:tc>
        <w:tc>
          <w:tcPr>
            <w:tcW w:w="935" w:type="pct"/>
          </w:tcPr>
          <w:p w14:paraId="73B1217F" w14:textId="65A63901" w:rsidR="005166AE" w:rsidRPr="005166AE" w:rsidRDefault="004F7390" w:rsidP="00964831">
            <w:pPr>
              <w:rPr>
                <w:rFonts w:ascii="Arial" w:hAnsi="Arial" w:cs="Arial"/>
                <w:sz w:val="18"/>
                <w:szCs w:val="18"/>
                <w:lang w:val="ro-RO"/>
              </w:rPr>
            </w:pPr>
            <w:r>
              <w:rPr>
                <w:rFonts w:ascii="Arial" w:hAnsi="Arial" w:cs="Arial"/>
                <w:sz w:val="18"/>
                <w:szCs w:val="18"/>
                <w:lang w:val="ro-RO"/>
              </w:rPr>
              <w:t>Not affected by the transition from a business model perspective</w:t>
            </w:r>
          </w:p>
        </w:tc>
      </w:tr>
      <w:tr w:rsidR="004F7390" w:rsidRPr="005166AE" w14:paraId="6A7F7350" w14:textId="77777777" w:rsidTr="00402580">
        <w:tc>
          <w:tcPr>
            <w:tcW w:w="907" w:type="pct"/>
          </w:tcPr>
          <w:p w14:paraId="70BBB398"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T&amp;O PRODCOM SRL</w:t>
            </w:r>
          </w:p>
        </w:tc>
        <w:tc>
          <w:tcPr>
            <w:tcW w:w="1127" w:type="pct"/>
          </w:tcPr>
          <w:p w14:paraId="1449AB09" w14:textId="77777777" w:rsidR="004F7390" w:rsidRDefault="004F7390" w:rsidP="004F7390">
            <w:pPr>
              <w:rPr>
                <w:rFonts w:ascii="Arial" w:hAnsi="Arial" w:cs="Arial"/>
                <w:sz w:val="18"/>
                <w:szCs w:val="18"/>
                <w:lang w:val="ro-RO"/>
              </w:rPr>
            </w:pPr>
            <w:r w:rsidRPr="005166AE">
              <w:rPr>
                <w:rFonts w:ascii="Arial" w:hAnsi="Arial" w:cs="Arial"/>
                <w:sz w:val="18"/>
                <w:szCs w:val="18"/>
                <w:lang w:val="ro-RO"/>
              </w:rPr>
              <w:t>G WHOLESALE AND RETAIL TRADE; REPAIR OF MOTOR VEHICLES AND MOTORCYCLES</w:t>
            </w:r>
          </w:p>
          <w:p w14:paraId="6BE5AF40" w14:textId="2FDBA483" w:rsidR="004F7390" w:rsidRPr="005166AE" w:rsidRDefault="004F7390" w:rsidP="004F7390">
            <w:pPr>
              <w:rPr>
                <w:rFonts w:ascii="Arial" w:hAnsi="Arial" w:cs="Arial"/>
                <w:sz w:val="18"/>
                <w:szCs w:val="18"/>
                <w:lang w:val="ro-RO"/>
              </w:rPr>
            </w:pPr>
            <w:r>
              <w:rPr>
                <w:rFonts w:ascii="Arial" w:hAnsi="Arial" w:cs="Arial"/>
                <w:sz w:val="18"/>
                <w:szCs w:val="18"/>
                <w:lang w:val="ro-RO"/>
              </w:rPr>
              <w:t>(food and beverages)</w:t>
            </w:r>
          </w:p>
        </w:tc>
        <w:tc>
          <w:tcPr>
            <w:tcW w:w="397" w:type="pct"/>
          </w:tcPr>
          <w:p w14:paraId="65810CC7"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140</w:t>
            </w:r>
          </w:p>
        </w:tc>
        <w:tc>
          <w:tcPr>
            <w:tcW w:w="336" w:type="pct"/>
          </w:tcPr>
          <w:p w14:paraId="22D4291A"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176</w:t>
            </w:r>
          </w:p>
        </w:tc>
        <w:tc>
          <w:tcPr>
            <w:tcW w:w="426" w:type="pct"/>
          </w:tcPr>
          <w:p w14:paraId="4039991F"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NO</w:t>
            </w:r>
          </w:p>
        </w:tc>
        <w:tc>
          <w:tcPr>
            <w:tcW w:w="399" w:type="pct"/>
          </w:tcPr>
          <w:p w14:paraId="7CB40975"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NO</w:t>
            </w:r>
          </w:p>
        </w:tc>
        <w:tc>
          <w:tcPr>
            <w:tcW w:w="473" w:type="pct"/>
          </w:tcPr>
          <w:p w14:paraId="21DBCD7C" w14:textId="77777777" w:rsidR="004F7390" w:rsidRPr="005166AE" w:rsidRDefault="004F7390" w:rsidP="004F7390">
            <w:pPr>
              <w:rPr>
                <w:rFonts w:ascii="Arial" w:hAnsi="Arial" w:cs="Arial"/>
                <w:sz w:val="18"/>
                <w:szCs w:val="18"/>
                <w:lang w:val="ro-RO"/>
              </w:rPr>
            </w:pPr>
            <w:r w:rsidRPr="005166AE">
              <w:rPr>
                <w:rFonts w:ascii="Arial" w:hAnsi="Arial" w:cs="Arial"/>
                <w:sz w:val="18"/>
                <w:szCs w:val="18"/>
                <w:lang w:val="ro-RO"/>
              </w:rPr>
              <w:t>NO</w:t>
            </w:r>
          </w:p>
        </w:tc>
        <w:tc>
          <w:tcPr>
            <w:tcW w:w="935" w:type="pct"/>
          </w:tcPr>
          <w:p w14:paraId="0866CAD1" w14:textId="13DCEC37" w:rsidR="004F7390" w:rsidRPr="005166AE" w:rsidRDefault="004F7390" w:rsidP="004F7390">
            <w:pPr>
              <w:rPr>
                <w:rFonts w:ascii="Arial" w:hAnsi="Arial" w:cs="Arial"/>
                <w:color w:val="984806" w:themeColor="accent6" w:themeShade="80"/>
                <w:sz w:val="18"/>
                <w:szCs w:val="18"/>
                <w:lang w:val="ro-RO"/>
              </w:rPr>
            </w:pPr>
            <w:r>
              <w:rPr>
                <w:rFonts w:ascii="Arial" w:hAnsi="Arial" w:cs="Arial"/>
                <w:sz w:val="18"/>
                <w:szCs w:val="18"/>
                <w:lang w:val="ro-RO"/>
              </w:rPr>
              <w:t>Not affected by the transition from a business model perspective</w:t>
            </w:r>
          </w:p>
        </w:tc>
      </w:tr>
    </w:tbl>
    <w:p w14:paraId="39770B7C" w14:textId="77777777" w:rsidR="005166AE" w:rsidRDefault="005166AE" w:rsidP="005166AE">
      <w:pPr>
        <w:rPr>
          <w:lang w:eastAsia="en-US"/>
        </w:rPr>
        <w:sectPr w:rsidR="005166AE" w:rsidSect="00A91EC4">
          <w:headerReference w:type="default" r:id="rId55"/>
          <w:pgSz w:w="16834" w:h="11909" w:orient="landscape"/>
          <w:pgMar w:top="1530" w:right="1440" w:bottom="1440" w:left="1440" w:header="720" w:footer="720" w:gutter="0"/>
          <w:cols w:space="720"/>
          <w:docGrid w:linePitch="326"/>
        </w:sectPr>
      </w:pPr>
    </w:p>
    <w:p w14:paraId="7E0DBEC1" w14:textId="0FA7F537" w:rsidR="005166AE" w:rsidRPr="005166AE" w:rsidRDefault="005166AE" w:rsidP="005166AE">
      <w:pPr>
        <w:rPr>
          <w:lang w:eastAsia="en-US"/>
        </w:rPr>
      </w:pPr>
    </w:p>
    <w:p w14:paraId="6BB82F61" w14:textId="77777777" w:rsidR="001E2A6E" w:rsidRPr="003516DC" w:rsidRDefault="001E2A6E" w:rsidP="00903249">
      <w:pPr>
        <w:jc w:val="both"/>
        <w:rPr>
          <w:rFonts w:ascii="Arial" w:hAnsi="Arial" w:cs="Arial"/>
          <w:i/>
          <w:iCs/>
          <w:sz w:val="16"/>
          <w:szCs w:val="16"/>
        </w:rPr>
      </w:pPr>
    </w:p>
    <w:p w14:paraId="78BF84D1" w14:textId="708DDAF5" w:rsidR="00E72E7B" w:rsidRPr="003516DC" w:rsidRDefault="00E72E7B" w:rsidP="008B6516">
      <w:pPr>
        <w:spacing w:after="120"/>
        <w:jc w:val="both"/>
        <w:rPr>
          <w:rFonts w:ascii="Arial" w:hAnsi="Arial" w:cs="Arial"/>
          <w:sz w:val="20"/>
          <w:szCs w:val="20"/>
          <w:lang w:val="en-US"/>
        </w:rPr>
      </w:pPr>
      <w:r w:rsidRPr="003516DC">
        <w:rPr>
          <w:rFonts w:ascii="Arial" w:hAnsi="Arial" w:cs="Arial"/>
          <w:sz w:val="20"/>
          <w:szCs w:val="20"/>
          <w:lang w:val="en-US"/>
        </w:rPr>
        <w:t>With a wi</w:t>
      </w:r>
      <w:r w:rsidR="00DA2DA8" w:rsidRPr="003516DC">
        <w:rPr>
          <w:rFonts w:ascii="Arial" w:hAnsi="Arial" w:cs="Arial"/>
          <w:sz w:val="20"/>
          <w:szCs w:val="20"/>
          <w:lang w:val="en-US"/>
        </w:rPr>
        <w:t>d</w:t>
      </w:r>
      <w:r w:rsidRPr="003516DC">
        <w:rPr>
          <w:rFonts w:ascii="Arial" w:hAnsi="Arial" w:cs="Arial"/>
          <w:sz w:val="20"/>
          <w:szCs w:val="20"/>
          <w:lang w:val="en-US"/>
        </w:rPr>
        <w:t>e range of</w:t>
      </w:r>
      <w:r w:rsidR="00DA2DA8" w:rsidRPr="003516DC">
        <w:rPr>
          <w:rFonts w:ascii="Arial" w:hAnsi="Arial" w:cs="Arial"/>
          <w:sz w:val="20"/>
          <w:szCs w:val="20"/>
          <w:lang w:val="en-US"/>
        </w:rPr>
        <w:t xml:space="preserve"> </w:t>
      </w:r>
      <w:r w:rsidRPr="003516DC">
        <w:rPr>
          <w:rFonts w:ascii="Arial" w:hAnsi="Arial" w:cs="Arial"/>
          <w:sz w:val="20"/>
          <w:szCs w:val="20"/>
          <w:lang w:val="en-US"/>
        </w:rPr>
        <w:t>touris</w:t>
      </w:r>
      <w:r w:rsidR="00DA2DA8" w:rsidRPr="003516DC">
        <w:rPr>
          <w:rFonts w:ascii="Arial" w:hAnsi="Arial" w:cs="Arial"/>
          <w:sz w:val="20"/>
          <w:szCs w:val="20"/>
          <w:lang w:val="en-US"/>
        </w:rPr>
        <w:t>t attractions</w:t>
      </w:r>
      <w:r w:rsidRPr="003516DC">
        <w:rPr>
          <w:rFonts w:ascii="Arial" w:hAnsi="Arial" w:cs="Arial"/>
          <w:sz w:val="20"/>
          <w:szCs w:val="20"/>
          <w:lang w:val="en-US"/>
        </w:rPr>
        <w:t xml:space="preserve"> </w:t>
      </w:r>
      <w:r w:rsidR="00DA2DA8" w:rsidRPr="003516DC">
        <w:rPr>
          <w:rFonts w:ascii="Arial" w:hAnsi="Arial" w:cs="Arial"/>
          <w:sz w:val="20"/>
          <w:szCs w:val="20"/>
          <w:lang w:val="en-US"/>
        </w:rPr>
        <w:t xml:space="preserve">such as </w:t>
      </w:r>
      <w:r w:rsidRPr="003516DC">
        <w:rPr>
          <w:rFonts w:ascii="Arial" w:hAnsi="Arial" w:cs="Arial"/>
          <w:sz w:val="20"/>
          <w:szCs w:val="20"/>
          <w:lang w:val="en-US"/>
        </w:rPr>
        <w:t>sk</w:t>
      </w:r>
      <w:r w:rsidR="00066341">
        <w:rPr>
          <w:rFonts w:ascii="Arial" w:hAnsi="Arial" w:cs="Arial"/>
          <w:sz w:val="20"/>
          <w:szCs w:val="20"/>
          <w:lang w:val="en-US"/>
        </w:rPr>
        <w:t>i</w:t>
      </w:r>
      <w:r w:rsidRPr="003516DC">
        <w:rPr>
          <w:rFonts w:ascii="Arial" w:hAnsi="Arial" w:cs="Arial"/>
          <w:sz w:val="20"/>
          <w:szCs w:val="20"/>
          <w:lang w:val="en-US"/>
        </w:rPr>
        <w:t xml:space="preserve"> resorts, mountain trails, glaci</w:t>
      </w:r>
      <w:r w:rsidR="00DA2DA8" w:rsidRPr="003516DC">
        <w:rPr>
          <w:rFonts w:ascii="Arial" w:hAnsi="Arial" w:cs="Arial"/>
          <w:sz w:val="20"/>
          <w:szCs w:val="20"/>
          <w:lang w:val="en-US"/>
        </w:rPr>
        <w:t>al</w:t>
      </w:r>
      <w:r w:rsidRPr="003516DC">
        <w:rPr>
          <w:rFonts w:ascii="Arial" w:hAnsi="Arial" w:cs="Arial"/>
          <w:sz w:val="20"/>
          <w:szCs w:val="20"/>
          <w:lang w:val="en-US"/>
        </w:rPr>
        <w:t xml:space="preserve"> lakes, cas</w:t>
      </w:r>
      <w:r w:rsidR="00DA2DA8" w:rsidRPr="003516DC">
        <w:rPr>
          <w:rFonts w:ascii="Arial" w:hAnsi="Arial" w:cs="Arial"/>
          <w:sz w:val="20"/>
          <w:szCs w:val="20"/>
          <w:lang w:val="en-US"/>
        </w:rPr>
        <w:t>tles</w:t>
      </w:r>
      <w:r w:rsidRPr="003516DC">
        <w:rPr>
          <w:rFonts w:ascii="Arial" w:hAnsi="Arial" w:cs="Arial"/>
          <w:sz w:val="20"/>
          <w:szCs w:val="20"/>
          <w:lang w:val="en-US"/>
        </w:rPr>
        <w:t>, he</w:t>
      </w:r>
      <w:r w:rsidR="00DA2DA8" w:rsidRPr="003516DC">
        <w:rPr>
          <w:rFonts w:ascii="Arial" w:hAnsi="Arial" w:cs="Arial"/>
          <w:sz w:val="20"/>
          <w:szCs w:val="20"/>
          <w:lang w:val="en-US"/>
        </w:rPr>
        <w:t>a</w:t>
      </w:r>
      <w:r w:rsidRPr="003516DC">
        <w:rPr>
          <w:rFonts w:ascii="Arial" w:hAnsi="Arial" w:cs="Arial"/>
          <w:sz w:val="20"/>
          <w:szCs w:val="20"/>
          <w:lang w:val="en-US"/>
        </w:rPr>
        <w:t xml:space="preserve">ling warm waters, monasteries, </w:t>
      </w:r>
      <w:r w:rsidR="00DA2DA8" w:rsidRPr="003516DC">
        <w:rPr>
          <w:rFonts w:ascii="Arial" w:hAnsi="Arial" w:cs="Arial"/>
          <w:sz w:val="20"/>
          <w:szCs w:val="20"/>
          <w:lang w:val="en-US"/>
        </w:rPr>
        <w:t>nature reserves</w:t>
      </w:r>
      <w:r w:rsidRPr="003516DC">
        <w:rPr>
          <w:rFonts w:ascii="Arial" w:hAnsi="Arial" w:cs="Arial"/>
          <w:sz w:val="20"/>
          <w:szCs w:val="20"/>
          <w:lang w:val="en-US"/>
        </w:rPr>
        <w:t>, t</w:t>
      </w:r>
      <w:r w:rsidR="00F05E49" w:rsidRPr="003516DC">
        <w:rPr>
          <w:rFonts w:ascii="Arial" w:hAnsi="Arial" w:cs="Arial"/>
          <w:sz w:val="20"/>
          <w:szCs w:val="20"/>
        </w:rPr>
        <w:t>he tourism sector,</w:t>
      </w:r>
      <w:r w:rsidR="00EF779F" w:rsidRPr="003516DC">
        <w:rPr>
          <w:rFonts w:ascii="Arial" w:hAnsi="Arial" w:cs="Arial"/>
          <w:sz w:val="20"/>
          <w:szCs w:val="20"/>
        </w:rPr>
        <w:t xml:space="preserve"> included in professional services (</w:t>
      </w:r>
      <w:r w:rsidR="00202217" w:rsidRPr="003516DC">
        <w:rPr>
          <w:rFonts w:ascii="Arial" w:hAnsi="Arial" w:cs="Arial"/>
          <w:sz w:val="20"/>
          <w:szCs w:val="20"/>
        </w:rPr>
        <w:t>T</w:t>
      </w:r>
      <w:r w:rsidR="00EF779F" w:rsidRPr="003516DC">
        <w:rPr>
          <w:rFonts w:ascii="Arial" w:hAnsi="Arial" w:cs="Arial"/>
          <w:sz w:val="20"/>
          <w:szCs w:val="20"/>
        </w:rPr>
        <w:t xml:space="preserve">able </w:t>
      </w:r>
      <w:r w:rsidR="001C68D2">
        <w:rPr>
          <w:rFonts w:ascii="Arial" w:hAnsi="Arial" w:cs="Arial"/>
          <w:sz w:val="20"/>
          <w:szCs w:val="20"/>
        </w:rPr>
        <w:t>21</w:t>
      </w:r>
      <w:r w:rsidR="00EF779F" w:rsidRPr="003516DC">
        <w:rPr>
          <w:rFonts w:ascii="Arial" w:hAnsi="Arial" w:cs="Arial"/>
          <w:sz w:val="20"/>
          <w:szCs w:val="20"/>
        </w:rPr>
        <w:t>)</w:t>
      </w:r>
      <w:r w:rsidRPr="003516DC">
        <w:rPr>
          <w:rFonts w:ascii="Arial" w:hAnsi="Arial" w:cs="Arial"/>
          <w:sz w:val="20"/>
          <w:szCs w:val="20"/>
        </w:rPr>
        <w:t xml:space="preserve"> is</w:t>
      </w:r>
      <w:r w:rsidR="00F05E49" w:rsidRPr="003516DC">
        <w:rPr>
          <w:rFonts w:ascii="Arial" w:hAnsi="Arial" w:cs="Arial"/>
          <w:sz w:val="20"/>
          <w:szCs w:val="20"/>
        </w:rPr>
        <w:t xml:space="preserve"> considered by local stakeholders as having high growth potential in Hunedoara</w:t>
      </w:r>
      <w:r w:rsidR="00EF779F" w:rsidRPr="003516DC">
        <w:rPr>
          <w:rFonts w:ascii="Arial" w:hAnsi="Arial" w:cs="Arial"/>
          <w:sz w:val="20"/>
          <w:szCs w:val="20"/>
        </w:rPr>
        <w:t xml:space="preserve"> </w:t>
      </w:r>
      <w:r w:rsidR="00F05E49" w:rsidRPr="003516DC">
        <w:rPr>
          <w:rFonts w:ascii="Arial" w:hAnsi="Arial" w:cs="Arial"/>
          <w:sz w:val="20"/>
          <w:szCs w:val="20"/>
        </w:rPr>
        <w:t>County</w:t>
      </w:r>
      <w:r w:rsidR="00202217" w:rsidRPr="003516DC">
        <w:rPr>
          <w:rFonts w:ascii="Arial" w:hAnsi="Arial" w:cs="Arial"/>
          <w:sz w:val="20"/>
          <w:szCs w:val="20"/>
        </w:rPr>
        <w:t>.</w:t>
      </w:r>
      <w:r w:rsidRPr="003516DC">
        <w:rPr>
          <w:rFonts w:ascii="Arial" w:hAnsi="Arial" w:cs="Arial"/>
          <w:sz w:val="20"/>
          <w:szCs w:val="20"/>
        </w:rPr>
        <w:t xml:space="preserve"> </w:t>
      </w:r>
      <w:r w:rsidR="00202217" w:rsidRPr="003516DC">
        <w:rPr>
          <w:rFonts w:ascii="Arial" w:hAnsi="Arial" w:cs="Arial"/>
          <w:sz w:val="20"/>
          <w:szCs w:val="20"/>
        </w:rPr>
        <w:t>T</w:t>
      </w:r>
      <w:r w:rsidRPr="003516DC">
        <w:rPr>
          <w:rFonts w:ascii="Arial" w:hAnsi="Arial" w:cs="Arial"/>
          <w:sz w:val="20"/>
          <w:szCs w:val="20"/>
        </w:rPr>
        <w:t xml:space="preserve">he sector is </w:t>
      </w:r>
      <w:r w:rsidR="00EF779F" w:rsidRPr="00E7365C">
        <w:rPr>
          <w:rFonts w:ascii="Arial" w:hAnsi="Arial" w:cs="Arial"/>
          <w:sz w:val="20"/>
          <w:szCs w:val="20"/>
          <w:lang w:val="en-US"/>
        </w:rPr>
        <w:t xml:space="preserve">represented by </w:t>
      </w:r>
      <w:r w:rsidR="007E33EA" w:rsidRPr="003516DC">
        <w:rPr>
          <w:rFonts w:ascii="Arial" w:hAnsi="Arial" w:cs="Arial"/>
          <w:sz w:val="20"/>
          <w:szCs w:val="20"/>
          <w:lang w:val="en-US"/>
        </w:rPr>
        <w:t xml:space="preserve">872 </w:t>
      </w:r>
      <w:r w:rsidR="00EF779F" w:rsidRPr="00E7365C">
        <w:rPr>
          <w:rFonts w:ascii="Arial" w:hAnsi="Arial" w:cs="Arial"/>
          <w:sz w:val="20"/>
          <w:szCs w:val="20"/>
          <w:lang w:val="en-US"/>
        </w:rPr>
        <w:t>hotels</w:t>
      </w:r>
      <w:r w:rsidR="00352AB7" w:rsidRPr="003516DC">
        <w:rPr>
          <w:rFonts w:ascii="Arial" w:hAnsi="Arial" w:cs="Arial"/>
          <w:sz w:val="20"/>
          <w:szCs w:val="20"/>
          <w:lang w:val="en-US"/>
        </w:rPr>
        <w:t>,</w:t>
      </w:r>
      <w:r w:rsidR="00EF779F" w:rsidRPr="00E7365C">
        <w:rPr>
          <w:rFonts w:ascii="Arial" w:hAnsi="Arial" w:cs="Arial"/>
          <w:sz w:val="20"/>
          <w:szCs w:val="20"/>
          <w:lang w:val="en-US"/>
        </w:rPr>
        <w:t xml:space="preserve"> </w:t>
      </w:r>
      <w:r w:rsidR="009606AC" w:rsidRPr="003516DC">
        <w:rPr>
          <w:rFonts w:ascii="Arial" w:hAnsi="Arial" w:cs="Arial"/>
          <w:sz w:val="20"/>
          <w:szCs w:val="20"/>
          <w:lang w:val="en-US"/>
        </w:rPr>
        <w:t>guest houses</w:t>
      </w:r>
      <w:r w:rsidR="00EF779F" w:rsidRPr="00E7365C">
        <w:rPr>
          <w:rFonts w:ascii="Arial" w:hAnsi="Arial" w:cs="Arial"/>
          <w:sz w:val="20"/>
          <w:szCs w:val="20"/>
          <w:lang w:val="en-US"/>
        </w:rPr>
        <w:t>, restaurants and bars and tourism agencies</w:t>
      </w:r>
      <w:r w:rsidRPr="003516DC">
        <w:rPr>
          <w:rFonts w:ascii="Arial" w:hAnsi="Arial" w:cs="Arial"/>
          <w:sz w:val="20"/>
          <w:szCs w:val="20"/>
          <w:lang w:val="en-US"/>
        </w:rPr>
        <w:t>,</w:t>
      </w:r>
      <w:r w:rsidR="007E33EA" w:rsidRPr="003516DC">
        <w:rPr>
          <w:rFonts w:ascii="Arial" w:hAnsi="Arial" w:cs="Arial"/>
          <w:sz w:val="20"/>
          <w:szCs w:val="20"/>
          <w:lang w:val="en-US"/>
        </w:rPr>
        <w:t xml:space="preserve"> with a total </w:t>
      </w:r>
      <w:r w:rsidR="009606AC" w:rsidRPr="003516DC">
        <w:rPr>
          <w:rFonts w:ascii="Arial" w:hAnsi="Arial" w:cs="Arial"/>
          <w:sz w:val="20"/>
          <w:szCs w:val="20"/>
          <w:lang w:val="en-US"/>
        </w:rPr>
        <w:t xml:space="preserve">capacity of </w:t>
      </w:r>
      <w:r w:rsidR="007E33EA" w:rsidRPr="003516DC">
        <w:rPr>
          <w:rFonts w:ascii="Arial" w:hAnsi="Arial" w:cs="Arial"/>
          <w:sz w:val="20"/>
          <w:szCs w:val="20"/>
          <w:lang w:val="en-US"/>
        </w:rPr>
        <w:t>8</w:t>
      </w:r>
      <w:r w:rsidR="00202217" w:rsidRPr="003516DC">
        <w:rPr>
          <w:rFonts w:ascii="Arial" w:hAnsi="Arial" w:cs="Arial"/>
          <w:sz w:val="20"/>
          <w:szCs w:val="20"/>
          <w:lang w:val="en-US"/>
        </w:rPr>
        <w:t>,</w:t>
      </w:r>
      <w:r w:rsidR="007E33EA" w:rsidRPr="003516DC">
        <w:rPr>
          <w:rFonts w:ascii="Arial" w:hAnsi="Arial" w:cs="Arial"/>
          <w:sz w:val="20"/>
          <w:szCs w:val="20"/>
          <w:lang w:val="en-US"/>
        </w:rPr>
        <w:t xml:space="preserve">075 </w:t>
      </w:r>
      <w:r w:rsidR="00352AB7" w:rsidRPr="003516DC">
        <w:rPr>
          <w:rFonts w:ascii="Arial" w:hAnsi="Arial" w:cs="Arial"/>
          <w:sz w:val="20"/>
          <w:szCs w:val="20"/>
          <w:lang w:val="en-US"/>
        </w:rPr>
        <w:t>accommodation</w:t>
      </w:r>
      <w:r w:rsidRPr="003516DC">
        <w:rPr>
          <w:rFonts w:ascii="Arial" w:hAnsi="Arial" w:cs="Arial"/>
          <w:sz w:val="20"/>
          <w:szCs w:val="20"/>
          <w:lang w:val="en-US"/>
        </w:rPr>
        <w:t xml:space="preserve"> places</w:t>
      </w:r>
      <w:r w:rsidRPr="003516DC">
        <w:rPr>
          <w:rStyle w:val="FootnoteReference"/>
          <w:rFonts w:ascii="Arial" w:hAnsi="Arial" w:cs="Arial"/>
          <w:sz w:val="20"/>
          <w:szCs w:val="20"/>
          <w:lang w:val="en-US"/>
        </w:rPr>
        <w:footnoteReference w:id="45"/>
      </w:r>
      <w:r w:rsidRPr="003516DC">
        <w:rPr>
          <w:rFonts w:ascii="Arial" w:hAnsi="Arial" w:cs="Arial"/>
          <w:sz w:val="20"/>
          <w:szCs w:val="20"/>
          <w:lang w:val="en-US"/>
        </w:rPr>
        <w:t xml:space="preserve"> in 2019</w:t>
      </w:r>
      <w:r w:rsidR="00066341">
        <w:rPr>
          <w:rFonts w:ascii="Arial" w:hAnsi="Arial" w:cs="Arial"/>
          <w:sz w:val="20"/>
          <w:szCs w:val="20"/>
          <w:lang w:val="en-US"/>
        </w:rPr>
        <w:t>.</w:t>
      </w:r>
      <w:r w:rsidR="00EF779F" w:rsidRPr="00E7365C">
        <w:rPr>
          <w:rFonts w:ascii="Arial" w:hAnsi="Arial" w:cs="Arial"/>
          <w:sz w:val="20"/>
          <w:szCs w:val="20"/>
          <w:lang w:val="en-US"/>
        </w:rPr>
        <w:t xml:space="preserve">  </w:t>
      </w:r>
    </w:p>
    <w:p w14:paraId="288FFB59" w14:textId="50665C32" w:rsidR="00903249" w:rsidRPr="003516DC" w:rsidRDefault="00EF779F" w:rsidP="008B6516">
      <w:pPr>
        <w:spacing w:after="120"/>
        <w:jc w:val="both"/>
        <w:rPr>
          <w:rFonts w:ascii="Arial" w:hAnsi="Arial" w:cs="Arial"/>
          <w:sz w:val="20"/>
          <w:szCs w:val="20"/>
        </w:rPr>
      </w:pPr>
      <w:r w:rsidRPr="00A91EC4">
        <w:rPr>
          <w:rFonts w:ascii="Arial" w:hAnsi="Arial" w:cs="Arial"/>
          <w:sz w:val="20"/>
          <w:szCs w:val="20"/>
          <w:lang w:val="en-US"/>
        </w:rPr>
        <w:t xml:space="preserve">The average </w:t>
      </w:r>
      <w:r w:rsidR="00202217" w:rsidRPr="00A91EC4">
        <w:rPr>
          <w:rFonts w:ascii="Arial" w:hAnsi="Arial" w:cs="Arial"/>
          <w:sz w:val="20"/>
          <w:szCs w:val="20"/>
          <w:lang w:val="en-US"/>
        </w:rPr>
        <w:t xml:space="preserve">net use </w:t>
      </w:r>
      <w:r w:rsidR="00202217" w:rsidRPr="00A91EC4">
        <w:rPr>
          <w:rFonts w:ascii="Arial" w:hAnsi="Arial" w:cs="Arial"/>
          <w:bCs/>
          <w:color w:val="2A2A2A"/>
          <w:sz w:val="20"/>
          <w:szCs w:val="20"/>
          <w:shd w:val="clear" w:color="auto" w:fill="FFFFFF"/>
        </w:rPr>
        <w:t>i</w:t>
      </w:r>
      <w:r w:rsidRPr="00A91EC4">
        <w:rPr>
          <w:rFonts w:ascii="Arial" w:hAnsi="Arial" w:cs="Arial"/>
          <w:bCs/>
          <w:color w:val="2A2A2A"/>
          <w:sz w:val="20"/>
          <w:szCs w:val="20"/>
          <w:shd w:val="clear" w:color="auto" w:fill="FFFFFF"/>
        </w:rPr>
        <w:t xml:space="preserve">ndex </w:t>
      </w:r>
      <w:r w:rsidR="00202217" w:rsidRPr="00A91EC4">
        <w:rPr>
          <w:rFonts w:ascii="Arial" w:hAnsi="Arial" w:cs="Arial"/>
          <w:bCs/>
          <w:color w:val="2A2A2A"/>
          <w:sz w:val="20"/>
          <w:szCs w:val="20"/>
          <w:shd w:val="clear" w:color="auto" w:fill="FFFFFF"/>
        </w:rPr>
        <w:t>of</w:t>
      </w:r>
      <w:r w:rsidRPr="00A91EC4">
        <w:rPr>
          <w:rFonts w:ascii="Arial" w:hAnsi="Arial" w:cs="Arial"/>
          <w:bCs/>
          <w:color w:val="2A2A2A"/>
          <w:sz w:val="20"/>
          <w:szCs w:val="20"/>
          <w:shd w:val="clear" w:color="auto" w:fill="FFFFFF"/>
        </w:rPr>
        <w:t xml:space="preserve"> the touris</w:t>
      </w:r>
      <w:r w:rsidR="00202217" w:rsidRPr="00A91EC4">
        <w:rPr>
          <w:rFonts w:ascii="Arial" w:hAnsi="Arial" w:cs="Arial"/>
          <w:bCs/>
          <w:color w:val="2A2A2A"/>
          <w:sz w:val="20"/>
          <w:szCs w:val="20"/>
          <w:shd w:val="clear" w:color="auto" w:fill="FFFFFF"/>
        </w:rPr>
        <w:t>t</w:t>
      </w:r>
      <w:r w:rsidRPr="00A91EC4">
        <w:rPr>
          <w:rFonts w:ascii="Arial" w:hAnsi="Arial" w:cs="Arial"/>
          <w:bCs/>
          <w:color w:val="2A2A2A"/>
          <w:sz w:val="20"/>
          <w:szCs w:val="20"/>
          <w:shd w:val="clear" w:color="auto" w:fill="FFFFFF"/>
        </w:rPr>
        <w:t xml:space="preserve"> accommodation capacity in function by type of establishment and comfort category</w:t>
      </w:r>
      <w:r w:rsidRPr="00A91EC4">
        <w:rPr>
          <w:rStyle w:val="FootnoteReference"/>
          <w:rFonts w:ascii="Arial" w:hAnsi="Arial" w:cs="Arial"/>
          <w:bCs/>
          <w:color w:val="2A2A2A"/>
          <w:sz w:val="20"/>
          <w:szCs w:val="20"/>
          <w:shd w:val="clear" w:color="auto" w:fill="FFFFFF"/>
        </w:rPr>
        <w:footnoteReference w:id="46"/>
      </w:r>
      <w:r w:rsidRPr="00A91EC4">
        <w:rPr>
          <w:rFonts w:ascii="Arial" w:hAnsi="Arial" w:cs="Arial"/>
          <w:bCs/>
          <w:color w:val="2A2A2A"/>
          <w:sz w:val="20"/>
          <w:szCs w:val="20"/>
          <w:shd w:val="clear" w:color="auto" w:fill="FFFFFF"/>
        </w:rPr>
        <w:t xml:space="preserve"> in 2020 was 19% due to the Covid-19 crisis impact on the sector</w:t>
      </w:r>
      <w:r w:rsidR="00352AB7" w:rsidRPr="00A91EC4">
        <w:rPr>
          <w:rFonts w:ascii="Arial" w:hAnsi="Arial" w:cs="Arial"/>
          <w:bCs/>
          <w:color w:val="2A2A2A"/>
          <w:sz w:val="20"/>
          <w:szCs w:val="20"/>
          <w:shd w:val="clear" w:color="auto" w:fill="FFFFFF"/>
        </w:rPr>
        <w:t>,</w:t>
      </w:r>
      <w:r w:rsidRPr="00A91EC4">
        <w:rPr>
          <w:rFonts w:ascii="Arial" w:hAnsi="Arial" w:cs="Arial"/>
          <w:bCs/>
          <w:color w:val="2A2A2A"/>
          <w:sz w:val="20"/>
          <w:szCs w:val="20"/>
          <w:shd w:val="clear" w:color="auto" w:fill="FFFFFF"/>
        </w:rPr>
        <w:t xml:space="preserve"> compared to 33% in 2019.</w:t>
      </w:r>
      <w:r w:rsidR="009606AC" w:rsidRPr="00A91EC4">
        <w:rPr>
          <w:rFonts w:ascii="Arial" w:hAnsi="Arial" w:cs="Arial"/>
          <w:sz w:val="20"/>
          <w:szCs w:val="20"/>
        </w:rPr>
        <w:t xml:space="preserve"> </w:t>
      </w:r>
      <w:r w:rsidR="00E72E7B" w:rsidRPr="00A91EC4">
        <w:rPr>
          <w:rFonts w:ascii="Arial" w:hAnsi="Arial" w:cs="Arial"/>
          <w:sz w:val="20"/>
          <w:szCs w:val="20"/>
        </w:rPr>
        <w:t xml:space="preserve">The sector </w:t>
      </w:r>
      <w:r w:rsidR="00F05E49" w:rsidRPr="00A91EC4">
        <w:rPr>
          <w:rFonts w:ascii="Arial" w:hAnsi="Arial" w:cs="Arial"/>
          <w:sz w:val="20"/>
          <w:szCs w:val="20"/>
        </w:rPr>
        <w:t xml:space="preserve">currently employs only 4.4% of the county’s active population and the sector’s productivity (turnover/number of employees) is approximately 35% lower than the productivity of the other sectors at the county level. </w:t>
      </w:r>
      <w:r w:rsidR="00E72E7B" w:rsidRPr="00A91EC4">
        <w:rPr>
          <w:rFonts w:ascii="Arial" w:hAnsi="Arial" w:cs="Arial"/>
          <w:sz w:val="20"/>
          <w:szCs w:val="20"/>
        </w:rPr>
        <w:t xml:space="preserve">Integrated management of the </w:t>
      </w:r>
      <w:r w:rsidR="00202217" w:rsidRPr="00A91EC4">
        <w:rPr>
          <w:rFonts w:ascii="Arial" w:hAnsi="Arial" w:cs="Arial"/>
          <w:sz w:val="20"/>
          <w:szCs w:val="20"/>
        </w:rPr>
        <w:t>touristic</w:t>
      </w:r>
      <w:r w:rsidR="00E72E7B" w:rsidRPr="00A91EC4">
        <w:rPr>
          <w:rFonts w:ascii="Arial" w:hAnsi="Arial" w:cs="Arial"/>
          <w:sz w:val="20"/>
          <w:szCs w:val="20"/>
        </w:rPr>
        <w:t xml:space="preserve"> destination and d</w:t>
      </w:r>
      <w:r w:rsidR="00F05E49" w:rsidRPr="00A91EC4">
        <w:rPr>
          <w:rFonts w:ascii="Arial" w:hAnsi="Arial" w:cs="Arial"/>
          <w:sz w:val="20"/>
          <w:szCs w:val="20"/>
        </w:rPr>
        <w:t>iversif</w:t>
      </w:r>
      <w:r w:rsidR="00202217" w:rsidRPr="00A91EC4">
        <w:rPr>
          <w:rFonts w:ascii="Arial" w:hAnsi="Arial" w:cs="Arial"/>
          <w:sz w:val="20"/>
          <w:szCs w:val="20"/>
        </w:rPr>
        <w:t>ication of</w:t>
      </w:r>
      <w:r w:rsidR="00F05E49" w:rsidRPr="00A91EC4">
        <w:rPr>
          <w:rFonts w:ascii="Arial" w:hAnsi="Arial" w:cs="Arial"/>
          <w:sz w:val="20"/>
          <w:szCs w:val="20"/>
        </w:rPr>
        <w:t xml:space="preserve"> the tourism offer and services to cover all seasons may result in an increase of full-time and part-time jobs</w:t>
      </w:r>
      <w:r w:rsidR="00E72E7B" w:rsidRPr="00A91EC4">
        <w:rPr>
          <w:rFonts w:ascii="Arial" w:hAnsi="Arial" w:cs="Arial"/>
          <w:sz w:val="20"/>
          <w:szCs w:val="20"/>
        </w:rPr>
        <w:t>, a</w:t>
      </w:r>
      <w:r w:rsidR="00202217" w:rsidRPr="00A91EC4">
        <w:rPr>
          <w:rFonts w:ascii="Arial" w:hAnsi="Arial" w:cs="Arial"/>
          <w:sz w:val="20"/>
          <w:szCs w:val="20"/>
        </w:rPr>
        <w:t>s</w:t>
      </w:r>
      <w:r w:rsidR="00E72E7B" w:rsidRPr="00A91EC4">
        <w:rPr>
          <w:rFonts w:ascii="Arial" w:hAnsi="Arial" w:cs="Arial"/>
          <w:sz w:val="20"/>
          <w:szCs w:val="20"/>
        </w:rPr>
        <w:t xml:space="preserve"> well as the increase of the net using the touristic accommodation capacity</w:t>
      </w:r>
      <w:r w:rsidR="00E72E7B" w:rsidRPr="003516DC">
        <w:rPr>
          <w:rFonts w:ascii="Arial" w:hAnsi="Arial" w:cs="Arial"/>
          <w:sz w:val="20"/>
          <w:szCs w:val="20"/>
        </w:rPr>
        <w:t>.</w:t>
      </w:r>
    </w:p>
    <w:p w14:paraId="18E949E0" w14:textId="7C1861AB" w:rsidR="008B6516" w:rsidRDefault="00903249" w:rsidP="008B6516">
      <w:pPr>
        <w:spacing w:after="120"/>
        <w:jc w:val="both"/>
        <w:rPr>
          <w:rFonts w:ascii="Arial" w:hAnsi="Arial" w:cs="Arial"/>
          <w:sz w:val="20"/>
          <w:szCs w:val="20"/>
        </w:rPr>
      </w:pPr>
      <w:r w:rsidRPr="003516DC">
        <w:rPr>
          <w:rFonts w:ascii="Arial" w:hAnsi="Arial" w:cs="Arial"/>
          <w:sz w:val="20"/>
          <w:szCs w:val="20"/>
        </w:rPr>
        <w:t>According to OECD</w:t>
      </w:r>
      <w:r w:rsidRPr="003516DC">
        <w:rPr>
          <w:rFonts w:ascii="Arial" w:hAnsi="Arial" w:cs="Arial"/>
          <w:sz w:val="20"/>
          <w:szCs w:val="20"/>
          <w:vertAlign w:val="superscript"/>
        </w:rPr>
        <w:footnoteReference w:id="47"/>
      </w:r>
      <w:r w:rsidR="00AF4F1D" w:rsidRPr="003516DC">
        <w:rPr>
          <w:rFonts w:ascii="Arial" w:hAnsi="Arial" w:cs="Arial"/>
          <w:sz w:val="20"/>
          <w:szCs w:val="20"/>
        </w:rPr>
        <w:t>,</w:t>
      </w:r>
      <w:r w:rsidRPr="003516DC">
        <w:rPr>
          <w:rFonts w:ascii="Arial" w:hAnsi="Arial" w:cs="Arial"/>
          <w:sz w:val="20"/>
          <w:szCs w:val="20"/>
        </w:rPr>
        <w:t xml:space="preserve"> Romania recorded the highest growth rate of labour force productivity in 2017 (4.5%) </w:t>
      </w:r>
      <w:r w:rsidR="00AF4F1D" w:rsidRPr="003516DC">
        <w:rPr>
          <w:rFonts w:ascii="Arial" w:hAnsi="Arial" w:cs="Arial"/>
          <w:sz w:val="20"/>
          <w:szCs w:val="20"/>
        </w:rPr>
        <w:t xml:space="preserve">of all </w:t>
      </w:r>
      <w:r w:rsidRPr="003516DC">
        <w:rPr>
          <w:rFonts w:ascii="Arial" w:hAnsi="Arial" w:cs="Arial"/>
          <w:sz w:val="20"/>
          <w:szCs w:val="20"/>
        </w:rPr>
        <w:t xml:space="preserve">EU countries. In this context, </w:t>
      </w:r>
      <w:r w:rsidR="009606AC" w:rsidRPr="003516DC">
        <w:rPr>
          <w:rFonts w:ascii="Arial" w:hAnsi="Arial" w:cs="Arial"/>
          <w:sz w:val="20"/>
          <w:szCs w:val="20"/>
        </w:rPr>
        <w:t xml:space="preserve">the productivity of </w:t>
      </w:r>
      <w:r w:rsidR="00573348" w:rsidRPr="003516DC">
        <w:rPr>
          <w:rFonts w:ascii="Arial" w:hAnsi="Arial" w:cs="Arial"/>
          <w:sz w:val="20"/>
          <w:szCs w:val="20"/>
        </w:rPr>
        <w:t>Hunedoara</w:t>
      </w:r>
      <w:r w:rsidR="009606AC" w:rsidRPr="003516DC">
        <w:rPr>
          <w:rFonts w:ascii="Arial" w:hAnsi="Arial" w:cs="Arial"/>
          <w:sz w:val="20"/>
          <w:szCs w:val="20"/>
        </w:rPr>
        <w:t xml:space="preserve">–based </w:t>
      </w:r>
      <w:r w:rsidR="00573348" w:rsidRPr="003516DC">
        <w:rPr>
          <w:rFonts w:ascii="Arial" w:hAnsi="Arial" w:cs="Arial"/>
          <w:sz w:val="20"/>
          <w:szCs w:val="20"/>
        </w:rPr>
        <w:t>compan</w:t>
      </w:r>
      <w:r w:rsidR="009606AC" w:rsidRPr="003516DC">
        <w:rPr>
          <w:rFonts w:ascii="Arial" w:hAnsi="Arial" w:cs="Arial"/>
          <w:sz w:val="20"/>
          <w:szCs w:val="20"/>
        </w:rPr>
        <w:t>ies</w:t>
      </w:r>
      <w:r w:rsidR="00573348" w:rsidRPr="003516DC">
        <w:rPr>
          <w:rFonts w:ascii="Arial" w:hAnsi="Arial" w:cs="Arial"/>
          <w:sz w:val="20"/>
          <w:szCs w:val="20"/>
        </w:rPr>
        <w:t xml:space="preserve"> </w:t>
      </w:r>
      <w:r w:rsidRPr="003516DC">
        <w:rPr>
          <w:rFonts w:ascii="Arial" w:hAnsi="Arial" w:cs="Arial"/>
          <w:sz w:val="20"/>
          <w:szCs w:val="20"/>
        </w:rPr>
        <w:t>increased even more dramatically, by 15%</w:t>
      </w:r>
      <w:r w:rsidR="00A203B8" w:rsidRPr="003516DC">
        <w:rPr>
          <w:rFonts w:ascii="Arial" w:hAnsi="Arial" w:cs="Arial"/>
          <w:sz w:val="20"/>
          <w:szCs w:val="20"/>
        </w:rPr>
        <w:t xml:space="preserve"> in 2017</w:t>
      </w:r>
      <w:r w:rsidRPr="003516DC">
        <w:rPr>
          <w:rFonts w:ascii="Arial" w:hAnsi="Arial" w:cs="Arial"/>
          <w:sz w:val="20"/>
          <w:szCs w:val="20"/>
        </w:rPr>
        <w:t>.</w:t>
      </w:r>
    </w:p>
    <w:p w14:paraId="3F182285" w14:textId="2ABA5D71" w:rsidR="008B6516" w:rsidRPr="008B6516" w:rsidRDefault="008B6516" w:rsidP="008B6516">
      <w:pPr>
        <w:pStyle w:val="Heading4"/>
        <w:spacing w:before="0" w:after="120"/>
        <w:ind w:left="432" w:hanging="432"/>
        <w:rPr>
          <w:sz w:val="20"/>
          <w:szCs w:val="20"/>
        </w:rPr>
      </w:pPr>
      <w:r w:rsidRPr="008B6516">
        <w:rPr>
          <w:sz w:val="20"/>
          <w:szCs w:val="20"/>
        </w:rPr>
        <w:t>Human capital and employment</w:t>
      </w:r>
    </w:p>
    <w:p w14:paraId="0C7BCCEC" w14:textId="00FEA42C" w:rsidR="008B6516" w:rsidRDefault="008B6516" w:rsidP="008B6516">
      <w:pPr>
        <w:pStyle w:val="CommentText"/>
        <w:spacing w:after="120"/>
        <w:jc w:val="both"/>
      </w:pPr>
      <w:r w:rsidRPr="003516DC">
        <w:t xml:space="preserve">From a </w:t>
      </w:r>
      <w:r w:rsidRPr="00FD3AD3">
        <w:rPr>
          <w:b/>
        </w:rPr>
        <w:t>human capital</w:t>
      </w:r>
      <w:r w:rsidRPr="00FD3AD3">
        <w:t xml:space="preserve"> perspective (</w:t>
      </w:r>
      <w:r w:rsidRPr="00FD3AD3">
        <w:rPr>
          <w:b/>
        </w:rPr>
        <w:t>labour force and migration</w:t>
      </w:r>
      <w:r w:rsidRPr="00FD3AD3">
        <w:t>), overall population declined by 8.9% and the working age population declined by 13.8% from</w:t>
      </w:r>
      <w:r w:rsidRPr="00954CD3">
        <w:t xml:space="preserve"> 2012-2020</w:t>
      </w:r>
      <w:r w:rsidRPr="003516DC">
        <w:rPr>
          <w:rStyle w:val="FootnoteReference"/>
        </w:rPr>
        <w:footnoteReference w:id="48"/>
      </w:r>
      <w:r w:rsidRPr="003516DC">
        <w:t>.</w:t>
      </w:r>
      <w:r w:rsidRPr="00FD3AD3">
        <w:t xml:space="preserve"> The massive migration of Romanians moving abroad, both permanent and temporary, has been coupled with a relatively low unemployment rate at </w:t>
      </w:r>
      <w:r w:rsidRPr="00954CD3">
        <w:t>the county level (</w:t>
      </w:r>
      <w:r w:rsidR="00D021AF">
        <w:t>3</w:t>
      </w:r>
      <w:r w:rsidRPr="00954CD3">
        <w:t xml:space="preserve">.01%). </w:t>
      </w:r>
      <w:r w:rsidRPr="00F9231F">
        <w:t xml:space="preserve"> </w:t>
      </w:r>
    </w:p>
    <w:p w14:paraId="595146FA" w14:textId="77777777" w:rsidR="00695EBD" w:rsidRDefault="00DC6942" w:rsidP="00DC6942">
      <w:pPr>
        <w:pStyle w:val="CommentText"/>
        <w:spacing w:after="120"/>
        <w:jc w:val="both"/>
      </w:pPr>
      <w:r>
        <w:t xml:space="preserve">For an in-depth assessment of the unemployment perspective at county level, an additional </w:t>
      </w:r>
      <w:r w:rsidR="00F841A2">
        <w:t>indicator monitoring the share of registered unemployment in the total labour resources</w:t>
      </w:r>
      <w:r w:rsidR="006C46BA">
        <w:rPr>
          <w:rStyle w:val="FootnoteReference"/>
        </w:rPr>
        <w:footnoteReference w:id="49"/>
      </w:r>
      <w:r w:rsidR="00F841A2">
        <w:t xml:space="preserve"> has been added to the analysis. This allows for an outlook on the unemployment situation at </w:t>
      </w:r>
      <w:r w:rsidR="006C46BA">
        <w:t>local administrative unit level, compared to the unemployment rate indicator</w:t>
      </w:r>
      <w:r w:rsidR="006C46BA">
        <w:rPr>
          <w:rStyle w:val="FootnoteReference"/>
        </w:rPr>
        <w:footnoteReference w:id="50"/>
      </w:r>
      <w:r w:rsidR="006C46BA">
        <w:t xml:space="preserve"> which only allows monitoring at general county level.</w:t>
      </w:r>
      <w:r w:rsidR="00695EBD">
        <w:t xml:space="preserve"> </w:t>
      </w:r>
    </w:p>
    <w:p w14:paraId="42510A95" w14:textId="696562EE" w:rsidR="00E06B0D" w:rsidRPr="008B6516" w:rsidRDefault="008970F1" w:rsidP="00DC6942">
      <w:pPr>
        <w:pStyle w:val="CommentText"/>
        <w:spacing w:after="120"/>
        <w:jc w:val="both"/>
      </w:pPr>
      <w:r>
        <w:t>Using this indicator</w:t>
      </w:r>
      <w:r w:rsidR="00893C7D">
        <w:t xml:space="preserve">, </w:t>
      </w:r>
      <w:r>
        <w:t xml:space="preserve">the </w:t>
      </w:r>
      <w:r w:rsidR="00893C7D">
        <w:t>g</w:t>
      </w:r>
      <w:r w:rsidR="00695EBD">
        <w:t xml:space="preserve">raph below shows the evolution of unemployment between 2010 and 2020, while Figure 7 presents </w:t>
      </w:r>
      <w:r w:rsidR="00893C7D">
        <w:t xml:space="preserve">most and least affected localities in Hunedoara County by unemployment. </w:t>
      </w:r>
    </w:p>
    <w:p w14:paraId="61F93A4E" w14:textId="44DA55C3" w:rsidR="008B6516" w:rsidRPr="003516DC" w:rsidRDefault="008B6516" w:rsidP="008B6516">
      <w:pPr>
        <w:pStyle w:val="Caption"/>
        <w:rPr>
          <w:i/>
          <w:color w:val="0070C0"/>
        </w:rPr>
      </w:pPr>
      <w:bookmarkStart w:id="113" w:name="_Toc90727356"/>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20</w:t>
      </w:r>
      <w:r w:rsidR="000B273D">
        <w:rPr>
          <w:noProof/>
        </w:rPr>
        <w:fldChar w:fldCharType="end"/>
      </w:r>
      <w:r w:rsidRPr="003516DC">
        <w:t xml:space="preserve">: Unemployment evolution, 2010-2020, Hunedoara </w:t>
      </w:r>
      <w:r>
        <w:t>C</w:t>
      </w:r>
      <w:r w:rsidRPr="003516DC">
        <w:t>ounty</w:t>
      </w:r>
      <w:bookmarkEnd w:id="113"/>
    </w:p>
    <w:p w14:paraId="313E9E20" w14:textId="77777777" w:rsidR="008B6516" w:rsidRPr="003516DC" w:rsidRDefault="008B6516" w:rsidP="008B6516">
      <w:pPr>
        <w:rPr>
          <w:rFonts w:ascii="Arial" w:hAnsi="Arial" w:cs="Arial"/>
          <w:i/>
          <w:iCs/>
          <w:color w:val="0070C0"/>
          <w:sz w:val="20"/>
          <w:szCs w:val="20"/>
        </w:rPr>
      </w:pPr>
      <w:r w:rsidRPr="009F13C3">
        <w:rPr>
          <w:rFonts w:ascii="Arial" w:hAnsi="Arial" w:cs="Arial"/>
          <w:noProof/>
          <w:lang w:val="en-US" w:eastAsia="en-US"/>
        </w:rPr>
        <w:drawing>
          <wp:inline distT="0" distB="0" distL="0" distR="0" wp14:anchorId="5CFC623B" wp14:editId="6797F165">
            <wp:extent cx="5678424" cy="2377440"/>
            <wp:effectExtent l="0" t="0" r="0" b="3810"/>
            <wp:docPr id="197" name="Chart 19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8D831E7-3C6B-4A17-868E-DD4D118357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A44F8A8" w14:textId="58C2E05F" w:rsidR="008B6516" w:rsidRPr="003516DC" w:rsidRDefault="008B6516" w:rsidP="008B6516">
      <w:pPr>
        <w:pStyle w:val="Caption"/>
      </w:pPr>
      <w:bookmarkStart w:id="114" w:name="_Toc90725934"/>
      <w:r w:rsidRPr="003516DC">
        <w:lastRenderedPageBreak/>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7</w:t>
      </w:r>
      <w:r w:rsidR="000B273D">
        <w:rPr>
          <w:noProof/>
        </w:rPr>
        <w:fldChar w:fldCharType="end"/>
      </w:r>
      <w:r w:rsidRPr="003516DC">
        <w:t xml:space="preserve">: Unemployment rate per UAT in Hunedoara </w:t>
      </w:r>
      <w:r>
        <w:t>C</w:t>
      </w:r>
      <w:r w:rsidRPr="003516DC">
        <w:t>ounty, 2020</w:t>
      </w:r>
      <w:bookmarkEnd w:id="114"/>
    </w:p>
    <w:p w14:paraId="5304265D" w14:textId="56F5AF14" w:rsidR="008B6516" w:rsidRDefault="008B6516" w:rsidP="00695EBD">
      <w:pPr>
        <w:spacing w:after="120"/>
        <w:rPr>
          <w:rFonts w:ascii="Arial" w:hAnsi="Arial" w:cs="Arial"/>
        </w:rPr>
      </w:pPr>
      <w:r w:rsidRPr="009F13C3">
        <w:rPr>
          <w:rFonts w:ascii="Arial" w:hAnsi="Arial" w:cs="Arial"/>
          <w:noProof/>
          <w:lang w:val="en-US" w:eastAsia="en-US"/>
        </w:rPr>
        <w:drawing>
          <wp:inline distT="0" distB="0" distL="0" distR="0" wp14:anchorId="215C701A" wp14:editId="72454B77">
            <wp:extent cx="5676265" cy="2750820"/>
            <wp:effectExtent l="0" t="0" r="63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95" name="Picture 208705559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76265" cy="2750820"/>
                    </a:xfrm>
                    <a:prstGeom prst="rect">
                      <a:avLst/>
                    </a:prstGeom>
                  </pic:spPr>
                </pic:pic>
              </a:graphicData>
            </a:graphic>
          </wp:inline>
        </w:drawing>
      </w:r>
    </w:p>
    <w:p w14:paraId="08244B51" w14:textId="77777777" w:rsidR="00695EBD" w:rsidRPr="00D963B9" w:rsidRDefault="00695EBD" w:rsidP="00695EBD">
      <w:pPr>
        <w:spacing w:after="120"/>
        <w:jc w:val="both"/>
        <w:rPr>
          <w:rFonts w:ascii="Arial" w:hAnsi="Arial" w:cs="Arial"/>
          <w:sz w:val="20"/>
          <w:szCs w:val="20"/>
        </w:rPr>
      </w:pPr>
      <w:r w:rsidRPr="00D963B9">
        <w:rPr>
          <w:rFonts w:ascii="Arial" w:hAnsi="Arial" w:cs="Arial"/>
          <w:sz w:val="20"/>
          <w:szCs w:val="20"/>
        </w:rPr>
        <w:t>In Hunedoara County, the share of registered unemployed was 5% in 2010 compared to 2% in 2020.  In rural areas, the unemployment rate in 2010 was 8.09% and 3.04% in 2020.</w:t>
      </w:r>
    </w:p>
    <w:p w14:paraId="736A0809" w14:textId="77777777" w:rsidR="00695EBD" w:rsidRPr="00D963B9" w:rsidRDefault="00695EBD" w:rsidP="00695EBD">
      <w:pPr>
        <w:spacing w:after="120"/>
        <w:jc w:val="both"/>
        <w:rPr>
          <w:rFonts w:ascii="Arial" w:hAnsi="Arial" w:cs="Arial"/>
          <w:sz w:val="20"/>
          <w:szCs w:val="20"/>
        </w:rPr>
      </w:pPr>
      <w:r w:rsidRPr="00D963B9">
        <w:rPr>
          <w:rFonts w:ascii="Arial" w:hAnsi="Arial" w:cs="Arial"/>
          <w:sz w:val="20"/>
          <w:szCs w:val="20"/>
        </w:rPr>
        <w:t>In 2020, the lowest unemployment rate in Hunedoara County was reported in Bătrâna (0%), Simeria town (0.8%), Cârjiți (1%) and Deva (1.20%). In 2010, the lowest unemployment rates were reported in Uricani (3.50%), Hunedoara (3.80%) and Deva (3.90%).</w:t>
      </w:r>
    </w:p>
    <w:p w14:paraId="2A4A86DB" w14:textId="779E0B78" w:rsidR="00695EBD" w:rsidRPr="00D963B9" w:rsidRDefault="00695EBD" w:rsidP="00695EBD">
      <w:pPr>
        <w:spacing w:after="120"/>
        <w:jc w:val="both"/>
        <w:rPr>
          <w:rFonts w:ascii="Arial" w:hAnsi="Arial" w:cs="Arial"/>
          <w:sz w:val="20"/>
          <w:szCs w:val="20"/>
        </w:rPr>
      </w:pPr>
      <w:r w:rsidRPr="00D963B9">
        <w:rPr>
          <w:rFonts w:ascii="Arial" w:hAnsi="Arial" w:cs="Arial"/>
          <w:sz w:val="20"/>
          <w:szCs w:val="20"/>
        </w:rPr>
        <w:t>By contrast, the highest unemployment rates in 2010 were reported in Bulzeștii de Sus (27.50%), Rapoltu Mare (18.50%), and Blăjeni (16.70%). The highest shares of unemployment in 2020 are found in Balsa (8.20%), Bulzeștii de Sus (7.80%) and Buces (6.90%).</w:t>
      </w:r>
    </w:p>
    <w:p w14:paraId="7024DB78" w14:textId="1F705B72" w:rsidR="0091529C" w:rsidRPr="008B6516" w:rsidRDefault="008B6516" w:rsidP="008B6516">
      <w:pPr>
        <w:pStyle w:val="Heading4"/>
        <w:spacing w:before="0" w:after="120"/>
        <w:rPr>
          <w:sz w:val="20"/>
          <w:szCs w:val="20"/>
        </w:rPr>
      </w:pPr>
      <w:r w:rsidRPr="008B6516">
        <w:rPr>
          <w:sz w:val="20"/>
          <w:szCs w:val="20"/>
        </w:rPr>
        <w:t>Social infrastructure</w:t>
      </w:r>
    </w:p>
    <w:p w14:paraId="66828577" w14:textId="3470EB72" w:rsidR="00AC7B69" w:rsidRPr="003516DC" w:rsidRDefault="00903249" w:rsidP="00920AEC">
      <w:pPr>
        <w:spacing w:after="120"/>
        <w:jc w:val="both"/>
        <w:rPr>
          <w:rFonts w:ascii="Arial" w:hAnsi="Arial" w:cs="Arial"/>
          <w:sz w:val="20"/>
          <w:szCs w:val="20"/>
        </w:rPr>
      </w:pPr>
      <w:r w:rsidRPr="003516DC">
        <w:rPr>
          <w:rFonts w:ascii="Arial" w:hAnsi="Arial" w:cs="Arial"/>
          <w:sz w:val="20"/>
          <w:szCs w:val="20"/>
        </w:rPr>
        <w:t xml:space="preserve">In terms of </w:t>
      </w:r>
      <w:r w:rsidRPr="003516DC">
        <w:rPr>
          <w:rFonts w:ascii="Arial" w:hAnsi="Arial" w:cs="Arial"/>
          <w:b/>
          <w:sz w:val="20"/>
          <w:szCs w:val="20"/>
        </w:rPr>
        <w:t>educational infrastructure</w:t>
      </w:r>
      <w:r w:rsidRPr="003516DC">
        <w:rPr>
          <w:rFonts w:ascii="Arial" w:hAnsi="Arial" w:cs="Arial"/>
          <w:sz w:val="20"/>
          <w:szCs w:val="20"/>
        </w:rPr>
        <w:t>, there are two tertiary education institutions in the county: the State University of Petrosani with 3</w:t>
      </w:r>
      <w:r w:rsidR="00531403" w:rsidRPr="003516DC">
        <w:rPr>
          <w:rFonts w:ascii="Arial" w:hAnsi="Arial" w:cs="Arial"/>
          <w:sz w:val="20"/>
          <w:szCs w:val="20"/>
        </w:rPr>
        <w:t>,</w:t>
      </w:r>
      <w:r w:rsidRPr="003516DC">
        <w:rPr>
          <w:rFonts w:ascii="Arial" w:hAnsi="Arial" w:cs="Arial"/>
          <w:sz w:val="20"/>
          <w:szCs w:val="20"/>
        </w:rPr>
        <w:t>552 students</w:t>
      </w:r>
      <w:r w:rsidR="000702AF" w:rsidRPr="003516DC">
        <w:rPr>
          <w:rStyle w:val="FootnoteReference"/>
          <w:rFonts w:ascii="Arial" w:hAnsi="Arial" w:cs="Arial"/>
          <w:sz w:val="20"/>
          <w:szCs w:val="20"/>
        </w:rPr>
        <w:footnoteReference w:id="51"/>
      </w:r>
      <w:r w:rsidRPr="003516DC">
        <w:rPr>
          <w:rFonts w:ascii="Arial" w:hAnsi="Arial" w:cs="Arial"/>
          <w:sz w:val="20"/>
          <w:szCs w:val="20"/>
        </w:rPr>
        <w:t xml:space="preserve"> and the Hunedoara-based campus of the Engineering Faculty of Timișoara Polytechnic University with 805 students in 2019</w:t>
      </w:r>
      <w:r w:rsidR="000702AF" w:rsidRPr="003516DC">
        <w:rPr>
          <w:rStyle w:val="FootnoteReference"/>
          <w:rFonts w:ascii="Arial" w:hAnsi="Arial" w:cs="Arial"/>
          <w:sz w:val="20"/>
          <w:szCs w:val="20"/>
        </w:rPr>
        <w:footnoteReference w:id="52"/>
      </w:r>
      <w:r w:rsidRPr="003516DC">
        <w:rPr>
          <w:rFonts w:ascii="Arial" w:hAnsi="Arial" w:cs="Arial"/>
          <w:sz w:val="20"/>
          <w:szCs w:val="20"/>
        </w:rPr>
        <w:t xml:space="preserve">. The number of schools for vocational education </w:t>
      </w:r>
      <w:r w:rsidR="00531403" w:rsidRPr="003516DC">
        <w:rPr>
          <w:rFonts w:ascii="Arial" w:hAnsi="Arial" w:cs="Arial"/>
          <w:sz w:val="20"/>
          <w:szCs w:val="20"/>
        </w:rPr>
        <w:t xml:space="preserve">fell by 8.1% </w:t>
      </w:r>
      <w:r w:rsidRPr="003516DC">
        <w:rPr>
          <w:rFonts w:ascii="Arial" w:hAnsi="Arial" w:cs="Arial"/>
          <w:sz w:val="20"/>
          <w:szCs w:val="20"/>
        </w:rPr>
        <w:t>in 2019 to 34</w:t>
      </w:r>
      <w:r w:rsidR="00531403" w:rsidRPr="003516DC">
        <w:rPr>
          <w:rFonts w:ascii="Arial" w:hAnsi="Arial" w:cs="Arial"/>
          <w:sz w:val="20"/>
          <w:szCs w:val="20"/>
        </w:rPr>
        <w:t xml:space="preserve"> schools</w:t>
      </w:r>
      <w:r w:rsidRPr="003516DC">
        <w:rPr>
          <w:rFonts w:ascii="Arial" w:hAnsi="Arial" w:cs="Arial"/>
          <w:sz w:val="20"/>
          <w:szCs w:val="20"/>
        </w:rPr>
        <w:t xml:space="preserve">. Within the general framework of demographic decline, the population enrolled in the educational system decreased between 2014 and 2019 by 20.2% </w:t>
      </w:r>
      <w:r w:rsidR="00F032BA" w:rsidRPr="003516DC">
        <w:rPr>
          <w:rFonts w:ascii="Arial" w:hAnsi="Arial" w:cs="Arial"/>
          <w:sz w:val="20"/>
          <w:szCs w:val="20"/>
        </w:rPr>
        <w:t>(</w:t>
      </w:r>
      <w:r w:rsidRPr="003516DC">
        <w:rPr>
          <w:rFonts w:ascii="Arial" w:hAnsi="Arial" w:cs="Arial"/>
          <w:sz w:val="20"/>
          <w:szCs w:val="20"/>
        </w:rPr>
        <w:t>from 69,078 in 2014 to 58,993 in 2019</w:t>
      </w:r>
      <w:r w:rsidR="0015104E" w:rsidRPr="003516DC">
        <w:rPr>
          <w:rStyle w:val="FootnoteReference"/>
          <w:rFonts w:ascii="Arial" w:hAnsi="Arial" w:cs="Arial"/>
          <w:sz w:val="20"/>
          <w:szCs w:val="20"/>
        </w:rPr>
        <w:footnoteReference w:id="53"/>
      </w:r>
      <w:r w:rsidR="00777D06" w:rsidRPr="003516DC">
        <w:rPr>
          <w:rFonts w:ascii="Arial" w:hAnsi="Arial" w:cs="Arial"/>
          <w:sz w:val="20"/>
          <w:szCs w:val="20"/>
        </w:rPr>
        <w:t>)</w:t>
      </w:r>
      <w:r w:rsidRPr="003516DC">
        <w:rPr>
          <w:rFonts w:ascii="Arial" w:hAnsi="Arial" w:cs="Arial"/>
          <w:sz w:val="20"/>
          <w:szCs w:val="20"/>
        </w:rPr>
        <w:t xml:space="preserve">. Percentage wise, this is </w:t>
      </w:r>
      <w:r w:rsidR="002941A8" w:rsidRPr="003516DC">
        <w:rPr>
          <w:rFonts w:ascii="Arial" w:hAnsi="Arial" w:cs="Arial"/>
          <w:sz w:val="20"/>
          <w:szCs w:val="20"/>
        </w:rPr>
        <w:t xml:space="preserve">twice </w:t>
      </w:r>
      <w:r w:rsidRPr="003516DC">
        <w:rPr>
          <w:rFonts w:ascii="Arial" w:hAnsi="Arial" w:cs="Arial"/>
          <w:sz w:val="20"/>
          <w:szCs w:val="20"/>
        </w:rPr>
        <w:t xml:space="preserve">the </w:t>
      </w:r>
      <w:r w:rsidR="002941A8" w:rsidRPr="003516DC">
        <w:rPr>
          <w:rFonts w:ascii="Arial" w:hAnsi="Arial" w:cs="Arial"/>
          <w:sz w:val="20"/>
          <w:szCs w:val="20"/>
        </w:rPr>
        <w:t xml:space="preserve">decline </w:t>
      </w:r>
      <w:r w:rsidRPr="003516DC">
        <w:rPr>
          <w:rFonts w:ascii="Arial" w:hAnsi="Arial" w:cs="Arial"/>
          <w:sz w:val="20"/>
          <w:szCs w:val="20"/>
        </w:rPr>
        <w:t xml:space="preserve">of the general population over the same period, which </w:t>
      </w:r>
      <w:r w:rsidR="008959FA" w:rsidRPr="003516DC">
        <w:rPr>
          <w:rFonts w:ascii="Arial" w:hAnsi="Arial" w:cs="Arial"/>
          <w:sz w:val="20"/>
          <w:szCs w:val="20"/>
        </w:rPr>
        <w:t>illustrates</w:t>
      </w:r>
      <w:r w:rsidRPr="003516DC">
        <w:rPr>
          <w:rFonts w:ascii="Arial" w:hAnsi="Arial" w:cs="Arial"/>
          <w:sz w:val="20"/>
          <w:szCs w:val="20"/>
        </w:rPr>
        <w:t xml:space="preserve"> that Hunedoara has a significant demographic problem. Post-secondary, vocational </w:t>
      </w:r>
      <w:r w:rsidR="00D33B17" w:rsidRPr="003516DC">
        <w:rPr>
          <w:rFonts w:ascii="Arial" w:hAnsi="Arial" w:cs="Arial"/>
          <w:sz w:val="20"/>
          <w:szCs w:val="20"/>
        </w:rPr>
        <w:t>and</w:t>
      </w:r>
      <w:r w:rsidRPr="003516DC">
        <w:rPr>
          <w:rFonts w:ascii="Arial" w:hAnsi="Arial" w:cs="Arial"/>
          <w:sz w:val="20"/>
          <w:szCs w:val="20"/>
        </w:rPr>
        <w:t xml:space="preserve"> master</w:t>
      </w:r>
      <w:r w:rsidR="0094603F" w:rsidRPr="003516DC">
        <w:rPr>
          <w:rFonts w:ascii="Arial" w:hAnsi="Arial" w:cs="Arial"/>
          <w:sz w:val="20"/>
          <w:szCs w:val="20"/>
        </w:rPr>
        <w:t>s’</w:t>
      </w:r>
      <w:r w:rsidRPr="003516DC">
        <w:rPr>
          <w:rFonts w:ascii="Arial" w:hAnsi="Arial" w:cs="Arial"/>
          <w:sz w:val="20"/>
          <w:szCs w:val="20"/>
        </w:rPr>
        <w:t xml:space="preserve"> education recorded the highest drop-out</w:t>
      </w:r>
      <w:r w:rsidR="002F0F02" w:rsidRPr="003516DC">
        <w:rPr>
          <w:rFonts w:ascii="Arial" w:hAnsi="Arial" w:cs="Arial"/>
          <w:sz w:val="20"/>
          <w:szCs w:val="20"/>
        </w:rPr>
        <w:t xml:space="preserve"> rate</w:t>
      </w:r>
      <w:r w:rsidR="005D0BAE" w:rsidRPr="003516DC">
        <w:rPr>
          <w:rFonts w:ascii="Arial" w:hAnsi="Arial" w:cs="Arial"/>
          <w:sz w:val="20"/>
          <w:szCs w:val="20"/>
        </w:rPr>
        <w:t xml:space="preserve"> of</w:t>
      </w:r>
      <w:r w:rsidR="0091529C" w:rsidRPr="003516DC">
        <w:rPr>
          <w:rFonts w:ascii="Arial" w:hAnsi="Arial" w:cs="Arial"/>
          <w:sz w:val="20"/>
          <w:szCs w:val="20"/>
        </w:rPr>
        <w:t xml:space="preserve"> </w:t>
      </w:r>
      <w:r w:rsidRPr="003516DC">
        <w:rPr>
          <w:rFonts w:ascii="Arial" w:hAnsi="Arial" w:cs="Arial"/>
          <w:sz w:val="20"/>
          <w:szCs w:val="20"/>
        </w:rPr>
        <w:t>7.8% in 2019.</w:t>
      </w:r>
    </w:p>
    <w:p w14:paraId="04094917" w14:textId="01BFE8FA" w:rsidR="00970F47" w:rsidRDefault="00970F47" w:rsidP="00920AEC">
      <w:pPr>
        <w:spacing w:after="120"/>
        <w:jc w:val="both"/>
        <w:rPr>
          <w:rFonts w:ascii="Arial" w:hAnsi="Arial" w:cs="Arial"/>
          <w:sz w:val="20"/>
          <w:szCs w:val="20"/>
        </w:rPr>
      </w:pPr>
      <w:r w:rsidRPr="003516DC">
        <w:rPr>
          <w:rFonts w:ascii="Arial" w:hAnsi="Arial" w:cs="Arial"/>
          <w:sz w:val="20"/>
          <w:szCs w:val="20"/>
        </w:rPr>
        <w:t>Hunedoara County is facing an increasing trend of depopulation and demographic aging, which leads to a labo</w:t>
      </w:r>
      <w:r w:rsidR="00B85B33">
        <w:rPr>
          <w:rFonts w:ascii="Arial" w:hAnsi="Arial" w:cs="Arial"/>
          <w:sz w:val="20"/>
          <w:szCs w:val="20"/>
        </w:rPr>
        <w:t>u</w:t>
      </w:r>
      <w:r w:rsidRPr="003516DC">
        <w:rPr>
          <w:rFonts w:ascii="Arial" w:hAnsi="Arial" w:cs="Arial"/>
          <w:sz w:val="20"/>
          <w:szCs w:val="20"/>
        </w:rPr>
        <w:t xml:space="preserve">r shortage and puts pressure on </w:t>
      </w:r>
      <w:r w:rsidR="00B85B33">
        <w:rPr>
          <w:rFonts w:ascii="Arial" w:hAnsi="Arial" w:cs="Arial"/>
          <w:sz w:val="20"/>
          <w:szCs w:val="20"/>
        </w:rPr>
        <w:t xml:space="preserve">the </w:t>
      </w:r>
      <w:r w:rsidRPr="003516DC">
        <w:rPr>
          <w:rFonts w:ascii="Arial" w:hAnsi="Arial" w:cs="Arial"/>
          <w:sz w:val="20"/>
          <w:szCs w:val="20"/>
        </w:rPr>
        <w:t>health, education and social assistance systems. Physical distances and legal limitations do not encourage cooperation between cities and municipalities in functional urban areas (</w:t>
      </w:r>
      <w:r w:rsidR="00B85B33">
        <w:rPr>
          <w:rFonts w:ascii="Arial" w:hAnsi="Arial" w:cs="Arial"/>
          <w:sz w:val="20"/>
          <w:szCs w:val="20"/>
        </w:rPr>
        <w:t xml:space="preserve">e.g., </w:t>
      </w:r>
      <w:r w:rsidRPr="003516DC">
        <w:rPr>
          <w:rFonts w:ascii="Arial" w:hAnsi="Arial" w:cs="Arial"/>
          <w:sz w:val="20"/>
          <w:szCs w:val="20"/>
        </w:rPr>
        <w:t xml:space="preserve">Hunedoara-Călan, Valea Jiului, Brad area, etc.) to streamline activities in education, social, etc. </w:t>
      </w:r>
      <w:r w:rsidR="00B85B33">
        <w:rPr>
          <w:rFonts w:ascii="Arial" w:hAnsi="Arial" w:cs="Arial"/>
          <w:sz w:val="20"/>
          <w:szCs w:val="20"/>
        </w:rPr>
        <w:t xml:space="preserve">or </w:t>
      </w:r>
      <w:r w:rsidRPr="003516DC">
        <w:rPr>
          <w:rFonts w:ascii="Arial" w:hAnsi="Arial" w:cs="Arial"/>
          <w:sz w:val="20"/>
          <w:szCs w:val="20"/>
        </w:rPr>
        <w:t>to streamline spending and</w:t>
      </w:r>
      <w:r w:rsidR="00B85B33">
        <w:rPr>
          <w:rFonts w:ascii="Arial" w:hAnsi="Arial" w:cs="Arial"/>
          <w:sz w:val="20"/>
          <w:szCs w:val="20"/>
        </w:rPr>
        <w:t>/or the</w:t>
      </w:r>
      <w:r w:rsidRPr="003516DC">
        <w:rPr>
          <w:rFonts w:ascii="Arial" w:hAnsi="Arial" w:cs="Arial"/>
          <w:sz w:val="20"/>
          <w:szCs w:val="20"/>
        </w:rPr>
        <w:t xml:space="preserve"> quality of services. </w:t>
      </w:r>
      <w:bookmarkStart w:id="115" w:name="_Hlk75162482"/>
    </w:p>
    <w:p w14:paraId="7232477E" w14:textId="16264D73" w:rsidR="00970F47" w:rsidRDefault="00970F47" w:rsidP="00920AEC">
      <w:pPr>
        <w:spacing w:after="120"/>
        <w:jc w:val="both"/>
        <w:rPr>
          <w:rFonts w:ascii="Arial" w:hAnsi="Arial" w:cs="Arial"/>
          <w:sz w:val="20"/>
          <w:szCs w:val="20"/>
        </w:rPr>
      </w:pPr>
      <w:r w:rsidRPr="003516DC">
        <w:rPr>
          <w:rFonts w:ascii="Arial" w:hAnsi="Arial" w:cs="Arial"/>
          <w:sz w:val="20"/>
          <w:szCs w:val="20"/>
        </w:rPr>
        <w:t xml:space="preserve">Although kindergartens and nurseries </w:t>
      </w:r>
      <w:r w:rsidR="00B85B33">
        <w:rPr>
          <w:rFonts w:ascii="Arial" w:hAnsi="Arial" w:cs="Arial"/>
          <w:sz w:val="20"/>
          <w:szCs w:val="20"/>
        </w:rPr>
        <w:t>form</w:t>
      </w:r>
      <w:r w:rsidRPr="003516DC">
        <w:rPr>
          <w:rFonts w:ascii="Arial" w:hAnsi="Arial" w:cs="Arial"/>
          <w:sz w:val="20"/>
          <w:szCs w:val="20"/>
        </w:rPr>
        <w:t xml:space="preserve"> the basis of the infrastructure of the education system, they have suffered declines in the number of units in recent years. Even if the number of children is decreasing, the closure or merging of some units leads to decreas</w:t>
      </w:r>
      <w:r w:rsidR="00B85B33">
        <w:rPr>
          <w:rFonts w:ascii="Arial" w:hAnsi="Arial" w:cs="Arial"/>
          <w:sz w:val="20"/>
          <w:szCs w:val="20"/>
        </w:rPr>
        <w:t>ing</w:t>
      </w:r>
      <w:r w:rsidRPr="003516DC">
        <w:rPr>
          <w:rFonts w:ascii="Arial" w:hAnsi="Arial" w:cs="Arial"/>
          <w:sz w:val="20"/>
          <w:szCs w:val="20"/>
        </w:rPr>
        <w:t xml:space="preserve"> participation in early education.</w:t>
      </w:r>
    </w:p>
    <w:p w14:paraId="4DCE4F8F" w14:textId="1D18A354" w:rsidR="00970F47" w:rsidRPr="003516DC" w:rsidRDefault="00970F47" w:rsidP="008B6516">
      <w:pPr>
        <w:spacing w:after="120"/>
        <w:jc w:val="both"/>
        <w:rPr>
          <w:rFonts w:ascii="Arial" w:hAnsi="Arial" w:cs="Arial"/>
          <w:sz w:val="20"/>
          <w:szCs w:val="20"/>
        </w:rPr>
      </w:pPr>
      <w:r>
        <w:rPr>
          <w:rFonts w:ascii="Arial" w:hAnsi="Arial" w:cs="Arial"/>
          <w:sz w:val="20"/>
          <w:szCs w:val="20"/>
        </w:rPr>
        <w:t xml:space="preserve">According to </w:t>
      </w:r>
      <w:r w:rsidR="00E273BF">
        <w:rPr>
          <w:rFonts w:ascii="Arial" w:hAnsi="Arial" w:cs="Arial"/>
          <w:sz w:val="20"/>
          <w:szCs w:val="20"/>
        </w:rPr>
        <w:t xml:space="preserve">the </w:t>
      </w:r>
      <w:r w:rsidR="00E273BF" w:rsidRPr="00E273BF">
        <w:rPr>
          <w:rFonts w:ascii="Arial" w:hAnsi="Arial" w:cs="Arial"/>
          <w:sz w:val="20"/>
          <w:szCs w:val="20"/>
        </w:rPr>
        <w:t>Integrated Information System for Education in Romania</w:t>
      </w:r>
      <w:r w:rsidR="00E273BF">
        <w:rPr>
          <w:rFonts w:ascii="Arial" w:hAnsi="Arial" w:cs="Arial"/>
          <w:sz w:val="20"/>
          <w:szCs w:val="20"/>
        </w:rPr>
        <w:t xml:space="preserve"> (SIIIR)</w:t>
      </w:r>
      <w:r w:rsidR="00E273BF">
        <w:rPr>
          <w:rStyle w:val="FootnoteReference"/>
          <w:rFonts w:ascii="Arial" w:hAnsi="Arial" w:cs="Arial"/>
          <w:sz w:val="20"/>
          <w:szCs w:val="20"/>
        </w:rPr>
        <w:footnoteReference w:id="54"/>
      </w:r>
      <w:r w:rsidR="00E273BF">
        <w:rPr>
          <w:rFonts w:ascii="Arial" w:hAnsi="Arial" w:cs="Arial"/>
          <w:sz w:val="20"/>
          <w:szCs w:val="20"/>
        </w:rPr>
        <w:t>, i</w:t>
      </w:r>
      <w:r w:rsidRPr="003516DC">
        <w:rPr>
          <w:rFonts w:ascii="Arial" w:hAnsi="Arial" w:cs="Arial"/>
          <w:sz w:val="20"/>
          <w:szCs w:val="20"/>
        </w:rPr>
        <w:t>n</w:t>
      </w:r>
      <w:r w:rsidR="00E273BF">
        <w:rPr>
          <w:rFonts w:ascii="Arial" w:hAnsi="Arial" w:cs="Arial"/>
          <w:sz w:val="20"/>
          <w:szCs w:val="20"/>
        </w:rPr>
        <w:t xml:space="preserve"> 2020 </w:t>
      </w:r>
      <w:r w:rsidRPr="003516DC">
        <w:rPr>
          <w:rFonts w:ascii="Arial" w:hAnsi="Arial" w:cs="Arial"/>
          <w:sz w:val="20"/>
          <w:szCs w:val="20"/>
        </w:rPr>
        <w:t xml:space="preserve">there </w:t>
      </w:r>
      <w:r w:rsidR="00B2500D">
        <w:rPr>
          <w:rFonts w:ascii="Arial" w:hAnsi="Arial" w:cs="Arial"/>
          <w:sz w:val="20"/>
          <w:szCs w:val="20"/>
        </w:rPr>
        <w:t>w</w:t>
      </w:r>
      <w:r w:rsidR="00920AEC">
        <w:rPr>
          <w:rFonts w:ascii="Arial" w:hAnsi="Arial" w:cs="Arial"/>
          <w:sz w:val="20"/>
          <w:szCs w:val="20"/>
        </w:rPr>
        <w:t>ere</w:t>
      </w:r>
      <w:r w:rsidR="004F7390">
        <w:rPr>
          <w:rFonts w:ascii="Arial" w:hAnsi="Arial" w:cs="Arial"/>
          <w:sz w:val="20"/>
          <w:szCs w:val="20"/>
        </w:rPr>
        <w:t xml:space="preserve"> </w:t>
      </w:r>
      <w:r w:rsidRPr="003516DC">
        <w:rPr>
          <w:rFonts w:ascii="Arial" w:hAnsi="Arial" w:cs="Arial"/>
          <w:sz w:val="20"/>
          <w:szCs w:val="20"/>
        </w:rPr>
        <w:t xml:space="preserve">36 kindergartens with </w:t>
      </w:r>
      <w:r w:rsidR="00B2500D">
        <w:rPr>
          <w:rFonts w:ascii="Arial" w:hAnsi="Arial" w:cs="Arial"/>
          <w:sz w:val="20"/>
          <w:szCs w:val="20"/>
        </w:rPr>
        <w:t xml:space="preserve">a </w:t>
      </w:r>
      <w:r w:rsidRPr="003516DC">
        <w:rPr>
          <w:rFonts w:ascii="Arial" w:hAnsi="Arial" w:cs="Arial"/>
          <w:sz w:val="20"/>
          <w:szCs w:val="20"/>
        </w:rPr>
        <w:t>normal program</w:t>
      </w:r>
      <w:r w:rsidR="00B2500D">
        <w:rPr>
          <w:rFonts w:ascii="Arial" w:hAnsi="Arial" w:cs="Arial"/>
          <w:sz w:val="20"/>
          <w:szCs w:val="20"/>
        </w:rPr>
        <w:t>me</w:t>
      </w:r>
      <w:r w:rsidRPr="003516DC">
        <w:rPr>
          <w:rFonts w:ascii="Arial" w:hAnsi="Arial" w:cs="Arial"/>
          <w:sz w:val="20"/>
          <w:szCs w:val="20"/>
        </w:rPr>
        <w:t>,</w:t>
      </w:r>
      <w:r w:rsidR="00B2500D">
        <w:rPr>
          <w:rFonts w:ascii="Arial" w:hAnsi="Arial" w:cs="Arial"/>
          <w:sz w:val="20"/>
          <w:szCs w:val="20"/>
        </w:rPr>
        <w:t xml:space="preserve"> </w:t>
      </w:r>
      <w:r w:rsidRPr="003516DC">
        <w:rPr>
          <w:rFonts w:ascii="Arial" w:hAnsi="Arial" w:cs="Arial"/>
          <w:sz w:val="20"/>
          <w:szCs w:val="20"/>
        </w:rPr>
        <w:t xml:space="preserve">23 kindergartens with </w:t>
      </w:r>
      <w:r w:rsidR="00B2500D">
        <w:rPr>
          <w:rFonts w:ascii="Arial" w:hAnsi="Arial" w:cs="Arial"/>
          <w:sz w:val="20"/>
          <w:szCs w:val="20"/>
        </w:rPr>
        <w:t xml:space="preserve">an </w:t>
      </w:r>
      <w:r w:rsidRPr="003516DC">
        <w:rPr>
          <w:rFonts w:ascii="Arial" w:hAnsi="Arial" w:cs="Arial"/>
          <w:sz w:val="20"/>
          <w:szCs w:val="20"/>
        </w:rPr>
        <w:t>extended program</w:t>
      </w:r>
      <w:bookmarkEnd w:id="115"/>
      <w:r w:rsidR="00B2500D">
        <w:rPr>
          <w:rFonts w:ascii="Arial" w:hAnsi="Arial" w:cs="Arial"/>
          <w:sz w:val="20"/>
          <w:szCs w:val="20"/>
        </w:rPr>
        <w:t>me</w:t>
      </w:r>
      <w:r w:rsidR="00920AEC">
        <w:rPr>
          <w:rFonts w:ascii="Arial" w:hAnsi="Arial" w:cs="Arial"/>
          <w:sz w:val="20"/>
          <w:szCs w:val="20"/>
        </w:rPr>
        <w:t>, and 1</w:t>
      </w:r>
      <w:r w:rsidR="00920AEC" w:rsidRPr="003516DC">
        <w:rPr>
          <w:rFonts w:ascii="Arial" w:hAnsi="Arial" w:cs="Arial"/>
          <w:sz w:val="20"/>
          <w:szCs w:val="20"/>
        </w:rPr>
        <w:t xml:space="preserve"> nursery</w:t>
      </w:r>
      <w:r w:rsidR="00920AEC">
        <w:rPr>
          <w:rFonts w:ascii="Arial" w:hAnsi="Arial" w:cs="Arial"/>
          <w:sz w:val="20"/>
          <w:szCs w:val="20"/>
        </w:rPr>
        <w:t xml:space="preserve"> in Hunedoara County</w:t>
      </w:r>
      <w:r w:rsidR="001A3057">
        <w:rPr>
          <w:rFonts w:ascii="Arial" w:hAnsi="Arial" w:cs="Arial"/>
          <w:sz w:val="20"/>
          <w:szCs w:val="20"/>
        </w:rPr>
        <w:t>.</w:t>
      </w:r>
      <w:r w:rsidRPr="003516DC">
        <w:rPr>
          <w:rFonts w:ascii="Arial" w:hAnsi="Arial" w:cs="Arial"/>
          <w:sz w:val="20"/>
          <w:szCs w:val="20"/>
        </w:rPr>
        <w:t xml:space="preserve"> The technical school infrastructure, although not adapted to the trades </w:t>
      </w:r>
      <w:r w:rsidRPr="003516DC">
        <w:rPr>
          <w:rFonts w:ascii="Arial" w:hAnsi="Arial" w:cs="Arial"/>
          <w:sz w:val="20"/>
          <w:szCs w:val="20"/>
        </w:rPr>
        <w:lastRenderedPageBreak/>
        <w:t xml:space="preserve">of the future and </w:t>
      </w:r>
      <w:r w:rsidR="00B2500D">
        <w:rPr>
          <w:rFonts w:ascii="Arial" w:hAnsi="Arial" w:cs="Arial"/>
          <w:sz w:val="20"/>
          <w:szCs w:val="20"/>
        </w:rPr>
        <w:t>with</w:t>
      </w:r>
      <w:r w:rsidRPr="003516DC">
        <w:rPr>
          <w:rFonts w:ascii="Arial" w:hAnsi="Arial" w:cs="Arial"/>
          <w:sz w:val="20"/>
          <w:szCs w:val="20"/>
        </w:rPr>
        <w:t xml:space="preserve"> a strong imprint of the mining-industrial economic profile, includes 14 technological high schools and 6 technical post-secondary schools</w:t>
      </w:r>
      <w:r w:rsidR="004F7390">
        <w:rPr>
          <w:rFonts w:ascii="Arial" w:hAnsi="Arial" w:cs="Arial"/>
          <w:sz w:val="20"/>
          <w:szCs w:val="20"/>
        </w:rPr>
        <w:t xml:space="preserve"> and n</w:t>
      </w:r>
      <w:r w:rsidRPr="003516DC">
        <w:rPr>
          <w:rFonts w:ascii="Arial" w:hAnsi="Arial" w:cs="Arial"/>
          <w:sz w:val="20"/>
          <w:szCs w:val="20"/>
        </w:rPr>
        <w:t>o vocational school</w:t>
      </w:r>
      <w:r>
        <w:rPr>
          <w:rFonts w:ascii="Arial" w:hAnsi="Arial" w:cs="Arial"/>
          <w:sz w:val="20"/>
          <w:szCs w:val="20"/>
        </w:rPr>
        <w:t>s</w:t>
      </w:r>
      <w:r w:rsidRPr="003516DC">
        <w:rPr>
          <w:rFonts w:ascii="Arial" w:hAnsi="Arial" w:cs="Arial"/>
          <w:sz w:val="20"/>
          <w:szCs w:val="20"/>
        </w:rPr>
        <w:t xml:space="preserve">. </w:t>
      </w:r>
    </w:p>
    <w:p w14:paraId="0595F7BB" w14:textId="6F62B64B" w:rsidR="00AC7B69" w:rsidRPr="003516DC" w:rsidRDefault="00AC7B69" w:rsidP="008B6516">
      <w:pPr>
        <w:spacing w:after="120"/>
        <w:jc w:val="both"/>
        <w:rPr>
          <w:rFonts w:ascii="Arial" w:hAnsi="Arial" w:cs="Arial"/>
          <w:sz w:val="20"/>
          <w:szCs w:val="20"/>
        </w:rPr>
      </w:pPr>
      <w:r w:rsidRPr="003516DC">
        <w:rPr>
          <w:rFonts w:ascii="Arial" w:hAnsi="Arial" w:cs="Arial"/>
          <w:sz w:val="20"/>
          <w:szCs w:val="20"/>
        </w:rPr>
        <w:t xml:space="preserve">According to the </w:t>
      </w:r>
      <w:r w:rsidR="009606AC" w:rsidRPr="003516DC">
        <w:rPr>
          <w:rFonts w:ascii="Arial" w:hAnsi="Arial" w:cs="Arial"/>
          <w:sz w:val="20"/>
          <w:szCs w:val="20"/>
        </w:rPr>
        <w:t xml:space="preserve">National </w:t>
      </w:r>
      <w:r w:rsidR="00E273BF" w:rsidRPr="003516DC">
        <w:rPr>
          <w:rFonts w:ascii="Arial" w:hAnsi="Arial" w:cs="Arial"/>
          <w:sz w:val="20"/>
          <w:szCs w:val="20"/>
        </w:rPr>
        <w:t>Statistics</w:t>
      </w:r>
      <w:r w:rsidR="009606AC" w:rsidRPr="003516DC">
        <w:rPr>
          <w:rFonts w:ascii="Arial" w:hAnsi="Arial" w:cs="Arial"/>
          <w:sz w:val="20"/>
          <w:szCs w:val="20"/>
        </w:rPr>
        <w:t xml:space="preserve"> Institute</w:t>
      </w:r>
      <w:r w:rsidRPr="003516DC">
        <w:rPr>
          <w:rFonts w:ascii="Arial" w:hAnsi="Arial" w:cs="Arial"/>
          <w:sz w:val="20"/>
          <w:szCs w:val="20"/>
        </w:rPr>
        <w:t xml:space="preserve">, </w:t>
      </w:r>
      <w:r w:rsidR="009606AC" w:rsidRPr="003516DC">
        <w:rPr>
          <w:rFonts w:ascii="Arial" w:hAnsi="Arial" w:cs="Arial"/>
          <w:sz w:val="20"/>
          <w:szCs w:val="20"/>
        </w:rPr>
        <w:t>during</w:t>
      </w:r>
      <w:r w:rsidRPr="003516DC">
        <w:rPr>
          <w:rFonts w:ascii="Arial" w:hAnsi="Arial" w:cs="Arial"/>
          <w:sz w:val="20"/>
          <w:szCs w:val="20"/>
        </w:rPr>
        <w:t xml:space="preserve"> 2011-2019</w:t>
      </w:r>
      <w:r w:rsidR="00B2500D">
        <w:rPr>
          <w:rFonts w:ascii="Arial" w:hAnsi="Arial" w:cs="Arial"/>
          <w:sz w:val="20"/>
          <w:szCs w:val="20"/>
        </w:rPr>
        <w:t>, the number of</w:t>
      </w:r>
      <w:r w:rsidRPr="003516DC">
        <w:rPr>
          <w:rFonts w:ascii="Arial" w:hAnsi="Arial" w:cs="Arial"/>
          <w:sz w:val="20"/>
          <w:szCs w:val="20"/>
        </w:rPr>
        <w:t xml:space="preserve"> kindergartens decrease</w:t>
      </w:r>
      <w:r w:rsidR="00B2500D">
        <w:rPr>
          <w:rFonts w:ascii="Arial" w:hAnsi="Arial" w:cs="Arial"/>
          <w:sz w:val="20"/>
          <w:szCs w:val="20"/>
        </w:rPr>
        <w:t>d at</w:t>
      </w:r>
      <w:r w:rsidRPr="003516DC">
        <w:rPr>
          <w:rFonts w:ascii="Arial" w:hAnsi="Arial" w:cs="Arial"/>
          <w:sz w:val="20"/>
          <w:szCs w:val="20"/>
        </w:rPr>
        <w:t xml:space="preserve"> both </w:t>
      </w:r>
      <w:r w:rsidR="00B2500D">
        <w:rPr>
          <w:rFonts w:ascii="Arial" w:hAnsi="Arial" w:cs="Arial"/>
          <w:sz w:val="20"/>
          <w:szCs w:val="20"/>
        </w:rPr>
        <w:t xml:space="preserve">the </w:t>
      </w:r>
      <w:r w:rsidRPr="003516DC">
        <w:rPr>
          <w:rFonts w:ascii="Arial" w:hAnsi="Arial" w:cs="Arial"/>
          <w:sz w:val="20"/>
          <w:szCs w:val="20"/>
        </w:rPr>
        <w:t>national level (14.1%)</w:t>
      </w:r>
      <w:r w:rsidR="00B2500D">
        <w:rPr>
          <w:rFonts w:ascii="Arial" w:hAnsi="Arial" w:cs="Arial"/>
          <w:sz w:val="20"/>
          <w:szCs w:val="20"/>
        </w:rPr>
        <w:t xml:space="preserve"> and </w:t>
      </w:r>
      <w:r w:rsidRPr="003516DC">
        <w:rPr>
          <w:rFonts w:ascii="Arial" w:hAnsi="Arial" w:cs="Arial"/>
          <w:sz w:val="20"/>
          <w:szCs w:val="20"/>
        </w:rPr>
        <w:t xml:space="preserve">regional level (31.6%). </w:t>
      </w:r>
      <w:bookmarkStart w:id="116" w:name="_Hlk75162462"/>
      <w:r w:rsidR="00E273BF">
        <w:rPr>
          <w:rFonts w:ascii="Arial" w:hAnsi="Arial" w:cs="Arial"/>
          <w:sz w:val="20"/>
          <w:szCs w:val="20"/>
        </w:rPr>
        <w:t>T</w:t>
      </w:r>
      <w:bookmarkEnd w:id="116"/>
      <w:r w:rsidRPr="003516DC">
        <w:rPr>
          <w:rFonts w:ascii="Arial" w:hAnsi="Arial" w:cs="Arial"/>
          <w:sz w:val="20"/>
          <w:szCs w:val="20"/>
        </w:rPr>
        <w:t xml:space="preserve">he number of children enrolled in kindergartens decreased </w:t>
      </w:r>
      <w:r w:rsidR="009606AC" w:rsidRPr="003516DC">
        <w:rPr>
          <w:rFonts w:ascii="Arial" w:hAnsi="Arial" w:cs="Arial"/>
          <w:sz w:val="20"/>
          <w:szCs w:val="20"/>
        </w:rPr>
        <w:t>by</w:t>
      </w:r>
      <w:r w:rsidRPr="003516DC">
        <w:rPr>
          <w:rFonts w:ascii="Arial" w:hAnsi="Arial" w:cs="Arial"/>
          <w:sz w:val="20"/>
          <w:szCs w:val="20"/>
        </w:rPr>
        <w:t xml:space="preserve"> 34% since 2011 </w:t>
      </w:r>
      <w:r w:rsidR="00B2500D">
        <w:rPr>
          <w:rFonts w:ascii="Arial" w:hAnsi="Arial" w:cs="Arial"/>
          <w:sz w:val="20"/>
          <w:szCs w:val="20"/>
        </w:rPr>
        <w:t>(</w:t>
      </w:r>
      <w:r w:rsidRPr="003516DC">
        <w:rPr>
          <w:rFonts w:ascii="Arial" w:hAnsi="Arial" w:cs="Arial"/>
          <w:sz w:val="20"/>
          <w:szCs w:val="20"/>
        </w:rPr>
        <w:t>to 8</w:t>
      </w:r>
      <w:r w:rsidR="004D451E" w:rsidRPr="003516DC">
        <w:rPr>
          <w:rFonts w:ascii="Arial" w:hAnsi="Arial" w:cs="Arial"/>
          <w:sz w:val="20"/>
          <w:szCs w:val="20"/>
        </w:rPr>
        <w:t>,</w:t>
      </w:r>
      <w:r w:rsidRPr="003516DC">
        <w:rPr>
          <w:rFonts w:ascii="Arial" w:hAnsi="Arial" w:cs="Arial"/>
          <w:sz w:val="20"/>
          <w:szCs w:val="20"/>
        </w:rPr>
        <w:t>015</w:t>
      </w:r>
      <w:r w:rsidR="00B2500D">
        <w:rPr>
          <w:rFonts w:ascii="Arial" w:hAnsi="Arial" w:cs="Arial"/>
          <w:sz w:val="20"/>
          <w:szCs w:val="20"/>
        </w:rPr>
        <w:t xml:space="preserve"> in 2019), </w:t>
      </w:r>
      <w:r w:rsidRPr="003516DC">
        <w:rPr>
          <w:rFonts w:ascii="Arial" w:hAnsi="Arial" w:cs="Arial"/>
          <w:sz w:val="20"/>
          <w:szCs w:val="20"/>
        </w:rPr>
        <w:t>and the number of children enrolled in nurser</w:t>
      </w:r>
      <w:r w:rsidR="009606AC" w:rsidRPr="003516DC">
        <w:rPr>
          <w:rFonts w:ascii="Arial" w:hAnsi="Arial" w:cs="Arial"/>
          <w:sz w:val="20"/>
          <w:szCs w:val="20"/>
        </w:rPr>
        <w:t>ies</w:t>
      </w:r>
      <w:r w:rsidRPr="003516DC">
        <w:rPr>
          <w:rFonts w:ascii="Arial" w:hAnsi="Arial" w:cs="Arial"/>
          <w:sz w:val="20"/>
          <w:szCs w:val="20"/>
        </w:rPr>
        <w:t xml:space="preserve"> increase</w:t>
      </w:r>
      <w:r w:rsidR="004D451E" w:rsidRPr="003516DC">
        <w:rPr>
          <w:rFonts w:ascii="Arial" w:hAnsi="Arial" w:cs="Arial"/>
          <w:sz w:val="20"/>
          <w:szCs w:val="20"/>
        </w:rPr>
        <w:t>d</w:t>
      </w:r>
      <w:r w:rsidRPr="003516DC">
        <w:rPr>
          <w:rFonts w:ascii="Arial" w:hAnsi="Arial" w:cs="Arial"/>
          <w:sz w:val="20"/>
          <w:szCs w:val="20"/>
        </w:rPr>
        <w:t xml:space="preserve"> by 54%</w:t>
      </w:r>
      <w:r w:rsidR="009606AC" w:rsidRPr="003516DC">
        <w:rPr>
          <w:rFonts w:ascii="Arial" w:hAnsi="Arial" w:cs="Arial"/>
          <w:sz w:val="20"/>
          <w:szCs w:val="20"/>
        </w:rPr>
        <w:t>,</w:t>
      </w:r>
      <w:r w:rsidRPr="003516DC">
        <w:rPr>
          <w:rFonts w:ascii="Arial" w:hAnsi="Arial" w:cs="Arial"/>
          <w:sz w:val="20"/>
          <w:szCs w:val="20"/>
        </w:rPr>
        <w:t xml:space="preserve"> to 281</w:t>
      </w:r>
      <w:r w:rsidR="00B2500D">
        <w:rPr>
          <w:rFonts w:ascii="Arial" w:hAnsi="Arial" w:cs="Arial"/>
          <w:sz w:val="20"/>
          <w:szCs w:val="20"/>
        </w:rPr>
        <w:t xml:space="preserve"> in 2019</w:t>
      </w:r>
      <w:r w:rsidRPr="003516DC">
        <w:rPr>
          <w:rFonts w:ascii="Arial" w:hAnsi="Arial" w:cs="Arial"/>
          <w:sz w:val="20"/>
          <w:szCs w:val="20"/>
        </w:rPr>
        <w:t>.</w:t>
      </w:r>
    </w:p>
    <w:p w14:paraId="0E96923D" w14:textId="38F845A5" w:rsidR="004D451E" w:rsidRPr="003516DC" w:rsidRDefault="00AC7B69" w:rsidP="008B6516">
      <w:pPr>
        <w:spacing w:after="120"/>
        <w:jc w:val="both"/>
        <w:rPr>
          <w:rFonts w:ascii="Arial" w:hAnsi="Arial" w:cs="Arial"/>
          <w:sz w:val="20"/>
          <w:szCs w:val="20"/>
        </w:rPr>
      </w:pPr>
      <w:r w:rsidRPr="003516DC">
        <w:rPr>
          <w:rFonts w:ascii="Arial" w:hAnsi="Arial" w:cs="Arial"/>
          <w:sz w:val="20"/>
          <w:szCs w:val="20"/>
        </w:rPr>
        <w:t>The need for</w:t>
      </w:r>
      <w:r w:rsidR="009606AC" w:rsidRPr="003516DC">
        <w:rPr>
          <w:rFonts w:ascii="Arial" w:hAnsi="Arial" w:cs="Arial"/>
          <w:sz w:val="20"/>
          <w:szCs w:val="20"/>
        </w:rPr>
        <w:t xml:space="preserve"> more</w:t>
      </w:r>
      <w:r w:rsidRPr="003516DC">
        <w:rPr>
          <w:rFonts w:ascii="Arial" w:hAnsi="Arial" w:cs="Arial"/>
          <w:sz w:val="20"/>
          <w:szCs w:val="20"/>
        </w:rPr>
        <w:t xml:space="preserve"> early education units is </w:t>
      </w:r>
      <w:r w:rsidR="009606AC" w:rsidRPr="003516DC">
        <w:rPr>
          <w:rFonts w:ascii="Arial" w:hAnsi="Arial" w:cs="Arial"/>
          <w:sz w:val="20"/>
          <w:szCs w:val="20"/>
        </w:rPr>
        <w:t>clear</w:t>
      </w:r>
      <w:r w:rsidR="00B2500D">
        <w:rPr>
          <w:rFonts w:ascii="Arial" w:hAnsi="Arial" w:cs="Arial"/>
          <w:sz w:val="20"/>
          <w:szCs w:val="20"/>
        </w:rPr>
        <w:t>.</w:t>
      </w:r>
      <w:r w:rsidR="009606AC" w:rsidRPr="003516DC">
        <w:rPr>
          <w:rFonts w:ascii="Arial" w:hAnsi="Arial" w:cs="Arial"/>
          <w:sz w:val="20"/>
          <w:szCs w:val="20"/>
        </w:rPr>
        <w:t xml:space="preserve"> </w:t>
      </w:r>
      <w:r w:rsidR="00B2500D">
        <w:rPr>
          <w:rFonts w:ascii="Arial" w:hAnsi="Arial" w:cs="Arial"/>
          <w:sz w:val="20"/>
          <w:szCs w:val="20"/>
        </w:rPr>
        <w:t>O</w:t>
      </w:r>
      <w:r w:rsidR="009606AC" w:rsidRPr="003516DC">
        <w:rPr>
          <w:rFonts w:ascii="Arial" w:hAnsi="Arial" w:cs="Arial"/>
          <w:sz w:val="20"/>
          <w:szCs w:val="20"/>
        </w:rPr>
        <w:t>f</w:t>
      </w:r>
      <w:r w:rsidR="00B2500D">
        <w:rPr>
          <w:rFonts w:ascii="Arial" w:hAnsi="Arial" w:cs="Arial"/>
          <w:sz w:val="20"/>
          <w:szCs w:val="20"/>
        </w:rPr>
        <w:t xml:space="preserve"> the</w:t>
      </w:r>
      <w:r w:rsidR="009606AC" w:rsidRPr="003516DC">
        <w:rPr>
          <w:rFonts w:ascii="Arial" w:hAnsi="Arial" w:cs="Arial"/>
          <w:sz w:val="20"/>
          <w:szCs w:val="20"/>
        </w:rPr>
        <w:t xml:space="preserve"> 8,296 children aged between 0</w:t>
      </w:r>
      <w:r w:rsidR="00B2500D">
        <w:rPr>
          <w:rFonts w:ascii="Arial" w:hAnsi="Arial" w:cs="Arial"/>
          <w:sz w:val="20"/>
          <w:szCs w:val="20"/>
        </w:rPr>
        <w:t>-</w:t>
      </w:r>
      <w:r w:rsidR="009606AC" w:rsidRPr="003516DC">
        <w:rPr>
          <w:rFonts w:ascii="Arial" w:hAnsi="Arial" w:cs="Arial"/>
          <w:sz w:val="20"/>
          <w:szCs w:val="20"/>
        </w:rPr>
        <w:t>5 years (inclusive)</w:t>
      </w:r>
      <w:r w:rsidR="00B2500D">
        <w:rPr>
          <w:rFonts w:ascii="Arial" w:hAnsi="Arial" w:cs="Arial"/>
          <w:sz w:val="20"/>
          <w:szCs w:val="20"/>
        </w:rPr>
        <w:t>,</w:t>
      </w:r>
      <w:r w:rsidR="009606AC" w:rsidRPr="003516DC">
        <w:rPr>
          <w:rFonts w:ascii="Arial" w:hAnsi="Arial" w:cs="Arial"/>
          <w:sz w:val="20"/>
          <w:szCs w:val="20"/>
        </w:rPr>
        <w:t xml:space="preserve"> only 38</w:t>
      </w:r>
      <w:r w:rsidR="00B2500D">
        <w:rPr>
          <w:rFonts w:ascii="Arial" w:hAnsi="Arial" w:cs="Arial"/>
          <w:sz w:val="20"/>
          <w:szCs w:val="20"/>
        </w:rPr>
        <w:t>.</w:t>
      </w:r>
      <w:r w:rsidR="009606AC" w:rsidRPr="003516DC">
        <w:rPr>
          <w:rFonts w:ascii="Arial" w:hAnsi="Arial" w:cs="Arial"/>
          <w:sz w:val="20"/>
          <w:szCs w:val="20"/>
        </w:rPr>
        <w:t xml:space="preserve">61% were </w:t>
      </w:r>
      <w:r w:rsidRPr="003516DC">
        <w:rPr>
          <w:rFonts w:ascii="Arial" w:hAnsi="Arial" w:cs="Arial"/>
          <w:sz w:val="20"/>
          <w:szCs w:val="20"/>
        </w:rPr>
        <w:t>enrolled</w:t>
      </w:r>
      <w:r w:rsidR="00B2500D">
        <w:rPr>
          <w:rFonts w:ascii="Arial" w:hAnsi="Arial" w:cs="Arial"/>
          <w:sz w:val="20"/>
          <w:szCs w:val="20"/>
        </w:rPr>
        <w:t xml:space="preserve"> </w:t>
      </w:r>
      <w:r w:rsidR="009606AC" w:rsidRPr="003516DC">
        <w:rPr>
          <w:rFonts w:ascii="Arial" w:hAnsi="Arial" w:cs="Arial"/>
          <w:sz w:val="20"/>
          <w:szCs w:val="20"/>
        </w:rPr>
        <w:t xml:space="preserve">in </w:t>
      </w:r>
      <w:r w:rsidRPr="003516DC">
        <w:rPr>
          <w:rFonts w:ascii="Arial" w:hAnsi="Arial" w:cs="Arial"/>
          <w:sz w:val="20"/>
          <w:szCs w:val="20"/>
        </w:rPr>
        <w:t>nurseries and kindergartens</w:t>
      </w:r>
      <w:r w:rsidR="00B2500D">
        <w:rPr>
          <w:rFonts w:ascii="Arial" w:hAnsi="Arial" w:cs="Arial"/>
          <w:sz w:val="20"/>
          <w:szCs w:val="20"/>
        </w:rPr>
        <w:t xml:space="preserve"> </w:t>
      </w:r>
      <w:r w:rsidR="00B2500D" w:rsidRPr="003516DC">
        <w:rPr>
          <w:rFonts w:ascii="Arial" w:hAnsi="Arial" w:cs="Arial"/>
          <w:sz w:val="20"/>
          <w:szCs w:val="20"/>
        </w:rPr>
        <w:t>in 2019</w:t>
      </w:r>
      <w:r w:rsidR="009606AC" w:rsidRPr="003516DC">
        <w:rPr>
          <w:rFonts w:ascii="Arial" w:hAnsi="Arial" w:cs="Arial"/>
          <w:sz w:val="20"/>
          <w:szCs w:val="20"/>
        </w:rPr>
        <w:t>.</w:t>
      </w:r>
      <w:r w:rsidRPr="003516DC">
        <w:rPr>
          <w:rFonts w:ascii="Arial" w:hAnsi="Arial" w:cs="Arial"/>
          <w:sz w:val="20"/>
          <w:szCs w:val="20"/>
        </w:rPr>
        <w:t xml:space="preserve"> </w:t>
      </w:r>
    </w:p>
    <w:p w14:paraId="39672B7D" w14:textId="2794A216" w:rsidR="009606AC" w:rsidRPr="003516DC" w:rsidRDefault="00AC7B69" w:rsidP="008B6516">
      <w:pPr>
        <w:spacing w:after="120"/>
        <w:jc w:val="both"/>
        <w:rPr>
          <w:rFonts w:ascii="Arial" w:hAnsi="Arial" w:cs="Arial"/>
          <w:sz w:val="20"/>
          <w:szCs w:val="20"/>
        </w:rPr>
      </w:pPr>
      <w:r w:rsidRPr="003516DC">
        <w:rPr>
          <w:rFonts w:ascii="Arial" w:hAnsi="Arial" w:cs="Arial"/>
          <w:sz w:val="20"/>
          <w:szCs w:val="20"/>
        </w:rPr>
        <w:t>In the West Region, there were a total of 48 accredited homes for the elderly</w:t>
      </w:r>
      <w:r w:rsidR="00BE77A4">
        <w:rPr>
          <w:rFonts w:ascii="Arial" w:hAnsi="Arial" w:cs="Arial"/>
          <w:sz w:val="20"/>
          <w:szCs w:val="20"/>
        </w:rPr>
        <w:t xml:space="preserve"> in 2019,</w:t>
      </w:r>
      <w:r w:rsidRPr="003516DC">
        <w:rPr>
          <w:rFonts w:ascii="Arial" w:hAnsi="Arial" w:cs="Arial"/>
          <w:sz w:val="20"/>
          <w:szCs w:val="20"/>
        </w:rPr>
        <w:t xml:space="preserve"> </w:t>
      </w:r>
      <w:r w:rsidR="009606AC" w:rsidRPr="003516DC">
        <w:rPr>
          <w:rFonts w:ascii="Arial" w:hAnsi="Arial" w:cs="Arial"/>
          <w:sz w:val="20"/>
          <w:szCs w:val="20"/>
        </w:rPr>
        <w:t>triple</w:t>
      </w:r>
      <w:r w:rsidR="00BE77A4">
        <w:rPr>
          <w:rFonts w:ascii="Arial" w:hAnsi="Arial" w:cs="Arial"/>
          <w:sz w:val="20"/>
          <w:szCs w:val="20"/>
        </w:rPr>
        <w:t xml:space="preserve"> the amount</w:t>
      </w:r>
      <w:r w:rsidRPr="003516DC">
        <w:rPr>
          <w:rFonts w:ascii="Arial" w:hAnsi="Arial" w:cs="Arial"/>
          <w:sz w:val="20"/>
          <w:szCs w:val="20"/>
        </w:rPr>
        <w:t xml:space="preserve"> compared to 2011.</w:t>
      </w:r>
      <w:r w:rsidR="00BE77A4">
        <w:rPr>
          <w:rFonts w:ascii="Arial" w:hAnsi="Arial" w:cs="Arial"/>
          <w:sz w:val="20"/>
          <w:szCs w:val="20"/>
        </w:rPr>
        <w:t xml:space="preserve"> </w:t>
      </w:r>
      <w:r w:rsidRPr="003516DC">
        <w:rPr>
          <w:rFonts w:ascii="Arial" w:hAnsi="Arial" w:cs="Arial"/>
          <w:sz w:val="20"/>
          <w:szCs w:val="20"/>
        </w:rPr>
        <w:t xml:space="preserve">The increase was due to the establishment of new </w:t>
      </w:r>
      <w:r w:rsidR="009606AC" w:rsidRPr="003516DC">
        <w:rPr>
          <w:rFonts w:ascii="Arial" w:hAnsi="Arial" w:cs="Arial"/>
          <w:sz w:val="20"/>
          <w:szCs w:val="20"/>
        </w:rPr>
        <w:t>homes</w:t>
      </w:r>
      <w:r w:rsidRPr="003516DC">
        <w:rPr>
          <w:rFonts w:ascii="Arial" w:hAnsi="Arial" w:cs="Arial"/>
          <w:sz w:val="20"/>
          <w:szCs w:val="20"/>
        </w:rPr>
        <w:t xml:space="preserve"> managed by private providers (from 6 in 2012 to 27 in 2017).</w:t>
      </w:r>
    </w:p>
    <w:p w14:paraId="7747C272" w14:textId="0C1AE2FD" w:rsidR="00970F47" w:rsidRPr="003516DC" w:rsidRDefault="00970F47" w:rsidP="008B6516">
      <w:pPr>
        <w:spacing w:after="120"/>
        <w:jc w:val="both"/>
        <w:rPr>
          <w:rFonts w:ascii="Arial" w:hAnsi="Arial" w:cs="Arial"/>
          <w:sz w:val="20"/>
          <w:szCs w:val="20"/>
        </w:rPr>
      </w:pPr>
      <w:r w:rsidRPr="003516DC">
        <w:rPr>
          <w:rFonts w:ascii="Arial" w:hAnsi="Arial" w:cs="Arial"/>
          <w:sz w:val="20"/>
          <w:szCs w:val="20"/>
        </w:rPr>
        <w:t xml:space="preserve">In 2017, there were 34 social </w:t>
      </w:r>
      <w:r w:rsidR="00BE77A4" w:rsidRPr="003516DC">
        <w:rPr>
          <w:rFonts w:ascii="Arial" w:hAnsi="Arial" w:cs="Arial"/>
          <w:sz w:val="20"/>
          <w:szCs w:val="20"/>
        </w:rPr>
        <w:t>centres</w:t>
      </w:r>
      <w:r w:rsidRPr="003516DC">
        <w:rPr>
          <w:rFonts w:ascii="Arial" w:hAnsi="Arial" w:cs="Arial"/>
          <w:sz w:val="20"/>
          <w:szCs w:val="20"/>
        </w:rPr>
        <w:t xml:space="preserve"> for people with disabilities under the coordination of Ministry of Labour and Social Protection through the National Authority for Persons with Disabilities</w:t>
      </w:r>
      <w:r w:rsidR="00BE77A4" w:rsidRPr="00BE77A4">
        <w:rPr>
          <w:rFonts w:ascii="Arial" w:hAnsi="Arial" w:cs="Arial"/>
          <w:sz w:val="20"/>
          <w:szCs w:val="20"/>
        </w:rPr>
        <w:t xml:space="preserve"> </w:t>
      </w:r>
      <w:r w:rsidR="00BE77A4" w:rsidRPr="003516DC">
        <w:rPr>
          <w:rFonts w:ascii="Arial" w:hAnsi="Arial" w:cs="Arial"/>
          <w:sz w:val="20"/>
          <w:szCs w:val="20"/>
        </w:rPr>
        <w:t>in the West Region</w:t>
      </w:r>
      <w:r w:rsidRPr="003516DC">
        <w:rPr>
          <w:rFonts w:ascii="Arial" w:hAnsi="Arial" w:cs="Arial"/>
          <w:sz w:val="20"/>
          <w:szCs w:val="20"/>
        </w:rPr>
        <w:t xml:space="preserve">, of which 31 </w:t>
      </w:r>
      <w:r w:rsidR="00BE77A4" w:rsidRPr="003516DC">
        <w:rPr>
          <w:rFonts w:ascii="Arial" w:hAnsi="Arial" w:cs="Arial"/>
          <w:sz w:val="20"/>
          <w:szCs w:val="20"/>
        </w:rPr>
        <w:t>centres</w:t>
      </w:r>
      <w:r w:rsidRPr="003516DC">
        <w:rPr>
          <w:rFonts w:ascii="Arial" w:hAnsi="Arial" w:cs="Arial"/>
          <w:sz w:val="20"/>
          <w:szCs w:val="20"/>
        </w:rPr>
        <w:t xml:space="preserve"> are residential and 3 </w:t>
      </w:r>
      <w:r w:rsidR="00BE77A4" w:rsidRPr="003516DC">
        <w:rPr>
          <w:rFonts w:ascii="Arial" w:hAnsi="Arial" w:cs="Arial"/>
          <w:sz w:val="20"/>
          <w:szCs w:val="20"/>
        </w:rPr>
        <w:t>centres</w:t>
      </w:r>
      <w:r w:rsidRPr="003516DC">
        <w:rPr>
          <w:rFonts w:ascii="Arial" w:hAnsi="Arial" w:cs="Arial"/>
          <w:sz w:val="20"/>
          <w:szCs w:val="20"/>
        </w:rPr>
        <w:t xml:space="preserve"> are non-residential (day </w:t>
      </w:r>
      <w:r w:rsidR="00BE77A4" w:rsidRPr="003516DC">
        <w:rPr>
          <w:rFonts w:ascii="Arial" w:hAnsi="Arial" w:cs="Arial"/>
          <w:sz w:val="20"/>
          <w:szCs w:val="20"/>
        </w:rPr>
        <w:t>centres</w:t>
      </w:r>
      <w:r w:rsidRPr="003516DC">
        <w:rPr>
          <w:rFonts w:ascii="Arial" w:hAnsi="Arial" w:cs="Arial"/>
          <w:sz w:val="20"/>
          <w:szCs w:val="20"/>
        </w:rPr>
        <w:t xml:space="preserve"> or institutions which provide home care services). </w:t>
      </w:r>
      <w:r w:rsidR="00BE77A4">
        <w:rPr>
          <w:rFonts w:ascii="Arial" w:hAnsi="Arial" w:cs="Arial"/>
          <w:sz w:val="20"/>
          <w:szCs w:val="20"/>
        </w:rPr>
        <w:t xml:space="preserve"> </w:t>
      </w:r>
    </w:p>
    <w:p w14:paraId="4C374CC4" w14:textId="7E82B1D6" w:rsidR="00970F47" w:rsidRPr="003516DC" w:rsidRDefault="00970F47" w:rsidP="008B6516">
      <w:pPr>
        <w:spacing w:after="120"/>
        <w:jc w:val="both"/>
        <w:rPr>
          <w:rFonts w:ascii="Arial" w:hAnsi="Arial" w:cs="Arial"/>
          <w:sz w:val="20"/>
          <w:szCs w:val="20"/>
        </w:rPr>
      </w:pPr>
      <w:r w:rsidRPr="003516DC">
        <w:rPr>
          <w:rFonts w:ascii="Arial" w:hAnsi="Arial" w:cs="Arial"/>
          <w:sz w:val="20"/>
          <w:szCs w:val="20"/>
        </w:rPr>
        <w:t xml:space="preserve">Compared to 2010, the number of </w:t>
      </w:r>
      <w:r w:rsidR="00BE77A4" w:rsidRPr="003516DC">
        <w:rPr>
          <w:rFonts w:ascii="Arial" w:hAnsi="Arial" w:cs="Arial"/>
          <w:sz w:val="20"/>
          <w:szCs w:val="20"/>
        </w:rPr>
        <w:t>centres</w:t>
      </w:r>
      <w:r w:rsidRPr="003516DC">
        <w:rPr>
          <w:rFonts w:ascii="Arial" w:hAnsi="Arial" w:cs="Arial"/>
          <w:sz w:val="20"/>
          <w:szCs w:val="20"/>
        </w:rPr>
        <w:t xml:space="preserve"> for people with disabilities decreased from 37 to 34. In 2017, the 34 </w:t>
      </w:r>
      <w:r w:rsidR="00BE77A4" w:rsidRPr="003516DC">
        <w:rPr>
          <w:rFonts w:ascii="Arial" w:hAnsi="Arial" w:cs="Arial"/>
          <w:sz w:val="20"/>
          <w:szCs w:val="20"/>
        </w:rPr>
        <w:t>centres</w:t>
      </w:r>
      <w:r w:rsidRPr="003516DC">
        <w:rPr>
          <w:rFonts w:ascii="Arial" w:hAnsi="Arial" w:cs="Arial"/>
          <w:sz w:val="20"/>
          <w:szCs w:val="20"/>
        </w:rPr>
        <w:t xml:space="preserve"> for people with disabilities in the region served 1,553 beneficiaries, of which 1,483 are institutionali</w:t>
      </w:r>
      <w:r w:rsidR="00BE77A4">
        <w:rPr>
          <w:rFonts w:ascii="Arial" w:hAnsi="Arial" w:cs="Arial"/>
          <w:sz w:val="20"/>
          <w:szCs w:val="20"/>
        </w:rPr>
        <w:t>s</w:t>
      </w:r>
      <w:r w:rsidRPr="003516DC">
        <w:rPr>
          <w:rFonts w:ascii="Arial" w:hAnsi="Arial" w:cs="Arial"/>
          <w:sz w:val="20"/>
          <w:szCs w:val="20"/>
        </w:rPr>
        <w:t xml:space="preserve">ed in the residential </w:t>
      </w:r>
      <w:r w:rsidR="00BE77A4" w:rsidRPr="003516DC">
        <w:rPr>
          <w:rFonts w:ascii="Arial" w:hAnsi="Arial" w:cs="Arial"/>
          <w:sz w:val="20"/>
          <w:szCs w:val="20"/>
        </w:rPr>
        <w:t>centres</w:t>
      </w:r>
      <w:r w:rsidRPr="003516DC">
        <w:rPr>
          <w:rFonts w:ascii="Arial" w:hAnsi="Arial" w:cs="Arial"/>
          <w:sz w:val="20"/>
          <w:szCs w:val="20"/>
        </w:rPr>
        <w:t>.</w:t>
      </w:r>
    </w:p>
    <w:p w14:paraId="1FA1575E" w14:textId="440D8279" w:rsidR="00970F47" w:rsidRPr="003516DC" w:rsidRDefault="00970F47" w:rsidP="008B6516">
      <w:pPr>
        <w:spacing w:after="120"/>
        <w:jc w:val="both"/>
        <w:rPr>
          <w:rFonts w:ascii="Arial" w:hAnsi="Arial" w:cs="Arial"/>
          <w:sz w:val="20"/>
          <w:szCs w:val="20"/>
        </w:rPr>
      </w:pPr>
      <w:r w:rsidRPr="003516DC">
        <w:rPr>
          <w:rFonts w:ascii="Arial" w:hAnsi="Arial" w:cs="Arial"/>
          <w:sz w:val="20"/>
          <w:szCs w:val="20"/>
        </w:rPr>
        <w:t>In the West Region</w:t>
      </w:r>
      <w:r w:rsidR="00BE77A4">
        <w:rPr>
          <w:rFonts w:ascii="Arial" w:hAnsi="Arial" w:cs="Arial"/>
          <w:sz w:val="20"/>
          <w:szCs w:val="20"/>
        </w:rPr>
        <w:t>,</w:t>
      </w:r>
      <w:r w:rsidRPr="003516DC">
        <w:rPr>
          <w:rFonts w:ascii="Arial" w:hAnsi="Arial" w:cs="Arial"/>
          <w:sz w:val="20"/>
          <w:szCs w:val="20"/>
        </w:rPr>
        <w:t xml:space="preserve"> there were 15 social assistance canteens</w:t>
      </w:r>
      <w:r w:rsidR="00BE77A4" w:rsidRPr="00BE77A4">
        <w:rPr>
          <w:rFonts w:ascii="Arial" w:hAnsi="Arial" w:cs="Arial"/>
          <w:sz w:val="20"/>
          <w:szCs w:val="20"/>
        </w:rPr>
        <w:t xml:space="preserve"> </w:t>
      </w:r>
      <w:r w:rsidR="00BE77A4" w:rsidRPr="003516DC">
        <w:rPr>
          <w:rFonts w:ascii="Arial" w:hAnsi="Arial" w:cs="Arial"/>
          <w:sz w:val="20"/>
          <w:szCs w:val="20"/>
        </w:rPr>
        <w:t>in 2017</w:t>
      </w:r>
      <w:r w:rsidRPr="003516DC">
        <w:rPr>
          <w:rFonts w:ascii="Arial" w:hAnsi="Arial" w:cs="Arial"/>
          <w:sz w:val="20"/>
          <w:szCs w:val="20"/>
        </w:rPr>
        <w:t xml:space="preserve">, of which 8 are in Hunedoara </w:t>
      </w:r>
      <w:r w:rsidR="00BE77A4">
        <w:rPr>
          <w:rFonts w:ascii="Arial" w:hAnsi="Arial" w:cs="Arial"/>
          <w:sz w:val="20"/>
          <w:szCs w:val="20"/>
        </w:rPr>
        <w:t>C</w:t>
      </w:r>
      <w:r w:rsidRPr="003516DC">
        <w:rPr>
          <w:rFonts w:ascii="Arial" w:hAnsi="Arial" w:cs="Arial"/>
          <w:sz w:val="20"/>
          <w:szCs w:val="20"/>
        </w:rPr>
        <w:t>ounty</w:t>
      </w:r>
      <w:r w:rsidR="00BE77A4">
        <w:rPr>
          <w:rFonts w:ascii="Arial" w:hAnsi="Arial" w:cs="Arial"/>
          <w:sz w:val="20"/>
          <w:szCs w:val="20"/>
        </w:rPr>
        <w:t>.</w:t>
      </w:r>
      <w:r w:rsidRPr="003516DC">
        <w:rPr>
          <w:rFonts w:ascii="Arial" w:hAnsi="Arial" w:cs="Arial"/>
          <w:sz w:val="20"/>
          <w:szCs w:val="20"/>
        </w:rPr>
        <w:t xml:space="preserve"> </w:t>
      </w:r>
      <w:r w:rsidR="00BE77A4">
        <w:rPr>
          <w:rFonts w:ascii="Arial" w:hAnsi="Arial" w:cs="Arial"/>
          <w:sz w:val="20"/>
          <w:szCs w:val="20"/>
        </w:rPr>
        <w:t>T</w:t>
      </w:r>
      <w:r w:rsidRPr="003516DC">
        <w:rPr>
          <w:rFonts w:ascii="Arial" w:hAnsi="Arial" w:cs="Arial"/>
          <w:sz w:val="20"/>
          <w:szCs w:val="20"/>
        </w:rPr>
        <w:t xml:space="preserve">he number of social canteens in the region has fluctuated over the years. </w:t>
      </w:r>
    </w:p>
    <w:p w14:paraId="1CBBF5DE" w14:textId="33EE1406" w:rsidR="00E12E30" w:rsidRPr="003516DC" w:rsidRDefault="009606AC" w:rsidP="008B6516">
      <w:pPr>
        <w:spacing w:after="120"/>
        <w:jc w:val="both"/>
        <w:rPr>
          <w:rFonts w:ascii="Arial" w:hAnsi="Arial" w:cs="Arial"/>
          <w:sz w:val="20"/>
          <w:szCs w:val="20"/>
        </w:rPr>
      </w:pPr>
      <w:r w:rsidRPr="003516DC">
        <w:rPr>
          <w:rFonts w:ascii="Arial" w:hAnsi="Arial" w:cs="Arial"/>
          <w:sz w:val="20"/>
          <w:szCs w:val="20"/>
        </w:rPr>
        <w:t>The graph below shows</w:t>
      </w:r>
      <w:r w:rsidR="006C3E20" w:rsidRPr="003516DC">
        <w:rPr>
          <w:rFonts w:ascii="Arial" w:hAnsi="Arial" w:cs="Arial"/>
          <w:sz w:val="20"/>
          <w:szCs w:val="20"/>
        </w:rPr>
        <w:t xml:space="preserve"> that Hunedoara </w:t>
      </w:r>
      <w:r w:rsidR="00BE77A4">
        <w:rPr>
          <w:rFonts w:ascii="Arial" w:hAnsi="Arial" w:cs="Arial"/>
          <w:sz w:val="20"/>
          <w:szCs w:val="20"/>
        </w:rPr>
        <w:t>C</w:t>
      </w:r>
      <w:r w:rsidR="006C3E20" w:rsidRPr="003516DC">
        <w:rPr>
          <w:rFonts w:ascii="Arial" w:hAnsi="Arial" w:cs="Arial"/>
          <w:sz w:val="20"/>
          <w:szCs w:val="20"/>
        </w:rPr>
        <w:t>ounty has an aging population</w:t>
      </w:r>
      <w:r w:rsidR="00BE77A4">
        <w:rPr>
          <w:rFonts w:ascii="Arial" w:hAnsi="Arial" w:cs="Arial"/>
          <w:sz w:val="20"/>
          <w:szCs w:val="20"/>
        </w:rPr>
        <w:t>.</w:t>
      </w:r>
      <w:r w:rsidR="006C3E20" w:rsidRPr="003516DC">
        <w:rPr>
          <w:rFonts w:ascii="Arial" w:hAnsi="Arial" w:cs="Arial"/>
          <w:sz w:val="20"/>
          <w:szCs w:val="20"/>
        </w:rPr>
        <w:t xml:space="preserve"> </w:t>
      </w:r>
      <w:r w:rsidR="00BE77A4">
        <w:rPr>
          <w:rFonts w:ascii="Arial" w:hAnsi="Arial" w:cs="Arial"/>
          <w:sz w:val="20"/>
          <w:szCs w:val="20"/>
        </w:rPr>
        <w:t>T</w:t>
      </w:r>
      <w:r w:rsidR="006C3E20" w:rsidRPr="003516DC">
        <w:rPr>
          <w:rFonts w:ascii="Arial" w:hAnsi="Arial" w:cs="Arial"/>
          <w:sz w:val="20"/>
          <w:szCs w:val="20"/>
        </w:rPr>
        <w:t xml:space="preserve">he population aged 0–19 </w:t>
      </w:r>
      <w:r w:rsidR="00BE77A4">
        <w:rPr>
          <w:rFonts w:ascii="Arial" w:hAnsi="Arial" w:cs="Arial"/>
          <w:sz w:val="20"/>
          <w:szCs w:val="20"/>
        </w:rPr>
        <w:t>is</w:t>
      </w:r>
      <w:r w:rsidR="006C3E20" w:rsidRPr="003516DC">
        <w:rPr>
          <w:rFonts w:ascii="Arial" w:hAnsi="Arial" w:cs="Arial"/>
          <w:sz w:val="20"/>
          <w:szCs w:val="20"/>
        </w:rPr>
        <w:t xml:space="preserve"> below the national average and the population 60–85+ </w:t>
      </w:r>
      <w:r w:rsidR="00BE77A4">
        <w:rPr>
          <w:rFonts w:ascii="Arial" w:hAnsi="Arial" w:cs="Arial"/>
          <w:sz w:val="20"/>
          <w:szCs w:val="20"/>
        </w:rPr>
        <w:t>is</w:t>
      </w:r>
      <w:r w:rsidR="006C3E20" w:rsidRPr="003516DC">
        <w:rPr>
          <w:rFonts w:ascii="Arial" w:hAnsi="Arial" w:cs="Arial"/>
          <w:sz w:val="20"/>
          <w:szCs w:val="20"/>
        </w:rPr>
        <w:t xml:space="preserve"> above the national average in all sub-segments.</w:t>
      </w:r>
    </w:p>
    <w:p w14:paraId="6C2E709D" w14:textId="5F90BB27" w:rsidR="00E12E30" w:rsidRPr="003516DC" w:rsidRDefault="00E12E30" w:rsidP="00D909FC">
      <w:pPr>
        <w:pStyle w:val="Caption"/>
        <w:spacing w:before="0"/>
        <w:ind w:left="907" w:hanging="907"/>
      </w:pPr>
      <w:bookmarkStart w:id="117" w:name="_Toc90727357"/>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21</w:t>
      </w:r>
      <w:r w:rsidR="000B273D">
        <w:rPr>
          <w:noProof/>
        </w:rPr>
        <w:fldChar w:fldCharType="end"/>
      </w:r>
      <w:r w:rsidRPr="003516DC">
        <w:t xml:space="preserve">: Representativeness of the target age groups of the social, health and education infrastructure (young and old) in Hunedoara </w:t>
      </w:r>
      <w:r w:rsidR="00BE77A4">
        <w:t>C</w:t>
      </w:r>
      <w:r w:rsidRPr="003516DC">
        <w:t xml:space="preserve">ounty compared to </w:t>
      </w:r>
      <w:r w:rsidR="00BE77A4">
        <w:t xml:space="preserve">the </w:t>
      </w:r>
      <w:r w:rsidRPr="003516DC">
        <w:t>national level, 2020</w:t>
      </w:r>
      <w:bookmarkEnd w:id="117"/>
    </w:p>
    <w:p w14:paraId="7FE34DE6" w14:textId="6343B080" w:rsidR="00E12E30" w:rsidRPr="00D909FC" w:rsidRDefault="00E12E30" w:rsidP="00D909FC">
      <w:pPr>
        <w:spacing w:after="120"/>
        <w:rPr>
          <w:rFonts w:ascii="Arial" w:hAnsi="Arial" w:cs="Arial"/>
          <w:lang w:eastAsia="en-US"/>
        </w:rPr>
      </w:pPr>
      <w:r w:rsidRPr="00A03682">
        <w:rPr>
          <w:rFonts w:ascii="Arial" w:hAnsi="Arial" w:cs="Arial"/>
          <w:noProof/>
          <w:lang w:val="en-US" w:eastAsia="en-US"/>
        </w:rPr>
        <w:drawing>
          <wp:inline distT="0" distB="0" distL="0" distR="0" wp14:anchorId="25169686" wp14:editId="46045519">
            <wp:extent cx="5676265" cy="1739900"/>
            <wp:effectExtent l="0" t="0" r="635" b="0"/>
            <wp:docPr id="2087055608" name="Picture 208705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76265" cy="1739900"/>
                    </a:xfrm>
                    <a:prstGeom prst="rect">
                      <a:avLst/>
                    </a:prstGeom>
                  </pic:spPr>
                </pic:pic>
              </a:graphicData>
            </a:graphic>
          </wp:inline>
        </w:drawing>
      </w:r>
    </w:p>
    <w:p w14:paraId="1A6AC832" w14:textId="564677E2" w:rsidR="00B83D86" w:rsidRPr="00B83D86" w:rsidRDefault="00B83D86" w:rsidP="00B83D86">
      <w:pPr>
        <w:pStyle w:val="Heading4"/>
        <w:spacing w:before="0" w:after="120"/>
        <w:rPr>
          <w:sz w:val="20"/>
          <w:szCs w:val="20"/>
        </w:rPr>
      </w:pPr>
      <w:r w:rsidRPr="00B83D86">
        <w:rPr>
          <w:sz w:val="20"/>
          <w:szCs w:val="20"/>
        </w:rPr>
        <w:t>Environment</w:t>
      </w:r>
    </w:p>
    <w:p w14:paraId="27CD9204" w14:textId="49A38C88" w:rsidR="00903249" w:rsidRPr="003516DC" w:rsidRDefault="00903249" w:rsidP="00903249">
      <w:pPr>
        <w:jc w:val="both"/>
        <w:rPr>
          <w:rFonts w:ascii="Arial" w:hAnsi="Arial" w:cs="Arial"/>
          <w:sz w:val="20"/>
          <w:szCs w:val="20"/>
        </w:rPr>
      </w:pPr>
      <w:r w:rsidRPr="003516DC">
        <w:rPr>
          <w:rFonts w:ascii="Arial" w:hAnsi="Arial" w:cs="Arial"/>
          <w:sz w:val="20"/>
          <w:szCs w:val="20"/>
        </w:rPr>
        <w:t xml:space="preserve">When it comes to </w:t>
      </w:r>
      <w:r w:rsidRPr="003516DC">
        <w:rPr>
          <w:rFonts w:ascii="Arial" w:hAnsi="Arial" w:cs="Arial"/>
          <w:b/>
          <w:sz w:val="20"/>
          <w:szCs w:val="20"/>
        </w:rPr>
        <w:t>environmental</w:t>
      </w:r>
      <w:r w:rsidRPr="003516DC">
        <w:rPr>
          <w:rFonts w:ascii="Arial" w:hAnsi="Arial" w:cs="Arial"/>
          <w:sz w:val="20"/>
          <w:szCs w:val="20"/>
        </w:rPr>
        <w:t xml:space="preserve"> parameters</w:t>
      </w:r>
      <w:r w:rsidR="0081703E" w:rsidRPr="003516DC">
        <w:rPr>
          <w:rFonts w:ascii="Arial" w:hAnsi="Arial" w:cs="Arial"/>
          <w:sz w:val="20"/>
          <w:szCs w:val="20"/>
        </w:rPr>
        <w:t>,</w:t>
      </w:r>
      <w:r w:rsidRPr="003516DC">
        <w:rPr>
          <w:rFonts w:ascii="Arial" w:hAnsi="Arial" w:cs="Arial"/>
          <w:sz w:val="20"/>
          <w:szCs w:val="20"/>
        </w:rPr>
        <w:t xml:space="preserve"> mining is </w:t>
      </w:r>
      <w:r w:rsidR="0081703E" w:rsidRPr="003516DC">
        <w:rPr>
          <w:rFonts w:ascii="Arial" w:hAnsi="Arial" w:cs="Arial"/>
          <w:sz w:val="20"/>
          <w:szCs w:val="20"/>
        </w:rPr>
        <w:t>a primary</w:t>
      </w:r>
      <w:r w:rsidRPr="003516DC">
        <w:rPr>
          <w:rFonts w:ascii="Arial" w:hAnsi="Arial" w:cs="Arial"/>
          <w:sz w:val="20"/>
          <w:szCs w:val="20"/>
        </w:rPr>
        <w:t xml:space="preserve"> source of environmental pollution, both because of the actual extraction of ore and as a result of its preparation. </w:t>
      </w:r>
      <w:r w:rsidR="005D4932" w:rsidRPr="003516DC">
        <w:rPr>
          <w:rFonts w:ascii="Arial" w:hAnsi="Arial" w:cs="Arial"/>
          <w:sz w:val="20"/>
          <w:szCs w:val="20"/>
        </w:rPr>
        <w:t xml:space="preserve">Table </w:t>
      </w:r>
      <w:r w:rsidR="004E2DCB">
        <w:rPr>
          <w:rFonts w:ascii="Arial" w:hAnsi="Arial" w:cs="Arial"/>
          <w:sz w:val="20"/>
          <w:szCs w:val="20"/>
        </w:rPr>
        <w:t>23</w:t>
      </w:r>
      <w:r w:rsidR="004E2DCB" w:rsidRPr="003516DC">
        <w:rPr>
          <w:rFonts w:ascii="Arial" w:hAnsi="Arial" w:cs="Arial"/>
          <w:sz w:val="20"/>
          <w:szCs w:val="20"/>
        </w:rPr>
        <w:t xml:space="preserve"> </w:t>
      </w:r>
      <w:r w:rsidR="005D4932" w:rsidRPr="003516DC">
        <w:rPr>
          <w:rFonts w:ascii="Arial" w:hAnsi="Arial" w:cs="Arial"/>
          <w:sz w:val="20"/>
          <w:szCs w:val="20"/>
        </w:rPr>
        <w:t>highlights</w:t>
      </w:r>
      <w:r w:rsidRPr="003516DC">
        <w:rPr>
          <w:rFonts w:ascii="Arial" w:hAnsi="Arial" w:cs="Arial"/>
          <w:sz w:val="20"/>
          <w:szCs w:val="20"/>
        </w:rPr>
        <w:t xml:space="preserve"> the sources and types of air pollution at the county level.</w:t>
      </w:r>
    </w:p>
    <w:p w14:paraId="786E6C48" w14:textId="2253099C" w:rsidR="00903249" w:rsidRPr="003516DC" w:rsidRDefault="0091529C" w:rsidP="0091529C">
      <w:pPr>
        <w:pStyle w:val="Caption"/>
      </w:pPr>
      <w:bookmarkStart w:id="118" w:name="_Toc90725977"/>
      <w:bookmarkStart w:id="119" w:name="_Toc90727274"/>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23</w:t>
      </w:r>
      <w:r w:rsidR="0040363E" w:rsidRPr="003516DC">
        <w:rPr>
          <w:noProof/>
        </w:rPr>
        <w:fldChar w:fldCharType="end"/>
      </w:r>
      <w:r w:rsidRPr="003516DC">
        <w:t>: Main parameters</w:t>
      </w:r>
      <w:r w:rsidR="00C04CF7" w:rsidRPr="003516DC">
        <w:t xml:space="preserve"> of air pollution in Hunedoara </w:t>
      </w:r>
      <w:r w:rsidR="00B83D86">
        <w:t>C</w:t>
      </w:r>
      <w:r w:rsidRPr="003516DC">
        <w:t>ounty</w:t>
      </w:r>
      <w:bookmarkEnd w:id="118"/>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196"/>
        <w:gridCol w:w="2920"/>
        <w:gridCol w:w="2452"/>
        <w:gridCol w:w="2361"/>
      </w:tblGrid>
      <w:tr w:rsidR="00A36CA3" w:rsidRPr="003516DC" w14:paraId="167EF13E" w14:textId="77777777" w:rsidTr="0094603F">
        <w:trPr>
          <w:trHeight w:val="798"/>
          <w:tblHeader/>
        </w:trPr>
        <w:tc>
          <w:tcPr>
            <w:tcW w:w="669" w:type="pct"/>
            <w:shd w:val="clear" w:color="auto" w:fill="002060"/>
            <w:tcMar>
              <w:top w:w="100" w:type="dxa"/>
              <w:left w:w="100" w:type="dxa"/>
              <w:bottom w:w="100" w:type="dxa"/>
              <w:right w:w="100" w:type="dxa"/>
            </w:tcMar>
            <w:vAlign w:val="center"/>
          </w:tcPr>
          <w:p w14:paraId="16B48BFF" w14:textId="77777777" w:rsidR="00A36CA3" w:rsidRPr="003516DC" w:rsidRDefault="00A36CA3" w:rsidP="00A36CA3">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Location of air pollution</w:t>
            </w:r>
          </w:p>
        </w:tc>
        <w:tc>
          <w:tcPr>
            <w:tcW w:w="1635" w:type="pct"/>
            <w:shd w:val="clear" w:color="auto" w:fill="002060"/>
            <w:tcMar>
              <w:top w:w="100" w:type="dxa"/>
              <w:left w:w="100" w:type="dxa"/>
              <w:bottom w:w="100" w:type="dxa"/>
              <w:right w:w="100" w:type="dxa"/>
            </w:tcMar>
            <w:vAlign w:val="center"/>
          </w:tcPr>
          <w:p w14:paraId="276B80CB" w14:textId="22604F86" w:rsidR="00A36CA3" w:rsidRPr="003516DC" w:rsidRDefault="00A36CA3" w:rsidP="00A36CA3">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Source of air pollution</w:t>
            </w:r>
          </w:p>
        </w:tc>
        <w:tc>
          <w:tcPr>
            <w:tcW w:w="1373" w:type="pct"/>
            <w:shd w:val="clear" w:color="auto" w:fill="002060"/>
            <w:tcMar>
              <w:top w:w="100" w:type="dxa"/>
              <w:left w:w="100" w:type="dxa"/>
              <w:bottom w:w="100" w:type="dxa"/>
              <w:right w:w="100" w:type="dxa"/>
            </w:tcMar>
            <w:vAlign w:val="center"/>
          </w:tcPr>
          <w:p w14:paraId="6238A657" w14:textId="77777777" w:rsidR="00A36CA3" w:rsidRPr="003516DC" w:rsidRDefault="00A36CA3" w:rsidP="00A36CA3">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Economic operator responsible</w:t>
            </w:r>
          </w:p>
        </w:tc>
        <w:tc>
          <w:tcPr>
            <w:tcW w:w="1322" w:type="pct"/>
            <w:shd w:val="clear" w:color="auto" w:fill="002060"/>
            <w:tcMar>
              <w:top w:w="20" w:type="dxa"/>
              <w:left w:w="20" w:type="dxa"/>
              <w:bottom w:w="20" w:type="dxa"/>
              <w:right w:w="20" w:type="dxa"/>
            </w:tcMar>
            <w:vAlign w:val="center"/>
          </w:tcPr>
          <w:p w14:paraId="32523318" w14:textId="7102DEFB" w:rsidR="00A36CA3" w:rsidRPr="003516DC" w:rsidRDefault="00A36CA3" w:rsidP="00A36CA3">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ETS and powders, 2019 registered emissions (t/an)</w:t>
            </w:r>
          </w:p>
        </w:tc>
      </w:tr>
      <w:tr w:rsidR="00A36CA3" w:rsidRPr="003516DC" w14:paraId="19EF4283" w14:textId="77777777" w:rsidTr="0094603F">
        <w:trPr>
          <w:trHeight w:val="944"/>
        </w:trPr>
        <w:tc>
          <w:tcPr>
            <w:tcW w:w="669" w:type="pct"/>
            <w:tcMar>
              <w:top w:w="100" w:type="dxa"/>
              <w:left w:w="100" w:type="dxa"/>
              <w:bottom w:w="100" w:type="dxa"/>
              <w:right w:w="100" w:type="dxa"/>
            </w:tcMar>
          </w:tcPr>
          <w:p w14:paraId="1EF9A2FB" w14:textId="77777777" w:rsidR="00A36CA3" w:rsidRPr="003516DC" w:rsidRDefault="00A36CA3" w:rsidP="00A36CA3">
            <w:pPr>
              <w:rPr>
                <w:rFonts w:ascii="Arial" w:hAnsi="Arial" w:cs="Arial"/>
                <w:bCs/>
                <w:sz w:val="18"/>
                <w:szCs w:val="18"/>
              </w:rPr>
            </w:pPr>
            <w:r w:rsidRPr="003516DC">
              <w:rPr>
                <w:rFonts w:ascii="Arial" w:hAnsi="Arial" w:cs="Arial"/>
                <w:bCs/>
                <w:sz w:val="18"/>
                <w:szCs w:val="18"/>
              </w:rPr>
              <w:t>Valea Jiului Basin</w:t>
            </w:r>
          </w:p>
        </w:tc>
        <w:tc>
          <w:tcPr>
            <w:tcW w:w="1635" w:type="pct"/>
            <w:tcMar>
              <w:top w:w="100" w:type="dxa"/>
              <w:left w:w="100" w:type="dxa"/>
              <w:bottom w:w="100" w:type="dxa"/>
              <w:right w:w="100" w:type="dxa"/>
            </w:tcMar>
          </w:tcPr>
          <w:p w14:paraId="69EE2749" w14:textId="1631342E" w:rsidR="00A36CA3" w:rsidRPr="003516DC" w:rsidRDefault="00A36CA3" w:rsidP="00E42342">
            <w:pPr>
              <w:pStyle w:val="ListParagraph"/>
              <w:numPr>
                <w:ilvl w:val="0"/>
                <w:numId w:val="97"/>
              </w:numPr>
              <w:spacing w:line="240" w:lineRule="auto"/>
              <w:rPr>
                <w:bCs/>
                <w:sz w:val="18"/>
                <w:szCs w:val="18"/>
              </w:rPr>
            </w:pPr>
            <w:r w:rsidRPr="003516DC">
              <w:rPr>
                <w:bCs/>
                <w:sz w:val="18"/>
                <w:szCs w:val="18"/>
              </w:rPr>
              <w:t>Mining operations in the mines of Livezeni, Vulcan, Lonea, Lupeni</w:t>
            </w:r>
          </w:p>
          <w:p w14:paraId="70660CE2" w14:textId="106D2D38" w:rsidR="00A36CA3" w:rsidRPr="003516DC" w:rsidRDefault="00E87976" w:rsidP="00E42342">
            <w:pPr>
              <w:pStyle w:val="ListParagraph"/>
              <w:numPr>
                <w:ilvl w:val="0"/>
                <w:numId w:val="97"/>
              </w:numPr>
              <w:spacing w:line="240" w:lineRule="auto"/>
              <w:rPr>
                <w:bCs/>
                <w:sz w:val="18"/>
                <w:szCs w:val="18"/>
              </w:rPr>
            </w:pPr>
            <w:r w:rsidRPr="003516DC">
              <w:rPr>
                <w:rFonts w:eastAsia="Times New Roman"/>
                <w:bCs/>
                <w:sz w:val="18"/>
                <w:szCs w:val="18"/>
              </w:rPr>
              <w:t>S</w:t>
            </w:r>
            <w:r w:rsidR="00A36CA3" w:rsidRPr="003516DC">
              <w:rPr>
                <w:rFonts w:eastAsia="Times New Roman"/>
                <w:bCs/>
                <w:sz w:val="18"/>
                <w:szCs w:val="18"/>
              </w:rPr>
              <w:t>terile storage dumps,</w:t>
            </w:r>
            <w:r w:rsidR="00A36CA3" w:rsidRPr="003516DC">
              <w:rPr>
                <w:bCs/>
                <w:sz w:val="18"/>
                <w:szCs w:val="18"/>
              </w:rPr>
              <w:t xml:space="preserve"> ash and slag</w:t>
            </w:r>
          </w:p>
        </w:tc>
        <w:tc>
          <w:tcPr>
            <w:tcW w:w="1373" w:type="pct"/>
            <w:tcMar>
              <w:top w:w="100" w:type="dxa"/>
              <w:left w:w="100" w:type="dxa"/>
              <w:bottom w:w="100" w:type="dxa"/>
              <w:right w:w="100" w:type="dxa"/>
            </w:tcMar>
          </w:tcPr>
          <w:p w14:paraId="1609337D" w14:textId="77777777" w:rsidR="00A36CA3" w:rsidRPr="003516DC" w:rsidRDefault="00A36CA3" w:rsidP="00E42342">
            <w:pPr>
              <w:pStyle w:val="ListParagraph"/>
              <w:numPr>
                <w:ilvl w:val="0"/>
                <w:numId w:val="97"/>
              </w:numPr>
              <w:spacing w:line="240" w:lineRule="auto"/>
              <w:rPr>
                <w:bCs/>
                <w:sz w:val="18"/>
                <w:szCs w:val="18"/>
              </w:rPr>
            </w:pPr>
            <w:r w:rsidRPr="003516DC">
              <w:rPr>
                <w:bCs/>
                <w:sz w:val="18"/>
                <w:szCs w:val="18"/>
              </w:rPr>
              <w:t>Hunedoara Energy Complex</w:t>
            </w:r>
          </w:p>
          <w:p w14:paraId="7A08FFC6" w14:textId="77777777" w:rsidR="00A36CA3" w:rsidRPr="003516DC" w:rsidRDefault="00A36CA3" w:rsidP="00E42342">
            <w:pPr>
              <w:pStyle w:val="ListParagraph"/>
              <w:numPr>
                <w:ilvl w:val="0"/>
                <w:numId w:val="97"/>
              </w:numPr>
              <w:spacing w:line="240" w:lineRule="auto"/>
              <w:rPr>
                <w:bCs/>
                <w:sz w:val="18"/>
                <w:szCs w:val="18"/>
              </w:rPr>
            </w:pPr>
            <w:r w:rsidRPr="003516DC">
              <w:rPr>
                <w:bCs/>
                <w:sz w:val="18"/>
                <w:szCs w:val="18"/>
              </w:rPr>
              <w:t>Paroseni power plant</w:t>
            </w:r>
          </w:p>
        </w:tc>
        <w:tc>
          <w:tcPr>
            <w:tcW w:w="1322" w:type="pct"/>
            <w:tcMar>
              <w:top w:w="20" w:type="dxa"/>
              <w:left w:w="20" w:type="dxa"/>
              <w:bottom w:w="20" w:type="dxa"/>
              <w:right w:w="20" w:type="dxa"/>
            </w:tcMar>
          </w:tcPr>
          <w:p w14:paraId="5E337C5F" w14:textId="77777777" w:rsidR="00E87976" w:rsidRPr="003516DC" w:rsidRDefault="00A36CA3" w:rsidP="00E42342">
            <w:pPr>
              <w:pStyle w:val="ListParagraph"/>
              <w:numPr>
                <w:ilvl w:val="0"/>
                <w:numId w:val="97"/>
              </w:numPr>
              <w:spacing w:line="240" w:lineRule="auto"/>
              <w:rPr>
                <w:bCs/>
                <w:sz w:val="18"/>
                <w:szCs w:val="18"/>
              </w:rPr>
            </w:pPr>
            <w:r w:rsidRPr="003516DC">
              <w:rPr>
                <w:bCs/>
                <w:sz w:val="18"/>
                <w:szCs w:val="18"/>
              </w:rPr>
              <w:t>CO</w:t>
            </w:r>
            <w:r w:rsidRPr="003516DC">
              <w:rPr>
                <w:bCs/>
                <w:sz w:val="18"/>
                <w:szCs w:val="18"/>
                <w:vertAlign w:val="subscript"/>
              </w:rPr>
              <w:t>2</w:t>
            </w:r>
            <w:r w:rsidRPr="003516DC">
              <w:rPr>
                <w:bCs/>
                <w:sz w:val="18"/>
                <w:szCs w:val="18"/>
              </w:rPr>
              <w:t>, CO, SOx, NOx, N</w:t>
            </w:r>
            <w:r w:rsidRPr="003516DC">
              <w:rPr>
                <w:bCs/>
                <w:sz w:val="18"/>
                <w:szCs w:val="18"/>
                <w:vertAlign w:val="subscript"/>
              </w:rPr>
              <w:t>2</w:t>
            </w:r>
            <w:r w:rsidRPr="003516DC">
              <w:rPr>
                <w:bCs/>
                <w:sz w:val="18"/>
                <w:szCs w:val="18"/>
              </w:rPr>
              <w:t>O, Volatile organic compounds:</w:t>
            </w:r>
          </w:p>
          <w:p w14:paraId="79E7FD6E" w14:textId="77777777" w:rsidR="00E87976" w:rsidRPr="003516DC" w:rsidRDefault="00E87976" w:rsidP="00E87976">
            <w:pPr>
              <w:pStyle w:val="ListParagraph"/>
              <w:spacing w:line="240" w:lineRule="auto"/>
              <w:ind w:left="360"/>
              <w:rPr>
                <w:bCs/>
                <w:sz w:val="18"/>
                <w:szCs w:val="18"/>
              </w:rPr>
            </w:pPr>
          </w:p>
          <w:p w14:paraId="39EB7B8A" w14:textId="78373B39" w:rsidR="00A36CA3" w:rsidRPr="003516DC" w:rsidRDefault="00A36CA3" w:rsidP="00E87976">
            <w:pPr>
              <w:pStyle w:val="ListParagraph"/>
              <w:spacing w:line="240" w:lineRule="auto"/>
              <w:ind w:left="360"/>
              <w:rPr>
                <w:bCs/>
                <w:sz w:val="18"/>
                <w:szCs w:val="18"/>
              </w:rPr>
            </w:pPr>
            <w:r w:rsidRPr="003516DC">
              <w:rPr>
                <w:bCs/>
                <w:sz w:val="18"/>
                <w:szCs w:val="18"/>
              </w:rPr>
              <w:t>153,808</w:t>
            </w:r>
          </w:p>
        </w:tc>
      </w:tr>
      <w:tr w:rsidR="00A36CA3" w:rsidRPr="003516DC" w14:paraId="16B24E5A" w14:textId="77777777" w:rsidTr="0094603F">
        <w:trPr>
          <w:trHeight w:val="1043"/>
        </w:trPr>
        <w:tc>
          <w:tcPr>
            <w:tcW w:w="669" w:type="pct"/>
            <w:tcMar>
              <w:top w:w="100" w:type="dxa"/>
              <w:left w:w="100" w:type="dxa"/>
              <w:bottom w:w="100" w:type="dxa"/>
              <w:right w:w="100" w:type="dxa"/>
            </w:tcMar>
          </w:tcPr>
          <w:p w14:paraId="0AD76C37" w14:textId="77777777" w:rsidR="00A36CA3" w:rsidRPr="003516DC" w:rsidRDefault="00A36CA3" w:rsidP="00A36CA3">
            <w:pPr>
              <w:rPr>
                <w:rFonts w:ascii="Arial" w:hAnsi="Arial" w:cs="Arial"/>
                <w:bCs/>
                <w:sz w:val="18"/>
                <w:szCs w:val="18"/>
              </w:rPr>
            </w:pPr>
            <w:r w:rsidRPr="003516DC">
              <w:rPr>
                <w:rFonts w:ascii="Arial" w:hAnsi="Arial" w:cs="Arial"/>
                <w:bCs/>
                <w:sz w:val="18"/>
                <w:szCs w:val="18"/>
              </w:rPr>
              <w:lastRenderedPageBreak/>
              <w:t>Chişcădaga</w:t>
            </w:r>
          </w:p>
        </w:tc>
        <w:tc>
          <w:tcPr>
            <w:tcW w:w="1635" w:type="pct"/>
            <w:tcMar>
              <w:top w:w="100" w:type="dxa"/>
              <w:left w:w="100" w:type="dxa"/>
              <w:bottom w:w="100" w:type="dxa"/>
              <w:right w:w="100" w:type="dxa"/>
            </w:tcMar>
          </w:tcPr>
          <w:p w14:paraId="055F3E8B" w14:textId="1865B30B" w:rsidR="00A36CA3" w:rsidRPr="003516DC" w:rsidRDefault="00DA42CC" w:rsidP="00E42342">
            <w:pPr>
              <w:pStyle w:val="ListParagraph"/>
              <w:numPr>
                <w:ilvl w:val="0"/>
                <w:numId w:val="98"/>
              </w:numPr>
              <w:spacing w:line="240" w:lineRule="auto"/>
              <w:rPr>
                <w:bCs/>
                <w:sz w:val="18"/>
                <w:szCs w:val="18"/>
              </w:rPr>
            </w:pPr>
            <w:r w:rsidRPr="003516DC">
              <w:rPr>
                <w:bCs/>
                <w:sz w:val="18"/>
                <w:szCs w:val="18"/>
              </w:rPr>
              <w:t>E</w:t>
            </w:r>
            <w:r w:rsidR="00A36CA3" w:rsidRPr="003516DC">
              <w:rPr>
                <w:bCs/>
                <w:sz w:val="18"/>
                <w:szCs w:val="18"/>
              </w:rPr>
              <w:t>xploitation of limestone, travertine, clay, gypsum and bentonite for the construction sector and the cement production industry</w:t>
            </w:r>
          </w:p>
        </w:tc>
        <w:tc>
          <w:tcPr>
            <w:tcW w:w="1373" w:type="pct"/>
            <w:tcMar>
              <w:top w:w="100" w:type="dxa"/>
              <w:left w:w="100" w:type="dxa"/>
              <w:bottom w:w="100" w:type="dxa"/>
              <w:right w:w="100" w:type="dxa"/>
            </w:tcMar>
          </w:tcPr>
          <w:p w14:paraId="1353FFCA" w14:textId="77777777" w:rsidR="00E87976" w:rsidRPr="003516DC" w:rsidRDefault="00A36CA3" w:rsidP="00E42342">
            <w:pPr>
              <w:pStyle w:val="ListParagraph"/>
              <w:numPr>
                <w:ilvl w:val="0"/>
                <w:numId w:val="98"/>
              </w:numPr>
              <w:spacing w:line="240" w:lineRule="auto"/>
              <w:rPr>
                <w:bCs/>
                <w:sz w:val="18"/>
                <w:szCs w:val="18"/>
                <w:lang w:val="fr-FR"/>
              </w:rPr>
            </w:pPr>
            <w:r w:rsidRPr="003516DC">
              <w:rPr>
                <w:bCs/>
                <w:sz w:val="18"/>
                <w:szCs w:val="18"/>
                <w:lang w:val="fr-FR"/>
              </w:rPr>
              <w:t>Heidelbergcement SA (Chişcădaga cement factory)</w:t>
            </w:r>
          </w:p>
          <w:p w14:paraId="224427A8" w14:textId="77777777" w:rsidR="00E87976" w:rsidRPr="003516DC" w:rsidRDefault="00A36CA3" w:rsidP="00E42342">
            <w:pPr>
              <w:pStyle w:val="ListParagraph"/>
              <w:numPr>
                <w:ilvl w:val="0"/>
                <w:numId w:val="98"/>
              </w:numPr>
              <w:spacing w:line="240" w:lineRule="auto"/>
              <w:rPr>
                <w:bCs/>
                <w:sz w:val="18"/>
                <w:szCs w:val="18"/>
              </w:rPr>
            </w:pPr>
            <w:r w:rsidRPr="003516DC">
              <w:rPr>
                <w:bCs/>
                <w:sz w:val="18"/>
                <w:szCs w:val="18"/>
              </w:rPr>
              <w:t>Carmeuse Holding SRL</w:t>
            </w:r>
          </w:p>
          <w:p w14:paraId="31EF15B1" w14:textId="5A7EB4EF" w:rsidR="00A36CA3" w:rsidRPr="003516DC" w:rsidRDefault="00A36CA3" w:rsidP="00E42342">
            <w:pPr>
              <w:pStyle w:val="ListParagraph"/>
              <w:numPr>
                <w:ilvl w:val="0"/>
                <w:numId w:val="98"/>
              </w:numPr>
              <w:spacing w:line="240" w:lineRule="auto"/>
              <w:rPr>
                <w:bCs/>
                <w:sz w:val="18"/>
                <w:szCs w:val="18"/>
              </w:rPr>
            </w:pPr>
            <w:r w:rsidRPr="003516DC">
              <w:rPr>
                <w:bCs/>
                <w:sz w:val="18"/>
                <w:szCs w:val="18"/>
              </w:rPr>
              <w:t>Talc Dolomita SA.</w:t>
            </w:r>
          </w:p>
        </w:tc>
        <w:tc>
          <w:tcPr>
            <w:tcW w:w="1322" w:type="pct"/>
            <w:tcMar>
              <w:top w:w="20" w:type="dxa"/>
              <w:left w:w="20" w:type="dxa"/>
              <w:bottom w:w="20" w:type="dxa"/>
              <w:right w:w="20" w:type="dxa"/>
            </w:tcMar>
          </w:tcPr>
          <w:p w14:paraId="09661DDA" w14:textId="77777777" w:rsidR="00E87976" w:rsidRPr="003516DC" w:rsidRDefault="00A36CA3" w:rsidP="00E42342">
            <w:pPr>
              <w:pStyle w:val="ListParagraph"/>
              <w:numPr>
                <w:ilvl w:val="0"/>
                <w:numId w:val="98"/>
              </w:numPr>
              <w:spacing w:line="240" w:lineRule="auto"/>
              <w:rPr>
                <w:bCs/>
                <w:sz w:val="18"/>
                <w:szCs w:val="18"/>
              </w:rPr>
            </w:pPr>
            <w:r w:rsidRPr="003516DC">
              <w:rPr>
                <w:bCs/>
                <w:sz w:val="18"/>
                <w:szCs w:val="18"/>
              </w:rPr>
              <w:t>CO</w:t>
            </w:r>
            <w:r w:rsidRPr="003516DC">
              <w:rPr>
                <w:bCs/>
                <w:sz w:val="18"/>
                <w:szCs w:val="18"/>
                <w:vertAlign w:val="subscript"/>
              </w:rPr>
              <w:t>2</w:t>
            </w:r>
            <w:r w:rsidRPr="003516DC">
              <w:rPr>
                <w:bCs/>
                <w:sz w:val="18"/>
                <w:szCs w:val="18"/>
              </w:rPr>
              <w:t>, CO, SOx, NOx, mineral dust:</w:t>
            </w:r>
          </w:p>
          <w:p w14:paraId="1CDE1229" w14:textId="77777777" w:rsidR="00E87976" w:rsidRPr="003516DC" w:rsidRDefault="00E87976" w:rsidP="00E87976">
            <w:pPr>
              <w:pStyle w:val="ListParagraph"/>
              <w:spacing w:line="240" w:lineRule="auto"/>
              <w:ind w:left="360"/>
              <w:rPr>
                <w:bCs/>
                <w:sz w:val="18"/>
                <w:szCs w:val="18"/>
              </w:rPr>
            </w:pPr>
          </w:p>
          <w:p w14:paraId="2FF2F51E" w14:textId="2D93DEFB" w:rsidR="00A36CA3" w:rsidRPr="003516DC" w:rsidRDefault="00A36CA3" w:rsidP="00E87976">
            <w:pPr>
              <w:pStyle w:val="ListParagraph"/>
              <w:spacing w:line="240" w:lineRule="auto"/>
              <w:ind w:left="360"/>
              <w:rPr>
                <w:bCs/>
                <w:sz w:val="18"/>
                <w:szCs w:val="18"/>
              </w:rPr>
            </w:pPr>
            <w:r w:rsidRPr="003516DC">
              <w:rPr>
                <w:bCs/>
                <w:sz w:val="18"/>
                <w:szCs w:val="18"/>
              </w:rPr>
              <w:t>754,184</w:t>
            </w:r>
          </w:p>
        </w:tc>
      </w:tr>
      <w:tr w:rsidR="00A36CA3" w:rsidRPr="003516DC" w14:paraId="40BA9A7D" w14:textId="77777777" w:rsidTr="0094603F">
        <w:trPr>
          <w:trHeight w:val="1007"/>
        </w:trPr>
        <w:tc>
          <w:tcPr>
            <w:tcW w:w="669" w:type="pct"/>
            <w:tcMar>
              <w:top w:w="100" w:type="dxa"/>
              <w:left w:w="100" w:type="dxa"/>
              <w:bottom w:w="100" w:type="dxa"/>
              <w:right w:w="100" w:type="dxa"/>
            </w:tcMar>
          </w:tcPr>
          <w:p w14:paraId="51748CFD" w14:textId="77777777" w:rsidR="00A36CA3" w:rsidRPr="003516DC" w:rsidRDefault="00A36CA3" w:rsidP="00A36CA3">
            <w:pPr>
              <w:rPr>
                <w:rFonts w:ascii="Arial" w:hAnsi="Arial" w:cs="Arial"/>
                <w:bCs/>
                <w:sz w:val="18"/>
                <w:szCs w:val="18"/>
              </w:rPr>
            </w:pPr>
            <w:r w:rsidRPr="003516DC">
              <w:rPr>
                <w:rFonts w:ascii="Arial" w:hAnsi="Arial" w:cs="Arial"/>
                <w:bCs/>
                <w:sz w:val="18"/>
                <w:szCs w:val="18"/>
              </w:rPr>
              <w:t>Hunedoara municipality</w:t>
            </w:r>
          </w:p>
        </w:tc>
        <w:tc>
          <w:tcPr>
            <w:tcW w:w="1635" w:type="pct"/>
            <w:tcMar>
              <w:top w:w="100" w:type="dxa"/>
              <w:left w:w="100" w:type="dxa"/>
              <w:bottom w:w="100" w:type="dxa"/>
              <w:right w:w="100" w:type="dxa"/>
            </w:tcMar>
          </w:tcPr>
          <w:p w14:paraId="7F51ABE2" w14:textId="35C3CEE8" w:rsidR="00A36CA3" w:rsidRPr="003516DC" w:rsidRDefault="00E87976" w:rsidP="00E42342">
            <w:pPr>
              <w:pStyle w:val="ListParagraph"/>
              <w:numPr>
                <w:ilvl w:val="0"/>
                <w:numId w:val="98"/>
              </w:numPr>
              <w:spacing w:line="240" w:lineRule="auto"/>
              <w:rPr>
                <w:bCs/>
                <w:sz w:val="18"/>
                <w:szCs w:val="18"/>
              </w:rPr>
            </w:pPr>
            <w:r w:rsidRPr="003516DC">
              <w:rPr>
                <w:bCs/>
                <w:sz w:val="18"/>
                <w:szCs w:val="18"/>
              </w:rPr>
              <w:t>S</w:t>
            </w:r>
            <w:r w:rsidR="00A36CA3" w:rsidRPr="003516DC">
              <w:rPr>
                <w:bCs/>
                <w:sz w:val="18"/>
                <w:szCs w:val="18"/>
              </w:rPr>
              <w:t>teel production</w:t>
            </w:r>
          </w:p>
          <w:p w14:paraId="7B3C0578" w14:textId="02883340" w:rsidR="00A36CA3" w:rsidRPr="003516DC" w:rsidRDefault="00E87976" w:rsidP="00E42342">
            <w:pPr>
              <w:pStyle w:val="ListParagraph"/>
              <w:numPr>
                <w:ilvl w:val="0"/>
                <w:numId w:val="98"/>
              </w:numPr>
              <w:spacing w:line="240" w:lineRule="auto"/>
              <w:rPr>
                <w:bCs/>
                <w:sz w:val="18"/>
                <w:szCs w:val="18"/>
              </w:rPr>
            </w:pPr>
            <w:r w:rsidRPr="003516DC">
              <w:rPr>
                <w:bCs/>
                <w:sz w:val="18"/>
                <w:szCs w:val="18"/>
              </w:rPr>
              <w:t>W</w:t>
            </w:r>
            <w:r w:rsidR="00A36CA3" w:rsidRPr="003516DC">
              <w:rPr>
                <w:bCs/>
                <w:sz w:val="18"/>
                <w:szCs w:val="18"/>
              </w:rPr>
              <w:t>aste storage dumps, ash and slag</w:t>
            </w:r>
          </w:p>
        </w:tc>
        <w:tc>
          <w:tcPr>
            <w:tcW w:w="1373" w:type="pct"/>
            <w:tcMar>
              <w:top w:w="100" w:type="dxa"/>
              <w:left w:w="100" w:type="dxa"/>
              <w:bottom w:w="100" w:type="dxa"/>
              <w:right w:w="100" w:type="dxa"/>
            </w:tcMar>
          </w:tcPr>
          <w:p w14:paraId="48AABCE9" w14:textId="60949216" w:rsidR="00A36CA3" w:rsidRPr="003516DC" w:rsidRDefault="00A36CA3" w:rsidP="00E42342">
            <w:pPr>
              <w:pStyle w:val="ListParagraph"/>
              <w:numPr>
                <w:ilvl w:val="0"/>
                <w:numId w:val="98"/>
              </w:numPr>
              <w:spacing w:line="240" w:lineRule="auto"/>
              <w:rPr>
                <w:bCs/>
                <w:sz w:val="18"/>
                <w:szCs w:val="18"/>
              </w:rPr>
            </w:pPr>
            <w:r w:rsidRPr="003516DC">
              <w:rPr>
                <w:bCs/>
                <w:sz w:val="18"/>
                <w:szCs w:val="18"/>
              </w:rPr>
              <w:t>ARCELORMITTAL Hunedoara S.A</w:t>
            </w:r>
          </w:p>
        </w:tc>
        <w:tc>
          <w:tcPr>
            <w:tcW w:w="1322" w:type="pct"/>
            <w:tcMar>
              <w:top w:w="20" w:type="dxa"/>
              <w:left w:w="20" w:type="dxa"/>
              <w:bottom w:w="20" w:type="dxa"/>
              <w:right w:w="20" w:type="dxa"/>
            </w:tcMar>
          </w:tcPr>
          <w:p w14:paraId="5F49B60D" w14:textId="77777777" w:rsidR="00E87976" w:rsidRPr="003516DC" w:rsidRDefault="00A36CA3" w:rsidP="00E42342">
            <w:pPr>
              <w:pStyle w:val="ListParagraph"/>
              <w:numPr>
                <w:ilvl w:val="0"/>
                <w:numId w:val="98"/>
              </w:numPr>
              <w:spacing w:line="240" w:lineRule="auto"/>
              <w:rPr>
                <w:bCs/>
                <w:sz w:val="18"/>
                <w:szCs w:val="18"/>
              </w:rPr>
            </w:pPr>
            <w:r w:rsidRPr="003516DC">
              <w:rPr>
                <w:bCs/>
                <w:sz w:val="18"/>
                <w:szCs w:val="18"/>
              </w:rPr>
              <w:t>Powders with content of Fe, SOx, NOx heavy metals (Pb, Cd, As:</w:t>
            </w:r>
          </w:p>
          <w:p w14:paraId="2A02513A" w14:textId="77777777" w:rsidR="00E87976" w:rsidRPr="003516DC" w:rsidRDefault="00E87976" w:rsidP="00E87976">
            <w:pPr>
              <w:pStyle w:val="ListParagraph"/>
              <w:spacing w:line="240" w:lineRule="auto"/>
              <w:ind w:left="360"/>
              <w:rPr>
                <w:bCs/>
                <w:sz w:val="18"/>
                <w:szCs w:val="18"/>
              </w:rPr>
            </w:pPr>
          </w:p>
          <w:p w14:paraId="73092418" w14:textId="29D9F7C0" w:rsidR="00A36CA3" w:rsidRPr="003516DC" w:rsidRDefault="00A36CA3" w:rsidP="00E87976">
            <w:pPr>
              <w:pStyle w:val="ListParagraph"/>
              <w:spacing w:line="240" w:lineRule="auto"/>
              <w:ind w:left="360"/>
              <w:rPr>
                <w:bCs/>
                <w:sz w:val="18"/>
                <w:szCs w:val="18"/>
              </w:rPr>
            </w:pPr>
            <w:r w:rsidRPr="003516DC">
              <w:rPr>
                <w:bCs/>
                <w:sz w:val="18"/>
                <w:szCs w:val="18"/>
              </w:rPr>
              <w:t>26,815</w:t>
            </w:r>
          </w:p>
        </w:tc>
      </w:tr>
      <w:tr w:rsidR="00A36CA3" w:rsidRPr="003516DC" w14:paraId="2775E965" w14:textId="77777777" w:rsidTr="0094603F">
        <w:trPr>
          <w:trHeight w:val="890"/>
        </w:trPr>
        <w:tc>
          <w:tcPr>
            <w:tcW w:w="669" w:type="pct"/>
            <w:tcMar>
              <w:top w:w="100" w:type="dxa"/>
              <w:left w:w="100" w:type="dxa"/>
              <w:bottom w:w="100" w:type="dxa"/>
              <w:right w:w="100" w:type="dxa"/>
            </w:tcMar>
          </w:tcPr>
          <w:p w14:paraId="51C58B4B" w14:textId="77777777" w:rsidR="00A36CA3" w:rsidRPr="003516DC" w:rsidRDefault="00A36CA3" w:rsidP="00A36CA3">
            <w:pPr>
              <w:rPr>
                <w:rFonts w:ascii="Arial" w:hAnsi="Arial" w:cs="Arial"/>
                <w:bCs/>
                <w:sz w:val="18"/>
                <w:szCs w:val="18"/>
              </w:rPr>
            </w:pPr>
            <w:r w:rsidRPr="003516DC">
              <w:rPr>
                <w:rFonts w:ascii="Arial" w:hAnsi="Arial" w:cs="Arial"/>
                <w:bCs/>
                <w:sz w:val="18"/>
                <w:szCs w:val="18"/>
              </w:rPr>
              <w:t>Deva Municipality</w:t>
            </w:r>
          </w:p>
        </w:tc>
        <w:tc>
          <w:tcPr>
            <w:tcW w:w="1635" w:type="pct"/>
            <w:tcMar>
              <w:top w:w="100" w:type="dxa"/>
              <w:left w:w="100" w:type="dxa"/>
              <w:bottom w:w="100" w:type="dxa"/>
              <w:right w:w="100" w:type="dxa"/>
            </w:tcMar>
          </w:tcPr>
          <w:p w14:paraId="227DACF1" w14:textId="77777777" w:rsidR="00A36CA3" w:rsidRPr="003516DC" w:rsidRDefault="00A36CA3" w:rsidP="00E42342">
            <w:pPr>
              <w:pStyle w:val="ListParagraph"/>
              <w:numPr>
                <w:ilvl w:val="0"/>
                <w:numId w:val="99"/>
              </w:numPr>
              <w:spacing w:line="240" w:lineRule="auto"/>
              <w:rPr>
                <w:bCs/>
                <w:sz w:val="18"/>
                <w:szCs w:val="18"/>
              </w:rPr>
            </w:pPr>
            <w:r w:rsidRPr="003516DC">
              <w:rPr>
                <w:bCs/>
                <w:sz w:val="18"/>
                <w:szCs w:val="18"/>
              </w:rPr>
              <w:t>Mintia Power plant</w:t>
            </w:r>
          </w:p>
          <w:p w14:paraId="4A605438" w14:textId="35DE1DED" w:rsidR="00A36CA3" w:rsidRPr="003516DC" w:rsidRDefault="00E87976" w:rsidP="00E42342">
            <w:pPr>
              <w:pStyle w:val="ListParagraph"/>
              <w:numPr>
                <w:ilvl w:val="0"/>
                <w:numId w:val="99"/>
              </w:numPr>
              <w:spacing w:line="240" w:lineRule="auto"/>
              <w:rPr>
                <w:bCs/>
                <w:sz w:val="18"/>
                <w:szCs w:val="18"/>
              </w:rPr>
            </w:pPr>
            <w:r w:rsidRPr="003516DC">
              <w:rPr>
                <w:bCs/>
                <w:sz w:val="18"/>
                <w:szCs w:val="18"/>
              </w:rPr>
              <w:t>S</w:t>
            </w:r>
            <w:r w:rsidR="00A36CA3" w:rsidRPr="003516DC">
              <w:rPr>
                <w:bCs/>
                <w:sz w:val="18"/>
                <w:szCs w:val="18"/>
              </w:rPr>
              <w:t>terile storage dumps, ash and slag</w:t>
            </w:r>
          </w:p>
        </w:tc>
        <w:tc>
          <w:tcPr>
            <w:tcW w:w="1373" w:type="pct"/>
            <w:tcMar>
              <w:top w:w="100" w:type="dxa"/>
              <w:left w:w="100" w:type="dxa"/>
              <w:bottom w:w="100" w:type="dxa"/>
              <w:right w:w="100" w:type="dxa"/>
            </w:tcMar>
          </w:tcPr>
          <w:p w14:paraId="6C8BCACC" w14:textId="77777777" w:rsidR="00A36CA3" w:rsidRPr="003516DC" w:rsidRDefault="00A36CA3" w:rsidP="00E42342">
            <w:pPr>
              <w:pStyle w:val="ListParagraph"/>
              <w:numPr>
                <w:ilvl w:val="0"/>
                <w:numId w:val="99"/>
              </w:numPr>
              <w:spacing w:line="240" w:lineRule="auto"/>
              <w:rPr>
                <w:bCs/>
                <w:sz w:val="18"/>
                <w:szCs w:val="18"/>
              </w:rPr>
            </w:pPr>
            <w:r w:rsidRPr="003516DC">
              <w:rPr>
                <w:bCs/>
                <w:sz w:val="18"/>
                <w:szCs w:val="18"/>
              </w:rPr>
              <w:t>Hunedoara Energy Complex</w:t>
            </w:r>
          </w:p>
          <w:p w14:paraId="49EFE7E0" w14:textId="77777777" w:rsidR="00A36CA3" w:rsidRPr="003516DC" w:rsidRDefault="00A36CA3" w:rsidP="00E42342">
            <w:pPr>
              <w:pStyle w:val="ListParagraph"/>
              <w:numPr>
                <w:ilvl w:val="0"/>
                <w:numId w:val="99"/>
              </w:numPr>
              <w:spacing w:line="240" w:lineRule="auto"/>
              <w:rPr>
                <w:bCs/>
                <w:sz w:val="18"/>
                <w:szCs w:val="18"/>
              </w:rPr>
            </w:pPr>
            <w:r w:rsidRPr="003516DC">
              <w:rPr>
                <w:bCs/>
                <w:sz w:val="18"/>
                <w:szCs w:val="18"/>
              </w:rPr>
              <w:t>Mintia power plant</w:t>
            </w:r>
          </w:p>
        </w:tc>
        <w:tc>
          <w:tcPr>
            <w:tcW w:w="1322" w:type="pct"/>
            <w:tcMar>
              <w:top w:w="20" w:type="dxa"/>
              <w:left w:w="20" w:type="dxa"/>
              <w:bottom w:w="20" w:type="dxa"/>
              <w:right w:w="20" w:type="dxa"/>
            </w:tcMar>
          </w:tcPr>
          <w:p w14:paraId="3F4971EC" w14:textId="77777777" w:rsidR="00E87976" w:rsidRPr="003516DC" w:rsidRDefault="00A36CA3" w:rsidP="00E42342">
            <w:pPr>
              <w:pStyle w:val="ListParagraph"/>
              <w:numPr>
                <w:ilvl w:val="0"/>
                <w:numId w:val="99"/>
              </w:numPr>
              <w:spacing w:line="240" w:lineRule="auto"/>
              <w:rPr>
                <w:bCs/>
                <w:sz w:val="18"/>
                <w:szCs w:val="18"/>
              </w:rPr>
            </w:pPr>
            <w:r w:rsidRPr="003516DC">
              <w:rPr>
                <w:bCs/>
                <w:sz w:val="18"/>
                <w:szCs w:val="18"/>
              </w:rPr>
              <w:t>CO</w:t>
            </w:r>
            <w:r w:rsidRPr="003516DC">
              <w:rPr>
                <w:bCs/>
                <w:sz w:val="18"/>
                <w:szCs w:val="18"/>
                <w:vertAlign w:val="subscript"/>
              </w:rPr>
              <w:t>2</w:t>
            </w:r>
            <w:r w:rsidRPr="003516DC">
              <w:rPr>
                <w:bCs/>
                <w:sz w:val="18"/>
                <w:szCs w:val="18"/>
              </w:rPr>
              <w:t>, CO, SOx, NOx, N</w:t>
            </w:r>
            <w:r w:rsidRPr="003516DC">
              <w:rPr>
                <w:bCs/>
                <w:sz w:val="18"/>
                <w:szCs w:val="18"/>
                <w:vertAlign w:val="subscript"/>
              </w:rPr>
              <w:t>2</w:t>
            </w:r>
            <w:r w:rsidRPr="003516DC">
              <w:rPr>
                <w:bCs/>
                <w:sz w:val="18"/>
                <w:szCs w:val="18"/>
              </w:rPr>
              <w:t>O, Volatile organic compounds:</w:t>
            </w:r>
          </w:p>
          <w:p w14:paraId="08E82E1B" w14:textId="77777777" w:rsidR="00E87976" w:rsidRPr="003516DC" w:rsidRDefault="00E87976" w:rsidP="00E87976">
            <w:pPr>
              <w:pStyle w:val="ListParagraph"/>
              <w:spacing w:line="240" w:lineRule="auto"/>
              <w:ind w:left="360"/>
              <w:rPr>
                <w:bCs/>
                <w:sz w:val="18"/>
                <w:szCs w:val="18"/>
              </w:rPr>
            </w:pPr>
          </w:p>
          <w:p w14:paraId="60A4A5B5" w14:textId="42712012" w:rsidR="00A36CA3" w:rsidRPr="003516DC" w:rsidRDefault="00A36CA3" w:rsidP="00E87976">
            <w:pPr>
              <w:pStyle w:val="ListParagraph"/>
              <w:spacing w:line="240" w:lineRule="auto"/>
              <w:ind w:left="360"/>
              <w:rPr>
                <w:bCs/>
                <w:sz w:val="18"/>
                <w:szCs w:val="18"/>
              </w:rPr>
            </w:pPr>
            <w:r w:rsidRPr="003516DC">
              <w:rPr>
                <w:bCs/>
                <w:sz w:val="18"/>
                <w:szCs w:val="18"/>
              </w:rPr>
              <w:t>733,306</w:t>
            </w:r>
          </w:p>
        </w:tc>
      </w:tr>
    </w:tbl>
    <w:p w14:paraId="6FDD4532" w14:textId="7A20401B" w:rsidR="00A36CA3" w:rsidRPr="003516DC" w:rsidRDefault="00E87976" w:rsidP="00A36CA3">
      <w:pPr>
        <w:rPr>
          <w:rFonts w:ascii="Arial" w:hAnsi="Arial" w:cs="Arial"/>
          <w:i/>
          <w:iCs/>
          <w:sz w:val="16"/>
          <w:szCs w:val="16"/>
        </w:rPr>
      </w:pPr>
      <w:r w:rsidRPr="003516DC">
        <w:rPr>
          <w:rFonts w:ascii="Arial" w:hAnsi="Arial" w:cs="Arial"/>
          <w:i/>
          <w:iCs/>
          <w:sz w:val="16"/>
          <w:szCs w:val="16"/>
        </w:rPr>
        <w:t>Source: Agency of environmental protection report</w:t>
      </w:r>
    </w:p>
    <w:p w14:paraId="42483DED" w14:textId="77777777" w:rsidR="00E87976" w:rsidRPr="003516DC" w:rsidRDefault="00E87976" w:rsidP="00A36CA3">
      <w:pPr>
        <w:rPr>
          <w:rFonts w:ascii="Arial" w:hAnsi="Arial" w:cs="Arial"/>
          <w:i/>
          <w:iCs/>
          <w:sz w:val="16"/>
          <w:szCs w:val="16"/>
          <w:lang w:val="en-US"/>
        </w:rPr>
      </w:pPr>
    </w:p>
    <w:p w14:paraId="72516580" w14:textId="2E8B3D14" w:rsidR="00A36CA3" w:rsidRPr="009F2C15" w:rsidRDefault="00A36CA3" w:rsidP="00E42342">
      <w:pPr>
        <w:pStyle w:val="ListParagraph"/>
        <w:numPr>
          <w:ilvl w:val="0"/>
          <w:numId w:val="114"/>
        </w:numPr>
        <w:spacing w:after="120" w:line="240" w:lineRule="auto"/>
        <w:ind w:left="360"/>
        <w:contextualSpacing w:val="0"/>
        <w:jc w:val="both"/>
        <w:rPr>
          <w:sz w:val="20"/>
          <w:szCs w:val="20"/>
        </w:rPr>
      </w:pPr>
      <w:r w:rsidRPr="003516DC">
        <w:rPr>
          <w:sz w:val="20"/>
          <w:szCs w:val="20"/>
        </w:rPr>
        <w:t xml:space="preserve">According to the Hunedoara County plan </w:t>
      </w:r>
      <w:r w:rsidR="00E10284" w:rsidRPr="003516DC">
        <w:rPr>
          <w:sz w:val="20"/>
          <w:szCs w:val="20"/>
        </w:rPr>
        <w:t xml:space="preserve">to </w:t>
      </w:r>
      <w:r w:rsidRPr="003516DC">
        <w:rPr>
          <w:sz w:val="20"/>
          <w:szCs w:val="20"/>
        </w:rPr>
        <w:t>maintain air quality (2016-2021)</w:t>
      </w:r>
      <w:r w:rsidRPr="003516DC">
        <w:rPr>
          <w:rStyle w:val="FootnoteReference"/>
          <w:sz w:val="20"/>
          <w:szCs w:val="20"/>
        </w:rPr>
        <w:footnoteReference w:id="55"/>
      </w:r>
      <w:r w:rsidRPr="003516DC">
        <w:rPr>
          <w:sz w:val="20"/>
          <w:szCs w:val="20"/>
        </w:rPr>
        <w:t xml:space="preserve">, coal burning is the main source of emissions </w:t>
      </w:r>
      <w:r w:rsidR="00AE044D" w:rsidRPr="003516DC">
        <w:rPr>
          <w:sz w:val="20"/>
          <w:szCs w:val="20"/>
        </w:rPr>
        <w:t xml:space="preserve">(over 90%) </w:t>
      </w:r>
      <w:r w:rsidRPr="003516DC">
        <w:rPr>
          <w:sz w:val="20"/>
          <w:szCs w:val="20"/>
        </w:rPr>
        <w:t xml:space="preserve">with SOx and NOx. </w:t>
      </w:r>
      <w:r w:rsidR="006237F5" w:rsidRPr="003516DC">
        <w:rPr>
          <w:sz w:val="20"/>
          <w:szCs w:val="20"/>
        </w:rPr>
        <w:t>The 108 sites of waste dumps, ash and slag are a</w:t>
      </w:r>
      <w:r w:rsidRPr="003516DC">
        <w:rPr>
          <w:sz w:val="20"/>
          <w:szCs w:val="20"/>
        </w:rPr>
        <w:t>nother important source of pollution with powders, dust and volatile organic compounds</w:t>
      </w:r>
      <w:r w:rsidR="006237F5" w:rsidRPr="003516DC">
        <w:rPr>
          <w:sz w:val="20"/>
          <w:szCs w:val="20"/>
        </w:rPr>
        <w:t>.</w:t>
      </w:r>
      <w:r w:rsidRPr="003516DC">
        <w:rPr>
          <w:sz w:val="20"/>
          <w:szCs w:val="20"/>
        </w:rPr>
        <w:t xml:space="preserve"> </w:t>
      </w:r>
      <w:r w:rsidR="006237F5" w:rsidRPr="003516DC">
        <w:rPr>
          <w:sz w:val="20"/>
          <w:szCs w:val="20"/>
        </w:rPr>
        <w:t xml:space="preserve">Of the 108 sites, </w:t>
      </w:r>
      <w:r w:rsidRPr="003516DC">
        <w:rPr>
          <w:sz w:val="20"/>
          <w:szCs w:val="20"/>
        </w:rPr>
        <w:t xml:space="preserve">only 10 </w:t>
      </w:r>
      <w:r w:rsidR="002E526F" w:rsidRPr="003516DC">
        <w:rPr>
          <w:sz w:val="20"/>
          <w:szCs w:val="20"/>
        </w:rPr>
        <w:t>have been decontaminated</w:t>
      </w:r>
      <w:r w:rsidRPr="003516DC">
        <w:rPr>
          <w:sz w:val="20"/>
          <w:szCs w:val="20"/>
        </w:rPr>
        <w:t>.</w:t>
      </w:r>
    </w:p>
    <w:p w14:paraId="58F7A3B7" w14:textId="77777777" w:rsidR="009F2C15" w:rsidRDefault="00A36CA3" w:rsidP="00E42342">
      <w:pPr>
        <w:pStyle w:val="ListParagraph"/>
        <w:numPr>
          <w:ilvl w:val="0"/>
          <w:numId w:val="114"/>
        </w:numPr>
        <w:spacing w:after="120" w:line="240" w:lineRule="auto"/>
        <w:ind w:left="360"/>
        <w:contextualSpacing w:val="0"/>
        <w:jc w:val="both"/>
        <w:rPr>
          <w:sz w:val="20"/>
          <w:szCs w:val="20"/>
        </w:rPr>
      </w:pPr>
      <w:r w:rsidRPr="003516DC">
        <w:rPr>
          <w:sz w:val="20"/>
          <w:szCs w:val="20"/>
        </w:rPr>
        <w:t xml:space="preserve">The Mintia thermal power plant in Deva currently operates without an integrated environmental permit and without pollution reduction (desulphurisation) facilities, </w:t>
      </w:r>
      <w:r w:rsidR="006725F4" w:rsidRPr="003516DC">
        <w:rPr>
          <w:sz w:val="20"/>
          <w:szCs w:val="20"/>
        </w:rPr>
        <w:t>and</w:t>
      </w:r>
      <w:r w:rsidR="001A5C61" w:rsidRPr="003516DC">
        <w:rPr>
          <w:sz w:val="20"/>
          <w:szCs w:val="20"/>
        </w:rPr>
        <w:t xml:space="preserve"> it</w:t>
      </w:r>
      <w:r w:rsidR="006725F4" w:rsidRPr="003516DC">
        <w:rPr>
          <w:sz w:val="20"/>
          <w:szCs w:val="20"/>
        </w:rPr>
        <w:t xml:space="preserve"> is </w:t>
      </w:r>
      <w:r w:rsidR="002D4B7B" w:rsidRPr="003516DC">
        <w:rPr>
          <w:sz w:val="20"/>
          <w:szCs w:val="20"/>
        </w:rPr>
        <w:t>a</w:t>
      </w:r>
      <w:r w:rsidRPr="003516DC">
        <w:rPr>
          <w:sz w:val="20"/>
          <w:szCs w:val="20"/>
        </w:rPr>
        <w:t xml:space="preserve"> </w:t>
      </w:r>
      <w:r w:rsidR="00614CD0" w:rsidRPr="003516DC">
        <w:rPr>
          <w:sz w:val="20"/>
          <w:szCs w:val="20"/>
        </w:rPr>
        <w:t xml:space="preserve">large </w:t>
      </w:r>
      <w:r w:rsidRPr="003516DC">
        <w:rPr>
          <w:sz w:val="20"/>
          <w:szCs w:val="20"/>
        </w:rPr>
        <w:t>source of air pollution.</w:t>
      </w:r>
    </w:p>
    <w:p w14:paraId="7F94C3AC" w14:textId="32329129" w:rsidR="00FE3BCD" w:rsidRPr="009F2C15" w:rsidRDefault="00A36CA3" w:rsidP="00E42342">
      <w:pPr>
        <w:pStyle w:val="ListParagraph"/>
        <w:numPr>
          <w:ilvl w:val="0"/>
          <w:numId w:val="114"/>
        </w:numPr>
        <w:spacing w:after="120" w:line="240" w:lineRule="auto"/>
        <w:ind w:left="360"/>
        <w:contextualSpacing w:val="0"/>
        <w:jc w:val="both"/>
        <w:rPr>
          <w:sz w:val="20"/>
          <w:szCs w:val="20"/>
        </w:rPr>
      </w:pPr>
      <w:r w:rsidRPr="009F2C15">
        <w:rPr>
          <w:sz w:val="20"/>
          <w:szCs w:val="20"/>
        </w:rPr>
        <w:t>At the county level</w:t>
      </w:r>
      <w:r w:rsidR="00CD7527" w:rsidRPr="009F2C15">
        <w:rPr>
          <w:sz w:val="20"/>
          <w:szCs w:val="20"/>
        </w:rPr>
        <w:t>,</w:t>
      </w:r>
      <w:r w:rsidRPr="009F2C15">
        <w:rPr>
          <w:sz w:val="20"/>
          <w:szCs w:val="20"/>
        </w:rPr>
        <w:t xml:space="preserve"> water pollution is also an issue, due to current negative effects of mining activities on underground water, but also due to a historical legacy: during the 1960-1980</w:t>
      </w:r>
      <w:r w:rsidR="00996B05" w:rsidRPr="009F2C15">
        <w:rPr>
          <w:sz w:val="20"/>
          <w:szCs w:val="20"/>
        </w:rPr>
        <w:t>s,</w:t>
      </w:r>
      <w:r w:rsidR="0092423C" w:rsidRPr="009F2C15">
        <w:rPr>
          <w:sz w:val="20"/>
          <w:szCs w:val="20"/>
        </w:rPr>
        <w:t xml:space="preserve"> the</w:t>
      </w:r>
      <w:r w:rsidRPr="009F2C15">
        <w:rPr>
          <w:sz w:val="20"/>
          <w:szCs w:val="20"/>
        </w:rPr>
        <w:t xml:space="preserve"> construction of the six energy groups of the thermal power plant Mintia and Paroseni</w:t>
      </w:r>
      <w:r w:rsidR="0092423C" w:rsidRPr="009F2C15">
        <w:rPr>
          <w:sz w:val="20"/>
          <w:szCs w:val="20"/>
        </w:rPr>
        <w:t xml:space="preserve"> caused great environmental problems, from soil and vegetation destruction to actual water pollution in</w:t>
      </w:r>
      <w:r w:rsidRPr="009F2C15">
        <w:rPr>
          <w:sz w:val="20"/>
          <w:szCs w:val="20"/>
        </w:rPr>
        <w:t xml:space="preserve"> the Jiu and Mureș rivers.</w:t>
      </w:r>
    </w:p>
    <w:p w14:paraId="75234C3C" w14:textId="24B1E843" w:rsidR="00BE77A4" w:rsidRPr="003516DC" w:rsidRDefault="00A36CA3" w:rsidP="00E42342">
      <w:pPr>
        <w:pStyle w:val="ListParagraph"/>
        <w:numPr>
          <w:ilvl w:val="0"/>
          <w:numId w:val="114"/>
        </w:numPr>
        <w:spacing w:after="120" w:line="240" w:lineRule="auto"/>
        <w:ind w:left="360"/>
        <w:contextualSpacing w:val="0"/>
        <w:jc w:val="both"/>
        <w:rPr>
          <w:sz w:val="20"/>
          <w:szCs w:val="20"/>
        </w:rPr>
      </w:pPr>
      <w:r w:rsidRPr="003516DC">
        <w:rPr>
          <w:sz w:val="20"/>
          <w:szCs w:val="20"/>
        </w:rPr>
        <w:t xml:space="preserve">Another major negative environmental consequence of the mining activity is </w:t>
      </w:r>
      <w:r w:rsidRPr="003516DC">
        <w:rPr>
          <w:b/>
          <w:bCs/>
          <w:sz w:val="20"/>
          <w:szCs w:val="20"/>
        </w:rPr>
        <w:t>land degradation</w:t>
      </w:r>
      <w:r w:rsidRPr="003516DC">
        <w:rPr>
          <w:sz w:val="20"/>
          <w:szCs w:val="20"/>
        </w:rPr>
        <w:t xml:space="preserve"> and </w:t>
      </w:r>
      <w:r w:rsidRPr="003516DC">
        <w:rPr>
          <w:b/>
          <w:bCs/>
          <w:sz w:val="20"/>
          <w:szCs w:val="20"/>
        </w:rPr>
        <w:t>soil pollution/contamination</w:t>
      </w:r>
      <w:r w:rsidRPr="003516DC">
        <w:rPr>
          <w:sz w:val="20"/>
          <w:szCs w:val="20"/>
        </w:rPr>
        <w:t xml:space="preserve">, resulting from </w:t>
      </w:r>
      <w:r w:rsidR="00405C56">
        <w:rPr>
          <w:sz w:val="20"/>
          <w:szCs w:val="20"/>
        </w:rPr>
        <w:t xml:space="preserve">coal mines, </w:t>
      </w:r>
      <w:r w:rsidRPr="003516DC">
        <w:rPr>
          <w:sz w:val="20"/>
          <w:szCs w:val="20"/>
        </w:rPr>
        <w:t xml:space="preserve">waste dumps, settling ponds and processing plants. </w:t>
      </w:r>
      <w:r w:rsidR="00292DB9" w:rsidRPr="003516DC">
        <w:rPr>
          <w:sz w:val="20"/>
          <w:szCs w:val="20"/>
        </w:rPr>
        <w:t xml:space="preserve">Nearly </w:t>
      </w:r>
      <w:r w:rsidRPr="003516DC">
        <w:rPr>
          <w:sz w:val="20"/>
          <w:szCs w:val="20"/>
        </w:rPr>
        <w:t xml:space="preserve">20% of the contaminated sites registered at </w:t>
      </w:r>
      <w:r w:rsidR="003807E9" w:rsidRPr="003516DC">
        <w:rPr>
          <w:sz w:val="20"/>
          <w:szCs w:val="20"/>
        </w:rPr>
        <w:t xml:space="preserve">the </w:t>
      </w:r>
      <w:r w:rsidRPr="003516DC">
        <w:rPr>
          <w:sz w:val="20"/>
          <w:szCs w:val="20"/>
        </w:rPr>
        <w:t xml:space="preserve">national level are located </w:t>
      </w:r>
      <w:r w:rsidR="003807E9" w:rsidRPr="003516DC">
        <w:rPr>
          <w:sz w:val="20"/>
          <w:szCs w:val="20"/>
        </w:rPr>
        <w:t>i</w:t>
      </w:r>
      <w:r w:rsidR="008B6C24">
        <w:rPr>
          <w:sz w:val="20"/>
          <w:szCs w:val="20"/>
        </w:rPr>
        <w:t xml:space="preserve">n </w:t>
      </w:r>
      <w:r w:rsidRPr="003516DC">
        <w:rPr>
          <w:sz w:val="20"/>
          <w:szCs w:val="20"/>
        </w:rPr>
        <w:t xml:space="preserve">Hunedoara </w:t>
      </w:r>
      <w:r w:rsidR="003807E9" w:rsidRPr="003516DC">
        <w:rPr>
          <w:sz w:val="20"/>
          <w:szCs w:val="20"/>
        </w:rPr>
        <w:t>C</w:t>
      </w:r>
      <w:r w:rsidRPr="003516DC">
        <w:rPr>
          <w:sz w:val="20"/>
          <w:szCs w:val="20"/>
        </w:rPr>
        <w:t>ounty. These 210 contaminated sites</w:t>
      </w:r>
      <w:r w:rsidR="005B6C21" w:rsidRPr="003516DC">
        <w:rPr>
          <w:rStyle w:val="FootnoteReference"/>
          <w:sz w:val="20"/>
          <w:szCs w:val="20"/>
        </w:rPr>
        <w:footnoteReference w:id="56"/>
      </w:r>
      <w:r w:rsidRPr="003516DC">
        <w:rPr>
          <w:sz w:val="20"/>
          <w:szCs w:val="20"/>
        </w:rPr>
        <w:t>, which are accompanied by well-documented risk assessment reports, occupy a total area of 702 ha. According to the type, nature and extent of contamination, most sites are assessed with a low (61%) or medium (32%) level of risk. However, three sites, with an area of 220 ha (31%</w:t>
      </w:r>
      <w:r w:rsidR="00572C17" w:rsidRPr="003516DC">
        <w:rPr>
          <w:sz w:val="20"/>
          <w:szCs w:val="20"/>
        </w:rPr>
        <w:t xml:space="preserve"> of the total area</w:t>
      </w:r>
      <w:r w:rsidRPr="003516DC">
        <w:rPr>
          <w:sz w:val="20"/>
          <w:szCs w:val="20"/>
        </w:rPr>
        <w:t xml:space="preserve">) have a high level of risk, and one site, with an area of 138 ha is assessed with very high risk. </w:t>
      </w:r>
      <w:r w:rsidR="00765583" w:rsidRPr="003516DC">
        <w:rPr>
          <w:sz w:val="20"/>
          <w:szCs w:val="20"/>
        </w:rPr>
        <w:t>Most</w:t>
      </w:r>
      <w:r w:rsidRPr="003516DC">
        <w:rPr>
          <w:sz w:val="20"/>
          <w:szCs w:val="20"/>
        </w:rPr>
        <w:t xml:space="preserve"> sites (88%) are publicly owned</w:t>
      </w:r>
      <w:r w:rsidR="00FF013C" w:rsidRPr="003516DC">
        <w:rPr>
          <w:sz w:val="20"/>
          <w:szCs w:val="20"/>
        </w:rPr>
        <w:t>;</w:t>
      </w:r>
      <w:r w:rsidRPr="003516DC">
        <w:rPr>
          <w:sz w:val="20"/>
          <w:szCs w:val="20"/>
        </w:rPr>
        <w:t xml:space="preserve"> only five </w:t>
      </w:r>
      <w:r w:rsidR="00F37B51" w:rsidRPr="003516DC">
        <w:rPr>
          <w:sz w:val="20"/>
          <w:szCs w:val="20"/>
        </w:rPr>
        <w:t>sites</w:t>
      </w:r>
      <w:r w:rsidRPr="003516DC">
        <w:rPr>
          <w:sz w:val="20"/>
          <w:szCs w:val="20"/>
        </w:rPr>
        <w:t xml:space="preserve"> are privately owned.  </w:t>
      </w:r>
    </w:p>
    <w:p w14:paraId="38D60F8A" w14:textId="0F9D1778" w:rsidR="00E17087" w:rsidRPr="009F2C15" w:rsidRDefault="00CD68FD" w:rsidP="00E42342">
      <w:pPr>
        <w:pStyle w:val="ListParagraph"/>
        <w:numPr>
          <w:ilvl w:val="0"/>
          <w:numId w:val="114"/>
        </w:numPr>
        <w:spacing w:after="120" w:line="240" w:lineRule="auto"/>
        <w:ind w:left="360"/>
        <w:contextualSpacing w:val="0"/>
        <w:jc w:val="both"/>
        <w:rPr>
          <w:sz w:val="20"/>
          <w:szCs w:val="20"/>
        </w:rPr>
      </w:pPr>
      <w:r w:rsidRPr="00BE77A4">
        <w:rPr>
          <w:sz w:val="20"/>
          <w:szCs w:val="20"/>
        </w:rPr>
        <w:t xml:space="preserve">The </w:t>
      </w:r>
      <w:r w:rsidR="00BE77A4" w:rsidRPr="00BE77A4">
        <w:rPr>
          <w:sz w:val="20"/>
          <w:szCs w:val="20"/>
        </w:rPr>
        <w:t>recently published</w:t>
      </w:r>
      <w:r w:rsidR="00BE77A4">
        <w:rPr>
          <w:sz w:val="20"/>
          <w:szCs w:val="20"/>
        </w:rPr>
        <w:t xml:space="preserve"> </w:t>
      </w:r>
      <w:r w:rsidRPr="00BE77A4">
        <w:rPr>
          <w:sz w:val="20"/>
          <w:szCs w:val="20"/>
        </w:rPr>
        <w:t xml:space="preserve">Jiu Valley Strategy foresees hydrotechnic works </w:t>
      </w:r>
      <w:r w:rsidR="00BE77A4">
        <w:rPr>
          <w:sz w:val="20"/>
          <w:szCs w:val="20"/>
        </w:rPr>
        <w:t>i</w:t>
      </w:r>
      <w:r w:rsidRPr="00BE77A4">
        <w:rPr>
          <w:sz w:val="20"/>
          <w:szCs w:val="20"/>
        </w:rPr>
        <w:t>n the Jiu Valley Basin, which are firmly opposed by environmental groups as they would breach several EU regulations and policies.</w:t>
      </w:r>
    </w:p>
    <w:p w14:paraId="6DC0C130" w14:textId="54B70797" w:rsidR="00A36CA3" w:rsidRDefault="009E20EC" w:rsidP="00E42342">
      <w:pPr>
        <w:pStyle w:val="ListParagraph"/>
        <w:numPr>
          <w:ilvl w:val="0"/>
          <w:numId w:val="114"/>
        </w:numPr>
        <w:spacing w:after="120" w:line="240" w:lineRule="auto"/>
        <w:ind w:left="360"/>
        <w:jc w:val="both"/>
        <w:rPr>
          <w:sz w:val="20"/>
          <w:szCs w:val="20"/>
        </w:rPr>
      </w:pPr>
      <w:r>
        <w:rPr>
          <w:sz w:val="20"/>
          <w:szCs w:val="20"/>
        </w:rPr>
        <w:t>The e</w:t>
      </w:r>
      <w:r w:rsidR="00E17087" w:rsidRPr="003516DC">
        <w:rPr>
          <w:sz w:val="20"/>
          <w:szCs w:val="20"/>
        </w:rPr>
        <w:t xml:space="preserve">nvironmental data described above shows that early coal phase-out would provide additional benefits in Hunedoara, </w:t>
      </w:r>
      <w:r>
        <w:rPr>
          <w:sz w:val="20"/>
          <w:szCs w:val="20"/>
        </w:rPr>
        <w:t>while</w:t>
      </w:r>
      <w:r w:rsidR="00E17087" w:rsidRPr="003516DC">
        <w:rPr>
          <w:sz w:val="20"/>
          <w:szCs w:val="20"/>
        </w:rPr>
        <w:t xml:space="preserve"> much needed environmental technology transfer and remediation services at county services a</w:t>
      </w:r>
      <w:r w:rsidR="00E17087" w:rsidRPr="00A03682">
        <w:rPr>
          <w:sz w:val="20"/>
          <w:szCs w:val="20"/>
        </w:rPr>
        <w:t xml:space="preserve">longside the </w:t>
      </w:r>
      <w:r w:rsidR="005022D8" w:rsidRPr="00A03682">
        <w:rPr>
          <w:sz w:val="20"/>
          <w:szCs w:val="20"/>
        </w:rPr>
        <w:t xml:space="preserve">repurposing of the former industrial sites </w:t>
      </w:r>
      <w:r w:rsidR="00E17087" w:rsidRPr="00A03682">
        <w:rPr>
          <w:sz w:val="20"/>
          <w:szCs w:val="20"/>
        </w:rPr>
        <w:t xml:space="preserve">and reintegration </w:t>
      </w:r>
      <w:r w:rsidR="005022D8" w:rsidRPr="00A03682">
        <w:rPr>
          <w:sz w:val="20"/>
          <w:szCs w:val="20"/>
        </w:rPr>
        <w:t>into</w:t>
      </w:r>
      <w:r w:rsidR="00E17087" w:rsidRPr="00A03682">
        <w:rPr>
          <w:sz w:val="20"/>
          <w:szCs w:val="20"/>
        </w:rPr>
        <w:t xml:space="preserve"> the economic circuit as location for the solar energy production plants, industrial parks, urban forests, etc. could trigger additional growth </w:t>
      </w:r>
      <w:r>
        <w:rPr>
          <w:sz w:val="20"/>
          <w:szCs w:val="20"/>
        </w:rPr>
        <w:t>and the</w:t>
      </w:r>
      <w:r w:rsidR="00E17087" w:rsidRPr="00A03682">
        <w:rPr>
          <w:sz w:val="20"/>
          <w:szCs w:val="20"/>
        </w:rPr>
        <w:t xml:space="preserve"> creation of new jobs and businesses</w:t>
      </w:r>
      <w:r>
        <w:rPr>
          <w:sz w:val="20"/>
          <w:szCs w:val="20"/>
        </w:rPr>
        <w:t>.</w:t>
      </w:r>
      <w:r w:rsidR="00E17087" w:rsidRPr="00A03682">
        <w:rPr>
          <w:sz w:val="20"/>
          <w:szCs w:val="20"/>
        </w:rPr>
        <w:t xml:space="preserve"> </w:t>
      </w:r>
      <w:r>
        <w:rPr>
          <w:sz w:val="20"/>
          <w:szCs w:val="20"/>
        </w:rPr>
        <w:t>U</w:t>
      </w:r>
      <w:r w:rsidR="00E17087" w:rsidRPr="00A03682">
        <w:rPr>
          <w:sz w:val="20"/>
          <w:szCs w:val="20"/>
        </w:rPr>
        <w:t xml:space="preserve">pgrading the county’s natural resources would lead to </w:t>
      </w:r>
      <w:r w:rsidR="00E17087" w:rsidRPr="003516DC">
        <w:rPr>
          <w:sz w:val="20"/>
          <w:szCs w:val="20"/>
        </w:rPr>
        <w:t xml:space="preserve">the improvement of the inhabitants’ living conditions and </w:t>
      </w:r>
      <w:r w:rsidR="00E17087" w:rsidRPr="00A03682">
        <w:rPr>
          <w:sz w:val="20"/>
          <w:szCs w:val="20"/>
        </w:rPr>
        <w:t>benefits for the tourism sector, etc.</w:t>
      </w:r>
    </w:p>
    <w:p w14:paraId="0CAB1283" w14:textId="378B2627" w:rsidR="00B83D86" w:rsidRPr="00B83D86" w:rsidRDefault="00B83D86" w:rsidP="00B83D86">
      <w:pPr>
        <w:pStyle w:val="Heading4"/>
        <w:spacing w:before="0" w:after="120"/>
        <w:rPr>
          <w:sz w:val="20"/>
          <w:szCs w:val="20"/>
        </w:rPr>
      </w:pPr>
      <w:r w:rsidRPr="00B83D86">
        <w:rPr>
          <w:sz w:val="20"/>
          <w:szCs w:val="20"/>
        </w:rPr>
        <w:lastRenderedPageBreak/>
        <w:t>Socio-cultural level</w:t>
      </w:r>
    </w:p>
    <w:p w14:paraId="12E7A496" w14:textId="7A6AB028" w:rsidR="00A36CA3" w:rsidRDefault="00A36CA3" w:rsidP="00B83D86">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socio-cultural</w:t>
      </w:r>
      <w:r w:rsidRPr="003516DC">
        <w:rPr>
          <w:rFonts w:ascii="Arial" w:hAnsi="Arial" w:cs="Arial"/>
          <w:sz w:val="20"/>
          <w:szCs w:val="20"/>
        </w:rPr>
        <w:t xml:space="preserve"> perspective, Hunedoara is the county in Romania with the highest degree of urbani</w:t>
      </w:r>
      <w:r w:rsidR="005113C2" w:rsidRPr="003516DC">
        <w:rPr>
          <w:rFonts w:ascii="Arial" w:hAnsi="Arial" w:cs="Arial"/>
          <w:sz w:val="20"/>
          <w:szCs w:val="20"/>
        </w:rPr>
        <w:t>s</w:t>
      </w:r>
      <w:r w:rsidRPr="003516DC">
        <w:rPr>
          <w:rFonts w:ascii="Arial" w:hAnsi="Arial" w:cs="Arial"/>
          <w:sz w:val="20"/>
          <w:szCs w:val="20"/>
        </w:rPr>
        <w:t>ation, but this indicator is deceiving. In 201</w:t>
      </w:r>
      <w:r w:rsidR="008E70A9" w:rsidRPr="003516DC">
        <w:rPr>
          <w:rFonts w:ascii="Arial" w:hAnsi="Arial" w:cs="Arial"/>
          <w:sz w:val="20"/>
          <w:szCs w:val="20"/>
        </w:rPr>
        <w:t>9</w:t>
      </w:r>
      <w:r w:rsidR="008E70A9" w:rsidRPr="003516DC">
        <w:rPr>
          <w:rStyle w:val="FootnoteReference"/>
          <w:rFonts w:ascii="Arial" w:hAnsi="Arial" w:cs="Arial"/>
          <w:sz w:val="20"/>
          <w:szCs w:val="20"/>
        </w:rPr>
        <w:footnoteReference w:id="57"/>
      </w:r>
      <w:r w:rsidRPr="003516DC">
        <w:rPr>
          <w:rFonts w:ascii="Arial" w:hAnsi="Arial" w:cs="Arial"/>
          <w:sz w:val="20"/>
          <w:szCs w:val="20"/>
        </w:rPr>
        <w:t>, 75% of the county’s population was living in urban areas</w:t>
      </w:r>
      <w:r w:rsidR="005113C2" w:rsidRPr="003516DC">
        <w:rPr>
          <w:rFonts w:ascii="Arial" w:hAnsi="Arial" w:cs="Arial"/>
          <w:sz w:val="20"/>
          <w:szCs w:val="20"/>
        </w:rPr>
        <w:t>. However,</w:t>
      </w:r>
      <w:r w:rsidRPr="003516DC">
        <w:rPr>
          <w:rFonts w:ascii="Arial" w:hAnsi="Arial" w:cs="Arial"/>
          <w:sz w:val="20"/>
          <w:szCs w:val="20"/>
        </w:rPr>
        <w:t xml:space="preserve"> in reality,</w:t>
      </w:r>
      <w:r w:rsidR="005113C2" w:rsidRPr="003516DC">
        <w:rPr>
          <w:rFonts w:ascii="Arial" w:hAnsi="Arial" w:cs="Arial"/>
          <w:sz w:val="20"/>
          <w:szCs w:val="20"/>
        </w:rPr>
        <w:t xml:space="preserve"> these are</w:t>
      </w:r>
      <w:r w:rsidRPr="003516DC">
        <w:rPr>
          <w:rFonts w:ascii="Arial" w:hAnsi="Arial" w:cs="Arial"/>
          <w:sz w:val="20"/>
          <w:szCs w:val="20"/>
        </w:rPr>
        <w:t xml:space="preserve"> small and decaying urban mono-industrial areas based on a long tradition in the mining, steel, metallurgical, energy and heavy industries. The mono-industrial areas</w:t>
      </w:r>
      <w:r w:rsidR="005113C2" w:rsidRPr="003516DC">
        <w:rPr>
          <w:rFonts w:ascii="Arial" w:hAnsi="Arial" w:cs="Arial"/>
          <w:sz w:val="20"/>
          <w:szCs w:val="20"/>
        </w:rPr>
        <w:t xml:space="preserve"> of</w:t>
      </w:r>
      <w:r w:rsidRPr="003516DC">
        <w:rPr>
          <w:rFonts w:ascii="Arial" w:hAnsi="Arial" w:cs="Arial"/>
          <w:sz w:val="20"/>
          <w:szCs w:val="20"/>
        </w:rPr>
        <w:t xml:space="preserve"> Hunedoara-Calan (steel and metal)</w:t>
      </w:r>
      <w:r w:rsidR="005113C2" w:rsidRPr="003516DC">
        <w:rPr>
          <w:rFonts w:ascii="Arial" w:hAnsi="Arial" w:cs="Arial"/>
          <w:sz w:val="20"/>
          <w:szCs w:val="20"/>
        </w:rPr>
        <w:t xml:space="preserve"> and </w:t>
      </w:r>
      <w:r w:rsidRPr="003516DC">
        <w:rPr>
          <w:rFonts w:ascii="Arial" w:hAnsi="Arial" w:cs="Arial"/>
          <w:sz w:val="20"/>
          <w:szCs w:val="20"/>
        </w:rPr>
        <w:t>Jiu Valley-Brad (mining and energy) have been heavily affected by the energy industry restructuring and closure process and are at risk of poverty. The local culture of public participation is nonetheless improving, with the Valea Jiului Implicată Coalition (a coalition of local NGOs and individuals) very involved in the just transition agenda and in all other local development consultation processes.</w:t>
      </w:r>
    </w:p>
    <w:p w14:paraId="69F4FB3F" w14:textId="1866C75E" w:rsidR="00B83D86" w:rsidRPr="00B83D86" w:rsidRDefault="00B83D86" w:rsidP="00B83D86">
      <w:pPr>
        <w:pStyle w:val="Heading4"/>
        <w:spacing w:before="0" w:after="120"/>
        <w:rPr>
          <w:sz w:val="20"/>
          <w:szCs w:val="20"/>
        </w:rPr>
      </w:pPr>
      <w:r w:rsidRPr="00B83D86">
        <w:rPr>
          <w:sz w:val="20"/>
          <w:szCs w:val="20"/>
        </w:rPr>
        <w:t>Digitalisation and technology transfer</w:t>
      </w:r>
    </w:p>
    <w:p w14:paraId="0225578C" w14:textId="16B90402" w:rsidR="009A0053" w:rsidRPr="003516DC" w:rsidRDefault="002E526F" w:rsidP="00B83D86">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digitalisation/technology transfer</w:t>
      </w:r>
      <w:r w:rsidRPr="003516DC">
        <w:rPr>
          <w:rFonts w:ascii="Arial" w:hAnsi="Arial" w:cs="Arial"/>
          <w:sz w:val="20"/>
          <w:szCs w:val="20"/>
        </w:rPr>
        <w:t xml:space="preserve"> perspective, the situation is gradually improving in </w:t>
      </w:r>
      <w:r w:rsidR="00A36CA3" w:rsidRPr="003516DC">
        <w:rPr>
          <w:rFonts w:ascii="Arial" w:hAnsi="Arial" w:cs="Arial"/>
          <w:sz w:val="20"/>
          <w:szCs w:val="20"/>
        </w:rPr>
        <w:t xml:space="preserve">Hunedoara. Expenditure in </w:t>
      </w:r>
      <w:r w:rsidR="005113C2" w:rsidRPr="003516DC">
        <w:rPr>
          <w:rFonts w:ascii="Arial" w:hAnsi="Arial" w:cs="Arial"/>
          <w:sz w:val="20"/>
          <w:szCs w:val="20"/>
        </w:rPr>
        <w:t>r</w:t>
      </w:r>
      <w:r w:rsidR="00A36CA3" w:rsidRPr="003516DC">
        <w:rPr>
          <w:rFonts w:ascii="Arial" w:hAnsi="Arial" w:cs="Arial"/>
          <w:sz w:val="20"/>
          <w:szCs w:val="20"/>
        </w:rPr>
        <w:t xml:space="preserve">esearch, </w:t>
      </w:r>
      <w:r w:rsidR="005113C2" w:rsidRPr="003516DC">
        <w:rPr>
          <w:rFonts w:ascii="Arial" w:hAnsi="Arial" w:cs="Arial"/>
          <w:sz w:val="20"/>
          <w:szCs w:val="20"/>
        </w:rPr>
        <w:t>d</w:t>
      </w:r>
      <w:r w:rsidR="00A36CA3" w:rsidRPr="003516DC">
        <w:rPr>
          <w:rFonts w:ascii="Arial" w:hAnsi="Arial" w:cs="Arial"/>
          <w:sz w:val="20"/>
          <w:szCs w:val="20"/>
        </w:rPr>
        <w:t xml:space="preserve">evelopment and </w:t>
      </w:r>
      <w:r w:rsidR="005113C2" w:rsidRPr="003516DC">
        <w:rPr>
          <w:rFonts w:ascii="Arial" w:hAnsi="Arial" w:cs="Arial"/>
          <w:sz w:val="20"/>
          <w:szCs w:val="20"/>
        </w:rPr>
        <w:t>i</w:t>
      </w:r>
      <w:r w:rsidR="00A36CA3" w:rsidRPr="003516DC">
        <w:rPr>
          <w:rFonts w:ascii="Arial" w:hAnsi="Arial" w:cs="Arial"/>
          <w:sz w:val="20"/>
          <w:szCs w:val="20"/>
        </w:rPr>
        <w:t>nnovation (R&amp;DI) in West Region increased</w:t>
      </w:r>
      <w:r w:rsidR="00D67034" w:rsidRPr="003516DC">
        <w:rPr>
          <w:rFonts w:ascii="Arial" w:hAnsi="Arial" w:cs="Arial"/>
          <w:sz w:val="20"/>
          <w:szCs w:val="20"/>
        </w:rPr>
        <w:t xml:space="preserve"> </w:t>
      </w:r>
      <w:r w:rsidR="00A36CA3" w:rsidRPr="003516DC">
        <w:rPr>
          <w:rFonts w:ascii="Arial" w:hAnsi="Arial" w:cs="Arial"/>
          <w:sz w:val="20"/>
          <w:szCs w:val="20"/>
        </w:rPr>
        <w:t xml:space="preserve">from 13.9 to 45.1 </w:t>
      </w:r>
      <w:r w:rsidR="00D67034" w:rsidRPr="003516DC">
        <w:rPr>
          <w:rFonts w:ascii="Arial" w:hAnsi="Arial" w:cs="Arial"/>
          <w:sz w:val="20"/>
          <w:szCs w:val="20"/>
        </w:rPr>
        <w:t>EUR</w:t>
      </w:r>
      <w:r w:rsidR="00A36CA3" w:rsidRPr="003516DC">
        <w:rPr>
          <w:rFonts w:ascii="Arial" w:hAnsi="Arial" w:cs="Arial"/>
          <w:sz w:val="20"/>
          <w:szCs w:val="20"/>
        </w:rPr>
        <w:t>/inhabitant</w:t>
      </w:r>
      <w:r w:rsidR="008E70A9" w:rsidRPr="003516DC">
        <w:rPr>
          <w:rStyle w:val="FootnoteReference"/>
          <w:rFonts w:ascii="Arial" w:hAnsi="Arial" w:cs="Arial"/>
          <w:sz w:val="20"/>
          <w:szCs w:val="20"/>
        </w:rPr>
        <w:footnoteReference w:id="58"/>
      </w:r>
      <w:r w:rsidR="00D67034" w:rsidRPr="003516DC">
        <w:rPr>
          <w:rFonts w:ascii="Arial" w:hAnsi="Arial" w:cs="Arial"/>
          <w:sz w:val="20"/>
          <w:szCs w:val="20"/>
        </w:rPr>
        <w:t xml:space="preserve"> from 2014 and 2018</w:t>
      </w:r>
      <w:r w:rsidR="00A36CA3" w:rsidRPr="003516DC">
        <w:rPr>
          <w:rFonts w:ascii="Arial" w:hAnsi="Arial" w:cs="Arial"/>
          <w:sz w:val="20"/>
          <w:szCs w:val="20"/>
        </w:rPr>
        <w:t xml:space="preserve">. </w:t>
      </w:r>
    </w:p>
    <w:p w14:paraId="72046A64" w14:textId="413F5D68" w:rsidR="005B6C21" w:rsidRPr="003516DC" w:rsidRDefault="00A36CA3" w:rsidP="00A36CA3">
      <w:pPr>
        <w:jc w:val="both"/>
        <w:rPr>
          <w:rFonts w:ascii="Arial" w:hAnsi="Arial" w:cs="Arial"/>
          <w:sz w:val="20"/>
          <w:szCs w:val="20"/>
        </w:rPr>
      </w:pPr>
      <w:r w:rsidRPr="003516DC">
        <w:rPr>
          <w:rFonts w:ascii="Arial" w:hAnsi="Arial" w:cs="Arial"/>
          <w:sz w:val="20"/>
          <w:szCs w:val="20"/>
        </w:rPr>
        <w:t xml:space="preserve">Regarding the </w:t>
      </w:r>
      <w:r w:rsidR="00316E2E" w:rsidRPr="003516DC">
        <w:rPr>
          <w:rFonts w:ascii="Arial" w:hAnsi="Arial" w:cs="Arial"/>
          <w:sz w:val="20"/>
          <w:szCs w:val="20"/>
        </w:rPr>
        <w:t>s</w:t>
      </w:r>
      <w:r w:rsidRPr="003516DC">
        <w:rPr>
          <w:rFonts w:ascii="Arial" w:hAnsi="Arial" w:cs="Arial"/>
          <w:sz w:val="20"/>
          <w:szCs w:val="20"/>
        </w:rPr>
        <w:t xml:space="preserve">hare of R&amp;D expenditures in GDP during 2014 - 2018, Hunedoara </w:t>
      </w:r>
      <w:r w:rsidR="00B83D86">
        <w:rPr>
          <w:rFonts w:ascii="Arial" w:hAnsi="Arial" w:cs="Arial"/>
          <w:sz w:val="20"/>
          <w:szCs w:val="20"/>
        </w:rPr>
        <w:t>C</w:t>
      </w:r>
      <w:r w:rsidRPr="003516DC">
        <w:rPr>
          <w:rFonts w:ascii="Arial" w:hAnsi="Arial" w:cs="Arial"/>
          <w:sz w:val="20"/>
          <w:szCs w:val="20"/>
        </w:rPr>
        <w:t xml:space="preserve">ounty recorded an increase of </w:t>
      </w:r>
      <w:r w:rsidR="009A0053" w:rsidRPr="003516DC">
        <w:rPr>
          <w:rFonts w:ascii="Arial" w:hAnsi="Arial" w:cs="Arial"/>
          <w:sz w:val="20"/>
          <w:szCs w:val="20"/>
        </w:rPr>
        <w:t>0.06</w:t>
      </w:r>
      <w:r w:rsidRPr="003516DC">
        <w:rPr>
          <w:rFonts w:ascii="Arial" w:hAnsi="Arial" w:cs="Arial"/>
          <w:sz w:val="20"/>
          <w:szCs w:val="20"/>
        </w:rPr>
        <w:t xml:space="preserve">%, </w:t>
      </w:r>
      <w:r w:rsidR="009A0053" w:rsidRPr="003516DC">
        <w:rPr>
          <w:rFonts w:ascii="Arial" w:hAnsi="Arial" w:cs="Arial"/>
          <w:sz w:val="20"/>
          <w:szCs w:val="20"/>
        </w:rPr>
        <w:t xml:space="preserve">four times lower than the West Region (0.24%) and </w:t>
      </w:r>
      <w:r w:rsidR="00316E2E" w:rsidRPr="003516DC">
        <w:rPr>
          <w:rFonts w:ascii="Arial" w:hAnsi="Arial" w:cs="Arial"/>
          <w:sz w:val="20"/>
          <w:szCs w:val="20"/>
        </w:rPr>
        <w:t>half</w:t>
      </w:r>
      <w:r w:rsidR="009A0053" w:rsidRPr="003516DC">
        <w:rPr>
          <w:rFonts w:ascii="Arial" w:hAnsi="Arial" w:cs="Arial"/>
          <w:sz w:val="20"/>
          <w:szCs w:val="20"/>
        </w:rPr>
        <w:t xml:space="preserve"> </w:t>
      </w:r>
      <w:r w:rsidR="00316E2E" w:rsidRPr="003516DC">
        <w:rPr>
          <w:rFonts w:ascii="Arial" w:hAnsi="Arial" w:cs="Arial"/>
          <w:sz w:val="20"/>
          <w:szCs w:val="20"/>
        </w:rPr>
        <w:t>of</w:t>
      </w:r>
      <w:r w:rsidR="009A0053" w:rsidRPr="003516DC">
        <w:rPr>
          <w:rFonts w:ascii="Arial" w:hAnsi="Arial" w:cs="Arial"/>
          <w:sz w:val="20"/>
          <w:szCs w:val="20"/>
        </w:rPr>
        <w:t xml:space="preserve"> the national increase (0.12%). See </w:t>
      </w:r>
      <w:r w:rsidR="000A7689" w:rsidRPr="003516DC">
        <w:rPr>
          <w:rFonts w:ascii="Arial" w:hAnsi="Arial" w:cs="Arial"/>
          <w:sz w:val="20"/>
          <w:szCs w:val="20"/>
        </w:rPr>
        <w:t xml:space="preserve">Table </w:t>
      </w:r>
      <w:r w:rsidR="004E2DCB">
        <w:rPr>
          <w:rFonts w:ascii="Arial" w:hAnsi="Arial" w:cs="Arial"/>
          <w:sz w:val="20"/>
          <w:szCs w:val="20"/>
        </w:rPr>
        <w:t>24</w:t>
      </w:r>
      <w:r w:rsidR="004E2DCB" w:rsidRPr="003516DC">
        <w:rPr>
          <w:rFonts w:ascii="Arial" w:hAnsi="Arial" w:cs="Arial"/>
          <w:sz w:val="20"/>
          <w:szCs w:val="20"/>
        </w:rPr>
        <w:t xml:space="preserve"> </w:t>
      </w:r>
      <w:r w:rsidR="009A0053" w:rsidRPr="003516DC">
        <w:rPr>
          <w:rFonts w:ascii="Arial" w:hAnsi="Arial" w:cs="Arial"/>
          <w:sz w:val="20"/>
          <w:szCs w:val="20"/>
        </w:rPr>
        <w:t>for more details.</w:t>
      </w:r>
    </w:p>
    <w:p w14:paraId="7983F81D" w14:textId="36EF3027" w:rsidR="005B6C21" w:rsidRPr="003516DC" w:rsidRDefault="005B6C21" w:rsidP="00215070">
      <w:pPr>
        <w:pStyle w:val="Caption"/>
        <w:ind w:left="0" w:firstLine="0"/>
        <w:jc w:val="both"/>
      </w:pPr>
      <w:bookmarkStart w:id="120" w:name="_Toc90725978"/>
      <w:bookmarkStart w:id="121" w:name="_Toc90727275"/>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24</w:t>
      </w:r>
      <w:r w:rsidR="0040363E" w:rsidRPr="003516DC">
        <w:rPr>
          <w:noProof/>
        </w:rPr>
        <w:fldChar w:fldCharType="end"/>
      </w:r>
      <w:r w:rsidRPr="003516DC">
        <w:t>: Share of R&amp;D</w:t>
      </w:r>
      <w:r w:rsidR="009A0053" w:rsidRPr="003516DC">
        <w:t>I</w:t>
      </w:r>
      <w:r w:rsidRPr="003516DC">
        <w:t xml:space="preserve"> in GDP during 2014-2018 for Hunedoara </w:t>
      </w:r>
      <w:r w:rsidR="00B83D86">
        <w:t>C</w:t>
      </w:r>
      <w:r w:rsidRPr="003516DC">
        <w:t>ounty, West Region and Romania</w:t>
      </w:r>
      <w:bookmarkEnd w:id="120"/>
      <w:bookmarkEnd w:id="121"/>
    </w:p>
    <w:tbl>
      <w:tblPr>
        <w:tblW w:w="5000" w:type="pct"/>
        <w:tblLayout w:type="fixed"/>
        <w:tblLook w:val="04A0" w:firstRow="1" w:lastRow="0" w:firstColumn="1" w:lastColumn="0" w:noHBand="0" w:noVBand="1"/>
      </w:tblPr>
      <w:tblGrid>
        <w:gridCol w:w="2896"/>
        <w:gridCol w:w="963"/>
        <w:gridCol w:w="963"/>
        <w:gridCol w:w="963"/>
        <w:gridCol w:w="963"/>
        <w:gridCol w:w="986"/>
        <w:gridCol w:w="1195"/>
      </w:tblGrid>
      <w:tr w:rsidR="005B6C21" w:rsidRPr="003516DC" w14:paraId="2C32FE44" w14:textId="77777777" w:rsidTr="001E2A6E">
        <w:trPr>
          <w:trHeight w:val="300"/>
        </w:trPr>
        <w:tc>
          <w:tcPr>
            <w:tcW w:w="1622"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7EB4DA1" w14:textId="20928D54" w:rsidR="005B6C21" w:rsidRPr="003516DC" w:rsidRDefault="005B6C21" w:rsidP="005B6C2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539" w:type="pct"/>
            <w:tcBorders>
              <w:top w:val="single" w:sz="4" w:space="0" w:color="auto"/>
              <w:left w:val="nil"/>
              <w:bottom w:val="single" w:sz="4" w:space="0" w:color="auto"/>
              <w:right w:val="single" w:sz="4" w:space="0" w:color="auto"/>
            </w:tcBorders>
            <w:shd w:val="clear" w:color="auto" w:fill="002060"/>
            <w:noWrap/>
            <w:vAlign w:val="center"/>
            <w:hideMark/>
          </w:tcPr>
          <w:p w14:paraId="490E0BFA" w14:textId="77777777" w:rsidR="005B6C21" w:rsidRPr="003516DC" w:rsidRDefault="005B6C21" w:rsidP="005B6C21">
            <w:pPr>
              <w:jc w:val="right"/>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539" w:type="pct"/>
            <w:tcBorders>
              <w:top w:val="single" w:sz="4" w:space="0" w:color="auto"/>
              <w:left w:val="nil"/>
              <w:bottom w:val="single" w:sz="4" w:space="0" w:color="auto"/>
              <w:right w:val="single" w:sz="4" w:space="0" w:color="auto"/>
            </w:tcBorders>
            <w:shd w:val="clear" w:color="auto" w:fill="002060"/>
            <w:noWrap/>
            <w:vAlign w:val="center"/>
            <w:hideMark/>
          </w:tcPr>
          <w:p w14:paraId="3AEE64A4" w14:textId="77777777" w:rsidR="005B6C21" w:rsidRPr="003516DC" w:rsidRDefault="005B6C21" w:rsidP="005B6C21">
            <w:pPr>
              <w:jc w:val="right"/>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539" w:type="pct"/>
            <w:tcBorders>
              <w:top w:val="single" w:sz="4" w:space="0" w:color="auto"/>
              <w:left w:val="nil"/>
              <w:bottom w:val="single" w:sz="4" w:space="0" w:color="auto"/>
              <w:right w:val="single" w:sz="4" w:space="0" w:color="auto"/>
            </w:tcBorders>
            <w:shd w:val="clear" w:color="auto" w:fill="002060"/>
            <w:noWrap/>
            <w:vAlign w:val="center"/>
            <w:hideMark/>
          </w:tcPr>
          <w:p w14:paraId="6697B3DA" w14:textId="77777777" w:rsidR="005B6C21" w:rsidRPr="003516DC" w:rsidRDefault="005B6C21" w:rsidP="005B6C21">
            <w:pPr>
              <w:jc w:val="right"/>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539" w:type="pct"/>
            <w:tcBorders>
              <w:top w:val="single" w:sz="4" w:space="0" w:color="auto"/>
              <w:left w:val="nil"/>
              <w:bottom w:val="single" w:sz="4" w:space="0" w:color="auto"/>
              <w:right w:val="single" w:sz="4" w:space="0" w:color="auto"/>
            </w:tcBorders>
            <w:shd w:val="clear" w:color="auto" w:fill="002060"/>
            <w:noWrap/>
            <w:vAlign w:val="center"/>
            <w:hideMark/>
          </w:tcPr>
          <w:p w14:paraId="64DBAEF3" w14:textId="77777777" w:rsidR="005B6C21" w:rsidRPr="003516DC" w:rsidRDefault="005B6C21" w:rsidP="005B6C21">
            <w:pPr>
              <w:jc w:val="right"/>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552" w:type="pct"/>
            <w:tcBorders>
              <w:top w:val="single" w:sz="4" w:space="0" w:color="auto"/>
              <w:left w:val="nil"/>
              <w:bottom w:val="single" w:sz="4" w:space="0" w:color="auto"/>
              <w:right w:val="single" w:sz="4" w:space="0" w:color="auto"/>
            </w:tcBorders>
            <w:shd w:val="clear" w:color="auto" w:fill="002060"/>
            <w:noWrap/>
            <w:vAlign w:val="center"/>
            <w:hideMark/>
          </w:tcPr>
          <w:p w14:paraId="5AD38AAD" w14:textId="77777777" w:rsidR="005B6C21" w:rsidRPr="003516DC" w:rsidRDefault="005B6C21" w:rsidP="005B6C21">
            <w:pPr>
              <w:jc w:val="right"/>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69" w:type="pct"/>
            <w:tcBorders>
              <w:top w:val="single" w:sz="4" w:space="0" w:color="auto"/>
              <w:left w:val="nil"/>
              <w:bottom w:val="single" w:sz="4" w:space="0" w:color="auto"/>
              <w:right w:val="single" w:sz="4" w:space="0" w:color="auto"/>
            </w:tcBorders>
            <w:shd w:val="clear" w:color="auto" w:fill="002060"/>
            <w:noWrap/>
            <w:vAlign w:val="center"/>
            <w:hideMark/>
          </w:tcPr>
          <w:p w14:paraId="007BE5FE" w14:textId="1673982C" w:rsidR="005B6C21" w:rsidRPr="003516DC" w:rsidRDefault="005B6C21" w:rsidP="005B6C2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2014/20118</w:t>
            </w:r>
          </w:p>
        </w:tc>
      </w:tr>
      <w:tr w:rsidR="009A0053" w:rsidRPr="003516DC" w14:paraId="4E2CC7C1" w14:textId="77777777" w:rsidTr="009A005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hideMark/>
          </w:tcPr>
          <w:p w14:paraId="3B514B00" w14:textId="0D404549" w:rsidR="009A0053" w:rsidRPr="003516DC" w:rsidRDefault="009A0053" w:rsidP="009A005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HD County</w:t>
            </w:r>
          </w:p>
        </w:tc>
        <w:tc>
          <w:tcPr>
            <w:tcW w:w="539" w:type="pct"/>
            <w:tcBorders>
              <w:top w:val="nil"/>
              <w:left w:val="nil"/>
              <w:bottom w:val="single" w:sz="4" w:space="0" w:color="auto"/>
              <w:right w:val="single" w:sz="4" w:space="0" w:color="auto"/>
            </w:tcBorders>
            <w:shd w:val="clear" w:color="auto" w:fill="auto"/>
            <w:noWrap/>
            <w:vAlign w:val="center"/>
            <w:hideMark/>
          </w:tcPr>
          <w:p w14:paraId="38B70B3E" w14:textId="427C17B9"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0.13%</w:t>
            </w:r>
          </w:p>
        </w:tc>
        <w:tc>
          <w:tcPr>
            <w:tcW w:w="539" w:type="pct"/>
            <w:tcBorders>
              <w:top w:val="nil"/>
              <w:left w:val="nil"/>
              <w:bottom w:val="single" w:sz="4" w:space="0" w:color="auto"/>
              <w:right w:val="single" w:sz="4" w:space="0" w:color="auto"/>
            </w:tcBorders>
            <w:shd w:val="clear" w:color="auto" w:fill="auto"/>
            <w:noWrap/>
            <w:vAlign w:val="center"/>
            <w:hideMark/>
          </w:tcPr>
          <w:p w14:paraId="61370936" w14:textId="77775A7F"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0.18%</w:t>
            </w:r>
          </w:p>
        </w:tc>
        <w:tc>
          <w:tcPr>
            <w:tcW w:w="539" w:type="pct"/>
            <w:tcBorders>
              <w:top w:val="nil"/>
              <w:left w:val="nil"/>
              <w:bottom w:val="single" w:sz="4" w:space="0" w:color="auto"/>
              <w:right w:val="single" w:sz="4" w:space="0" w:color="auto"/>
            </w:tcBorders>
            <w:shd w:val="clear" w:color="auto" w:fill="auto"/>
            <w:noWrap/>
            <w:vAlign w:val="center"/>
            <w:hideMark/>
          </w:tcPr>
          <w:p w14:paraId="17694598" w14:textId="436597C5"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0.14%</w:t>
            </w:r>
          </w:p>
        </w:tc>
        <w:tc>
          <w:tcPr>
            <w:tcW w:w="539" w:type="pct"/>
            <w:tcBorders>
              <w:top w:val="nil"/>
              <w:left w:val="nil"/>
              <w:bottom w:val="single" w:sz="4" w:space="0" w:color="auto"/>
              <w:right w:val="single" w:sz="4" w:space="0" w:color="auto"/>
            </w:tcBorders>
            <w:shd w:val="clear" w:color="auto" w:fill="auto"/>
            <w:noWrap/>
            <w:vAlign w:val="center"/>
            <w:hideMark/>
          </w:tcPr>
          <w:p w14:paraId="3C9F9E0D" w14:textId="5A2C7EAE"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0.16%</w:t>
            </w:r>
          </w:p>
        </w:tc>
        <w:tc>
          <w:tcPr>
            <w:tcW w:w="552" w:type="pct"/>
            <w:tcBorders>
              <w:top w:val="nil"/>
              <w:left w:val="nil"/>
              <w:bottom w:val="single" w:sz="4" w:space="0" w:color="auto"/>
              <w:right w:val="single" w:sz="4" w:space="0" w:color="auto"/>
            </w:tcBorders>
            <w:shd w:val="clear" w:color="auto" w:fill="auto"/>
            <w:noWrap/>
            <w:vAlign w:val="center"/>
            <w:hideMark/>
          </w:tcPr>
          <w:p w14:paraId="527F3DA6" w14:textId="6BA8799A"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0.19%</w:t>
            </w:r>
          </w:p>
        </w:tc>
        <w:tc>
          <w:tcPr>
            <w:tcW w:w="669" w:type="pct"/>
            <w:tcBorders>
              <w:top w:val="nil"/>
              <w:left w:val="nil"/>
              <w:bottom w:val="single" w:sz="4" w:space="0" w:color="auto"/>
              <w:right w:val="single" w:sz="4" w:space="0" w:color="auto"/>
            </w:tcBorders>
            <w:shd w:val="clear" w:color="auto" w:fill="auto"/>
            <w:noWrap/>
            <w:vAlign w:val="center"/>
            <w:hideMark/>
          </w:tcPr>
          <w:p w14:paraId="766CFCD7" w14:textId="7FA560DC"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0.06%</w:t>
            </w:r>
          </w:p>
        </w:tc>
      </w:tr>
      <w:tr w:rsidR="009A0053" w:rsidRPr="003516DC" w14:paraId="5A0CD9BB" w14:textId="77777777" w:rsidTr="009A005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hideMark/>
          </w:tcPr>
          <w:p w14:paraId="26F81680" w14:textId="7AFCD683" w:rsidR="009A0053" w:rsidRPr="003516DC" w:rsidRDefault="009A0053" w:rsidP="009A005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West Region</w:t>
            </w:r>
          </w:p>
        </w:tc>
        <w:tc>
          <w:tcPr>
            <w:tcW w:w="539" w:type="pct"/>
            <w:tcBorders>
              <w:top w:val="nil"/>
              <w:left w:val="nil"/>
              <w:bottom w:val="single" w:sz="4" w:space="0" w:color="auto"/>
              <w:right w:val="single" w:sz="4" w:space="0" w:color="auto"/>
            </w:tcBorders>
            <w:shd w:val="clear" w:color="auto" w:fill="auto"/>
            <w:noWrap/>
            <w:vAlign w:val="center"/>
            <w:hideMark/>
          </w:tcPr>
          <w:p w14:paraId="1683E8BF" w14:textId="40669D43"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0.18%</w:t>
            </w:r>
          </w:p>
        </w:tc>
        <w:tc>
          <w:tcPr>
            <w:tcW w:w="539" w:type="pct"/>
            <w:tcBorders>
              <w:top w:val="nil"/>
              <w:left w:val="nil"/>
              <w:bottom w:val="single" w:sz="4" w:space="0" w:color="auto"/>
              <w:right w:val="single" w:sz="4" w:space="0" w:color="auto"/>
            </w:tcBorders>
            <w:shd w:val="clear" w:color="auto" w:fill="auto"/>
            <w:noWrap/>
            <w:vAlign w:val="center"/>
            <w:hideMark/>
          </w:tcPr>
          <w:p w14:paraId="5D849C5C" w14:textId="4F3ADDEC"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0.43%</w:t>
            </w:r>
          </w:p>
        </w:tc>
        <w:tc>
          <w:tcPr>
            <w:tcW w:w="539" w:type="pct"/>
            <w:tcBorders>
              <w:top w:val="nil"/>
              <w:left w:val="nil"/>
              <w:bottom w:val="single" w:sz="4" w:space="0" w:color="auto"/>
              <w:right w:val="single" w:sz="4" w:space="0" w:color="auto"/>
            </w:tcBorders>
            <w:shd w:val="clear" w:color="auto" w:fill="auto"/>
            <w:noWrap/>
            <w:vAlign w:val="center"/>
            <w:hideMark/>
          </w:tcPr>
          <w:p w14:paraId="436F5F5F" w14:textId="33FD18E0"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0.45%</w:t>
            </w:r>
          </w:p>
        </w:tc>
        <w:tc>
          <w:tcPr>
            <w:tcW w:w="539" w:type="pct"/>
            <w:tcBorders>
              <w:top w:val="nil"/>
              <w:left w:val="nil"/>
              <w:bottom w:val="single" w:sz="4" w:space="0" w:color="auto"/>
              <w:right w:val="single" w:sz="4" w:space="0" w:color="auto"/>
            </w:tcBorders>
            <w:shd w:val="clear" w:color="auto" w:fill="auto"/>
            <w:noWrap/>
            <w:vAlign w:val="center"/>
            <w:hideMark/>
          </w:tcPr>
          <w:p w14:paraId="22AA9335" w14:textId="6EE598F5"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0.39%</w:t>
            </w:r>
          </w:p>
        </w:tc>
        <w:tc>
          <w:tcPr>
            <w:tcW w:w="552" w:type="pct"/>
            <w:tcBorders>
              <w:top w:val="nil"/>
              <w:left w:val="nil"/>
              <w:bottom w:val="single" w:sz="4" w:space="0" w:color="auto"/>
              <w:right w:val="single" w:sz="4" w:space="0" w:color="auto"/>
            </w:tcBorders>
            <w:shd w:val="clear" w:color="auto" w:fill="auto"/>
            <w:noWrap/>
            <w:vAlign w:val="center"/>
            <w:hideMark/>
          </w:tcPr>
          <w:p w14:paraId="04DE2DFA" w14:textId="578004CC"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0.42%</w:t>
            </w:r>
          </w:p>
        </w:tc>
        <w:tc>
          <w:tcPr>
            <w:tcW w:w="669" w:type="pct"/>
            <w:tcBorders>
              <w:top w:val="nil"/>
              <w:left w:val="nil"/>
              <w:bottom w:val="single" w:sz="4" w:space="0" w:color="auto"/>
              <w:right w:val="single" w:sz="4" w:space="0" w:color="auto"/>
            </w:tcBorders>
            <w:shd w:val="clear" w:color="auto" w:fill="auto"/>
            <w:noWrap/>
            <w:vAlign w:val="center"/>
            <w:hideMark/>
          </w:tcPr>
          <w:p w14:paraId="5A967B81" w14:textId="204A2831"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0.24%</w:t>
            </w:r>
          </w:p>
        </w:tc>
      </w:tr>
      <w:tr w:rsidR="009A0053" w:rsidRPr="003516DC" w14:paraId="3F8A7F58" w14:textId="77777777" w:rsidTr="009A005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hideMark/>
          </w:tcPr>
          <w:p w14:paraId="3A09BAEB" w14:textId="54216EDE" w:rsidR="009A0053" w:rsidRPr="00782BFD" w:rsidRDefault="009A0053" w:rsidP="009A0053">
            <w:pPr>
              <w:rPr>
                <w:rFonts w:ascii="Arial" w:hAnsi="Arial"/>
                <w:color w:val="000000"/>
                <w:sz w:val="18"/>
                <w:lang w:val="it-IT"/>
              </w:rPr>
            </w:pPr>
            <w:r w:rsidRPr="00782BFD">
              <w:rPr>
                <w:rFonts w:ascii="Arial" w:hAnsi="Arial"/>
                <w:color w:val="000000"/>
                <w:sz w:val="18"/>
                <w:lang w:val="it-IT"/>
              </w:rPr>
              <w:t>% of R&amp;DI in GDP Romania</w:t>
            </w:r>
          </w:p>
        </w:tc>
        <w:tc>
          <w:tcPr>
            <w:tcW w:w="539" w:type="pct"/>
            <w:tcBorders>
              <w:top w:val="nil"/>
              <w:left w:val="nil"/>
              <w:bottom w:val="single" w:sz="4" w:space="0" w:color="auto"/>
              <w:right w:val="single" w:sz="4" w:space="0" w:color="auto"/>
            </w:tcBorders>
            <w:shd w:val="clear" w:color="auto" w:fill="auto"/>
            <w:noWrap/>
            <w:vAlign w:val="center"/>
            <w:hideMark/>
          </w:tcPr>
          <w:p w14:paraId="22549700" w14:textId="5D3B9708"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0.38%</w:t>
            </w:r>
          </w:p>
        </w:tc>
        <w:tc>
          <w:tcPr>
            <w:tcW w:w="539" w:type="pct"/>
            <w:tcBorders>
              <w:top w:val="nil"/>
              <w:left w:val="nil"/>
              <w:bottom w:val="single" w:sz="4" w:space="0" w:color="auto"/>
              <w:right w:val="single" w:sz="4" w:space="0" w:color="auto"/>
            </w:tcBorders>
            <w:shd w:val="clear" w:color="auto" w:fill="auto"/>
            <w:noWrap/>
            <w:vAlign w:val="center"/>
            <w:hideMark/>
          </w:tcPr>
          <w:p w14:paraId="2231955F" w14:textId="630DBC80"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0.49%</w:t>
            </w:r>
          </w:p>
        </w:tc>
        <w:tc>
          <w:tcPr>
            <w:tcW w:w="539" w:type="pct"/>
            <w:tcBorders>
              <w:top w:val="nil"/>
              <w:left w:val="nil"/>
              <w:bottom w:val="single" w:sz="4" w:space="0" w:color="auto"/>
              <w:right w:val="single" w:sz="4" w:space="0" w:color="auto"/>
            </w:tcBorders>
            <w:shd w:val="clear" w:color="auto" w:fill="auto"/>
            <w:noWrap/>
            <w:vAlign w:val="center"/>
            <w:hideMark/>
          </w:tcPr>
          <w:p w14:paraId="633C2418" w14:textId="68F96BCE"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0.48%</w:t>
            </w:r>
          </w:p>
        </w:tc>
        <w:tc>
          <w:tcPr>
            <w:tcW w:w="539" w:type="pct"/>
            <w:tcBorders>
              <w:top w:val="nil"/>
              <w:left w:val="nil"/>
              <w:bottom w:val="single" w:sz="4" w:space="0" w:color="auto"/>
              <w:right w:val="single" w:sz="4" w:space="0" w:color="auto"/>
            </w:tcBorders>
            <w:shd w:val="clear" w:color="auto" w:fill="auto"/>
            <w:noWrap/>
            <w:vAlign w:val="center"/>
            <w:hideMark/>
          </w:tcPr>
          <w:p w14:paraId="15418A9B" w14:textId="5D858A00"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0.50%</w:t>
            </w:r>
          </w:p>
        </w:tc>
        <w:tc>
          <w:tcPr>
            <w:tcW w:w="552" w:type="pct"/>
            <w:tcBorders>
              <w:top w:val="nil"/>
              <w:left w:val="nil"/>
              <w:bottom w:val="single" w:sz="4" w:space="0" w:color="auto"/>
              <w:right w:val="single" w:sz="4" w:space="0" w:color="auto"/>
            </w:tcBorders>
            <w:shd w:val="clear" w:color="auto" w:fill="auto"/>
            <w:noWrap/>
            <w:vAlign w:val="center"/>
            <w:hideMark/>
          </w:tcPr>
          <w:p w14:paraId="0E6F26A4" w14:textId="5258F24F"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0.50%</w:t>
            </w:r>
          </w:p>
        </w:tc>
        <w:tc>
          <w:tcPr>
            <w:tcW w:w="669" w:type="pct"/>
            <w:tcBorders>
              <w:top w:val="nil"/>
              <w:left w:val="nil"/>
              <w:bottom w:val="single" w:sz="4" w:space="0" w:color="auto"/>
              <w:right w:val="single" w:sz="4" w:space="0" w:color="auto"/>
            </w:tcBorders>
            <w:shd w:val="clear" w:color="auto" w:fill="auto"/>
            <w:noWrap/>
            <w:vAlign w:val="center"/>
            <w:hideMark/>
          </w:tcPr>
          <w:p w14:paraId="592A1C3F" w14:textId="0145C8F1" w:rsidR="009A0053" w:rsidRPr="003516DC" w:rsidRDefault="009A0053" w:rsidP="009A0053">
            <w:pPr>
              <w:jc w:val="right"/>
              <w:rPr>
                <w:rFonts w:ascii="Arial" w:eastAsia="Times New Roman" w:hAnsi="Arial" w:cs="Arial"/>
                <w:color w:val="000000"/>
                <w:sz w:val="18"/>
                <w:szCs w:val="18"/>
                <w:lang w:val="en-US"/>
              </w:rPr>
            </w:pPr>
            <w:r w:rsidRPr="003516DC">
              <w:rPr>
                <w:rFonts w:ascii="Arial" w:hAnsi="Arial" w:cs="Arial"/>
                <w:sz w:val="18"/>
                <w:szCs w:val="18"/>
              </w:rPr>
              <w:t>0.12%</w:t>
            </w:r>
          </w:p>
        </w:tc>
      </w:tr>
    </w:tbl>
    <w:p w14:paraId="48A8918F" w14:textId="63CDF741" w:rsidR="001E2A6E" w:rsidRPr="003516DC" w:rsidRDefault="001E2A6E" w:rsidP="00073E80">
      <w:pPr>
        <w:rPr>
          <w:rFonts w:ascii="Arial" w:hAnsi="Arial" w:cs="Arial"/>
          <w:i/>
          <w:sz w:val="16"/>
          <w:szCs w:val="16"/>
        </w:rPr>
      </w:pPr>
      <w:r w:rsidRPr="003516DC">
        <w:rPr>
          <w:rFonts w:ascii="Arial" w:hAnsi="Arial" w:cs="Arial"/>
          <w:i/>
          <w:sz w:val="16"/>
          <w:szCs w:val="16"/>
        </w:rPr>
        <w:t>Source:</w:t>
      </w:r>
      <w:r w:rsidR="00073E80" w:rsidRPr="003516DC">
        <w:rPr>
          <w:rFonts w:ascii="Arial" w:hAnsi="Arial" w:cs="Arial"/>
          <w:i/>
          <w:sz w:val="16"/>
          <w:szCs w:val="16"/>
        </w:rPr>
        <w:t xml:space="preserve"> </w:t>
      </w:r>
      <w:r w:rsidR="009A0053" w:rsidRPr="003516DC">
        <w:rPr>
          <w:rFonts w:ascii="Arial" w:hAnsi="Arial" w:cs="Arial"/>
          <w:i/>
          <w:sz w:val="16"/>
          <w:szCs w:val="16"/>
        </w:rPr>
        <w:t>NIS, Tempo</w:t>
      </w:r>
      <w:r w:rsidR="00073E80" w:rsidRPr="003516DC">
        <w:rPr>
          <w:rFonts w:ascii="Arial" w:hAnsi="Arial" w:cs="Arial"/>
          <w:i/>
          <w:sz w:val="16"/>
          <w:szCs w:val="16"/>
        </w:rPr>
        <w:t>, CDO104B, CON103I</w:t>
      </w:r>
    </w:p>
    <w:p w14:paraId="6F9363C2" w14:textId="77777777" w:rsidR="00073E80" w:rsidRPr="003516DC" w:rsidRDefault="00073E80" w:rsidP="00073E80">
      <w:pPr>
        <w:rPr>
          <w:rFonts w:ascii="Arial" w:hAnsi="Arial" w:cs="Arial"/>
          <w:sz w:val="20"/>
          <w:szCs w:val="20"/>
        </w:rPr>
      </w:pPr>
    </w:p>
    <w:p w14:paraId="1C80CC5F" w14:textId="460D9946" w:rsidR="00AA0D12" w:rsidRPr="003516DC" w:rsidRDefault="00A76187" w:rsidP="00B83D86">
      <w:pPr>
        <w:spacing w:after="120"/>
        <w:jc w:val="both"/>
        <w:rPr>
          <w:rFonts w:ascii="Arial" w:hAnsi="Arial" w:cs="Arial"/>
          <w:sz w:val="20"/>
          <w:szCs w:val="20"/>
        </w:rPr>
      </w:pPr>
      <w:r w:rsidRPr="003516DC">
        <w:rPr>
          <w:rFonts w:ascii="Arial" w:hAnsi="Arial" w:cs="Arial"/>
          <w:sz w:val="20"/>
          <w:szCs w:val="20"/>
        </w:rPr>
        <w:t xml:space="preserve">The </w:t>
      </w:r>
      <w:r w:rsidR="00073E80" w:rsidRPr="003516DC">
        <w:rPr>
          <w:rFonts w:ascii="Arial" w:hAnsi="Arial" w:cs="Arial"/>
          <w:sz w:val="20"/>
          <w:szCs w:val="20"/>
        </w:rPr>
        <w:t>technolog</w:t>
      </w:r>
      <w:r w:rsidR="00AA260D" w:rsidRPr="003516DC">
        <w:rPr>
          <w:rFonts w:ascii="Arial" w:hAnsi="Arial" w:cs="Arial"/>
          <w:sz w:val="20"/>
          <w:szCs w:val="20"/>
        </w:rPr>
        <w:t>ical</w:t>
      </w:r>
      <w:r w:rsidR="00073E80" w:rsidRPr="003516DC">
        <w:rPr>
          <w:rFonts w:ascii="Arial" w:hAnsi="Arial" w:cs="Arial"/>
          <w:sz w:val="20"/>
          <w:szCs w:val="20"/>
        </w:rPr>
        <w:t xml:space="preserve"> intensiveness of </w:t>
      </w:r>
      <w:r w:rsidRPr="003516DC">
        <w:rPr>
          <w:rFonts w:ascii="Arial" w:hAnsi="Arial" w:cs="Arial"/>
          <w:sz w:val="20"/>
          <w:szCs w:val="20"/>
        </w:rPr>
        <w:t>Hunedoara County’s</w:t>
      </w:r>
      <w:r w:rsidRPr="003516DC" w:rsidDel="00A76187">
        <w:rPr>
          <w:rFonts w:ascii="Arial" w:hAnsi="Arial" w:cs="Arial"/>
          <w:sz w:val="20"/>
          <w:szCs w:val="20"/>
        </w:rPr>
        <w:t xml:space="preserve"> </w:t>
      </w:r>
      <w:r w:rsidR="00073E80" w:rsidRPr="003516DC">
        <w:rPr>
          <w:rFonts w:ascii="Arial" w:hAnsi="Arial" w:cs="Arial"/>
          <w:sz w:val="20"/>
          <w:szCs w:val="20"/>
        </w:rPr>
        <w:t>manufacturing sector show</w:t>
      </w:r>
      <w:r w:rsidR="0094603F" w:rsidRPr="003516DC">
        <w:rPr>
          <w:rFonts w:ascii="Arial" w:hAnsi="Arial" w:cs="Arial"/>
          <w:sz w:val="20"/>
          <w:szCs w:val="20"/>
        </w:rPr>
        <w:t>s</w:t>
      </w:r>
      <w:r w:rsidR="00073E80" w:rsidRPr="003516DC">
        <w:rPr>
          <w:rFonts w:ascii="Arial" w:hAnsi="Arial" w:cs="Arial"/>
          <w:sz w:val="20"/>
          <w:szCs w:val="20"/>
        </w:rPr>
        <w:t xml:space="preserve"> that most of manufacturing turnover is generated by medium-low (48%) and low-tech industries (27%), while </w:t>
      </w:r>
      <w:r w:rsidR="00E84467" w:rsidRPr="003516DC">
        <w:rPr>
          <w:rFonts w:ascii="Arial" w:hAnsi="Arial" w:cs="Arial"/>
          <w:sz w:val="20"/>
          <w:szCs w:val="20"/>
        </w:rPr>
        <w:t>m</w:t>
      </w:r>
      <w:r w:rsidR="00073E80" w:rsidRPr="003516DC">
        <w:rPr>
          <w:rFonts w:ascii="Arial" w:hAnsi="Arial" w:cs="Arial"/>
          <w:sz w:val="20"/>
          <w:szCs w:val="20"/>
        </w:rPr>
        <w:t>edium</w:t>
      </w:r>
      <w:r w:rsidR="00E84467" w:rsidRPr="003516DC">
        <w:rPr>
          <w:rFonts w:ascii="Arial" w:hAnsi="Arial" w:cs="Arial"/>
          <w:sz w:val="20"/>
          <w:szCs w:val="20"/>
        </w:rPr>
        <w:t>-h</w:t>
      </w:r>
      <w:r w:rsidR="00073E80" w:rsidRPr="003516DC">
        <w:rPr>
          <w:rFonts w:ascii="Arial" w:hAnsi="Arial" w:cs="Arial"/>
          <w:sz w:val="20"/>
          <w:szCs w:val="20"/>
        </w:rPr>
        <w:t xml:space="preserve">igh and </w:t>
      </w:r>
      <w:r w:rsidR="00E84467" w:rsidRPr="003516DC">
        <w:rPr>
          <w:rFonts w:ascii="Arial" w:hAnsi="Arial" w:cs="Arial"/>
          <w:sz w:val="20"/>
          <w:szCs w:val="20"/>
        </w:rPr>
        <w:t>h</w:t>
      </w:r>
      <w:r w:rsidR="00073E80" w:rsidRPr="003516DC">
        <w:rPr>
          <w:rFonts w:ascii="Arial" w:hAnsi="Arial" w:cs="Arial"/>
          <w:sz w:val="20"/>
          <w:szCs w:val="20"/>
        </w:rPr>
        <w:t>igh</w:t>
      </w:r>
      <w:r w:rsidR="002E46D5" w:rsidRPr="003516DC">
        <w:rPr>
          <w:rFonts w:ascii="Arial" w:hAnsi="Arial" w:cs="Arial"/>
          <w:sz w:val="20"/>
          <w:szCs w:val="20"/>
        </w:rPr>
        <w:t>-</w:t>
      </w:r>
      <w:r w:rsidR="00073E80" w:rsidRPr="003516DC">
        <w:rPr>
          <w:rFonts w:ascii="Arial" w:hAnsi="Arial" w:cs="Arial"/>
          <w:sz w:val="20"/>
          <w:szCs w:val="20"/>
        </w:rPr>
        <w:t xml:space="preserve">tech intensive </w:t>
      </w:r>
      <w:r w:rsidR="00E84467" w:rsidRPr="003516DC">
        <w:rPr>
          <w:rFonts w:ascii="Arial" w:hAnsi="Arial" w:cs="Arial"/>
          <w:sz w:val="20"/>
          <w:szCs w:val="20"/>
        </w:rPr>
        <w:t xml:space="preserve">industries </w:t>
      </w:r>
      <w:r w:rsidR="00073E80" w:rsidRPr="003516DC">
        <w:rPr>
          <w:rFonts w:ascii="Arial" w:hAnsi="Arial" w:cs="Arial"/>
          <w:sz w:val="20"/>
          <w:szCs w:val="20"/>
        </w:rPr>
        <w:t xml:space="preserve">generated 25% </w:t>
      </w:r>
      <w:r w:rsidR="009438C8" w:rsidRPr="003516DC">
        <w:rPr>
          <w:rFonts w:ascii="Arial" w:hAnsi="Arial" w:cs="Arial"/>
          <w:sz w:val="20"/>
          <w:szCs w:val="20"/>
        </w:rPr>
        <w:t xml:space="preserve">of </w:t>
      </w:r>
      <w:r w:rsidR="00073E80" w:rsidRPr="003516DC">
        <w:rPr>
          <w:rFonts w:ascii="Arial" w:hAnsi="Arial" w:cs="Arial"/>
          <w:sz w:val="20"/>
          <w:szCs w:val="20"/>
        </w:rPr>
        <w:t xml:space="preserve">the total turnover </w:t>
      </w:r>
      <w:r w:rsidR="009438C8" w:rsidRPr="003516DC">
        <w:rPr>
          <w:rFonts w:ascii="Arial" w:hAnsi="Arial" w:cs="Arial"/>
          <w:sz w:val="20"/>
          <w:szCs w:val="20"/>
        </w:rPr>
        <w:t>for</w:t>
      </w:r>
      <w:r w:rsidR="00073E80" w:rsidRPr="003516DC">
        <w:rPr>
          <w:rFonts w:ascii="Arial" w:hAnsi="Arial" w:cs="Arial"/>
          <w:sz w:val="20"/>
          <w:szCs w:val="20"/>
        </w:rPr>
        <w:t xml:space="preserve"> county-based manufacturing companies in 2019, as detailed in Table </w:t>
      </w:r>
      <w:r w:rsidR="001C68D2">
        <w:rPr>
          <w:rFonts w:ascii="Arial" w:hAnsi="Arial" w:cs="Arial"/>
          <w:sz w:val="20"/>
          <w:szCs w:val="20"/>
        </w:rPr>
        <w:t>25</w:t>
      </w:r>
      <w:r w:rsidR="00073E80" w:rsidRPr="003516DC">
        <w:rPr>
          <w:rFonts w:ascii="Arial" w:hAnsi="Arial" w:cs="Arial"/>
          <w:sz w:val="20"/>
          <w:szCs w:val="20"/>
        </w:rPr>
        <w:t>.</w:t>
      </w:r>
    </w:p>
    <w:p w14:paraId="3DDB2C48" w14:textId="06ED5EF4" w:rsidR="006F18A6" w:rsidRPr="003516DC" w:rsidRDefault="00230620" w:rsidP="00B83D86">
      <w:pPr>
        <w:spacing w:after="120"/>
        <w:jc w:val="both"/>
        <w:rPr>
          <w:rFonts w:ascii="Arial" w:hAnsi="Arial" w:cs="Arial"/>
          <w:sz w:val="20"/>
          <w:szCs w:val="20"/>
        </w:rPr>
      </w:pPr>
      <w:r w:rsidRPr="003516DC">
        <w:rPr>
          <w:rFonts w:ascii="Arial" w:hAnsi="Arial" w:cs="Arial"/>
          <w:sz w:val="20"/>
          <w:szCs w:val="20"/>
        </w:rPr>
        <w:t>H</w:t>
      </w:r>
      <w:r w:rsidR="006F18A6" w:rsidRPr="003516DC">
        <w:rPr>
          <w:rFonts w:ascii="Arial" w:hAnsi="Arial" w:cs="Arial"/>
          <w:sz w:val="20"/>
          <w:szCs w:val="20"/>
        </w:rPr>
        <w:t xml:space="preserve">igh-tech and medium-tech grew faster over the past decade, by more than 100%. The number of employees of high-tech and medium-tech companies headquartered in Hunedoara also grew by 28% (high-tech) and 57% (medium-tech). This indicates that </w:t>
      </w:r>
      <w:r w:rsidR="005B552E" w:rsidRPr="003516DC">
        <w:rPr>
          <w:rFonts w:ascii="Arial" w:hAnsi="Arial" w:cs="Arial"/>
          <w:sz w:val="20"/>
          <w:szCs w:val="20"/>
        </w:rPr>
        <w:t xml:space="preserve">Hunedoara </w:t>
      </w:r>
      <w:r w:rsidR="006F18A6" w:rsidRPr="003516DC">
        <w:rPr>
          <w:rFonts w:ascii="Arial" w:hAnsi="Arial" w:cs="Arial"/>
          <w:sz w:val="20"/>
          <w:szCs w:val="20"/>
        </w:rPr>
        <w:t>is increas</w:t>
      </w:r>
      <w:r w:rsidR="003F0E9A" w:rsidRPr="003516DC">
        <w:rPr>
          <w:rFonts w:ascii="Arial" w:hAnsi="Arial" w:cs="Arial"/>
          <w:sz w:val="20"/>
          <w:szCs w:val="20"/>
        </w:rPr>
        <w:t>ing</w:t>
      </w:r>
      <w:r w:rsidR="006F18A6" w:rsidRPr="003516DC">
        <w:rPr>
          <w:rFonts w:ascii="Arial" w:hAnsi="Arial" w:cs="Arial"/>
          <w:sz w:val="20"/>
          <w:szCs w:val="20"/>
        </w:rPr>
        <w:t xml:space="preserve"> its technology intensiveness and competitiveness profile, mainly due to the new technologies used </w:t>
      </w:r>
      <w:r w:rsidR="005068F2" w:rsidRPr="003516DC">
        <w:rPr>
          <w:rFonts w:ascii="Arial" w:hAnsi="Arial" w:cs="Arial"/>
          <w:sz w:val="20"/>
          <w:szCs w:val="20"/>
        </w:rPr>
        <w:t>by</w:t>
      </w:r>
      <w:r w:rsidR="006F18A6" w:rsidRPr="003516DC">
        <w:rPr>
          <w:rFonts w:ascii="Arial" w:hAnsi="Arial" w:cs="Arial"/>
          <w:sz w:val="20"/>
          <w:szCs w:val="20"/>
        </w:rPr>
        <w:t xml:space="preserve"> manufacturing companies established and operated by foreign investors (e.g., Sews Romania and Philips Orăștie).</w:t>
      </w:r>
    </w:p>
    <w:p w14:paraId="08F6AE48" w14:textId="12BDE095" w:rsidR="006F18A6" w:rsidRPr="003516DC" w:rsidRDefault="006F18A6" w:rsidP="00B83D86">
      <w:pPr>
        <w:pStyle w:val="Caption"/>
        <w:spacing w:before="0" w:after="0"/>
        <w:ind w:left="0" w:firstLine="0"/>
        <w:jc w:val="both"/>
      </w:pPr>
      <w:bookmarkStart w:id="122" w:name="_Toc90725979"/>
      <w:bookmarkStart w:id="123" w:name="_Toc90727276"/>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25</w:t>
      </w:r>
      <w:r w:rsidR="0040363E" w:rsidRPr="003516DC">
        <w:rPr>
          <w:noProof/>
        </w:rPr>
        <w:fldChar w:fldCharType="end"/>
      </w:r>
      <w:r w:rsidRPr="003516DC">
        <w:t xml:space="preserve">: Evolution of manufacturing industry by technology intensiveness in Hunedoara </w:t>
      </w:r>
      <w:r w:rsidR="00B83D86">
        <w:t>C</w:t>
      </w:r>
      <w:r w:rsidRPr="003516DC">
        <w:t>ounty</w:t>
      </w:r>
      <w:bookmarkEnd w:id="122"/>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6F18A6" w:rsidRPr="003516DC" w14:paraId="005BC62B" w14:textId="77777777" w:rsidTr="0094603F">
        <w:trPr>
          <w:trHeight w:val="315"/>
        </w:trPr>
        <w:tc>
          <w:tcPr>
            <w:tcW w:w="2214" w:type="pct"/>
            <w:vMerge w:val="restart"/>
            <w:shd w:val="clear" w:color="auto" w:fill="002060"/>
            <w:noWrap/>
            <w:vAlign w:val="center"/>
            <w:hideMark/>
          </w:tcPr>
          <w:p w14:paraId="771CB036" w14:textId="08910896" w:rsidR="006F18A6" w:rsidRPr="003516DC" w:rsidRDefault="006F18A6" w:rsidP="006F18A6">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22A0FE75" w14:textId="77777777"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154E8548" w14:textId="47DB6827"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6F18A6" w:rsidRPr="003516DC" w14:paraId="71E11B8F" w14:textId="77777777" w:rsidTr="0094603F">
        <w:trPr>
          <w:trHeight w:val="315"/>
        </w:trPr>
        <w:tc>
          <w:tcPr>
            <w:tcW w:w="2214" w:type="pct"/>
            <w:vMerge/>
            <w:shd w:val="clear" w:color="auto" w:fill="002060"/>
            <w:vAlign w:val="center"/>
            <w:hideMark/>
          </w:tcPr>
          <w:p w14:paraId="5BCE1D23" w14:textId="77777777" w:rsidR="006F18A6" w:rsidRPr="003516DC" w:rsidRDefault="006F18A6" w:rsidP="006F18A6">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0D40A66E" w14:textId="77777777" w:rsidR="006F18A6" w:rsidRPr="003516DC" w:rsidRDefault="006F18A6" w:rsidP="006F18A6">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043D7C3E" w14:textId="77777777" w:rsidR="006F18A6" w:rsidRPr="003516DC" w:rsidRDefault="006F18A6" w:rsidP="006F18A6">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45D4056E" w14:textId="77777777" w:rsidR="006F18A6" w:rsidRPr="003516DC" w:rsidRDefault="006F18A6" w:rsidP="006F18A6">
            <w:pPr>
              <w:rPr>
                <w:rFonts w:ascii="Arial" w:eastAsia="Times New Roman" w:hAnsi="Arial" w:cs="Arial"/>
                <w:color w:val="000000"/>
                <w:sz w:val="18"/>
                <w:szCs w:val="18"/>
                <w:lang w:val="en-US"/>
              </w:rPr>
            </w:pPr>
          </w:p>
        </w:tc>
      </w:tr>
      <w:tr w:rsidR="006F18A6" w:rsidRPr="003516DC" w14:paraId="23B638D3" w14:textId="77777777" w:rsidTr="0094603F">
        <w:trPr>
          <w:trHeight w:val="315"/>
        </w:trPr>
        <w:tc>
          <w:tcPr>
            <w:tcW w:w="2214" w:type="pct"/>
            <w:shd w:val="clear" w:color="auto" w:fill="auto"/>
            <w:noWrap/>
            <w:vAlign w:val="center"/>
            <w:hideMark/>
          </w:tcPr>
          <w:p w14:paraId="63EB2B8B" w14:textId="1CCD44C9" w:rsidR="006F18A6" w:rsidRPr="003516DC" w:rsidRDefault="006F18A6" w:rsidP="006F18A6">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TOTAL </w:t>
            </w:r>
            <w:r w:rsidR="00BD1151">
              <w:rPr>
                <w:rFonts w:ascii="Arial" w:eastAsia="Times New Roman" w:hAnsi="Arial" w:cs="Arial"/>
                <w:color w:val="000000"/>
                <w:sz w:val="18"/>
                <w:szCs w:val="18"/>
                <w:lang w:val="en-US"/>
              </w:rPr>
              <w:t>–</w:t>
            </w:r>
            <w:r w:rsidRPr="003516DC">
              <w:rPr>
                <w:rFonts w:ascii="Arial" w:eastAsia="Times New Roman" w:hAnsi="Arial" w:cs="Arial"/>
                <w:color w:val="000000"/>
                <w:sz w:val="18"/>
                <w:szCs w:val="18"/>
                <w:lang w:val="en-US"/>
              </w:rPr>
              <w:t xml:space="preserve"> Manufacturing</w:t>
            </w:r>
          </w:p>
        </w:tc>
        <w:tc>
          <w:tcPr>
            <w:tcW w:w="858" w:type="pct"/>
            <w:shd w:val="clear" w:color="auto" w:fill="auto"/>
            <w:noWrap/>
            <w:vAlign w:val="center"/>
            <w:hideMark/>
          </w:tcPr>
          <w:p w14:paraId="4FF2513B" w14:textId="5D9C6D2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3,021,387,537</w:t>
            </w:r>
          </w:p>
        </w:tc>
        <w:tc>
          <w:tcPr>
            <w:tcW w:w="968" w:type="pct"/>
            <w:shd w:val="clear" w:color="auto" w:fill="auto"/>
            <w:noWrap/>
            <w:vAlign w:val="center"/>
            <w:hideMark/>
          </w:tcPr>
          <w:p w14:paraId="1E232731" w14:textId="08B92471"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4,767,055,370</w:t>
            </w:r>
          </w:p>
        </w:tc>
        <w:tc>
          <w:tcPr>
            <w:tcW w:w="960" w:type="pct"/>
            <w:shd w:val="clear" w:color="auto" w:fill="auto"/>
            <w:noWrap/>
            <w:vAlign w:val="center"/>
            <w:hideMark/>
          </w:tcPr>
          <w:p w14:paraId="45A345B6" w14:textId="7777777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58%</w:t>
            </w:r>
          </w:p>
        </w:tc>
      </w:tr>
      <w:tr w:rsidR="006F18A6" w:rsidRPr="003516DC" w14:paraId="667584DE" w14:textId="77777777" w:rsidTr="0094603F">
        <w:trPr>
          <w:trHeight w:val="315"/>
        </w:trPr>
        <w:tc>
          <w:tcPr>
            <w:tcW w:w="2214" w:type="pct"/>
            <w:shd w:val="clear" w:color="auto" w:fill="auto"/>
            <w:noWrap/>
            <w:vAlign w:val="center"/>
            <w:hideMark/>
          </w:tcPr>
          <w:p w14:paraId="20AECB19" w14:textId="77777777" w:rsidR="006F18A6" w:rsidRPr="003516DC" w:rsidRDefault="006F18A6" w:rsidP="006F18A6">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hideMark/>
          </w:tcPr>
          <w:p w14:paraId="6CB24CC1" w14:textId="415AB9C6"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23,999,374</w:t>
            </w:r>
          </w:p>
        </w:tc>
        <w:tc>
          <w:tcPr>
            <w:tcW w:w="968" w:type="pct"/>
            <w:shd w:val="clear" w:color="auto" w:fill="auto"/>
            <w:noWrap/>
            <w:vAlign w:val="center"/>
            <w:hideMark/>
          </w:tcPr>
          <w:p w14:paraId="0F377DAE" w14:textId="1AAF4ECD" w:rsidR="006F18A6" w:rsidRPr="003516DC" w:rsidRDefault="006F18A6" w:rsidP="006F18A6">
            <w:pPr>
              <w:ind w:firstLineChars="100" w:firstLine="180"/>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48,389,822</w:t>
            </w:r>
          </w:p>
        </w:tc>
        <w:tc>
          <w:tcPr>
            <w:tcW w:w="960" w:type="pct"/>
            <w:shd w:val="clear" w:color="auto" w:fill="auto"/>
            <w:noWrap/>
            <w:vAlign w:val="center"/>
            <w:hideMark/>
          </w:tcPr>
          <w:p w14:paraId="5EDD2F89" w14:textId="7777777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102%</w:t>
            </w:r>
          </w:p>
        </w:tc>
      </w:tr>
      <w:tr w:rsidR="006F18A6" w:rsidRPr="003516DC" w14:paraId="36723020" w14:textId="77777777" w:rsidTr="0094603F">
        <w:trPr>
          <w:trHeight w:val="315"/>
        </w:trPr>
        <w:tc>
          <w:tcPr>
            <w:tcW w:w="2214" w:type="pct"/>
            <w:shd w:val="clear" w:color="auto" w:fill="auto"/>
            <w:noWrap/>
            <w:vAlign w:val="center"/>
            <w:hideMark/>
          </w:tcPr>
          <w:p w14:paraId="45771A48" w14:textId="77777777" w:rsidR="006F18A6" w:rsidRPr="003516DC" w:rsidRDefault="006F18A6" w:rsidP="006F18A6">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Medium-High technology intensive</w:t>
            </w:r>
          </w:p>
        </w:tc>
        <w:tc>
          <w:tcPr>
            <w:tcW w:w="858" w:type="pct"/>
            <w:shd w:val="clear" w:color="auto" w:fill="auto"/>
            <w:noWrap/>
            <w:vAlign w:val="center"/>
            <w:hideMark/>
          </w:tcPr>
          <w:p w14:paraId="053809A3" w14:textId="019150BC"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436,330,138</w:t>
            </w:r>
          </w:p>
        </w:tc>
        <w:tc>
          <w:tcPr>
            <w:tcW w:w="968" w:type="pct"/>
            <w:shd w:val="clear" w:color="auto" w:fill="auto"/>
            <w:noWrap/>
            <w:vAlign w:val="center"/>
            <w:hideMark/>
          </w:tcPr>
          <w:p w14:paraId="51D65EA6" w14:textId="3ADB4C69" w:rsidR="006F18A6" w:rsidRPr="003516DC" w:rsidRDefault="006F18A6" w:rsidP="006F18A6">
            <w:pPr>
              <w:ind w:firstLineChars="100" w:firstLine="180"/>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1,145,931,661</w:t>
            </w:r>
          </w:p>
        </w:tc>
        <w:tc>
          <w:tcPr>
            <w:tcW w:w="960" w:type="pct"/>
            <w:shd w:val="clear" w:color="auto" w:fill="auto"/>
            <w:noWrap/>
            <w:vAlign w:val="center"/>
            <w:hideMark/>
          </w:tcPr>
          <w:p w14:paraId="27F9D522" w14:textId="7777777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163%</w:t>
            </w:r>
          </w:p>
        </w:tc>
      </w:tr>
      <w:tr w:rsidR="006F18A6" w:rsidRPr="003516DC" w14:paraId="5BA6A527" w14:textId="77777777" w:rsidTr="0094603F">
        <w:trPr>
          <w:trHeight w:val="315"/>
        </w:trPr>
        <w:tc>
          <w:tcPr>
            <w:tcW w:w="2214" w:type="pct"/>
            <w:shd w:val="clear" w:color="auto" w:fill="auto"/>
            <w:noWrap/>
            <w:vAlign w:val="center"/>
            <w:hideMark/>
          </w:tcPr>
          <w:p w14:paraId="55AD0CFF" w14:textId="77777777" w:rsidR="006F18A6" w:rsidRPr="003516DC" w:rsidRDefault="006F18A6" w:rsidP="006F18A6">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Medium-Low technology intensive</w:t>
            </w:r>
          </w:p>
        </w:tc>
        <w:tc>
          <w:tcPr>
            <w:tcW w:w="858" w:type="pct"/>
            <w:shd w:val="clear" w:color="auto" w:fill="auto"/>
            <w:noWrap/>
            <w:vAlign w:val="center"/>
            <w:hideMark/>
          </w:tcPr>
          <w:p w14:paraId="6AD87684" w14:textId="00710B1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1,759,910,733</w:t>
            </w:r>
          </w:p>
        </w:tc>
        <w:tc>
          <w:tcPr>
            <w:tcW w:w="968" w:type="pct"/>
            <w:shd w:val="clear" w:color="auto" w:fill="auto"/>
            <w:noWrap/>
            <w:vAlign w:val="center"/>
            <w:hideMark/>
          </w:tcPr>
          <w:p w14:paraId="0D4784AA" w14:textId="58071573" w:rsidR="006F18A6" w:rsidRPr="003516DC" w:rsidRDefault="006F18A6" w:rsidP="006F18A6">
            <w:pPr>
              <w:ind w:firstLineChars="100" w:firstLine="180"/>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2,298,344,879</w:t>
            </w:r>
          </w:p>
        </w:tc>
        <w:tc>
          <w:tcPr>
            <w:tcW w:w="960" w:type="pct"/>
            <w:shd w:val="clear" w:color="auto" w:fill="auto"/>
            <w:noWrap/>
            <w:vAlign w:val="center"/>
            <w:hideMark/>
          </w:tcPr>
          <w:p w14:paraId="0BB93804" w14:textId="7777777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31%</w:t>
            </w:r>
          </w:p>
        </w:tc>
      </w:tr>
      <w:tr w:rsidR="006F18A6" w:rsidRPr="003516DC" w14:paraId="78B83635" w14:textId="77777777" w:rsidTr="0094603F">
        <w:trPr>
          <w:trHeight w:val="315"/>
        </w:trPr>
        <w:tc>
          <w:tcPr>
            <w:tcW w:w="2214" w:type="pct"/>
            <w:shd w:val="clear" w:color="auto" w:fill="auto"/>
            <w:noWrap/>
            <w:vAlign w:val="center"/>
            <w:hideMark/>
          </w:tcPr>
          <w:p w14:paraId="231AAFBF" w14:textId="77777777" w:rsidR="006F18A6" w:rsidRPr="003516DC" w:rsidRDefault="006F18A6" w:rsidP="006F18A6">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hideMark/>
          </w:tcPr>
          <w:p w14:paraId="51D4FF6A" w14:textId="6EE8F10D"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801,147,292</w:t>
            </w:r>
          </w:p>
        </w:tc>
        <w:tc>
          <w:tcPr>
            <w:tcW w:w="968" w:type="pct"/>
            <w:shd w:val="clear" w:color="auto" w:fill="auto"/>
            <w:noWrap/>
            <w:vAlign w:val="center"/>
            <w:hideMark/>
          </w:tcPr>
          <w:p w14:paraId="735754DB" w14:textId="01A7E387" w:rsidR="006F18A6" w:rsidRPr="003516DC" w:rsidRDefault="006F18A6" w:rsidP="006F18A6">
            <w:pPr>
              <w:ind w:firstLineChars="100" w:firstLine="180"/>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1,274,389,008</w:t>
            </w:r>
          </w:p>
        </w:tc>
        <w:tc>
          <w:tcPr>
            <w:tcW w:w="960" w:type="pct"/>
            <w:shd w:val="clear" w:color="auto" w:fill="auto"/>
            <w:noWrap/>
            <w:vAlign w:val="center"/>
            <w:hideMark/>
          </w:tcPr>
          <w:p w14:paraId="785F3D1B" w14:textId="77777777"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59%</w:t>
            </w:r>
          </w:p>
        </w:tc>
      </w:tr>
    </w:tbl>
    <w:p w14:paraId="7C4AB77F" w14:textId="2947D35C" w:rsidR="006F18A6" w:rsidRPr="003516DC" w:rsidRDefault="006F18A6" w:rsidP="00D909FC">
      <w:pPr>
        <w:spacing w:after="120"/>
        <w:rPr>
          <w:rFonts w:ascii="Arial" w:hAnsi="Arial" w:cs="Arial"/>
          <w:i/>
          <w:color w:val="1155CC"/>
          <w:sz w:val="16"/>
          <w:szCs w:val="16"/>
          <w:u w:val="single"/>
        </w:rPr>
      </w:pPr>
      <w:r w:rsidRPr="003516DC">
        <w:rPr>
          <w:rFonts w:ascii="Arial" w:hAnsi="Arial" w:cs="Arial"/>
          <w:i/>
          <w:sz w:val="16"/>
          <w:szCs w:val="16"/>
        </w:rPr>
        <w:t xml:space="preserve">Source: processing of </w:t>
      </w:r>
      <w:r w:rsidR="0093379D" w:rsidRPr="003516DC">
        <w:rPr>
          <w:rFonts w:ascii="Arial" w:hAnsi="Arial" w:cs="Arial"/>
          <w:i/>
          <w:sz w:val="16"/>
          <w:szCs w:val="16"/>
        </w:rPr>
        <w:t xml:space="preserve">National Trade Register Office </w:t>
      </w:r>
      <w:r w:rsidRPr="003516DC">
        <w:rPr>
          <w:rFonts w:ascii="Arial" w:hAnsi="Arial" w:cs="Arial"/>
          <w:i/>
          <w:sz w:val="16"/>
          <w:szCs w:val="16"/>
        </w:rPr>
        <w:t>data, based on EC high tech classification of NACE codes</w:t>
      </w:r>
      <w:hyperlink r:id="rId59">
        <w:r w:rsidRPr="003516DC">
          <w:rPr>
            <w:rFonts w:ascii="Arial" w:hAnsi="Arial" w:cs="Arial"/>
            <w:i/>
            <w:sz w:val="16"/>
            <w:szCs w:val="16"/>
          </w:rPr>
          <w:t xml:space="preserve"> </w:t>
        </w:r>
      </w:hyperlink>
      <w:hyperlink r:id="rId60">
        <w:r w:rsidRPr="003516DC">
          <w:rPr>
            <w:rFonts w:ascii="Arial" w:hAnsi="Arial" w:cs="Arial"/>
            <w:i/>
            <w:color w:val="1155CC"/>
            <w:sz w:val="16"/>
            <w:szCs w:val="16"/>
            <w:u w:val="single"/>
          </w:rPr>
          <w:t>https://ec.europa.eu/eurostat/statistics-explained/index.php/Glossary:High-tech</w:t>
        </w:r>
      </w:hyperlink>
    </w:p>
    <w:p w14:paraId="24F40E6E" w14:textId="1D7DE284" w:rsidR="006F18A6" w:rsidRPr="003516DC" w:rsidRDefault="00827547" w:rsidP="00D909FC">
      <w:pPr>
        <w:spacing w:after="120"/>
        <w:jc w:val="both"/>
        <w:rPr>
          <w:rFonts w:ascii="Arial" w:hAnsi="Arial" w:cs="Arial"/>
          <w:sz w:val="20"/>
          <w:szCs w:val="20"/>
        </w:rPr>
      </w:pPr>
      <w:r w:rsidRPr="003516DC">
        <w:rPr>
          <w:rFonts w:ascii="Arial" w:hAnsi="Arial" w:cs="Arial"/>
          <w:sz w:val="20"/>
          <w:szCs w:val="20"/>
        </w:rPr>
        <w:t>Knowledge intensiveness</w:t>
      </w:r>
      <w:r w:rsidR="006F18A6" w:rsidRPr="003516DC">
        <w:rPr>
          <w:rFonts w:ascii="Arial" w:hAnsi="Arial" w:cs="Arial"/>
          <w:sz w:val="20"/>
          <w:szCs w:val="20"/>
        </w:rPr>
        <w:t xml:space="preserve"> trends in </w:t>
      </w:r>
      <w:r w:rsidR="00826D4A" w:rsidRPr="003516DC">
        <w:rPr>
          <w:rFonts w:ascii="Arial" w:hAnsi="Arial" w:cs="Arial"/>
          <w:sz w:val="20"/>
          <w:szCs w:val="20"/>
        </w:rPr>
        <w:t xml:space="preserve">the </w:t>
      </w:r>
      <w:r w:rsidR="006F18A6" w:rsidRPr="003516DC">
        <w:rPr>
          <w:rFonts w:ascii="Arial" w:hAnsi="Arial" w:cs="Arial"/>
          <w:sz w:val="20"/>
          <w:szCs w:val="20"/>
        </w:rPr>
        <w:t xml:space="preserve">services sector are </w:t>
      </w:r>
      <w:r w:rsidR="000A2175" w:rsidRPr="003516DC">
        <w:rPr>
          <w:rFonts w:ascii="Arial" w:hAnsi="Arial" w:cs="Arial"/>
          <w:sz w:val="20"/>
          <w:szCs w:val="20"/>
        </w:rPr>
        <w:t xml:space="preserve">also </w:t>
      </w:r>
      <w:r w:rsidR="006F18A6" w:rsidRPr="003516DC">
        <w:rPr>
          <w:rFonts w:ascii="Arial" w:hAnsi="Arial" w:cs="Arial"/>
          <w:sz w:val="20"/>
          <w:szCs w:val="20"/>
        </w:rPr>
        <w:t>encouraging</w:t>
      </w:r>
      <w:r w:rsidR="00810AB6" w:rsidRPr="003516DC">
        <w:rPr>
          <w:rFonts w:ascii="Arial" w:hAnsi="Arial" w:cs="Arial"/>
          <w:sz w:val="20"/>
          <w:szCs w:val="20"/>
        </w:rPr>
        <w:t>.</w:t>
      </w:r>
      <w:r w:rsidR="006F18A6" w:rsidRPr="003516DC">
        <w:rPr>
          <w:rFonts w:ascii="Arial" w:hAnsi="Arial" w:cs="Arial"/>
          <w:sz w:val="20"/>
          <w:szCs w:val="20"/>
        </w:rPr>
        <w:t xml:space="preserve"> </w:t>
      </w:r>
      <w:r w:rsidR="00810AB6" w:rsidRPr="003516DC">
        <w:rPr>
          <w:rFonts w:ascii="Arial" w:hAnsi="Arial" w:cs="Arial"/>
          <w:sz w:val="20"/>
          <w:szCs w:val="20"/>
        </w:rPr>
        <w:t>T</w:t>
      </w:r>
      <w:r w:rsidR="006F18A6" w:rsidRPr="003516DC">
        <w:rPr>
          <w:rFonts w:ascii="Arial" w:hAnsi="Arial" w:cs="Arial"/>
          <w:sz w:val="20"/>
          <w:szCs w:val="20"/>
        </w:rPr>
        <w:t>he knowledge</w:t>
      </w:r>
      <w:r w:rsidR="00810AB6" w:rsidRPr="003516DC">
        <w:rPr>
          <w:rFonts w:ascii="Arial" w:hAnsi="Arial" w:cs="Arial"/>
          <w:sz w:val="20"/>
          <w:szCs w:val="20"/>
        </w:rPr>
        <w:t>-</w:t>
      </w:r>
      <w:r w:rsidR="006F18A6" w:rsidRPr="003516DC">
        <w:rPr>
          <w:rFonts w:ascii="Arial" w:hAnsi="Arial" w:cs="Arial"/>
          <w:sz w:val="20"/>
          <w:szCs w:val="20"/>
        </w:rPr>
        <w:t xml:space="preserve">intensive services sector grew by 140% </w:t>
      </w:r>
      <w:r w:rsidR="005B4DA7" w:rsidRPr="003516DC">
        <w:rPr>
          <w:rFonts w:ascii="Arial" w:hAnsi="Arial" w:cs="Arial"/>
          <w:sz w:val="20"/>
          <w:szCs w:val="20"/>
        </w:rPr>
        <w:t xml:space="preserve">in terms of turnover over </w:t>
      </w:r>
      <w:r w:rsidR="006F18A6" w:rsidRPr="003516DC">
        <w:rPr>
          <w:rFonts w:ascii="Arial" w:hAnsi="Arial" w:cs="Arial"/>
          <w:sz w:val="20"/>
          <w:szCs w:val="20"/>
        </w:rPr>
        <w:t xml:space="preserve">the last decade (2010–2019) compared to 45% </w:t>
      </w:r>
      <w:r w:rsidR="004214A4" w:rsidRPr="003516DC">
        <w:rPr>
          <w:rFonts w:ascii="Arial" w:hAnsi="Arial" w:cs="Arial"/>
          <w:sz w:val="20"/>
          <w:szCs w:val="20"/>
        </w:rPr>
        <w:t xml:space="preserve">for </w:t>
      </w:r>
      <w:r w:rsidR="006F18A6" w:rsidRPr="003516DC">
        <w:rPr>
          <w:rFonts w:ascii="Arial" w:hAnsi="Arial" w:cs="Arial"/>
          <w:sz w:val="20"/>
          <w:szCs w:val="20"/>
        </w:rPr>
        <w:t xml:space="preserve">less technology intensive companies. However, </w:t>
      </w:r>
      <w:r w:rsidR="004214A4" w:rsidRPr="003516DC">
        <w:rPr>
          <w:rFonts w:ascii="Arial" w:hAnsi="Arial" w:cs="Arial"/>
          <w:sz w:val="20"/>
          <w:szCs w:val="20"/>
        </w:rPr>
        <w:t>lower</w:t>
      </w:r>
      <w:r w:rsidR="006F18A6" w:rsidRPr="003516DC">
        <w:rPr>
          <w:rFonts w:ascii="Arial" w:hAnsi="Arial" w:cs="Arial"/>
          <w:sz w:val="20"/>
          <w:szCs w:val="20"/>
        </w:rPr>
        <w:t xml:space="preserve"> knowledge intensive services such as </w:t>
      </w:r>
      <w:r w:rsidR="006F18A6" w:rsidRPr="003516DC">
        <w:rPr>
          <w:rFonts w:ascii="Arial" w:hAnsi="Arial" w:cs="Arial"/>
          <w:sz w:val="20"/>
          <w:szCs w:val="20"/>
        </w:rPr>
        <w:lastRenderedPageBreak/>
        <w:t xml:space="preserve">logistics and retail still represent 87% </w:t>
      </w:r>
      <w:r w:rsidR="004214A4" w:rsidRPr="003516DC">
        <w:rPr>
          <w:rFonts w:ascii="Arial" w:hAnsi="Arial" w:cs="Arial"/>
          <w:sz w:val="20"/>
          <w:szCs w:val="20"/>
        </w:rPr>
        <w:t xml:space="preserve">of </w:t>
      </w:r>
      <w:r w:rsidR="006F18A6" w:rsidRPr="003516DC">
        <w:rPr>
          <w:rFonts w:ascii="Arial" w:hAnsi="Arial" w:cs="Arial"/>
          <w:sz w:val="20"/>
          <w:szCs w:val="20"/>
        </w:rPr>
        <w:t>the total</w:t>
      </w:r>
      <w:r w:rsidR="004214A4" w:rsidRPr="003516DC">
        <w:rPr>
          <w:rFonts w:ascii="Arial" w:hAnsi="Arial" w:cs="Arial"/>
          <w:sz w:val="20"/>
          <w:szCs w:val="20"/>
        </w:rPr>
        <w:t xml:space="preserve"> services sector</w:t>
      </w:r>
      <w:r w:rsidR="006F18A6" w:rsidRPr="003516DC">
        <w:rPr>
          <w:rFonts w:ascii="Arial" w:hAnsi="Arial" w:cs="Arial"/>
          <w:sz w:val="20"/>
          <w:szCs w:val="20"/>
        </w:rPr>
        <w:t xml:space="preserve"> turnover. Table </w:t>
      </w:r>
      <w:r w:rsidR="004E2DCB">
        <w:rPr>
          <w:rFonts w:ascii="Arial" w:hAnsi="Arial" w:cs="Arial"/>
          <w:sz w:val="20"/>
          <w:szCs w:val="20"/>
        </w:rPr>
        <w:t>26</w:t>
      </w:r>
      <w:r w:rsidR="004E2DCB" w:rsidRPr="003516DC">
        <w:rPr>
          <w:rFonts w:ascii="Arial" w:hAnsi="Arial" w:cs="Arial"/>
          <w:sz w:val="20"/>
          <w:szCs w:val="20"/>
        </w:rPr>
        <w:t xml:space="preserve"> </w:t>
      </w:r>
      <w:r w:rsidR="00B11C2B" w:rsidRPr="003516DC">
        <w:rPr>
          <w:rFonts w:ascii="Arial" w:hAnsi="Arial" w:cs="Arial"/>
          <w:sz w:val="20"/>
          <w:szCs w:val="20"/>
        </w:rPr>
        <w:t>provides an overview of the evolution of the services sector by knowledge intensiveness</w:t>
      </w:r>
      <w:r w:rsidR="006F18A6" w:rsidRPr="003516DC">
        <w:rPr>
          <w:rFonts w:ascii="Arial" w:hAnsi="Arial" w:cs="Arial"/>
          <w:sz w:val="20"/>
          <w:szCs w:val="20"/>
        </w:rPr>
        <w:t>.</w:t>
      </w:r>
    </w:p>
    <w:p w14:paraId="72FC0DED" w14:textId="0167B068" w:rsidR="006F18A6" w:rsidRPr="003516DC" w:rsidRDefault="006F18A6" w:rsidP="00D909FC">
      <w:pPr>
        <w:pStyle w:val="Caption"/>
        <w:spacing w:before="0"/>
        <w:ind w:left="1138" w:hanging="1138"/>
      </w:pPr>
      <w:bookmarkStart w:id="124" w:name="_Toc90725980"/>
      <w:bookmarkStart w:id="125" w:name="_Toc90727277"/>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26</w:t>
      </w:r>
      <w:r w:rsidR="0040363E" w:rsidRPr="003516DC">
        <w:rPr>
          <w:noProof/>
        </w:rPr>
        <w:fldChar w:fldCharType="end"/>
      </w:r>
      <w:r w:rsidRPr="003516DC">
        <w:t xml:space="preserve">: Evolution of the services sector by knowledge intensiveness in Hunedoara </w:t>
      </w:r>
      <w:r w:rsidR="00B83D86">
        <w:t>C</w:t>
      </w:r>
      <w:r w:rsidRPr="003516DC">
        <w:t>ounty</w:t>
      </w:r>
      <w:bookmarkEnd w:id="124"/>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911"/>
        <w:gridCol w:w="1679"/>
        <w:gridCol w:w="1784"/>
      </w:tblGrid>
      <w:tr w:rsidR="006F18A6" w:rsidRPr="003516DC" w14:paraId="00EDFCD4" w14:textId="77777777" w:rsidTr="0094603F">
        <w:trPr>
          <w:trHeight w:val="300"/>
          <w:tblHeader/>
        </w:trPr>
        <w:tc>
          <w:tcPr>
            <w:tcW w:w="1991" w:type="pct"/>
            <w:vMerge w:val="restart"/>
            <w:shd w:val="clear" w:color="auto" w:fill="002060"/>
            <w:vAlign w:val="center"/>
            <w:hideMark/>
          </w:tcPr>
          <w:p w14:paraId="30A01A63" w14:textId="77777777" w:rsidR="006F18A6" w:rsidRPr="003516DC" w:rsidRDefault="006F18A6" w:rsidP="006F18A6">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009" w:type="pct"/>
            <w:gridSpan w:val="2"/>
            <w:vMerge w:val="restart"/>
            <w:shd w:val="clear" w:color="auto" w:fill="002060"/>
            <w:vAlign w:val="center"/>
            <w:hideMark/>
          </w:tcPr>
          <w:p w14:paraId="092109AE" w14:textId="77777777"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1000" w:type="pct"/>
            <w:shd w:val="clear" w:color="auto" w:fill="002060"/>
            <w:noWrap/>
            <w:vAlign w:val="center"/>
            <w:hideMark/>
          </w:tcPr>
          <w:p w14:paraId="537D1726" w14:textId="77777777"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6F18A6" w:rsidRPr="003516DC" w14:paraId="652ACFD7" w14:textId="77777777" w:rsidTr="0094603F">
        <w:trPr>
          <w:trHeight w:val="317"/>
          <w:tblHeader/>
        </w:trPr>
        <w:tc>
          <w:tcPr>
            <w:tcW w:w="1991" w:type="pct"/>
            <w:vMerge/>
            <w:shd w:val="clear" w:color="auto" w:fill="002060"/>
            <w:vAlign w:val="center"/>
            <w:hideMark/>
          </w:tcPr>
          <w:p w14:paraId="4508F355" w14:textId="77777777" w:rsidR="006F18A6" w:rsidRPr="003516DC" w:rsidRDefault="006F18A6" w:rsidP="006F18A6">
            <w:pPr>
              <w:rPr>
                <w:rFonts w:ascii="Arial" w:eastAsia="Times New Roman" w:hAnsi="Arial" w:cs="Arial"/>
                <w:b/>
                <w:bCs/>
                <w:color w:val="FFFFFF" w:themeColor="background1"/>
                <w:sz w:val="18"/>
                <w:szCs w:val="18"/>
                <w:lang w:val="en-US"/>
              </w:rPr>
            </w:pPr>
          </w:p>
        </w:tc>
        <w:tc>
          <w:tcPr>
            <w:tcW w:w="2009" w:type="pct"/>
            <w:gridSpan w:val="2"/>
            <w:vMerge/>
            <w:shd w:val="clear" w:color="auto" w:fill="002060"/>
            <w:vAlign w:val="center"/>
            <w:hideMark/>
          </w:tcPr>
          <w:p w14:paraId="036BE511" w14:textId="77777777" w:rsidR="006F18A6" w:rsidRPr="003516DC" w:rsidRDefault="006F18A6" w:rsidP="006F18A6">
            <w:pPr>
              <w:rPr>
                <w:rFonts w:ascii="Arial" w:eastAsia="Times New Roman" w:hAnsi="Arial" w:cs="Arial"/>
                <w:b/>
                <w:bCs/>
                <w:color w:val="FFFFFF" w:themeColor="background1"/>
                <w:sz w:val="18"/>
                <w:szCs w:val="18"/>
                <w:lang w:val="en-US"/>
              </w:rPr>
            </w:pPr>
          </w:p>
        </w:tc>
        <w:tc>
          <w:tcPr>
            <w:tcW w:w="1000" w:type="pct"/>
            <w:vMerge w:val="restart"/>
            <w:shd w:val="clear" w:color="auto" w:fill="002060"/>
            <w:noWrap/>
            <w:vAlign w:val="center"/>
            <w:hideMark/>
          </w:tcPr>
          <w:p w14:paraId="4F4011B0" w14:textId="77777777"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5D3F6C4E" w14:textId="67F36F8B" w:rsidR="006F18A6" w:rsidRPr="003516DC" w:rsidRDefault="006F18A6" w:rsidP="006F18A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6F18A6" w:rsidRPr="003516DC" w14:paraId="0A9C2F99" w14:textId="77777777" w:rsidTr="0094603F">
        <w:trPr>
          <w:trHeight w:val="385"/>
          <w:tblHeader/>
        </w:trPr>
        <w:tc>
          <w:tcPr>
            <w:tcW w:w="1991" w:type="pct"/>
            <w:vMerge/>
            <w:vAlign w:val="center"/>
            <w:hideMark/>
          </w:tcPr>
          <w:p w14:paraId="36744D56" w14:textId="77777777" w:rsidR="006F18A6" w:rsidRPr="003516DC" w:rsidRDefault="006F18A6" w:rsidP="006F18A6">
            <w:pPr>
              <w:rPr>
                <w:rFonts w:ascii="Arial" w:eastAsia="Times New Roman" w:hAnsi="Arial" w:cs="Arial"/>
                <w:b/>
                <w:bCs/>
                <w:color w:val="000000"/>
                <w:sz w:val="18"/>
                <w:szCs w:val="18"/>
                <w:lang w:val="en-US"/>
              </w:rPr>
            </w:pPr>
          </w:p>
        </w:tc>
        <w:tc>
          <w:tcPr>
            <w:tcW w:w="1070" w:type="pct"/>
            <w:shd w:val="clear" w:color="auto" w:fill="D9D9D9" w:themeFill="background1" w:themeFillShade="D9"/>
            <w:noWrap/>
            <w:vAlign w:val="center"/>
            <w:hideMark/>
          </w:tcPr>
          <w:p w14:paraId="26C7BB1A"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940" w:type="pct"/>
            <w:shd w:val="clear" w:color="auto" w:fill="D9D9D9" w:themeFill="background1" w:themeFillShade="D9"/>
            <w:vAlign w:val="center"/>
            <w:hideMark/>
          </w:tcPr>
          <w:p w14:paraId="5761ACA3"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1000" w:type="pct"/>
            <w:vMerge/>
            <w:shd w:val="clear" w:color="000000" w:fill="FDE9D9"/>
            <w:noWrap/>
            <w:vAlign w:val="center"/>
            <w:hideMark/>
          </w:tcPr>
          <w:p w14:paraId="5928BB09" w14:textId="27FA7AA7" w:rsidR="006F18A6" w:rsidRPr="003516DC" w:rsidRDefault="006F18A6" w:rsidP="006F18A6">
            <w:pPr>
              <w:jc w:val="center"/>
              <w:rPr>
                <w:rFonts w:ascii="Arial" w:eastAsia="Times New Roman" w:hAnsi="Arial" w:cs="Arial"/>
                <w:b/>
                <w:bCs/>
                <w:color w:val="000000"/>
                <w:sz w:val="18"/>
                <w:szCs w:val="18"/>
                <w:lang w:val="en-US"/>
              </w:rPr>
            </w:pPr>
          </w:p>
        </w:tc>
      </w:tr>
      <w:tr w:rsidR="006F18A6" w:rsidRPr="003516DC" w14:paraId="0BE32417" w14:textId="77777777" w:rsidTr="0094603F">
        <w:trPr>
          <w:trHeight w:val="315"/>
        </w:trPr>
        <w:tc>
          <w:tcPr>
            <w:tcW w:w="1991" w:type="pct"/>
            <w:shd w:val="clear" w:color="000000" w:fill="FFFFFF"/>
            <w:vAlign w:val="center"/>
            <w:hideMark/>
          </w:tcPr>
          <w:p w14:paraId="24DAC691" w14:textId="77777777" w:rsidR="006F18A6" w:rsidRPr="003516DC" w:rsidRDefault="006F18A6" w:rsidP="006F18A6">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Total services</w:t>
            </w:r>
          </w:p>
        </w:tc>
        <w:tc>
          <w:tcPr>
            <w:tcW w:w="1070" w:type="pct"/>
            <w:shd w:val="clear" w:color="000000" w:fill="FFFFFF"/>
            <w:noWrap/>
            <w:vAlign w:val="center"/>
            <w:hideMark/>
          </w:tcPr>
          <w:p w14:paraId="7800752D" w14:textId="1A10628B"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4,101,861,635</w:t>
            </w:r>
          </w:p>
        </w:tc>
        <w:tc>
          <w:tcPr>
            <w:tcW w:w="940" w:type="pct"/>
            <w:shd w:val="clear" w:color="000000" w:fill="FFFFFF"/>
            <w:noWrap/>
            <w:vAlign w:val="center"/>
            <w:hideMark/>
          </w:tcPr>
          <w:p w14:paraId="449C2AA5" w14:textId="1D0BA5DB"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6,248,400,562</w:t>
            </w:r>
          </w:p>
        </w:tc>
        <w:tc>
          <w:tcPr>
            <w:tcW w:w="1000" w:type="pct"/>
            <w:shd w:val="clear" w:color="auto" w:fill="auto"/>
            <w:noWrap/>
            <w:vAlign w:val="center"/>
            <w:hideMark/>
          </w:tcPr>
          <w:p w14:paraId="361CD9FA" w14:textId="77777777" w:rsidR="006F18A6" w:rsidRPr="003516DC" w:rsidRDefault="006F18A6" w:rsidP="006F18A6">
            <w:pPr>
              <w:jc w:val="cente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52%</w:t>
            </w:r>
          </w:p>
        </w:tc>
      </w:tr>
      <w:tr w:rsidR="006F18A6" w:rsidRPr="003516DC" w14:paraId="3FC8716D" w14:textId="77777777" w:rsidTr="0094603F">
        <w:trPr>
          <w:trHeight w:val="315"/>
        </w:trPr>
        <w:tc>
          <w:tcPr>
            <w:tcW w:w="1991" w:type="pct"/>
            <w:shd w:val="clear" w:color="auto" w:fill="auto"/>
            <w:noWrap/>
            <w:vAlign w:val="center"/>
            <w:hideMark/>
          </w:tcPr>
          <w:p w14:paraId="23EC38C9" w14:textId="77777777" w:rsidR="006F18A6" w:rsidRPr="003516DC" w:rsidRDefault="006F18A6" w:rsidP="006F18A6">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070" w:type="pct"/>
            <w:shd w:val="clear" w:color="auto" w:fill="auto"/>
            <w:noWrap/>
            <w:vAlign w:val="center"/>
            <w:hideMark/>
          </w:tcPr>
          <w:p w14:paraId="384B33DD" w14:textId="41982E6C"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312,770,733</w:t>
            </w:r>
          </w:p>
        </w:tc>
        <w:tc>
          <w:tcPr>
            <w:tcW w:w="940" w:type="pct"/>
            <w:shd w:val="clear" w:color="auto" w:fill="auto"/>
            <w:noWrap/>
            <w:vAlign w:val="center"/>
            <w:hideMark/>
          </w:tcPr>
          <w:p w14:paraId="38116BA5" w14:textId="6F2ABBAB"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749,471,569</w:t>
            </w:r>
          </w:p>
        </w:tc>
        <w:tc>
          <w:tcPr>
            <w:tcW w:w="1000" w:type="pct"/>
            <w:shd w:val="clear" w:color="auto" w:fill="auto"/>
            <w:noWrap/>
            <w:vAlign w:val="center"/>
            <w:hideMark/>
          </w:tcPr>
          <w:p w14:paraId="0F5B61ED" w14:textId="77777777" w:rsidR="006F18A6" w:rsidRPr="003516DC" w:rsidRDefault="006F18A6" w:rsidP="006F18A6">
            <w:pPr>
              <w:jc w:val="cente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140%</w:t>
            </w:r>
          </w:p>
        </w:tc>
      </w:tr>
      <w:tr w:rsidR="006F18A6" w:rsidRPr="003516DC" w14:paraId="4DAEDB06" w14:textId="77777777" w:rsidTr="0094603F">
        <w:trPr>
          <w:trHeight w:val="315"/>
        </w:trPr>
        <w:tc>
          <w:tcPr>
            <w:tcW w:w="1991" w:type="pct"/>
            <w:shd w:val="clear" w:color="auto" w:fill="auto"/>
            <w:vAlign w:val="center"/>
            <w:hideMark/>
          </w:tcPr>
          <w:p w14:paraId="07B44282"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High-tech knowledge-intensive services:</w:t>
            </w:r>
          </w:p>
        </w:tc>
        <w:tc>
          <w:tcPr>
            <w:tcW w:w="1070" w:type="pct"/>
            <w:shd w:val="clear" w:color="auto" w:fill="auto"/>
            <w:noWrap/>
            <w:vAlign w:val="center"/>
            <w:hideMark/>
          </w:tcPr>
          <w:p w14:paraId="29683BE3" w14:textId="0BBFA8E0"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46,953,444</w:t>
            </w:r>
          </w:p>
        </w:tc>
        <w:tc>
          <w:tcPr>
            <w:tcW w:w="940" w:type="pct"/>
            <w:shd w:val="clear" w:color="auto" w:fill="auto"/>
            <w:noWrap/>
            <w:vAlign w:val="center"/>
            <w:hideMark/>
          </w:tcPr>
          <w:p w14:paraId="1ECE31F5" w14:textId="678350CA"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97,967,018</w:t>
            </w:r>
          </w:p>
        </w:tc>
        <w:tc>
          <w:tcPr>
            <w:tcW w:w="1000" w:type="pct"/>
            <w:shd w:val="clear" w:color="auto" w:fill="auto"/>
            <w:noWrap/>
            <w:vAlign w:val="center"/>
            <w:hideMark/>
          </w:tcPr>
          <w:p w14:paraId="675F4A36"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109%</w:t>
            </w:r>
          </w:p>
        </w:tc>
      </w:tr>
      <w:tr w:rsidR="006F18A6" w:rsidRPr="003516DC" w14:paraId="2A60E9BF" w14:textId="77777777" w:rsidTr="0094603F">
        <w:trPr>
          <w:trHeight w:val="315"/>
        </w:trPr>
        <w:tc>
          <w:tcPr>
            <w:tcW w:w="1991" w:type="pct"/>
            <w:shd w:val="clear" w:color="auto" w:fill="auto"/>
            <w:vAlign w:val="center"/>
            <w:hideMark/>
          </w:tcPr>
          <w:p w14:paraId="4815541D"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070" w:type="pct"/>
            <w:shd w:val="clear" w:color="auto" w:fill="auto"/>
            <w:noWrap/>
            <w:vAlign w:val="center"/>
            <w:hideMark/>
          </w:tcPr>
          <w:p w14:paraId="7548BBB1" w14:textId="4D771658"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12,657,543</w:t>
            </w:r>
          </w:p>
        </w:tc>
        <w:tc>
          <w:tcPr>
            <w:tcW w:w="940" w:type="pct"/>
            <w:shd w:val="clear" w:color="auto" w:fill="auto"/>
            <w:noWrap/>
            <w:vAlign w:val="center"/>
            <w:hideMark/>
          </w:tcPr>
          <w:p w14:paraId="0255695E" w14:textId="7C3ED921"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30,766,885</w:t>
            </w:r>
          </w:p>
        </w:tc>
        <w:tc>
          <w:tcPr>
            <w:tcW w:w="1000" w:type="pct"/>
            <w:shd w:val="clear" w:color="auto" w:fill="auto"/>
            <w:noWrap/>
            <w:vAlign w:val="center"/>
            <w:hideMark/>
          </w:tcPr>
          <w:p w14:paraId="21B7FC90"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143%</w:t>
            </w:r>
          </w:p>
        </w:tc>
      </w:tr>
      <w:tr w:rsidR="006F18A6" w:rsidRPr="003516DC" w14:paraId="41C138E2" w14:textId="77777777" w:rsidTr="0094603F">
        <w:trPr>
          <w:trHeight w:val="315"/>
        </w:trPr>
        <w:tc>
          <w:tcPr>
            <w:tcW w:w="1991" w:type="pct"/>
            <w:shd w:val="clear" w:color="auto" w:fill="auto"/>
            <w:vAlign w:val="center"/>
            <w:hideMark/>
          </w:tcPr>
          <w:p w14:paraId="62F40F2A"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070" w:type="pct"/>
            <w:shd w:val="clear" w:color="auto" w:fill="auto"/>
            <w:noWrap/>
            <w:vAlign w:val="center"/>
            <w:hideMark/>
          </w:tcPr>
          <w:p w14:paraId="47F6A2BD" w14:textId="75F2AA75"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2,638,831</w:t>
            </w:r>
          </w:p>
        </w:tc>
        <w:tc>
          <w:tcPr>
            <w:tcW w:w="940" w:type="pct"/>
            <w:shd w:val="clear" w:color="auto" w:fill="auto"/>
            <w:noWrap/>
            <w:vAlign w:val="center"/>
            <w:hideMark/>
          </w:tcPr>
          <w:p w14:paraId="5BCDF663" w14:textId="15454144"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6,447,972</w:t>
            </w:r>
          </w:p>
        </w:tc>
        <w:tc>
          <w:tcPr>
            <w:tcW w:w="1000" w:type="pct"/>
            <w:shd w:val="clear" w:color="auto" w:fill="auto"/>
            <w:noWrap/>
            <w:vAlign w:val="center"/>
            <w:hideMark/>
          </w:tcPr>
          <w:p w14:paraId="077229FB"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144%</w:t>
            </w:r>
          </w:p>
        </w:tc>
      </w:tr>
      <w:tr w:rsidR="006F18A6" w:rsidRPr="003516DC" w14:paraId="2BB0DB50" w14:textId="77777777" w:rsidTr="0094603F">
        <w:trPr>
          <w:trHeight w:val="315"/>
        </w:trPr>
        <w:tc>
          <w:tcPr>
            <w:tcW w:w="1991" w:type="pct"/>
            <w:shd w:val="clear" w:color="auto" w:fill="auto"/>
            <w:vAlign w:val="center"/>
            <w:hideMark/>
          </w:tcPr>
          <w:p w14:paraId="2CB00082"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070" w:type="pct"/>
            <w:shd w:val="clear" w:color="auto" w:fill="auto"/>
            <w:noWrap/>
            <w:vAlign w:val="center"/>
            <w:hideMark/>
          </w:tcPr>
          <w:p w14:paraId="77103CDC" w14:textId="2E627350"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31,657,070</w:t>
            </w:r>
          </w:p>
        </w:tc>
        <w:tc>
          <w:tcPr>
            <w:tcW w:w="940" w:type="pct"/>
            <w:shd w:val="clear" w:color="auto" w:fill="auto"/>
            <w:noWrap/>
            <w:vAlign w:val="center"/>
            <w:hideMark/>
          </w:tcPr>
          <w:p w14:paraId="44FBC89F" w14:textId="066C63CA"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60,752,161</w:t>
            </w:r>
          </w:p>
        </w:tc>
        <w:tc>
          <w:tcPr>
            <w:tcW w:w="1000" w:type="pct"/>
            <w:shd w:val="clear" w:color="auto" w:fill="auto"/>
            <w:noWrap/>
            <w:vAlign w:val="center"/>
            <w:hideMark/>
          </w:tcPr>
          <w:p w14:paraId="0A4C499E"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92%</w:t>
            </w:r>
          </w:p>
        </w:tc>
      </w:tr>
      <w:tr w:rsidR="006F18A6" w:rsidRPr="003516DC" w14:paraId="76DE6B92" w14:textId="77777777" w:rsidTr="0094603F">
        <w:trPr>
          <w:trHeight w:val="315"/>
        </w:trPr>
        <w:tc>
          <w:tcPr>
            <w:tcW w:w="1991" w:type="pct"/>
            <w:shd w:val="clear" w:color="auto" w:fill="auto"/>
            <w:vAlign w:val="center"/>
            <w:hideMark/>
          </w:tcPr>
          <w:p w14:paraId="3ADA4648"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070" w:type="pct"/>
            <w:shd w:val="clear" w:color="auto" w:fill="auto"/>
            <w:noWrap/>
            <w:vAlign w:val="center"/>
            <w:hideMark/>
          </w:tcPr>
          <w:p w14:paraId="62C7172A" w14:textId="47072563"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27,627,299</w:t>
            </w:r>
          </w:p>
        </w:tc>
        <w:tc>
          <w:tcPr>
            <w:tcW w:w="940" w:type="pct"/>
            <w:shd w:val="clear" w:color="auto" w:fill="auto"/>
            <w:noWrap/>
            <w:vAlign w:val="center"/>
            <w:hideMark/>
          </w:tcPr>
          <w:p w14:paraId="0AD08C63" w14:textId="37D07D1C"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44,847,205</w:t>
            </w:r>
          </w:p>
        </w:tc>
        <w:tc>
          <w:tcPr>
            <w:tcW w:w="1000" w:type="pct"/>
            <w:shd w:val="clear" w:color="auto" w:fill="auto"/>
            <w:noWrap/>
            <w:vAlign w:val="center"/>
            <w:hideMark/>
          </w:tcPr>
          <w:p w14:paraId="7DA67B8A"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62%</w:t>
            </w:r>
          </w:p>
        </w:tc>
      </w:tr>
      <w:tr w:rsidR="006F18A6" w:rsidRPr="003516DC" w14:paraId="420A556B" w14:textId="77777777" w:rsidTr="0094603F">
        <w:trPr>
          <w:trHeight w:val="315"/>
        </w:trPr>
        <w:tc>
          <w:tcPr>
            <w:tcW w:w="1991" w:type="pct"/>
            <w:shd w:val="clear" w:color="auto" w:fill="auto"/>
            <w:vAlign w:val="center"/>
            <w:hideMark/>
          </w:tcPr>
          <w:p w14:paraId="4DD1A56B"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070" w:type="pct"/>
            <w:shd w:val="clear" w:color="auto" w:fill="auto"/>
            <w:noWrap/>
            <w:vAlign w:val="center"/>
            <w:hideMark/>
          </w:tcPr>
          <w:p w14:paraId="7EC3CA91" w14:textId="7949CE09"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185,291,426</w:t>
            </w:r>
          </w:p>
        </w:tc>
        <w:tc>
          <w:tcPr>
            <w:tcW w:w="940" w:type="pct"/>
            <w:shd w:val="clear" w:color="auto" w:fill="auto"/>
            <w:noWrap/>
            <w:vAlign w:val="center"/>
            <w:hideMark/>
          </w:tcPr>
          <w:p w14:paraId="383F0E91" w14:textId="79CACFC1"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329,925,305</w:t>
            </w:r>
          </w:p>
        </w:tc>
        <w:tc>
          <w:tcPr>
            <w:tcW w:w="1000" w:type="pct"/>
            <w:shd w:val="clear" w:color="auto" w:fill="auto"/>
            <w:noWrap/>
            <w:vAlign w:val="center"/>
            <w:hideMark/>
          </w:tcPr>
          <w:p w14:paraId="661EAE1C"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78%</w:t>
            </w:r>
          </w:p>
        </w:tc>
      </w:tr>
      <w:tr w:rsidR="006F18A6" w:rsidRPr="003516DC" w14:paraId="69D4F68C" w14:textId="77777777" w:rsidTr="0094603F">
        <w:trPr>
          <w:trHeight w:val="315"/>
        </w:trPr>
        <w:tc>
          <w:tcPr>
            <w:tcW w:w="1991" w:type="pct"/>
            <w:shd w:val="clear" w:color="auto" w:fill="auto"/>
            <w:vAlign w:val="center"/>
            <w:hideMark/>
          </w:tcPr>
          <w:p w14:paraId="217BBD45"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070" w:type="pct"/>
            <w:shd w:val="clear" w:color="auto" w:fill="auto"/>
            <w:noWrap/>
            <w:vAlign w:val="center"/>
            <w:hideMark/>
          </w:tcPr>
          <w:p w14:paraId="2318B9EA" w14:textId="7CA22CA8"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52,898,564</w:t>
            </w:r>
          </w:p>
        </w:tc>
        <w:tc>
          <w:tcPr>
            <w:tcW w:w="940" w:type="pct"/>
            <w:shd w:val="clear" w:color="auto" w:fill="auto"/>
            <w:noWrap/>
            <w:vAlign w:val="center"/>
            <w:hideMark/>
          </w:tcPr>
          <w:p w14:paraId="06A1022E" w14:textId="0CDA2FE4"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276,732,041</w:t>
            </w:r>
          </w:p>
        </w:tc>
        <w:tc>
          <w:tcPr>
            <w:tcW w:w="1000" w:type="pct"/>
            <w:shd w:val="clear" w:color="auto" w:fill="auto"/>
            <w:noWrap/>
            <w:vAlign w:val="center"/>
            <w:hideMark/>
          </w:tcPr>
          <w:p w14:paraId="69DD4CB7"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423%</w:t>
            </w:r>
          </w:p>
        </w:tc>
      </w:tr>
      <w:tr w:rsidR="006F18A6" w:rsidRPr="003516DC" w14:paraId="2F3C43A9" w14:textId="77777777" w:rsidTr="0094603F">
        <w:trPr>
          <w:trHeight w:val="315"/>
        </w:trPr>
        <w:tc>
          <w:tcPr>
            <w:tcW w:w="1991" w:type="pct"/>
            <w:shd w:val="clear" w:color="auto" w:fill="auto"/>
            <w:noWrap/>
            <w:vAlign w:val="center"/>
            <w:hideMark/>
          </w:tcPr>
          <w:p w14:paraId="2A03528B" w14:textId="77777777" w:rsidR="006F18A6" w:rsidRPr="003516DC" w:rsidRDefault="006F18A6" w:rsidP="006F18A6">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070" w:type="pct"/>
            <w:shd w:val="clear" w:color="auto" w:fill="auto"/>
            <w:noWrap/>
            <w:vAlign w:val="center"/>
            <w:hideMark/>
          </w:tcPr>
          <w:p w14:paraId="5C8277BC" w14:textId="2ED57AD6"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3,789,090,902</w:t>
            </w:r>
          </w:p>
        </w:tc>
        <w:tc>
          <w:tcPr>
            <w:tcW w:w="940" w:type="pct"/>
            <w:shd w:val="clear" w:color="auto" w:fill="auto"/>
            <w:noWrap/>
            <w:vAlign w:val="center"/>
            <w:hideMark/>
          </w:tcPr>
          <w:p w14:paraId="14384DF4" w14:textId="0798C1C2" w:rsidR="006F18A6" w:rsidRPr="003516DC" w:rsidRDefault="006F18A6" w:rsidP="006F18A6">
            <w:pPr>
              <w:jc w:val="right"/>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5,498,928,993</w:t>
            </w:r>
          </w:p>
        </w:tc>
        <w:tc>
          <w:tcPr>
            <w:tcW w:w="1000" w:type="pct"/>
            <w:shd w:val="clear" w:color="auto" w:fill="auto"/>
            <w:noWrap/>
            <w:vAlign w:val="center"/>
            <w:hideMark/>
          </w:tcPr>
          <w:p w14:paraId="4F133745" w14:textId="77777777" w:rsidR="006F18A6" w:rsidRPr="003516DC" w:rsidRDefault="006F18A6" w:rsidP="006F18A6">
            <w:pPr>
              <w:jc w:val="cente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45%</w:t>
            </w:r>
          </w:p>
        </w:tc>
      </w:tr>
      <w:tr w:rsidR="006F18A6" w:rsidRPr="003516DC" w14:paraId="2E9FD421" w14:textId="77777777" w:rsidTr="0094603F">
        <w:trPr>
          <w:trHeight w:val="315"/>
        </w:trPr>
        <w:tc>
          <w:tcPr>
            <w:tcW w:w="1991" w:type="pct"/>
            <w:shd w:val="clear" w:color="auto" w:fill="auto"/>
            <w:vAlign w:val="center"/>
            <w:hideMark/>
          </w:tcPr>
          <w:p w14:paraId="35FC6BF5"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070" w:type="pct"/>
            <w:shd w:val="clear" w:color="auto" w:fill="auto"/>
            <w:noWrap/>
            <w:vAlign w:val="center"/>
            <w:hideMark/>
          </w:tcPr>
          <w:p w14:paraId="2FC66D5F" w14:textId="6AD4679E"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3,769,497,442</w:t>
            </w:r>
          </w:p>
        </w:tc>
        <w:tc>
          <w:tcPr>
            <w:tcW w:w="940" w:type="pct"/>
            <w:shd w:val="clear" w:color="auto" w:fill="auto"/>
            <w:noWrap/>
            <w:vAlign w:val="center"/>
            <w:hideMark/>
          </w:tcPr>
          <w:p w14:paraId="6A5EA768" w14:textId="71CF6AE1"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5,446,365,241</w:t>
            </w:r>
          </w:p>
        </w:tc>
        <w:tc>
          <w:tcPr>
            <w:tcW w:w="1000" w:type="pct"/>
            <w:shd w:val="clear" w:color="auto" w:fill="auto"/>
            <w:noWrap/>
            <w:vAlign w:val="center"/>
            <w:hideMark/>
          </w:tcPr>
          <w:p w14:paraId="4C492F13"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44%</w:t>
            </w:r>
          </w:p>
        </w:tc>
      </w:tr>
      <w:tr w:rsidR="006F18A6" w:rsidRPr="003516DC" w14:paraId="4E53BC04" w14:textId="77777777" w:rsidTr="0094603F">
        <w:trPr>
          <w:trHeight w:val="315"/>
        </w:trPr>
        <w:tc>
          <w:tcPr>
            <w:tcW w:w="1991" w:type="pct"/>
            <w:shd w:val="clear" w:color="auto" w:fill="auto"/>
            <w:vAlign w:val="center"/>
            <w:hideMark/>
          </w:tcPr>
          <w:p w14:paraId="4499C2DD" w14:textId="77777777" w:rsidR="006F18A6" w:rsidRPr="003516DC" w:rsidRDefault="006F18A6" w:rsidP="006F18A6">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070" w:type="pct"/>
            <w:shd w:val="clear" w:color="auto" w:fill="auto"/>
            <w:noWrap/>
            <w:vAlign w:val="center"/>
            <w:hideMark/>
          </w:tcPr>
          <w:p w14:paraId="59D5800F" w14:textId="7E2D5BC2"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19,593,460</w:t>
            </w:r>
          </w:p>
        </w:tc>
        <w:tc>
          <w:tcPr>
            <w:tcW w:w="940" w:type="pct"/>
            <w:shd w:val="clear" w:color="auto" w:fill="auto"/>
            <w:noWrap/>
            <w:vAlign w:val="center"/>
            <w:hideMark/>
          </w:tcPr>
          <w:p w14:paraId="6E9EAF3D" w14:textId="2B5CBC95" w:rsidR="006F18A6" w:rsidRPr="003516DC" w:rsidRDefault="006F18A6" w:rsidP="006F18A6">
            <w:pPr>
              <w:jc w:val="right"/>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52,563,752</w:t>
            </w:r>
          </w:p>
        </w:tc>
        <w:tc>
          <w:tcPr>
            <w:tcW w:w="1000" w:type="pct"/>
            <w:shd w:val="clear" w:color="auto" w:fill="auto"/>
            <w:noWrap/>
            <w:vAlign w:val="center"/>
            <w:hideMark/>
          </w:tcPr>
          <w:p w14:paraId="58B5B7A9" w14:textId="77777777" w:rsidR="006F18A6" w:rsidRPr="003516DC" w:rsidRDefault="006F18A6" w:rsidP="006F18A6">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168%</w:t>
            </w:r>
          </w:p>
        </w:tc>
      </w:tr>
    </w:tbl>
    <w:p w14:paraId="37A85197" w14:textId="331D77A0" w:rsidR="006F18A6" w:rsidRPr="003516DC" w:rsidRDefault="00BA16DA" w:rsidP="00D909FC">
      <w:pPr>
        <w:spacing w:after="120"/>
        <w:rPr>
          <w:rFonts w:ascii="Arial" w:hAnsi="Arial" w:cs="Arial"/>
          <w:i/>
          <w:color w:val="1155CC"/>
          <w:sz w:val="16"/>
          <w:szCs w:val="16"/>
          <w:u w:val="single"/>
        </w:rPr>
      </w:pPr>
      <w:r w:rsidRPr="003516DC">
        <w:rPr>
          <w:rFonts w:ascii="Arial" w:hAnsi="Arial" w:cs="Arial"/>
          <w:i/>
          <w:sz w:val="16"/>
          <w:szCs w:val="16"/>
        </w:rPr>
        <w:t xml:space="preserve">Source: processing of </w:t>
      </w:r>
      <w:r w:rsidR="0093379D" w:rsidRPr="003516DC">
        <w:rPr>
          <w:rFonts w:ascii="Arial" w:hAnsi="Arial" w:cs="Arial"/>
          <w:i/>
          <w:sz w:val="16"/>
          <w:szCs w:val="16"/>
        </w:rPr>
        <w:t xml:space="preserve">National Trade Register Office </w:t>
      </w:r>
      <w:r w:rsidRPr="003516DC">
        <w:rPr>
          <w:rFonts w:ascii="Arial" w:hAnsi="Arial" w:cs="Arial"/>
          <w:i/>
          <w:sz w:val="16"/>
          <w:szCs w:val="16"/>
        </w:rPr>
        <w:t>data, based on EC KIS classification of NACE codes</w:t>
      </w:r>
      <w:hyperlink r:id="rId61">
        <w:r w:rsidRPr="003516DC">
          <w:rPr>
            <w:rFonts w:ascii="Arial" w:hAnsi="Arial" w:cs="Arial"/>
            <w:i/>
            <w:sz w:val="16"/>
            <w:szCs w:val="16"/>
          </w:rPr>
          <w:t xml:space="preserve"> </w:t>
        </w:r>
      </w:hyperlink>
      <w:hyperlink r:id="rId62">
        <w:r w:rsidRPr="003516DC">
          <w:rPr>
            <w:rFonts w:ascii="Arial" w:hAnsi="Arial" w:cs="Arial"/>
            <w:i/>
            <w:color w:val="1155CC"/>
            <w:sz w:val="16"/>
            <w:szCs w:val="16"/>
            <w:u w:val="single"/>
          </w:rPr>
          <w:t>https://ec.europa.eu/eurostat/statistics-explained/index.php/Glossary:Knowledge-intensive_services_(KIS)</w:t>
        </w:r>
      </w:hyperlink>
    </w:p>
    <w:p w14:paraId="08952E8B" w14:textId="34E3F8B1" w:rsidR="006F18A6" w:rsidRDefault="00BA16DA" w:rsidP="00B83D86">
      <w:pPr>
        <w:spacing w:after="120"/>
        <w:jc w:val="both"/>
        <w:rPr>
          <w:rFonts w:ascii="Arial" w:hAnsi="Arial" w:cs="Arial"/>
          <w:sz w:val="20"/>
          <w:szCs w:val="20"/>
        </w:rPr>
      </w:pPr>
      <w:r w:rsidRPr="003516DC">
        <w:rPr>
          <w:rFonts w:ascii="Arial" w:hAnsi="Arial" w:cs="Arial"/>
          <w:sz w:val="20"/>
          <w:szCs w:val="20"/>
        </w:rPr>
        <w:t>In terms of employment during the last decade</w:t>
      </w:r>
      <w:r w:rsidR="009116D4" w:rsidRPr="003516DC">
        <w:rPr>
          <w:rFonts w:ascii="Arial" w:hAnsi="Arial" w:cs="Arial"/>
          <w:sz w:val="20"/>
          <w:szCs w:val="20"/>
        </w:rPr>
        <w:t>,</w:t>
      </w:r>
      <w:r w:rsidRPr="003516DC">
        <w:rPr>
          <w:rFonts w:ascii="Arial" w:hAnsi="Arial" w:cs="Arial"/>
          <w:sz w:val="20"/>
          <w:szCs w:val="20"/>
        </w:rPr>
        <w:t xml:space="preserve"> the growth of employment in the knowledge-intensive sector was modest (1.7%)</w:t>
      </w:r>
      <w:r w:rsidR="00EF69BE" w:rsidRPr="003516DC">
        <w:rPr>
          <w:rFonts w:ascii="Arial" w:hAnsi="Arial" w:cs="Arial"/>
          <w:sz w:val="20"/>
          <w:szCs w:val="20"/>
        </w:rPr>
        <w:t xml:space="preserve">, and IT&amp;C employment </w:t>
      </w:r>
      <w:r w:rsidRPr="003516DC">
        <w:rPr>
          <w:rFonts w:ascii="Arial" w:hAnsi="Arial" w:cs="Arial"/>
          <w:sz w:val="20"/>
          <w:szCs w:val="20"/>
        </w:rPr>
        <w:t>actually decreased by 9.7%.</w:t>
      </w:r>
    </w:p>
    <w:p w14:paraId="28C8718C" w14:textId="5B7EC0D8" w:rsidR="00B83D86" w:rsidRPr="00B83D86" w:rsidRDefault="00B83D86" w:rsidP="00B83D86">
      <w:pPr>
        <w:pStyle w:val="Heading4"/>
        <w:spacing w:before="0" w:after="120"/>
        <w:rPr>
          <w:sz w:val="20"/>
          <w:szCs w:val="20"/>
        </w:rPr>
      </w:pPr>
      <w:r w:rsidRPr="00B83D86">
        <w:rPr>
          <w:sz w:val="20"/>
          <w:szCs w:val="20"/>
        </w:rPr>
        <w:t>Renewable energy production</w:t>
      </w:r>
    </w:p>
    <w:p w14:paraId="64EA4D01" w14:textId="3512656D" w:rsidR="00366F12" w:rsidRDefault="00366F12" w:rsidP="00B83D86">
      <w:pPr>
        <w:spacing w:after="120"/>
        <w:jc w:val="both"/>
        <w:rPr>
          <w:rFonts w:ascii="Arial" w:hAnsi="Arial" w:cs="Arial"/>
          <w:sz w:val="20"/>
          <w:szCs w:val="20"/>
        </w:rPr>
      </w:pPr>
      <w:r>
        <w:rPr>
          <w:rFonts w:ascii="Arial" w:hAnsi="Arial" w:cs="Arial"/>
          <w:sz w:val="20"/>
          <w:szCs w:val="20"/>
        </w:rPr>
        <w:t xml:space="preserve">In terms of </w:t>
      </w:r>
      <w:r w:rsidRPr="00402580">
        <w:rPr>
          <w:rFonts w:ascii="Arial" w:hAnsi="Arial" w:cs="Arial"/>
          <w:b/>
          <w:bCs/>
          <w:sz w:val="20"/>
          <w:szCs w:val="20"/>
        </w:rPr>
        <w:t>renewable energy production</w:t>
      </w:r>
      <w:r w:rsidRPr="009E20EC">
        <w:rPr>
          <w:rFonts w:ascii="Arial" w:hAnsi="Arial" w:cs="Arial"/>
          <w:sz w:val="20"/>
          <w:szCs w:val="20"/>
        </w:rPr>
        <w:t xml:space="preserve">, </w:t>
      </w:r>
      <w:r w:rsidRPr="00402580">
        <w:rPr>
          <w:rFonts w:ascii="Arial" w:hAnsi="Arial" w:cs="Arial"/>
          <w:sz w:val="20"/>
          <w:szCs w:val="20"/>
        </w:rPr>
        <w:t xml:space="preserve">less competitive solar PV projects can be developed in Hunedoara as compared to Gorj, Dolj and Prahova, but these projects will also be highly competitive in comparison to spot prices observed in 2019-2020. </w:t>
      </w:r>
      <w:r w:rsidR="00D909FC">
        <w:rPr>
          <w:rFonts w:ascii="Arial" w:hAnsi="Arial" w:cs="Arial"/>
          <w:sz w:val="20"/>
          <w:szCs w:val="20"/>
        </w:rPr>
        <w:t>Hunedoara</w:t>
      </w:r>
      <w:r w:rsidR="00D909FC" w:rsidRPr="00402580">
        <w:rPr>
          <w:rFonts w:ascii="Arial" w:hAnsi="Arial" w:cs="Arial"/>
          <w:sz w:val="20"/>
          <w:szCs w:val="20"/>
        </w:rPr>
        <w:t xml:space="preserve"> </w:t>
      </w:r>
      <w:r w:rsidRPr="00402580">
        <w:rPr>
          <w:rFonts w:ascii="Arial" w:hAnsi="Arial" w:cs="Arial"/>
          <w:sz w:val="20"/>
          <w:szCs w:val="20"/>
        </w:rPr>
        <w:t>requires below 400 ha of land to develop an estimated 400 MW of utility scale PV assigned under the analysis. This represents a fraction of available land for development in the county compared to available agricultural land.</w:t>
      </w:r>
    </w:p>
    <w:p w14:paraId="1F149C3C" w14:textId="7F38EDB4" w:rsidR="00B83D86" w:rsidRPr="00B83D86" w:rsidRDefault="00B83D86" w:rsidP="00B83D86">
      <w:pPr>
        <w:pStyle w:val="Heading4"/>
        <w:spacing w:before="0" w:after="120"/>
        <w:rPr>
          <w:color w:val="auto"/>
          <w:sz w:val="20"/>
          <w:szCs w:val="20"/>
        </w:rPr>
      </w:pPr>
      <w:r w:rsidRPr="00B83D86">
        <w:rPr>
          <w:sz w:val="20"/>
          <w:szCs w:val="20"/>
        </w:rPr>
        <w:t>ETS support potential</w:t>
      </w:r>
    </w:p>
    <w:p w14:paraId="3DBE4AB4" w14:textId="3C1E56D5" w:rsidR="00D909FC" w:rsidRDefault="00861F2E" w:rsidP="00D909FC">
      <w:pPr>
        <w:spacing w:after="120"/>
        <w:jc w:val="both"/>
        <w:rPr>
          <w:rFonts w:ascii="Arial" w:hAnsi="Arial" w:cs="Arial"/>
          <w:sz w:val="20"/>
          <w:szCs w:val="20"/>
        </w:rPr>
      </w:pPr>
      <w:r w:rsidRPr="00402580">
        <w:rPr>
          <w:rFonts w:ascii="Arial" w:hAnsi="Arial" w:cs="Arial"/>
          <w:sz w:val="20"/>
          <w:szCs w:val="20"/>
        </w:rPr>
        <w:t xml:space="preserve">When it comes to </w:t>
      </w:r>
      <w:r w:rsidRPr="00402580">
        <w:rPr>
          <w:rFonts w:ascii="Arial" w:hAnsi="Arial" w:cs="Arial"/>
          <w:b/>
          <w:bCs/>
          <w:sz w:val="20"/>
          <w:szCs w:val="20"/>
        </w:rPr>
        <w:t>ETS support potential</w:t>
      </w:r>
      <w:r w:rsidRPr="00402580">
        <w:rPr>
          <w:rFonts w:ascii="Arial" w:hAnsi="Arial" w:cs="Arial"/>
          <w:sz w:val="20"/>
          <w:szCs w:val="20"/>
        </w:rPr>
        <w:t xml:space="preserve"> in Hunedoara </w:t>
      </w:r>
      <w:r w:rsidR="00932803">
        <w:rPr>
          <w:rFonts w:ascii="Arial" w:hAnsi="Arial" w:cs="Arial"/>
          <w:sz w:val="20"/>
          <w:szCs w:val="20"/>
        </w:rPr>
        <w:t>C</w:t>
      </w:r>
      <w:r w:rsidRPr="00402580">
        <w:rPr>
          <w:rFonts w:ascii="Arial" w:hAnsi="Arial" w:cs="Arial"/>
          <w:sz w:val="20"/>
          <w:szCs w:val="20"/>
        </w:rPr>
        <w:t>ounty, 53% of verified emissions occur at two installations</w:t>
      </w:r>
      <w:r w:rsidR="00932803">
        <w:rPr>
          <w:rFonts w:ascii="Arial" w:hAnsi="Arial" w:cs="Arial"/>
          <w:sz w:val="20"/>
          <w:szCs w:val="20"/>
        </w:rPr>
        <w:t>:</w:t>
      </w:r>
      <w:r w:rsidRPr="00402580">
        <w:rPr>
          <w:rFonts w:ascii="Arial" w:hAnsi="Arial" w:cs="Arial"/>
          <w:sz w:val="20"/>
          <w:szCs w:val="20"/>
        </w:rPr>
        <w:t xml:space="preserve"> Electrocentrale Deva and Electrocentrala Paroseni.</w:t>
      </w:r>
    </w:p>
    <w:p w14:paraId="72F5EC36" w14:textId="42361881" w:rsidR="004A16E9" w:rsidRDefault="004A16E9" w:rsidP="00D909FC">
      <w:pPr>
        <w:spacing w:after="120"/>
        <w:jc w:val="both"/>
        <w:rPr>
          <w:rFonts w:ascii="Arial" w:hAnsi="Arial" w:cs="Arial"/>
          <w:sz w:val="20"/>
          <w:szCs w:val="20"/>
        </w:rPr>
      </w:pPr>
      <w:bookmarkStart w:id="126" w:name="_Hlk85565059"/>
      <w:r w:rsidRPr="004A16E9">
        <w:rPr>
          <w:rFonts w:ascii="Arial" w:hAnsi="Arial" w:cs="Arial"/>
          <w:sz w:val="20"/>
          <w:szCs w:val="20"/>
        </w:rPr>
        <w:t xml:space="preserve">In Hunedoara, ArcelorMittal Hunedoara owns a steel mill and has proposed </w:t>
      </w:r>
      <w:r>
        <w:rPr>
          <w:rFonts w:ascii="Arial" w:hAnsi="Arial" w:cs="Arial"/>
          <w:sz w:val="20"/>
          <w:szCs w:val="20"/>
        </w:rPr>
        <w:t>five</w:t>
      </w:r>
      <w:r w:rsidRPr="004A16E9">
        <w:rPr>
          <w:rFonts w:ascii="Arial" w:hAnsi="Arial" w:cs="Arial"/>
          <w:sz w:val="20"/>
          <w:szCs w:val="20"/>
        </w:rPr>
        <w:t xml:space="preserve"> projects worth a total of </w:t>
      </w:r>
      <w:r>
        <w:rPr>
          <w:rFonts w:ascii="Arial" w:hAnsi="Arial" w:cs="Arial"/>
          <w:sz w:val="20"/>
          <w:szCs w:val="20"/>
        </w:rPr>
        <w:t xml:space="preserve">EUR </w:t>
      </w:r>
      <w:r w:rsidRPr="004A16E9">
        <w:rPr>
          <w:rFonts w:ascii="Arial" w:hAnsi="Arial" w:cs="Arial"/>
          <w:sz w:val="20"/>
          <w:szCs w:val="20"/>
        </w:rPr>
        <w:t>13.</w:t>
      </w:r>
      <w:r>
        <w:rPr>
          <w:rFonts w:ascii="Arial" w:hAnsi="Arial" w:cs="Arial"/>
          <w:sz w:val="20"/>
          <w:szCs w:val="20"/>
        </w:rPr>
        <w:t>0</w:t>
      </w:r>
      <w:r w:rsidRPr="004A16E9">
        <w:rPr>
          <w:rFonts w:ascii="Arial" w:hAnsi="Arial" w:cs="Arial"/>
          <w:sz w:val="20"/>
          <w:szCs w:val="20"/>
        </w:rPr>
        <w:t>5</w:t>
      </w:r>
      <w:r>
        <w:rPr>
          <w:rFonts w:ascii="Arial" w:hAnsi="Arial" w:cs="Arial"/>
          <w:sz w:val="20"/>
          <w:szCs w:val="20"/>
        </w:rPr>
        <w:t>m</w:t>
      </w:r>
      <w:r w:rsidR="00680AEC">
        <w:rPr>
          <w:rFonts w:ascii="Arial" w:hAnsi="Arial" w:cs="Arial"/>
          <w:sz w:val="20"/>
          <w:szCs w:val="20"/>
        </w:rPr>
        <w:t>,</w:t>
      </w:r>
      <w:r w:rsidRPr="004A16E9">
        <w:rPr>
          <w:rFonts w:ascii="Arial" w:hAnsi="Arial" w:cs="Arial"/>
          <w:sz w:val="20"/>
          <w:szCs w:val="20"/>
        </w:rPr>
        <w:t xml:space="preserve"> which it hopes </w:t>
      </w:r>
      <w:r w:rsidR="00680AEC">
        <w:rPr>
          <w:rFonts w:ascii="Arial" w:hAnsi="Arial" w:cs="Arial"/>
          <w:sz w:val="20"/>
          <w:szCs w:val="20"/>
        </w:rPr>
        <w:t>can access the</w:t>
      </w:r>
      <w:r w:rsidRPr="004A16E9">
        <w:rPr>
          <w:rFonts w:ascii="Arial" w:hAnsi="Arial" w:cs="Arial"/>
          <w:sz w:val="20"/>
          <w:szCs w:val="20"/>
        </w:rPr>
        <w:t xml:space="preserve"> Just Transition Fund. Only </w:t>
      </w:r>
      <w:r w:rsidR="00680AEC">
        <w:rPr>
          <w:rFonts w:ascii="Arial" w:hAnsi="Arial" w:cs="Arial"/>
          <w:sz w:val="20"/>
          <w:szCs w:val="20"/>
        </w:rPr>
        <w:t>two</w:t>
      </w:r>
      <w:r w:rsidRPr="004A16E9">
        <w:rPr>
          <w:rFonts w:ascii="Arial" w:hAnsi="Arial" w:cs="Arial"/>
          <w:sz w:val="20"/>
          <w:szCs w:val="20"/>
        </w:rPr>
        <w:t xml:space="preserve"> of </w:t>
      </w:r>
      <w:r w:rsidR="00680AEC">
        <w:rPr>
          <w:rFonts w:ascii="Arial" w:hAnsi="Arial" w:cs="Arial"/>
          <w:sz w:val="20"/>
          <w:szCs w:val="20"/>
        </w:rPr>
        <w:t xml:space="preserve">the </w:t>
      </w:r>
      <w:r w:rsidRPr="004A16E9">
        <w:rPr>
          <w:rFonts w:ascii="Arial" w:hAnsi="Arial" w:cs="Arial"/>
          <w:sz w:val="20"/>
          <w:szCs w:val="20"/>
        </w:rPr>
        <w:t xml:space="preserve">5 </w:t>
      </w:r>
      <w:r w:rsidR="00680AEC">
        <w:rPr>
          <w:rFonts w:ascii="Arial" w:hAnsi="Arial" w:cs="Arial"/>
          <w:sz w:val="20"/>
          <w:szCs w:val="20"/>
        </w:rPr>
        <w:t xml:space="preserve">projects </w:t>
      </w:r>
      <w:r w:rsidRPr="004A16E9">
        <w:rPr>
          <w:rFonts w:ascii="Arial" w:hAnsi="Arial" w:cs="Arial"/>
          <w:sz w:val="20"/>
          <w:szCs w:val="20"/>
        </w:rPr>
        <w:t>would qualify for JTF funding, with significant caveats for one of the two projects. The first project</w:t>
      </w:r>
      <w:r w:rsidR="00680AEC">
        <w:rPr>
          <w:rFonts w:ascii="Arial" w:hAnsi="Arial" w:cs="Arial"/>
          <w:sz w:val="20"/>
          <w:szCs w:val="20"/>
        </w:rPr>
        <w:t>,</w:t>
      </w:r>
      <w:r w:rsidRPr="004A16E9">
        <w:rPr>
          <w:rFonts w:ascii="Arial" w:hAnsi="Arial" w:cs="Arial"/>
          <w:sz w:val="20"/>
          <w:szCs w:val="20"/>
        </w:rPr>
        <w:t xml:space="preserve"> valued at </w:t>
      </w:r>
      <w:r>
        <w:rPr>
          <w:rFonts w:ascii="Arial" w:hAnsi="Arial" w:cs="Arial"/>
          <w:sz w:val="20"/>
          <w:szCs w:val="20"/>
        </w:rPr>
        <w:t xml:space="preserve">EUR </w:t>
      </w:r>
      <w:r w:rsidRPr="004A16E9">
        <w:rPr>
          <w:rFonts w:ascii="Arial" w:hAnsi="Arial" w:cs="Arial"/>
          <w:sz w:val="20"/>
          <w:szCs w:val="20"/>
        </w:rPr>
        <w:t>5</w:t>
      </w:r>
      <w:r>
        <w:rPr>
          <w:rFonts w:ascii="Arial" w:hAnsi="Arial" w:cs="Arial"/>
          <w:sz w:val="20"/>
          <w:szCs w:val="20"/>
        </w:rPr>
        <w:t>m</w:t>
      </w:r>
      <w:r w:rsidR="00680AEC">
        <w:rPr>
          <w:rFonts w:ascii="Arial" w:hAnsi="Arial" w:cs="Arial"/>
          <w:sz w:val="20"/>
          <w:szCs w:val="20"/>
        </w:rPr>
        <w:t>,</w:t>
      </w:r>
      <w:r>
        <w:rPr>
          <w:rFonts w:ascii="Arial" w:hAnsi="Arial" w:cs="Arial"/>
          <w:sz w:val="20"/>
          <w:szCs w:val="20"/>
        </w:rPr>
        <w:t xml:space="preserve"> </w:t>
      </w:r>
      <w:r w:rsidR="00680AEC">
        <w:rPr>
          <w:rFonts w:ascii="Arial" w:hAnsi="Arial" w:cs="Arial"/>
          <w:sz w:val="20"/>
          <w:szCs w:val="20"/>
        </w:rPr>
        <w:t>would</w:t>
      </w:r>
      <w:r w:rsidRPr="004A16E9">
        <w:rPr>
          <w:rFonts w:ascii="Arial" w:hAnsi="Arial" w:cs="Arial"/>
          <w:sz w:val="20"/>
          <w:szCs w:val="20"/>
        </w:rPr>
        <w:t xml:space="preserve"> develop a 3 MW solar PV plant on land available within the factory. The project qualifies for JTF funding</w:t>
      </w:r>
      <w:r w:rsidR="00680AEC">
        <w:rPr>
          <w:rFonts w:ascii="Arial" w:hAnsi="Arial" w:cs="Arial"/>
          <w:sz w:val="20"/>
          <w:szCs w:val="20"/>
        </w:rPr>
        <w:t>,</w:t>
      </w:r>
      <w:r w:rsidRPr="004A16E9">
        <w:rPr>
          <w:rFonts w:ascii="Arial" w:hAnsi="Arial" w:cs="Arial"/>
          <w:sz w:val="20"/>
          <w:szCs w:val="20"/>
        </w:rPr>
        <w:t xml:space="preserve"> but its costs are overstated by a factor of three. The second project</w:t>
      </w:r>
      <w:r w:rsidR="00680AEC">
        <w:rPr>
          <w:rFonts w:ascii="Arial" w:hAnsi="Arial" w:cs="Arial"/>
          <w:sz w:val="20"/>
          <w:szCs w:val="20"/>
        </w:rPr>
        <w:t>,</w:t>
      </w:r>
      <w:r w:rsidRPr="004A16E9">
        <w:rPr>
          <w:rFonts w:ascii="Arial" w:hAnsi="Arial" w:cs="Arial"/>
          <w:sz w:val="20"/>
          <w:szCs w:val="20"/>
        </w:rPr>
        <w:t xml:space="preserve"> </w:t>
      </w:r>
      <w:r w:rsidR="00680AEC">
        <w:rPr>
          <w:rFonts w:ascii="Arial" w:hAnsi="Arial" w:cs="Arial"/>
          <w:sz w:val="20"/>
          <w:szCs w:val="20"/>
        </w:rPr>
        <w:t xml:space="preserve">which </w:t>
      </w:r>
      <w:r w:rsidRPr="004A16E9">
        <w:rPr>
          <w:rFonts w:ascii="Arial" w:hAnsi="Arial" w:cs="Arial"/>
          <w:sz w:val="20"/>
          <w:szCs w:val="20"/>
        </w:rPr>
        <w:t>can qualify for the JTF funding</w:t>
      </w:r>
      <w:r w:rsidR="00680AEC">
        <w:rPr>
          <w:rFonts w:ascii="Arial" w:hAnsi="Arial" w:cs="Arial"/>
          <w:sz w:val="20"/>
          <w:szCs w:val="20"/>
        </w:rPr>
        <w:t>,</w:t>
      </w:r>
      <w:r w:rsidRPr="004A16E9">
        <w:rPr>
          <w:rFonts w:ascii="Arial" w:hAnsi="Arial" w:cs="Arial"/>
          <w:sz w:val="20"/>
          <w:szCs w:val="20"/>
        </w:rPr>
        <w:t xml:space="preserve"> is a 2-3 MW power plant fueled by industrial steam that is currently wasted. If the plant replaces fossil fuel</w:t>
      </w:r>
      <w:r w:rsidR="00680AEC">
        <w:rPr>
          <w:rFonts w:ascii="Arial" w:hAnsi="Arial" w:cs="Arial"/>
          <w:sz w:val="20"/>
          <w:szCs w:val="20"/>
        </w:rPr>
        <w:t>s,</w:t>
      </w:r>
      <w:r w:rsidRPr="004A16E9">
        <w:rPr>
          <w:rFonts w:ascii="Arial" w:hAnsi="Arial" w:cs="Arial"/>
          <w:sz w:val="20"/>
          <w:szCs w:val="20"/>
        </w:rPr>
        <w:t xml:space="preserve"> it can</w:t>
      </w:r>
      <w:r w:rsidR="00680AEC">
        <w:rPr>
          <w:rFonts w:ascii="Arial" w:hAnsi="Arial" w:cs="Arial"/>
          <w:sz w:val="20"/>
          <w:szCs w:val="20"/>
        </w:rPr>
        <w:t xml:space="preserve"> easily</w:t>
      </w:r>
      <w:r w:rsidRPr="004A16E9">
        <w:rPr>
          <w:rFonts w:ascii="Arial" w:hAnsi="Arial" w:cs="Arial"/>
          <w:sz w:val="20"/>
          <w:szCs w:val="20"/>
        </w:rPr>
        <w:t xml:space="preserve"> </w:t>
      </w:r>
      <w:r w:rsidR="00680AEC">
        <w:rPr>
          <w:rFonts w:ascii="Arial" w:hAnsi="Arial" w:cs="Arial"/>
          <w:sz w:val="20"/>
          <w:szCs w:val="20"/>
        </w:rPr>
        <w:t>pass the</w:t>
      </w:r>
      <w:r w:rsidRPr="004A16E9">
        <w:rPr>
          <w:rFonts w:ascii="Arial" w:hAnsi="Arial" w:cs="Arial"/>
          <w:sz w:val="20"/>
          <w:szCs w:val="20"/>
        </w:rPr>
        <w:t xml:space="preserve"> benchmark.</w:t>
      </w:r>
    </w:p>
    <w:bookmarkEnd w:id="126"/>
    <w:p w14:paraId="11115147" w14:textId="25AE6BC8" w:rsidR="00D909FC" w:rsidRPr="00D909FC" w:rsidRDefault="00D909FC" w:rsidP="00D909FC">
      <w:pPr>
        <w:pStyle w:val="Heading4"/>
        <w:spacing w:before="0" w:after="120"/>
        <w:ind w:left="806" w:hanging="806"/>
        <w:rPr>
          <w:color w:val="auto"/>
          <w:sz w:val="20"/>
          <w:szCs w:val="20"/>
        </w:rPr>
      </w:pPr>
      <w:r w:rsidRPr="00D909FC">
        <w:rPr>
          <w:sz w:val="20"/>
          <w:szCs w:val="20"/>
        </w:rPr>
        <w:t>Energy poverty and district heating</w:t>
      </w:r>
    </w:p>
    <w:p w14:paraId="09962CAE" w14:textId="40E4AAFA" w:rsidR="00861F2E" w:rsidRPr="003516DC" w:rsidRDefault="00861F2E" w:rsidP="00D909FC">
      <w:pPr>
        <w:spacing w:after="120"/>
        <w:jc w:val="both"/>
        <w:rPr>
          <w:rFonts w:ascii="Arial" w:eastAsia="Times New Roman" w:hAnsi="Arial" w:cs="Arial"/>
          <w:sz w:val="20"/>
          <w:szCs w:val="20"/>
          <w:lang w:val="en-US"/>
        </w:rPr>
      </w:pPr>
      <w:r w:rsidRPr="00402580">
        <w:rPr>
          <w:rFonts w:ascii="Arial" w:hAnsi="Arial" w:cs="Arial"/>
          <w:sz w:val="20"/>
          <w:szCs w:val="20"/>
        </w:rPr>
        <w:t xml:space="preserve">In terms of </w:t>
      </w:r>
      <w:r w:rsidRPr="00402580">
        <w:rPr>
          <w:rFonts w:ascii="Arial" w:hAnsi="Arial" w:cs="Arial"/>
          <w:b/>
          <w:bCs/>
          <w:sz w:val="20"/>
          <w:szCs w:val="20"/>
        </w:rPr>
        <w:t>energy poverty</w:t>
      </w:r>
      <w:r w:rsidRPr="00402580">
        <w:rPr>
          <w:rFonts w:ascii="Arial" w:hAnsi="Arial" w:cs="Arial"/>
          <w:sz w:val="20"/>
          <w:szCs w:val="20"/>
        </w:rPr>
        <w:t xml:space="preserve">, </w:t>
      </w:r>
      <w:r w:rsidRPr="00402580">
        <w:rPr>
          <w:rFonts w:ascii="Arial" w:eastAsia="Times New Roman" w:hAnsi="Arial" w:cs="Arial"/>
          <w:sz w:val="20"/>
          <w:szCs w:val="20"/>
          <w:lang w:val="en-US"/>
        </w:rPr>
        <w:t>Hunedoara has a population of 455,173, in 182,069 households, with an average of 2.5 per hou</w:t>
      </w:r>
      <w:r w:rsidRPr="003516DC">
        <w:rPr>
          <w:rFonts w:ascii="Arial" w:eastAsia="Times New Roman" w:hAnsi="Arial" w:cs="Arial"/>
          <w:color w:val="000000"/>
          <w:sz w:val="20"/>
          <w:szCs w:val="20"/>
          <w:lang w:val="en-US"/>
        </w:rPr>
        <w:t>sehold. 22% of the population live in rural areas</w:t>
      </w:r>
      <w:r w:rsidR="00932803">
        <w:rPr>
          <w:rFonts w:ascii="Arial" w:eastAsia="Times New Roman" w:hAnsi="Arial" w:cs="Arial"/>
          <w:color w:val="000000"/>
          <w:sz w:val="20"/>
          <w:szCs w:val="20"/>
          <w:lang w:val="en-US"/>
        </w:rPr>
        <w:t xml:space="preserve"> and</w:t>
      </w:r>
      <w:r w:rsidRPr="003516DC">
        <w:rPr>
          <w:rFonts w:ascii="Arial" w:eastAsia="Times New Roman" w:hAnsi="Arial" w:cs="Arial"/>
          <w:color w:val="000000"/>
          <w:sz w:val="20"/>
          <w:szCs w:val="20"/>
          <w:lang w:val="en-US"/>
        </w:rPr>
        <w:t xml:space="preserve"> 78% </w:t>
      </w:r>
      <w:r w:rsidR="00932803">
        <w:rPr>
          <w:rFonts w:ascii="Arial" w:eastAsia="Times New Roman" w:hAnsi="Arial" w:cs="Arial"/>
          <w:color w:val="000000"/>
          <w:sz w:val="20"/>
          <w:szCs w:val="20"/>
          <w:lang w:val="en-US"/>
        </w:rPr>
        <w:t xml:space="preserve">live </w:t>
      </w:r>
      <w:r w:rsidRPr="003516DC">
        <w:rPr>
          <w:rFonts w:ascii="Arial" w:eastAsia="Times New Roman" w:hAnsi="Arial" w:cs="Arial"/>
          <w:color w:val="000000"/>
          <w:sz w:val="20"/>
          <w:szCs w:val="20"/>
          <w:lang w:val="en-US"/>
        </w:rPr>
        <w:t xml:space="preserve">in urban areas, the highest degree of </w:t>
      </w:r>
      <w:r w:rsidRPr="00932803">
        <w:rPr>
          <w:rFonts w:ascii="Arial" w:eastAsia="Times New Roman" w:hAnsi="Arial" w:cs="Arial"/>
          <w:color w:val="000000"/>
          <w:sz w:val="20"/>
          <w:szCs w:val="20"/>
        </w:rPr>
        <w:t>urbani</w:t>
      </w:r>
      <w:r w:rsidR="00932803" w:rsidRPr="00932803">
        <w:rPr>
          <w:rFonts w:ascii="Arial" w:eastAsia="Times New Roman" w:hAnsi="Arial" w:cs="Arial"/>
          <w:color w:val="000000"/>
          <w:sz w:val="20"/>
          <w:szCs w:val="20"/>
        </w:rPr>
        <w:t>s</w:t>
      </w:r>
      <w:r w:rsidRPr="00932803">
        <w:rPr>
          <w:rFonts w:ascii="Arial" w:eastAsia="Times New Roman" w:hAnsi="Arial" w:cs="Arial"/>
          <w:color w:val="000000"/>
          <w:sz w:val="20"/>
          <w:szCs w:val="20"/>
        </w:rPr>
        <w:t>ation</w:t>
      </w:r>
      <w:r w:rsidRPr="003516DC">
        <w:rPr>
          <w:rFonts w:ascii="Arial" w:eastAsia="Times New Roman" w:hAnsi="Arial" w:cs="Arial"/>
          <w:color w:val="000000"/>
          <w:sz w:val="20"/>
          <w:szCs w:val="20"/>
          <w:lang w:val="en-US"/>
        </w:rPr>
        <w:t xml:space="preserve"> in the </w:t>
      </w:r>
      <w:r w:rsidR="00932803">
        <w:rPr>
          <w:rFonts w:ascii="Arial" w:eastAsia="Times New Roman" w:hAnsi="Arial" w:cs="Arial"/>
          <w:color w:val="000000"/>
          <w:sz w:val="20"/>
          <w:szCs w:val="20"/>
          <w:lang w:val="en-US"/>
        </w:rPr>
        <w:t>six</w:t>
      </w:r>
      <w:r w:rsidRPr="003516DC">
        <w:rPr>
          <w:rFonts w:ascii="Arial" w:eastAsia="Times New Roman" w:hAnsi="Arial" w:cs="Arial"/>
          <w:color w:val="000000"/>
          <w:sz w:val="20"/>
          <w:szCs w:val="20"/>
          <w:lang w:val="en-US"/>
        </w:rPr>
        <w:t xml:space="preserve"> counties. </w:t>
      </w:r>
      <w:r w:rsidR="00932803">
        <w:rPr>
          <w:rFonts w:ascii="Arial" w:eastAsia="Times New Roman" w:hAnsi="Arial" w:cs="Arial"/>
          <w:color w:val="000000"/>
          <w:sz w:val="20"/>
          <w:szCs w:val="20"/>
          <w:lang w:val="en-US"/>
        </w:rPr>
        <w:t>The</w:t>
      </w:r>
      <w:r w:rsidRPr="003516DC">
        <w:rPr>
          <w:rFonts w:ascii="Arial" w:eastAsia="Times New Roman" w:hAnsi="Arial" w:cs="Arial"/>
          <w:color w:val="000000"/>
          <w:sz w:val="20"/>
          <w:szCs w:val="20"/>
          <w:lang w:val="en-US"/>
        </w:rPr>
        <w:t xml:space="preserve"> relatively high urban population offers an opportunity for potential interventions </w:t>
      </w:r>
      <w:r w:rsidR="00932803">
        <w:rPr>
          <w:rFonts w:ascii="Arial" w:eastAsia="Times New Roman" w:hAnsi="Arial" w:cs="Arial"/>
          <w:color w:val="000000"/>
          <w:sz w:val="20"/>
          <w:szCs w:val="20"/>
          <w:lang w:val="en-US"/>
        </w:rPr>
        <w:t>for</w:t>
      </w:r>
      <w:r w:rsidRPr="003516DC">
        <w:rPr>
          <w:rFonts w:ascii="Arial" w:eastAsia="Times New Roman" w:hAnsi="Arial" w:cs="Arial"/>
          <w:color w:val="000000"/>
          <w:sz w:val="20"/>
          <w:szCs w:val="20"/>
          <w:lang w:val="en-US"/>
        </w:rPr>
        <w:t xml:space="preserve"> building rehabilitation and other energy efficiency works that can be coupled with the eradication of energy poverty. Only 4% of urban households in Hunedoara do not have access to the gas grid, but over 78% of rural households are not connected. Hunedoara has a lower GDP per capita (</w:t>
      </w:r>
      <w:r w:rsidR="00932803">
        <w:rPr>
          <w:rFonts w:ascii="Arial" w:eastAsia="Times New Roman" w:hAnsi="Arial" w:cs="Arial"/>
          <w:color w:val="000000"/>
          <w:sz w:val="20"/>
          <w:szCs w:val="20"/>
          <w:lang w:val="en-US"/>
        </w:rPr>
        <w:t xml:space="preserve">EUR </w:t>
      </w:r>
      <w:r w:rsidRPr="003516DC">
        <w:rPr>
          <w:rFonts w:ascii="Arial" w:eastAsia="Times New Roman" w:hAnsi="Arial" w:cs="Arial"/>
          <w:color w:val="000000"/>
          <w:sz w:val="20"/>
          <w:szCs w:val="20"/>
          <w:lang w:val="en-US"/>
        </w:rPr>
        <w:t>9</w:t>
      </w:r>
      <w:r w:rsidR="00932803">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526) than its neighboring counties (and presumably is less attractive to investors in the absence of regulatory and fiscal stimulation – including changes in the aid intensity conditions). The low level of GDP per capita, as well as the low average salary (</w:t>
      </w:r>
      <w:r w:rsidR="00AF33DB">
        <w:rPr>
          <w:rFonts w:ascii="Arial" w:eastAsia="Times New Roman" w:hAnsi="Arial" w:cs="Arial"/>
          <w:color w:val="000000"/>
          <w:sz w:val="20"/>
          <w:szCs w:val="20"/>
          <w:lang w:val="en-US"/>
        </w:rPr>
        <w:t xml:space="preserve">RON </w:t>
      </w:r>
      <w:r w:rsidRPr="003516DC">
        <w:rPr>
          <w:rFonts w:ascii="Arial" w:eastAsia="Times New Roman" w:hAnsi="Arial" w:cs="Arial"/>
          <w:color w:val="000000"/>
          <w:sz w:val="20"/>
          <w:szCs w:val="20"/>
          <w:lang w:val="en-US"/>
        </w:rPr>
        <w:t>2</w:t>
      </w:r>
      <w:r w:rsidR="00932803">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739) in such a </w:t>
      </w:r>
      <w:r w:rsidRPr="003516DC">
        <w:rPr>
          <w:rFonts w:ascii="Arial" w:eastAsia="Times New Roman" w:hAnsi="Arial" w:cs="Arial"/>
          <w:color w:val="000000"/>
          <w:sz w:val="20"/>
          <w:szCs w:val="20"/>
          <w:lang w:val="en-US"/>
        </w:rPr>
        <w:lastRenderedPageBreak/>
        <w:t>highly urbani</w:t>
      </w:r>
      <w:r w:rsidR="00AF33DB">
        <w:rPr>
          <w:rFonts w:ascii="Arial" w:eastAsia="Times New Roman" w:hAnsi="Arial" w:cs="Arial"/>
          <w:color w:val="000000"/>
          <w:sz w:val="20"/>
          <w:szCs w:val="20"/>
          <w:lang w:val="en-US"/>
        </w:rPr>
        <w:t>s</w:t>
      </w:r>
      <w:r w:rsidRPr="003516DC">
        <w:rPr>
          <w:rFonts w:ascii="Arial" w:eastAsia="Times New Roman" w:hAnsi="Arial" w:cs="Arial"/>
          <w:color w:val="000000"/>
          <w:sz w:val="20"/>
          <w:szCs w:val="20"/>
          <w:lang w:val="en-US"/>
        </w:rPr>
        <w:t xml:space="preserve">ed county illustrates the profound economic and social issues </w:t>
      </w:r>
      <w:r w:rsidR="00AF33DB">
        <w:rPr>
          <w:rFonts w:ascii="Arial" w:eastAsia="Times New Roman" w:hAnsi="Arial" w:cs="Arial"/>
          <w:color w:val="000000"/>
          <w:sz w:val="20"/>
          <w:szCs w:val="20"/>
          <w:lang w:val="en-US"/>
        </w:rPr>
        <w:t xml:space="preserve">that </w:t>
      </w:r>
      <w:r w:rsidRPr="003516DC">
        <w:rPr>
          <w:rFonts w:ascii="Arial" w:eastAsia="Times New Roman" w:hAnsi="Arial" w:cs="Arial"/>
          <w:color w:val="000000"/>
          <w:sz w:val="20"/>
          <w:szCs w:val="20"/>
          <w:lang w:val="en-US"/>
        </w:rPr>
        <w:t>the urban mining communities in Hunedoara face as a result of the transition.</w:t>
      </w:r>
    </w:p>
    <w:p w14:paraId="74C33790" w14:textId="074BC54F" w:rsidR="00861F2E" w:rsidRPr="003516DC" w:rsidRDefault="00861F2E" w:rsidP="00D909FC">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t>The estimated level of energy poverty is 45%</w:t>
      </w:r>
      <w:r w:rsidR="00AF33DB" w:rsidRPr="00AF33DB">
        <w:rPr>
          <w:rFonts w:ascii="Arial" w:eastAsia="Times New Roman" w:hAnsi="Arial" w:cs="Arial"/>
          <w:color w:val="000000"/>
          <w:sz w:val="20"/>
          <w:szCs w:val="20"/>
          <w:lang w:val="en-US"/>
        </w:rPr>
        <w:t xml:space="preserve"> </w:t>
      </w:r>
      <w:r w:rsidR="00AF33DB" w:rsidRPr="003516DC">
        <w:rPr>
          <w:rFonts w:ascii="Arial" w:eastAsia="Times New Roman" w:hAnsi="Arial" w:cs="Arial"/>
          <w:color w:val="000000"/>
          <w:sz w:val="20"/>
          <w:szCs w:val="20"/>
          <w:lang w:val="en-US"/>
        </w:rPr>
        <w:t>in Hunedoara</w:t>
      </w:r>
      <w:r w:rsidRPr="003516DC">
        <w:rPr>
          <w:rFonts w:ascii="Arial" w:eastAsia="Times New Roman" w:hAnsi="Arial" w:cs="Arial"/>
          <w:color w:val="000000"/>
          <w:sz w:val="20"/>
          <w:szCs w:val="20"/>
          <w:lang w:val="en-US"/>
        </w:rPr>
        <w:t xml:space="preserve">, </w:t>
      </w:r>
      <w:r w:rsidR="00AF33DB">
        <w:rPr>
          <w:rFonts w:ascii="Arial" w:eastAsia="Times New Roman" w:hAnsi="Arial" w:cs="Arial"/>
          <w:color w:val="000000"/>
          <w:sz w:val="20"/>
          <w:szCs w:val="20"/>
          <w:lang w:val="en-US"/>
        </w:rPr>
        <w:t>and up</w:t>
      </w:r>
      <w:r w:rsidRPr="003516DC">
        <w:rPr>
          <w:rFonts w:ascii="Arial" w:eastAsia="Times New Roman" w:hAnsi="Arial" w:cs="Arial"/>
          <w:color w:val="000000"/>
          <w:sz w:val="20"/>
          <w:szCs w:val="20"/>
          <w:lang w:val="en-US"/>
        </w:rPr>
        <w:t xml:space="preserve"> to 70% during winter. The urban areas are poor in terms of income, as displayed by other indicators. Therefore, any indicator based on income </w:t>
      </w:r>
      <w:r w:rsidR="00316E7A">
        <w:rPr>
          <w:rFonts w:ascii="Arial" w:eastAsia="Times New Roman" w:hAnsi="Arial" w:cs="Arial"/>
          <w:color w:val="000000"/>
          <w:sz w:val="20"/>
          <w:szCs w:val="20"/>
          <w:lang w:val="en-US"/>
        </w:rPr>
        <w:t xml:space="preserve">for measuring energy poverty </w:t>
      </w:r>
      <w:r w:rsidRPr="003516DC">
        <w:rPr>
          <w:rFonts w:ascii="Arial" w:eastAsia="Times New Roman" w:hAnsi="Arial" w:cs="Arial"/>
          <w:color w:val="000000"/>
          <w:sz w:val="20"/>
          <w:szCs w:val="20"/>
          <w:lang w:val="en-US"/>
        </w:rPr>
        <w:t xml:space="preserve">yields high results. Additionally, the county has an old, urban building stock from the </w:t>
      </w:r>
      <w:r w:rsidR="00AF33DB">
        <w:rPr>
          <w:rFonts w:ascii="Arial" w:eastAsia="Times New Roman" w:hAnsi="Arial" w:cs="Arial"/>
          <w:color w:val="000000"/>
          <w:sz w:val="20"/>
          <w:szCs w:val="20"/>
          <w:lang w:val="en-US"/>
        </w:rPr>
        <w:t>C</w:t>
      </w:r>
      <w:r w:rsidRPr="003516DC">
        <w:rPr>
          <w:rFonts w:ascii="Arial" w:eastAsia="Times New Roman" w:hAnsi="Arial" w:cs="Arial"/>
          <w:color w:val="000000"/>
          <w:sz w:val="20"/>
          <w:szCs w:val="20"/>
          <w:lang w:val="en-US"/>
        </w:rPr>
        <w:t>ommunis</w:t>
      </w:r>
      <w:r w:rsidR="00AF33DB">
        <w:rPr>
          <w:rFonts w:ascii="Arial" w:eastAsia="Times New Roman" w:hAnsi="Arial" w:cs="Arial"/>
          <w:color w:val="000000"/>
          <w:sz w:val="20"/>
          <w:szCs w:val="20"/>
          <w:lang w:val="en-US"/>
        </w:rPr>
        <w:t>t</w:t>
      </w:r>
      <w:r w:rsidRPr="003516DC">
        <w:rPr>
          <w:rFonts w:ascii="Arial" w:eastAsia="Times New Roman" w:hAnsi="Arial" w:cs="Arial"/>
          <w:color w:val="000000"/>
          <w:sz w:val="20"/>
          <w:szCs w:val="20"/>
          <w:lang w:val="en-US"/>
        </w:rPr>
        <w:t xml:space="preserve"> </w:t>
      </w:r>
      <w:r w:rsidR="00AF33DB">
        <w:rPr>
          <w:rFonts w:ascii="Arial" w:eastAsia="Times New Roman" w:hAnsi="Arial" w:cs="Arial"/>
          <w:color w:val="000000"/>
          <w:sz w:val="20"/>
          <w:szCs w:val="20"/>
          <w:lang w:val="en-US"/>
        </w:rPr>
        <w:t>era</w:t>
      </w:r>
      <w:r w:rsidRPr="003516DC">
        <w:rPr>
          <w:rFonts w:ascii="Arial" w:eastAsia="Times New Roman" w:hAnsi="Arial" w:cs="Arial"/>
          <w:color w:val="000000"/>
          <w:sz w:val="20"/>
          <w:szCs w:val="20"/>
          <w:lang w:val="en-US"/>
        </w:rPr>
        <w:t xml:space="preserve"> when the </w:t>
      </w:r>
      <w:r w:rsidR="00AF33DB">
        <w:rPr>
          <w:rFonts w:ascii="Arial" w:eastAsia="Times New Roman" w:hAnsi="Arial" w:cs="Arial"/>
          <w:color w:val="000000"/>
          <w:sz w:val="20"/>
          <w:szCs w:val="20"/>
          <w:lang w:val="en-US"/>
        </w:rPr>
        <w:t xml:space="preserve">urban </w:t>
      </w:r>
      <w:r w:rsidRPr="003516DC">
        <w:rPr>
          <w:rFonts w:ascii="Arial" w:eastAsia="Times New Roman" w:hAnsi="Arial" w:cs="Arial"/>
          <w:color w:val="000000"/>
          <w:sz w:val="20"/>
          <w:szCs w:val="20"/>
          <w:lang w:val="en-US"/>
        </w:rPr>
        <w:t>mining localities were built. However, today</w:t>
      </w:r>
      <w:r w:rsidR="00AF33DB">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these dwellings are</w:t>
      </w:r>
      <w:r w:rsidR="00AF33DB">
        <w:rPr>
          <w:rFonts w:ascii="Arial" w:eastAsia="Times New Roman" w:hAnsi="Arial" w:cs="Arial"/>
          <w:color w:val="000000"/>
          <w:sz w:val="20"/>
          <w:szCs w:val="20"/>
          <w:lang w:val="en-US"/>
        </w:rPr>
        <w:t xml:space="preserve"> in</w:t>
      </w:r>
      <w:r w:rsidRPr="003516DC">
        <w:rPr>
          <w:rFonts w:ascii="Arial" w:eastAsia="Times New Roman" w:hAnsi="Arial" w:cs="Arial"/>
          <w:color w:val="000000"/>
          <w:sz w:val="20"/>
          <w:szCs w:val="20"/>
          <w:lang w:val="en-US"/>
        </w:rPr>
        <w:t xml:space="preserve"> poor</w:t>
      </w:r>
      <w:r w:rsidR="00AF33DB">
        <w:rPr>
          <w:rFonts w:ascii="Arial" w:eastAsia="Times New Roman" w:hAnsi="Arial" w:cs="Arial"/>
          <w:color w:val="000000"/>
          <w:sz w:val="20"/>
          <w:szCs w:val="20"/>
          <w:lang w:val="en-US"/>
        </w:rPr>
        <w:t xml:space="preserve"> shape</w:t>
      </w:r>
      <w:r w:rsidRPr="003516DC">
        <w:rPr>
          <w:rFonts w:ascii="Arial" w:eastAsia="Times New Roman" w:hAnsi="Arial" w:cs="Arial"/>
          <w:color w:val="000000"/>
          <w:sz w:val="20"/>
          <w:szCs w:val="20"/>
          <w:lang w:val="en-US"/>
        </w:rPr>
        <w:t xml:space="preserve"> and </w:t>
      </w:r>
      <w:r w:rsidR="00AF33DB">
        <w:rPr>
          <w:rFonts w:ascii="Arial" w:eastAsia="Times New Roman" w:hAnsi="Arial" w:cs="Arial"/>
          <w:color w:val="000000"/>
          <w:sz w:val="20"/>
          <w:szCs w:val="20"/>
          <w:lang w:val="en-US"/>
        </w:rPr>
        <w:t>there is</w:t>
      </w:r>
      <w:r w:rsidRPr="003516DC">
        <w:rPr>
          <w:rFonts w:ascii="Arial" w:eastAsia="Times New Roman" w:hAnsi="Arial" w:cs="Arial"/>
          <w:color w:val="000000"/>
          <w:sz w:val="20"/>
          <w:szCs w:val="20"/>
          <w:lang w:val="en-US"/>
        </w:rPr>
        <w:t xml:space="preserve"> limited administrative capacity to invest in renovation. </w:t>
      </w:r>
    </w:p>
    <w:p w14:paraId="6ABB1877" w14:textId="00DD27B1" w:rsidR="00861F2E" w:rsidRPr="003516DC" w:rsidRDefault="00861F2E" w:rsidP="00D909FC">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t>Hunedoara is a county with a high degree of urbani</w:t>
      </w:r>
      <w:r w:rsidR="00AF33DB">
        <w:rPr>
          <w:rFonts w:ascii="Arial" w:eastAsia="Times New Roman" w:hAnsi="Arial" w:cs="Arial"/>
          <w:color w:val="000000"/>
          <w:sz w:val="20"/>
          <w:szCs w:val="20"/>
          <w:lang w:val="en-US"/>
        </w:rPr>
        <w:t>s</w:t>
      </w:r>
      <w:r w:rsidRPr="003516DC">
        <w:rPr>
          <w:rFonts w:ascii="Arial" w:eastAsia="Times New Roman" w:hAnsi="Arial" w:cs="Arial"/>
          <w:color w:val="000000"/>
          <w:sz w:val="20"/>
          <w:szCs w:val="20"/>
          <w:lang w:val="en-US"/>
        </w:rPr>
        <w:t>ation but is also affected by poverty. Of the six counties, it the lowest average incomes. </w:t>
      </w:r>
    </w:p>
    <w:p w14:paraId="5B2002D3" w14:textId="3F48696C" w:rsidR="00861F2E" w:rsidRPr="003516DC" w:rsidRDefault="00861F2E" w:rsidP="00D909FC">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t xml:space="preserve">District heating is present in Hunedoara and Brad </w:t>
      </w:r>
      <w:r w:rsidR="00AF33DB">
        <w:rPr>
          <w:rFonts w:ascii="Arial" w:eastAsia="Times New Roman" w:hAnsi="Arial" w:cs="Arial"/>
          <w:color w:val="000000"/>
          <w:sz w:val="20"/>
          <w:szCs w:val="20"/>
          <w:lang w:val="en-US"/>
        </w:rPr>
        <w:t xml:space="preserve">while </w:t>
      </w:r>
      <w:r w:rsidRPr="003516DC">
        <w:rPr>
          <w:rFonts w:ascii="Arial" w:eastAsia="Times New Roman" w:hAnsi="Arial" w:cs="Arial"/>
          <w:color w:val="000000"/>
          <w:sz w:val="20"/>
          <w:szCs w:val="20"/>
          <w:lang w:val="en-US"/>
        </w:rPr>
        <w:t xml:space="preserve">the rest of the county relies on individual gas boilers, electricity and wood, which is </w:t>
      </w:r>
      <w:r w:rsidR="00AF33DB">
        <w:rPr>
          <w:rFonts w:ascii="Arial" w:eastAsia="Times New Roman" w:hAnsi="Arial" w:cs="Arial"/>
          <w:color w:val="000000"/>
          <w:sz w:val="20"/>
          <w:szCs w:val="20"/>
          <w:lang w:val="en-US"/>
        </w:rPr>
        <w:t xml:space="preserve">overly </w:t>
      </w:r>
      <w:r w:rsidRPr="003516DC">
        <w:rPr>
          <w:rFonts w:ascii="Arial" w:eastAsia="Times New Roman" w:hAnsi="Arial" w:cs="Arial"/>
          <w:color w:val="000000"/>
          <w:sz w:val="20"/>
          <w:szCs w:val="20"/>
          <w:lang w:val="en-US"/>
        </w:rPr>
        <w:t>present in urban areas compared to other counties. </w:t>
      </w:r>
    </w:p>
    <w:p w14:paraId="434D93EF" w14:textId="58012FF2" w:rsidR="00861F2E" w:rsidRPr="003516DC" w:rsidRDefault="00861F2E" w:rsidP="00D909FC">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t>In Brad, the local district heating company (Termica) covers 4</w:t>
      </w:r>
      <w:r w:rsidR="00AF33DB">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000 apartments, with a population of 10</w:t>
      </w:r>
      <w:r w:rsidR="00AF33DB">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000 (out of 16</w:t>
      </w:r>
      <w:r w:rsidR="00AF33DB">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000</w:t>
      </w:r>
      <w:r w:rsidR="00AF33DB">
        <w:rPr>
          <w:rFonts w:ascii="Arial" w:eastAsia="Times New Roman" w:hAnsi="Arial" w:cs="Arial"/>
          <w:color w:val="000000"/>
          <w:sz w:val="20"/>
          <w:szCs w:val="20"/>
          <w:lang w:val="en-US"/>
        </w:rPr>
        <w:t xml:space="preserve"> total inhabitants</w:t>
      </w:r>
      <w:r w:rsidRPr="003516DC">
        <w:rPr>
          <w:rFonts w:ascii="Arial" w:eastAsia="Times New Roman" w:hAnsi="Arial" w:cs="Arial"/>
          <w:color w:val="000000"/>
          <w:sz w:val="20"/>
          <w:szCs w:val="20"/>
          <w:lang w:val="en-US"/>
        </w:rPr>
        <w:t>), in 147 blocks of flats. The company’s viability is affected by unpaid bills and the town depends on the company for heating and warm water since it is not yet connected to the gas grid. </w:t>
      </w:r>
    </w:p>
    <w:p w14:paraId="5E44B768" w14:textId="409948CE" w:rsidR="00861F2E" w:rsidRDefault="00861F2E" w:rsidP="00D909FC">
      <w:pPr>
        <w:spacing w:after="120"/>
        <w:jc w:val="both"/>
        <w:rPr>
          <w:rFonts w:ascii="Arial" w:eastAsia="Times New Roman" w:hAnsi="Arial" w:cs="Arial"/>
          <w:color w:val="000000"/>
          <w:sz w:val="20"/>
          <w:szCs w:val="20"/>
          <w:lang w:val="en-US"/>
        </w:rPr>
      </w:pPr>
      <w:r w:rsidRPr="003516DC">
        <w:rPr>
          <w:rFonts w:ascii="Arial" w:eastAsia="Times New Roman" w:hAnsi="Arial" w:cs="Arial"/>
          <w:color w:val="000000"/>
          <w:sz w:val="20"/>
          <w:szCs w:val="20"/>
          <w:lang w:val="en-US"/>
        </w:rPr>
        <w:t>In Deva, Complexul Energetic Hunedoara</w:t>
      </w:r>
      <w:r w:rsidR="00DE1EAC">
        <w:rPr>
          <w:rFonts w:ascii="Arial" w:eastAsia="Times New Roman" w:hAnsi="Arial" w:cs="Arial"/>
          <w:color w:val="000000"/>
          <w:sz w:val="20"/>
          <w:szCs w:val="20"/>
          <w:lang w:val="en-US"/>
        </w:rPr>
        <w:t xml:space="preserve"> (CEH)</w:t>
      </w:r>
      <w:r w:rsidRPr="003516DC">
        <w:rPr>
          <w:rFonts w:ascii="Arial" w:eastAsia="Times New Roman" w:hAnsi="Arial" w:cs="Arial"/>
          <w:color w:val="000000"/>
          <w:sz w:val="20"/>
          <w:szCs w:val="20"/>
          <w:lang w:val="en-US"/>
        </w:rPr>
        <w:t xml:space="preserve"> delivers heating services to 4,500 apartments, as well as schools and other public institutions, but it still heavily relies on the </w:t>
      </w:r>
      <w:r w:rsidR="00AF33DB">
        <w:rPr>
          <w:rFonts w:ascii="Arial" w:eastAsia="Times New Roman" w:hAnsi="Arial" w:cs="Arial"/>
          <w:color w:val="000000"/>
          <w:sz w:val="20"/>
          <w:szCs w:val="20"/>
          <w:lang w:val="en-US"/>
        </w:rPr>
        <w:t xml:space="preserve">coal </w:t>
      </w:r>
      <w:r w:rsidRPr="003516DC">
        <w:rPr>
          <w:rFonts w:ascii="Arial" w:eastAsia="Times New Roman" w:hAnsi="Arial" w:cs="Arial"/>
          <w:color w:val="000000"/>
          <w:sz w:val="20"/>
          <w:szCs w:val="20"/>
          <w:lang w:val="en-US"/>
        </w:rPr>
        <w:t>production in Valea Jiului. CEH is also heavily indebted towards the natural gas provider and the transportation of coal by railroad also increases the prices. In winter 2020-2021</w:t>
      </w:r>
      <w:r w:rsidR="00DE1EAC">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the cost of a Gcal production was </w:t>
      </w:r>
      <w:r w:rsidR="00DE1EAC">
        <w:rPr>
          <w:rFonts w:ascii="Arial" w:eastAsia="Times New Roman" w:hAnsi="Arial" w:cs="Arial"/>
          <w:color w:val="000000"/>
          <w:sz w:val="20"/>
          <w:szCs w:val="20"/>
          <w:lang w:val="en-US"/>
        </w:rPr>
        <w:t xml:space="preserve">RON </w:t>
      </w:r>
      <w:r w:rsidRPr="003516DC">
        <w:rPr>
          <w:rFonts w:ascii="Arial" w:eastAsia="Times New Roman" w:hAnsi="Arial" w:cs="Arial"/>
          <w:color w:val="000000"/>
          <w:sz w:val="20"/>
          <w:szCs w:val="20"/>
          <w:lang w:val="en-US"/>
        </w:rPr>
        <w:t>662</w:t>
      </w:r>
      <w:r w:rsidR="00DE1EAC">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19, while it was sold to consumers for only </w:t>
      </w:r>
      <w:r w:rsidR="00DE1EAC">
        <w:rPr>
          <w:rFonts w:ascii="Arial" w:eastAsia="Times New Roman" w:hAnsi="Arial" w:cs="Arial"/>
          <w:color w:val="000000"/>
          <w:sz w:val="20"/>
          <w:szCs w:val="20"/>
          <w:lang w:val="en-US"/>
        </w:rPr>
        <w:t xml:space="preserve">RON </w:t>
      </w:r>
      <w:r w:rsidRPr="003516DC">
        <w:rPr>
          <w:rFonts w:ascii="Arial" w:eastAsia="Times New Roman" w:hAnsi="Arial" w:cs="Arial"/>
          <w:color w:val="000000"/>
          <w:sz w:val="20"/>
          <w:szCs w:val="20"/>
          <w:lang w:val="en-US"/>
        </w:rPr>
        <w:t>193</w:t>
      </w:r>
      <w:r w:rsidR="00DE1EAC">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08. In February and March 2021</w:t>
      </w:r>
      <w:r w:rsidR="00DE1EAC">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heating was cut for the residential and public consumers following a protest of the miners </w:t>
      </w:r>
      <w:r w:rsidR="00DE1EAC">
        <w:rPr>
          <w:rFonts w:ascii="Arial" w:eastAsia="Times New Roman" w:hAnsi="Arial" w:cs="Arial"/>
          <w:color w:val="000000"/>
          <w:sz w:val="20"/>
          <w:szCs w:val="20"/>
          <w:lang w:val="en-US"/>
        </w:rPr>
        <w:t>that</w:t>
      </w:r>
      <w:r w:rsidRPr="003516DC">
        <w:rPr>
          <w:rFonts w:ascii="Arial" w:eastAsia="Times New Roman" w:hAnsi="Arial" w:cs="Arial"/>
          <w:color w:val="000000"/>
          <w:sz w:val="20"/>
          <w:szCs w:val="20"/>
          <w:lang w:val="en-US"/>
        </w:rPr>
        <w:t xml:space="preserve"> blocked the functioning of Termocentrala Mintia, which left it without the necessary supply of coal. The miners protested because of unpaid salaries, which is an outcome of the heavy indebt</w:t>
      </w:r>
      <w:r w:rsidR="00DE1EAC">
        <w:rPr>
          <w:rFonts w:ascii="Arial" w:eastAsia="Times New Roman" w:hAnsi="Arial" w:cs="Arial"/>
          <w:color w:val="000000"/>
          <w:sz w:val="20"/>
          <w:szCs w:val="20"/>
          <w:lang w:val="en-US"/>
        </w:rPr>
        <w:t>edness</w:t>
      </w:r>
      <w:r w:rsidRPr="003516DC">
        <w:rPr>
          <w:rFonts w:ascii="Arial" w:eastAsia="Times New Roman" w:hAnsi="Arial" w:cs="Arial"/>
          <w:color w:val="000000"/>
          <w:sz w:val="20"/>
          <w:szCs w:val="20"/>
          <w:lang w:val="en-US"/>
        </w:rPr>
        <w:t xml:space="preserve"> of CEH.</w:t>
      </w:r>
    </w:p>
    <w:p w14:paraId="67357D70" w14:textId="1DC9D07B" w:rsidR="00861F2E" w:rsidRDefault="00DE1EAC" w:rsidP="00D909FC">
      <w:pPr>
        <w:spacing w:after="120"/>
        <w:jc w:val="both"/>
        <w:rPr>
          <w:rFonts w:ascii="Arial" w:hAnsi="Arial" w:cs="Arial"/>
          <w:sz w:val="20"/>
          <w:szCs w:val="20"/>
        </w:rPr>
      </w:pPr>
      <w:r>
        <w:rPr>
          <w:rFonts w:ascii="Arial" w:hAnsi="Arial" w:cs="Arial"/>
          <w:sz w:val="20"/>
          <w:szCs w:val="20"/>
        </w:rPr>
        <w:t>F</w:t>
      </w:r>
      <w:r w:rsidR="00861F2E" w:rsidRPr="003516DC">
        <w:rPr>
          <w:rFonts w:ascii="Arial" w:hAnsi="Arial" w:cs="Arial"/>
          <w:sz w:val="20"/>
          <w:szCs w:val="20"/>
        </w:rPr>
        <w:t xml:space="preserve">igure </w:t>
      </w:r>
      <w:r w:rsidR="00D909FC">
        <w:rPr>
          <w:rFonts w:ascii="Arial" w:hAnsi="Arial" w:cs="Arial"/>
          <w:sz w:val="20"/>
          <w:szCs w:val="20"/>
        </w:rPr>
        <w:t>8</w:t>
      </w:r>
      <w:r>
        <w:rPr>
          <w:rFonts w:ascii="Arial" w:hAnsi="Arial" w:cs="Arial"/>
          <w:sz w:val="20"/>
          <w:szCs w:val="20"/>
        </w:rPr>
        <w:t xml:space="preserve"> </w:t>
      </w:r>
      <w:r w:rsidR="00861F2E" w:rsidRPr="003516DC">
        <w:rPr>
          <w:rFonts w:ascii="Arial" w:hAnsi="Arial" w:cs="Arial"/>
          <w:sz w:val="20"/>
          <w:szCs w:val="20"/>
        </w:rPr>
        <w:t>show</w:t>
      </w:r>
      <w:r w:rsidR="00DE2577">
        <w:rPr>
          <w:rFonts w:ascii="Arial" w:hAnsi="Arial" w:cs="Arial"/>
          <w:sz w:val="20"/>
          <w:szCs w:val="20"/>
        </w:rPr>
        <w:t>s</w:t>
      </w:r>
      <w:r w:rsidR="00861F2E" w:rsidRPr="003516DC">
        <w:rPr>
          <w:rFonts w:ascii="Arial" w:hAnsi="Arial" w:cs="Arial"/>
          <w:sz w:val="20"/>
          <w:szCs w:val="20"/>
        </w:rPr>
        <w:t xml:space="preserve"> the intensity of gas consumption in </w:t>
      </w:r>
      <w:r w:rsidR="00861F2E">
        <w:rPr>
          <w:rFonts w:ascii="Arial" w:hAnsi="Arial" w:cs="Arial"/>
          <w:sz w:val="20"/>
          <w:szCs w:val="20"/>
        </w:rPr>
        <w:t xml:space="preserve">Hunedoara </w:t>
      </w:r>
      <w:r w:rsidR="00116DF3">
        <w:rPr>
          <w:rFonts w:ascii="Arial" w:hAnsi="Arial" w:cs="Arial"/>
          <w:sz w:val="20"/>
          <w:szCs w:val="20"/>
        </w:rPr>
        <w:t>C</w:t>
      </w:r>
      <w:r w:rsidR="00861F2E">
        <w:rPr>
          <w:rFonts w:ascii="Arial" w:hAnsi="Arial" w:cs="Arial"/>
          <w:sz w:val="20"/>
          <w:szCs w:val="20"/>
        </w:rPr>
        <w:t>ounty</w:t>
      </w:r>
      <w:r w:rsidR="00861F2E" w:rsidRPr="003516DC">
        <w:rPr>
          <w:rFonts w:ascii="Arial" w:hAnsi="Arial" w:cs="Arial"/>
          <w:sz w:val="20"/>
          <w:szCs w:val="20"/>
        </w:rPr>
        <w:t>. Th</w:t>
      </w:r>
      <w:r w:rsidR="00DE2577">
        <w:rPr>
          <w:rFonts w:ascii="Arial" w:hAnsi="Arial" w:cs="Arial"/>
          <w:sz w:val="20"/>
          <w:szCs w:val="20"/>
        </w:rPr>
        <w:t>is</w:t>
      </w:r>
      <w:r w:rsidR="00861F2E" w:rsidRPr="003516DC">
        <w:rPr>
          <w:rFonts w:ascii="Arial" w:hAnsi="Arial" w:cs="Arial"/>
          <w:sz w:val="20"/>
          <w:szCs w:val="20"/>
        </w:rPr>
        <w:t xml:space="preserve"> illustrate</w:t>
      </w:r>
      <w:r w:rsidR="00DE2577">
        <w:rPr>
          <w:rFonts w:ascii="Arial" w:hAnsi="Arial" w:cs="Arial"/>
          <w:sz w:val="20"/>
          <w:szCs w:val="20"/>
        </w:rPr>
        <w:t>s</w:t>
      </w:r>
      <w:r w:rsidR="00861F2E" w:rsidRPr="003516DC">
        <w:rPr>
          <w:rFonts w:ascii="Arial" w:hAnsi="Arial" w:cs="Arial"/>
          <w:sz w:val="20"/>
          <w:szCs w:val="20"/>
        </w:rPr>
        <w:t xml:space="preserve"> why, despite connections to the gas grid, many households restrict their natural gas consumption, presumably due to energy poverty</w:t>
      </w:r>
      <w:r w:rsidR="00861F2E">
        <w:rPr>
          <w:rFonts w:ascii="Arial" w:hAnsi="Arial" w:cs="Arial"/>
          <w:sz w:val="20"/>
          <w:szCs w:val="20"/>
        </w:rPr>
        <w:t>.</w:t>
      </w:r>
    </w:p>
    <w:p w14:paraId="3AA9791F" w14:textId="1395A0FA" w:rsidR="00861F2E" w:rsidRPr="003516DC" w:rsidRDefault="00861F2E" w:rsidP="00D909FC">
      <w:pPr>
        <w:pStyle w:val="Caption"/>
        <w:spacing w:before="0"/>
        <w:ind w:left="1138" w:hanging="1138"/>
      </w:pPr>
      <w:bookmarkStart w:id="127" w:name="_Toc90725935"/>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8</w:t>
      </w:r>
      <w:r w:rsidRPr="003516DC">
        <w:rPr>
          <w:noProof/>
        </w:rPr>
        <w:fldChar w:fldCharType="end"/>
      </w:r>
      <w:r w:rsidRPr="003516DC">
        <w:t xml:space="preserve">: Residential gas consumption per UAT in Hunedoara </w:t>
      </w:r>
      <w:r w:rsidR="00D909FC">
        <w:t>C</w:t>
      </w:r>
      <w:r w:rsidRPr="003516DC">
        <w:t>ounty (</w:t>
      </w:r>
      <w:r w:rsidR="00CA5EF9">
        <w:t>‘000</w:t>
      </w:r>
      <w:r w:rsidRPr="003516DC">
        <w:t xml:space="preserve"> cubic meters)</w:t>
      </w:r>
      <w:bookmarkEnd w:id="127"/>
    </w:p>
    <w:p w14:paraId="12987980" w14:textId="77777777" w:rsidR="00861F2E" w:rsidRPr="003516DC" w:rsidRDefault="00861F2E" w:rsidP="00D909FC">
      <w:pPr>
        <w:jc w:val="center"/>
        <w:rPr>
          <w:rFonts w:ascii="Arial" w:hAnsi="Arial" w:cs="Arial"/>
        </w:rPr>
      </w:pPr>
      <w:r w:rsidRPr="00402580">
        <w:rPr>
          <w:rFonts w:ascii="Arial" w:hAnsi="Arial" w:cs="Arial"/>
          <w:noProof/>
          <w:lang w:val="en-US" w:eastAsia="en-US"/>
        </w:rPr>
        <w:drawing>
          <wp:inline distT="0" distB="0" distL="0" distR="0" wp14:anchorId="24C05EC9" wp14:editId="6A6D178B">
            <wp:extent cx="5678424" cy="3749040"/>
            <wp:effectExtent l="0" t="0" r="0" b="3810"/>
            <wp:docPr id="2087055696" name="Picture 2087055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63">
                      <a:extLst>
                        <a:ext uri="{28A0092B-C50C-407E-A947-70E740481C1C}">
                          <a14:useLocalDpi xmlns:a14="http://schemas.microsoft.com/office/drawing/2010/main" val="0"/>
                        </a:ext>
                      </a:extLst>
                    </a:blip>
                    <a:stretch>
                      <a:fillRect/>
                    </a:stretch>
                  </pic:blipFill>
                  <pic:spPr>
                    <a:xfrm>
                      <a:off x="0" y="0"/>
                      <a:ext cx="5678424" cy="3749040"/>
                    </a:xfrm>
                    <a:prstGeom prst="rect">
                      <a:avLst/>
                    </a:prstGeom>
                  </pic:spPr>
                </pic:pic>
              </a:graphicData>
            </a:graphic>
          </wp:inline>
        </w:drawing>
      </w:r>
    </w:p>
    <w:p w14:paraId="7D79ABF4" w14:textId="477498D2" w:rsidR="00CA5EF9" w:rsidRPr="009F2C15" w:rsidRDefault="00861F2E" w:rsidP="00CA5EF9">
      <w:pPr>
        <w:rPr>
          <w:rFonts w:ascii="Arial" w:hAnsi="Arial" w:cs="Arial"/>
          <w:lang w:eastAsia="en-US"/>
        </w:rPr>
      </w:pPr>
      <w:r w:rsidRPr="009F2C15">
        <w:rPr>
          <w:rFonts w:ascii="Arial" w:hAnsi="Arial" w:cs="Arial"/>
          <w:i/>
          <w:iCs/>
          <w:sz w:val="16"/>
          <w:szCs w:val="16"/>
        </w:rPr>
        <w:t>Source: Figure processed based on NIS data, 2020</w:t>
      </w:r>
    </w:p>
    <w:p w14:paraId="2D5E8D6C" w14:textId="306F52FD" w:rsidR="00F0070A" w:rsidRPr="009118F7" w:rsidRDefault="00C7596F" w:rsidP="00E42342">
      <w:pPr>
        <w:pStyle w:val="Heading3"/>
        <w:numPr>
          <w:ilvl w:val="0"/>
          <w:numId w:val="130"/>
        </w:numPr>
        <w:spacing w:after="120"/>
        <w:ind w:left="714" w:hanging="714"/>
        <w:rPr>
          <w:b w:val="0"/>
          <w:bCs/>
        </w:rPr>
      </w:pPr>
      <w:r w:rsidRPr="009118F7">
        <w:rPr>
          <w:b w:val="0"/>
          <w:bCs/>
        </w:rPr>
        <w:lastRenderedPageBreak/>
        <w:t>Challenges</w:t>
      </w:r>
      <w:r w:rsidR="00F0070A" w:rsidRPr="009118F7">
        <w:rPr>
          <w:b w:val="0"/>
          <w:bCs/>
        </w:rPr>
        <w:t xml:space="preserve"> in Hunedoara </w:t>
      </w:r>
      <w:r w:rsidR="00B83D86">
        <w:rPr>
          <w:b w:val="0"/>
          <w:bCs/>
        </w:rPr>
        <w:t>C</w:t>
      </w:r>
      <w:r w:rsidR="00F0070A" w:rsidRPr="009118F7">
        <w:rPr>
          <w:b w:val="0"/>
          <w:bCs/>
        </w:rPr>
        <w:t>ounty</w:t>
      </w:r>
    </w:p>
    <w:p w14:paraId="52F6D22B" w14:textId="1A416F55" w:rsidR="00BA16DA" w:rsidRPr="003516DC" w:rsidRDefault="003232E8" w:rsidP="00BA16DA">
      <w:pPr>
        <w:jc w:val="both"/>
        <w:rPr>
          <w:rFonts w:ascii="Arial" w:hAnsi="Arial" w:cs="Arial"/>
          <w:sz w:val="20"/>
          <w:szCs w:val="20"/>
        </w:rPr>
      </w:pPr>
      <w:r w:rsidRPr="003516DC">
        <w:rPr>
          <w:rFonts w:ascii="Arial" w:hAnsi="Arial" w:cs="Arial"/>
          <w:sz w:val="20"/>
          <w:szCs w:val="20"/>
        </w:rPr>
        <w:t>B</w:t>
      </w:r>
      <w:r w:rsidR="00BA16DA" w:rsidRPr="003516DC">
        <w:rPr>
          <w:rFonts w:ascii="Arial" w:hAnsi="Arial" w:cs="Arial"/>
          <w:sz w:val="20"/>
          <w:szCs w:val="20"/>
        </w:rPr>
        <w:t xml:space="preserve">ased on desk research and stakeholder interviews, Hunedoara </w:t>
      </w:r>
      <w:r w:rsidRPr="003516DC">
        <w:rPr>
          <w:rFonts w:ascii="Arial" w:hAnsi="Arial" w:cs="Arial"/>
          <w:sz w:val="20"/>
          <w:szCs w:val="20"/>
        </w:rPr>
        <w:t>C</w:t>
      </w:r>
      <w:r w:rsidR="00BA16DA" w:rsidRPr="003516DC">
        <w:rPr>
          <w:rFonts w:ascii="Arial" w:hAnsi="Arial" w:cs="Arial"/>
          <w:sz w:val="20"/>
          <w:szCs w:val="20"/>
        </w:rPr>
        <w:t xml:space="preserve">ounty </w:t>
      </w:r>
      <w:r w:rsidRPr="003516DC">
        <w:rPr>
          <w:rFonts w:ascii="Arial" w:hAnsi="Arial" w:cs="Arial"/>
          <w:sz w:val="20"/>
          <w:szCs w:val="20"/>
        </w:rPr>
        <w:t xml:space="preserve">faces </w:t>
      </w:r>
      <w:r w:rsidR="00BA16DA" w:rsidRPr="003516DC">
        <w:rPr>
          <w:rFonts w:ascii="Arial" w:hAnsi="Arial" w:cs="Arial"/>
          <w:sz w:val="20"/>
          <w:szCs w:val="20"/>
        </w:rPr>
        <w:t>several challenges:</w:t>
      </w:r>
    </w:p>
    <w:p w14:paraId="6372E5F2" w14:textId="77777777" w:rsidR="00BA16DA" w:rsidRPr="003516DC" w:rsidRDefault="00BA16DA" w:rsidP="00B83D86">
      <w:pPr>
        <w:spacing w:after="120"/>
        <w:jc w:val="both"/>
        <w:rPr>
          <w:rFonts w:ascii="Arial" w:hAnsi="Arial" w:cs="Arial"/>
          <w:sz w:val="8"/>
          <w:szCs w:val="8"/>
        </w:rPr>
      </w:pPr>
    </w:p>
    <w:p w14:paraId="5C616D56" w14:textId="7354706D" w:rsidR="00BA16DA" w:rsidRPr="00B83D86" w:rsidRDefault="00FE1D40" w:rsidP="00B83D86">
      <w:pPr>
        <w:pStyle w:val="ListParagraph"/>
        <w:numPr>
          <w:ilvl w:val="0"/>
          <w:numId w:val="2"/>
        </w:numPr>
        <w:spacing w:after="120" w:line="240" w:lineRule="auto"/>
        <w:contextualSpacing w:val="0"/>
        <w:jc w:val="both"/>
        <w:rPr>
          <w:sz w:val="20"/>
          <w:szCs w:val="20"/>
        </w:rPr>
      </w:pPr>
      <w:r w:rsidRPr="003516DC">
        <w:rPr>
          <w:sz w:val="20"/>
          <w:szCs w:val="20"/>
        </w:rPr>
        <w:t xml:space="preserve">Low capacity </w:t>
      </w:r>
      <w:r w:rsidR="00BA16DA" w:rsidRPr="003516DC">
        <w:rPr>
          <w:sz w:val="20"/>
          <w:szCs w:val="20"/>
        </w:rPr>
        <w:t xml:space="preserve">of stakeholders at </w:t>
      </w:r>
      <w:r w:rsidR="00A51F36" w:rsidRPr="003516DC">
        <w:rPr>
          <w:sz w:val="20"/>
          <w:szCs w:val="20"/>
        </w:rPr>
        <w:t xml:space="preserve">the </w:t>
      </w:r>
      <w:r w:rsidR="00BA16DA" w:rsidRPr="003516DC">
        <w:rPr>
          <w:sz w:val="20"/>
          <w:szCs w:val="20"/>
        </w:rPr>
        <w:t xml:space="preserve">regional level to work together </w:t>
      </w:r>
      <w:r w:rsidR="00A51F36" w:rsidRPr="003516DC">
        <w:rPr>
          <w:sz w:val="20"/>
          <w:szCs w:val="20"/>
        </w:rPr>
        <w:t xml:space="preserve">and </w:t>
      </w:r>
      <w:r w:rsidR="00BA16DA" w:rsidRPr="003516DC">
        <w:rPr>
          <w:sz w:val="20"/>
          <w:szCs w:val="20"/>
        </w:rPr>
        <w:t xml:space="preserve">identify common needs </w:t>
      </w:r>
      <w:r w:rsidR="00A51F36" w:rsidRPr="003516DC">
        <w:rPr>
          <w:sz w:val="20"/>
          <w:szCs w:val="20"/>
        </w:rPr>
        <w:t>related to</w:t>
      </w:r>
      <w:r w:rsidR="00BA16DA" w:rsidRPr="003516DC">
        <w:rPr>
          <w:sz w:val="20"/>
          <w:szCs w:val="20"/>
        </w:rPr>
        <w:t xml:space="preserve"> prioriti</w:t>
      </w:r>
      <w:r w:rsidR="00D23A44" w:rsidRPr="003516DC">
        <w:rPr>
          <w:sz w:val="20"/>
          <w:szCs w:val="20"/>
        </w:rPr>
        <w:t>s</w:t>
      </w:r>
      <w:r w:rsidR="00BA16DA" w:rsidRPr="003516DC">
        <w:rPr>
          <w:sz w:val="20"/>
          <w:szCs w:val="20"/>
        </w:rPr>
        <w:t xml:space="preserve">ing, drafting, obtaining funds and implementing projects </w:t>
      </w:r>
      <w:r w:rsidR="00D23A44" w:rsidRPr="003516DC">
        <w:rPr>
          <w:sz w:val="20"/>
          <w:szCs w:val="20"/>
        </w:rPr>
        <w:t>for</w:t>
      </w:r>
      <w:r w:rsidR="00BA16DA" w:rsidRPr="003516DC">
        <w:rPr>
          <w:sz w:val="20"/>
          <w:szCs w:val="20"/>
        </w:rPr>
        <w:t xml:space="preserve"> a just transition</w:t>
      </w:r>
      <w:r w:rsidR="00807090" w:rsidRPr="003516DC">
        <w:rPr>
          <w:sz w:val="20"/>
          <w:szCs w:val="20"/>
        </w:rPr>
        <w:t>.</w:t>
      </w:r>
    </w:p>
    <w:p w14:paraId="12A804AD" w14:textId="441753BA" w:rsidR="00BA16DA" w:rsidRPr="00B83D86" w:rsidRDefault="00C84AEC" w:rsidP="00B83D86">
      <w:pPr>
        <w:pStyle w:val="ListParagraph"/>
        <w:numPr>
          <w:ilvl w:val="0"/>
          <w:numId w:val="2"/>
        </w:numPr>
        <w:spacing w:after="120" w:line="240" w:lineRule="auto"/>
        <w:contextualSpacing w:val="0"/>
        <w:jc w:val="both"/>
        <w:rPr>
          <w:sz w:val="20"/>
          <w:szCs w:val="20"/>
        </w:rPr>
      </w:pPr>
      <w:r w:rsidRPr="003516DC">
        <w:rPr>
          <w:sz w:val="20"/>
          <w:szCs w:val="20"/>
        </w:rPr>
        <w:t xml:space="preserve">A </w:t>
      </w:r>
      <w:r w:rsidR="00BA16DA" w:rsidRPr="003516DC">
        <w:rPr>
          <w:sz w:val="20"/>
          <w:szCs w:val="20"/>
        </w:rPr>
        <w:t xml:space="preserve">lack of properly designed </w:t>
      </w:r>
      <w:r w:rsidR="006A76DB" w:rsidRPr="003516DC">
        <w:rPr>
          <w:sz w:val="20"/>
          <w:szCs w:val="20"/>
        </w:rPr>
        <w:t xml:space="preserve">and </w:t>
      </w:r>
      <w:r w:rsidR="00AB6158" w:rsidRPr="003516DC">
        <w:rPr>
          <w:sz w:val="20"/>
          <w:szCs w:val="20"/>
        </w:rPr>
        <w:t>managed</w:t>
      </w:r>
      <w:r w:rsidR="006A76DB" w:rsidRPr="003516DC">
        <w:rPr>
          <w:sz w:val="20"/>
          <w:szCs w:val="20"/>
        </w:rPr>
        <w:t xml:space="preserve"> </w:t>
      </w:r>
      <w:r w:rsidR="00BA16DA" w:rsidRPr="003516DC">
        <w:rPr>
          <w:sz w:val="20"/>
          <w:szCs w:val="20"/>
        </w:rPr>
        <w:t>entrepreneurship and business support structures</w:t>
      </w:r>
      <w:r w:rsidR="006A76DB" w:rsidRPr="003516DC">
        <w:rPr>
          <w:sz w:val="20"/>
          <w:szCs w:val="20"/>
        </w:rPr>
        <w:t>,</w:t>
      </w:r>
      <w:r w:rsidR="00CA5EF9">
        <w:rPr>
          <w:sz w:val="20"/>
          <w:szCs w:val="20"/>
        </w:rPr>
        <w:t xml:space="preserve"> </w:t>
      </w:r>
      <w:r w:rsidR="00BA16DA" w:rsidRPr="003516DC">
        <w:rPr>
          <w:sz w:val="20"/>
          <w:szCs w:val="20"/>
        </w:rPr>
        <w:t xml:space="preserve">two business parks in Hunedoara and Călan and three business/technological </w:t>
      </w:r>
      <w:r w:rsidRPr="003516DC">
        <w:rPr>
          <w:sz w:val="20"/>
          <w:szCs w:val="20"/>
        </w:rPr>
        <w:t>centres</w:t>
      </w:r>
      <w:r w:rsidR="00BA16DA" w:rsidRPr="003516DC">
        <w:rPr>
          <w:sz w:val="20"/>
          <w:szCs w:val="20"/>
        </w:rPr>
        <w:t>/incubators in Hunedoara, Deva and Petroșani are only partially occupied by tenants</w:t>
      </w:r>
      <w:r w:rsidR="006A76DB" w:rsidRPr="003516DC">
        <w:rPr>
          <w:sz w:val="20"/>
          <w:szCs w:val="20"/>
        </w:rPr>
        <w:t xml:space="preserve">. One of the major difficulties faced by the business located in the available business support structures is the </w:t>
      </w:r>
      <w:r w:rsidR="00BA16DA" w:rsidRPr="003516DC">
        <w:rPr>
          <w:sz w:val="20"/>
          <w:szCs w:val="20"/>
        </w:rPr>
        <w:t xml:space="preserve">mismatch between </w:t>
      </w:r>
      <w:r w:rsidR="00587706" w:rsidRPr="003516DC">
        <w:rPr>
          <w:sz w:val="20"/>
          <w:szCs w:val="20"/>
        </w:rPr>
        <w:t xml:space="preserve">the demand and supply of </w:t>
      </w:r>
      <w:r w:rsidR="00BA16DA" w:rsidRPr="003516DC">
        <w:rPr>
          <w:sz w:val="20"/>
          <w:szCs w:val="20"/>
        </w:rPr>
        <w:t xml:space="preserve">labour skills and </w:t>
      </w:r>
      <w:r w:rsidR="00587706" w:rsidRPr="003516DC">
        <w:rPr>
          <w:sz w:val="20"/>
          <w:szCs w:val="20"/>
        </w:rPr>
        <w:t>the</w:t>
      </w:r>
      <w:r w:rsidR="00BA16DA" w:rsidRPr="003516DC">
        <w:rPr>
          <w:sz w:val="20"/>
          <w:szCs w:val="20"/>
        </w:rPr>
        <w:t xml:space="preserve"> massive migration of the active labour force, as evidenced by interviews with local stakeholders</w:t>
      </w:r>
      <w:r w:rsidR="00807090" w:rsidRPr="003516DC">
        <w:rPr>
          <w:sz w:val="20"/>
          <w:szCs w:val="20"/>
        </w:rPr>
        <w:t>.</w:t>
      </w:r>
    </w:p>
    <w:p w14:paraId="59975744" w14:textId="0C549568" w:rsidR="00BA16DA" w:rsidRPr="00B83D86" w:rsidRDefault="00FE1D40" w:rsidP="00B83D86">
      <w:pPr>
        <w:pStyle w:val="ListParagraph"/>
        <w:numPr>
          <w:ilvl w:val="0"/>
          <w:numId w:val="2"/>
        </w:numPr>
        <w:spacing w:after="120" w:line="240" w:lineRule="auto"/>
        <w:contextualSpacing w:val="0"/>
        <w:jc w:val="both"/>
        <w:rPr>
          <w:sz w:val="20"/>
          <w:szCs w:val="20"/>
        </w:rPr>
      </w:pPr>
      <w:r w:rsidRPr="003516DC">
        <w:rPr>
          <w:sz w:val="20"/>
          <w:szCs w:val="20"/>
        </w:rPr>
        <w:t>Despite its natural resources, numerous Natura 2000 sites, and heritage (famous castles, monasteries, etc.),</w:t>
      </w:r>
      <w:r w:rsidR="00350AA9" w:rsidRPr="003516DC">
        <w:rPr>
          <w:sz w:val="20"/>
          <w:szCs w:val="20"/>
        </w:rPr>
        <w:t xml:space="preserve"> Hunedoara </w:t>
      </w:r>
      <w:r w:rsidR="00B83D86">
        <w:rPr>
          <w:sz w:val="20"/>
          <w:szCs w:val="20"/>
        </w:rPr>
        <w:t>C</w:t>
      </w:r>
      <w:r w:rsidRPr="003516DC">
        <w:rPr>
          <w:sz w:val="20"/>
          <w:szCs w:val="20"/>
        </w:rPr>
        <w:t>ounty is not a tourist destination: the tourism infrastructure and facilities remain relatively undeveloped, and there is a lack of a structure and incentives for developing this endogenous potential. Furthermore, the lack of investments in environmental regeneration also hampers the development of this potential.</w:t>
      </w:r>
    </w:p>
    <w:p w14:paraId="5D29B337" w14:textId="4A86F003" w:rsidR="00BA16DA" w:rsidRPr="00B83D86" w:rsidRDefault="00BA16DA" w:rsidP="00B83D86">
      <w:pPr>
        <w:pStyle w:val="ListParagraph"/>
        <w:numPr>
          <w:ilvl w:val="0"/>
          <w:numId w:val="2"/>
        </w:numPr>
        <w:spacing w:after="120" w:line="240" w:lineRule="auto"/>
        <w:contextualSpacing w:val="0"/>
        <w:jc w:val="both"/>
        <w:rPr>
          <w:sz w:val="20"/>
          <w:szCs w:val="20"/>
        </w:rPr>
      </w:pPr>
      <w:r w:rsidRPr="003516DC">
        <w:rPr>
          <w:sz w:val="20"/>
          <w:szCs w:val="20"/>
        </w:rPr>
        <w:t xml:space="preserve">Although the county itself is well connected to the main European transport infrastructure, the micro-region </w:t>
      </w:r>
      <w:r w:rsidR="007E5DDF" w:rsidRPr="003516DC">
        <w:rPr>
          <w:sz w:val="20"/>
          <w:szCs w:val="20"/>
        </w:rPr>
        <w:t xml:space="preserve">of </w:t>
      </w:r>
      <w:r w:rsidRPr="003516DC">
        <w:rPr>
          <w:sz w:val="20"/>
          <w:szCs w:val="20"/>
        </w:rPr>
        <w:t xml:space="preserve">Jiu Valley </w:t>
      </w:r>
      <w:r w:rsidR="003C5353" w:rsidRPr="003516DC">
        <w:rPr>
          <w:sz w:val="20"/>
          <w:szCs w:val="20"/>
        </w:rPr>
        <w:t xml:space="preserve">has </w:t>
      </w:r>
      <w:r w:rsidRPr="003516DC">
        <w:rPr>
          <w:sz w:val="20"/>
          <w:szCs w:val="20"/>
        </w:rPr>
        <w:t xml:space="preserve">low </w:t>
      </w:r>
      <w:r w:rsidR="00FE1D40" w:rsidRPr="003516DC">
        <w:rPr>
          <w:sz w:val="20"/>
          <w:szCs w:val="20"/>
        </w:rPr>
        <w:t xml:space="preserve">transportation connectivity </w:t>
      </w:r>
      <w:r w:rsidRPr="003516DC">
        <w:rPr>
          <w:sz w:val="20"/>
          <w:szCs w:val="20"/>
        </w:rPr>
        <w:t>due to local topography</w:t>
      </w:r>
      <w:r w:rsidR="00807090" w:rsidRPr="003516DC">
        <w:rPr>
          <w:sz w:val="20"/>
          <w:szCs w:val="20"/>
        </w:rPr>
        <w:t>.</w:t>
      </w:r>
    </w:p>
    <w:p w14:paraId="042908BC" w14:textId="7F956032" w:rsidR="00FE6E3D" w:rsidRPr="00B83D86" w:rsidRDefault="00FE1D40" w:rsidP="00B83D86">
      <w:pPr>
        <w:pStyle w:val="ListParagraph"/>
        <w:numPr>
          <w:ilvl w:val="0"/>
          <w:numId w:val="2"/>
        </w:numPr>
        <w:spacing w:after="120" w:line="240" w:lineRule="auto"/>
        <w:contextualSpacing w:val="0"/>
        <w:jc w:val="both"/>
        <w:rPr>
          <w:sz w:val="20"/>
          <w:szCs w:val="20"/>
        </w:rPr>
      </w:pPr>
      <w:r w:rsidRPr="003516DC">
        <w:rPr>
          <w:sz w:val="20"/>
          <w:szCs w:val="20"/>
        </w:rPr>
        <w:t>Poor vocational education, low material infrastructure and low levels of teacher/instructor specialisation in new technologies, as well as a poor correlation between school curricula from tertiary education upwards and labour market needs, as evidenced by interviews with stakeholders.</w:t>
      </w:r>
    </w:p>
    <w:p w14:paraId="742FB4C9" w14:textId="4FCD2D70" w:rsidR="00BA16DA" w:rsidRPr="00B83D86" w:rsidRDefault="00FE1D40" w:rsidP="00B83D86">
      <w:pPr>
        <w:pStyle w:val="ListParagraph"/>
        <w:numPr>
          <w:ilvl w:val="0"/>
          <w:numId w:val="2"/>
        </w:numPr>
        <w:spacing w:after="120" w:line="240" w:lineRule="auto"/>
        <w:contextualSpacing w:val="0"/>
        <w:jc w:val="both"/>
        <w:rPr>
          <w:sz w:val="20"/>
          <w:szCs w:val="20"/>
        </w:rPr>
      </w:pPr>
      <w:r w:rsidRPr="003516DC">
        <w:rPr>
          <w:sz w:val="20"/>
          <w:szCs w:val="20"/>
        </w:rPr>
        <w:t>The small demographic size of municipalities, both urban and rural - which reflects in small local budgets and a reduced administrative capacity of local public authorities.</w:t>
      </w:r>
      <w:r w:rsidR="00D3556F" w:rsidRPr="003516DC">
        <w:rPr>
          <w:sz w:val="20"/>
          <w:szCs w:val="20"/>
        </w:rPr>
        <w:t xml:space="preserve"> </w:t>
      </w:r>
      <w:r w:rsidRPr="003516DC">
        <w:rPr>
          <w:sz w:val="20"/>
          <w:szCs w:val="20"/>
        </w:rPr>
        <w:t>Consequently, negative feedback loops (less money due to the tax redistribution system which takes into account the number of inhabitants, less services, less people – as they leave due to lack of services, even less services, etc.</w:t>
      </w:r>
      <w:r w:rsidR="00B83D86">
        <w:rPr>
          <w:sz w:val="20"/>
          <w:szCs w:val="20"/>
        </w:rPr>
        <w:t>).</w:t>
      </w:r>
    </w:p>
    <w:p w14:paraId="4F725854" w14:textId="2F8F9FE0" w:rsidR="004452A2" w:rsidRPr="00B83D86" w:rsidRDefault="00BA16DA" w:rsidP="00B83D86">
      <w:pPr>
        <w:pStyle w:val="ListParagraph"/>
        <w:numPr>
          <w:ilvl w:val="0"/>
          <w:numId w:val="2"/>
        </w:numPr>
        <w:spacing w:after="120" w:line="240" w:lineRule="auto"/>
        <w:contextualSpacing w:val="0"/>
        <w:jc w:val="both"/>
        <w:rPr>
          <w:sz w:val="20"/>
          <w:szCs w:val="20"/>
        </w:rPr>
      </w:pPr>
      <w:r w:rsidRPr="003516DC">
        <w:rPr>
          <w:sz w:val="20"/>
          <w:szCs w:val="20"/>
        </w:rPr>
        <w:t>The risk of poverty and social exclusion is higher in small towns, mainly in the mining areas of Jiu Valley and Brad, with poorly developed infrastructure, declining economic activity, low employment rate</w:t>
      </w:r>
      <w:r w:rsidR="00491528" w:rsidRPr="003516DC">
        <w:rPr>
          <w:sz w:val="20"/>
          <w:szCs w:val="20"/>
        </w:rPr>
        <w:t>s</w:t>
      </w:r>
      <w:r w:rsidRPr="003516DC">
        <w:rPr>
          <w:sz w:val="20"/>
          <w:szCs w:val="20"/>
        </w:rPr>
        <w:t xml:space="preserve">, etc. Close to 30% of Hunedoara County’s resident population lives in disadvantaged urban areas and close to 7% </w:t>
      </w:r>
      <w:r w:rsidR="00491528" w:rsidRPr="003516DC">
        <w:rPr>
          <w:sz w:val="20"/>
          <w:szCs w:val="20"/>
        </w:rPr>
        <w:t xml:space="preserve">live </w:t>
      </w:r>
      <w:r w:rsidRPr="003516DC">
        <w:rPr>
          <w:sz w:val="20"/>
          <w:szCs w:val="20"/>
        </w:rPr>
        <w:t>in marginalized urban areas</w:t>
      </w:r>
      <w:r w:rsidR="005B42AB" w:rsidRPr="003516DC">
        <w:rPr>
          <w:rStyle w:val="FootnoteReference"/>
          <w:sz w:val="20"/>
          <w:szCs w:val="20"/>
        </w:rPr>
        <w:footnoteReference w:id="59"/>
      </w:r>
      <w:r w:rsidRPr="003516DC">
        <w:t>.</w:t>
      </w:r>
      <w:r w:rsidRPr="003516DC">
        <w:rPr>
          <w:sz w:val="20"/>
          <w:szCs w:val="20"/>
        </w:rPr>
        <w:t xml:space="preserve"> There is a reluctance of the age 45-65 population, former mining-energy sector employees benefiting from the early retirement and/or compensatory laid-off </w:t>
      </w:r>
      <w:r w:rsidR="005B42AB" w:rsidRPr="003516DC">
        <w:rPr>
          <w:sz w:val="20"/>
          <w:szCs w:val="20"/>
        </w:rPr>
        <w:t>allowances to</w:t>
      </w:r>
      <w:r w:rsidRPr="003516DC">
        <w:rPr>
          <w:sz w:val="20"/>
          <w:szCs w:val="20"/>
        </w:rPr>
        <w:t xml:space="preserve"> re-qualify and actively search for jobs</w:t>
      </w:r>
      <w:r w:rsidRPr="003516DC">
        <w:rPr>
          <w:vertAlign w:val="superscript"/>
        </w:rPr>
        <w:footnoteReference w:id="60"/>
      </w:r>
      <w:r w:rsidRPr="003516DC">
        <w:rPr>
          <w:sz w:val="20"/>
          <w:szCs w:val="20"/>
        </w:rPr>
        <w:t>, as reflected in interviews with local stakeholders</w:t>
      </w:r>
      <w:r w:rsidR="004452A2" w:rsidRPr="003516DC">
        <w:rPr>
          <w:sz w:val="20"/>
          <w:szCs w:val="20"/>
        </w:rPr>
        <w:t>.</w:t>
      </w:r>
      <w:r w:rsidR="00A20EE1" w:rsidRPr="003516DC">
        <w:rPr>
          <w:sz w:val="20"/>
          <w:szCs w:val="20"/>
        </w:rPr>
        <w:t xml:space="preserve"> However, in terms of unemployment, </w:t>
      </w:r>
      <w:r w:rsidR="006E64F6" w:rsidRPr="003516DC">
        <w:rPr>
          <w:sz w:val="20"/>
          <w:szCs w:val="20"/>
        </w:rPr>
        <w:t>four</w:t>
      </w:r>
      <w:r w:rsidR="00A20EE1" w:rsidRPr="003516DC">
        <w:rPr>
          <w:sz w:val="20"/>
          <w:szCs w:val="20"/>
        </w:rPr>
        <w:t xml:space="preserve"> of </w:t>
      </w:r>
      <w:r w:rsidR="006E64F6" w:rsidRPr="003516DC">
        <w:rPr>
          <w:sz w:val="20"/>
          <w:szCs w:val="20"/>
        </w:rPr>
        <w:t>six</w:t>
      </w:r>
      <w:r w:rsidR="00A20EE1" w:rsidRPr="003516DC">
        <w:rPr>
          <w:sz w:val="20"/>
          <w:szCs w:val="20"/>
        </w:rPr>
        <w:t xml:space="preserve"> municipalities in Jiu Valley record</w:t>
      </w:r>
      <w:r w:rsidR="00621580" w:rsidRPr="003516DC">
        <w:rPr>
          <w:sz w:val="20"/>
          <w:szCs w:val="20"/>
        </w:rPr>
        <w:t>ed</w:t>
      </w:r>
      <w:r w:rsidR="00A20EE1" w:rsidRPr="003516DC">
        <w:rPr>
          <w:sz w:val="20"/>
          <w:szCs w:val="20"/>
        </w:rPr>
        <w:t xml:space="preserve"> better rates (1.4%-1.9%)</w:t>
      </w:r>
      <w:r w:rsidR="00621580" w:rsidRPr="003516DC">
        <w:rPr>
          <w:sz w:val="20"/>
          <w:szCs w:val="20"/>
        </w:rPr>
        <w:t xml:space="preserve"> than the county level </w:t>
      </w:r>
      <w:r w:rsidR="00A03073" w:rsidRPr="003516DC">
        <w:rPr>
          <w:sz w:val="20"/>
          <w:szCs w:val="20"/>
        </w:rPr>
        <w:t xml:space="preserve">rate </w:t>
      </w:r>
      <w:r w:rsidR="00621580" w:rsidRPr="003516DC">
        <w:rPr>
          <w:sz w:val="20"/>
          <w:szCs w:val="20"/>
        </w:rPr>
        <w:t>(2%)</w:t>
      </w:r>
      <w:r w:rsidR="00AE42AB" w:rsidRPr="003516DC">
        <w:rPr>
          <w:sz w:val="20"/>
          <w:szCs w:val="20"/>
        </w:rPr>
        <w:t>.</w:t>
      </w:r>
      <w:r w:rsidR="00621580" w:rsidRPr="003516DC">
        <w:rPr>
          <w:sz w:val="20"/>
          <w:szCs w:val="20"/>
        </w:rPr>
        <w:t xml:space="preserve"> Hunedoara </w:t>
      </w:r>
      <w:r w:rsidR="00AE42AB" w:rsidRPr="003516DC">
        <w:rPr>
          <w:sz w:val="20"/>
          <w:szCs w:val="20"/>
        </w:rPr>
        <w:t>C</w:t>
      </w:r>
      <w:r w:rsidR="00621580" w:rsidRPr="003516DC">
        <w:rPr>
          <w:sz w:val="20"/>
          <w:szCs w:val="20"/>
        </w:rPr>
        <w:t xml:space="preserve">ounty </w:t>
      </w:r>
      <w:r w:rsidR="00AE42AB" w:rsidRPr="003516DC">
        <w:rPr>
          <w:sz w:val="20"/>
          <w:szCs w:val="20"/>
        </w:rPr>
        <w:t xml:space="preserve">also </w:t>
      </w:r>
      <w:r w:rsidR="00621580" w:rsidRPr="003516DC">
        <w:rPr>
          <w:sz w:val="20"/>
          <w:szCs w:val="20"/>
        </w:rPr>
        <w:t>recorded a lower unemployment rate than the region</w:t>
      </w:r>
      <w:r w:rsidR="00193F74" w:rsidRPr="003516DC">
        <w:rPr>
          <w:sz w:val="20"/>
          <w:szCs w:val="20"/>
        </w:rPr>
        <w:t>al rate of</w:t>
      </w:r>
      <w:r w:rsidR="00621580" w:rsidRPr="003516DC">
        <w:rPr>
          <w:sz w:val="20"/>
          <w:szCs w:val="20"/>
        </w:rPr>
        <w:t xml:space="preserve"> 3.6% and the national rate </w:t>
      </w:r>
      <w:r w:rsidR="00193F74" w:rsidRPr="003516DC">
        <w:rPr>
          <w:sz w:val="20"/>
          <w:szCs w:val="20"/>
        </w:rPr>
        <w:t xml:space="preserve">of </w:t>
      </w:r>
      <w:r w:rsidR="00621580" w:rsidRPr="003516DC">
        <w:rPr>
          <w:sz w:val="20"/>
          <w:szCs w:val="20"/>
        </w:rPr>
        <w:t>4.2%</w:t>
      </w:r>
      <w:r w:rsidR="00621580" w:rsidRPr="003516DC">
        <w:rPr>
          <w:rStyle w:val="FootnoteReference"/>
          <w:sz w:val="20"/>
          <w:szCs w:val="20"/>
        </w:rPr>
        <w:footnoteReference w:id="61"/>
      </w:r>
      <w:r w:rsidR="00621580" w:rsidRPr="003516DC">
        <w:rPr>
          <w:sz w:val="20"/>
          <w:szCs w:val="20"/>
        </w:rPr>
        <w:t>.</w:t>
      </w:r>
      <w:r w:rsidR="00224B0F" w:rsidRPr="003516DC">
        <w:rPr>
          <w:sz w:val="20"/>
          <w:szCs w:val="20"/>
        </w:rPr>
        <w:t xml:space="preserve"> The surprisingly low unemployment pattern </w:t>
      </w:r>
      <w:r w:rsidR="00306CC7" w:rsidRPr="003516DC">
        <w:rPr>
          <w:sz w:val="20"/>
          <w:szCs w:val="20"/>
        </w:rPr>
        <w:t>has been discussed with</w:t>
      </w:r>
      <w:r w:rsidR="00224B0F" w:rsidRPr="003516DC">
        <w:rPr>
          <w:sz w:val="20"/>
          <w:szCs w:val="20"/>
        </w:rPr>
        <w:t xml:space="preserve"> local stakeholders</w:t>
      </w:r>
      <w:r w:rsidR="00306CC7" w:rsidRPr="003516DC">
        <w:rPr>
          <w:sz w:val="20"/>
          <w:szCs w:val="20"/>
        </w:rPr>
        <w:t xml:space="preserve"> and it is clearly due to migration patterns, while negatively impact the labour needs of large local enterprises</w:t>
      </w:r>
      <w:r w:rsidR="00224B0F" w:rsidRPr="003516DC">
        <w:rPr>
          <w:sz w:val="20"/>
          <w:szCs w:val="20"/>
        </w:rPr>
        <w:t>.</w:t>
      </w:r>
    </w:p>
    <w:p w14:paraId="2130256C" w14:textId="2CF96D9A" w:rsidR="00BA16DA" w:rsidRPr="009118F7" w:rsidRDefault="00BA16DA" w:rsidP="00B83D86">
      <w:pPr>
        <w:pStyle w:val="ListParagraph"/>
        <w:numPr>
          <w:ilvl w:val="0"/>
          <w:numId w:val="2"/>
        </w:numPr>
        <w:spacing w:after="120" w:line="240" w:lineRule="auto"/>
        <w:contextualSpacing w:val="0"/>
        <w:jc w:val="both"/>
        <w:rPr>
          <w:sz w:val="20"/>
          <w:szCs w:val="20"/>
        </w:rPr>
      </w:pPr>
      <w:r w:rsidRPr="003516DC">
        <w:rPr>
          <w:sz w:val="20"/>
          <w:szCs w:val="20"/>
        </w:rPr>
        <w:t xml:space="preserve">Investment in research and innovation is low compared with the EU and </w:t>
      </w:r>
      <w:r w:rsidR="00214C27" w:rsidRPr="003516DC">
        <w:rPr>
          <w:sz w:val="20"/>
          <w:szCs w:val="20"/>
        </w:rPr>
        <w:t>the</w:t>
      </w:r>
      <w:r w:rsidRPr="003516DC">
        <w:rPr>
          <w:sz w:val="20"/>
          <w:szCs w:val="20"/>
        </w:rPr>
        <w:t xml:space="preserve"> West Region, although </w:t>
      </w:r>
      <w:r w:rsidR="00214C27" w:rsidRPr="003516DC">
        <w:rPr>
          <w:sz w:val="20"/>
          <w:szCs w:val="20"/>
        </w:rPr>
        <w:t>R&amp;I</w:t>
      </w:r>
      <w:r w:rsidRPr="003516DC">
        <w:rPr>
          <w:sz w:val="20"/>
          <w:szCs w:val="20"/>
        </w:rPr>
        <w:t xml:space="preserve"> investment </w:t>
      </w:r>
      <w:r w:rsidR="00214C27" w:rsidRPr="003516DC">
        <w:rPr>
          <w:sz w:val="20"/>
          <w:szCs w:val="20"/>
        </w:rPr>
        <w:t xml:space="preserve">as a percentage of </w:t>
      </w:r>
      <w:r w:rsidRPr="003516DC">
        <w:rPr>
          <w:sz w:val="20"/>
          <w:szCs w:val="20"/>
        </w:rPr>
        <w:t>Hunedoara County’s GDP increased slowly from 0.13% in 2014 to 0</w:t>
      </w:r>
      <w:r w:rsidR="00814C57" w:rsidRPr="003516DC">
        <w:rPr>
          <w:sz w:val="20"/>
          <w:szCs w:val="20"/>
        </w:rPr>
        <w:t>.</w:t>
      </w:r>
      <w:r w:rsidRPr="003516DC">
        <w:rPr>
          <w:sz w:val="20"/>
          <w:szCs w:val="20"/>
        </w:rPr>
        <w:t>19</w:t>
      </w:r>
      <w:r w:rsidR="00814C57" w:rsidRPr="003516DC">
        <w:rPr>
          <w:sz w:val="20"/>
          <w:szCs w:val="20"/>
        </w:rPr>
        <w:t>%</w:t>
      </w:r>
      <w:r w:rsidRPr="003516DC">
        <w:rPr>
          <w:sz w:val="20"/>
          <w:szCs w:val="20"/>
        </w:rPr>
        <w:t xml:space="preserve"> in 2018</w:t>
      </w:r>
      <w:r w:rsidR="005E2760" w:rsidRPr="003516DC">
        <w:rPr>
          <w:rStyle w:val="FootnoteReference"/>
          <w:sz w:val="20"/>
          <w:szCs w:val="20"/>
        </w:rPr>
        <w:footnoteReference w:id="62"/>
      </w:r>
      <w:r w:rsidRPr="003516DC">
        <w:rPr>
          <w:sz w:val="20"/>
          <w:szCs w:val="20"/>
        </w:rPr>
        <w:t xml:space="preserve">. </w:t>
      </w:r>
      <w:r w:rsidR="00DA2FE4" w:rsidRPr="003516DC">
        <w:rPr>
          <w:sz w:val="20"/>
          <w:szCs w:val="20"/>
        </w:rPr>
        <w:t>C</w:t>
      </w:r>
      <w:r w:rsidRPr="003516DC">
        <w:rPr>
          <w:sz w:val="20"/>
          <w:szCs w:val="20"/>
        </w:rPr>
        <w:t xml:space="preserve">ompanies prefer to purchase new technologies from abroad and are spending less resources in R&amp;D and innovation within </w:t>
      </w:r>
      <w:r w:rsidR="00DA2FE4" w:rsidRPr="003516DC">
        <w:rPr>
          <w:sz w:val="20"/>
          <w:szCs w:val="20"/>
        </w:rPr>
        <w:t xml:space="preserve">Romanian-based </w:t>
      </w:r>
      <w:r w:rsidRPr="003516DC">
        <w:rPr>
          <w:sz w:val="20"/>
          <w:szCs w:val="20"/>
        </w:rPr>
        <w:t>companies, as evidenced by stakeholder interviews.</w:t>
      </w:r>
    </w:p>
    <w:p w14:paraId="1375D458" w14:textId="4D055A34" w:rsidR="00C7596F" w:rsidRPr="009118F7" w:rsidRDefault="005538B9" w:rsidP="00E42342">
      <w:pPr>
        <w:pStyle w:val="Heading3"/>
        <w:numPr>
          <w:ilvl w:val="0"/>
          <w:numId w:val="131"/>
        </w:numPr>
        <w:rPr>
          <w:b w:val="0"/>
          <w:bCs/>
        </w:rPr>
      </w:pPr>
      <w:r w:rsidRPr="009118F7">
        <w:rPr>
          <w:b w:val="0"/>
          <w:bCs/>
        </w:rPr>
        <w:t>Opportunities</w:t>
      </w:r>
      <w:r w:rsidR="00F0070A" w:rsidRPr="009118F7">
        <w:rPr>
          <w:b w:val="0"/>
          <w:bCs/>
        </w:rPr>
        <w:t xml:space="preserve"> in Hunedoara </w:t>
      </w:r>
      <w:r w:rsidR="00B83D86">
        <w:rPr>
          <w:b w:val="0"/>
          <w:bCs/>
        </w:rPr>
        <w:t>C</w:t>
      </w:r>
      <w:r w:rsidR="00F0070A" w:rsidRPr="009118F7">
        <w:rPr>
          <w:b w:val="0"/>
          <w:bCs/>
        </w:rPr>
        <w:t>ounty</w:t>
      </w:r>
    </w:p>
    <w:p w14:paraId="682264F4" w14:textId="5F38E808" w:rsidR="00BA16DA" w:rsidRPr="003516DC" w:rsidRDefault="00BA16DA" w:rsidP="008141BF">
      <w:pPr>
        <w:spacing w:before="240"/>
        <w:jc w:val="both"/>
        <w:rPr>
          <w:rFonts w:ascii="Arial" w:hAnsi="Arial" w:cs="Arial"/>
          <w:sz w:val="20"/>
          <w:szCs w:val="20"/>
        </w:rPr>
      </w:pPr>
      <w:r w:rsidRPr="003516DC">
        <w:rPr>
          <w:rFonts w:ascii="Arial" w:hAnsi="Arial" w:cs="Arial"/>
          <w:sz w:val="20"/>
          <w:szCs w:val="20"/>
        </w:rPr>
        <w:t xml:space="preserve">Despite </w:t>
      </w:r>
      <w:r w:rsidR="008141BF" w:rsidRPr="003516DC">
        <w:rPr>
          <w:rFonts w:ascii="Arial" w:hAnsi="Arial" w:cs="Arial"/>
          <w:sz w:val="20"/>
          <w:szCs w:val="20"/>
        </w:rPr>
        <w:t>the challenges</w:t>
      </w:r>
      <w:r w:rsidRPr="003516DC">
        <w:rPr>
          <w:rFonts w:ascii="Arial" w:hAnsi="Arial" w:cs="Arial"/>
          <w:sz w:val="20"/>
          <w:szCs w:val="20"/>
        </w:rPr>
        <w:t>, desk research and the stakeholder engagement process revealed several local opportunities:</w:t>
      </w:r>
    </w:p>
    <w:p w14:paraId="6AB5C90C" w14:textId="77777777" w:rsidR="00BA16DA" w:rsidRPr="003516DC" w:rsidRDefault="00BA16DA" w:rsidP="00BA16DA">
      <w:pPr>
        <w:rPr>
          <w:rFonts w:ascii="Arial" w:hAnsi="Arial" w:cs="Arial"/>
          <w:sz w:val="8"/>
          <w:szCs w:val="8"/>
        </w:rPr>
      </w:pPr>
    </w:p>
    <w:p w14:paraId="63DF642F" w14:textId="6D9E6889" w:rsidR="002F3993" w:rsidRPr="00402580" w:rsidRDefault="00BA16DA" w:rsidP="001A3057">
      <w:pPr>
        <w:pStyle w:val="ListParagraph"/>
        <w:numPr>
          <w:ilvl w:val="0"/>
          <w:numId w:val="253"/>
        </w:numPr>
        <w:spacing w:line="240" w:lineRule="auto"/>
        <w:ind w:left="425" w:hanging="425"/>
        <w:jc w:val="both"/>
        <w:rPr>
          <w:sz w:val="20"/>
          <w:szCs w:val="20"/>
        </w:rPr>
      </w:pPr>
      <w:r w:rsidRPr="00402580">
        <w:rPr>
          <w:sz w:val="20"/>
          <w:szCs w:val="20"/>
        </w:rPr>
        <w:lastRenderedPageBreak/>
        <w:t xml:space="preserve">The availability of </w:t>
      </w:r>
      <w:r w:rsidR="008970F1">
        <w:rPr>
          <w:sz w:val="20"/>
          <w:szCs w:val="20"/>
        </w:rPr>
        <w:t xml:space="preserve">innovative </w:t>
      </w:r>
      <w:r w:rsidRPr="00402580">
        <w:rPr>
          <w:sz w:val="20"/>
          <w:szCs w:val="20"/>
        </w:rPr>
        <w:t xml:space="preserve">educational </w:t>
      </w:r>
      <w:r w:rsidR="001E3712" w:rsidRPr="00402580">
        <w:rPr>
          <w:sz w:val="20"/>
          <w:szCs w:val="20"/>
        </w:rPr>
        <w:t xml:space="preserve">infrastructure </w:t>
      </w:r>
      <w:r w:rsidR="00673267">
        <w:rPr>
          <w:sz w:val="20"/>
          <w:szCs w:val="20"/>
        </w:rPr>
        <w:t>through</w:t>
      </w:r>
      <w:r w:rsidR="00673267" w:rsidRPr="00402580">
        <w:rPr>
          <w:sz w:val="20"/>
          <w:szCs w:val="20"/>
        </w:rPr>
        <w:t xml:space="preserve"> </w:t>
      </w:r>
      <w:r w:rsidR="001E3712" w:rsidRPr="00402580">
        <w:rPr>
          <w:sz w:val="20"/>
          <w:szCs w:val="20"/>
        </w:rPr>
        <w:t>a partnership</w:t>
      </w:r>
      <w:r w:rsidR="00673267">
        <w:rPr>
          <w:sz w:val="20"/>
          <w:szCs w:val="20"/>
        </w:rPr>
        <w:t xml:space="preserve"> signed in May 2020</w:t>
      </w:r>
      <w:r w:rsidR="001E3712" w:rsidRPr="00402580">
        <w:rPr>
          <w:sz w:val="20"/>
          <w:szCs w:val="20"/>
        </w:rPr>
        <w:t xml:space="preserve"> </w:t>
      </w:r>
      <w:r w:rsidR="00673267">
        <w:rPr>
          <w:sz w:val="20"/>
          <w:szCs w:val="20"/>
        </w:rPr>
        <w:t>between</w:t>
      </w:r>
      <w:r w:rsidR="001E3712" w:rsidRPr="00402580">
        <w:rPr>
          <w:sz w:val="20"/>
          <w:szCs w:val="20"/>
        </w:rPr>
        <w:t xml:space="preserve"> the Petrosani University, Romanian Wind Energy Association</w:t>
      </w:r>
      <w:r w:rsidR="002F3993" w:rsidRPr="00402580">
        <w:rPr>
          <w:sz w:val="20"/>
          <w:szCs w:val="20"/>
        </w:rPr>
        <w:t xml:space="preserve"> and</w:t>
      </w:r>
      <w:r w:rsidR="001E3712" w:rsidRPr="00402580">
        <w:rPr>
          <w:sz w:val="20"/>
          <w:szCs w:val="20"/>
        </w:rPr>
        <w:t xml:space="preserve"> the Ministry of Economy, </w:t>
      </w:r>
      <w:r w:rsidR="002F3993" w:rsidRPr="00402580">
        <w:rPr>
          <w:sz w:val="20"/>
          <w:szCs w:val="20"/>
        </w:rPr>
        <w:t xml:space="preserve">with </w:t>
      </w:r>
      <w:r w:rsidR="001E3712" w:rsidRPr="00402580">
        <w:rPr>
          <w:sz w:val="20"/>
          <w:szCs w:val="20"/>
        </w:rPr>
        <w:t>training facilities in Petrosani, Târgu Jiu and Craiova</w:t>
      </w:r>
      <w:r w:rsidR="001E3712" w:rsidRPr="003516DC">
        <w:rPr>
          <w:rStyle w:val="FootnoteReference"/>
          <w:sz w:val="20"/>
          <w:szCs w:val="20"/>
        </w:rPr>
        <w:footnoteReference w:id="63"/>
      </w:r>
      <w:r w:rsidR="001E3712" w:rsidRPr="00402580">
        <w:rPr>
          <w:sz w:val="20"/>
          <w:szCs w:val="20"/>
        </w:rPr>
        <w:t>.</w:t>
      </w:r>
    </w:p>
    <w:p w14:paraId="673ED2B9" w14:textId="77777777" w:rsidR="00CA5EF9" w:rsidRPr="00402580" w:rsidRDefault="00CA5EF9" w:rsidP="001A3057">
      <w:pPr>
        <w:pStyle w:val="ListParagraph"/>
        <w:ind w:left="436"/>
        <w:rPr>
          <w:sz w:val="8"/>
          <w:szCs w:val="8"/>
        </w:rPr>
      </w:pPr>
    </w:p>
    <w:p w14:paraId="1E596260" w14:textId="732EC209" w:rsidR="00BA16DA" w:rsidRPr="003516DC" w:rsidRDefault="001E3712" w:rsidP="001A3057">
      <w:pPr>
        <w:pStyle w:val="ListParagraph"/>
        <w:spacing w:line="240" w:lineRule="auto"/>
        <w:ind w:left="436"/>
        <w:jc w:val="both"/>
      </w:pPr>
      <w:r w:rsidRPr="00402580">
        <w:rPr>
          <w:sz w:val="20"/>
          <w:szCs w:val="20"/>
        </w:rPr>
        <w:t xml:space="preserve">The vocational training and labour force reconversion facility </w:t>
      </w:r>
      <w:r w:rsidR="00673267">
        <w:rPr>
          <w:sz w:val="20"/>
          <w:szCs w:val="20"/>
        </w:rPr>
        <w:t xml:space="preserve">is </w:t>
      </w:r>
      <w:r w:rsidR="002F3993" w:rsidRPr="00402580">
        <w:rPr>
          <w:sz w:val="20"/>
          <w:szCs w:val="20"/>
        </w:rPr>
        <w:t xml:space="preserve">operational since May 2021 </w:t>
      </w:r>
      <w:r w:rsidR="00673267">
        <w:rPr>
          <w:sz w:val="20"/>
          <w:szCs w:val="20"/>
        </w:rPr>
        <w:t>within</w:t>
      </w:r>
      <w:r w:rsidR="00673267" w:rsidRPr="00402580">
        <w:rPr>
          <w:sz w:val="20"/>
          <w:szCs w:val="20"/>
        </w:rPr>
        <w:t xml:space="preserve"> </w:t>
      </w:r>
      <w:r w:rsidR="002F3993" w:rsidRPr="00402580">
        <w:rPr>
          <w:sz w:val="20"/>
          <w:szCs w:val="20"/>
        </w:rPr>
        <w:t>Pe</w:t>
      </w:r>
      <w:r w:rsidR="00AB6158" w:rsidRPr="00402580">
        <w:rPr>
          <w:sz w:val="20"/>
          <w:szCs w:val="20"/>
        </w:rPr>
        <w:t>t</w:t>
      </w:r>
      <w:r w:rsidR="002F3993" w:rsidRPr="00402580">
        <w:rPr>
          <w:sz w:val="20"/>
          <w:szCs w:val="20"/>
        </w:rPr>
        <w:t>rosani University</w:t>
      </w:r>
      <w:r w:rsidR="00443F46">
        <w:rPr>
          <w:sz w:val="20"/>
          <w:szCs w:val="20"/>
        </w:rPr>
        <w:t>. The facility</w:t>
      </w:r>
      <w:r w:rsidR="00BA16DA" w:rsidRPr="00402580">
        <w:rPr>
          <w:sz w:val="20"/>
          <w:szCs w:val="20"/>
        </w:rPr>
        <w:t xml:space="preserve"> </w:t>
      </w:r>
      <w:r w:rsidR="00673267">
        <w:rPr>
          <w:sz w:val="20"/>
          <w:szCs w:val="20"/>
        </w:rPr>
        <w:t>is anticipat</w:t>
      </w:r>
      <w:r w:rsidR="00443F46">
        <w:rPr>
          <w:sz w:val="20"/>
          <w:szCs w:val="20"/>
        </w:rPr>
        <w:t>ed</w:t>
      </w:r>
      <w:r w:rsidR="00673267">
        <w:rPr>
          <w:sz w:val="20"/>
          <w:szCs w:val="20"/>
        </w:rPr>
        <w:t xml:space="preserve"> </w:t>
      </w:r>
      <w:r w:rsidR="00BA16DA" w:rsidRPr="00402580">
        <w:rPr>
          <w:sz w:val="20"/>
          <w:szCs w:val="20"/>
        </w:rPr>
        <w:t xml:space="preserve">to </w:t>
      </w:r>
      <w:r w:rsidR="008970F1">
        <w:rPr>
          <w:sz w:val="20"/>
          <w:szCs w:val="20"/>
        </w:rPr>
        <w:t xml:space="preserve">be able to </w:t>
      </w:r>
      <w:r w:rsidR="00BA16DA" w:rsidRPr="00402580">
        <w:rPr>
          <w:sz w:val="20"/>
          <w:szCs w:val="20"/>
        </w:rPr>
        <w:t xml:space="preserve">train </w:t>
      </w:r>
      <w:r w:rsidRPr="00402580">
        <w:rPr>
          <w:sz w:val="20"/>
          <w:szCs w:val="20"/>
        </w:rPr>
        <w:t>an estimated 3</w:t>
      </w:r>
      <w:r w:rsidR="00AB6158" w:rsidRPr="00402580">
        <w:rPr>
          <w:sz w:val="20"/>
          <w:szCs w:val="20"/>
        </w:rPr>
        <w:t>,</w:t>
      </w:r>
      <w:r w:rsidRPr="00402580">
        <w:rPr>
          <w:sz w:val="20"/>
          <w:szCs w:val="20"/>
        </w:rPr>
        <w:t>000</w:t>
      </w:r>
      <w:r w:rsidR="00673267">
        <w:rPr>
          <w:sz w:val="20"/>
          <w:szCs w:val="20"/>
        </w:rPr>
        <w:t xml:space="preserve"> people </w:t>
      </w:r>
      <w:r w:rsidR="00443F46">
        <w:rPr>
          <w:sz w:val="20"/>
          <w:szCs w:val="20"/>
        </w:rPr>
        <w:t>of</w:t>
      </w:r>
      <w:r w:rsidRPr="00402580">
        <w:rPr>
          <w:sz w:val="20"/>
          <w:szCs w:val="20"/>
        </w:rPr>
        <w:t xml:space="preserve"> </w:t>
      </w:r>
      <w:r w:rsidR="00BA16DA" w:rsidRPr="00402580">
        <w:rPr>
          <w:sz w:val="20"/>
          <w:szCs w:val="20"/>
        </w:rPr>
        <w:t>the</w:t>
      </w:r>
      <w:r w:rsidR="00DF18B7" w:rsidRPr="00402580">
        <w:rPr>
          <w:sz w:val="20"/>
          <w:szCs w:val="20"/>
        </w:rPr>
        <w:t xml:space="preserve"> working age</w:t>
      </w:r>
      <w:r w:rsidR="00BA16DA" w:rsidRPr="00402580">
        <w:rPr>
          <w:sz w:val="20"/>
          <w:szCs w:val="20"/>
        </w:rPr>
        <w:t xml:space="preserve"> population</w:t>
      </w:r>
      <w:r w:rsidRPr="00402580">
        <w:rPr>
          <w:sz w:val="20"/>
          <w:szCs w:val="20"/>
        </w:rPr>
        <w:t xml:space="preserve"> from the mining areas of Hunedoara, Gorj and Dolj</w:t>
      </w:r>
      <w:r w:rsidR="00673267">
        <w:rPr>
          <w:sz w:val="20"/>
          <w:szCs w:val="20"/>
        </w:rPr>
        <w:t xml:space="preserve"> </w:t>
      </w:r>
      <w:r w:rsidRPr="00402580">
        <w:rPr>
          <w:sz w:val="20"/>
          <w:szCs w:val="20"/>
        </w:rPr>
        <w:t xml:space="preserve">counties </w:t>
      </w:r>
      <w:r w:rsidR="00443F46" w:rsidRPr="00402580">
        <w:rPr>
          <w:sz w:val="20"/>
          <w:szCs w:val="20"/>
        </w:rPr>
        <w:t>during the following five years</w:t>
      </w:r>
      <w:r w:rsidR="00443F46">
        <w:rPr>
          <w:sz w:val="20"/>
          <w:szCs w:val="20"/>
        </w:rPr>
        <w:t>,</w:t>
      </w:r>
      <w:r w:rsidR="00443F46" w:rsidRPr="00402580">
        <w:rPr>
          <w:sz w:val="20"/>
          <w:szCs w:val="20"/>
        </w:rPr>
        <w:t xml:space="preserve"> </w:t>
      </w:r>
      <w:r w:rsidR="00BA16DA" w:rsidRPr="00402580">
        <w:rPr>
          <w:sz w:val="20"/>
          <w:szCs w:val="20"/>
        </w:rPr>
        <w:t>in sectors with growth potential, such as renewable energy production</w:t>
      </w:r>
    </w:p>
    <w:p w14:paraId="1C30DADA" w14:textId="77777777" w:rsidR="00BA16DA" w:rsidRPr="003516DC" w:rsidRDefault="00BA16DA" w:rsidP="001A3057">
      <w:pPr>
        <w:ind w:left="436"/>
        <w:jc w:val="both"/>
        <w:rPr>
          <w:rFonts w:ascii="Arial" w:hAnsi="Arial" w:cs="Arial"/>
          <w:sz w:val="8"/>
          <w:szCs w:val="8"/>
        </w:rPr>
      </w:pPr>
    </w:p>
    <w:p w14:paraId="661FCC12" w14:textId="1FB14A28" w:rsidR="00BA16DA" w:rsidRPr="003516DC" w:rsidRDefault="00BA16DA" w:rsidP="001A3057">
      <w:pPr>
        <w:numPr>
          <w:ilvl w:val="0"/>
          <w:numId w:val="3"/>
        </w:numPr>
        <w:ind w:left="436"/>
        <w:jc w:val="both"/>
        <w:rPr>
          <w:rFonts w:ascii="Arial" w:hAnsi="Arial" w:cs="Arial"/>
          <w:sz w:val="20"/>
          <w:szCs w:val="20"/>
        </w:rPr>
      </w:pPr>
      <w:r w:rsidRPr="003516DC">
        <w:rPr>
          <w:rFonts w:ascii="Arial" w:hAnsi="Arial" w:cs="Arial"/>
          <w:sz w:val="20"/>
          <w:szCs w:val="20"/>
        </w:rPr>
        <w:t>Recent reorganisation of vocational education at local level in the form of dual schools in partnership with companies (</w:t>
      </w:r>
      <w:r w:rsidR="00621580" w:rsidRPr="003516DC">
        <w:rPr>
          <w:rFonts w:ascii="Arial" w:hAnsi="Arial" w:cs="Arial"/>
          <w:sz w:val="20"/>
          <w:szCs w:val="20"/>
        </w:rPr>
        <w:t>e.g.,</w:t>
      </w:r>
      <w:r w:rsidRPr="003516DC">
        <w:rPr>
          <w:rFonts w:ascii="Arial" w:hAnsi="Arial" w:cs="Arial"/>
          <w:sz w:val="20"/>
          <w:szCs w:val="20"/>
        </w:rPr>
        <w:t xml:space="preserve"> Transylvania Technical College Deva offers vocational education in the fields of mechanics, electrical, transport, telecommunications, electronics and automation, computer science and mechatronics</w:t>
      </w:r>
      <w:r w:rsidR="00807090" w:rsidRPr="003516DC">
        <w:rPr>
          <w:rStyle w:val="FootnoteReference"/>
          <w:rFonts w:ascii="Arial" w:hAnsi="Arial" w:cs="Arial"/>
          <w:sz w:val="20"/>
          <w:szCs w:val="20"/>
        </w:rPr>
        <w:footnoteReference w:id="64"/>
      </w:r>
      <w:r w:rsidRPr="003516DC">
        <w:rPr>
          <w:rFonts w:ascii="Arial" w:hAnsi="Arial" w:cs="Arial"/>
          <w:sz w:val="20"/>
          <w:szCs w:val="20"/>
        </w:rPr>
        <w:t>;</w:t>
      </w:r>
      <w:r w:rsidR="00807090" w:rsidRPr="003516DC">
        <w:rPr>
          <w:rFonts w:ascii="Arial" w:hAnsi="Arial" w:cs="Arial"/>
          <w:sz w:val="20"/>
          <w:szCs w:val="20"/>
        </w:rPr>
        <w:t xml:space="preserve"> </w:t>
      </w:r>
      <w:r w:rsidRPr="003516DC">
        <w:rPr>
          <w:rFonts w:ascii="Arial" w:hAnsi="Arial" w:cs="Arial"/>
          <w:sz w:val="20"/>
          <w:szCs w:val="20"/>
        </w:rPr>
        <w:t xml:space="preserve">Hermes Petrosani College </w:t>
      </w:r>
      <w:r w:rsidR="00621580" w:rsidRPr="003516DC">
        <w:rPr>
          <w:rFonts w:ascii="Arial" w:hAnsi="Arial" w:cs="Arial"/>
          <w:sz w:val="20"/>
          <w:szCs w:val="20"/>
        </w:rPr>
        <w:t>offers vocational</w:t>
      </w:r>
      <w:r w:rsidRPr="003516DC">
        <w:rPr>
          <w:rFonts w:ascii="Arial" w:hAnsi="Arial" w:cs="Arial"/>
          <w:sz w:val="20"/>
          <w:szCs w:val="20"/>
        </w:rPr>
        <w:t xml:space="preserve"> education, skills and competences specific to the fields of economic training, trade, tourism and food</w:t>
      </w:r>
      <w:r w:rsidR="00807090" w:rsidRPr="003516DC">
        <w:rPr>
          <w:rStyle w:val="FootnoteReference"/>
          <w:rFonts w:ascii="Arial" w:hAnsi="Arial" w:cs="Arial"/>
          <w:sz w:val="20"/>
          <w:szCs w:val="20"/>
        </w:rPr>
        <w:footnoteReference w:id="65"/>
      </w:r>
      <w:r w:rsidRPr="003516DC">
        <w:rPr>
          <w:rFonts w:ascii="Arial" w:hAnsi="Arial" w:cs="Arial"/>
          <w:sz w:val="20"/>
          <w:szCs w:val="20"/>
        </w:rPr>
        <w:t>)</w:t>
      </w:r>
      <w:r w:rsidR="00807090" w:rsidRPr="003516DC">
        <w:rPr>
          <w:rFonts w:ascii="Arial" w:hAnsi="Arial" w:cs="Arial"/>
          <w:sz w:val="20"/>
          <w:szCs w:val="20"/>
        </w:rPr>
        <w:t>.</w:t>
      </w:r>
    </w:p>
    <w:p w14:paraId="7A8E4552" w14:textId="77777777" w:rsidR="00BB7E51" w:rsidRPr="003516DC" w:rsidRDefault="00BB7E51" w:rsidP="001A3057">
      <w:pPr>
        <w:jc w:val="both"/>
        <w:rPr>
          <w:rFonts w:ascii="Arial" w:hAnsi="Arial" w:cs="Arial"/>
          <w:sz w:val="8"/>
          <w:szCs w:val="8"/>
        </w:rPr>
      </w:pPr>
    </w:p>
    <w:p w14:paraId="20D38116" w14:textId="0F189C06" w:rsidR="00BA16DA" w:rsidRPr="003516DC" w:rsidRDefault="00BA16DA" w:rsidP="001A3057">
      <w:pPr>
        <w:numPr>
          <w:ilvl w:val="0"/>
          <w:numId w:val="3"/>
        </w:numPr>
        <w:shd w:val="clear" w:color="auto" w:fill="FFFFFF"/>
        <w:ind w:left="436"/>
        <w:jc w:val="both"/>
        <w:rPr>
          <w:rFonts w:ascii="Arial" w:hAnsi="Arial" w:cs="Arial"/>
          <w:sz w:val="20"/>
          <w:szCs w:val="20"/>
        </w:rPr>
      </w:pPr>
      <w:r w:rsidRPr="003516DC">
        <w:rPr>
          <w:rFonts w:ascii="Arial" w:hAnsi="Arial" w:cs="Arial"/>
          <w:sz w:val="20"/>
          <w:szCs w:val="20"/>
        </w:rPr>
        <w:t xml:space="preserve">Degraded sites, potentially subject to urban regeneration processes and reintroduction into the Hunedoara </w:t>
      </w:r>
      <w:r w:rsidR="005B2421">
        <w:rPr>
          <w:rFonts w:ascii="Arial" w:hAnsi="Arial" w:cs="Arial"/>
          <w:sz w:val="20"/>
          <w:szCs w:val="20"/>
        </w:rPr>
        <w:t>C</w:t>
      </w:r>
      <w:r w:rsidRPr="003516DC">
        <w:rPr>
          <w:rFonts w:ascii="Arial" w:hAnsi="Arial" w:cs="Arial"/>
          <w:sz w:val="20"/>
          <w:szCs w:val="20"/>
        </w:rPr>
        <w:t>ounty economy as industrial parks, are</w:t>
      </w:r>
      <w:r w:rsidR="00FE50BB" w:rsidRPr="003516DC">
        <w:rPr>
          <w:rFonts w:ascii="Arial" w:hAnsi="Arial" w:cs="Arial"/>
          <w:sz w:val="20"/>
          <w:szCs w:val="20"/>
        </w:rPr>
        <w:t xml:space="preserve"> favourably</w:t>
      </w:r>
      <w:r w:rsidRPr="003516DC">
        <w:rPr>
          <w:rFonts w:ascii="Arial" w:hAnsi="Arial" w:cs="Arial"/>
          <w:sz w:val="20"/>
          <w:szCs w:val="20"/>
        </w:rPr>
        <w:t xml:space="preserve"> positioned in relation to the major communication network and </w:t>
      </w:r>
      <w:r w:rsidR="005D7AF1" w:rsidRPr="003516DC">
        <w:rPr>
          <w:rFonts w:ascii="Arial" w:hAnsi="Arial" w:cs="Arial"/>
          <w:sz w:val="20"/>
          <w:szCs w:val="20"/>
        </w:rPr>
        <w:t xml:space="preserve">is </w:t>
      </w:r>
      <w:r w:rsidRPr="003516DC">
        <w:rPr>
          <w:rFonts w:ascii="Arial" w:hAnsi="Arial" w:cs="Arial"/>
          <w:sz w:val="20"/>
          <w:szCs w:val="20"/>
        </w:rPr>
        <w:t xml:space="preserve">suitable for foreign and local investments in their repurposing process </w:t>
      </w:r>
      <w:r w:rsidR="00FE1D40" w:rsidRPr="003516DC">
        <w:rPr>
          <w:rFonts w:ascii="Arial" w:hAnsi="Arial" w:cs="Arial"/>
          <w:sz w:val="20"/>
          <w:szCs w:val="20"/>
        </w:rPr>
        <w:t xml:space="preserve">that will reintegrate retrained persons from the production of coal-fired energy into the labour </w:t>
      </w:r>
      <w:r w:rsidR="00794E77" w:rsidRPr="003516DC">
        <w:rPr>
          <w:rFonts w:ascii="Arial" w:hAnsi="Arial" w:cs="Arial"/>
          <w:sz w:val="20"/>
          <w:szCs w:val="20"/>
        </w:rPr>
        <w:t>force.</w:t>
      </w:r>
    </w:p>
    <w:p w14:paraId="62774A94" w14:textId="77777777" w:rsidR="00BB7E51" w:rsidRPr="003516DC" w:rsidRDefault="00BB7E51" w:rsidP="001A3057">
      <w:pPr>
        <w:shd w:val="clear" w:color="auto" w:fill="FFFFFF"/>
        <w:jc w:val="both"/>
        <w:rPr>
          <w:rFonts w:ascii="Arial" w:hAnsi="Arial" w:cs="Arial"/>
          <w:sz w:val="8"/>
          <w:szCs w:val="8"/>
        </w:rPr>
      </w:pPr>
    </w:p>
    <w:p w14:paraId="6D0BE874" w14:textId="721A46AC" w:rsidR="00BA16DA" w:rsidRPr="003516DC" w:rsidRDefault="005F2239" w:rsidP="001A3057">
      <w:pPr>
        <w:numPr>
          <w:ilvl w:val="0"/>
          <w:numId w:val="3"/>
        </w:numPr>
        <w:ind w:left="436"/>
        <w:jc w:val="both"/>
        <w:rPr>
          <w:rFonts w:ascii="Arial" w:hAnsi="Arial" w:cs="Arial"/>
          <w:sz w:val="20"/>
          <w:szCs w:val="20"/>
        </w:rPr>
      </w:pPr>
      <w:r w:rsidRPr="003516DC">
        <w:rPr>
          <w:rFonts w:ascii="Arial" w:hAnsi="Arial" w:cs="Arial"/>
          <w:sz w:val="20"/>
          <w:szCs w:val="20"/>
        </w:rPr>
        <w:t>Certain digitalisation indicators, such as the interaction between public authorities and citizens, are improving, e.g., the Hunedoara municipality tax payment system</w:t>
      </w:r>
      <w:r w:rsidR="00807090" w:rsidRPr="003516DC">
        <w:rPr>
          <w:rStyle w:val="FootnoteReference"/>
          <w:rFonts w:ascii="Arial" w:hAnsi="Arial" w:cs="Arial"/>
          <w:sz w:val="20"/>
          <w:szCs w:val="20"/>
        </w:rPr>
        <w:footnoteReference w:id="66"/>
      </w:r>
      <w:r w:rsidR="00807090" w:rsidRPr="003516DC">
        <w:rPr>
          <w:rFonts w:ascii="Arial" w:hAnsi="Arial" w:cs="Arial"/>
          <w:sz w:val="20"/>
          <w:szCs w:val="20"/>
        </w:rPr>
        <w:t>.</w:t>
      </w:r>
    </w:p>
    <w:p w14:paraId="58552B10" w14:textId="77777777" w:rsidR="00D934E4" w:rsidRPr="00CA5EF9" w:rsidRDefault="00D934E4" w:rsidP="001A3057">
      <w:pPr>
        <w:pStyle w:val="ListParagraph"/>
        <w:ind w:left="436"/>
        <w:rPr>
          <w:sz w:val="8"/>
          <w:szCs w:val="8"/>
        </w:rPr>
      </w:pPr>
    </w:p>
    <w:p w14:paraId="7BD292C3" w14:textId="5661F820" w:rsidR="00D934E4" w:rsidRPr="003516DC" w:rsidRDefault="00D934E4" w:rsidP="001A3057">
      <w:pPr>
        <w:numPr>
          <w:ilvl w:val="0"/>
          <w:numId w:val="3"/>
        </w:numPr>
        <w:ind w:left="436"/>
        <w:jc w:val="both"/>
        <w:rPr>
          <w:rFonts w:ascii="Arial" w:hAnsi="Arial" w:cs="Arial"/>
          <w:sz w:val="20"/>
          <w:szCs w:val="20"/>
        </w:rPr>
      </w:pPr>
      <w:r w:rsidRPr="003516DC">
        <w:rPr>
          <w:rFonts w:ascii="Arial" w:hAnsi="Arial" w:cs="Arial"/>
          <w:sz w:val="20"/>
          <w:szCs w:val="20"/>
        </w:rPr>
        <w:t>Early stage attempts of local stakeholders in the Jiu Valley micro-region to work collaboratively to advance the general interest of the local communities regarding environmental, social and economic development: six municipalities in the Jiu Valley, Petroșani University and four local NGOs, with support from RDA Vest and Hunedoara County Council</w:t>
      </w:r>
      <w:r w:rsidRPr="003516DC">
        <w:rPr>
          <w:rStyle w:val="FootnoteReference"/>
          <w:rFonts w:ascii="Arial" w:hAnsi="Arial" w:cs="Arial"/>
          <w:sz w:val="20"/>
          <w:szCs w:val="20"/>
        </w:rPr>
        <w:footnoteReference w:id="67"/>
      </w:r>
      <w:r w:rsidRPr="003516DC">
        <w:rPr>
          <w:rFonts w:ascii="Arial" w:hAnsi="Arial" w:cs="Arial"/>
          <w:sz w:val="20"/>
          <w:szCs w:val="20"/>
        </w:rPr>
        <w:t>, formed the local association “Agenția pentru Dezvoltarea Valea Jiului”.</w:t>
      </w:r>
    </w:p>
    <w:p w14:paraId="058BD196" w14:textId="77777777" w:rsidR="00BB7E51" w:rsidRPr="003516DC" w:rsidRDefault="00BB7E51" w:rsidP="001A3057">
      <w:pPr>
        <w:jc w:val="both"/>
        <w:rPr>
          <w:rFonts w:ascii="Arial" w:hAnsi="Arial" w:cs="Arial"/>
          <w:sz w:val="8"/>
          <w:szCs w:val="8"/>
        </w:rPr>
      </w:pPr>
    </w:p>
    <w:p w14:paraId="797482C3" w14:textId="06FED7AC" w:rsidR="009118F7" w:rsidRPr="00443F46" w:rsidRDefault="00BA16DA" w:rsidP="001A3057">
      <w:pPr>
        <w:numPr>
          <w:ilvl w:val="0"/>
          <w:numId w:val="3"/>
        </w:numPr>
        <w:spacing w:after="240"/>
        <w:ind w:left="436"/>
        <w:jc w:val="both"/>
        <w:rPr>
          <w:rFonts w:ascii="Arial" w:hAnsi="Arial" w:cs="Arial"/>
          <w:sz w:val="20"/>
          <w:szCs w:val="20"/>
        </w:rPr>
      </w:pPr>
      <w:r w:rsidRPr="00443F46">
        <w:rPr>
          <w:rFonts w:ascii="Arial" w:hAnsi="Arial" w:cs="Arial"/>
          <w:sz w:val="20"/>
          <w:szCs w:val="20"/>
        </w:rPr>
        <w:t xml:space="preserve">At </w:t>
      </w:r>
      <w:r w:rsidR="00FE50BB" w:rsidRPr="00443F46">
        <w:rPr>
          <w:rFonts w:ascii="Arial" w:hAnsi="Arial" w:cs="Arial"/>
          <w:sz w:val="20"/>
          <w:szCs w:val="20"/>
        </w:rPr>
        <w:t xml:space="preserve">the </w:t>
      </w:r>
      <w:r w:rsidRPr="00443F46">
        <w:rPr>
          <w:rFonts w:ascii="Arial" w:hAnsi="Arial" w:cs="Arial"/>
          <w:sz w:val="20"/>
          <w:szCs w:val="20"/>
        </w:rPr>
        <w:t>regional level, the Regional Operational P</w:t>
      </w:r>
      <w:r w:rsidR="00D206E5">
        <w:rPr>
          <w:rFonts w:ascii="Arial" w:hAnsi="Arial" w:cs="Arial"/>
          <w:sz w:val="20"/>
          <w:szCs w:val="20"/>
        </w:rPr>
        <w:t xml:space="preserve">rogramme </w:t>
      </w:r>
      <w:r w:rsidRPr="00443F46">
        <w:rPr>
          <w:rFonts w:ascii="Arial" w:hAnsi="Arial" w:cs="Arial"/>
          <w:sz w:val="20"/>
          <w:szCs w:val="20"/>
        </w:rPr>
        <w:t xml:space="preserve">2020-2027 elaborated by ADR West will support the digitisation of businesses and </w:t>
      </w:r>
      <w:r w:rsidR="00F05E49" w:rsidRPr="00443F46">
        <w:rPr>
          <w:rFonts w:ascii="Arial" w:hAnsi="Arial" w:cs="Arial"/>
          <w:sz w:val="20"/>
          <w:szCs w:val="20"/>
        </w:rPr>
        <w:t>continues the project "Digital Regions – Regional Policies adopting the principles of Industry 4.0</w:t>
      </w:r>
      <w:r w:rsidR="00DA2DA8" w:rsidRPr="00443F46">
        <w:rPr>
          <w:rFonts w:ascii="Arial" w:hAnsi="Arial" w:cs="Arial"/>
          <w:sz w:val="20"/>
          <w:szCs w:val="20"/>
        </w:rPr>
        <w:t xml:space="preserve"> (I4.0)</w:t>
      </w:r>
      <w:r w:rsidR="00F05E49" w:rsidRPr="00443F46">
        <w:rPr>
          <w:rFonts w:ascii="Arial" w:hAnsi="Arial" w:cs="Arial"/>
          <w:sz w:val="20"/>
          <w:szCs w:val="20"/>
        </w:rPr>
        <w:t xml:space="preserve"> for digitalisation</w:t>
      </w:r>
      <w:r w:rsidR="00EE6491" w:rsidRPr="00443F46">
        <w:rPr>
          <w:rStyle w:val="FootnoteReference"/>
          <w:rFonts w:ascii="Arial" w:hAnsi="Arial" w:cs="Arial"/>
          <w:sz w:val="20"/>
          <w:szCs w:val="20"/>
        </w:rPr>
        <w:footnoteReference w:id="68"/>
      </w:r>
      <w:r w:rsidRPr="00443F46">
        <w:rPr>
          <w:rFonts w:ascii="Arial" w:hAnsi="Arial" w:cs="Arial"/>
          <w:sz w:val="20"/>
          <w:szCs w:val="20"/>
        </w:rPr>
        <w:t xml:space="preserve">", financed by the Interreg Europe 2014-2020 Programme. At </w:t>
      </w:r>
      <w:r w:rsidR="00DD4C6E" w:rsidRPr="00443F46">
        <w:rPr>
          <w:rFonts w:ascii="Arial" w:hAnsi="Arial" w:cs="Arial"/>
          <w:sz w:val="20"/>
          <w:szCs w:val="20"/>
        </w:rPr>
        <w:t>the c</w:t>
      </w:r>
      <w:r w:rsidRPr="00443F46">
        <w:rPr>
          <w:rFonts w:ascii="Arial" w:hAnsi="Arial" w:cs="Arial"/>
          <w:sz w:val="20"/>
          <w:szCs w:val="20"/>
        </w:rPr>
        <w:t>ounty level</w:t>
      </w:r>
      <w:r w:rsidR="00DD4C6E" w:rsidRPr="00443F46">
        <w:rPr>
          <w:rFonts w:ascii="Arial" w:hAnsi="Arial" w:cs="Arial"/>
          <w:sz w:val="20"/>
          <w:szCs w:val="20"/>
        </w:rPr>
        <w:t>,</w:t>
      </w:r>
      <w:r w:rsidRPr="00443F46">
        <w:rPr>
          <w:rFonts w:ascii="Arial" w:hAnsi="Arial" w:cs="Arial"/>
          <w:sz w:val="20"/>
          <w:szCs w:val="20"/>
        </w:rPr>
        <w:t xml:space="preserve"> there will also be a continuation of the "Digitaliada" program</w:t>
      </w:r>
      <w:r w:rsidR="00DD4C6E" w:rsidRPr="00443F46">
        <w:rPr>
          <w:rFonts w:ascii="Arial" w:hAnsi="Arial" w:cs="Arial"/>
          <w:sz w:val="20"/>
          <w:szCs w:val="20"/>
        </w:rPr>
        <w:t>me</w:t>
      </w:r>
      <w:r w:rsidRPr="00443F46">
        <w:rPr>
          <w:rFonts w:ascii="Arial" w:hAnsi="Arial" w:cs="Arial"/>
          <w:sz w:val="20"/>
          <w:szCs w:val="20"/>
        </w:rPr>
        <w:t xml:space="preserve">s </w:t>
      </w:r>
      <w:r w:rsidR="00DD4C6E" w:rsidRPr="00443F46">
        <w:rPr>
          <w:rFonts w:ascii="Arial" w:hAnsi="Arial" w:cs="Arial"/>
          <w:sz w:val="20"/>
          <w:szCs w:val="20"/>
        </w:rPr>
        <w:t xml:space="preserve">to </w:t>
      </w:r>
      <w:r w:rsidRPr="00443F46">
        <w:rPr>
          <w:rFonts w:ascii="Arial" w:hAnsi="Arial" w:cs="Arial"/>
          <w:sz w:val="20"/>
          <w:szCs w:val="20"/>
        </w:rPr>
        <w:t>support distance learning; digitalisation of public institutions: municipalities, fiscal and tax offices, County Land Registry Office, Urban Planning Directorate.</w:t>
      </w:r>
      <w:r w:rsidR="00EE6491" w:rsidRPr="00443F46">
        <w:rPr>
          <w:rFonts w:ascii="Arial" w:hAnsi="Arial" w:cs="Arial"/>
          <w:sz w:val="20"/>
          <w:szCs w:val="20"/>
        </w:rPr>
        <w:t xml:space="preserve"> </w:t>
      </w:r>
      <w:r w:rsidR="00EE6491" w:rsidRPr="00443F46">
        <w:rPr>
          <w:rFonts w:ascii="Arial" w:hAnsi="Arial" w:cs="Arial"/>
          <w:sz w:val="20"/>
          <w:szCs w:val="20"/>
          <w:shd w:val="clear" w:color="auto" w:fill="FFFFFF"/>
        </w:rPr>
        <w:t xml:space="preserve">The objective </w:t>
      </w:r>
      <w:r w:rsidR="00DA2DA8" w:rsidRPr="00443F46">
        <w:rPr>
          <w:rFonts w:ascii="Arial" w:hAnsi="Arial" w:cs="Arial"/>
          <w:sz w:val="20"/>
          <w:szCs w:val="20"/>
          <w:shd w:val="clear" w:color="auto" w:fill="FFFFFF"/>
        </w:rPr>
        <w:t>o</w:t>
      </w:r>
      <w:r w:rsidR="00EE6491" w:rsidRPr="00443F46">
        <w:rPr>
          <w:rFonts w:ascii="Arial" w:hAnsi="Arial" w:cs="Arial"/>
          <w:sz w:val="20"/>
          <w:szCs w:val="20"/>
          <w:shd w:val="clear" w:color="auto" w:fill="FFFFFF"/>
        </w:rPr>
        <w:t xml:space="preserve">f the </w:t>
      </w:r>
      <w:r w:rsidR="00303C22" w:rsidRPr="00443F46">
        <w:rPr>
          <w:rFonts w:ascii="Arial" w:hAnsi="Arial" w:cs="Arial"/>
          <w:sz w:val="20"/>
          <w:szCs w:val="20"/>
          <w:shd w:val="clear" w:color="auto" w:fill="FFFFFF"/>
        </w:rPr>
        <w:t xml:space="preserve">ongoing </w:t>
      </w:r>
      <w:r w:rsidR="00EE6491" w:rsidRPr="00443F46">
        <w:rPr>
          <w:rFonts w:ascii="Arial" w:hAnsi="Arial" w:cs="Arial"/>
          <w:sz w:val="20"/>
          <w:szCs w:val="20"/>
          <w:shd w:val="clear" w:color="auto" w:fill="FFFFFF"/>
        </w:rPr>
        <w:t>project is to achieve, by 2022, a 15% increase in the number of SMEs in processing industries cooperating with other Research and development actors: region's innovation ecosystem, namely innovation decision-makers, SMEs using I4.0 solutions, I4.0 service providers, universities and innovation centres,</w:t>
      </w:r>
      <w:r w:rsidR="00DA2DA8" w:rsidRPr="00443F46">
        <w:rPr>
          <w:rFonts w:ascii="Arial" w:hAnsi="Arial" w:cs="Arial"/>
          <w:sz w:val="20"/>
          <w:szCs w:val="20"/>
          <w:shd w:val="clear" w:color="auto" w:fill="FFFFFF"/>
        </w:rPr>
        <w:t xml:space="preserve"> </w:t>
      </w:r>
      <w:r w:rsidR="00EE6491" w:rsidRPr="00443F46">
        <w:rPr>
          <w:rFonts w:ascii="Arial" w:hAnsi="Arial" w:cs="Arial"/>
          <w:sz w:val="20"/>
          <w:szCs w:val="20"/>
          <w:shd w:val="clear" w:color="auto" w:fill="FFFFFF"/>
        </w:rPr>
        <w:t>in the participating regions to integrate I4.0 solutions.</w:t>
      </w:r>
      <w:r w:rsidR="00EE6491" w:rsidRPr="00443F46" w:rsidDel="00EE6491">
        <w:rPr>
          <w:rFonts w:ascii="Arial" w:hAnsi="Arial" w:cs="Arial"/>
          <w:sz w:val="20"/>
          <w:szCs w:val="20"/>
        </w:rPr>
        <w:t xml:space="preserve"> </w:t>
      </w:r>
    </w:p>
    <w:p w14:paraId="05C96722" w14:textId="423F4F0A" w:rsidR="009118F7" w:rsidRPr="009118F7" w:rsidRDefault="009118F7" w:rsidP="00E42342">
      <w:pPr>
        <w:pStyle w:val="Heading3"/>
        <w:numPr>
          <w:ilvl w:val="0"/>
          <w:numId w:val="132"/>
        </w:numPr>
        <w:rPr>
          <w:b w:val="0"/>
          <w:bCs/>
        </w:rPr>
      </w:pPr>
      <w:r>
        <w:rPr>
          <w:b w:val="0"/>
          <w:bCs/>
        </w:rPr>
        <w:t xml:space="preserve">Transition pathway in Hunedoara </w:t>
      </w:r>
      <w:r w:rsidR="00854A6F">
        <w:rPr>
          <w:b w:val="0"/>
          <w:bCs/>
        </w:rPr>
        <w:t>C</w:t>
      </w:r>
      <w:r>
        <w:rPr>
          <w:b w:val="0"/>
          <w:bCs/>
        </w:rPr>
        <w:t>ounty</w:t>
      </w:r>
    </w:p>
    <w:p w14:paraId="5FA6D03D" w14:textId="14E7CBCE" w:rsidR="009118F7" w:rsidRPr="003516DC" w:rsidRDefault="009118F7" w:rsidP="00402580">
      <w:pPr>
        <w:spacing w:after="240"/>
        <w:jc w:val="both"/>
        <w:rPr>
          <w:rFonts w:ascii="Arial" w:hAnsi="Arial" w:cs="Arial"/>
          <w:sz w:val="20"/>
          <w:szCs w:val="20"/>
        </w:rPr>
      </w:pPr>
      <w:r w:rsidRPr="003516DC">
        <w:rPr>
          <w:rFonts w:ascii="Arial" w:hAnsi="Arial" w:cs="Arial"/>
          <w:sz w:val="20"/>
          <w:szCs w:val="20"/>
        </w:rPr>
        <w:t xml:space="preserve">The need for a transition process to a climate-neutral economy is </w:t>
      </w:r>
      <w:r w:rsidR="00A755E4" w:rsidRPr="003516DC">
        <w:rPr>
          <w:rFonts w:ascii="Arial" w:hAnsi="Arial" w:cs="Arial"/>
          <w:sz w:val="20"/>
          <w:szCs w:val="20"/>
        </w:rPr>
        <w:t>fairly</w:t>
      </w:r>
      <w:r w:rsidRPr="003516DC">
        <w:rPr>
          <w:rFonts w:ascii="Arial" w:hAnsi="Arial" w:cs="Arial"/>
          <w:sz w:val="20"/>
          <w:szCs w:val="20"/>
        </w:rPr>
        <w:t xml:space="preserve"> understood by the Hunedoara County Council</w:t>
      </w:r>
      <w:r w:rsidR="007A26EF">
        <w:rPr>
          <w:rFonts w:ascii="Arial" w:hAnsi="Arial" w:cs="Arial"/>
          <w:sz w:val="20"/>
          <w:szCs w:val="20"/>
        </w:rPr>
        <w:t>.</w:t>
      </w:r>
      <w:r w:rsidRPr="003516DC">
        <w:rPr>
          <w:rFonts w:ascii="Arial" w:hAnsi="Arial" w:cs="Arial"/>
          <w:sz w:val="20"/>
          <w:szCs w:val="20"/>
        </w:rPr>
        <w:t xml:space="preserve"> </w:t>
      </w:r>
      <w:r w:rsidR="007A26EF">
        <w:rPr>
          <w:rFonts w:ascii="Arial" w:hAnsi="Arial" w:cs="Arial"/>
          <w:sz w:val="20"/>
          <w:szCs w:val="20"/>
        </w:rPr>
        <w:t>L</w:t>
      </w:r>
      <w:r w:rsidRPr="003516DC">
        <w:rPr>
          <w:rFonts w:ascii="Arial" w:hAnsi="Arial" w:cs="Arial"/>
          <w:sz w:val="20"/>
          <w:szCs w:val="20"/>
        </w:rPr>
        <w:t>ocal public authorities mention that the actions and targets included in the Hunedoara Development Strategy 2021-2027, currently under development, contribute to the achievement of Romania’s targets assumed in NECP.</w:t>
      </w:r>
    </w:p>
    <w:p w14:paraId="27B782A1" w14:textId="2F7986D0" w:rsidR="009118F7" w:rsidRPr="003516DC" w:rsidRDefault="009118F7" w:rsidP="00402580">
      <w:pPr>
        <w:spacing w:after="240"/>
        <w:jc w:val="both"/>
        <w:rPr>
          <w:rFonts w:ascii="Arial" w:hAnsi="Arial" w:cs="Arial"/>
          <w:sz w:val="20"/>
          <w:szCs w:val="20"/>
        </w:rPr>
      </w:pPr>
      <w:r w:rsidRPr="003516DC">
        <w:rPr>
          <w:rFonts w:ascii="Arial" w:hAnsi="Arial" w:cs="Arial"/>
          <w:sz w:val="20"/>
          <w:szCs w:val="20"/>
        </w:rPr>
        <w:t xml:space="preserve">The main restructuring process will be implemented at Complexul Energetic Hunedoara (CEH). The negotiations with the labour union, facilitated by the County Council, are ongoing and </w:t>
      </w:r>
      <w:r w:rsidR="00316E7A">
        <w:rPr>
          <w:rFonts w:ascii="Arial" w:hAnsi="Arial" w:cs="Arial"/>
          <w:sz w:val="20"/>
          <w:szCs w:val="20"/>
        </w:rPr>
        <w:t>were</w:t>
      </w:r>
      <w:r w:rsidRPr="003516DC">
        <w:rPr>
          <w:rFonts w:ascii="Arial" w:hAnsi="Arial" w:cs="Arial"/>
          <w:sz w:val="20"/>
          <w:szCs w:val="20"/>
        </w:rPr>
        <w:t xml:space="preserve"> expected to be finalised in June 2021 with a Government Emergency ordinance that will consist in a roadmap for closure</w:t>
      </w:r>
      <w:r w:rsidR="007A26EF">
        <w:rPr>
          <w:rFonts w:ascii="Arial" w:hAnsi="Arial" w:cs="Arial"/>
          <w:sz w:val="20"/>
          <w:szCs w:val="20"/>
        </w:rPr>
        <w:t xml:space="preserve"> </w:t>
      </w:r>
      <w:r w:rsidRPr="003516DC">
        <w:rPr>
          <w:rFonts w:ascii="Arial" w:hAnsi="Arial" w:cs="Arial"/>
          <w:sz w:val="20"/>
          <w:szCs w:val="20"/>
        </w:rPr>
        <w:t>of the mining and coal</w:t>
      </w:r>
      <w:r w:rsidR="00321460">
        <w:rPr>
          <w:rFonts w:ascii="Arial" w:hAnsi="Arial" w:cs="Arial"/>
          <w:sz w:val="20"/>
          <w:szCs w:val="20"/>
        </w:rPr>
        <w:t>-</w:t>
      </w:r>
      <w:r w:rsidRPr="003516DC">
        <w:rPr>
          <w:rFonts w:ascii="Arial" w:hAnsi="Arial" w:cs="Arial"/>
          <w:sz w:val="20"/>
          <w:szCs w:val="20"/>
        </w:rPr>
        <w:t xml:space="preserve">based energy production sector in Hunedoara </w:t>
      </w:r>
      <w:r w:rsidR="00321460">
        <w:rPr>
          <w:rFonts w:ascii="Arial" w:hAnsi="Arial" w:cs="Arial"/>
          <w:sz w:val="20"/>
          <w:szCs w:val="20"/>
        </w:rPr>
        <w:t>C</w:t>
      </w:r>
      <w:r w:rsidRPr="003516DC">
        <w:rPr>
          <w:rFonts w:ascii="Arial" w:hAnsi="Arial" w:cs="Arial"/>
          <w:sz w:val="20"/>
          <w:szCs w:val="20"/>
        </w:rPr>
        <w:t xml:space="preserve">ounty </w:t>
      </w:r>
      <w:r w:rsidR="00321460">
        <w:rPr>
          <w:rFonts w:ascii="Arial" w:hAnsi="Arial" w:cs="Arial"/>
          <w:sz w:val="20"/>
          <w:szCs w:val="20"/>
        </w:rPr>
        <w:t>along</w:t>
      </w:r>
      <w:r w:rsidRPr="003516DC">
        <w:rPr>
          <w:rFonts w:ascii="Arial" w:hAnsi="Arial" w:cs="Arial"/>
          <w:sz w:val="20"/>
          <w:szCs w:val="20"/>
        </w:rPr>
        <w:t xml:space="preserve"> with </w:t>
      </w:r>
      <w:r w:rsidRPr="003516DC">
        <w:rPr>
          <w:rFonts w:ascii="Arial" w:hAnsi="Arial" w:cs="Arial"/>
          <w:sz w:val="20"/>
          <w:szCs w:val="20"/>
        </w:rPr>
        <w:lastRenderedPageBreak/>
        <w:t xml:space="preserve">compensation for voluntary lay-offs. While </w:t>
      </w:r>
      <w:r w:rsidR="00321460">
        <w:rPr>
          <w:rFonts w:ascii="Arial" w:hAnsi="Arial" w:cs="Arial"/>
          <w:sz w:val="20"/>
          <w:szCs w:val="20"/>
        </w:rPr>
        <w:t xml:space="preserve">still </w:t>
      </w:r>
      <w:r w:rsidRPr="003516DC">
        <w:rPr>
          <w:rFonts w:ascii="Arial" w:hAnsi="Arial" w:cs="Arial"/>
          <w:sz w:val="20"/>
          <w:szCs w:val="20"/>
        </w:rPr>
        <w:t>unclear which</w:t>
      </w:r>
      <w:r w:rsidR="00321460">
        <w:rPr>
          <w:rFonts w:ascii="Arial" w:hAnsi="Arial" w:cs="Arial"/>
          <w:sz w:val="20"/>
          <w:szCs w:val="20"/>
        </w:rPr>
        <w:t xml:space="preserve"> (and by what date)</w:t>
      </w:r>
      <w:r w:rsidRPr="003516DC">
        <w:rPr>
          <w:rFonts w:ascii="Arial" w:hAnsi="Arial" w:cs="Arial"/>
          <w:sz w:val="20"/>
          <w:szCs w:val="20"/>
        </w:rPr>
        <w:t xml:space="preserve"> mines will be closed, coal phase-out is expected by 2032</w:t>
      </w:r>
      <w:r w:rsidR="00321460" w:rsidRPr="00321460">
        <w:rPr>
          <w:rFonts w:ascii="Arial" w:hAnsi="Arial" w:cs="Arial"/>
          <w:sz w:val="20"/>
          <w:szCs w:val="20"/>
        </w:rPr>
        <w:t xml:space="preserve"> </w:t>
      </w:r>
      <w:r w:rsidR="00321460" w:rsidRPr="003516DC">
        <w:rPr>
          <w:rFonts w:ascii="Arial" w:hAnsi="Arial" w:cs="Arial"/>
          <w:sz w:val="20"/>
          <w:szCs w:val="20"/>
        </w:rPr>
        <w:t>according to RRP</w:t>
      </w:r>
      <w:r w:rsidRPr="003516DC">
        <w:rPr>
          <w:rFonts w:ascii="Arial" w:hAnsi="Arial" w:cs="Arial"/>
          <w:sz w:val="20"/>
          <w:szCs w:val="20"/>
        </w:rPr>
        <w:t>.</w:t>
      </w:r>
    </w:p>
    <w:p w14:paraId="461B2C9C" w14:textId="337C6B51" w:rsidR="009118F7" w:rsidRPr="003516DC" w:rsidRDefault="009118F7" w:rsidP="009118F7">
      <w:pPr>
        <w:spacing w:after="60"/>
        <w:jc w:val="both"/>
        <w:rPr>
          <w:rFonts w:ascii="Arial" w:hAnsi="Arial" w:cs="Arial"/>
          <w:sz w:val="20"/>
          <w:szCs w:val="20"/>
        </w:rPr>
      </w:pPr>
      <w:r w:rsidRPr="003516DC">
        <w:rPr>
          <w:rFonts w:ascii="Arial" w:hAnsi="Arial" w:cs="Arial"/>
          <w:sz w:val="20"/>
          <w:szCs w:val="20"/>
        </w:rPr>
        <w:t xml:space="preserve">The transition process </w:t>
      </w:r>
      <w:r w:rsidR="00494E45">
        <w:rPr>
          <w:rFonts w:ascii="Arial" w:hAnsi="Arial" w:cs="Arial"/>
          <w:sz w:val="20"/>
          <w:szCs w:val="20"/>
        </w:rPr>
        <w:t xml:space="preserve">away </w:t>
      </w:r>
      <w:r w:rsidRPr="003516DC">
        <w:rPr>
          <w:rFonts w:ascii="Arial" w:hAnsi="Arial" w:cs="Arial"/>
          <w:sz w:val="20"/>
          <w:szCs w:val="20"/>
        </w:rPr>
        <w:t xml:space="preserve">from coal and heating production will have three main components, as </w:t>
      </w:r>
      <w:r w:rsidR="00494E45">
        <w:rPr>
          <w:rFonts w:ascii="Arial" w:hAnsi="Arial" w:cs="Arial"/>
          <w:sz w:val="20"/>
          <w:szCs w:val="20"/>
        </w:rPr>
        <w:t>indicated</w:t>
      </w:r>
      <w:r w:rsidRPr="003516DC">
        <w:rPr>
          <w:rFonts w:ascii="Arial" w:hAnsi="Arial" w:cs="Arial"/>
          <w:sz w:val="20"/>
          <w:szCs w:val="20"/>
        </w:rPr>
        <w:t xml:space="preserve"> via stakeholder interviews</w:t>
      </w:r>
      <w:r w:rsidR="00494E45">
        <w:rPr>
          <w:rFonts w:ascii="Arial" w:hAnsi="Arial" w:cs="Arial"/>
          <w:sz w:val="20"/>
          <w:szCs w:val="20"/>
        </w:rPr>
        <w:t>:</w:t>
      </w:r>
    </w:p>
    <w:p w14:paraId="472A0C17" w14:textId="30073075" w:rsidR="009118F7" w:rsidRPr="00494E45" w:rsidRDefault="009118F7" w:rsidP="00E42342">
      <w:pPr>
        <w:pStyle w:val="ListParagraph"/>
        <w:numPr>
          <w:ilvl w:val="0"/>
          <w:numId w:val="120"/>
        </w:numPr>
        <w:spacing w:after="60" w:line="240" w:lineRule="auto"/>
        <w:ind w:right="172"/>
        <w:contextualSpacing w:val="0"/>
        <w:jc w:val="both"/>
        <w:rPr>
          <w:sz w:val="20"/>
          <w:szCs w:val="20"/>
        </w:rPr>
      </w:pPr>
      <w:r w:rsidRPr="003516DC">
        <w:rPr>
          <w:sz w:val="20"/>
          <w:szCs w:val="20"/>
        </w:rPr>
        <w:t>Voluntary layoff of personnel from the mining and energy production sector (Mintia plant).</w:t>
      </w:r>
      <w:r w:rsidR="00494E45">
        <w:rPr>
          <w:sz w:val="20"/>
          <w:szCs w:val="20"/>
        </w:rPr>
        <w:t xml:space="preserve"> </w:t>
      </w:r>
      <w:r w:rsidRPr="00494E45">
        <w:rPr>
          <w:sz w:val="20"/>
          <w:szCs w:val="20"/>
        </w:rPr>
        <w:t>Around 1</w:t>
      </w:r>
      <w:r w:rsidR="00494E45">
        <w:rPr>
          <w:sz w:val="20"/>
          <w:szCs w:val="20"/>
        </w:rPr>
        <w:t>,</w:t>
      </w:r>
      <w:r w:rsidRPr="00494E45">
        <w:rPr>
          <w:sz w:val="20"/>
          <w:szCs w:val="20"/>
        </w:rPr>
        <w:t xml:space="preserve">500 (883 miners and 605 employees from the energy sector) </w:t>
      </w:r>
      <w:r w:rsidR="00A01341">
        <w:rPr>
          <w:sz w:val="20"/>
          <w:szCs w:val="20"/>
        </w:rPr>
        <w:t>of</w:t>
      </w:r>
      <w:r w:rsidRPr="00494E45">
        <w:rPr>
          <w:sz w:val="20"/>
          <w:szCs w:val="20"/>
        </w:rPr>
        <w:t xml:space="preserve"> the 4</w:t>
      </w:r>
      <w:r w:rsidR="00494E45">
        <w:rPr>
          <w:sz w:val="20"/>
          <w:szCs w:val="20"/>
        </w:rPr>
        <w:t>,</w:t>
      </w:r>
      <w:r w:rsidRPr="00494E45">
        <w:rPr>
          <w:sz w:val="20"/>
          <w:szCs w:val="20"/>
        </w:rPr>
        <w:t xml:space="preserve">000 CEH employees applied for voluntary layoff </w:t>
      </w:r>
      <w:r w:rsidR="00A01341">
        <w:rPr>
          <w:sz w:val="20"/>
          <w:szCs w:val="20"/>
        </w:rPr>
        <w:t>by the</w:t>
      </w:r>
      <w:r w:rsidRPr="00494E45">
        <w:rPr>
          <w:sz w:val="20"/>
          <w:szCs w:val="20"/>
        </w:rPr>
        <w:t xml:space="preserve"> end of May 2021 to receive compensatory payments during 2021-2022</w:t>
      </w:r>
      <w:r w:rsidR="00A01341">
        <w:rPr>
          <w:sz w:val="20"/>
          <w:szCs w:val="20"/>
        </w:rPr>
        <w:t>. The compensation is</w:t>
      </w:r>
      <w:r w:rsidRPr="00494E45">
        <w:rPr>
          <w:sz w:val="20"/>
          <w:szCs w:val="20"/>
        </w:rPr>
        <w:t xml:space="preserve"> approx</w:t>
      </w:r>
      <w:r w:rsidR="00A01341">
        <w:rPr>
          <w:sz w:val="20"/>
          <w:szCs w:val="20"/>
        </w:rPr>
        <w:t>imately</w:t>
      </w:r>
      <w:r w:rsidRPr="00494E45">
        <w:rPr>
          <w:sz w:val="20"/>
          <w:szCs w:val="20"/>
        </w:rPr>
        <w:t xml:space="preserve"> EUR 10,000/person throughout the period.</w:t>
      </w:r>
    </w:p>
    <w:p w14:paraId="331E9C5B" w14:textId="1EDAB772" w:rsidR="009118F7" w:rsidRPr="003516DC" w:rsidRDefault="009118F7" w:rsidP="00E42342">
      <w:pPr>
        <w:pStyle w:val="ListParagraph"/>
        <w:numPr>
          <w:ilvl w:val="0"/>
          <w:numId w:val="120"/>
        </w:numPr>
        <w:spacing w:after="60" w:line="240" w:lineRule="auto"/>
        <w:ind w:right="172"/>
        <w:contextualSpacing w:val="0"/>
        <w:jc w:val="both"/>
        <w:rPr>
          <w:i/>
          <w:sz w:val="20"/>
          <w:szCs w:val="20"/>
        </w:rPr>
      </w:pPr>
      <w:r w:rsidRPr="003516DC">
        <w:rPr>
          <w:sz w:val="20"/>
          <w:szCs w:val="20"/>
        </w:rPr>
        <w:t>The restructuring/closing process of the mines in the Jiu Valley and Paroseni electrical plant, started in 2017 with Lonea and Lupeni mines, followed by Vulcan and Livezeni until 2030.</w:t>
      </w:r>
    </w:p>
    <w:p w14:paraId="38612C45" w14:textId="470D6B12" w:rsidR="009118F7" w:rsidRPr="003516DC" w:rsidRDefault="009118F7" w:rsidP="00E42342">
      <w:pPr>
        <w:pStyle w:val="ListParagraph"/>
        <w:numPr>
          <w:ilvl w:val="0"/>
          <w:numId w:val="120"/>
        </w:numPr>
        <w:spacing w:after="60" w:line="240" w:lineRule="auto"/>
        <w:ind w:right="172"/>
        <w:contextualSpacing w:val="0"/>
        <w:jc w:val="both"/>
        <w:rPr>
          <w:i/>
          <w:sz w:val="20"/>
          <w:szCs w:val="20"/>
        </w:rPr>
      </w:pPr>
      <w:r w:rsidRPr="003516DC">
        <w:rPr>
          <w:sz w:val="20"/>
          <w:szCs w:val="20"/>
        </w:rPr>
        <w:t>The takeover of the Mintia energy and heating production plant by local authorities (Deva Municipality/Hunedoara County Council) and the modernisation with new technologies on gas or hydrogen</w:t>
      </w:r>
      <w:r w:rsidR="00A01341">
        <w:rPr>
          <w:sz w:val="20"/>
          <w:szCs w:val="20"/>
        </w:rPr>
        <w:t>.</w:t>
      </w:r>
      <w:r w:rsidRPr="003516DC">
        <w:rPr>
          <w:sz w:val="20"/>
          <w:szCs w:val="20"/>
        </w:rPr>
        <w:t xml:space="preserve"> For Paroseni plant, new technologies and a moderni</w:t>
      </w:r>
      <w:r w:rsidR="00A01341">
        <w:rPr>
          <w:sz w:val="20"/>
          <w:szCs w:val="20"/>
        </w:rPr>
        <w:t>s</w:t>
      </w:r>
      <w:r w:rsidRPr="003516DC">
        <w:rPr>
          <w:sz w:val="20"/>
          <w:szCs w:val="20"/>
        </w:rPr>
        <w:t xml:space="preserve">ation process </w:t>
      </w:r>
      <w:r w:rsidR="00A01341">
        <w:rPr>
          <w:sz w:val="20"/>
          <w:szCs w:val="20"/>
        </w:rPr>
        <w:t>are</w:t>
      </w:r>
      <w:r w:rsidRPr="003516DC">
        <w:rPr>
          <w:sz w:val="20"/>
          <w:szCs w:val="20"/>
        </w:rPr>
        <w:t xml:space="preserve"> envisaged to comply with the environmental protection requirements, yet within the coal phase-out target envisaged under RRP.</w:t>
      </w:r>
    </w:p>
    <w:p w14:paraId="394A148A" w14:textId="47B79B64" w:rsidR="009118F7" w:rsidRPr="00A03682" w:rsidRDefault="009118F7" w:rsidP="00A01341">
      <w:pPr>
        <w:spacing w:before="120" w:after="240"/>
        <w:ind w:right="170"/>
        <w:jc w:val="both"/>
        <w:rPr>
          <w:rFonts w:ascii="Arial" w:hAnsi="Arial" w:cs="Arial"/>
          <w:sz w:val="20"/>
          <w:szCs w:val="20"/>
        </w:rPr>
      </w:pPr>
      <w:r w:rsidRPr="00A03682">
        <w:rPr>
          <w:rFonts w:ascii="Arial" w:hAnsi="Arial" w:cs="Arial"/>
          <w:sz w:val="20"/>
          <w:szCs w:val="20"/>
        </w:rPr>
        <w:t xml:space="preserve">At </w:t>
      </w:r>
      <w:r w:rsidR="00A01341">
        <w:rPr>
          <w:rFonts w:ascii="Arial" w:hAnsi="Arial" w:cs="Arial"/>
          <w:sz w:val="20"/>
          <w:szCs w:val="20"/>
        </w:rPr>
        <w:t xml:space="preserve">the </w:t>
      </w:r>
      <w:r w:rsidRPr="00A03682">
        <w:rPr>
          <w:rFonts w:ascii="Arial" w:hAnsi="Arial" w:cs="Arial"/>
          <w:sz w:val="20"/>
          <w:szCs w:val="20"/>
        </w:rPr>
        <w:t xml:space="preserve">Hunedoara </w:t>
      </w:r>
      <w:r w:rsidR="00A01341">
        <w:rPr>
          <w:rFonts w:ascii="Arial" w:hAnsi="Arial" w:cs="Arial"/>
          <w:sz w:val="20"/>
          <w:szCs w:val="20"/>
        </w:rPr>
        <w:t>C</w:t>
      </w:r>
      <w:r w:rsidRPr="00A03682">
        <w:rPr>
          <w:rFonts w:ascii="Arial" w:hAnsi="Arial" w:cs="Arial"/>
          <w:sz w:val="20"/>
          <w:szCs w:val="20"/>
        </w:rPr>
        <w:t xml:space="preserve">ounty level, the most affected </w:t>
      </w:r>
      <w:r w:rsidRPr="003516DC">
        <w:rPr>
          <w:rFonts w:ascii="Arial" w:hAnsi="Arial" w:cs="Arial"/>
          <w:sz w:val="20"/>
          <w:szCs w:val="20"/>
        </w:rPr>
        <w:t>sub-</w:t>
      </w:r>
      <w:r w:rsidRPr="00A03682">
        <w:rPr>
          <w:rFonts w:ascii="Arial" w:hAnsi="Arial" w:cs="Arial"/>
          <w:sz w:val="20"/>
          <w:szCs w:val="20"/>
        </w:rPr>
        <w:t>regions are Jiu Valley and Deva – Hunedoara</w:t>
      </w:r>
      <w:r w:rsidRPr="003516DC">
        <w:rPr>
          <w:rFonts w:ascii="Arial" w:hAnsi="Arial" w:cs="Arial"/>
          <w:sz w:val="20"/>
          <w:szCs w:val="20"/>
        </w:rPr>
        <w:t xml:space="preserve"> municipalities</w:t>
      </w:r>
      <w:r w:rsidRPr="00A03682">
        <w:rPr>
          <w:rFonts w:ascii="Arial" w:hAnsi="Arial" w:cs="Arial"/>
          <w:sz w:val="20"/>
          <w:szCs w:val="20"/>
        </w:rPr>
        <w:t>.</w:t>
      </w:r>
    </w:p>
    <w:p w14:paraId="7CE1A492" w14:textId="4DA83107" w:rsidR="00BA16DA" w:rsidRDefault="009118F7" w:rsidP="003436D3">
      <w:pPr>
        <w:spacing w:after="60"/>
        <w:jc w:val="both"/>
        <w:rPr>
          <w:rFonts w:ascii="Arial" w:hAnsi="Arial" w:cs="Arial"/>
          <w:sz w:val="20"/>
          <w:szCs w:val="20"/>
        </w:rPr>
      </w:pPr>
      <w:r w:rsidRPr="003516DC">
        <w:rPr>
          <w:rFonts w:ascii="Arial" w:hAnsi="Arial" w:cs="Arial"/>
          <w:b/>
          <w:sz w:val="20"/>
          <w:szCs w:val="20"/>
        </w:rPr>
        <w:t xml:space="preserve">As a conclusion, </w:t>
      </w:r>
      <w:r w:rsidRPr="003516DC">
        <w:rPr>
          <w:rFonts w:ascii="Arial" w:hAnsi="Arial" w:cs="Arial"/>
          <w:sz w:val="20"/>
          <w:szCs w:val="20"/>
        </w:rPr>
        <w:t>the transition to climate-neutral energy measures will generate employment and social impact in two stages. There will be a first unemployment wave following the reorgani</w:t>
      </w:r>
      <w:r w:rsidR="00A01341">
        <w:rPr>
          <w:rFonts w:ascii="Arial" w:hAnsi="Arial" w:cs="Arial"/>
          <w:sz w:val="20"/>
          <w:szCs w:val="20"/>
        </w:rPr>
        <w:t>s</w:t>
      </w:r>
      <w:r w:rsidRPr="003516DC">
        <w:rPr>
          <w:rFonts w:ascii="Arial" w:hAnsi="Arial" w:cs="Arial"/>
          <w:sz w:val="20"/>
          <w:szCs w:val="20"/>
        </w:rPr>
        <w:t xml:space="preserve">ation of CEH in 2021 and 2022, </w:t>
      </w:r>
      <w:r w:rsidRPr="003516DC">
        <w:rPr>
          <w:rFonts w:ascii="Arial" w:hAnsi="Arial" w:cs="Arial"/>
          <w:sz w:val="20"/>
          <w:szCs w:val="20"/>
          <w:lang w:val="ro-RO"/>
        </w:rPr>
        <w:t xml:space="preserve">followed by a second wave </w:t>
      </w:r>
      <w:r w:rsidR="00A01341">
        <w:rPr>
          <w:rFonts w:ascii="Arial" w:hAnsi="Arial" w:cs="Arial"/>
          <w:sz w:val="20"/>
          <w:szCs w:val="20"/>
          <w:lang w:val="ro-RO"/>
        </w:rPr>
        <w:t xml:space="preserve">during </w:t>
      </w:r>
      <w:r w:rsidRPr="003516DC">
        <w:rPr>
          <w:rFonts w:ascii="Arial" w:hAnsi="Arial" w:cs="Arial"/>
          <w:sz w:val="20"/>
          <w:szCs w:val="20"/>
          <w:lang w:val="ro-RO"/>
        </w:rPr>
        <w:t>2024–2030</w:t>
      </w:r>
      <w:r w:rsidR="00A01341">
        <w:rPr>
          <w:rFonts w:ascii="Arial" w:hAnsi="Arial" w:cs="Arial"/>
          <w:sz w:val="20"/>
          <w:szCs w:val="20"/>
          <w:lang w:val="ro-RO"/>
        </w:rPr>
        <w:t xml:space="preserve"> during</w:t>
      </w:r>
      <w:r w:rsidRPr="003516DC">
        <w:rPr>
          <w:rFonts w:ascii="Arial" w:hAnsi="Arial" w:cs="Arial"/>
          <w:sz w:val="20"/>
          <w:szCs w:val="20"/>
          <w:lang w:val="ro-RO"/>
        </w:rPr>
        <w:t xml:space="preserve"> </w:t>
      </w:r>
      <w:r w:rsidR="00A01341">
        <w:rPr>
          <w:rFonts w:ascii="Arial" w:hAnsi="Arial" w:cs="Arial"/>
          <w:sz w:val="20"/>
          <w:szCs w:val="20"/>
          <w:lang w:val="ro-RO"/>
        </w:rPr>
        <w:t>t</w:t>
      </w:r>
      <w:r w:rsidRPr="003516DC">
        <w:rPr>
          <w:rFonts w:ascii="Arial" w:hAnsi="Arial" w:cs="Arial"/>
          <w:sz w:val="20"/>
          <w:szCs w:val="20"/>
          <w:lang w:val="ro-RO"/>
        </w:rPr>
        <w:t>he final closure of the mining and coal</w:t>
      </w:r>
      <w:r w:rsidR="00A01341">
        <w:rPr>
          <w:rFonts w:ascii="Arial" w:hAnsi="Arial" w:cs="Arial"/>
          <w:sz w:val="20"/>
          <w:szCs w:val="20"/>
          <w:lang w:val="ro-RO"/>
        </w:rPr>
        <w:t>-</w:t>
      </w:r>
      <w:r w:rsidRPr="003516DC">
        <w:rPr>
          <w:rFonts w:ascii="Arial" w:hAnsi="Arial" w:cs="Arial"/>
          <w:sz w:val="20"/>
          <w:szCs w:val="20"/>
          <w:lang w:val="ro-RO"/>
        </w:rPr>
        <w:t>based energy production plan</w:t>
      </w:r>
      <w:r w:rsidR="00A01341">
        <w:rPr>
          <w:rFonts w:ascii="Arial" w:hAnsi="Arial" w:cs="Arial"/>
          <w:sz w:val="20"/>
          <w:szCs w:val="20"/>
          <w:lang w:val="ro-RO"/>
        </w:rPr>
        <w:t>t</w:t>
      </w:r>
      <w:r w:rsidRPr="003516DC">
        <w:rPr>
          <w:rFonts w:ascii="Arial" w:hAnsi="Arial" w:cs="Arial"/>
          <w:sz w:val="20"/>
          <w:szCs w:val="20"/>
          <w:lang w:val="ro-RO"/>
        </w:rPr>
        <w:t xml:space="preserve">s, which will have a modest effect by then. As </w:t>
      </w:r>
      <w:r w:rsidR="00A01341">
        <w:rPr>
          <w:rFonts w:ascii="Arial" w:hAnsi="Arial" w:cs="Arial"/>
          <w:sz w:val="20"/>
          <w:szCs w:val="20"/>
          <w:lang w:val="ro-RO"/>
        </w:rPr>
        <w:t>stated</w:t>
      </w:r>
      <w:r w:rsidRPr="003516DC">
        <w:rPr>
          <w:rFonts w:ascii="Arial" w:hAnsi="Arial" w:cs="Arial"/>
          <w:sz w:val="20"/>
          <w:szCs w:val="20"/>
          <w:lang w:val="ro-RO"/>
        </w:rPr>
        <w:t xml:space="preserve"> in our recommended investment needs analysis, Transition Cent</w:t>
      </w:r>
      <w:r w:rsidR="00A01341">
        <w:rPr>
          <w:rFonts w:ascii="Arial" w:hAnsi="Arial" w:cs="Arial"/>
          <w:sz w:val="20"/>
          <w:szCs w:val="20"/>
          <w:lang w:val="ro-RO"/>
        </w:rPr>
        <w:t>re</w:t>
      </w:r>
      <w:r w:rsidRPr="003516DC">
        <w:rPr>
          <w:rFonts w:ascii="Arial" w:hAnsi="Arial" w:cs="Arial"/>
          <w:sz w:val="20"/>
          <w:szCs w:val="20"/>
          <w:lang w:val="ro-RO"/>
        </w:rPr>
        <w:t>s should be created for laid</w:t>
      </w:r>
      <w:r w:rsidR="00A01341">
        <w:rPr>
          <w:rFonts w:ascii="Arial" w:hAnsi="Arial" w:cs="Arial"/>
          <w:sz w:val="20"/>
          <w:szCs w:val="20"/>
          <w:lang w:val="ro-RO"/>
        </w:rPr>
        <w:t>-</w:t>
      </w:r>
      <w:r w:rsidRPr="003516DC">
        <w:rPr>
          <w:rFonts w:ascii="Arial" w:hAnsi="Arial" w:cs="Arial"/>
          <w:sz w:val="20"/>
          <w:szCs w:val="20"/>
          <w:lang w:val="ro-RO"/>
        </w:rPr>
        <w:t>off coal workers in Hunedoara</w:t>
      </w:r>
      <w:r w:rsidR="00A01341">
        <w:rPr>
          <w:rFonts w:ascii="Arial" w:hAnsi="Arial" w:cs="Arial"/>
          <w:sz w:val="20"/>
          <w:szCs w:val="20"/>
          <w:lang w:val="ro-RO"/>
        </w:rPr>
        <w:t>.</w:t>
      </w:r>
      <w:r w:rsidRPr="003516DC">
        <w:rPr>
          <w:rFonts w:ascii="Arial" w:hAnsi="Arial" w:cs="Arial"/>
          <w:sz w:val="20"/>
          <w:szCs w:val="20"/>
          <w:lang w:val="ro-RO"/>
        </w:rPr>
        <w:t xml:space="preserve"> </w:t>
      </w:r>
      <w:r w:rsidR="00FC4D24">
        <w:rPr>
          <w:rFonts w:ascii="Arial" w:hAnsi="Arial" w:cs="Arial"/>
          <w:sz w:val="20"/>
          <w:szCs w:val="20"/>
          <w:lang w:val="ro-RO"/>
        </w:rPr>
        <w:t>S</w:t>
      </w:r>
      <w:r w:rsidRPr="003516DC">
        <w:rPr>
          <w:rFonts w:ascii="Arial" w:hAnsi="Arial" w:cs="Arial"/>
          <w:sz w:val="20"/>
          <w:szCs w:val="20"/>
          <w:lang w:val="ro-RO"/>
        </w:rPr>
        <w:t>ince negative employment effects will be present in the most likely decarboni</w:t>
      </w:r>
      <w:r w:rsidR="00FC4D24">
        <w:rPr>
          <w:rFonts w:ascii="Arial" w:hAnsi="Arial" w:cs="Arial"/>
          <w:sz w:val="20"/>
          <w:szCs w:val="20"/>
          <w:lang w:val="ro-RO"/>
        </w:rPr>
        <w:t>s</w:t>
      </w:r>
      <w:r w:rsidRPr="003516DC">
        <w:rPr>
          <w:rFonts w:ascii="Arial" w:hAnsi="Arial" w:cs="Arial"/>
          <w:sz w:val="20"/>
          <w:szCs w:val="20"/>
          <w:lang w:val="ro-RO"/>
        </w:rPr>
        <w:t>ation scenarios in all six affected regions, it would be worth investing JTF resources in workers’ reskilling and upskilling, albeit in differently designed programmes</w:t>
      </w:r>
      <w:r w:rsidR="00FC4D24">
        <w:rPr>
          <w:rFonts w:ascii="Arial" w:hAnsi="Arial" w:cs="Arial"/>
          <w:sz w:val="20"/>
          <w:szCs w:val="20"/>
          <w:lang w:val="ro-RO"/>
        </w:rPr>
        <w:t xml:space="preserve"> across regions</w:t>
      </w:r>
      <w:r w:rsidRPr="003516DC">
        <w:rPr>
          <w:rFonts w:ascii="Arial" w:hAnsi="Arial" w:cs="Arial"/>
          <w:sz w:val="20"/>
          <w:szCs w:val="20"/>
          <w:lang w:val="ro-RO"/>
        </w:rPr>
        <w:t>. Of course, the allocation</w:t>
      </w:r>
      <w:r w:rsidR="00FC4D24">
        <w:rPr>
          <w:rFonts w:ascii="Arial" w:hAnsi="Arial" w:cs="Arial"/>
          <w:sz w:val="20"/>
          <w:szCs w:val="20"/>
          <w:lang w:val="ro-RO"/>
        </w:rPr>
        <w:t>s</w:t>
      </w:r>
      <w:r w:rsidRPr="003516DC">
        <w:rPr>
          <w:rFonts w:ascii="Arial" w:hAnsi="Arial" w:cs="Arial"/>
          <w:sz w:val="20"/>
          <w:szCs w:val="20"/>
          <w:lang w:val="ro-RO"/>
        </w:rPr>
        <w:t xml:space="preserve"> would have to be higher for counties where unemployment effects will be higher, yet the overall access should remain competitive.</w:t>
      </w:r>
    </w:p>
    <w:p w14:paraId="40EC0B09" w14:textId="77777777" w:rsidR="00D6091A" w:rsidRPr="003516DC" w:rsidRDefault="00D6091A" w:rsidP="00E42342">
      <w:pPr>
        <w:pStyle w:val="Heading2"/>
        <w:numPr>
          <w:ilvl w:val="0"/>
          <w:numId w:val="162"/>
        </w:numPr>
        <w:spacing w:before="240" w:line="240" w:lineRule="auto"/>
      </w:pPr>
      <w:bookmarkStart w:id="128" w:name="_Toc90725859"/>
      <w:r w:rsidRPr="003516DC">
        <w:t>SWOT analysis and strategic outlook</w:t>
      </w:r>
      <w:bookmarkEnd w:id="128"/>
    </w:p>
    <w:p w14:paraId="0EC8AE10" w14:textId="77777777" w:rsidR="00F90DC9" w:rsidRPr="003516DC" w:rsidRDefault="00F90DC9" w:rsidP="00B002A3">
      <w:pPr>
        <w:spacing w:after="120"/>
        <w:jc w:val="both"/>
        <w:rPr>
          <w:rFonts w:ascii="Arial" w:hAnsi="Arial" w:cs="Arial"/>
          <w:sz w:val="20"/>
          <w:szCs w:val="20"/>
        </w:rPr>
      </w:pPr>
      <w:r w:rsidRPr="003516DC">
        <w:rPr>
          <w:rFonts w:ascii="Arial" w:hAnsi="Arial" w:cs="Arial"/>
          <w:sz w:val="20"/>
          <w:szCs w:val="20"/>
        </w:rPr>
        <w:t>The analysis conducted over the chapters of this report, as well as part of the previous deliverables under this assignment is summarised in the SWOT analysis below.</w:t>
      </w:r>
    </w:p>
    <w:p w14:paraId="43CA6491" w14:textId="63B89170" w:rsidR="00F90DC9" w:rsidRPr="003516DC" w:rsidRDefault="00F90DC9" w:rsidP="00F90DC9">
      <w:pPr>
        <w:pStyle w:val="Caption"/>
      </w:pPr>
      <w:bookmarkStart w:id="129" w:name="_Toc90725981"/>
      <w:bookmarkStart w:id="130" w:name="_Toc9072727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27</w:t>
      </w:r>
      <w:r w:rsidRPr="003516DC">
        <w:rPr>
          <w:noProof/>
        </w:rPr>
        <w:fldChar w:fldCharType="end"/>
      </w:r>
      <w:r w:rsidRPr="003516DC">
        <w:t xml:space="preserve">: SWOT analysis for Hunedoara </w:t>
      </w:r>
      <w:r w:rsidR="00D909FC">
        <w:t>C</w:t>
      </w:r>
      <w:r w:rsidRPr="003516DC">
        <w:t>ounty</w:t>
      </w:r>
      <w:bookmarkEnd w:id="129"/>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554"/>
        <w:gridCol w:w="4375"/>
      </w:tblGrid>
      <w:tr w:rsidR="00F90DC9" w:rsidRPr="003516DC" w14:paraId="31B991A2" w14:textId="77777777" w:rsidTr="00B002A3">
        <w:trPr>
          <w:trHeight w:val="101"/>
        </w:trPr>
        <w:tc>
          <w:tcPr>
            <w:tcW w:w="2550" w:type="pct"/>
            <w:shd w:val="clear" w:color="auto" w:fill="002060"/>
            <w:tcMar>
              <w:top w:w="100" w:type="dxa"/>
              <w:left w:w="100" w:type="dxa"/>
              <w:bottom w:w="100" w:type="dxa"/>
              <w:right w:w="100" w:type="dxa"/>
            </w:tcMar>
            <w:vAlign w:val="center"/>
          </w:tcPr>
          <w:p w14:paraId="4680F6D3" w14:textId="77777777" w:rsidR="00F90DC9" w:rsidRPr="003516DC" w:rsidRDefault="00F90DC9" w:rsidP="00964831">
            <w:pPr>
              <w:jc w:val="center"/>
              <w:rPr>
                <w:rFonts w:ascii="Arial" w:hAnsi="Arial" w:cs="Arial"/>
                <w:b/>
                <w:sz w:val="18"/>
                <w:szCs w:val="18"/>
              </w:rPr>
            </w:pPr>
            <w:r w:rsidRPr="003516DC">
              <w:rPr>
                <w:rFonts w:ascii="Arial" w:hAnsi="Arial" w:cs="Arial"/>
                <w:b/>
                <w:sz w:val="18"/>
                <w:szCs w:val="18"/>
              </w:rPr>
              <w:t>Strengths</w:t>
            </w:r>
          </w:p>
        </w:tc>
        <w:tc>
          <w:tcPr>
            <w:tcW w:w="2450" w:type="pct"/>
            <w:shd w:val="clear" w:color="auto" w:fill="002060"/>
            <w:tcMar>
              <w:top w:w="100" w:type="dxa"/>
              <w:left w:w="100" w:type="dxa"/>
              <w:bottom w:w="100" w:type="dxa"/>
              <w:right w:w="100" w:type="dxa"/>
            </w:tcMar>
            <w:vAlign w:val="center"/>
          </w:tcPr>
          <w:p w14:paraId="5C89E8EC" w14:textId="77777777" w:rsidR="00F90DC9" w:rsidRPr="003516DC" w:rsidRDefault="00F90DC9" w:rsidP="00964831">
            <w:pPr>
              <w:jc w:val="center"/>
              <w:rPr>
                <w:rFonts w:ascii="Arial" w:hAnsi="Arial" w:cs="Arial"/>
                <w:b/>
                <w:sz w:val="18"/>
                <w:szCs w:val="18"/>
              </w:rPr>
            </w:pPr>
            <w:r w:rsidRPr="003516DC">
              <w:rPr>
                <w:rFonts w:ascii="Arial" w:hAnsi="Arial" w:cs="Arial"/>
                <w:b/>
                <w:sz w:val="18"/>
                <w:szCs w:val="18"/>
              </w:rPr>
              <w:t>Weaknesses</w:t>
            </w:r>
          </w:p>
        </w:tc>
      </w:tr>
      <w:tr w:rsidR="00F90DC9" w:rsidRPr="003516DC" w14:paraId="319FEDF1" w14:textId="77777777" w:rsidTr="00B002A3">
        <w:trPr>
          <w:trHeight w:val="101"/>
        </w:trPr>
        <w:tc>
          <w:tcPr>
            <w:tcW w:w="5000" w:type="pct"/>
            <w:gridSpan w:val="2"/>
            <w:shd w:val="clear" w:color="auto" w:fill="E7E6E6"/>
            <w:tcMar>
              <w:top w:w="100" w:type="dxa"/>
              <w:left w:w="100" w:type="dxa"/>
              <w:bottom w:w="100" w:type="dxa"/>
              <w:right w:w="100" w:type="dxa"/>
            </w:tcMar>
            <w:vAlign w:val="center"/>
          </w:tcPr>
          <w:p w14:paraId="3714BCE8" w14:textId="77777777" w:rsidR="00F90DC9" w:rsidRPr="003516DC" w:rsidRDefault="00F90DC9"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F90DC9" w:rsidRPr="003516DC" w14:paraId="4DE75D26" w14:textId="77777777" w:rsidTr="00964831">
        <w:trPr>
          <w:trHeight w:val="3000"/>
        </w:trPr>
        <w:tc>
          <w:tcPr>
            <w:tcW w:w="2550" w:type="pct"/>
            <w:shd w:val="clear" w:color="auto" w:fill="auto"/>
            <w:tcMar>
              <w:top w:w="100" w:type="dxa"/>
              <w:left w:w="100" w:type="dxa"/>
              <w:bottom w:w="100" w:type="dxa"/>
              <w:right w:w="100" w:type="dxa"/>
            </w:tcMar>
          </w:tcPr>
          <w:p w14:paraId="5F781256" w14:textId="2F863551" w:rsidR="00F90DC9" w:rsidRPr="003516DC" w:rsidRDefault="00F90DC9" w:rsidP="00F90DC9">
            <w:pPr>
              <w:pStyle w:val="ListParagraph"/>
              <w:numPr>
                <w:ilvl w:val="0"/>
                <w:numId w:val="13"/>
              </w:numPr>
              <w:spacing w:line="240" w:lineRule="auto"/>
              <w:rPr>
                <w:sz w:val="18"/>
                <w:szCs w:val="18"/>
              </w:rPr>
            </w:pPr>
            <w:r w:rsidRPr="003516DC">
              <w:rPr>
                <w:sz w:val="18"/>
                <w:szCs w:val="18"/>
              </w:rPr>
              <w:t xml:space="preserve">There is interest in cooperation between various authorities and local/national stakeholders in the design and implementation of an effective, integrated and balanced development concept at county level, using a large spectrum of financial instruments available through European and national funds. Capacity building of new structures should be built to ensure efficient and effective cooperation in project design and implementation. </w:t>
            </w:r>
          </w:p>
        </w:tc>
        <w:tc>
          <w:tcPr>
            <w:tcW w:w="2450" w:type="pct"/>
            <w:shd w:val="clear" w:color="auto" w:fill="auto"/>
            <w:tcMar>
              <w:top w:w="100" w:type="dxa"/>
              <w:left w:w="100" w:type="dxa"/>
              <w:bottom w:w="100" w:type="dxa"/>
              <w:right w:w="100" w:type="dxa"/>
            </w:tcMar>
          </w:tcPr>
          <w:p w14:paraId="1C645AA4" w14:textId="77777777" w:rsidR="00F90DC9" w:rsidRPr="00402580" w:rsidRDefault="00F90DC9" w:rsidP="00F90DC9">
            <w:pPr>
              <w:pStyle w:val="ListParagraph"/>
              <w:numPr>
                <w:ilvl w:val="0"/>
                <w:numId w:val="13"/>
              </w:numPr>
              <w:spacing w:line="240" w:lineRule="auto"/>
              <w:rPr>
                <w:sz w:val="18"/>
                <w:szCs w:val="18"/>
              </w:rPr>
            </w:pPr>
            <w:r w:rsidRPr="00402580">
              <w:rPr>
                <w:sz w:val="18"/>
                <w:szCs w:val="18"/>
              </w:rPr>
              <w:t>The county development strategy for 2020-2027 is not drafted.</w:t>
            </w:r>
          </w:p>
          <w:p w14:paraId="50F6008C" w14:textId="77777777" w:rsidR="00F90DC9" w:rsidRPr="00402580" w:rsidRDefault="00F90DC9" w:rsidP="00F90DC9">
            <w:pPr>
              <w:pStyle w:val="ListParagraph"/>
              <w:numPr>
                <w:ilvl w:val="0"/>
                <w:numId w:val="13"/>
              </w:numPr>
              <w:spacing w:line="240" w:lineRule="auto"/>
              <w:rPr>
                <w:sz w:val="18"/>
                <w:szCs w:val="18"/>
              </w:rPr>
            </w:pPr>
            <w:r w:rsidRPr="00402580">
              <w:rPr>
                <w:sz w:val="18"/>
                <w:szCs w:val="18"/>
              </w:rPr>
              <w:t>Limited capacity, lack of experience and expertise in drafting and implementing large and transregional projects, in identifying and getting access to financial instruments (other than grants). Investors and additional resources needed to address the challenges of the transition process at the regional level.</w:t>
            </w:r>
          </w:p>
          <w:p w14:paraId="087FD2D4" w14:textId="77777777" w:rsidR="00F90DC9" w:rsidRPr="00402580" w:rsidRDefault="00F90DC9" w:rsidP="00F90DC9">
            <w:pPr>
              <w:pStyle w:val="ListParagraph"/>
              <w:numPr>
                <w:ilvl w:val="0"/>
                <w:numId w:val="13"/>
              </w:numPr>
              <w:spacing w:line="240" w:lineRule="auto"/>
              <w:rPr>
                <w:sz w:val="18"/>
                <w:szCs w:val="18"/>
              </w:rPr>
            </w:pPr>
            <w:r w:rsidRPr="00402580">
              <w:rPr>
                <w:sz w:val="18"/>
                <w:szCs w:val="18"/>
              </w:rPr>
              <w:t>Deficiencies of the administration to organize proper stakeholder engagement, and ultimately achieve ownership for the transition among key stakeholders and the population at large.</w:t>
            </w:r>
          </w:p>
          <w:p w14:paraId="2AC7CBEF" w14:textId="77777777" w:rsidR="00F90DC9" w:rsidRPr="003516DC" w:rsidRDefault="00F90DC9" w:rsidP="00F90DC9">
            <w:pPr>
              <w:pStyle w:val="ListParagraph"/>
              <w:numPr>
                <w:ilvl w:val="0"/>
                <w:numId w:val="13"/>
              </w:numPr>
              <w:spacing w:line="240" w:lineRule="auto"/>
              <w:rPr>
                <w:sz w:val="18"/>
                <w:szCs w:val="18"/>
              </w:rPr>
            </w:pPr>
            <w:r w:rsidRPr="00402580">
              <w:rPr>
                <w:sz w:val="18"/>
                <w:szCs w:val="18"/>
              </w:rPr>
              <w:t>The tax distribution system is reinforcing negative demographic/ emigration trends.</w:t>
            </w:r>
            <w:r w:rsidRPr="003516DC">
              <w:rPr>
                <w:sz w:val="20"/>
                <w:szCs w:val="20"/>
              </w:rPr>
              <w:t xml:space="preserve"> </w:t>
            </w:r>
          </w:p>
        </w:tc>
      </w:tr>
      <w:tr w:rsidR="00F90DC9" w:rsidRPr="003516DC" w14:paraId="116FF19D" w14:textId="77777777" w:rsidTr="00B002A3">
        <w:trPr>
          <w:trHeight w:val="101"/>
        </w:trPr>
        <w:tc>
          <w:tcPr>
            <w:tcW w:w="5000" w:type="pct"/>
            <w:gridSpan w:val="2"/>
            <w:shd w:val="clear" w:color="auto" w:fill="E7E6E6"/>
            <w:tcMar>
              <w:top w:w="100" w:type="dxa"/>
              <w:left w:w="100" w:type="dxa"/>
              <w:bottom w:w="100" w:type="dxa"/>
              <w:right w:w="100" w:type="dxa"/>
            </w:tcMar>
            <w:vAlign w:val="center"/>
          </w:tcPr>
          <w:p w14:paraId="3FED6607" w14:textId="77777777" w:rsidR="00F90DC9" w:rsidRPr="003516DC" w:rsidRDefault="00F90DC9" w:rsidP="00964831">
            <w:pPr>
              <w:jc w:val="center"/>
              <w:rPr>
                <w:rFonts w:ascii="Arial" w:hAnsi="Arial" w:cs="Arial"/>
                <w:b/>
                <w:bCs/>
                <w:sz w:val="18"/>
                <w:szCs w:val="18"/>
              </w:rPr>
            </w:pPr>
            <w:r w:rsidRPr="003516DC">
              <w:rPr>
                <w:rFonts w:ascii="Arial" w:hAnsi="Arial" w:cs="Arial"/>
                <w:b/>
                <w:bCs/>
                <w:sz w:val="18"/>
                <w:szCs w:val="18"/>
              </w:rPr>
              <w:t>Economic &amp; Environmental</w:t>
            </w:r>
          </w:p>
        </w:tc>
      </w:tr>
      <w:tr w:rsidR="00F90DC9" w:rsidRPr="003516DC" w14:paraId="325C2AD4" w14:textId="77777777" w:rsidTr="00964831">
        <w:trPr>
          <w:trHeight w:val="1690"/>
        </w:trPr>
        <w:tc>
          <w:tcPr>
            <w:tcW w:w="2550" w:type="pct"/>
            <w:shd w:val="clear" w:color="auto" w:fill="FFFFFF" w:themeFill="background1"/>
            <w:tcMar>
              <w:top w:w="100" w:type="dxa"/>
              <w:left w:w="100" w:type="dxa"/>
              <w:bottom w:w="100" w:type="dxa"/>
              <w:right w:w="100" w:type="dxa"/>
            </w:tcMar>
          </w:tcPr>
          <w:p w14:paraId="0E94CA10" w14:textId="77777777" w:rsidR="00F90DC9" w:rsidRPr="003516DC" w:rsidRDefault="00F90DC9" w:rsidP="00F90DC9">
            <w:pPr>
              <w:pStyle w:val="ListParagraph"/>
              <w:numPr>
                <w:ilvl w:val="0"/>
                <w:numId w:val="14"/>
              </w:numPr>
              <w:spacing w:line="240" w:lineRule="auto"/>
              <w:rPr>
                <w:sz w:val="18"/>
                <w:szCs w:val="18"/>
              </w:rPr>
            </w:pPr>
            <w:r w:rsidRPr="003516DC">
              <w:rPr>
                <w:sz w:val="18"/>
                <w:szCs w:val="18"/>
              </w:rPr>
              <w:lastRenderedPageBreak/>
              <w:t>Existence of natural resources, locations and objectives with tourist potential. Available locations for business support infrastructure: business/technological parks and business incubators (although there is currently conflicting info whether such a structure is feasible in the Jiu-Valley micro-region).</w:t>
            </w:r>
          </w:p>
          <w:p w14:paraId="7D1879DC" w14:textId="77777777" w:rsidR="00F90DC9" w:rsidRPr="003516DC" w:rsidRDefault="00F90DC9" w:rsidP="00F90DC9">
            <w:pPr>
              <w:pStyle w:val="ListParagraph"/>
              <w:numPr>
                <w:ilvl w:val="0"/>
                <w:numId w:val="14"/>
              </w:numPr>
              <w:spacing w:line="240" w:lineRule="auto"/>
              <w:rPr>
                <w:sz w:val="18"/>
                <w:szCs w:val="18"/>
              </w:rPr>
            </w:pPr>
            <w:r w:rsidRPr="003516DC">
              <w:rPr>
                <w:sz w:val="18"/>
                <w:szCs w:val="18"/>
              </w:rPr>
              <w:t>Good connectivity to the main European TEN-T transportation routes: highway A1 and railway Curtici – Simeria</w:t>
            </w:r>
          </w:p>
          <w:p w14:paraId="2F07FA03" w14:textId="77777777" w:rsidR="00F90DC9" w:rsidRPr="003516DC" w:rsidRDefault="00F90DC9" w:rsidP="00F90DC9">
            <w:pPr>
              <w:pStyle w:val="ListParagraph"/>
              <w:numPr>
                <w:ilvl w:val="0"/>
                <w:numId w:val="14"/>
              </w:numPr>
              <w:spacing w:line="240" w:lineRule="auto"/>
              <w:rPr>
                <w:sz w:val="18"/>
                <w:szCs w:val="18"/>
              </w:rPr>
            </w:pPr>
            <w:r w:rsidRPr="003516DC">
              <w:rPr>
                <w:sz w:val="18"/>
                <w:szCs w:val="18"/>
              </w:rPr>
              <w:t>Potential for renewable energy plants:  Godeanu mountain – wind energy farm, Ghelari - solar energy production facility.</w:t>
            </w:r>
          </w:p>
          <w:p w14:paraId="600F2020" w14:textId="77777777" w:rsidR="00F90DC9" w:rsidRPr="003516DC" w:rsidRDefault="00F90DC9" w:rsidP="00F90DC9">
            <w:pPr>
              <w:pStyle w:val="ListParagraph"/>
              <w:numPr>
                <w:ilvl w:val="0"/>
                <w:numId w:val="15"/>
              </w:numPr>
              <w:spacing w:after="240" w:line="240" w:lineRule="auto"/>
              <w:rPr>
                <w:sz w:val="18"/>
                <w:szCs w:val="18"/>
              </w:rPr>
            </w:pPr>
            <w:r w:rsidRPr="003516DC">
              <w:rPr>
                <w:bCs/>
                <w:sz w:val="18"/>
                <w:szCs w:val="18"/>
              </w:rPr>
              <w:t>Aware</w:t>
            </w:r>
            <w:r w:rsidRPr="003516DC">
              <w:rPr>
                <w:sz w:val="18"/>
                <w:szCs w:val="18"/>
              </w:rPr>
              <w:t>ness and willingness at the level of communities and authorities for the repurposing of the contaminated industrial sites with a positive effect of reducing risks to human health and the negative impact on environment.</w:t>
            </w:r>
          </w:p>
          <w:p w14:paraId="3F506010" w14:textId="77777777" w:rsidR="00F90DC9" w:rsidRPr="003516DC" w:rsidRDefault="00F90DC9" w:rsidP="00F90DC9">
            <w:pPr>
              <w:pStyle w:val="ListParagraph"/>
              <w:numPr>
                <w:ilvl w:val="0"/>
                <w:numId w:val="15"/>
              </w:numPr>
              <w:spacing w:line="240" w:lineRule="auto"/>
              <w:rPr>
                <w:sz w:val="18"/>
                <w:szCs w:val="18"/>
              </w:rPr>
            </w:pPr>
            <w:r w:rsidRPr="003516DC">
              <w:rPr>
                <w:sz w:val="18"/>
                <w:szCs w:val="18"/>
              </w:rPr>
              <w:t>Positive local examples of effective and efficient business support infrastructure developed on formerly contaminated industrial sites (e.g., Industrial Park Hunedoara).</w:t>
            </w:r>
          </w:p>
        </w:tc>
        <w:tc>
          <w:tcPr>
            <w:tcW w:w="2450" w:type="pct"/>
            <w:shd w:val="clear" w:color="auto" w:fill="FFFFFF" w:themeFill="background1"/>
          </w:tcPr>
          <w:p w14:paraId="098229FF" w14:textId="77777777" w:rsidR="00F90DC9" w:rsidRPr="003516DC" w:rsidRDefault="00F90DC9" w:rsidP="00F90DC9">
            <w:pPr>
              <w:pStyle w:val="ListParagraph"/>
              <w:numPr>
                <w:ilvl w:val="0"/>
                <w:numId w:val="16"/>
              </w:numPr>
              <w:spacing w:line="240" w:lineRule="auto"/>
              <w:rPr>
                <w:sz w:val="18"/>
                <w:szCs w:val="18"/>
              </w:rPr>
            </w:pPr>
            <w:r w:rsidRPr="003516DC">
              <w:rPr>
                <w:sz w:val="18"/>
                <w:szCs w:val="18"/>
              </w:rPr>
              <w:t>Limited transport infrastructure and connectivity, partly due to the mountainous topography of the micro-region Jiu Valley.</w:t>
            </w:r>
          </w:p>
          <w:p w14:paraId="6191C97E" w14:textId="77777777" w:rsidR="00F90DC9" w:rsidRPr="003516DC" w:rsidRDefault="00F90DC9" w:rsidP="00F90DC9">
            <w:pPr>
              <w:pStyle w:val="ListParagraph"/>
              <w:numPr>
                <w:ilvl w:val="0"/>
                <w:numId w:val="16"/>
              </w:numPr>
              <w:spacing w:line="240" w:lineRule="auto"/>
              <w:rPr>
                <w:sz w:val="18"/>
                <w:szCs w:val="18"/>
              </w:rPr>
            </w:pPr>
            <w:r w:rsidRPr="003516DC">
              <w:rPr>
                <w:sz w:val="18"/>
                <w:szCs w:val="18"/>
              </w:rPr>
              <w:t>Lack of entrepreneurial skills and willingness to engage in entrepreneurial activities, and/or professionally reskilling of the current miners and personnel of CEH</w:t>
            </w:r>
          </w:p>
          <w:p w14:paraId="30EBC6E8" w14:textId="5955D466" w:rsidR="00F90DC9" w:rsidRPr="003516DC" w:rsidRDefault="00F90DC9" w:rsidP="00F90DC9">
            <w:pPr>
              <w:pStyle w:val="ListParagraph"/>
              <w:numPr>
                <w:ilvl w:val="0"/>
                <w:numId w:val="16"/>
              </w:numPr>
              <w:spacing w:line="240" w:lineRule="auto"/>
              <w:rPr>
                <w:sz w:val="18"/>
                <w:szCs w:val="18"/>
              </w:rPr>
            </w:pPr>
            <w:r w:rsidRPr="003516DC">
              <w:rPr>
                <w:sz w:val="18"/>
                <w:szCs w:val="18"/>
              </w:rPr>
              <w:t>Mismatch of labour force skills with the demand/job opportunities</w:t>
            </w:r>
          </w:p>
          <w:p w14:paraId="603A8DD8" w14:textId="77777777" w:rsidR="00F90DC9" w:rsidRPr="003516DC" w:rsidRDefault="00F90DC9" w:rsidP="00F90DC9">
            <w:pPr>
              <w:pStyle w:val="ListParagraph"/>
              <w:numPr>
                <w:ilvl w:val="0"/>
                <w:numId w:val="16"/>
              </w:numPr>
              <w:spacing w:line="240" w:lineRule="auto"/>
              <w:rPr>
                <w:sz w:val="18"/>
                <w:szCs w:val="18"/>
              </w:rPr>
            </w:pPr>
            <w:r w:rsidRPr="003516DC">
              <w:rPr>
                <w:sz w:val="18"/>
                <w:szCs w:val="18"/>
              </w:rPr>
              <w:t>Emigration risk due to the relative isolation of the micro-region Jiu Valley.</w:t>
            </w:r>
          </w:p>
          <w:p w14:paraId="41606FF6" w14:textId="77777777" w:rsidR="00F90DC9" w:rsidRPr="003516DC" w:rsidRDefault="00F90DC9" w:rsidP="00F90DC9">
            <w:pPr>
              <w:pStyle w:val="ListParagraph"/>
              <w:numPr>
                <w:ilvl w:val="0"/>
                <w:numId w:val="16"/>
              </w:numPr>
              <w:spacing w:line="240" w:lineRule="auto"/>
              <w:rPr>
                <w:sz w:val="18"/>
                <w:szCs w:val="18"/>
              </w:rPr>
            </w:pPr>
            <w:r w:rsidRPr="003516DC">
              <w:rPr>
                <w:sz w:val="18"/>
                <w:szCs w:val="18"/>
              </w:rPr>
              <w:t>Start-up and micro/small enterprises are reluctant and lacking necessary know-how to access and use financial instruments available, thus stay dependent on grant schemes.</w:t>
            </w:r>
          </w:p>
          <w:p w14:paraId="2BB3F7B3" w14:textId="77777777" w:rsidR="00F90DC9" w:rsidRPr="003516DC" w:rsidRDefault="00F90DC9" w:rsidP="00F90DC9">
            <w:pPr>
              <w:pStyle w:val="ListParagraph"/>
              <w:numPr>
                <w:ilvl w:val="0"/>
                <w:numId w:val="16"/>
              </w:numPr>
              <w:spacing w:line="240" w:lineRule="auto"/>
              <w:rPr>
                <w:sz w:val="18"/>
                <w:szCs w:val="18"/>
              </w:rPr>
            </w:pPr>
            <w:r w:rsidRPr="003516DC">
              <w:rPr>
                <w:sz w:val="18"/>
                <w:szCs w:val="18"/>
              </w:rPr>
              <w:t>Lack of know-how in business opportunities and business support facilities promotion.</w:t>
            </w:r>
          </w:p>
          <w:p w14:paraId="323264DF" w14:textId="77777777" w:rsidR="00F90DC9" w:rsidRPr="003516DC" w:rsidRDefault="00F90DC9" w:rsidP="00F90DC9">
            <w:pPr>
              <w:pStyle w:val="ListParagraph"/>
              <w:numPr>
                <w:ilvl w:val="0"/>
                <w:numId w:val="17"/>
              </w:numPr>
              <w:spacing w:after="240" w:line="240" w:lineRule="auto"/>
              <w:rPr>
                <w:sz w:val="18"/>
                <w:szCs w:val="18"/>
              </w:rPr>
            </w:pPr>
            <w:r w:rsidRPr="003516DC">
              <w:rPr>
                <w:sz w:val="18"/>
                <w:szCs w:val="18"/>
              </w:rPr>
              <w:t>Unclear national legislation related to the methodology of inventory, investigation, risk assessment and remediation of contaminated sites, as well as for the redevelopment of remedied sites.</w:t>
            </w:r>
          </w:p>
          <w:p w14:paraId="5254867E" w14:textId="77777777" w:rsidR="00F90DC9" w:rsidRPr="003516DC" w:rsidRDefault="00F90DC9" w:rsidP="00F90DC9">
            <w:pPr>
              <w:pStyle w:val="ListParagraph"/>
              <w:numPr>
                <w:ilvl w:val="0"/>
                <w:numId w:val="17"/>
              </w:numPr>
              <w:spacing w:after="240" w:line="240" w:lineRule="auto"/>
              <w:rPr>
                <w:sz w:val="18"/>
                <w:szCs w:val="18"/>
              </w:rPr>
            </w:pPr>
            <w:r w:rsidRPr="003516DC">
              <w:rPr>
                <w:sz w:val="18"/>
                <w:szCs w:val="18"/>
              </w:rPr>
              <w:t>Lack of mechanisms to encourage by tax incentives those operators/developers that engage in decontamination and repurposing the industrial sites.</w:t>
            </w:r>
          </w:p>
          <w:p w14:paraId="0FB8748E" w14:textId="77777777" w:rsidR="00F90DC9" w:rsidRPr="003516DC" w:rsidRDefault="00F90DC9" w:rsidP="00F90DC9">
            <w:pPr>
              <w:pStyle w:val="ListParagraph"/>
              <w:numPr>
                <w:ilvl w:val="0"/>
                <w:numId w:val="17"/>
              </w:numPr>
              <w:spacing w:line="240" w:lineRule="auto"/>
              <w:rPr>
                <w:sz w:val="18"/>
                <w:szCs w:val="18"/>
              </w:rPr>
            </w:pPr>
            <w:r w:rsidRPr="003516DC">
              <w:rPr>
                <w:sz w:val="18"/>
                <w:szCs w:val="18"/>
              </w:rPr>
              <w:t>Lack of financial resources, qualified personnel and specific know-how and for decontamination of the industrial sites.</w:t>
            </w:r>
          </w:p>
        </w:tc>
      </w:tr>
      <w:tr w:rsidR="00F90DC9" w:rsidRPr="003516DC" w14:paraId="0136B146" w14:textId="77777777" w:rsidTr="00B002A3">
        <w:trPr>
          <w:trHeight w:val="101"/>
        </w:trPr>
        <w:tc>
          <w:tcPr>
            <w:tcW w:w="5000" w:type="pct"/>
            <w:gridSpan w:val="2"/>
            <w:shd w:val="clear" w:color="auto" w:fill="E7E6E6"/>
            <w:tcMar>
              <w:top w:w="100" w:type="dxa"/>
              <w:left w:w="100" w:type="dxa"/>
              <w:bottom w:w="100" w:type="dxa"/>
              <w:right w:w="100" w:type="dxa"/>
            </w:tcMar>
            <w:vAlign w:val="center"/>
          </w:tcPr>
          <w:p w14:paraId="14E3C62F" w14:textId="77777777" w:rsidR="00F90DC9" w:rsidRPr="003516DC" w:rsidRDefault="00F90DC9" w:rsidP="00964831">
            <w:pPr>
              <w:jc w:val="center"/>
              <w:rPr>
                <w:rFonts w:ascii="Arial" w:hAnsi="Arial" w:cs="Arial"/>
                <w:b/>
                <w:sz w:val="18"/>
                <w:szCs w:val="18"/>
              </w:rPr>
            </w:pPr>
            <w:r w:rsidRPr="003516DC">
              <w:rPr>
                <w:rFonts w:ascii="Arial" w:hAnsi="Arial" w:cs="Arial"/>
                <w:b/>
                <w:sz w:val="18"/>
                <w:szCs w:val="18"/>
              </w:rPr>
              <w:t>Social &amp; Cultural</w:t>
            </w:r>
          </w:p>
        </w:tc>
      </w:tr>
      <w:tr w:rsidR="00F90DC9" w:rsidRPr="003516DC" w14:paraId="4E875843" w14:textId="77777777" w:rsidTr="00964831">
        <w:trPr>
          <w:trHeight w:val="1250"/>
        </w:trPr>
        <w:tc>
          <w:tcPr>
            <w:tcW w:w="2550" w:type="pct"/>
            <w:shd w:val="clear" w:color="auto" w:fill="auto"/>
            <w:tcMar>
              <w:top w:w="100" w:type="dxa"/>
              <w:left w:w="100" w:type="dxa"/>
              <w:bottom w:w="100" w:type="dxa"/>
              <w:right w:w="100" w:type="dxa"/>
            </w:tcMar>
          </w:tcPr>
          <w:p w14:paraId="2A3B86C0" w14:textId="611BB301" w:rsidR="00F90DC9" w:rsidRPr="003516DC" w:rsidRDefault="00F90DC9" w:rsidP="00F90DC9">
            <w:pPr>
              <w:pStyle w:val="ListParagraph"/>
              <w:numPr>
                <w:ilvl w:val="0"/>
                <w:numId w:val="18"/>
              </w:numPr>
              <w:spacing w:line="240" w:lineRule="auto"/>
              <w:rPr>
                <w:sz w:val="18"/>
                <w:szCs w:val="18"/>
              </w:rPr>
            </w:pPr>
            <w:r w:rsidRPr="003516DC">
              <w:rPr>
                <w:sz w:val="18"/>
                <w:szCs w:val="18"/>
              </w:rPr>
              <w:t>Hunedoara is the county with the highest degree of urbani</w:t>
            </w:r>
            <w:r w:rsidR="004E7B64">
              <w:rPr>
                <w:sz w:val="18"/>
                <w:szCs w:val="18"/>
              </w:rPr>
              <w:t>sation</w:t>
            </w:r>
            <w:r w:rsidRPr="003516DC">
              <w:rPr>
                <w:sz w:val="18"/>
                <w:szCs w:val="18"/>
              </w:rPr>
              <w:t xml:space="preserve"> in the country, 75% of the population lives in cities).</w:t>
            </w:r>
          </w:p>
          <w:p w14:paraId="48AD2FB2" w14:textId="77777777" w:rsidR="00F90DC9" w:rsidRPr="003516DC" w:rsidRDefault="00F90DC9" w:rsidP="00964831">
            <w:pPr>
              <w:jc w:val="both"/>
              <w:rPr>
                <w:rFonts w:ascii="Arial" w:hAnsi="Arial" w:cs="Arial"/>
                <w:sz w:val="18"/>
                <w:szCs w:val="18"/>
              </w:rPr>
            </w:pPr>
            <w:r w:rsidRPr="003516DC">
              <w:rPr>
                <w:rFonts w:ascii="Arial" w:hAnsi="Arial" w:cs="Arial"/>
                <w:sz w:val="18"/>
                <w:szCs w:val="18"/>
              </w:rPr>
              <w:t xml:space="preserve"> </w:t>
            </w:r>
          </w:p>
        </w:tc>
        <w:tc>
          <w:tcPr>
            <w:tcW w:w="2450" w:type="pct"/>
            <w:shd w:val="clear" w:color="auto" w:fill="auto"/>
            <w:tcMar>
              <w:top w:w="100" w:type="dxa"/>
              <w:left w:w="100" w:type="dxa"/>
              <w:bottom w:w="100" w:type="dxa"/>
              <w:right w:w="100" w:type="dxa"/>
            </w:tcMar>
          </w:tcPr>
          <w:p w14:paraId="370B8AA1" w14:textId="77777777" w:rsidR="00F90DC9" w:rsidRPr="003516DC" w:rsidRDefault="00F90DC9" w:rsidP="00F90DC9">
            <w:pPr>
              <w:pStyle w:val="ListParagraph"/>
              <w:numPr>
                <w:ilvl w:val="0"/>
                <w:numId w:val="18"/>
              </w:numPr>
              <w:spacing w:line="240" w:lineRule="auto"/>
              <w:jc w:val="both"/>
              <w:rPr>
                <w:sz w:val="18"/>
                <w:szCs w:val="18"/>
              </w:rPr>
            </w:pPr>
            <w:r w:rsidRPr="003516DC">
              <w:rPr>
                <w:sz w:val="18"/>
                <w:szCs w:val="18"/>
              </w:rPr>
              <w:t>Local towns are largely mono-industrial</w:t>
            </w:r>
          </w:p>
          <w:p w14:paraId="50D2253E" w14:textId="77777777" w:rsidR="00F90DC9" w:rsidRPr="003516DC" w:rsidRDefault="00F90DC9" w:rsidP="00F90DC9">
            <w:pPr>
              <w:pStyle w:val="ListParagraph"/>
              <w:numPr>
                <w:ilvl w:val="0"/>
                <w:numId w:val="18"/>
              </w:numPr>
              <w:spacing w:line="240" w:lineRule="auto"/>
              <w:jc w:val="both"/>
              <w:rPr>
                <w:sz w:val="18"/>
                <w:szCs w:val="18"/>
              </w:rPr>
            </w:pPr>
            <w:r w:rsidRPr="003516DC">
              <w:rPr>
                <w:sz w:val="18"/>
                <w:szCs w:val="18"/>
              </w:rPr>
              <w:t>Low population density, unfavourable age structure small towns with populations less than 50,000 inhabitants</w:t>
            </w:r>
          </w:p>
          <w:p w14:paraId="28EBA4CD" w14:textId="77777777" w:rsidR="00F90DC9" w:rsidRPr="003516DC" w:rsidRDefault="00F90DC9" w:rsidP="00F90DC9">
            <w:pPr>
              <w:pStyle w:val="ListParagraph"/>
              <w:numPr>
                <w:ilvl w:val="0"/>
                <w:numId w:val="18"/>
              </w:numPr>
              <w:spacing w:line="240" w:lineRule="auto"/>
              <w:jc w:val="both"/>
              <w:rPr>
                <w:sz w:val="18"/>
                <w:szCs w:val="18"/>
              </w:rPr>
            </w:pPr>
            <w:r w:rsidRPr="003516DC">
              <w:rPr>
                <w:sz w:val="18"/>
                <w:szCs w:val="18"/>
              </w:rPr>
              <w:t>The risk of poverty and social exclusion is higher in small towns, mainly in the mining areas of Jiu Valley and Brad.</w:t>
            </w:r>
          </w:p>
          <w:p w14:paraId="731E07D0" w14:textId="77777777" w:rsidR="00F90DC9" w:rsidRPr="003516DC" w:rsidRDefault="00F90DC9" w:rsidP="00F90DC9">
            <w:pPr>
              <w:pStyle w:val="ListParagraph"/>
              <w:numPr>
                <w:ilvl w:val="0"/>
                <w:numId w:val="18"/>
              </w:numPr>
              <w:spacing w:line="240" w:lineRule="auto"/>
              <w:jc w:val="both"/>
              <w:rPr>
                <w:sz w:val="18"/>
                <w:szCs w:val="18"/>
              </w:rPr>
            </w:pPr>
            <w:r w:rsidRPr="003516DC">
              <w:rPr>
                <w:sz w:val="18"/>
                <w:szCs w:val="18"/>
              </w:rPr>
              <w:t>Significant impact of layoffs and emigration.</w:t>
            </w:r>
          </w:p>
          <w:p w14:paraId="621EB15E" w14:textId="77777777" w:rsidR="00F90DC9" w:rsidRPr="003516DC" w:rsidRDefault="00F90DC9" w:rsidP="00F90DC9">
            <w:pPr>
              <w:pStyle w:val="ListParagraph"/>
              <w:numPr>
                <w:ilvl w:val="0"/>
                <w:numId w:val="18"/>
              </w:numPr>
              <w:spacing w:line="240" w:lineRule="auto"/>
              <w:jc w:val="both"/>
              <w:rPr>
                <w:sz w:val="18"/>
                <w:szCs w:val="18"/>
              </w:rPr>
            </w:pPr>
            <w:r w:rsidRPr="003516DC">
              <w:rPr>
                <w:sz w:val="18"/>
                <w:szCs w:val="18"/>
              </w:rPr>
              <w:t>Poverty areas in the mining areas, some associated with former industrial sites.</w:t>
            </w:r>
          </w:p>
        </w:tc>
      </w:tr>
      <w:tr w:rsidR="00F90DC9" w:rsidRPr="003516DC" w14:paraId="13EBC8B9" w14:textId="77777777" w:rsidTr="00B002A3">
        <w:trPr>
          <w:trHeight w:val="101"/>
        </w:trPr>
        <w:tc>
          <w:tcPr>
            <w:tcW w:w="5000" w:type="pct"/>
            <w:gridSpan w:val="2"/>
            <w:shd w:val="clear" w:color="auto" w:fill="E7E6E6"/>
            <w:tcMar>
              <w:top w:w="100" w:type="dxa"/>
              <w:left w:w="100" w:type="dxa"/>
              <w:bottom w:w="100" w:type="dxa"/>
              <w:right w:w="100" w:type="dxa"/>
            </w:tcMar>
            <w:vAlign w:val="center"/>
          </w:tcPr>
          <w:p w14:paraId="3951D882" w14:textId="77777777" w:rsidR="00F90DC9" w:rsidRPr="003516DC" w:rsidRDefault="00F90DC9" w:rsidP="00964831">
            <w:pPr>
              <w:jc w:val="center"/>
              <w:rPr>
                <w:rFonts w:ascii="Arial" w:hAnsi="Arial" w:cs="Arial"/>
                <w:b/>
                <w:sz w:val="18"/>
                <w:szCs w:val="18"/>
              </w:rPr>
            </w:pPr>
            <w:r w:rsidRPr="003516DC">
              <w:rPr>
                <w:rFonts w:ascii="Arial" w:hAnsi="Arial" w:cs="Arial"/>
                <w:b/>
                <w:sz w:val="18"/>
                <w:szCs w:val="18"/>
              </w:rPr>
              <w:t>Technological</w:t>
            </w:r>
          </w:p>
        </w:tc>
      </w:tr>
      <w:tr w:rsidR="00F90DC9" w:rsidRPr="003516DC" w14:paraId="44A4212B" w14:textId="77777777" w:rsidTr="00B002A3">
        <w:trPr>
          <w:trHeight w:val="1375"/>
        </w:trPr>
        <w:tc>
          <w:tcPr>
            <w:tcW w:w="2550" w:type="pct"/>
            <w:shd w:val="clear" w:color="auto" w:fill="auto"/>
            <w:tcMar>
              <w:top w:w="100" w:type="dxa"/>
              <w:left w:w="100" w:type="dxa"/>
              <w:bottom w:w="100" w:type="dxa"/>
              <w:right w:w="100" w:type="dxa"/>
            </w:tcMar>
          </w:tcPr>
          <w:p w14:paraId="57801E59" w14:textId="77777777" w:rsidR="00F90DC9" w:rsidRPr="003516DC" w:rsidRDefault="00F90DC9" w:rsidP="00F90DC9">
            <w:pPr>
              <w:pStyle w:val="ListParagraph"/>
              <w:numPr>
                <w:ilvl w:val="0"/>
                <w:numId w:val="19"/>
              </w:numPr>
              <w:spacing w:after="240" w:line="240" w:lineRule="auto"/>
              <w:rPr>
                <w:sz w:val="18"/>
                <w:szCs w:val="18"/>
              </w:rPr>
            </w:pPr>
            <w:r w:rsidRPr="003516DC">
              <w:rPr>
                <w:sz w:val="18"/>
                <w:szCs w:val="18"/>
              </w:rPr>
              <w:t>In terms of connectivity, Romania has among the best offers for broadband land and mobile prices across Europe.</w:t>
            </w:r>
          </w:p>
          <w:p w14:paraId="69191E90" w14:textId="77777777" w:rsidR="00F90DC9" w:rsidRPr="003516DC" w:rsidRDefault="00F90DC9" w:rsidP="00F90DC9">
            <w:pPr>
              <w:pStyle w:val="ListParagraph"/>
              <w:numPr>
                <w:ilvl w:val="0"/>
                <w:numId w:val="19"/>
              </w:numPr>
              <w:spacing w:after="240" w:line="240" w:lineRule="auto"/>
              <w:rPr>
                <w:sz w:val="18"/>
                <w:szCs w:val="18"/>
              </w:rPr>
            </w:pPr>
            <w:r w:rsidRPr="003516DC">
              <w:rPr>
                <w:sz w:val="18"/>
                <w:szCs w:val="18"/>
              </w:rPr>
              <w:t xml:space="preserve">Hunedoara county is well positioned in terms of local access to engineering graduates (from Petrosani University and Timișoara Politechnical University in Hunedoara).  </w:t>
            </w:r>
          </w:p>
        </w:tc>
        <w:tc>
          <w:tcPr>
            <w:tcW w:w="2450" w:type="pct"/>
            <w:shd w:val="clear" w:color="auto" w:fill="auto"/>
            <w:tcMar>
              <w:top w:w="100" w:type="dxa"/>
              <w:left w:w="100" w:type="dxa"/>
              <w:bottom w:w="100" w:type="dxa"/>
              <w:right w:w="100" w:type="dxa"/>
            </w:tcMar>
          </w:tcPr>
          <w:p w14:paraId="03B6592D" w14:textId="77777777" w:rsidR="00F90DC9" w:rsidRPr="003516DC" w:rsidRDefault="00F90DC9" w:rsidP="00F90DC9">
            <w:pPr>
              <w:pStyle w:val="ListParagraph"/>
              <w:numPr>
                <w:ilvl w:val="0"/>
                <w:numId w:val="19"/>
              </w:numPr>
              <w:spacing w:after="240" w:line="240" w:lineRule="auto"/>
              <w:rPr>
                <w:sz w:val="18"/>
                <w:szCs w:val="18"/>
              </w:rPr>
            </w:pPr>
            <w:r w:rsidRPr="003516DC">
              <w:rPr>
                <w:sz w:val="18"/>
                <w:szCs w:val="18"/>
              </w:rPr>
              <w:t>Romania has the lowest performance among the EU Member States in digital public services and the use of internet services.</w:t>
            </w:r>
          </w:p>
          <w:p w14:paraId="0587C52E" w14:textId="77777777" w:rsidR="00F90DC9" w:rsidRPr="003516DC" w:rsidRDefault="00F90DC9" w:rsidP="00F90DC9">
            <w:pPr>
              <w:pStyle w:val="ListParagraph"/>
              <w:numPr>
                <w:ilvl w:val="0"/>
                <w:numId w:val="19"/>
              </w:numPr>
              <w:spacing w:after="240" w:line="240" w:lineRule="auto"/>
              <w:rPr>
                <w:sz w:val="18"/>
                <w:szCs w:val="18"/>
              </w:rPr>
            </w:pPr>
            <w:r w:rsidRPr="003516DC">
              <w:rPr>
                <w:sz w:val="18"/>
                <w:szCs w:val="18"/>
              </w:rPr>
              <w:t>Almost one fifth of Romanians have never used the internet, and less than a third have at least basic digital skills.</w:t>
            </w:r>
          </w:p>
        </w:tc>
      </w:tr>
      <w:tr w:rsidR="00F90DC9" w:rsidRPr="003516DC" w14:paraId="3F3A03D8" w14:textId="77777777" w:rsidTr="00B002A3">
        <w:trPr>
          <w:trHeight w:val="97"/>
        </w:trPr>
        <w:tc>
          <w:tcPr>
            <w:tcW w:w="2550" w:type="pct"/>
            <w:shd w:val="clear" w:color="auto" w:fill="002060"/>
            <w:tcMar>
              <w:top w:w="100" w:type="dxa"/>
              <w:left w:w="100" w:type="dxa"/>
              <w:bottom w:w="100" w:type="dxa"/>
              <w:right w:w="100" w:type="dxa"/>
            </w:tcMar>
            <w:vAlign w:val="center"/>
          </w:tcPr>
          <w:p w14:paraId="679955F2" w14:textId="77777777" w:rsidR="00F90DC9" w:rsidRPr="003516DC" w:rsidRDefault="00F90DC9" w:rsidP="00964831">
            <w:pPr>
              <w:jc w:val="center"/>
              <w:rPr>
                <w:rFonts w:ascii="Arial" w:hAnsi="Arial" w:cs="Arial"/>
                <w:sz w:val="18"/>
                <w:szCs w:val="18"/>
              </w:rPr>
            </w:pPr>
            <w:r w:rsidRPr="003516DC">
              <w:rPr>
                <w:rFonts w:ascii="Arial" w:hAnsi="Arial" w:cs="Arial"/>
                <w:b/>
                <w:sz w:val="18"/>
                <w:szCs w:val="18"/>
              </w:rPr>
              <w:t>Opportunities</w:t>
            </w:r>
          </w:p>
        </w:tc>
        <w:tc>
          <w:tcPr>
            <w:tcW w:w="2450" w:type="pct"/>
            <w:shd w:val="clear" w:color="auto" w:fill="002060"/>
            <w:vAlign w:val="center"/>
          </w:tcPr>
          <w:p w14:paraId="00831144" w14:textId="77777777" w:rsidR="00F90DC9" w:rsidRPr="003516DC" w:rsidRDefault="00F90DC9" w:rsidP="00964831">
            <w:pPr>
              <w:jc w:val="center"/>
              <w:rPr>
                <w:rFonts w:ascii="Arial" w:hAnsi="Arial" w:cs="Arial"/>
                <w:sz w:val="18"/>
                <w:szCs w:val="18"/>
              </w:rPr>
            </w:pPr>
            <w:r w:rsidRPr="003516DC">
              <w:rPr>
                <w:rFonts w:ascii="Arial" w:hAnsi="Arial" w:cs="Arial"/>
                <w:b/>
                <w:sz w:val="18"/>
                <w:szCs w:val="18"/>
              </w:rPr>
              <w:t>Threats</w:t>
            </w:r>
          </w:p>
        </w:tc>
      </w:tr>
      <w:tr w:rsidR="00F90DC9" w:rsidRPr="003516DC" w14:paraId="63776AEA" w14:textId="77777777" w:rsidTr="00B002A3">
        <w:trPr>
          <w:trHeight w:val="160"/>
        </w:trPr>
        <w:tc>
          <w:tcPr>
            <w:tcW w:w="5000" w:type="pct"/>
            <w:gridSpan w:val="2"/>
            <w:shd w:val="clear" w:color="auto" w:fill="E7E6E6"/>
            <w:tcMar>
              <w:top w:w="100" w:type="dxa"/>
              <w:left w:w="100" w:type="dxa"/>
              <w:bottom w:w="100" w:type="dxa"/>
              <w:right w:w="100" w:type="dxa"/>
            </w:tcMar>
            <w:vAlign w:val="center"/>
          </w:tcPr>
          <w:p w14:paraId="2FB23A68" w14:textId="77777777" w:rsidR="00F90DC9" w:rsidRPr="003516DC" w:rsidRDefault="00F90DC9"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F90DC9" w:rsidRPr="003516DC" w14:paraId="5AC83C34" w14:textId="77777777" w:rsidTr="00B002A3">
        <w:trPr>
          <w:trHeight w:val="2410"/>
        </w:trPr>
        <w:tc>
          <w:tcPr>
            <w:tcW w:w="2550" w:type="pct"/>
            <w:shd w:val="clear" w:color="auto" w:fill="auto"/>
            <w:tcMar>
              <w:top w:w="100" w:type="dxa"/>
              <w:left w:w="100" w:type="dxa"/>
              <w:bottom w:w="100" w:type="dxa"/>
              <w:right w:w="100" w:type="dxa"/>
            </w:tcMar>
          </w:tcPr>
          <w:p w14:paraId="774D899E" w14:textId="1C831E41" w:rsidR="00F90DC9" w:rsidRPr="003516DC" w:rsidRDefault="00F90DC9" w:rsidP="00F90DC9">
            <w:pPr>
              <w:pStyle w:val="ListParagraph"/>
              <w:numPr>
                <w:ilvl w:val="0"/>
                <w:numId w:val="20"/>
              </w:numPr>
              <w:spacing w:line="240" w:lineRule="auto"/>
              <w:rPr>
                <w:sz w:val="18"/>
                <w:szCs w:val="18"/>
              </w:rPr>
            </w:pPr>
            <w:r w:rsidRPr="003516DC">
              <w:rPr>
                <w:sz w:val="18"/>
                <w:szCs w:val="18"/>
              </w:rPr>
              <w:lastRenderedPageBreak/>
              <w:t>Resources available through the JTF to finance investment and technical assistance and consultancy (Invest EU Advisory) for applicants, as well as other instruments, such as the Moderni</w:t>
            </w:r>
            <w:r w:rsidR="004E7B64">
              <w:rPr>
                <w:sz w:val="18"/>
                <w:szCs w:val="18"/>
              </w:rPr>
              <w:t>sation</w:t>
            </w:r>
            <w:r w:rsidRPr="003516DC">
              <w:rPr>
                <w:sz w:val="18"/>
                <w:szCs w:val="18"/>
              </w:rPr>
              <w:t xml:space="preserve"> Fund, PNRR (National P</w:t>
            </w:r>
            <w:r w:rsidR="00D206E5">
              <w:rPr>
                <w:sz w:val="18"/>
                <w:szCs w:val="18"/>
              </w:rPr>
              <w:t xml:space="preserve">rogramme </w:t>
            </w:r>
            <w:r w:rsidRPr="003516DC">
              <w:rPr>
                <w:sz w:val="18"/>
                <w:szCs w:val="18"/>
              </w:rPr>
              <w:t xml:space="preserve">for Recovery and Resilience), Initiative for Coal regions in transition. </w:t>
            </w:r>
          </w:p>
          <w:p w14:paraId="74A560D7" w14:textId="3FBB1170" w:rsidR="00F90DC9" w:rsidRPr="003516DC" w:rsidRDefault="00F90DC9" w:rsidP="00F90DC9">
            <w:pPr>
              <w:pStyle w:val="ListParagraph"/>
              <w:numPr>
                <w:ilvl w:val="0"/>
                <w:numId w:val="20"/>
              </w:numPr>
              <w:spacing w:line="240" w:lineRule="auto"/>
              <w:rPr>
                <w:sz w:val="18"/>
                <w:szCs w:val="18"/>
              </w:rPr>
            </w:pPr>
            <w:r w:rsidRPr="003516DC">
              <w:rPr>
                <w:sz w:val="18"/>
                <w:szCs w:val="18"/>
              </w:rPr>
              <w:t xml:space="preserve">The newly registered association “Agentia pentru Dezvoltarea Valea Jiului” may play an important role in various governance mechanism at Hunedoara </w:t>
            </w:r>
            <w:r w:rsidR="00B002A3">
              <w:rPr>
                <w:sz w:val="18"/>
                <w:szCs w:val="18"/>
              </w:rPr>
              <w:t>C</w:t>
            </w:r>
            <w:r w:rsidRPr="003516DC">
              <w:rPr>
                <w:sz w:val="18"/>
                <w:szCs w:val="18"/>
              </w:rPr>
              <w:t xml:space="preserve">ounty and replicated in other sub-regions, counties. </w:t>
            </w:r>
          </w:p>
        </w:tc>
        <w:tc>
          <w:tcPr>
            <w:tcW w:w="2450" w:type="pct"/>
            <w:shd w:val="clear" w:color="auto" w:fill="auto"/>
            <w:tcMar>
              <w:top w:w="100" w:type="dxa"/>
              <w:left w:w="100" w:type="dxa"/>
              <w:bottom w:w="100" w:type="dxa"/>
              <w:right w:w="100" w:type="dxa"/>
            </w:tcMar>
          </w:tcPr>
          <w:p w14:paraId="07810E6C" w14:textId="77777777" w:rsidR="00F90DC9" w:rsidRPr="003516DC" w:rsidRDefault="00F90DC9" w:rsidP="00F90DC9">
            <w:pPr>
              <w:pStyle w:val="ListParagraph"/>
              <w:numPr>
                <w:ilvl w:val="0"/>
                <w:numId w:val="20"/>
              </w:numPr>
              <w:spacing w:line="240" w:lineRule="auto"/>
              <w:rPr>
                <w:sz w:val="18"/>
                <w:szCs w:val="18"/>
              </w:rPr>
            </w:pPr>
            <w:r w:rsidRPr="003516DC">
              <w:rPr>
                <w:sz w:val="18"/>
                <w:szCs w:val="18"/>
              </w:rPr>
              <w:t>Lack of coordination of initiatives and project proposals - synergies and complementarities areas not explored</w:t>
            </w:r>
            <w:r w:rsidRPr="003516DC">
              <w:rPr>
                <w:rStyle w:val="FootnoteReference"/>
                <w:sz w:val="18"/>
                <w:szCs w:val="18"/>
              </w:rPr>
              <w:footnoteReference w:id="69"/>
            </w:r>
            <w:r w:rsidRPr="003516DC">
              <w:rPr>
                <w:sz w:val="18"/>
                <w:szCs w:val="18"/>
              </w:rPr>
              <w:t>.</w:t>
            </w:r>
          </w:p>
          <w:p w14:paraId="7D12F183" w14:textId="0EDED52C" w:rsidR="00F90DC9" w:rsidRPr="003516DC" w:rsidRDefault="00405C56" w:rsidP="00F90DC9">
            <w:pPr>
              <w:pStyle w:val="ListParagraph"/>
              <w:numPr>
                <w:ilvl w:val="0"/>
                <w:numId w:val="20"/>
              </w:numPr>
              <w:spacing w:line="240" w:lineRule="auto"/>
              <w:rPr>
                <w:sz w:val="18"/>
                <w:szCs w:val="18"/>
              </w:rPr>
            </w:pPr>
            <w:r>
              <w:rPr>
                <w:sz w:val="18"/>
                <w:szCs w:val="18"/>
              </w:rPr>
              <w:t>At the beginning of the process</w:t>
            </w:r>
            <w:r w:rsidR="00680AEC">
              <w:rPr>
                <w:sz w:val="18"/>
                <w:szCs w:val="18"/>
              </w:rPr>
              <w:t>,</w:t>
            </w:r>
            <w:r>
              <w:rPr>
                <w:sz w:val="18"/>
                <w:szCs w:val="18"/>
              </w:rPr>
              <w:t xml:space="preserve"> there was n</w:t>
            </w:r>
            <w:r w:rsidR="00F90DC9" w:rsidRPr="003516DC">
              <w:rPr>
                <w:sz w:val="18"/>
                <w:szCs w:val="18"/>
              </w:rPr>
              <w:t>o</w:t>
            </w:r>
            <w:r>
              <w:rPr>
                <w:sz w:val="18"/>
                <w:szCs w:val="18"/>
              </w:rPr>
              <w:t>t a</w:t>
            </w:r>
            <w:r w:rsidR="00F90DC9" w:rsidRPr="003516DC">
              <w:rPr>
                <w:sz w:val="18"/>
                <w:szCs w:val="18"/>
              </w:rPr>
              <w:t xml:space="preserve"> clear</w:t>
            </w:r>
            <w:r>
              <w:rPr>
                <w:sz w:val="18"/>
                <w:szCs w:val="18"/>
              </w:rPr>
              <w:t xml:space="preserve"> understanding of the</w:t>
            </w:r>
            <w:r w:rsidR="00F90DC9" w:rsidRPr="003516DC">
              <w:rPr>
                <w:sz w:val="18"/>
                <w:szCs w:val="18"/>
              </w:rPr>
              <w:t xml:space="preserve"> governance of the </w:t>
            </w:r>
            <w:r>
              <w:rPr>
                <w:sz w:val="18"/>
                <w:szCs w:val="18"/>
              </w:rPr>
              <w:t>T</w:t>
            </w:r>
            <w:r w:rsidR="00F90DC9" w:rsidRPr="003516DC">
              <w:rPr>
                <w:sz w:val="18"/>
                <w:szCs w:val="18"/>
              </w:rPr>
              <w:t>JTP</w:t>
            </w:r>
            <w:r>
              <w:rPr>
                <w:sz w:val="18"/>
                <w:szCs w:val="18"/>
              </w:rPr>
              <w:t xml:space="preserve"> elaboration</w:t>
            </w:r>
            <w:r w:rsidR="00F90DC9" w:rsidRPr="003516DC">
              <w:rPr>
                <w:sz w:val="18"/>
                <w:szCs w:val="18"/>
              </w:rPr>
              <w:t>, which produced confusion as to who is leading the process at local level.</w:t>
            </w:r>
          </w:p>
        </w:tc>
      </w:tr>
      <w:tr w:rsidR="00F90DC9" w:rsidRPr="003516DC" w14:paraId="6343F36E" w14:textId="77777777" w:rsidTr="00B002A3">
        <w:trPr>
          <w:trHeight w:val="97"/>
        </w:trPr>
        <w:tc>
          <w:tcPr>
            <w:tcW w:w="5000" w:type="pct"/>
            <w:gridSpan w:val="2"/>
            <w:shd w:val="clear" w:color="auto" w:fill="F2F2F2" w:themeFill="background1" w:themeFillShade="F2"/>
            <w:tcMar>
              <w:top w:w="100" w:type="dxa"/>
              <w:left w:w="100" w:type="dxa"/>
              <w:bottom w:w="100" w:type="dxa"/>
              <w:right w:w="100" w:type="dxa"/>
            </w:tcMar>
            <w:vAlign w:val="center"/>
          </w:tcPr>
          <w:p w14:paraId="4EBA7C6B" w14:textId="77777777" w:rsidR="00F90DC9" w:rsidRPr="003516DC" w:rsidRDefault="00F90DC9" w:rsidP="00964831">
            <w:pPr>
              <w:jc w:val="center"/>
              <w:rPr>
                <w:rFonts w:ascii="Arial" w:hAnsi="Arial" w:cs="Arial"/>
                <w:b/>
                <w:sz w:val="18"/>
                <w:szCs w:val="18"/>
              </w:rPr>
            </w:pPr>
            <w:r w:rsidRPr="003516DC">
              <w:rPr>
                <w:rFonts w:ascii="Arial" w:hAnsi="Arial" w:cs="Arial"/>
                <w:b/>
                <w:bCs/>
                <w:sz w:val="18"/>
                <w:szCs w:val="18"/>
              </w:rPr>
              <w:t>Economic &amp; Environmental</w:t>
            </w:r>
          </w:p>
        </w:tc>
      </w:tr>
      <w:tr w:rsidR="00F90DC9" w:rsidRPr="003516DC" w14:paraId="1B7078FB" w14:textId="77777777" w:rsidTr="00964831">
        <w:trPr>
          <w:trHeight w:val="1591"/>
        </w:trPr>
        <w:tc>
          <w:tcPr>
            <w:tcW w:w="2550" w:type="pct"/>
            <w:shd w:val="clear" w:color="auto" w:fill="auto"/>
            <w:tcMar>
              <w:top w:w="100" w:type="dxa"/>
              <w:left w:w="100" w:type="dxa"/>
              <w:bottom w:w="100" w:type="dxa"/>
              <w:right w:w="100" w:type="dxa"/>
            </w:tcMar>
          </w:tcPr>
          <w:p w14:paraId="40DEA5A4" w14:textId="77777777" w:rsidR="00F90DC9" w:rsidRPr="00FC4D24" w:rsidRDefault="00F90DC9" w:rsidP="00F90DC9">
            <w:pPr>
              <w:pStyle w:val="ListParagraph"/>
              <w:numPr>
                <w:ilvl w:val="0"/>
                <w:numId w:val="21"/>
              </w:numPr>
              <w:spacing w:line="240" w:lineRule="auto"/>
              <w:jc w:val="both"/>
              <w:rPr>
                <w:sz w:val="18"/>
                <w:szCs w:val="18"/>
              </w:rPr>
            </w:pPr>
            <w:r w:rsidRPr="00FC4D24">
              <w:rPr>
                <w:sz w:val="18"/>
                <w:szCs w:val="18"/>
              </w:rPr>
              <w:t>Complementary financial resources available for start-ups and micro-small enterprises</w:t>
            </w:r>
          </w:p>
          <w:p w14:paraId="388566E3" w14:textId="77777777" w:rsidR="00F90DC9" w:rsidRPr="00FC4D24" w:rsidRDefault="00F90DC9" w:rsidP="00F90DC9">
            <w:pPr>
              <w:pStyle w:val="ListParagraph"/>
              <w:numPr>
                <w:ilvl w:val="0"/>
                <w:numId w:val="21"/>
              </w:numPr>
              <w:spacing w:line="240" w:lineRule="auto"/>
              <w:rPr>
                <w:sz w:val="18"/>
                <w:szCs w:val="18"/>
              </w:rPr>
            </w:pPr>
            <w:r w:rsidRPr="00FC4D24">
              <w:rPr>
                <w:sz w:val="18"/>
                <w:szCs w:val="18"/>
              </w:rPr>
              <w:t>New dual vocational training and professional reconversion facilities: Deva, Petrosani.</w:t>
            </w:r>
          </w:p>
          <w:p w14:paraId="70C8D1ED" w14:textId="77777777" w:rsidR="00F90DC9" w:rsidRPr="00FC4D24" w:rsidRDefault="00F90DC9" w:rsidP="00F90DC9">
            <w:pPr>
              <w:pStyle w:val="ListParagraph"/>
              <w:numPr>
                <w:ilvl w:val="0"/>
                <w:numId w:val="21"/>
              </w:numPr>
              <w:spacing w:line="240" w:lineRule="auto"/>
              <w:rPr>
                <w:sz w:val="18"/>
                <w:szCs w:val="18"/>
              </w:rPr>
            </w:pPr>
            <w:r w:rsidRPr="00FC4D24">
              <w:rPr>
                <w:sz w:val="18"/>
                <w:szCs w:val="18"/>
              </w:rPr>
              <w:t>Initiative for participative governance with involvement of a large spectrum of stakeholders in the design, contacting, implementation and impact evaluation of the selected projects funded under JTP.</w:t>
            </w:r>
          </w:p>
          <w:p w14:paraId="632A6B87" w14:textId="77777777" w:rsidR="00F90DC9" w:rsidRPr="00402580" w:rsidRDefault="00F90DC9" w:rsidP="00F90DC9">
            <w:pPr>
              <w:pStyle w:val="ListParagraph"/>
              <w:numPr>
                <w:ilvl w:val="0"/>
                <w:numId w:val="21"/>
              </w:numPr>
              <w:spacing w:line="240" w:lineRule="auto"/>
              <w:rPr>
                <w:sz w:val="18"/>
                <w:szCs w:val="18"/>
              </w:rPr>
            </w:pPr>
            <w:r w:rsidRPr="00402580">
              <w:rPr>
                <w:sz w:val="18"/>
                <w:szCs w:val="18"/>
              </w:rPr>
              <w:t>Return of the temporary migrants to invest and develop sectors with growth potential.</w:t>
            </w:r>
          </w:p>
          <w:p w14:paraId="6D6C12C0" w14:textId="77777777" w:rsidR="00F90DC9" w:rsidRPr="00FC4D24" w:rsidRDefault="00F90DC9" w:rsidP="00F90DC9">
            <w:pPr>
              <w:pStyle w:val="ListParagraph"/>
              <w:numPr>
                <w:ilvl w:val="0"/>
                <w:numId w:val="22"/>
              </w:numPr>
              <w:spacing w:after="240" w:line="240" w:lineRule="auto"/>
              <w:rPr>
                <w:sz w:val="18"/>
                <w:szCs w:val="18"/>
              </w:rPr>
            </w:pPr>
            <w:r w:rsidRPr="00FC4D24">
              <w:rPr>
                <w:sz w:val="18"/>
                <w:szCs w:val="18"/>
              </w:rPr>
              <w:t>The existence at European and international level of clear legislation on brownfields.</w:t>
            </w:r>
          </w:p>
          <w:p w14:paraId="6618417D" w14:textId="77777777" w:rsidR="00F90DC9" w:rsidRPr="00FC4D24" w:rsidRDefault="00F90DC9" w:rsidP="00F90DC9">
            <w:pPr>
              <w:pStyle w:val="ListParagraph"/>
              <w:numPr>
                <w:ilvl w:val="0"/>
                <w:numId w:val="22"/>
              </w:numPr>
              <w:spacing w:after="240" w:line="240" w:lineRule="auto"/>
              <w:rPr>
                <w:sz w:val="18"/>
                <w:szCs w:val="18"/>
              </w:rPr>
            </w:pPr>
            <w:r w:rsidRPr="00FC4D24">
              <w:rPr>
                <w:sz w:val="18"/>
                <w:szCs w:val="18"/>
              </w:rPr>
              <w:t>The return to the economic circuit of sites, through the elimination/reduction of contamination to acceptable levels from the perspective of risks and repurposing of industrial sites can bring benefits to the community: jobs, economic growth/recovery through the transformation of the former industrial platforms into industrial parks, business/technological parks or incubators.</w:t>
            </w:r>
          </w:p>
          <w:p w14:paraId="4B954E6C" w14:textId="77777777" w:rsidR="00F90DC9" w:rsidRPr="00FC4D24" w:rsidRDefault="00F90DC9" w:rsidP="00F90DC9">
            <w:pPr>
              <w:pStyle w:val="ListParagraph"/>
              <w:numPr>
                <w:ilvl w:val="0"/>
                <w:numId w:val="22"/>
              </w:numPr>
              <w:spacing w:after="240" w:line="240" w:lineRule="auto"/>
              <w:rPr>
                <w:sz w:val="18"/>
                <w:szCs w:val="18"/>
              </w:rPr>
            </w:pPr>
            <w:r w:rsidRPr="00FC4D24">
              <w:rPr>
                <w:sz w:val="18"/>
                <w:szCs w:val="18"/>
              </w:rPr>
              <w:t>Restoring environmental factors improves the appearance of localities, increases their attractiveness.</w:t>
            </w:r>
          </w:p>
          <w:p w14:paraId="39EE624C" w14:textId="77777777" w:rsidR="00F90DC9" w:rsidRPr="00FC4D24" w:rsidRDefault="00F90DC9" w:rsidP="00F90DC9">
            <w:pPr>
              <w:pStyle w:val="ListParagraph"/>
              <w:numPr>
                <w:ilvl w:val="0"/>
                <w:numId w:val="22"/>
              </w:numPr>
              <w:spacing w:after="240" w:line="240" w:lineRule="auto"/>
              <w:rPr>
                <w:sz w:val="18"/>
                <w:szCs w:val="18"/>
              </w:rPr>
            </w:pPr>
            <w:r w:rsidRPr="00FC4D24">
              <w:rPr>
                <w:sz w:val="18"/>
                <w:szCs w:val="18"/>
              </w:rPr>
              <w:t>The decontamination of the former industrial sites creates the prerequisites for the development of the real estate market in the area, but also for the development of business opportunities in remediation for Romanian companies, and accentuates the urban regeneration of the areas affected by contamination.</w:t>
            </w:r>
          </w:p>
          <w:p w14:paraId="093DC804" w14:textId="5A914DF4" w:rsidR="00F90DC9" w:rsidRPr="003516DC" w:rsidRDefault="00F90DC9" w:rsidP="00F90DC9">
            <w:pPr>
              <w:pStyle w:val="ListParagraph"/>
              <w:numPr>
                <w:ilvl w:val="0"/>
                <w:numId w:val="22"/>
              </w:numPr>
              <w:spacing w:after="240" w:line="240" w:lineRule="auto"/>
              <w:rPr>
                <w:sz w:val="18"/>
                <w:szCs w:val="18"/>
              </w:rPr>
            </w:pPr>
            <w:r w:rsidRPr="00FC4D24">
              <w:rPr>
                <w:sz w:val="18"/>
                <w:szCs w:val="18"/>
              </w:rPr>
              <w:t>Availability of resources and financial instruments in the 2020-2027 programming period from JTF, Moderni</w:t>
            </w:r>
            <w:r w:rsidR="004E7B64">
              <w:rPr>
                <w:sz w:val="18"/>
                <w:szCs w:val="18"/>
              </w:rPr>
              <w:t>sation</w:t>
            </w:r>
            <w:r w:rsidRPr="00FC4D24">
              <w:rPr>
                <w:sz w:val="18"/>
                <w:szCs w:val="18"/>
              </w:rPr>
              <w:t xml:space="preserve"> Fund, Recovery and Resilience Program, Environmental p</w:t>
            </w:r>
            <w:r w:rsidR="00D206E5">
              <w:rPr>
                <w:sz w:val="18"/>
                <w:szCs w:val="18"/>
              </w:rPr>
              <w:t>rogrammes</w:t>
            </w:r>
            <w:r w:rsidRPr="00FC4D24">
              <w:rPr>
                <w:sz w:val="18"/>
                <w:szCs w:val="18"/>
              </w:rPr>
              <w:t>.</w:t>
            </w:r>
          </w:p>
        </w:tc>
        <w:tc>
          <w:tcPr>
            <w:tcW w:w="2450" w:type="pct"/>
            <w:shd w:val="clear" w:color="auto" w:fill="auto"/>
            <w:tcMar>
              <w:top w:w="100" w:type="dxa"/>
              <w:left w:w="100" w:type="dxa"/>
              <w:bottom w:w="100" w:type="dxa"/>
              <w:right w:w="100" w:type="dxa"/>
            </w:tcMar>
          </w:tcPr>
          <w:p w14:paraId="222F0318"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Perceived by investors and entrepreneurs as difficult and dangerous environment for business activities (violent miners strikes and demonstrations, extreme poverty, corruption).</w:t>
            </w:r>
          </w:p>
          <w:p w14:paraId="009667B2"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JTF timing constrains as the selected projects’ implementation is limited until 2027.</w:t>
            </w:r>
          </w:p>
          <w:p w14:paraId="2514BF14"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Risk of poor governance and political interference in the JTF governance, similar to the ITI Delta Dunarii.</w:t>
            </w:r>
          </w:p>
          <w:p w14:paraId="27F32A93"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Lack of incentives for FDI/ LDI the intensity of aid 35% (as part of RV region).</w:t>
            </w:r>
          </w:p>
          <w:p w14:paraId="36B5133F"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Disputes on the land and territories among the municipalities, companies, other state institutions (ROMSILVA), lack of clear ownership rights on the land for renewable energy plants, business park locations.</w:t>
            </w:r>
          </w:p>
          <w:p w14:paraId="5BB01ECE" w14:textId="77777777" w:rsidR="00F90DC9" w:rsidRPr="003516DC" w:rsidRDefault="00F90DC9" w:rsidP="00F90DC9">
            <w:pPr>
              <w:pStyle w:val="ListParagraph"/>
              <w:numPr>
                <w:ilvl w:val="0"/>
                <w:numId w:val="23"/>
              </w:numPr>
              <w:spacing w:line="240" w:lineRule="auto"/>
              <w:rPr>
                <w:bCs/>
                <w:sz w:val="18"/>
                <w:szCs w:val="18"/>
              </w:rPr>
            </w:pPr>
            <w:r w:rsidRPr="003516DC">
              <w:rPr>
                <w:bCs/>
                <w:sz w:val="18"/>
                <w:szCs w:val="18"/>
              </w:rPr>
              <w:t>Incoherence in administrative decisions. e.g., architectural common characteristics of the tourism infrastructure (hotels and restaurants), parking facilities, tourists/visitors transportation, integrated promotional activities of the touristic objectives, cultural events, etc.</w:t>
            </w:r>
          </w:p>
          <w:p w14:paraId="0E9AAEF0" w14:textId="77777777" w:rsidR="00F90DC9" w:rsidRPr="003516DC" w:rsidRDefault="00F90DC9" w:rsidP="00F90DC9">
            <w:pPr>
              <w:pStyle w:val="ListParagraph"/>
              <w:numPr>
                <w:ilvl w:val="0"/>
                <w:numId w:val="24"/>
              </w:numPr>
              <w:spacing w:line="240" w:lineRule="auto"/>
              <w:rPr>
                <w:bCs/>
                <w:sz w:val="18"/>
                <w:szCs w:val="18"/>
              </w:rPr>
            </w:pPr>
            <w:r w:rsidRPr="003516DC">
              <w:rPr>
                <w:bCs/>
                <w:sz w:val="18"/>
                <w:szCs w:val="18"/>
              </w:rPr>
              <w:t>There is no clear and precise general methodology to remedy soil and groundwater contamination, which does not lead to a sustainable remediation of contaminated sites.</w:t>
            </w:r>
          </w:p>
          <w:p w14:paraId="5F35E874" w14:textId="303C9D8D" w:rsidR="00F90DC9" w:rsidRPr="003516DC" w:rsidRDefault="00F90DC9" w:rsidP="00F90DC9">
            <w:pPr>
              <w:pStyle w:val="ListParagraph"/>
              <w:numPr>
                <w:ilvl w:val="0"/>
                <w:numId w:val="24"/>
              </w:numPr>
              <w:spacing w:line="240" w:lineRule="auto"/>
              <w:rPr>
                <w:b/>
                <w:sz w:val="18"/>
                <w:szCs w:val="18"/>
              </w:rPr>
            </w:pPr>
            <w:r w:rsidRPr="003516DC">
              <w:rPr>
                <w:bCs/>
                <w:sz w:val="18"/>
                <w:szCs w:val="18"/>
              </w:rPr>
              <w:t>Due to the unclear property rights of the contaminated industrial sites, there is a risk that certain sites to not be eligible for finance from the p</w:t>
            </w:r>
            <w:r w:rsidR="00D206E5">
              <w:rPr>
                <w:bCs/>
                <w:sz w:val="18"/>
                <w:szCs w:val="18"/>
              </w:rPr>
              <w:t>rogrammes</w:t>
            </w:r>
            <w:r w:rsidRPr="003516DC">
              <w:rPr>
                <w:bCs/>
                <w:sz w:val="18"/>
                <w:szCs w:val="18"/>
              </w:rPr>
              <w:t>.</w:t>
            </w:r>
          </w:p>
          <w:p w14:paraId="32239DFB" w14:textId="77777777" w:rsidR="00F90DC9" w:rsidRPr="003516DC" w:rsidRDefault="00F90DC9" w:rsidP="00F90DC9">
            <w:pPr>
              <w:pStyle w:val="ListParagraph"/>
              <w:numPr>
                <w:ilvl w:val="0"/>
                <w:numId w:val="24"/>
              </w:numPr>
              <w:spacing w:line="240" w:lineRule="auto"/>
              <w:rPr>
                <w:b/>
                <w:sz w:val="18"/>
                <w:szCs w:val="18"/>
              </w:rPr>
            </w:pPr>
            <w:r w:rsidRPr="003516DC">
              <w:rPr>
                <w:bCs/>
                <w:sz w:val="18"/>
                <w:szCs w:val="18"/>
              </w:rPr>
              <w:t>Lack of transparency in decisions taken on the financing of sites’ decontamination and repurposing projects.</w:t>
            </w:r>
          </w:p>
        </w:tc>
      </w:tr>
      <w:tr w:rsidR="00F90DC9" w:rsidRPr="003516DC" w14:paraId="144C9DDE" w14:textId="77777777" w:rsidTr="00B002A3">
        <w:trPr>
          <w:trHeight w:val="101"/>
        </w:trPr>
        <w:tc>
          <w:tcPr>
            <w:tcW w:w="5000" w:type="pct"/>
            <w:gridSpan w:val="2"/>
            <w:shd w:val="clear" w:color="auto" w:fill="F2F2F2" w:themeFill="background1" w:themeFillShade="F2"/>
            <w:tcMar>
              <w:top w:w="100" w:type="dxa"/>
              <w:left w:w="100" w:type="dxa"/>
              <w:bottom w:w="100" w:type="dxa"/>
              <w:right w:w="100" w:type="dxa"/>
            </w:tcMar>
            <w:vAlign w:val="center"/>
          </w:tcPr>
          <w:p w14:paraId="44DE0402" w14:textId="77777777" w:rsidR="00F90DC9" w:rsidRPr="003516DC" w:rsidRDefault="00F90DC9" w:rsidP="00964831">
            <w:pPr>
              <w:jc w:val="center"/>
              <w:rPr>
                <w:rFonts w:ascii="Arial" w:hAnsi="Arial" w:cs="Arial"/>
                <w:b/>
                <w:bCs/>
                <w:i/>
                <w:iCs/>
                <w:color w:val="0070C0"/>
                <w:sz w:val="18"/>
                <w:szCs w:val="18"/>
              </w:rPr>
            </w:pPr>
            <w:r w:rsidRPr="003516DC">
              <w:rPr>
                <w:rFonts w:ascii="Arial" w:hAnsi="Arial" w:cs="Arial"/>
                <w:b/>
                <w:bCs/>
                <w:sz w:val="18"/>
                <w:szCs w:val="18"/>
              </w:rPr>
              <w:t>Social &amp; Cultural</w:t>
            </w:r>
          </w:p>
        </w:tc>
      </w:tr>
      <w:tr w:rsidR="00F90DC9" w:rsidRPr="003516DC" w14:paraId="3AEB0920" w14:textId="77777777" w:rsidTr="00964831">
        <w:trPr>
          <w:trHeight w:val="490"/>
        </w:trPr>
        <w:tc>
          <w:tcPr>
            <w:tcW w:w="2550" w:type="pct"/>
            <w:shd w:val="clear" w:color="auto" w:fill="auto"/>
            <w:tcMar>
              <w:top w:w="100" w:type="dxa"/>
              <w:left w:w="100" w:type="dxa"/>
              <w:bottom w:w="100" w:type="dxa"/>
              <w:right w:w="100" w:type="dxa"/>
            </w:tcMar>
          </w:tcPr>
          <w:p w14:paraId="5A50F8A8" w14:textId="77777777" w:rsidR="00F90DC9" w:rsidRPr="003516DC" w:rsidRDefault="00F90DC9" w:rsidP="00F90DC9">
            <w:pPr>
              <w:pStyle w:val="ListParagraph"/>
              <w:numPr>
                <w:ilvl w:val="0"/>
                <w:numId w:val="25"/>
              </w:numPr>
              <w:spacing w:line="240" w:lineRule="auto"/>
              <w:rPr>
                <w:bCs/>
                <w:sz w:val="18"/>
                <w:szCs w:val="18"/>
              </w:rPr>
            </w:pPr>
            <w:r w:rsidRPr="003516DC">
              <w:rPr>
                <w:bCs/>
                <w:sz w:val="18"/>
                <w:szCs w:val="18"/>
              </w:rPr>
              <w:t>There is a growing interest of the local civil society organisations and individuals in participating in the decision-making process on economic and social development and environmental projects.</w:t>
            </w:r>
          </w:p>
          <w:p w14:paraId="6F6028E8" w14:textId="77777777" w:rsidR="00F90DC9" w:rsidRPr="003516DC" w:rsidRDefault="00F90DC9" w:rsidP="00F90DC9">
            <w:pPr>
              <w:pStyle w:val="ListParagraph"/>
              <w:numPr>
                <w:ilvl w:val="0"/>
                <w:numId w:val="25"/>
              </w:numPr>
              <w:spacing w:line="240" w:lineRule="auto"/>
              <w:rPr>
                <w:bCs/>
                <w:sz w:val="18"/>
                <w:szCs w:val="18"/>
              </w:rPr>
            </w:pPr>
            <w:r w:rsidRPr="003516DC">
              <w:rPr>
                <w:bCs/>
                <w:sz w:val="18"/>
                <w:szCs w:val="18"/>
              </w:rPr>
              <w:t>Inclusion of the mine sites after conservation into the world industrial heritage as touristic attractions.</w:t>
            </w:r>
          </w:p>
        </w:tc>
        <w:tc>
          <w:tcPr>
            <w:tcW w:w="2450" w:type="pct"/>
            <w:shd w:val="clear" w:color="auto" w:fill="auto"/>
            <w:tcMar>
              <w:top w:w="100" w:type="dxa"/>
              <w:left w:w="100" w:type="dxa"/>
              <w:bottom w:w="100" w:type="dxa"/>
              <w:right w:w="100" w:type="dxa"/>
            </w:tcMar>
          </w:tcPr>
          <w:p w14:paraId="570E515A" w14:textId="77777777" w:rsidR="00F90DC9" w:rsidRPr="003516DC" w:rsidRDefault="00F90DC9" w:rsidP="00F90DC9">
            <w:pPr>
              <w:pStyle w:val="ListParagraph"/>
              <w:numPr>
                <w:ilvl w:val="0"/>
                <w:numId w:val="25"/>
              </w:numPr>
              <w:spacing w:line="240" w:lineRule="auto"/>
              <w:rPr>
                <w:bCs/>
                <w:sz w:val="18"/>
                <w:szCs w:val="18"/>
              </w:rPr>
            </w:pPr>
            <w:r w:rsidRPr="003516DC">
              <w:rPr>
                <w:bCs/>
                <w:sz w:val="18"/>
                <w:szCs w:val="18"/>
              </w:rPr>
              <w:t>Migration of qualified youth encouraged by families and friends to larger cities in the region (Timișoara, Deva) or abroad, for a better quality of life, professional opportunities.</w:t>
            </w:r>
          </w:p>
          <w:p w14:paraId="5B53DA50" w14:textId="77777777" w:rsidR="00F90DC9" w:rsidRPr="003516DC" w:rsidRDefault="00F90DC9" w:rsidP="00F90DC9">
            <w:pPr>
              <w:pStyle w:val="ListParagraph"/>
              <w:numPr>
                <w:ilvl w:val="0"/>
                <w:numId w:val="25"/>
              </w:numPr>
              <w:spacing w:line="240" w:lineRule="auto"/>
              <w:rPr>
                <w:bCs/>
                <w:sz w:val="18"/>
                <w:szCs w:val="18"/>
              </w:rPr>
            </w:pPr>
            <w:r w:rsidRPr="003516DC">
              <w:rPr>
                <w:bCs/>
                <w:sz w:val="18"/>
                <w:szCs w:val="18"/>
              </w:rPr>
              <w:t>Reluctance of the former mining-energy sector employees to re-qualify and actively search for jobs.</w:t>
            </w:r>
            <w:r w:rsidRPr="003516DC">
              <w:rPr>
                <w:bCs/>
                <w:i/>
                <w:iCs/>
                <w:color w:val="0070C0"/>
                <w:sz w:val="18"/>
                <w:szCs w:val="18"/>
              </w:rPr>
              <w:t xml:space="preserve">   </w:t>
            </w:r>
          </w:p>
        </w:tc>
      </w:tr>
      <w:tr w:rsidR="00F90DC9" w:rsidRPr="003516DC" w14:paraId="101D52EC" w14:textId="77777777" w:rsidTr="00B002A3">
        <w:trPr>
          <w:trHeight w:val="101"/>
        </w:trPr>
        <w:tc>
          <w:tcPr>
            <w:tcW w:w="5000" w:type="pct"/>
            <w:gridSpan w:val="2"/>
            <w:shd w:val="clear" w:color="auto" w:fill="F2F2F2" w:themeFill="background1" w:themeFillShade="F2"/>
            <w:tcMar>
              <w:top w:w="100" w:type="dxa"/>
              <w:left w:w="100" w:type="dxa"/>
              <w:bottom w:w="100" w:type="dxa"/>
              <w:right w:w="100" w:type="dxa"/>
            </w:tcMar>
            <w:vAlign w:val="center"/>
          </w:tcPr>
          <w:p w14:paraId="65C9F733" w14:textId="77777777" w:rsidR="00F90DC9" w:rsidRPr="003516DC" w:rsidRDefault="00F90DC9" w:rsidP="00964831">
            <w:pPr>
              <w:jc w:val="center"/>
              <w:rPr>
                <w:rFonts w:ascii="Arial" w:hAnsi="Arial" w:cs="Arial"/>
                <w:b/>
                <w:bCs/>
                <w:i/>
                <w:iCs/>
                <w:color w:val="0070C0"/>
                <w:sz w:val="18"/>
                <w:szCs w:val="18"/>
              </w:rPr>
            </w:pPr>
            <w:r w:rsidRPr="003516DC">
              <w:rPr>
                <w:rFonts w:ascii="Arial" w:hAnsi="Arial" w:cs="Arial"/>
                <w:b/>
                <w:bCs/>
                <w:sz w:val="18"/>
                <w:szCs w:val="18"/>
              </w:rPr>
              <w:lastRenderedPageBreak/>
              <w:t>Technological</w:t>
            </w:r>
          </w:p>
        </w:tc>
      </w:tr>
      <w:tr w:rsidR="00F90DC9" w:rsidRPr="003516DC" w14:paraId="0AA63821" w14:textId="77777777" w:rsidTr="00964831">
        <w:trPr>
          <w:trHeight w:val="490"/>
        </w:trPr>
        <w:tc>
          <w:tcPr>
            <w:tcW w:w="2550" w:type="pct"/>
            <w:shd w:val="clear" w:color="auto" w:fill="auto"/>
            <w:tcMar>
              <w:top w:w="100" w:type="dxa"/>
              <w:left w:w="100" w:type="dxa"/>
              <w:bottom w:w="100" w:type="dxa"/>
              <w:right w:w="100" w:type="dxa"/>
            </w:tcMar>
          </w:tcPr>
          <w:p w14:paraId="5002D0B8" w14:textId="77777777" w:rsidR="00F90DC9" w:rsidRPr="003516DC" w:rsidRDefault="00F90DC9" w:rsidP="00F90DC9">
            <w:pPr>
              <w:pStyle w:val="ListParagraph"/>
              <w:numPr>
                <w:ilvl w:val="0"/>
                <w:numId w:val="26"/>
              </w:numPr>
              <w:spacing w:line="240" w:lineRule="auto"/>
              <w:rPr>
                <w:sz w:val="18"/>
                <w:szCs w:val="18"/>
              </w:rPr>
            </w:pPr>
            <w:r w:rsidRPr="003516DC">
              <w:rPr>
                <w:sz w:val="18"/>
                <w:szCs w:val="18"/>
              </w:rPr>
              <w:t>E-commerce in Romania grew 30%, it represents the highest growth in Europe for the second consecutive year, demonstrating the huge potential for developing online stores in the country.</w:t>
            </w:r>
          </w:p>
          <w:p w14:paraId="170E0A66" w14:textId="77777777" w:rsidR="00F90DC9" w:rsidRPr="003516DC" w:rsidRDefault="00F90DC9" w:rsidP="00F90DC9">
            <w:pPr>
              <w:pStyle w:val="ListParagraph"/>
              <w:numPr>
                <w:ilvl w:val="0"/>
                <w:numId w:val="26"/>
              </w:numPr>
              <w:spacing w:line="240" w:lineRule="auto"/>
              <w:rPr>
                <w:bCs/>
                <w:i/>
                <w:iCs/>
                <w:sz w:val="18"/>
                <w:szCs w:val="18"/>
              </w:rPr>
            </w:pPr>
            <w:r w:rsidRPr="003516DC">
              <w:rPr>
                <w:sz w:val="18"/>
                <w:szCs w:val="18"/>
              </w:rPr>
              <w:t>The companies are perceiving benefits of integrating the digitisation process as a competitive advantage that reduces costs and simplifies processes.</w:t>
            </w:r>
          </w:p>
        </w:tc>
        <w:tc>
          <w:tcPr>
            <w:tcW w:w="2450" w:type="pct"/>
            <w:shd w:val="clear" w:color="auto" w:fill="auto"/>
            <w:tcMar>
              <w:top w:w="100" w:type="dxa"/>
              <w:left w:w="100" w:type="dxa"/>
              <w:bottom w:w="100" w:type="dxa"/>
              <w:right w:w="100" w:type="dxa"/>
            </w:tcMar>
          </w:tcPr>
          <w:p w14:paraId="10B19F95" w14:textId="2B69018F" w:rsidR="00F90DC9" w:rsidRPr="003516DC" w:rsidRDefault="00F90DC9" w:rsidP="00F90DC9">
            <w:pPr>
              <w:pStyle w:val="ListParagraph"/>
              <w:numPr>
                <w:ilvl w:val="0"/>
                <w:numId w:val="26"/>
              </w:numPr>
              <w:spacing w:line="240" w:lineRule="auto"/>
              <w:rPr>
                <w:sz w:val="18"/>
                <w:szCs w:val="18"/>
              </w:rPr>
            </w:pPr>
            <w:r w:rsidRPr="003516DC">
              <w:rPr>
                <w:sz w:val="18"/>
                <w:szCs w:val="18"/>
              </w:rPr>
              <w:t>According to the Barometer of digitisation in Romania 2018, a large share of companies says that the main obstacle to digiti</w:t>
            </w:r>
            <w:r w:rsidR="004E7B64">
              <w:rPr>
                <w:sz w:val="18"/>
                <w:szCs w:val="18"/>
              </w:rPr>
              <w:t>sation</w:t>
            </w:r>
            <w:r w:rsidRPr="003516DC">
              <w:rPr>
                <w:sz w:val="18"/>
                <w:szCs w:val="18"/>
              </w:rPr>
              <w:t xml:space="preserve"> is the fact that they do not have 'digital' consumers (40% in 2018 vs. 55% in 2017).</w:t>
            </w:r>
          </w:p>
          <w:p w14:paraId="0943D745" w14:textId="77777777" w:rsidR="00F90DC9" w:rsidRPr="003516DC" w:rsidRDefault="00F90DC9" w:rsidP="00F90DC9">
            <w:pPr>
              <w:pStyle w:val="ListParagraph"/>
              <w:numPr>
                <w:ilvl w:val="0"/>
                <w:numId w:val="26"/>
              </w:numPr>
              <w:spacing w:line="240" w:lineRule="auto"/>
              <w:rPr>
                <w:bCs/>
                <w:i/>
                <w:iCs/>
                <w:sz w:val="18"/>
                <w:szCs w:val="18"/>
              </w:rPr>
            </w:pPr>
            <w:r w:rsidRPr="003516DC">
              <w:rPr>
                <w:sz w:val="18"/>
                <w:szCs w:val="18"/>
              </w:rPr>
              <w:t>The technology/innovations used by foreign investors is not developed in the companies located in the Hunedoara business parks; it is brought from abroad and used as a competitive advantage.</w:t>
            </w:r>
          </w:p>
        </w:tc>
      </w:tr>
    </w:tbl>
    <w:p w14:paraId="003F419B" w14:textId="0BCDD2A9" w:rsidR="00F90DC9" w:rsidRPr="003516DC" w:rsidRDefault="00F90DC9" w:rsidP="00B002A3">
      <w:pPr>
        <w:spacing w:before="120" w:after="120"/>
        <w:rPr>
          <w:rFonts w:ascii="Arial" w:hAnsi="Arial" w:cs="Arial"/>
          <w:bCs/>
          <w:i/>
          <w:iCs/>
          <w:color w:val="0070C0"/>
          <w:sz w:val="20"/>
          <w:szCs w:val="20"/>
        </w:rPr>
      </w:pPr>
      <w:r w:rsidRPr="003516DC">
        <w:rPr>
          <w:rFonts w:ascii="Arial" w:hAnsi="Arial" w:cs="Arial"/>
          <w:bCs/>
          <w:i/>
          <w:iCs/>
          <w:color w:val="0070C0"/>
          <w:sz w:val="20"/>
          <w:szCs w:val="20"/>
        </w:rPr>
        <w:t>Strategic outlook</w:t>
      </w:r>
    </w:p>
    <w:p w14:paraId="2F499B7D" w14:textId="72175B0F" w:rsidR="00F90DC9" w:rsidRPr="003516DC" w:rsidRDefault="00F90DC9" w:rsidP="00B002A3">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 xml:space="preserve">At the moment, Hunedoara appears to be a stagnant region. It has the lowest GDP growth rate in all the six affected counties, and it has the strongest demographic decline (in general and especially of the working age population). Unemployment is low, which means that the local economy has been absorbing the various waves of industrial restructuring that have marked the county in past decades. However, data also shows that a lot of the population migrated, either internally or abroad. </w:t>
      </w:r>
    </w:p>
    <w:p w14:paraId="40FDDAF5" w14:textId="050D3B19" w:rsidR="00F90DC9" w:rsidRPr="003516DC" w:rsidRDefault="00F90DC9" w:rsidP="00B002A3">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Given the technological and the economic parameters of local mining and coal-fired energy production, the JTF is considered by local stakeholders as the last chance for Hunedoara to close its transition positively and lay the base for a new sustainable development of the county. The closure of the last coal mines and coal-fired energy production plants is expected to occur before the end of the decade and Hunedoara now has immense opportunities that lie ahead</w:t>
      </w:r>
      <w:r w:rsidR="00FC4D24">
        <w:rPr>
          <w:rFonts w:ascii="Arial" w:hAnsi="Arial" w:cs="Arial"/>
          <w:color w:val="000000"/>
          <w:sz w:val="20"/>
          <w:szCs w:val="20"/>
          <w:shd w:val="clear" w:color="auto" w:fill="FFFFFF"/>
        </w:rPr>
        <w:t>. In addition to the</w:t>
      </w:r>
      <w:r w:rsidRPr="003516DC">
        <w:rPr>
          <w:rFonts w:ascii="Arial" w:hAnsi="Arial" w:cs="Arial"/>
          <w:color w:val="000000"/>
          <w:sz w:val="20"/>
          <w:szCs w:val="20"/>
          <w:shd w:val="clear" w:color="auto" w:fill="FFFFFF"/>
        </w:rPr>
        <w:t xml:space="preserve"> JTF, </w:t>
      </w:r>
      <w:r w:rsidR="00FC4D24">
        <w:rPr>
          <w:rFonts w:ascii="Arial" w:hAnsi="Arial" w:cs="Arial"/>
          <w:color w:val="000000"/>
          <w:sz w:val="20"/>
          <w:szCs w:val="20"/>
          <w:shd w:val="clear" w:color="auto" w:fill="FFFFFF"/>
        </w:rPr>
        <w:t>other opportunities include</w:t>
      </w:r>
      <w:r w:rsidR="00FC4D24" w:rsidRPr="003516DC">
        <w:rPr>
          <w:rFonts w:ascii="Arial" w:hAnsi="Arial" w:cs="Arial"/>
          <w:color w:val="000000"/>
          <w:sz w:val="20"/>
          <w:szCs w:val="20"/>
          <w:shd w:val="clear" w:color="auto" w:fill="FFFFFF"/>
        </w:rPr>
        <w:t xml:space="preserve"> </w:t>
      </w:r>
      <w:r w:rsidRPr="003516DC">
        <w:rPr>
          <w:rFonts w:ascii="Arial" w:hAnsi="Arial" w:cs="Arial"/>
          <w:color w:val="000000"/>
          <w:sz w:val="20"/>
          <w:szCs w:val="20"/>
          <w:shd w:val="clear" w:color="auto" w:fill="FFFFFF"/>
        </w:rPr>
        <w:t>the planned ITI Jiu Valley, the incoming Regional Operational Programme, and the National Recovery and Resilience Plan. The economic measures already implemented at the county level must be accelerated and the potential of existing SMEs and large manufacturing enterprises must be maximised to make Hunedoara an attractive destination for the remaining locals. The influx of funding directed at supporting similar economic diversification and carbon reduction objectives needs to be carefully managed by local public authorities with low, but improving</w:t>
      </w:r>
      <w:r w:rsidR="00FC4D24">
        <w:rPr>
          <w:rFonts w:ascii="Arial" w:hAnsi="Arial" w:cs="Arial"/>
          <w:color w:val="000000"/>
          <w:sz w:val="20"/>
          <w:szCs w:val="20"/>
          <w:shd w:val="clear" w:color="auto" w:fill="FFFFFF"/>
        </w:rPr>
        <w:t>,</w:t>
      </w:r>
      <w:r w:rsidRPr="003516DC">
        <w:rPr>
          <w:rFonts w:ascii="Arial" w:hAnsi="Arial" w:cs="Arial"/>
          <w:color w:val="000000"/>
          <w:sz w:val="20"/>
          <w:szCs w:val="20"/>
          <w:shd w:val="clear" w:color="auto" w:fill="FFFFFF"/>
        </w:rPr>
        <w:t xml:space="preserve"> capacity for cooperation. </w:t>
      </w:r>
    </w:p>
    <w:p w14:paraId="65C5CF34" w14:textId="4221C5F4" w:rsidR="00F90DC9" w:rsidRDefault="00F90DC9" w:rsidP="00B002A3">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Hunedoara may strategically transition to sustainable economic sectors (sustainable tourism, more technologically intensive manufacturing, energy efficiency, renewable energy, etc.) and take advantage of the growing interest of the local civil society organisations and individuals to participate in the decision-making process on economic and social development and environmental projects, and the dynamism of its local academic environment, which can support technological transfer and labour market fit with dual education programmes.</w:t>
      </w:r>
    </w:p>
    <w:p w14:paraId="28E2E26D" w14:textId="178143E5" w:rsidR="003436D3" w:rsidRDefault="003436D3" w:rsidP="00E42342">
      <w:pPr>
        <w:pStyle w:val="Heading2"/>
        <w:numPr>
          <w:ilvl w:val="0"/>
          <w:numId w:val="163"/>
        </w:numPr>
        <w:spacing w:before="240" w:line="240" w:lineRule="auto"/>
      </w:pPr>
      <w:bookmarkStart w:id="131" w:name="_Toc90725860"/>
      <w:r w:rsidRPr="00345CF4">
        <w:t xml:space="preserve">Results of occupational mismatch analysis in </w:t>
      </w:r>
      <w:r w:rsidR="005B45B2">
        <w:t xml:space="preserve">Hunedoara </w:t>
      </w:r>
      <w:r w:rsidR="00C90F4F">
        <w:t>C</w:t>
      </w:r>
      <w:r w:rsidR="005B45B2">
        <w:t>ounty</w:t>
      </w:r>
      <w:bookmarkEnd w:id="131"/>
    </w:p>
    <w:p w14:paraId="7E599147" w14:textId="1E26C9EF" w:rsidR="003436D3" w:rsidRPr="00443F46" w:rsidRDefault="003436D3" w:rsidP="00443F46">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4D273C04" w14:textId="2479DAD9" w:rsidR="003436D3" w:rsidRPr="003516DC" w:rsidRDefault="003436D3" w:rsidP="00C90F4F">
      <w:pPr>
        <w:spacing w:after="120"/>
        <w:jc w:val="both"/>
        <w:rPr>
          <w:rFonts w:ascii="Arial" w:hAnsi="Arial" w:cs="Arial"/>
          <w:sz w:val="20"/>
          <w:szCs w:val="20"/>
        </w:rPr>
      </w:pPr>
      <w:r w:rsidRPr="003516DC">
        <w:rPr>
          <w:rFonts w:ascii="Arial" w:hAnsi="Arial" w:cs="Arial"/>
          <w:sz w:val="20"/>
          <w:szCs w:val="20"/>
        </w:rPr>
        <w:t xml:space="preserve">In Hunedoara, the baseline projections show a substantially worsening employment situation (Graph </w:t>
      </w:r>
      <w:r w:rsidR="0064139C">
        <w:rPr>
          <w:rFonts w:ascii="Arial" w:hAnsi="Arial" w:cs="Arial"/>
          <w:sz w:val="20"/>
          <w:szCs w:val="20"/>
        </w:rPr>
        <w:t>2</w:t>
      </w:r>
      <w:r w:rsidR="00F140B0">
        <w:rPr>
          <w:rFonts w:ascii="Arial" w:hAnsi="Arial" w:cs="Arial"/>
          <w:sz w:val="20"/>
          <w:szCs w:val="20"/>
        </w:rPr>
        <w:t>2</w:t>
      </w:r>
      <w:r w:rsidRPr="003516DC">
        <w:rPr>
          <w:rFonts w:ascii="Arial" w:hAnsi="Arial" w:cs="Arial"/>
          <w:sz w:val="20"/>
          <w:szCs w:val="20"/>
        </w:rPr>
        <w:t xml:space="preserve"> left panel). Losses in the sectors, that are losing in other regions as well, are especially high. Employment losses in energy &amp; utilities, construction and agriculture are projected to be over 3000 by 2025 and over 5</w:t>
      </w:r>
      <w:r w:rsidR="00F140B0">
        <w:rPr>
          <w:rFonts w:ascii="Arial" w:hAnsi="Arial" w:cs="Arial"/>
          <w:sz w:val="20"/>
          <w:szCs w:val="20"/>
        </w:rPr>
        <w:t>,</w:t>
      </w:r>
      <w:r w:rsidRPr="003516DC">
        <w:rPr>
          <w:rFonts w:ascii="Arial" w:hAnsi="Arial" w:cs="Arial"/>
          <w:sz w:val="20"/>
          <w:szCs w:val="20"/>
        </w:rPr>
        <w:t>000 by 2030 in each of the sectors. Gains are also substantial, over 2</w:t>
      </w:r>
      <w:r w:rsidR="00F140B0">
        <w:rPr>
          <w:rFonts w:ascii="Arial" w:hAnsi="Arial" w:cs="Arial"/>
          <w:sz w:val="20"/>
          <w:szCs w:val="20"/>
        </w:rPr>
        <w:t>,</w:t>
      </w:r>
      <w:r w:rsidRPr="003516DC">
        <w:rPr>
          <w:rFonts w:ascii="Arial" w:hAnsi="Arial" w:cs="Arial"/>
          <w:sz w:val="20"/>
          <w:szCs w:val="20"/>
        </w:rPr>
        <w:t>500 in services and manufacturing, but are less in total. The occupation structure however, shows large within occupation movements, the group of farm and related workers suffers high losses, as well as elementary workers, but interestingly trades workers lose less pointing to within occupation movements.</w:t>
      </w:r>
    </w:p>
    <w:p w14:paraId="75363C98" w14:textId="217BA626" w:rsidR="003436D3" w:rsidRPr="003516DC" w:rsidRDefault="003436D3" w:rsidP="00CF1AD9">
      <w:pPr>
        <w:pStyle w:val="Caption"/>
        <w:spacing w:before="0"/>
        <w:ind w:left="1170" w:hanging="1170"/>
        <w:jc w:val="both"/>
      </w:pPr>
      <w:bookmarkStart w:id="132" w:name="_Toc90727358"/>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22</w:t>
      </w:r>
      <w:r w:rsidRPr="003516DC">
        <w:rPr>
          <w:noProof/>
        </w:rPr>
        <w:fldChar w:fldCharType="end"/>
      </w:r>
      <w:r w:rsidRPr="003516DC">
        <w:t>:</w:t>
      </w:r>
      <w:r w:rsidR="00CF1AD9">
        <w:t xml:space="preserve"> </w:t>
      </w:r>
      <w:r w:rsidRPr="003516DC">
        <w:t xml:space="preserve">Changes in employment from 2018 in baseline projections in Hunedoara; </w:t>
      </w:r>
      <w:r w:rsidRPr="003516DC">
        <w:br/>
        <w:t>left panel - changes by sector; right panel – changes by occupation; excluding Agriculture</w:t>
      </w:r>
      <w:bookmarkEnd w:id="132"/>
    </w:p>
    <w:p w14:paraId="3CBF7693" w14:textId="7ECF9CBB" w:rsidR="003436D3" w:rsidRPr="003516DC" w:rsidRDefault="003436D3" w:rsidP="003436D3">
      <w:pPr>
        <w:rPr>
          <w:rFonts w:ascii="Arial" w:hAnsi="Arial" w:cs="Arial"/>
        </w:rPr>
      </w:pPr>
      <w:r w:rsidRPr="00A03682">
        <w:rPr>
          <w:rFonts w:ascii="Arial" w:hAnsi="Arial" w:cs="Arial"/>
          <w:noProof/>
          <w:lang w:val="en-US" w:eastAsia="en-US"/>
        </w:rPr>
        <w:drawing>
          <wp:inline distT="0" distB="0" distL="0" distR="0" wp14:anchorId="707BAE23" wp14:editId="7DBCA59F">
            <wp:extent cx="5678424" cy="3081528"/>
            <wp:effectExtent l="0" t="0" r="0" b="5080"/>
            <wp:docPr id="2087055706" name="Graphic 2087055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Graphic 35"/>
                    <pic:cNvPicPr/>
                  </pic:nvPicPr>
                  <pic:blipFill>
                    <a:blip r:embed="rId6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69"/>
                        </a:ext>
                      </a:extLst>
                    </a:blip>
                    <a:stretch>
                      <a:fillRect/>
                    </a:stretch>
                  </pic:blipFill>
                  <pic:spPr>
                    <a:xfrm>
                      <a:off x="0" y="0"/>
                      <a:ext cx="5678424" cy="3081528"/>
                    </a:xfrm>
                    <a:prstGeom prst="rect">
                      <a:avLst/>
                    </a:prstGeom>
                  </pic:spPr>
                </pic:pic>
              </a:graphicData>
            </a:graphic>
          </wp:inline>
        </w:drawing>
      </w:r>
    </w:p>
    <w:p w14:paraId="1834B9D9" w14:textId="4647B5AB" w:rsidR="003436D3" w:rsidRPr="003516DC" w:rsidRDefault="003436D3" w:rsidP="00C90F4F">
      <w:pPr>
        <w:spacing w:after="120"/>
        <w:jc w:val="both"/>
        <w:rPr>
          <w:rFonts w:ascii="Arial" w:hAnsi="Arial" w:cs="Arial"/>
          <w:sz w:val="20"/>
          <w:szCs w:val="20"/>
        </w:rPr>
      </w:pPr>
      <w:r w:rsidRPr="003516DC">
        <w:rPr>
          <w:rFonts w:ascii="Arial" w:hAnsi="Arial" w:cs="Arial"/>
          <w:sz w:val="20"/>
          <w:szCs w:val="20"/>
        </w:rPr>
        <w:t xml:space="preserve">Looking at the detailed occupational/sectoral changes we see confirmation of this. The left panel of Graph </w:t>
      </w:r>
      <w:r w:rsidR="0064139C">
        <w:rPr>
          <w:rFonts w:ascii="Arial" w:hAnsi="Arial" w:cs="Arial"/>
          <w:sz w:val="20"/>
          <w:szCs w:val="20"/>
        </w:rPr>
        <w:t>2</w:t>
      </w:r>
      <w:r w:rsidR="00F140B0">
        <w:rPr>
          <w:rFonts w:ascii="Arial" w:hAnsi="Arial" w:cs="Arial"/>
          <w:sz w:val="20"/>
          <w:szCs w:val="20"/>
        </w:rPr>
        <w:t>2</w:t>
      </w:r>
      <w:r w:rsidRPr="003516DC">
        <w:rPr>
          <w:rFonts w:ascii="Arial" w:hAnsi="Arial" w:cs="Arial"/>
          <w:sz w:val="20"/>
          <w:szCs w:val="20"/>
        </w:rPr>
        <w:t xml:space="preserve"> shows that while there are stark losses in the professionals, operators and assemblers and trades workers occupation groups as well, these are offset by various degrees by the gains in manufacturing and services. However, this still means that re-skilling is potentially necessary to prepare these people for employment in new sectors</w:t>
      </w:r>
    </w:p>
    <w:p w14:paraId="39CA8882" w14:textId="0339A7E1" w:rsidR="003436D3" w:rsidRPr="003516DC" w:rsidRDefault="003436D3" w:rsidP="00CF1AD9">
      <w:pPr>
        <w:pStyle w:val="Caption"/>
        <w:spacing w:before="0"/>
        <w:ind w:left="1080" w:hanging="1080"/>
        <w:jc w:val="both"/>
      </w:pPr>
      <w:bookmarkStart w:id="133" w:name="_Toc90727359"/>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23</w:t>
      </w:r>
      <w:r w:rsidRPr="003516DC">
        <w:rPr>
          <w:noProof/>
        </w:rPr>
        <w:fldChar w:fldCharType="end"/>
      </w:r>
      <w:r w:rsidRPr="003516DC">
        <w:t>:</w:t>
      </w:r>
      <w:r w:rsidR="00CF1AD9">
        <w:t xml:space="preserve"> </w:t>
      </w:r>
      <w:r w:rsidRPr="003516DC">
        <w:t>Changes in employment from 2018 in baseline projections and in the Green Deal scenario in Hunedoara; left panel – changes by sector and occupation in baseline; right panel – changes by sector and occupation in the Green Deal scenario compared to the baseline</w:t>
      </w:r>
      <w:bookmarkEnd w:id="133"/>
    </w:p>
    <w:p w14:paraId="29E3B26D" w14:textId="6C5281C8" w:rsidR="003436D3" w:rsidRPr="003516DC" w:rsidRDefault="003436D3" w:rsidP="00C90F4F">
      <w:pPr>
        <w:spacing w:after="120"/>
        <w:rPr>
          <w:rFonts w:ascii="Arial" w:hAnsi="Arial" w:cs="Arial"/>
        </w:rPr>
      </w:pPr>
      <w:r w:rsidRPr="00A03682">
        <w:rPr>
          <w:rFonts w:ascii="Arial" w:hAnsi="Arial" w:cs="Arial"/>
          <w:noProof/>
          <w:lang w:val="en-US" w:eastAsia="en-US"/>
        </w:rPr>
        <w:drawing>
          <wp:inline distT="0" distB="0" distL="0" distR="0" wp14:anchorId="197C22C6" wp14:editId="4A4ECF82">
            <wp:extent cx="5678424" cy="3081528"/>
            <wp:effectExtent l="0" t="0" r="0" b="5080"/>
            <wp:docPr id="2087055768" name="Graphic 2087055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Graphic 36"/>
                    <pic:cNvPicPr/>
                  </pic:nvPicPr>
                  <pic:blipFill>
                    <a:blip r:embed="rId7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71"/>
                        </a:ext>
                      </a:extLst>
                    </a:blip>
                    <a:stretch>
                      <a:fillRect/>
                    </a:stretch>
                  </pic:blipFill>
                  <pic:spPr>
                    <a:xfrm>
                      <a:off x="0" y="0"/>
                      <a:ext cx="5678424" cy="3081528"/>
                    </a:xfrm>
                    <a:prstGeom prst="rect">
                      <a:avLst/>
                    </a:prstGeom>
                  </pic:spPr>
                </pic:pic>
              </a:graphicData>
            </a:graphic>
          </wp:inline>
        </w:drawing>
      </w:r>
    </w:p>
    <w:p w14:paraId="5CBE02CD" w14:textId="77777777" w:rsidR="00C90F4F" w:rsidRDefault="003436D3" w:rsidP="00C90F4F">
      <w:pPr>
        <w:spacing w:after="120"/>
        <w:rPr>
          <w:rFonts w:ascii="Arial" w:hAnsi="Arial" w:cs="Arial"/>
          <w:b/>
          <w:bCs/>
          <w:color w:val="4F81BD" w:themeColor="accent1"/>
          <w:sz w:val="20"/>
          <w:szCs w:val="20"/>
        </w:rPr>
      </w:pPr>
      <w:r w:rsidRPr="003516DC">
        <w:rPr>
          <w:rFonts w:ascii="Arial" w:hAnsi="Arial" w:cs="Arial"/>
          <w:b/>
          <w:bCs/>
          <w:color w:val="4F81BD" w:themeColor="accent1"/>
          <w:sz w:val="20"/>
          <w:szCs w:val="20"/>
        </w:rPr>
        <w:t>Green Deal impacts</w:t>
      </w:r>
    </w:p>
    <w:p w14:paraId="09BC0A2F" w14:textId="70600B46" w:rsidR="003436D3" w:rsidRPr="00C90F4F" w:rsidRDefault="003436D3" w:rsidP="00C90F4F">
      <w:pPr>
        <w:spacing w:after="120"/>
        <w:jc w:val="both"/>
        <w:rPr>
          <w:rFonts w:ascii="Arial" w:hAnsi="Arial" w:cs="Arial"/>
          <w:b/>
          <w:bCs/>
          <w:color w:val="4F81BD" w:themeColor="accent1"/>
          <w:sz w:val="20"/>
          <w:szCs w:val="20"/>
        </w:rPr>
      </w:pPr>
      <w:r w:rsidRPr="003516DC">
        <w:rPr>
          <w:rFonts w:ascii="Arial" w:hAnsi="Arial" w:cs="Arial"/>
          <w:noProof/>
          <w:sz w:val="20"/>
          <w:szCs w:val="20"/>
        </w:rPr>
        <w:t xml:space="preserve">The right panel of Graph </w:t>
      </w:r>
      <w:r w:rsidR="0064139C">
        <w:rPr>
          <w:rFonts w:ascii="Arial" w:hAnsi="Arial" w:cs="Arial"/>
          <w:noProof/>
          <w:sz w:val="20"/>
          <w:szCs w:val="20"/>
        </w:rPr>
        <w:t>2</w:t>
      </w:r>
      <w:r w:rsidR="00F140B0">
        <w:rPr>
          <w:rFonts w:ascii="Arial" w:hAnsi="Arial" w:cs="Arial"/>
          <w:noProof/>
          <w:sz w:val="20"/>
          <w:szCs w:val="20"/>
        </w:rPr>
        <w:t>3</w:t>
      </w:r>
      <w:r w:rsidRPr="003516DC">
        <w:rPr>
          <w:rFonts w:ascii="Arial" w:hAnsi="Arial" w:cs="Arial"/>
          <w:noProof/>
          <w:sz w:val="20"/>
          <w:szCs w:val="20"/>
        </w:rPr>
        <w:t xml:space="preserve"> shows the projected impacts of the Green Deal scenario. Importantly in the Green Deal scenario there is a small number of jobs gained by 2025 in the energy &amp; utilities sector, </w:t>
      </w:r>
      <w:r w:rsidRPr="003516DC">
        <w:rPr>
          <w:rFonts w:ascii="Arial" w:hAnsi="Arial" w:cs="Arial"/>
          <w:noProof/>
          <w:sz w:val="20"/>
          <w:szCs w:val="20"/>
        </w:rPr>
        <w:lastRenderedPageBreak/>
        <w:t>but by 2030 this effect disappears, the only gains by then are in the construction sector, but these are realitvely modest. Nevertheless, due to the price pressure of the extended ETS system by 2030 we also see negative impacts in manufacturing, services and retail, which depresses employment gains (seen in the baseline) in the relevant occupational groups.</w:t>
      </w:r>
    </w:p>
    <w:p w14:paraId="0DDF5D08" w14:textId="087BE827" w:rsidR="003436D3" w:rsidRPr="003516DC" w:rsidRDefault="003436D3" w:rsidP="00E42342">
      <w:pPr>
        <w:pStyle w:val="Heading2"/>
        <w:numPr>
          <w:ilvl w:val="0"/>
          <w:numId w:val="164"/>
        </w:numPr>
        <w:spacing w:before="240" w:line="240" w:lineRule="auto"/>
      </w:pPr>
      <w:bookmarkStart w:id="134" w:name="_Toc90725861"/>
      <w:r w:rsidRPr="003516DC">
        <w:t>Employment and GVA impact by illustrative action</w:t>
      </w:r>
      <w:r w:rsidR="005B45B2">
        <w:t xml:space="preserve"> in Hunedoara </w:t>
      </w:r>
      <w:r w:rsidR="00C90F4F">
        <w:t>C</w:t>
      </w:r>
      <w:r w:rsidR="005B45B2">
        <w:t>ounty</w:t>
      </w:r>
      <w:r w:rsidR="00A26615">
        <w:rPr>
          <w:rStyle w:val="FootnoteReference"/>
        </w:rPr>
        <w:footnoteReference w:id="70"/>
      </w:r>
      <w:bookmarkEnd w:id="134"/>
    </w:p>
    <w:p w14:paraId="702500D2" w14:textId="082FC58F" w:rsidR="00A26615" w:rsidRPr="00A26615" w:rsidRDefault="00FC4D24" w:rsidP="00B002A3">
      <w:pPr>
        <w:spacing w:after="120"/>
        <w:jc w:val="both"/>
        <w:rPr>
          <w:rFonts w:ascii="Arial" w:hAnsi="Arial" w:cs="Arial"/>
          <w:sz w:val="20"/>
          <w:szCs w:val="20"/>
        </w:rPr>
      </w:pPr>
      <w:r>
        <w:rPr>
          <w:rFonts w:ascii="Arial" w:hAnsi="Arial" w:cs="Arial"/>
          <w:sz w:val="20"/>
          <w:szCs w:val="20"/>
        </w:rPr>
        <w:t>Like</w:t>
      </w:r>
      <w:r w:rsidR="00A26615" w:rsidRPr="00A26615">
        <w:rPr>
          <w:rFonts w:ascii="Arial" w:hAnsi="Arial" w:cs="Arial"/>
          <w:sz w:val="20"/>
          <w:szCs w:val="20"/>
        </w:rPr>
        <w:t xml:space="preserve"> most of the other counties</w:t>
      </w:r>
      <w:r>
        <w:rPr>
          <w:rFonts w:ascii="Arial" w:hAnsi="Arial" w:cs="Arial"/>
          <w:sz w:val="20"/>
          <w:szCs w:val="20"/>
        </w:rPr>
        <w:t>,</w:t>
      </w:r>
      <w:r w:rsidR="00A26615" w:rsidRPr="00A26615">
        <w:rPr>
          <w:rFonts w:ascii="Arial" w:hAnsi="Arial" w:cs="Arial"/>
          <w:sz w:val="20"/>
          <w:szCs w:val="20"/>
        </w:rPr>
        <w:t xml:space="preserve"> R&amp;D investment is expected to create the largest positive GVA impacts. However, the largest employment impact is anticipated </w:t>
      </w:r>
      <w:r>
        <w:rPr>
          <w:rFonts w:ascii="Arial" w:hAnsi="Arial" w:cs="Arial"/>
          <w:sz w:val="20"/>
          <w:szCs w:val="20"/>
        </w:rPr>
        <w:t>under</w:t>
      </w:r>
      <w:r w:rsidR="00A26615" w:rsidRPr="00A26615">
        <w:rPr>
          <w:rFonts w:ascii="Arial" w:hAnsi="Arial" w:cs="Arial"/>
          <w:sz w:val="20"/>
          <w:szCs w:val="20"/>
        </w:rPr>
        <w:t xml:space="preserve"> the SME investment case, highlighting the differences in sectoral impacts of the policy cases as well as the differences in average value added between the sectors. As in other counties, gains in ICT and professional services dominate the R&amp;D</w:t>
      </w:r>
      <w:r>
        <w:rPr>
          <w:rFonts w:ascii="Arial" w:hAnsi="Arial" w:cs="Arial"/>
          <w:sz w:val="20"/>
          <w:szCs w:val="20"/>
        </w:rPr>
        <w:t xml:space="preserve"> case</w:t>
      </w:r>
      <w:r w:rsidR="00A26615" w:rsidRPr="00A26615">
        <w:rPr>
          <w:rFonts w:ascii="Arial" w:hAnsi="Arial" w:cs="Arial"/>
          <w:sz w:val="20"/>
          <w:szCs w:val="20"/>
        </w:rPr>
        <w:t xml:space="preserve">, while construction and manufacturing dominate the SME case. The circular economy case induces positive outcomes in services and utilities (recycling </w:t>
      </w:r>
      <w:r>
        <w:rPr>
          <w:rFonts w:ascii="Arial" w:hAnsi="Arial" w:cs="Arial"/>
          <w:sz w:val="20"/>
          <w:szCs w:val="20"/>
        </w:rPr>
        <w:t>and</w:t>
      </w:r>
      <w:r w:rsidR="00A26615" w:rsidRPr="00A26615">
        <w:rPr>
          <w:rFonts w:ascii="Arial" w:hAnsi="Arial" w:cs="Arial"/>
          <w:sz w:val="20"/>
          <w:szCs w:val="20"/>
        </w:rPr>
        <w:t xml:space="preserve"> waste management)</w:t>
      </w:r>
      <w:r w:rsidR="00A26615">
        <w:rPr>
          <w:rFonts w:ascii="Arial" w:hAnsi="Arial" w:cs="Arial"/>
          <w:sz w:val="20"/>
          <w:szCs w:val="20"/>
        </w:rPr>
        <w:t>.</w:t>
      </w:r>
    </w:p>
    <w:p w14:paraId="342C8CD3" w14:textId="230422AE" w:rsidR="003436D3" w:rsidRDefault="003436D3" w:rsidP="00CF1AD9">
      <w:pPr>
        <w:pStyle w:val="Caption"/>
        <w:spacing w:before="0" w:after="0"/>
        <w:ind w:left="994" w:hanging="994"/>
        <w:rPr>
          <w:b w:val="0"/>
          <w:iCs w:val="0"/>
          <w:noProof/>
        </w:rPr>
      </w:pPr>
      <w:bookmarkStart w:id="135" w:name="_Toc90727360"/>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24</w:t>
      </w:r>
      <w:r w:rsidRPr="003516DC">
        <w:rPr>
          <w:noProof/>
        </w:rPr>
        <w:fldChar w:fldCharType="end"/>
      </w:r>
      <w:r w:rsidRPr="003516DC">
        <w:rPr>
          <w:noProof/>
        </w:rPr>
        <w:t>: GVA impact in Hunedoara County (RO423) in 2030 by sectors, resulting from a total of EUR 100 million investment over the years 2021-2027 under the three illustrative action categories, EUR million (current prices)</w:t>
      </w:r>
      <w:bookmarkEnd w:id="135"/>
    </w:p>
    <w:p w14:paraId="4BDC0104" w14:textId="2DC9E5C5" w:rsidR="00A26615" w:rsidRPr="003516DC" w:rsidRDefault="00A26615" w:rsidP="00CF1AD9">
      <w:pPr>
        <w:keepNext/>
        <w:spacing w:before="120" w:after="120"/>
        <w:ind w:left="1138" w:hanging="1138"/>
        <w:rPr>
          <w:rFonts w:ascii="Arial" w:hAnsi="Arial" w:cs="Arial"/>
          <w:b/>
          <w:iCs/>
          <w:color w:val="4F81BD"/>
          <w:sz w:val="20"/>
          <w:szCs w:val="20"/>
        </w:rPr>
      </w:pPr>
      <w:r>
        <w:rPr>
          <w:rFonts w:eastAsiaTheme="majorEastAsia" w:cstheme="majorBidi"/>
          <w:b/>
          <w:bCs/>
          <w:i/>
          <w:noProof/>
          <w:color w:val="006398"/>
          <w:szCs w:val="26"/>
          <w:lang w:val="en-US" w:eastAsia="en-US"/>
        </w:rPr>
        <w:drawing>
          <wp:inline distT="0" distB="0" distL="0" distR="0" wp14:anchorId="60BE4A64" wp14:editId="372AAE7A">
            <wp:extent cx="5678424" cy="3017520"/>
            <wp:effectExtent l="0" t="0" r="0" b="0"/>
            <wp:docPr id="2087055769" name="Graphic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7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73"/>
                        </a:ext>
                      </a:extLst>
                    </a:blip>
                    <a:stretch>
                      <a:fillRect/>
                    </a:stretch>
                  </pic:blipFill>
                  <pic:spPr>
                    <a:xfrm>
                      <a:off x="0" y="0"/>
                      <a:ext cx="5678424" cy="3017520"/>
                    </a:xfrm>
                    <a:prstGeom prst="rect">
                      <a:avLst/>
                    </a:prstGeom>
                  </pic:spPr>
                </pic:pic>
              </a:graphicData>
            </a:graphic>
          </wp:inline>
        </w:drawing>
      </w:r>
    </w:p>
    <w:p w14:paraId="2C235278" w14:textId="3DDDECB5" w:rsidR="003436D3" w:rsidRDefault="003436D3" w:rsidP="00B002A3">
      <w:pPr>
        <w:spacing w:after="120"/>
        <w:rPr>
          <w:rFonts w:ascii="Arial" w:hAnsi="Arial" w:cs="Arial"/>
          <w:i/>
          <w:sz w:val="16"/>
          <w:szCs w:val="16"/>
        </w:rPr>
      </w:pPr>
      <w:r w:rsidRPr="003516DC">
        <w:rPr>
          <w:rFonts w:ascii="Arial" w:hAnsi="Arial" w:cs="Arial"/>
          <w:i/>
          <w:sz w:val="16"/>
          <w:szCs w:val="16"/>
        </w:rPr>
        <w:t>Source: E3ME modelling</w:t>
      </w:r>
    </w:p>
    <w:p w14:paraId="05CEB7C5" w14:textId="666CB623" w:rsidR="00CF1AD9" w:rsidRDefault="00CF1AD9" w:rsidP="00B002A3">
      <w:pPr>
        <w:spacing w:after="120"/>
        <w:rPr>
          <w:rFonts w:ascii="Arial" w:hAnsi="Arial" w:cs="Arial"/>
          <w:i/>
          <w:sz w:val="16"/>
          <w:szCs w:val="16"/>
        </w:rPr>
      </w:pPr>
    </w:p>
    <w:p w14:paraId="7394580B" w14:textId="43FE26E2" w:rsidR="00CF1AD9" w:rsidRDefault="00CF1AD9" w:rsidP="00B002A3">
      <w:pPr>
        <w:spacing w:after="120"/>
        <w:rPr>
          <w:rFonts w:ascii="Arial" w:hAnsi="Arial" w:cs="Arial"/>
          <w:i/>
          <w:sz w:val="16"/>
          <w:szCs w:val="16"/>
        </w:rPr>
      </w:pPr>
    </w:p>
    <w:p w14:paraId="08267277" w14:textId="6FB3AC96" w:rsidR="00CF1AD9" w:rsidRDefault="00CF1AD9" w:rsidP="00B002A3">
      <w:pPr>
        <w:spacing w:after="120"/>
        <w:rPr>
          <w:rFonts w:ascii="Arial" w:hAnsi="Arial" w:cs="Arial"/>
          <w:i/>
          <w:sz w:val="16"/>
          <w:szCs w:val="16"/>
        </w:rPr>
      </w:pPr>
    </w:p>
    <w:p w14:paraId="5AF0E383" w14:textId="2C495310" w:rsidR="00CF1AD9" w:rsidRDefault="00CF1AD9" w:rsidP="00B002A3">
      <w:pPr>
        <w:spacing w:after="120"/>
        <w:rPr>
          <w:rFonts w:ascii="Arial" w:hAnsi="Arial" w:cs="Arial"/>
          <w:i/>
          <w:sz w:val="16"/>
          <w:szCs w:val="16"/>
        </w:rPr>
      </w:pPr>
    </w:p>
    <w:p w14:paraId="140445C3" w14:textId="723D2BD9" w:rsidR="00CF1AD9" w:rsidRDefault="00CF1AD9" w:rsidP="00B002A3">
      <w:pPr>
        <w:spacing w:after="120"/>
        <w:rPr>
          <w:rFonts w:ascii="Arial" w:hAnsi="Arial" w:cs="Arial"/>
          <w:i/>
          <w:sz w:val="16"/>
          <w:szCs w:val="16"/>
        </w:rPr>
      </w:pPr>
    </w:p>
    <w:p w14:paraId="2FC8120B" w14:textId="1D9F3F45" w:rsidR="00CF1AD9" w:rsidRDefault="00CF1AD9" w:rsidP="00B002A3">
      <w:pPr>
        <w:spacing w:after="120"/>
        <w:rPr>
          <w:rFonts w:ascii="Arial" w:hAnsi="Arial" w:cs="Arial"/>
          <w:i/>
          <w:sz w:val="16"/>
          <w:szCs w:val="16"/>
        </w:rPr>
      </w:pPr>
    </w:p>
    <w:p w14:paraId="014B07B2" w14:textId="32D2D98C" w:rsidR="00CF1AD9" w:rsidRDefault="00CF1AD9" w:rsidP="00B002A3">
      <w:pPr>
        <w:spacing w:after="120"/>
        <w:rPr>
          <w:rFonts w:ascii="Arial" w:hAnsi="Arial" w:cs="Arial"/>
          <w:i/>
          <w:sz w:val="16"/>
          <w:szCs w:val="16"/>
        </w:rPr>
      </w:pPr>
    </w:p>
    <w:p w14:paraId="5DF09252" w14:textId="6DFBA4E8" w:rsidR="00CF1AD9" w:rsidRDefault="00CF1AD9" w:rsidP="00B002A3">
      <w:pPr>
        <w:spacing w:after="120"/>
        <w:rPr>
          <w:rFonts w:ascii="Arial" w:hAnsi="Arial" w:cs="Arial"/>
          <w:i/>
          <w:sz w:val="16"/>
          <w:szCs w:val="16"/>
        </w:rPr>
      </w:pPr>
    </w:p>
    <w:p w14:paraId="69F243A7" w14:textId="54A5278B" w:rsidR="00CF1AD9" w:rsidRDefault="00CF1AD9" w:rsidP="00B002A3">
      <w:pPr>
        <w:spacing w:after="120"/>
        <w:rPr>
          <w:rFonts w:ascii="Arial" w:hAnsi="Arial" w:cs="Arial"/>
          <w:i/>
          <w:sz w:val="16"/>
          <w:szCs w:val="16"/>
        </w:rPr>
      </w:pPr>
    </w:p>
    <w:p w14:paraId="5EEADF8D" w14:textId="77777777" w:rsidR="00CF1AD9" w:rsidRPr="003516DC" w:rsidRDefault="00CF1AD9" w:rsidP="00B002A3">
      <w:pPr>
        <w:spacing w:after="120"/>
        <w:rPr>
          <w:rFonts w:ascii="Arial" w:hAnsi="Arial" w:cs="Arial"/>
          <w:i/>
          <w:sz w:val="16"/>
          <w:szCs w:val="16"/>
        </w:rPr>
      </w:pPr>
    </w:p>
    <w:p w14:paraId="7187BEC1" w14:textId="02297E6E" w:rsidR="003436D3" w:rsidRPr="006E7A76" w:rsidRDefault="003436D3" w:rsidP="006E7A76">
      <w:pPr>
        <w:pStyle w:val="Caption"/>
        <w:spacing w:before="0" w:after="0"/>
        <w:ind w:left="994" w:hanging="994"/>
        <w:rPr>
          <w:b w:val="0"/>
          <w:iCs w:val="0"/>
          <w:noProof/>
        </w:rPr>
      </w:pPr>
      <w:bookmarkStart w:id="136" w:name="_Toc90727361"/>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25</w:t>
      </w:r>
      <w:r w:rsidRPr="003516DC">
        <w:rPr>
          <w:noProof/>
        </w:rPr>
        <w:fldChar w:fldCharType="end"/>
      </w:r>
      <w:r w:rsidRPr="003516DC">
        <w:rPr>
          <w:noProof/>
        </w:rPr>
        <w:t>: Employment impact in Hunedoara County (RO423) in 2030 by sectors, resulting from a total of EUR 100 million investment over the years 2021-2027 under the three illustrative action categories, '000 jobs</w:t>
      </w:r>
      <w:bookmarkEnd w:id="136"/>
    </w:p>
    <w:p w14:paraId="6E8E978A" w14:textId="36299FDC" w:rsidR="00A26615" w:rsidRPr="003516DC" w:rsidRDefault="00A26615" w:rsidP="00CF1AD9">
      <w:pPr>
        <w:rPr>
          <w:rFonts w:ascii="Arial" w:hAnsi="Arial" w:cs="Arial"/>
        </w:rPr>
      </w:pPr>
      <w:r>
        <w:rPr>
          <w:rFonts w:eastAsiaTheme="majorEastAsia" w:cstheme="majorBidi"/>
          <w:b/>
          <w:bCs/>
          <w:i/>
          <w:noProof/>
          <w:color w:val="006398"/>
          <w:szCs w:val="26"/>
          <w:lang w:val="en-US" w:eastAsia="en-US"/>
        </w:rPr>
        <w:drawing>
          <wp:inline distT="0" distB="0" distL="0" distR="0" wp14:anchorId="62724B17" wp14:editId="27672B8A">
            <wp:extent cx="5678424" cy="3017520"/>
            <wp:effectExtent l="0" t="0" r="0" b="0"/>
            <wp:docPr id="2087055770" name="Graphic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Graphic 44"/>
                    <pic:cNvPicPr/>
                  </pic:nvPicPr>
                  <pic:blipFill>
                    <a:blip r:embed="rId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75"/>
                        </a:ext>
                      </a:extLst>
                    </a:blip>
                    <a:stretch>
                      <a:fillRect/>
                    </a:stretch>
                  </pic:blipFill>
                  <pic:spPr>
                    <a:xfrm>
                      <a:off x="0" y="0"/>
                      <a:ext cx="5678424" cy="3017520"/>
                    </a:xfrm>
                    <a:prstGeom prst="rect">
                      <a:avLst/>
                    </a:prstGeom>
                  </pic:spPr>
                </pic:pic>
              </a:graphicData>
            </a:graphic>
          </wp:inline>
        </w:drawing>
      </w:r>
    </w:p>
    <w:p w14:paraId="74FB871F" w14:textId="336025CE" w:rsidR="003436D3" w:rsidRPr="00B002A3" w:rsidRDefault="003436D3" w:rsidP="00B002A3">
      <w:pPr>
        <w:rPr>
          <w:rFonts w:ascii="Arial" w:hAnsi="Arial" w:cs="Arial"/>
          <w:i/>
          <w:sz w:val="16"/>
          <w:szCs w:val="16"/>
        </w:rPr>
      </w:pPr>
      <w:r w:rsidRPr="003516DC">
        <w:rPr>
          <w:rFonts w:ascii="Arial" w:hAnsi="Arial" w:cs="Arial"/>
          <w:i/>
          <w:sz w:val="16"/>
          <w:szCs w:val="16"/>
        </w:rPr>
        <w:t>Source: E3ME modelling</w:t>
      </w:r>
    </w:p>
    <w:p w14:paraId="435DC521" w14:textId="44B4DB17" w:rsidR="00AC2D01" w:rsidRPr="003516DC" w:rsidRDefault="00AC2D01" w:rsidP="00E42342">
      <w:pPr>
        <w:pStyle w:val="Heading2"/>
        <w:numPr>
          <w:ilvl w:val="0"/>
          <w:numId w:val="165"/>
        </w:numPr>
        <w:spacing w:before="240" w:line="240" w:lineRule="auto"/>
      </w:pPr>
      <w:bookmarkStart w:id="137" w:name="_Toc90725862"/>
      <w:r w:rsidRPr="003516DC">
        <w:t>Type of operations needed</w:t>
      </w:r>
      <w:r w:rsidR="009A5DDF">
        <w:t xml:space="preserve"> in Hunedoara </w:t>
      </w:r>
      <w:r w:rsidR="00FC4D24">
        <w:t>C</w:t>
      </w:r>
      <w:r w:rsidR="009A5DDF">
        <w:t>ounty</w:t>
      </w:r>
      <w:bookmarkEnd w:id="137"/>
    </w:p>
    <w:p w14:paraId="429DADD0" w14:textId="6945E622" w:rsidR="00AC2D01" w:rsidRDefault="00AC2D01" w:rsidP="00854A6F">
      <w:pPr>
        <w:spacing w:after="120"/>
        <w:jc w:val="both"/>
        <w:rPr>
          <w:rFonts w:ascii="Arial" w:hAnsi="Arial" w:cs="Arial"/>
          <w:sz w:val="20"/>
          <w:szCs w:val="20"/>
        </w:rPr>
      </w:pPr>
      <w:r w:rsidRPr="00AC2D01">
        <w:rPr>
          <w:rFonts w:ascii="Arial" w:hAnsi="Arial" w:cs="Arial"/>
          <w:sz w:val="20"/>
          <w:szCs w:val="20"/>
        </w:rPr>
        <w:t>Based on trends and statistical analysis, an analysis of the draft TJTPs still being elaborated by the County Councils, as well as stakeholder interviews, the team of consultants is proposing the following draft priority investment needs at each county.</w:t>
      </w:r>
    </w:p>
    <w:p w14:paraId="155401DE" w14:textId="7A332A03" w:rsidR="00F7522F" w:rsidRPr="00402580" w:rsidRDefault="0042633B" w:rsidP="00854A6F">
      <w:pPr>
        <w:spacing w:after="120"/>
        <w:jc w:val="both"/>
        <w:rPr>
          <w:rFonts w:ascii="Arial" w:hAnsi="Arial" w:cs="Arial"/>
          <w:iCs/>
          <w:color w:val="0070C0"/>
          <w:sz w:val="20"/>
          <w:szCs w:val="20"/>
        </w:rPr>
      </w:pPr>
      <w:r>
        <w:rPr>
          <w:rFonts w:ascii="Arial" w:hAnsi="Arial" w:cs="Arial"/>
          <w:iCs/>
          <w:sz w:val="20"/>
          <w:szCs w:val="20"/>
        </w:rPr>
        <w:t>Based on t</w:t>
      </w:r>
      <w:r w:rsidR="00AC2D01" w:rsidRPr="00402580">
        <w:rPr>
          <w:rFonts w:ascii="Arial" w:hAnsi="Arial" w:cs="Arial"/>
          <w:iCs/>
          <w:sz w:val="20"/>
          <w:szCs w:val="20"/>
        </w:rPr>
        <w:t xml:space="preserve">he analysis of the statistical data and trends </w:t>
      </w:r>
      <w:r>
        <w:rPr>
          <w:rFonts w:ascii="Arial" w:hAnsi="Arial" w:cs="Arial"/>
          <w:iCs/>
          <w:sz w:val="20"/>
          <w:szCs w:val="20"/>
        </w:rPr>
        <w:t>in</w:t>
      </w:r>
      <w:r w:rsidR="00AC2D01" w:rsidRPr="00402580">
        <w:rPr>
          <w:rFonts w:ascii="Arial" w:hAnsi="Arial" w:cs="Arial"/>
          <w:iCs/>
          <w:sz w:val="20"/>
          <w:szCs w:val="20"/>
        </w:rPr>
        <w:t xml:space="preserve"> Hunedoara </w:t>
      </w:r>
      <w:r w:rsidR="00F7522F">
        <w:rPr>
          <w:rFonts w:ascii="Arial" w:hAnsi="Arial" w:cs="Arial"/>
          <w:iCs/>
          <w:sz w:val="20"/>
          <w:szCs w:val="20"/>
        </w:rPr>
        <w:t>C</w:t>
      </w:r>
      <w:r w:rsidR="00AC2D01" w:rsidRPr="00402580">
        <w:rPr>
          <w:rFonts w:ascii="Arial" w:hAnsi="Arial" w:cs="Arial"/>
          <w:iCs/>
          <w:sz w:val="20"/>
          <w:szCs w:val="20"/>
        </w:rPr>
        <w:t>ounty, reports and analysis of the transition process in the Jiu Valley and interviews with local stakeholders, the following investment areas were identified</w:t>
      </w:r>
      <w:r>
        <w:rPr>
          <w:rFonts w:ascii="Arial" w:hAnsi="Arial" w:cs="Arial"/>
          <w:iCs/>
          <w:sz w:val="20"/>
          <w:szCs w:val="20"/>
        </w:rPr>
        <w:t xml:space="preserve"> for</w:t>
      </w:r>
      <w:r w:rsidR="00AC2D01" w:rsidRPr="00402580">
        <w:rPr>
          <w:rFonts w:ascii="Arial" w:hAnsi="Arial" w:cs="Arial"/>
          <w:iCs/>
          <w:sz w:val="20"/>
          <w:szCs w:val="20"/>
        </w:rPr>
        <w:t xml:space="preserve"> JTF support </w:t>
      </w:r>
      <w:r>
        <w:rPr>
          <w:rFonts w:ascii="Arial" w:hAnsi="Arial" w:cs="Arial"/>
          <w:iCs/>
          <w:sz w:val="20"/>
          <w:szCs w:val="20"/>
        </w:rPr>
        <w:t xml:space="preserve">and </w:t>
      </w:r>
      <w:r w:rsidR="00AC2D01" w:rsidRPr="00402580">
        <w:rPr>
          <w:rFonts w:ascii="Arial" w:hAnsi="Arial" w:cs="Arial"/>
          <w:iCs/>
          <w:sz w:val="20"/>
          <w:szCs w:val="20"/>
        </w:rPr>
        <w:t xml:space="preserve">the commitment of the local authorities to the transition process </w:t>
      </w:r>
      <w:r>
        <w:rPr>
          <w:rFonts w:ascii="Arial" w:hAnsi="Arial" w:cs="Arial"/>
          <w:iCs/>
          <w:sz w:val="20"/>
          <w:szCs w:val="20"/>
        </w:rPr>
        <w:t>and the</w:t>
      </w:r>
      <w:r w:rsidR="00AC2D01" w:rsidRPr="00402580">
        <w:rPr>
          <w:rFonts w:ascii="Arial" w:hAnsi="Arial" w:cs="Arial"/>
          <w:iCs/>
          <w:sz w:val="20"/>
          <w:szCs w:val="20"/>
        </w:rPr>
        <w:t xml:space="preserve"> </w:t>
      </w:r>
      <w:r>
        <w:rPr>
          <w:rFonts w:ascii="Arial" w:hAnsi="Arial" w:cs="Arial"/>
          <w:iCs/>
          <w:sz w:val="20"/>
          <w:szCs w:val="20"/>
        </w:rPr>
        <w:t xml:space="preserve">achievement of the </w:t>
      </w:r>
      <w:r w:rsidR="00AC2D01" w:rsidRPr="00402580">
        <w:rPr>
          <w:rFonts w:ascii="Arial" w:hAnsi="Arial" w:cs="Arial"/>
          <w:iCs/>
          <w:sz w:val="20"/>
          <w:szCs w:val="20"/>
        </w:rPr>
        <w:t xml:space="preserve">climate neutral economy targets assumed by Romania.   </w:t>
      </w:r>
    </w:p>
    <w:p w14:paraId="67314AC3" w14:textId="21141947" w:rsidR="00AC2D01" w:rsidRPr="003516DC" w:rsidRDefault="0042633B" w:rsidP="00854A6F">
      <w:pPr>
        <w:spacing w:after="120"/>
        <w:jc w:val="both"/>
        <w:rPr>
          <w:rFonts w:ascii="Arial" w:hAnsi="Arial" w:cs="Arial"/>
          <w:sz w:val="20"/>
          <w:szCs w:val="20"/>
        </w:rPr>
      </w:pPr>
      <w:r>
        <w:rPr>
          <w:rFonts w:ascii="Arial" w:hAnsi="Arial" w:cs="Arial"/>
          <w:sz w:val="20"/>
          <w:szCs w:val="20"/>
        </w:rPr>
        <w:t>To</w:t>
      </w:r>
      <w:r w:rsidR="00AC2D01" w:rsidRPr="003516DC">
        <w:rPr>
          <w:rFonts w:ascii="Arial" w:hAnsi="Arial" w:cs="Arial"/>
          <w:sz w:val="20"/>
          <w:szCs w:val="20"/>
        </w:rPr>
        <w:t xml:space="preserve"> prioriti</w:t>
      </w:r>
      <w:r>
        <w:rPr>
          <w:rFonts w:ascii="Arial" w:hAnsi="Arial" w:cs="Arial"/>
          <w:sz w:val="20"/>
          <w:szCs w:val="20"/>
        </w:rPr>
        <w:t>se</w:t>
      </w:r>
      <w:r w:rsidR="00AC2D01" w:rsidRPr="003516DC">
        <w:rPr>
          <w:rFonts w:ascii="Arial" w:hAnsi="Arial" w:cs="Arial"/>
          <w:sz w:val="20"/>
          <w:szCs w:val="20"/>
        </w:rPr>
        <w:t xml:space="preserve"> the intervention areas</w:t>
      </w:r>
      <w:r>
        <w:rPr>
          <w:rFonts w:ascii="Arial" w:hAnsi="Arial" w:cs="Arial"/>
          <w:sz w:val="20"/>
          <w:szCs w:val="20"/>
        </w:rPr>
        <w:t>,</w:t>
      </w:r>
      <w:r w:rsidR="00AC2D01" w:rsidRPr="003516DC">
        <w:rPr>
          <w:rFonts w:ascii="Arial" w:hAnsi="Arial" w:cs="Arial"/>
          <w:sz w:val="20"/>
          <w:szCs w:val="20"/>
        </w:rPr>
        <w:t xml:space="preserve"> the following issue</w:t>
      </w:r>
      <w:r>
        <w:rPr>
          <w:rFonts w:ascii="Arial" w:hAnsi="Arial" w:cs="Arial"/>
          <w:sz w:val="20"/>
          <w:szCs w:val="20"/>
        </w:rPr>
        <w:t>s</w:t>
      </w:r>
      <w:r w:rsidR="00AC2D01" w:rsidRPr="003516DC">
        <w:rPr>
          <w:rFonts w:ascii="Arial" w:hAnsi="Arial" w:cs="Arial"/>
          <w:sz w:val="20"/>
          <w:szCs w:val="20"/>
        </w:rPr>
        <w:t xml:space="preserve"> were considered:</w:t>
      </w:r>
    </w:p>
    <w:p w14:paraId="690E0802" w14:textId="440B9D32" w:rsidR="00AC2D01" w:rsidRPr="003516DC" w:rsidRDefault="00AC2D01" w:rsidP="00AC2D01">
      <w:pPr>
        <w:pStyle w:val="ListParagraph"/>
        <w:numPr>
          <w:ilvl w:val="1"/>
          <w:numId w:val="6"/>
        </w:numPr>
        <w:spacing w:line="240" w:lineRule="auto"/>
        <w:ind w:left="360"/>
        <w:jc w:val="both"/>
        <w:rPr>
          <w:sz w:val="20"/>
          <w:szCs w:val="20"/>
        </w:rPr>
      </w:pPr>
      <w:r w:rsidRPr="003516DC">
        <w:rPr>
          <w:sz w:val="20"/>
          <w:szCs w:val="20"/>
        </w:rPr>
        <w:t xml:space="preserve">The synergy </w:t>
      </w:r>
      <w:r w:rsidR="0042633B">
        <w:rPr>
          <w:sz w:val="20"/>
          <w:szCs w:val="20"/>
        </w:rPr>
        <w:t>between</w:t>
      </w:r>
      <w:r w:rsidRPr="003516DC">
        <w:rPr>
          <w:sz w:val="20"/>
          <w:szCs w:val="20"/>
        </w:rPr>
        <w:t xml:space="preserve"> </w:t>
      </w:r>
      <w:r w:rsidR="0042633B" w:rsidRPr="003516DC">
        <w:rPr>
          <w:sz w:val="20"/>
          <w:szCs w:val="20"/>
        </w:rPr>
        <w:t xml:space="preserve">intervention </w:t>
      </w:r>
      <w:r w:rsidRPr="003516DC">
        <w:rPr>
          <w:sz w:val="20"/>
          <w:szCs w:val="20"/>
        </w:rPr>
        <w:t xml:space="preserve">areas </w:t>
      </w:r>
      <w:r w:rsidR="0042633B">
        <w:rPr>
          <w:sz w:val="20"/>
          <w:szCs w:val="20"/>
        </w:rPr>
        <w:t xml:space="preserve">that </w:t>
      </w:r>
      <w:r w:rsidRPr="003516DC">
        <w:rPr>
          <w:sz w:val="20"/>
          <w:szCs w:val="20"/>
        </w:rPr>
        <w:t xml:space="preserve">lead to higher outcomes and results, </w:t>
      </w:r>
      <w:r w:rsidR="00A91EC4" w:rsidRPr="003516DC">
        <w:rPr>
          <w:sz w:val="20"/>
          <w:szCs w:val="20"/>
        </w:rPr>
        <w:t>e.g.,</w:t>
      </w:r>
      <w:r w:rsidRPr="003516DC">
        <w:rPr>
          <w:sz w:val="20"/>
          <w:szCs w:val="20"/>
        </w:rPr>
        <w:t xml:space="preserve"> repurposing of former industrial sites into industrial parks that leads to economic development, diversification and employment, or into solar energy production capacity, etc. </w:t>
      </w:r>
    </w:p>
    <w:p w14:paraId="5A5632FB" w14:textId="3C28D6B9" w:rsidR="00AC2D01" w:rsidRPr="003516DC" w:rsidRDefault="00AC2D01" w:rsidP="00AC2D01">
      <w:pPr>
        <w:pStyle w:val="ListParagraph"/>
        <w:numPr>
          <w:ilvl w:val="1"/>
          <w:numId w:val="6"/>
        </w:numPr>
        <w:spacing w:before="240" w:line="240" w:lineRule="auto"/>
        <w:ind w:left="360"/>
        <w:jc w:val="both"/>
        <w:rPr>
          <w:sz w:val="20"/>
          <w:szCs w:val="20"/>
        </w:rPr>
      </w:pPr>
      <w:r w:rsidRPr="003516DC">
        <w:rPr>
          <w:sz w:val="20"/>
          <w:szCs w:val="20"/>
        </w:rPr>
        <w:t>The capacity and commitment of local actors and promotors to implement the interventions and the existing precondition</w:t>
      </w:r>
      <w:r w:rsidR="0042633B">
        <w:rPr>
          <w:sz w:val="20"/>
          <w:szCs w:val="20"/>
        </w:rPr>
        <w:t>s,</w:t>
      </w:r>
      <w:r w:rsidRPr="003516DC">
        <w:rPr>
          <w:sz w:val="20"/>
          <w:szCs w:val="20"/>
        </w:rPr>
        <w:t xml:space="preserve"> e.g.</w:t>
      </w:r>
      <w:r w:rsidR="0042633B">
        <w:rPr>
          <w:sz w:val="20"/>
          <w:szCs w:val="20"/>
        </w:rPr>
        <w:t>,</w:t>
      </w:r>
      <w:r w:rsidRPr="003516DC">
        <w:rPr>
          <w:sz w:val="20"/>
          <w:szCs w:val="20"/>
        </w:rPr>
        <w:t xml:space="preserve"> clear property of the former industrial sites, public consent on the repurposing of the sites, etc.</w:t>
      </w:r>
    </w:p>
    <w:p w14:paraId="1AB46A42" w14:textId="3BFE02DB" w:rsidR="005B3DDF" w:rsidRDefault="00AC2D01" w:rsidP="00854A6F">
      <w:pPr>
        <w:pStyle w:val="ListParagraph"/>
        <w:numPr>
          <w:ilvl w:val="1"/>
          <w:numId w:val="6"/>
        </w:numPr>
        <w:spacing w:after="120" w:line="240" w:lineRule="auto"/>
        <w:ind w:left="360"/>
        <w:jc w:val="both"/>
        <w:rPr>
          <w:sz w:val="20"/>
          <w:szCs w:val="20"/>
        </w:rPr>
      </w:pPr>
      <w:r w:rsidRPr="003436D3">
        <w:rPr>
          <w:sz w:val="20"/>
          <w:szCs w:val="20"/>
        </w:rPr>
        <w:t xml:space="preserve">The lessons learnt from the former closure of the Hunedoara’s mining and steel sector process, especially </w:t>
      </w:r>
      <w:r w:rsidR="0042633B" w:rsidRPr="003436D3">
        <w:rPr>
          <w:sz w:val="20"/>
          <w:szCs w:val="20"/>
        </w:rPr>
        <w:t>in</w:t>
      </w:r>
      <w:r w:rsidRPr="003436D3">
        <w:rPr>
          <w:sz w:val="20"/>
          <w:szCs w:val="20"/>
        </w:rPr>
        <w:t xml:space="preserve"> reskilling</w:t>
      </w:r>
      <w:r w:rsidR="0042633B">
        <w:rPr>
          <w:sz w:val="20"/>
          <w:szCs w:val="20"/>
        </w:rPr>
        <w:t>/</w:t>
      </w:r>
      <w:r w:rsidRPr="003436D3">
        <w:rPr>
          <w:sz w:val="20"/>
          <w:szCs w:val="20"/>
        </w:rPr>
        <w:t xml:space="preserve">requalification of the laid off personnel and entrepreneurship development.  </w:t>
      </w:r>
    </w:p>
    <w:p w14:paraId="1F6CC97E" w14:textId="6E3F6512" w:rsidR="00A91EC4" w:rsidRDefault="00A91EC4" w:rsidP="00CF1AD9">
      <w:pPr>
        <w:pStyle w:val="Caption"/>
        <w:spacing w:before="120"/>
        <w:ind w:left="1138" w:hanging="1138"/>
      </w:pPr>
      <w:bookmarkStart w:id="138" w:name="_Toc90725982"/>
      <w:bookmarkStart w:id="139" w:name="_Toc90727279"/>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28</w:t>
      </w:r>
      <w:r w:rsidRPr="003516DC">
        <w:rPr>
          <w:noProof/>
        </w:rPr>
        <w:fldChar w:fldCharType="end"/>
      </w:r>
      <w:r w:rsidRPr="003516DC">
        <w:t xml:space="preserve">: </w:t>
      </w:r>
      <w:r>
        <w:t xml:space="preserve">Justification for proposed JTF operation in Hunedoara </w:t>
      </w:r>
      <w:r w:rsidR="00B002A3">
        <w:t>C</w:t>
      </w:r>
      <w:r>
        <w:t>ounty</w:t>
      </w:r>
      <w:bookmarkEnd w:id="138"/>
      <w:bookmarkEnd w:id="139"/>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5"/>
        <w:gridCol w:w="4762"/>
      </w:tblGrid>
      <w:tr w:rsidR="00A91EC4" w:rsidRPr="00A91EC4" w14:paraId="14D58385" w14:textId="77777777" w:rsidTr="006E7A76">
        <w:trPr>
          <w:trHeight w:val="52"/>
          <w:tblHeader/>
        </w:trPr>
        <w:tc>
          <w:tcPr>
            <w:tcW w:w="5000" w:type="pct"/>
            <w:gridSpan w:val="2"/>
            <w:tcBorders>
              <w:top w:val="single" w:sz="4" w:space="0" w:color="auto"/>
              <w:left w:val="single" w:sz="4" w:space="0" w:color="auto"/>
              <w:bottom w:val="single" w:sz="4" w:space="0" w:color="auto"/>
              <w:right w:val="single" w:sz="4" w:space="0" w:color="auto"/>
            </w:tcBorders>
            <w:shd w:val="clear" w:color="auto" w:fill="002060"/>
            <w:tcMar>
              <w:top w:w="100" w:type="dxa"/>
              <w:left w:w="100" w:type="dxa"/>
              <w:bottom w:w="100" w:type="dxa"/>
              <w:right w:w="100" w:type="dxa"/>
            </w:tcMar>
            <w:vAlign w:val="center"/>
          </w:tcPr>
          <w:p w14:paraId="0D65C8D0" w14:textId="77777777" w:rsidR="00A91EC4" w:rsidRPr="00A91EC4" w:rsidRDefault="00A91EC4">
            <w:pPr>
              <w:spacing w:line="256" w:lineRule="auto"/>
              <w:jc w:val="center"/>
              <w:rPr>
                <w:rFonts w:ascii="Arial" w:hAnsi="Arial" w:cs="Arial"/>
                <w:b/>
                <w:bCs/>
                <w:sz w:val="18"/>
                <w:szCs w:val="18"/>
                <w:highlight w:val="white"/>
              </w:rPr>
            </w:pPr>
          </w:p>
        </w:tc>
      </w:tr>
      <w:tr w:rsidR="00A91EC4" w:rsidRPr="00A91EC4" w14:paraId="3A13F544" w14:textId="77777777" w:rsidTr="006E7A76">
        <w:trPr>
          <w:trHeight w:val="737"/>
          <w:tblHeader/>
        </w:trPr>
        <w:tc>
          <w:tcPr>
            <w:tcW w:w="2411"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00" w:type="dxa"/>
              <w:left w:w="100" w:type="dxa"/>
              <w:bottom w:w="100" w:type="dxa"/>
              <w:right w:w="100" w:type="dxa"/>
            </w:tcMar>
            <w:vAlign w:val="center"/>
            <w:hideMark/>
          </w:tcPr>
          <w:p w14:paraId="5E234262" w14:textId="154D8392" w:rsidR="00A91EC4" w:rsidRPr="00A91EC4" w:rsidRDefault="00A91EC4">
            <w:pPr>
              <w:spacing w:line="256" w:lineRule="auto"/>
              <w:jc w:val="both"/>
              <w:rPr>
                <w:rFonts w:ascii="Arial" w:hAnsi="Arial" w:cs="Arial"/>
                <w:b/>
                <w:bCs/>
                <w:sz w:val="18"/>
                <w:szCs w:val="18"/>
              </w:rPr>
            </w:pPr>
            <w:r w:rsidRPr="00A91EC4">
              <w:rPr>
                <w:rFonts w:ascii="Arial" w:hAnsi="Arial" w:cs="Arial"/>
                <w:b/>
                <w:bCs/>
                <w:sz w:val="18"/>
                <w:szCs w:val="18"/>
                <w:lang w:val="en-US"/>
              </w:rPr>
              <w:t>Based on local challenges analysis</w:t>
            </w:r>
            <w:r w:rsidR="004F5558">
              <w:rPr>
                <w:rStyle w:val="FootnoteReference"/>
                <w:rFonts w:ascii="Arial" w:hAnsi="Arial" w:cs="Arial"/>
                <w:b/>
                <w:bCs/>
                <w:sz w:val="18"/>
                <w:szCs w:val="18"/>
                <w:lang w:val="en-US"/>
              </w:rPr>
              <w:footnoteReference w:id="71"/>
            </w:r>
          </w:p>
        </w:tc>
        <w:tc>
          <w:tcPr>
            <w:tcW w:w="2588"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00" w:type="dxa"/>
              <w:left w:w="100" w:type="dxa"/>
              <w:bottom w:w="100" w:type="dxa"/>
              <w:right w:w="100" w:type="dxa"/>
            </w:tcMar>
            <w:vAlign w:val="center"/>
            <w:hideMark/>
          </w:tcPr>
          <w:p w14:paraId="09B684DE" w14:textId="1260B5E4" w:rsidR="00A91EC4" w:rsidRPr="00A91EC4" w:rsidRDefault="00A91EC4" w:rsidP="006E7A76">
            <w:pPr>
              <w:spacing w:line="257" w:lineRule="auto"/>
              <w:jc w:val="both"/>
              <w:rPr>
                <w:rFonts w:ascii="Arial" w:hAnsi="Arial" w:cs="Arial"/>
                <w:b/>
                <w:bCs/>
                <w:sz w:val="18"/>
                <w:szCs w:val="18"/>
                <w:lang w:val="en-US"/>
              </w:rPr>
            </w:pPr>
            <w:bookmarkStart w:id="140" w:name="_Hlk89709869"/>
            <w:r w:rsidRPr="00A91EC4">
              <w:rPr>
                <w:rFonts w:ascii="Arial" w:hAnsi="Arial" w:cs="Arial"/>
                <w:b/>
                <w:bCs/>
                <w:sz w:val="18"/>
                <w:szCs w:val="18"/>
              </w:rPr>
              <w:t xml:space="preserve">Identified as priority to address the impact of the transition by the stakeholders and from the trends analysis and </w:t>
            </w:r>
            <w:r w:rsidR="00A776E4">
              <w:rPr>
                <w:rFonts w:ascii="Arial" w:hAnsi="Arial" w:cs="Arial"/>
                <w:b/>
                <w:bCs/>
                <w:sz w:val="18"/>
                <w:szCs w:val="18"/>
              </w:rPr>
              <w:t>potentially</w:t>
            </w:r>
            <w:r w:rsidR="00E17EA8">
              <w:rPr>
                <w:rFonts w:ascii="Arial" w:hAnsi="Arial" w:cs="Arial"/>
                <w:b/>
                <w:bCs/>
                <w:sz w:val="18"/>
                <w:szCs w:val="18"/>
              </w:rPr>
              <w:t xml:space="preserve"> </w:t>
            </w:r>
            <w:r w:rsidRPr="00A91EC4">
              <w:rPr>
                <w:rFonts w:ascii="Arial" w:hAnsi="Arial" w:cs="Arial"/>
                <w:b/>
                <w:bCs/>
                <w:sz w:val="18"/>
                <w:szCs w:val="18"/>
              </w:rPr>
              <w:t>in scope of the JTF Regulation</w:t>
            </w:r>
            <w:bookmarkEnd w:id="140"/>
          </w:p>
        </w:tc>
      </w:tr>
      <w:tr w:rsidR="00A91EC4" w:rsidRPr="00A91EC4" w14:paraId="44E5E600" w14:textId="77777777" w:rsidTr="006E7A76">
        <w:trPr>
          <w:trHeight w:val="20"/>
        </w:trPr>
        <w:tc>
          <w:tcPr>
            <w:tcW w:w="2411"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AB50985" w14:textId="63D6C53C" w:rsidR="00A91EC4" w:rsidRPr="000A7086" w:rsidRDefault="00B26BB1" w:rsidP="00E42342">
            <w:pPr>
              <w:pStyle w:val="ListParagraph"/>
              <w:numPr>
                <w:ilvl w:val="3"/>
                <w:numId w:val="254"/>
              </w:numPr>
              <w:spacing w:line="256" w:lineRule="auto"/>
              <w:ind w:left="325"/>
              <w:contextualSpacing w:val="0"/>
              <w:rPr>
                <w:color w:val="000000" w:themeColor="text1"/>
                <w:sz w:val="18"/>
                <w:szCs w:val="18"/>
              </w:rPr>
            </w:pPr>
            <w:r w:rsidRPr="00A91EC4">
              <w:rPr>
                <w:color w:val="000000" w:themeColor="text1"/>
                <w:sz w:val="18"/>
                <w:szCs w:val="18"/>
              </w:rPr>
              <w:t>Lack of clarity over the transition process and of Hunedoara energy complex (state-owned enterprise)</w:t>
            </w:r>
            <w:r>
              <w:rPr>
                <w:color w:val="000000" w:themeColor="text1"/>
                <w:sz w:val="18"/>
                <w:szCs w:val="18"/>
              </w:rPr>
              <w:t xml:space="preserve">: </w:t>
            </w:r>
            <w:r w:rsidR="00A91EC4" w:rsidRPr="000A7086">
              <w:rPr>
                <w:color w:val="000000" w:themeColor="text1"/>
                <w:sz w:val="18"/>
                <w:szCs w:val="18"/>
              </w:rPr>
              <w:t xml:space="preserve">Hunedoara Energy Complex, is currently in insolvency and does not yet have a clear and agreed restructuring plan or a timeline for the phase-out of </w:t>
            </w:r>
            <w:r w:rsidRPr="000A7086">
              <w:rPr>
                <w:color w:val="000000" w:themeColor="text1"/>
                <w:sz w:val="18"/>
                <w:szCs w:val="18"/>
              </w:rPr>
              <w:t>its coal operations</w:t>
            </w:r>
          </w:p>
          <w:p w14:paraId="39C810F7" w14:textId="77777777" w:rsidR="00A91EC4" w:rsidRPr="00A91EC4" w:rsidRDefault="00A91EC4" w:rsidP="00E42342">
            <w:pPr>
              <w:pStyle w:val="ListParagraph"/>
              <w:numPr>
                <w:ilvl w:val="3"/>
                <w:numId w:val="254"/>
              </w:numPr>
              <w:spacing w:line="256" w:lineRule="auto"/>
              <w:ind w:left="325"/>
              <w:contextualSpacing w:val="0"/>
              <w:rPr>
                <w:color w:val="000000" w:themeColor="text1"/>
                <w:sz w:val="18"/>
                <w:szCs w:val="18"/>
              </w:rPr>
            </w:pPr>
            <w:r w:rsidRPr="00A91EC4">
              <w:rPr>
                <w:color w:val="000000" w:themeColor="text1"/>
                <w:sz w:val="18"/>
                <w:szCs w:val="18"/>
              </w:rPr>
              <w:t>Lack of interest, low engagement and energy transition fatigue (overlap of several technical assistance projects)</w:t>
            </w:r>
          </w:p>
          <w:p w14:paraId="4B3F97FD" w14:textId="77777777"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b/>
                <w:color w:val="000000" w:themeColor="text1"/>
                <w:sz w:val="18"/>
                <w:szCs w:val="18"/>
              </w:rPr>
              <w:t xml:space="preserve">Air pollution, land degradation and soil pollution/contamination </w:t>
            </w:r>
            <w:r w:rsidRPr="00A91EC4">
              <w:rPr>
                <w:color w:val="000000" w:themeColor="text1"/>
                <w:sz w:val="18"/>
                <w:szCs w:val="18"/>
              </w:rPr>
              <w:t xml:space="preserve">are major environmental issues </w:t>
            </w:r>
          </w:p>
          <w:p w14:paraId="61B6B0F4" w14:textId="07DFCC2C" w:rsidR="00A91EC4" w:rsidRPr="00A91EC4" w:rsidRDefault="00A91EC4" w:rsidP="00E42342">
            <w:pPr>
              <w:pStyle w:val="ListParagraph"/>
              <w:numPr>
                <w:ilvl w:val="0"/>
                <w:numId w:val="255"/>
              </w:numPr>
              <w:spacing w:line="256" w:lineRule="auto"/>
              <w:contextualSpacing w:val="0"/>
              <w:rPr>
                <w:color w:val="000000" w:themeColor="text1"/>
                <w:sz w:val="18"/>
                <w:szCs w:val="18"/>
              </w:rPr>
            </w:pPr>
            <w:r w:rsidRPr="00A91EC4">
              <w:rPr>
                <w:b/>
                <w:color w:val="000000" w:themeColor="text1"/>
                <w:sz w:val="18"/>
                <w:szCs w:val="18"/>
              </w:rPr>
              <w:t>Coal burning is main source of emissions (90%) - Mintia Power plan</w:t>
            </w:r>
            <w:r w:rsidR="00723C05">
              <w:rPr>
                <w:b/>
                <w:color w:val="000000" w:themeColor="text1"/>
                <w:sz w:val="18"/>
                <w:szCs w:val="18"/>
              </w:rPr>
              <w:t>t</w:t>
            </w:r>
            <w:r w:rsidRPr="00A91EC4">
              <w:rPr>
                <w:b/>
                <w:color w:val="000000" w:themeColor="text1"/>
                <w:sz w:val="18"/>
                <w:szCs w:val="18"/>
              </w:rPr>
              <w:t xml:space="preserve"> </w:t>
            </w:r>
            <w:r w:rsidRPr="00A91EC4">
              <w:rPr>
                <w:color w:val="000000" w:themeColor="text1"/>
                <w:sz w:val="18"/>
                <w:szCs w:val="18"/>
              </w:rPr>
              <w:t>currently operates without an integrated environmental permit and without pollution reduction (desulphurisation) facilities</w:t>
            </w:r>
          </w:p>
          <w:p w14:paraId="38AF7DFF" w14:textId="77777777" w:rsidR="00A91EC4" w:rsidRPr="00A91EC4" w:rsidRDefault="00A91EC4" w:rsidP="00E42342">
            <w:pPr>
              <w:pStyle w:val="ListParagraph"/>
              <w:numPr>
                <w:ilvl w:val="0"/>
                <w:numId w:val="255"/>
              </w:numPr>
              <w:tabs>
                <w:tab w:val="left" w:pos="1642"/>
              </w:tabs>
              <w:spacing w:line="256" w:lineRule="auto"/>
              <w:contextualSpacing w:val="0"/>
              <w:rPr>
                <w:b/>
                <w:color w:val="000000" w:themeColor="text1"/>
                <w:sz w:val="18"/>
                <w:szCs w:val="18"/>
              </w:rPr>
            </w:pPr>
            <w:r w:rsidRPr="00A91EC4">
              <w:rPr>
                <w:color w:val="000000" w:themeColor="text1"/>
                <w:sz w:val="18"/>
                <w:szCs w:val="18"/>
              </w:rPr>
              <w:t>Mining, waste dumps, ashes, slags, ores extraction, steel</w:t>
            </w:r>
          </w:p>
          <w:p w14:paraId="3F81750E" w14:textId="6BC47A69" w:rsidR="00A91EC4" w:rsidRPr="00A91EC4" w:rsidRDefault="00A91EC4" w:rsidP="00E42342">
            <w:pPr>
              <w:pStyle w:val="ListParagraph"/>
              <w:numPr>
                <w:ilvl w:val="0"/>
                <w:numId w:val="255"/>
              </w:numPr>
              <w:tabs>
                <w:tab w:val="left" w:pos="1642"/>
              </w:tabs>
              <w:spacing w:line="256" w:lineRule="auto"/>
              <w:contextualSpacing w:val="0"/>
              <w:rPr>
                <w:b/>
                <w:color w:val="000000" w:themeColor="text1"/>
                <w:sz w:val="18"/>
                <w:szCs w:val="18"/>
              </w:rPr>
            </w:pPr>
            <w:r w:rsidRPr="00A91EC4">
              <w:rPr>
                <w:color w:val="000000" w:themeColor="text1"/>
                <w:sz w:val="18"/>
                <w:szCs w:val="18"/>
              </w:rPr>
              <w:t xml:space="preserve">Water pollution of underground waters, Jiu and </w:t>
            </w:r>
            <w:r w:rsidR="004F70E0">
              <w:rPr>
                <w:color w:val="000000" w:themeColor="text1"/>
                <w:sz w:val="18"/>
                <w:szCs w:val="18"/>
              </w:rPr>
              <w:t>Mureș</w:t>
            </w:r>
            <w:r w:rsidRPr="00A91EC4">
              <w:rPr>
                <w:color w:val="000000" w:themeColor="text1"/>
                <w:sz w:val="18"/>
                <w:szCs w:val="18"/>
              </w:rPr>
              <w:t xml:space="preserve"> rivers due to mining</w:t>
            </w:r>
          </w:p>
          <w:p w14:paraId="6474769F" w14:textId="1F2DAC1A" w:rsidR="00A91EC4" w:rsidRPr="00A91EC4" w:rsidRDefault="00A91EC4" w:rsidP="00E42342">
            <w:pPr>
              <w:pStyle w:val="ListParagraph"/>
              <w:numPr>
                <w:ilvl w:val="0"/>
                <w:numId w:val="255"/>
              </w:numPr>
              <w:tabs>
                <w:tab w:val="left" w:pos="1642"/>
              </w:tabs>
              <w:spacing w:line="256" w:lineRule="auto"/>
              <w:contextualSpacing w:val="0"/>
              <w:rPr>
                <w:color w:val="000000" w:themeColor="text1"/>
                <w:sz w:val="18"/>
                <w:szCs w:val="18"/>
              </w:rPr>
            </w:pPr>
            <w:r w:rsidRPr="00A91EC4">
              <w:rPr>
                <w:color w:val="000000" w:themeColor="text1"/>
                <w:sz w:val="18"/>
                <w:szCs w:val="18"/>
              </w:rPr>
              <w:t xml:space="preserve">210 contaminated sites (nearly 20% </w:t>
            </w:r>
            <w:r w:rsidR="00B26BB1">
              <w:rPr>
                <w:color w:val="000000" w:themeColor="text1"/>
                <w:sz w:val="18"/>
                <w:szCs w:val="18"/>
              </w:rPr>
              <w:t xml:space="preserve">of all sites registered </w:t>
            </w:r>
            <w:r w:rsidRPr="00A91EC4">
              <w:rPr>
                <w:color w:val="000000" w:themeColor="text1"/>
                <w:sz w:val="18"/>
                <w:szCs w:val="18"/>
              </w:rPr>
              <w:t>nationally) in Hunedoara</w:t>
            </w:r>
          </w:p>
          <w:p w14:paraId="62F7981D" w14:textId="6352995A"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color w:val="000000" w:themeColor="text1"/>
                <w:sz w:val="18"/>
                <w:szCs w:val="18"/>
              </w:rPr>
              <w:t>High urbani</w:t>
            </w:r>
            <w:r w:rsidR="004E7B64">
              <w:rPr>
                <w:color w:val="000000" w:themeColor="text1"/>
                <w:sz w:val="18"/>
                <w:szCs w:val="18"/>
              </w:rPr>
              <w:t>sation</w:t>
            </w:r>
            <w:r w:rsidRPr="00A91EC4">
              <w:rPr>
                <w:color w:val="000000" w:themeColor="text1"/>
                <w:sz w:val="18"/>
                <w:szCs w:val="18"/>
              </w:rPr>
              <w:t xml:space="preserve"> degree but decaying urban mono-industrial areas (mining, steel, metallurgical)</w:t>
            </w:r>
          </w:p>
          <w:p w14:paraId="4F936F05" w14:textId="12F3C855"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color w:val="000000" w:themeColor="text1"/>
                <w:sz w:val="18"/>
                <w:szCs w:val="18"/>
              </w:rPr>
              <w:t>High</w:t>
            </w:r>
            <w:r w:rsidR="00B26BB1">
              <w:rPr>
                <w:color w:val="000000" w:themeColor="text1"/>
                <w:sz w:val="18"/>
                <w:szCs w:val="18"/>
              </w:rPr>
              <w:t>est</w:t>
            </w:r>
            <w:r w:rsidRPr="00A91EC4">
              <w:rPr>
                <w:color w:val="000000" w:themeColor="text1"/>
                <w:sz w:val="18"/>
                <w:szCs w:val="18"/>
              </w:rPr>
              <w:t xml:space="preserve"> level</w:t>
            </w:r>
            <w:r w:rsidR="00B26BB1">
              <w:rPr>
                <w:color w:val="000000" w:themeColor="text1"/>
                <w:sz w:val="18"/>
                <w:szCs w:val="18"/>
              </w:rPr>
              <w:t xml:space="preserve"> </w:t>
            </w:r>
            <w:r w:rsidRPr="00A91EC4">
              <w:rPr>
                <w:color w:val="000000" w:themeColor="text1"/>
                <w:sz w:val="18"/>
                <w:szCs w:val="18"/>
              </w:rPr>
              <w:t>of energy poverty</w:t>
            </w:r>
            <w:r w:rsidR="00B26BB1">
              <w:rPr>
                <w:color w:val="000000" w:themeColor="text1"/>
                <w:sz w:val="18"/>
                <w:szCs w:val="18"/>
              </w:rPr>
              <w:t xml:space="preserve"> in the six affected regions</w:t>
            </w:r>
          </w:p>
          <w:p w14:paraId="6616EE87" w14:textId="4E83C72B"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color w:val="000000" w:themeColor="text1"/>
                <w:sz w:val="18"/>
                <w:szCs w:val="18"/>
              </w:rPr>
              <w:t xml:space="preserve">Environmental technology transfer and remediation services could trigger additional growth and </w:t>
            </w:r>
            <w:r w:rsidR="00B26BB1">
              <w:rPr>
                <w:color w:val="000000" w:themeColor="text1"/>
                <w:sz w:val="18"/>
                <w:szCs w:val="18"/>
              </w:rPr>
              <w:t>enable the development of</w:t>
            </w:r>
            <w:r w:rsidRPr="00A91EC4">
              <w:rPr>
                <w:color w:val="000000" w:themeColor="text1"/>
                <w:sz w:val="18"/>
                <w:szCs w:val="18"/>
              </w:rPr>
              <w:t xml:space="preserve"> tourism</w:t>
            </w:r>
            <w:r w:rsidR="00B26BB1">
              <w:rPr>
                <w:color w:val="000000" w:themeColor="text1"/>
                <w:sz w:val="18"/>
                <w:szCs w:val="18"/>
              </w:rPr>
              <w:t xml:space="preserve"> at the county level</w:t>
            </w:r>
          </w:p>
          <w:p w14:paraId="18C99779" w14:textId="77777777" w:rsidR="00A91EC4" w:rsidRPr="00A91EC4" w:rsidRDefault="00A91EC4" w:rsidP="00E42342">
            <w:pPr>
              <w:pStyle w:val="ListParagraph"/>
              <w:numPr>
                <w:ilvl w:val="0"/>
                <w:numId w:val="254"/>
              </w:numPr>
              <w:spacing w:line="256" w:lineRule="auto"/>
              <w:contextualSpacing w:val="0"/>
              <w:rPr>
                <w:color w:val="000000" w:themeColor="text1"/>
                <w:sz w:val="18"/>
                <w:szCs w:val="18"/>
              </w:rPr>
            </w:pPr>
            <w:r w:rsidRPr="00A91EC4">
              <w:rPr>
                <w:color w:val="000000" w:themeColor="text1"/>
                <w:sz w:val="18"/>
                <w:szCs w:val="18"/>
              </w:rPr>
              <w:t>Potential to repurpose degraded land owned by public authorities and multiple funding sources available at the regional level.</w:t>
            </w:r>
          </w:p>
        </w:tc>
        <w:tc>
          <w:tcPr>
            <w:tcW w:w="2588"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8C4BC0D" w14:textId="693F61CC" w:rsidR="00A91EC4" w:rsidRDefault="00A91EC4">
            <w:pPr>
              <w:spacing w:line="256" w:lineRule="auto"/>
              <w:rPr>
                <w:rFonts w:ascii="Arial" w:hAnsi="Arial" w:cs="Arial"/>
                <w:color w:val="000000" w:themeColor="text1"/>
                <w:sz w:val="18"/>
                <w:szCs w:val="18"/>
              </w:rPr>
            </w:pPr>
            <w:r w:rsidRPr="00A91EC4">
              <w:rPr>
                <w:rFonts w:ascii="Arial" w:hAnsi="Arial" w:cs="Arial"/>
                <w:b/>
                <w:bCs/>
                <w:color w:val="000000" w:themeColor="text1"/>
                <w:sz w:val="18"/>
                <w:szCs w:val="18"/>
              </w:rPr>
              <w:t>Type 1:</w:t>
            </w:r>
            <w:r w:rsidRPr="00A91EC4">
              <w:rPr>
                <w:rFonts w:ascii="Arial" w:hAnsi="Arial" w:cs="Arial"/>
                <w:color w:val="000000" w:themeColor="text1"/>
                <w:sz w:val="18"/>
                <w:szCs w:val="18"/>
              </w:rPr>
              <w:t xml:space="preserve"> Supporting investments in clean energy technologies and infrastructure to reduce pollution and strengthen the circular economy</w:t>
            </w:r>
          </w:p>
          <w:p w14:paraId="284644A6" w14:textId="77777777" w:rsidR="000E3635" w:rsidRPr="00A91EC4" w:rsidRDefault="000E3635">
            <w:pPr>
              <w:spacing w:line="256" w:lineRule="auto"/>
              <w:rPr>
                <w:rFonts w:ascii="Arial" w:hAnsi="Arial" w:cs="Arial"/>
                <w:color w:val="000000" w:themeColor="text1"/>
                <w:sz w:val="18"/>
                <w:szCs w:val="18"/>
              </w:rPr>
            </w:pPr>
          </w:p>
          <w:p w14:paraId="7E6EEFF2" w14:textId="77777777" w:rsidR="00A91EC4" w:rsidRPr="00A91EC4" w:rsidRDefault="00A91EC4" w:rsidP="001F0479">
            <w:pPr>
              <w:pStyle w:val="ListParagraph"/>
              <w:numPr>
                <w:ilvl w:val="0"/>
                <w:numId w:val="337"/>
              </w:numPr>
              <w:spacing w:line="256" w:lineRule="auto"/>
              <w:contextualSpacing w:val="0"/>
              <w:rPr>
                <w:color w:val="000000" w:themeColor="text1"/>
                <w:sz w:val="18"/>
                <w:szCs w:val="18"/>
              </w:rPr>
            </w:pPr>
            <w:r w:rsidRPr="00A91EC4">
              <w:rPr>
                <w:color w:val="000000" w:themeColor="text1"/>
                <w:sz w:val="18"/>
                <w:szCs w:val="18"/>
              </w:rPr>
              <w:t xml:space="preserve">Public investments in </w:t>
            </w:r>
            <w:r w:rsidRPr="00A91EC4">
              <w:rPr>
                <w:b/>
                <w:color w:val="000000" w:themeColor="text1"/>
                <w:sz w:val="18"/>
                <w:szCs w:val="18"/>
              </w:rPr>
              <w:t>regeneration and decontamination of sites and land restoration</w:t>
            </w:r>
            <w:r w:rsidRPr="00A91EC4">
              <w:rPr>
                <w:color w:val="000000" w:themeColor="text1"/>
                <w:sz w:val="18"/>
                <w:szCs w:val="18"/>
              </w:rPr>
              <w:t>– focus on the rehabilitation of degraded and contaminated industrial sites and their inclusion in the economic circuit.</w:t>
            </w:r>
          </w:p>
          <w:p w14:paraId="4A8CF532" w14:textId="7AFB9C50" w:rsidR="00A91EC4" w:rsidRPr="00A91EC4" w:rsidRDefault="00A91EC4" w:rsidP="001F0479">
            <w:pPr>
              <w:pStyle w:val="ListParagraph"/>
              <w:numPr>
                <w:ilvl w:val="0"/>
                <w:numId w:val="337"/>
              </w:numPr>
              <w:spacing w:line="256" w:lineRule="auto"/>
              <w:contextualSpacing w:val="0"/>
              <w:rPr>
                <w:color w:val="000000" w:themeColor="text1"/>
                <w:sz w:val="18"/>
                <w:szCs w:val="18"/>
              </w:rPr>
            </w:pPr>
            <w:r w:rsidRPr="00A91EC4">
              <w:rPr>
                <w:b/>
                <w:color w:val="000000" w:themeColor="text1"/>
                <w:sz w:val="18"/>
                <w:szCs w:val="18"/>
              </w:rPr>
              <w:t>Repurposing projects</w:t>
            </w:r>
            <w:r w:rsidRPr="00A91EC4">
              <w:rPr>
                <w:color w:val="000000" w:themeColor="text1"/>
                <w:sz w:val="18"/>
                <w:szCs w:val="18"/>
              </w:rPr>
              <w:t xml:space="preserve"> in economic areas: industrial parks, green areas, photovoltaic energy plans or energy cooperative </w:t>
            </w:r>
          </w:p>
          <w:p w14:paraId="5D615DBA" w14:textId="06756E64" w:rsidR="00A91EC4" w:rsidRPr="00A91EC4" w:rsidRDefault="00A91EC4" w:rsidP="001F0479">
            <w:pPr>
              <w:pStyle w:val="ListParagraph"/>
              <w:numPr>
                <w:ilvl w:val="0"/>
                <w:numId w:val="337"/>
              </w:numPr>
              <w:spacing w:line="256" w:lineRule="auto"/>
              <w:contextualSpacing w:val="0"/>
              <w:rPr>
                <w:color w:val="000000" w:themeColor="text1"/>
                <w:sz w:val="18"/>
                <w:szCs w:val="18"/>
              </w:rPr>
            </w:pPr>
            <w:r w:rsidRPr="00A91EC4">
              <w:rPr>
                <w:b/>
                <w:color w:val="000000" w:themeColor="text1"/>
                <w:sz w:val="18"/>
                <w:szCs w:val="18"/>
              </w:rPr>
              <w:t>Investment in research and innovation activities</w:t>
            </w:r>
            <w:r w:rsidRPr="00A91EC4">
              <w:rPr>
                <w:color w:val="000000" w:themeColor="text1"/>
                <w:sz w:val="18"/>
                <w:szCs w:val="18"/>
              </w:rPr>
              <w:t xml:space="preserve"> and fostering transfer of advanced technologies: partnership of </w:t>
            </w:r>
            <w:r w:rsidRPr="00A91EC4">
              <w:rPr>
                <w:b/>
                <w:color w:val="000000" w:themeColor="text1"/>
                <w:sz w:val="18"/>
                <w:szCs w:val="18"/>
              </w:rPr>
              <w:t>Univ. Petrosani/Hunedoara</w:t>
            </w:r>
            <w:r w:rsidRPr="00A91EC4">
              <w:rPr>
                <w:color w:val="000000" w:themeColor="text1"/>
                <w:sz w:val="18"/>
                <w:szCs w:val="18"/>
              </w:rPr>
              <w:t xml:space="preserve"> to develop research centers on renewable/clean energy production and storage, hydrogen production</w:t>
            </w:r>
          </w:p>
          <w:p w14:paraId="7B55973C" w14:textId="25A9DCCC" w:rsidR="00A91EC4" w:rsidRPr="00A91EC4" w:rsidRDefault="00A91EC4" w:rsidP="001F0479">
            <w:pPr>
              <w:pStyle w:val="ListParagraph"/>
              <w:numPr>
                <w:ilvl w:val="0"/>
                <w:numId w:val="337"/>
              </w:numPr>
              <w:spacing w:line="256" w:lineRule="auto"/>
              <w:contextualSpacing w:val="0"/>
              <w:rPr>
                <w:color w:val="000000" w:themeColor="text1"/>
                <w:sz w:val="18"/>
                <w:szCs w:val="18"/>
              </w:rPr>
            </w:pPr>
            <w:r w:rsidRPr="00A91EC4">
              <w:rPr>
                <w:b/>
                <w:color w:val="000000" w:themeColor="text1"/>
                <w:sz w:val="18"/>
                <w:szCs w:val="18"/>
              </w:rPr>
              <w:t>Investments in the deployment of technology and infrastructures for affordable clean energy</w:t>
            </w:r>
            <w:r w:rsidRPr="00A91EC4">
              <w:rPr>
                <w:color w:val="000000" w:themeColor="text1"/>
                <w:sz w:val="18"/>
                <w:szCs w:val="18"/>
              </w:rPr>
              <w:t>, and in the decrease energy poverty:  in the greenhouse gas emission reduction, energy efficiency of buildings (public) and renewable energy, such as wind energy in the Godeanu mountain and solar PV</w:t>
            </w:r>
          </w:p>
          <w:p w14:paraId="1D97E3DE" w14:textId="77777777" w:rsidR="00A91EC4" w:rsidRPr="00A91EC4" w:rsidRDefault="00A91EC4">
            <w:pPr>
              <w:pStyle w:val="ListParagraph"/>
              <w:spacing w:line="256" w:lineRule="auto"/>
              <w:rPr>
                <w:color w:val="000000" w:themeColor="text1"/>
                <w:sz w:val="18"/>
                <w:szCs w:val="18"/>
              </w:rPr>
            </w:pPr>
          </w:p>
          <w:p w14:paraId="670D73EB" w14:textId="77777777" w:rsidR="00A91EC4" w:rsidRPr="00A91EC4" w:rsidRDefault="00A91EC4">
            <w:pPr>
              <w:pStyle w:val="ListParagraph"/>
              <w:spacing w:line="256" w:lineRule="auto"/>
              <w:ind w:left="360"/>
              <w:rPr>
                <w:color w:val="000000" w:themeColor="text1"/>
                <w:sz w:val="18"/>
                <w:szCs w:val="18"/>
              </w:rPr>
            </w:pPr>
          </w:p>
          <w:p w14:paraId="0A24E806" w14:textId="77777777" w:rsidR="00A91EC4" w:rsidRPr="00A91EC4" w:rsidRDefault="00A91EC4">
            <w:pPr>
              <w:spacing w:line="256" w:lineRule="auto"/>
              <w:rPr>
                <w:rFonts w:ascii="Arial" w:hAnsi="Arial" w:cs="Arial"/>
                <w:color w:val="000000" w:themeColor="text1"/>
                <w:sz w:val="18"/>
                <w:szCs w:val="18"/>
              </w:rPr>
            </w:pPr>
          </w:p>
        </w:tc>
      </w:tr>
      <w:tr w:rsidR="00A91EC4" w:rsidRPr="00A91EC4" w14:paraId="3FCA71A3" w14:textId="77777777" w:rsidTr="006E7A76">
        <w:trPr>
          <w:trHeight w:val="790"/>
        </w:trPr>
        <w:tc>
          <w:tcPr>
            <w:tcW w:w="2411"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2B57434" w14:textId="77777777" w:rsidR="00A91EC4" w:rsidRPr="00A91EC4" w:rsidRDefault="00A91EC4" w:rsidP="00E42342">
            <w:pPr>
              <w:pStyle w:val="ListParagraph"/>
              <w:numPr>
                <w:ilvl w:val="0"/>
                <w:numId w:val="256"/>
              </w:numPr>
              <w:tabs>
                <w:tab w:val="left" w:pos="1642"/>
              </w:tabs>
              <w:spacing w:line="256" w:lineRule="auto"/>
              <w:contextualSpacing w:val="0"/>
              <w:rPr>
                <w:b/>
                <w:color w:val="000000" w:themeColor="text1"/>
                <w:sz w:val="18"/>
                <w:szCs w:val="18"/>
              </w:rPr>
            </w:pPr>
            <w:r w:rsidRPr="00A91EC4">
              <w:rPr>
                <w:b/>
                <w:color w:val="000000" w:themeColor="text1"/>
                <w:sz w:val="18"/>
                <w:szCs w:val="18"/>
              </w:rPr>
              <w:t>Massive migration and depressed population</w:t>
            </w:r>
          </w:p>
          <w:p w14:paraId="4637BF70" w14:textId="77777777" w:rsidR="00A91EC4" w:rsidRPr="00A91EC4" w:rsidRDefault="00A91EC4" w:rsidP="00E42342">
            <w:pPr>
              <w:pStyle w:val="ListParagraph"/>
              <w:numPr>
                <w:ilvl w:val="0"/>
                <w:numId w:val="256"/>
              </w:numPr>
              <w:tabs>
                <w:tab w:val="left" w:pos="1642"/>
              </w:tabs>
              <w:spacing w:line="256" w:lineRule="auto"/>
              <w:contextualSpacing w:val="0"/>
              <w:rPr>
                <w:b/>
                <w:color w:val="000000" w:themeColor="text1"/>
                <w:sz w:val="18"/>
                <w:szCs w:val="18"/>
              </w:rPr>
            </w:pPr>
            <w:r w:rsidRPr="00A91EC4">
              <w:rPr>
                <w:color w:val="000000" w:themeColor="text1"/>
                <w:sz w:val="18"/>
                <w:szCs w:val="18"/>
              </w:rPr>
              <w:t>Population enrolled in the educational system decreased between 2014 and 2019 by 20.2%</w:t>
            </w:r>
          </w:p>
          <w:p w14:paraId="63B80FA4" w14:textId="307CA49F" w:rsidR="00A91EC4" w:rsidRPr="00A91EC4" w:rsidRDefault="00A91EC4" w:rsidP="00E42342">
            <w:pPr>
              <w:pStyle w:val="ListParagraph"/>
              <w:numPr>
                <w:ilvl w:val="0"/>
                <w:numId w:val="256"/>
              </w:numPr>
              <w:tabs>
                <w:tab w:val="left" w:pos="1642"/>
              </w:tabs>
              <w:spacing w:line="256" w:lineRule="auto"/>
              <w:contextualSpacing w:val="0"/>
              <w:rPr>
                <w:b/>
                <w:color w:val="000000" w:themeColor="text1"/>
                <w:sz w:val="18"/>
                <w:szCs w:val="18"/>
              </w:rPr>
            </w:pPr>
            <w:r w:rsidRPr="00A91EC4">
              <w:rPr>
                <w:color w:val="000000" w:themeColor="text1"/>
                <w:sz w:val="18"/>
                <w:szCs w:val="18"/>
              </w:rPr>
              <w:t xml:space="preserve">Employment losses in energy &amp; utilities, construction and agriculture </w:t>
            </w:r>
          </w:p>
          <w:p w14:paraId="273CEC42" w14:textId="5CC1FADB" w:rsidR="00A91EC4" w:rsidRPr="00A91EC4" w:rsidRDefault="00A91EC4" w:rsidP="00E42342">
            <w:pPr>
              <w:pStyle w:val="ListParagraph"/>
              <w:numPr>
                <w:ilvl w:val="0"/>
                <w:numId w:val="256"/>
              </w:numPr>
              <w:tabs>
                <w:tab w:val="left" w:pos="1642"/>
              </w:tabs>
              <w:spacing w:line="256" w:lineRule="auto"/>
              <w:contextualSpacing w:val="0"/>
              <w:rPr>
                <w:b/>
                <w:color w:val="000000" w:themeColor="text1"/>
                <w:sz w:val="18"/>
                <w:szCs w:val="18"/>
              </w:rPr>
            </w:pPr>
            <w:r w:rsidRPr="00A91EC4">
              <w:rPr>
                <w:b/>
                <w:color w:val="000000" w:themeColor="text1"/>
                <w:sz w:val="18"/>
                <w:szCs w:val="18"/>
              </w:rPr>
              <w:t>Manufacturing sector</w:t>
            </w:r>
            <w:r w:rsidR="00B26BB1">
              <w:rPr>
                <w:b/>
                <w:color w:val="000000" w:themeColor="text1"/>
                <w:sz w:val="18"/>
                <w:szCs w:val="18"/>
              </w:rPr>
              <w:t xml:space="preserve"> </w:t>
            </w:r>
            <w:r w:rsidRPr="00A91EC4">
              <w:rPr>
                <w:b/>
                <w:color w:val="000000" w:themeColor="text1"/>
                <w:sz w:val="18"/>
                <w:szCs w:val="18"/>
              </w:rPr>
              <w:t>jobs reduced by 15% from 2010 to 2019: from 25,770 jobs to 21,930 jobs</w:t>
            </w:r>
          </w:p>
          <w:p w14:paraId="6740661B" w14:textId="18C1923B" w:rsidR="00A91EC4" w:rsidRPr="00A91EC4" w:rsidRDefault="00A91EC4" w:rsidP="00E42342">
            <w:pPr>
              <w:pStyle w:val="ListParagraph"/>
              <w:numPr>
                <w:ilvl w:val="0"/>
                <w:numId w:val="257"/>
              </w:numPr>
              <w:spacing w:line="256" w:lineRule="auto"/>
              <w:contextualSpacing w:val="0"/>
              <w:rPr>
                <w:color w:val="000000" w:themeColor="text1"/>
                <w:sz w:val="18"/>
                <w:szCs w:val="18"/>
              </w:rPr>
            </w:pPr>
            <w:r w:rsidRPr="00A91EC4">
              <w:rPr>
                <w:b/>
                <w:color w:val="000000" w:themeColor="text1"/>
                <w:sz w:val="18"/>
                <w:szCs w:val="18"/>
              </w:rPr>
              <w:t>Low unemployment rate at the county level</w:t>
            </w:r>
            <w:r w:rsidRPr="00A91EC4">
              <w:rPr>
                <w:color w:val="000000" w:themeColor="text1"/>
                <w:sz w:val="18"/>
                <w:szCs w:val="18"/>
              </w:rPr>
              <w:t xml:space="preserve"> </w:t>
            </w:r>
          </w:p>
          <w:p w14:paraId="2C9A1A9D" w14:textId="55139FC6" w:rsidR="00A91EC4" w:rsidRPr="00A91EC4" w:rsidRDefault="00B26BB1" w:rsidP="00E42342">
            <w:pPr>
              <w:pStyle w:val="ListParagraph"/>
              <w:numPr>
                <w:ilvl w:val="0"/>
                <w:numId w:val="257"/>
              </w:numPr>
              <w:spacing w:line="256" w:lineRule="auto"/>
              <w:contextualSpacing w:val="0"/>
              <w:rPr>
                <w:color w:val="000000" w:themeColor="text1"/>
                <w:sz w:val="18"/>
                <w:szCs w:val="18"/>
              </w:rPr>
            </w:pPr>
            <w:r>
              <w:rPr>
                <w:color w:val="000000" w:themeColor="text1"/>
                <w:sz w:val="18"/>
                <w:szCs w:val="18"/>
              </w:rPr>
              <w:t>Fast growth</w:t>
            </w:r>
            <w:r w:rsidR="00A91EC4" w:rsidRPr="00A91EC4">
              <w:rPr>
                <w:color w:val="000000" w:themeColor="text1"/>
                <w:sz w:val="18"/>
                <w:szCs w:val="18"/>
              </w:rPr>
              <w:t xml:space="preserve"> in terms of the number of jobs generated is the electrical equipment manufacturing sector and furniture production</w:t>
            </w:r>
          </w:p>
          <w:p w14:paraId="2EFBB5BA" w14:textId="77777777" w:rsidR="00A91EC4" w:rsidRPr="00A91EC4" w:rsidRDefault="00A91EC4" w:rsidP="00E42342">
            <w:pPr>
              <w:pStyle w:val="ListParagraph"/>
              <w:numPr>
                <w:ilvl w:val="0"/>
                <w:numId w:val="257"/>
              </w:numPr>
              <w:spacing w:line="256" w:lineRule="auto"/>
              <w:contextualSpacing w:val="0"/>
              <w:rPr>
                <w:b/>
                <w:color w:val="000000" w:themeColor="text1"/>
                <w:sz w:val="18"/>
                <w:szCs w:val="18"/>
                <w:u w:val="single"/>
              </w:rPr>
            </w:pPr>
            <w:r w:rsidRPr="00A91EC4">
              <w:rPr>
                <w:b/>
                <w:color w:val="000000" w:themeColor="text1"/>
                <w:sz w:val="18"/>
                <w:szCs w:val="18"/>
                <w:u w:val="single"/>
              </w:rPr>
              <w:t>Employment opportunities:</w:t>
            </w:r>
          </w:p>
          <w:p w14:paraId="09777F5C" w14:textId="77777777" w:rsidR="00A91EC4" w:rsidRPr="00A91EC4" w:rsidRDefault="00A91EC4" w:rsidP="00E42342">
            <w:pPr>
              <w:pStyle w:val="ListParagraph"/>
              <w:numPr>
                <w:ilvl w:val="0"/>
                <w:numId w:val="258"/>
              </w:numPr>
              <w:spacing w:line="256" w:lineRule="auto"/>
              <w:contextualSpacing w:val="0"/>
              <w:rPr>
                <w:color w:val="000000" w:themeColor="text1"/>
                <w:sz w:val="18"/>
                <w:szCs w:val="18"/>
              </w:rPr>
            </w:pPr>
            <w:r w:rsidRPr="00A91EC4">
              <w:rPr>
                <w:color w:val="000000" w:themeColor="text1"/>
                <w:sz w:val="18"/>
                <w:szCs w:val="18"/>
              </w:rPr>
              <w:lastRenderedPageBreak/>
              <w:t>Metal and electrical industries</w:t>
            </w:r>
          </w:p>
          <w:p w14:paraId="485D9748" w14:textId="77777777" w:rsidR="00A91EC4" w:rsidRPr="00A91EC4" w:rsidRDefault="00A91EC4" w:rsidP="00E42342">
            <w:pPr>
              <w:pStyle w:val="ListParagraph"/>
              <w:numPr>
                <w:ilvl w:val="0"/>
                <w:numId w:val="258"/>
              </w:numPr>
              <w:spacing w:line="256" w:lineRule="auto"/>
              <w:contextualSpacing w:val="0"/>
              <w:rPr>
                <w:color w:val="000000" w:themeColor="text1"/>
                <w:sz w:val="18"/>
                <w:szCs w:val="18"/>
              </w:rPr>
            </w:pPr>
            <w:r w:rsidRPr="00A91EC4">
              <w:rPr>
                <w:color w:val="000000" w:themeColor="text1"/>
                <w:sz w:val="18"/>
                <w:szCs w:val="18"/>
              </w:rPr>
              <w:t xml:space="preserve">Textile </w:t>
            </w:r>
          </w:p>
          <w:p w14:paraId="49817B19" w14:textId="77777777" w:rsidR="00A91EC4" w:rsidRPr="00A91EC4" w:rsidRDefault="00A91EC4" w:rsidP="00E42342">
            <w:pPr>
              <w:pStyle w:val="ListParagraph"/>
              <w:numPr>
                <w:ilvl w:val="0"/>
                <w:numId w:val="258"/>
              </w:numPr>
              <w:spacing w:line="256" w:lineRule="auto"/>
              <w:contextualSpacing w:val="0"/>
              <w:rPr>
                <w:color w:val="000000" w:themeColor="text1"/>
                <w:sz w:val="18"/>
                <w:szCs w:val="18"/>
              </w:rPr>
            </w:pPr>
            <w:r w:rsidRPr="00A91EC4">
              <w:rPr>
                <w:color w:val="000000" w:themeColor="text1"/>
                <w:sz w:val="18"/>
                <w:szCs w:val="18"/>
              </w:rPr>
              <w:t>Food processing</w:t>
            </w:r>
          </w:p>
          <w:p w14:paraId="075C550A" w14:textId="77777777" w:rsidR="00A91EC4" w:rsidRPr="00A91EC4" w:rsidRDefault="00A91EC4" w:rsidP="00E42342">
            <w:pPr>
              <w:pStyle w:val="ListParagraph"/>
              <w:numPr>
                <w:ilvl w:val="0"/>
                <w:numId w:val="258"/>
              </w:numPr>
              <w:spacing w:line="256" w:lineRule="auto"/>
              <w:contextualSpacing w:val="0"/>
              <w:rPr>
                <w:color w:val="000000" w:themeColor="text1"/>
                <w:sz w:val="18"/>
                <w:szCs w:val="18"/>
              </w:rPr>
            </w:pPr>
            <w:r w:rsidRPr="00A91EC4">
              <w:rPr>
                <w:color w:val="000000" w:themeColor="text1"/>
                <w:sz w:val="18"/>
                <w:szCs w:val="18"/>
              </w:rPr>
              <w:t>Rubber and plastic</w:t>
            </w:r>
          </w:p>
          <w:p w14:paraId="7C3703C5" w14:textId="77777777" w:rsidR="00A91EC4" w:rsidRPr="00A91EC4" w:rsidRDefault="00A91EC4" w:rsidP="00E42342">
            <w:pPr>
              <w:pStyle w:val="ListParagraph"/>
              <w:numPr>
                <w:ilvl w:val="0"/>
                <w:numId w:val="258"/>
              </w:numPr>
              <w:spacing w:line="256" w:lineRule="auto"/>
              <w:contextualSpacing w:val="0"/>
              <w:rPr>
                <w:color w:val="000000" w:themeColor="text1"/>
                <w:sz w:val="18"/>
                <w:szCs w:val="18"/>
              </w:rPr>
            </w:pPr>
            <w:r w:rsidRPr="00A91EC4">
              <w:rPr>
                <w:color w:val="000000" w:themeColor="text1"/>
                <w:sz w:val="18"/>
                <w:szCs w:val="18"/>
              </w:rPr>
              <w:t xml:space="preserve">Electrical equipment </w:t>
            </w:r>
          </w:p>
          <w:p w14:paraId="6598A409" w14:textId="77777777" w:rsidR="00A91EC4" w:rsidRPr="00A91EC4" w:rsidRDefault="00A91EC4" w:rsidP="00E42342">
            <w:pPr>
              <w:pStyle w:val="ListParagraph"/>
              <w:numPr>
                <w:ilvl w:val="0"/>
                <w:numId w:val="259"/>
              </w:numPr>
              <w:spacing w:line="256" w:lineRule="auto"/>
              <w:ind w:left="462"/>
              <w:contextualSpacing w:val="0"/>
              <w:rPr>
                <w:color w:val="000000" w:themeColor="text1"/>
                <w:sz w:val="18"/>
                <w:szCs w:val="18"/>
              </w:rPr>
            </w:pPr>
            <w:r w:rsidRPr="00A91EC4">
              <w:rPr>
                <w:b/>
                <w:color w:val="000000" w:themeColor="text1"/>
                <w:sz w:val="18"/>
                <w:szCs w:val="18"/>
              </w:rPr>
              <w:t>The tourism sector</w:t>
            </w:r>
            <w:r w:rsidRPr="00A91EC4">
              <w:rPr>
                <w:color w:val="000000" w:themeColor="text1"/>
                <w:sz w:val="18"/>
                <w:szCs w:val="18"/>
              </w:rPr>
              <w:t xml:space="preserve">, considered by local stakeholders as having high growth potential in Hunedoara County currently </w:t>
            </w:r>
            <w:r w:rsidRPr="00A91EC4">
              <w:rPr>
                <w:b/>
                <w:color w:val="000000" w:themeColor="text1"/>
                <w:sz w:val="18"/>
                <w:szCs w:val="18"/>
              </w:rPr>
              <w:t>employs only 4.4% of the county’s active population</w:t>
            </w:r>
          </w:p>
          <w:p w14:paraId="2BD9D6B2" w14:textId="07C1FB67" w:rsidR="00A91EC4" w:rsidRPr="00A91EC4" w:rsidRDefault="00A91EC4">
            <w:pPr>
              <w:spacing w:line="256" w:lineRule="auto"/>
              <w:rPr>
                <w:rFonts w:ascii="Arial" w:hAnsi="Arial" w:cs="Arial"/>
                <w:color w:val="000000" w:themeColor="text1"/>
                <w:sz w:val="18"/>
                <w:szCs w:val="18"/>
              </w:rPr>
            </w:pPr>
            <w:r w:rsidRPr="00A91EC4">
              <w:rPr>
                <w:rFonts w:ascii="Arial" w:hAnsi="Arial" w:cs="Arial"/>
                <w:color w:val="000000" w:themeColor="text1"/>
                <w:sz w:val="18"/>
                <w:szCs w:val="18"/>
              </w:rPr>
              <w:t>Openness of the local educational environment to reskilling including in the green jobs sector</w:t>
            </w:r>
          </w:p>
          <w:p w14:paraId="5F0E33F1" w14:textId="77777777" w:rsidR="00A91EC4" w:rsidRPr="00A91EC4" w:rsidRDefault="00A91EC4" w:rsidP="00E42342">
            <w:pPr>
              <w:pStyle w:val="ListParagraph"/>
              <w:numPr>
                <w:ilvl w:val="0"/>
                <w:numId w:val="257"/>
              </w:numPr>
              <w:spacing w:line="256" w:lineRule="auto"/>
              <w:contextualSpacing w:val="0"/>
              <w:rPr>
                <w:color w:val="000000" w:themeColor="text1"/>
                <w:sz w:val="18"/>
                <w:szCs w:val="18"/>
              </w:rPr>
            </w:pPr>
            <w:r w:rsidRPr="00A91EC4">
              <w:rPr>
                <w:b/>
                <w:color w:val="000000" w:themeColor="text1"/>
                <w:sz w:val="18"/>
                <w:szCs w:val="18"/>
              </w:rPr>
              <w:t>Emergent collaborative civil society and business actors</w:t>
            </w:r>
            <w:r w:rsidRPr="00A91EC4">
              <w:rPr>
                <w:color w:val="000000" w:themeColor="text1"/>
                <w:sz w:val="18"/>
                <w:szCs w:val="18"/>
              </w:rPr>
              <w:t xml:space="preserve"> interested in contributing to the just transition-related processes at the county level:</w:t>
            </w:r>
          </w:p>
          <w:p w14:paraId="3EEB971E" w14:textId="77777777" w:rsidR="00A91EC4" w:rsidRPr="00A91EC4" w:rsidRDefault="00A91EC4" w:rsidP="00E42342">
            <w:pPr>
              <w:pStyle w:val="ListParagraph"/>
              <w:numPr>
                <w:ilvl w:val="0"/>
                <w:numId w:val="255"/>
              </w:numPr>
              <w:spacing w:line="256" w:lineRule="auto"/>
              <w:contextualSpacing w:val="0"/>
              <w:rPr>
                <w:color w:val="000000" w:themeColor="text1"/>
                <w:sz w:val="18"/>
                <w:szCs w:val="18"/>
              </w:rPr>
            </w:pPr>
            <w:r w:rsidRPr="00A91EC4">
              <w:rPr>
                <w:color w:val="000000" w:themeColor="text1"/>
                <w:sz w:val="18"/>
                <w:szCs w:val="18"/>
              </w:rPr>
              <w:t>Hunedoara and Vulcan municipalities</w:t>
            </w:r>
          </w:p>
          <w:p w14:paraId="6F112952" w14:textId="77777777" w:rsidR="00A91EC4" w:rsidRPr="00A91EC4" w:rsidRDefault="00A91EC4" w:rsidP="00E42342">
            <w:pPr>
              <w:pStyle w:val="ListParagraph"/>
              <w:numPr>
                <w:ilvl w:val="0"/>
                <w:numId w:val="255"/>
              </w:numPr>
              <w:spacing w:line="256" w:lineRule="auto"/>
              <w:contextualSpacing w:val="0"/>
              <w:rPr>
                <w:color w:val="000000" w:themeColor="text1"/>
                <w:sz w:val="18"/>
                <w:szCs w:val="18"/>
              </w:rPr>
            </w:pPr>
            <w:r w:rsidRPr="00A91EC4">
              <w:rPr>
                <w:color w:val="000000" w:themeColor="text1"/>
                <w:sz w:val="18"/>
                <w:szCs w:val="18"/>
              </w:rPr>
              <w:t>local NGOs (e.g., the Local Action Groups and “Valea Jiului Implicata” coalition of NGOs from the Jiu Valley microregion)</w:t>
            </w:r>
          </w:p>
          <w:p w14:paraId="006B1D50" w14:textId="77777777" w:rsidR="00A91EC4" w:rsidRPr="00A91EC4" w:rsidRDefault="00A91EC4" w:rsidP="00E42342">
            <w:pPr>
              <w:pStyle w:val="ListParagraph"/>
              <w:numPr>
                <w:ilvl w:val="0"/>
                <w:numId w:val="255"/>
              </w:numPr>
              <w:spacing w:line="256" w:lineRule="auto"/>
              <w:contextualSpacing w:val="0"/>
              <w:rPr>
                <w:b/>
                <w:color w:val="000000" w:themeColor="text1"/>
                <w:sz w:val="18"/>
                <w:szCs w:val="18"/>
              </w:rPr>
            </w:pPr>
            <w:r w:rsidRPr="00A91EC4">
              <w:rPr>
                <w:b/>
                <w:color w:val="000000" w:themeColor="text1"/>
                <w:sz w:val="18"/>
                <w:szCs w:val="18"/>
              </w:rPr>
              <w:t>University in Petrosani</w:t>
            </w:r>
          </w:p>
          <w:p w14:paraId="2850368B" w14:textId="77777777" w:rsidR="00A91EC4" w:rsidRPr="00A91EC4" w:rsidRDefault="00A91EC4" w:rsidP="00E42342">
            <w:pPr>
              <w:pStyle w:val="ListParagraph"/>
              <w:numPr>
                <w:ilvl w:val="0"/>
                <w:numId w:val="255"/>
              </w:numPr>
              <w:spacing w:line="256" w:lineRule="auto"/>
              <w:contextualSpacing w:val="0"/>
              <w:rPr>
                <w:color w:val="000000" w:themeColor="text1"/>
                <w:sz w:val="18"/>
                <w:szCs w:val="18"/>
              </w:rPr>
            </w:pPr>
            <w:r w:rsidRPr="00A91EC4">
              <w:rPr>
                <w:color w:val="000000" w:themeColor="text1"/>
                <w:sz w:val="18"/>
                <w:szCs w:val="18"/>
              </w:rPr>
              <w:t xml:space="preserve">Local microcredit providers </w:t>
            </w:r>
          </w:p>
          <w:p w14:paraId="284939FB" w14:textId="77777777" w:rsidR="00A91EC4" w:rsidRPr="00A91EC4" w:rsidRDefault="00A91EC4" w:rsidP="00E42342">
            <w:pPr>
              <w:pStyle w:val="ListParagraph"/>
              <w:numPr>
                <w:ilvl w:val="0"/>
                <w:numId w:val="255"/>
              </w:numPr>
              <w:spacing w:line="256" w:lineRule="auto"/>
              <w:contextualSpacing w:val="0"/>
              <w:rPr>
                <w:color w:val="000000" w:themeColor="text1"/>
                <w:sz w:val="18"/>
                <w:szCs w:val="18"/>
              </w:rPr>
            </w:pPr>
            <w:r w:rsidRPr="00A91EC4">
              <w:rPr>
                <w:color w:val="000000" w:themeColor="text1"/>
                <w:sz w:val="18"/>
                <w:szCs w:val="18"/>
              </w:rPr>
              <w:t>National Association of Wind Energy Producers</w:t>
            </w:r>
          </w:p>
        </w:tc>
        <w:tc>
          <w:tcPr>
            <w:tcW w:w="2588"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F3CDF56" w14:textId="244B6D0C" w:rsidR="00A91EC4" w:rsidRDefault="00A91EC4">
            <w:pPr>
              <w:spacing w:line="256" w:lineRule="auto"/>
              <w:rPr>
                <w:rFonts w:ascii="Arial" w:hAnsi="Arial" w:cs="Arial"/>
                <w:b/>
                <w:color w:val="000000" w:themeColor="text1"/>
                <w:sz w:val="18"/>
                <w:szCs w:val="18"/>
              </w:rPr>
            </w:pPr>
            <w:r w:rsidRPr="00A91EC4">
              <w:rPr>
                <w:rFonts w:ascii="Arial" w:hAnsi="Arial" w:cs="Arial"/>
                <w:b/>
                <w:bCs/>
                <w:color w:val="000000" w:themeColor="text1"/>
                <w:sz w:val="18"/>
                <w:szCs w:val="18"/>
              </w:rPr>
              <w:lastRenderedPageBreak/>
              <w:t>Type 2:</w:t>
            </w:r>
            <w:r w:rsidRPr="00A91EC4">
              <w:rPr>
                <w:rFonts w:ascii="Arial" w:hAnsi="Arial" w:cs="Arial"/>
                <w:color w:val="000000" w:themeColor="text1"/>
                <w:sz w:val="18"/>
                <w:szCs w:val="18"/>
              </w:rPr>
              <w:t xml:space="preserve"> </w:t>
            </w:r>
            <w:r w:rsidRPr="00680AEC">
              <w:rPr>
                <w:rFonts w:ascii="Arial" w:hAnsi="Arial" w:cs="Arial"/>
                <w:bCs/>
                <w:color w:val="000000" w:themeColor="text1"/>
                <w:sz w:val="18"/>
                <w:szCs w:val="18"/>
              </w:rPr>
              <w:t>Increasing the level of employment</w:t>
            </w:r>
          </w:p>
          <w:p w14:paraId="7CA32D5D" w14:textId="77777777" w:rsidR="000E3635" w:rsidRPr="00A91EC4" w:rsidRDefault="000E3635">
            <w:pPr>
              <w:spacing w:line="256" w:lineRule="auto"/>
              <w:rPr>
                <w:rFonts w:ascii="Arial" w:hAnsi="Arial" w:cs="Arial"/>
                <w:color w:val="000000" w:themeColor="text1"/>
                <w:sz w:val="18"/>
                <w:szCs w:val="18"/>
              </w:rPr>
            </w:pPr>
          </w:p>
          <w:p w14:paraId="7ED70909" w14:textId="1483B3B1" w:rsidR="00B26BB1" w:rsidRPr="000A7086" w:rsidRDefault="00A91EC4" w:rsidP="00680AEC">
            <w:pPr>
              <w:pStyle w:val="ListParagraph"/>
              <w:numPr>
                <w:ilvl w:val="0"/>
                <w:numId w:val="338"/>
              </w:numPr>
              <w:spacing w:line="256" w:lineRule="auto"/>
              <w:contextualSpacing w:val="0"/>
              <w:rPr>
                <w:color w:val="000000" w:themeColor="text1"/>
                <w:sz w:val="18"/>
                <w:szCs w:val="18"/>
              </w:rPr>
            </w:pPr>
            <w:r w:rsidRPr="000A7086">
              <w:rPr>
                <w:color w:val="000000" w:themeColor="text1"/>
                <w:sz w:val="18"/>
                <w:szCs w:val="18"/>
              </w:rPr>
              <w:t>Upskilling and reskilling</w:t>
            </w:r>
            <w:r w:rsidRPr="00B26BB1">
              <w:rPr>
                <w:color w:val="000000" w:themeColor="text1"/>
                <w:sz w:val="18"/>
                <w:szCs w:val="18"/>
              </w:rPr>
              <w:t xml:space="preserve"> of the workers laid off by Hunedoara Energy Complex during 2021-2026 in</w:t>
            </w:r>
            <w:r w:rsidR="00B26BB1" w:rsidRPr="00035588">
              <w:rPr>
                <w:color w:val="000000" w:themeColor="text1"/>
                <w:sz w:val="18"/>
                <w:szCs w:val="18"/>
              </w:rPr>
              <w:t xml:space="preserve"> </w:t>
            </w:r>
            <w:r w:rsidR="00B26BB1" w:rsidRPr="00B26BB1">
              <w:rPr>
                <w:color w:val="000000" w:themeColor="text1"/>
                <w:sz w:val="18"/>
                <w:szCs w:val="18"/>
              </w:rPr>
              <w:t>n</w:t>
            </w:r>
            <w:r w:rsidRPr="000A7086">
              <w:rPr>
                <w:color w:val="000000" w:themeColor="text1"/>
                <w:sz w:val="18"/>
                <w:szCs w:val="18"/>
              </w:rPr>
              <w:t>ew clean energy production</w:t>
            </w:r>
            <w:r w:rsidR="00B26BB1" w:rsidRPr="000A7086">
              <w:rPr>
                <w:color w:val="000000" w:themeColor="text1"/>
                <w:sz w:val="18"/>
                <w:szCs w:val="18"/>
              </w:rPr>
              <w:t>,</w:t>
            </w:r>
            <w:r w:rsidRPr="000A7086">
              <w:rPr>
                <w:color w:val="000000" w:themeColor="text1"/>
                <w:sz w:val="18"/>
                <w:szCs w:val="18"/>
              </w:rPr>
              <w:t xml:space="preserve"> electric installations, solar panel installation and maintenance, etc.</w:t>
            </w:r>
            <w:r w:rsidR="00B26BB1" w:rsidRPr="000A7086" w:rsidDel="00B26BB1">
              <w:rPr>
                <w:color w:val="000000" w:themeColor="text1"/>
                <w:sz w:val="18"/>
                <w:szCs w:val="18"/>
              </w:rPr>
              <w:t xml:space="preserve"> </w:t>
            </w:r>
          </w:p>
          <w:p w14:paraId="774F7F10" w14:textId="4F2A8A60" w:rsidR="00A91EC4" w:rsidRPr="00A91EC4" w:rsidRDefault="003C4561" w:rsidP="00680AEC">
            <w:pPr>
              <w:pStyle w:val="ListParagraph"/>
              <w:numPr>
                <w:ilvl w:val="0"/>
                <w:numId w:val="338"/>
              </w:numPr>
              <w:spacing w:line="256" w:lineRule="auto"/>
              <w:contextualSpacing w:val="0"/>
            </w:pPr>
            <w:r>
              <w:rPr>
                <w:sz w:val="18"/>
                <w:szCs w:val="18"/>
              </w:rPr>
              <w:t>E</w:t>
            </w:r>
            <w:r w:rsidR="00A91EC4" w:rsidRPr="000A7086">
              <w:rPr>
                <w:sz w:val="18"/>
                <w:szCs w:val="18"/>
              </w:rPr>
              <w:t>stablishment of transition centres for skills assessment, reskilling, upskilling, job placement and matchmaking service between talent and existing local business environment;</w:t>
            </w:r>
          </w:p>
        </w:tc>
      </w:tr>
      <w:tr w:rsidR="00A91EC4" w:rsidRPr="00A91EC4" w14:paraId="5D48114F" w14:textId="77777777" w:rsidTr="006E7A76">
        <w:trPr>
          <w:trHeight w:val="367"/>
        </w:trPr>
        <w:tc>
          <w:tcPr>
            <w:tcW w:w="2411"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476588C" w14:textId="77777777" w:rsidR="00A91EC4" w:rsidRPr="00A91EC4" w:rsidRDefault="00A91EC4" w:rsidP="00E42342">
            <w:pPr>
              <w:pStyle w:val="ListParagraph"/>
              <w:numPr>
                <w:ilvl w:val="0"/>
                <w:numId w:val="254"/>
              </w:numPr>
              <w:tabs>
                <w:tab w:val="left" w:pos="1642"/>
              </w:tabs>
              <w:spacing w:line="256" w:lineRule="auto"/>
              <w:contextualSpacing w:val="0"/>
              <w:rPr>
                <w:b/>
                <w:color w:val="000000" w:themeColor="text1"/>
                <w:sz w:val="18"/>
                <w:szCs w:val="18"/>
                <w:u w:val="single"/>
              </w:rPr>
            </w:pPr>
            <w:r w:rsidRPr="00A91EC4">
              <w:rPr>
                <w:color w:val="000000" w:themeColor="text1"/>
                <w:sz w:val="18"/>
                <w:szCs w:val="18"/>
              </w:rPr>
              <w:t>Lack of properly designed entrepreneurship and business support structures</w:t>
            </w:r>
          </w:p>
          <w:p w14:paraId="5B2FE6FF" w14:textId="028E9415"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b/>
                <w:color w:val="000000" w:themeColor="text1"/>
                <w:sz w:val="18"/>
                <w:szCs w:val="18"/>
              </w:rPr>
              <w:t>Slow growth of the number of registered companies</w:t>
            </w:r>
            <w:r w:rsidRPr="00A91EC4">
              <w:rPr>
                <w:color w:val="000000" w:themeColor="text1"/>
                <w:sz w:val="18"/>
                <w:szCs w:val="18"/>
              </w:rPr>
              <w:t xml:space="preserve"> </w:t>
            </w:r>
          </w:p>
          <w:p w14:paraId="57BDB34E" w14:textId="32D3A8F2" w:rsidR="00A91EC4" w:rsidRPr="00A91EC4" w:rsidRDefault="00A91EC4" w:rsidP="00E42342">
            <w:pPr>
              <w:pStyle w:val="ListParagraph"/>
              <w:numPr>
                <w:ilvl w:val="0"/>
                <w:numId w:val="254"/>
              </w:numPr>
              <w:tabs>
                <w:tab w:val="left" w:pos="1642"/>
              </w:tabs>
              <w:spacing w:line="256" w:lineRule="auto"/>
              <w:contextualSpacing w:val="0"/>
              <w:rPr>
                <w:b/>
                <w:color w:val="000000" w:themeColor="text1"/>
                <w:sz w:val="18"/>
                <w:szCs w:val="18"/>
              </w:rPr>
            </w:pPr>
            <w:r w:rsidRPr="00A91EC4">
              <w:rPr>
                <w:b/>
                <w:color w:val="000000" w:themeColor="text1"/>
                <w:sz w:val="18"/>
                <w:szCs w:val="18"/>
              </w:rPr>
              <w:t>High growth rate of self-employed</w:t>
            </w:r>
            <w:r w:rsidR="00B26BB1">
              <w:rPr>
                <w:color w:val="000000" w:themeColor="text1"/>
                <w:sz w:val="18"/>
                <w:szCs w:val="18"/>
              </w:rPr>
              <w:t xml:space="preserve">, </w:t>
            </w:r>
            <w:r w:rsidRPr="00A91EC4">
              <w:rPr>
                <w:color w:val="000000" w:themeColor="text1"/>
                <w:sz w:val="18"/>
                <w:szCs w:val="18"/>
              </w:rPr>
              <w:t xml:space="preserve">however </w:t>
            </w:r>
            <w:r w:rsidRPr="00A91EC4">
              <w:rPr>
                <w:b/>
                <w:color w:val="000000" w:themeColor="text1"/>
                <w:sz w:val="18"/>
                <w:szCs w:val="18"/>
              </w:rPr>
              <w:t xml:space="preserve">low survival rate of micro-companies </w:t>
            </w:r>
          </w:p>
          <w:p w14:paraId="23949C0B" w14:textId="7D05120C"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b/>
                <w:color w:val="000000" w:themeColor="text1"/>
                <w:sz w:val="18"/>
                <w:szCs w:val="18"/>
              </w:rPr>
              <w:t>High losses for mining and energy companies</w:t>
            </w:r>
            <w:r w:rsidRPr="00A91EC4">
              <w:rPr>
                <w:color w:val="000000" w:themeColor="text1"/>
                <w:sz w:val="18"/>
                <w:szCs w:val="18"/>
              </w:rPr>
              <w:t xml:space="preserve"> (80% of the economic losses recorded in Hunedoara County</w:t>
            </w:r>
            <w:r w:rsidR="00B26BB1">
              <w:rPr>
                <w:color w:val="000000" w:themeColor="text1"/>
                <w:sz w:val="18"/>
                <w:szCs w:val="18"/>
              </w:rPr>
              <w:t>)</w:t>
            </w:r>
          </w:p>
          <w:p w14:paraId="17330A45" w14:textId="77777777"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b/>
                <w:color w:val="000000" w:themeColor="text1"/>
                <w:sz w:val="18"/>
                <w:szCs w:val="18"/>
              </w:rPr>
              <w:t>Tourism infrastructure is underdeveloped</w:t>
            </w:r>
            <w:r w:rsidRPr="00A91EC4">
              <w:rPr>
                <w:color w:val="000000" w:themeColor="text1"/>
                <w:sz w:val="18"/>
                <w:szCs w:val="18"/>
              </w:rPr>
              <w:t xml:space="preserve"> despite Natura 2000 and heritage sites</w:t>
            </w:r>
          </w:p>
          <w:p w14:paraId="1C1DBC5B" w14:textId="77777777" w:rsidR="00A91EC4" w:rsidRPr="00A91EC4" w:rsidRDefault="00A91EC4" w:rsidP="00E42342">
            <w:pPr>
              <w:pStyle w:val="ListParagraph"/>
              <w:numPr>
                <w:ilvl w:val="0"/>
                <w:numId w:val="254"/>
              </w:numPr>
              <w:tabs>
                <w:tab w:val="left" w:pos="1642"/>
              </w:tabs>
              <w:spacing w:line="256" w:lineRule="auto"/>
              <w:contextualSpacing w:val="0"/>
              <w:rPr>
                <w:color w:val="000000" w:themeColor="text1"/>
                <w:sz w:val="18"/>
                <w:szCs w:val="18"/>
              </w:rPr>
            </w:pPr>
            <w:r w:rsidRPr="00A91EC4">
              <w:rPr>
                <w:color w:val="000000" w:themeColor="text1"/>
                <w:sz w:val="18"/>
                <w:szCs w:val="18"/>
              </w:rPr>
              <w:t xml:space="preserve">Hunedoara </w:t>
            </w:r>
            <w:r w:rsidRPr="00A91EC4">
              <w:rPr>
                <w:b/>
                <w:color w:val="000000" w:themeColor="text1"/>
                <w:sz w:val="18"/>
                <w:szCs w:val="18"/>
              </w:rPr>
              <w:t>economic turnover</w:t>
            </w:r>
            <w:r w:rsidRPr="00A91EC4">
              <w:rPr>
                <w:color w:val="000000" w:themeColor="text1"/>
                <w:sz w:val="18"/>
                <w:szCs w:val="18"/>
              </w:rPr>
              <w:t xml:space="preserve"> (2019): </w:t>
            </w:r>
            <w:r w:rsidRPr="00A91EC4">
              <w:rPr>
                <w:b/>
                <w:color w:val="000000" w:themeColor="text1"/>
                <w:sz w:val="18"/>
                <w:szCs w:val="18"/>
              </w:rPr>
              <w:t xml:space="preserve">trade sector </w:t>
            </w:r>
            <w:r w:rsidRPr="00A91EC4">
              <w:rPr>
                <w:color w:val="000000" w:themeColor="text1"/>
                <w:sz w:val="18"/>
                <w:szCs w:val="18"/>
              </w:rPr>
              <w:t xml:space="preserve">(40%) (Wholesale/ retail), </w:t>
            </w:r>
            <w:r w:rsidRPr="00A91EC4">
              <w:rPr>
                <w:b/>
                <w:color w:val="000000" w:themeColor="text1"/>
                <w:sz w:val="18"/>
                <w:szCs w:val="18"/>
              </w:rPr>
              <w:t>manufacturing</w:t>
            </w:r>
            <w:r w:rsidRPr="00A91EC4">
              <w:rPr>
                <w:color w:val="000000" w:themeColor="text1"/>
                <w:sz w:val="18"/>
                <w:szCs w:val="18"/>
              </w:rPr>
              <w:t xml:space="preserve"> (36%), </w:t>
            </w:r>
            <w:r w:rsidRPr="00A91EC4">
              <w:rPr>
                <w:b/>
                <w:color w:val="000000" w:themeColor="text1"/>
                <w:sz w:val="18"/>
                <w:szCs w:val="18"/>
              </w:rPr>
              <w:t>construction</w:t>
            </w:r>
            <w:r w:rsidRPr="00A91EC4">
              <w:rPr>
                <w:color w:val="000000" w:themeColor="text1"/>
                <w:sz w:val="18"/>
                <w:szCs w:val="18"/>
              </w:rPr>
              <w:t xml:space="preserve"> (8%) and IT &amp; creative industry (1%).</w:t>
            </w:r>
          </w:p>
          <w:p w14:paraId="3BCFA6E1" w14:textId="77777777" w:rsidR="00A91EC4" w:rsidRPr="00A91EC4" w:rsidRDefault="00A91EC4" w:rsidP="00E42342">
            <w:pPr>
              <w:pStyle w:val="ListParagraph"/>
              <w:numPr>
                <w:ilvl w:val="0"/>
                <w:numId w:val="255"/>
              </w:numPr>
              <w:tabs>
                <w:tab w:val="left" w:pos="1642"/>
              </w:tabs>
              <w:spacing w:line="256" w:lineRule="auto"/>
              <w:contextualSpacing w:val="0"/>
              <w:rPr>
                <w:color w:val="000000" w:themeColor="text1"/>
                <w:sz w:val="18"/>
                <w:szCs w:val="18"/>
              </w:rPr>
            </w:pPr>
            <w:r w:rsidRPr="00A91EC4">
              <w:rPr>
                <w:color w:val="000000" w:themeColor="text1"/>
                <w:sz w:val="18"/>
                <w:szCs w:val="18"/>
              </w:rPr>
              <w:t>Manufacturing sectors turnover: fabricated metal products (27%), electrical equipment (19%), and rubber-plastic products (10%).</w:t>
            </w:r>
          </w:p>
          <w:p w14:paraId="2841EBF1" w14:textId="77777777" w:rsidR="00A91EC4" w:rsidRPr="00A91EC4" w:rsidRDefault="00A91EC4" w:rsidP="00E42342">
            <w:pPr>
              <w:pStyle w:val="ListParagraph"/>
              <w:numPr>
                <w:ilvl w:val="0"/>
                <w:numId w:val="255"/>
              </w:numPr>
              <w:tabs>
                <w:tab w:val="left" w:pos="1642"/>
              </w:tabs>
              <w:spacing w:line="256" w:lineRule="auto"/>
              <w:contextualSpacing w:val="0"/>
              <w:rPr>
                <w:color w:val="000000" w:themeColor="text1"/>
                <w:sz w:val="18"/>
                <w:szCs w:val="18"/>
              </w:rPr>
            </w:pPr>
            <w:r w:rsidRPr="00A91EC4">
              <w:rPr>
                <w:color w:val="000000" w:themeColor="text1"/>
                <w:sz w:val="18"/>
                <w:szCs w:val="18"/>
              </w:rPr>
              <w:t>Manufacturing subsectors include metals, textile, food sectors and furniture production</w:t>
            </w:r>
          </w:p>
          <w:p w14:paraId="04054D1A" w14:textId="4A89E2CE" w:rsidR="00A91EC4" w:rsidRPr="00A91EC4" w:rsidRDefault="00A91EC4" w:rsidP="00E42342">
            <w:pPr>
              <w:pStyle w:val="ListParagraph"/>
              <w:numPr>
                <w:ilvl w:val="0"/>
                <w:numId w:val="255"/>
              </w:numPr>
              <w:tabs>
                <w:tab w:val="left" w:pos="1642"/>
              </w:tabs>
              <w:spacing w:line="256" w:lineRule="auto"/>
              <w:contextualSpacing w:val="0"/>
              <w:rPr>
                <w:color w:val="000000" w:themeColor="text1"/>
                <w:sz w:val="18"/>
                <w:szCs w:val="18"/>
              </w:rPr>
            </w:pPr>
            <w:r w:rsidRPr="00A91EC4">
              <w:rPr>
                <w:color w:val="000000" w:themeColor="text1"/>
                <w:sz w:val="18"/>
                <w:szCs w:val="18"/>
              </w:rPr>
              <w:t xml:space="preserve">Highest growth during the period was in the </w:t>
            </w:r>
            <w:r w:rsidRPr="00A91EC4">
              <w:rPr>
                <w:b/>
                <w:color w:val="000000" w:themeColor="text1"/>
                <w:sz w:val="18"/>
                <w:szCs w:val="18"/>
              </w:rPr>
              <w:t>manufacturing of electrical equipment</w:t>
            </w:r>
            <w:r w:rsidRPr="00A91EC4">
              <w:rPr>
                <w:color w:val="000000" w:themeColor="text1"/>
                <w:sz w:val="18"/>
                <w:szCs w:val="18"/>
              </w:rPr>
              <w:t xml:space="preserve"> (340%)</w:t>
            </w:r>
            <w:r w:rsidR="00B26BB1">
              <w:rPr>
                <w:color w:val="000000" w:themeColor="text1"/>
                <w:sz w:val="18"/>
                <w:szCs w:val="18"/>
              </w:rPr>
              <w:t xml:space="preserve"> </w:t>
            </w:r>
            <w:r w:rsidR="005B2421" w:rsidRPr="00A91EC4">
              <w:rPr>
                <w:color w:val="000000" w:themeColor="text1"/>
                <w:sz w:val="18"/>
                <w:szCs w:val="18"/>
              </w:rPr>
              <w:t>e.g.,</w:t>
            </w:r>
            <w:r w:rsidRPr="00A91EC4">
              <w:rPr>
                <w:color w:val="000000" w:themeColor="text1"/>
                <w:sz w:val="18"/>
                <w:szCs w:val="18"/>
              </w:rPr>
              <w:t xml:space="preserve"> household appliances, wiring and pipes </w:t>
            </w:r>
          </w:p>
          <w:p w14:paraId="5A6B9C09" w14:textId="77777777" w:rsidR="00A91EC4" w:rsidRPr="00A91EC4" w:rsidRDefault="00A91EC4">
            <w:pPr>
              <w:tabs>
                <w:tab w:val="left" w:pos="1642"/>
              </w:tabs>
              <w:spacing w:line="256" w:lineRule="auto"/>
              <w:rPr>
                <w:rFonts w:ascii="Arial" w:hAnsi="Arial" w:cs="Arial"/>
                <w:color w:val="000000" w:themeColor="text1"/>
                <w:sz w:val="18"/>
                <w:szCs w:val="18"/>
              </w:rPr>
            </w:pPr>
          </w:p>
          <w:p w14:paraId="6D4DEAF2" w14:textId="77777777" w:rsidR="00A91EC4" w:rsidRPr="00A91EC4" w:rsidRDefault="00A91EC4">
            <w:pPr>
              <w:tabs>
                <w:tab w:val="left" w:pos="1642"/>
              </w:tabs>
              <w:spacing w:line="256" w:lineRule="auto"/>
              <w:rPr>
                <w:rFonts w:ascii="Arial" w:hAnsi="Arial" w:cs="Arial"/>
                <w:b/>
                <w:color w:val="000000" w:themeColor="text1"/>
                <w:sz w:val="18"/>
                <w:szCs w:val="18"/>
                <w:u w:val="single"/>
              </w:rPr>
            </w:pPr>
            <w:r w:rsidRPr="00A91EC4">
              <w:rPr>
                <w:rFonts w:ascii="Arial" w:hAnsi="Arial" w:cs="Arial"/>
                <w:b/>
                <w:color w:val="000000" w:themeColor="text1"/>
                <w:sz w:val="18"/>
                <w:szCs w:val="18"/>
                <w:u w:val="single"/>
              </w:rPr>
              <w:t>Job opportunities in five sectors</w:t>
            </w:r>
          </w:p>
          <w:p w14:paraId="613B3269" w14:textId="77777777" w:rsidR="00A91EC4" w:rsidRPr="00A91EC4" w:rsidRDefault="00A91EC4" w:rsidP="00E42342">
            <w:pPr>
              <w:pStyle w:val="ListParagraph"/>
              <w:numPr>
                <w:ilvl w:val="0"/>
                <w:numId w:val="260"/>
              </w:numPr>
              <w:tabs>
                <w:tab w:val="left" w:pos="1642"/>
              </w:tabs>
              <w:spacing w:line="256" w:lineRule="auto"/>
              <w:contextualSpacing w:val="0"/>
              <w:rPr>
                <w:color w:val="000000" w:themeColor="text1"/>
                <w:sz w:val="18"/>
                <w:szCs w:val="18"/>
              </w:rPr>
            </w:pPr>
            <w:r w:rsidRPr="00A91EC4">
              <w:rPr>
                <w:color w:val="000000" w:themeColor="text1"/>
                <w:sz w:val="18"/>
                <w:szCs w:val="18"/>
              </w:rPr>
              <w:t>Metal industry</w:t>
            </w:r>
          </w:p>
          <w:p w14:paraId="3709C095" w14:textId="77777777" w:rsidR="00A91EC4" w:rsidRPr="00A91EC4" w:rsidRDefault="00A91EC4" w:rsidP="00E42342">
            <w:pPr>
              <w:pStyle w:val="ListParagraph"/>
              <w:numPr>
                <w:ilvl w:val="0"/>
                <w:numId w:val="260"/>
              </w:numPr>
              <w:tabs>
                <w:tab w:val="left" w:pos="1642"/>
              </w:tabs>
              <w:spacing w:line="256" w:lineRule="auto"/>
              <w:contextualSpacing w:val="0"/>
              <w:rPr>
                <w:color w:val="000000" w:themeColor="text1"/>
                <w:sz w:val="18"/>
                <w:szCs w:val="18"/>
              </w:rPr>
            </w:pPr>
            <w:r w:rsidRPr="00A91EC4">
              <w:rPr>
                <w:color w:val="000000" w:themeColor="text1"/>
                <w:sz w:val="18"/>
                <w:szCs w:val="18"/>
              </w:rPr>
              <w:t>Electrical industry</w:t>
            </w:r>
          </w:p>
          <w:p w14:paraId="0C2DF730" w14:textId="77777777" w:rsidR="00A91EC4" w:rsidRPr="00A91EC4" w:rsidRDefault="00A91EC4" w:rsidP="00E42342">
            <w:pPr>
              <w:pStyle w:val="ListParagraph"/>
              <w:numPr>
                <w:ilvl w:val="0"/>
                <w:numId w:val="260"/>
              </w:numPr>
              <w:tabs>
                <w:tab w:val="left" w:pos="1642"/>
              </w:tabs>
              <w:spacing w:line="256" w:lineRule="auto"/>
              <w:contextualSpacing w:val="0"/>
              <w:rPr>
                <w:color w:val="000000" w:themeColor="text1"/>
                <w:sz w:val="18"/>
                <w:szCs w:val="18"/>
              </w:rPr>
            </w:pPr>
            <w:r w:rsidRPr="00A91EC4">
              <w:rPr>
                <w:color w:val="000000" w:themeColor="text1"/>
                <w:sz w:val="18"/>
                <w:szCs w:val="18"/>
              </w:rPr>
              <w:t xml:space="preserve">Textile </w:t>
            </w:r>
          </w:p>
          <w:p w14:paraId="5A70A4DB" w14:textId="77777777" w:rsidR="00A91EC4" w:rsidRPr="00A91EC4" w:rsidRDefault="00A91EC4" w:rsidP="00E42342">
            <w:pPr>
              <w:pStyle w:val="ListParagraph"/>
              <w:numPr>
                <w:ilvl w:val="0"/>
                <w:numId w:val="260"/>
              </w:numPr>
              <w:tabs>
                <w:tab w:val="left" w:pos="1642"/>
              </w:tabs>
              <w:spacing w:line="256" w:lineRule="auto"/>
              <w:contextualSpacing w:val="0"/>
              <w:rPr>
                <w:color w:val="000000" w:themeColor="text1"/>
                <w:sz w:val="18"/>
                <w:szCs w:val="18"/>
              </w:rPr>
            </w:pPr>
            <w:r w:rsidRPr="00A91EC4">
              <w:rPr>
                <w:color w:val="000000" w:themeColor="text1"/>
                <w:sz w:val="18"/>
                <w:szCs w:val="18"/>
              </w:rPr>
              <w:t>Food processing sector</w:t>
            </w:r>
          </w:p>
          <w:p w14:paraId="2E715D25" w14:textId="77777777" w:rsidR="00A91EC4" w:rsidRPr="00A91EC4" w:rsidRDefault="00A91EC4" w:rsidP="00E42342">
            <w:pPr>
              <w:pStyle w:val="ListParagraph"/>
              <w:numPr>
                <w:ilvl w:val="0"/>
                <w:numId w:val="260"/>
              </w:numPr>
              <w:spacing w:line="256" w:lineRule="auto"/>
              <w:contextualSpacing w:val="0"/>
              <w:rPr>
                <w:color w:val="000000" w:themeColor="text1"/>
                <w:sz w:val="18"/>
                <w:szCs w:val="18"/>
              </w:rPr>
            </w:pPr>
            <w:r w:rsidRPr="00A91EC4">
              <w:rPr>
                <w:color w:val="000000" w:themeColor="text1"/>
                <w:sz w:val="18"/>
                <w:szCs w:val="18"/>
              </w:rPr>
              <w:t>Furniture industry</w:t>
            </w:r>
          </w:p>
        </w:tc>
        <w:tc>
          <w:tcPr>
            <w:tcW w:w="2588"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E0F2A62" w14:textId="7BB68540" w:rsidR="00A91EC4" w:rsidRDefault="00A91EC4">
            <w:pPr>
              <w:spacing w:line="256" w:lineRule="auto"/>
              <w:rPr>
                <w:rFonts w:ascii="Arial" w:hAnsi="Arial" w:cs="Arial"/>
                <w:color w:val="000000" w:themeColor="text1"/>
                <w:sz w:val="18"/>
                <w:szCs w:val="18"/>
              </w:rPr>
            </w:pPr>
            <w:r w:rsidRPr="00A91EC4">
              <w:rPr>
                <w:rFonts w:ascii="Arial" w:hAnsi="Arial" w:cs="Arial"/>
                <w:b/>
                <w:bCs/>
                <w:color w:val="000000" w:themeColor="text1"/>
                <w:sz w:val="18"/>
                <w:szCs w:val="18"/>
              </w:rPr>
              <w:t>Type 3:</w:t>
            </w:r>
            <w:r w:rsidRPr="00A91EC4">
              <w:rPr>
                <w:rFonts w:ascii="Arial" w:hAnsi="Arial" w:cs="Arial"/>
                <w:color w:val="000000" w:themeColor="text1"/>
                <w:sz w:val="18"/>
                <w:szCs w:val="18"/>
              </w:rPr>
              <w:t xml:space="preserve"> Entrepreneurship development, increasing competitiveness and economic diversification, research, innovation and digitisation</w:t>
            </w:r>
          </w:p>
          <w:p w14:paraId="2422E169" w14:textId="77777777" w:rsidR="000E3635" w:rsidRPr="00A91EC4" w:rsidRDefault="000E3635">
            <w:pPr>
              <w:spacing w:line="256" w:lineRule="auto"/>
              <w:rPr>
                <w:rFonts w:ascii="Arial" w:hAnsi="Arial" w:cs="Arial"/>
                <w:color w:val="000000" w:themeColor="text1"/>
                <w:sz w:val="18"/>
                <w:szCs w:val="18"/>
              </w:rPr>
            </w:pPr>
          </w:p>
          <w:p w14:paraId="36D9D88E" w14:textId="77777777" w:rsidR="00A91EC4" w:rsidRPr="00A91EC4" w:rsidRDefault="00A91EC4" w:rsidP="00680AEC">
            <w:pPr>
              <w:pStyle w:val="ListParagraph"/>
              <w:numPr>
                <w:ilvl w:val="0"/>
                <w:numId w:val="339"/>
              </w:numPr>
              <w:tabs>
                <w:tab w:val="left" w:pos="1642"/>
              </w:tabs>
              <w:spacing w:line="256" w:lineRule="auto"/>
              <w:contextualSpacing w:val="0"/>
              <w:rPr>
                <w:color w:val="000000" w:themeColor="text1"/>
                <w:sz w:val="18"/>
                <w:szCs w:val="18"/>
              </w:rPr>
            </w:pPr>
            <w:r w:rsidRPr="00A91EC4">
              <w:rPr>
                <w:b/>
                <w:color w:val="000000" w:themeColor="text1"/>
                <w:sz w:val="18"/>
                <w:szCs w:val="18"/>
              </w:rPr>
              <w:t>Productive investments in SMEs</w:t>
            </w:r>
            <w:r w:rsidRPr="00A91EC4">
              <w:rPr>
                <w:color w:val="000000" w:themeColor="text1"/>
                <w:sz w:val="18"/>
                <w:szCs w:val="18"/>
              </w:rPr>
              <w:t xml:space="preserve"> (scaling of med-sized companies and start-ups);</w:t>
            </w:r>
          </w:p>
          <w:p w14:paraId="5E558917" w14:textId="77777777" w:rsidR="00A91EC4" w:rsidRPr="00A91EC4" w:rsidRDefault="00A91EC4" w:rsidP="00680AEC">
            <w:pPr>
              <w:pStyle w:val="ListParagraph"/>
              <w:numPr>
                <w:ilvl w:val="0"/>
                <w:numId w:val="339"/>
              </w:numPr>
              <w:tabs>
                <w:tab w:val="left" w:pos="1642"/>
              </w:tabs>
              <w:spacing w:line="256" w:lineRule="auto"/>
              <w:contextualSpacing w:val="0"/>
              <w:rPr>
                <w:color w:val="000000" w:themeColor="text1"/>
                <w:sz w:val="18"/>
                <w:szCs w:val="18"/>
              </w:rPr>
            </w:pPr>
            <w:r w:rsidRPr="00A91EC4">
              <w:rPr>
                <w:b/>
                <w:color w:val="000000" w:themeColor="text1"/>
                <w:sz w:val="18"/>
                <w:szCs w:val="18"/>
              </w:rPr>
              <w:t>Productive investments in med-sized and large local enterprises</w:t>
            </w:r>
            <w:r w:rsidRPr="00A91EC4">
              <w:rPr>
                <w:color w:val="000000" w:themeColor="text1"/>
                <w:sz w:val="18"/>
                <w:szCs w:val="18"/>
              </w:rPr>
              <w:t xml:space="preserve"> from the sectors of manufacturing, food processing, garments, and wood processing (furniture production)</w:t>
            </w:r>
          </w:p>
          <w:p w14:paraId="12791877" w14:textId="77777777" w:rsidR="00A91EC4" w:rsidRPr="00A91EC4" w:rsidRDefault="00A91EC4" w:rsidP="00680AEC">
            <w:pPr>
              <w:pStyle w:val="ListParagraph"/>
              <w:numPr>
                <w:ilvl w:val="0"/>
                <w:numId w:val="339"/>
              </w:numPr>
              <w:spacing w:line="256" w:lineRule="auto"/>
              <w:contextualSpacing w:val="0"/>
              <w:rPr>
                <w:color w:val="000000" w:themeColor="text1"/>
                <w:sz w:val="18"/>
                <w:szCs w:val="18"/>
              </w:rPr>
            </w:pPr>
            <w:r w:rsidRPr="00A91EC4">
              <w:rPr>
                <w:b/>
                <w:color w:val="000000" w:themeColor="text1"/>
                <w:sz w:val="18"/>
                <w:szCs w:val="18"/>
              </w:rPr>
              <w:t>Sustainable tourism businesses</w:t>
            </w:r>
            <w:r w:rsidRPr="00A91EC4">
              <w:rPr>
                <w:color w:val="000000" w:themeColor="text1"/>
                <w:sz w:val="18"/>
                <w:szCs w:val="18"/>
              </w:rPr>
              <w:t xml:space="preserve"> with endogenous growth potential</w:t>
            </w:r>
          </w:p>
          <w:p w14:paraId="4AAC504A" w14:textId="77777777" w:rsidR="00A91EC4" w:rsidRPr="00A91EC4" w:rsidRDefault="00A91EC4" w:rsidP="00680AEC">
            <w:pPr>
              <w:pStyle w:val="ListParagraph"/>
              <w:numPr>
                <w:ilvl w:val="0"/>
                <w:numId w:val="339"/>
              </w:numPr>
              <w:spacing w:line="256" w:lineRule="auto"/>
              <w:contextualSpacing w:val="0"/>
              <w:rPr>
                <w:color w:val="000000" w:themeColor="text1"/>
                <w:sz w:val="18"/>
                <w:szCs w:val="18"/>
              </w:rPr>
            </w:pPr>
            <w:r w:rsidRPr="00A91EC4">
              <w:rPr>
                <w:b/>
                <w:color w:val="000000" w:themeColor="text1"/>
                <w:sz w:val="18"/>
                <w:szCs w:val="18"/>
              </w:rPr>
              <w:t>Investment in the creation of new firms</w:t>
            </w:r>
            <w:r w:rsidRPr="00A91EC4">
              <w:rPr>
                <w:color w:val="000000" w:themeColor="text1"/>
                <w:sz w:val="18"/>
                <w:szCs w:val="18"/>
              </w:rPr>
              <w:t>, including through business incubators and consulting services</w:t>
            </w:r>
          </w:p>
          <w:p w14:paraId="4F911686" w14:textId="77777777" w:rsidR="00A91EC4" w:rsidRPr="00A91EC4" w:rsidRDefault="00A91EC4" w:rsidP="00680AEC">
            <w:pPr>
              <w:pStyle w:val="ListParagraph"/>
              <w:numPr>
                <w:ilvl w:val="0"/>
                <w:numId w:val="339"/>
              </w:numPr>
              <w:spacing w:line="256" w:lineRule="auto"/>
              <w:contextualSpacing w:val="0"/>
              <w:rPr>
                <w:color w:val="000000" w:themeColor="text1"/>
                <w:sz w:val="18"/>
                <w:szCs w:val="18"/>
              </w:rPr>
            </w:pPr>
            <w:r w:rsidRPr="00A91EC4">
              <w:rPr>
                <w:b/>
                <w:color w:val="000000" w:themeColor="text1"/>
                <w:sz w:val="18"/>
                <w:szCs w:val="18"/>
              </w:rPr>
              <w:t>Technical assistance - feasibility studies</w:t>
            </w:r>
            <w:r w:rsidRPr="00A91EC4">
              <w:rPr>
                <w:color w:val="000000" w:themeColor="text1"/>
                <w:sz w:val="18"/>
                <w:szCs w:val="18"/>
              </w:rPr>
              <w:t xml:space="preserve"> for large investment projects</w:t>
            </w:r>
          </w:p>
          <w:p w14:paraId="0C1A0540" w14:textId="77777777" w:rsidR="00A91EC4" w:rsidRPr="00A91EC4" w:rsidRDefault="00A91EC4">
            <w:pPr>
              <w:spacing w:line="256" w:lineRule="auto"/>
              <w:rPr>
                <w:rFonts w:ascii="Arial" w:hAnsi="Arial" w:cs="Arial"/>
                <w:color w:val="000000" w:themeColor="text1"/>
                <w:sz w:val="18"/>
                <w:szCs w:val="18"/>
                <w:lang w:val="en-US"/>
              </w:rPr>
            </w:pPr>
          </w:p>
        </w:tc>
      </w:tr>
    </w:tbl>
    <w:p w14:paraId="4651AA5D" w14:textId="4EA96C62" w:rsidR="000E6428" w:rsidRPr="000E6428" w:rsidRDefault="000E6428" w:rsidP="009118F7">
      <w:pPr>
        <w:pStyle w:val="Caption"/>
        <w:ind w:left="0" w:firstLine="0"/>
        <w:sectPr w:rsidR="000E6428" w:rsidRPr="000E6428" w:rsidSect="00A91EC4">
          <w:headerReference w:type="default" r:id="rId76"/>
          <w:pgSz w:w="11909" w:h="16834"/>
          <w:pgMar w:top="1440" w:right="1440" w:bottom="1440" w:left="1530" w:header="720" w:footer="720" w:gutter="0"/>
          <w:cols w:space="720"/>
        </w:sectPr>
      </w:pPr>
    </w:p>
    <w:p w14:paraId="2420E7EE" w14:textId="00883616" w:rsidR="000E6428" w:rsidRPr="003516DC" w:rsidRDefault="000E6428" w:rsidP="00854A6F">
      <w:pPr>
        <w:pStyle w:val="Caption"/>
        <w:ind w:left="0" w:firstLine="0"/>
      </w:pPr>
      <w:bookmarkStart w:id="141" w:name="_Toc90725983"/>
      <w:bookmarkStart w:id="142" w:name="_Toc90727280"/>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29</w:t>
      </w:r>
      <w:r w:rsidRPr="003516DC">
        <w:rPr>
          <w:noProof/>
        </w:rPr>
        <w:fldChar w:fldCharType="end"/>
      </w:r>
      <w:r w:rsidRPr="003516DC">
        <w:t xml:space="preserve">: </w:t>
      </w:r>
      <w:bookmarkStart w:id="143" w:name="_Hlk75784602"/>
      <w:r w:rsidRPr="003516DC">
        <w:t xml:space="preserve">Types of operations needed </w:t>
      </w:r>
      <w:bookmarkEnd w:id="143"/>
      <w:r w:rsidRPr="003516DC">
        <w:t>for Hunedoara County</w:t>
      </w:r>
      <w:bookmarkEnd w:id="141"/>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5C2CA2" w:rsidRPr="005C2CA2" w14:paraId="07D8A7DF" w14:textId="77777777" w:rsidTr="005C2CA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002060"/>
            <w:tcMar>
              <w:top w:w="100" w:type="dxa"/>
              <w:left w:w="100" w:type="dxa"/>
              <w:bottom w:w="100" w:type="dxa"/>
              <w:right w:w="100" w:type="dxa"/>
            </w:tcMar>
            <w:vAlign w:val="center"/>
            <w:hideMark/>
          </w:tcPr>
          <w:p w14:paraId="269D9E8F" w14:textId="77777777" w:rsidR="005C2CA2" w:rsidRPr="005C2CA2" w:rsidRDefault="005C2CA2" w:rsidP="005C2CA2">
            <w:pPr>
              <w:spacing w:line="276" w:lineRule="auto"/>
              <w:jc w:val="center"/>
              <w:rPr>
                <w:rFonts w:ascii="Arial" w:hAnsi="Arial" w:cs="Arial"/>
                <w:b/>
                <w:bCs/>
                <w:sz w:val="18"/>
                <w:szCs w:val="18"/>
                <w:highlight w:val="white"/>
              </w:rPr>
            </w:pPr>
            <w:r w:rsidRPr="005C2CA2">
              <w:rPr>
                <w:rFonts w:ascii="Arial" w:hAnsi="Arial" w:cs="Arial"/>
                <w:b/>
                <w:bCs/>
                <w:sz w:val="18"/>
                <w:szCs w:val="18"/>
              </w:rPr>
              <w:t>TYPES OF OPERATIONS NEEDED FOR HUNEDOARA COUNTY</w:t>
            </w:r>
          </w:p>
        </w:tc>
      </w:tr>
      <w:tr w:rsidR="005C2CA2" w:rsidRPr="005C2CA2" w14:paraId="52528B67" w14:textId="77777777" w:rsidTr="005C2CA2">
        <w:trPr>
          <w:trHeight w:val="737"/>
          <w:tblHeader/>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1DACDA46" w14:textId="77777777" w:rsidR="005C2CA2" w:rsidRPr="005C2CA2" w:rsidRDefault="005C2CA2" w:rsidP="005C2CA2">
            <w:pPr>
              <w:spacing w:line="276" w:lineRule="auto"/>
              <w:rPr>
                <w:rFonts w:ascii="Arial" w:hAnsi="Arial" w:cs="Arial"/>
                <w:b/>
                <w:bCs/>
                <w:sz w:val="18"/>
                <w:szCs w:val="18"/>
              </w:rPr>
            </w:pPr>
            <w:r w:rsidRPr="005C2CA2">
              <w:rPr>
                <w:rFonts w:ascii="Arial" w:hAnsi="Arial" w:cs="Arial"/>
                <w:b/>
                <w:bCs/>
                <w:sz w:val="18"/>
                <w:szCs w:val="18"/>
              </w:rPr>
              <w:t>Degree of priority</w:t>
            </w:r>
          </w:p>
        </w:tc>
        <w:tc>
          <w:tcPr>
            <w:tcW w:w="1875"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0B3E751E" w14:textId="4F0439F5" w:rsidR="005C2CA2" w:rsidRPr="005C2CA2" w:rsidRDefault="005C2CA2" w:rsidP="005C2CA2">
            <w:pPr>
              <w:spacing w:line="276" w:lineRule="auto"/>
              <w:jc w:val="both"/>
              <w:rPr>
                <w:rFonts w:ascii="Arial" w:hAnsi="Arial" w:cs="Arial"/>
                <w:b/>
                <w:bCs/>
                <w:sz w:val="18"/>
                <w:szCs w:val="18"/>
              </w:rPr>
            </w:pPr>
            <w:bookmarkStart w:id="144" w:name="_Hlk89710023"/>
            <w:r w:rsidRPr="005C2CA2">
              <w:rPr>
                <w:rFonts w:ascii="Arial" w:hAnsi="Arial" w:cs="Arial"/>
                <w:b/>
                <w:bCs/>
                <w:sz w:val="18"/>
                <w:szCs w:val="18"/>
              </w:rPr>
              <w:t>Identified as priority to address the impact of the transition by the stakeholders and from the trends analysis and</w:t>
            </w:r>
            <w:r w:rsidR="00A776E4">
              <w:rPr>
                <w:rFonts w:ascii="Arial" w:hAnsi="Arial" w:cs="Arial"/>
                <w:b/>
                <w:bCs/>
                <w:sz w:val="18"/>
                <w:szCs w:val="18"/>
              </w:rPr>
              <w:t xml:space="preserve"> potentially</w:t>
            </w:r>
            <w:r w:rsidRPr="005C2CA2">
              <w:rPr>
                <w:rFonts w:ascii="Arial" w:hAnsi="Arial" w:cs="Arial"/>
                <w:b/>
                <w:bCs/>
                <w:sz w:val="18"/>
                <w:szCs w:val="18"/>
              </w:rPr>
              <w:t xml:space="preserve"> in scope of the JTF Regulation</w:t>
            </w:r>
            <w:bookmarkEnd w:id="144"/>
          </w:p>
        </w:tc>
        <w:tc>
          <w:tcPr>
            <w:tcW w:w="154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761FB086" w14:textId="506C554B" w:rsidR="005C2CA2" w:rsidRPr="005C2CA2" w:rsidRDefault="005C2CA2" w:rsidP="005C2CA2">
            <w:pPr>
              <w:spacing w:line="276" w:lineRule="auto"/>
              <w:jc w:val="both"/>
              <w:rPr>
                <w:rFonts w:ascii="Arial" w:hAnsi="Arial" w:cs="Arial"/>
                <w:b/>
                <w:bCs/>
                <w:sz w:val="18"/>
                <w:szCs w:val="18"/>
              </w:rPr>
            </w:pPr>
            <w:r w:rsidRPr="005C2CA2">
              <w:rPr>
                <w:rFonts w:ascii="Arial" w:hAnsi="Arial" w:cs="Arial"/>
                <w:b/>
                <w:bCs/>
                <w:sz w:val="18"/>
                <w:szCs w:val="18"/>
              </w:rPr>
              <w:t xml:space="preserve">Identified as priority to address the impact of the transition by the stakeholders and from the trends analysis, </w:t>
            </w:r>
            <w:r w:rsidRPr="005C2CA2">
              <w:rPr>
                <w:rFonts w:ascii="Arial" w:hAnsi="Arial" w:cs="Arial"/>
                <w:b/>
                <w:sz w:val="18"/>
                <w:szCs w:val="18"/>
                <w:u w:val="single"/>
              </w:rPr>
              <w:t>not</w:t>
            </w:r>
            <w:r w:rsidRPr="005C2CA2">
              <w:rPr>
                <w:rFonts w:ascii="Arial" w:hAnsi="Arial" w:cs="Arial"/>
                <w:b/>
                <w:bCs/>
                <w:sz w:val="18"/>
                <w:szCs w:val="18"/>
              </w:rPr>
              <w:t xml:space="preserve"> in scope of the JTF Regulation (</w:t>
            </w:r>
            <w:r w:rsidRPr="00190BA4">
              <w:rPr>
                <w:rFonts w:ascii="Arial" w:hAnsi="Arial" w:cs="Arial"/>
                <w:b/>
                <w:bCs/>
                <w:sz w:val="18"/>
                <w:szCs w:val="18"/>
                <w:u w:val="single"/>
              </w:rPr>
              <w:t>therefore to be considered for other funding sources)</w:t>
            </w:r>
          </w:p>
        </w:tc>
        <w:tc>
          <w:tcPr>
            <w:tcW w:w="1097"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38C40076" w14:textId="77777777" w:rsidR="005C2CA2" w:rsidRPr="005C2CA2" w:rsidRDefault="005C2CA2" w:rsidP="005C2CA2">
            <w:pPr>
              <w:spacing w:line="276" w:lineRule="auto"/>
              <w:jc w:val="both"/>
              <w:rPr>
                <w:rFonts w:ascii="Arial" w:hAnsi="Arial" w:cs="Arial"/>
                <w:b/>
                <w:bCs/>
                <w:sz w:val="18"/>
                <w:szCs w:val="18"/>
              </w:rPr>
            </w:pPr>
            <w:r w:rsidRPr="005C2CA2">
              <w:rPr>
                <w:rFonts w:ascii="Arial" w:hAnsi="Arial" w:cs="Arial"/>
                <w:b/>
                <w:bCs/>
                <w:sz w:val="18"/>
                <w:szCs w:val="18"/>
              </w:rPr>
              <w:t>Consistency of the type of operation with different national, regional, territorial strategies and plans</w:t>
            </w:r>
          </w:p>
        </w:tc>
      </w:tr>
      <w:tr w:rsidR="005C2CA2" w:rsidRPr="005C2CA2" w14:paraId="7DF2726B"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43BAD4C5" w14:textId="77777777" w:rsidR="005C2CA2" w:rsidRPr="005C2CA2" w:rsidRDefault="005C2CA2" w:rsidP="005C2CA2">
            <w:pPr>
              <w:spacing w:line="276" w:lineRule="auto"/>
              <w:jc w:val="both"/>
              <w:rPr>
                <w:rFonts w:ascii="Arial" w:hAnsi="Arial" w:cs="Arial"/>
                <w:sz w:val="18"/>
                <w:szCs w:val="18"/>
                <w:highlight w:val="white"/>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181680C" w14:textId="77777777" w:rsidR="005C2CA2" w:rsidRPr="005C2CA2" w:rsidRDefault="005C2CA2" w:rsidP="005C2CA2">
            <w:pPr>
              <w:spacing w:after="160" w:line="256" w:lineRule="auto"/>
              <w:rPr>
                <w:rFonts w:ascii="Arial" w:eastAsia="Calibri" w:hAnsi="Arial" w:cs="Arial"/>
                <w:b/>
                <w:bCs/>
                <w:sz w:val="18"/>
                <w:szCs w:val="18"/>
                <w:highlight w:val="white"/>
                <w:lang w:val="en-US" w:eastAsia="en-US"/>
              </w:rPr>
            </w:pPr>
            <w:r w:rsidRPr="005C2CA2">
              <w:rPr>
                <w:rFonts w:ascii="Arial" w:eastAsia="Calibri" w:hAnsi="Arial" w:cs="Arial"/>
                <w:b/>
                <w:bCs/>
                <w:sz w:val="18"/>
                <w:szCs w:val="18"/>
                <w:highlight w:val="white"/>
                <w:lang w:val="en-US" w:eastAsia="en-US"/>
              </w:rPr>
              <w:t xml:space="preserve">Type 1: </w:t>
            </w:r>
            <w:r w:rsidRPr="005C2CA2">
              <w:rPr>
                <w:rFonts w:ascii="Arial" w:eastAsia="Calibri" w:hAnsi="Arial" w:cs="Arial"/>
                <w:b/>
                <w:bCs/>
                <w:sz w:val="18"/>
                <w:szCs w:val="18"/>
                <w:lang w:val="en-US" w:eastAsia="en-US"/>
              </w:rPr>
              <w:t>Supporting investments in clean energy technologies and infrastructure to reduce pollution and strengthening the circular economy.</w:t>
            </w:r>
          </w:p>
          <w:p w14:paraId="0C819670"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Investment in regeneration and decontamination of sites, land restoration and repurposing projects - with a focus on the rehabilitation of degraded and contaminated industrial sites and their inclusion in the economic circuit.</w:t>
            </w:r>
          </w:p>
          <w:p w14:paraId="627506C0" w14:textId="77777777" w:rsidR="005C2CA2" w:rsidRPr="005C2CA2" w:rsidRDefault="005C2CA2" w:rsidP="005C2CA2">
            <w:pPr>
              <w:spacing w:after="160"/>
              <w:ind w:left="360"/>
              <w:contextualSpacing/>
              <w:rPr>
                <w:rFonts w:ascii="Arial" w:hAnsi="Arial" w:cs="Arial"/>
                <w:sz w:val="18"/>
                <w:szCs w:val="18"/>
                <w:highlight w:val="white"/>
                <w:lang w:val="es-ES" w:eastAsia="en-US"/>
              </w:rPr>
            </w:pPr>
            <w:r w:rsidRPr="005C2CA2">
              <w:rPr>
                <w:rFonts w:ascii="Arial" w:hAnsi="Arial" w:cs="Arial"/>
                <w:sz w:val="18"/>
                <w:szCs w:val="18"/>
                <w:highlight w:val="white"/>
                <w:lang w:val="es-ES" w:eastAsia="en-US"/>
              </w:rPr>
              <w:t>Locations: Hunedoara (147.2 Ha), Calan (81.9 Ha), Jiu Valley (Vulcan/ Paroseni) (50 Ha), Deva-Mintia (37 Ha)</w:t>
            </w:r>
          </w:p>
          <w:p w14:paraId="3E90D934" w14:textId="77777777" w:rsidR="005C2CA2" w:rsidRPr="005C2CA2" w:rsidRDefault="005C2CA2" w:rsidP="005C2CA2">
            <w:pPr>
              <w:spacing w:after="160" w:line="256" w:lineRule="auto"/>
              <w:rPr>
                <w:rFonts w:ascii="Arial" w:eastAsia="Calibri" w:hAnsi="Arial" w:cs="Arial"/>
                <w:sz w:val="18"/>
                <w:szCs w:val="18"/>
                <w:highlight w:val="white"/>
                <w:lang w:val="es-ES" w:eastAsia="en-US"/>
              </w:rPr>
            </w:pPr>
          </w:p>
          <w:p w14:paraId="55E9777B" w14:textId="20F8A701" w:rsidR="00A73B47" w:rsidRPr="003C4561" w:rsidRDefault="005C2CA2" w:rsidP="003C4561">
            <w:pPr>
              <w:numPr>
                <w:ilvl w:val="0"/>
                <w:numId w:val="345"/>
              </w:numPr>
              <w:spacing w:after="160" w:line="256" w:lineRule="auto"/>
              <w:contextualSpacing/>
              <w:rPr>
                <w:rFonts w:ascii="Arial" w:eastAsia="Cambria" w:hAnsi="Arial" w:cs="Arial"/>
                <w:sz w:val="18"/>
                <w:szCs w:val="18"/>
                <w:highlight w:val="white"/>
                <w:lang w:val="en-US" w:eastAsia="en-US"/>
              </w:rPr>
            </w:pPr>
            <w:r w:rsidRPr="005C2CA2">
              <w:rPr>
                <w:rFonts w:ascii="Arial" w:hAnsi="Arial" w:cs="Arial"/>
                <w:sz w:val="18"/>
                <w:szCs w:val="18"/>
                <w:highlight w:val="white"/>
                <w:lang w:eastAsia="en-US"/>
              </w:rPr>
              <w:t>Repurposing in economic areas: industrial parks (Hunedoara, Calan, Jiu Valley), green areas/urban garden (Hunedoara) or photovoltaic energy plants/energy cooperatives (Hunedoara, Calan, Jiu Valley)</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7899907B"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648C6FB" w14:textId="77777777" w:rsidR="005C2CA2" w:rsidRPr="005C2CA2" w:rsidRDefault="005C2CA2" w:rsidP="005C2CA2">
            <w:pPr>
              <w:numPr>
                <w:ilvl w:val="0"/>
                <w:numId w:val="345"/>
              </w:numPr>
              <w:spacing w:after="160" w:line="256" w:lineRule="auto"/>
              <w:contextualSpacing/>
              <w:rPr>
                <w:rFonts w:ascii="Arial" w:eastAsia="Calibri" w:hAnsi="Arial" w:cs="Arial"/>
                <w:sz w:val="18"/>
                <w:szCs w:val="18"/>
                <w:highlight w:val="white"/>
                <w:lang w:eastAsia="en-US"/>
              </w:rPr>
            </w:pPr>
            <w:r w:rsidRPr="005C2CA2">
              <w:rPr>
                <w:rFonts w:ascii="Arial" w:hAnsi="Arial" w:cs="Arial"/>
                <w:sz w:val="18"/>
                <w:szCs w:val="18"/>
                <w:highlight w:val="white"/>
                <w:lang w:eastAsia="en-US"/>
              </w:rPr>
              <w:t>Hunedoara Town Development strategy</w:t>
            </w:r>
          </w:p>
          <w:p w14:paraId="21064E3F"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 xml:space="preserve">Regional Development Strategy 2021-27 Pillar 1- Green transition and climate change </w:t>
            </w:r>
          </w:p>
          <w:p w14:paraId="09F4902C"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Operational Programme West Region PO 2 Priority 3 A more ecological Europe</w:t>
            </w:r>
          </w:p>
          <w:p w14:paraId="064B8DD4"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JTF Draft Proposal of Hunedoara County Council</w:t>
            </w:r>
          </w:p>
          <w:p w14:paraId="1B8CA714"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Green Deal Strategy</w:t>
            </w:r>
          </w:p>
        </w:tc>
      </w:tr>
      <w:tr w:rsidR="005C2CA2" w:rsidRPr="005C2CA2" w14:paraId="447274A8"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591C7000"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Medium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3019707" w14:textId="77777777" w:rsidR="005C2CA2" w:rsidRPr="005C2CA2" w:rsidRDefault="005C2CA2" w:rsidP="005C2CA2">
            <w:pPr>
              <w:numPr>
                <w:ilvl w:val="0"/>
                <w:numId w:val="345"/>
              </w:numPr>
              <w:spacing w:after="160" w:line="256" w:lineRule="auto"/>
              <w:contextualSpacing/>
              <w:rPr>
                <w:rFonts w:ascii="Arial" w:eastAsia="Calibri" w:hAnsi="Arial" w:cs="Arial"/>
                <w:sz w:val="18"/>
                <w:szCs w:val="18"/>
                <w:lang w:val="en-US" w:eastAsia="en-US"/>
              </w:rPr>
            </w:pPr>
            <w:r w:rsidRPr="005C2CA2">
              <w:rPr>
                <w:rFonts w:ascii="Arial" w:hAnsi="Arial" w:cs="Arial"/>
                <w:sz w:val="18"/>
                <w:szCs w:val="18"/>
                <w:highlight w:val="white"/>
                <w:lang w:eastAsia="en-US"/>
              </w:rPr>
              <w:t>Investment in research and innovation activities and fostering transfer of advanced technologies: partnership of Univ. Petrosani/Hunedoara to develop research centres on renewable/clean energy production and storage, hydrogen production</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F0BB804"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eastAsia="Times New Roman" w:hAnsi="Arial" w:cs="Arial"/>
                <w:sz w:val="18"/>
                <w:szCs w:val="18"/>
                <w:highlight w:val="white"/>
                <w:lang w:eastAsia="en-US"/>
              </w:rPr>
              <w:t>Infrastructure for dual education</w:t>
            </w: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F9F4E70" w14:textId="77777777" w:rsidR="005C2CA2" w:rsidRPr="005C2CA2" w:rsidRDefault="005C2CA2" w:rsidP="005C2CA2">
            <w:pPr>
              <w:numPr>
                <w:ilvl w:val="0"/>
                <w:numId w:val="345"/>
              </w:numPr>
              <w:spacing w:after="160" w:line="256" w:lineRule="auto"/>
              <w:contextualSpacing/>
              <w:rPr>
                <w:rFonts w:ascii="Arial" w:eastAsia="Times New Roman" w:hAnsi="Arial" w:cs="Arial"/>
                <w:sz w:val="18"/>
                <w:szCs w:val="18"/>
                <w:highlight w:val="white"/>
                <w:lang w:eastAsia="en-US"/>
              </w:rPr>
            </w:pPr>
            <w:r w:rsidRPr="005C2CA2">
              <w:rPr>
                <w:rFonts w:ascii="Arial" w:eastAsia="Times New Roman" w:hAnsi="Arial" w:cs="Arial"/>
                <w:sz w:val="18"/>
                <w:szCs w:val="18"/>
                <w:highlight w:val="white"/>
                <w:lang w:eastAsia="en-US"/>
              </w:rPr>
              <w:t>West Region Smart Specialisation Strategy 2021-2027</w:t>
            </w:r>
          </w:p>
          <w:p w14:paraId="7D91087C" w14:textId="77777777" w:rsidR="005C2CA2" w:rsidRPr="005C2CA2" w:rsidRDefault="005C2CA2" w:rsidP="005C2CA2">
            <w:pPr>
              <w:numPr>
                <w:ilvl w:val="0"/>
                <w:numId w:val="345"/>
              </w:numPr>
              <w:spacing w:after="160" w:line="256" w:lineRule="auto"/>
              <w:contextualSpacing/>
              <w:rPr>
                <w:rFonts w:ascii="Arial" w:eastAsia="Times New Roman" w:hAnsi="Arial" w:cs="Arial"/>
                <w:sz w:val="18"/>
                <w:szCs w:val="18"/>
                <w:highlight w:val="white"/>
                <w:lang w:eastAsia="en-US"/>
              </w:rPr>
            </w:pPr>
            <w:r w:rsidRPr="005C2CA2">
              <w:rPr>
                <w:rFonts w:ascii="Arial" w:hAnsi="Arial" w:cs="Arial"/>
                <w:sz w:val="18"/>
                <w:szCs w:val="18"/>
                <w:highlight w:val="white"/>
                <w:lang w:eastAsia="en-US"/>
              </w:rPr>
              <w:t>National Recovery and Resilience Plan</w:t>
            </w:r>
          </w:p>
          <w:p w14:paraId="3FFF692B" w14:textId="77777777" w:rsidR="005C2CA2" w:rsidRPr="005C2CA2" w:rsidRDefault="005C2CA2" w:rsidP="005C2CA2">
            <w:pPr>
              <w:ind w:left="360"/>
              <w:contextualSpacing/>
              <w:rPr>
                <w:rFonts w:ascii="Arial" w:eastAsia="Cambria" w:hAnsi="Arial" w:cs="Arial"/>
                <w:sz w:val="18"/>
                <w:szCs w:val="18"/>
                <w:highlight w:val="white"/>
                <w:lang w:val="en-US" w:eastAsia="en-US"/>
              </w:rPr>
            </w:pPr>
            <w:r w:rsidRPr="005C2CA2">
              <w:rPr>
                <w:rFonts w:ascii="Arial" w:eastAsia="Calibri" w:hAnsi="Arial" w:cs="Arial"/>
                <w:sz w:val="18"/>
                <w:szCs w:val="18"/>
                <w:highlight w:val="white"/>
                <w:lang w:val="en-US" w:eastAsia="en-US"/>
              </w:rPr>
              <w:t>JTF Proposal of Hunedoara County Council</w:t>
            </w:r>
          </w:p>
        </w:tc>
      </w:tr>
      <w:tr w:rsidR="005C2CA2" w:rsidRPr="005C2CA2" w14:paraId="5B167C4C" w14:textId="77777777" w:rsidTr="005C2CA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2294B"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6272166" w14:textId="77777777" w:rsidR="005C2CA2" w:rsidRPr="005C2CA2" w:rsidRDefault="005C2CA2" w:rsidP="005C2CA2">
            <w:pPr>
              <w:numPr>
                <w:ilvl w:val="0"/>
                <w:numId w:val="345"/>
              </w:numPr>
              <w:spacing w:after="160" w:line="256" w:lineRule="auto"/>
              <w:contextualSpacing/>
              <w:rPr>
                <w:rFonts w:ascii="Arial" w:eastAsia="Calibri" w:hAnsi="Arial" w:cs="Arial"/>
                <w:b/>
                <w:sz w:val="18"/>
                <w:szCs w:val="18"/>
                <w:lang w:eastAsia="en-US"/>
              </w:rPr>
            </w:pPr>
            <w:r w:rsidRPr="005C2CA2">
              <w:rPr>
                <w:rFonts w:ascii="Arial" w:hAnsi="Arial" w:cs="Arial"/>
                <w:sz w:val="18"/>
                <w:szCs w:val="18"/>
                <w:highlight w:val="white"/>
                <w:lang w:eastAsia="en-US"/>
              </w:rPr>
              <w:t xml:space="preserve">Investments in the deployment of technology and infrastructures for affordable clean energy, greenhouse gas emission reduction, energy efficiency and renewable </w:t>
            </w:r>
            <w:r w:rsidRPr="005C2CA2">
              <w:rPr>
                <w:rFonts w:ascii="Arial" w:hAnsi="Arial" w:cs="Arial"/>
                <w:sz w:val="18"/>
                <w:szCs w:val="18"/>
                <w:highlight w:val="white"/>
                <w:lang w:eastAsia="en-US"/>
              </w:rPr>
              <w:lastRenderedPageBreak/>
              <w:t>energy, such as wind energy in the Godeanu mountain and solar PV</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6392957"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lastRenderedPageBreak/>
              <w:t>Waste management and waste incineration</w:t>
            </w:r>
          </w:p>
          <w:p w14:paraId="59F39591"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highlight w:val="white"/>
                <w:lang w:eastAsia="en-US"/>
              </w:rPr>
              <w:t>Investment in new technologies for energy/ heating production based on natural gas</w:t>
            </w: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0BDC6E5" w14:textId="77777777" w:rsidR="005C2CA2" w:rsidRPr="005C2CA2" w:rsidRDefault="005C2CA2" w:rsidP="005C2CA2">
            <w:pPr>
              <w:numPr>
                <w:ilvl w:val="0"/>
                <w:numId w:val="345"/>
              </w:numPr>
              <w:spacing w:before="240" w:after="160" w:line="256" w:lineRule="auto"/>
              <w:contextualSpacing/>
              <w:rPr>
                <w:rFonts w:ascii="Arial" w:eastAsia="Times New Roman" w:hAnsi="Arial" w:cs="Arial"/>
                <w:sz w:val="18"/>
                <w:szCs w:val="18"/>
                <w:highlight w:val="white"/>
                <w:lang w:eastAsia="en-US"/>
              </w:rPr>
            </w:pPr>
            <w:r w:rsidRPr="005C2CA2">
              <w:rPr>
                <w:rFonts w:ascii="Arial" w:eastAsia="Times New Roman" w:hAnsi="Arial" w:cs="Arial"/>
                <w:sz w:val="18"/>
                <w:szCs w:val="18"/>
                <w:highlight w:val="white"/>
                <w:lang w:eastAsia="en-US"/>
              </w:rPr>
              <w:t>ROP West Region 2021-2-027</w:t>
            </w:r>
          </w:p>
          <w:p w14:paraId="3B843C9F" w14:textId="77777777" w:rsidR="005C2CA2" w:rsidRPr="005C2CA2" w:rsidRDefault="005C2CA2" w:rsidP="005C2CA2">
            <w:pPr>
              <w:numPr>
                <w:ilvl w:val="0"/>
                <w:numId w:val="345"/>
              </w:numPr>
              <w:spacing w:after="160" w:line="256" w:lineRule="auto"/>
              <w:contextualSpacing/>
              <w:rPr>
                <w:rFonts w:ascii="Arial" w:eastAsia="Cambria" w:hAnsi="Arial" w:cs="Arial"/>
                <w:sz w:val="18"/>
                <w:szCs w:val="18"/>
                <w:highlight w:val="white"/>
                <w:lang w:val="en-US" w:eastAsia="en-US"/>
              </w:rPr>
            </w:pPr>
            <w:r w:rsidRPr="005C2CA2">
              <w:rPr>
                <w:rFonts w:ascii="Arial" w:eastAsia="Times New Roman" w:hAnsi="Arial" w:cs="Arial"/>
                <w:sz w:val="18"/>
                <w:szCs w:val="18"/>
                <w:highlight w:val="white"/>
                <w:lang w:val="en-US" w:eastAsia="en-US"/>
              </w:rPr>
              <w:t>JTF Proposal of Hd County Council</w:t>
            </w:r>
          </w:p>
        </w:tc>
      </w:tr>
      <w:tr w:rsidR="005C2CA2" w:rsidRPr="005C2CA2" w14:paraId="5AF0DD38"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08AB55F7"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0D9CDA" w14:textId="77777777" w:rsidR="005C2CA2" w:rsidRPr="005C2CA2" w:rsidRDefault="005C2CA2" w:rsidP="005C2CA2">
            <w:pPr>
              <w:spacing w:after="160" w:line="256" w:lineRule="auto"/>
              <w:jc w:val="both"/>
              <w:rPr>
                <w:rFonts w:ascii="Arial" w:eastAsia="Calibri" w:hAnsi="Arial" w:cs="Arial"/>
                <w:b/>
                <w:bCs/>
                <w:sz w:val="18"/>
                <w:szCs w:val="18"/>
                <w:lang w:val="en-US" w:eastAsia="en-US"/>
              </w:rPr>
            </w:pPr>
            <w:r w:rsidRPr="005C2CA2">
              <w:rPr>
                <w:rFonts w:ascii="Arial" w:eastAsia="Calibri" w:hAnsi="Arial" w:cs="Arial"/>
                <w:b/>
                <w:bCs/>
                <w:sz w:val="18"/>
                <w:szCs w:val="18"/>
                <w:highlight w:val="white"/>
                <w:lang w:val="en-US" w:eastAsia="en-US"/>
              </w:rPr>
              <w:t xml:space="preserve">Type 2: </w:t>
            </w:r>
            <w:r w:rsidRPr="005C2CA2">
              <w:rPr>
                <w:rFonts w:ascii="Arial" w:eastAsia="Calibri" w:hAnsi="Arial" w:cs="Arial"/>
                <w:b/>
                <w:bCs/>
                <w:sz w:val="18"/>
                <w:szCs w:val="18"/>
                <w:lang w:val="en-US" w:eastAsia="en-US"/>
              </w:rPr>
              <w:t>Increasing the level of employment:</w:t>
            </w:r>
          </w:p>
          <w:p w14:paraId="154732E9"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Upskilling and reskilling of up to 2,000 workers laid off by Hunedoara Energy Complex during 2021-2026 in areas like new clean energy production, construction, manufacturing, services; dual training, partnership between Universities/Renewable energy producers’ associations/ companies; entrepreneurship - setting up new businesses</w:t>
            </w:r>
          </w:p>
          <w:p w14:paraId="6778D4B5" w14:textId="77777777" w:rsidR="005C2CA2" w:rsidRPr="005C2CA2" w:rsidRDefault="005C2CA2" w:rsidP="005C2CA2">
            <w:pPr>
              <w:spacing w:after="160"/>
              <w:ind w:left="360"/>
              <w:contextualSpacing/>
              <w:rPr>
                <w:rFonts w:ascii="Arial" w:hAnsi="Arial" w:cs="Arial"/>
                <w:sz w:val="18"/>
                <w:szCs w:val="18"/>
                <w:highlight w:val="white"/>
                <w:lang w:eastAsia="en-US"/>
              </w:rPr>
            </w:pPr>
          </w:p>
          <w:p w14:paraId="21850936" w14:textId="77777777" w:rsidR="005C2CA2" w:rsidRPr="005C2CA2" w:rsidRDefault="005C2CA2" w:rsidP="005C2CA2">
            <w:pPr>
              <w:numPr>
                <w:ilvl w:val="0"/>
                <w:numId w:val="345"/>
              </w:numPr>
              <w:spacing w:after="160" w:line="256" w:lineRule="auto"/>
              <w:contextualSpacing/>
              <w:rPr>
                <w:rFonts w:ascii="Arial" w:hAnsi="Arial" w:cs="Arial"/>
                <w:b/>
                <w:bCs/>
                <w:sz w:val="18"/>
                <w:szCs w:val="18"/>
                <w:lang w:eastAsia="en-US"/>
              </w:rPr>
            </w:pPr>
            <w:r w:rsidRPr="005C2CA2">
              <w:rPr>
                <w:rFonts w:ascii="Arial" w:hAnsi="Arial" w:cs="Arial"/>
                <w:sz w:val="18"/>
                <w:szCs w:val="18"/>
                <w:highlight w:val="white"/>
                <w:lang w:eastAsia="en-US"/>
              </w:rPr>
              <w:t>Transition centres for up to 2,000 Hunedoara Energy Complex former employees and career guidance</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7BF0DD9"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highlight w:val="white"/>
                <w:lang w:eastAsia="en-US"/>
              </w:rPr>
              <w:t>Compensatory financial salaries and pension bridges for laid off workers.</w:t>
            </w: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782FE45" w14:textId="77777777" w:rsidR="005C2CA2" w:rsidRPr="005C2CA2" w:rsidRDefault="005C2CA2" w:rsidP="005C2CA2">
            <w:pPr>
              <w:numPr>
                <w:ilvl w:val="0"/>
                <w:numId w:val="345"/>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JTF Proposal of Hunedoara County Council</w:t>
            </w:r>
          </w:p>
          <w:p w14:paraId="07617F00" w14:textId="77777777" w:rsidR="005C2CA2" w:rsidRPr="005C2CA2" w:rsidRDefault="005C2CA2" w:rsidP="005C2CA2">
            <w:pPr>
              <w:numPr>
                <w:ilvl w:val="0"/>
                <w:numId w:val="345"/>
              </w:numPr>
              <w:spacing w:before="240"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Region West Smart Specialisation Strategy</w:t>
            </w:r>
          </w:p>
          <w:p w14:paraId="4251E5FC" w14:textId="77777777" w:rsidR="005C2CA2" w:rsidRPr="005C2CA2" w:rsidRDefault="005C2CA2" w:rsidP="005C2CA2">
            <w:pPr>
              <w:ind w:left="360"/>
              <w:contextualSpacing/>
              <w:rPr>
                <w:rFonts w:ascii="Arial" w:eastAsia="Cambria" w:hAnsi="Arial" w:cs="Arial"/>
                <w:sz w:val="18"/>
                <w:szCs w:val="18"/>
                <w:highlight w:val="white"/>
                <w:lang w:val="en-US" w:eastAsia="en-US"/>
              </w:rPr>
            </w:pPr>
            <w:r w:rsidRPr="005C2CA2">
              <w:rPr>
                <w:rFonts w:ascii="Arial" w:eastAsia="Calibri" w:hAnsi="Arial" w:cs="Arial"/>
                <w:sz w:val="18"/>
                <w:szCs w:val="18"/>
                <w:highlight w:val="white"/>
                <w:lang w:val="en-US" w:eastAsia="en-US"/>
              </w:rPr>
              <w:t>National Recovery and Resilience Plan</w:t>
            </w:r>
          </w:p>
        </w:tc>
      </w:tr>
      <w:tr w:rsidR="005C2CA2" w:rsidRPr="005C2CA2" w14:paraId="71E316CE"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6563A407"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A9895F5" w14:textId="77777777" w:rsidR="005C2CA2" w:rsidRPr="005C2CA2" w:rsidRDefault="005C2CA2" w:rsidP="005C2CA2">
            <w:pPr>
              <w:spacing w:after="160" w:line="256" w:lineRule="auto"/>
              <w:rPr>
                <w:rFonts w:ascii="Arial" w:eastAsia="Calibri" w:hAnsi="Arial" w:cs="Arial"/>
                <w:b/>
                <w:bCs/>
                <w:sz w:val="18"/>
                <w:szCs w:val="18"/>
                <w:lang w:val="en-US" w:eastAsia="en-US"/>
              </w:rPr>
            </w:pPr>
            <w:r w:rsidRPr="005C2CA2">
              <w:rPr>
                <w:rFonts w:ascii="Arial" w:eastAsia="Calibri" w:hAnsi="Arial" w:cs="Arial"/>
                <w:b/>
                <w:bCs/>
                <w:sz w:val="18"/>
                <w:szCs w:val="18"/>
                <w:lang w:val="en-US" w:eastAsia="en-US"/>
              </w:rPr>
              <w:t>Type 3: Entrepreneurship development, increasing competitiveness and economic diversification, research, innovation and digitisation</w:t>
            </w:r>
          </w:p>
          <w:p w14:paraId="0ABDA3AF"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highlight w:val="white"/>
                <w:lang w:eastAsia="en-US"/>
              </w:rPr>
              <w:t>Productive investments in local micro/individual companies  supporting growth and job creation</w:t>
            </w:r>
          </w:p>
          <w:p w14:paraId="283D3596"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highlight w:val="white"/>
                <w:lang w:eastAsia="en-US"/>
              </w:rPr>
              <w:t>Productive investments in SMEs (especially the scaling of medium-sized companies on a growth trend), leading to economic diversification and jobs creation</w:t>
            </w:r>
          </w:p>
          <w:p w14:paraId="4F3D7A22"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Productive investments in medium-sized and large local enterprises from the sectors of manufacturing, food processing, garments, and wood processing (furniture production)</w:t>
            </w:r>
          </w:p>
          <w:p w14:paraId="04833E80"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highlight w:val="white"/>
                <w:lang w:eastAsia="en-US"/>
              </w:rPr>
              <w:lastRenderedPageBreak/>
              <w:t>Integrated management of the touristic destination at micro-region level, e.g., Jiu Valley, Hunedoara and Tinutul Padurenilor</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A01674D"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lastRenderedPageBreak/>
              <w:t>Start-ups</w:t>
            </w:r>
          </w:p>
          <w:p w14:paraId="62E4D4A7"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highlight w:val="white"/>
                <w:lang w:eastAsia="en-US"/>
              </w:rPr>
              <w:t>Tourism infrastructure</w:t>
            </w: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FBF0925"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 xml:space="preserve">CEROPE Study Tranzitie Justa in Hunedoara </w:t>
            </w:r>
          </w:p>
          <w:p w14:paraId="5ECEC1A8"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ROP 3 – 2021-2027</w:t>
            </w:r>
          </w:p>
          <w:p w14:paraId="3CE8358E"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RRP</w:t>
            </w:r>
          </w:p>
          <w:p w14:paraId="335B552A" w14:textId="77777777" w:rsidR="005C2CA2" w:rsidRPr="005C2CA2" w:rsidRDefault="005C2CA2" w:rsidP="005C2CA2">
            <w:pPr>
              <w:numPr>
                <w:ilvl w:val="0"/>
                <w:numId w:val="347"/>
              </w:numPr>
              <w:spacing w:after="160" w:line="256" w:lineRule="auto"/>
              <w:contextualSpacing/>
              <w:rPr>
                <w:rFonts w:ascii="Arial" w:hAnsi="Arial" w:cs="Arial"/>
                <w:sz w:val="18"/>
                <w:szCs w:val="18"/>
                <w:highlight w:val="white"/>
                <w:lang w:eastAsia="en-US"/>
              </w:rPr>
            </w:pPr>
            <w:r w:rsidRPr="005C2CA2">
              <w:rPr>
                <w:rFonts w:ascii="Arial" w:hAnsi="Arial" w:cs="Arial"/>
                <w:sz w:val="18"/>
                <w:szCs w:val="18"/>
                <w:highlight w:val="white"/>
                <w:lang w:eastAsia="en-US"/>
              </w:rPr>
              <w:t>JTF Proposal of Hunedoara County Council</w:t>
            </w:r>
          </w:p>
          <w:p w14:paraId="51DEF829"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0CCA63E8"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2FEEDBD7"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Medium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9749C72" w14:textId="77777777" w:rsidR="005C2CA2" w:rsidRPr="005C2CA2" w:rsidRDefault="005C2CA2" w:rsidP="005C2CA2">
            <w:pPr>
              <w:numPr>
                <w:ilvl w:val="0"/>
                <w:numId w:val="347"/>
              </w:numPr>
              <w:spacing w:after="160" w:line="256" w:lineRule="auto"/>
              <w:contextualSpacing/>
              <w:rPr>
                <w:rFonts w:ascii="Arial" w:eastAsia="Calibri" w:hAnsi="Arial" w:cs="Arial"/>
                <w:b/>
                <w:sz w:val="18"/>
                <w:szCs w:val="18"/>
                <w:lang w:val="en-US" w:eastAsia="en-US"/>
              </w:rPr>
            </w:pPr>
            <w:r w:rsidRPr="005C2CA2">
              <w:rPr>
                <w:rFonts w:ascii="Arial" w:hAnsi="Arial" w:cs="Arial"/>
                <w:sz w:val="18"/>
                <w:szCs w:val="18"/>
                <w:highlight w:val="white"/>
                <w:lang w:eastAsia="en-US"/>
              </w:rPr>
              <w:t>Technical assistance - feasibility studies for large investment projects</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09A2BD59" w14:textId="77777777" w:rsidR="005C2CA2" w:rsidRPr="005C2CA2" w:rsidRDefault="005C2CA2" w:rsidP="005C2CA2">
            <w:pPr>
              <w:spacing w:before="240" w:after="60"/>
              <w:rPr>
                <w:rFonts w:ascii="Arial" w:eastAsia="Calibri" w:hAnsi="Arial" w:cs="Arial"/>
                <w:sz w:val="18"/>
                <w:szCs w:val="18"/>
                <w:lang w:val="en-US" w:eastAsia="en-US"/>
              </w:rPr>
            </w:pPr>
          </w:p>
        </w:tc>
        <w:tc>
          <w:tcPr>
            <w:tcW w:w="1097"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4346C398"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3AB5D136"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4B676BE9"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Low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9A39F10" w14:textId="77777777" w:rsidR="005C2CA2" w:rsidRPr="005C2CA2" w:rsidRDefault="005C2CA2" w:rsidP="005C2CA2">
            <w:pPr>
              <w:numPr>
                <w:ilvl w:val="0"/>
                <w:numId w:val="347"/>
              </w:numPr>
              <w:spacing w:after="160" w:line="256" w:lineRule="auto"/>
              <w:contextualSpacing/>
              <w:rPr>
                <w:rFonts w:ascii="Arial" w:eastAsia="Calibri" w:hAnsi="Arial" w:cs="Arial"/>
                <w:sz w:val="18"/>
                <w:szCs w:val="18"/>
                <w:lang w:val="en-US" w:eastAsia="en-US"/>
              </w:rPr>
            </w:pPr>
            <w:r w:rsidRPr="005C2CA2">
              <w:rPr>
                <w:rFonts w:ascii="Arial" w:hAnsi="Arial" w:cs="Arial"/>
                <w:sz w:val="18"/>
                <w:szCs w:val="18"/>
                <w:highlight w:val="white"/>
                <w:lang w:eastAsia="en-US"/>
              </w:rPr>
              <w:t>Investment in the creation of new firms, including through business incubators and consulting services</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751A0559" w14:textId="77777777" w:rsidR="005C2CA2" w:rsidRPr="005C2CA2" w:rsidRDefault="005C2CA2" w:rsidP="005C2CA2">
            <w:pPr>
              <w:spacing w:before="240" w:after="60"/>
              <w:ind w:left="360"/>
              <w:contextualSpacing/>
              <w:rPr>
                <w:rFonts w:ascii="Arial" w:hAnsi="Arial" w:cs="Arial"/>
                <w:sz w:val="18"/>
                <w:szCs w:val="18"/>
                <w:lang w:eastAsia="en-US"/>
              </w:rPr>
            </w:pPr>
          </w:p>
        </w:tc>
        <w:tc>
          <w:tcPr>
            <w:tcW w:w="1097"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24C0DB0" w14:textId="77777777" w:rsidR="005C2CA2" w:rsidRPr="005C2CA2" w:rsidRDefault="005C2CA2" w:rsidP="005C2CA2">
            <w:pPr>
              <w:numPr>
                <w:ilvl w:val="0"/>
                <w:numId w:val="347"/>
              </w:numPr>
              <w:spacing w:after="160" w:line="256" w:lineRule="auto"/>
              <w:contextualSpacing/>
              <w:rPr>
                <w:rFonts w:ascii="Arial" w:eastAsia="Cambria" w:hAnsi="Arial" w:cs="Arial"/>
                <w:sz w:val="18"/>
                <w:szCs w:val="18"/>
                <w:highlight w:val="white"/>
                <w:lang w:eastAsia="en-US"/>
              </w:rPr>
            </w:pPr>
            <w:r w:rsidRPr="005C2CA2">
              <w:rPr>
                <w:rFonts w:ascii="Arial" w:eastAsia="Times New Roman" w:hAnsi="Arial" w:cs="Arial"/>
                <w:sz w:val="18"/>
                <w:szCs w:val="18"/>
                <w:highlight w:val="white"/>
                <w:lang w:eastAsia="en-US"/>
              </w:rPr>
              <w:t>ROP West Region 2021-2027</w:t>
            </w:r>
          </w:p>
        </w:tc>
      </w:tr>
    </w:tbl>
    <w:p w14:paraId="430541FB" w14:textId="19453534" w:rsidR="005C2CA2" w:rsidRDefault="005C2CA2" w:rsidP="00AC2D01">
      <w:pPr>
        <w:jc w:val="both"/>
        <w:rPr>
          <w:sz w:val="20"/>
          <w:szCs w:val="20"/>
        </w:rPr>
        <w:sectPr w:rsidR="005C2CA2" w:rsidSect="00D4062A">
          <w:headerReference w:type="default" r:id="rId77"/>
          <w:pgSz w:w="16834" w:h="11909" w:orient="landscape"/>
          <w:pgMar w:top="1530" w:right="1440" w:bottom="1440" w:left="1440" w:header="720" w:footer="720" w:gutter="0"/>
          <w:cols w:space="720"/>
          <w:docGrid w:linePitch="326"/>
        </w:sectPr>
      </w:pPr>
    </w:p>
    <w:p w14:paraId="02121BE9" w14:textId="77777777" w:rsidR="00345CF4" w:rsidRPr="003516DC" w:rsidRDefault="00345CF4" w:rsidP="00E42342">
      <w:pPr>
        <w:pStyle w:val="Heading2"/>
        <w:numPr>
          <w:ilvl w:val="0"/>
          <w:numId w:val="166"/>
        </w:numPr>
        <w:spacing w:before="240" w:line="240" w:lineRule="auto"/>
      </w:pPr>
      <w:bookmarkStart w:id="145" w:name="_Toc90725863"/>
      <w:r w:rsidRPr="003516DC">
        <w:lastRenderedPageBreak/>
        <w:t>Synergies/complementarities/consistency with other programmes</w:t>
      </w:r>
      <w:bookmarkEnd w:id="145"/>
    </w:p>
    <w:p w14:paraId="4270B6CA" w14:textId="2D34255E" w:rsidR="00345CF4" w:rsidRPr="003516DC" w:rsidRDefault="00345CF4" w:rsidP="00854A6F">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 xml:space="preserve">The investment in regeneration and decontamination of sites, land restoration and repurposing projects, identified as high priority, is consistent with the local development plans, e.g., Hunedoara municipality development plan, the Regional Development Strategy – Region West (Pillar 2/ Priority 2: Conservation of biodiversity and decontamination of the industrial sites), National strategy for contaminated sites management and PNIESC 2021-2030 and identified as an investment priority during the interviews with the local municipalities.  </w:t>
      </w:r>
    </w:p>
    <w:p w14:paraId="0A05D317" w14:textId="22BC3FCE" w:rsidR="00345CF4" w:rsidRPr="003516DC" w:rsidRDefault="00345CF4" w:rsidP="00854A6F">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The synergies of the investment in regeneration of contaminated sites are with the investment from the Operational P</w:t>
      </w:r>
      <w:r w:rsidR="00D206E5">
        <w:rPr>
          <w:rFonts w:ascii="Arial" w:hAnsi="Arial" w:cs="Arial"/>
          <w:sz w:val="20"/>
          <w:szCs w:val="20"/>
          <w:highlight w:val="white"/>
        </w:rPr>
        <w:t xml:space="preserve">rogramme </w:t>
      </w:r>
      <w:r w:rsidRPr="003516DC">
        <w:rPr>
          <w:rFonts w:ascii="Arial" w:hAnsi="Arial" w:cs="Arial"/>
          <w:sz w:val="20"/>
          <w:szCs w:val="20"/>
          <w:highlight w:val="white"/>
        </w:rPr>
        <w:t>of Region Vest 2021-27 – Priority 2 SMART City, mobility and digitali</w:t>
      </w:r>
      <w:r w:rsidR="004E7B64">
        <w:rPr>
          <w:rFonts w:ascii="Arial" w:hAnsi="Arial" w:cs="Arial"/>
          <w:sz w:val="20"/>
          <w:szCs w:val="20"/>
          <w:highlight w:val="white"/>
        </w:rPr>
        <w:t>sation</w:t>
      </w:r>
      <w:r w:rsidRPr="003516DC">
        <w:rPr>
          <w:rFonts w:ascii="Arial" w:hAnsi="Arial" w:cs="Arial"/>
          <w:sz w:val="20"/>
          <w:szCs w:val="20"/>
          <w:highlight w:val="white"/>
        </w:rPr>
        <w:t xml:space="preserve"> of public services especially in repurposing of the sites for the expansion and development of the living areas, parks, playgrounds, etc.</w:t>
      </w:r>
    </w:p>
    <w:p w14:paraId="7009C038" w14:textId="0708F184" w:rsidR="00345CF4" w:rsidRPr="003516DC" w:rsidRDefault="00345CF4" w:rsidP="00854A6F">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 xml:space="preserve">The repurposing of the decontaminated industrial sites into economic infrastructure, e.g., industrial platforms, will create synergy with JTP investment in productive investments in SMEs, including start-ups, leading to economic diversification and reconversion as well as research and transfers of new technologies to the companies located on the industrial platforms.  </w:t>
      </w:r>
    </w:p>
    <w:p w14:paraId="057DCAC5" w14:textId="1156AD8F" w:rsidR="00345CF4" w:rsidRPr="003516DC" w:rsidRDefault="00345CF4" w:rsidP="00854A6F">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The investment in upskilling and reskilling of workers laid off by Hunedoara Energy Complex during 2021-2026, identified as high priority due to the concentration of the persons laid off into Jiu Valley and Deva (Mintia) and Hunedoara areas and the limited time period, it is consistent with Hunedoara and Deva’s development strategies the Regional Development Plan – 2.3. Education, Region Vest Operational P</w:t>
      </w:r>
      <w:r w:rsidR="00D206E5">
        <w:rPr>
          <w:rFonts w:ascii="Arial" w:hAnsi="Arial" w:cs="Arial"/>
          <w:sz w:val="20"/>
          <w:szCs w:val="20"/>
          <w:highlight w:val="white"/>
        </w:rPr>
        <w:t xml:space="preserve">rogramme </w:t>
      </w:r>
      <w:r w:rsidRPr="003516DC">
        <w:rPr>
          <w:rFonts w:ascii="Arial" w:hAnsi="Arial" w:cs="Arial"/>
          <w:sz w:val="20"/>
          <w:szCs w:val="20"/>
          <w:highlight w:val="white"/>
        </w:rPr>
        <w:t>– Priority 5 An Educated Region, and the Pillar III. Smart, sustainable and inclusive growth and National Reform and Resilience Plan (PNRR) pillar III Smart, sustainable and inclusive growth Dual education.</w:t>
      </w:r>
    </w:p>
    <w:p w14:paraId="45D8A24F" w14:textId="77777777" w:rsidR="00345CF4" w:rsidRPr="003516DC" w:rsidRDefault="00345CF4" w:rsidP="00854A6F">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Investment in upskilling and reskilling  of workers  will  create synergies  with the pilot project in implementation at Petrosani University in partnership with the Renewable energy producers’ Association (RWEA) on miners reconversion into workers for the  solar and wind energy  plants, dual education  infrastructure financed in Hunedoara county by POR 2014-2020, and JTP-supported investment in productive investments in SMEs, including creation of new firms, leading to economic diversification and reconversion as well as research and transfers of new technologies in to the companies, which will create employment in the region.</w:t>
      </w:r>
    </w:p>
    <w:p w14:paraId="444086E8" w14:textId="6710FEAD" w:rsidR="00345CF4" w:rsidRPr="003516DC" w:rsidRDefault="00973153" w:rsidP="00402580">
      <w:pPr>
        <w:pStyle w:val="Caption"/>
        <w:rPr>
          <w:highlight w:val="white"/>
        </w:rPr>
      </w:pPr>
      <w:bookmarkStart w:id="146" w:name="_Toc90725984"/>
      <w:bookmarkStart w:id="147" w:name="_Toc90727281"/>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30</w:t>
      </w:r>
      <w:r w:rsidR="000B273D">
        <w:rPr>
          <w:noProof/>
        </w:rPr>
        <w:fldChar w:fldCharType="end"/>
      </w:r>
      <w:r w:rsidR="00345CF4" w:rsidRPr="003516DC">
        <w:t>: Complementarities with other programmes (and proposed allocations)</w:t>
      </w:r>
      <w:bookmarkEnd w:id="146"/>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5"/>
        <w:gridCol w:w="6084"/>
      </w:tblGrid>
      <w:tr w:rsidR="00345CF4" w:rsidRPr="003516DC" w14:paraId="0ADBBFF9" w14:textId="77777777" w:rsidTr="00964831">
        <w:trPr>
          <w:trHeight w:val="2716"/>
        </w:trPr>
        <w:tc>
          <w:tcPr>
            <w:tcW w:w="1593" w:type="pct"/>
            <w:vMerge w:val="restart"/>
            <w:shd w:val="clear" w:color="auto" w:fill="auto"/>
            <w:tcMar>
              <w:top w:w="0" w:type="dxa"/>
              <w:left w:w="100" w:type="dxa"/>
              <w:bottom w:w="0" w:type="dxa"/>
              <w:right w:w="100" w:type="dxa"/>
            </w:tcMar>
          </w:tcPr>
          <w:p w14:paraId="7A843E7B" w14:textId="77777777" w:rsidR="00345CF4" w:rsidRPr="000A7086" w:rsidRDefault="00345CF4" w:rsidP="00964831">
            <w:pPr>
              <w:rPr>
                <w:rFonts w:ascii="Arial" w:hAnsi="Arial" w:cs="Arial"/>
                <w:sz w:val="18"/>
                <w:szCs w:val="18"/>
              </w:rPr>
            </w:pPr>
            <w:r w:rsidRPr="003978DE">
              <w:rPr>
                <w:rFonts w:ascii="Arial" w:hAnsi="Arial" w:cs="Arial"/>
                <w:sz w:val="18"/>
                <w:szCs w:val="18"/>
                <w:highlight w:val="white"/>
              </w:rPr>
              <w:t xml:space="preserve">Type 1: </w:t>
            </w:r>
            <w:r w:rsidRPr="003978DE">
              <w:rPr>
                <w:rFonts w:ascii="Arial" w:hAnsi="Arial" w:cs="Arial"/>
                <w:sz w:val="18"/>
                <w:szCs w:val="18"/>
              </w:rPr>
              <w:t>Supporting investments in clean energy technologies and infrastructure to reduce pollution and strengthen the circular economy, specifically investment</w:t>
            </w:r>
            <w:r w:rsidRPr="000A7086">
              <w:rPr>
                <w:rFonts w:ascii="Arial" w:hAnsi="Arial" w:cs="Arial"/>
                <w:sz w:val="18"/>
                <w:szCs w:val="18"/>
                <w:highlight w:val="white"/>
              </w:rPr>
              <w:t xml:space="preserve"> in regeneration and decontamination of sites, land restoration and repurposing projects</w:t>
            </w:r>
          </w:p>
          <w:p w14:paraId="3E5DEA79" w14:textId="77777777" w:rsidR="00345CF4" w:rsidRPr="000A7086" w:rsidRDefault="00345CF4" w:rsidP="00964831">
            <w:pPr>
              <w:rPr>
                <w:rFonts w:ascii="Arial" w:hAnsi="Arial" w:cs="Arial"/>
                <w:sz w:val="18"/>
                <w:szCs w:val="18"/>
                <w:highlight w:val="white"/>
              </w:rPr>
            </w:pPr>
          </w:p>
          <w:p w14:paraId="33F8EC1D" w14:textId="77777777" w:rsidR="00345CF4" w:rsidRPr="000A7086" w:rsidRDefault="00345CF4" w:rsidP="00964831">
            <w:pPr>
              <w:rPr>
                <w:rFonts w:ascii="Arial" w:hAnsi="Arial" w:cs="Arial"/>
                <w:sz w:val="18"/>
                <w:szCs w:val="18"/>
                <w:highlight w:val="white"/>
              </w:rPr>
            </w:pPr>
            <w:r w:rsidRPr="000A7086">
              <w:rPr>
                <w:rFonts w:ascii="Arial" w:hAnsi="Arial" w:cs="Arial"/>
                <w:sz w:val="18"/>
                <w:szCs w:val="18"/>
                <w:highlight w:val="white"/>
              </w:rPr>
              <w:t>Investment in regeneration and decontamination of sites, land restoration and repurposing projects - with a focus on the rehabilitation of degraded and contaminated industrial sites and their inclusion in the economic circuit.</w:t>
            </w:r>
          </w:p>
          <w:p w14:paraId="6F86EB4D" w14:textId="77777777" w:rsidR="00345CF4" w:rsidRPr="000A7086" w:rsidRDefault="00345CF4" w:rsidP="00964831">
            <w:pPr>
              <w:rPr>
                <w:rFonts w:ascii="Arial" w:hAnsi="Arial" w:cs="Arial"/>
                <w:sz w:val="18"/>
                <w:szCs w:val="18"/>
                <w:highlight w:val="white"/>
                <w:lang w:val="es-ES"/>
              </w:rPr>
            </w:pPr>
            <w:r w:rsidRPr="000A7086">
              <w:rPr>
                <w:rFonts w:ascii="Arial" w:hAnsi="Arial" w:cs="Arial"/>
                <w:sz w:val="18"/>
                <w:szCs w:val="18"/>
                <w:highlight w:val="white"/>
                <w:lang w:val="es-ES"/>
              </w:rPr>
              <w:t>Locations: Hunedoara (147.2 Ha), Calan (81.9 Ha), Jiu Valley (Vulcan/ Paroseni) (50 Ha), Deva-Mintia (37 Ha)</w:t>
            </w:r>
          </w:p>
          <w:p w14:paraId="25FDCFDA" w14:textId="77777777" w:rsidR="00345CF4" w:rsidRPr="000A7086" w:rsidRDefault="00345CF4" w:rsidP="00964831">
            <w:pPr>
              <w:pStyle w:val="ListParagraph"/>
              <w:spacing w:line="240" w:lineRule="auto"/>
              <w:ind w:left="360"/>
              <w:rPr>
                <w:sz w:val="18"/>
                <w:szCs w:val="18"/>
                <w:highlight w:val="white"/>
                <w:lang w:val="es-ES"/>
              </w:rPr>
            </w:pPr>
          </w:p>
          <w:p w14:paraId="151BA0CF" w14:textId="77777777" w:rsidR="00345CF4" w:rsidRPr="000A7086" w:rsidRDefault="00345CF4" w:rsidP="00964831">
            <w:pPr>
              <w:rPr>
                <w:rFonts w:ascii="Arial" w:hAnsi="Arial" w:cs="Arial"/>
                <w:sz w:val="18"/>
                <w:szCs w:val="18"/>
              </w:rPr>
            </w:pPr>
            <w:r w:rsidRPr="000A7086">
              <w:rPr>
                <w:rFonts w:ascii="Arial" w:hAnsi="Arial" w:cs="Arial"/>
                <w:sz w:val="18"/>
                <w:szCs w:val="18"/>
                <w:highlight w:val="white"/>
              </w:rPr>
              <w:t xml:space="preserve">Repurposing in economic areas: industrial parks (Hunedoara, Calan, Jiu Valley), green </w:t>
            </w:r>
            <w:r w:rsidRPr="000A7086">
              <w:rPr>
                <w:rFonts w:ascii="Arial" w:hAnsi="Arial" w:cs="Arial"/>
                <w:sz w:val="18"/>
                <w:szCs w:val="18"/>
                <w:highlight w:val="white"/>
              </w:rPr>
              <w:lastRenderedPageBreak/>
              <w:t>areas/urban garden (Hunedoara) or photovoltaic energy plants/energy cooperatives (Hunedoara, Calan, Jiu Valley)</w:t>
            </w:r>
            <w:r w:rsidRPr="000A7086">
              <w:rPr>
                <w:rFonts w:ascii="Arial" w:hAnsi="Arial" w:cs="Arial"/>
                <w:sz w:val="18"/>
                <w:szCs w:val="18"/>
              </w:rPr>
              <w:t>.</w:t>
            </w:r>
          </w:p>
          <w:p w14:paraId="5FF4EB08" w14:textId="77777777" w:rsidR="00345CF4" w:rsidRPr="000A7086" w:rsidRDefault="00345CF4" w:rsidP="00964831">
            <w:pPr>
              <w:rPr>
                <w:rFonts w:ascii="Arial" w:hAnsi="Arial" w:cs="Arial"/>
                <w:sz w:val="18"/>
                <w:szCs w:val="18"/>
                <w:highlight w:val="white"/>
              </w:rPr>
            </w:pPr>
          </w:p>
          <w:p w14:paraId="51E976D5" w14:textId="77777777" w:rsidR="00345CF4" w:rsidRPr="000A7086" w:rsidRDefault="00345CF4" w:rsidP="00964831">
            <w:pPr>
              <w:rPr>
                <w:rFonts w:ascii="Arial" w:hAnsi="Arial" w:cs="Arial"/>
                <w:i/>
                <w:iCs/>
                <w:sz w:val="18"/>
                <w:szCs w:val="18"/>
              </w:rPr>
            </w:pPr>
            <w:r w:rsidRPr="000A7086">
              <w:rPr>
                <w:rFonts w:ascii="Arial" w:hAnsi="Arial" w:cs="Arial"/>
                <w:sz w:val="18"/>
                <w:szCs w:val="18"/>
                <w:highlight w:val="white"/>
              </w:rPr>
              <w:t>Investment in research and innovation activities and fostering transfer of advanced technologies: partnership of Univ. Petrosani/Hunedoara to develop research centres on renewable/clean energy production and storage, hydrogen production</w:t>
            </w:r>
            <w:r w:rsidRPr="000A7086">
              <w:rPr>
                <w:rFonts w:ascii="Arial" w:hAnsi="Arial" w:cs="Arial"/>
                <w:i/>
                <w:iCs/>
                <w:sz w:val="18"/>
                <w:szCs w:val="18"/>
              </w:rPr>
              <w:t xml:space="preserve">                   </w:t>
            </w:r>
          </w:p>
          <w:p w14:paraId="0480BCEC" w14:textId="77777777" w:rsidR="00345CF4" w:rsidRPr="000A7086" w:rsidRDefault="00345CF4" w:rsidP="00964831">
            <w:pPr>
              <w:rPr>
                <w:rFonts w:ascii="Arial" w:hAnsi="Arial" w:cs="Arial"/>
                <w:i/>
                <w:iCs/>
                <w:sz w:val="18"/>
                <w:szCs w:val="18"/>
              </w:rPr>
            </w:pPr>
          </w:p>
          <w:p w14:paraId="59DC60A8" w14:textId="77777777" w:rsidR="00345CF4" w:rsidRPr="000A7086" w:rsidRDefault="00345CF4" w:rsidP="00964831">
            <w:pPr>
              <w:pStyle w:val="ListParagraph"/>
              <w:tabs>
                <w:tab w:val="left" w:pos="10076"/>
                <w:tab w:val="left" w:pos="10992"/>
                <w:tab w:val="left" w:pos="11908"/>
                <w:tab w:val="left" w:pos="12824"/>
                <w:tab w:val="left" w:pos="13740"/>
                <w:tab w:val="left" w:pos="14656"/>
              </w:tabs>
              <w:ind w:left="0"/>
              <w:rPr>
                <w:i/>
                <w:iCs/>
                <w:color w:val="000000"/>
                <w:sz w:val="18"/>
                <w:szCs w:val="18"/>
              </w:rPr>
            </w:pPr>
          </w:p>
          <w:p w14:paraId="7674EC56" w14:textId="77777777" w:rsidR="00345CF4" w:rsidRPr="003978DE" w:rsidRDefault="00345CF4" w:rsidP="00964831">
            <w:pPr>
              <w:shd w:val="clear" w:color="auto" w:fill="FFFFFF"/>
              <w:rPr>
                <w:rFonts w:ascii="Arial" w:eastAsia="Calibri" w:hAnsi="Arial" w:cs="Arial"/>
                <w:i/>
                <w:iCs/>
                <w:sz w:val="18"/>
                <w:szCs w:val="18"/>
              </w:rPr>
            </w:pPr>
            <w:r w:rsidRPr="003978DE">
              <w:rPr>
                <w:rFonts w:ascii="Arial" w:eastAsia="Calibri" w:hAnsi="Arial" w:cs="Arial"/>
                <w:i/>
                <w:iCs/>
                <w:sz w:val="18"/>
                <w:szCs w:val="18"/>
              </w:rPr>
              <w:t xml:space="preserve"> </w:t>
            </w:r>
          </w:p>
        </w:tc>
        <w:tc>
          <w:tcPr>
            <w:tcW w:w="3407" w:type="pct"/>
            <w:shd w:val="clear" w:color="auto" w:fill="auto"/>
            <w:tcMar>
              <w:top w:w="0" w:type="dxa"/>
              <w:left w:w="100" w:type="dxa"/>
              <w:bottom w:w="0" w:type="dxa"/>
              <w:right w:w="100" w:type="dxa"/>
            </w:tcMar>
          </w:tcPr>
          <w:p w14:paraId="7E9BA13D" w14:textId="45042CAA" w:rsidR="00345CF4" w:rsidRPr="000A7086" w:rsidRDefault="00345CF4" w:rsidP="00964831">
            <w:pPr>
              <w:spacing w:after="40"/>
              <w:ind w:right="51"/>
              <w:jc w:val="both"/>
              <w:rPr>
                <w:rFonts w:ascii="Arial" w:hAnsi="Arial" w:cs="Arial"/>
                <w:sz w:val="18"/>
                <w:szCs w:val="18"/>
                <w:highlight w:val="white"/>
              </w:rPr>
            </w:pPr>
            <w:r w:rsidRPr="000A7086">
              <w:rPr>
                <w:rFonts w:ascii="Arial" w:hAnsi="Arial" w:cs="Arial"/>
                <w:i/>
                <w:sz w:val="18"/>
                <w:szCs w:val="18"/>
                <w:highlight w:val="white"/>
              </w:rPr>
              <w:lastRenderedPageBreak/>
              <w:t>“Regional Operational Program</w:t>
            </w:r>
            <w:r w:rsidR="00BC061B">
              <w:rPr>
                <w:rFonts w:ascii="Arial" w:hAnsi="Arial" w:cs="Arial"/>
                <w:i/>
                <w:sz w:val="18"/>
                <w:szCs w:val="18"/>
                <w:highlight w:val="white"/>
              </w:rPr>
              <w:t>me</w:t>
            </w:r>
            <w:r w:rsidRPr="000A7086">
              <w:rPr>
                <w:rFonts w:ascii="Arial" w:hAnsi="Arial" w:cs="Arial"/>
                <w:i/>
                <w:sz w:val="18"/>
                <w:szCs w:val="18"/>
                <w:highlight w:val="white"/>
              </w:rPr>
              <w:t xml:space="preserve"> Vest” (ROP-V)</w:t>
            </w:r>
            <w:r w:rsidRPr="000A7086">
              <w:rPr>
                <w:rFonts w:ascii="Arial" w:hAnsi="Arial" w:cs="Arial"/>
                <w:sz w:val="18"/>
                <w:szCs w:val="18"/>
                <w:highlight w:val="white"/>
              </w:rPr>
              <w:t xml:space="preserve">. </w:t>
            </w:r>
          </w:p>
          <w:p w14:paraId="3385A70F" w14:textId="77777777" w:rsidR="00345CF4" w:rsidRPr="000A7086" w:rsidRDefault="00345CF4" w:rsidP="00964831">
            <w:pPr>
              <w:shd w:val="clear" w:color="auto" w:fill="FFFFFF"/>
              <w:rPr>
                <w:rFonts w:ascii="Arial" w:hAnsi="Arial" w:cs="Arial"/>
                <w:i/>
                <w:iCs/>
                <w:color w:val="000000"/>
                <w:sz w:val="18"/>
                <w:szCs w:val="18"/>
              </w:rPr>
            </w:pPr>
            <w:r w:rsidRPr="000A7086">
              <w:rPr>
                <w:rFonts w:ascii="Arial" w:hAnsi="Arial" w:cs="Arial"/>
                <w:i/>
                <w:sz w:val="18"/>
                <w:szCs w:val="18"/>
                <w:u w:val="single"/>
              </w:rPr>
              <w:t xml:space="preserve">Priority Axis 1 (PO1) </w:t>
            </w:r>
            <w:r w:rsidRPr="000A7086">
              <w:rPr>
                <w:rFonts w:ascii="Arial" w:hAnsi="Arial" w:cs="Arial"/>
                <w:i/>
                <w:iCs/>
                <w:color w:val="000000"/>
                <w:sz w:val="18"/>
                <w:szCs w:val="18"/>
                <w:u w:val="single"/>
              </w:rPr>
              <w:t>Competitiveness through innovation and dynamic enterprises</w:t>
            </w:r>
            <w:r w:rsidRPr="000A7086">
              <w:rPr>
                <w:rFonts w:ascii="Arial" w:hAnsi="Arial" w:cs="Arial"/>
                <w:i/>
                <w:iCs/>
                <w:color w:val="000000"/>
                <w:sz w:val="18"/>
                <w:szCs w:val="18"/>
              </w:rPr>
              <w:t xml:space="preserve">, </w:t>
            </w:r>
          </w:p>
          <w:p w14:paraId="2966B4B4" w14:textId="77777777" w:rsidR="00345CF4" w:rsidRPr="000A7086" w:rsidRDefault="00345CF4" w:rsidP="00964831">
            <w:pPr>
              <w:shd w:val="clear" w:color="auto" w:fill="FFFFFF"/>
              <w:rPr>
                <w:rFonts w:ascii="Arial" w:hAnsi="Arial" w:cs="Arial"/>
                <w:color w:val="000000"/>
                <w:spacing w:val="1"/>
                <w:sz w:val="18"/>
                <w:szCs w:val="18"/>
              </w:rPr>
            </w:pPr>
            <w:r w:rsidRPr="000A7086">
              <w:rPr>
                <w:rFonts w:ascii="Arial" w:hAnsi="Arial" w:cs="Arial"/>
                <w:color w:val="000000"/>
                <w:spacing w:val="1"/>
                <w:sz w:val="18"/>
                <w:szCs w:val="18"/>
              </w:rPr>
              <w:t xml:space="preserve">OP 1/ a(iii) Improving sustainable growth and Competitiveness SMEs and creating jobs work in SMEs, </w:t>
            </w:r>
          </w:p>
          <w:p w14:paraId="642F3774" w14:textId="48B4F957" w:rsidR="00345CF4" w:rsidRPr="000A7086" w:rsidRDefault="00345CF4" w:rsidP="00964831">
            <w:pPr>
              <w:shd w:val="clear" w:color="auto" w:fill="FFFFFF"/>
              <w:rPr>
                <w:rFonts w:ascii="Arial" w:hAnsi="Arial" w:cs="Arial"/>
                <w:sz w:val="18"/>
                <w:szCs w:val="18"/>
              </w:rPr>
            </w:pPr>
            <w:r w:rsidRPr="000A7086">
              <w:rPr>
                <w:rFonts w:ascii="Arial" w:hAnsi="Arial" w:cs="Arial"/>
                <w:color w:val="000000"/>
                <w:spacing w:val="1"/>
                <w:sz w:val="18"/>
                <w:szCs w:val="18"/>
              </w:rPr>
              <w:t>including through productive investments, EUR</w:t>
            </w:r>
            <w:r w:rsidRPr="000A7086">
              <w:rPr>
                <w:rFonts w:ascii="Arial" w:hAnsi="Arial" w:cs="Arial"/>
                <w:sz w:val="18"/>
                <w:szCs w:val="18"/>
              </w:rPr>
              <w:t xml:space="preserve"> 122</w:t>
            </w:r>
            <w:r w:rsidR="00973153" w:rsidRPr="000A7086">
              <w:rPr>
                <w:rFonts w:ascii="Arial" w:hAnsi="Arial" w:cs="Arial"/>
                <w:sz w:val="18"/>
                <w:szCs w:val="18"/>
              </w:rPr>
              <w:t>,</w:t>
            </w:r>
            <w:r w:rsidRPr="000A7086">
              <w:rPr>
                <w:rFonts w:ascii="Arial" w:hAnsi="Arial" w:cs="Arial"/>
                <w:sz w:val="18"/>
                <w:szCs w:val="18"/>
              </w:rPr>
              <w:t>451</w:t>
            </w:r>
            <w:r w:rsidR="00973153" w:rsidRPr="000A7086">
              <w:rPr>
                <w:rFonts w:ascii="Arial" w:hAnsi="Arial" w:cs="Arial"/>
                <w:sz w:val="18"/>
                <w:szCs w:val="18"/>
              </w:rPr>
              <w:t>,</w:t>
            </w:r>
            <w:r w:rsidRPr="000A7086">
              <w:rPr>
                <w:rFonts w:ascii="Arial" w:hAnsi="Arial" w:cs="Arial"/>
                <w:sz w:val="18"/>
                <w:szCs w:val="18"/>
              </w:rPr>
              <w:t>000 source ERDF</w:t>
            </w:r>
          </w:p>
          <w:p w14:paraId="026F43B9" w14:textId="77777777" w:rsidR="00345CF4" w:rsidRPr="000A7086" w:rsidRDefault="00345CF4" w:rsidP="00964831">
            <w:pPr>
              <w:spacing w:after="40"/>
              <w:ind w:right="51"/>
              <w:jc w:val="both"/>
              <w:rPr>
                <w:rFonts w:ascii="Arial" w:hAnsi="Arial" w:cs="Arial"/>
                <w:i/>
                <w:color w:val="000000"/>
                <w:sz w:val="18"/>
                <w:szCs w:val="18"/>
                <w:u w:val="single"/>
                <w:lang w:val="en-US"/>
              </w:rPr>
            </w:pPr>
            <w:r w:rsidRPr="000A7086">
              <w:rPr>
                <w:rFonts w:ascii="Arial" w:hAnsi="Arial" w:cs="Arial"/>
                <w:i/>
                <w:color w:val="000000"/>
                <w:sz w:val="18"/>
                <w:szCs w:val="18"/>
                <w:u w:val="single"/>
                <w:lang w:val="en-US"/>
              </w:rPr>
              <w:t xml:space="preserve">Priority 3 A region with environmental friendly cities  </w:t>
            </w:r>
          </w:p>
          <w:p w14:paraId="0185B6E0" w14:textId="2C67B561" w:rsidR="00345CF4" w:rsidRPr="000A7086" w:rsidRDefault="00345CF4" w:rsidP="00964831">
            <w:pPr>
              <w:spacing w:after="40"/>
              <w:ind w:right="51"/>
              <w:jc w:val="both"/>
              <w:rPr>
                <w:rFonts w:ascii="Arial" w:hAnsi="Arial" w:cs="Arial"/>
                <w:color w:val="000000"/>
                <w:sz w:val="18"/>
                <w:szCs w:val="18"/>
                <w:lang w:val="en-US"/>
              </w:rPr>
            </w:pPr>
            <w:r w:rsidRPr="000A7086">
              <w:rPr>
                <w:rFonts w:ascii="Arial" w:hAnsi="Arial" w:cs="Arial"/>
                <w:color w:val="000000"/>
                <w:sz w:val="18"/>
                <w:szCs w:val="18"/>
                <w:lang w:val="en-US"/>
              </w:rPr>
              <w:t>OP 2/b (vii) Improving protection, and conservation of nature, biodiversity and Infrastructure environmentally friendly, including in urban areas, and reducing all forms of pollution EUR</w:t>
            </w:r>
            <w:r w:rsidRPr="000A7086">
              <w:rPr>
                <w:rFonts w:ascii="Arial" w:hAnsi="Arial" w:cs="Arial"/>
                <w:sz w:val="18"/>
                <w:szCs w:val="18"/>
              </w:rPr>
              <w:t xml:space="preserve"> 99</w:t>
            </w:r>
            <w:r w:rsidR="00973153" w:rsidRPr="000A7086">
              <w:rPr>
                <w:rFonts w:ascii="Arial" w:hAnsi="Arial" w:cs="Arial"/>
                <w:sz w:val="18"/>
                <w:szCs w:val="18"/>
              </w:rPr>
              <w:t>,</w:t>
            </w:r>
            <w:r w:rsidRPr="000A7086">
              <w:rPr>
                <w:rFonts w:ascii="Arial" w:hAnsi="Arial" w:cs="Arial"/>
                <w:sz w:val="18"/>
                <w:szCs w:val="18"/>
              </w:rPr>
              <w:t>276</w:t>
            </w:r>
            <w:r w:rsidR="00973153" w:rsidRPr="000A7086">
              <w:rPr>
                <w:rFonts w:ascii="Arial" w:hAnsi="Arial" w:cs="Arial"/>
                <w:sz w:val="18"/>
                <w:szCs w:val="18"/>
              </w:rPr>
              <w:t>,</w:t>
            </w:r>
            <w:r w:rsidRPr="000A7086">
              <w:rPr>
                <w:rFonts w:ascii="Arial" w:hAnsi="Arial" w:cs="Arial"/>
                <w:sz w:val="18"/>
                <w:szCs w:val="18"/>
              </w:rPr>
              <w:t>000 source ERDF</w:t>
            </w:r>
          </w:p>
          <w:p w14:paraId="01C5585E" w14:textId="05B4795C" w:rsidR="00345CF4" w:rsidRPr="000A7086" w:rsidRDefault="00345CF4" w:rsidP="00964831">
            <w:pPr>
              <w:spacing w:after="40"/>
              <w:ind w:right="51"/>
              <w:jc w:val="both"/>
              <w:rPr>
                <w:rFonts w:ascii="Arial" w:eastAsia="Times New Roman" w:hAnsi="Arial" w:cs="Arial"/>
                <w:color w:val="202124"/>
                <w:sz w:val="18"/>
                <w:szCs w:val="18"/>
                <w:lang w:val="en-US"/>
              </w:rPr>
            </w:pPr>
            <w:r w:rsidRPr="000A7086">
              <w:rPr>
                <w:rFonts w:ascii="Arial" w:hAnsi="Arial" w:cs="Arial"/>
                <w:sz w:val="18"/>
                <w:szCs w:val="18"/>
              </w:rPr>
              <w:t xml:space="preserve">OP 1 </w:t>
            </w:r>
            <w:r w:rsidRPr="000A7086">
              <w:rPr>
                <w:rFonts w:ascii="Arial" w:hAnsi="Arial" w:cs="Arial"/>
                <w:iCs/>
                <w:color w:val="000000"/>
                <w:sz w:val="18"/>
                <w:szCs w:val="18"/>
                <w:u w:val="single"/>
              </w:rPr>
              <w:t>Competitiveness through innovation and dynamic enterprises</w:t>
            </w:r>
            <w:r w:rsidRPr="000A7086">
              <w:rPr>
                <w:rFonts w:ascii="Arial" w:hAnsi="Arial" w:cs="Arial"/>
                <w:iCs/>
                <w:color w:val="000000"/>
                <w:sz w:val="18"/>
                <w:szCs w:val="18"/>
              </w:rPr>
              <w:t xml:space="preserve">, </w:t>
            </w:r>
            <w:r w:rsidRPr="000A7086">
              <w:rPr>
                <w:rFonts w:ascii="Arial" w:hAnsi="Arial" w:cs="Arial"/>
                <w:sz w:val="18"/>
                <w:szCs w:val="18"/>
              </w:rPr>
              <w:t>a (i) Development and capacity building of research and innovation and use of advanced technologies, EUR 58</w:t>
            </w:r>
            <w:r w:rsidR="00973153" w:rsidRPr="000A7086">
              <w:rPr>
                <w:rFonts w:ascii="Arial" w:hAnsi="Arial" w:cs="Arial"/>
                <w:sz w:val="18"/>
                <w:szCs w:val="18"/>
              </w:rPr>
              <w:t>,</w:t>
            </w:r>
            <w:r w:rsidRPr="000A7086">
              <w:rPr>
                <w:rFonts w:ascii="Arial" w:hAnsi="Arial" w:cs="Arial"/>
                <w:sz w:val="18"/>
                <w:szCs w:val="18"/>
              </w:rPr>
              <w:t>998</w:t>
            </w:r>
            <w:r w:rsidR="00973153" w:rsidRPr="000A7086">
              <w:rPr>
                <w:rFonts w:ascii="Arial" w:hAnsi="Arial" w:cs="Arial"/>
                <w:sz w:val="18"/>
                <w:szCs w:val="18"/>
              </w:rPr>
              <w:t>,</w:t>
            </w:r>
            <w:r w:rsidRPr="000A7086">
              <w:rPr>
                <w:rFonts w:ascii="Arial" w:hAnsi="Arial" w:cs="Arial"/>
                <w:sz w:val="18"/>
                <w:szCs w:val="18"/>
              </w:rPr>
              <w:t>800</w:t>
            </w:r>
          </w:p>
        </w:tc>
      </w:tr>
      <w:tr w:rsidR="00345CF4" w:rsidRPr="003516DC" w14:paraId="47BA5350" w14:textId="77777777" w:rsidTr="00964831">
        <w:trPr>
          <w:trHeight w:val="970"/>
        </w:trPr>
        <w:tc>
          <w:tcPr>
            <w:tcW w:w="1593" w:type="pct"/>
            <w:vMerge/>
            <w:shd w:val="clear" w:color="auto" w:fill="auto"/>
            <w:tcMar>
              <w:top w:w="100" w:type="dxa"/>
              <w:left w:w="100" w:type="dxa"/>
              <w:bottom w:w="100" w:type="dxa"/>
              <w:right w:w="100" w:type="dxa"/>
            </w:tcMar>
          </w:tcPr>
          <w:p w14:paraId="2B607228"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2E083C20" w14:textId="788E3093" w:rsidR="00345CF4" w:rsidRPr="000A7086" w:rsidRDefault="00345CF4" w:rsidP="00964831">
            <w:pPr>
              <w:spacing w:after="40"/>
              <w:jc w:val="both"/>
              <w:rPr>
                <w:rFonts w:ascii="Arial" w:hAnsi="Arial" w:cs="Arial"/>
                <w:iCs/>
                <w:sz w:val="18"/>
                <w:szCs w:val="18"/>
              </w:rPr>
            </w:pPr>
            <w:r w:rsidRPr="000A7086">
              <w:rPr>
                <w:rFonts w:ascii="Arial" w:hAnsi="Arial" w:cs="Arial"/>
                <w:i/>
                <w:iCs/>
                <w:sz w:val="18"/>
                <w:szCs w:val="18"/>
              </w:rPr>
              <w:t>“Moderni</w:t>
            </w:r>
            <w:r w:rsidR="0042633B" w:rsidRPr="000A7086">
              <w:rPr>
                <w:rFonts w:ascii="Arial" w:hAnsi="Arial" w:cs="Arial"/>
                <w:i/>
                <w:iCs/>
                <w:sz w:val="18"/>
                <w:szCs w:val="18"/>
              </w:rPr>
              <w:t>s</w:t>
            </w:r>
            <w:r w:rsidRPr="000A7086">
              <w:rPr>
                <w:rFonts w:ascii="Arial" w:hAnsi="Arial" w:cs="Arial"/>
                <w:i/>
                <w:iCs/>
                <w:sz w:val="18"/>
                <w:szCs w:val="18"/>
              </w:rPr>
              <w:t>ation Fund” (MF).</w:t>
            </w:r>
            <w:r w:rsidRPr="000A7086">
              <w:rPr>
                <w:rFonts w:ascii="Arial" w:hAnsi="Arial" w:cs="Arial"/>
                <w:iCs/>
                <w:sz w:val="18"/>
                <w:szCs w:val="18"/>
              </w:rPr>
              <w:t xml:space="preserve"> </w:t>
            </w:r>
          </w:p>
          <w:p w14:paraId="0CF75EF6" w14:textId="77777777" w:rsidR="00345CF4" w:rsidRPr="000A7086" w:rsidRDefault="00345CF4" w:rsidP="00964831">
            <w:pPr>
              <w:spacing w:after="40"/>
              <w:jc w:val="both"/>
              <w:rPr>
                <w:rFonts w:ascii="Arial" w:hAnsi="Arial" w:cs="Arial"/>
                <w:sz w:val="18"/>
                <w:szCs w:val="18"/>
                <w:lang w:val="en"/>
              </w:rPr>
            </w:pPr>
            <w:r w:rsidRPr="000A7086">
              <w:rPr>
                <w:rFonts w:ascii="Arial" w:hAnsi="Arial" w:cs="Arial"/>
                <w:i/>
                <w:iCs/>
                <w:sz w:val="18"/>
                <w:szCs w:val="18"/>
                <w:u w:val="single"/>
              </w:rPr>
              <w:t xml:space="preserve">Priority </w:t>
            </w:r>
            <w:r w:rsidRPr="000A7086">
              <w:rPr>
                <w:rFonts w:ascii="Arial" w:hAnsi="Arial" w:cs="Arial"/>
                <w:i/>
                <w:sz w:val="18"/>
                <w:szCs w:val="18"/>
                <w:u w:val="single"/>
                <w:lang w:val="en"/>
              </w:rPr>
              <w:t>Axis 1</w:t>
            </w:r>
            <w:r w:rsidRPr="000A7086">
              <w:rPr>
                <w:rFonts w:ascii="Arial" w:hAnsi="Arial" w:cs="Arial"/>
                <w:sz w:val="18"/>
                <w:szCs w:val="18"/>
                <w:lang w:val="en"/>
              </w:rPr>
              <w:t xml:space="preserve"> Investments in capacities renewable production, in storage in electricity, gas and district heating networks, efficiency power. </w:t>
            </w:r>
          </w:p>
          <w:p w14:paraId="0902B3D9" w14:textId="77777777" w:rsidR="00345CF4" w:rsidRPr="000A7086" w:rsidRDefault="00345CF4" w:rsidP="00964831">
            <w:pPr>
              <w:spacing w:after="40"/>
              <w:jc w:val="both"/>
              <w:rPr>
                <w:rFonts w:ascii="Arial" w:eastAsia="Calibri" w:hAnsi="Arial" w:cs="Arial"/>
                <w:sz w:val="18"/>
                <w:szCs w:val="18"/>
              </w:rPr>
            </w:pPr>
            <w:r w:rsidRPr="000A7086">
              <w:rPr>
                <w:rFonts w:ascii="Arial" w:hAnsi="Arial" w:cs="Arial"/>
                <w:i/>
                <w:sz w:val="18"/>
                <w:szCs w:val="18"/>
                <w:u w:val="single"/>
                <w:lang w:val="en"/>
              </w:rPr>
              <w:t xml:space="preserve">Priority Axis </w:t>
            </w:r>
            <w:r w:rsidR="00973153" w:rsidRPr="000A7086">
              <w:rPr>
                <w:rFonts w:ascii="Arial" w:hAnsi="Arial" w:cs="Arial"/>
                <w:i/>
                <w:sz w:val="18"/>
                <w:szCs w:val="18"/>
                <w:u w:val="single"/>
                <w:lang w:val="en"/>
              </w:rPr>
              <w:t>2</w:t>
            </w:r>
            <w:r w:rsidR="00973153" w:rsidRPr="000A7086">
              <w:rPr>
                <w:rFonts w:ascii="Arial" w:hAnsi="Arial" w:cs="Arial"/>
                <w:sz w:val="18"/>
                <w:szCs w:val="18"/>
                <w:lang w:val="en"/>
              </w:rPr>
              <w:t xml:space="preserve"> Investments</w:t>
            </w:r>
            <w:r w:rsidRPr="000A7086">
              <w:rPr>
                <w:rFonts w:ascii="Arial" w:hAnsi="Arial" w:cs="Arial"/>
                <w:sz w:val="18"/>
                <w:szCs w:val="18"/>
                <w:lang w:val="en"/>
              </w:rPr>
              <w:t xml:space="preserve"> in production capacities based on gas</w:t>
            </w:r>
          </w:p>
        </w:tc>
      </w:tr>
      <w:tr w:rsidR="00345CF4" w:rsidRPr="003516DC" w14:paraId="24A33D09" w14:textId="77777777" w:rsidTr="00964831">
        <w:trPr>
          <w:trHeight w:val="848"/>
        </w:trPr>
        <w:tc>
          <w:tcPr>
            <w:tcW w:w="1593" w:type="pct"/>
            <w:vMerge/>
            <w:shd w:val="clear" w:color="auto" w:fill="auto"/>
            <w:tcMar>
              <w:top w:w="100" w:type="dxa"/>
              <w:left w:w="100" w:type="dxa"/>
              <w:bottom w:w="100" w:type="dxa"/>
              <w:right w:w="100" w:type="dxa"/>
            </w:tcMar>
          </w:tcPr>
          <w:p w14:paraId="521B08D7"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722F05B5" w14:textId="431B42D9" w:rsidR="00345CF4" w:rsidRPr="000A7086" w:rsidRDefault="00345CF4" w:rsidP="00964831">
            <w:pPr>
              <w:spacing w:after="40"/>
              <w:jc w:val="both"/>
              <w:rPr>
                <w:rFonts w:ascii="Arial" w:hAnsi="Arial" w:cs="Arial"/>
                <w:iCs/>
                <w:color w:val="000000"/>
                <w:sz w:val="18"/>
                <w:szCs w:val="18"/>
              </w:rPr>
            </w:pPr>
            <w:r w:rsidRPr="000A7086">
              <w:rPr>
                <w:rFonts w:ascii="Arial" w:hAnsi="Arial" w:cs="Arial"/>
                <w:i/>
                <w:color w:val="000000"/>
                <w:sz w:val="18"/>
                <w:szCs w:val="18"/>
              </w:rPr>
              <w:t>“</w:t>
            </w:r>
            <w:r w:rsidRPr="000A7086">
              <w:rPr>
                <w:rFonts w:ascii="Arial" w:hAnsi="Arial" w:cs="Arial"/>
                <w:i/>
                <w:iCs/>
                <w:color w:val="000000"/>
                <w:sz w:val="18"/>
                <w:szCs w:val="18"/>
              </w:rPr>
              <w:t>Sustainable Development Operational Program</w:t>
            </w:r>
            <w:r w:rsidR="00BC061B">
              <w:rPr>
                <w:rFonts w:ascii="Arial" w:hAnsi="Arial" w:cs="Arial"/>
                <w:i/>
                <w:iCs/>
                <w:color w:val="000000"/>
                <w:sz w:val="18"/>
                <w:szCs w:val="18"/>
              </w:rPr>
              <w:t>me</w:t>
            </w:r>
            <w:r w:rsidRPr="000A7086">
              <w:rPr>
                <w:rFonts w:ascii="Arial" w:hAnsi="Arial" w:cs="Arial"/>
                <w:i/>
                <w:iCs/>
                <w:color w:val="000000"/>
                <w:sz w:val="18"/>
                <w:szCs w:val="18"/>
              </w:rPr>
              <w:t>”</w:t>
            </w:r>
            <w:r w:rsidRPr="000A7086">
              <w:rPr>
                <w:rFonts w:ascii="Arial" w:hAnsi="Arial" w:cs="Arial"/>
                <w:iCs/>
                <w:color w:val="000000"/>
                <w:sz w:val="18"/>
                <w:szCs w:val="18"/>
              </w:rPr>
              <w:t xml:space="preserve"> (SDOP)</w:t>
            </w:r>
          </w:p>
          <w:p w14:paraId="10FAD649" w14:textId="48159576" w:rsidR="00345CF4" w:rsidRPr="000A7086" w:rsidRDefault="00345CF4" w:rsidP="00964831">
            <w:pPr>
              <w:spacing w:after="40"/>
              <w:jc w:val="both"/>
              <w:rPr>
                <w:rFonts w:ascii="Arial" w:hAnsi="Arial" w:cs="Arial"/>
                <w:iCs/>
                <w:sz w:val="18"/>
                <w:szCs w:val="18"/>
              </w:rPr>
            </w:pPr>
            <w:r w:rsidRPr="000A7086">
              <w:rPr>
                <w:rFonts w:ascii="Arial" w:hAnsi="Arial" w:cs="Arial"/>
                <w:i/>
                <w:iCs/>
                <w:color w:val="000000"/>
                <w:sz w:val="18"/>
                <w:szCs w:val="18"/>
                <w:u w:val="single"/>
              </w:rPr>
              <w:t>Priority 1</w:t>
            </w:r>
            <w:r w:rsidRPr="000A7086">
              <w:rPr>
                <w:rFonts w:ascii="Arial" w:hAnsi="Arial" w:cs="Arial"/>
                <w:iCs/>
                <w:color w:val="000000"/>
                <w:sz w:val="18"/>
                <w:szCs w:val="18"/>
              </w:rPr>
              <w:t xml:space="preserve"> </w:t>
            </w:r>
            <w:r w:rsidRPr="000A7086">
              <w:rPr>
                <w:rFonts w:ascii="Arial" w:hAnsi="Arial" w:cs="Arial"/>
                <w:iCs/>
                <w:sz w:val="18"/>
                <w:szCs w:val="18"/>
              </w:rPr>
              <w:t>Promoting energy efficiency, smart energy systems and networks, storage solutions and reducing greenhouse gas emissions</w:t>
            </w:r>
            <w:r w:rsidRPr="000A7086">
              <w:rPr>
                <w:rFonts w:ascii="Arial" w:hAnsi="Arial" w:cs="Arial"/>
                <w:iCs/>
                <w:sz w:val="18"/>
                <w:szCs w:val="18"/>
                <w:lang w:val="en-US"/>
              </w:rPr>
              <w:t xml:space="preserve">, </w:t>
            </w:r>
            <w:r w:rsidR="00973153" w:rsidRPr="000A7086">
              <w:rPr>
                <w:rFonts w:ascii="Arial" w:hAnsi="Arial" w:cs="Arial"/>
                <w:iCs/>
                <w:sz w:val="18"/>
                <w:szCs w:val="18"/>
                <w:lang w:val="en-US"/>
              </w:rPr>
              <w:t xml:space="preserve">Total allocation: EUR 470 mil (ERDF EUR 300 mil + CF EUR 100 mil + National </w:t>
            </w:r>
            <w:r w:rsidR="00A71A74" w:rsidRPr="000A7086">
              <w:rPr>
                <w:rFonts w:ascii="Arial" w:hAnsi="Arial" w:cs="Arial"/>
                <w:iCs/>
                <w:sz w:val="18"/>
                <w:szCs w:val="18"/>
                <w:lang w:val="en-US"/>
              </w:rPr>
              <w:t>c</w:t>
            </w:r>
            <w:r w:rsidR="00973153" w:rsidRPr="000A7086">
              <w:rPr>
                <w:rFonts w:ascii="Arial" w:hAnsi="Arial" w:cs="Arial"/>
                <w:iCs/>
                <w:sz w:val="18"/>
                <w:szCs w:val="18"/>
                <w:lang w:val="en-US"/>
              </w:rPr>
              <w:t>ontribution EUR 70 mil)</w:t>
            </w:r>
          </w:p>
          <w:p w14:paraId="01FB66CB" w14:textId="1D88E0A1" w:rsidR="00345CF4" w:rsidRPr="000A7086" w:rsidRDefault="00345CF4" w:rsidP="00964831">
            <w:pPr>
              <w:spacing w:after="40"/>
              <w:jc w:val="both"/>
              <w:rPr>
                <w:rFonts w:ascii="Arial" w:hAnsi="Arial" w:cs="Arial"/>
                <w:iCs/>
                <w:sz w:val="18"/>
                <w:szCs w:val="18"/>
                <w:highlight w:val="yellow"/>
                <w:lang w:val="en-US"/>
              </w:rPr>
            </w:pPr>
            <w:r w:rsidRPr="000A7086">
              <w:rPr>
                <w:rFonts w:ascii="Arial" w:hAnsi="Arial" w:cs="Arial"/>
                <w:i/>
                <w:iCs/>
                <w:color w:val="000000"/>
                <w:sz w:val="18"/>
                <w:szCs w:val="18"/>
                <w:u w:val="single"/>
              </w:rPr>
              <w:lastRenderedPageBreak/>
              <w:t xml:space="preserve">Priority </w:t>
            </w:r>
            <w:r w:rsidRPr="000A7086">
              <w:rPr>
                <w:rFonts w:ascii="Arial" w:hAnsi="Arial" w:cs="Arial"/>
                <w:i/>
                <w:iCs/>
                <w:color w:val="000000"/>
                <w:sz w:val="18"/>
                <w:szCs w:val="18"/>
                <w:u w:val="single"/>
                <w:lang w:val="en-US"/>
              </w:rPr>
              <w:t>2</w:t>
            </w:r>
            <w:r w:rsidRPr="000A7086">
              <w:rPr>
                <w:rFonts w:ascii="Arial" w:hAnsi="Arial" w:cs="Arial"/>
                <w:iCs/>
                <w:color w:val="000000"/>
                <w:sz w:val="18"/>
                <w:szCs w:val="18"/>
              </w:rPr>
              <w:t xml:space="preserve"> </w:t>
            </w:r>
            <w:r w:rsidR="00973153" w:rsidRPr="000A7086">
              <w:rPr>
                <w:rFonts w:ascii="Arial" w:hAnsi="Arial" w:cs="Arial"/>
                <w:iCs/>
                <w:sz w:val="18"/>
                <w:szCs w:val="18"/>
              </w:rPr>
              <w:t>Development of water and wastewater infrastructure and transition to a circular economy</w:t>
            </w:r>
            <w:r w:rsidRPr="000A7086">
              <w:rPr>
                <w:rFonts w:ascii="Arial" w:hAnsi="Arial" w:cs="Arial"/>
                <w:iCs/>
                <w:sz w:val="18"/>
                <w:szCs w:val="18"/>
                <w:lang w:val="en-US"/>
              </w:rPr>
              <w:t xml:space="preserve">, </w:t>
            </w:r>
            <w:r w:rsidR="00A71A74" w:rsidRPr="000A7086">
              <w:rPr>
                <w:rFonts w:ascii="Arial" w:hAnsi="Arial" w:cs="Arial"/>
                <w:iCs/>
                <w:sz w:val="18"/>
                <w:szCs w:val="18"/>
                <w:lang w:val="en-US"/>
              </w:rPr>
              <w:t xml:space="preserve">Total allocation: EUR 3.491,529 bn (ERDF EUR 2.23 bn + CF EUR 0.737 bn + National contribution </w:t>
            </w:r>
            <w:r w:rsidRPr="000A7086">
              <w:rPr>
                <w:rFonts w:ascii="Arial" w:hAnsi="Arial" w:cs="Arial"/>
                <w:iCs/>
                <w:sz w:val="18"/>
                <w:szCs w:val="18"/>
                <w:lang w:val="en-US"/>
              </w:rPr>
              <w:t>EUR</w:t>
            </w:r>
            <w:r w:rsidR="00A71A74" w:rsidRPr="000A7086">
              <w:rPr>
                <w:rFonts w:ascii="Arial" w:hAnsi="Arial" w:cs="Arial"/>
                <w:iCs/>
                <w:sz w:val="18"/>
                <w:szCs w:val="18"/>
                <w:lang w:val="en-US"/>
              </w:rPr>
              <w:t xml:space="preserve"> 0.524 bn)</w:t>
            </w:r>
          </w:p>
        </w:tc>
      </w:tr>
      <w:tr w:rsidR="00345CF4" w:rsidRPr="003516DC" w14:paraId="241A69B0" w14:textId="77777777" w:rsidTr="00964831">
        <w:trPr>
          <w:trHeight w:val="322"/>
        </w:trPr>
        <w:tc>
          <w:tcPr>
            <w:tcW w:w="1593" w:type="pct"/>
            <w:vMerge/>
            <w:shd w:val="clear" w:color="auto" w:fill="auto"/>
            <w:tcMar>
              <w:top w:w="100" w:type="dxa"/>
              <w:left w:w="100" w:type="dxa"/>
              <w:bottom w:w="100" w:type="dxa"/>
              <w:right w:w="100" w:type="dxa"/>
            </w:tcMar>
          </w:tcPr>
          <w:p w14:paraId="25693A18"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50E6818F" w14:textId="5C3EF607" w:rsidR="00345CF4" w:rsidRPr="000A7086" w:rsidRDefault="00345CF4" w:rsidP="00964831">
            <w:pPr>
              <w:tabs>
                <w:tab w:val="left" w:pos="10076"/>
                <w:tab w:val="left" w:pos="10992"/>
                <w:tab w:val="left" w:pos="11908"/>
                <w:tab w:val="left" w:pos="12824"/>
                <w:tab w:val="left" w:pos="13740"/>
                <w:tab w:val="left" w:pos="14656"/>
              </w:tabs>
              <w:spacing w:after="40"/>
              <w:jc w:val="both"/>
              <w:rPr>
                <w:rFonts w:ascii="Arial" w:hAnsi="Arial" w:cs="Arial"/>
                <w:sz w:val="18"/>
                <w:szCs w:val="18"/>
                <w:highlight w:val="white"/>
              </w:rPr>
            </w:pPr>
            <w:r w:rsidRPr="000A7086">
              <w:rPr>
                <w:rFonts w:ascii="Arial" w:hAnsi="Arial" w:cs="Arial"/>
                <w:i/>
                <w:sz w:val="18"/>
                <w:szCs w:val="18"/>
                <w:highlight w:val="white"/>
              </w:rPr>
              <w:t>“</w:t>
            </w:r>
            <w:r w:rsidR="00E357AA">
              <w:rPr>
                <w:rFonts w:ascii="Arial" w:hAnsi="Arial" w:cs="Arial"/>
                <w:i/>
                <w:sz w:val="18"/>
                <w:szCs w:val="18"/>
                <w:highlight w:val="white"/>
              </w:rPr>
              <w:t>National Recovery and Resilience Plan</w:t>
            </w:r>
            <w:r w:rsidRPr="000A7086">
              <w:rPr>
                <w:rFonts w:ascii="Arial" w:hAnsi="Arial" w:cs="Arial"/>
                <w:i/>
                <w:sz w:val="18"/>
                <w:szCs w:val="18"/>
                <w:highlight w:val="white"/>
              </w:rPr>
              <w:t>” (</w:t>
            </w:r>
            <w:r w:rsidR="00E357AA">
              <w:rPr>
                <w:rFonts w:ascii="Arial" w:hAnsi="Arial" w:cs="Arial"/>
                <w:i/>
                <w:sz w:val="18"/>
                <w:szCs w:val="18"/>
                <w:highlight w:val="white"/>
              </w:rPr>
              <w:t>RRP</w:t>
            </w:r>
            <w:r w:rsidRPr="000A7086">
              <w:rPr>
                <w:rFonts w:ascii="Arial" w:hAnsi="Arial" w:cs="Arial"/>
                <w:i/>
                <w:sz w:val="18"/>
                <w:szCs w:val="18"/>
                <w:highlight w:val="white"/>
              </w:rPr>
              <w:t>)</w:t>
            </w:r>
            <w:r w:rsidRPr="000A7086">
              <w:rPr>
                <w:rFonts w:ascii="Arial" w:hAnsi="Arial" w:cs="Arial"/>
                <w:i/>
                <w:sz w:val="18"/>
                <w:szCs w:val="18"/>
                <w:highlight w:val="white"/>
                <w:u w:val="single"/>
              </w:rPr>
              <w:t>.</w:t>
            </w:r>
            <w:r w:rsidRPr="000A7086">
              <w:rPr>
                <w:rFonts w:ascii="Arial" w:hAnsi="Arial" w:cs="Arial"/>
                <w:sz w:val="18"/>
                <w:szCs w:val="18"/>
                <w:highlight w:val="white"/>
              </w:rPr>
              <w:t xml:space="preserve">  </w:t>
            </w:r>
          </w:p>
          <w:p w14:paraId="360538CC" w14:textId="43770AE5" w:rsidR="00345CF4" w:rsidRPr="000A7086" w:rsidRDefault="00345CF4" w:rsidP="00964831">
            <w:pPr>
              <w:tabs>
                <w:tab w:val="left" w:pos="10076"/>
                <w:tab w:val="left" w:pos="10992"/>
                <w:tab w:val="left" w:pos="11908"/>
                <w:tab w:val="left" w:pos="12824"/>
                <w:tab w:val="left" w:pos="13740"/>
                <w:tab w:val="left" w:pos="14656"/>
              </w:tabs>
              <w:spacing w:after="40"/>
              <w:jc w:val="both"/>
              <w:rPr>
                <w:rFonts w:ascii="Arial" w:hAnsi="Arial" w:cs="Arial"/>
                <w:i/>
                <w:iCs/>
                <w:sz w:val="18"/>
                <w:szCs w:val="18"/>
                <w:lang w:val="en-US"/>
              </w:rPr>
            </w:pPr>
            <w:r w:rsidRPr="000A7086">
              <w:rPr>
                <w:rFonts w:ascii="Arial" w:hAnsi="Arial" w:cs="Arial"/>
                <w:i/>
                <w:iCs/>
                <w:sz w:val="18"/>
                <w:szCs w:val="18"/>
                <w:u w:val="single"/>
              </w:rPr>
              <w:t>Pillar I Green Transition</w:t>
            </w:r>
            <w:r w:rsidRPr="000A7086">
              <w:rPr>
                <w:rFonts w:ascii="Arial" w:hAnsi="Arial" w:cs="Arial"/>
                <w:i/>
                <w:iCs/>
                <w:sz w:val="18"/>
                <w:szCs w:val="18"/>
              </w:rPr>
              <w:t xml:space="preserve">, Component 2 I.2 We afforest Romania and protect biodiversity. </w:t>
            </w:r>
            <w:r w:rsidRPr="000A7086">
              <w:rPr>
                <w:rFonts w:ascii="Arial" w:hAnsi="Arial" w:cs="Arial"/>
                <w:i/>
                <w:iCs/>
                <w:sz w:val="18"/>
                <w:szCs w:val="18"/>
                <w:lang w:val="en-US"/>
              </w:rPr>
              <w:t>EUR</w:t>
            </w:r>
            <w:r w:rsidR="00A03682" w:rsidRPr="000A7086">
              <w:rPr>
                <w:rFonts w:ascii="Arial" w:hAnsi="Arial" w:cs="Arial"/>
                <w:i/>
                <w:iCs/>
                <w:sz w:val="18"/>
                <w:szCs w:val="18"/>
                <w:lang w:val="en-US"/>
              </w:rPr>
              <w:t xml:space="preserve"> </w:t>
            </w:r>
            <w:r w:rsidRPr="000A7086">
              <w:rPr>
                <w:rFonts w:ascii="Arial" w:hAnsi="Arial" w:cs="Arial"/>
                <w:sz w:val="18"/>
                <w:szCs w:val="18"/>
              </w:rPr>
              <w:t>1.5</w:t>
            </w:r>
            <w:r w:rsidR="00A71A74" w:rsidRPr="000A7086">
              <w:rPr>
                <w:rFonts w:ascii="Arial" w:hAnsi="Arial" w:cs="Arial"/>
                <w:sz w:val="18"/>
                <w:szCs w:val="18"/>
              </w:rPr>
              <w:t xml:space="preserve"> bn</w:t>
            </w:r>
            <w:r w:rsidRPr="000A7086">
              <w:rPr>
                <w:rFonts w:ascii="Arial" w:hAnsi="Arial" w:cs="Arial"/>
                <w:sz w:val="18"/>
                <w:szCs w:val="18"/>
                <w:lang w:val="en-US"/>
              </w:rPr>
              <w:t xml:space="preserve">, </w:t>
            </w:r>
            <w:r w:rsidRPr="000A7086">
              <w:rPr>
                <w:rFonts w:ascii="Arial" w:hAnsi="Arial" w:cs="Arial"/>
                <w:i/>
                <w:iCs/>
                <w:sz w:val="18"/>
                <w:szCs w:val="18"/>
              </w:rPr>
              <w:t xml:space="preserve">Component 3 I.3 Waste management and circular economy. </w:t>
            </w:r>
            <w:r w:rsidRPr="000A7086">
              <w:rPr>
                <w:rFonts w:ascii="Arial" w:hAnsi="Arial" w:cs="Arial"/>
                <w:i/>
                <w:iCs/>
                <w:sz w:val="18"/>
                <w:szCs w:val="18"/>
                <w:lang w:val="en-US"/>
              </w:rPr>
              <w:t xml:space="preserve">EUR </w:t>
            </w:r>
            <w:r w:rsidRPr="000A7086">
              <w:rPr>
                <w:rFonts w:ascii="Arial" w:hAnsi="Arial" w:cs="Arial"/>
                <w:iCs/>
                <w:color w:val="000000"/>
                <w:sz w:val="18"/>
                <w:szCs w:val="18"/>
              </w:rPr>
              <w:t>1.3</w:t>
            </w:r>
            <w:r w:rsidR="00A71A74" w:rsidRPr="000A7086">
              <w:rPr>
                <w:rFonts w:ascii="Arial" w:hAnsi="Arial" w:cs="Arial"/>
                <w:iCs/>
                <w:color w:val="000000"/>
                <w:sz w:val="18"/>
                <w:szCs w:val="18"/>
              </w:rPr>
              <w:t xml:space="preserve"> bn</w:t>
            </w:r>
            <w:r w:rsidRPr="000A7086">
              <w:rPr>
                <w:rFonts w:ascii="Arial" w:hAnsi="Arial" w:cs="Arial"/>
                <w:iCs/>
                <w:color w:val="000000"/>
                <w:sz w:val="18"/>
                <w:szCs w:val="18"/>
                <w:lang w:val="en-US"/>
              </w:rPr>
              <w:t xml:space="preserve">, </w:t>
            </w:r>
            <w:r w:rsidRPr="000A7086">
              <w:rPr>
                <w:rFonts w:ascii="Arial" w:hAnsi="Arial" w:cs="Arial"/>
                <w:i/>
                <w:iCs/>
                <w:sz w:val="18"/>
                <w:szCs w:val="18"/>
              </w:rPr>
              <w:t xml:space="preserve">Component 4 I.4 Rail transport and urban mobility. </w:t>
            </w:r>
            <w:r w:rsidRPr="000A7086">
              <w:rPr>
                <w:rFonts w:ascii="Arial" w:hAnsi="Arial" w:cs="Arial"/>
                <w:i/>
                <w:iCs/>
                <w:sz w:val="18"/>
                <w:szCs w:val="18"/>
                <w:lang w:val="en-US"/>
              </w:rPr>
              <w:t xml:space="preserve">EUR </w:t>
            </w:r>
            <w:r w:rsidRPr="000A7086">
              <w:rPr>
                <w:rFonts w:ascii="Arial" w:hAnsi="Arial" w:cs="Arial"/>
                <w:iCs/>
                <w:color w:val="000000"/>
                <w:sz w:val="18"/>
                <w:szCs w:val="18"/>
              </w:rPr>
              <w:t>5</w:t>
            </w:r>
            <w:r w:rsidR="00A71A74" w:rsidRPr="000A7086">
              <w:rPr>
                <w:rFonts w:ascii="Arial" w:hAnsi="Arial" w:cs="Arial"/>
                <w:iCs/>
                <w:color w:val="000000"/>
                <w:sz w:val="18"/>
                <w:szCs w:val="18"/>
              </w:rPr>
              <w:t xml:space="preserve"> bn</w:t>
            </w:r>
            <w:r w:rsidRPr="000A7086">
              <w:rPr>
                <w:rFonts w:ascii="Arial" w:hAnsi="Arial" w:cs="Arial"/>
                <w:iCs/>
                <w:color w:val="000000"/>
                <w:sz w:val="18"/>
                <w:szCs w:val="18"/>
                <w:lang w:val="en-US"/>
              </w:rPr>
              <w:t xml:space="preserve">, </w:t>
            </w:r>
            <w:r w:rsidRPr="000A7086">
              <w:rPr>
                <w:rFonts w:ascii="Arial" w:hAnsi="Arial" w:cs="Arial"/>
                <w:i/>
                <w:iCs/>
                <w:sz w:val="18"/>
                <w:szCs w:val="18"/>
              </w:rPr>
              <w:t>Component 5 I.5 Renovation wave, fund for green and seismic rehabilitation</w:t>
            </w:r>
            <w:r w:rsidRPr="000A7086">
              <w:rPr>
                <w:rFonts w:ascii="Arial" w:hAnsi="Arial" w:cs="Arial"/>
                <w:i/>
                <w:iCs/>
                <w:sz w:val="18"/>
                <w:szCs w:val="18"/>
                <w:lang w:val="en-US"/>
              </w:rPr>
              <w:t xml:space="preserve">, EUR </w:t>
            </w:r>
            <w:r w:rsidRPr="000A7086">
              <w:rPr>
                <w:rFonts w:ascii="Arial" w:hAnsi="Arial" w:cs="Arial"/>
                <w:sz w:val="18"/>
                <w:szCs w:val="18"/>
              </w:rPr>
              <w:t>2.2</w:t>
            </w:r>
            <w:r w:rsidR="00A71A74" w:rsidRPr="000A7086">
              <w:rPr>
                <w:rFonts w:ascii="Arial" w:hAnsi="Arial" w:cs="Arial"/>
                <w:sz w:val="18"/>
                <w:szCs w:val="18"/>
              </w:rPr>
              <w:t xml:space="preserve"> bn</w:t>
            </w:r>
            <w:r w:rsidRPr="000A7086">
              <w:rPr>
                <w:rFonts w:ascii="Arial" w:hAnsi="Arial" w:cs="Arial"/>
                <w:i/>
                <w:iCs/>
                <w:sz w:val="18"/>
                <w:szCs w:val="18"/>
              </w:rPr>
              <w:t>. Component 6 I.6 Renewable energy and energy efficiency.</w:t>
            </w:r>
            <w:r w:rsidRPr="000A7086">
              <w:rPr>
                <w:rFonts w:ascii="Arial" w:hAnsi="Arial" w:cs="Arial"/>
                <w:i/>
                <w:iCs/>
                <w:sz w:val="18"/>
                <w:szCs w:val="18"/>
                <w:lang w:val="en-US"/>
              </w:rPr>
              <w:t xml:space="preserve"> EUR </w:t>
            </w:r>
            <w:r w:rsidRPr="000A7086">
              <w:rPr>
                <w:rFonts w:ascii="Arial" w:hAnsi="Arial" w:cs="Arial"/>
                <w:sz w:val="18"/>
                <w:szCs w:val="18"/>
              </w:rPr>
              <w:t>1.3</w:t>
            </w:r>
            <w:r w:rsidR="00A71A74" w:rsidRPr="000A7086">
              <w:rPr>
                <w:rFonts w:ascii="Arial" w:hAnsi="Arial" w:cs="Arial"/>
                <w:sz w:val="18"/>
                <w:szCs w:val="18"/>
              </w:rPr>
              <w:t xml:space="preserve"> bn</w:t>
            </w:r>
          </w:p>
          <w:p w14:paraId="0160A887" w14:textId="3F476E9D" w:rsidR="00345CF4" w:rsidRPr="000A7086" w:rsidRDefault="00345CF4" w:rsidP="00964831">
            <w:pPr>
              <w:tabs>
                <w:tab w:val="left" w:pos="10076"/>
                <w:tab w:val="left" w:pos="10992"/>
                <w:tab w:val="left" w:pos="11908"/>
                <w:tab w:val="left" w:pos="12824"/>
                <w:tab w:val="left" w:pos="13740"/>
                <w:tab w:val="left" w:pos="14656"/>
              </w:tabs>
              <w:spacing w:after="40"/>
              <w:jc w:val="both"/>
              <w:rPr>
                <w:rFonts w:ascii="Arial" w:hAnsi="Arial" w:cs="Arial"/>
                <w:sz w:val="18"/>
                <w:szCs w:val="18"/>
                <w:lang w:val="en-US"/>
              </w:rPr>
            </w:pPr>
            <w:r w:rsidRPr="000A7086">
              <w:rPr>
                <w:rFonts w:ascii="Arial" w:hAnsi="Arial" w:cs="Arial"/>
                <w:i/>
                <w:iCs/>
                <w:sz w:val="18"/>
                <w:szCs w:val="18"/>
                <w:u w:val="single"/>
              </w:rPr>
              <w:t>Pillar III Smart, sustainable and inclusive growth</w:t>
            </w:r>
            <w:r w:rsidRPr="000A7086">
              <w:rPr>
                <w:rFonts w:ascii="Arial" w:hAnsi="Arial" w:cs="Arial"/>
                <w:i/>
                <w:iCs/>
                <w:sz w:val="18"/>
                <w:szCs w:val="18"/>
              </w:rPr>
              <w:t xml:space="preserve">, Component 6 III.6 Development of natural gas infrastructure mixed with hydrogen and other green gases. </w:t>
            </w:r>
            <w:r w:rsidRPr="000A7086">
              <w:rPr>
                <w:rFonts w:ascii="Arial" w:hAnsi="Arial" w:cs="Arial"/>
                <w:i/>
                <w:iCs/>
                <w:sz w:val="18"/>
                <w:szCs w:val="18"/>
                <w:lang w:val="en-US"/>
              </w:rPr>
              <w:t xml:space="preserve">EUR </w:t>
            </w:r>
            <w:r w:rsidRPr="000A7086">
              <w:rPr>
                <w:rFonts w:ascii="Arial" w:hAnsi="Arial" w:cs="Arial"/>
                <w:sz w:val="18"/>
                <w:szCs w:val="18"/>
              </w:rPr>
              <w:t>600</w:t>
            </w:r>
            <w:r w:rsidR="00A71A74" w:rsidRPr="000A7086">
              <w:rPr>
                <w:rFonts w:ascii="Arial" w:hAnsi="Arial" w:cs="Arial"/>
                <w:sz w:val="18"/>
                <w:szCs w:val="18"/>
              </w:rPr>
              <w:t xml:space="preserve"> mil</w:t>
            </w:r>
            <w:r w:rsidRPr="000A7086">
              <w:rPr>
                <w:rFonts w:ascii="Arial" w:hAnsi="Arial" w:cs="Arial"/>
                <w:sz w:val="18"/>
                <w:szCs w:val="18"/>
                <w:lang w:val="en-US"/>
              </w:rPr>
              <w:t xml:space="preserve">, </w:t>
            </w:r>
            <w:r w:rsidRPr="000A7086">
              <w:rPr>
                <w:rFonts w:ascii="Arial" w:hAnsi="Arial" w:cs="Arial"/>
                <w:i/>
                <w:iCs/>
                <w:sz w:val="18"/>
                <w:szCs w:val="18"/>
              </w:rPr>
              <w:t>Component 8 III.8 Road and motorway transport.</w:t>
            </w:r>
            <w:r w:rsidRPr="000A7086">
              <w:rPr>
                <w:rFonts w:ascii="Arial" w:hAnsi="Arial" w:cs="Arial"/>
                <w:i/>
                <w:iCs/>
                <w:sz w:val="18"/>
                <w:szCs w:val="18"/>
                <w:lang w:val="en-US"/>
              </w:rPr>
              <w:t xml:space="preserve"> EUR </w:t>
            </w:r>
            <w:r w:rsidRPr="000A7086">
              <w:rPr>
                <w:rFonts w:ascii="Arial" w:hAnsi="Arial" w:cs="Arial"/>
                <w:sz w:val="18"/>
                <w:szCs w:val="18"/>
              </w:rPr>
              <w:t>4</w:t>
            </w:r>
            <w:r w:rsidR="00A71A74" w:rsidRPr="000A7086">
              <w:rPr>
                <w:rFonts w:ascii="Arial" w:hAnsi="Arial" w:cs="Arial"/>
                <w:sz w:val="18"/>
                <w:szCs w:val="18"/>
              </w:rPr>
              <w:t>.</w:t>
            </w:r>
            <w:r w:rsidRPr="000A7086">
              <w:rPr>
                <w:rFonts w:ascii="Arial" w:hAnsi="Arial" w:cs="Arial"/>
                <w:sz w:val="18"/>
                <w:szCs w:val="18"/>
              </w:rPr>
              <w:t>5</w:t>
            </w:r>
            <w:r w:rsidR="00A71A74" w:rsidRPr="000A7086">
              <w:rPr>
                <w:rFonts w:ascii="Arial" w:hAnsi="Arial" w:cs="Arial"/>
                <w:sz w:val="18"/>
                <w:szCs w:val="18"/>
              </w:rPr>
              <w:t xml:space="preserve"> bn</w:t>
            </w:r>
            <w:r w:rsidRPr="000A7086">
              <w:rPr>
                <w:rFonts w:ascii="Arial" w:hAnsi="Arial" w:cs="Arial"/>
                <w:sz w:val="18"/>
                <w:szCs w:val="18"/>
                <w:lang w:val="en-US"/>
              </w:rPr>
              <w:t xml:space="preserve">, </w:t>
            </w:r>
          </w:p>
          <w:p w14:paraId="742E0248" w14:textId="636BC618" w:rsidR="00345CF4" w:rsidRPr="000A7086" w:rsidRDefault="00345CF4" w:rsidP="00964831">
            <w:pPr>
              <w:tabs>
                <w:tab w:val="left" w:pos="10076"/>
                <w:tab w:val="left" w:pos="10992"/>
                <w:tab w:val="left" w:pos="11908"/>
                <w:tab w:val="left" w:pos="12824"/>
                <w:tab w:val="left" w:pos="13740"/>
                <w:tab w:val="left" w:pos="14656"/>
              </w:tabs>
              <w:spacing w:after="40"/>
              <w:jc w:val="both"/>
              <w:rPr>
                <w:rFonts w:ascii="Arial" w:eastAsia="Calibri" w:hAnsi="Arial" w:cs="Arial"/>
                <w:sz w:val="18"/>
                <w:szCs w:val="18"/>
                <w:lang w:val="en-US"/>
              </w:rPr>
            </w:pPr>
            <w:r w:rsidRPr="000A7086">
              <w:rPr>
                <w:rFonts w:ascii="Arial" w:hAnsi="Arial" w:cs="Arial"/>
                <w:i/>
                <w:iCs/>
                <w:sz w:val="18"/>
                <w:szCs w:val="18"/>
                <w:u w:val="single"/>
              </w:rPr>
              <w:t>Pillar IV Social and territorial cohesion</w:t>
            </w:r>
            <w:r w:rsidRPr="000A7086">
              <w:rPr>
                <w:rFonts w:ascii="Arial" w:hAnsi="Arial" w:cs="Arial"/>
                <w:i/>
                <w:iCs/>
                <w:sz w:val="18"/>
                <w:szCs w:val="18"/>
              </w:rPr>
              <w:t>. Component 1 IV.1 Resilience Fund for localities.</w:t>
            </w:r>
            <w:r w:rsidR="00A71A74" w:rsidRPr="000A7086">
              <w:rPr>
                <w:rFonts w:ascii="Arial" w:hAnsi="Arial" w:cs="Arial"/>
                <w:i/>
                <w:iCs/>
                <w:sz w:val="18"/>
                <w:szCs w:val="18"/>
              </w:rPr>
              <w:t xml:space="preserve"> EUR</w:t>
            </w:r>
            <w:r w:rsidRPr="000A7086">
              <w:rPr>
                <w:rFonts w:ascii="Arial" w:hAnsi="Arial" w:cs="Arial"/>
                <w:iCs/>
                <w:sz w:val="18"/>
                <w:szCs w:val="18"/>
                <w:lang w:val="en-US"/>
              </w:rPr>
              <w:t xml:space="preserve"> </w:t>
            </w:r>
            <w:r w:rsidRPr="000A7086">
              <w:rPr>
                <w:rFonts w:ascii="Arial" w:hAnsi="Arial" w:cs="Arial"/>
                <w:sz w:val="18"/>
                <w:szCs w:val="18"/>
              </w:rPr>
              <w:t>4</w:t>
            </w:r>
            <w:r w:rsidR="00A71A74" w:rsidRPr="000A7086">
              <w:rPr>
                <w:rFonts w:ascii="Arial" w:hAnsi="Arial" w:cs="Arial"/>
                <w:sz w:val="18"/>
                <w:szCs w:val="18"/>
              </w:rPr>
              <w:t xml:space="preserve"> bn</w:t>
            </w:r>
          </w:p>
        </w:tc>
      </w:tr>
      <w:tr w:rsidR="00345CF4" w:rsidRPr="003516DC" w14:paraId="58704644" w14:textId="77777777" w:rsidTr="00964831">
        <w:trPr>
          <w:trHeight w:val="322"/>
        </w:trPr>
        <w:tc>
          <w:tcPr>
            <w:tcW w:w="1593" w:type="pct"/>
            <w:vMerge/>
            <w:shd w:val="clear" w:color="auto" w:fill="auto"/>
            <w:tcMar>
              <w:top w:w="100" w:type="dxa"/>
              <w:left w:w="100" w:type="dxa"/>
              <w:bottom w:w="100" w:type="dxa"/>
              <w:right w:w="100" w:type="dxa"/>
            </w:tcMar>
          </w:tcPr>
          <w:p w14:paraId="245548C0"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76D4AFFC" w14:textId="58FFD54F" w:rsidR="00345CF4" w:rsidRPr="000A7086" w:rsidRDefault="00345CF4" w:rsidP="00964831">
            <w:pPr>
              <w:tabs>
                <w:tab w:val="left" w:pos="10076"/>
                <w:tab w:val="left" w:pos="10992"/>
                <w:tab w:val="left" w:pos="11908"/>
                <w:tab w:val="left" w:pos="12824"/>
                <w:tab w:val="left" w:pos="13740"/>
                <w:tab w:val="left" w:pos="14656"/>
              </w:tabs>
              <w:spacing w:after="40"/>
              <w:jc w:val="both"/>
              <w:rPr>
                <w:rFonts w:ascii="Arial" w:hAnsi="Arial" w:cs="Arial"/>
                <w:i/>
                <w:sz w:val="18"/>
                <w:szCs w:val="18"/>
                <w:highlight w:val="white"/>
              </w:rPr>
            </w:pPr>
            <w:r w:rsidRPr="000A7086">
              <w:rPr>
                <w:rFonts w:ascii="Arial" w:hAnsi="Arial" w:cs="Arial"/>
                <w:i/>
                <w:sz w:val="18"/>
                <w:szCs w:val="18"/>
                <w:highlight w:val="white"/>
                <w:u w:val="single"/>
              </w:rPr>
              <w:t>Horizon 2020</w:t>
            </w:r>
            <w:r w:rsidR="00197D5A" w:rsidRPr="000A7086">
              <w:rPr>
                <w:rFonts w:ascii="Arial" w:hAnsi="Arial" w:cs="Arial"/>
                <w:i/>
                <w:sz w:val="18"/>
                <w:szCs w:val="18"/>
                <w:highlight w:val="white"/>
                <w:u w:val="single"/>
              </w:rPr>
              <w:t xml:space="preserve"> </w:t>
            </w:r>
            <w:r w:rsidRPr="000A7086">
              <w:rPr>
                <w:rFonts w:ascii="Arial" w:hAnsi="Arial" w:cs="Arial"/>
                <w:i/>
                <w:sz w:val="18"/>
                <w:szCs w:val="18"/>
                <w:highlight w:val="white"/>
                <w:u w:val="single"/>
              </w:rPr>
              <w:t>-</w:t>
            </w:r>
            <w:r w:rsidR="00197D5A" w:rsidRPr="000A7086">
              <w:rPr>
                <w:rFonts w:ascii="Arial" w:hAnsi="Arial" w:cs="Arial"/>
                <w:i/>
                <w:sz w:val="18"/>
                <w:szCs w:val="18"/>
                <w:highlight w:val="white"/>
                <w:u w:val="single"/>
              </w:rPr>
              <w:t xml:space="preserve"> </w:t>
            </w:r>
            <w:r w:rsidRPr="000A7086">
              <w:rPr>
                <w:rFonts w:ascii="Arial" w:hAnsi="Arial" w:cs="Arial"/>
                <w:i/>
                <w:sz w:val="18"/>
                <w:szCs w:val="18"/>
                <w:highlight w:val="white"/>
              </w:rPr>
              <w:t xml:space="preserve">Research and innovation, Innovation for SMEs, </w:t>
            </w:r>
            <w:r w:rsidRPr="000A7086">
              <w:rPr>
                <w:rFonts w:ascii="Arial" w:hAnsi="Arial" w:cs="Arial"/>
                <w:i/>
                <w:sz w:val="18"/>
                <w:szCs w:val="18"/>
              </w:rPr>
              <w:t xml:space="preserve">international research fellowships in the public or private sector, training in the field of research and staff exchanges EUR 80 </w:t>
            </w:r>
            <w:r w:rsidR="00A71A74" w:rsidRPr="000A7086">
              <w:rPr>
                <w:rFonts w:ascii="Arial" w:hAnsi="Arial" w:cs="Arial"/>
                <w:i/>
                <w:sz w:val="18"/>
                <w:szCs w:val="18"/>
              </w:rPr>
              <w:t>bn</w:t>
            </w:r>
            <w:r w:rsidRPr="000A7086">
              <w:rPr>
                <w:rFonts w:ascii="Arial" w:hAnsi="Arial" w:cs="Arial"/>
                <w:i/>
                <w:sz w:val="18"/>
                <w:szCs w:val="18"/>
              </w:rPr>
              <w:t>.</w:t>
            </w:r>
          </w:p>
        </w:tc>
      </w:tr>
      <w:tr w:rsidR="00345CF4" w:rsidRPr="003516DC" w14:paraId="3EB27F3E" w14:textId="77777777" w:rsidTr="00964831">
        <w:trPr>
          <w:trHeight w:val="1247"/>
        </w:trPr>
        <w:tc>
          <w:tcPr>
            <w:tcW w:w="1593" w:type="pct"/>
            <w:vMerge w:val="restart"/>
            <w:shd w:val="clear" w:color="auto" w:fill="auto"/>
            <w:tcMar>
              <w:top w:w="0" w:type="dxa"/>
              <w:left w:w="100" w:type="dxa"/>
              <w:bottom w:w="0" w:type="dxa"/>
              <w:right w:w="100" w:type="dxa"/>
            </w:tcMar>
          </w:tcPr>
          <w:p w14:paraId="664471F2" w14:textId="77777777" w:rsidR="00345CF4" w:rsidRPr="003978DE" w:rsidRDefault="00345CF4" w:rsidP="00964831">
            <w:pPr>
              <w:pStyle w:val="ListParagraph"/>
              <w:spacing w:before="8" w:line="239" w:lineRule="auto"/>
              <w:ind w:left="0" w:right="85"/>
              <w:rPr>
                <w:b/>
                <w:bCs/>
                <w:i/>
                <w:color w:val="000000"/>
                <w:sz w:val="18"/>
                <w:szCs w:val="18"/>
                <w:lang w:val="en-US"/>
              </w:rPr>
            </w:pPr>
          </w:p>
          <w:p w14:paraId="6AD4498C" w14:textId="77777777" w:rsidR="00345CF4" w:rsidRPr="000A7086" w:rsidRDefault="00345CF4" w:rsidP="00964831">
            <w:pPr>
              <w:jc w:val="both"/>
              <w:rPr>
                <w:rFonts w:ascii="Arial" w:hAnsi="Arial" w:cs="Arial"/>
                <w:sz w:val="18"/>
                <w:szCs w:val="18"/>
              </w:rPr>
            </w:pPr>
            <w:r w:rsidRPr="000A7086">
              <w:rPr>
                <w:rFonts w:ascii="Arial" w:hAnsi="Arial" w:cs="Arial"/>
                <w:sz w:val="18"/>
                <w:szCs w:val="18"/>
                <w:highlight w:val="white"/>
              </w:rPr>
              <w:t xml:space="preserve">Type 2: </w:t>
            </w:r>
            <w:r w:rsidRPr="000A7086">
              <w:rPr>
                <w:rFonts w:ascii="Arial" w:hAnsi="Arial" w:cs="Arial"/>
                <w:sz w:val="18"/>
                <w:szCs w:val="18"/>
              </w:rPr>
              <w:t>Increasing the level of employment:</w:t>
            </w:r>
          </w:p>
          <w:p w14:paraId="6D166AA1" w14:textId="77777777" w:rsidR="00345CF4" w:rsidRPr="000A7086" w:rsidRDefault="00345CF4" w:rsidP="00964831">
            <w:pPr>
              <w:pStyle w:val="ListParagraph"/>
              <w:spacing w:line="240" w:lineRule="auto"/>
              <w:ind w:left="360"/>
              <w:rPr>
                <w:sz w:val="18"/>
                <w:szCs w:val="18"/>
                <w:highlight w:val="white"/>
              </w:rPr>
            </w:pPr>
          </w:p>
          <w:p w14:paraId="10059C8D" w14:textId="77777777" w:rsidR="00345CF4" w:rsidRPr="000A7086" w:rsidRDefault="00345CF4" w:rsidP="00964831">
            <w:pPr>
              <w:rPr>
                <w:rFonts w:ascii="Arial" w:hAnsi="Arial" w:cs="Arial"/>
                <w:sz w:val="18"/>
                <w:szCs w:val="18"/>
                <w:highlight w:val="white"/>
              </w:rPr>
            </w:pPr>
            <w:r w:rsidRPr="000A7086">
              <w:rPr>
                <w:rFonts w:ascii="Arial" w:hAnsi="Arial" w:cs="Arial"/>
                <w:sz w:val="18"/>
                <w:szCs w:val="18"/>
                <w:highlight w:val="white"/>
              </w:rPr>
              <w:t>Upskilling and reskilling of up to 2000 workers laid off by Hunedoara Energy Complex during 2021-2026 in areas like new clean energy production, construction, manufacturing, services; dual training, partnership between Universities/Renewable energy producers’ associations/ companies; entrepreneurship - setting up new businesses</w:t>
            </w:r>
          </w:p>
          <w:p w14:paraId="42537CA7" w14:textId="77777777" w:rsidR="00345CF4" w:rsidRPr="000A7086" w:rsidRDefault="00345CF4" w:rsidP="00964831">
            <w:pPr>
              <w:rPr>
                <w:rFonts w:ascii="Arial" w:hAnsi="Arial" w:cs="Arial"/>
                <w:sz w:val="18"/>
                <w:szCs w:val="18"/>
                <w:highlight w:val="white"/>
              </w:rPr>
            </w:pPr>
          </w:p>
          <w:p w14:paraId="17E1EBB0" w14:textId="5D38AEEA" w:rsidR="00345CF4" w:rsidRPr="000A7086" w:rsidRDefault="00345CF4" w:rsidP="00964831">
            <w:pPr>
              <w:rPr>
                <w:rFonts w:ascii="Arial" w:hAnsi="Arial" w:cs="Arial"/>
                <w:sz w:val="18"/>
                <w:szCs w:val="18"/>
                <w:highlight w:val="white"/>
              </w:rPr>
            </w:pPr>
            <w:r w:rsidRPr="000A7086">
              <w:rPr>
                <w:rFonts w:ascii="Arial" w:hAnsi="Arial" w:cs="Arial"/>
                <w:sz w:val="18"/>
                <w:szCs w:val="18"/>
                <w:highlight w:val="white"/>
              </w:rPr>
              <w:t>Transition centres for up to 3</w:t>
            </w:r>
            <w:r w:rsidR="003978DE">
              <w:rPr>
                <w:rFonts w:ascii="Arial" w:hAnsi="Arial" w:cs="Arial"/>
                <w:sz w:val="18"/>
                <w:szCs w:val="18"/>
                <w:highlight w:val="white"/>
              </w:rPr>
              <w:t>,</w:t>
            </w:r>
            <w:r w:rsidRPr="000A7086">
              <w:rPr>
                <w:rFonts w:ascii="Arial" w:hAnsi="Arial" w:cs="Arial"/>
                <w:sz w:val="18"/>
                <w:szCs w:val="18"/>
                <w:highlight w:val="white"/>
              </w:rPr>
              <w:t>000 Hunedoara Energy Complex former employees and career guidance</w:t>
            </w:r>
          </w:p>
          <w:p w14:paraId="511B6A52" w14:textId="77777777" w:rsidR="00345CF4" w:rsidRPr="000A7086" w:rsidRDefault="00345CF4" w:rsidP="00964831">
            <w:pPr>
              <w:pStyle w:val="ListParagraph"/>
              <w:tabs>
                <w:tab w:val="left" w:pos="10076"/>
                <w:tab w:val="left" w:pos="10992"/>
                <w:tab w:val="left" w:pos="11908"/>
                <w:tab w:val="left" w:pos="12824"/>
                <w:tab w:val="left" w:pos="13740"/>
                <w:tab w:val="left" w:pos="14656"/>
              </w:tabs>
              <w:ind w:left="0"/>
              <w:rPr>
                <w:i/>
                <w:sz w:val="18"/>
                <w:szCs w:val="18"/>
              </w:rPr>
            </w:pPr>
          </w:p>
          <w:p w14:paraId="23CAAC26" w14:textId="77777777" w:rsidR="00345CF4" w:rsidRPr="000A7086" w:rsidRDefault="00345CF4" w:rsidP="00964831">
            <w:pPr>
              <w:shd w:val="clear" w:color="auto" w:fill="FFFFFF"/>
              <w:jc w:val="both"/>
              <w:rPr>
                <w:rFonts w:ascii="Arial" w:eastAsia="Times New Roman" w:hAnsi="Arial" w:cs="Arial"/>
                <w:b/>
                <w:bCs/>
                <w:i/>
                <w:color w:val="202124"/>
                <w:sz w:val="18"/>
                <w:szCs w:val="18"/>
                <w:lang w:val="ro-RO"/>
              </w:rPr>
            </w:pPr>
          </w:p>
        </w:tc>
        <w:tc>
          <w:tcPr>
            <w:tcW w:w="3407" w:type="pct"/>
            <w:shd w:val="clear" w:color="auto" w:fill="auto"/>
            <w:tcMar>
              <w:top w:w="0" w:type="dxa"/>
              <w:left w:w="100" w:type="dxa"/>
              <w:bottom w:w="0" w:type="dxa"/>
              <w:right w:w="100" w:type="dxa"/>
            </w:tcMar>
          </w:tcPr>
          <w:p w14:paraId="313AF7E9" w14:textId="220CCE8B" w:rsidR="00345CF4" w:rsidRPr="000A7086" w:rsidRDefault="00345CF4" w:rsidP="00964831">
            <w:pPr>
              <w:shd w:val="clear" w:color="auto" w:fill="FFFFFF"/>
              <w:rPr>
                <w:rFonts w:ascii="Arial" w:hAnsi="Arial" w:cs="Arial"/>
                <w:i/>
                <w:sz w:val="18"/>
                <w:szCs w:val="18"/>
              </w:rPr>
            </w:pPr>
            <w:r w:rsidRPr="000A7086">
              <w:rPr>
                <w:rFonts w:ascii="Arial" w:hAnsi="Arial" w:cs="Arial"/>
                <w:i/>
                <w:sz w:val="18"/>
                <w:szCs w:val="18"/>
                <w:highlight w:val="white"/>
              </w:rPr>
              <w:t>“</w:t>
            </w:r>
            <w:r w:rsidR="00E357AA">
              <w:rPr>
                <w:rFonts w:ascii="Arial" w:hAnsi="Arial" w:cs="Arial"/>
                <w:i/>
                <w:sz w:val="18"/>
                <w:szCs w:val="18"/>
                <w:highlight w:val="white"/>
              </w:rPr>
              <w:t xml:space="preserve">National Recovery and Resilience Plan </w:t>
            </w:r>
            <w:r w:rsidRPr="000A7086">
              <w:rPr>
                <w:rFonts w:ascii="Arial" w:hAnsi="Arial" w:cs="Arial"/>
                <w:i/>
                <w:sz w:val="18"/>
                <w:szCs w:val="18"/>
                <w:highlight w:val="white"/>
              </w:rPr>
              <w:t>(</w:t>
            </w:r>
            <w:r w:rsidR="00E357AA">
              <w:rPr>
                <w:rFonts w:ascii="Arial" w:hAnsi="Arial" w:cs="Arial"/>
                <w:i/>
                <w:sz w:val="18"/>
                <w:szCs w:val="18"/>
                <w:highlight w:val="white"/>
              </w:rPr>
              <w:t>RRP</w:t>
            </w:r>
            <w:r w:rsidRPr="000A7086">
              <w:rPr>
                <w:rFonts w:ascii="Arial" w:hAnsi="Arial" w:cs="Arial"/>
                <w:i/>
                <w:sz w:val="18"/>
                <w:szCs w:val="18"/>
                <w:highlight w:val="white"/>
              </w:rPr>
              <w:t>)</w:t>
            </w:r>
            <w:r w:rsidRPr="000A7086">
              <w:rPr>
                <w:rFonts w:ascii="Arial" w:hAnsi="Arial" w:cs="Arial"/>
                <w:i/>
                <w:sz w:val="18"/>
                <w:szCs w:val="18"/>
              </w:rPr>
              <w:t xml:space="preserve">. </w:t>
            </w:r>
          </w:p>
          <w:p w14:paraId="3E4571C6" w14:textId="39568B98" w:rsidR="00345CF4" w:rsidRPr="000A7086" w:rsidRDefault="00345CF4" w:rsidP="00964831">
            <w:pPr>
              <w:shd w:val="clear" w:color="auto" w:fill="FFFFFF"/>
              <w:rPr>
                <w:rFonts w:ascii="Arial" w:hAnsi="Arial" w:cs="Arial"/>
                <w:i/>
                <w:iCs/>
                <w:sz w:val="18"/>
                <w:szCs w:val="18"/>
                <w:lang w:val="en-US"/>
              </w:rPr>
            </w:pPr>
            <w:r w:rsidRPr="000A7086">
              <w:rPr>
                <w:rFonts w:ascii="Arial" w:hAnsi="Arial" w:cs="Arial"/>
                <w:i/>
                <w:iCs/>
                <w:sz w:val="18"/>
                <w:szCs w:val="18"/>
                <w:u w:val="single"/>
              </w:rPr>
              <w:t>Pillar III Smart, sustainable and inclusive growth</w:t>
            </w:r>
            <w:r w:rsidRPr="000A7086">
              <w:rPr>
                <w:rFonts w:ascii="Arial" w:hAnsi="Arial" w:cs="Arial"/>
                <w:i/>
                <w:iCs/>
                <w:sz w:val="18"/>
                <w:szCs w:val="18"/>
              </w:rPr>
              <w:t xml:space="preserve">, </w:t>
            </w:r>
            <w:r w:rsidRPr="000A7086">
              <w:rPr>
                <w:rFonts w:ascii="Arial" w:hAnsi="Arial" w:cs="Arial"/>
                <w:iCs/>
                <w:sz w:val="18"/>
                <w:szCs w:val="18"/>
              </w:rPr>
              <w:t>Component 4 III.4 Educated Romania - Dual, technical and vocational education</w:t>
            </w:r>
            <w:r w:rsidRPr="000A7086">
              <w:rPr>
                <w:rFonts w:ascii="Arial" w:hAnsi="Arial" w:cs="Arial"/>
                <w:i/>
                <w:iCs/>
                <w:sz w:val="18"/>
                <w:szCs w:val="18"/>
              </w:rPr>
              <w:t xml:space="preserve">. </w:t>
            </w:r>
            <w:r w:rsidRPr="000A7086">
              <w:rPr>
                <w:rFonts w:ascii="Arial" w:hAnsi="Arial" w:cs="Arial"/>
                <w:i/>
                <w:iCs/>
                <w:sz w:val="18"/>
                <w:szCs w:val="18"/>
                <w:lang w:val="en-US"/>
              </w:rPr>
              <w:t xml:space="preserve">EUR </w:t>
            </w:r>
            <w:r w:rsidRPr="000A7086">
              <w:rPr>
                <w:rFonts w:ascii="Arial" w:hAnsi="Arial" w:cs="Arial"/>
                <w:sz w:val="18"/>
                <w:szCs w:val="18"/>
              </w:rPr>
              <w:t>630</w:t>
            </w:r>
            <w:r w:rsidR="00A71A74" w:rsidRPr="000A7086">
              <w:rPr>
                <w:rFonts w:ascii="Arial" w:hAnsi="Arial" w:cs="Arial"/>
                <w:sz w:val="18"/>
                <w:szCs w:val="18"/>
              </w:rPr>
              <w:t xml:space="preserve"> mil</w:t>
            </w:r>
          </w:p>
          <w:p w14:paraId="092A8164" w14:textId="41922ECF" w:rsidR="00345CF4" w:rsidRPr="000A7086" w:rsidRDefault="00345CF4" w:rsidP="00964831">
            <w:pPr>
              <w:shd w:val="clear" w:color="auto" w:fill="FFFFFF"/>
              <w:rPr>
                <w:rFonts w:ascii="Arial" w:eastAsia="Calibri" w:hAnsi="Arial" w:cs="Arial"/>
                <w:sz w:val="18"/>
                <w:szCs w:val="18"/>
                <w:lang w:val="en-US"/>
              </w:rPr>
            </w:pPr>
            <w:r w:rsidRPr="000A7086">
              <w:rPr>
                <w:rFonts w:ascii="Arial" w:hAnsi="Arial" w:cs="Arial"/>
                <w:i/>
                <w:iCs/>
                <w:sz w:val="18"/>
                <w:szCs w:val="18"/>
                <w:u w:val="single"/>
              </w:rPr>
              <w:t>Pillar VI Policies for the Next Generation, Children and Youth</w:t>
            </w:r>
            <w:r w:rsidRPr="000A7086">
              <w:rPr>
                <w:rFonts w:ascii="Arial" w:hAnsi="Arial" w:cs="Arial"/>
                <w:i/>
                <w:iCs/>
                <w:sz w:val="18"/>
                <w:szCs w:val="18"/>
              </w:rPr>
              <w:t xml:space="preserve"> Component 3 VI.3 Educated Romania - National Nursery Program.</w:t>
            </w:r>
            <w:r w:rsidRPr="000A7086">
              <w:rPr>
                <w:rFonts w:ascii="Arial" w:hAnsi="Arial" w:cs="Arial"/>
                <w:i/>
                <w:iCs/>
                <w:sz w:val="18"/>
                <w:szCs w:val="18"/>
                <w:lang w:val="en-US"/>
              </w:rPr>
              <w:t xml:space="preserve">EUR </w:t>
            </w:r>
            <w:r w:rsidRPr="000A7086">
              <w:rPr>
                <w:rFonts w:ascii="Arial" w:hAnsi="Arial" w:cs="Arial"/>
                <w:sz w:val="18"/>
                <w:szCs w:val="18"/>
              </w:rPr>
              <w:t>370</w:t>
            </w:r>
            <w:r w:rsidR="00A71A74" w:rsidRPr="000A7086">
              <w:rPr>
                <w:rFonts w:ascii="Arial" w:hAnsi="Arial" w:cs="Arial"/>
                <w:sz w:val="18"/>
                <w:szCs w:val="18"/>
              </w:rPr>
              <w:t xml:space="preserve"> mil</w:t>
            </w:r>
          </w:p>
        </w:tc>
      </w:tr>
      <w:tr w:rsidR="00345CF4" w:rsidRPr="003516DC" w14:paraId="59C92998" w14:textId="77777777" w:rsidTr="00964831">
        <w:trPr>
          <w:trHeight w:val="1572"/>
        </w:trPr>
        <w:tc>
          <w:tcPr>
            <w:tcW w:w="1593" w:type="pct"/>
            <w:vMerge/>
            <w:shd w:val="clear" w:color="auto" w:fill="auto"/>
            <w:tcMar>
              <w:top w:w="100" w:type="dxa"/>
              <w:left w:w="100" w:type="dxa"/>
              <w:bottom w:w="100" w:type="dxa"/>
              <w:right w:w="100" w:type="dxa"/>
            </w:tcMar>
          </w:tcPr>
          <w:p w14:paraId="60C843EA"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7DE25267" w14:textId="41A5CC6F" w:rsidR="00345CF4" w:rsidRPr="000A7086" w:rsidRDefault="00345CF4" w:rsidP="00964831">
            <w:pPr>
              <w:pStyle w:val="ListParagraph"/>
              <w:spacing w:after="60"/>
              <w:ind w:left="0" w:right="85"/>
              <w:contextualSpacing w:val="0"/>
              <w:jc w:val="both"/>
              <w:rPr>
                <w:i/>
                <w:sz w:val="18"/>
                <w:szCs w:val="18"/>
              </w:rPr>
            </w:pPr>
            <w:r w:rsidRPr="000A7086">
              <w:rPr>
                <w:i/>
                <w:sz w:val="18"/>
                <w:szCs w:val="18"/>
                <w:highlight w:val="white"/>
              </w:rPr>
              <w:t>“Regional Operational Program</w:t>
            </w:r>
            <w:r w:rsidR="00BC061B">
              <w:rPr>
                <w:i/>
                <w:sz w:val="18"/>
                <w:szCs w:val="18"/>
                <w:highlight w:val="white"/>
              </w:rPr>
              <w:t>me</w:t>
            </w:r>
            <w:r w:rsidRPr="000A7086">
              <w:rPr>
                <w:i/>
                <w:sz w:val="18"/>
                <w:szCs w:val="18"/>
                <w:highlight w:val="white"/>
              </w:rPr>
              <w:t xml:space="preserve"> Vest”</w:t>
            </w:r>
            <w:r w:rsidRPr="000A7086">
              <w:rPr>
                <w:i/>
                <w:sz w:val="18"/>
                <w:szCs w:val="18"/>
              </w:rPr>
              <w:t xml:space="preserve"> (ROP-V). </w:t>
            </w:r>
          </w:p>
          <w:p w14:paraId="6E8036EC" w14:textId="45D538F4" w:rsidR="00345CF4" w:rsidRPr="000A7086" w:rsidRDefault="00345CF4" w:rsidP="00964831">
            <w:pPr>
              <w:spacing w:after="60"/>
              <w:ind w:right="85"/>
              <w:jc w:val="both"/>
              <w:rPr>
                <w:rFonts w:ascii="Arial" w:hAnsi="Arial" w:cs="Arial"/>
                <w:i/>
                <w:sz w:val="18"/>
                <w:szCs w:val="18"/>
                <w:u w:val="single"/>
              </w:rPr>
            </w:pPr>
            <w:r w:rsidRPr="000A7086">
              <w:rPr>
                <w:rFonts w:ascii="Arial" w:hAnsi="Arial" w:cs="Arial"/>
                <w:i/>
                <w:sz w:val="18"/>
                <w:szCs w:val="18"/>
                <w:u w:val="single"/>
              </w:rPr>
              <w:t>Priority 6 An educated region</w:t>
            </w:r>
          </w:p>
          <w:p w14:paraId="47C7DF2A" w14:textId="2E2371F1" w:rsidR="00345CF4" w:rsidRPr="000A7086" w:rsidRDefault="00345CF4" w:rsidP="00964831">
            <w:pPr>
              <w:spacing w:after="60"/>
              <w:ind w:right="85"/>
              <w:jc w:val="both"/>
              <w:rPr>
                <w:rFonts w:ascii="Arial" w:eastAsia="Calibri" w:hAnsi="Arial" w:cs="Arial"/>
                <w:sz w:val="18"/>
                <w:szCs w:val="18"/>
                <w:lang w:val="en-US"/>
              </w:rPr>
            </w:pPr>
            <w:r w:rsidRPr="000A7086">
              <w:rPr>
                <w:rFonts w:ascii="Arial" w:hAnsi="Arial" w:cs="Arial"/>
                <w:sz w:val="18"/>
                <w:szCs w:val="18"/>
              </w:rPr>
              <w:t>OP 4d (ii) improve equal access to inclusive services and quality in education, training and learning throughout life course through development infrastructure accessible, inclusive by encouraging resilience for education and training remote and online EUR 106</w:t>
            </w:r>
            <w:r w:rsidR="0042633B" w:rsidRPr="000A7086">
              <w:rPr>
                <w:rFonts w:ascii="Arial" w:hAnsi="Arial" w:cs="Arial"/>
                <w:sz w:val="18"/>
                <w:szCs w:val="18"/>
              </w:rPr>
              <w:t>,</w:t>
            </w:r>
            <w:r w:rsidRPr="000A7086">
              <w:rPr>
                <w:rFonts w:ascii="Arial" w:hAnsi="Arial" w:cs="Arial"/>
                <w:sz w:val="18"/>
                <w:szCs w:val="18"/>
              </w:rPr>
              <w:t>930</w:t>
            </w:r>
            <w:r w:rsidR="0042633B" w:rsidRPr="000A7086">
              <w:rPr>
                <w:rFonts w:ascii="Arial" w:hAnsi="Arial" w:cs="Arial"/>
                <w:sz w:val="18"/>
                <w:szCs w:val="18"/>
              </w:rPr>
              <w:t>,</w:t>
            </w:r>
            <w:r w:rsidRPr="000A7086">
              <w:rPr>
                <w:rFonts w:ascii="Arial" w:hAnsi="Arial" w:cs="Arial"/>
                <w:sz w:val="18"/>
                <w:szCs w:val="18"/>
              </w:rPr>
              <w:t>000 EU source ERDF</w:t>
            </w:r>
          </w:p>
        </w:tc>
      </w:tr>
      <w:tr w:rsidR="00345CF4" w:rsidRPr="003516DC" w14:paraId="625BBC7D" w14:textId="77777777" w:rsidTr="00964831">
        <w:trPr>
          <w:trHeight w:val="2536"/>
        </w:trPr>
        <w:tc>
          <w:tcPr>
            <w:tcW w:w="1593" w:type="pct"/>
            <w:vMerge/>
            <w:shd w:val="clear" w:color="auto" w:fill="auto"/>
            <w:tcMar>
              <w:top w:w="100" w:type="dxa"/>
              <w:left w:w="100" w:type="dxa"/>
              <w:bottom w:w="100" w:type="dxa"/>
              <w:right w:w="100" w:type="dxa"/>
            </w:tcMar>
          </w:tcPr>
          <w:p w14:paraId="154D962C"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5C86C351" w14:textId="77777777" w:rsidR="00345CF4" w:rsidRPr="000A7086" w:rsidRDefault="00345CF4" w:rsidP="00964831">
            <w:pPr>
              <w:shd w:val="clear" w:color="auto" w:fill="FFFFFF"/>
              <w:jc w:val="both"/>
              <w:rPr>
                <w:rFonts w:ascii="Arial" w:hAnsi="Arial" w:cs="Arial"/>
                <w:bCs/>
                <w:sz w:val="18"/>
                <w:szCs w:val="18"/>
                <w:lang w:val="ro-RO"/>
              </w:rPr>
            </w:pPr>
            <w:r w:rsidRPr="000A7086">
              <w:rPr>
                <w:rFonts w:ascii="Arial" w:hAnsi="Arial" w:cs="Arial"/>
                <w:bCs/>
                <w:i/>
                <w:sz w:val="18"/>
                <w:szCs w:val="18"/>
                <w:lang w:val="ro-RO"/>
              </w:rPr>
              <w:t>„Education and Employment Operational Programme” (EEOP).</w:t>
            </w:r>
            <w:r w:rsidRPr="000A7086">
              <w:rPr>
                <w:rFonts w:ascii="Arial" w:hAnsi="Arial" w:cs="Arial"/>
                <w:bCs/>
                <w:sz w:val="18"/>
                <w:szCs w:val="18"/>
                <w:lang w:val="ro-RO"/>
              </w:rPr>
              <w:t xml:space="preserve"> </w:t>
            </w:r>
          </w:p>
          <w:p w14:paraId="38FFD025"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1</w:t>
            </w:r>
            <w:r w:rsidRPr="000A7086">
              <w:rPr>
                <w:rFonts w:ascii="Arial" w:hAnsi="Arial" w:cs="Arial"/>
                <w:sz w:val="18"/>
                <w:szCs w:val="18"/>
              </w:rPr>
              <w:t xml:space="preserve"> Unlocking the potential of young people in the labor market. </w:t>
            </w:r>
            <w:r w:rsidRPr="000A7086">
              <w:rPr>
                <w:rFonts w:ascii="Arial" w:hAnsi="Arial" w:cs="Arial"/>
                <w:i/>
                <w:sz w:val="18"/>
                <w:szCs w:val="18"/>
                <w:u w:val="single"/>
              </w:rPr>
              <w:t>Priority 2</w:t>
            </w:r>
            <w:r w:rsidRPr="000A7086">
              <w:rPr>
                <w:rFonts w:ascii="Arial" w:hAnsi="Arial" w:cs="Arial"/>
                <w:sz w:val="18"/>
                <w:szCs w:val="18"/>
              </w:rPr>
              <w:t xml:space="preserve"> Prevent early school leaving and increase access to and participation of disadvantaged groups in education and training. </w:t>
            </w:r>
          </w:p>
          <w:p w14:paraId="48E0ED7D"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3</w:t>
            </w:r>
            <w:r w:rsidRPr="000A7086">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7803AA46"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4</w:t>
            </w:r>
            <w:r w:rsidRPr="000A7086">
              <w:rPr>
                <w:rFonts w:ascii="Arial" w:hAnsi="Arial" w:cs="Arial"/>
                <w:sz w:val="18"/>
                <w:szCs w:val="18"/>
              </w:rPr>
              <w:t xml:space="preserve"> Increasing the accessibility, attractiveness and quality of vocational and technical education. </w:t>
            </w:r>
          </w:p>
          <w:p w14:paraId="3FA845C7"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5</w:t>
            </w:r>
            <w:r w:rsidRPr="000A7086">
              <w:rPr>
                <w:rFonts w:ascii="Arial" w:hAnsi="Arial" w:cs="Arial"/>
                <w:sz w:val="18"/>
                <w:szCs w:val="18"/>
              </w:rPr>
              <w:t xml:space="preserve"> Increasing access to the labor market for all. </w:t>
            </w:r>
          </w:p>
          <w:p w14:paraId="3589B0FF"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6</w:t>
            </w:r>
            <w:r w:rsidRPr="000A7086">
              <w:rPr>
                <w:rFonts w:ascii="Arial" w:hAnsi="Arial" w:cs="Arial"/>
                <w:sz w:val="18"/>
                <w:szCs w:val="18"/>
              </w:rPr>
              <w:t xml:space="preserve"> Entrepreneurship and the social economy. </w:t>
            </w:r>
          </w:p>
          <w:p w14:paraId="7E57E7F9" w14:textId="77777777" w:rsidR="00345CF4" w:rsidRPr="000A7086" w:rsidRDefault="00345CF4" w:rsidP="00964831">
            <w:pPr>
              <w:shd w:val="clear" w:color="auto" w:fill="FFFFFF"/>
              <w:jc w:val="both"/>
              <w:rPr>
                <w:rFonts w:ascii="Arial" w:hAnsi="Arial" w:cs="Arial"/>
                <w:sz w:val="18"/>
                <w:szCs w:val="18"/>
              </w:rPr>
            </w:pPr>
            <w:r w:rsidRPr="000A7086">
              <w:rPr>
                <w:rFonts w:ascii="Arial" w:hAnsi="Arial" w:cs="Arial"/>
                <w:i/>
                <w:sz w:val="18"/>
                <w:szCs w:val="18"/>
                <w:u w:val="single"/>
              </w:rPr>
              <w:t>Priority 7</w:t>
            </w:r>
            <w:r w:rsidRPr="000A7086">
              <w:rPr>
                <w:rFonts w:ascii="Arial" w:hAnsi="Arial" w:cs="Arial"/>
                <w:sz w:val="18"/>
                <w:szCs w:val="18"/>
              </w:rPr>
              <w:t xml:space="preserve"> Supporting labor market reforms in line with labor market dynamics. </w:t>
            </w:r>
          </w:p>
          <w:p w14:paraId="0D6B2449" w14:textId="20D6FCE6" w:rsidR="00345CF4" w:rsidRPr="000A7086" w:rsidRDefault="00345CF4" w:rsidP="00964831">
            <w:pPr>
              <w:shd w:val="clear" w:color="auto" w:fill="FFFFFF"/>
              <w:jc w:val="both"/>
              <w:rPr>
                <w:rFonts w:ascii="Arial" w:eastAsia="Calibri" w:hAnsi="Arial" w:cs="Arial"/>
                <w:sz w:val="18"/>
                <w:szCs w:val="18"/>
                <w:lang w:val="en-US"/>
              </w:rPr>
            </w:pPr>
            <w:r w:rsidRPr="000A7086">
              <w:rPr>
                <w:rFonts w:ascii="Arial" w:hAnsi="Arial" w:cs="Arial"/>
                <w:i/>
                <w:sz w:val="18"/>
                <w:szCs w:val="18"/>
                <w:u w:val="single"/>
              </w:rPr>
              <w:t>Priority 8</w:t>
            </w:r>
            <w:r w:rsidRPr="000A7086">
              <w:rPr>
                <w:rFonts w:ascii="Arial" w:hAnsi="Arial" w:cs="Arial"/>
                <w:sz w:val="18"/>
                <w:szCs w:val="18"/>
              </w:rPr>
              <w:t xml:space="preserve"> Strengthen population participation in lifelong learning to facilitate transitions and labor market mobility.</w:t>
            </w:r>
            <w:r w:rsidRPr="000A7086">
              <w:rPr>
                <w:rFonts w:ascii="Arial" w:hAnsi="Arial" w:cs="Arial"/>
                <w:sz w:val="18"/>
                <w:szCs w:val="18"/>
                <w:lang w:val="en-US"/>
              </w:rPr>
              <w:t xml:space="preserve"> EUR</w:t>
            </w:r>
            <w:r w:rsidR="00197D5A" w:rsidRPr="000A7086">
              <w:rPr>
                <w:rFonts w:ascii="Arial" w:hAnsi="Arial" w:cs="Arial"/>
                <w:sz w:val="18"/>
                <w:szCs w:val="18"/>
                <w:lang w:val="en-US"/>
              </w:rPr>
              <w:t xml:space="preserve"> </w:t>
            </w:r>
            <w:r w:rsidRPr="000A7086">
              <w:rPr>
                <w:rFonts w:ascii="Arial" w:hAnsi="Arial" w:cs="Arial"/>
                <w:sz w:val="18"/>
                <w:szCs w:val="18"/>
              </w:rPr>
              <w:t>3</w:t>
            </w:r>
            <w:r w:rsidR="0042633B" w:rsidRPr="000A7086">
              <w:rPr>
                <w:rFonts w:ascii="Arial" w:hAnsi="Arial" w:cs="Arial"/>
                <w:sz w:val="18"/>
                <w:szCs w:val="18"/>
              </w:rPr>
              <w:t>,</w:t>
            </w:r>
            <w:r w:rsidRPr="000A7086">
              <w:rPr>
                <w:rFonts w:ascii="Arial" w:hAnsi="Arial" w:cs="Arial"/>
                <w:sz w:val="18"/>
                <w:szCs w:val="18"/>
              </w:rPr>
              <w:t>861,696</w:t>
            </w:r>
          </w:p>
        </w:tc>
      </w:tr>
      <w:tr w:rsidR="00345CF4" w:rsidRPr="003516DC" w14:paraId="1783F485" w14:textId="77777777" w:rsidTr="00964831">
        <w:trPr>
          <w:trHeight w:val="1807"/>
        </w:trPr>
        <w:tc>
          <w:tcPr>
            <w:tcW w:w="1593" w:type="pct"/>
            <w:vMerge/>
            <w:shd w:val="clear" w:color="auto" w:fill="auto"/>
            <w:tcMar>
              <w:top w:w="100" w:type="dxa"/>
              <w:left w:w="100" w:type="dxa"/>
              <w:bottom w:w="100" w:type="dxa"/>
              <w:right w:w="100" w:type="dxa"/>
            </w:tcMar>
          </w:tcPr>
          <w:p w14:paraId="745AFB8C" w14:textId="77777777" w:rsidR="00345CF4" w:rsidRPr="003978DE" w:rsidRDefault="00345CF4" w:rsidP="00964831">
            <w:pPr>
              <w:shd w:val="clear" w:color="auto" w:fill="FFFFFF"/>
              <w:jc w:val="both"/>
              <w:rPr>
                <w:rFonts w:ascii="Arial" w:hAnsi="Arial" w:cs="Arial"/>
                <w:sz w:val="18"/>
                <w:szCs w:val="18"/>
              </w:rPr>
            </w:pPr>
          </w:p>
        </w:tc>
        <w:tc>
          <w:tcPr>
            <w:tcW w:w="3407" w:type="pct"/>
            <w:shd w:val="clear" w:color="auto" w:fill="auto"/>
            <w:tcMar>
              <w:top w:w="0" w:type="dxa"/>
              <w:left w:w="100" w:type="dxa"/>
              <w:bottom w:w="0" w:type="dxa"/>
              <w:right w:w="100" w:type="dxa"/>
            </w:tcMar>
          </w:tcPr>
          <w:p w14:paraId="61711887" w14:textId="33BB264B" w:rsidR="00345CF4" w:rsidRPr="000A7086" w:rsidRDefault="00345CF4" w:rsidP="00964831">
            <w:pPr>
              <w:pStyle w:val="ListParagraph"/>
              <w:shd w:val="clear" w:color="auto" w:fill="FFFFFF"/>
              <w:spacing w:line="240" w:lineRule="auto"/>
              <w:ind w:left="0"/>
              <w:rPr>
                <w:rFonts w:eastAsia="Times New Roman"/>
                <w:i/>
                <w:sz w:val="18"/>
                <w:szCs w:val="18"/>
                <w:lang w:val="en"/>
              </w:rPr>
            </w:pPr>
            <w:r w:rsidRPr="000A7086">
              <w:rPr>
                <w:rFonts w:eastAsia="Times New Roman"/>
                <w:i/>
                <w:sz w:val="18"/>
                <w:szCs w:val="18"/>
                <w:lang w:val="en"/>
              </w:rPr>
              <w:t>“Intelligent Growth, Digiti</w:t>
            </w:r>
            <w:r w:rsidR="004E7B64">
              <w:rPr>
                <w:rFonts w:eastAsia="Times New Roman"/>
                <w:i/>
                <w:sz w:val="18"/>
                <w:szCs w:val="18"/>
                <w:lang w:val="en"/>
              </w:rPr>
              <w:t>sation</w:t>
            </w:r>
            <w:r w:rsidRPr="000A7086">
              <w:rPr>
                <w:rFonts w:eastAsia="Times New Roman"/>
                <w:i/>
                <w:sz w:val="18"/>
                <w:szCs w:val="18"/>
                <w:lang w:val="en"/>
              </w:rPr>
              <w:t xml:space="preserve"> and Financial Instruments Operational Program</w:t>
            </w:r>
            <w:r w:rsidR="00BC061B">
              <w:rPr>
                <w:rFonts w:eastAsia="Times New Roman"/>
                <w:i/>
                <w:sz w:val="18"/>
                <w:szCs w:val="18"/>
                <w:lang w:val="en"/>
              </w:rPr>
              <w:t>me</w:t>
            </w:r>
            <w:r w:rsidRPr="000A7086">
              <w:rPr>
                <w:rFonts w:eastAsia="Times New Roman"/>
                <w:i/>
                <w:sz w:val="18"/>
                <w:szCs w:val="18"/>
                <w:lang w:val="en"/>
              </w:rPr>
              <w:t xml:space="preserve">” (IGDFIOP). </w:t>
            </w:r>
          </w:p>
          <w:p w14:paraId="4AC6D7D2" w14:textId="77777777" w:rsidR="00345CF4" w:rsidRPr="000A7086" w:rsidRDefault="00345CF4" w:rsidP="00964831">
            <w:pPr>
              <w:pStyle w:val="ListParagraph"/>
              <w:shd w:val="clear" w:color="auto" w:fill="FFFFFF"/>
              <w:spacing w:line="240" w:lineRule="auto"/>
              <w:ind w:left="0"/>
              <w:rPr>
                <w:sz w:val="18"/>
                <w:szCs w:val="18"/>
                <w:lang w:val="en"/>
              </w:rPr>
            </w:pPr>
            <w:r w:rsidRPr="000A7086">
              <w:rPr>
                <w:i/>
                <w:sz w:val="18"/>
                <w:szCs w:val="18"/>
                <w:u w:val="single"/>
                <w:lang w:val="en"/>
              </w:rPr>
              <w:t>Priority Axis 1 Integration of the RDI national ecosystem into the European and international Research Area.</w:t>
            </w:r>
            <w:r w:rsidRPr="000A7086">
              <w:rPr>
                <w:sz w:val="18"/>
                <w:szCs w:val="18"/>
                <w:lang w:val="en"/>
              </w:rPr>
              <w:t xml:space="preserve">  </w:t>
            </w:r>
          </w:p>
          <w:p w14:paraId="495278E4" w14:textId="77777777" w:rsidR="00345CF4" w:rsidRPr="000A7086" w:rsidRDefault="00345CF4" w:rsidP="00964831">
            <w:pPr>
              <w:pStyle w:val="ListParagraph"/>
              <w:shd w:val="clear" w:color="auto" w:fill="FFFFFF"/>
              <w:spacing w:line="240" w:lineRule="auto"/>
              <w:ind w:left="0"/>
              <w:rPr>
                <w:sz w:val="18"/>
                <w:szCs w:val="18"/>
                <w:lang w:val="en"/>
              </w:rPr>
            </w:pPr>
            <w:r w:rsidRPr="000A7086">
              <w:rPr>
                <w:i/>
                <w:iCs/>
                <w:sz w:val="18"/>
                <w:szCs w:val="18"/>
                <w:u w:val="single"/>
                <w:lang w:val="en"/>
              </w:rPr>
              <w:t xml:space="preserve">Priority 2 </w:t>
            </w:r>
            <w:r w:rsidRPr="000A7086">
              <w:rPr>
                <w:sz w:val="18"/>
                <w:szCs w:val="18"/>
                <w:lang w:val="en"/>
              </w:rPr>
              <w:t xml:space="preserve">Creating and promoting an attractive system of innovation in the economy for all types of innovation. </w:t>
            </w:r>
          </w:p>
          <w:p w14:paraId="7BF4A85A" w14:textId="77777777" w:rsidR="00345CF4" w:rsidRPr="000A7086" w:rsidRDefault="00345CF4" w:rsidP="00964831">
            <w:pPr>
              <w:pStyle w:val="ListParagraph"/>
              <w:shd w:val="clear" w:color="auto" w:fill="FFFFFF"/>
              <w:spacing w:line="240" w:lineRule="auto"/>
              <w:ind w:left="0"/>
              <w:rPr>
                <w:sz w:val="18"/>
                <w:szCs w:val="18"/>
                <w:lang w:val="en"/>
              </w:rPr>
            </w:pPr>
            <w:r w:rsidRPr="000A7086">
              <w:rPr>
                <w:i/>
                <w:iCs/>
                <w:sz w:val="18"/>
                <w:szCs w:val="18"/>
                <w:u w:val="single"/>
                <w:lang w:val="en"/>
              </w:rPr>
              <w:t>Priority 5</w:t>
            </w:r>
            <w:r w:rsidRPr="000A7086">
              <w:rPr>
                <w:sz w:val="18"/>
                <w:szCs w:val="18"/>
                <w:lang w:val="en"/>
              </w:rPr>
              <w:t xml:space="preserve"> Developing the RDI capacity of large enterprises.  </w:t>
            </w:r>
          </w:p>
          <w:p w14:paraId="73EB899E" w14:textId="77777777" w:rsidR="00345CF4" w:rsidRPr="000A7086" w:rsidRDefault="00345CF4" w:rsidP="00964831">
            <w:pPr>
              <w:pStyle w:val="ListParagraph"/>
              <w:shd w:val="clear" w:color="auto" w:fill="FFFFFF"/>
              <w:spacing w:line="240" w:lineRule="auto"/>
              <w:ind w:left="0"/>
              <w:rPr>
                <w:sz w:val="18"/>
                <w:szCs w:val="18"/>
                <w:lang w:val="en"/>
              </w:rPr>
            </w:pPr>
            <w:r w:rsidRPr="000A7086">
              <w:rPr>
                <w:i/>
                <w:iCs/>
                <w:sz w:val="18"/>
                <w:szCs w:val="18"/>
                <w:u w:val="single"/>
                <w:lang w:val="en"/>
              </w:rPr>
              <w:t>Priority 6</w:t>
            </w:r>
            <w:r w:rsidRPr="000A7086">
              <w:rPr>
                <w:sz w:val="18"/>
                <w:szCs w:val="18"/>
                <w:lang w:val="en"/>
              </w:rPr>
              <w:t xml:space="preserve"> Development of RDI strategic projects. </w:t>
            </w:r>
          </w:p>
          <w:p w14:paraId="2E0B553B" w14:textId="77777777" w:rsidR="00345CF4" w:rsidRPr="000A7086" w:rsidRDefault="00345CF4" w:rsidP="00964831">
            <w:pPr>
              <w:pStyle w:val="ListParagraph"/>
              <w:shd w:val="clear" w:color="auto" w:fill="FFFFFF"/>
              <w:spacing w:line="240" w:lineRule="auto"/>
              <w:ind w:left="0"/>
              <w:rPr>
                <w:sz w:val="18"/>
                <w:szCs w:val="18"/>
                <w:lang w:val="en"/>
              </w:rPr>
            </w:pPr>
            <w:r w:rsidRPr="000A7086">
              <w:rPr>
                <w:i/>
                <w:iCs/>
                <w:sz w:val="18"/>
                <w:szCs w:val="18"/>
                <w:u w:val="single"/>
                <w:lang w:val="en"/>
              </w:rPr>
              <w:t>Priority 10</w:t>
            </w:r>
            <w:r w:rsidRPr="000A7086">
              <w:rPr>
                <w:sz w:val="18"/>
                <w:szCs w:val="18"/>
                <w:lang w:val="en"/>
              </w:rPr>
              <w:t xml:space="preserve"> Stimulating access to finance for SMEs by means of Financial Instruments.</w:t>
            </w:r>
          </w:p>
          <w:p w14:paraId="03D18264" w14:textId="03FF7654" w:rsidR="00345CF4" w:rsidRPr="000A7086" w:rsidRDefault="00345CF4" w:rsidP="00964831">
            <w:pPr>
              <w:pStyle w:val="ListParagraph"/>
              <w:shd w:val="clear" w:color="auto" w:fill="FFFFFF"/>
              <w:spacing w:line="240" w:lineRule="auto"/>
              <w:ind w:left="0"/>
              <w:rPr>
                <w:sz w:val="18"/>
                <w:szCs w:val="18"/>
                <w:lang w:val="en-US"/>
              </w:rPr>
            </w:pPr>
            <w:r w:rsidRPr="000A7086">
              <w:rPr>
                <w:sz w:val="18"/>
                <w:szCs w:val="18"/>
                <w:lang w:val="en-US"/>
              </w:rPr>
              <w:t xml:space="preserve">RON </w:t>
            </w:r>
            <w:r w:rsidRPr="000A7086">
              <w:rPr>
                <w:color w:val="202124"/>
                <w:sz w:val="18"/>
                <w:szCs w:val="18"/>
                <w:lang w:val="en"/>
              </w:rPr>
              <w:t>945</w:t>
            </w:r>
            <w:r w:rsidR="0042633B" w:rsidRPr="000A7086">
              <w:rPr>
                <w:color w:val="202124"/>
                <w:sz w:val="18"/>
                <w:szCs w:val="18"/>
                <w:lang w:val="en"/>
              </w:rPr>
              <w:t>,</w:t>
            </w:r>
            <w:r w:rsidRPr="000A7086">
              <w:rPr>
                <w:color w:val="202124"/>
                <w:sz w:val="18"/>
                <w:szCs w:val="18"/>
                <w:lang w:val="en"/>
              </w:rPr>
              <w:t>000</w:t>
            </w:r>
            <w:r w:rsidR="0042633B" w:rsidRPr="000A7086">
              <w:rPr>
                <w:color w:val="202124"/>
                <w:sz w:val="18"/>
                <w:szCs w:val="18"/>
                <w:lang w:val="en"/>
              </w:rPr>
              <w:t>,</w:t>
            </w:r>
            <w:r w:rsidRPr="000A7086">
              <w:rPr>
                <w:color w:val="202124"/>
                <w:sz w:val="18"/>
                <w:szCs w:val="18"/>
                <w:lang w:val="en"/>
              </w:rPr>
              <w:t>000</w:t>
            </w:r>
          </w:p>
        </w:tc>
      </w:tr>
      <w:tr w:rsidR="00345CF4" w:rsidRPr="003516DC" w14:paraId="6FE2145A" w14:textId="77777777" w:rsidTr="00964831">
        <w:trPr>
          <w:trHeight w:val="1807"/>
        </w:trPr>
        <w:tc>
          <w:tcPr>
            <w:tcW w:w="1593" w:type="pct"/>
            <w:vMerge w:val="restart"/>
            <w:shd w:val="clear" w:color="auto" w:fill="auto"/>
            <w:tcMar>
              <w:top w:w="100" w:type="dxa"/>
              <w:left w:w="100" w:type="dxa"/>
              <w:bottom w:w="100" w:type="dxa"/>
              <w:right w:w="100" w:type="dxa"/>
            </w:tcMar>
          </w:tcPr>
          <w:p w14:paraId="3C486304" w14:textId="77777777" w:rsidR="00345CF4" w:rsidRPr="000A7086" w:rsidRDefault="00345CF4" w:rsidP="00964831">
            <w:pPr>
              <w:rPr>
                <w:rFonts w:ascii="Arial" w:hAnsi="Arial" w:cs="Arial"/>
                <w:sz w:val="18"/>
                <w:szCs w:val="18"/>
              </w:rPr>
            </w:pPr>
            <w:r w:rsidRPr="003978DE">
              <w:rPr>
                <w:rFonts w:ascii="Arial" w:hAnsi="Arial" w:cs="Arial"/>
                <w:sz w:val="18"/>
                <w:szCs w:val="18"/>
              </w:rPr>
              <w:lastRenderedPageBreak/>
              <w:t xml:space="preserve">Type 3: Entrepreneurship </w:t>
            </w:r>
            <w:r w:rsidRPr="000A7086">
              <w:rPr>
                <w:rFonts w:ascii="Arial" w:hAnsi="Arial" w:cs="Arial"/>
                <w:sz w:val="18"/>
                <w:szCs w:val="18"/>
              </w:rPr>
              <w:t>development, increasing competitiveness and economic diversification, research, innovation and digitisation:</w:t>
            </w:r>
          </w:p>
          <w:p w14:paraId="400B5BFB" w14:textId="77777777" w:rsidR="00345CF4" w:rsidRPr="000A7086" w:rsidRDefault="00345CF4" w:rsidP="00964831">
            <w:pPr>
              <w:rPr>
                <w:rFonts w:ascii="Arial" w:hAnsi="Arial" w:cs="Arial"/>
                <w:sz w:val="18"/>
                <w:szCs w:val="18"/>
                <w:highlight w:val="white"/>
              </w:rPr>
            </w:pPr>
          </w:p>
          <w:p w14:paraId="0ED4899F" w14:textId="6C8EEEC4" w:rsidR="00345CF4" w:rsidRPr="000A7086" w:rsidRDefault="00345CF4" w:rsidP="00964831">
            <w:pPr>
              <w:rPr>
                <w:rFonts w:ascii="Arial" w:hAnsi="Arial" w:cs="Arial"/>
                <w:sz w:val="18"/>
                <w:szCs w:val="18"/>
              </w:rPr>
            </w:pPr>
            <w:r w:rsidRPr="000A7086">
              <w:rPr>
                <w:rFonts w:ascii="Arial" w:hAnsi="Arial" w:cs="Arial"/>
                <w:sz w:val="18"/>
                <w:szCs w:val="18"/>
                <w:highlight w:val="white"/>
              </w:rPr>
              <w:t>Productive investments in local micro/individual companies supporting growth and jobs creation</w:t>
            </w:r>
            <w:r w:rsidRPr="000A7086">
              <w:rPr>
                <w:rFonts w:ascii="Arial" w:hAnsi="Arial" w:cs="Arial"/>
                <w:sz w:val="18"/>
                <w:szCs w:val="18"/>
              </w:rPr>
              <w:t xml:space="preserve"> through financial instruments (Pilon II </w:t>
            </w:r>
            <w:r w:rsidR="00197D5A" w:rsidRPr="000A7086">
              <w:rPr>
                <w:rFonts w:ascii="Arial" w:hAnsi="Arial" w:cs="Arial"/>
                <w:sz w:val="18"/>
                <w:szCs w:val="18"/>
              </w:rPr>
              <w:t>InvestEU</w:t>
            </w:r>
            <w:r w:rsidRPr="000A7086">
              <w:rPr>
                <w:rFonts w:ascii="Arial" w:hAnsi="Arial" w:cs="Arial"/>
                <w:sz w:val="18"/>
                <w:szCs w:val="18"/>
              </w:rPr>
              <w:t>).</w:t>
            </w:r>
          </w:p>
          <w:p w14:paraId="0AB05FA6" w14:textId="77777777" w:rsidR="00345CF4" w:rsidRPr="000A7086" w:rsidRDefault="00345CF4" w:rsidP="00964831">
            <w:pPr>
              <w:rPr>
                <w:rFonts w:ascii="Arial" w:hAnsi="Arial" w:cs="Arial"/>
                <w:sz w:val="18"/>
                <w:szCs w:val="18"/>
                <w:highlight w:val="white"/>
              </w:rPr>
            </w:pPr>
          </w:p>
          <w:p w14:paraId="2B521057" w14:textId="77777777" w:rsidR="00345CF4" w:rsidRPr="000A7086" w:rsidRDefault="00345CF4" w:rsidP="00964831">
            <w:pPr>
              <w:rPr>
                <w:rFonts w:ascii="Arial" w:hAnsi="Arial" w:cs="Arial"/>
                <w:sz w:val="18"/>
                <w:szCs w:val="18"/>
                <w:highlight w:val="white"/>
              </w:rPr>
            </w:pPr>
            <w:r w:rsidRPr="000A7086">
              <w:rPr>
                <w:rFonts w:ascii="Arial" w:hAnsi="Arial" w:cs="Arial"/>
                <w:sz w:val="18"/>
                <w:szCs w:val="18"/>
                <w:highlight w:val="white"/>
              </w:rPr>
              <w:t xml:space="preserve">Productive investments in SMEs (especially the scaling of medium-sized companies on a growth trend), leading to economic diversification and jobs creation through financial Instruments </w:t>
            </w:r>
          </w:p>
          <w:p w14:paraId="06499374" w14:textId="77777777" w:rsidR="00345CF4" w:rsidRPr="000A7086" w:rsidRDefault="00345CF4" w:rsidP="00964831">
            <w:pPr>
              <w:rPr>
                <w:rFonts w:ascii="Arial" w:hAnsi="Arial" w:cs="Arial"/>
                <w:sz w:val="18"/>
                <w:szCs w:val="18"/>
                <w:highlight w:val="white"/>
              </w:rPr>
            </w:pPr>
            <w:r w:rsidRPr="000A7086">
              <w:rPr>
                <w:rFonts w:ascii="Arial" w:hAnsi="Arial" w:cs="Arial"/>
                <w:sz w:val="18"/>
                <w:szCs w:val="18"/>
                <w:highlight w:val="white"/>
              </w:rPr>
              <w:t>Productive investments in medium-sized and large local enterprises from the sectors of manufacturing, food processing, garments, and wood processing (furniture production)</w:t>
            </w:r>
          </w:p>
          <w:p w14:paraId="4FAA854F" w14:textId="77777777" w:rsidR="00345CF4" w:rsidRPr="000A7086" w:rsidRDefault="00345CF4" w:rsidP="00964831">
            <w:pPr>
              <w:shd w:val="clear" w:color="auto" w:fill="FFFFFF"/>
              <w:rPr>
                <w:rFonts w:ascii="Arial" w:hAnsi="Arial" w:cs="Arial"/>
                <w:sz w:val="18"/>
                <w:szCs w:val="18"/>
                <w:highlight w:val="white"/>
              </w:rPr>
            </w:pPr>
          </w:p>
          <w:p w14:paraId="5BC8FC11" w14:textId="77777777" w:rsidR="00345CF4" w:rsidRPr="003978DE" w:rsidRDefault="00345CF4" w:rsidP="00964831">
            <w:pPr>
              <w:shd w:val="clear" w:color="auto" w:fill="FFFFFF"/>
              <w:jc w:val="both"/>
              <w:rPr>
                <w:rFonts w:ascii="Arial" w:hAnsi="Arial" w:cs="Arial"/>
                <w:sz w:val="18"/>
                <w:szCs w:val="18"/>
              </w:rPr>
            </w:pPr>
            <w:r w:rsidRPr="000A7086">
              <w:rPr>
                <w:rFonts w:ascii="Arial" w:hAnsi="Arial" w:cs="Arial"/>
                <w:sz w:val="18"/>
                <w:szCs w:val="18"/>
                <w:highlight w:val="white"/>
              </w:rPr>
              <w:t>Integrated management of the touristic destination at micro-region level, eg. Jiu Valley, Hunedoara and Tinutul Padurenilor,</w:t>
            </w:r>
          </w:p>
        </w:tc>
        <w:tc>
          <w:tcPr>
            <w:tcW w:w="3407" w:type="pct"/>
            <w:shd w:val="clear" w:color="auto" w:fill="auto"/>
            <w:tcMar>
              <w:top w:w="0" w:type="dxa"/>
              <w:left w:w="100" w:type="dxa"/>
              <w:bottom w:w="0" w:type="dxa"/>
              <w:right w:w="100" w:type="dxa"/>
            </w:tcMar>
          </w:tcPr>
          <w:p w14:paraId="487B063F" w14:textId="16BA098D" w:rsidR="00345CF4" w:rsidRPr="000A7086" w:rsidRDefault="00345CF4" w:rsidP="00964831">
            <w:pPr>
              <w:shd w:val="clear" w:color="auto" w:fill="FFFFFF"/>
              <w:rPr>
                <w:rFonts w:ascii="Arial" w:eastAsia="Times New Roman" w:hAnsi="Arial" w:cs="Arial"/>
                <w:color w:val="202124"/>
                <w:sz w:val="18"/>
                <w:szCs w:val="18"/>
                <w:lang w:val="en-US"/>
              </w:rPr>
            </w:pPr>
            <w:r w:rsidRPr="000A7086">
              <w:rPr>
                <w:rFonts w:ascii="Arial" w:hAnsi="Arial" w:cs="Arial"/>
                <w:i/>
                <w:sz w:val="18"/>
                <w:szCs w:val="18"/>
                <w:highlight w:val="white"/>
              </w:rPr>
              <w:t>“Regional Operational Program</w:t>
            </w:r>
            <w:r w:rsidR="00BC061B">
              <w:rPr>
                <w:rFonts w:ascii="Arial" w:hAnsi="Arial" w:cs="Arial"/>
                <w:i/>
                <w:sz w:val="18"/>
                <w:szCs w:val="18"/>
                <w:highlight w:val="white"/>
              </w:rPr>
              <w:t>me</w:t>
            </w:r>
            <w:r w:rsidRPr="000A7086">
              <w:rPr>
                <w:rFonts w:ascii="Arial" w:hAnsi="Arial" w:cs="Arial"/>
                <w:i/>
                <w:sz w:val="18"/>
                <w:szCs w:val="18"/>
                <w:highlight w:val="white"/>
              </w:rPr>
              <w:t xml:space="preserve"> Ves</w:t>
            </w:r>
            <w:r w:rsidR="00BC061B">
              <w:rPr>
                <w:rFonts w:ascii="Arial" w:hAnsi="Arial" w:cs="Arial"/>
                <w:i/>
                <w:sz w:val="18"/>
                <w:szCs w:val="18"/>
                <w:highlight w:val="white"/>
              </w:rPr>
              <w:t>t</w:t>
            </w:r>
            <w:r w:rsidRPr="000A7086">
              <w:rPr>
                <w:rFonts w:ascii="Arial" w:hAnsi="Arial" w:cs="Arial"/>
                <w:i/>
                <w:sz w:val="18"/>
                <w:szCs w:val="18"/>
                <w:highlight w:val="white"/>
              </w:rPr>
              <w:t>” (ROP-V)</w:t>
            </w:r>
          </w:p>
          <w:p w14:paraId="32AB7235" w14:textId="77777777" w:rsidR="00345CF4" w:rsidRPr="000A7086" w:rsidRDefault="00345CF4" w:rsidP="00964831">
            <w:pPr>
              <w:shd w:val="clear" w:color="auto" w:fill="FFFFFF"/>
              <w:rPr>
                <w:rFonts w:ascii="Arial" w:hAnsi="Arial" w:cs="Arial"/>
                <w:i/>
                <w:iCs/>
                <w:color w:val="000000"/>
                <w:sz w:val="18"/>
                <w:szCs w:val="18"/>
              </w:rPr>
            </w:pPr>
            <w:r w:rsidRPr="000A7086">
              <w:rPr>
                <w:rFonts w:ascii="Arial" w:hAnsi="Arial" w:cs="Arial"/>
                <w:i/>
                <w:sz w:val="18"/>
                <w:szCs w:val="18"/>
                <w:u w:val="single"/>
              </w:rPr>
              <w:t xml:space="preserve">Priority Axis 1 (PO1) </w:t>
            </w:r>
            <w:r w:rsidRPr="000A7086">
              <w:rPr>
                <w:rFonts w:ascii="Arial" w:hAnsi="Arial" w:cs="Arial"/>
                <w:i/>
                <w:iCs/>
                <w:color w:val="000000"/>
                <w:sz w:val="18"/>
                <w:szCs w:val="18"/>
                <w:u w:val="single"/>
              </w:rPr>
              <w:t>Competitiveness through innovation and dynamic enterprises</w:t>
            </w:r>
            <w:r w:rsidRPr="000A7086">
              <w:rPr>
                <w:rFonts w:ascii="Arial" w:hAnsi="Arial" w:cs="Arial"/>
                <w:i/>
                <w:iCs/>
                <w:color w:val="000000"/>
                <w:sz w:val="18"/>
                <w:szCs w:val="18"/>
              </w:rPr>
              <w:t xml:space="preserve">, </w:t>
            </w:r>
          </w:p>
          <w:p w14:paraId="7649347E" w14:textId="77777777" w:rsidR="00345CF4" w:rsidRPr="000A7086" w:rsidRDefault="00345CF4" w:rsidP="00964831">
            <w:pPr>
              <w:shd w:val="clear" w:color="auto" w:fill="FFFFFF"/>
              <w:rPr>
                <w:rFonts w:ascii="Arial" w:hAnsi="Arial" w:cs="Arial"/>
                <w:color w:val="000000"/>
                <w:spacing w:val="1"/>
                <w:sz w:val="18"/>
                <w:szCs w:val="18"/>
              </w:rPr>
            </w:pPr>
            <w:r w:rsidRPr="000A7086">
              <w:rPr>
                <w:rFonts w:ascii="Arial" w:hAnsi="Arial" w:cs="Arial"/>
                <w:color w:val="000000"/>
                <w:spacing w:val="1"/>
                <w:sz w:val="18"/>
                <w:szCs w:val="18"/>
              </w:rPr>
              <w:t xml:space="preserve">OP 1/ a(iii) Improving sustainable growth and Competitiveness SMEs and creating jobs work in SMEs, </w:t>
            </w:r>
          </w:p>
          <w:p w14:paraId="716FAC6C" w14:textId="7A51DF4E" w:rsidR="00345CF4" w:rsidRPr="000A7086" w:rsidRDefault="00345CF4" w:rsidP="00964831">
            <w:pPr>
              <w:shd w:val="clear" w:color="auto" w:fill="FFFFFF"/>
              <w:rPr>
                <w:rFonts w:ascii="Arial" w:hAnsi="Arial" w:cs="Arial"/>
                <w:sz w:val="18"/>
                <w:szCs w:val="18"/>
              </w:rPr>
            </w:pPr>
            <w:r w:rsidRPr="000A7086">
              <w:rPr>
                <w:rFonts w:ascii="Arial" w:hAnsi="Arial" w:cs="Arial"/>
                <w:color w:val="000000"/>
                <w:spacing w:val="1"/>
                <w:sz w:val="18"/>
                <w:szCs w:val="18"/>
              </w:rPr>
              <w:t>including through productive investments, EUR</w:t>
            </w:r>
            <w:r w:rsidRPr="000A7086">
              <w:rPr>
                <w:rFonts w:ascii="Arial" w:hAnsi="Arial" w:cs="Arial"/>
                <w:sz w:val="18"/>
                <w:szCs w:val="18"/>
              </w:rPr>
              <w:t xml:space="preserve"> 122</w:t>
            </w:r>
            <w:r w:rsidR="0042633B" w:rsidRPr="000A7086">
              <w:rPr>
                <w:rFonts w:ascii="Arial" w:hAnsi="Arial" w:cs="Arial"/>
                <w:sz w:val="18"/>
                <w:szCs w:val="18"/>
              </w:rPr>
              <w:t>,</w:t>
            </w:r>
            <w:r w:rsidRPr="000A7086">
              <w:rPr>
                <w:rFonts w:ascii="Arial" w:hAnsi="Arial" w:cs="Arial"/>
                <w:sz w:val="18"/>
                <w:szCs w:val="18"/>
              </w:rPr>
              <w:t>451</w:t>
            </w:r>
            <w:r w:rsidR="0042633B" w:rsidRPr="000A7086">
              <w:rPr>
                <w:rFonts w:ascii="Arial" w:hAnsi="Arial" w:cs="Arial"/>
                <w:sz w:val="18"/>
                <w:szCs w:val="18"/>
              </w:rPr>
              <w:t>,</w:t>
            </w:r>
            <w:r w:rsidRPr="000A7086">
              <w:rPr>
                <w:rFonts w:ascii="Arial" w:hAnsi="Arial" w:cs="Arial"/>
                <w:sz w:val="18"/>
                <w:szCs w:val="18"/>
              </w:rPr>
              <w:t>000 source ERDF</w:t>
            </w:r>
          </w:p>
          <w:p w14:paraId="6436A5BE" w14:textId="2A10E4F7" w:rsidR="00345CF4" w:rsidRPr="000A7086" w:rsidRDefault="00345CF4" w:rsidP="00964831">
            <w:pPr>
              <w:shd w:val="clear" w:color="auto" w:fill="FFFFFF"/>
              <w:rPr>
                <w:rFonts w:ascii="Arial" w:eastAsia="Calibri" w:hAnsi="Arial" w:cs="Arial"/>
                <w:sz w:val="18"/>
                <w:szCs w:val="18"/>
              </w:rPr>
            </w:pPr>
            <w:r w:rsidRPr="000A7086">
              <w:rPr>
                <w:rFonts w:ascii="Arial" w:eastAsia="Calibri" w:hAnsi="Arial" w:cs="Arial"/>
                <w:sz w:val="18"/>
                <w:szCs w:val="18"/>
              </w:rPr>
              <w:t>OP 1/ a(iv) Development Powers for speciali</w:t>
            </w:r>
            <w:r w:rsidR="004E7B64">
              <w:rPr>
                <w:rFonts w:ascii="Arial" w:eastAsia="Calibri" w:hAnsi="Arial" w:cs="Arial"/>
                <w:sz w:val="18"/>
                <w:szCs w:val="18"/>
              </w:rPr>
              <w:t>sation</w:t>
            </w:r>
            <w:r w:rsidRPr="000A7086">
              <w:rPr>
                <w:rFonts w:ascii="Arial" w:eastAsia="Calibri" w:hAnsi="Arial" w:cs="Arial"/>
                <w:sz w:val="18"/>
                <w:szCs w:val="18"/>
              </w:rPr>
              <w:t xml:space="preserve"> smart, transition industrial and entrepreneurship, EUR 8,500,000</w:t>
            </w:r>
          </w:p>
          <w:p w14:paraId="1F814344" w14:textId="77777777" w:rsidR="00345CF4" w:rsidRPr="000A7086" w:rsidRDefault="00345CF4" w:rsidP="00964831">
            <w:pPr>
              <w:shd w:val="clear" w:color="auto" w:fill="FFFFFF"/>
              <w:rPr>
                <w:rFonts w:ascii="Arial" w:eastAsia="Calibri" w:hAnsi="Arial" w:cs="Arial"/>
                <w:i/>
                <w:sz w:val="18"/>
                <w:szCs w:val="18"/>
                <w:u w:val="single"/>
              </w:rPr>
            </w:pPr>
            <w:r w:rsidRPr="000A7086">
              <w:rPr>
                <w:rFonts w:ascii="Arial" w:eastAsia="Calibri" w:hAnsi="Arial" w:cs="Arial"/>
                <w:i/>
                <w:sz w:val="18"/>
                <w:szCs w:val="18"/>
                <w:u w:val="single"/>
              </w:rPr>
              <w:t xml:space="preserve">Priority 7 An attractive region </w:t>
            </w:r>
          </w:p>
          <w:p w14:paraId="3CFE47FE" w14:textId="131D7311" w:rsidR="00345CF4" w:rsidRPr="000A7086" w:rsidRDefault="00345CF4" w:rsidP="00964831">
            <w:pPr>
              <w:shd w:val="clear" w:color="auto" w:fill="FFFFFF"/>
              <w:rPr>
                <w:rFonts w:ascii="Arial" w:eastAsia="Calibri" w:hAnsi="Arial" w:cs="Arial"/>
                <w:sz w:val="18"/>
                <w:szCs w:val="18"/>
              </w:rPr>
            </w:pPr>
            <w:r w:rsidRPr="000A7086">
              <w:rPr>
                <w:rFonts w:ascii="Arial" w:eastAsia="Calibri" w:hAnsi="Arial" w:cs="Arial"/>
                <w:sz w:val="18"/>
                <w:szCs w:val="18"/>
              </w:rPr>
              <w:t xml:space="preserve">-OP 5/ e (i) Encouraging social development, economic and economic integrated environment and inclusive, culture, heritage natural tourism sustainable and sustainable security in Urban areas </w:t>
            </w:r>
          </w:p>
          <w:p w14:paraId="021CAF46" w14:textId="7B88F6D7" w:rsidR="00345CF4" w:rsidRPr="000A7086" w:rsidRDefault="00345CF4" w:rsidP="00964831">
            <w:pPr>
              <w:shd w:val="clear" w:color="auto" w:fill="FFFFFF"/>
              <w:rPr>
                <w:rFonts w:ascii="Arial" w:hAnsi="Arial" w:cs="Arial"/>
                <w:sz w:val="18"/>
                <w:szCs w:val="18"/>
              </w:rPr>
            </w:pPr>
            <w:r w:rsidRPr="000A7086">
              <w:rPr>
                <w:rFonts w:ascii="Arial" w:eastAsia="Calibri" w:hAnsi="Arial" w:cs="Arial"/>
                <w:sz w:val="18"/>
                <w:szCs w:val="18"/>
              </w:rPr>
              <w:t xml:space="preserve"> EUR</w:t>
            </w:r>
            <w:r w:rsidRPr="000A7086">
              <w:rPr>
                <w:rFonts w:ascii="Arial" w:hAnsi="Arial" w:cs="Arial"/>
                <w:sz w:val="18"/>
                <w:szCs w:val="18"/>
              </w:rPr>
              <w:t xml:space="preserve"> 192</w:t>
            </w:r>
            <w:r w:rsidR="0042633B" w:rsidRPr="000A7086">
              <w:rPr>
                <w:rFonts w:ascii="Arial" w:hAnsi="Arial" w:cs="Arial"/>
                <w:sz w:val="18"/>
                <w:szCs w:val="18"/>
              </w:rPr>
              <w:t>,</w:t>
            </w:r>
            <w:r w:rsidRPr="000A7086">
              <w:rPr>
                <w:rFonts w:ascii="Arial" w:hAnsi="Arial" w:cs="Arial"/>
                <w:sz w:val="18"/>
                <w:szCs w:val="18"/>
              </w:rPr>
              <w:t>245</w:t>
            </w:r>
            <w:r w:rsidR="0042633B" w:rsidRPr="000A7086">
              <w:rPr>
                <w:rFonts w:ascii="Arial" w:hAnsi="Arial" w:cs="Arial"/>
                <w:sz w:val="18"/>
                <w:szCs w:val="18"/>
              </w:rPr>
              <w:t>,</w:t>
            </w:r>
            <w:r w:rsidRPr="000A7086">
              <w:rPr>
                <w:rFonts w:ascii="Arial" w:hAnsi="Arial" w:cs="Arial"/>
                <w:sz w:val="18"/>
                <w:szCs w:val="18"/>
              </w:rPr>
              <w:t>450 source ERDF</w:t>
            </w:r>
          </w:p>
          <w:p w14:paraId="217CB54C" w14:textId="77777777" w:rsidR="00345CF4" w:rsidRPr="000A7086" w:rsidRDefault="00345CF4" w:rsidP="00964831">
            <w:pPr>
              <w:shd w:val="clear" w:color="auto" w:fill="FFFFFF"/>
              <w:rPr>
                <w:rFonts w:ascii="Arial" w:eastAsia="Calibri" w:hAnsi="Arial" w:cs="Arial"/>
                <w:sz w:val="18"/>
                <w:szCs w:val="18"/>
              </w:rPr>
            </w:pPr>
            <w:r w:rsidRPr="000A7086">
              <w:rPr>
                <w:rFonts w:ascii="Arial" w:eastAsia="Calibri" w:hAnsi="Arial" w:cs="Arial"/>
                <w:sz w:val="18"/>
                <w:szCs w:val="18"/>
              </w:rPr>
              <w:t xml:space="preserve">-OP 5/e (ii) Promoting local development, culture, culture, Heritage natural tourism security integrated sustainable, social, economic environment, in other areas than Urban areas </w:t>
            </w:r>
          </w:p>
          <w:p w14:paraId="4843E62C" w14:textId="561FD07A" w:rsidR="00345CF4" w:rsidRPr="000A7086" w:rsidRDefault="00345CF4" w:rsidP="00964831">
            <w:pPr>
              <w:pStyle w:val="ListParagraph"/>
              <w:shd w:val="clear" w:color="auto" w:fill="FFFFFF"/>
              <w:spacing w:line="240" w:lineRule="auto"/>
              <w:ind w:left="0"/>
              <w:rPr>
                <w:rFonts w:eastAsia="Times New Roman"/>
                <w:i/>
                <w:sz w:val="18"/>
                <w:szCs w:val="18"/>
                <w:lang w:val="en"/>
              </w:rPr>
            </w:pPr>
            <w:r w:rsidRPr="000A7086">
              <w:rPr>
                <w:rFonts w:eastAsia="Calibri"/>
                <w:sz w:val="18"/>
                <w:szCs w:val="18"/>
              </w:rPr>
              <w:t xml:space="preserve">EUR </w:t>
            </w:r>
            <w:r w:rsidRPr="000A7086">
              <w:rPr>
                <w:sz w:val="18"/>
                <w:szCs w:val="18"/>
              </w:rPr>
              <w:t>21</w:t>
            </w:r>
            <w:r w:rsidR="0042633B" w:rsidRPr="000A7086">
              <w:rPr>
                <w:sz w:val="18"/>
                <w:szCs w:val="18"/>
              </w:rPr>
              <w:t>,</w:t>
            </w:r>
            <w:r w:rsidRPr="000A7086">
              <w:rPr>
                <w:sz w:val="18"/>
                <w:szCs w:val="18"/>
              </w:rPr>
              <w:t>250</w:t>
            </w:r>
            <w:r w:rsidR="0042633B" w:rsidRPr="000A7086">
              <w:rPr>
                <w:sz w:val="18"/>
                <w:szCs w:val="18"/>
              </w:rPr>
              <w:t>,</w:t>
            </w:r>
            <w:r w:rsidRPr="000A7086">
              <w:rPr>
                <w:sz w:val="18"/>
                <w:szCs w:val="18"/>
              </w:rPr>
              <w:t>000 source ERDF</w:t>
            </w:r>
          </w:p>
        </w:tc>
      </w:tr>
      <w:tr w:rsidR="00345CF4" w:rsidRPr="003516DC" w14:paraId="71487AAB" w14:textId="77777777" w:rsidTr="00964831">
        <w:trPr>
          <w:trHeight w:val="1807"/>
        </w:trPr>
        <w:tc>
          <w:tcPr>
            <w:tcW w:w="1593" w:type="pct"/>
            <w:vMerge/>
            <w:shd w:val="clear" w:color="auto" w:fill="auto"/>
            <w:tcMar>
              <w:top w:w="100" w:type="dxa"/>
              <w:left w:w="100" w:type="dxa"/>
              <w:bottom w:w="100" w:type="dxa"/>
              <w:right w:w="100" w:type="dxa"/>
            </w:tcMar>
          </w:tcPr>
          <w:p w14:paraId="4F33AFE3" w14:textId="77777777" w:rsidR="00345CF4" w:rsidRPr="000A7086" w:rsidRDefault="00345CF4" w:rsidP="00964831">
            <w:pPr>
              <w:rPr>
                <w:rFonts w:ascii="Arial" w:hAnsi="Arial" w:cs="Arial"/>
                <w:sz w:val="18"/>
                <w:szCs w:val="18"/>
              </w:rPr>
            </w:pPr>
          </w:p>
        </w:tc>
        <w:tc>
          <w:tcPr>
            <w:tcW w:w="3407" w:type="pct"/>
            <w:shd w:val="clear" w:color="auto" w:fill="auto"/>
            <w:tcMar>
              <w:top w:w="0" w:type="dxa"/>
              <w:left w:w="100" w:type="dxa"/>
              <w:bottom w:w="0" w:type="dxa"/>
              <w:right w:w="100" w:type="dxa"/>
            </w:tcMar>
          </w:tcPr>
          <w:p w14:paraId="0CEF8696" w14:textId="0F533845"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i/>
                <w:sz w:val="18"/>
                <w:szCs w:val="18"/>
                <w:highlight w:val="white"/>
              </w:rPr>
            </w:pPr>
            <w:r w:rsidRPr="000A7086">
              <w:rPr>
                <w:rFonts w:ascii="Arial" w:hAnsi="Arial" w:cs="Arial"/>
                <w:i/>
                <w:sz w:val="18"/>
                <w:szCs w:val="18"/>
                <w:highlight w:val="white"/>
              </w:rPr>
              <w:t>“</w:t>
            </w:r>
            <w:r w:rsidR="00E357AA">
              <w:rPr>
                <w:rFonts w:ascii="Arial" w:hAnsi="Arial" w:cs="Arial"/>
                <w:i/>
                <w:sz w:val="18"/>
                <w:szCs w:val="18"/>
                <w:highlight w:val="white"/>
              </w:rPr>
              <w:t>National Recovery and Resilience Plan</w:t>
            </w:r>
            <w:r w:rsidRPr="000A7086">
              <w:rPr>
                <w:rFonts w:ascii="Arial" w:hAnsi="Arial" w:cs="Arial"/>
                <w:i/>
                <w:sz w:val="18"/>
                <w:szCs w:val="18"/>
                <w:highlight w:val="white"/>
              </w:rPr>
              <w:t xml:space="preserve"> (</w:t>
            </w:r>
            <w:r w:rsidR="00E357AA">
              <w:rPr>
                <w:rFonts w:ascii="Arial" w:hAnsi="Arial" w:cs="Arial"/>
                <w:i/>
                <w:sz w:val="18"/>
                <w:szCs w:val="18"/>
                <w:highlight w:val="white"/>
              </w:rPr>
              <w:t>RRP</w:t>
            </w:r>
            <w:r w:rsidRPr="000A7086">
              <w:rPr>
                <w:rFonts w:ascii="Arial" w:hAnsi="Arial" w:cs="Arial"/>
                <w:i/>
                <w:sz w:val="18"/>
                <w:szCs w:val="18"/>
                <w:highlight w:val="white"/>
              </w:rPr>
              <w:t>)</w:t>
            </w:r>
          </w:p>
          <w:p w14:paraId="5C0AEA47" w14:textId="7C599CE6"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0A7086">
              <w:rPr>
                <w:rFonts w:ascii="Arial" w:hAnsi="Arial" w:cs="Arial"/>
                <w:i/>
                <w:sz w:val="18"/>
                <w:szCs w:val="18"/>
                <w:u w:val="single"/>
              </w:rPr>
              <w:t>Pillar II Digital transformation</w:t>
            </w:r>
            <w:r w:rsidRPr="000A7086">
              <w:rPr>
                <w:rFonts w:ascii="Arial" w:hAnsi="Arial" w:cs="Arial"/>
                <w:i/>
                <w:sz w:val="18"/>
                <w:szCs w:val="18"/>
              </w:rPr>
              <w:t>,</w:t>
            </w:r>
            <w:r w:rsidRPr="000A7086">
              <w:rPr>
                <w:rFonts w:ascii="Arial" w:hAnsi="Arial" w:cs="Arial"/>
                <w:sz w:val="18"/>
                <w:szCs w:val="18"/>
              </w:rPr>
              <w:t xml:space="preserve"> Component 1 II.1 Government cloud and interconnected digital systems in public administration, signature and electronic identity, promotion of high value-added investments in IC</w:t>
            </w:r>
            <w:r w:rsidRPr="000A7086">
              <w:rPr>
                <w:rFonts w:ascii="Arial" w:hAnsi="Arial" w:cs="Arial"/>
                <w:sz w:val="18"/>
                <w:szCs w:val="18"/>
                <w:lang w:val="en-US"/>
              </w:rPr>
              <w:t xml:space="preserve">, EUR </w:t>
            </w:r>
            <w:r w:rsidRPr="000A7086">
              <w:rPr>
                <w:rFonts w:ascii="Arial" w:hAnsi="Arial" w:cs="Arial"/>
                <w:sz w:val="18"/>
                <w:szCs w:val="18"/>
              </w:rPr>
              <w:t>2.112</w:t>
            </w:r>
            <w:r w:rsidR="00197D5A" w:rsidRPr="000A7086">
              <w:rPr>
                <w:rFonts w:ascii="Arial" w:hAnsi="Arial" w:cs="Arial"/>
                <w:sz w:val="18"/>
                <w:szCs w:val="18"/>
              </w:rPr>
              <w:t xml:space="preserve"> m</w:t>
            </w:r>
          </w:p>
          <w:p w14:paraId="29CA9211" w14:textId="40B7C916"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0A7086">
              <w:rPr>
                <w:rFonts w:ascii="Arial" w:hAnsi="Arial" w:cs="Arial"/>
                <w:i/>
                <w:sz w:val="18"/>
                <w:szCs w:val="18"/>
                <w:u w:val="single"/>
              </w:rPr>
              <w:t>Pillar III Smart, sustainable and inclusive growth</w:t>
            </w:r>
            <w:r w:rsidRPr="000A7086">
              <w:rPr>
                <w:rFonts w:ascii="Arial" w:hAnsi="Arial" w:cs="Arial"/>
                <w:sz w:val="18"/>
                <w:szCs w:val="18"/>
              </w:rPr>
              <w:t>, Component 3 III.3 Investments and financial instruments for the private sector and the reform of state-owned companies.</w:t>
            </w:r>
            <w:r w:rsidRPr="000A7086">
              <w:rPr>
                <w:rFonts w:ascii="Arial" w:hAnsi="Arial" w:cs="Arial"/>
                <w:sz w:val="18"/>
                <w:szCs w:val="18"/>
                <w:lang w:val="en-US"/>
              </w:rPr>
              <w:t xml:space="preserve"> EUR </w:t>
            </w:r>
            <w:r w:rsidRPr="000A7086">
              <w:rPr>
                <w:rFonts w:ascii="Arial" w:hAnsi="Arial" w:cs="Arial"/>
                <w:sz w:val="18"/>
                <w:szCs w:val="18"/>
              </w:rPr>
              <w:t>2.275</w:t>
            </w:r>
            <w:r w:rsidR="00197D5A" w:rsidRPr="000A7086">
              <w:rPr>
                <w:rFonts w:ascii="Arial" w:hAnsi="Arial" w:cs="Arial"/>
                <w:sz w:val="18"/>
                <w:szCs w:val="18"/>
              </w:rPr>
              <w:t xml:space="preserve"> m</w:t>
            </w:r>
          </w:p>
          <w:p w14:paraId="5B525BB5" w14:textId="77777777"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p>
          <w:p w14:paraId="01951E2D" w14:textId="7E40643C"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0A7086">
              <w:rPr>
                <w:rFonts w:ascii="Arial" w:hAnsi="Arial" w:cs="Arial"/>
                <w:sz w:val="18"/>
                <w:szCs w:val="18"/>
              </w:rPr>
              <w:t xml:space="preserve">In the field of competitiveness and productivity of SMEs, the supported interventions will be complementary to </w:t>
            </w:r>
            <w:r w:rsidR="00197D5A" w:rsidRPr="000A7086">
              <w:rPr>
                <w:rFonts w:ascii="Arial" w:hAnsi="Arial" w:cs="Arial"/>
                <w:sz w:val="18"/>
                <w:szCs w:val="18"/>
              </w:rPr>
              <w:t>OP Smart Growth, Digiti</w:t>
            </w:r>
            <w:r w:rsidR="004E7B64">
              <w:rPr>
                <w:rFonts w:ascii="Arial" w:hAnsi="Arial" w:cs="Arial"/>
                <w:sz w:val="18"/>
                <w:szCs w:val="18"/>
              </w:rPr>
              <w:t>sation</w:t>
            </w:r>
            <w:r w:rsidR="00197D5A" w:rsidRPr="000A7086">
              <w:rPr>
                <w:rFonts w:ascii="Arial" w:hAnsi="Arial" w:cs="Arial"/>
                <w:sz w:val="18"/>
                <w:szCs w:val="18"/>
              </w:rPr>
              <w:t xml:space="preserve"> and Financial Instruments (OPSGDFI)</w:t>
            </w:r>
            <w:r w:rsidRPr="000A7086">
              <w:rPr>
                <w:rFonts w:ascii="Arial" w:hAnsi="Arial" w:cs="Arial"/>
                <w:sz w:val="18"/>
                <w:szCs w:val="18"/>
              </w:rPr>
              <w:t xml:space="preserve">, </w:t>
            </w:r>
            <w:r w:rsidR="00197D5A" w:rsidRPr="000A7086">
              <w:rPr>
                <w:rFonts w:ascii="Arial" w:hAnsi="Arial" w:cs="Arial"/>
                <w:sz w:val="18"/>
                <w:szCs w:val="18"/>
              </w:rPr>
              <w:t>OP Education and Employment (OPEE)</w:t>
            </w:r>
            <w:r w:rsidRPr="000A7086">
              <w:rPr>
                <w:rFonts w:ascii="Arial" w:hAnsi="Arial" w:cs="Arial"/>
                <w:sz w:val="18"/>
                <w:szCs w:val="18"/>
              </w:rPr>
              <w:t xml:space="preserve">, </w:t>
            </w:r>
            <w:r w:rsidR="00197D5A" w:rsidRPr="000A7086">
              <w:rPr>
                <w:rFonts w:ascii="Arial" w:hAnsi="Arial" w:cs="Arial"/>
                <w:sz w:val="18"/>
                <w:szCs w:val="18"/>
              </w:rPr>
              <w:t>National Support Programme (NSP)</w:t>
            </w:r>
          </w:p>
          <w:p w14:paraId="50B35BA5" w14:textId="7AADCC80"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0A7086">
              <w:rPr>
                <w:rFonts w:ascii="Arial" w:hAnsi="Arial" w:cs="Arial"/>
                <w:sz w:val="18"/>
                <w:szCs w:val="18"/>
              </w:rPr>
              <w:t>POCIDIF will provide financial support to enterprises through financial instruments, including in the areas of smart speciali</w:t>
            </w:r>
            <w:r w:rsidR="004E7B64">
              <w:rPr>
                <w:rFonts w:ascii="Arial" w:hAnsi="Arial" w:cs="Arial"/>
                <w:sz w:val="18"/>
                <w:szCs w:val="18"/>
              </w:rPr>
              <w:t>sation</w:t>
            </w:r>
            <w:r w:rsidRPr="000A7086">
              <w:rPr>
                <w:rFonts w:ascii="Arial" w:hAnsi="Arial" w:cs="Arial"/>
                <w:sz w:val="18"/>
                <w:szCs w:val="18"/>
              </w:rPr>
              <w:t xml:space="preserve"> at national level.</w:t>
            </w:r>
          </w:p>
          <w:p w14:paraId="0BCFA4BC" w14:textId="42779F03" w:rsidR="00345CF4" w:rsidRPr="000A7086" w:rsidRDefault="00345CF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0A7086">
              <w:rPr>
                <w:rFonts w:ascii="Arial" w:hAnsi="Arial" w:cs="Arial"/>
                <w:sz w:val="18"/>
                <w:szCs w:val="18"/>
              </w:rPr>
              <w:t>The POEO proposes entrepreneurial support p</w:t>
            </w:r>
            <w:r w:rsidR="00D206E5">
              <w:rPr>
                <w:rFonts w:ascii="Arial" w:hAnsi="Arial" w:cs="Arial"/>
                <w:sz w:val="18"/>
                <w:szCs w:val="18"/>
              </w:rPr>
              <w:t>rogrammes</w:t>
            </w:r>
            <w:r w:rsidRPr="000A7086">
              <w:rPr>
                <w:rFonts w:ascii="Arial" w:hAnsi="Arial" w:cs="Arial"/>
                <w:sz w:val="18"/>
                <w:szCs w:val="18"/>
              </w:rPr>
              <w:t>, including by activating the entrepreneurial potential of people belonging to disadvantaged groups.</w:t>
            </w:r>
          </w:p>
          <w:p w14:paraId="37EF6C6E" w14:textId="2F2D7C93" w:rsidR="00345CF4" w:rsidRPr="000A7086" w:rsidRDefault="00345CF4" w:rsidP="00964831">
            <w:pPr>
              <w:shd w:val="clear" w:color="auto" w:fill="FFFFFF"/>
              <w:rPr>
                <w:rFonts w:ascii="Arial" w:hAnsi="Arial" w:cs="Arial"/>
                <w:sz w:val="18"/>
                <w:szCs w:val="18"/>
              </w:rPr>
            </w:pPr>
            <w:r w:rsidRPr="000A7086">
              <w:rPr>
                <w:rFonts w:ascii="Arial" w:hAnsi="Arial" w:cs="Arial"/>
                <w:sz w:val="18"/>
                <w:szCs w:val="18"/>
              </w:rPr>
              <w:t>PNS will provide support for SMEs in agriculture, food industry, supporting the activities of rural micro-enterprises as well as the development of non-agricultural activities.</w:t>
            </w:r>
          </w:p>
          <w:p w14:paraId="771F9146" w14:textId="77777777" w:rsidR="00345CF4" w:rsidRPr="000A7086" w:rsidRDefault="00345CF4" w:rsidP="00964831">
            <w:pPr>
              <w:shd w:val="clear" w:color="auto" w:fill="FFFFFF"/>
              <w:rPr>
                <w:rFonts w:ascii="Arial" w:hAnsi="Arial" w:cs="Arial"/>
                <w:i/>
                <w:sz w:val="18"/>
                <w:szCs w:val="18"/>
                <w:highlight w:val="white"/>
                <w:u w:val="single"/>
              </w:rPr>
            </w:pPr>
          </w:p>
          <w:p w14:paraId="1115180E" w14:textId="33B0DF50" w:rsidR="00345CF4" w:rsidRPr="000A7086" w:rsidRDefault="00345CF4" w:rsidP="00964831">
            <w:pPr>
              <w:shd w:val="clear" w:color="auto" w:fill="FFFFFF"/>
              <w:rPr>
                <w:rFonts w:ascii="Arial" w:hAnsi="Arial" w:cs="Arial"/>
                <w:i/>
                <w:sz w:val="18"/>
                <w:szCs w:val="18"/>
                <w:highlight w:val="white"/>
              </w:rPr>
            </w:pPr>
            <w:r w:rsidRPr="000A7086">
              <w:rPr>
                <w:rFonts w:ascii="Arial" w:hAnsi="Arial" w:cs="Arial"/>
                <w:i/>
                <w:sz w:val="18"/>
                <w:szCs w:val="18"/>
                <w:highlight w:val="white"/>
                <w:u w:val="single"/>
              </w:rPr>
              <w:t>Horizon 2020</w:t>
            </w:r>
            <w:r w:rsidR="00197D5A" w:rsidRPr="000A7086">
              <w:rPr>
                <w:rFonts w:ascii="Arial" w:hAnsi="Arial" w:cs="Arial"/>
                <w:i/>
                <w:sz w:val="18"/>
                <w:szCs w:val="18"/>
                <w:highlight w:val="white"/>
                <w:u w:val="single"/>
              </w:rPr>
              <w:t xml:space="preserve"> </w:t>
            </w:r>
            <w:r w:rsidRPr="000A7086">
              <w:rPr>
                <w:rFonts w:ascii="Arial" w:hAnsi="Arial" w:cs="Arial"/>
                <w:i/>
                <w:sz w:val="18"/>
                <w:szCs w:val="18"/>
                <w:highlight w:val="white"/>
                <w:u w:val="single"/>
              </w:rPr>
              <w:t>-</w:t>
            </w:r>
            <w:r w:rsidRPr="000A7086">
              <w:rPr>
                <w:rFonts w:ascii="Arial" w:hAnsi="Arial" w:cs="Arial"/>
                <w:i/>
                <w:sz w:val="18"/>
                <w:szCs w:val="18"/>
                <w:highlight w:val="white"/>
              </w:rPr>
              <w:t xml:space="preserve"> Innovation for SMEs - component</w:t>
            </w:r>
          </w:p>
        </w:tc>
      </w:tr>
    </w:tbl>
    <w:p w14:paraId="0384B765" w14:textId="20A96495" w:rsidR="00345CF4" w:rsidRPr="00A87A4B" w:rsidRDefault="00345CF4" w:rsidP="00854A6F">
      <w:pPr>
        <w:widowControl w:val="0"/>
        <w:autoSpaceDE w:val="0"/>
        <w:autoSpaceDN w:val="0"/>
        <w:adjustRightInd w:val="0"/>
        <w:spacing w:before="120" w:after="120"/>
        <w:rPr>
          <w:rFonts w:ascii="Arial" w:hAnsi="Arial" w:cs="Arial"/>
          <w:b/>
          <w:color w:val="4F81BD" w:themeColor="accent1"/>
          <w:sz w:val="20"/>
          <w:szCs w:val="20"/>
          <w:highlight w:val="white"/>
        </w:rPr>
      </w:pPr>
      <w:r w:rsidRPr="00A87A4B">
        <w:rPr>
          <w:rFonts w:ascii="Arial" w:hAnsi="Arial" w:cs="Arial"/>
          <w:b/>
          <w:color w:val="4F81BD" w:themeColor="accent1"/>
          <w:sz w:val="20"/>
          <w:szCs w:val="20"/>
          <w:highlight w:val="white"/>
        </w:rPr>
        <w:t>Key Takeaways Hunedoara</w:t>
      </w:r>
      <w:r w:rsidR="0042633B" w:rsidRPr="00A87A4B">
        <w:rPr>
          <w:rFonts w:ascii="Arial" w:hAnsi="Arial" w:cs="Arial"/>
          <w:b/>
          <w:color w:val="4F81BD" w:themeColor="accent1"/>
          <w:sz w:val="20"/>
          <w:szCs w:val="20"/>
          <w:highlight w:val="white"/>
        </w:rPr>
        <w:t xml:space="preserve"> County</w:t>
      </w:r>
    </w:p>
    <w:p w14:paraId="157C3F56" w14:textId="0F4B68AD" w:rsidR="00345CF4" w:rsidRDefault="00316E7A" w:rsidP="00854A6F">
      <w:pPr>
        <w:spacing w:after="120"/>
        <w:jc w:val="both"/>
        <w:rPr>
          <w:rFonts w:ascii="Arial" w:hAnsi="Arial" w:cs="Arial"/>
          <w:sz w:val="20"/>
          <w:szCs w:val="20"/>
          <w:highlight w:val="white"/>
        </w:rPr>
      </w:pPr>
      <w:r>
        <w:rPr>
          <w:rFonts w:ascii="Arial" w:hAnsi="Arial" w:cs="Arial"/>
          <w:sz w:val="20"/>
          <w:szCs w:val="20"/>
          <w:highlight w:val="white"/>
        </w:rPr>
        <w:t>M</w:t>
      </w:r>
      <w:r w:rsidR="00345CF4" w:rsidRPr="00B718C0">
        <w:rPr>
          <w:rFonts w:ascii="Arial" w:hAnsi="Arial" w:cs="Arial"/>
          <w:sz w:val="20"/>
          <w:szCs w:val="20"/>
          <w:highlight w:val="white"/>
        </w:rPr>
        <w:t xml:space="preserve">any of the investment needs that we identified as being of high priority for Hunedoara can </w:t>
      </w:r>
      <w:r w:rsidR="0042633B">
        <w:rPr>
          <w:rFonts w:ascii="Arial" w:hAnsi="Arial" w:cs="Arial"/>
          <w:sz w:val="20"/>
          <w:szCs w:val="20"/>
          <w:highlight w:val="white"/>
        </w:rPr>
        <w:t xml:space="preserve">also </w:t>
      </w:r>
      <w:r w:rsidR="00345CF4" w:rsidRPr="00B718C0">
        <w:rPr>
          <w:rFonts w:ascii="Arial" w:hAnsi="Arial" w:cs="Arial"/>
          <w:sz w:val="20"/>
          <w:szCs w:val="20"/>
          <w:highlight w:val="white"/>
        </w:rPr>
        <w:t>be financed through other O</w:t>
      </w:r>
      <w:r w:rsidR="0042633B">
        <w:rPr>
          <w:rFonts w:ascii="Arial" w:hAnsi="Arial" w:cs="Arial"/>
          <w:sz w:val="20"/>
          <w:szCs w:val="20"/>
          <w:highlight w:val="white"/>
        </w:rPr>
        <w:t>P</w:t>
      </w:r>
      <w:r w:rsidR="00345CF4" w:rsidRPr="00B718C0">
        <w:rPr>
          <w:rFonts w:ascii="Arial" w:hAnsi="Arial" w:cs="Arial"/>
          <w:sz w:val="20"/>
          <w:szCs w:val="20"/>
          <w:highlight w:val="white"/>
        </w:rPr>
        <w:t>s</w:t>
      </w:r>
      <w:r w:rsidR="0042633B">
        <w:rPr>
          <w:rFonts w:ascii="Arial" w:hAnsi="Arial" w:cs="Arial"/>
          <w:sz w:val="20"/>
          <w:szCs w:val="20"/>
          <w:highlight w:val="white"/>
        </w:rPr>
        <w:t>.</w:t>
      </w:r>
      <w:r w:rsidR="00345CF4" w:rsidRPr="00B718C0">
        <w:rPr>
          <w:rFonts w:ascii="Arial" w:hAnsi="Arial" w:cs="Arial"/>
          <w:sz w:val="20"/>
          <w:szCs w:val="20"/>
          <w:highlight w:val="white"/>
        </w:rPr>
        <w:t xml:space="preserve"> </w:t>
      </w:r>
      <w:r>
        <w:rPr>
          <w:rFonts w:ascii="Arial" w:hAnsi="Arial" w:cs="Arial"/>
          <w:sz w:val="20"/>
          <w:szCs w:val="20"/>
          <w:highlight w:val="white"/>
        </w:rPr>
        <w:t>But t</w:t>
      </w:r>
      <w:r w:rsidR="00345CF4" w:rsidRPr="00B718C0">
        <w:rPr>
          <w:rFonts w:ascii="Arial" w:hAnsi="Arial" w:cs="Arial"/>
          <w:sz w:val="20"/>
          <w:szCs w:val="20"/>
          <w:highlight w:val="white"/>
        </w:rPr>
        <w:t xml:space="preserve">he competition for funding (either at </w:t>
      </w:r>
      <w:r w:rsidR="0042633B">
        <w:rPr>
          <w:rFonts w:ascii="Arial" w:hAnsi="Arial" w:cs="Arial"/>
          <w:sz w:val="20"/>
          <w:szCs w:val="20"/>
          <w:highlight w:val="white"/>
        </w:rPr>
        <w:t xml:space="preserve">the </w:t>
      </w:r>
      <w:r w:rsidR="00345CF4" w:rsidRPr="00B718C0">
        <w:rPr>
          <w:rFonts w:ascii="Arial" w:hAnsi="Arial" w:cs="Arial"/>
          <w:sz w:val="20"/>
          <w:szCs w:val="20"/>
          <w:highlight w:val="white"/>
        </w:rPr>
        <w:t xml:space="preserve">national or </w:t>
      </w:r>
      <w:r w:rsidR="0042633B">
        <w:rPr>
          <w:rFonts w:ascii="Arial" w:hAnsi="Arial" w:cs="Arial"/>
          <w:sz w:val="20"/>
          <w:szCs w:val="20"/>
          <w:highlight w:val="white"/>
        </w:rPr>
        <w:t>the</w:t>
      </w:r>
      <w:r w:rsidR="00345CF4" w:rsidRPr="00B718C0">
        <w:rPr>
          <w:rFonts w:ascii="Arial" w:hAnsi="Arial" w:cs="Arial"/>
          <w:sz w:val="20"/>
          <w:szCs w:val="20"/>
          <w:highlight w:val="white"/>
        </w:rPr>
        <w:t xml:space="preserve"> West Region level) will be very high, coming from counties with much better developed human capital and economic attractiveness. Thus, the top-up </w:t>
      </w:r>
      <w:r w:rsidR="00A30CFF">
        <w:rPr>
          <w:rFonts w:ascii="Arial" w:hAnsi="Arial" w:cs="Arial"/>
          <w:sz w:val="20"/>
          <w:szCs w:val="20"/>
          <w:highlight w:val="white"/>
        </w:rPr>
        <w:t>that</w:t>
      </w:r>
      <w:r w:rsidR="00345CF4" w:rsidRPr="00B718C0">
        <w:rPr>
          <w:rFonts w:ascii="Arial" w:hAnsi="Arial" w:cs="Arial"/>
          <w:sz w:val="20"/>
          <w:szCs w:val="20"/>
          <w:highlight w:val="white"/>
        </w:rPr>
        <w:t xml:space="preserve"> can come from OPJT is very much welcome and</w:t>
      </w:r>
      <w:r w:rsidR="00A30CFF">
        <w:rPr>
          <w:rFonts w:ascii="Arial" w:hAnsi="Arial" w:cs="Arial"/>
          <w:sz w:val="20"/>
          <w:szCs w:val="20"/>
          <w:highlight w:val="white"/>
        </w:rPr>
        <w:t xml:space="preserve"> still</w:t>
      </w:r>
      <w:r w:rsidR="00345CF4" w:rsidRPr="00B718C0">
        <w:rPr>
          <w:rFonts w:ascii="Arial" w:hAnsi="Arial" w:cs="Arial"/>
          <w:sz w:val="20"/>
          <w:szCs w:val="20"/>
          <w:highlight w:val="white"/>
        </w:rPr>
        <w:t xml:space="preserve"> needed. Areas </w:t>
      </w:r>
      <w:r w:rsidR="00A30CFF">
        <w:rPr>
          <w:rFonts w:ascii="Arial" w:hAnsi="Arial" w:cs="Arial"/>
          <w:sz w:val="20"/>
          <w:szCs w:val="20"/>
          <w:highlight w:val="white"/>
        </w:rPr>
        <w:t>that</w:t>
      </w:r>
      <w:r w:rsidR="00345CF4" w:rsidRPr="00B718C0">
        <w:rPr>
          <w:rFonts w:ascii="Arial" w:hAnsi="Arial" w:cs="Arial"/>
          <w:sz w:val="20"/>
          <w:szCs w:val="20"/>
          <w:highlight w:val="white"/>
        </w:rPr>
        <w:t xml:space="preserve"> we categorise as being </w:t>
      </w:r>
      <w:r w:rsidR="00A30CFF">
        <w:rPr>
          <w:rFonts w:ascii="Arial" w:hAnsi="Arial" w:cs="Arial"/>
          <w:sz w:val="20"/>
          <w:szCs w:val="20"/>
          <w:highlight w:val="white"/>
        </w:rPr>
        <w:t>of</w:t>
      </w:r>
      <w:r w:rsidR="00345CF4" w:rsidRPr="00B718C0">
        <w:rPr>
          <w:rFonts w:ascii="Arial" w:hAnsi="Arial" w:cs="Arial"/>
          <w:sz w:val="20"/>
          <w:szCs w:val="20"/>
          <w:highlight w:val="white"/>
        </w:rPr>
        <w:t xml:space="preserve"> high investment needs in Hunedoara, </w:t>
      </w:r>
      <w:r w:rsidR="00A30CFF">
        <w:rPr>
          <w:rFonts w:ascii="Arial" w:hAnsi="Arial" w:cs="Arial"/>
          <w:sz w:val="20"/>
          <w:szCs w:val="20"/>
          <w:highlight w:val="white"/>
        </w:rPr>
        <w:t xml:space="preserve">and which are </w:t>
      </w:r>
      <w:r w:rsidR="00345CF4" w:rsidRPr="00B718C0">
        <w:rPr>
          <w:rFonts w:ascii="Arial" w:hAnsi="Arial" w:cs="Arial"/>
          <w:sz w:val="20"/>
          <w:szCs w:val="20"/>
          <w:highlight w:val="white"/>
        </w:rPr>
        <w:t xml:space="preserve">not </w:t>
      </w:r>
      <w:r w:rsidR="00A30CFF">
        <w:rPr>
          <w:rFonts w:ascii="Arial" w:hAnsi="Arial" w:cs="Arial"/>
          <w:sz w:val="20"/>
          <w:szCs w:val="20"/>
          <w:highlight w:val="white"/>
        </w:rPr>
        <w:t xml:space="preserve">sufficiently </w:t>
      </w:r>
      <w:r w:rsidR="00345CF4" w:rsidRPr="00B718C0">
        <w:rPr>
          <w:rFonts w:ascii="Arial" w:hAnsi="Arial" w:cs="Arial"/>
          <w:sz w:val="20"/>
          <w:szCs w:val="20"/>
          <w:highlight w:val="white"/>
        </w:rPr>
        <w:t xml:space="preserve">covered by other funding sources </w:t>
      </w:r>
      <w:r w:rsidR="00A30CFF">
        <w:rPr>
          <w:rFonts w:ascii="Arial" w:hAnsi="Arial" w:cs="Arial"/>
          <w:sz w:val="20"/>
          <w:szCs w:val="20"/>
          <w:highlight w:val="white"/>
        </w:rPr>
        <w:t>include</w:t>
      </w:r>
      <w:r w:rsidR="00345CF4" w:rsidRPr="00B718C0">
        <w:rPr>
          <w:rFonts w:ascii="Arial" w:hAnsi="Arial" w:cs="Arial"/>
          <w:sz w:val="20"/>
          <w:szCs w:val="20"/>
          <w:highlight w:val="white"/>
        </w:rPr>
        <w:t xml:space="preserve">: support to large enterprises for economic diversification/productive investments leading to job creation; investments in the regeneration, decontamination and repurposing of degraded/contaminates sites; cross-institutional R&amp;D and technology transfer programmes, particularly </w:t>
      </w:r>
      <w:r w:rsidR="00A30CFF">
        <w:rPr>
          <w:rFonts w:ascii="Arial" w:hAnsi="Arial" w:cs="Arial"/>
          <w:sz w:val="20"/>
          <w:szCs w:val="20"/>
          <w:highlight w:val="white"/>
        </w:rPr>
        <w:t>for</w:t>
      </w:r>
      <w:r w:rsidR="00345CF4" w:rsidRPr="00B718C0">
        <w:rPr>
          <w:rFonts w:ascii="Arial" w:hAnsi="Arial" w:cs="Arial"/>
          <w:sz w:val="20"/>
          <w:szCs w:val="20"/>
          <w:highlight w:val="white"/>
        </w:rPr>
        <w:t xml:space="preserve"> clean energy production and storage and hydrogen production; complex, multi-service transition </w:t>
      </w:r>
      <w:r w:rsidR="00A30CFF" w:rsidRPr="00B718C0">
        <w:rPr>
          <w:rFonts w:ascii="Arial" w:hAnsi="Arial" w:cs="Arial"/>
          <w:sz w:val="20"/>
          <w:szCs w:val="20"/>
          <w:highlight w:val="white"/>
        </w:rPr>
        <w:t>centres</w:t>
      </w:r>
      <w:r w:rsidR="00345CF4" w:rsidRPr="00B718C0">
        <w:rPr>
          <w:rFonts w:ascii="Arial" w:hAnsi="Arial" w:cs="Arial"/>
          <w:sz w:val="20"/>
          <w:szCs w:val="20"/>
          <w:highlight w:val="white"/>
        </w:rPr>
        <w:t xml:space="preserve"> for laid off workers; investment in tourism promotion and tourism management.</w:t>
      </w:r>
    </w:p>
    <w:p w14:paraId="5D7CE281" w14:textId="5DDB5F7E" w:rsidR="00B718C0" w:rsidRDefault="00136218" w:rsidP="00E42342">
      <w:pPr>
        <w:pStyle w:val="Heading2"/>
        <w:numPr>
          <w:ilvl w:val="0"/>
          <w:numId w:val="214"/>
        </w:numPr>
        <w:spacing w:before="240" w:line="240" w:lineRule="auto"/>
      </w:pPr>
      <w:bookmarkStart w:id="148" w:name="_Toc90725864"/>
      <w:r>
        <w:t>Potential solutions and opportunities identified during the engagement process</w:t>
      </w:r>
      <w:bookmarkEnd w:id="148"/>
    </w:p>
    <w:p w14:paraId="0AAEB280" w14:textId="7F630999" w:rsidR="00644AF6" w:rsidRDefault="00644AF6" w:rsidP="00402580">
      <w:pPr>
        <w:spacing w:before="240" w:after="120"/>
        <w:jc w:val="both"/>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 xml:space="preserve">intervention </w:t>
      </w:r>
      <w:r w:rsidR="00A30CFF">
        <w:rPr>
          <w:rFonts w:ascii="Arial" w:hAnsi="Arial" w:cs="Arial"/>
          <w:sz w:val="20"/>
          <w:szCs w:val="20"/>
          <w:lang w:eastAsia="en-US"/>
        </w:rPr>
        <w:t>were</w:t>
      </w:r>
      <w:r>
        <w:rPr>
          <w:rFonts w:ascii="Arial" w:hAnsi="Arial" w:cs="Arial"/>
          <w:sz w:val="20"/>
          <w:szCs w:val="20"/>
          <w:lang w:eastAsia="en-US"/>
        </w:rPr>
        <w:t xml:space="preserve"> open to discussion during the regional workshop organi</w:t>
      </w:r>
      <w:r w:rsidR="00A30CFF">
        <w:rPr>
          <w:rFonts w:ascii="Arial" w:hAnsi="Arial" w:cs="Arial"/>
          <w:sz w:val="20"/>
          <w:szCs w:val="20"/>
          <w:lang w:eastAsia="en-US"/>
        </w:rPr>
        <w:t>s</w:t>
      </w:r>
      <w:r>
        <w:rPr>
          <w:rFonts w:ascii="Arial" w:hAnsi="Arial" w:cs="Arial"/>
          <w:sz w:val="20"/>
          <w:szCs w:val="20"/>
          <w:lang w:eastAsia="en-US"/>
        </w:rPr>
        <w:t xml:space="preserve">ed on 13 May 2021, </w:t>
      </w:r>
      <w:r w:rsidR="00A30CFF">
        <w:rPr>
          <w:rFonts w:ascii="Arial" w:hAnsi="Arial" w:cs="Arial"/>
          <w:sz w:val="20"/>
          <w:szCs w:val="20"/>
          <w:lang w:eastAsia="en-US"/>
        </w:rPr>
        <w:t>including</w:t>
      </w:r>
      <w:r>
        <w:rPr>
          <w:rFonts w:ascii="Arial" w:hAnsi="Arial" w:cs="Arial"/>
          <w:sz w:val="20"/>
          <w:szCs w:val="20"/>
          <w:lang w:eastAsia="en-US"/>
        </w:rPr>
        <w:t>:</w:t>
      </w:r>
    </w:p>
    <w:p w14:paraId="5A39D914" w14:textId="3C3BD8E8" w:rsidR="00644AF6" w:rsidRDefault="00644AF6" w:rsidP="00E42342">
      <w:pPr>
        <w:pStyle w:val="ListParagraph"/>
        <w:numPr>
          <w:ilvl w:val="0"/>
          <w:numId w:val="215"/>
        </w:numPr>
        <w:rPr>
          <w:sz w:val="20"/>
          <w:szCs w:val="20"/>
        </w:rPr>
      </w:pPr>
      <w:r w:rsidRPr="00644AF6">
        <w:rPr>
          <w:sz w:val="20"/>
          <w:szCs w:val="20"/>
        </w:rPr>
        <w:t>The future of decarbonisation in the region for large companies</w:t>
      </w:r>
      <w:r w:rsidR="00A30CFF">
        <w:rPr>
          <w:sz w:val="20"/>
          <w:szCs w:val="20"/>
        </w:rPr>
        <w:t>;</w:t>
      </w:r>
    </w:p>
    <w:p w14:paraId="00CD4AC2" w14:textId="238BF95E" w:rsidR="00644AF6" w:rsidRDefault="00644AF6" w:rsidP="00E42342">
      <w:pPr>
        <w:pStyle w:val="ListParagraph"/>
        <w:numPr>
          <w:ilvl w:val="0"/>
          <w:numId w:val="215"/>
        </w:numPr>
        <w:rPr>
          <w:sz w:val="20"/>
          <w:szCs w:val="20"/>
        </w:rPr>
      </w:pPr>
      <w:r>
        <w:rPr>
          <w:sz w:val="20"/>
          <w:szCs w:val="20"/>
        </w:rPr>
        <w:lastRenderedPageBreak/>
        <w:t>Employment and attracting human capital</w:t>
      </w:r>
      <w:r w:rsidR="00A30CFF">
        <w:rPr>
          <w:sz w:val="20"/>
          <w:szCs w:val="20"/>
        </w:rPr>
        <w:t>;</w:t>
      </w:r>
    </w:p>
    <w:p w14:paraId="5CF6AD41" w14:textId="1464CC5A" w:rsidR="00644AF6" w:rsidRDefault="00644AF6" w:rsidP="00E42342">
      <w:pPr>
        <w:pStyle w:val="ListParagraph"/>
        <w:numPr>
          <w:ilvl w:val="0"/>
          <w:numId w:val="215"/>
        </w:numPr>
        <w:rPr>
          <w:sz w:val="20"/>
          <w:szCs w:val="20"/>
        </w:rPr>
      </w:pPr>
      <w:r>
        <w:rPr>
          <w:sz w:val="20"/>
          <w:szCs w:val="20"/>
        </w:rPr>
        <w:t>Environmental challenges and opportunities</w:t>
      </w:r>
      <w:r w:rsidR="00A30CFF">
        <w:rPr>
          <w:sz w:val="20"/>
          <w:szCs w:val="20"/>
        </w:rPr>
        <w:t>; and,</w:t>
      </w:r>
    </w:p>
    <w:p w14:paraId="2F333A19" w14:textId="7BF63051" w:rsidR="00644AF6" w:rsidRDefault="00644AF6" w:rsidP="00E42342">
      <w:pPr>
        <w:pStyle w:val="ListParagraph"/>
        <w:numPr>
          <w:ilvl w:val="0"/>
          <w:numId w:val="215"/>
        </w:numPr>
        <w:rPr>
          <w:sz w:val="20"/>
          <w:szCs w:val="20"/>
        </w:rPr>
      </w:pPr>
      <w:r>
        <w:rPr>
          <w:sz w:val="20"/>
          <w:szCs w:val="20"/>
        </w:rPr>
        <w:t>SMEs and entrepreneurship as vectors of regional development</w:t>
      </w:r>
      <w:r w:rsidR="00A30CFF">
        <w:rPr>
          <w:sz w:val="20"/>
          <w:szCs w:val="20"/>
        </w:rPr>
        <w:t>.</w:t>
      </w:r>
    </w:p>
    <w:p w14:paraId="45937ABD" w14:textId="77777777" w:rsidR="00644AF6" w:rsidRDefault="00644AF6" w:rsidP="00644AF6">
      <w:pPr>
        <w:rPr>
          <w:sz w:val="20"/>
          <w:szCs w:val="20"/>
        </w:rPr>
      </w:pPr>
    </w:p>
    <w:p w14:paraId="774282AD" w14:textId="456EE163" w:rsidR="00355188" w:rsidRDefault="00644AF6" w:rsidP="00355188">
      <w:pPr>
        <w:jc w:val="both"/>
        <w:rPr>
          <w:rFonts w:ascii="Arial" w:hAnsi="Arial" w:cs="Arial"/>
          <w:sz w:val="20"/>
          <w:szCs w:val="20"/>
        </w:rPr>
      </w:pPr>
      <w:r w:rsidRPr="00355188">
        <w:rPr>
          <w:rFonts w:ascii="Arial" w:hAnsi="Arial" w:cs="Arial"/>
          <w:sz w:val="20"/>
          <w:szCs w:val="20"/>
        </w:rPr>
        <w:t xml:space="preserve">Participants were invited to actively participate </w:t>
      </w:r>
      <w:r w:rsidR="00355188" w:rsidRPr="00355188">
        <w:rPr>
          <w:rFonts w:ascii="Arial" w:hAnsi="Arial" w:cs="Arial"/>
          <w:sz w:val="20"/>
          <w:szCs w:val="20"/>
        </w:rPr>
        <w:t>in the discussions (based on the world-café methodology) and bring forward project ideas and solutions, as well as address opportunities, related to</w:t>
      </w:r>
      <w:r w:rsidRPr="00355188">
        <w:rPr>
          <w:rFonts w:ascii="Arial" w:hAnsi="Arial" w:cs="Arial"/>
          <w:sz w:val="20"/>
          <w:szCs w:val="20"/>
        </w:rPr>
        <w:t xml:space="preserve"> </w:t>
      </w:r>
      <w:r w:rsidR="00355188" w:rsidRPr="00355188">
        <w:rPr>
          <w:rFonts w:ascii="Arial" w:hAnsi="Arial" w:cs="Arial"/>
          <w:sz w:val="20"/>
          <w:szCs w:val="20"/>
        </w:rPr>
        <w:t xml:space="preserve">the four main topics. Subsequently, participants’ ideas </w:t>
      </w:r>
      <w:r w:rsidR="00A30CFF">
        <w:rPr>
          <w:rFonts w:ascii="Arial" w:hAnsi="Arial" w:cs="Arial"/>
          <w:sz w:val="20"/>
          <w:szCs w:val="20"/>
        </w:rPr>
        <w:t>were</w:t>
      </w:r>
      <w:r w:rsidR="00355188" w:rsidRPr="00355188">
        <w:rPr>
          <w:rFonts w:ascii="Arial" w:hAnsi="Arial" w:cs="Arial"/>
          <w:sz w:val="20"/>
          <w:szCs w:val="20"/>
        </w:rPr>
        <w:t xml:space="preserve"> </w:t>
      </w:r>
      <w:r w:rsidR="00A30CFF">
        <w:rPr>
          <w:rFonts w:ascii="Arial" w:hAnsi="Arial" w:cs="Arial"/>
          <w:sz w:val="20"/>
          <w:szCs w:val="20"/>
        </w:rPr>
        <w:t>collected</w:t>
      </w:r>
      <w:r w:rsidR="00355188" w:rsidRPr="00355188">
        <w:rPr>
          <w:rFonts w:ascii="Arial" w:hAnsi="Arial" w:cs="Arial"/>
          <w:sz w:val="20"/>
          <w:szCs w:val="20"/>
        </w:rPr>
        <w:t xml:space="preserve"> and further assessed by the Technical Assistance team. The main takeaways are presented in this section for Hunedoara </w:t>
      </w:r>
      <w:r w:rsidR="00A30CFF">
        <w:rPr>
          <w:rFonts w:ascii="Arial" w:hAnsi="Arial" w:cs="Arial"/>
          <w:sz w:val="20"/>
          <w:szCs w:val="20"/>
        </w:rPr>
        <w:t>C</w:t>
      </w:r>
      <w:r w:rsidR="00355188" w:rsidRPr="00355188">
        <w:rPr>
          <w:rFonts w:ascii="Arial" w:hAnsi="Arial" w:cs="Arial"/>
          <w:sz w:val="20"/>
          <w:szCs w:val="20"/>
        </w:rPr>
        <w:t>ounty.</w:t>
      </w:r>
    </w:p>
    <w:p w14:paraId="7DA5C058" w14:textId="7AFDD788" w:rsidR="00355188" w:rsidRDefault="00355188" w:rsidP="00355188">
      <w:pPr>
        <w:jc w:val="both"/>
        <w:rPr>
          <w:rFonts w:ascii="Arial" w:hAnsi="Arial" w:cs="Arial"/>
          <w:sz w:val="20"/>
          <w:szCs w:val="20"/>
        </w:rPr>
        <w:sectPr w:rsidR="00355188" w:rsidSect="00D4062A">
          <w:headerReference w:type="default" r:id="rId78"/>
          <w:pgSz w:w="11909" w:h="16834"/>
          <w:pgMar w:top="1440" w:right="1440" w:bottom="1440" w:left="1530" w:header="720" w:footer="720" w:gutter="0"/>
          <w:cols w:space="720"/>
          <w:docGrid w:linePitch="326"/>
        </w:sectPr>
      </w:pPr>
    </w:p>
    <w:p w14:paraId="460D808D" w14:textId="4D540A69" w:rsidR="00355188" w:rsidRDefault="00355188" w:rsidP="00355188">
      <w:pPr>
        <w:pStyle w:val="Caption"/>
      </w:pPr>
      <w:bookmarkStart w:id="149" w:name="_Toc90725985"/>
      <w:bookmarkStart w:id="150" w:name="_Toc90727282"/>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31</w:t>
      </w:r>
      <w:r w:rsidR="000B273D">
        <w:rPr>
          <w:noProof/>
        </w:rPr>
        <w:fldChar w:fldCharType="end"/>
      </w:r>
      <w:r>
        <w:t xml:space="preserve">: Regional workshop harvesting for Hunedoara </w:t>
      </w:r>
      <w:r w:rsidR="00A30CFF">
        <w:t>C</w:t>
      </w:r>
      <w:r>
        <w:t>ounty</w:t>
      </w:r>
      <w:bookmarkEnd w:id="149"/>
      <w:bookmarkEnd w:id="150"/>
    </w:p>
    <w:tbl>
      <w:tblPr>
        <w:tblW w:w="1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7"/>
        <w:gridCol w:w="1398"/>
        <w:gridCol w:w="5802"/>
        <w:gridCol w:w="1286"/>
      </w:tblGrid>
      <w:tr w:rsidR="00355188" w:rsidRPr="00646663" w14:paraId="6E28360A" w14:textId="77777777" w:rsidTr="000A7086">
        <w:trPr>
          <w:trHeight w:val="395"/>
        </w:trPr>
        <w:tc>
          <w:tcPr>
            <w:tcW w:w="14173" w:type="dxa"/>
            <w:gridSpan w:val="4"/>
            <w:shd w:val="clear" w:color="auto" w:fill="93C47D"/>
          </w:tcPr>
          <w:p w14:paraId="77EC08A4" w14:textId="06A258BB" w:rsidR="00355188" w:rsidRPr="00646663" w:rsidRDefault="00355188" w:rsidP="00646663">
            <w:pPr>
              <w:spacing w:before="240" w:after="240"/>
              <w:ind w:hanging="2"/>
              <w:rPr>
                <w:rFonts w:ascii="Arial" w:hAnsi="Arial" w:cs="Arial"/>
                <w:sz w:val="18"/>
                <w:szCs w:val="18"/>
              </w:rPr>
            </w:pPr>
            <w:r w:rsidRPr="00646663">
              <w:rPr>
                <w:rFonts w:ascii="Arial" w:hAnsi="Arial" w:cs="Arial"/>
                <w:b/>
                <w:sz w:val="18"/>
                <w:szCs w:val="18"/>
              </w:rPr>
              <w:t xml:space="preserve">Ideas and solutions in the </w:t>
            </w:r>
            <w:r w:rsidR="00A30CFF" w:rsidRPr="00646663">
              <w:rPr>
                <w:rFonts w:ascii="Arial" w:hAnsi="Arial" w:cs="Arial"/>
                <w:b/>
                <w:sz w:val="18"/>
                <w:szCs w:val="18"/>
              </w:rPr>
              <w:t>J</w:t>
            </w:r>
            <w:r w:rsidRPr="00646663">
              <w:rPr>
                <w:rFonts w:ascii="Arial" w:hAnsi="Arial" w:cs="Arial"/>
                <w:b/>
                <w:sz w:val="18"/>
                <w:szCs w:val="18"/>
              </w:rPr>
              <w:t xml:space="preserve">ust </w:t>
            </w:r>
            <w:r w:rsidR="00A30CFF" w:rsidRPr="00646663">
              <w:rPr>
                <w:rFonts w:ascii="Arial" w:hAnsi="Arial" w:cs="Arial"/>
                <w:b/>
                <w:sz w:val="18"/>
                <w:szCs w:val="18"/>
              </w:rPr>
              <w:t>T</w:t>
            </w:r>
            <w:r w:rsidRPr="00646663">
              <w:rPr>
                <w:rFonts w:ascii="Arial" w:hAnsi="Arial" w:cs="Arial"/>
                <w:b/>
                <w:sz w:val="18"/>
                <w:szCs w:val="18"/>
              </w:rPr>
              <w:t xml:space="preserve">ransition process, Hunedoara </w:t>
            </w:r>
            <w:r w:rsidR="00A30CFF" w:rsidRPr="00646663">
              <w:rPr>
                <w:rFonts w:ascii="Arial" w:hAnsi="Arial" w:cs="Arial"/>
                <w:b/>
                <w:sz w:val="18"/>
                <w:szCs w:val="18"/>
              </w:rPr>
              <w:t>C</w:t>
            </w:r>
            <w:r w:rsidRPr="00646663">
              <w:rPr>
                <w:rFonts w:ascii="Arial" w:hAnsi="Arial" w:cs="Arial"/>
                <w:b/>
                <w:sz w:val="18"/>
                <w:szCs w:val="18"/>
              </w:rPr>
              <w:t xml:space="preserve">ounty, May 2021 </w:t>
            </w:r>
          </w:p>
          <w:p w14:paraId="35147DBB" w14:textId="77777777" w:rsidR="00355188" w:rsidRPr="00646663" w:rsidRDefault="00355188" w:rsidP="00646663">
            <w:pPr>
              <w:ind w:hanging="2"/>
              <w:rPr>
                <w:rFonts w:ascii="Arial" w:hAnsi="Arial" w:cs="Arial"/>
                <w:sz w:val="18"/>
                <w:szCs w:val="18"/>
              </w:rPr>
            </w:pPr>
          </w:p>
        </w:tc>
      </w:tr>
      <w:tr w:rsidR="00355188" w:rsidRPr="00646663" w14:paraId="76CF65B3" w14:textId="77777777" w:rsidTr="00EE02DE">
        <w:tc>
          <w:tcPr>
            <w:tcW w:w="5687" w:type="dxa"/>
          </w:tcPr>
          <w:p w14:paraId="060FE260" w14:textId="77777777" w:rsidR="00D77CB1" w:rsidRPr="00646663" w:rsidRDefault="00355188" w:rsidP="00646663">
            <w:pPr>
              <w:ind w:hanging="2"/>
              <w:rPr>
                <w:rFonts w:ascii="Arial" w:hAnsi="Arial" w:cs="Arial"/>
                <w:b/>
                <w:sz w:val="18"/>
                <w:szCs w:val="18"/>
              </w:rPr>
            </w:pPr>
            <w:r w:rsidRPr="00646663">
              <w:rPr>
                <w:rFonts w:ascii="Arial" w:hAnsi="Arial" w:cs="Arial"/>
                <w:b/>
                <w:sz w:val="18"/>
                <w:szCs w:val="18"/>
              </w:rPr>
              <w:t xml:space="preserve">The future of decarbonisation in the region for large companies (also focusing on areas/industries with growth potential in the region) </w:t>
            </w:r>
          </w:p>
          <w:p w14:paraId="14A171B2" w14:textId="77777777" w:rsidR="00D77CB1" w:rsidRPr="00646663" w:rsidRDefault="00D77CB1" w:rsidP="00646663">
            <w:pPr>
              <w:ind w:hanging="2"/>
              <w:rPr>
                <w:rFonts w:ascii="Arial" w:hAnsi="Arial" w:cs="Arial"/>
                <w:b/>
                <w:sz w:val="18"/>
                <w:szCs w:val="18"/>
              </w:rPr>
            </w:pPr>
          </w:p>
          <w:p w14:paraId="17AE05F0" w14:textId="2A6C37B2" w:rsidR="00355188" w:rsidRPr="00646663" w:rsidRDefault="00355188" w:rsidP="00646663">
            <w:pPr>
              <w:ind w:hanging="2"/>
              <w:rPr>
                <w:rFonts w:ascii="Arial" w:hAnsi="Arial" w:cs="Arial"/>
                <w:i/>
                <w:sz w:val="18"/>
                <w:szCs w:val="18"/>
              </w:rPr>
            </w:pPr>
            <w:r w:rsidRPr="00646663">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1398" w:type="dxa"/>
          </w:tcPr>
          <w:p w14:paraId="0A2675AC" w14:textId="77777777" w:rsidR="00355188" w:rsidRPr="00646663" w:rsidRDefault="00355188" w:rsidP="00646663">
            <w:pPr>
              <w:ind w:hanging="2"/>
              <w:rPr>
                <w:rFonts w:ascii="Arial" w:hAnsi="Arial" w:cs="Arial"/>
                <w:sz w:val="18"/>
                <w:szCs w:val="18"/>
              </w:rPr>
            </w:pPr>
            <w:r w:rsidRPr="00646663">
              <w:rPr>
                <w:rFonts w:ascii="Arial" w:hAnsi="Arial" w:cs="Arial"/>
                <w:noProof/>
                <w:sz w:val="18"/>
                <w:szCs w:val="18"/>
                <w:lang w:val="en-US" w:eastAsia="en-US"/>
              </w:rPr>
              <w:drawing>
                <wp:inline distT="114300" distB="114300" distL="114300" distR="114300" wp14:anchorId="38D05927" wp14:editId="2BF90656">
                  <wp:extent cx="752475" cy="812800"/>
                  <wp:effectExtent l="0" t="0" r="0" b="0"/>
                  <wp:docPr id="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79"/>
                          <a:srcRect/>
                          <a:stretch>
                            <a:fillRect/>
                          </a:stretch>
                        </pic:blipFill>
                        <pic:spPr>
                          <a:xfrm>
                            <a:off x="0" y="0"/>
                            <a:ext cx="752475" cy="812800"/>
                          </a:xfrm>
                          <a:prstGeom prst="rect">
                            <a:avLst/>
                          </a:prstGeom>
                          <a:ln/>
                        </pic:spPr>
                      </pic:pic>
                    </a:graphicData>
                  </a:graphic>
                </wp:inline>
              </w:drawing>
            </w:r>
          </w:p>
        </w:tc>
        <w:tc>
          <w:tcPr>
            <w:tcW w:w="5802" w:type="dxa"/>
          </w:tcPr>
          <w:p w14:paraId="68C1BD6A" w14:textId="77777777" w:rsidR="00D77CB1" w:rsidRPr="00646663" w:rsidRDefault="00355188" w:rsidP="00646663">
            <w:pPr>
              <w:spacing w:after="240"/>
              <w:ind w:hanging="2"/>
              <w:rPr>
                <w:rFonts w:ascii="Arial" w:hAnsi="Arial" w:cs="Arial"/>
                <w:b/>
                <w:i/>
                <w:sz w:val="18"/>
                <w:szCs w:val="18"/>
              </w:rPr>
            </w:pPr>
            <w:r w:rsidRPr="00646663">
              <w:rPr>
                <w:rFonts w:ascii="Arial" w:hAnsi="Arial" w:cs="Arial"/>
                <w:b/>
                <w:sz w:val="18"/>
                <w:szCs w:val="18"/>
              </w:rPr>
              <w:t>Employability and attracting human capital (including retraining and further qualification)</w:t>
            </w:r>
            <w:r w:rsidRPr="00646663">
              <w:rPr>
                <w:rFonts w:ascii="Arial" w:hAnsi="Arial" w:cs="Arial"/>
                <w:b/>
                <w:i/>
                <w:sz w:val="18"/>
                <w:szCs w:val="18"/>
              </w:rPr>
              <w:t xml:space="preserve"> </w:t>
            </w:r>
          </w:p>
          <w:p w14:paraId="007D04C8" w14:textId="364DFBCD" w:rsidR="00355188" w:rsidRPr="00646663" w:rsidRDefault="00355188" w:rsidP="00646663">
            <w:pPr>
              <w:spacing w:after="240"/>
              <w:ind w:hanging="2"/>
              <w:rPr>
                <w:rFonts w:ascii="Arial" w:hAnsi="Arial" w:cs="Arial"/>
                <w:i/>
                <w:sz w:val="18"/>
                <w:szCs w:val="18"/>
              </w:rPr>
            </w:pPr>
            <w:r w:rsidRPr="00646663">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easier?</w:t>
            </w:r>
          </w:p>
        </w:tc>
        <w:tc>
          <w:tcPr>
            <w:tcW w:w="1286" w:type="dxa"/>
          </w:tcPr>
          <w:p w14:paraId="572D1019" w14:textId="77777777" w:rsidR="00355188" w:rsidRPr="00646663" w:rsidRDefault="00355188" w:rsidP="00646663">
            <w:pPr>
              <w:ind w:hanging="2"/>
              <w:rPr>
                <w:rFonts w:ascii="Arial" w:hAnsi="Arial" w:cs="Arial"/>
                <w:sz w:val="18"/>
                <w:szCs w:val="18"/>
              </w:rPr>
            </w:pPr>
            <w:r w:rsidRPr="00646663">
              <w:rPr>
                <w:rFonts w:ascii="Arial" w:hAnsi="Arial" w:cs="Arial"/>
                <w:noProof/>
                <w:sz w:val="18"/>
                <w:szCs w:val="18"/>
                <w:lang w:val="en-US" w:eastAsia="en-US"/>
              </w:rPr>
              <w:drawing>
                <wp:inline distT="114300" distB="114300" distL="114300" distR="114300" wp14:anchorId="0B74CA91" wp14:editId="1A8BCE6E">
                  <wp:extent cx="685800" cy="736600"/>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0"/>
                          <a:srcRect/>
                          <a:stretch>
                            <a:fillRect/>
                          </a:stretch>
                        </pic:blipFill>
                        <pic:spPr>
                          <a:xfrm>
                            <a:off x="0" y="0"/>
                            <a:ext cx="685800" cy="736600"/>
                          </a:xfrm>
                          <a:prstGeom prst="rect">
                            <a:avLst/>
                          </a:prstGeom>
                          <a:ln/>
                        </pic:spPr>
                      </pic:pic>
                    </a:graphicData>
                  </a:graphic>
                </wp:inline>
              </w:drawing>
            </w:r>
          </w:p>
        </w:tc>
      </w:tr>
      <w:tr w:rsidR="00355188" w:rsidRPr="00646663" w14:paraId="32E334E8" w14:textId="77777777" w:rsidTr="00646663">
        <w:trPr>
          <w:trHeight w:val="1520"/>
        </w:trPr>
        <w:tc>
          <w:tcPr>
            <w:tcW w:w="7085" w:type="dxa"/>
            <w:gridSpan w:val="2"/>
          </w:tcPr>
          <w:p w14:paraId="0D7D686F" w14:textId="77777777" w:rsidR="00355188" w:rsidRPr="00646663" w:rsidRDefault="00355188" w:rsidP="00646663">
            <w:pPr>
              <w:spacing w:before="240" w:after="240"/>
              <w:ind w:hanging="2"/>
              <w:rPr>
                <w:rFonts w:ascii="Arial" w:hAnsi="Arial" w:cs="Arial"/>
                <w:sz w:val="18"/>
                <w:szCs w:val="18"/>
              </w:rPr>
            </w:pPr>
            <w:r w:rsidRPr="00646663">
              <w:rPr>
                <w:rFonts w:ascii="Arial" w:hAnsi="Arial" w:cs="Arial"/>
                <w:b/>
                <w:sz w:val="18"/>
                <w:szCs w:val="18"/>
              </w:rPr>
              <w:t>Ideas, solutions, projects, opportunities:</w:t>
            </w:r>
          </w:p>
          <w:p w14:paraId="1F1C2D16" w14:textId="77777777" w:rsidR="00355188" w:rsidRPr="000A7086" w:rsidRDefault="00355188" w:rsidP="00E42342">
            <w:pPr>
              <w:pStyle w:val="Briefingtext"/>
              <w:numPr>
                <w:ilvl w:val="0"/>
                <w:numId w:val="314"/>
              </w:numPr>
              <w:spacing w:after="0"/>
              <w:rPr>
                <w:sz w:val="18"/>
                <w:szCs w:val="20"/>
              </w:rPr>
            </w:pPr>
            <w:r w:rsidRPr="000A7086">
              <w:rPr>
                <w:sz w:val="20"/>
                <w:szCs w:val="22"/>
              </w:rPr>
              <w:t xml:space="preserve">The automotive industry, but at the risk that the number of employees in </w:t>
            </w:r>
            <w:r w:rsidRPr="000A7086">
              <w:rPr>
                <w:sz w:val="18"/>
                <w:szCs w:val="20"/>
              </w:rPr>
              <w:t>the automotive wiring sub-sector, for example, will decrease.</w:t>
            </w:r>
          </w:p>
          <w:p w14:paraId="16FA78C4"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Social services (home care)</w:t>
            </w:r>
          </w:p>
          <w:p w14:paraId="21F7AD8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Energy sector reconfiguration (PV at CEH) -&gt; technology transfer, energy storage</w:t>
            </w:r>
          </w:p>
          <w:p w14:paraId="35C8E1F8" w14:textId="71413E20"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Electronics and </w:t>
            </w:r>
            <w:r w:rsidR="00A87A4B" w:rsidRPr="000A7086">
              <w:rPr>
                <w:sz w:val="18"/>
                <w:szCs w:val="20"/>
              </w:rPr>
              <w:t>automation-based</w:t>
            </w:r>
            <w:r w:rsidRPr="000A7086">
              <w:rPr>
                <w:sz w:val="18"/>
                <w:szCs w:val="20"/>
              </w:rPr>
              <w:t xml:space="preserve"> industry, battery production</w:t>
            </w:r>
          </w:p>
          <w:p w14:paraId="7691BD55" w14:textId="28FB49C1" w:rsidR="00355188" w:rsidRPr="000A7086" w:rsidRDefault="00355188" w:rsidP="00E42342">
            <w:pPr>
              <w:pStyle w:val="Briefingtext"/>
              <w:numPr>
                <w:ilvl w:val="0"/>
                <w:numId w:val="314"/>
              </w:numPr>
              <w:spacing w:after="0"/>
              <w:textDirection w:val="btLr"/>
              <w:rPr>
                <w:sz w:val="18"/>
                <w:szCs w:val="20"/>
              </w:rPr>
            </w:pPr>
            <w:r w:rsidRPr="000A7086">
              <w:rPr>
                <w:sz w:val="18"/>
                <w:szCs w:val="20"/>
              </w:rPr>
              <w:t>Metal fabrication sector where there is a shortage of qualified personnel, e.g., welders, locksmiths</w:t>
            </w:r>
          </w:p>
          <w:p w14:paraId="501968B4"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PV panel production</w:t>
            </w:r>
          </w:p>
          <w:p w14:paraId="79D2A0E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Services &amp; tourism, bicycle trails</w:t>
            </w:r>
          </w:p>
          <w:p w14:paraId="20746E4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Small and medium-sized enterprises (SMEs) in furniture, woodworking and decoration production</w:t>
            </w:r>
          </w:p>
          <w:p w14:paraId="2DB76D0A" w14:textId="3746174E" w:rsidR="00355188" w:rsidRPr="000A7086" w:rsidRDefault="00355188" w:rsidP="00E42342">
            <w:pPr>
              <w:pStyle w:val="Briefingtext"/>
              <w:numPr>
                <w:ilvl w:val="0"/>
                <w:numId w:val="314"/>
              </w:numPr>
              <w:spacing w:after="0"/>
              <w:textDirection w:val="btLr"/>
              <w:rPr>
                <w:sz w:val="18"/>
                <w:szCs w:val="20"/>
              </w:rPr>
            </w:pPr>
            <w:r w:rsidRPr="000A7086">
              <w:rPr>
                <w:sz w:val="18"/>
                <w:szCs w:val="20"/>
              </w:rPr>
              <w:t>Building materials (e.g., cement production)</w:t>
            </w:r>
          </w:p>
          <w:p w14:paraId="70DEEAE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Plastics industry (examples in the Orăștie area)</w:t>
            </w:r>
          </w:p>
          <w:p w14:paraId="32E68AB1"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Mining of gold, copper, non-ferrous ores</w:t>
            </w:r>
          </w:p>
          <w:p w14:paraId="51637BFF"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Crafts (furniture, textiles, culinary)</w:t>
            </w:r>
          </w:p>
          <w:p w14:paraId="7098BB5A" w14:textId="6382D7C7" w:rsidR="00355188" w:rsidRPr="000A7086" w:rsidRDefault="00355188" w:rsidP="00E42342">
            <w:pPr>
              <w:pStyle w:val="Briefingtext"/>
              <w:numPr>
                <w:ilvl w:val="0"/>
                <w:numId w:val="314"/>
              </w:numPr>
              <w:spacing w:after="0"/>
              <w:textDirection w:val="btLr"/>
              <w:rPr>
                <w:sz w:val="18"/>
                <w:szCs w:val="20"/>
              </w:rPr>
            </w:pPr>
            <w:r w:rsidRPr="000A7086">
              <w:rPr>
                <w:sz w:val="18"/>
                <w:szCs w:val="20"/>
              </w:rPr>
              <w:t>Opportunity for energy efficient solutions for the heat distribution network</w:t>
            </w:r>
          </w:p>
          <w:p w14:paraId="2E58641B" w14:textId="6B48727E" w:rsidR="00355188" w:rsidRPr="000A7086" w:rsidRDefault="00355188" w:rsidP="00E42342">
            <w:pPr>
              <w:pStyle w:val="Briefingtext"/>
              <w:numPr>
                <w:ilvl w:val="0"/>
                <w:numId w:val="314"/>
              </w:numPr>
              <w:spacing w:after="0"/>
              <w:textDirection w:val="btLr"/>
              <w:rPr>
                <w:sz w:val="18"/>
                <w:szCs w:val="20"/>
              </w:rPr>
            </w:pPr>
            <w:r w:rsidRPr="000A7086">
              <w:rPr>
                <w:sz w:val="18"/>
                <w:szCs w:val="20"/>
              </w:rPr>
              <w:t>Transformation of heating power plants using hydrogen (gas), e.g., in Deva, Valea Jiului</w:t>
            </w:r>
          </w:p>
          <w:p w14:paraId="100535C1" w14:textId="00CCBEE6" w:rsidR="00355188" w:rsidRPr="000A7086" w:rsidRDefault="00D77CB1" w:rsidP="00E42342">
            <w:pPr>
              <w:pStyle w:val="Briefingtext"/>
              <w:numPr>
                <w:ilvl w:val="0"/>
                <w:numId w:val="314"/>
              </w:numPr>
              <w:spacing w:after="0"/>
              <w:textDirection w:val="btLr"/>
              <w:rPr>
                <w:sz w:val="18"/>
                <w:szCs w:val="20"/>
              </w:rPr>
            </w:pPr>
            <w:r w:rsidRPr="000A7086">
              <w:rPr>
                <w:sz w:val="18"/>
                <w:szCs w:val="20"/>
              </w:rPr>
              <w:t>Using hydropower</w:t>
            </w:r>
            <w:r w:rsidR="00355188" w:rsidRPr="000A7086">
              <w:rPr>
                <w:sz w:val="18"/>
                <w:szCs w:val="20"/>
              </w:rPr>
              <w:t xml:space="preserve"> systems with storage in former mines (pumped storage)</w:t>
            </w:r>
          </w:p>
          <w:p w14:paraId="32EBEDB4" w14:textId="0BB33661" w:rsidR="00355188" w:rsidRPr="000A7086" w:rsidRDefault="00355188" w:rsidP="00E42342">
            <w:pPr>
              <w:pStyle w:val="Briefingtext"/>
              <w:numPr>
                <w:ilvl w:val="0"/>
                <w:numId w:val="314"/>
              </w:numPr>
              <w:spacing w:after="0"/>
              <w:textDirection w:val="btLr"/>
              <w:rPr>
                <w:sz w:val="18"/>
                <w:szCs w:val="20"/>
              </w:rPr>
            </w:pPr>
            <w:r w:rsidRPr="000A7086">
              <w:rPr>
                <w:sz w:val="18"/>
                <w:szCs w:val="20"/>
              </w:rPr>
              <w:t>Mountain agricultural crops (</w:t>
            </w:r>
            <w:r w:rsidR="00D77CB1" w:rsidRPr="000A7086">
              <w:rPr>
                <w:sz w:val="18"/>
                <w:szCs w:val="20"/>
              </w:rPr>
              <w:t>e.g.,</w:t>
            </w:r>
            <w:r w:rsidRPr="000A7086">
              <w:rPr>
                <w:sz w:val="18"/>
                <w:szCs w:val="20"/>
              </w:rPr>
              <w:t xml:space="preserve"> sea buckthorn)</w:t>
            </w:r>
          </w:p>
          <w:p w14:paraId="200ADBE6"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Retraining opportunities for Arcelor employees</w:t>
            </w:r>
          </w:p>
          <w:p w14:paraId="5BA2C14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Circular economy, recycling and upcycling initiatives</w:t>
            </w:r>
          </w:p>
          <w:p w14:paraId="0DDE6A09" w14:textId="75A9DD6B" w:rsidR="00355188" w:rsidRPr="000A7086" w:rsidRDefault="00316E7A" w:rsidP="00E42342">
            <w:pPr>
              <w:pStyle w:val="Briefingtext"/>
              <w:numPr>
                <w:ilvl w:val="0"/>
                <w:numId w:val="314"/>
              </w:numPr>
              <w:spacing w:after="0"/>
              <w:textDirection w:val="btLr"/>
              <w:rPr>
                <w:sz w:val="18"/>
                <w:szCs w:val="20"/>
              </w:rPr>
            </w:pPr>
            <w:r w:rsidRPr="000A7086">
              <w:rPr>
                <w:sz w:val="18"/>
                <w:szCs w:val="20"/>
              </w:rPr>
              <w:lastRenderedPageBreak/>
              <w:t xml:space="preserve">Productive investments at </w:t>
            </w:r>
            <w:r w:rsidR="00355188" w:rsidRPr="000A7086">
              <w:rPr>
                <w:sz w:val="18"/>
                <w:szCs w:val="20"/>
              </w:rPr>
              <w:t>Insemex</w:t>
            </w:r>
            <w:r w:rsidRPr="000A7086">
              <w:rPr>
                <w:sz w:val="18"/>
                <w:szCs w:val="20"/>
              </w:rPr>
              <w:t xml:space="preserve"> (</w:t>
            </w:r>
            <w:r w:rsidR="00355188" w:rsidRPr="000A7086">
              <w:rPr>
                <w:sz w:val="18"/>
                <w:szCs w:val="20"/>
              </w:rPr>
              <w:t>HSSE</w:t>
            </w:r>
            <w:r w:rsidRPr="000A7086">
              <w:rPr>
                <w:sz w:val="18"/>
                <w:szCs w:val="20"/>
              </w:rPr>
              <w:t xml:space="preserve"> service provider)</w:t>
            </w:r>
          </w:p>
          <w:p w14:paraId="2896A48D"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Greening of the Livezeni area is necessary</w:t>
            </w:r>
          </w:p>
          <w:p w14:paraId="3633816D" w14:textId="5105A039" w:rsidR="00355188" w:rsidRPr="000A7086" w:rsidRDefault="00355188" w:rsidP="00E42342">
            <w:pPr>
              <w:pStyle w:val="Briefingtext"/>
              <w:numPr>
                <w:ilvl w:val="0"/>
                <w:numId w:val="314"/>
              </w:numPr>
              <w:spacing w:after="0"/>
              <w:textDirection w:val="btLr"/>
              <w:rPr>
                <w:sz w:val="18"/>
                <w:szCs w:val="20"/>
              </w:rPr>
            </w:pPr>
            <w:r w:rsidRPr="000A7086">
              <w:rPr>
                <w:sz w:val="18"/>
                <w:szCs w:val="20"/>
              </w:rPr>
              <w:t>It is advisable to direct large investors to an industrial park, the</w:t>
            </w:r>
            <w:r w:rsidR="00316E7A" w:rsidRPr="000A7086">
              <w:rPr>
                <w:sz w:val="18"/>
                <w:szCs w:val="20"/>
              </w:rPr>
              <w:t>re is</w:t>
            </w:r>
            <w:r w:rsidRPr="000A7086">
              <w:rPr>
                <w:sz w:val="18"/>
                <w:szCs w:val="20"/>
              </w:rPr>
              <w:t xml:space="preserve"> opportunity to use land for this purpose in Teliuc.</w:t>
            </w:r>
          </w:p>
          <w:p w14:paraId="70F90205" w14:textId="6F8DEAB0"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The need to increase the attractiveness of places in Hunedoara </w:t>
            </w:r>
            <w:r w:rsidR="00A30CFF" w:rsidRPr="000A7086">
              <w:rPr>
                <w:sz w:val="18"/>
                <w:szCs w:val="20"/>
              </w:rPr>
              <w:t>C</w:t>
            </w:r>
            <w:r w:rsidRPr="000A7086">
              <w:rPr>
                <w:sz w:val="18"/>
                <w:szCs w:val="20"/>
              </w:rPr>
              <w:t>ounty</w:t>
            </w:r>
          </w:p>
          <w:p w14:paraId="1BCF6857" w14:textId="77777777" w:rsidR="00355188" w:rsidRPr="00646663" w:rsidRDefault="00355188" w:rsidP="00646663">
            <w:pPr>
              <w:spacing w:before="240" w:after="240"/>
              <w:ind w:hanging="2"/>
              <w:rPr>
                <w:rFonts w:ascii="Arial" w:hAnsi="Arial" w:cs="Arial"/>
                <w:sz w:val="18"/>
                <w:szCs w:val="18"/>
              </w:rPr>
            </w:pPr>
            <w:r w:rsidRPr="00646663">
              <w:rPr>
                <w:rFonts w:ascii="Arial" w:hAnsi="Arial" w:cs="Arial"/>
                <w:sz w:val="18"/>
                <w:szCs w:val="18"/>
              </w:rPr>
              <w:t xml:space="preserve"> </w:t>
            </w:r>
          </w:p>
          <w:p w14:paraId="7EE28215" w14:textId="77777777" w:rsidR="00355188" w:rsidRPr="00646663" w:rsidRDefault="00355188" w:rsidP="00646663">
            <w:pPr>
              <w:ind w:hanging="2"/>
              <w:rPr>
                <w:rFonts w:ascii="Arial" w:hAnsi="Arial" w:cs="Arial"/>
                <w:sz w:val="18"/>
                <w:szCs w:val="18"/>
              </w:rPr>
            </w:pPr>
          </w:p>
          <w:p w14:paraId="52A54D79" w14:textId="77777777" w:rsidR="00355188" w:rsidRPr="00646663" w:rsidRDefault="00355188" w:rsidP="00646663">
            <w:pPr>
              <w:ind w:hanging="2"/>
              <w:rPr>
                <w:rFonts w:ascii="Arial" w:hAnsi="Arial" w:cs="Arial"/>
                <w:sz w:val="18"/>
                <w:szCs w:val="18"/>
              </w:rPr>
            </w:pPr>
          </w:p>
        </w:tc>
        <w:tc>
          <w:tcPr>
            <w:tcW w:w="7088" w:type="dxa"/>
            <w:gridSpan w:val="2"/>
          </w:tcPr>
          <w:p w14:paraId="2A99FFE3" w14:textId="77777777" w:rsidR="00355188" w:rsidRPr="00646663" w:rsidRDefault="00355188" w:rsidP="00646663">
            <w:pPr>
              <w:spacing w:before="240" w:after="240"/>
              <w:ind w:hanging="2"/>
              <w:rPr>
                <w:rFonts w:ascii="Arial" w:hAnsi="Arial" w:cs="Arial"/>
                <w:sz w:val="18"/>
                <w:szCs w:val="18"/>
              </w:rPr>
            </w:pPr>
            <w:r w:rsidRPr="00646663">
              <w:rPr>
                <w:rFonts w:ascii="Arial" w:hAnsi="Arial" w:cs="Arial"/>
                <w:b/>
                <w:sz w:val="18"/>
                <w:szCs w:val="18"/>
              </w:rPr>
              <w:lastRenderedPageBreak/>
              <w:t>Ideas, solutions, projects, opportunities:</w:t>
            </w:r>
          </w:p>
          <w:p w14:paraId="70FA74A3"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Vocational training, retraining focused on jobs in demand on the regional labour market:</w:t>
            </w:r>
          </w:p>
          <w:p w14:paraId="535994DD" w14:textId="773B17EF" w:rsidR="00355188" w:rsidRPr="000A7086" w:rsidRDefault="00355188" w:rsidP="00E42342">
            <w:pPr>
              <w:pStyle w:val="Briefingtext"/>
              <w:numPr>
                <w:ilvl w:val="0"/>
                <w:numId w:val="314"/>
              </w:numPr>
              <w:spacing w:after="0"/>
              <w:textDirection w:val="btLr"/>
              <w:rPr>
                <w:sz w:val="18"/>
                <w:szCs w:val="20"/>
              </w:rPr>
            </w:pPr>
            <w:r w:rsidRPr="000A7086">
              <w:rPr>
                <w:sz w:val="18"/>
                <w:szCs w:val="20"/>
              </w:rPr>
              <w:t>Internship p</w:t>
            </w:r>
            <w:r w:rsidR="00D206E5">
              <w:rPr>
                <w:sz w:val="18"/>
                <w:szCs w:val="20"/>
              </w:rPr>
              <w:t>rogrammes</w:t>
            </w:r>
            <w:r w:rsidRPr="000A7086">
              <w:rPr>
                <w:sz w:val="18"/>
                <w:szCs w:val="20"/>
              </w:rPr>
              <w:t xml:space="preserve"> for future employees, including trainee p</w:t>
            </w:r>
            <w:r w:rsidR="00D206E5">
              <w:rPr>
                <w:sz w:val="18"/>
                <w:szCs w:val="20"/>
              </w:rPr>
              <w:t>rogrammes</w:t>
            </w:r>
            <w:r w:rsidRPr="000A7086">
              <w:rPr>
                <w:sz w:val="18"/>
                <w:szCs w:val="20"/>
              </w:rPr>
              <w:t>, internships for young people, students</w:t>
            </w:r>
          </w:p>
          <w:p w14:paraId="2EB0C1A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Retraining of miners for green energy jobs</w:t>
            </w:r>
          </w:p>
          <w:p w14:paraId="4E029FBA"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Tailoring qualifications to employers' requirements.</w:t>
            </w:r>
          </w:p>
          <w:p w14:paraId="55B67DE8"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Establishment and development of the training centre for green energy trades</w:t>
            </w:r>
          </w:p>
          <w:p w14:paraId="5509173B"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Energy education for new technologies</w:t>
            </w:r>
          </w:p>
          <w:p w14:paraId="58CD0621"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Education in tourism and hospitality industry</w:t>
            </w:r>
          </w:p>
          <w:p w14:paraId="4C70F5B5"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Entrepreneurship courses for high school and university students</w:t>
            </w:r>
          </w:p>
          <w:p w14:paraId="248EF2CD"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Information and education campaigns for the acquisition of skills</w:t>
            </w:r>
          </w:p>
          <w:p w14:paraId="1B057858"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Changing the conditions of dual education because it now generates high costs for employers</w:t>
            </w:r>
          </w:p>
          <w:p w14:paraId="3BE68197" w14:textId="3271497D" w:rsidR="00355188" w:rsidRPr="000A7086" w:rsidRDefault="00355188" w:rsidP="00E42342">
            <w:pPr>
              <w:pStyle w:val="Briefingtext"/>
              <w:numPr>
                <w:ilvl w:val="0"/>
                <w:numId w:val="314"/>
              </w:numPr>
              <w:spacing w:after="0"/>
              <w:textDirection w:val="btLr"/>
              <w:rPr>
                <w:sz w:val="18"/>
                <w:szCs w:val="20"/>
              </w:rPr>
            </w:pPr>
            <w:r w:rsidRPr="000A7086">
              <w:rPr>
                <w:sz w:val="18"/>
                <w:szCs w:val="20"/>
              </w:rPr>
              <w:t>Social services</w:t>
            </w:r>
          </w:p>
          <w:p w14:paraId="15064B7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Re-engaging people from disadvantaged, marginalised backgrounds. Active employment measures. Development of social services for employees.</w:t>
            </w:r>
          </w:p>
          <w:p w14:paraId="2D8A8E6B"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Social centres for people with disabilities and employees. Partnerships with local authorities and business.</w:t>
            </w:r>
          </w:p>
          <w:p w14:paraId="37866574" w14:textId="77777777" w:rsidR="00355188" w:rsidRPr="00646663" w:rsidRDefault="00355188" w:rsidP="00646663">
            <w:pPr>
              <w:ind w:hanging="2"/>
              <w:rPr>
                <w:rFonts w:ascii="Arial" w:hAnsi="Arial" w:cs="Arial"/>
                <w:sz w:val="18"/>
                <w:szCs w:val="18"/>
              </w:rPr>
            </w:pPr>
          </w:p>
          <w:p w14:paraId="39EEF10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Attracting foreign investors through incentives to increase employment opportunities in the region</w:t>
            </w:r>
          </w:p>
          <w:p w14:paraId="1EA163E0"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IT and electronics industry</w:t>
            </w:r>
          </w:p>
          <w:p w14:paraId="3081430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lastRenderedPageBreak/>
              <w:t>Mobility grants, especially for young people</w:t>
            </w:r>
          </w:p>
          <w:p w14:paraId="69F5DF73"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Training and support for entrepreneurship</w:t>
            </w:r>
          </w:p>
          <w:p w14:paraId="188A328B"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Participation of young people in IT clusters, HUBs, business incubators, entrepreneurship skills</w:t>
            </w:r>
          </w:p>
          <w:p w14:paraId="08C1CA54" w14:textId="3D4BF6E9" w:rsidR="00355188" w:rsidRPr="000A7086" w:rsidRDefault="00355188" w:rsidP="00E42342">
            <w:pPr>
              <w:pStyle w:val="Briefingtext"/>
              <w:numPr>
                <w:ilvl w:val="0"/>
                <w:numId w:val="314"/>
              </w:numPr>
              <w:spacing w:after="0"/>
              <w:textDirection w:val="btLr"/>
              <w:rPr>
                <w:sz w:val="18"/>
                <w:szCs w:val="20"/>
              </w:rPr>
            </w:pPr>
            <w:r w:rsidRPr="000A7086">
              <w:rPr>
                <w:sz w:val="18"/>
                <w:szCs w:val="20"/>
              </w:rPr>
              <w:t>Development of general infrastructure (</w:t>
            </w:r>
            <w:r w:rsidR="00646663" w:rsidRPr="000A7086">
              <w:rPr>
                <w:sz w:val="18"/>
                <w:szCs w:val="20"/>
              </w:rPr>
              <w:t>e.g.,</w:t>
            </w:r>
            <w:r w:rsidRPr="000A7086">
              <w:rPr>
                <w:sz w:val="18"/>
                <w:szCs w:val="20"/>
              </w:rPr>
              <w:t xml:space="preserve"> road infrastructure) that attracts private investment</w:t>
            </w:r>
          </w:p>
          <w:p w14:paraId="0D7BA51A"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Supporting entrepreneurs in terms of employee wages through tax policies</w:t>
            </w:r>
          </w:p>
          <w:p w14:paraId="5B798CD8" w14:textId="4CF450DA"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LAG </w:t>
            </w:r>
            <w:r w:rsidR="00316E7A" w:rsidRPr="000A7086">
              <w:rPr>
                <w:sz w:val="18"/>
                <w:szCs w:val="20"/>
              </w:rPr>
              <w:t xml:space="preserve">(Local Action Group) </w:t>
            </w:r>
            <w:r w:rsidRPr="000A7086">
              <w:rPr>
                <w:sz w:val="18"/>
                <w:szCs w:val="20"/>
              </w:rPr>
              <w:t>funding of local business ideas</w:t>
            </w:r>
          </w:p>
          <w:p w14:paraId="611D0F5C" w14:textId="77777777" w:rsidR="00355188" w:rsidRPr="00646663" w:rsidRDefault="00355188" w:rsidP="00E42342">
            <w:pPr>
              <w:pStyle w:val="Briefingtext"/>
              <w:numPr>
                <w:ilvl w:val="0"/>
                <w:numId w:val="314"/>
              </w:numPr>
              <w:spacing w:after="0"/>
              <w:textDirection w:val="btLr"/>
              <w:rPr>
                <w:sz w:val="18"/>
                <w:szCs w:val="18"/>
              </w:rPr>
            </w:pPr>
            <w:r w:rsidRPr="000A7086">
              <w:rPr>
                <w:sz w:val="18"/>
                <w:szCs w:val="20"/>
              </w:rPr>
              <w:t>Development of cultural events to retain young people in the area</w:t>
            </w:r>
          </w:p>
        </w:tc>
      </w:tr>
      <w:tr w:rsidR="00355188" w:rsidRPr="00646663" w14:paraId="6522DA9E" w14:textId="77777777" w:rsidTr="00646663">
        <w:trPr>
          <w:trHeight w:val="1115"/>
        </w:trPr>
        <w:tc>
          <w:tcPr>
            <w:tcW w:w="5687" w:type="dxa"/>
          </w:tcPr>
          <w:p w14:paraId="5171851E" w14:textId="13F50E71" w:rsidR="00355188" w:rsidRPr="00646663" w:rsidRDefault="00355188" w:rsidP="00646663">
            <w:pPr>
              <w:spacing w:after="240"/>
              <w:ind w:hanging="2"/>
              <w:rPr>
                <w:rFonts w:ascii="Arial" w:hAnsi="Arial" w:cs="Arial"/>
                <w:b/>
                <w:sz w:val="18"/>
                <w:szCs w:val="18"/>
              </w:rPr>
            </w:pPr>
            <w:r w:rsidRPr="00646663">
              <w:rPr>
                <w:rFonts w:ascii="Arial" w:hAnsi="Arial" w:cs="Arial"/>
                <w:b/>
                <w:sz w:val="18"/>
                <w:szCs w:val="18"/>
              </w:rPr>
              <w:lastRenderedPageBreak/>
              <w:t>Environmental challenges and opportunities (including recapitali</w:t>
            </w:r>
            <w:r w:rsidR="00A30CFF" w:rsidRPr="00646663">
              <w:rPr>
                <w:rFonts w:ascii="Arial" w:hAnsi="Arial" w:cs="Arial"/>
                <w:b/>
                <w:sz w:val="18"/>
                <w:szCs w:val="18"/>
              </w:rPr>
              <w:t>s</w:t>
            </w:r>
            <w:r w:rsidRPr="00646663">
              <w:rPr>
                <w:rFonts w:ascii="Arial" w:hAnsi="Arial" w:cs="Arial"/>
                <w:b/>
                <w:sz w:val="18"/>
                <w:szCs w:val="18"/>
              </w:rPr>
              <w:t>ation of “brownfield”</w:t>
            </w:r>
            <w:r w:rsidR="00646663" w:rsidRPr="00646663">
              <w:rPr>
                <w:rFonts w:ascii="Arial" w:hAnsi="Arial" w:cs="Arial"/>
                <w:b/>
                <w:sz w:val="18"/>
                <w:szCs w:val="18"/>
              </w:rPr>
              <w:t xml:space="preserve"> </w:t>
            </w:r>
            <w:r w:rsidRPr="00646663">
              <w:rPr>
                <w:rFonts w:ascii="Arial" w:hAnsi="Arial" w:cs="Arial"/>
                <w:b/>
                <w:sz w:val="18"/>
                <w:szCs w:val="18"/>
              </w:rPr>
              <w:t xml:space="preserve">areas) </w:t>
            </w:r>
          </w:p>
          <w:p w14:paraId="0B0CABC4" w14:textId="77777777" w:rsidR="00355188" w:rsidRPr="00646663" w:rsidRDefault="00355188" w:rsidP="00646663">
            <w:pPr>
              <w:spacing w:after="240"/>
              <w:ind w:hanging="2"/>
              <w:rPr>
                <w:rFonts w:ascii="Arial" w:hAnsi="Arial" w:cs="Arial"/>
                <w:sz w:val="18"/>
                <w:szCs w:val="18"/>
              </w:rPr>
            </w:pPr>
            <w:r w:rsidRPr="00646663">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as resources for our region/county?</w:t>
            </w:r>
          </w:p>
        </w:tc>
        <w:tc>
          <w:tcPr>
            <w:tcW w:w="1398" w:type="dxa"/>
          </w:tcPr>
          <w:p w14:paraId="002625D8" w14:textId="77777777" w:rsidR="00355188" w:rsidRPr="00646663" w:rsidRDefault="00355188" w:rsidP="00646663">
            <w:pPr>
              <w:ind w:hanging="2"/>
              <w:rPr>
                <w:rFonts w:ascii="Arial" w:hAnsi="Arial" w:cs="Arial"/>
                <w:sz w:val="18"/>
                <w:szCs w:val="18"/>
              </w:rPr>
            </w:pPr>
            <w:r w:rsidRPr="00646663">
              <w:rPr>
                <w:rFonts w:ascii="Arial" w:hAnsi="Arial" w:cs="Arial"/>
                <w:noProof/>
                <w:sz w:val="18"/>
                <w:szCs w:val="18"/>
                <w:lang w:val="en-US" w:eastAsia="en-US"/>
              </w:rPr>
              <w:drawing>
                <wp:inline distT="114300" distB="114300" distL="114300" distR="114300" wp14:anchorId="007B1CD2" wp14:editId="0E0D4303">
                  <wp:extent cx="752475" cy="774700"/>
                  <wp:effectExtent l="0" t="0" r="0" 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1"/>
                          <a:srcRect/>
                          <a:stretch>
                            <a:fillRect/>
                          </a:stretch>
                        </pic:blipFill>
                        <pic:spPr>
                          <a:xfrm>
                            <a:off x="0" y="0"/>
                            <a:ext cx="752475" cy="774700"/>
                          </a:xfrm>
                          <a:prstGeom prst="rect">
                            <a:avLst/>
                          </a:prstGeom>
                          <a:ln/>
                        </pic:spPr>
                      </pic:pic>
                    </a:graphicData>
                  </a:graphic>
                </wp:inline>
              </w:drawing>
            </w:r>
          </w:p>
        </w:tc>
        <w:tc>
          <w:tcPr>
            <w:tcW w:w="5802" w:type="dxa"/>
          </w:tcPr>
          <w:p w14:paraId="52868651" w14:textId="77777777" w:rsidR="00355188" w:rsidRPr="00646663" w:rsidRDefault="00355188" w:rsidP="00646663">
            <w:pPr>
              <w:spacing w:before="100"/>
              <w:ind w:hanging="2"/>
              <w:rPr>
                <w:rFonts w:ascii="Arial" w:hAnsi="Arial" w:cs="Arial"/>
                <w:b/>
                <w:sz w:val="18"/>
                <w:szCs w:val="18"/>
              </w:rPr>
            </w:pPr>
            <w:r w:rsidRPr="00646663">
              <w:rPr>
                <w:rFonts w:ascii="Arial" w:hAnsi="Arial" w:cs="Arial"/>
                <w:b/>
                <w:sz w:val="18"/>
                <w:szCs w:val="18"/>
              </w:rPr>
              <w:t>SME and entrepreneurship - vectors of regional development</w:t>
            </w:r>
          </w:p>
          <w:p w14:paraId="0DDBA9C5" w14:textId="067051DB" w:rsidR="00355188" w:rsidRPr="00646663" w:rsidRDefault="00355188" w:rsidP="00646663">
            <w:pPr>
              <w:spacing w:before="240"/>
              <w:ind w:hanging="2"/>
              <w:rPr>
                <w:rFonts w:ascii="Arial" w:hAnsi="Arial" w:cs="Arial"/>
                <w:sz w:val="18"/>
                <w:szCs w:val="18"/>
              </w:rPr>
            </w:pPr>
            <w:r w:rsidRPr="00646663">
              <w:rPr>
                <w:rFonts w:ascii="Arial" w:hAnsi="Arial" w:cs="Arial"/>
                <w:i/>
                <w:sz w:val="18"/>
                <w:szCs w:val="18"/>
              </w:rPr>
              <w:t xml:space="preserve">What are the priority areas where SMEs can generate accelerated development in the region/county? How can we support the accelerated development of SMEs in our region/county? What makes our county unique? (from a SME perspective) </w:t>
            </w:r>
          </w:p>
        </w:tc>
        <w:tc>
          <w:tcPr>
            <w:tcW w:w="1286" w:type="dxa"/>
          </w:tcPr>
          <w:p w14:paraId="3F0CB259" w14:textId="77777777" w:rsidR="00355188" w:rsidRPr="00646663" w:rsidRDefault="00355188" w:rsidP="00646663">
            <w:pPr>
              <w:ind w:hanging="2"/>
              <w:rPr>
                <w:rFonts w:ascii="Arial" w:hAnsi="Arial" w:cs="Arial"/>
                <w:sz w:val="18"/>
                <w:szCs w:val="18"/>
              </w:rPr>
            </w:pPr>
            <w:r w:rsidRPr="00646663">
              <w:rPr>
                <w:rFonts w:ascii="Arial" w:hAnsi="Arial" w:cs="Arial"/>
                <w:noProof/>
                <w:sz w:val="18"/>
                <w:szCs w:val="18"/>
                <w:lang w:val="en-US" w:eastAsia="en-US"/>
              </w:rPr>
              <w:drawing>
                <wp:inline distT="114300" distB="114300" distL="114300" distR="114300" wp14:anchorId="2DD08FB3" wp14:editId="3525A18E">
                  <wp:extent cx="685800" cy="660400"/>
                  <wp:effectExtent l="0" t="0" r="0" b="0"/>
                  <wp:docPr id="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82"/>
                          <a:srcRect/>
                          <a:stretch>
                            <a:fillRect/>
                          </a:stretch>
                        </pic:blipFill>
                        <pic:spPr>
                          <a:xfrm>
                            <a:off x="0" y="0"/>
                            <a:ext cx="685800" cy="660400"/>
                          </a:xfrm>
                          <a:prstGeom prst="rect">
                            <a:avLst/>
                          </a:prstGeom>
                          <a:ln/>
                        </pic:spPr>
                      </pic:pic>
                    </a:graphicData>
                  </a:graphic>
                </wp:inline>
              </w:drawing>
            </w:r>
          </w:p>
        </w:tc>
      </w:tr>
      <w:tr w:rsidR="00355188" w:rsidRPr="00646663" w14:paraId="78EAFBDA" w14:textId="77777777" w:rsidTr="00EE02DE">
        <w:trPr>
          <w:trHeight w:val="200"/>
        </w:trPr>
        <w:tc>
          <w:tcPr>
            <w:tcW w:w="7085" w:type="dxa"/>
            <w:gridSpan w:val="2"/>
          </w:tcPr>
          <w:p w14:paraId="0529DAE2" w14:textId="77777777" w:rsidR="00355188" w:rsidRPr="00646663" w:rsidRDefault="00355188" w:rsidP="00646663">
            <w:pPr>
              <w:spacing w:before="240" w:after="240"/>
              <w:ind w:hanging="2"/>
              <w:rPr>
                <w:rFonts w:ascii="Arial" w:hAnsi="Arial" w:cs="Arial"/>
                <w:b/>
                <w:sz w:val="18"/>
                <w:szCs w:val="18"/>
              </w:rPr>
            </w:pPr>
            <w:r w:rsidRPr="00646663">
              <w:rPr>
                <w:rFonts w:ascii="Arial" w:hAnsi="Arial" w:cs="Arial"/>
                <w:b/>
                <w:sz w:val="18"/>
                <w:szCs w:val="18"/>
              </w:rPr>
              <w:t>Important general aspects:</w:t>
            </w:r>
          </w:p>
          <w:p w14:paraId="31BED0C4"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Some land may be subject to re-conversion after 2025-2030</w:t>
            </w:r>
          </w:p>
          <w:p w14:paraId="005BBFAE" w14:textId="23C85936"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Many brownfield sites are not used for mining, but owned by </w:t>
            </w:r>
            <w:r w:rsidR="00316E7A" w:rsidRPr="000A7086">
              <w:rPr>
                <w:sz w:val="18"/>
                <w:szCs w:val="20"/>
              </w:rPr>
              <w:t>the Romanian Railroad Company (CFR)</w:t>
            </w:r>
          </w:p>
          <w:p w14:paraId="5AD52CD5" w14:textId="24A83CA7" w:rsidR="00355188" w:rsidRPr="000A7086" w:rsidRDefault="00355188" w:rsidP="00E42342">
            <w:pPr>
              <w:pStyle w:val="Briefingtext"/>
              <w:numPr>
                <w:ilvl w:val="0"/>
                <w:numId w:val="315"/>
              </w:numPr>
              <w:spacing w:after="0"/>
              <w:textDirection w:val="btLr"/>
              <w:rPr>
                <w:sz w:val="18"/>
                <w:szCs w:val="20"/>
              </w:rPr>
            </w:pPr>
            <w:r w:rsidRPr="000A7086">
              <w:rPr>
                <w:sz w:val="18"/>
                <w:szCs w:val="20"/>
              </w:rPr>
              <w:t>Abandoned CFR land is accessible and must be part of major projects</w:t>
            </w:r>
          </w:p>
          <w:p w14:paraId="3F25D12E" w14:textId="25E3673F" w:rsidR="00355188" w:rsidRPr="000A7086" w:rsidRDefault="00355188" w:rsidP="00E42342">
            <w:pPr>
              <w:pStyle w:val="Briefingtext"/>
              <w:numPr>
                <w:ilvl w:val="0"/>
                <w:numId w:val="315"/>
              </w:numPr>
              <w:spacing w:after="0"/>
              <w:textDirection w:val="btLr"/>
              <w:rPr>
                <w:sz w:val="18"/>
                <w:szCs w:val="20"/>
              </w:rPr>
            </w:pPr>
            <w:r w:rsidRPr="000A7086">
              <w:rPr>
                <w:sz w:val="18"/>
                <w:szCs w:val="20"/>
              </w:rPr>
              <w:t>There is a need for intercounty cooperation on railways (modernisation, development)</w:t>
            </w:r>
          </w:p>
          <w:p w14:paraId="28D6A5DB" w14:textId="765A7942" w:rsidR="00355188" w:rsidRPr="000A7086" w:rsidRDefault="00355188" w:rsidP="00E42342">
            <w:pPr>
              <w:pStyle w:val="Briefingtext"/>
              <w:numPr>
                <w:ilvl w:val="0"/>
                <w:numId w:val="315"/>
              </w:numPr>
              <w:spacing w:after="0"/>
              <w:textDirection w:val="btLr"/>
              <w:rPr>
                <w:sz w:val="18"/>
                <w:szCs w:val="20"/>
              </w:rPr>
            </w:pPr>
            <w:r w:rsidRPr="000A7086">
              <w:rPr>
                <w:sz w:val="18"/>
                <w:szCs w:val="20"/>
              </w:rPr>
              <w:t>CFR trains provide access to all other brownfield sites</w:t>
            </w:r>
          </w:p>
          <w:p w14:paraId="4DA59BB9" w14:textId="76324BCB"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It should be possible to partner with land owners whose land does not belong to the </w:t>
            </w:r>
            <w:r w:rsidR="00316E7A" w:rsidRPr="000A7086">
              <w:rPr>
                <w:sz w:val="18"/>
                <w:szCs w:val="20"/>
              </w:rPr>
              <w:t>territorial administrative unit (TAU)</w:t>
            </w:r>
            <w:r w:rsidRPr="000A7086">
              <w:rPr>
                <w:sz w:val="18"/>
                <w:szCs w:val="20"/>
              </w:rPr>
              <w:t>.</w:t>
            </w:r>
          </w:p>
          <w:p w14:paraId="6553E7E3"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It is necessary to check whether these brownfield sites are stable, not affected by landslides, their level of contamination, etc.</w:t>
            </w:r>
          </w:p>
          <w:p w14:paraId="5EF3EDF1" w14:textId="7CE81D89"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The industrial heritage of the county can be protected (the industrial identity of the county) and redevelopment projects can be carried out in many directions </w:t>
            </w:r>
            <w:r w:rsidR="00646663" w:rsidRPr="000A7086">
              <w:rPr>
                <w:sz w:val="18"/>
                <w:szCs w:val="20"/>
              </w:rPr>
              <w:t>e.g.,</w:t>
            </w:r>
            <w:r w:rsidRPr="000A7086">
              <w:rPr>
                <w:sz w:val="18"/>
                <w:szCs w:val="20"/>
              </w:rPr>
              <w:t xml:space="preserve"> offices, social, recreation etc.</w:t>
            </w:r>
          </w:p>
          <w:p w14:paraId="4EFC27C4" w14:textId="7539D7A4" w:rsidR="00355188" w:rsidRPr="000A7086" w:rsidRDefault="00355188" w:rsidP="00E42342">
            <w:pPr>
              <w:pStyle w:val="Briefingtext"/>
              <w:numPr>
                <w:ilvl w:val="0"/>
                <w:numId w:val="314"/>
              </w:numPr>
              <w:spacing w:after="0"/>
              <w:textDirection w:val="btLr"/>
              <w:rPr>
                <w:sz w:val="18"/>
                <w:szCs w:val="20"/>
              </w:rPr>
            </w:pPr>
            <w:r w:rsidRPr="000A7086">
              <w:rPr>
                <w:sz w:val="18"/>
                <w:szCs w:val="20"/>
              </w:rPr>
              <w:t>INSEMEX Petroșani (environmental protection laboratory focused on industrial activities, restoration of mining sites, environmental assessment, studies, institutional development projects, expertise in the use of modern tools to be used in environmental research and analysis in the area</w:t>
            </w:r>
          </w:p>
          <w:p w14:paraId="3A8E75A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LAGs are well acquainted with the managed territories. LAGs could manage local projects/quota from funds directly directed to LAGs to support local projects.</w:t>
            </w:r>
          </w:p>
          <w:p w14:paraId="06444D48" w14:textId="24CC80BC" w:rsidR="00355188" w:rsidRPr="000A7086" w:rsidRDefault="00D77CB1" w:rsidP="00E42342">
            <w:pPr>
              <w:pStyle w:val="Briefingtext"/>
              <w:numPr>
                <w:ilvl w:val="0"/>
                <w:numId w:val="314"/>
              </w:numPr>
              <w:spacing w:after="0"/>
              <w:textDirection w:val="btLr"/>
              <w:rPr>
                <w:sz w:val="18"/>
                <w:szCs w:val="20"/>
              </w:rPr>
            </w:pPr>
            <w:r w:rsidRPr="000A7086">
              <w:rPr>
                <w:sz w:val="18"/>
                <w:szCs w:val="20"/>
              </w:rPr>
              <w:lastRenderedPageBreak/>
              <w:t>F</w:t>
            </w:r>
            <w:r w:rsidR="00355188" w:rsidRPr="000A7086">
              <w:rPr>
                <w:sz w:val="18"/>
                <w:szCs w:val="20"/>
              </w:rPr>
              <w:t>or the Livezeni and Vulcan mines there seems to be no clear timetable yet for the coal phase-out process. Possible effect on the decision to support funding in the area.</w:t>
            </w:r>
          </w:p>
          <w:p w14:paraId="05556CD2" w14:textId="77777777" w:rsidR="00355188" w:rsidRPr="00646663" w:rsidRDefault="00355188" w:rsidP="00646663">
            <w:pPr>
              <w:spacing w:before="240" w:after="240"/>
              <w:ind w:hanging="2"/>
              <w:rPr>
                <w:rFonts w:ascii="Arial" w:hAnsi="Arial" w:cs="Arial"/>
                <w:b/>
                <w:sz w:val="18"/>
                <w:szCs w:val="18"/>
              </w:rPr>
            </w:pPr>
            <w:r w:rsidRPr="00646663">
              <w:rPr>
                <w:rFonts w:ascii="Arial" w:hAnsi="Arial" w:cs="Arial"/>
                <w:b/>
                <w:sz w:val="18"/>
                <w:szCs w:val="18"/>
              </w:rPr>
              <w:t>Ideas, solutions, projects, opportunities</w:t>
            </w:r>
          </w:p>
          <w:p w14:paraId="393C6777" w14:textId="4FAF3E48"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 xml:space="preserve">Development of interlocal rail transport/example, in the Jiu Valley, </w:t>
            </w:r>
            <w:r w:rsidR="00A30CFF" w:rsidRPr="000A7086">
              <w:rPr>
                <w:sz w:val="18"/>
                <w:szCs w:val="20"/>
              </w:rPr>
              <w:t>bike</w:t>
            </w:r>
            <w:r w:rsidRPr="000A7086">
              <w:rPr>
                <w:sz w:val="18"/>
                <w:szCs w:val="20"/>
              </w:rPr>
              <w:t xml:space="preserve"> trails and other means of transport, scooters, etc.</w:t>
            </w:r>
          </w:p>
          <w:p w14:paraId="5D5A1C64"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alternative transport and local amenities according to the mobility plan</w:t>
            </w:r>
          </w:p>
          <w:p w14:paraId="65001233" w14:textId="586CA149"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photovoltaic parks that could be jointly realised by neighbouring TAUs (</w:t>
            </w:r>
            <w:r w:rsidR="00245078" w:rsidRPr="000A7086">
              <w:rPr>
                <w:sz w:val="18"/>
                <w:szCs w:val="20"/>
              </w:rPr>
              <w:t>e.g.,</w:t>
            </w:r>
            <w:r w:rsidRPr="000A7086">
              <w:rPr>
                <w:sz w:val="18"/>
                <w:szCs w:val="20"/>
              </w:rPr>
              <w:t xml:space="preserve"> TAUs in Valea Jiului)</w:t>
            </w:r>
          </w:p>
          <w:p w14:paraId="4EC7219E"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The development of ecological tourism is necessary</w:t>
            </w:r>
          </w:p>
          <w:p w14:paraId="4861843D"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Integrated waste management capacities should be developed</w:t>
            </w:r>
          </w:p>
          <w:p w14:paraId="601AE9D5" w14:textId="329DE1AB"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Solutions for the transformation of brownfield sites into:</w:t>
            </w:r>
          </w:p>
          <w:p w14:paraId="038969C6" w14:textId="61FFE764" w:rsidR="00355188" w:rsidRPr="000A7086" w:rsidRDefault="00355188" w:rsidP="00E42342">
            <w:pPr>
              <w:pStyle w:val="Briefingtext"/>
              <w:numPr>
                <w:ilvl w:val="0"/>
                <w:numId w:val="315"/>
              </w:numPr>
              <w:pBdr>
                <w:top w:val="nil"/>
                <w:left w:val="nil"/>
                <w:bottom w:val="nil"/>
                <w:right w:val="nil"/>
                <w:between w:val="nil"/>
              </w:pBdr>
              <w:spacing w:after="0"/>
              <w:textDirection w:val="btLr"/>
              <w:rPr>
                <w:sz w:val="18"/>
                <w:szCs w:val="20"/>
              </w:rPr>
            </w:pPr>
            <w:r w:rsidRPr="000A7086">
              <w:rPr>
                <w:sz w:val="18"/>
                <w:szCs w:val="20"/>
              </w:rPr>
              <w:t>technology parks, innovation centres, bioenergy</w:t>
            </w:r>
          </w:p>
          <w:p w14:paraId="49AB78CB" w14:textId="0B9F093A" w:rsidR="00355188" w:rsidRPr="000A7086" w:rsidRDefault="00355188" w:rsidP="00E42342">
            <w:pPr>
              <w:pStyle w:val="Briefingtext"/>
              <w:numPr>
                <w:ilvl w:val="0"/>
                <w:numId w:val="315"/>
              </w:numPr>
              <w:pBdr>
                <w:top w:val="nil"/>
                <w:left w:val="nil"/>
                <w:bottom w:val="nil"/>
                <w:right w:val="nil"/>
                <w:between w:val="nil"/>
              </w:pBdr>
              <w:spacing w:after="0"/>
              <w:textDirection w:val="btLr"/>
              <w:rPr>
                <w:sz w:val="18"/>
                <w:szCs w:val="20"/>
              </w:rPr>
            </w:pPr>
            <w:r w:rsidRPr="000A7086">
              <w:rPr>
                <w:sz w:val="18"/>
                <w:szCs w:val="20"/>
              </w:rPr>
              <w:t>parks/green spaces</w:t>
            </w:r>
          </w:p>
          <w:p w14:paraId="5245CF7F" w14:textId="54E7E5FD"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opportunities in museum complexes - to enhance the region's industrial heritage</w:t>
            </w:r>
          </w:p>
          <w:p w14:paraId="5B362D7A" w14:textId="24A71393" w:rsidR="00355188" w:rsidRPr="000A7086" w:rsidRDefault="00355188" w:rsidP="00E42342">
            <w:pPr>
              <w:pStyle w:val="Briefingtext"/>
              <w:numPr>
                <w:ilvl w:val="0"/>
                <w:numId w:val="315"/>
              </w:numPr>
              <w:pBdr>
                <w:top w:val="nil"/>
                <w:left w:val="nil"/>
                <w:bottom w:val="nil"/>
                <w:right w:val="nil"/>
                <w:between w:val="nil"/>
              </w:pBdr>
              <w:spacing w:after="0"/>
              <w:textDirection w:val="btLr"/>
              <w:rPr>
                <w:sz w:val="18"/>
                <w:szCs w:val="20"/>
              </w:rPr>
            </w:pPr>
            <w:r w:rsidRPr="000A7086">
              <w:rPr>
                <w:sz w:val="18"/>
                <w:szCs w:val="20"/>
              </w:rPr>
              <w:t xml:space="preserve">investments in impact mural </w:t>
            </w:r>
            <w:r w:rsidR="00245078" w:rsidRPr="000A7086">
              <w:rPr>
                <w:sz w:val="18"/>
                <w:szCs w:val="20"/>
              </w:rPr>
              <w:t>paintings and</w:t>
            </w:r>
            <w:r w:rsidRPr="000A7086">
              <w:rPr>
                <w:sz w:val="18"/>
                <w:szCs w:val="20"/>
              </w:rPr>
              <w:t xml:space="preserve"> pollution reduction processes</w:t>
            </w:r>
          </w:p>
          <w:p w14:paraId="487B8234" w14:textId="77777777" w:rsidR="00355188" w:rsidRPr="00646663" w:rsidRDefault="00355188" w:rsidP="00646663">
            <w:pPr>
              <w:pBdr>
                <w:top w:val="nil"/>
                <w:left w:val="nil"/>
                <w:bottom w:val="nil"/>
                <w:right w:val="nil"/>
                <w:between w:val="nil"/>
              </w:pBdr>
              <w:ind w:hanging="2"/>
              <w:rPr>
                <w:rFonts w:ascii="Arial" w:hAnsi="Arial" w:cs="Arial"/>
                <w:sz w:val="18"/>
                <w:szCs w:val="18"/>
              </w:rPr>
            </w:pPr>
          </w:p>
          <w:p w14:paraId="172766CA" w14:textId="193CDEB7" w:rsidR="00355188" w:rsidRPr="00646663" w:rsidRDefault="00355188" w:rsidP="00646663">
            <w:pPr>
              <w:pBdr>
                <w:top w:val="nil"/>
                <w:left w:val="nil"/>
                <w:bottom w:val="nil"/>
                <w:right w:val="nil"/>
                <w:between w:val="nil"/>
              </w:pBdr>
              <w:spacing w:after="120"/>
              <w:rPr>
                <w:rFonts w:ascii="Arial" w:hAnsi="Arial" w:cs="Arial"/>
                <w:sz w:val="18"/>
                <w:szCs w:val="18"/>
              </w:rPr>
            </w:pPr>
            <w:r w:rsidRPr="00646663">
              <w:rPr>
                <w:rFonts w:ascii="Arial" w:hAnsi="Arial" w:cs="Arial"/>
                <w:sz w:val="18"/>
                <w:szCs w:val="18"/>
              </w:rPr>
              <w:t>Specificity of Petrila:</w:t>
            </w:r>
          </w:p>
          <w:p w14:paraId="5D9F1E76"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production infrastructure (former Petrila Mine site) to be leased to investors. Existing demand from the economic sector</w:t>
            </w:r>
          </w:p>
          <w:p w14:paraId="3C606EDB" w14:textId="6312EB82"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 xml:space="preserve">Re-assignment of buildings, </w:t>
            </w:r>
            <w:r w:rsidR="00D4062A" w:rsidRPr="000A7086">
              <w:rPr>
                <w:sz w:val="18"/>
                <w:szCs w:val="20"/>
              </w:rPr>
              <w:t>e.g.,</w:t>
            </w:r>
            <w:r w:rsidRPr="000A7086">
              <w:rPr>
                <w:sz w:val="18"/>
                <w:szCs w:val="20"/>
              </w:rPr>
              <w:t xml:space="preserve"> mining buildings owned by APL, creation of visitor centres, administrative buildings, etc.</w:t>
            </w:r>
          </w:p>
          <w:p w14:paraId="5A89A72A"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a recreational park on the UNEX lake area</w:t>
            </w:r>
          </w:p>
          <w:p w14:paraId="6DDEEDC4" w14:textId="77777777" w:rsidR="00355188" w:rsidRPr="00646663" w:rsidRDefault="00355188" w:rsidP="00646663">
            <w:pPr>
              <w:pBdr>
                <w:top w:val="nil"/>
                <w:left w:val="nil"/>
                <w:bottom w:val="nil"/>
                <w:right w:val="nil"/>
                <w:between w:val="nil"/>
              </w:pBdr>
              <w:ind w:hanging="2"/>
              <w:rPr>
                <w:rFonts w:ascii="Arial" w:hAnsi="Arial" w:cs="Arial"/>
                <w:sz w:val="18"/>
                <w:szCs w:val="18"/>
              </w:rPr>
            </w:pPr>
          </w:p>
          <w:p w14:paraId="6DFB325A" w14:textId="4151EA58" w:rsidR="00355188" w:rsidRPr="00646663" w:rsidRDefault="00355188" w:rsidP="00646663">
            <w:pPr>
              <w:pBdr>
                <w:top w:val="nil"/>
                <w:left w:val="nil"/>
                <w:bottom w:val="nil"/>
                <w:right w:val="nil"/>
                <w:between w:val="nil"/>
              </w:pBdr>
              <w:spacing w:after="120"/>
              <w:rPr>
                <w:rFonts w:ascii="Arial" w:hAnsi="Arial" w:cs="Arial"/>
                <w:sz w:val="18"/>
                <w:szCs w:val="18"/>
              </w:rPr>
            </w:pPr>
            <w:r w:rsidRPr="00646663">
              <w:rPr>
                <w:rFonts w:ascii="Arial" w:hAnsi="Arial" w:cs="Arial"/>
                <w:sz w:val="18"/>
                <w:szCs w:val="18"/>
              </w:rPr>
              <w:t>Specificity of Uricani (and Aninoasa):</w:t>
            </w:r>
          </w:p>
          <w:p w14:paraId="58C7A420"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Production of gas/hydrogen using the land in the area to replace coal- heating.</w:t>
            </w:r>
          </w:p>
          <w:p w14:paraId="7DF03C28"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 xml:space="preserve">In Uricani, on the Campul lui Neag platform, the former tailings pond can become a park with sports and recreational infrastructure (picnic, zip lines etc) </w:t>
            </w:r>
          </w:p>
          <w:p w14:paraId="0440D740"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Buildings can be used for administration &amp; services</w:t>
            </w:r>
          </w:p>
          <w:p w14:paraId="468E6A85" w14:textId="13C46762"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Opportunity to develop a photovoltaic park for energy production for public lighting, public buildings so as to contribute to energy efficiency</w:t>
            </w:r>
          </w:p>
          <w:p w14:paraId="5DF959C7" w14:textId="77777777" w:rsidR="00245078" w:rsidRPr="00646663" w:rsidRDefault="00245078" w:rsidP="00646663">
            <w:pPr>
              <w:pBdr>
                <w:top w:val="nil"/>
                <w:left w:val="nil"/>
                <w:bottom w:val="nil"/>
                <w:right w:val="nil"/>
                <w:between w:val="nil"/>
              </w:pBdr>
              <w:rPr>
                <w:rFonts w:ascii="Arial" w:hAnsi="Arial" w:cs="Arial"/>
                <w:sz w:val="18"/>
                <w:szCs w:val="18"/>
              </w:rPr>
            </w:pPr>
          </w:p>
          <w:p w14:paraId="5B5934DC" w14:textId="2835E39B" w:rsidR="00646663" w:rsidRPr="00646663" w:rsidRDefault="00355188" w:rsidP="00646663">
            <w:pPr>
              <w:pBdr>
                <w:top w:val="nil"/>
                <w:left w:val="nil"/>
                <w:bottom w:val="nil"/>
                <w:right w:val="nil"/>
                <w:between w:val="nil"/>
              </w:pBdr>
              <w:spacing w:after="120"/>
              <w:rPr>
                <w:rFonts w:ascii="Arial" w:hAnsi="Arial" w:cs="Arial"/>
                <w:sz w:val="18"/>
                <w:szCs w:val="18"/>
              </w:rPr>
            </w:pPr>
            <w:r w:rsidRPr="00646663">
              <w:rPr>
                <w:rFonts w:ascii="Arial" w:hAnsi="Arial" w:cs="Arial"/>
                <w:sz w:val="18"/>
                <w:szCs w:val="18"/>
              </w:rPr>
              <w:t>Specificity of Uricani:</w:t>
            </w:r>
          </w:p>
          <w:p w14:paraId="59D09535"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electric transportation, possible joint project with neighbouring TAU (for public transport, school) and in line with the Mobility Plan.</w:t>
            </w:r>
          </w:p>
          <w:p w14:paraId="31F9092B" w14:textId="6CA2C0C0"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Development of an industrial park in the area</w:t>
            </w:r>
          </w:p>
          <w:p w14:paraId="4DD3A7FE" w14:textId="77777777" w:rsidR="00245078" w:rsidRPr="00646663" w:rsidRDefault="00245078" w:rsidP="00646663">
            <w:pPr>
              <w:pBdr>
                <w:top w:val="nil"/>
                <w:left w:val="nil"/>
                <w:bottom w:val="nil"/>
                <w:right w:val="nil"/>
                <w:between w:val="nil"/>
              </w:pBdr>
              <w:rPr>
                <w:rFonts w:ascii="Arial" w:hAnsi="Arial" w:cs="Arial"/>
                <w:sz w:val="18"/>
                <w:szCs w:val="18"/>
              </w:rPr>
            </w:pPr>
          </w:p>
          <w:p w14:paraId="2B258A47" w14:textId="29E1FECF" w:rsidR="00646663" w:rsidRPr="00646663" w:rsidRDefault="00355188" w:rsidP="00646663">
            <w:pPr>
              <w:pBdr>
                <w:top w:val="nil"/>
                <w:left w:val="nil"/>
                <w:bottom w:val="nil"/>
                <w:right w:val="nil"/>
                <w:between w:val="nil"/>
              </w:pBdr>
              <w:spacing w:after="120"/>
              <w:rPr>
                <w:rFonts w:ascii="Arial" w:hAnsi="Arial" w:cs="Arial"/>
                <w:sz w:val="18"/>
                <w:szCs w:val="18"/>
              </w:rPr>
            </w:pPr>
            <w:r w:rsidRPr="00646663">
              <w:rPr>
                <w:rFonts w:ascii="Arial" w:hAnsi="Arial" w:cs="Arial"/>
                <w:sz w:val="18"/>
                <w:szCs w:val="18"/>
              </w:rPr>
              <w:t>Specificity of Hunedoara:</w:t>
            </w:r>
          </w:p>
          <w:p w14:paraId="6E512176" w14:textId="77777777" w:rsidR="00355188" w:rsidRPr="000A7086" w:rsidRDefault="00355188" w:rsidP="00E42342">
            <w:pPr>
              <w:pStyle w:val="Briefingtext"/>
              <w:numPr>
                <w:ilvl w:val="0"/>
                <w:numId w:val="314"/>
              </w:numPr>
              <w:pBdr>
                <w:top w:val="nil"/>
                <w:left w:val="nil"/>
                <w:bottom w:val="nil"/>
                <w:right w:val="nil"/>
                <w:between w:val="nil"/>
              </w:pBdr>
              <w:spacing w:after="0"/>
              <w:textDirection w:val="btLr"/>
              <w:rPr>
                <w:sz w:val="18"/>
                <w:szCs w:val="20"/>
              </w:rPr>
            </w:pPr>
            <w:r w:rsidRPr="000A7086">
              <w:rPr>
                <w:sz w:val="18"/>
                <w:szCs w:val="20"/>
              </w:rPr>
              <w:t>There are large areas of landfills for which preparation is needed - discussions with APM have started.</w:t>
            </w:r>
          </w:p>
          <w:p w14:paraId="397D8F00" w14:textId="77777777" w:rsidR="00355188" w:rsidRPr="000A7086" w:rsidRDefault="00355188" w:rsidP="00E42342">
            <w:pPr>
              <w:pStyle w:val="Briefingtext"/>
              <w:numPr>
                <w:ilvl w:val="0"/>
                <w:numId w:val="314"/>
              </w:numPr>
              <w:pBdr>
                <w:top w:val="nil"/>
                <w:left w:val="nil"/>
                <w:bottom w:val="nil"/>
                <w:right w:val="nil"/>
                <w:between w:val="nil"/>
              </w:pBdr>
              <w:spacing w:after="120"/>
              <w:textDirection w:val="btLr"/>
              <w:rPr>
                <w:sz w:val="18"/>
                <w:szCs w:val="20"/>
              </w:rPr>
            </w:pPr>
            <w:r w:rsidRPr="000A7086">
              <w:rPr>
                <w:sz w:val="18"/>
                <w:szCs w:val="20"/>
              </w:rPr>
              <w:t>Opportunity to develop an urban garden near the Castle</w:t>
            </w:r>
          </w:p>
          <w:p w14:paraId="20E3B277" w14:textId="77777777" w:rsidR="00355188" w:rsidRPr="00646663" w:rsidRDefault="00355188" w:rsidP="00646663">
            <w:pPr>
              <w:spacing w:after="120"/>
              <w:rPr>
                <w:rFonts w:ascii="Arial" w:hAnsi="Arial" w:cs="Arial"/>
                <w:sz w:val="18"/>
                <w:szCs w:val="18"/>
              </w:rPr>
            </w:pPr>
            <w:r w:rsidRPr="00646663">
              <w:rPr>
                <w:rFonts w:ascii="Arial" w:hAnsi="Arial" w:cs="Arial"/>
                <w:sz w:val="18"/>
                <w:szCs w:val="18"/>
              </w:rPr>
              <w:t>Specificity of Vulcan:</w:t>
            </w:r>
          </w:p>
          <w:p w14:paraId="5A42534C" w14:textId="6A48E6FF" w:rsidR="00355188" w:rsidRPr="000A7086" w:rsidRDefault="00355188" w:rsidP="00E42342">
            <w:pPr>
              <w:pStyle w:val="Briefingtext"/>
              <w:numPr>
                <w:ilvl w:val="0"/>
                <w:numId w:val="314"/>
              </w:numPr>
              <w:spacing w:after="120"/>
              <w:rPr>
                <w:sz w:val="18"/>
                <w:szCs w:val="20"/>
              </w:rPr>
            </w:pPr>
            <w:r w:rsidRPr="000A7086">
              <w:rPr>
                <w:sz w:val="18"/>
                <w:szCs w:val="20"/>
              </w:rPr>
              <w:t>Most of the land is owned by CNH. Greening is being done, but it takes time and post greening use is limited in time. Land ownership is problematic. In Petroșani one building is abandoned and has no known owner.</w:t>
            </w:r>
          </w:p>
          <w:p w14:paraId="3D82832B" w14:textId="77777777" w:rsidR="00355188" w:rsidRPr="00646663" w:rsidRDefault="00355188" w:rsidP="00646663">
            <w:pPr>
              <w:spacing w:before="120" w:after="120"/>
              <w:rPr>
                <w:rFonts w:ascii="Arial" w:hAnsi="Arial" w:cs="Arial"/>
                <w:sz w:val="18"/>
                <w:szCs w:val="18"/>
              </w:rPr>
            </w:pPr>
            <w:r w:rsidRPr="00646663">
              <w:rPr>
                <w:rFonts w:ascii="Arial" w:hAnsi="Arial" w:cs="Arial"/>
                <w:sz w:val="18"/>
                <w:szCs w:val="18"/>
              </w:rPr>
              <w:t xml:space="preserve">Specificity of Teliucul Inferior:  </w:t>
            </w:r>
          </w:p>
          <w:p w14:paraId="52EEEC6D"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A lake created in the former mining site. The land is in a greening programme. The UAT owns the land (with utilities) and the search for investors would be pertinent.</w:t>
            </w:r>
          </w:p>
          <w:p w14:paraId="32F0E957" w14:textId="64ECCB40" w:rsidR="00355188" w:rsidRPr="00646663" w:rsidRDefault="00355188" w:rsidP="00E42342">
            <w:pPr>
              <w:pStyle w:val="Briefingtext"/>
              <w:numPr>
                <w:ilvl w:val="0"/>
                <w:numId w:val="314"/>
              </w:numPr>
              <w:spacing w:after="0"/>
              <w:textDirection w:val="btLr"/>
              <w:rPr>
                <w:sz w:val="18"/>
                <w:szCs w:val="18"/>
              </w:rPr>
            </w:pPr>
            <w:r w:rsidRPr="000A7086">
              <w:rPr>
                <w:sz w:val="18"/>
                <w:szCs w:val="20"/>
              </w:rPr>
              <w:t>There is also a business incubator for manufacturing and small entrepreneurs</w:t>
            </w:r>
            <w:r w:rsidRPr="00646663">
              <w:rPr>
                <w:sz w:val="18"/>
                <w:szCs w:val="18"/>
              </w:rPr>
              <w:t>.</w:t>
            </w:r>
          </w:p>
          <w:p w14:paraId="7907A484" w14:textId="353F5DBB" w:rsidR="00646663" w:rsidRPr="00646663" w:rsidRDefault="00355188" w:rsidP="0091733D">
            <w:pPr>
              <w:spacing w:before="120" w:after="120"/>
              <w:textDirection w:val="btLr"/>
              <w:rPr>
                <w:rFonts w:ascii="Arial" w:hAnsi="Arial" w:cs="Arial"/>
                <w:sz w:val="18"/>
                <w:szCs w:val="18"/>
              </w:rPr>
            </w:pPr>
            <w:r w:rsidRPr="00646663">
              <w:rPr>
                <w:rFonts w:ascii="Arial" w:hAnsi="Arial" w:cs="Arial"/>
                <w:sz w:val="18"/>
                <w:szCs w:val="18"/>
              </w:rPr>
              <w:t xml:space="preserve">Specificity of Chișcădaga: </w:t>
            </w:r>
          </w:p>
          <w:p w14:paraId="122706CE" w14:textId="06B20E1F" w:rsidR="00355188" w:rsidRPr="000A7086" w:rsidRDefault="00355188" w:rsidP="00E42342">
            <w:pPr>
              <w:pStyle w:val="Briefingtext"/>
              <w:numPr>
                <w:ilvl w:val="0"/>
                <w:numId w:val="314"/>
              </w:numPr>
              <w:spacing w:after="0"/>
              <w:textDirection w:val="btLr"/>
              <w:rPr>
                <w:sz w:val="18"/>
                <w:szCs w:val="20"/>
              </w:rPr>
            </w:pPr>
            <w:r w:rsidRPr="000A7086">
              <w:rPr>
                <w:sz w:val="18"/>
                <w:szCs w:val="20"/>
              </w:rPr>
              <w:t>There are several enterprises working on the same site</w:t>
            </w:r>
          </w:p>
          <w:p w14:paraId="7E3CDA62"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Maintenance and preparation work is being carried out for reintegration into the natural circuit</w:t>
            </w:r>
          </w:p>
          <w:p w14:paraId="7F92E1BA" w14:textId="29ACCACC" w:rsidR="00355188" w:rsidRPr="00646663" w:rsidRDefault="00355188" w:rsidP="00E42342">
            <w:pPr>
              <w:pStyle w:val="Briefingtext"/>
              <w:numPr>
                <w:ilvl w:val="0"/>
                <w:numId w:val="314"/>
              </w:numPr>
              <w:spacing w:after="0"/>
              <w:textDirection w:val="btLr"/>
              <w:rPr>
                <w:sz w:val="18"/>
                <w:szCs w:val="18"/>
              </w:rPr>
            </w:pPr>
            <w:r w:rsidRPr="000A7086">
              <w:rPr>
                <w:sz w:val="18"/>
                <w:szCs w:val="20"/>
              </w:rPr>
              <w:t>Investment is needed to restore degraded heritage buildings (and other buildings)</w:t>
            </w:r>
          </w:p>
        </w:tc>
        <w:tc>
          <w:tcPr>
            <w:tcW w:w="7088" w:type="dxa"/>
            <w:gridSpan w:val="2"/>
          </w:tcPr>
          <w:p w14:paraId="40EA8DCA" w14:textId="77777777" w:rsidR="00355188" w:rsidRPr="00646663" w:rsidRDefault="00355188" w:rsidP="00646663">
            <w:pPr>
              <w:spacing w:before="240" w:after="240"/>
              <w:ind w:hanging="2"/>
              <w:rPr>
                <w:rFonts w:ascii="Arial" w:hAnsi="Arial" w:cs="Arial"/>
                <w:b/>
                <w:sz w:val="18"/>
                <w:szCs w:val="18"/>
              </w:rPr>
            </w:pPr>
            <w:r w:rsidRPr="00646663">
              <w:rPr>
                <w:rFonts w:ascii="Arial" w:hAnsi="Arial" w:cs="Arial"/>
                <w:b/>
                <w:sz w:val="18"/>
                <w:szCs w:val="18"/>
              </w:rPr>
              <w:lastRenderedPageBreak/>
              <w:t>Ideas, solutions, projects, opportunities:</w:t>
            </w:r>
          </w:p>
          <w:p w14:paraId="014E438C"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Creation of new tourism infrastructure</w:t>
            </w:r>
          </w:p>
          <w:p w14:paraId="3281F813"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Digitisation in tourism, creation and development of tourism platforms</w:t>
            </w:r>
          </w:p>
          <w:p w14:paraId="3F16BCCE"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CFR museum centre - qualification of restorers, integrated tourism operators</w:t>
            </w:r>
          </w:p>
          <w:p w14:paraId="66561040"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Development of industrial parks</w:t>
            </w:r>
          </w:p>
          <w:p w14:paraId="0EBA4E81" w14:textId="3EED9E62" w:rsidR="00355188" w:rsidRPr="000A7086" w:rsidRDefault="00355188" w:rsidP="00E42342">
            <w:pPr>
              <w:pStyle w:val="Briefingtext"/>
              <w:numPr>
                <w:ilvl w:val="0"/>
                <w:numId w:val="314"/>
              </w:numPr>
              <w:spacing w:after="0"/>
              <w:textDirection w:val="btLr"/>
              <w:rPr>
                <w:sz w:val="18"/>
                <w:szCs w:val="20"/>
              </w:rPr>
            </w:pPr>
            <w:r w:rsidRPr="000A7086">
              <w:rPr>
                <w:sz w:val="18"/>
                <w:szCs w:val="20"/>
              </w:rPr>
              <w:t>Entrepreneurial development</w:t>
            </w:r>
          </w:p>
          <w:p w14:paraId="1C6269E1" w14:textId="0D1DF9F6" w:rsidR="00355188" w:rsidRPr="000A7086" w:rsidRDefault="00316E7A" w:rsidP="00E42342">
            <w:pPr>
              <w:pStyle w:val="Briefingtext"/>
              <w:numPr>
                <w:ilvl w:val="0"/>
                <w:numId w:val="314"/>
              </w:numPr>
              <w:spacing w:after="0"/>
              <w:textDirection w:val="btLr"/>
              <w:rPr>
                <w:sz w:val="18"/>
                <w:szCs w:val="20"/>
              </w:rPr>
            </w:pPr>
            <w:r w:rsidRPr="000A7086">
              <w:rPr>
                <w:sz w:val="18"/>
                <w:szCs w:val="20"/>
              </w:rPr>
              <w:t>LAG</w:t>
            </w:r>
            <w:r w:rsidR="00355188" w:rsidRPr="000A7086">
              <w:rPr>
                <w:sz w:val="18"/>
                <w:szCs w:val="20"/>
              </w:rPr>
              <w:t xml:space="preserve"> digitisation opportunity, staff qualification/retraining, employment accompaniment in partnership with social service providers, employment measure providers, de minimis aid scheme for entrepreneurs and SMEs in the territory</w:t>
            </w:r>
          </w:p>
          <w:p w14:paraId="0684AD5D" w14:textId="43E4E5A0" w:rsidR="00355188" w:rsidRPr="000A7086" w:rsidRDefault="00355188" w:rsidP="00E42342">
            <w:pPr>
              <w:pStyle w:val="Briefingtext"/>
              <w:numPr>
                <w:ilvl w:val="0"/>
                <w:numId w:val="314"/>
              </w:numPr>
              <w:spacing w:after="0"/>
              <w:textDirection w:val="btLr"/>
              <w:rPr>
                <w:sz w:val="18"/>
                <w:szCs w:val="20"/>
              </w:rPr>
            </w:pPr>
            <w:r w:rsidRPr="000A7086">
              <w:rPr>
                <w:sz w:val="18"/>
                <w:szCs w:val="20"/>
              </w:rPr>
              <w:t>Need for entrepreneurship education for women</w:t>
            </w:r>
          </w:p>
          <w:p w14:paraId="2AFB8D59"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The need for various investments in SMEs in the municipality of Hunedoara</w:t>
            </w:r>
          </w:p>
          <w:p w14:paraId="0F6A4A8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Supporting SMEs in developing projects and applications for funding for upgrading</w:t>
            </w:r>
          </w:p>
          <w:p w14:paraId="7BB9E38C" w14:textId="3CA306F2" w:rsidR="00355188" w:rsidRPr="000A7086" w:rsidRDefault="00355188" w:rsidP="00E42342">
            <w:pPr>
              <w:pStyle w:val="Briefingtext"/>
              <w:numPr>
                <w:ilvl w:val="0"/>
                <w:numId w:val="314"/>
              </w:numPr>
              <w:spacing w:after="0"/>
              <w:textDirection w:val="btLr"/>
              <w:rPr>
                <w:sz w:val="18"/>
                <w:szCs w:val="20"/>
              </w:rPr>
            </w:pPr>
            <w:r w:rsidRPr="000A7086">
              <w:rPr>
                <w:sz w:val="18"/>
                <w:szCs w:val="20"/>
              </w:rPr>
              <w:t xml:space="preserve">Creation of HUBs for IT/robotics, cluster with potential in partnership with the University of Petroșani and the </w:t>
            </w:r>
            <w:r w:rsidR="00D4062A" w:rsidRPr="000A7086">
              <w:rPr>
                <w:sz w:val="18"/>
                <w:szCs w:val="20"/>
              </w:rPr>
              <w:t>TAU</w:t>
            </w:r>
          </w:p>
          <w:p w14:paraId="255B6F24"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Support programmes for robotics start-ups</w:t>
            </w:r>
          </w:p>
          <w:p w14:paraId="3FC38687"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West RDA - incubator development, skills development, and SME digitisation programmes.</w:t>
            </w:r>
          </w:p>
          <w:p w14:paraId="4B0CC9B3" w14:textId="77777777" w:rsidR="00355188" w:rsidRPr="000A7086" w:rsidRDefault="00355188" w:rsidP="00E42342">
            <w:pPr>
              <w:pStyle w:val="Briefingtext"/>
              <w:numPr>
                <w:ilvl w:val="0"/>
                <w:numId w:val="314"/>
              </w:numPr>
              <w:spacing w:after="0"/>
              <w:textDirection w:val="btLr"/>
              <w:rPr>
                <w:sz w:val="18"/>
                <w:szCs w:val="20"/>
              </w:rPr>
            </w:pPr>
            <w:r w:rsidRPr="000A7086">
              <w:rPr>
                <w:sz w:val="18"/>
                <w:szCs w:val="20"/>
              </w:rPr>
              <w:t>INSEMEX - integrated centre for technological information, training and staff development</w:t>
            </w:r>
          </w:p>
          <w:p w14:paraId="32600E5F" w14:textId="66842446" w:rsidR="00355188" w:rsidRPr="000A7086" w:rsidRDefault="00355188" w:rsidP="00E42342">
            <w:pPr>
              <w:pStyle w:val="Briefingtext"/>
              <w:numPr>
                <w:ilvl w:val="0"/>
                <w:numId w:val="314"/>
              </w:numPr>
              <w:spacing w:after="0"/>
              <w:textDirection w:val="btLr"/>
              <w:rPr>
                <w:sz w:val="18"/>
                <w:szCs w:val="20"/>
              </w:rPr>
            </w:pPr>
            <w:r w:rsidRPr="000A7086">
              <w:rPr>
                <w:sz w:val="18"/>
                <w:szCs w:val="20"/>
              </w:rPr>
              <w:t>Development of digital "job exchange", qualification and retraining programmes</w:t>
            </w:r>
          </w:p>
          <w:p w14:paraId="460314F0" w14:textId="77777777" w:rsidR="00245078" w:rsidRPr="000A7086" w:rsidRDefault="00355188" w:rsidP="000A7086">
            <w:pPr>
              <w:pStyle w:val="Briefingtext"/>
              <w:spacing w:after="0"/>
              <w:rPr>
                <w:sz w:val="18"/>
                <w:szCs w:val="20"/>
              </w:rPr>
            </w:pPr>
            <w:r w:rsidRPr="000A7086">
              <w:rPr>
                <w:sz w:val="18"/>
                <w:szCs w:val="20"/>
              </w:rPr>
              <w:lastRenderedPageBreak/>
              <w:t xml:space="preserve">Specificity of Vețel TAU: </w:t>
            </w:r>
          </w:p>
          <w:p w14:paraId="2A141C78" w14:textId="76707D19" w:rsidR="00355188" w:rsidRPr="000A7086" w:rsidRDefault="00355188" w:rsidP="000A7086">
            <w:pPr>
              <w:pStyle w:val="Briefingtext"/>
              <w:spacing w:after="0"/>
              <w:rPr>
                <w:sz w:val="18"/>
                <w:szCs w:val="20"/>
              </w:rPr>
            </w:pPr>
          </w:p>
          <w:p w14:paraId="6094E5C8"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Grants for start-ups and SMEs, investment in production, services, agro-tourism activities.</w:t>
            </w:r>
          </w:p>
          <w:p w14:paraId="4B4020B8" w14:textId="77777777" w:rsidR="00355188" w:rsidRPr="00646663" w:rsidRDefault="00355188" w:rsidP="00646663">
            <w:pPr>
              <w:ind w:hanging="2"/>
              <w:rPr>
                <w:rFonts w:ascii="Arial" w:hAnsi="Arial" w:cs="Arial"/>
                <w:sz w:val="18"/>
                <w:szCs w:val="18"/>
              </w:rPr>
            </w:pPr>
          </w:p>
          <w:p w14:paraId="66A5F2C9" w14:textId="1C99F567" w:rsidR="00CD6E79" w:rsidRPr="0091733D" w:rsidRDefault="00355188" w:rsidP="0091733D">
            <w:pPr>
              <w:pStyle w:val="Briefingtext"/>
              <w:spacing w:after="120"/>
              <w:rPr>
                <w:sz w:val="18"/>
                <w:szCs w:val="20"/>
              </w:rPr>
            </w:pPr>
            <w:r w:rsidRPr="0091733D">
              <w:rPr>
                <w:sz w:val="18"/>
                <w:szCs w:val="20"/>
              </w:rPr>
              <w:t xml:space="preserve">Specificity of Uricani </w:t>
            </w:r>
            <w:r w:rsidR="00D4062A" w:rsidRPr="0091733D">
              <w:rPr>
                <w:sz w:val="18"/>
                <w:szCs w:val="20"/>
              </w:rPr>
              <w:t>TAU</w:t>
            </w:r>
            <w:r w:rsidRPr="0091733D">
              <w:rPr>
                <w:sz w:val="18"/>
                <w:szCs w:val="20"/>
              </w:rPr>
              <w:t>:</w:t>
            </w:r>
          </w:p>
          <w:p w14:paraId="43B25FF3"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Supporting circular economy, recycling of construction waste, support for SMEs in the wood industry, support for re-engineering in production</w:t>
            </w:r>
          </w:p>
          <w:p w14:paraId="2D17B43C" w14:textId="77777777" w:rsidR="00355188" w:rsidRPr="00646663" w:rsidRDefault="00355188" w:rsidP="00646663">
            <w:pPr>
              <w:ind w:hanging="2"/>
              <w:rPr>
                <w:rFonts w:ascii="Arial" w:hAnsi="Arial" w:cs="Arial"/>
                <w:sz w:val="18"/>
                <w:szCs w:val="18"/>
              </w:rPr>
            </w:pPr>
          </w:p>
          <w:p w14:paraId="6392CCFB" w14:textId="51DA3213" w:rsidR="00355188" w:rsidRPr="0091733D" w:rsidRDefault="00355188" w:rsidP="0091733D">
            <w:pPr>
              <w:pStyle w:val="Briefingtext"/>
              <w:spacing w:after="120"/>
              <w:rPr>
                <w:sz w:val="18"/>
                <w:szCs w:val="20"/>
              </w:rPr>
            </w:pPr>
            <w:r w:rsidRPr="0091733D">
              <w:rPr>
                <w:sz w:val="18"/>
                <w:szCs w:val="20"/>
              </w:rPr>
              <w:t xml:space="preserve">Specificity of Petroșani </w:t>
            </w:r>
            <w:r w:rsidR="00D4062A" w:rsidRPr="0091733D">
              <w:rPr>
                <w:sz w:val="18"/>
                <w:szCs w:val="20"/>
              </w:rPr>
              <w:t>TAU</w:t>
            </w:r>
            <w:r w:rsidRPr="0091733D">
              <w:rPr>
                <w:sz w:val="18"/>
                <w:szCs w:val="20"/>
              </w:rPr>
              <w:t xml:space="preserve">: </w:t>
            </w:r>
          </w:p>
          <w:p w14:paraId="11CE9C18"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PA Processing clusters for meat processing, milk processing; Metal processing</w:t>
            </w:r>
          </w:p>
          <w:p w14:paraId="3E46FAAB" w14:textId="526A0F80" w:rsidR="00355188" w:rsidRPr="0091733D" w:rsidRDefault="00355188" w:rsidP="00E42342">
            <w:pPr>
              <w:pStyle w:val="Briefingtext"/>
              <w:numPr>
                <w:ilvl w:val="0"/>
                <w:numId w:val="314"/>
              </w:numPr>
              <w:spacing w:after="0"/>
              <w:textDirection w:val="btLr"/>
              <w:rPr>
                <w:sz w:val="18"/>
                <w:szCs w:val="20"/>
              </w:rPr>
            </w:pPr>
            <w:r w:rsidRPr="0091733D">
              <w:rPr>
                <w:sz w:val="18"/>
                <w:szCs w:val="20"/>
              </w:rPr>
              <w:t xml:space="preserve">Investments in tourism infrastructure - from </w:t>
            </w:r>
            <w:r w:rsidR="00245078" w:rsidRPr="0091733D">
              <w:rPr>
                <w:sz w:val="18"/>
                <w:szCs w:val="20"/>
              </w:rPr>
              <w:t>JTP</w:t>
            </w:r>
            <w:r w:rsidRPr="0091733D">
              <w:rPr>
                <w:sz w:val="18"/>
                <w:szCs w:val="20"/>
              </w:rPr>
              <w:t xml:space="preserve">, pillar 2 </w:t>
            </w:r>
          </w:p>
          <w:p w14:paraId="440B4391" w14:textId="72C7A85F" w:rsidR="00355188" w:rsidRPr="0091733D" w:rsidRDefault="00355188" w:rsidP="00E42342">
            <w:pPr>
              <w:pStyle w:val="Briefingtext"/>
              <w:numPr>
                <w:ilvl w:val="0"/>
                <w:numId w:val="314"/>
              </w:numPr>
              <w:spacing w:after="0"/>
              <w:textDirection w:val="btLr"/>
              <w:rPr>
                <w:sz w:val="18"/>
                <w:szCs w:val="20"/>
              </w:rPr>
            </w:pPr>
            <w:r w:rsidRPr="0091733D">
              <w:rPr>
                <w:sz w:val="18"/>
                <w:szCs w:val="20"/>
              </w:rPr>
              <w:t>Youth support programmes</w:t>
            </w:r>
          </w:p>
          <w:p w14:paraId="7F2BFC85"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IT business support</w:t>
            </w:r>
          </w:p>
          <w:p w14:paraId="40FFF7BB" w14:textId="77777777" w:rsidR="00245078" w:rsidRPr="0091733D" w:rsidRDefault="00355188" w:rsidP="00E42342">
            <w:pPr>
              <w:pStyle w:val="Briefingtext"/>
              <w:numPr>
                <w:ilvl w:val="0"/>
                <w:numId w:val="314"/>
              </w:numPr>
              <w:spacing w:after="0"/>
              <w:textDirection w:val="btLr"/>
              <w:rPr>
                <w:sz w:val="18"/>
                <w:szCs w:val="20"/>
              </w:rPr>
            </w:pPr>
            <w:r w:rsidRPr="0091733D">
              <w:rPr>
                <w:sz w:val="18"/>
                <w:szCs w:val="20"/>
              </w:rPr>
              <w:t>Attracting investors in green energy production equipment</w:t>
            </w:r>
          </w:p>
          <w:p w14:paraId="5C81F313" w14:textId="2CE7504A" w:rsidR="00355188" w:rsidRPr="0091733D" w:rsidRDefault="00355188" w:rsidP="00E42342">
            <w:pPr>
              <w:pStyle w:val="Briefingtext"/>
              <w:numPr>
                <w:ilvl w:val="0"/>
                <w:numId w:val="314"/>
              </w:numPr>
              <w:spacing w:after="0"/>
              <w:textDirection w:val="btLr"/>
              <w:rPr>
                <w:sz w:val="18"/>
                <w:szCs w:val="20"/>
              </w:rPr>
            </w:pPr>
            <w:r w:rsidRPr="0091733D">
              <w:rPr>
                <w:sz w:val="18"/>
                <w:szCs w:val="20"/>
              </w:rPr>
              <w:t>Attracting the outsourcing industry to the business services industry</w:t>
            </w:r>
          </w:p>
          <w:p w14:paraId="0057141F" w14:textId="77777777" w:rsidR="00355188" w:rsidRPr="00646663" w:rsidRDefault="00355188" w:rsidP="00646663">
            <w:pPr>
              <w:ind w:hanging="2"/>
              <w:rPr>
                <w:rFonts w:ascii="Arial" w:hAnsi="Arial" w:cs="Arial"/>
                <w:sz w:val="18"/>
                <w:szCs w:val="18"/>
              </w:rPr>
            </w:pPr>
          </w:p>
          <w:p w14:paraId="27AB922D" w14:textId="77777777" w:rsidR="00355188" w:rsidRPr="0091733D" w:rsidRDefault="00355188" w:rsidP="0091733D">
            <w:pPr>
              <w:pStyle w:val="Briefingtext"/>
              <w:spacing w:after="120"/>
              <w:rPr>
                <w:sz w:val="18"/>
                <w:szCs w:val="20"/>
              </w:rPr>
            </w:pPr>
            <w:r w:rsidRPr="0091733D">
              <w:rPr>
                <w:sz w:val="18"/>
                <w:szCs w:val="20"/>
              </w:rPr>
              <w:t>Specificity of Vulcan TAU:</w:t>
            </w:r>
          </w:p>
          <w:p w14:paraId="1384E213"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Opportunity for de minimis schemes for SMEs using circular economy - in partnership with the TAU and the companies in the sector.</w:t>
            </w:r>
          </w:p>
          <w:p w14:paraId="6BE1ADDE" w14:textId="77777777" w:rsidR="00355188" w:rsidRPr="00646663" w:rsidRDefault="00355188" w:rsidP="00646663">
            <w:pPr>
              <w:ind w:hanging="2"/>
              <w:rPr>
                <w:rFonts w:ascii="Arial" w:hAnsi="Arial" w:cs="Arial"/>
                <w:sz w:val="18"/>
                <w:szCs w:val="18"/>
              </w:rPr>
            </w:pPr>
          </w:p>
          <w:p w14:paraId="746D43F6" w14:textId="4AD2C43A" w:rsidR="00CD6E79" w:rsidRPr="0091733D" w:rsidRDefault="00355188" w:rsidP="0091733D">
            <w:pPr>
              <w:pStyle w:val="Briefingtext"/>
              <w:spacing w:after="120"/>
              <w:rPr>
                <w:sz w:val="18"/>
                <w:szCs w:val="20"/>
              </w:rPr>
            </w:pPr>
            <w:r w:rsidRPr="0091733D">
              <w:rPr>
                <w:sz w:val="18"/>
                <w:szCs w:val="20"/>
              </w:rPr>
              <w:t xml:space="preserve">Specificity of Teliucu Inferior TAU:  </w:t>
            </w:r>
          </w:p>
          <w:p w14:paraId="3CB62940" w14:textId="1ED52A62" w:rsidR="00355188" w:rsidRPr="0091733D" w:rsidRDefault="00355188" w:rsidP="00E42342">
            <w:pPr>
              <w:pStyle w:val="Briefingtext"/>
              <w:numPr>
                <w:ilvl w:val="0"/>
                <w:numId w:val="314"/>
              </w:numPr>
              <w:spacing w:after="0"/>
              <w:textDirection w:val="btLr"/>
              <w:rPr>
                <w:sz w:val="18"/>
                <w:szCs w:val="20"/>
              </w:rPr>
            </w:pPr>
            <w:r w:rsidRPr="0091733D">
              <w:rPr>
                <w:sz w:val="18"/>
                <w:szCs w:val="20"/>
              </w:rPr>
              <w:t>Need for investments in tourism</w:t>
            </w:r>
          </w:p>
          <w:p w14:paraId="33595784"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Development of an industrial park, a business centre, attracting investors</w:t>
            </w:r>
          </w:p>
          <w:p w14:paraId="057F1F93" w14:textId="77777777" w:rsidR="00355188" w:rsidRPr="00646663" w:rsidRDefault="00355188" w:rsidP="00E42342">
            <w:pPr>
              <w:pStyle w:val="Briefingtext"/>
              <w:numPr>
                <w:ilvl w:val="0"/>
                <w:numId w:val="314"/>
              </w:numPr>
              <w:spacing w:after="0"/>
              <w:textDirection w:val="btLr"/>
              <w:rPr>
                <w:sz w:val="18"/>
                <w:szCs w:val="18"/>
              </w:rPr>
            </w:pPr>
            <w:r w:rsidRPr="0091733D">
              <w:rPr>
                <w:sz w:val="18"/>
                <w:szCs w:val="20"/>
              </w:rPr>
              <w:t>Support, development, financing of social enterprises</w:t>
            </w:r>
          </w:p>
        </w:tc>
      </w:tr>
      <w:tr w:rsidR="00355188" w:rsidRPr="00646663" w14:paraId="7236D48F" w14:textId="77777777" w:rsidTr="00EE02DE">
        <w:tc>
          <w:tcPr>
            <w:tcW w:w="14173" w:type="dxa"/>
            <w:gridSpan w:val="4"/>
            <w:shd w:val="clear" w:color="auto" w:fill="B6D7A8"/>
          </w:tcPr>
          <w:p w14:paraId="69CCD5E6" w14:textId="6918C9BD" w:rsidR="00355188" w:rsidRPr="00646663" w:rsidRDefault="00355188" w:rsidP="00646663">
            <w:pPr>
              <w:ind w:hanging="2"/>
              <w:rPr>
                <w:rFonts w:ascii="Arial" w:hAnsi="Arial" w:cs="Arial"/>
                <w:b/>
                <w:sz w:val="18"/>
                <w:szCs w:val="18"/>
              </w:rPr>
            </w:pPr>
            <w:r w:rsidRPr="00646663">
              <w:rPr>
                <w:rFonts w:ascii="Arial" w:hAnsi="Arial" w:cs="Arial"/>
                <w:b/>
                <w:sz w:val="18"/>
                <w:szCs w:val="18"/>
              </w:rPr>
              <w:lastRenderedPageBreak/>
              <w:t>Ideas, need</w:t>
            </w:r>
            <w:r w:rsidR="00D4062A">
              <w:rPr>
                <w:rFonts w:ascii="Arial" w:hAnsi="Arial" w:cs="Arial"/>
                <w:b/>
                <w:sz w:val="18"/>
                <w:szCs w:val="18"/>
              </w:rPr>
              <w:t>s</w:t>
            </w:r>
            <w:r w:rsidRPr="00646663">
              <w:rPr>
                <w:rFonts w:ascii="Arial" w:hAnsi="Arial" w:cs="Arial"/>
                <w:b/>
                <w:sz w:val="18"/>
                <w:szCs w:val="18"/>
              </w:rPr>
              <w:t xml:space="preserve">, important cross-sector elements </w:t>
            </w:r>
          </w:p>
        </w:tc>
      </w:tr>
      <w:tr w:rsidR="00355188" w:rsidRPr="00646663" w14:paraId="27671654" w14:textId="77777777" w:rsidTr="00646663">
        <w:trPr>
          <w:trHeight w:val="863"/>
        </w:trPr>
        <w:tc>
          <w:tcPr>
            <w:tcW w:w="14173" w:type="dxa"/>
            <w:gridSpan w:val="4"/>
          </w:tcPr>
          <w:p w14:paraId="3C856364"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Collaboration between business and academia through joint projects is deemed as pertinent</w:t>
            </w:r>
          </w:p>
          <w:p w14:paraId="6442CD77"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Accessing European funds is generally difficult to achieve and support is needed in that respect</w:t>
            </w:r>
          </w:p>
          <w:p w14:paraId="71D13BC6" w14:textId="77777777" w:rsidR="00355188" w:rsidRPr="0091733D" w:rsidRDefault="00355188" w:rsidP="00E42342">
            <w:pPr>
              <w:pStyle w:val="Briefingtext"/>
              <w:numPr>
                <w:ilvl w:val="0"/>
                <w:numId w:val="314"/>
              </w:numPr>
              <w:spacing w:after="0"/>
              <w:textDirection w:val="btLr"/>
              <w:rPr>
                <w:sz w:val="18"/>
                <w:szCs w:val="20"/>
              </w:rPr>
            </w:pPr>
            <w:r w:rsidRPr="0091733D">
              <w:rPr>
                <w:sz w:val="18"/>
                <w:szCs w:val="20"/>
              </w:rPr>
              <w:t>There is a need for public-private partnerships in organising the training courses required in the labour market</w:t>
            </w:r>
          </w:p>
          <w:p w14:paraId="02EF0A34" w14:textId="32299059" w:rsidR="00355188" w:rsidRPr="00646663" w:rsidRDefault="00355188" w:rsidP="00E42342">
            <w:pPr>
              <w:pStyle w:val="Briefingtext"/>
              <w:numPr>
                <w:ilvl w:val="0"/>
                <w:numId w:val="314"/>
              </w:numPr>
              <w:spacing w:after="0"/>
              <w:textDirection w:val="btLr"/>
              <w:rPr>
                <w:sz w:val="18"/>
                <w:szCs w:val="18"/>
              </w:rPr>
            </w:pPr>
            <w:r w:rsidRPr="0091733D">
              <w:rPr>
                <w:sz w:val="18"/>
                <w:szCs w:val="20"/>
              </w:rPr>
              <w:t xml:space="preserve">There is a need for a communication platform at </w:t>
            </w:r>
            <w:r w:rsidR="00933AE1" w:rsidRPr="0091733D">
              <w:rPr>
                <w:sz w:val="18"/>
                <w:szCs w:val="20"/>
              </w:rPr>
              <w:t xml:space="preserve">the </w:t>
            </w:r>
            <w:r w:rsidRPr="0091733D">
              <w:rPr>
                <w:sz w:val="18"/>
                <w:szCs w:val="20"/>
              </w:rPr>
              <w:t>county level between companies, AJOFM through an integrated business centre including for retraining programmes - including with the support of the Ministry of Energy.</w:t>
            </w:r>
          </w:p>
        </w:tc>
      </w:tr>
    </w:tbl>
    <w:p w14:paraId="1AF9CC90" w14:textId="77777777" w:rsidR="00355188" w:rsidRDefault="00355188" w:rsidP="00355188">
      <w:pPr>
        <w:jc w:val="both"/>
        <w:rPr>
          <w:rFonts w:ascii="Arial" w:hAnsi="Arial" w:cs="Arial"/>
          <w:sz w:val="20"/>
          <w:szCs w:val="20"/>
          <w:lang w:eastAsia="en-US"/>
        </w:rPr>
        <w:sectPr w:rsidR="00355188" w:rsidSect="00D4062A">
          <w:headerReference w:type="default" r:id="rId83"/>
          <w:pgSz w:w="16834" w:h="11909" w:orient="landscape"/>
          <w:pgMar w:top="1530" w:right="1440" w:bottom="1440" w:left="1440" w:header="720" w:footer="720" w:gutter="0"/>
          <w:cols w:space="720"/>
          <w:docGrid w:linePitch="326"/>
        </w:sectPr>
      </w:pPr>
    </w:p>
    <w:p w14:paraId="701C7DFD" w14:textId="6EF956C5" w:rsidR="00D77CB1" w:rsidRDefault="00D77CB1" w:rsidP="00A87A4B">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sidR="00CD6E79">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595FC24C" w14:textId="6B904596" w:rsidR="00D77CB1" w:rsidRDefault="00D77CB1" w:rsidP="00402580">
      <w:pPr>
        <w:spacing w:after="120"/>
        <w:jc w:val="both"/>
        <w:rPr>
          <w:rFonts w:ascii="Arial" w:hAnsi="Arial" w:cs="Arial"/>
          <w:b/>
          <w:sz w:val="20"/>
          <w:szCs w:val="20"/>
        </w:rPr>
      </w:pPr>
      <w:r>
        <w:rPr>
          <w:rFonts w:ascii="Arial" w:hAnsi="Arial" w:cs="Arial"/>
          <w:b/>
          <w:sz w:val="20"/>
          <w:szCs w:val="20"/>
        </w:rPr>
        <w:t xml:space="preserve">Previously emphasized </w:t>
      </w:r>
      <w:r w:rsidR="004C07DA">
        <w:rPr>
          <w:rFonts w:ascii="Arial" w:hAnsi="Arial" w:cs="Arial"/>
          <w:b/>
          <w:sz w:val="20"/>
          <w:szCs w:val="20"/>
        </w:rPr>
        <w:t xml:space="preserve">points in the context of the Working Groups and now </w:t>
      </w:r>
      <w:r>
        <w:rPr>
          <w:rFonts w:ascii="Arial" w:hAnsi="Arial" w:cs="Arial"/>
          <w:b/>
          <w:sz w:val="20"/>
          <w:szCs w:val="20"/>
        </w:rPr>
        <w:t>resumed in the context of the regional workshop</w:t>
      </w:r>
    </w:p>
    <w:p w14:paraId="3496C435" w14:textId="10A41506" w:rsidR="00D77CB1" w:rsidRP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sidRPr="00D77CB1">
        <w:rPr>
          <w:rFonts w:ascii="Arial" w:hAnsi="Arial" w:cs="Arial"/>
          <w:color w:val="000000"/>
          <w:sz w:val="20"/>
          <w:szCs w:val="20"/>
        </w:rPr>
        <w:t>Reuse through regeneration, decontamination and restoration of land and industrial sites and their inclusion in the economic cycle.</w:t>
      </w:r>
    </w:p>
    <w:p w14:paraId="16F2059D" w14:textId="18CA7299" w:rsidR="00D77CB1" w:rsidRP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sidRPr="00D77CB1">
        <w:rPr>
          <w:rFonts w:ascii="Arial" w:hAnsi="Arial" w:cs="Arial"/>
          <w:color w:val="000000"/>
          <w:sz w:val="20"/>
          <w:szCs w:val="20"/>
        </w:rPr>
        <w:t>Qualification, further training of adult job seekers and reintegration into the labour market</w:t>
      </w:r>
      <w:r w:rsidR="00B5243B">
        <w:rPr>
          <w:rFonts w:ascii="Arial" w:hAnsi="Arial" w:cs="Arial"/>
          <w:color w:val="000000"/>
          <w:sz w:val="20"/>
          <w:szCs w:val="20"/>
        </w:rPr>
        <w:t>.</w:t>
      </w:r>
      <w:r w:rsidRPr="00D77CB1">
        <w:rPr>
          <w:rFonts w:ascii="Arial" w:hAnsi="Arial" w:cs="Arial"/>
          <w:color w:val="000000"/>
          <w:sz w:val="20"/>
          <w:szCs w:val="20"/>
        </w:rPr>
        <w:tab/>
      </w:r>
    </w:p>
    <w:p w14:paraId="5DCE2223" w14:textId="3C56823B" w:rsidR="00D77CB1" w:rsidRP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sidRPr="00D77CB1">
        <w:rPr>
          <w:rFonts w:ascii="Arial" w:hAnsi="Arial" w:cs="Arial"/>
          <w:color w:val="000000"/>
          <w:sz w:val="20"/>
          <w:szCs w:val="20"/>
        </w:rPr>
        <w:t>Productive investment in SMEs and medium and large local enterprises in the manufacturing, food processing, clothing and woodworking (furniture manufacturing) sectors</w:t>
      </w:r>
      <w:r w:rsidR="00B5243B">
        <w:rPr>
          <w:rFonts w:ascii="Arial" w:hAnsi="Arial" w:cs="Arial"/>
          <w:color w:val="000000"/>
          <w:sz w:val="20"/>
          <w:szCs w:val="20"/>
        </w:rPr>
        <w:t>.</w:t>
      </w:r>
    </w:p>
    <w:p w14:paraId="48008B35" w14:textId="7A93E619" w:rsidR="00D77CB1" w:rsidRP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sidRPr="00D77CB1">
        <w:rPr>
          <w:rFonts w:ascii="Arial" w:hAnsi="Arial" w:cs="Arial"/>
          <w:color w:val="000000"/>
          <w:sz w:val="20"/>
          <w:szCs w:val="20"/>
        </w:rPr>
        <w:t>Sustainable tourism with endogenous growth potential</w:t>
      </w:r>
      <w:r w:rsidR="00B5243B">
        <w:rPr>
          <w:rFonts w:ascii="Arial" w:hAnsi="Arial" w:cs="Arial"/>
          <w:color w:val="000000"/>
          <w:sz w:val="20"/>
          <w:szCs w:val="20"/>
        </w:rPr>
        <w:t>.</w:t>
      </w:r>
    </w:p>
    <w:p w14:paraId="5FD39966" w14:textId="41E42C9E" w:rsidR="00D77CB1" w:rsidRDefault="00D77CB1" w:rsidP="00E42342">
      <w:pPr>
        <w:numPr>
          <w:ilvl w:val="0"/>
          <w:numId w:val="217"/>
        </w:numPr>
        <w:pBdr>
          <w:top w:val="nil"/>
          <w:left w:val="nil"/>
          <w:bottom w:val="nil"/>
          <w:right w:val="nil"/>
          <w:between w:val="nil"/>
        </w:pBdr>
        <w:spacing w:after="120"/>
        <w:jc w:val="both"/>
        <w:rPr>
          <w:rFonts w:ascii="Arial" w:hAnsi="Arial" w:cs="Arial"/>
          <w:color w:val="000000"/>
          <w:sz w:val="20"/>
          <w:szCs w:val="20"/>
        </w:rPr>
      </w:pPr>
      <w:r w:rsidRPr="00D77CB1">
        <w:rPr>
          <w:rFonts w:ascii="Arial" w:hAnsi="Arial" w:cs="Arial"/>
          <w:color w:val="000000"/>
          <w:sz w:val="20"/>
          <w:szCs w:val="20"/>
        </w:rPr>
        <w:t>Investment in research and innovation activities and encouraging transfer of advanced technologies: Univ. Petroșani/Hunedoara partnership for the development of research centres on renewable/clean energy production and storage</w:t>
      </w:r>
      <w:r w:rsidR="00B5243B">
        <w:rPr>
          <w:rFonts w:ascii="Arial" w:hAnsi="Arial" w:cs="Arial"/>
          <w:color w:val="000000"/>
          <w:sz w:val="20"/>
          <w:szCs w:val="20"/>
        </w:rPr>
        <w:t>.</w:t>
      </w:r>
    </w:p>
    <w:p w14:paraId="45E7367B" w14:textId="3BA81443" w:rsidR="00D77CB1" w:rsidRDefault="00D77CB1" w:rsidP="00402580">
      <w:pPr>
        <w:spacing w:after="120"/>
        <w:jc w:val="both"/>
        <w:rPr>
          <w:rFonts w:ascii="Arial" w:hAnsi="Arial" w:cs="Arial"/>
          <w:b/>
          <w:sz w:val="20"/>
          <w:szCs w:val="20"/>
        </w:rPr>
      </w:pPr>
      <w:r>
        <w:rPr>
          <w:rFonts w:ascii="Arial" w:hAnsi="Arial" w:cs="Arial"/>
          <w:b/>
          <w:sz w:val="20"/>
          <w:szCs w:val="20"/>
        </w:rPr>
        <w:t xml:space="preserve">New points </w:t>
      </w:r>
      <w:r w:rsidR="004C07DA">
        <w:rPr>
          <w:rFonts w:ascii="Arial" w:hAnsi="Arial" w:cs="Arial"/>
          <w:b/>
          <w:sz w:val="20"/>
          <w:szCs w:val="20"/>
        </w:rPr>
        <w:t>that have emerged during</w:t>
      </w:r>
      <w:r>
        <w:rPr>
          <w:rFonts w:ascii="Arial" w:hAnsi="Arial" w:cs="Arial"/>
          <w:b/>
          <w:sz w:val="20"/>
          <w:szCs w:val="20"/>
        </w:rPr>
        <w:t xml:space="preserve"> the regional workshop</w:t>
      </w:r>
    </w:p>
    <w:p w14:paraId="34BB2DED" w14:textId="77777777" w:rsidR="00D77CB1" w:rsidRDefault="00D77CB1" w:rsidP="00E42342">
      <w:pPr>
        <w:numPr>
          <w:ilvl w:val="0"/>
          <w:numId w:val="216"/>
        </w:numPr>
        <w:pBdr>
          <w:top w:val="nil"/>
          <w:left w:val="nil"/>
          <w:bottom w:val="nil"/>
          <w:right w:val="nil"/>
          <w:between w:val="nil"/>
        </w:pBdr>
        <w:spacing w:after="80"/>
        <w:ind w:left="357" w:hanging="357"/>
        <w:jc w:val="both"/>
        <w:rPr>
          <w:sz w:val="20"/>
          <w:szCs w:val="20"/>
        </w:rPr>
      </w:pPr>
      <w:r>
        <w:rPr>
          <w:rFonts w:ascii="Arial" w:hAnsi="Arial" w:cs="Arial"/>
          <w:b/>
          <w:sz w:val="20"/>
          <w:szCs w:val="20"/>
        </w:rPr>
        <w:t xml:space="preserve">Reuse of land and industrial sites: </w:t>
      </w:r>
      <w:r>
        <w:rPr>
          <w:rFonts w:ascii="Arial" w:hAnsi="Arial" w:cs="Arial"/>
          <w:sz w:val="20"/>
          <w:szCs w:val="20"/>
        </w:rPr>
        <w:t>actual TAU specific proposals, lake and leisure park, industrial park, photovoltaic park, initiation into the economic circuit of buildings and production spaces, etc. Inclusion of unused land owned by CFR that has access to utility and transport networks.</w:t>
      </w:r>
    </w:p>
    <w:p w14:paraId="0BDDA0FC" w14:textId="77777777" w:rsidR="00D77CB1" w:rsidRDefault="00D77CB1" w:rsidP="00E42342">
      <w:pPr>
        <w:numPr>
          <w:ilvl w:val="0"/>
          <w:numId w:val="216"/>
        </w:numPr>
        <w:pBdr>
          <w:top w:val="nil"/>
          <w:left w:val="nil"/>
          <w:bottom w:val="nil"/>
          <w:right w:val="nil"/>
          <w:between w:val="nil"/>
        </w:pBdr>
        <w:spacing w:after="80"/>
        <w:ind w:left="357" w:hanging="357"/>
        <w:jc w:val="both"/>
        <w:rPr>
          <w:sz w:val="20"/>
          <w:szCs w:val="20"/>
        </w:rPr>
      </w:pPr>
      <w:r>
        <w:rPr>
          <w:rFonts w:ascii="Arial" w:hAnsi="Arial" w:cs="Arial"/>
          <w:b/>
          <w:sz w:val="20"/>
          <w:szCs w:val="20"/>
        </w:rPr>
        <w:t xml:space="preserve">Qualification, upgrading and retraining: </w:t>
      </w:r>
      <w:r>
        <w:rPr>
          <w:rFonts w:ascii="Arial" w:hAnsi="Arial" w:cs="Arial"/>
          <w:sz w:val="20"/>
          <w:szCs w:val="20"/>
        </w:rPr>
        <w:t>partnerships with employers for pupils and student internships, pre-entrepreneurial development courses in high schools and universities; social services coupled with active employment measures for the reactivation of people from disadvantaged backgrounds and with disabilities; fiscal policies to stimulate employers in creating and supporting jobs.</w:t>
      </w:r>
      <w:r>
        <w:rPr>
          <w:rFonts w:ascii="Arial" w:hAnsi="Arial" w:cs="Arial"/>
          <w:b/>
          <w:sz w:val="20"/>
          <w:szCs w:val="20"/>
        </w:rPr>
        <w:t xml:space="preserve"> </w:t>
      </w:r>
    </w:p>
    <w:p w14:paraId="5075ACC0" w14:textId="77777777" w:rsidR="00D77CB1" w:rsidRDefault="00D77CB1" w:rsidP="00E42342">
      <w:pPr>
        <w:numPr>
          <w:ilvl w:val="0"/>
          <w:numId w:val="216"/>
        </w:numPr>
        <w:pBdr>
          <w:top w:val="nil"/>
          <w:left w:val="nil"/>
          <w:bottom w:val="nil"/>
          <w:right w:val="nil"/>
          <w:between w:val="nil"/>
        </w:pBdr>
        <w:spacing w:after="80"/>
        <w:ind w:left="357" w:hanging="357"/>
        <w:jc w:val="both"/>
        <w:rPr>
          <w:sz w:val="20"/>
          <w:szCs w:val="20"/>
        </w:rPr>
      </w:pPr>
      <w:r>
        <w:rPr>
          <w:rFonts w:ascii="Arial" w:hAnsi="Arial" w:cs="Arial"/>
          <w:b/>
          <w:sz w:val="20"/>
          <w:szCs w:val="20"/>
        </w:rPr>
        <w:t xml:space="preserve">Productive investments in SMEs and medium and large local enterprises </w:t>
      </w:r>
      <w:r>
        <w:rPr>
          <w:rFonts w:ascii="Arial" w:hAnsi="Arial" w:cs="Arial"/>
          <w:sz w:val="20"/>
          <w:szCs w:val="20"/>
        </w:rPr>
        <w:t>in economic sectors with growth potential and local tradition: automotive, building materials, batteries, plastics, PV panel manufacturing, rare metal mining, H2 production, mountain agricultural crops (berries, sea buckthorn), services and tourism: cycling and cultural events.</w:t>
      </w:r>
    </w:p>
    <w:p w14:paraId="6988C818" w14:textId="0E1B0D31" w:rsidR="00644AF6" w:rsidRPr="00D4062A" w:rsidRDefault="00D77CB1" w:rsidP="00E42342">
      <w:pPr>
        <w:pStyle w:val="ListParagraph"/>
        <w:numPr>
          <w:ilvl w:val="0"/>
          <w:numId w:val="216"/>
        </w:numPr>
        <w:spacing w:after="120" w:line="240" w:lineRule="auto"/>
        <w:jc w:val="both"/>
        <w:rPr>
          <w:sz w:val="20"/>
          <w:szCs w:val="20"/>
        </w:rPr>
      </w:pPr>
      <w:r w:rsidRPr="00D77CB1">
        <w:rPr>
          <w:b/>
          <w:sz w:val="20"/>
          <w:szCs w:val="20"/>
        </w:rPr>
        <w:t>Circular economy:</w:t>
      </w:r>
      <w:r w:rsidRPr="00D77CB1">
        <w:rPr>
          <w:sz w:val="20"/>
          <w:szCs w:val="20"/>
        </w:rPr>
        <w:t xml:space="preserve"> investments in recycling (construction waste) and upcycling</w:t>
      </w:r>
      <w:r w:rsidR="00B5243B">
        <w:rPr>
          <w:sz w:val="20"/>
          <w:szCs w:val="20"/>
        </w:rPr>
        <w:t>.</w:t>
      </w:r>
    </w:p>
    <w:p w14:paraId="7891E707" w14:textId="3CC15B56" w:rsidR="00D77CB1" w:rsidRDefault="00D77CB1" w:rsidP="00B5243B">
      <w:pPr>
        <w:spacing w:after="120"/>
        <w:jc w:val="both"/>
        <w:rPr>
          <w:rFonts w:ascii="Arial" w:hAnsi="Arial" w:cs="Arial"/>
          <w:b/>
          <w:sz w:val="20"/>
          <w:szCs w:val="20"/>
        </w:rPr>
      </w:pPr>
      <w:r>
        <w:rPr>
          <w:rFonts w:ascii="Arial" w:hAnsi="Arial" w:cs="Arial"/>
          <w:b/>
          <w:sz w:val="20"/>
          <w:szCs w:val="20"/>
        </w:rPr>
        <w:t>Assessment on the pertinence of the ideas put forward</w:t>
      </w:r>
      <w:r w:rsidR="00D4062A">
        <w:rPr>
          <w:rFonts w:ascii="Arial" w:hAnsi="Arial" w:cs="Arial"/>
          <w:b/>
          <w:sz w:val="20"/>
          <w:szCs w:val="20"/>
        </w:rPr>
        <w:t xml:space="preserve"> </w:t>
      </w:r>
      <w:r>
        <w:rPr>
          <w:rFonts w:ascii="Arial" w:hAnsi="Arial" w:cs="Arial"/>
          <w:b/>
          <w:sz w:val="20"/>
          <w:szCs w:val="20"/>
        </w:rPr>
        <w:t>/</w:t>
      </w:r>
      <w:r w:rsidR="00D4062A">
        <w:rPr>
          <w:rFonts w:ascii="Arial" w:hAnsi="Arial" w:cs="Arial"/>
          <w:b/>
          <w:sz w:val="20"/>
          <w:szCs w:val="20"/>
        </w:rPr>
        <w:t xml:space="preserve"> </w:t>
      </w:r>
      <w:r>
        <w:rPr>
          <w:rFonts w:ascii="Arial" w:hAnsi="Arial" w:cs="Arial"/>
          <w:b/>
          <w:sz w:val="20"/>
          <w:szCs w:val="20"/>
        </w:rPr>
        <w:t xml:space="preserve">Rationale based on the data collected and the JTF framework </w:t>
      </w:r>
    </w:p>
    <w:p w14:paraId="30189179" w14:textId="048FA905" w:rsid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Pr>
          <w:rFonts w:ascii="Arial" w:hAnsi="Arial" w:cs="Arial"/>
          <w:color w:val="000000"/>
          <w:sz w:val="20"/>
          <w:szCs w:val="20"/>
        </w:rPr>
        <w:t xml:space="preserve">Project proposals are based on an </w:t>
      </w:r>
      <w:r>
        <w:rPr>
          <w:rFonts w:ascii="Arial" w:hAnsi="Arial" w:cs="Arial"/>
          <w:sz w:val="20"/>
          <w:szCs w:val="20"/>
        </w:rPr>
        <w:t>assessment/inventory of local resources and opportunities, e.g., industrial sites for business parks, contaminated sites (tailing ponds/sinter) - PV parks, berry crops</w:t>
      </w:r>
      <w:r>
        <w:rPr>
          <w:rFonts w:ascii="Arial" w:hAnsi="Arial" w:cs="Arial"/>
          <w:color w:val="000000"/>
          <w:sz w:val="20"/>
          <w:szCs w:val="20"/>
        </w:rPr>
        <w:t>.</w:t>
      </w:r>
    </w:p>
    <w:p w14:paraId="39919F81" w14:textId="28A1D8D7" w:rsidR="00D77CB1" w:rsidRDefault="00D77CB1" w:rsidP="00E42342">
      <w:pPr>
        <w:numPr>
          <w:ilvl w:val="0"/>
          <w:numId w:val="217"/>
        </w:numPr>
        <w:pBdr>
          <w:top w:val="nil"/>
          <w:left w:val="nil"/>
          <w:bottom w:val="nil"/>
          <w:right w:val="nil"/>
          <w:between w:val="nil"/>
        </w:pBdr>
        <w:spacing w:after="80"/>
        <w:ind w:left="357" w:hanging="357"/>
        <w:jc w:val="both"/>
        <w:rPr>
          <w:rFonts w:ascii="Arial" w:hAnsi="Arial" w:cs="Arial"/>
          <w:color w:val="000000"/>
          <w:sz w:val="20"/>
          <w:szCs w:val="20"/>
        </w:rPr>
      </w:pPr>
      <w:r>
        <w:rPr>
          <w:rFonts w:ascii="Arial" w:hAnsi="Arial" w:cs="Arial"/>
          <w:sz w:val="20"/>
          <w:szCs w:val="20"/>
        </w:rPr>
        <w:t>Extended partnerships</w:t>
      </w:r>
      <w:r>
        <w:rPr>
          <w:rFonts w:ascii="Arial" w:hAnsi="Arial" w:cs="Arial"/>
          <w:color w:val="000000"/>
          <w:sz w:val="20"/>
          <w:szCs w:val="20"/>
        </w:rPr>
        <w:t xml:space="preserve"> (</w:t>
      </w:r>
      <w:r>
        <w:rPr>
          <w:rFonts w:ascii="Arial" w:hAnsi="Arial" w:cs="Arial"/>
          <w:sz w:val="20"/>
          <w:szCs w:val="20"/>
        </w:rPr>
        <w:t>local Authorities/County Council/University/Civil Society/Private Sector) in the realisation of proposals and implementation of projects</w:t>
      </w:r>
      <w:r w:rsidR="004C07DA">
        <w:rPr>
          <w:rFonts w:ascii="Arial" w:hAnsi="Arial" w:cs="Arial"/>
          <w:sz w:val="20"/>
          <w:szCs w:val="20"/>
        </w:rPr>
        <w:t xml:space="preserve"> are needed</w:t>
      </w:r>
      <w:r w:rsidR="00B5243B">
        <w:rPr>
          <w:rFonts w:ascii="Arial" w:hAnsi="Arial" w:cs="Arial"/>
          <w:sz w:val="20"/>
          <w:szCs w:val="20"/>
        </w:rPr>
        <w:t>.</w:t>
      </w:r>
    </w:p>
    <w:p w14:paraId="3FFA0E00" w14:textId="35B0D933" w:rsidR="00D77CB1" w:rsidRPr="00D77CB1" w:rsidRDefault="00D77CB1" w:rsidP="00E42342">
      <w:pPr>
        <w:pStyle w:val="ListParagraph"/>
        <w:numPr>
          <w:ilvl w:val="0"/>
          <w:numId w:val="217"/>
        </w:numPr>
        <w:spacing w:after="80" w:line="240" w:lineRule="auto"/>
        <w:ind w:left="357" w:hanging="357"/>
        <w:jc w:val="both"/>
        <w:rPr>
          <w:sz w:val="20"/>
          <w:szCs w:val="20"/>
          <w:highlight w:val="white"/>
        </w:rPr>
      </w:pPr>
      <w:r w:rsidRPr="00D77CB1">
        <w:rPr>
          <w:sz w:val="20"/>
          <w:szCs w:val="20"/>
        </w:rPr>
        <w:t xml:space="preserve">Information and knowledge of </w:t>
      </w:r>
      <w:r>
        <w:rPr>
          <w:sz w:val="20"/>
          <w:szCs w:val="20"/>
        </w:rPr>
        <w:t>JTF</w:t>
      </w:r>
      <w:r w:rsidRPr="00D77CB1">
        <w:rPr>
          <w:sz w:val="20"/>
          <w:szCs w:val="20"/>
        </w:rPr>
        <w:t xml:space="preserve"> eligible areas </w:t>
      </w:r>
      <w:r w:rsidR="004C07DA">
        <w:rPr>
          <w:sz w:val="20"/>
          <w:szCs w:val="20"/>
        </w:rPr>
        <w:t xml:space="preserve">is high, so </w:t>
      </w:r>
      <w:r w:rsidRPr="00D77CB1">
        <w:rPr>
          <w:sz w:val="20"/>
          <w:szCs w:val="20"/>
        </w:rPr>
        <w:t xml:space="preserve">project proposals </w:t>
      </w:r>
      <w:r w:rsidR="004C07DA">
        <w:rPr>
          <w:sz w:val="20"/>
          <w:szCs w:val="20"/>
        </w:rPr>
        <w:t xml:space="preserve">are </w:t>
      </w:r>
      <w:r w:rsidR="00BD3E2D">
        <w:rPr>
          <w:sz w:val="20"/>
          <w:szCs w:val="20"/>
        </w:rPr>
        <w:t xml:space="preserve">potentially </w:t>
      </w:r>
      <w:r w:rsidR="004C07DA" w:rsidRPr="00D77CB1">
        <w:rPr>
          <w:sz w:val="20"/>
          <w:szCs w:val="20"/>
        </w:rPr>
        <w:t xml:space="preserve">in line with </w:t>
      </w:r>
      <w:r w:rsidR="004C07DA">
        <w:rPr>
          <w:sz w:val="20"/>
          <w:szCs w:val="20"/>
        </w:rPr>
        <w:t xml:space="preserve">JTF, </w:t>
      </w:r>
      <w:r w:rsidRPr="00D77CB1">
        <w:rPr>
          <w:sz w:val="20"/>
          <w:szCs w:val="20"/>
        </w:rPr>
        <w:t>except for tourism infrastructure/ berries cultivation</w:t>
      </w:r>
      <w:r w:rsidR="00EA6045">
        <w:rPr>
          <w:sz w:val="20"/>
          <w:szCs w:val="20"/>
        </w:rPr>
        <w:t>.</w:t>
      </w:r>
      <w:r w:rsidRPr="00D77CB1">
        <w:rPr>
          <w:sz w:val="20"/>
          <w:szCs w:val="20"/>
        </w:rPr>
        <w:t xml:space="preserve"> </w:t>
      </w:r>
    </w:p>
    <w:p w14:paraId="4B5D2473" w14:textId="5A968F12" w:rsidR="00345CF4" w:rsidRPr="00AC2D01" w:rsidRDefault="00345CF4" w:rsidP="00AC2D01">
      <w:pPr>
        <w:jc w:val="both"/>
        <w:rPr>
          <w:sz w:val="20"/>
          <w:szCs w:val="20"/>
        </w:rPr>
      </w:pPr>
    </w:p>
    <w:p w14:paraId="32884546" w14:textId="7689E2A8" w:rsidR="00D6091A" w:rsidRPr="00CC7655" w:rsidRDefault="00D6091A" w:rsidP="00E42342">
      <w:pPr>
        <w:pStyle w:val="Heading1"/>
        <w:numPr>
          <w:ilvl w:val="0"/>
          <w:numId w:val="110"/>
        </w:numPr>
        <w:ind w:left="567" w:hanging="567"/>
        <w:rPr>
          <w:color w:val="4F81BD" w:themeColor="accent1"/>
        </w:rPr>
      </w:pPr>
      <w:bookmarkStart w:id="151" w:name="_Toc90725865"/>
      <w:r w:rsidRPr="00CC7655">
        <w:rPr>
          <w:color w:val="4F81BD" w:themeColor="accent1"/>
        </w:rPr>
        <w:t>Just Transition Assessment</w:t>
      </w:r>
      <w:r w:rsidR="00FF34FD" w:rsidRPr="00CC7655">
        <w:rPr>
          <w:color w:val="4F81BD" w:themeColor="accent1"/>
        </w:rPr>
        <w:t>, Actions and Investment Needs</w:t>
      </w:r>
      <w:r w:rsidRPr="00CC7655">
        <w:rPr>
          <w:color w:val="4F81BD" w:themeColor="accent1"/>
        </w:rPr>
        <w:t xml:space="preserve"> for Dolj County</w:t>
      </w:r>
      <w:bookmarkEnd w:id="151"/>
    </w:p>
    <w:p w14:paraId="22C92E5C" w14:textId="1B04457B" w:rsidR="00355050" w:rsidRDefault="00355050" w:rsidP="00355050">
      <w:pPr>
        <w:rPr>
          <w:lang w:eastAsia="en-US"/>
        </w:rPr>
      </w:pPr>
    </w:p>
    <w:p w14:paraId="1B4CEE1B" w14:textId="5134776D" w:rsidR="00F77450" w:rsidRDefault="00F77450" w:rsidP="00D4062A">
      <w:pPr>
        <w:pStyle w:val="FootnoteText"/>
        <w:jc w:val="both"/>
        <w:rPr>
          <w:sz w:val="20"/>
          <w:szCs w:val="20"/>
        </w:rPr>
      </w:pPr>
      <w:r>
        <w:rPr>
          <w:sz w:val="20"/>
          <w:szCs w:val="20"/>
        </w:rPr>
        <w:t xml:space="preserve">In this </w:t>
      </w:r>
      <w:r w:rsidR="00091FE3">
        <w:rPr>
          <w:sz w:val="20"/>
          <w:szCs w:val="20"/>
        </w:rPr>
        <w:t>chapter</w:t>
      </w:r>
      <w:r>
        <w:rPr>
          <w:sz w:val="20"/>
          <w:szCs w:val="20"/>
        </w:rPr>
        <w:t>, we first present the logic of the intervention as an overarching high-level picture and then go into the details concerning the context, challenges, opportunities, SWOT analysis, and recommended investment needs.</w:t>
      </w:r>
    </w:p>
    <w:p w14:paraId="0D46C33D" w14:textId="4D7FC044" w:rsidR="00603DD6" w:rsidRDefault="00603DD6" w:rsidP="00E42342">
      <w:pPr>
        <w:pStyle w:val="Heading2"/>
        <w:numPr>
          <w:ilvl w:val="0"/>
          <w:numId w:val="167"/>
        </w:numPr>
        <w:spacing w:before="120"/>
      </w:pPr>
      <w:bookmarkStart w:id="152" w:name="_Toc90725866"/>
      <w:r>
        <w:t xml:space="preserve">Logic of the intervention for Dolj </w:t>
      </w:r>
      <w:r w:rsidR="00F77450">
        <w:t>C</w:t>
      </w:r>
      <w:r>
        <w:t>ounty</w:t>
      </w:r>
      <w:bookmarkEnd w:id="152"/>
    </w:p>
    <w:p w14:paraId="450BBF81" w14:textId="137E5CAD" w:rsidR="00603DD6" w:rsidRDefault="00603DD6" w:rsidP="00402580">
      <w:pPr>
        <w:jc w:val="both"/>
        <w:rPr>
          <w:rFonts w:ascii="Arial" w:hAnsi="Arial" w:cs="Arial"/>
          <w:sz w:val="20"/>
          <w:szCs w:val="20"/>
        </w:rPr>
      </w:pPr>
      <w:r w:rsidRPr="00603DD6">
        <w:rPr>
          <w:rFonts w:ascii="Arial" w:hAnsi="Arial" w:cs="Arial"/>
          <w:sz w:val="20"/>
          <w:szCs w:val="20"/>
        </w:rPr>
        <w:t xml:space="preserve">The logic of the intervention is summarised in the figure below and blends together all elements analysed in this </w:t>
      </w:r>
      <w:r w:rsidR="00091FE3">
        <w:rPr>
          <w:rFonts w:ascii="Arial" w:hAnsi="Arial" w:cs="Arial"/>
          <w:sz w:val="20"/>
          <w:szCs w:val="20"/>
        </w:rPr>
        <w:t>chapter</w:t>
      </w:r>
      <w:r w:rsidRPr="00603DD6">
        <w:rPr>
          <w:rFonts w:ascii="Arial" w:hAnsi="Arial" w:cs="Arial"/>
          <w:sz w:val="20"/>
          <w:szCs w:val="20"/>
        </w:rPr>
        <w:t>.</w:t>
      </w:r>
    </w:p>
    <w:p w14:paraId="7DC33302" w14:textId="07CCAE98" w:rsidR="003847A7" w:rsidRDefault="003847A7" w:rsidP="00402580">
      <w:pPr>
        <w:jc w:val="both"/>
        <w:rPr>
          <w:rFonts w:ascii="Arial" w:hAnsi="Arial" w:cs="Arial"/>
          <w:sz w:val="20"/>
          <w:szCs w:val="20"/>
        </w:rPr>
        <w:sectPr w:rsidR="003847A7" w:rsidSect="00D4062A">
          <w:headerReference w:type="default" r:id="rId84"/>
          <w:pgSz w:w="11909" w:h="16834"/>
          <w:pgMar w:top="1440" w:right="1440" w:bottom="1440" w:left="1530" w:header="720" w:footer="720" w:gutter="0"/>
          <w:cols w:space="720"/>
          <w:docGrid w:linePitch="326"/>
        </w:sectPr>
      </w:pPr>
    </w:p>
    <w:p w14:paraId="4FC9E81F" w14:textId="550AE2E2" w:rsidR="00603DD6" w:rsidRDefault="00313168" w:rsidP="00D306CB">
      <w:pPr>
        <w:pStyle w:val="Caption"/>
        <w:spacing w:before="0"/>
        <w:ind w:left="1138" w:hanging="864"/>
        <w:sectPr w:rsidR="00603DD6" w:rsidSect="00D4062A">
          <w:headerReference w:type="default" r:id="rId85"/>
          <w:footerReference w:type="default" r:id="rId86"/>
          <w:pgSz w:w="16834" w:h="11909" w:orient="landscape"/>
          <w:pgMar w:top="1530" w:right="1440" w:bottom="1440" w:left="1440" w:header="720" w:footer="720" w:gutter="0"/>
          <w:cols w:space="720"/>
          <w:docGrid w:linePitch="326"/>
        </w:sectPr>
      </w:pPr>
      <w:bookmarkStart w:id="153" w:name="_Toc90725936"/>
      <w:r>
        <w:rPr>
          <w:noProof/>
          <w:lang w:val="en-US"/>
        </w:rPr>
        <w:lastRenderedPageBreak/>
        <w:drawing>
          <wp:anchor distT="0" distB="0" distL="114300" distR="114300" simplePos="0" relativeHeight="251678720" behindDoc="1" locked="0" layoutInCell="1" allowOverlap="1" wp14:anchorId="352869D7" wp14:editId="02E329CD">
            <wp:simplePos x="0" y="0"/>
            <wp:positionH relativeFrom="page">
              <wp:posOffset>895350</wp:posOffset>
            </wp:positionH>
            <wp:positionV relativeFrom="paragraph">
              <wp:posOffset>50800</wp:posOffset>
            </wp:positionV>
            <wp:extent cx="8858250" cy="6376670"/>
            <wp:effectExtent l="0" t="0" r="0" b="5080"/>
            <wp:wrapNone/>
            <wp:docPr id="2087055765" name="Picture 208705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8858250" cy="6376670"/>
                    </a:xfrm>
                    <a:prstGeom prst="rect">
                      <a:avLst/>
                    </a:prstGeom>
                  </pic:spPr>
                </pic:pic>
              </a:graphicData>
            </a:graphic>
            <wp14:sizeRelV relativeFrom="margin">
              <wp14:pctHeight>0</wp14:pctHeight>
            </wp14:sizeRelV>
          </wp:anchor>
        </w:drawing>
      </w:r>
      <w:r>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9</w:t>
      </w:r>
      <w:r w:rsidR="000B273D">
        <w:rPr>
          <w:noProof/>
        </w:rPr>
        <w:fldChar w:fldCharType="end"/>
      </w:r>
      <w:r>
        <w:t>:</w:t>
      </w:r>
      <w:r w:rsidRPr="009118F7">
        <w:t xml:space="preserve"> </w:t>
      </w:r>
      <w:r>
        <w:t>Logic of the intervention for Dolj County</w:t>
      </w:r>
      <w:bookmarkEnd w:id="153"/>
    </w:p>
    <w:p w14:paraId="364F71A8" w14:textId="736F3B67" w:rsidR="00F90DC9" w:rsidRPr="00F90DC9" w:rsidRDefault="00D6091A" w:rsidP="00E42342">
      <w:pPr>
        <w:pStyle w:val="Heading2"/>
        <w:numPr>
          <w:ilvl w:val="0"/>
          <w:numId w:val="168"/>
        </w:numPr>
      </w:pPr>
      <w:bookmarkStart w:id="154" w:name="_Toc90725867"/>
      <w:r w:rsidRPr="003516DC">
        <w:lastRenderedPageBreak/>
        <w:t>Assessment of the transition challenges at the political-administrative, economic and employment, environmental, socio-cultural and digital/ technological levels</w:t>
      </w:r>
      <w:bookmarkEnd w:id="154"/>
    </w:p>
    <w:p w14:paraId="66C28EBD" w14:textId="7578F8EE" w:rsidR="0078437C" w:rsidRPr="005B45B2" w:rsidRDefault="0078437C" w:rsidP="00E42342">
      <w:pPr>
        <w:pStyle w:val="Heading3"/>
        <w:numPr>
          <w:ilvl w:val="0"/>
          <w:numId w:val="133"/>
        </w:numPr>
        <w:rPr>
          <w:b w:val="0"/>
          <w:bCs/>
        </w:rPr>
      </w:pPr>
      <w:r w:rsidRPr="005B45B2">
        <w:rPr>
          <w:b w:val="0"/>
          <w:bCs/>
        </w:rPr>
        <w:t>State of play</w:t>
      </w:r>
      <w:r w:rsidR="00F0070A" w:rsidRPr="005B45B2">
        <w:rPr>
          <w:b w:val="0"/>
          <w:bCs/>
        </w:rPr>
        <w:t xml:space="preserve"> in Dolj </w:t>
      </w:r>
      <w:r w:rsidR="00F77450">
        <w:rPr>
          <w:b w:val="0"/>
          <w:bCs/>
        </w:rPr>
        <w:t>C</w:t>
      </w:r>
      <w:r w:rsidR="00F0070A" w:rsidRPr="005B45B2">
        <w:rPr>
          <w:b w:val="0"/>
          <w:bCs/>
        </w:rPr>
        <w:t>ounty</w:t>
      </w:r>
    </w:p>
    <w:p w14:paraId="1AB93372" w14:textId="30BAFBF7" w:rsidR="00A87A4B" w:rsidRPr="00A87A4B" w:rsidRDefault="00A87A4B" w:rsidP="00E42342">
      <w:pPr>
        <w:pStyle w:val="Heading4"/>
        <w:numPr>
          <w:ilvl w:val="0"/>
          <w:numId w:val="265"/>
        </w:numPr>
        <w:rPr>
          <w:sz w:val="20"/>
          <w:szCs w:val="20"/>
        </w:rPr>
      </w:pPr>
      <w:r w:rsidRPr="00A87A4B">
        <w:rPr>
          <w:sz w:val="20"/>
          <w:szCs w:val="20"/>
        </w:rPr>
        <w:t>Political-administrative level</w:t>
      </w:r>
    </w:p>
    <w:p w14:paraId="45355FDD" w14:textId="10610049" w:rsidR="0078437C" w:rsidRPr="003516DC" w:rsidRDefault="00D21D7A" w:rsidP="00A87A4B">
      <w:pPr>
        <w:spacing w:after="120"/>
        <w:jc w:val="both"/>
        <w:rPr>
          <w:rFonts w:ascii="Arial" w:hAnsi="Arial" w:cs="Arial"/>
          <w:sz w:val="20"/>
          <w:szCs w:val="20"/>
        </w:rPr>
      </w:pPr>
      <w:r w:rsidRPr="003516DC">
        <w:rPr>
          <w:rFonts w:ascii="Arial" w:hAnsi="Arial" w:cs="Arial"/>
          <w:sz w:val="20"/>
          <w:szCs w:val="20"/>
        </w:rPr>
        <w:t>Similar to the</w:t>
      </w:r>
      <w:r w:rsidR="0078437C" w:rsidRPr="003516DC">
        <w:rPr>
          <w:rFonts w:ascii="Arial" w:hAnsi="Arial" w:cs="Arial"/>
          <w:sz w:val="20"/>
          <w:szCs w:val="20"/>
        </w:rPr>
        <w:t xml:space="preserve"> other five counties to which the Just Transition Mechanism will apply, Dolj has already gone through several waves of industrial restructuring. The energy transition is expected to have further negative employment effects on a region</w:t>
      </w:r>
      <w:r w:rsidR="000A12F0" w:rsidRPr="003516DC">
        <w:rPr>
          <w:rFonts w:ascii="Arial" w:hAnsi="Arial" w:cs="Arial"/>
          <w:sz w:val="20"/>
          <w:szCs w:val="20"/>
        </w:rPr>
        <w:t xml:space="preserve"> that is</w:t>
      </w:r>
      <w:r w:rsidR="0078437C" w:rsidRPr="003516DC">
        <w:rPr>
          <w:rFonts w:ascii="Arial" w:hAnsi="Arial" w:cs="Arial"/>
          <w:sz w:val="20"/>
          <w:szCs w:val="20"/>
        </w:rPr>
        <w:t xml:space="preserve"> already affected by</w:t>
      </w:r>
      <w:r w:rsidR="000A12F0" w:rsidRPr="003516DC">
        <w:rPr>
          <w:rFonts w:ascii="Arial" w:hAnsi="Arial" w:cs="Arial"/>
          <w:sz w:val="20"/>
          <w:szCs w:val="20"/>
        </w:rPr>
        <w:t xml:space="preserve"> high</w:t>
      </w:r>
      <w:r w:rsidR="0078437C" w:rsidRPr="003516DC">
        <w:rPr>
          <w:rFonts w:ascii="Arial" w:hAnsi="Arial" w:cs="Arial"/>
          <w:sz w:val="20"/>
          <w:szCs w:val="20"/>
        </w:rPr>
        <w:t xml:space="preserve"> unemployment. </w:t>
      </w:r>
      <w:r w:rsidR="005D261D" w:rsidRPr="003516DC">
        <w:rPr>
          <w:rFonts w:ascii="Arial" w:hAnsi="Arial" w:cs="Arial"/>
          <w:sz w:val="20"/>
          <w:szCs w:val="20"/>
        </w:rPr>
        <w:t>Nevertheless, a</w:t>
      </w:r>
      <w:r w:rsidR="0078437C" w:rsidRPr="003516DC">
        <w:rPr>
          <w:rFonts w:ascii="Arial" w:hAnsi="Arial" w:cs="Arial"/>
          <w:sz w:val="20"/>
          <w:szCs w:val="20"/>
        </w:rPr>
        <w:t xml:space="preserve"> relative</w:t>
      </w:r>
      <w:r w:rsidR="005D261D" w:rsidRPr="003516DC">
        <w:rPr>
          <w:rFonts w:ascii="Arial" w:hAnsi="Arial" w:cs="Arial"/>
          <w:sz w:val="20"/>
          <w:szCs w:val="20"/>
        </w:rPr>
        <w:t>ly</w:t>
      </w:r>
      <w:r w:rsidR="0078437C" w:rsidRPr="003516DC">
        <w:rPr>
          <w:rFonts w:ascii="Arial" w:hAnsi="Arial" w:cs="Arial"/>
          <w:sz w:val="20"/>
          <w:szCs w:val="20"/>
        </w:rPr>
        <w:t xml:space="preserve"> developed political-administrative planning capacity and a functional vocational and tertiary education infrastructure are expected to support the just transition efforts.</w:t>
      </w:r>
    </w:p>
    <w:p w14:paraId="6DD2DE75" w14:textId="67D444AF" w:rsidR="0078437C" w:rsidRPr="003516DC" w:rsidRDefault="0078437C" w:rsidP="00A87A4B">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political-administrative</w:t>
      </w:r>
      <w:r w:rsidRPr="003516DC">
        <w:rPr>
          <w:rFonts w:ascii="Arial" w:hAnsi="Arial" w:cs="Arial"/>
          <w:sz w:val="20"/>
          <w:szCs w:val="20"/>
        </w:rPr>
        <w:t xml:space="preserve"> perspective, the recent changes in the political landscape </w:t>
      </w:r>
      <w:r w:rsidR="00E0374B" w:rsidRPr="003516DC">
        <w:rPr>
          <w:rFonts w:ascii="Arial" w:hAnsi="Arial" w:cs="Arial"/>
          <w:sz w:val="20"/>
          <w:szCs w:val="20"/>
        </w:rPr>
        <w:t>because of</w:t>
      </w:r>
      <w:r w:rsidRPr="003516DC">
        <w:rPr>
          <w:rFonts w:ascii="Arial" w:hAnsi="Arial" w:cs="Arial"/>
          <w:sz w:val="20"/>
          <w:szCs w:val="20"/>
        </w:rPr>
        <w:t xml:space="preserve"> the local and parliamentary elections in 2020 did not significantly change the existing communication flows and channels among the local authorities at </w:t>
      </w:r>
      <w:r w:rsidR="00BD7F45" w:rsidRPr="003516DC">
        <w:rPr>
          <w:rFonts w:ascii="Arial" w:hAnsi="Arial" w:cs="Arial"/>
          <w:sz w:val="20"/>
          <w:szCs w:val="20"/>
        </w:rPr>
        <w:t xml:space="preserve">the </w:t>
      </w:r>
      <w:r w:rsidRPr="003516DC">
        <w:rPr>
          <w:rFonts w:ascii="Arial" w:hAnsi="Arial" w:cs="Arial"/>
          <w:sz w:val="20"/>
          <w:szCs w:val="20"/>
        </w:rPr>
        <w:t xml:space="preserve">county level. </w:t>
      </w:r>
      <w:r w:rsidR="002D63C2" w:rsidRPr="003516DC">
        <w:rPr>
          <w:rFonts w:ascii="Arial" w:hAnsi="Arial" w:cs="Arial"/>
          <w:sz w:val="20"/>
          <w:szCs w:val="20"/>
        </w:rPr>
        <w:t>As discussions carried-out with the main local stakeholders indicated, t</w:t>
      </w:r>
      <w:r w:rsidRPr="003516DC">
        <w:rPr>
          <w:rFonts w:ascii="Arial" w:hAnsi="Arial" w:cs="Arial"/>
          <w:sz w:val="20"/>
          <w:szCs w:val="20"/>
        </w:rPr>
        <w:t xml:space="preserve">he County Council (CC) Dolj maintains an active and </w:t>
      </w:r>
      <w:r w:rsidR="003772A8" w:rsidRPr="003516DC">
        <w:rPr>
          <w:rFonts w:ascii="Arial" w:hAnsi="Arial" w:cs="Arial"/>
          <w:sz w:val="20"/>
          <w:szCs w:val="20"/>
        </w:rPr>
        <w:t>balanced</w:t>
      </w:r>
      <w:r w:rsidRPr="003516DC">
        <w:rPr>
          <w:rFonts w:ascii="Arial" w:hAnsi="Arial" w:cs="Arial"/>
          <w:sz w:val="20"/>
          <w:szCs w:val="20"/>
        </w:rPr>
        <w:t xml:space="preserve"> communication with all administrative territorial units in the county, regardless of political orientation. Furthermore, effective communication is maintained between the Dolj County Council and Regional Development Agency (RDA) South-West Oltenia. The local authorities </w:t>
      </w:r>
      <w:r w:rsidR="008433AE" w:rsidRPr="003516DC">
        <w:rPr>
          <w:rFonts w:ascii="Arial" w:hAnsi="Arial" w:cs="Arial"/>
          <w:sz w:val="20"/>
          <w:szCs w:val="20"/>
        </w:rPr>
        <w:t xml:space="preserve">have </w:t>
      </w:r>
      <w:r w:rsidRPr="003516DC">
        <w:rPr>
          <w:rFonts w:ascii="Arial" w:hAnsi="Arial" w:cs="Arial"/>
          <w:sz w:val="20"/>
          <w:szCs w:val="20"/>
        </w:rPr>
        <w:t>experience implementing projects and accessing EU funds</w:t>
      </w:r>
      <w:r w:rsidR="008433AE" w:rsidRPr="003516DC">
        <w:rPr>
          <w:rFonts w:ascii="Arial" w:hAnsi="Arial" w:cs="Arial"/>
          <w:sz w:val="20"/>
          <w:szCs w:val="20"/>
        </w:rPr>
        <w:t>.</w:t>
      </w:r>
      <w:r w:rsidRPr="003516DC">
        <w:rPr>
          <w:rFonts w:ascii="Arial" w:hAnsi="Arial" w:cs="Arial"/>
          <w:sz w:val="20"/>
          <w:szCs w:val="20"/>
        </w:rPr>
        <w:t xml:space="preserve"> </w:t>
      </w:r>
      <w:r w:rsidR="008433AE" w:rsidRPr="003516DC">
        <w:rPr>
          <w:rFonts w:ascii="Arial" w:hAnsi="Arial" w:cs="Arial"/>
          <w:sz w:val="20"/>
          <w:szCs w:val="20"/>
        </w:rPr>
        <w:t>T</w:t>
      </w:r>
      <w:r w:rsidRPr="003516DC">
        <w:rPr>
          <w:rFonts w:ascii="Arial" w:hAnsi="Arial" w:cs="Arial"/>
          <w:sz w:val="20"/>
          <w:szCs w:val="20"/>
        </w:rPr>
        <w:t xml:space="preserve">he County Council </w:t>
      </w:r>
      <w:r w:rsidR="008433AE" w:rsidRPr="003516DC">
        <w:rPr>
          <w:rFonts w:ascii="Arial" w:hAnsi="Arial" w:cs="Arial"/>
          <w:sz w:val="20"/>
          <w:szCs w:val="20"/>
        </w:rPr>
        <w:t xml:space="preserve">is </w:t>
      </w:r>
      <w:r w:rsidRPr="003516DC">
        <w:rPr>
          <w:rFonts w:ascii="Arial" w:hAnsi="Arial" w:cs="Arial"/>
          <w:sz w:val="20"/>
          <w:szCs w:val="20"/>
        </w:rPr>
        <w:t xml:space="preserve">planning to set up a small team to offer advice </w:t>
      </w:r>
      <w:r w:rsidR="008433AE" w:rsidRPr="003516DC">
        <w:rPr>
          <w:rFonts w:ascii="Arial" w:hAnsi="Arial" w:cs="Arial"/>
          <w:sz w:val="20"/>
          <w:szCs w:val="20"/>
        </w:rPr>
        <w:t xml:space="preserve">to other entities in the council </w:t>
      </w:r>
      <w:r w:rsidRPr="003516DC">
        <w:rPr>
          <w:rFonts w:ascii="Arial" w:hAnsi="Arial" w:cs="Arial"/>
          <w:sz w:val="20"/>
          <w:szCs w:val="20"/>
        </w:rPr>
        <w:t xml:space="preserve">for project scoping </w:t>
      </w:r>
      <w:r w:rsidR="008433AE" w:rsidRPr="003516DC">
        <w:rPr>
          <w:rFonts w:ascii="Arial" w:hAnsi="Arial" w:cs="Arial"/>
          <w:sz w:val="20"/>
          <w:szCs w:val="20"/>
        </w:rPr>
        <w:t>and</w:t>
      </w:r>
      <w:r w:rsidRPr="003516DC">
        <w:rPr>
          <w:rFonts w:ascii="Arial" w:hAnsi="Arial" w:cs="Arial"/>
          <w:sz w:val="20"/>
          <w:szCs w:val="20"/>
        </w:rPr>
        <w:t xml:space="preserve"> fund access.</w:t>
      </w:r>
      <w:r w:rsidR="005402F1" w:rsidRPr="003516DC">
        <w:rPr>
          <w:rFonts w:ascii="Arial" w:hAnsi="Arial" w:cs="Arial"/>
          <w:sz w:val="20"/>
          <w:szCs w:val="20"/>
        </w:rPr>
        <w:t xml:space="preserve"> </w:t>
      </w:r>
    </w:p>
    <w:p w14:paraId="5DF79F8C" w14:textId="09352C5B" w:rsidR="00A87A4B" w:rsidRPr="00A87A4B" w:rsidRDefault="00A87A4B" w:rsidP="00E42342">
      <w:pPr>
        <w:pStyle w:val="Heading4"/>
        <w:numPr>
          <w:ilvl w:val="0"/>
          <w:numId w:val="266"/>
        </w:numPr>
        <w:spacing w:before="0" w:after="120"/>
        <w:rPr>
          <w:sz w:val="20"/>
          <w:szCs w:val="20"/>
        </w:rPr>
      </w:pPr>
      <w:r>
        <w:rPr>
          <w:sz w:val="20"/>
          <w:szCs w:val="20"/>
        </w:rPr>
        <w:t>Economic development</w:t>
      </w:r>
    </w:p>
    <w:p w14:paraId="32EF969D" w14:textId="77777777" w:rsidR="00A87A4B" w:rsidRDefault="0078437C" w:rsidP="00A87A4B">
      <w:pPr>
        <w:spacing w:after="120"/>
        <w:jc w:val="both"/>
        <w:rPr>
          <w:rFonts w:ascii="Arial" w:hAnsi="Arial" w:cs="Arial"/>
          <w:sz w:val="20"/>
          <w:szCs w:val="20"/>
        </w:rPr>
      </w:pPr>
      <w:r w:rsidRPr="003516DC">
        <w:rPr>
          <w:rFonts w:ascii="Arial" w:hAnsi="Arial" w:cs="Arial"/>
          <w:sz w:val="20"/>
          <w:szCs w:val="20"/>
        </w:rPr>
        <w:t xml:space="preserve">From an </w:t>
      </w:r>
      <w:r w:rsidRPr="003516DC">
        <w:rPr>
          <w:rFonts w:ascii="Arial" w:hAnsi="Arial" w:cs="Arial"/>
          <w:b/>
          <w:bCs/>
          <w:sz w:val="20"/>
          <w:szCs w:val="20"/>
        </w:rPr>
        <w:t>economic</w:t>
      </w:r>
      <w:r w:rsidRPr="003516DC">
        <w:rPr>
          <w:rFonts w:ascii="Arial" w:hAnsi="Arial" w:cs="Arial"/>
          <w:sz w:val="20"/>
          <w:szCs w:val="20"/>
        </w:rPr>
        <w:t xml:space="preserve"> standpoint, the county has experienced accelerated growth in the past ten years. Between 2010 and 2019, the total number of registered companies increased by 21% and the number of self-employed entrepreneurs </w:t>
      </w:r>
      <w:r w:rsidR="005361DC" w:rsidRPr="003516DC">
        <w:rPr>
          <w:rFonts w:ascii="Arial" w:hAnsi="Arial" w:cs="Arial"/>
          <w:sz w:val="20"/>
          <w:szCs w:val="20"/>
        </w:rPr>
        <w:t xml:space="preserve">increased </w:t>
      </w:r>
      <w:r w:rsidRPr="003516DC">
        <w:rPr>
          <w:rFonts w:ascii="Arial" w:hAnsi="Arial" w:cs="Arial"/>
          <w:sz w:val="20"/>
          <w:szCs w:val="20"/>
        </w:rPr>
        <w:t>by 19%. The number of profitable companies almost doubled, while the number of companies with losses decreased by 35%</w:t>
      </w:r>
      <w:r w:rsidR="009E67D1" w:rsidRPr="003516DC">
        <w:rPr>
          <w:rStyle w:val="FootnoteReference"/>
          <w:rFonts w:ascii="Arial" w:hAnsi="Arial" w:cs="Arial"/>
          <w:sz w:val="20"/>
          <w:szCs w:val="20"/>
        </w:rPr>
        <w:footnoteReference w:id="72"/>
      </w:r>
      <w:r w:rsidRPr="003516DC">
        <w:rPr>
          <w:rFonts w:ascii="Arial" w:hAnsi="Arial" w:cs="Arial"/>
          <w:sz w:val="20"/>
          <w:szCs w:val="20"/>
        </w:rPr>
        <w:t xml:space="preserve">. Over the last ten years, the annual turnover of Dolj-registered companies </w:t>
      </w:r>
      <w:r w:rsidR="00B136ED" w:rsidRPr="003516DC">
        <w:rPr>
          <w:rFonts w:ascii="Arial" w:hAnsi="Arial" w:cs="Arial"/>
          <w:sz w:val="20"/>
          <w:szCs w:val="20"/>
        </w:rPr>
        <w:t xml:space="preserve">roughly </w:t>
      </w:r>
      <w:r w:rsidRPr="003516DC">
        <w:rPr>
          <w:rFonts w:ascii="Arial" w:hAnsi="Arial" w:cs="Arial"/>
          <w:sz w:val="20"/>
          <w:szCs w:val="20"/>
        </w:rPr>
        <w:t xml:space="preserve">doubled. </w:t>
      </w:r>
    </w:p>
    <w:p w14:paraId="27690A15" w14:textId="77777777" w:rsidR="00A87A4B" w:rsidRDefault="00EE6B26" w:rsidP="00A87A4B">
      <w:pPr>
        <w:spacing w:after="120"/>
        <w:jc w:val="both"/>
        <w:rPr>
          <w:rFonts w:ascii="Arial" w:hAnsi="Arial" w:cs="Arial"/>
          <w:sz w:val="20"/>
          <w:szCs w:val="20"/>
        </w:rPr>
      </w:pPr>
      <w:r w:rsidRPr="003516DC">
        <w:rPr>
          <w:rFonts w:ascii="Arial" w:hAnsi="Arial" w:cs="Arial"/>
          <w:sz w:val="20"/>
          <w:szCs w:val="20"/>
        </w:rPr>
        <w:t>T</w:t>
      </w:r>
      <w:r w:rsidR="0078437C" w:rsidRPr="003516DC">
        <w:rPr>
          <w:rFonts w:ascii="Arial" w:hAnsi="Arial" w:cs="Arial"/>
          <w:sz w:val="20"/>
          <w:szCs w:val="20"/>
        </w:rPr>
        <w:t>he trade sector (incl. restaurants and hotels)</w:t>
      </w:r>
      <w:r w:rsidRPr="003516DC">
        <w:rPr>
          <w:rFonts w:ascii="Arial" w:hAnsi="Arial" w:cs="Arial"/>
          <w:sz w:val="20"/>
          <w:szCs w:val="20"/>
        </w:rPr>
        <w:t>, although decreasing in recent years,</w:t>
      </w:r>
      <w:r w:rsidR="0078437C" w:rsidRPr="003516DC">
        <w:rPr>
          <w:rFonts w:ascii="Arial" w:hAnsi="Arial" w:cs="Arial"/>
          <w:sz w:val="20"/>
          <w:szCs w:val="20"/>
        </w:rPr>
        <w:t xml:space="preserve"> comprises almost half of the companies active at </w:t>
      </w:r>
      <w:r w:rsidR="00F115C2" w:rsidRPr="003516DC">
        <w:rPr>
          <w:rFonts w:ascii="Arial" w:hAnsi="Arial" w:cs="Arial"/>
          <w:sz w:val="20"/>
          <w:szCs w:val="20"/>
        </w:rPr>
        <w:t xml:space="preserve">the </w:t>
      </w:r>
      <w:r w:rsidR="0078437C" w:rsidRPr="003516DC">
        <w:rPr>
          <w:rFonts w:ascii="Arial" w:hAnsi="Arial" w:cs="Arial"/>
          <w:sz w:val="20"/>
          <w:szCs w:val="20"/>
        </w:rPr>
        <w:t xml:space="preserve">county level and registered </w:t>
      </w:r>
      <w:r w:rsidR="009364A5" w:rsidRPr="003516DC">
        <w:rPr>
          <w:rFonts w:ascii="Arial" w:hAnsi="Arial" w:cs="Arial"/>
          <w:sz w:val="20"/>
          <w:szCs w:val="20"/>
        </w:rPr>
        <w:t>87</w:t>
      </w:r>
      <w:r w:rsidR="007E60B3" w:rsidRPr="003516DC">
        <w:rPr>
          <w:rFonts w:ascii="Arial" w:hAnsi="Arial" w:cs="Arial"/>
          <w:sz w:val="20"/>
          <w:szCs w:val="20"/>
        </w:rPr>
        <w:t>%</w:t>
      </w:r>
      <w:r w:rsidR="0078437C" w:rsidRPr="003516DC">
        <w:rPr>
          <w:rFonts w:ascii="Arial" w:hAnsi="Arial" w:cs="Arial"/>
          <w:sz w:val="20"/>
          <w:szCs w:val="20"/>
        </w:rPr>
        <w:t xml:space="preserve"> growth between 2010 and 2019. Agriculture employ</w:t>
      </w:r>
      <w:r w:rsidR="00F115C2" w:rsidRPr="003516DC">
        <w:rPr>
          <w:rFonts w:ascii="Arial" w:hAnsi="Arial" w:cs="Arial"/>
          <w:sz w:val="20"/>
          <w:szCs w:val="20"/>
        </w:rPr>
        <w:t>s</w:t>
      </w:r>
      <w:r w:rsidR="0078437C" w:rsidRPr="003516DC">
        <w:rPr>
          <w:rFonts w:ascii="Arial" w:hAnsi="Arial" w:cs="Arial"/>
          <w:sz w:val="20"/>
          <w:szCs w:val="20"/>
        </w:rPr>
        <w:t xml:space="preserve"> </w:t>
      </w:r>
      <w:r w:rsidR="00F115C2" w:rsidRPr="003516DC">
        <w:rPr>
          <w:rFonts w:ascii="Arial" w:hAnsi="Arial" w:cs="Arial"/>
          <w:sz w:val="20"/>
          <w:szCs w:val="20"/>
        </w:rPr>
        <w:t xml:space="preserve">nearly </w:t>
      </w:r>
      <w:r w:rsidR="0078437C" w:rsidRPr="003516DC">
        <w:rPr>
          <w:rFonts w:ascii="Arial" w:hAnsi="Arial" w:cs="Arial"/>
          <w:sz w:val="20"/>
          <w:szCs w:val="20"/>
        </w:rPr>
        <w:t xml:space="preserve">30% of the local workforce, yet </w:t>
      </w:r>
      <w:r w:rsidR="00946A6B" w:rsidRPr="003516DC">
        <w:rPr>
          <w:rFonts w:ascii="Arial" w:hAnsi="Arial" w:cs="Arial"/>
          <w:sz w:val="20"/>
          <w:szCs w:val="20"/>
        </w:rPr>
        <w:t>only represents 4.6% of registered companies</w:t>
      </w:r>
      <w:r w:rsidR="0078437C" w:rsidRPr="003516DC">
        <w:rPr>
          <w:rFonts w:ascii="Arial" w:hAnsi="Arial" w:cs="Arial"/>
          <w:sz w:val="20"/>
          <w:szCs w:val="20"/>
        </w:rPr>
        <w:t xml:space="preserve">, </w:t>
      </w:r>
      <w:r w:rsidR="00651F0A" w:rsidRPr="003516DC">
        <w:rPr>
          <w:rFonts w:ascii="Arial" w:hAnsi="Arial" w:cs="Arial"/>
          <w:sz w:val="20"/>
          <w:szCs w:val="20"/>
        </w:rPr>
        <w:t xml:space="preserve">illustrating </w:t>
      </w:r>
      <w:r w:rsidR="0078437C" w:rsidRPr="003516DC">
        <w:rPr>
          <w:rFonts w:ascii="Arial" w:hAnsi="Arial" w:cs="Arial"/>
          <w:sz w:val="20"/>
          <w:szCs w:val="20"/>
        </w:rPr>
        <w:t xml:space="preserve">that small subsistence farms occupy an important position in Dolj. </w:t>
      </w:r>
    </w:p>
    <w:p w14:paraId="42C3145A" w14:textId="77777777" w:rsidR="00A87A4B" w:rsidRDefault="0078437C" w:rsidP="00A87A4B">
      <w:pPr>
        <w:spacing w:after="120"/>
        <w:jc w:val="both"/>
        <w:rPr>
          <w:rFonts w:ascii="Arial" w:hAnsi="Arial" w:cs="Arial"/>
          <w:sz w:val="20"/>
          <w:szCs w:val="20"/>
        </w:rPr>
      </w:pPr>
      <w:r w:rsidRPr="003516DC">
        <w:rPr>
          <w:rFonts w:ascii="Arial" w:hAnsi="Arial" w:cs="Arial"/>
          <w:sz w:val="20"/>
          <w:szCs w:val="20"/>
        </w:rPr>
        <w:t>Manufacturing increased by approximately 400% in the past ten years</w:t>
      </w:r>
      <w:r w:rsidR="005962C5" w:rsidRPr="003516DC">
        <w:rPr>
          <w:rFonts w:ascii="Arial" w:hAnsi="Arial" w:cs="Arial"/>
          <w:sz w:val="20"/>
          <w:szCs w:val="20"/>
        </w:rPr>
        <w:t>.</w:t>
      </w:r>
      <w:r w:rsidRPr="003516DC">
        <w:rPr>
          <w:rFonts w:ascii="Arial" w:hAnsi="Arial" w:cs="Arial"/>
          <w:sz w:val="20"/>
          <w:szCs w:val="20"/>
        </w:rPr>
        <w:t xml:space="preserve"> </w:t>
      </w:r>
      <w:r w:rsidR="005962C5" w:rsidRPr="003516DC">
        <w:rPr>
          <w:rFonts w:ascii="Arial" w:hAnsi="Arial" w:cs="Arial"/>
          <w:sz w:val="20"/>
          <w:szCs w:val="20"/>
        </w:rPr>
        <w:t>T</w:t>
      </w:r>
      <w:r w:rsidRPr="003516DC">
        <w:rPr>
          <w:rFonts w:ascii="Arial" w:hAnsi="Arial" w:cs="Arial"/>
          <w:sz w:val="20"/>
          <w:szCs w:val="20"/>
        </w:rPr>
        <w:t xml:space="preserve">his spectacular growth </w:t>
      </w:r>
      <w:r w:rsidR="005962C5" w:rsidRPr="003516DC">
        <w:rPr>
          <w:rFonts w:ascii="Arial" w:hAnsi="Arial" w:cs="Arial"/>
          <w:sz w:val="20"/>
          <w:szCs w:val="20"/>
        </w:rPr>
        <w:t xml:space="preserve">was largely </w:t>
      </w:r>
      <w:r w:rsidRPr="003516DC">
        <w:rPr>
          <w:rFonts w:ascii="Arial" w:hAnsi="Arial" w:cs="Arial"/>
          <w:sz w:val="20"/>
          <w:szCs w:val="20"/>
        </w:rPr>
        <w:t xml:space="preserve">driven by the automotive industry, but also </w:t>
      </w:r>
      <w:r w:rsidR="00A02403" w:rsidRPr="003516DC">
        <w:rPr>
          <w:rFonts w:ascii="Arial" w:hAnsi="Arial" w:cs="Arial"/>
          <w:sz w:val="20"/>
          <w:szCs w:val="20"/>
        </w:rPr>
        <w:t xml:space="preserve">includes increases in </w:t>
      </w:r>
      <w:r w:rsidRPr="003516DC">
        <w:rPr>
          <w:rFonts w:ascii="Arial" w:hAnsi="Arial" w:cs="Arial"/>
          <w:sz w:val="20"/>
          <w:szCs w:val="20"/>
        </w:rPr>
        <w:t>the manufacturing of electrical equipment, rubber and plastic. In 2019</w:t>
      </w:r>
      <w:r w:rsidR="00A02403" w:rsidRPr="003516DC">
        <w:rPr>
          <w:rFonts w:ascii="Arial" w:hAnsi="Arial" w:cs="Arial"/>
          <w:sz w:val="20"/>
          <w:szCs w:val="20"/>
        </w:rPr>
        <w:t>,</w:t>
      </w:r>
      <w:r w:rsidRPr="003516DC">
        <w:rPr>
          <w:rFonts w:ascii="Arial" w:hAnsi="Arial" w:cs="Arial"/>
          <w:sz w:val="20"/>
          <w:szCs w:val="20"/>
        </w:rPr>
        <w:t xml:space="preserve"> manufacturing employ</w:t>
      </w:r>
      <w:r w:rsidR="00A02403" w:rsidRPr="003516DC">
        <w:rPr>
          <w:rFonts w:ascii="Arial" w:hAnsi="Arial" w:cs="Arial"/>
          <w:sz w:val="20"/>
          <w:szCs w:val="20"/>
        </w:rPr>
        <w:t>ed</w:t>
      </w:r>
      <w:r w:rsidRPr="003516DC">
        <w:rPr>
          <w:rFonts w:ascii="Arial" w:hAnsi="Arial" w:cs="Arial"/>
          <w:sz w:val="20"/>
          <w:szCs w:val="20"/>
        </w:rPr>
        <w:t xml:space="preserve"> 25% of the total employed population in the county, with the largest number of employees in the textile and clothing industry (28% of manufacturing jobs), food, beverage and tobacco (17% of manufacturing jobs) and the automotive industry </w:t>
      </w:r>
      <w:r w:rsidR="001F083C" w:rsidRPr="003516DC">
        <w:rPr>
          <w:rFonts w:ascii="Arial" w:hAnsi="Arial" w:cs="Arial"/>
          <w:sz w:val="20"/>
          <w:szCs w:val="20"/>
        </w:rPr>
        <w:t>(</w:t>
      </w:r>
      <w:r w:rsidRPr="003516DC">
        <w:rPr>
          <w:rFonts w:ascii="Arial" w:hAnsi="Arial" w:cs="Arial"/>
          <w:sz w:val="20"/>
          <w:szCs w:val="20"/>
        </w:rPr>
        <w:t>15% of manufacturing jobs</w:t>
      </w:r>
      <w:r w:rsidR="001F083C" w:rsidRPr="003516DC">
        <w:rPr>
          <w:rFonts w:ascii="Arial" w:hAnsi="Arial" w:cs="Arial"/>
          <w:sz w:val="20"/>
          <w:szCs w:val="20"/>
        </w:rPr>
        <w:t>)</w:t>
      </w:r>
      <w:r w:rsidRPr="003516DC">
        <w:rPr>
          <w:rFonts w:ascii="Arial" w:hAnsi="Arial" w:cs="Arial"/>
          <w:sz w:val="20"/>
          <w:szCs w:val="20"/>
        </w:rPr>
        <w:t xml:space="preserve">. </w:t>
      </w:r>
    </w:p>
    <w:p w14:paraId="3B81B321" w14:textId="77777777" w:rsidR="00A87A4B" w:rsidRDefault="0078437C" w:rsidP="00A87A4B">
      <w:pPr>
        <w:spacing w:after="120"/>
        <w:jc w:val="both"/>
        <w:rPr>
          <w:rFonts w:ascii="Arial" w:hAnsi="Arial" w:cs="Arial"/>
          <w:sz w:val="20"/>
          <w:szCs w:val="20"/>
        </w:rPr>
      </w:pPr>
      <w:r w:rsidRPr="003516DC">
        <w:rPr>
          <w:rFonts w:ascii="Arial" w:hAnsi="Arial" w:cs="Arial"/>
          <w:sz w:val="20"/>
          <w:szCs w:val="20"/>
        </w:rPr>
        <w:t xml:space="preserve">Accommodation and food services grew by 240% </w:t>
      </w:r>
      <w:r w:rsidR="00C93386" w:rsidRPr="003516DC">
        <w:rPr>
          <w:rFonts w:ascii="Arial" w:hAnsi="Arial" w:cs="Arial"/>
          <w:sz w:val="20"/>
          <w:szCs w:val="20"/>
        </w:rPr>
        <w:t xml:space="preserve">over </w:t>
      </w:r>
      <w:r w:rsidRPr="003516DC">
        <w:rPr>
          <w:rFonts w:ascii="Arial" w:hAnsi="Arial" w:cs="Arial"/>
          <w:sz w:val="20"/>
          <w:szCs w:val="20"/>
        </w:rPr>
        <w:t>the same interval and new economic sectors appeared such as professional and social services. Tourism also doubled as turnover and the IT and creative industries, driven by large employers like Comdata (over 2</w:t>
      </w:r>
      <w:r w:rsidR="00C93386" w:rsidRPr="003516DC">
        <w:rPr>
          <w:rFonts w:ascii="Arial" w:hAnsi="Arial" w:cs="Arial"/>
          <w:sz w:val="20"/>
          <w:szCs w:val="20"/>
        </w:rPr>
        <w:t>,</w:t>
      </w:r>
      <w:r w:rsidRPr="003516DC">
        <w:rPr>
          <w:rFonts w:ascii="Arial" w:hAnsi="Arial" w:cs="Arial"/>
          <w:sz w:val="20"/>
          <w:szCs w:val="20"/>
        </w:rPr>
        <w:t xml:space="preserve">000 employees), grew steadily. </w:t>
      </w:r>
    </w:p>
    <w:p w14:paraId="759290B6" w14:textId="0E412711" w:rsidR="009D6687" w:rsidRPr="003516DC" w:rsidRDefault="0078437C" w:rsidP="00A87A4B">
      <w:pPr>
        <w:spacing w:after="120"/>
        <w:jc w:val="both"/>
        <w:rPr>
          <w:rFonts w:ascii="Arial" w:hAnsi="Arial" w:cs="Arial"/>
          <w:sz w:val="20"/>
          <w:szCs w:val="20"/>
        </w:rPr>
      </w:pPr>
      <w:r w:rsidRPr="003516DC">
        <w:rPr>
          <w:rFonts w:ascii="Arial" w:hAnsi="Arial" w:cs="Arial"/>
          <w:sz w:val="20"/>
          <w:szCs w:val="20"/>
        </w:rPr>
        <w:t xml:space="preserve">Unlike other affected </w:t>
      </w:r>
      <w:r w:rsidR="00F11C42" w:rsidRPr="003516DC">
        <w:rPr>
          <w:rFonts w:ascii="Arial" w:hAnsi="Arial" w:cs="Arial"/>
          <w:sz w:val="20"/>
          <w:szCs w:val="20"/>
        </w:rPr>
        <w:t xml:space="preserve">transition </w:t>
      </w:r>
      <w:r w:rsidRPr="003516DC">
        <w:rPr>
          <w:rFonts w:ascii="Arial" w:hAnsi="Arial" w:cs="Arial"/>
          <w:sz w:val="20"/>
          <w:szCs w:val="20"/>
        </w:rPr>
        <w:t>regions,</w:t>
      </w:r>
      <w:r w:rsidR="00B461CC" w:rsidRPr="003516DC">
        <w:rPr>
          <w:rFonts w:ascii="Arial" w:hAnsi="Arial" w:cs="Arial"/>
          <w:sz w:val="20"/>
          <w:szCs w:val="20"/>
        </w:rPr>
        <w:t xml:space="preserve"> and although Dolj is one of the largest counties in Romania in terms of area,</w:t>
      </w:r>
      <w:r w:rsidRPr="003516DC">
        <w:rPr>
          <w:rFonts w:ascii="Arial" w:hAnsi="Arial" w:cs="Arial"/>
          <w:sz w:val="20"/>
          <w:szCs w:val="20"/>
        </w:rPr>
        <w:t xml:space="preserve"> the county seat </w:t>
      </w:r>
      <w:r w:rsidR="00F11C42" w:rsidRPr="003516DC">
        <w:rPr>
          <w:rFonts w:ascii="Arial" w:hAnsi="Arial" w:cs="Arial"/>
          <w:sz w:val="20"/>
          <w:szCs w:val="20"/>
        </w:rPr>
        <w:t xml:space="preserve">of Craiova </w:t>
      </w:r>
      <w:r w:rsidRPr="003516DC">
        <w:rPr>
          <w:rFonts w:ascii="Arial" w:hAnsi="Arial" w:cs="Arial"/>
          <w:sz w:val="20"/>
          <w:szCs w:val="20"/>
        </w:rPr>
        <w:t xml:space="preserve">(which is included in </w:t>
      </w:r>
      <w:r w:rsidR="00413297" w:rsidRPr="003516DC">
        <w:rPr>
          <w:rFonts w:ascii="Arial" w:hAnsi="Arial" w:cs="Arial"/>
          <w:sz w:val="20"/>
          <w:szCs w:val="20"/>
        </w:rPr>
        <w:t>the</w:t>
      </w:r>
      <w:r w:rsidRPr="003516DC">
        <w:rPr>
          <w:rFonts w:ascii="Arial" w:hAnsi="Arial" w:cs="Arial"/>
          <w:sz w:val="20"/>
          <w:szCs w:val="20"/>
        </w:rPr>
        <w:t xml:space="preserve"> larger </w:t>
      </w:r>
      <w:r w:rsidR="00413297" w:rsidRPr="003516DC">
        <w:rPr>
          <w:rFonts w:ascii="Arial" w:hAnsi="Arial" w:cs="Arial"/>
          <w:sz w:val="20"/>
          <w:szCs w:val="20"/>
        </w:rPr>
        <w:t>Craiova Metropolitan Area</w:t>
      </w:r>
      <w:r w:rsidRPr="003516DC">
        <w:rPr>
          <w:rFonts w:ascii="Arial" w:hAnsi="Arial" w:cs="Arial"/>
          <w:sz w:val="20"/>
          <w:szCs w:val="20"/>
        </w:rPr>
        <w:t xml:space="preserve">) </w:t>
      </w:r>
      <w:r w:rsidR="00176E9A" w:rsidRPr="003516DC">
        <w:rPr>
          <w:rFonts w:ascii="Arial" w:hAnsi="Arial" w:cs="Arial"/>
          <w:sz w:val="20"/>
          <w:szCs w:val="20"/>
        </w:rPr>
        <w:t xml:space="preserve">dominates </w:t>
      </w:r>
      <w:r w:rsidRPr="003516DC">
        <w:rPr>
          <w:rFonts w:ascii="Arial" w:hAnsi="Arial" w:cs="Arial"/>
          <w:sz w:val="20"/>
          <w:szCs w:val="20"/>
        </w:rPr>
        <w:t>the county’s economic activity</w:t>
      </w:r>
      <w:r w:rsidR="00F04713" w:rsidRPr="003516DC">
        <w:rPr>
          <w:rFonts w:ascii="Arial" w:hAnsi="Arial" w:cs="Arial"/>
          <w:sz w:val="20"/>
          <w:szCs w:val="20"/>
        </w:rPr>
        <w:t xml:space="preserve"> with</w:t>
      </w:r>
      <w:r w:rsidRPr="003516DC">
        <w:rPr>
          <w:rFonts w:ascii="Arial" w:hAnsi="Arial" w:cs="Arial"/>
          <w:sz w:val="20"/>
          <w:szCs w:val="20"/>
        </w:rPr>
        <w:t xml:space="preserve"> over 80% of companies in the county </w:t>
      </w:r>
      <w:r w:rsidR="00F04713" w:rsidRPr="003516DC">
        <w:rPr>
          <w:rFonts w:ascii="Arial" w:hAnsi="Arial" w:cs="Arial"/>
          <w:sz w:val="20"/>
          <w:szCs w:val="20"/>
        </w:rPr>
        <w:t>(representing more</w:t>
      </w:r>
      <w:r w:rsidRPr="003516DC">
        <w:rPr>
          <w:rFonts w:ascii="Arial" w:hAnsi="Arial" w:cs="Arial"/>
          <w:sz w:val="20"/>
          <w:szCs w:val="20"/>
        </w:rPr>
        <w:t xml:space="preserve"> than 90% of the county’s turnover</w:t>
      </w:r>
      <w:r w:rsidR="00F04713" w:rsidRPr="003516DC">
        <w:rPr>
          <w:rFonts w:ascii="Arial" w:hAnsi="Arial" w:cs="Arial"/>
          <w:sz w:val="20"/>
          <w:szCs w:val="20"/>
        </w:rPr>
        <w:t>)</w:t>
      </w:r>
      <w:r w:rsidRPr="003516DC">
        <w:rPr>
          <w:rFonts w:ascii="Arial" w:hAnsi="Arial" w:cs="Arial"/>
          <w:sz w:val="20"/>
          <w:szCs w:val="20"/>
        </w:rPr>
        <w:t xml:space="preserve"> and 90% of the county’s active</w:t>
      </w:r>
      <w:r w:rsidR="00CF559C" w:rsidRPr="003516DC">
        <w:rPr>
          <w:rFonts w:ascii="Arial" w:hAnsi="Arial" w:cs="Arial"/>
          <w:sz w:val="20"/>
          <w:szCs w:val="20"/>
        </w:rPr>
        <w:t xml:space="preserve"> workforce</w:t>
      </w:r>
      <w:r w:rsidRPr="003516DC">
        <w:rPr>
          <w:rFonts w:ascii="Arial" w:hAnsi="Arial" w:cs="Arial"/>
          <w:sz w:val="20"/>
          <w:szCs w:val="20"/>
        </w:rPr>
        <w:t xml:space="preserve"> population</w:t>
      </w:r>
      <w:r w:rsidR="00413297" w:rsidRPr="003516DC">
        <w:rPr>
          <w:rFonts w:ascii="Arial" w:hAnsi="Arial" w:cs="Arial"/>
          <w:sz w:val="20"/>
          <w:szCs w:val="20"/>
        </w:rPr>
        <w:t>.</w:t>
      </w:r>
      <w:r w:rsidR="00774F4D" w:rsidRPr="003516DC">
        <w:rPr>
          <w:rFonts w:ascii="Arial" w:hAnsi="Arial" w:cs="Arial"/>
          <w:sz w:val="20"/>
          <w:szCs w:val="20"/>
        </w:rPr>
        <w:t xml:space="preserve"> An overview of economic trends is highlighted in Table </w:t>
      </w:r>
      <w:r w:rsidR="001C68D2">
        <w:rPr>
          <w:rFonts w:ascii="Arial" w:hAnsi="Arial" w:cs="Arial"/>
          <w:sz w:val="20"/>
          <w:szCs w:val="20"/>
        </w:rPr>
        <w:t>32</w:t>
      </w:r>
      <w:r w:rsidR="00774F4D" w:rsidRPr="003516DC">
        <w:rPr>
          <w:rFonts w:ascii="Arial" w:hAnsi="Arial" w:cs="Arial"/>
          <w:sz w:val="20"/>
          <w:szCs w:val="20"/>
        </w:rPr>
        <w:t xml:space="preserve">. </w:t>
      </w:r>
    </w:p>
    <w:p w14:paraId="6376C817" w14:textId="74848134" w:rsidR="009D6687" w:rsidRPr="003516DC" w:rsidRDefault="009D6687" w:rsidP="009D6687">
      <w:pPr>
        <w:pStyle w:val="Caption"/>
      </w:pPr>
      <w:bookmarkStart w:id="155" w:name="_Toc90725986"/>
      <w:bookmarkStart w:id="156" w:name="_Toc90727283"/>
      <w:r w:rsidRPr="003516DC">
        <w:lastRenderedPageBreak/>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32</w:t>
      </w:r>
      <w:r w:rsidR="0040363E" w:rsidRPr="003516DC">
        <w:rPr>
          <w:noProof/>
        </w:rPr>
        <w:fldChar w:fldCharType="end"/>
      </w:r>
      <w:r w:rsidRPr="003516DC">
        <w:t>: Economic sector trends during 2010-2019</w:t>
      </w:r>
      <w:r w:rsidR="005D696F" w:rsidRPr="003516DC">
        <w:t>:</w:t>
      </w:r>
      <w:r w:rsidRPr="003516DC">
        <w:t xml:space="preserve"> Dolj </w:t>
      </w:r>
      <w:r w:rsidR="00B50445">
        <w:t>C</w:t>
      </w:r>
      <w:r w:rsidRPr="003516DC">
        <w:t>ounty</w:t>
      </w:r>
      <w:bookmarkEnd w:id="155"/>
      <w:bookmarkEnd w:id="156"/>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3061"/>
        <w:gridCol w:w="1246"/>
        <w:gridCol w:w="1393"/>
        <w:gridCol w:w="1627"/>
        <w:gridCol w:w="1602"/>
      </w:tblGrid>
      <w:tr w:rsidR="006F5F7C" w:rsidRPr="003516DC" w14:paraId="395B3EF0" w14:textId="77777777" w:rsidTr="006F5F7C">
        <w:trPr>
          <w:trHeight w:val="1275"/>
          <w:tblHeader/>
        </w:trPr>
        <w:tc>
          <w:tcPr>
            <w:tcW w:w="1714" w:type="pct"/>
            <w:shd w:val="clear" w:color="auto" w:fill="002060"/>
            <w:vAlign w:val="center"/>
            <w:hideMark/>
          </w:tcPr>
          <w:p w14:paraId="2D71EF74" w14:textId="77777777" w:rsidR="006F5F7C" w:rsidRPr="006F5F7C" w:rsidRDefault="006F5F7C" w:rsidP="00133DD1">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Economic sector</w:t>
            </w:r>
          </w:p>
        </w:tc>
        <w:tc>
          <w:tcPr>
            <w:tcW w:w="698" w:type="pct"/>
            <w:shd w:val="clear" w:color="auto" w:fill="002060"/>
            <w:vAlign w:val="center"/>
            <w:hideMark/>
          </w:tcPr>
          <w:p w14:paraId="06FC08FD" w14:textId="2D9DBFC7" w:rsidR="006F5F7C" w:rsidRPr="006F5F7C" w:rsidRDefault="006F5F7C" w:rsidP="00133DD1">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from Total DJ County Turnover in 2019</w:t>
            </w:r>
          </w:p>
        </w:tc>
        <w:tc>
          <w:tcPr>
            <w:tcW w:w="780" w:type="pct"/>
            <w:shd w:val="clear" w:color="auto" w:fill="002060"/>
            <w:vAlign w:val="center"/>
            <w:hideMark/>
          </w:tcPr>
          <w:p w14:paraId="0DF18F34" w14:textId="77777777" w:rsidR="006F5F7C" w:rsidRPr="006F5F7C" w:rsidRDefault="006F5F7C" w:rsidP="00133DD1">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of growth (+)/ decrease (-) of turnover 2019-2010</w:t>
            </w:r>
          </w:p>
        </w:tc>
        <w:tc>
          <w:tcPr>
            <w:tcW w:w="911" w:type="pct"/>
            <w:shd w:val="clear" w:color="auto" w:fill="002060"/>
            <w:vAlign w:val="center"/>
            <w:hideMark/>
          </w:tcPr>
          <w:p w14:paraId="070F87B3" w14:textId="4FFDAC08" w:rsidR="006F5F7C" w:rsidRPr="006F5F7C" w:rsidRDefault="006F5F7C" w:rsidP="00133DD1">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from Total DJ County Employment in 2019</w:t>
            </w:r>
          </w:p>
        </w:tc>
        <w:tc>
          <w:tcPr>
            <w:tcW w:w="897" w:type="pct"/>
            <w:shd w:val="clear" w:color="auto" w:fill="002060"/>
            <w:vAlign w:val="center"/>
            <w:hideMark/>
          </w:tcPr>
          <w:p w14:paraId="79D58E47" w14:textId="77777777" w:rsidR="006F5F7C" w:rsidRPr="006F5F7C" w:rsidRDefault="006F5F7C" w:rsidP="00133DD1">
            <w:pPr>
              <w:jc w:val="center"/>
              <w:rPr>
                <w:rFonts w:ascii="Arial" w:eastAsia="Times New Roman" w:hAnsi="Arial" w:cs="Arial"/>
                <w:b/>
                <w:bCs/>
                <w:sz w:val="18"/>
                <w:szCs w:val="18"/>
                <w:lang w:val="en-US"/>
              </w:rPr>
            </w:pPr>
            <w:r w:rsidRPr="006F5F7C">
              <w:rPr>
                <w:rFonts w:ascii="Arial" w:eastAsia="Times New Roman" w:hAnsi="Arial" w:cs="Arial"/>
                <w:b/>
                <w:bCs/>
                <w:sz w:val="18"/>
                <w:szCs w:val="18"/>
                <w:lang w:val="en-US"/>
              </w:rPr>
              <w:t>% of growth (+)/ decrease (-) of employment 2019-2010</w:t>
            </w:r>
          </w:p>
        </w:tc>
      </w:tr>
      <w:tr w:rsidR="006F5F7C" w:rsidRPr="003516DC" w14:paraId="5FDB2483" w14:textId="77777777" w:rsidTr="006F5F7C">
        <w:trPr>
          <w:trHeight w:val="432"/>
        </w:trPr>
        <w:tc>
          <w:tcPr>
            <w:tcW w:w="1714" w:type="pct"/>
            <w:shd w:val="clear" w:color="000000" w:fill="FFFFFF"/>
            <w:noWrap/>
            <w:vAlign w:val="center"/>
            <w:hideMark/>
          </w:tcPr>
          <w:p w14:paraId="7C8A4245"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698" w:type="pct"/>
            <w:shd w:val="clear" w:color="auto" w:fill="C2D69B" w:themeFill="accent3" w:themeFillTint="99"/>
            <w:noWrap/>
            <w:vAlign w:val="center"/>
          </w:tcPr>
          <w:p w14:paraId="5F1D3D09" w14:textId="6281637F"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4.51</w:t>
            </w:r>
            <w:r>
              <w:rPr>
                <w:rFonts w:ascii="Arial" w:hAnsi="Arial" w:cs="Arial"/>
                <w:sz w:val="18"/>
                <w:szCs w:val="18"/>
              </w:rPr>
              <w:t>%</w:t>
            </w:r>
          </w:p>
        </w:tc>
        <w:tc>
          <w:tcPr>
            <w:tcW w:w="780" w:type="pct"/>
            <w:shd w:val="clear" w:color="auto" w:fill="C2D69B" w:themeFill="accent3" w:themeFillTint="99"/>
            <w:vAlign w:val="center"/>
          </w:tcPr>
          <w:p w14:paraId="7FBB78BA" w14:textId="3A1D0C72" w:rsidR="006F5F7C" w:rsidRPr="003516DC" w:rsidRDefault="006F5F7C" w:rsidP="005574C0">
            <w:pPr>
              <w:jc w:val="center"/>
              <w:rPr>
                <w:rFonts w:ascii="Arial" w:hAnsi="Arial" w:cs="Arial"/>
                <w:sz w:val="18"/>
                <w:szCs w:val="18"/>
              </w:rPr>
            </w:pPr>
            <w:r w:rsidRPr="003516DC">
              <w:rPr>
                <w:rFonts w:ascii="Arial" w:hAnsi="Arial" w:cs="Arial"/>
                <w:sz w:val="18"/>
                <w:szCs w:val="18"/>
              </w:rPr>
              <w:t>189.94</w:t>
            </w:r>
            <w:r>
              <w:rPr>
                <w:rFonts w:ascii="Arial" w:hAnsi="Arial" w:cs="Arial"/>
                <w:sz w:val="18"/>
                <w:szCs w:val="18"/>
              </w:rPr>
              <w:t>%</w:t>
            </w:r>
          </w:p>
        </w:tc>
        <w:tc>
          <w:tcPr>
            <w:tcW w:w="911" w:type="pct"/>
            <w:shd w:val="clear" w:color="auto" w:fill="C2D69B" w:themeFill="accent3" w:themeFillTint="99"/>
            <w:vAlign w:val="center"/>
          </w:tcPr>
          <w:p w14:paraId="56137E71" w14:textId="0D551414"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4.64</w:t>
            </w:r>
            <w:r>
              <w:rPr>
                <w:rFonts w:ascii="Arial" w:hAnsi="Arial" w:cs="Arial"/>
                <w:sz w:val="18"/>
                <w:szCs w:val="18"/>
              </w:rPr>
              <w:t>%</w:t>
            </w:r>
          </w:p>
        </w:tc>
        <w:tc>
          <w:tcPr>
            <w:tcW w:w="897" w:type="pct"/>
            <w:shd w:val="clear" w:color="auto" w:fill="C2D69B" w:themeFill="accent3" w:themeFillTint="99"/>
            <w:vAlign w:val="center"/>
          </w:tcPr>
          <w:p w14:paraId="44E68D17" w14:textId="51DEE8C1" w:rsidR="006F5F7C" w:rsidRPr="003516DC" w:rsidRDefault="006F5F7C" w:rsidP="005574C0">
            <w:pPr>
              <w:jc w:val="center"/>
              <w:rPr>
                <w:rFonts w:ascii="Arial" w:hAnsi="Arial" w:cs="Arial"/>
                <w:sz w:val="18"/>
                <w:szCs w:val="18"/>
              </w:rPr>
            </w:pPr>
            <w:r w:rsidRPr="003516DC">
              <w:rPr>
                <w:rFonts w:ascii="Arial" w:hAnsi="Arial" w:cs="Arial"/>
                <w:sz w:val="18"/>
                <w:szCs w:val="18"/>
              </w:rPr>
              <w:t>43.76</w:t>
            </w:r>
            <w:r>
              <w:rPr>
                <w:rFonts w:ascii="Arial" w:hAnsi="Arial" w:cs="Arial"/>
                <w:sz w:val="18"/>
                <w:szCs w:val="18"/>
              </w:rPr>
              <w:t>%</w:t>
            </w:r>
          </w:p>
        </w:tc>
      </w:tr>
      <w:tr w:rsidR="006F5F7C" w:rsidRPr="003516DC" w14:paraId="745B25F6" w14:textId="77777777" w:rsidTr="006F5F7C">
        <w:trPr>
          <w:trHeight w:val="432"/>
        </w:trPr>
        <w:tc>
          <w:tcPr>
            <w:tcW w:w="1714" w:type="pct"/>
            <w:shd w:val="clear" w:color="000000" w:fill="FFFFFF"/>
            <w:vAlign w:val="center"/>
            <w:hideMark/>
          </w:tcPr>
          <w:p w14:paraId="7514A12F"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Mining Energy production &amp;Distribution</w:t>
            </w:r>
          </w:p>
        </w:tc>
        <w:tc>
          <w:tcPr>
            <w:tcW w:w="698" w:type="pct"/>
            <w:shd w:val="clear" w:color="auto" w:fill="FF7575"/>
            <w:noWrap/>
            <w:vAlign w:val="center"/>
          </w:tcPr>
          <w:p w14:paraId="337881FC" w14:textId="2A170B44"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9.51</w:t>
            </w:r>
            <w:r>
              <w:rPr>
                <w:rFonts w:ascii="Arial" w:hAnsi="Arial" w:cs="Arial"/>
                <w:sz w:val="18"/>
                <w:szCs w:val="18"/>
              </w:rPr>
              <w:t>%</w:t>
            </w:r>
          </w:p>
        </w:tc>
        <w:tc>
          <w:tcPr>
            <w:tcW w:w="780" w:type="pct"/>
            <w:shd w:val="clear" w:color="auto" w:fill="FF7575"/>
            <w:vAlign w:val="center"/>
          </w:tcPr>
          <w:p w14:paraId="311F6868" w14:textId="65F8BF89" w:rsidR="006F5F7C" w:rsidRPr="003516DC" w:rsidRDefault="006F5F7C" w:rsidP="005574C0">
            <w:pPr>
              <w:jc w:val="center"/>
              <w:rPr>
                <w:rFonts w:ascii="Arial" w:hAnsi="Arial" w:cs="Arial"/>
                <w:sz w:val="18"/>
                <w:szCs w:val="18"/>
              </w:rPr>
            </w:pPr>
            <w:r w:rsidRPr="003516DC">
              <w:rPr>
                <w:rFonts w:ascii="Arial" w:hAnsi="Arial" w:cs="Arial"/>
                <w:sz w:val="18"/>
                <w:szCs w:val="18"/>
              </w:rPr>
              <w:t>-10.51</w:t>
            </w:r>
            <w:r>
              <w:rPr>
                <w:rFonts w:ascii="Arial" w:hAnsi="Arial" w:cs="Arial"/>
                <w:sz w:val="18"/>
                <w:szCs w:val="18"/>
              </w:rPr>
              <w:t>%</w:t>
            </w:r>
          </w:p>
        </w:tc>
        <w:tc>
          <w:tcPr>
            <w:tcW w:w="911" w:type="pct"/>
            <w:shd w:val="clear" w:color="auto" w:fill="FF7575"/>
            <w:vAlign w:val="center"/>
          </w:tcPr>
          <w:p w14:paraId="1CF518AD" w14:textId="19F2AC6D"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5.31</w:t>
            </w:r>
            <w:r>
              <w:rPr>
                <w:rFonts w:ascii="Arial" w:hAnsi="Arial" w:cs="Arial"/>
                <w:sz w:val="18"/>
                <w:szCs w:val="18"/>
              </w:rPr>
              <w:t>%</w:t>
            </w:r>
          </w:p>
        </w:tc>
        <w:tc>
          <w:tcPr>
            <w:tcW w:w="897" w:type="pct"/>
            <w:shd w:val="clear" w:color="auto" w:fill="FF7575"/>
            <w:vAlign w:val="center"/>
          </w:tcPr>
          <w:p w14:paraId="01C075D9" w14:textId="22591E33" w:rsidR="006F5F7C" w:rsidRPr="003516DC" w:rsidRDefault="006F5F7C" w:rsidP="005574C0">
            <w:pPr>
              <w:jc w:val="center"/>
              <w:rPr>
                <w:rFonts w:ascii="Arial" w:hAnsi="Arial" w:cs="Arial"/>
                <w:sz w:val="18"/>
                <w:szCs w:val="18"/>
              </w:rPr>
            </w:pPr>
            <w:r w:rsidRPr="003516DC">
              <w:rPr>
                <w:rFonts w:ascii="Arial" w:hAnsi="Arial" w:cs="Arial"/>
                <w:sz w:val="18"/>
                <w:szCs w:val="18"/>
              </w:rPr>
              <w:t>-27.94</w:t>
            </w:r>
            <w:r>
              <w:rPr>
                <w:rFonts w:ascii="Arial" w:hAnsi="Arial" w:cs="Arial"/>
                <w:sz w:val="18"/>
                <w:szCs w:val="18"/>
              </w:rPr>
              <w:t>%</w:t>
            </w:r>
          </w:p>
        </w:tc>
      </w:tr>
      <w:tr w:rsidR="006F5F7C" w:rsidRPr="003516DC" w14:paraId="54E2E294" w14:textId="77777777" w:rsidTr="006F5F7C">
        <w:trPr>
          <w:trHeight w:val="432"/>
        </w:trPr>
        <w:tc>
          <w:tcPr>
            <w:tcW w:w="1714" w:type="pct"/>
            <w:shd w:val="clear" w:color="000000" w:fill="FFFFFF"/>
            <w:noWrap/>
            <w:vAlign w:val="center"/>
            <w:hideMark/>
          </w:tcPr>
          <w:p w14:paraId="67CC541D"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698" w:type="pct"/>
            <w:shd w:val="clear" w:color="auto" w:fill="D9D9D9" w:themeFill="background1" w:themeFillShade="D9"/>
            <w:noWrap/>
            <w:vAlign w:val="center"/>
          </w:tcPr>
          <w:p w14:paraId="24C3BF38" w14:textId="3E6E7E6E"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41.46</w:t>
            </w:r>
            <w:r>
              <w:rPr>
                <w:rFonts w:ascii="Arial" w:hAnsi="Arial" w:cs="Arial"/>
                <w:sz w:val="18"/>
                <w:szCs w:val="18"/>
              </w:rPr>
              <w:t>%</w:t>
            </w:r>
          </w:p>
        </w:tc>
        <w:tc>
          <w:tcPr>
            <w:tcW w:w="780" w:type="pct"/>
            <w:shd w:val="clear" w:color="auto" w:fill="D9D9D9" w:themeFill="background1" w:themeFillShade="D9"/>
            <w:vAlign w:val="center"/>
          </w:tcPr>
          <w:p w14:paraId="048B834A" w14:textId="23709D28" w:rsidR="006F5F7C" w:rsidRPr="003516DC" w:rsidRDefault="006F5F7C" w:rsidP="005574C0">
            <w:pPr>
              <w:jc w:val="center"/>
              <w:rPr>
                <w:rFonts w:ascii="Arial" w:hAnsi="Arial" w:cs="Arial"/>
                <w:sz w:val="18"/>
                <w:szCs w:val="18"/>
              </w:rPr>
            </w:pPr>
            <w:r w:rsidRPr="003516DC">
              <w:rPr>
                <w:rFonts w:ascii="Arial" w:hAnsi="Arial" w:cs="Arial"/>
                <w:sz w:val="18"/>
                <w:szCs w:val="18"/>
              </w:rPr>
              <w:t>396.48</w:t>
            </w:r>
            <w:r>
              <w:rPr>
                <w:rFonts w:ascii="Arial" w:hAnsi="Arial" w:cs="Arial"/>
                <w:sz w:val="18"/>
                <w:szCs w:val="18"/>
              </w:rPr>
              <w:t>%</w:t>
            </w:r>
          </w:p>
        </w:tc>
        <w:tc>
          <w:tcPr>
            <w:tcW w:w="911" w:type="pct"/>
            <w:shd w:val="clear" w:color="auto" w:fill="D9D9D9" w:themeFill="background1" w:themeFillShade="D9"/>
            <w:vAlign w:val="center"/>
          </w:tcPr>
          <w:p w14:paraId="77386D58" w14:textId="26BF9D88"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25.78</w:t>
            </w:r>
            <w:r>
              <w:rPr>
                <w:rFonts w:ascii="Arial" w:hAnsi="Arial" w:cs="Arial"/>
                <w:sz w:val="18"/>
                <w:szCs w:val="18"/>
              </w:rPr>
              <w:t>%</w:t>
            </w:r>
          </w:p>
        </w:tc>
        <w:tc>
          <w:tcPr>
            <w:tcW w:w="897" w:type="pct"/>
            <w:shd w:val="clear" w:color="auto" w:fill="D9D9D9" w:themeFill="background1" w:themeFillShade="D9"/>
            <w:vAlign w:val="center"/>
          </w:tcPr>
          <w:p w14:paraId="4AC7C367" w14:textId="6156AE5D" w:rsidR="006F5F7C" w:rsidRPr="003516DC" w:rsidRDefault="006F5F7C" w:rsidP="005574C0">
            <w:pPr>
              <w:jc w:val="center"/>
              <w:rPr>
                <w:rFonts w:ascii="Arial" w:hAnsi="Arial" w:cs="Arial"/>
                <w:sz w:val="18"/>
                <w:szCs w:val="18"/>
              </w:rPr>
            </w:pPr>
            <w:r w:rsidRPr="003516DC">
              <w:rPr>
                <w:rFonts w:ascii="Arial" w:hAnsi="Arial" w:cs="Arial"/>
                <w:sz w:val="18"/>
                <w:szCs w:val="18"/>
              </w:rPr>
              <w:t>-4.18</w:t>
            </w:r>
            <w:r>
              <w:rPr>
                <w:rFonts w:ascii="Arial" w:hAnsi="Arial" w:cs="Arial"/>
                <w:sz w:val="18"/>
                <w:szCs w:val="18"/>
              </w:rPr>
              <w:t>%</w:t>
            </w:r>
          </w:p>
        </w:tc>
      </w:tr>
      <w:tr w:rsidR="006F5F7C" w:rsidRPr="003516DC" w14:paraId="0414CAAA" w14:textId="77777777" w:rsidTr="006F5F7C">
        <w:trPr>
          <w:trHeight w:val="432"/>
        </w:trPr>
        <w:tc>
          <w:tcPr>
            <w:tcW w:w="1714" w:type="pct"/>
            <w:shd w:val="clear" w:color="000000" w:fill="FFFFFF"/>
            <w:noWrap/>
            <w:vAlign w:val="center"/>
            <w:hideMark/>
          </w:tcPr>
          <w:p w14:paraId="1F1B3DC8"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698" w:type="pct"/>
            <w:shd w:val="clear" w:color="auto" w:fill="C2D69B" w:themeFill="accent3" w:themeFillTint="99"/>
            <w:noWrap/>
            <w:vAlign w:val="center"/>
          </w:tcPr>
          <w:p w14:paraId="731DD85A" w14:textId="7E500741"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4.21</w:t>
            </w:r>
            <w:r>
              <w:rPr>
                <w:rFonts w:ascii="Arial" w:hAnsi="Arial" w:cs="Arial"/>
                <w:sz w:val="18"/>
                <w:szCs w:val="18"/>
              </w:rPr>
              <w:t>%</w:t>
            </w:r>
          </w:p>
        </w:tc>
        <w:tc>
          <w:tcPr>
            <w:tcW w:w="780" w:type="pct"/>
            <w:shd w:val="clear" w:color="auto" w:fill="C2D69B" w:themeFill="accent3" w:themeFillTint="99"/>
            <w:vAlign w:val="center"/>
          </w:tcPr>
          <w:p w14:paraId="5B01E576" w14:textId="7183B373" w:rsidR="006F5F7C" w:rsidRPr="003516DC" w:rsidRDefault="006F5F7C" w:rsidP="005574C0">
            <w:pPr>
              <w:jc w:val="center"/>
              <w:rPr>
                <w:rFonts w:ascii="Arial" w:hAnsi="Arial" w:cs="Arial"/>
                <w:sz w:val="18"/>
                <w:szCs w:val="18"/>
              </w:rPr>
            </w:pPr>
            <w:r w:rsidRPr="003516DC">
              <w:rPr>
                <w:rFonts w:ascii="Arial" w:hAnsi="Arial" w:cs="Arial"/>
                <w:sz w:val="18"/>
                <w:szCs w:val="18"/>
              </w:rPr>
              <w:t>65.82</w:t>
            </w:r>
            <w:r>
              <w:rPr>
                <w:rFonts w:ascii="Arial" w:hAnsi="Arial" w:cs="Arial"/>
                <w:sz w:val="18"/>
                <w:szCs w:val="18"/>
              </w:rPr>
              <w:t>%</w:t>
            </w:r>
          </w:p>
        </w:tc>
        <w:tc>
          <w:tcPr>
            <w:tcW w:w="911" w:type="pct"/>
            <w:shd w:val="clear" w:color="auto" w:fill="C2D69B" w:themeFill="accent3" w:themeFillTint="99"/>
            <w:vAlign w:val="center"/>
          </w:tcPr>
          <w:p w14:paraId="72CCC7F1" w14:textId="5421B255"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8.38</w:t>
            </w:r>
            <w:r>
              <w:rPr>
                <w:rFonts w:ascii="Arial" w:hAnsi="Arial" w:cs="Arial"/>
                <w:sz w:val="18"/>
                <w:szCs w:val="18"/>
              </w:rPr>
              <w:t>%</w:t>
            </w:r>
          </w:p>
        </w:tc>
        <w:tc>
          <w:tcPr>
            <w:tcW w:w="897" w:type="pct"/>
            <w:shd w:val="clear" w:color="auto" w:fill="C2D69B" w:themeFill="accent3" w:themeFillTint="99"/>
            <w:vAlign w:val="center"/>
          </w:tcPr>
          <w:p w14:paraId="351F4DDB" w14:textId="71CFFBDF" w:rsidR="006F5F7C" w:rsidRPr="003516DC" w:rsidRDefault="006F5F7C" w:rsidP="005574C0">
            <w:pPr>
              <w:jc w:val="center"/>
              <w:rPr>
                <w:rFonts w:ascii="Arial" w:hAnsi="Arial" w:cs="Arial"/>
                <w:sz w:val="18"/>
                <w:szCs w:val="18"/>
              </w:rPr>
            </w:pPr>
            <w:r w:rsidRPr="003516DC">
              <w:rPr>
                <w:rFonts w:ascii="Arial" w:hAnsi="Arial" w:cs="Arial"/>
                <w:sz w:val="18"/>
                <w:szCs w:val="18"/>
              </w:rPr>
              <w:t>3.72</w:t>
            </w:r>
            <w:r>
              <w:rPr>
                <w:rFonts w:ascii="Arial" w:hAnsi="Arial" w:cs="Arial"/>
                <w:sz w:val="18"/>
                <w:szCs w:val="18"/>
              </w:rPr>
              <w:t>%</w:t>
            </w:r>
          </w:p>
        </w:tc>
      </w:tr>
      <w:tr w:rsidR="006F5F7C" w:rsidRPr="003516DC" w14:paraId="05793431" w14:textId="77777777" w:rsidTr="006F5F7C">
        <w:trPr>
          <w:trHeight w:val="432"/>
        </w:trPr>
        <w:tc>
          <w:tcPr>
            <w:tcW w:w="1714" w:type="pct"/>
            <w:shd w:val="clear" w:color="000000" w:fill="FFFFFF"/>
            <w:noWrap/>
            <w:vAlign w:val="center"/>
            <w:hideMark/>
          </w:tcPr>
          <w:p w14:paraId="2CAF9694"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698" w:type="pct"/>
            <w:shd w:val="clear" w:color="auto" w:fill="C2D69B" w:themeFill="accent3" w:themeFillTint="99"/>
            <w:noWrap/>
            <w:vAlign w:val="center"/>
          </w:tcPr>
          <w:p w14:paraId="673075CB" w14:textId="2F72E56C"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31.38</w:t>
            </w:r>
            <w:r>
              <w:rPr>
                <w:rFonts w:ascii="Arial" w:hAnsi="Arial" w:cs="Arial"/>
                <w:sz w:val="18"/>
                <w:szCs w:val="18"/>
              </w:rPr>
              <w:t>%</w:t>
            </w:r>
          </w:p>
        </w:tc>
        <w:tc>
          <w:tcPr>
            <w:tcW w:w="780" w:type="pct"/>
            <w:shd w:val="clear" w:color="auto" w:fill="C2D69B" w:themeFill="accent3" w:themeFillTint="99"/>
            <w:vAlign w:val="center"/>
          </w:tcPr>
          <w:p w14:paraId="4923D845" w14:textId="7668A828" w:rsidR="006F5F7C" w:rsidRPr="003516DC" w:rsidRDefault="006F5F7C" w:rsidP="005574C0">
            <w:pPr>
              <w:jc w:val="center"/>
              <w:rPr>
                <w:rFonts w:ascii="Arial" w:hAnsi="Arial" w:cs="Arial"/>
                <w:sz w:val="18"/>
                <w:szCs w:val="18"/>
              </w:rPr>
            </w:pPr>
            <w:r w:rsidRPr="003516DC">
              <w:rPr>
                <w:rFonts w:ascii="Arial" w:hAnsi="Arial" w:cs="Arial"/>
                <w:sz w:val="18"/>
                <w:szCs w:val="18"/>
              </w:rPr>
              <w:t>87.74</w:t>
            </w:r>
            <w:r>
              <w:rPr>
                <w:rFonts w:ascii="Arial" w:hAnsi="Arial" w:cs="Arial"/>
                <w:sz w:val="18"/>
                <w:szCs w:val="18"/>
              </w:rPr>
              <w:t>%</w:t>
            </w:r>
          </w:p>
        </w:tc>
        <w:tc>
          <w:tcPr>
            <w:tcW w:w="911" w:type="pct"/>
            <w:shd w:val="clear" w:color="auto" w:fill="C2D69B" w:themeFill="accent3" w:themeFillTint="99"/>
            <w:vAlign w:val="center"/>
          </w:tcPr>
          <w:p w14:paraId="7F2C9BA4" w14:textId="5C7470DE"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31.87</w:t>
            </w:r>
            <w:r>
              <w:rPr>
                <w:rFonts w:ascii="Arial" w:hAnsi="Arial" w:cs="Arial"/>
                <w:sz w:val="18"/>
                <w:szCs w:val="18"/>
              </w:rPr>
              <w:t>%</w:t>
            </w:r>
          </w:p>
        </w:tc>
        <w:tc>
          <w:tcPr>
            <w:tcW w:w="897" w:type="pct"/>
            <w:shd w:val="clear" w:color="auto" w:fill="C2D69B" w:themeFill="accent3" w:themeFillTint="99"/>
            <w:vAlign w:val="center"/>
          </w:tcPr>
          <w:p w14:paraId="6D5BD4D7" w14:textId="614150E0" w:rsidR="006F5F7C" w:rsidRPr="003516DC" w:rsidRDefault="006F5F7C" w:rsidP="005574C0">
            <w:pPr>
              <w:jc w:val="center"/>
              <w:rPr>
                <w:rFonts w:ascii="Arial" w:hAnsi="Arial" w:cs="Arial"/>
                <w:sz w:val="18"/>
                <w:szCs w:val="18"/>
              </w:rPr>
            </w:pPr>
            <w:r w:rsidRPr="003516DC">
              <w:rPr>
                <w:rFonts w:ascii="Arial" w:hAnsi="Arial" w:cs="Arial"/>
                <w:sz w:val="18"/>
                <w:szCs w:val="18"/>
              </w:rPr>
              <w:t>9.13</w:t>
            </w:r>
            <w:r>
              <w:rPr>
                <w:rFonts w:ascii="Arial" w:hAnsi="Arial" w:cs="Arial"/>
                <w:sz w:val="18"/>
                <w:szCs w:val="18"/>
              </w:rPr>
              <w:t>%</w:t>
            </w:r>
          </w:p>
        </w:tc>
      </w:tr>
      <w:tr w:rsidR="006F5F7C" w:rsidRPr="003516DC" w14:paraId="5355E2FC" w14:textId="77777777" w:rsidTr="006F5F7C">
        <w:trPr>
          <w:trHeight w:val="432"/>
        </w:trPr>
        <w:tc>
          <w:tcPr>
            <w:tcW w:w="1714" w:type="pct"/>
            <w:shd w:val="clear" w:color="000000" w:fill="FFFFFF"/>
            <w:noWrap/>
            <w:vAlign w:val="center"/>
            <w:hideMark/>
          </w:tcPr>
          <w:p w14:paraId="15D3EDA2"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698" w:type="pct"/>
            <w:shd w:val="clear" w:color="auto" w:fill="C2D69B" w:themeFill="accent3" w:themeFillTint="99"/>
            <w:noWrap/>
            <w:vAlign w:val="center"/>
          </w:tcPr>
          <w:p w14:paraId="7E500B4E" w14:textId="78630B17"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1.27</w:t>
            </w:r>
            <w:r>
              <w:rPr>
                <w:rFonts w:ascii="Arial" w:hAnsi="Arial" w:cs="Arial"/>
                <w:sz w:val="18"/>
                <w:szCs w:val="18"/>
              </w:rPr>
              <w:t>%</w:t>
            </w:r>
          </w:p>
        </w:tc>
        <w:tc>
          <w:tcPr>
            <w:tcW w:w="780" w:type="pct"/>
            <w:shd w:val="clear" w:color="auto" w:fill="C2D69B" w:themeFill="accent3" w:themeFillTint="99"/>
            <w:vAlign w:val="center"/>
          </w:tcPr>
          <w:p w14:paraId="5FCEBD06" w14:textId="23DEC730" w:rsidR="006F5F7C" w:rsidRPr="003516DC" w:rsidRDefault="006F5F7C" w:rsidP="005574C0">
            <w:pPr>
              <w:jc w:val="center"/>
              <w:rPr>
                <w:rFonts w:ascii="Arial" w:hAnsi="Arial" w:cs="Arial"/>
                <w:sz w:val="18"/>
                <w:szCs w:val="18"/>
              </w:rPr>
            </w:pPr>
            <w:r w:rsidRPr="003516DC">
              <w:rPr>
                <w:rFonts w:ascii="Arial" w:hAnsi="Arial" w:cs="Arial"/>
                <w:sz w:val="18"/>
                <w:szCs w:val="18"/>
              </w:rPr>
              <w:t>214.56</w:t>
            </w:r>
            <w:r>
              <w:rPr>
                <w:rFonts w:ascii="Arial" w:hAnsi="Arial" w:cs="Arial"/>
                <w:sz w:val="18"/>
                <w:szCs w:val="18"/>
              </w:rPr>
              <w:t>%</w:t>
            </w:r>
          </w:p>
        </w:tc>
        <w:tc>
          <w:tcPr>
            <w:tcW w:w="911" w:type="pct"/>
            <w:shd w:val="clear" w:color="auto" w:fill="C2D69B" w:themeFill="accent3" w:themeFillTint="99"/>
            <w:vAlign w:val="center"/>
          </w:tcPr>
          <w:p w14:paraId="19367B9B" w14:textId="32A84C55"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2.68</w:t>
            </w:r>
            <w:r>
              <w:rPr>
                <w:rFonts w:ascii="Arial" w:hAnsi="Arial" w:cs="Arial"/>
                <w:sz w:val="18"/>
                <w:szCs w:val="18"/>
              </w:rPr>
              <w:t>%</w:t>
            </w:r>
          </w:p>
        </w:tc>
        <w:tc>
          <w:tcPr>
            <w:tcW w:w="897" w:type="pct"/>
            <w:shd w:val="clear" w:color="auto" w:fill="C2D69B" w:themeFill="accent3" w:themeFillTint="99"/>
            <w:vAlign w:val="center"/>
          </w:tcPr>
          <w:p w14:paraId="5A30966A" w14:textId="1BA9F02E" w:rsidR="006F5F7C" w:rsidRPr="003516DC" w:rsidRDefault="006F5F7C" w:rsidP="005574C0">
            <w:pPr>
              <w:jc w:val="center"/>
              <w:rPr>
                <w:rFonts w:ascii="Arial" w:hAnsi="Arial" w:cs="Arial"/>
                <w:sz w:val="18"/>
                <w:szCs w:val="18"/>
              </w:rPr>
            </w:pPr>
            <w:r w:rsidRPr="003516DC">
              <w:rPr>
                <w:rFonts w:ascii="Arial" w:hAnsi="Arial" w:cs="Arial"/>
                <w:sz w:val="18"/>
                <w:szCs w:val="18"/>
              </w:rPr>
              <w:t>58.79</w:t>
            </w:r>
            <w:r>
              <w:rPr>
                <w:rFonts w:ascii="Arial" w:hAnsi="Arial" w:cs="Arial"/>
                <w:sz w:val="18"/>
                <w:szCs w:val="18"/>
              </w:rPr>
              <w:t>%</w:t>
            </w:r>
          </w:p>
        </w:tc>
      </w:tr>
      <w:tr w:rsidR="006F5F7C" w:rsidRPr="003516DC" w14:paraId="44A6A69D" w14:textId="77777777" w:rsidTr="006F5F7C">
        <w:trPr>
          <w:trHeight w:val="432"/>
        </w:trPr>
        <w:tc>
          <w:tcPr>
            <w:tcW w:w="1714" w:type="pct"/>
            <w:shd w:val="clear" w:color="000000" w:fill="FFFFFF"/>
            <w:noWrap/>
            <w:vAlign w:val="center"/>
            <w:hideMark/>
          </w:tcPr>
          <w:p w14:paraId="20F1B24B"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698" w:type="pct"/>
            <w:shd w:val="clear" w:color="auto" w:fill="FF7575"/>
            <w:noWrap/>
            <w:vAlign w:val="center"/>
          </w:tcPr>
          <w:p w14:paraId="7351AB6E" w14:textId="2B00B510"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0.70</w:t>
            </w:r>
            <w:r>
              <w:rPr>
                <w:rFonts w:ascii="Arial" w:hAnsi="Arial" w:cs="Arial"/>
                <w:sz w:val="18"/>
                <w:szCs w:val="18"/>
              </w:rPr>
              <w:t>%</w:t>
            </w:r>
          </w:p>
        </w:tc>
        <w:tc>
          <w:tcPr>
            <w:tcW w:w="780" w:type="pct"/>
            <w:shd w:val="clear" w:color="auto" w:fill="FF7575"/>
            <w:vAlign w:val="center"/>
          </w:tcPr>
          <w:p w14:paraId="1F2A800B" w14:textId="070AEBCA" w:rsidR="006F5F7C" w:rsidRPr="003516DC" w:rsidRDefault="006F5F7C" w:rsidP="005574C0">
            <w:pPr>
              <w:jc w:val="center"/>
              <w:rPr>
                <w:rFonts w:ascii="Arial" w:hAnsi="Arial" w:cs="Arial"/>
                <w:sz w:val="18"/>
                <w:szCs w:val="18"/>
              </w:rPr>
            </w:pPr>
            <w:r w:rsidRPr="003516DC">
              <w:rPr>
                <w:rFonts w:ascii="Arial" w:hAnsi="Arial" w:cs="Arial"/>
                <w:sz w:val="18"/>
                <w:szCs w:val="18"/>
              </w:rPr>
              <w:t>-2.31</w:t>
            </w:r>
            <w:r>
              <w:rPr>
                <w:rFonts w:ascii="Arial" w:hAnsi="Arial" w:cs="Arial"/>
                <w:sz w:val="18"/>
                <w:szCs w:val="18"/>
              </w:rPr>
              <w:t>%</w:t>
            </w:r>
          </w:p>
        </w:tc>
        <w:tc>
          <w:tcPr>
            <w:tcW w:w="911" w:type="pct"/>
            <w:shd w:val="clear" w:color="auto" w:fill="FF7575"/>
            <w:vAlign w:val="center"/>
          </w:tcPr>
          <w:p w14:paraId="3C7EDAD2" w14:textId="2883BC4B"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0.78</w:t>
            </w:r>
            <w:r>
              <w:rPr>
                <w:rFonts w:ascii="Arial" w:hAnsi="Arial" w:cs="Arial"/>
                <w:sz w:val="18"/>
                <w:szCs w:val="18"/>
              </w:rPr>
              <w:t>%</w:t>
            </w:r>
          </w:p>
        </w:tc>
        <w:tc>
          <w:tcPr>
            <w:tcW w:w="897" w:type="pct"/>
            <w:shd w:val="clear" w:color="auto" w:fill="FF7575"/>
            <w:vAlign w:val="center"/>
          </w:tcPr>
          <w:p w14:paraId="699D864C" w14:textId="1788B04F" w:rsidR="006F5F7C" w:rsidRPr="003516DC" w:rsidRDefault="006F5F7C" w:rsidP="005574C0">
            <w:pPr>
              <w:jc w:val="center"/>
              <w:rPr>
                <w:rFonts w:ascii="Arial" w:hAnsi="Arial" w:cs="Arial"/>
                <w:sz w:val="18"/>
                <w:szCs w:val="18"/>
              </w:rPr>
            </w:pPr>
            <w:r w:rsidRPr="003516DC">
              <w:rPr>
                <w:rFonts w:ascii="Arial" w:hAnsi="Arial" w:cs="Arial"/>
                <w:sz w:val="18"/>
                <w:szCs w:val="18"/>
              </w:rPr>
              <w:t>-8.97</w:t>
            </w:r>
            <w:r>
              <w:rPr>
                <w:rFonts w:ascii="Arial" w:hAnsi="Arial" w:cs="Arial"/>
                <w:sz w:val="18"/>
                <w:szCs w:val="18"/>
              </w:rPr>
              <w:t>%</w:t>
            </w:r>
          </w:p>
        </w:tc>
      </w:tr>
      <w:tr w:rsidR="006F5F7C" w:rsidRPr="003516DC" w14:paraId="758C9A93" w14:textId="77777777" w:rsidTr="006F5F7C">
        <w:trPr>
          <w:trHeight w:val="432"/>
        </w:trPr>
        <w:tc>
          <w:tcPr>
            <w:tcW w:w="1714" w:type="pct"/>
            <w:shd w:val="clear" w:color="000000" w:fill="FFFFFF"/>
            <w:noWrap/>
            <w:vAlign w:val="center"/>
            <w:hideMark/>
          </w:tcPr>
          <w:p w14:paraId="4852AE20"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698" w:type="pct"/>
            <w:shd w:val="clear" w:color="auto" w:fill="C2D69B" w:themeFill="accent3" w:themeFillTint="99"/>
            <w:noWrap/>
            <w:vAlign w:val="center"/>
          </w:tcPr>
          <w:p w14:paraId="26EEDA58" w14:textId="5195F142"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0.67</w:t>
            </w:r>
            <w:r>
              <w:rPr>
                <w:rFonts w:ascii="Arial" w:hAnsi="Arial" w:cs="Arial"/>
                <w:sz w:val="18"/>
                <w:szCs w:val="18"/>
              </w:rPr>
              <w:t>%</w:t>
            </w:r>
          </w:p>
        </w:tc>
        <w:tc>
          <w:tcPr>
            <w:tcW w:w="780" w:type="pct"/>
            <w:shd w:val="clear" w:color="auto" w:fill="C2D69B" w:themeFill="accent3" w:themeFillTint="99"/>
            <w:vAlign w:val="center"/>
          </w:tcPr>
          <w:p w14:paraId="343B17D8" w14:textId="6B62A0D0" w:rsidR="006F5F7C" w:rsidRPr="003516DC" w:rsidRDefault="006F5F7C" w:rsidP="005574C0">
            <w:pPr>
              <w:jc w:val="center"/>
              <w:rPr>
                <w:rFonts w:ascii="Arial" w:hAnsi="Arial" w:cs="Arial"/>
                <w:sz w:val="18"/>
                <w:szCs w:val="18"/>
              </w:rPr>
            </w:pPr>
            <w:r w:rsidRPr="003516DC">
              <w:rPr>
                <w:rFonts w:ascii="Arial" w:hAnsi="Arial" w:cs="Arial"/>
                <w:sz w:val="18"/>
                <w:szCs w:val="18"/>
              </w:rPr>
              <w:t>320.80</w:t>
            </w:r>
            <w:r>
              <w:rPr>
                <w:rFonts w:ascii="Arial" w:hAnsi="Arial" w:cs="Arial"/>
                <w:sz w:val="18"/>
                <w:szCs w:val="18"/>
              </w:rPr>
              <w:t>%</w:t>
            </w:r>
          </w:p>
        </w:tc>
        <w:tc>
          <w:tcPr>
            <w:tcW w:w="911" w:type="pct"/>
            <w:shd w:val="clear" w:color="auto" w:fill="C2D69B" w:themeFill="accent3" w:themeFillTint="99"/>
            <w:vAlign w:val="center"/>
          </w:tcPr>
          <w:p w14:paraId="5A0E83F2" w14:textId="276F65E1"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1.05</w:t>
            </w:r>
            <w:r>
              <w:rPr>
                <w:rFonts w:ascii="Arial" w:hAnsi="Arial" w:cs="Arial"/>
                <w:sz w:val="18"/>
                <w:szCs w:val="18"/>
              </w:rPr>
              <w:t>%</w:t>
            </w:r>
          </w:p>
        </w:tc>
        <w:tc>
          <w:tcPr>
            <w:tcW w:w="897" w:type="pct"/>
            <w:shd w:val="clear" w:color="auto" w:fill="C2D69B" w:themeFill="accent3" w:themeFillTint="99"/>
            <w:vAlign w:val="center"/>
          </w:tcPr>
          <w:p w14:paraId="79E8C9E1" w14:textId="659DE58A" w:rsidR="006F5F7C" w:rsidRPr="003516DC" w:rsidRDefault="006F5F7C" w:rsidP="005574C0">
            <w:pPr>
              <w:jc w:val="center"/>
              <w:rPr>
                <w:rFonts w:ascii="Arial" w:hAnsi="Arial" w:cs="Arial"/>
                <w:sz w:val="18"/>
                <w:szCs w:val="18"/>
              </w:rPr>
            </w:pPr>
            <w:r w:rsidRPr="003516DC">
              <w:rPr>
                <w:rFonts w:ascii="Arial" w:hAnsi="Arial" w:cs="Arial"/>
                <w:sz w:val="18"/>
                <w:szCs w:val="18"/>
              </w:rPr>
              <w:t>35.86</w:t>
            </w:r>
            <w:r>
              <w:rPr>
                <w:rFonts w:ascii="Arial" w:hAnsi="Arial" w:cs="Arial"/>
                <w:sz w:val="18"/>
                <w:szCs w:val="18"/>
              </w:rPr>
              <w:t>%</w:t>
            </w:r>
          </w:p>
        </w:tc>
      </w:tr>
      <w:tr w:rsidR="006F5F7C" w:rsidRPr="003516DC" w14:paraId="71B6700A" w14:textId="77777777" w:rsidTr="006F5F7C">
        <w:trPr>
          <w:trHeight w:val="432"/>
        </w:trPr>
        <w:tc>
          <w:tcPr>
            <w:tcW w:w="1714" w:type="pct"/>
            <w:shd w:val="clear" w:color="000000" w:fill="FFFFFF"/>
            <w:noWrap/>
            <w:vAlign w:val="center"/>
            <w:hideMark/>
          </w:tcPr>
          <w:p w14:paraId="2E12E4A0"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698" w:type="pct"/>
            <w:shd w:val="clear" w:color="auto" w:fill="C2D69B" w:themeFill="accent3" w:themeFillTint="99"/>
            <w:noWrap/>
            <w:vAlign w:val="center"/>
          </w:tcPr>
          <w:p w14:paraId="25D9A545" w14:textId="2999DBEB"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3.42</w:t>
            </w:r>
            <w:r>
              <w:rPr>
                <w:rFonts w:ascii="Arial" w:hAnsi="Arial" w:cs="Arial"/>
                <w:sz w:val="18"/>
                <w:szCs w:val="18"/>
              </w:rPr>
              <w:t>%</w:t>
            </w:r>
          </w:p>
        </w:tc>
        <w:tc>
          <w:tcPr>
            <w:tcW w:w="780" w:type="pct"/>
            <w:shd w:val="clear" w:color="auto" w:fill="C2D69B" w:themeFill="accent3" w:themeFillTint="99"/>
            <w:vAlign w:val="center"/>
          </w:tcPr>
          <w:p w14:paraId="29A6050F" w14:textId="2B373FD5" w:rsidR="006F5F7C" w:rsidRPr="003516DC" w:rsidRDefault="006F5F7C" w:rsidP="005574C0">
            <w:pPr>
              <w:jc w:val="center"/>
              <w:rPr>
                <w:rFonts w:ascii="Arial" w:hAnsi="Arial" w:cs="Arial"/>
                <w:sz w:val="18"/>
                <w:szCs w:val="18"/>
              </w:rPr>
            </w:pPr>
            <w:r w:rsidRPr="003516DC">
              <w:rPr>
                <w:rFonts w:ascii="Arial" w:hAnsi="Arial" w:cs="Arial"/>
                <w:sz w:val="18"/>
                <w:szCs w:val="18"/>
              </w:rPr>
              <w:t>165.83</w:t>
            </w:r>
            <w:r>
              <w:rPr>
                <w:rFonts w:ascii="Arial" w:hAnsi="Arial" w:cs="Arial"/>
                <w:sz w:val="18"/>
                <w:szCs w:val="18"/>
              </w:rPr>
              <w:t>%</w:t>
            </w:r>
          </w:p>
        </w:tc>
        <w:tc>
          <w:tcPr>
            <w:tcW w:w="911" w:type="pct"/>
            <w:shd w:val="clear" w:color="auto" w:fill="C2D69B" w:themeFill="accent3" w:themeFillTint="99"/>
            <w:vAlign w:val="center"/>
          </w:tcPr>
          <w:p w14:paraId="611CE4BE" w14:textId="728B223E"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13.53</w:t>
            </w:r>
            <w:r>
              <w:rPr>
                <w:rFonts w:ascii="Arial" w:hAnsi="Arial" w:cs="Arial"/>
                <w:sz w:val="18"/>
                <w:szCs w:val="18"/>
              </w:rPr>
              <w:t>%</w:t>
            </w:r>
          </w:p>
        </w:tc>
        <w:tc>
          <w:tcPr>
            <w:tcW w:w="897" w:type="pct"/>
            <w:shd w:val="clear" w:color="auto" w:fill="C2D69B" w:themeFill="accent3" w:themeFillTint="99"/>
            <w:vAlign w:val="center"/>
          </w:tcPr>
          <w:p w14:paraId="2C803420" w14:textId="0CE22836" w:rsidR="006F5F7C" w:rsidRPr="003516DC" w:rsidRDefault="006F5F7C" w:rsidP="005574C0">
            <w:pPr>
              <w:jc w:val="center"/>
              <w:rPr>
                <w:rFonts w:ascii="Arial" w:hAnsi="Arial" w:cs="Arial"/>
                <w:sz w:val="18"/>
                <w:szCs w:val="18"/>
              </w:rPr>
            </w:pPr>
            <w:r w:rsidRPr="003516DC">
              <w:rPr>
                <w:rFonts w:ascii="Arial" w:hAnsi="Arial" w:cs="Arial"/>
                <w:sz w:val="18"/>
                <w:szCs w:val="18"/>
              </w:rPr>
              <w:t>73.97</w:t>
            </w:r>
            <w:r>
              <w:rPr>
                <w:rFonts w:ascii="Arial" w:hAnsi="Arial" w:cs="Arial"/>
                <w:sz w:val="18"/>
                <w:szCs w:val="18"/>
              </w:rPr>
              <w:t>%</w:t>
            </w:r>
          </w:p>
        </w:tc>
      </w:tr>
      <w:tr w:rsidR="006F5F7C" w:rsidRPr="003516DC" w14:paraId="2005E0E2" w14:textId="77777777" w:rsidTr="006F5F7C">
        <w:trPr>
          <w:trHeight w:val="432"/>
        </w:trPr>
        <w:tc>
          <w:tcPr>
            <w:tcW w:w="1714" w:type="pct"/>
            <w:shd w:val="clear" w:color="000000" w:fill="FFFFFF"/>
            <w:noWrap/>
            <w:vAlign w:val="center"/>
            <w:hideMark/>
          </w:tcPr>
          <w:p w14:paraId="7EF519CD" w14:textId="77777777" w:rsidR="006F5F7C" w:rsidRPr="003516DC" w:rsidRDefault="006F5F7C" w:rsidP="005574C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698" w:type="pct"/>
            <w:shd w:val="clear" w:color="auto" w:fill="C2D69B" w:themeFill="accent3" w:themeFillTint="99"/>
            <w:noWrap/>
            <w:vAlign w:val="center"/>
          </w:tcPr>
          <w:p w14:paraId="1BEBDC83" w14:textId="72919986"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2.88</w:t>
            </w:r>
            <w:r>
              <w:rPr>
                <w:rFonts w:ascii="Arial" w:hAnsi="Arial" w:cs="Arial"/>
                <w:sz w:val="18"/>
                <w:szCs w:val="18"/>
              </w:rPr>
              <w:t>%</w:t>
            </w:r>
          </w:p>
        </w:tc>
        <w:tc>
          <w:tcPr>
            <w:tcW w:w="780" w:type="pct"/>
            <w:shd w:val="clear" w:color="auto" w:fill="C2D69B" w:themeFill="accent3" w:themeFillTint="99"/>
            <w:vAlign w:val="center"/>
          </w:tcPr>
          <w:p w14:paraId="42775DFD" w14:textId="38A36B37" w:rsidR="006F5F7C" w:rsidRPr="003516DC" w:rsidRDefault="006F5F7C" w:rsidP="005574C0">
            <w:pPr>
              <w:jc w:val="center"/>
              <w:rPr>
                <w:rFonts w:ascii="Arial" w:hAnsi="Arial" w:cs="Arial"/>
                <w:sz w:val="18"/>
                <w:szCs w:val="18"/>
              </w:rPr>
            </w:pPr>
            <w:r w:rsidRPr="003516DC">
              <w:rPr>
                <w:rFonts w:ascii="Arial" w:hAnsi="Arial" w:cs="Arial"/>
                <w:sz w:val="18"/>
                <w:szCs w:val="18"/>
              </w:rPr>
              <w:t>310.48</w:t>
            </w:r>
            <w:r>
              <w:rPr>
                <w:rFonts w:ascii="Arial" w:hAnsi="Arial" w:cs="Arial"/>
                <w:sz w:val="18"/>
                <w:szCs w:val="18"/>
              </w:rPr>
              <w:t>%</w:t>
            </w:r>
          </w:p>
        </w:tc>
        <w:tc>
          <w:tcPr>
            <w:tcW w:w="911" w:type="pct"/>
            <w:shd w:val="clear" w:color="auto" w:fill="C2D69B" w:themeFill="accent3" w:themeFillTint="99"/>
            <w:vAlign w:val="center"/>
          </w:tcPr>
          <w:p w14:paraId="785D88ED" w14:textId="48725E86" w:rsidR="006F5F7C" w:rsidRPr="003516DC" w:rsidRDefault="006F5F7C" w:rsidP="005574C0">
            <w:pPr>
              <w:jc w:val="center"/>
              <w:rPr>
                <w:rFonts w:ascii="Arial" w:eastAsia="Times New Roman" w:hAnsi="Arial" w:cs="Arial"/>
                <w:color w:val="000000"/>
                <w:sz w:val="18"/>
                <w:szCs w:val="18"/>
                <w:lang w:val="en-US"/>
              </w:rPr>
            </w:pPr>
            <w:r w:rsidRPr="003516DC">
              <w:rPr>
                <w:rFonts w:ascii="Arial" w:hAnsi="Arial" w:cs="Arial"/>
                <w:sz w:val="18"/>
                <w:szCs w:val="18"/>
              </w:rPr>
              <w:t>5.98</w:t>
            </w:r>
            <w:r>
              <w:rPr>
                <w:rFonts w:ascii="Arial" w:hAnsi="Arial" w:cs="Arial"/>
                <w:sz w:val="18"/>
                <w:szCs w:val="18"/>
              </w:rPr>
              <w:t>%</w:t>
            </w:r>
          </w:p>
        </w:tc>
        <w:tc>
          <w:tcPr>
            <w:tcW w:w="897" w:type="pct"/>
            <w:shd w:val="clear" w:color="auto" w:fill="C2D69B" w:themeFill="accent3" w:themeFillTint="99"/>
            <w:vAlign w:val="center"/>
          </w:tcPr>
          <w:p w14:paraId="375ADA05" w14:textId="48173A71" w:rsidR="006F5F7C" w:rsidRPr="003516DC" w:rsidRDefault="006F5F7C" w:rsidP="005574C0">
            <w:pPr>
              <w:jc w:val="center"/>
              <w:rPr>
                <w:rFonts w:ascii="Arial" w:hAnsi="Arial" w:cs="Arial"/>
                <w:sz w:val="18"/>
                <w:szCs w:val="18"/>
              </w:rPr>
            </w:pPr>
            <w:r w:rsidRPr="003516DC">
              <w:rPr>
                <w:rFonts w:ascii="Arial" w:hAnsi="Arial" w:cs="Arial"/>
                <w:sz w:val="18"/>
                <w:szCs w:val="18"/>
              </w:rPr>
              <w:t>75.26</w:t>
            </w:r>
            <w:r>
              <w:rPr>
                <w:rFonts w:ascii="Arial" w:hAnsi="Arial" w:cs="Arial"/>
                <w:sz w:val="18"/>
                <w:szCs w:val="18"/>
              </w:rPr>
              <w:t>%</w:t>
            </w:r>
          </w:p>
        </w:tc>
      </w:tr>
    </w:tbl>
    <w:p w14:paraId="2EBCFAEE" w14:textId="3BB1CFED" w:rsidR="0078437C" w:rsidRDefault="0093379D" w:rsidP="0078437C">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35D6CF92" w14:textId="77777777" w:rsidR="00F77450" w:rsidRDefault="00F77450" w:rsidP="00F77450">
      <w:pPr>
        <w:spacing w:after="240"/>
        <w:jc w:val="both"/>
        <w:rPr>
          <w:rFonts w:ascii="Arial" w:hAnsi="Arial" w:cs="Arial"/>
          <w:i/>
          <w:iCs/>
          <w:sz w:val="16"/>
          <w:szCs w:val="16"/>
        </w:rPr>
      </w:pPr>
      <w:r>
        <w:rPr>
          <w:rFonts w:ascii="Arial" w:hAnsi="Arial" w:cs="Arial"/>
          <w:i/>
          <w:iCs/>
          <w:sz w:val="16"/>
          <w:szCs w:val="16"/>
        </w:rPr>
        <w:t>*Legend: economic sectors highlighted in green registered growth in terms turnover and employment; economic sectors highlighted in red registered decreases in terms of both turnover and employment; economic sectors highlighted in grey registered diverging evolutions in terms of turnover and employment, e.g., growth in turnover and decrease in employment.</w:t>
      </w:r>
    </w:p>
    <w:p w14:paraId="0F3FC7E7" w14:textId="52A27B1F" w:rsidR="00251DF3" w:rsidRPr="00F77450" w:rsidRDefault="00B50445" w:rsidP="00A87A4B">
      <w:pPr>
        <w:spacing w:after="120"/>
        <w:jc w:val="both"/>
        <w:rPr>
          <w:rFonts w:ascii="Arial" w:hAnsi="Arial" w:cs="Arial"/>
          <w:sz w:val="20"/>
          <w:szCs w:val="20"/>
        </w:rPr>
      </w:pPr>
      <w:r>
        <w:rPr>
          <w:rFonts w:ascii="Arial" w:hAnsi="Arial" w:cs="Arial"/>
          <w:sz w:val="20"/>
          <w:szCs w:val="20"/>
        </w:rPr>
        <w:t>T</w:t>
      </w:r>
      <w:r w:rsidR="00251DF3" w:rsidRPr="00F77450">
        <w:rPr>
          <w:rFonts w:ascii="Arial" w:hAnsi="Arial" w:cs="Arial"/>
          <w:sz w:val="20"/>
          <w:szCs w:val="20"/>
        </w:rPr>
        <w:t xml:space="preserve">able </w:t>
      </w:r>
      <w:r w:rsidR="001C68D2">
        <w:rPr>
          <w:rFonts w:ascii="Arial" w:hAnsi="Arial" w:cs="Arial"/>
          <w:sz w:val="20"/>
          <w:szCs w:val="20"/>
        </w:rPr>
        <w:t>33</w:t>
      </w:r>
      <w:r w:rsidR="001C68D2" w:rsidRPr="00F77450">
        <w:rPr>
          <w:rFonts w:ascii="Arial" w:hAnsi="Arial" w:cs="Arial"/>
          <w:sz w:val="20"/>
          <w:szCs w:val="20"/>
        </w:rPr>
        <w:t xml:space="preserve"> </w:t>
      </w:r>
      <w:r w:rsidR="00251DF3" w:rsidRPr="00F77450">
        <w:rPr>
          <w:rFonts w:ascii="Arial" w:hAnsi="Arial" w:cs="Arial"/>
          <w:sz w:val="20"/>
          <w:szCs w:val="20"/>
        </w:rPr>
        <w:t xml:space="preserve">presents </w:t>
      </w:r>
      <w:r>
        <w:rPr>
          <w:rFonts w:ascii="Arial" w:hAnsi="Arial" w:cs="Arial"/>
          <w:sz w:val="20"/>
          <w:szCs w:val="20"/>
        </w:rPr>
        <w:t xml:space="preserve">the </w:t>
      </w:r>
      <w:r w:rsidR="00251DF3" w:rsidRPr="00F77450">
        <w:rPr>
          <w:rFonts w:ascii="Arial" w:hAnsi="Arial" w:cs="Arial"/>
          <w:sz w:val="20"/>
          <w:szCs w:val="20"/>
        </w:rPr>
        <w:t xml:space="preserve">top 10 companies in Dolj </w:t>
      </w:r>
      <w:r>
        <w:rPr>
          <w:rFonts w:ascii="Arial" w:hAnsi="Arial" w:cs="Arial"/>
          <w:sz w:val="20"/>
          <w:szCs w:val="20"/>
        </w:rPr>
        <w:t>C</w:t>
      </w:r>
      <w:r w:rsidR="00251DF3" w:rsidRPr="00F77450">
        <w:rPr>
          <w:rFonts w:ascii="Arial" w:hAnsi="Arial" w:cs="Arial"/>
          <w:sz w:val="20"/>
          <w:szCs w:val="20"/>
        </w:rPr>
        <w:t xml:space="preserve">ounty in terms of turnover and number of employees. The </w:t>
      </w:r>
      <w:r>
        <w:rPr>
          <w:rFonts w:ascii="Arial" w:hAnsi="Arial" w:cs="Arial"/>
          <w:sz w:val="20"/>
          <w:szCs w:val="20"/>
        </w:rPr>
        <w:t>table</w:t>
      </w:r>
      <w:r w:rsidR="00251DF3" w:rsidRPr="00F77450">
        <w:rPr>
          <w:rFonts w:ascii="Arial" w:hAnsi="Arial" w:cs="Arial"/>
          <w:sz w:val="20"/>
          <w:szCs w:val="20"/>
        </w:rPr>
        <w:t xml:space="preserve"> addresses the share of energy intensive companies, main economic sector, whether they are part of the European Union Emissions Trading Systems and whether or not they are affected by the transition. At </w:t>
      </w:r>
      <w:r w:rsidR="00314707">
        <w:rPr>
          <w:rFonts w:ascii="Arial" w:hAnsi="Arial" w:cs="Arial"/>
          <w:sz w:val="20"/>
          <w:szCs w:val="20"/>
        </w:rPr>
        <w:t xml:space="preserve">the </w:t>
      </w:r>
      <w:r w:rsidR="00251DF3" w:rsidRPr="00F77450">
        <w:rPr>
          <w:rFonts w:ascii="Arial" w:hAnsi="Arial" w:cs="Arial"/>
          <w:sz w:val="20"/>
          <w:szCs w:val="20"/>
        </w:rPr>
        <w:t xml:space="preserve">county level, there are </w:t>
      </w:r>
      <w:r w:rsidR="00314707">
        <w:rPr>
          <w:rFonts w:ascii="Arial" w:hAnsi="Arial" w:cs="Arial"/>
          <w:sz w:val="20"/>
          <w:szCs w:val="20"/>
        </w:rPr>
        <w:t>a total of three</w:t>
      </w:r>
      <w:r w:rsidR="00251DF3" w:rsidRPr="00F77450">
        <w:rPr>
          <w:rFonts w:ascii="Arial" w:hAnsi="Arial" w:cs="Arial"/>
          <w:sz w:val="20"/>
          <w:szCs w:val="20"/>
        </w:rPr>
        <w:t xml:space="preserve"> EU-ETS installations, of which none is listed below as headquarters </w:t>
      </w:r>
      <w:r w:rsidR="00314707">
        <w:rPr>
          <w:rFonts w:ascii="Arial" w:hAnsi="Arial" w:cs="Arial"/>
          <w:sz w:val="20"/>
          <w:szCs w:val="20"/>
        </w:rPr>
        <w:t>or</w:t>
      </w:r>
      <w:r w:rsidR="00251DF3" w:rsidRPr="00F77450">
        <w:rPr>
          <w:rFonts w:ascii="Arial" w:hAnsi="Arial" w:cs="Arial"/>
          <w:sz w:val="20"/>
          <w:szCs w:val="20"/>
        </w:rPr>
        <w:t xml:space="preserve"> registered in Dolj </w:t>
      </w:r>
      <w:r w:rsidR="00314707">
        <w:rPr>
          <w:rFonts w:ascii="Arial" w:hAnsi="Arial" w:cs="Arial"/>
          <w:sz w:val="20"/>
          <w:szCs w:val="20"/>
        </w:rPr>
        <w:t>C</w:t>
      </w:r>
      <w:r w:rsidR="00251DF3" w:rsidRPr="00F77450">
        <w:rPr>
          <w:rFonts w:ascii="Arial" w:hAnsi="Arial" w:cs="Arial"/>
          <w:sz w:val="20"/>
          <w:szCs w:val="20"/>
        </w:rPr>
        <w:t>ounty.</w:t>
      </w:r>
    </w:p>
    <w:p w14:paraId="60714749" w14:textId="064D5AD7" w:rsidR="00D963B9" w:rsidRPr="00D963B9" w:rsidRDefault="00D963B9" w:rsidP="00D963B9">
      <w:pPr>
        <w:rPr>
          <w:lang w:eastAsia="en-US"/>
        </w:rPr>
        <w:sectPr w:rsidR="00D963B9" w:rsidRPr="00D963B9" w:rsidSect="003847A7">
          <w:headerReference w:type="default" r:id="rId88"/>
          <w:footerReference w:type="default" r:id="rId89"/>
          <w:pgSz w:w="11909" w:h="16834"/>
          <w:pgMar w:top="1440" w:right="1440" w:bottom="1440" w:left="1530" w:header="720" w:footer="720" w:gutter="0"/>
          <w:cols w:space="720"/>
        </w:sectPr>
      </w:pPr>
    </w:p>
    <w:tbl>
      <w:tblPr>
        <w:tblStyle w:val="TableGrid"/>
        <w:tblpPr w:leftFromText="180" w:rightFromText="180" w:vertAnchor="page" w:horzAnchor="margin" w:tblpY="1816"/>
        <w:tblW w:w="5000" w:type="pct"/>
        <w:tblLook w:val="04A0" w:firstRow="1" w:lastRow="0" w:firstColumn="1" w:lastColumn="0" w:noHBand="0" w:noVBand="1"/>
      </w:tblPr>
      <w:tblGrid>
        <w:gridCol w:w="2162"/>
        <w:gridCol w:w="2937"/>
        <w:gridCol w:w="1107"/>
        <w:gridCol w:w="937"/>
        <w:gridCol w:w="1188"/>
        <w:gridCol w:w="1076"/>
        <w:gridCol w:w="937"/>
        <w:gridCol w:w="3600"/>
      </w:tblGrid>
      <w:tr w:rsidR="009776B5" w:rsidRPr="00251DF3" w14:paraId="2C3B47B0" w14:textId="77777777" w:rsidTr="009776B5">
        <w:trPr>
          <w:tblHeader/>
        </w:trPr>
        <w:tc>
          <w:tcPr>
            <w:tcW w:w="775" w:type="pct"/>
            <w:shd w:val="clear" w:color="auto" w:fill="002060"/>
          </w:tcPr>
          <w:p w14:paraId="1B888B9C"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lastRenderedPageBreak/>
              <w:t>Company</w:t>
            </w:r>
          </w:p>
        </w:tc>
        <w:tc>
          <w:tcPr>
            <w:tcW w:w="1053" w:type="pct"/>
            <w:shd w:val="clear" w:color="auto" w:fill="002060"/>
          </w:tcPr>
          <w:p w14:paraId="6060AF3E"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Main NACE class</w:t>
            </w:r>
          </w:p>
        </w:tc>
        <w:tc>
          <w:tcPr>
            <w:tcW w:w="397" w:type="pct"/>
            <w:shd w:val="clear" w:color="auto" w:fill="002060"/>
          </w:tcPr>
          <w:p w14:paraId="782FD9FA"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Employees (no.)</w:t>
            </w:r>
          </w:p>
        </w:tc>
        <w:tc>
          <w:tcPr>
            <w:tcW w:w="336" w:type="pct"/>
            <w:shd w:val="clear" w:color="auto" w:fill="002060"/>
          </w:tcPr>
          <w:p w14:paraId="5ECA40B5"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Turnover (RON million)</w:t>
            </w:r>
          </w:p>
        </w:tc>
        <w:tc>
          <w:tcPr>
            <w:tcW w:w="426" w:type="pct"/>
            <w:shd w:val="clear" w:color="auto" w:fill="002060"/>
          </w:tcPr>
          <w:p w14:paraId="10214762"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EU ETS participation</w:t>
            </w:r>
          </w:p>
        </w:tc>
        <w:tc>
          <w:tcPr>
            <w:tcW w:w="386" w:type="pct"/>
            <w:shd w:val="clear" w:color="auto" w:fill="002060"/>
          </w:tcPr>
          <w:p w14:paraId="67BC3618"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Affected by the transition</w:t>
            </w:r>
          </w:p>
        </w:tc>
        <w:tc>
          <w:tcPr>
            <w:tcW w:w="336" w:type="pct"/>
            <w:shd w:val="clear" w:color="auto" w:fill="002060"/>
          </w:tcPr>
          <w:p w14:paraId="3A74191A"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Engaged during the TA</w:t>
            </w:r>
          </w:p>
        </w:tc>
        <w:tc>
          <w:tcPr>
            <w:tcW w:w="1291" w:type="pct"/>
            <w:shd w:val="clear" w:color="auto" w:fill="002060"/>
          </w:tcPr>
          <w:p w14:paraId="12F3C0E2" w14:textId="77777777" w:rsidR="009776B5" w:rsidRPr="00251DF3" w:rsidRDefault="009776B5" w:rsidP="009776B5">
            <w:pPr>
              <w:rPr>
                <w:rFonts w:ascii="Arial" w:hAnsi="Arial" w:cs="Arial"/>
                <w:color w:val="FFFFFF" w:themeColor="background1"/>
                <w:sz w:val="17"/>
                <w:szCs w:val="17"/>
                <w:lang w:val="ro-RO"/>
              </w:rPr>
            </w:pPr>
            <w:r w:rsidRPr="00251DF3">
              <w:rPr>
                <w:rFonts w:ascii="Arial" w:hAnsi="Arial" w:cs="Arial"/>
                <w:color w:val="FFFFFF" w:themeColor="background1"/>
                <w:sz w:val="17"/>
                <w:szCs w:val="17"/>
                <w:lang w:val="ro-RO"/>
              </w:rPr>
              <w:t>Observations</w:t>
            </w:r>
          </w:p>
        </w:tc>
      </w:tr>
      <w:tr w:rsidR="009776B5" w:rsidRPr="00251DF3" w14:paraId="391AD535" w14:textId="77777777" w:rsidTr="009776B5">
        <w:tc>
          <w:tcPr>
            <w:tcW w:w="775" w:type="pct"/>
          </w:tcPr>
          <w:p w14:paraId="7939FD81"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FORD ROMANIA SA</w:t>
            </w:r>
          </w:p>
        </w:tc>
        <w:tc>
          <w:tcPr>
            <w:tcW w:w="1053" w:type="pct"/>
          </w:tcPr>
          <w:p w14:paraId="40BF4482" w14:textId="77777777" w:rsidR="009776B5" w:rsidRDefault="009776B5" w:rsidP="009776B5">
            <w:pPr>
              <w:rPr>
                <w:rFonts w:ascii="Arial" w:hAnsi="Arial" w:cs="Arial"/>
                <w:sz w:val="17"/>
                <w:szCs w:val="17"/>
                <w:lang w:val="ro-RO"/>
              </w:rPr>
            </w:pPr>
            <w:r w:rsidRPr="00251DF3">
              <w:rPr>
                <w:rFonts w:ascii="Arial" w:hAnsi="Arial" w:cs="Arial"/>
                <w:sz w:val="17"/>
                <w:szCs w:val="17"/>
                <w:lang w:val="ro-RO"/>
              </w:rPr>
              <w:t>C MANUFACTURING</w:t>
            </w:r>
          </w:p>
          <w:p w14:paraId="04B418CE"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(automotive)</w:t>
            </w:r>
          </w:p>
        </w:tc>
        <w:tc>
          <w:tcPr>
            <w:tcW w:w="397" w:type="pct"/>
          </w:tcPr>
          <w:p w14:paraId="0C2847B1"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5,289</w:t>
            </w:r>
          </w:p>
        </w:tc>
        <w:tc>
          <w:tcPr>
            <w:tcW w:w="336" w:type="pct"/>
          </w:tcPr>
          <w:p w14:paraId="00531544"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10,306</w:t>
            </w:r>
          </w:p>
        </w:tc>
        <w:tc>
          <w:tcPr>
            <w:tcW w:w="426" w:type="pct"/>
          </w:tcPr>
          <w:p w14:paraId="0E637B84"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19863812" w14:textId="77777777" w:rsidR="009776B5" w:rsidRPr="00251DF3" w:rsidRDefault="009776B5" w:rsidP="009776B5">
            <w:pPr>
              <w:rPr>
                <w:rFonts w:ascii="Arial" w:hAnsi="Arial" w:cs="Arial"/>
                <w:sz w:val="17"/>
                <w:szCs w:val="17"/>
              </w:rPr>
            </w:pPr>
            <w:r w:rsidRPr="00251DF3">
              <w:rPr>
                <w:rFonts w:ascii="Arial" w:hAnsi="Arial" w:cs="Arial"/>
                <w:sz w:val="17"/>
                <w:szCs w:val="17"/>
              </w:rPr>
              <w:t>YES</w:t>
            </w:r>
          </w:p>
        </w:tc>
        <w:tc>
          <w:tcPr>
            <w:tcW w:w="336" w:type="pct"/>
          </w:tcPr>
          <w:p w14:paraId="4D21C67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1291" w:type="pct"/>
          </w:tcPr>
          <w:p w14:paraId="23C78A8C"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Directly affected by decarboni</w:t>
            </w:r>
            <w:r>
              <w:rPr>
                <w:rFonts w:ascii="Arial" w:hAnsi="Arial" w:cs="Arial"/>
                <w:sz w:val="17"/>
                <w:szCs w:val="17"/>
                <w:lang w:val="ro-RO"/>
              </w:rPr>
              <w:t>s</w:t>
            </w:r>
            <w:r w:rsidRPr="00251DF3">
              <w:rPr>
                <w:rFonts w:ascii="Arial" w:hAnsi="Arial" w:cs="Arial"/>
                <w:sz w:val="17"/>
                <w:szCs w:val="17"/>
                <w:lang w:val="ro-RO"/>
              </w:rPr>
              <w:t>ation / Opportunities in the EVs market do not necessarily generate new jobs – less labour intensive processes</w:t>
            </w:r>
          </w:p>
        </w:tc>
      </w:tr>
      <w:tr w:rsidR="009776B5" w:rsidRPr="00251DF3" w14:paraId="743659C5" w14:textId="77777777" w:rsidTr="009776B5">
        <w:tc>
          <w:tcPr>
            <w:tcW w:w="775" w:type="pct"/>
          </w:tcPr>
          <w:p w14:paraId="55721C82"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CIVITAS PSG SA</w:t>
            </w:r>
          </w:p>
        </w:tc>
        <w:tc>
          <w:tcPr>
            <w:tcW w:w="1053" w:type="pct"/>
          </w:tcPr>
          <w:p w14:paraId="15BC814B"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 ADMINISTRATIVE AND SUPPORT SERVICE ACTIVITIES (security)</w:t>
            </w:r>
          </w:p>
        </w:tc>
        <w:tc>
          <w:tcPr>
            <w:tcW w:w="397" w:type="pct"/>
          </w:tcPr>
          <w:p w14:paraId="7BB8DA75"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3,119</w:t>
            </w:r>
          </w:p>
        </w:tc>
        <w:tc>
          <w:tcPr>
            <w:tcW w:w="336" w:type="pct"/>
          </w:tcPr>
          <w:p w14:paraId="7DA1ADE4"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123</w:t>
            </w:r>
          </w:p>
        </w:tc>
        <w:tc>
          <w:tcPr>
            <w:tcW w:w="426" w:type="pct"/>
          </w:tcPr>
          <w:p w14:paraId="3E98F98A"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0DAA0AC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36" w:type="pct"/>
          </w:tcPr>
          <w:p w14:paraId="4F6B9655"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1291" w:type="pct"/>
          </w:tcPr>
          <w:p w14:paraId="6D731D42"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Indirectly affected by decarboni</w:t>
            </w:r>
            <w:r>
              <w:rPr>
                <w:rFonts w:ascii="Arial" w:hAnsi="Arial" w:cs="Arial"/>
                <w:sz w:val="17"/>
                <w:szCs w:val="17"/>
                <w:lang w:val="ro-RO"/>
              </w:rPr>
              <w:t>s</w:t>
            </w:r>
            <w:r w:rsidRPr="00251DF3">
              <w:rPr>
                <w:rFonts w:ascii="Arial" w:hAnsi="Arial" w:cs="Arial"/>
                <w:sz w:val="17"/>
                <w:szCs w:val="17"/>
                <w:lang w:val="ro-RO"/>
              </w:rPr>
              <w:t>ation through value chain / Technology improvements in the field would lead to employees reduction</w:t>
            </w:r>
          </w:p>
        </w:tc>
      </w:tr>
      <w:tr w:rsidR="009776B5" w:rsidRPr="00251DF3" w14:paraId="1DB8D8D2" w14:textId="77777777" w:rsidTr="009776B5">
        <w:tc>
          <w:tcPr>
            <w:tcW w:w="775" w:type="pct"/>
          </w:tcPr>
          <w:p w14:paraId="641ED0E0"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CASA NOASTRA SRL</w:t>
            </w:r>
          </w:p>
        </w:tc>
        <w:tc>
          <w:tcPr>
            <w:tcW w:w="1053" w:type="pct"/>
          </w:tcPr>
          <w:p w14:paraId="0D401A63" w14:textId="77777777" w:rsidR="009776B5" w:rsidRDefault="009776B5" w:rsidP="009776B5">
            <w:pPr>
              <w:rPr>
                <w:rFonts w:ascii="Arial" w:hAnsi="Arial" w:cs="Arial"/>
                <w:sz w:val="17"/>
                <w:szCs w:val="17"/>
                <w:lang w:val="ro-RO"/>
              </w:rPr>
            </w:pPr>
            <w:r w:rsidRPr="00251DF3">
              <w:rPr>
                <w:rFonts w:ascii="Arial" w:hAnsi="Arial" w:cs="Arial"/>
                <w:sz w:val="17"/>
                <w:szCs w:val="17"/>
                <w:lang w:val="ro-RO"/>
              </w:rPr>
              <w:t>C MANUFACTURING</w:t>
            </w:r>
          </w:p>
          <w:p w14:paraId="6F4108DA"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(PVC windows and door systems)</w:t>
            </w:r>
          </w:p>
        </w:tc>
        <w:tc>
          <w:tcPr>
            <w:tcW w:w="397" w:type="pct"/>
          </w:tcPr>
          <w:p w14:paraId="2CFD789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1,324</w:t>
            </w:r>
          </w:p>
        </w:tc>
        <w:tc>
          <w:tcPr>
            <w:tcW w:w="336" w:type="pct"/>
          </w:tcPr>
          <w:p w14:paraId="1307701A"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298</w:t>
            </w:r>
          </w:p>
        </w:tc>
        <w:tc>
          <w:tcPr>
            <w:tcW w:w="426" w:type="pct"/>
          </w:tcPr>
          <w:p w14:paraId="1F6460FA"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68E90DE4"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 (positively)</w:t>
            </w:r>
          </w:p>
        </w:tc>
        <w:tc>
          <w:tcPr>
            <w:tcW w:w="336" w:type="pct"/>
          </w:tcPr>
          <w:p w14:paraId="4FC6D11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1291" w:type="pct"/>
          </w:tcPr>
          <w:p w14:paraId="194F994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Economy of the future / Insulated glass windows – energy efficient solutions for buildings / High absorbtion capacity for laid-off personnel / High market potential</w:t>
            </w:r>
          </w:p>
        </w:tc>
      </w:tr>
      <w:tr w:rsidR="009776B5" w:rsidRPr="00251DF3" w14:paraId="259E12AF" w14:textId="77777777" w:rsidTr="009776B5">
        <w:tc>
          <w:tcPr>
            <w:tcW w:w="775" w:type="pct"/>
          </w:tcPr>
          <w:p w14:paraId="5762AC75"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SOFTRONIC SRL</w:t>
            </w:r>
          </w:p>
        </w:tc>
        <w:tc>
          <w:tcPr>
            <w:tcW w:w="1053" w:type="pct"/>
          </w:tcPr>
          <w:p w14:paraId="7F7ED8DF" w14:textId="77777777" w:rsidR="009776B5" w:rsidRDefault="009776B5" w:rsidP="009776B5">
            <w:pPr>
              <w:rPr>
                <w:rFonts w:ascii="Arial" w:hAnsi="Arial" w:cs="Arial"/>
                <w:sz w:val="17"/>
                <w:szCs w:val="17"/>
                <w:lang w:val="ro-RO"/>
              </w:rPr>
            </w:pPr>
            <w:r w:rsidRPr="00251DF3">
              <w:rPr>
                <w:rFonts w:ascii="Arial" w:hAnsi="Arial" w:cs="Arial"/>
                <w:sz w:val="17"/>
                <w:szCs w:val="17"/>
                <w:lang w:val="ro-RO"/>
              </w:rPr>
              <w:t>C MANUFACTURING</w:t>
            </w:r>
          </w:p>
          <w:p w14:paraId="4052D115"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(of rail equipment)</w:t>
            </w:r>
          </w:p>
        </w:tc>
        <w:tc>
          <w:tcPr>
            <w:tcW w:w="397" w:type="pct"/>
          </w:tcPr>
          <w:p w14:paraId="442BE60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250</w:t>
            </w:r>
          </w:p>
        </w:tc>
        <w:tc>
          <w:tcPr>
            <w:tcW w:w="336" w:type="pct"/>
          </w:tcPr>
          <w:p w14:paraId="6324546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100</w:t>
            </w:r>
          </w:p>
        </w:tc>
        <w:tc>
          <w:tcPr>
            <w:tcW w:w="426" w:type="pct"/>
          </w:tcPr>
          <w:p w14:paraId="03C63C80"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670BA881"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 (positively)</w:t>
            </w:r>
          </w:p>
        </w:tc>
        <w:tc>
          <w:tcPr>
            <w:tcW w:w="336" w:type="pct"/>
          </w:tcPr>
          <w:p w14:paraId="454C4AEF"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1291" w:type="pct"/>
          </w:tcPr>
          <w:p w14:paraId="1AE3862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Market driven high level performance production / Prioriti</w:t>
            </w:r>
            <w:r>
              <w:rPr>
                <w:rFonts w:ascii="Arial" w:hAnsi="Arial" w:cs="Arial"/>
                <w:sz w:val="17"/>
                <w:szCs w:val="17"/>
                <w:lang w:val="ro-RO"/>
              </w:rPr>
              <w:t>sation</w:t>
            </w:r>
            <w:r w:rsidRPr="00251DF3">
              <w:rPr>
                <w:rFonts w:ascii="Arial" w:hAnsi="Arial" w:cs="Arial"/>
                <w:sz w:val="17"/>
                <w:szCs w:val="17"/>
                <w:lang w:val="ro-RO"/>
              </w:rPr>
              <w:t xml:space="preserve"> of innovations and R&amp;D</w:t>
            </w:r>
          </w:p>
        </w:tc>
      </w:tr>
      <w:tr w:rsidR="009776B5" w:rsidRPr="00251DF3" w14:paraId="07EBC353" w14:textId="77777777" w:rsidTr="009776B5">
        <w:tc>
          <w:tcPr>
            <w:tcW w:w="775" w:type="pct"/>
          </w:tcPr>
          <w:p w14:paraId="3C3F83D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CUMMINS GENERATOR TECHNOLOGIES ROMANIA SA</w:t>
            </w:r>
          </w:p>
        </w:tc>
        <w:tc>
          <w:tcPr>
            <w:tcW w:w="1053" w:type="pct"/>
          </w:tcPr>
          <w:p w14:paraId="6BB28947"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 MANUFACTURING</w:t>
            </w:r>
          </w:p>
          <w:p w14:paraId="3B495A6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(electrical engines, generators, etc).</w:t>
            </w:r>
          </w:p>
        </w:tc>
        <w:tc>
          <w:tcPr>
            <w:tcW w:w="397" w:type="pct"/>
          </w:tcPr>
          <w:p w14:paraId="081D4988"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806</w:t>
            </w:r>
          </w:p>
        </w:tc>
        <w:tc>
          <w:tcPr>
            <w:tcW w:w="336" w:type="pct"/>
          </w:tcPr>
          <w:p w14:paraId="669A9768"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989</w:t>
            </w:r>
          </w:p>
        </w:tc>
        <w:tc>
          <w:tcPr>
            <w:tcW w:w="426" w:type="pct"/>
          </w:tcPr>
          <w:p w14:paraId="53AF690A"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0B5D92EE"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336" w:type="pct"/>
          </w:tcPr>
          <w:p w14:paraId="1FDA765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r w:rsidRPr="00251DF3">
              <w:rPr>
                <w:rStyle w:val="FootnoteReference"/>
                <w:rFonts w:ascii="Arial" w:hAnsi="Arial" w:cs="Arial"/>
                <w:sz w:val="17"/>
                <w:szCs w:val="17"/>
                <w:lang w:val="ro-RO"/>
              </w:rPr>
              <w:footnoteReference w:id="73"/>
            </w:r>
          </w:p>
        </w:tc>
        <w:tc>
          <w:tcPr>
            <w:tcW w:w="1291" w:type="pct"/>
          </w:tcPr>
          <w:p w14:paraId="1AFA1B08"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Directly affected by decarboni</w:t>
            </w:r>
            <w:r>
              <w:rPr>
                <w:rFonts w:ascii="Arial" w:hAnsi="Arial" w:cs="Arial"/>
                <w:sz w:val="17"/>
                <w:szCs w:val="17"/>
                <w:lang w:val="ro-RO"/>
              </w:rPr>
              <w:t>s</w:t>
            </w:r>
            <w:r w:rsidRPr="00251DF3">
              <w:rPr>
                <w:rFonts w:ascii="Arial" w:hAnsi="Arial" w:cs="Arial"/>
                <w:sz w:val="17"/>
                <w:szCs w:val="17"/>
                <w:lang w:val="ro-RO"/>
              </w:rPr>
              <w:t>ation / Leading new technologies</w:t>
            </w:r>
          </w:p>
        </w:tc>
      </w:tr>
      <w:tr w:rsidR="009776B5" w:rsidRPr="00251DF3" w14:paraId="5E6C1E74" w14:textId="77777777" w:rsidTr="009776B5">
        <w:tc>
          <w:tcPr>
            <w:tcW w:w="775" w:type="pct"/>
          </w:tcPr>
          <w:p w14:paraId="7AB0EA37"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COMDATA SERVICE SRL</w:t>
            </w:r>
          </w:p>
        </w:tc>
        <w:tc>
          <w:tcPr>
            <w:tcW w:w="1053" w:type="pct"/>
          </w:tcPr>
          <w:p w14:paraId="7016407B"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N ADMINISTRATIVE AND SUPPORT SERVICE ACTIVITIES</w:t>
            </w:r>
          </w:p>
          <w:p w14:paraId="20B49C4E"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(integrated BPO/CRM services)</w:t>
            </w:r>
          </w:p>
        </w:tc>
        <w:tc>
          <w:tcPr>
            <w:tcW w:w="397" w:type="pct"/>
          </w:tcPr>
          <w:p w14:paraId="4BDD2C49"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1,800</w:t>
            </w:r>
          </w:p>
        </w:tc>
        <w:tc>
          <w:tcPr>
            <w:tcW w:w="336" w:type="pct"/>
          </w:tcPr>
          <w:p w14:paraId="7EF8BF16"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123</w:t>
            </w:r>
          </w:p>
        </w:tc>
        <w:tc>
          <w:tcPr>
            <w:tcW w:w="426" w:type="pct"/>
          </w:tcPr>
          <w:p w14:paraId="27C7B5A4"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NO</w:t>
            </w:r>
          </w:p>
        </w:tc>
        <w:tc>
          <w:tcPr>
            <w:tcW w:w="386" w:type="pct"/>
          </w:tcPr>
          <w:p w14:paraId="339017CA" w14:textId="77777777" w:rsidR="009776B5" w:rsidRPr="00402580" w:rsidRDefault="009776B5" w:rsidP="009776B5">
            <w:pPr>
              <w:rPr>
                <w:rFonts w:ascii="Arial" w:hAnsi="Arial" w:cs="Arial"/>
                <w:sz w:val="17"/>
                <w:szCs w:val="17"/>
                <w:lang w:val="ro-RO"/>
              </w:rPr>
            </w:pPr>
            <w:r w:rsidRPr="00402580">
              <w:rPr>
                <w:rFonts w:ascii="Arial" w:hAnsi="Arial" w:cs="Arial"/>
                <w:sz w:val="17"/>
                <w:szCs w:val="17"/>
                <w:lang w:val="ro-RO"/>
              </w:rPr>
              <w:t>NO</w:t>
            </w:r>
          </w:p>
        </w:tc>
        <w:tc>
          <w:tcPr>
            <w:tcW w:w="336" w:type="pct"/>
          </w:tcPr>
          <w:p w14:paraId="39ED779A" w14:textId="77777777" w:rsidR="009776B5" w:rsidRPr="00251DF3" w:rsidRDefault="009776B5" w:rsidP="009776B5">
            <w:pPr>
              <w:rPr>
                <w:rFonts w:ascii="Arial" w:hAnsi="Arial" w:cs="Arial"/>
                <w:sz w:val="17"/>
                <w:szCs w:val="17"/>
                <w:lang w:val="ro-RO"/>
              </w:rPr>
            </w:pPr>
            <w:r w:rsidRPr="00402580">
              <w:rPr>
                <w:rFonts w:ascii="Arial" w:hAnsi="Arial" w:cs="Arial"/>
                <w:sz w:val="17"/>
                <w:szCs w:val="17"/>
                <w:lang w:val="ro-RO"/>
              </w:rPr>
              <w:t>NO</w:t>
            </w:r>
            <w:r w:rsidRPr="00251DF3">
              <w:rPr>
                <w:rStyle w:val="FootnoteReference"/>
                <w:rFonts w:ascii="Arial" w:hAnsi="Arial" w:cs="Arial"/>
                <w:sz w:val="17"/>
                <w:szCs w:val="17"/>
                <w:lang w:val="ro-RO"/>
              </w:rPr>
              <w:footnoteReference w:id="74"/>
            </w:r>
          </w:p>
        </w:tc>
        <w:tc>
          <w:tcPr>
            <w:tcW w:w="1291" w:type="pct"/>
          </w:tcPr>
          <w:p w14:paraId="661212E7"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Not affected by the energy transition</w:t>
            </w:r>
          </w:p>
        </w:tc>
      </w:tr>
      <w:tr w:rsidR="009776B5" w:rsidRPr="00251DF3" w14:paraId="7B9D52D5" w14:textId="77777777" w:rsidTr="009776B5">
        <w:tc>
          <w:tcPr>
            <w:tcW w:w="775" w:type="pct"/>
          </w:tcPr>
          <w:p w14:paraId="74D92F9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RELOC SA</w:t>
            </w:r>
          </w:p>
        </w:tc>
        <w:tc>
          <w:tcPr>
            <w:tcW w:w="1053" w:type="pct"/>
          </w:tcPr>
          <w:p w14:paraId="4B049451"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H TRANSPORTATION AND STORAGE</w:t>
            </w:r>
          </w:p>
          <w:p w14:paraId="09BAD20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(locomotives)</w:t>
            </w:r>
          </w:p>
        </w:tc>
        <w:tc>
          <w:tcPr>
            <w:tcW w:w="397" w:type="pct"/>
          </w:tcPr>
          <w:p w14:paraId="5F190268"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721</w:t>
            </w:r>
          </w:p>
        </w:tc>
        <w:tc>
          <w:tcPr>
            <w:tcW w:w="336" w:type="pct"/>
          </w:tcPr>
          <w:p w14:paraId="5D7E26C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91</w:t>
            </w:r>
          </w:p>
        </w:tc>
        <w:tc>
          <w:tcPr>
            <w:tcW w:w="426" w:type="pct"/>
          </w:tcPr>
          <w:p w14:paraId="4BA24F59"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2CCAE5DF"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 (positively)</w:t>
            </w:r>
          </w:p>
        </w:tc>
        <w:tc>
          <w:tcPr>
            <w:tcW w:w="336" w:type="pct"/>
          </w:tcPr>
          <w:p w14:paraId="7EE15BFF"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1291" w:type="pct"/>
          </w:tcPr>
          <w:p w14:paraId="26934A7D" w14:textId="77777777" w:rsidR="009776B5" w:rsidRPr="00251DF3" w:rsidRDefault="009776B5" w:rsidP="009776B5">
            <w:pPr>
              <w:rPr>
                <w:rFonts w:ascii="Arial" w:hAnsi="Arial" w:cs="Arial"/>
                <w:color w:val="E36C0A" w:themeColor="accent6" w:themeShade="BF"/>
                <w:sz w:val="17"/>
                <w:szCs w:val="17"/>
                <w:lang w:val="ro-RO"/>
              </w:rPr>
            </w:pPr>
            <w:r w:rsidRPr="00251DF3">
              <w:rPr>
                <w:rFonts w:ascii="Arial" w:hAnsi="Arial" w:cs="Arial"/>
                <w:sz w:val="17"/>
                <w:szCs w:val="17"/>
                <w:lang w:val="ro-RO"/>
              </w:rPr>
              <w:t>Opportunity for economic diversification</w:t>
            </w:r>
          </w:p>
        </w:tc>
      </w:tr>
      <w:tr w:rsidR="009776B5" w:rsidRPr="00251DF3" w14:paraId="454F1FB1" w14:textId="77777777" w:rsidTr="009776B5">
        <w:tc>
          <w:tcPr>
            <w:tcW w:w="775" w:type="pct"/>
          </w:tcPr>
          <w:p w14:paraId="5D7FA2C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DISTRIBUTIE ENERGIE OLTENIA SA</w:t>
            </w:r>
          </w:p>
        </w:tc>
        <w:tc>
          <w:tcPr>
            <w:tcW w:w="1053" w:type="pct"/>
          </w:tcPr>
          <w:p w14:paraId="04946744"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D ELECTRICITY, GAS, STEAM AND AIR CONDITIONING SUPPLY</w:t>
            </w:r>
            <w:r>
              <w:rPr>
                <w:rFonts w:ascii="Arial" w:hAnsi="Arial" w:cs="Arial"/>
                <w:sz w:val="17"/>
                <w:szCs w:val="17"/>
                <w:lang w:val="ro-RO"/>
              </w:rPr>
              <w:t xml:space="preserve"> (energy distribution)</w:t>
            </w:r>
          </w:p>
        </w:tc>
        <w:tc>
          <w:tcPr>
            <w:tcW w:w="397" w:type="pct"/>
          </w:tcPr>
          <w:p w14:paraId="4C4A4D4E"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1,258</w:t>
            </w:r>
          </w:p>
        </w:tc>
        <w:tc>
          <w:tcPr>
            <w:tcW w:w="336" w:type="pct"/>
          </w:tcPr>
          <w:p w14:paraId="59848C9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820</w:t>
            </w:r>
          </w:p>
        </w:tc>
        <w:tc>
          <w:tcPr>
            <w:tcW w:w="426" w:type="pct"/>
          </w:tcPr>
          <w:p w14:paraId="4D1356B9"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79F2E26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336" w:type="pct"/>
          </w:tcPr>
          <w:p w14:paraId="75E56D0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1291" w:type="pct"/>
          </w:tcPr>
          <w:p w14:paraId="7D948213"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Affected by the energy transition</w:t>
            </w:r>
          </w:p>
        </w:tc>
      </w:tr>
      <w:tr w:rsidR="009776B5" w:rsidRPr="00251DF3" w14:paraId="1FA39A4F" w14:textId="77777777" w:rsidTr="009776B5">
        <w:tc>
          <w:tcPr>
            <w:tcW w:w="775" w:type="pct"/>
          </w:tcPr>
          <w:p w14:paraId="077FAED5"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CEZ VANZARE SA</w:t>
            </w:r>
          </w:p>
        </w:tc>
        <w:tc>
          <w:tcPr>
            <w:tcW w:w="1053" w:type="pct"/>
          </w:tcPr>
          <w:p w14:paraId="4862D993"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D ELECTRICITY, GAS, STEAM AND AIR CONDITIONING SUPPLY</w:t>
            </w:r>
            <w:r>
              <w:rPr>
                <w:rFonts w:ascii="Arial" w:hAnsi="Arial" w:cs="Arial"/>
                <w:sz w:val="17"/>
                <w:szCs w:val="17"/>
                <w:lang w:val="ro-RO"/>
              </w:rPr>
              <w:t xml:space="preserve"> (energy supply)</w:t>
            </w:r>
          </w:p>
        </w:tc>
        <w:tc>
          <w:tcPr>
            <w:tcW w:w="397" w:type="pct"/>
          </w:tcPr>
          <w:p w14:paraId="1341BF1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253</w:t>
            </w:r>
          </w:p>
        </w:tc>
        <w:tc>
          <w:tcPr>
            <w:tcW w:w="336" w:type="pct"/>
          </w:tcPr>
          <w:p w14:paraId="5C4C6AEF"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1,964</w:t>
            </w:r>
          </w:p>
        </w:tc>
        <w:tc>
          <w:tcPr>
            <w:tcW w:w="426" w:type="pct"/>
          </w:tcPr>
          <w:p w14:paraId="7AAF38A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2F1D32B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YES</w:t>
            </w:r>
          </w:p>
        </w:tc>
        <w:tc>
          <w:tcPr>
            <w:tcW w:w="336" w:type="pct"/>
          </w:tcPr>
          <w:p w14:paraId="0E304F02"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1291" w:type="pct"/>
          </w:tcPr>
          <w:p w14:paraId="6E53CB1A"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Affected by the energy transition</w:t>
            </w:r>
          </w:p>
        </w:tc>
      </w:tr>
      <w:tr w:rsidR="009776B5" w:rsidRPr="00251DF3" w14:paraId="2DB46514" w14:textId="77777777" w:rsidTr="009776B5">
        <w:tc>
          <w:tcPr>
            <w:tcW w:w="775" w:type="pct"/>
          </w:tcPr>
          <w:p w14:paraId="626397E6"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CEREALCOM DOLJ SRL</w:t>
            </w:r>
          </w:p>
        </w:tc>
        <w:tc>
          <w:tcPr>
            <w:tcW w:w="1053" w:type="pct"/>
          </w:tcPr>
          <w:p w14:paraId="21C72C2C"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G WHOLESALE AND RETAIL TRADE; REPAIR OF MOTOR VEHICLES AND MOTORCYCLES</w:t>
            </w:r>
          </w:p>
          <w:p w14:paraId="70F650C0"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(agriculture)</w:t>
            </w:r>
          </w:p>
        </w:tc>
        <w:tc>
          <w:tcPr>
            <w:tcW w:w="397" w:type="pct"/>
          </w:tcPr>
          <w:p w14:paraId="3484BB81"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350</w:t>
            </w:r>
          </w:p>
        </w:tc>
        <w:tc>
          <w:tcPr>
            <w:tcW w:w="336" w:type="pct"/>
          </w:tcPr>
          <w:p w14:paraId="631A111D"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679</w:t>
            </w:r>
          </w:p>
        </w:tc>
        <w:tc>
          <w:tcPr>
            <w:tcW w:w="426" w:type="pct"/>
          </w:tcPr>
          <w:p w14:paraId="7A0F69C9"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86" w:type="pct"/>
          </w:tcPr>
          <w:p w14:paraId="3C5A4592"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336" w:type="pct"/>
          </w:tcPr>
          <w:p w14:paraId="6E2BCE20" w14:textId="77777777" w:rsidR="009776B5" w:rsidRPr="00251DF3" w:rsidRDefault="009776B5" w:rsidP="009776B5">
            <w:pPr>
              <w:rPr>
                <w:rFonts w:ascii="Arial" w:hAnsi="Arial" w:cs="Arial"/>
                <w:sz w:val="17"/>
                <w:szCs w:val="17"/>
                <w:lang w:val="ro-RO"/>
              </w:rPr>
            </w:pPr>
            <w:r w:rsidRPr="00251DF3">
              <w:rPr>
                <w:rFonts w:ascii="Arial" w:hAnsi="Arial" w:cs="Arial"/>
                <w:sz w:val="17"/>
                <w:szCs w:val="17"/>
                <w:lang w:val="ro-RO"/>
              </w:rPr>
              <w:t>NO</w:t>
            </w:r>
          </w:p>
        </w:tc>
        <w:tc>
          <w:tcPr>
            <w:tcW w:w="1291" w:type="pct"/>
            <w:shd w:val="clear" w:color="auto" w:fill="auto"/>
          </w:tcPr>
          <w:p w14:paraId="218F8488" w14:textId="77777777" w:rsidR="009776B5" w:rsidRDefault="009776B5" w:rsidP="009776B5">
            <w:pPr>
              <w:rPr>
                <w:rFonts w:ascii="Arial" w:hAnsi="Arial" w:cs="Arial"/>
                <w:sz w:val="17"/>
                <w:szCs w:val="17"/>
                <w:lang w:val="ro-RO"/>
              </w:rPr>
            </w:pPr>
            <w:r w:rsidRPr="000A7086">
              <w:rPr>
                <w:rFonts w:ascii="Arial" w:hAnsi="Arial" w:cs="Arial"/>
                <w:sz w:val="17"/>
                <w:szCs w:val="17"/>
                <w:lang w:val="ro-RO"/>
              </w:rPr>
              <w:t>Among Top 3 producers and Top 5 grain traders at country level</w:t>
            </w:r>
            <w:r>
              <w:rPr>
                <w:rFonts w:ascii="Arial" w:hAnsi="Arial" w:cs="Arial"/>
                <w:sz w:val="17"/>
                <w:szCs w:val="17"/>
                <w:lang w:val="ro-RO"/>
              </w:rPr>
              <w:t>;</w:t>
            </w:r>
          </w:p>
          <w:p w14:paraId="19DC2642" w14:textId="77777777" w:rsidR="009776B5" w:rsidRPr="00251DF3" w:rsidRDefault="009776B5" w:rsidP="009776B5">
            <w:pPr>
              <w:rPr>
                <w:rFonts w:ascii="Arial" w:hAnsi="Arial" w:cs="Arial"/>
                <w:sz w:val="17"/>
                <w:szCs w:val="17"/>
                <w:lang w:val="ro-RO"/>
              </w:rPr>
            </w:pPr>
            <w:r>
              <w:rPr>
                <w:rFonts w:ascii="Arial" w:hAnsi="Arial" w:cs="Arial"/>
                <w:sz w:val="17"/>
                <w:szCs w:val="17"/>
                <w:lang w:val="ro-RO"/>
              </w:rPr>
              <w:t>Not affected by the energy transition</w:t>
            </w:r>
          </w:p>
        </w:tc>
      </w:tr>
    </w:tbl>
    <w:p w14:paraId="317D2A84" w14:textId="3E5A4781" w:rsidR="009776B5" w:rsidRDefault="009776B5" w:rsidP="009776B5">
      <w:pPr>
        <w:pStyle w:val="Caption"/>
      </w:pPr>
      <w:bookmarkStart w:id="157" w:name="_Toc90725987"/>
      <w:bookmarkStart w:id="158" w:name="_Toc90727284"/>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33</w:t>
      </w:r>
      <w:r w:rsidR="000B273D">
        <w:rPr>
          <w:noProof/>
        </w:rPr>
        <w:fldChar w:fldCharType="end"/>
      </w:r>
      <w:r>
        <w:t>: Large enterprises by turnover and employees, 2019, Dolj County</w:t>
      </w:r>
      <w:bookmarkEnd w:id="157"/>
      <w:bookmarkEnd w:id="158"/>
    </w:p>
    <w:p w14:paraId="6BCFC912" w14:textId="77777777" w:rsidR="00251DF3" w:rsidRDefault="00251DF3" w:rsidP="006B32F7">
      <w:pPr>
        <w:pStyle w:val="Caption"/>
        <w:sectPr w:rsidR="00251DF3" w:rsidSect="003847A7">
          <w:headerReference w:type="default" r:id="rId90"/>
          <w:pgSz w:w="16834" w:h="11909" w:orient="landscape"/>
          <w:pgMar w:top="1530" w:right="1440" w:bottom="1440" w:left="1440" w:header="720" w:footer="720" w:gutter="0"/>
          <w:cols w:space="720"/>
          <w:docGrid w:linePitch="326"/>
        </w:sectPr>
      </w:pPr>
    </w:p>
    <w:p w14:paraId="33164F86" w14:textId="7F359D3D" w:rsidR="006B32F7" w:rsidRPr="0072648E" w:rsidRDefault="0072648E" w:rsidP="00E42342">
      <w:pPr>
        <w:pStyle w:val="Heading4"/>
        <w:numPr>
          <w:ilvl w:val="0"/>
          <w:numId w:val="267"/>
        </w:numPr>
        <w:spacing w:before="0" w:after="120"/>
        <w:rPr>
          <w:sz w:val="20"/>
          <w:szCs w:val="20"/>
        </w:rPr>
      </w:pPr>
      <w:r>
        <w:rPr>
          <w:sz w:val="20"/>
          <w:szCs w:val="20"/>
        </w:rPr>
        <w:lastRenderedPageBreak/>
        <w:t>Human capital and employment</w:t>
      </w:r>
    </w:p>
    <w:p w14:paraId="5899AAF0" w14:textId="7F5FB4A3" w:rsidR="00EE6930" w:rsidRPr="003516DC" w:rsidRDefault="0078437C" w:rsidP="0072648E">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human capital</w:t>
      </w:r>
      <w:r w:rsidRPr="003516DC">
        <w:rPr>
          <w:rFonts w:ascii="Arial" w:hAnsi="Arial" w:cs="Arial"/>
          <w:sz w:val="20"/>
          <w:szCs w:val="20"/>
        </w:rPr>
        <w:t xml:space="preserve"> </w:t>
      </w:r>
      <w:r w:rsidR="002E7FC5" w:rsidRPr="003516DC">
        <w:rPr>
          <w:rFonts w:ascii="Arial" w:hAnsi="Arial" w:cs="Arial"/>
          <w:sz w:val="20"/>
          <w:szCs w:val="20"/>
        </w:rPr>
        <w:t>perspective</w:t>
      </w:r>
      <w:r w:rsidRPr="003516DC">
        <w:rPr>
          <w:rFonts w:ascii="Arial" w:hAnsi="Arial" w:cs="Arial"/>
          <w:sz w:val="20"/>
          <w:szCs w:val="20"/>
        </w:rPr>
        <w:t xml:space="preserve">, while the demographic decline is much less pronounced than in neighbouring coal-intensive regions of Hunedoara and Gorj, temporary migration from Dolj intensified in </w:t>
      </w:r>
      <w:r w:rsidR="005E558F" w:rsidRPr="003516DC">
        <w:rPr>
          <w:rFonts w:ascii="Arial" w:hAnsi="Arial" w:cs="Arial"/>
          <w:sz w:val="20"/>
          <w:szCs w:val="20"/>
        </w:rPr>
        <w:t>recent</w:t>
      </w:r>
      <w:r w:rsidRPr="003516DC">
        <w:rPr>
          <w:rFonts w:ascii="Arial" w:hAnsi="Arial" w:cs="Arial"/>
          <w:sz w:val="20"/>
          <w:szCs w:val="20"/>
        </w:rPr>
        <w:t xml:space="preserve"> years, with the equivalent of the population of smaller municipalities in the county (e.g.</w:t>
      </w:r>
      <w:r w:rsidR="003C2FFE" w:rsidRPr="003516DC">
        <w:rPr>
          <w:rFonts w:ascii="Arial" w:hAnsi="Arial" w:cs="Arial"/>
          <w:sz w:val="20"/>
          <w:szCs w:val="20"/>
        </w:rPr>
        <w:t>,</w:t>
      </w:r>
      <w:r w:rsidRPr="003516DC">
        <w:rPr>
          <w:rFonts w:ascii="Arial" w:hAnsi="Arial" w:cs="Arial"/>
          <w:sz w:val="20"/>
          <w:szCs w:val="20"/>
        </w:rPr>
        <w:t xml:space="preserve"> Segarcea, with approx</w:t>
      </w:r>
      <w:r w:rsidR="003C2FFE" w:rsidRPr="003516DC">
        <w:rPr>
          <w:rFonts w:ascii="Arial" w:hAnsi="Arial" w:cs="Arial"/>
          <w:sz w:val="20"/>
          <w:szCs w:val="20"/>
        </w:rPr>
        <w:t>imately</w:t>
      </w:r>
      <w:r w:rsidRPr="003516DC">
        <w:rPr>
          <w:rFonts w:ascii="Arial" w:hAnsi="Arial" w:cs="Arial"/>
          <w:sz w:val="20"/>
          <w:szCs w:val="20"/>
        </w:rPr>
        <w:t xml:space="preserve"> 8,000 inhabitants) disappearing each year. </w:t>
      </w:r>
      <w:r w:rsidR="003C2FFE" w:rsidRPr="003516DC">
        <w:rPr>
          <w:rFonts w:ascii="Arial" w:hAnsi="Arial" w:cs="Arial"/>
          <w:sz w:val="20"/>
          <w:szCs w:val="20"/>
        </w:rPr>
        <w:t>A</w:t>
      </w:r>
      <w:r w:rsidRPr="003516DC">
        <w:rPr>
          <w:rFonts w:ascii="Arial" w:hAnsi="Arial" w:cs="Arial"/>
          <w:sz w:val="20"/>
          <w:szCs w:val="20"/>
        </w:rPr>
        <w:t>t the</w:t>
      </w:r>
      <w:r w:rsidR="003C2FFE" w:rsidRPr="003516DC">
        <w:rPr>
          <w:rFonts w:ascii="Arial" w:hAnsi="Arial" w:cs="Arial"/>
          <w:sz w:val="20"/>
          <w:szCs w:val="20"/>
        </w:rPr>
        <w:t xml:space="preserve"> county</w:t>
      </w:r>
      <w:r w:rsidRPr="003516DC">
        <w:rPr>
          <w:rFonts w:ascii="Arial" w:hAnsi="Arial" w:cs="Arial"/>
          <w:sz w:val="20"/>
          <w:szCs w:val="20"/>
        </w:rPr>
        <w:t xml:space="preserve"> level, unemployment is more than double the national average (6.7% in 2019 vs. 2.9% at </w:t>
      </w:r>
      <w:r w:rsidR="003C2FFE" w:rsidRPr="003516DC">
        <w:rPr>
          <w:rFonts w:ascii="Arial" w:hAnsi="Arial" w:cs="Arial"/>
          <w:sz w:val="20"/>
          <w:szCs w:val="20"/>
        </w:rPr>
        <w:t xml:space="preserve">the </w:t>
      </w:r>
      <w:r w:rsidRPr="003516DC">
        <w:rPr>
          <w:rFonts w:ascii="Arial" w:hAnsi="Arial" w:cs="Arial"/>
          <w:sz w:val="20"/>
          <w:szCs w:val="20"/>
        </w:rPr>
        <w:t>national level)</w:t>
      </w:r>
      <w:r w:rsidR="003C2FFE" w:rsidRPr="003516DC">
        <w:rPr>
          <w:rFonts w:ascii="Arial" w:hAnsi="Arial" w:cs="Arial"/>
          <w:sz w:val="20"/>
          <w:szCs w:val="20"/>
        </w:rPr>
        <w:t>. Nevertheless</w:t>
      </w:r>
      <w:r w:rsidRPr="003516DC">
        <w:rPr>
          <w:rFonts w:ascii="Arial" w:hAnsi="Arial" w:cs="Arial"/>
          <w:sz w:val="20"/>
          <w:szCs w:val="20"/>
        </w:rPr>
        <w:t>, approx</w:t>
      </w:r>
      <w:r w:rsidR="003C2FFE" w:rsidRPr="003516DC">
        <w:rPr>
          <w:rFonts w:ascii="Arial" w:hAnsi="Arial" w:cs="Arial"/>
          <w:sz w:val="20"/>
          <w:szCs w:val="20"/>
        </w:rPr>
        <w:t>imately</w:t>
      </w:r>
      <w:r w:rsidRPr="003516DC">
        <w:rPr>
          <w:rFonts w:ascii="Arial" w:hAnsi="Arial" w:cs="Arial"/>
          <w:sz w:val="20"/>
          <w:szCs w:val="20"/>
        </w:rPr>
        <w:t xml:space="preserve"> 10,000 new jobs were created between 2010 and 2019, half </w:t>
      </w:r>
      <w:r w:rsidR="003C2FFE" w:rsidRPr="003516DC">
        <w:rPr>
          <w:rFonts w:ascii="Arial" w:hAnsi="Arial" w:cs="Arial"/>
          <w:sz w:val="20"/>
          <w:szCs w:val="20"/>
        </w:rPr>
        <w:t xml:space="preserve">of which were </w:t>
      </w:r>
      <w:r w:rsidRPr="003516DC">
        <w:rPr>
          <w:rFonts w:ascii="Arial" w:hAnsi="Arial" w:cs="Arial"/>
          <w:sz w:val="20"/>
          <w:szCs w:val="20"/>
        </w:rPr>
        <w:t xml:space="preserve">in the professional services </w:t>
      </w:r>
      <w:r w:rsidR="003C2FFE" w:rsidRPr="003516DC">
        <w:rPr>
          <w:rFonts w:ascii="Arial" w:hAnsi="Arial" w:cs="Arial"/>
          <w:sz w:val="20"/>
          <w:szCs w:val="20"/>
        </w:rPr>
        <w:t xml:space="preserve">sector </w:t>
      </w:r>
      <w:r w:rsidRPr="003516DC">
        <w:rPr>
          <w:rFonts w:ascii="Arial" w:hAnsi="Arial" w:cs="Arial"/>
          <w:sz w:val="20"/>
          <w:szCs w:val="20"/>
        </w:rPr>
        <w:t>(including travel agencies)</w:t>
      </w:r>
      <w:r w:rsidR="009070FC" w:rsidRPr="003516DC">
        <w:rPr>
          <w:rFonts w:ascii="Arial" w:hAnsi="Arial" w:cs="Arial"/>
          <w:sz w:val="20"/>
          <w:szCs w:val="20"/>
        </w:rPr>
        <w:t>.</w:t>
      </w:r>
      <w:r w:rsidRPr="003516DC">
        <w:rPr>
          <w:rFonts w:ascii="Arial" w:hAnsi="Arial" w:cs="Arial"/>
          <w:sz w:val="20"/>
          <w:szCs w:val="20"/>
        </w:rPr>
        <w:t xml:space="preserve"> </w:t>
      </w:r>
      <w:r w:rsidR="009070FC" w:rsidRPr="003516DC">
        <w:rPr>
          <w:rFonts w:ascii="Arial" w:hAnsi="Arial" w:cs="Arial"/>
          <w:sz w:val="20"/>
          <w:szCs w:val="20"/>
        </w:rPr>
        <w:t>T</w:t>
      </w:r>
      <w:r w:rsidRPr="003516DC">
        <w:rPr>
          <w:rFonts w:ascii="Arial" w:hAnsi="Arial" w:cs="Arial"/>
          <w:sz w:val="20"/>
          <w:szCs w:val="20"/>
        </w:rPr>
        <w:t xml:space="preserve">he rest </w:t>
      </w:r>
      <w:r w:rsidR="009070FC" w:rsidRPr="003516DC">
        <w:rPr>
          <w:rFonts w:ascii="Arial" w:hAnsi="Arial" w:cs="Arial"/>
          <w:sz w:val="20"/>
          <w:szCs w:val="20"/>
        </w:rPr>
        <w:t xml:space="preserve">were </w:t>
      </w:r>
      <w:r w:rsidRPr="003516DC">
        <w:rPr>
          <w:rFonts w:ascii="Arial" w:hAnsi="Arial" w:cs="Arial"/>
          <w:sz w:val="20"/>
          <w:szCs w:val="20"/>
        </w:rPr>
        <w:t xml:space="preserve">in trade (wholesale/ retail), restaurants, hotels, guesthouses, social services, agriculture, IT and creative industries. </w:t>
      </w:r>
      <w:r w:rsidR="009070FC" w:rsidRPr="003516DC">
        <w:rPr>
          <w:rFonts w:ascii="Arial" w:hAnsi="Arial" w:cs="Arial"/>
          <w:sz w:val="20"/>
          <w:szCs w:val="20"/>
        </w:rPr>
        <w:t>I</w:t>
      </w:r>
      <w:r w:rsidRPr="003516DC">
        <w:rPr>
          <w:rFonts w:ascii="Arial" w:hAnsi="Arial" w:cs="Arial"/>
          <w:sz w:val="20"/>
          <w:szCs w:val="20"/>
        </w:rPr>
        <w:t>n terms of percentage growth, IT and creative industries, professional services and social services registered the highest job growth rate. In the past three years</w:t>
      </w:r>
      <w:r w:rsidR="009070FC" w:rsidRPr="003516DC">
        <w:rPr>
          <w:rFonts w:ascii="Arial" w:hAnsi="Arial" w:cs="Arial"/>
          <w:sz w:val="20"/>
          <w:szCs w:val="20"/>
        </w:rPr>
        <w:t>,</w:t>
      </w:r>
      <w:r w:rsidRPr="003516DC">
        <w:rPr>
          <w:rFonts w:ascii="Arial" w:hAnsi="Arial" w:cs="Arial"/>
          <w:sz w:val="20"/>
          <w:szCs w:val="20"/>
        </w:rPr>
        <w:t xml:space="preserve"> construction also gained </w:t>
      </w:r>
      <w:r w:rsidR="009070FC" w:rsidRPr="003516DC">
        <w:rPr>
          <w:rFonts w:ascii="Arial" w:hAnsi="Arial" w:cs="Arial"/>
          <w:sz w:val="20"/>
          <w:szCs w:val="20"/>
        </w:rPr>
        <w:t xml:space="preserve">traction </w:t>
      </w:r>
      <w:r w:rsidRPr="003516DC">
        <w:rPr>
          <w:rFonts w:ascii="Arial" w:hAnsi="Arial" w:cs="Arial"/>
          <w:sz w:val="20"/>
          <w:szCs w:val="20"/>
        </w:rPr>
        <w:t>in terms of the number of new jobs created.</w:t>
      </w:r>
    </w:p>
    <w:p w14:paraId="6B4EF81D" w14:textId="15A1CAC0" w:rsidR="002529C0" w:rsidRPr="003516DC" w:rsidRDefault="00EE6930" w:rsidP="0072648E">
      <w:pPr>
        <w:spacing w:after="120"/>
        <w:jc w:val="both"/>
        <w:rPr>
          <w:rFonts w:ascii="Arial" w:hAnsi="Arial" w:cs="Arial"/>
          <w:iCs/>
          <w:sz w:val="20"/>
          <w:szCs w:val="20"/>
        </w:rPr>
      </w:pPr>
      <w:r w:rsidRPr="003516DC">
        <w:rPr>
          <w:rFonts w:ascii="Arial" w:hAnsi="Arial" w:cs="Arial"/>
          <w:iCs/>
          <w:sz w:val="20"/>
          <w:szCs w:val="20"/>
        </w:rPr>
        <w:t xml:space="preserve">The results from </w:t>
      </w:r>
      <w:r w:rsidR="00A14B5F">
        <w:rPr>
          <w:rFonts w:ascii="Arial" w:hAnsi="Arial" w:cs="Arial"/>
          <w:iCs/>
          <w:sz w:val="20"/>
          <w:szCs w:val="20"/>
        </w:rPr>
        <w:t xml:space="preserve">the </w:t>
      </w:r>
      <w:r w:rsidRPr="003516DC">
        <w:rPr>
          <w:rFonts w:ascii="Arial" w:hAnsi="Arial" w:cs="Arial"/>
          <w:iCs/>
          <w:sz w:val="20"/>
          <w:szCs w:val="20"/>
        </w:rPr>
        <w:t xml:space="preserve">data analysis and information from the </w:t>
      </w:r>
      <w:r w:rsidR="00A14B5F" w:rsidRPr="003516DC">
        <w:rPr>
          <w:rFonts w:ascii="Arial" w:hAnsi="Arial" w:cs="Arial"/>
          <w:iCs/>
          <w:sz w:val="20"/>
          <w:szCs w:val="20"/>
        </w:rPr>
        <w:t xml:space="preserve">stakeholder </w:t>
      </w:r>
      <w:r w:rsidRPr="003516DC">
        <w:rPr>
          <w:rFonts w:ascii="Arial" w:hAnsi="Arial" w:cs="Arial"/>
          <w:iCs/>
          <w:sz w:val="20"/>
          <w:szCs w:val="20"/>
        </w:rPr>
        <w:t>interviews reveal that high unemployment rate</w:t>
      </w:r>
      <w:r w:rsidR="00A14B5F">
        <w:rPr>
          <w:rFonts w:ascii="Arial" w:hAnsi="Arial" w:cs="Arial"/>
          <w:iCs/>
          <w:sz w:val="20"/>
          <w:szCs w:val="20"/>
        </w:rPr>
        <w:t>s have</w:t>
      </w:r>
      <w:r w:rsidRPr="003516DC">
        <w:rPr>
          <w:rFonts w:ascii="Arial" w:hAnsi="Arial" w:cs="Arial"/>
          <w:iCs/>
          <w:sz w:val="20"/>
          <w:szCs w:val="20"/>
        </w:rPr>
        <w:t xml:space="preserve"> persisted </w:t>
      </w:r>
      <w:r w:rsidR="00A14B5F">
        <w:rPr>
          <w:rFonts w:ascii="Arial" w:hAnsi="Arial" w:cs="Arial"/>
          <w:iCs/>
          <w:sz w:val="20"/>
          <w:szCs w:val="20"/>
        </w:rPr>
        <w:t>over</w:t>
      </w:r>
      <w:r w:rsidRPr="003516DC">
        <w:rPr>
          <w:rFonts w:ascii="Arial" w:hAnsi="Arial" w:cs="Arial"/>
          <w:iCs/>
          <w:sz w:val="20"/>
          <w:szCs w:val="20"/>
        </w:rPr>
        <w:t xml:space="preserve"> the last 10-15 years, being rooted in the closure of the old communist production capacities</w:t>
      </w:r>
      <w:r w:rsidR="00A14B5F">
        <w:rPr>
          <w:rFonts w:ascii="Arial" w:hAnsi="Arial" w:cs="Arial"/>
          <w:iCs/>
          <w:sz w:val="20"/>
          <w:szCs w:val="20"/>
        </w:rPr>
        <w:t xml:space="preserve"> </w:t>
      </w:r>
      <w:r w:rsidRPr="003516DC">
        <w:rPr>
          <w:rFonts w:ascii="Arial" w:hAnsi="Arial" w:cs="Arial"/>
          <w:iCs/>
          <w:sz w:val="20"/>
          <w:szCs w:val="20"/>
        </w:rPr>
        <w:t xml:space="preserve">that generated unemployment without being supported by effective workforce absorption measures. Later, with the first wave of mining capacities restructuring/activity reduction/closure, unemployment deepened.   </w:t>
      </w:r>
    </w:p>
    <w:p w14:paraId="2E569FAE" w14:textId="79B9549F" w:rsidR="00EE6930" w:rsidRPr="003516DC" w:rsidRDefault="00EE6930" w:rsidP="00402580">
      <w:pPr>
        <w:spacing w:before="240" w:after="240"/>
        <w:jc w:val="both"/>
        <w:rPr>
          <w:rFonts w:ascii="Arial" w:hAnsi="Arial" w:cs="Arial"/>
          <w:iCs/>
          <w:sz w:val="20"/>
          <w:szCs w:val="20"/>
        </w:rPr>
      </w:pPr>
      <w:r w:rsidRPr="003516DC">
        <w:rPr>
          <w:rFonts w:ascii="Arial" w:hAnsi="Arial" w:cs="Arial"/>
          <w:iCs/>
          <w:sz w:val="20"/>
          <w:szCs w:val="20"/>
        </w:rPr>
        <w:t xml:space="preserve">According to the Workforce Agency records, </w:t>
      </w:r>
      <w:r w:rsidR="00C31DE8">
        <w:rPr>
          <w:rFonts w:ascii="Arial" w:hAnsi="Arial" w:cs="Arial"/>
          <w:iCs/>
          <w:sz w:val="20"/>
          <w:szCs w:val="20"/>
        </w:rPr>
        <w:t xml:space="preserve">in 2019, </w:t>
      </w:r>
      <w:r w:rsidR="00C31DE8" w:rsidRPr="003516DC">
        <w:rPr>
          <w:rFonts w:ascii="Arial" w:hAnsi="Arial" w:cs="Arial"/>
          <w:iCs/>
          <w:sz w:val="20"/>
          <w:szCs w:val="20"/>
        </w:rPr>
        <w:t xml:space="preserve">82% of the total unemployed </w:t>
      </w:r>
      <w:r w:rsidR="00C31DE8">
        <w:rPr>
          <w:rFonts w:ascii="Arial" w:hAnsi="Arial" w:cs="Arial"/>
          <w:iCs/>
          <w:sz w:val="20"/>
          <w:szCs w:val="20"/>
        </w:rPr>
        <w:t xml:space="preserve">are </w:t>
      </w:r>
      <w:r w:rsidRPr="003516DC">
        <w:rPr>
          <w:rFonts w:ascii="Arial" w:hAnsi="Arial" w:cs="Arial"/>
          <w:iCs/>
          <w:sz w:val="20"/>
          <w:szCs w:val="20"/>
        </w:rPr>
        <w:t>long-term unemploy</w:t>
      </w:r>
      <w:r w:rsidR="00C31DE8">
        <w:rPr>
          <w:rFonts w:ascii="Arial" w:hAnsi="Arial" w:cs="Arial"/>
          <w:iCs/>
          <w:sz w:val="20"/>
          <w:szCs w:val="20"/>
        </w:rPr>
        <w:t>ed,</w:t>
      </w:r>
      <w:r w:rsidRPr="003516DC">
        <w:rPr>
          <w:rFonts w:ascii="Arial" w:hAnsi="Arial" w:cs="Arial"/>
          <w:iCs/>
          <w:sz w:val="20"/>
          <w:szCs w:val="20"/>
        </w:rPr>
        <w:t xml:space="preserve"> of which 42% </w:t>
      </w:r>
      <w:r w:rsidR="00C31DE8">
        <w:rPr>
          <w:rFonts w:ascii="Arial" w:hAnsi="Arial" w:cs="Arial"/>
          <w:iCs/>
          <w:sz w:val="20"/>
          <w:szCs w:val="20"/>
        </w:rPr>
        <w:t xml:space="preserve">were </w:t>
      </w:r>
      <w:r w:rsidRPr="003516DC">
        <w:rPr>
          <w:rFonts w:ascii="Arial" w:hAnsi="Arial" w:cs="Arial"/>
          <w:iCs/>
          <w:sz w:val="20"/>
          <w:szCs w:val="20"/>
        </w:rPr>
        <w:t>women (15,513</w:t>
      </w:r>
      <w:r w:rsidR="00C31DE8">
        <w:rPr>
          <w:rFonts w:ascii="Arial" w:hAnsi="Arial" w:cs="Arial"/>
          <w:iCs/>
          <w:sz w:val="20"/>
          <w:szCs w:val="20"/>
        </w:rPr>
        <w:t xml:space="preserve"> women</w:t>
      </w:r>
      <w:r w:rsidRPr="003516DC">
        <w:rPr>
          <w:rFonts w:ascii="Arial" w:hAnsi="Arial" w:cs="Arial"/>
          <w:iCs/>
          <w:sz w:val="20"/>
          <w:szCs w:val="20"/>
        </w:rPr>
        <w:t>)</w:t>
      </w:r>
      <w:r w:rsidR="00C31DE8">
        <w:rPr>
          <w:rFonts w:ascii="Arial" w:hAnsi="Arial" w:cs="Arial"/>
          <w:iCs/>
          <w:sz w:val="20"/>
          <w:szCs w:val="20"/>
        </w:rPr>
        <w:t>.</w:t>
      </w:r>
      <w:r w:rsidRPr="003516DC">
        <w:rPr>
          <w:rFonts w:ascii="Arial" w:hAnsi="Arial" w:cs="Arial"/>
          <w:iCs/>
          <w:sz w:val="20"/>
          <w:szCs w:val="20"/>
        </w:rPr>
        <w:t xml:space="preserve"> </w:t>
      </w:r>
      <w:r w:rsidR="00C31DE8">
        <w:rPr>
          <w:rFonts w:ascii="Arial" w:hAnsi="Arial" w:cs="Arial"/>
          <w:iCs/>
          <w:sz w:val="20"/>
          <w:szCs w:val="20"/>
        </w:rPr>
        <w:t xml:space="preserve">By contrast, the same figure was </w:t>
      </w:r>
      <w:r w:rsidRPr="003516DC">
        <w:rPr>
          <w:rFonts w:ascii="Arial" w:hAnsi="Arial" w:cs="Arial"/>
          <w:iCs/>
          <w:sz w:val="20"/>
          <w:szCs w:val="20"/>
        </w:rPr>
        <w:t xml:space="preserve">80% in 2014, of which 39% </w:t>
      </w:r>
      <w:r w:rsidR="00C31DE8">
        <w:rPr>
          <w:rFonts w:ascii="Arial" w:hAnsi="Arial" w:cs="Arial"/>
          <w:iCs/>
          <w:sz w:val="20"/>
          <w:szCs w:val="20"/>
        </w:rPr>
        <w:t xml:space="preserve">were </w:t>
      </w:r>
      <w:r w:rsidRPr="003516DC">
        <w:rPr>
          <w:rFonts w:ascii="Arial" w:hAnsi="Arial" w:cs="Arial"/>
          <w:iCs/>
          <w:sz w:val="20"/>
          <w:szCs w:val="20"/>
        </w:rPr>
        <w:t xml:space="preserve">women (21,481). </w:t>
      </w:r>
      <w:r w:rsidR="00C31DE8">
        <w:rPr>
          <w:rFonts w:ascii="Arial" w:hAnsi="Arial" w:cs="Arial"/>
          <w:iCs/>
          <w:sz w:val="20"/>
          <w:szCs w:val="20"/>
        </w:rPr>
        <w:t>T</w:t>
      </w:r>
      <w:r w:rsidRPr="003516DC">
        <w:rPr>
          <w:rFonts w:ascii="Arial" w:hAnsi="Arial" w:cs="Arial"/>
          <w:iCs/>
          <w:sz w:val="20"/>
          <w:szCs w:val="20"/>
        </w:rPr>
        <w:t>he highest unemployment</w:t>
      </w:r>
      <w:r w:rsidR="00C31DE8">
        <w:rPr>
          <w:rFonts w:ascii="Arial" w:hAnsi="Arial" w:cs="Arial"/>
          <w:iCs/>
          <w:sz w:val="20"/>
          <w:szCs w:val="20"/>
        </w:rPr>
        <w:t xml:space="preserve"> figures</w:t>
      </w:r>
      <w:r w:rsidRPr="003516DC">
        <w:rPr>
          <w:rFonts w:ascii="Arial" w:hAnsi="Arial" w:cs="Arial"/>
          <w:iCs/>
          <w:sz w:val="20"/>
          <w:szCs w:val="20"/>
        </w:rPr>
        <w:t xml:space="preserve"> </w:t>
      </w:r>
      <w:r w:rsidR="00C31DE8">
        <w:rPr>
          <w:rFonts w:ascii="Arial" w:hAnsi="Arial" w:cs="Arial"/>
          <w:iCs/>
          <w:sz w:val="20"/>
          <w:szCs w:val="20"/>
        </w:rPr>
        <w:t>were</w:t>
      </w:r>
      <w:r w:rsidRPr="003516DC">
        <w:rPr>
          <w:rFonts w:ascii="Arial" w:hAnsi="Arial" w:cs="Arial"/>
          <w:iCs/>
          <w:sz w:val="20"/>
          <w:szCs w:val="20"/>
        </w:rPr>
        <w:t xml:space="preserve"> </w:t>
      </w:r>
      <w:r w:rsidR="00C31DE8">
        <w:rPr>
          <w:rFonts w:ascii="Arial" w:hAnsi="Arial" w:cs="Arial"/>
          <w:iCs/>
          <w:sz w:val="20"/>
          <w:szCs w:val="20"/>
        </w:rPr>
        <w:t>recorded</w:t>
      </w:r>
      <w:r w:rsidRPr="003516DC">
        <w:rPr>
          <w:rFonts w:ascii="Arial" w:hAnsi="Arial" w:cs="Arial"/>
          <w:iCs/>
          <w:sz w:val="20"/>
          <w:szCs w:val="20"/>
        </w:rPr>
        <w:t xml:space="preserve"> </w:t>
      </w:r>
      <w:r w:rsidR="00C31DE8">
        <w:rPr>
          <w:rFonts w:ascii="Arial" w:hAnsi="Arial" w:cs="Arial"/>
          <w:iCs/>
          <w:sz w:val="20"/>
          <w:szCs w:val="20"/>
        </w:rPr>
        <w:t>for those</w:t>
      </w:r>
      <w:r w:rsidRPr="003516DC">
        <w:rPr>
          <w:rFonts w:ascii="Arial" w:hAnsi="Arial" w:cs="Arial"/>
          <w:iCs/>
          <w:sz w:val="20"/>
          <w:szCs w:val="20"/>
        </w:rPr>
        <w:t xml:space="preserve"> </w:t>
      </w:r>
      <w:r w:rsidR="00C31DE8">
        <w:rPr>
          <w:rFonts w:ascii="Arial" w:hAnsi="Arial" w:cs="Arial"/>
          <w:iCs/>
          <w:sz w:val="20"/>
          <w:szCs w:val="20"/>
        </w:rPr>
        <w:t>between</w:t>
      </w:r>
      <w:r w:rsidRPr="003516DC">
        <w:rPr>
          <w:rFonts w:ascii="Arial" w:hAnsi="Arial" w:cs="Arial"/>
          <w:iCs/>
          <w:sz w:val="20"/>
          <w:szCs w:val="20"/>
        </w:rPr>
        <w:t xml:space="preserve"> 40-49 years </w:t>
      </w:r>
      <w:r w:rsidR="00C31DE8">
        <w:rPr>
          <w:rFonts w:ascii="Arial" w:hAnsi="Arial" w:cs="Arial"/>
          <w:iCs/>
          <w:sz w:val="20"/>
          <w:szCs w:val="20"/>
        </w:rPr>
        <w:t xml:space="preserve">old: </w:t>
      </w:r>
      <w:r w:rsidRPr="003516DC">
        <w:rPr>
          <w:rFonts w:ascii="Arial" w:hAnsi="Arial" w:cs="Arial"/>
          <w:iCs/>
          <w:sz w:val="20"/>
          <w:szCs w:val="20"/>
        </w:rPr>
        <w:t xml:space="preserve">28.32% in 2019 (5,360 people) compared to 29.30% in 2014 (7,824). Although the </w:t>
      </w:r>
      <w:r w:rsidR="00306CC7" w:rsidRPr="003516DC">
        <w:rPr>
          <w:rFonts w:ascii="Arial" w:hAnsi="Arial" w:cs="Arial"/>
          <w:iCs/>
          <w:sz w:val="20"/>
          <w:szCs w:val="20"/>
        </w:rPr>
        <w:t xml:space="preserve">long-term </w:t>
      </w:r>
      <w:r w:rsidRPr="003516DC">
        <w:rPr>
          <w:rFonts w:ascii="Arial" w:hAnsi="Arial" w:cs="Arial"/>
          <w:iCs/>
          <w:sz w:val="20"/>
          <w:szCs w:val="20"/>
        </w:rPr>
        <w:t>unemployment rate distribution is uneven, with higher values for the isolated areas with aging population</w:t>
      </w:r>
      <w:r w:rsidR="00C31DE8">
        <w:rPr>
          <w:rFonts w:ascii="Arial" w:hAnsi="Arial" w:cs="Arial"/>
          <w:iCs/>
          <w:sz w:val="20"/>
          <w:szCs w:val="20"/>
        </w:rPr>
        <w:t>s</w:t>
      </w:r>
      <w:r w:rsidRPr="003516DC">
        <w:rPr>
          <w:rFonts w:ascii="Arial" w:hAnsi="Arial" w:cs="Arial"/>
          <w:iCs/>
          <w:sz w:val="20"/>
          <w:szCs w:val="20"/>
        </w:rPr>
        <w:t xml:space="preserve"> or Roma communities, it affects the entire county. </w:t>
      </w:r>
    </w:p>
    <w:p w14:paraId="7B69F428" w14:textId="5FC15A48" w:rsidR="002529C0" w:rsidRDefault="00EE6930" w:rsidP="0072648E">
      <w:pPr>
        <w:spacing w:after="120"/>
        <w:jc w:val="both"/>
        <w:rPr>
          <w:rFonts w:ascii="Arial" w:hAnsi="Arial" w:cs="Arial"/>
          <w:color w:val="0070C0"/>
          <w:sz w:val="20"/>
          <w:szCs w:val="20"/>
        </w:rPr>
      </w:pPr>
      <w:r w:rsidRPr="003516DC">
        <w:rPr>
          <w:rFonts w:ascii="Arial" w:hAnsi="Arial" w:cs="Arial"/>
          <w:iCs/>
          <w:sz w:val="20"/>
          <w:szCs w:val="20"/>
        </w:rPr>
        <w:t xml:space="preserve">The measures applied by the Workforce Agency (AJOFM) Dolj, supported by the county and local authorities could not achieve the planned results, especially in terms of long-term unemployment alleviation. The main reason </w:t>
      </w:r>
      <w:r w:rsidR="00306CC7" w:rsidRPr="003516DC">
        <w:rPr>
          <w:rFonts w:ascii="Arial" w:hAnsi="Arial" w:cs="Arial"/>
          <w:iCs/>
          <w:sz w:val="20"/>
          <w:szCs w:val="20"/>
        </w:rPr>
        <w:t>is</w:t>
      </w:r>
      <w:r w:rsidRPr="003516DC">
        <w:rPr>
          <w:rFonts w:ascii="Arial" w:hAnsi="Arial" w:cs="Arial"/>
          <w:iCs/>
          <w:sz w:val="20"/>
          <w:szCs w:val="20"/>
        </w:rPr>
        <w:t xml:space="preserve"> the precarious educational situation</w:t>
      </w:r>
      <w:r w:rsidR="00306CC7" w:rsidRPr="003516DC">
        <w:rPr>
          <w:rFonts w:ascii="Arial" w:hAnsi="Arial" w:cs="Arial"/>
          <w:iCs/>
          <w:sz w:val="20"/>
          <w:szCs w:val="20"/>
        </w:rPr>
        <w:t xml:space="preserve"> of these communities:</w:t>
      </w:r>
      <w:r w:rsidRPr="003516DC">
        <w:rPr>
          <w:rFonts w:ascii="Arial" w:hAnsi="Arial" w:cs="Arial"/>
          <w:iCs/>
          <w:sz w:val="20"/>
          <w:szCs w:val="20"/>
        </w:rPr>
        <w:t xml:space="preserve"> approximately 50% of the unemployed do not have the necessary level of education to access authori</w:t>
      </w:r>
      <w:r w:rsidR="00B52C37">
        <w:rPr>
          <w:rFonts w:ascii="Arial" w:hAnsi="Arial" w:cs="Arial"/>
          <w:iCs/>
          <w:sz w:val="20"/>
          <w:szCs w:val="20"/>
        </w:rPr>
        <w:t>s</w:t>
      </w:r>
      <w:r w:rsidRPr="003516DC">
        <w:rPr>
          <w:rFonts w:ascii="Arial" w:hAnsi="Arial" w:cs="Arial"/>
          <w:iCs/>
          <w:sz w:val="20"/>
          <w:szCs w:val="20"/>
        </w:rPr>
        <w:t>ed professional training program</w:t>
      </w:r>
      <w:r w:rsidR="00B52C37">
        <w:rPr>
          <w:rFonts w:ascii="Arial" w:hAnsi="Arial" w:cs="Arial"/>
          <w:iCs/>
          <w:sz w:val="20"/>
          <w:szCs w:val="20"/>
        </w:rPr>
        <w:t>me</w:t>
      </w:r>
      <w:r w:rsidRPr="003516DC">
        <w:rPr>
          <w:rFonts w:ascii="Arial" w:hAnsi="Arial" w:cs="Arial"/>
          <w:iCs/>
          <w:sz w:val="20"/>
          <w:szCs w:val="20"/>
        </w:rPr>
        <w:t xml:space="preserve">s supported free of charge by the Workforce Agency (8th grade minimum). Moreover, the vocational education infrastructure is concentrated in Craiova and in only </w:t>
      </w:r>
      <w:r w:rsidR="00B52C37">
        <w:rPr>
          <w:rFonts w:ascii="Arial" w:hAnsi="Arial" w:cs="Arial"/>
          <w:iCs/>
          <w:sz w:val="20"/>
          <w:szCs w:val="20"/>
        </w:rPr>
        <w:t xml:space="preserve">a </w:t>
      </w:r>
      <w:r w:rsidRPr="003516DC">
        <w:rPr>
          <w:rFonts w:ascii="Arial" w:hAnsi="Arial" w:cs="Arial"/>
          <w:iCs/>
          <w:sz w:val="20"/>
          <w:szCs w:val="20"/>
        </w:rPr>
        <w:t xml:space="preserve">few </w:t>
      </w:r>
      <w:r w:rsidR="00B52C37">
        <w:rPr>
          <w:rFonts w:ascii="Arial" w:hAnsi="Arial" w:cs="Arial"/>
          <w:iCs/>
          <w:sz w:val="20"/>
          <w:szCs w:val="20"/>
        </w:rPr>
        <w:t xml:space="preserve">other </w:t>
      </w:r>
      <w:r w:rsidRPr="003516DC">
        <w:rPr>
          <w:rFonts w:ascii="Arial" w:hAnsi="Arial" w:cs="Arial"/>
          <w:iCs/>
          <w:sz w:val="20"/>
          <w:szCs w:val="20"/>
        </w:rPr>
        <w:t>municipalities</w:t>
      </w:r>
      <w:r w:rsidR="00306CC7" w:rsidRPr="003516DC">
        <w:rPr>
          <w:rFonts w:ascii="Arial" w:hAnsi="Arial" w:cs="Arial"/>
          <w:iCs/>
          <w:sz w:val="20"/>
          <w:szCs w:val="20"/>
        </w:rPr>
        <w:t>,</w:t>
      </w:r>
      <w:r w:rsidRPr="003516DC">
        <w:rPr>
          <w:rFonts w:ascii="Arial" w:hAnsi="Arial" w:cs="Arial"/>
          <w:iCs/>
          <w:sz w:val="20"/>
          <w:szCs w:val="20"/>
        </w:rPr>
        <w:t xml:space="preserve"> while the social services infrastructure does not have the potential to cover the entire territory. However, the measures and program</w:t>
      </w:r>
      <w:r w:rsidR="00B52C37">
        <w:rPr>
          <w:rFonts w:ascii="Arial" w:hAnsi="Arial" w:cs="Arial"/>
          <w:iCs/>
          <w:sz w:val="20"/>
          <w:szCs w:val="20"/>
        </w:rPr>
        <w:t>me</w:t>
      </w:r>
      <w:r w:rsidRPr="003516DC">
        <w:rPr>
          <w:rFonts w:ascii="Arial" w:hAnsi="Arial" w:cs="Arial"/>
          <w:iCs/>
          <w:sz w:val="20"/>
          <w:szCs w:val="20"/>
        </w:rPr>
        <w:t>s implemented in recent years (i.e., employment incentives for employer/employee) decreased the unemployment rate to 6.7% in 2019 from 7.4% in 2018 and 9.4% in 2014.</w:t>
      </w:r>
      <w:r w:rsidR="002529C0" w:rsidRPr="002529C0">
        <w:rPr>
          <w:rFonts w:ascii="Arial" w:hAnsi="Arial" w:cs="Arial"/>
          <w:color w:val="0070C0"/>
          <w:sz w:val="20"/>
          <w:szCs w:val="20"/>
        </w:rPr>
        <w:t xml:space="preserve"> </w:t>
      </w:r>
    </w:p>
    <w:p w14:paraId="0D5EB9B8" w14:textId="77777777" w:rsidR="0072648E" w:rsidRDefault="0072648E" w:rsidP="0072648E">
      <w:pPr>
        <w:pStyle w:val="CommentText"/>
        <w:spacing w:after="120"/>
        <w:jc w:val="both"/>
      </w:pPr>
      <w:r>
        <w:t>For an in-depth assessment of the unemployment perspective at county level, an additional indicator monitoring the share of registered unemployment in the total labour resources</w:t>
      </w:r>
      <w:r>
        <w:rPr>
          <w:rStyle w:val="FootnoteReference"/>
        </w:rPr>
        <w:footnoteReference w:id="75"/>
      </w:r>
      <w:r>
        <w:t xml:space="preserve"> has been added to the analysis. This allows for an outlook on the unemployment situation at local administrative unit level, compared to the unemployment rate indicator</w:t>
      </w:r>
      <w:r>
        <w:rPr>
          <w:rStyle w:val="FootnoteReference"/>
        </w:rPr>
        <w:footnoteReference w:id="76"/>
      </w:r>
      <w:r>
        <w:t xml:space="preserve"> which only allows monitoring at general county level. </w:t>
      </w:r>
    </w:p>
    <w:p w14:paraId="17B17192" w14:textId="60D9B5C0" w:rsidR="0072648E" w:rsidRPr="0072648E" w:rsidRDefault="008970F1" w:rsidP="0072648E">
      <w:pPr>
        <w:pStyle w:val="CommentText"/>
        <w:spacing w:after="120"/>
        <w:jc w:val="both"/>
      </w:pPr>
      <w:r>
        <w:t>Using this indicator, the</w:t>
      </w:r>
      <w:r w:rsidR="0072648E">
        <w:t xml:space="preserve"> graph below shows the evolution of unemployment between 2010 and 2020, while Figure 10 presents most and least affected localities in </w:t>
      </w:r>
      <w:r w:rsidR="00283836">
        <w:t>Dolj</w:t>
      </w:r>
      <w:r w:rsidR="0072648E">
        <w:t xml:space="preserve"> County by unemployment. </w:t>
      </w:r>
    </w:p>
    <w:p w14:paraId="6568136A" w14:textId="3090ECA5" w:rsidR="002529C0" w:rsidRPr="003516DC" w:rsidRDefault="002529C0" w:rsidP="002529C0">
      <w:pPr>
        <w:pStyle w:val="Caption"/>
      </w:pPr>
      <w:bookmarkStart w:id="159" w:name="_Toc90727362"/>
      <w:r w:rsidRPr="003516DC">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26</w:t>
      </w:r>
      <w:r w:rsidR="000B273D">
        <w:rPr>
          <w:noProof/>
        </w:rPr>
        <w:fldChar w:fldCharType="end"/>
      </w:r>
      <w:r w:rsidRPr="003516DC">
        <w:t xml:space="preserve">: Unemployment evolution, 2010-2020, Dolj </w:t>
      </w:r>
      <w:r w:rsidR="00314707">
        <w:t>C</w:t>
      </w:r>
      <w:r w:rsidRPr="003516DC">
        <w:t>ounty</w:t>
      </w:r>
      <w:bookmarkEnd w:id="159"/>
    </w:p>
    <w:p w14:paraId="64BDC8F5" w14:textId="77777777" w:rsidR="002529C0" w:rsidRPr="003516DC" w:rsidRDefault="002529C0" w:rsidP="002529C0">
      <w:pPr>
        <w:rPr>
          <w:rFonts w:ascii="Arial" w:hAnsi="Arial" w:cs="Arial"/>
        </w:rPr>
      </w:pPr>
      <w:r w:rsidRPr="006F1508">
        <w:rPr>
          <w:rFonts w:ascii="Arial" w:hAnsi="Arial" w:cs="Arial"/>
          <w:noProof/>
          <w:lang w:val="en-US" w:eastAsia="en-US"/>
        </w:rPr>
        <w:drawing>
          <wp:inline distT="0" distB="0" distL="0" distR="0" wp14:anchorId="1AE5CC99" wp14:editId="4B14AA6C">
            <wp:extent cx="5678424" cy="2377440"/>
            <wp:effectExtent l="0" t="0" r="0" b="3810"/>
            <wp:docPr id="2087055717" name="Chart 20870557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A057CEC-85A6-4057-97D7-DD35FB1E1C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5FD35E15" w14:textId="438A050B" w:rsidR="002529C0" w:rsidRPr="003516DC" w:rsidRDefault="002529C0" w:rsidP="002529C0">
      <w:pPr>
        <w:pStyle w:val="Caption"/>
      </w:pPr>
      <w:bookmarkStart w:id="160" w:name="_Toc90725937"/>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10</w:t>
      </w:r>
      <w:r w:rsidR="000B273D">
        <w:rPr>
          <w:noProof/>
        </w:rPr>
        <w:fldChar w:fldCharType="end"/>
      </w:r>
      <w:r w:rsidRPr="003516DC">
        <w:t xml:space="preserve">: Unemployment rate per UAT in Dolj </w:t>
      </w:r>
      <w:r w:rsidR="00314707">
        <w:t>C</w:t>
      </w:r>
      <w:r w:rsidRPr="003516DC">
        <w:t>ounty, 2020</w:t>
      </w:r>
      <w:bookmarkEnd w:id="160"/>
    </w:p>
    <w:p w14:paraId="4ACD27DE" w14:textId="7408E2D7" w:rsidR="002529C0" w:rsidRDefault="002529C0" w:rsidP="002529C0">
      <w:pPr>
        <w:rPr>
          <w:rFonts w:ascii="Arial" w:hAnsi="Arial" w:cs="Arial"/>
        </w:rPr>
      </w:pPr>
      <w:r w:rsidRPr="006F1508">
        <w:rPr>
          <w:rFonts w:ascii="Arial" w:hAnsi="Arial" w:cs="Arial"/>
          <w:noProof/>
          <w:lang w:val="en-US" w:eastAsia="en-US"/>
        </w:rPr>
        <w:drawing>
          <wp:inline distT="0" distB="0" distL="0" distR="0" wp14:anchorId="3AFE197A" wp14:editId="4124222E">
            <wp:extent cx="5676265" cy="2759710"/>
            <wp:effectExtent l="0" t="0" r="635" b="2540"/>
            <wp:docPr id="2087055719" name="Picture 208705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99" name="Picture 208705559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676265" cy="2759710"/>
                    </a:xfrm>
                    <a:prstGeom prst="rect">
                      <a:avLst/>
                    </a:prstGeom>
                  </pic:spPr>
                </pic:pic>
              </a:graphicData>
            </a:graphic>
          </wp:inline>
        </w:drawing>
      </w:r>
    </w:p>
    <w:p w14:paraId="5D13336E" w14:textId="7B3506F1" w:rsidR="0072648E" w:rsidRPr="00402580" w:rsidRDefault="0072648E" w:rsidP="00D963B9">
      <w:pPr>
        <w:spacing w:before="120" w:after="120"/>
        <w:jc w:val="both"/>
        <w:rPr>
          <w:rFonts w:ascii="Arial" w:hAnsi="Arial" w:cs="Arial"/>
          <w:sz w:val="20"/>
          <w:szCs w:val="20"/>
        </w:rPr>
      </w:pPr>
      <w:r w:rsidRPr="00402580">
        <w:rPr>
          <w:rFonts w:ascii="Arial" w:hAnsi="Arial" w:cs="Arial"/>
          <w:sz w:val="20"/>
          <w:szCs w:val="20"/>
        </w:rPr>
        <w:t>Within Dolj County</w:t>
      </w:r>
      <w:r>
        <w:rPr>
          <w:rFonts w:ascii="Arial" w:hAnsi="Arial" w:cs="Arial"/>
          <w:sz w:val="20"/>
          <w:szCs w:val="20"/>
        </w:rPr>
        <w:t>,</w:t>
      </w:r>
      <w:r w:rsidRPr="00402580">
        <w:rPr>
          <w:rFonts w:ascii="Arial" w:hAnsi="Arial" w:cs="Arial"/>
          <w:sz w:val="20"/>
          <w:szCs w:val="20"/>
        </w:rPr>
        <w:t xml:space="preserve"> </w:t>
      </w:r>
      <w:r>
        <w:rPr>
          <w:rFonts w:ascii="Arial" w:hAnsi="Arial" w:cs="Arial"/>
          <w:sz w:val="20"/>
          <w:szCs w:val="20"/>
        </w:rPr>
        <w:t>there has been</w:t>
      </w:r>
      <w:r w:rsidRPr="00402580">
        <w:rPr>
          <w:rFonts w:ascii="Arial" w:hAnsi="Arial" w:cs="Arial"/>
          <w:sz w:val="20"/>
          <w:szCs w:val="20"/>
        </w:rPr>
        <w:t xml:space="preserve"> a decrease in the share of registered unemployed from 2010 to 2020. In 2010</w:t>
      </w:r>
      <w:r>
        <w:rPr>
          <w:rFonts w:ascii="Arial" w:hAnsi="Arial" w:cs="Arial"/>
          <w:sz w:val="20"/>
          <w:szCs w:val="20"/>
        </w:rPr>
        <w:t>,</w:t>
      </w:r>
      <w:r w:rsidRPr="00402580">
        <w:rPr>
          <w:rFonts w:ascii="Arial" w:hAnsi="Arial" w:cs="Arial"/>
          <w:sz w:val="20"/>
          <w:szCs w:val="20"/>
        </w:rPr>
        <w:t xml:space="preserve"> unemployment was 6.4% </w:t>
      </w:r>
      <w:r>
        <w:rPr>
          <w:rFonts w:ascii="Arial" w:hAnsi="Arial" w:cs="Arial"/>
          <w:sz w:val="20"/>
          <w:szCs w:val="20"/>
        </w:rPr>
        <w:t>and</w:t>
      </w:r>
      <w:r w:rsidRPr="00402580">
        <w:rPr>
          <w:rFonts w:ascii="Arial" w:hAnsi="Arial" w:cs="Arial"/>
          <w:sz w:val="20"/>
          <w:szCs w:val="20"/>
        </w:rPr>
        <w:t xml:space="preserve"> </w:t>
      </w:r>
      <w:r w:rsidR="008970F1">
        <w:rPr>
          <w:rFonts w:ascii="Arial" w:hAnsi="Arial" w:cs="Arial"/>
          <w:sz w:val="20"/>
          <w:szCs w:val="20"/>
        </w:rPr>
        <w:t>decreased to</w:t>
      </w:r>
      <w:r w:rsidRPr="00402580">
        <w:rPr>
          <w:rFonts w:ascii="Arial" w:hAnsi="Arial" w:cs="Arial"/>
          <w:sz w:val="20"/>
          <w:szCs w:val="20"/>
        </w:rPr>
        <w:t xml:space="preserve"> 4.4% in 2020. </w:t>
      </w:r>
      <w:r>
        <w:rPr>
          <w:rFonts w:ascii="Arial" w:hAnsi="Arial" w:cs="Arial"/>
          <w:sz w:val="20"/>
          <w:szCs w:val="20"/>
        </w:rPr>
        <w:t>There is also</w:t>
      </w:r>
      <w:r w:rsidRPr="00402580">
        <w:rPr>
          <w:rFonts w:ascii="Arial" w:hAnsi="Arial" w:cs="Arial"/>
          <w:sz w:val="20"/>
          <w:szCs w:val="20"/>
        </w:rPr>
        <w:t xml:space="preserve"> a discrepancy between urban and rural areas. </w:t>
      </w:r>
      <w:r>
        <w:rPr>
          <w:rFonts w:ascii="Arial" w:hAnsi="Arial" w:cs="Arial"/>
          <w:sz w:val="20"/>
          <w:szCs w:val="20"/>
        </w:rPr>
        <w:t>T</w:t>
      </w:r>
      <w:r w:rsidRPr="00402580">
        <w:rPr>
          <w:rFonts w:ascii="Arial" w:hAnsi="Arial" w:cs="Arial"/>
          <w:sz w:val="20"/>
          <w:szCs w:val="20"/>
        </w:rPr>
        <w:t xml:space="preserve">he urban unemployment rate </w:t>
      </w:r>
      <w:r>
        <w:rPr>
          <w:rFonts w:ascii="Arial" w:hAnsi="Arial" w:cs="Arial"/>
          <w:sz w:val="20"/>
          <w:szCs w:val="20"/>
        </w:rPr>
        <w:t>was</w:t>
      </w:r>
      <w:r w:rsidRPr="00402580">
        <w:rPr>
          <w:rFonts w:ascii="Arial" w:hAnsi="Arial" w:cs="Arial"/>
          <w:sz w:val="20"/>
          <w:szCs w:val="20"/>
        </w:rPr>
        <w:t xml:space="preserve"> 5.44%</w:t>
      </w:r>
      <w:r>
        <w:rPr>
          <w:rFonts w:ascii="Arial" w:hAnsi="Arial" w:cs="Arial"/>
          <w:sz w:val="20"/>
          <w:szCs w:val="20"/>
        </w:rPr>
        <w:t xml:space="preserve"> in 2010 and</w:t>
      </w:r>
      <w:r w:rsidRPr="00402580">
        <w:rPr>
          <w:rFonts w:ascii="Arial" w:hAnsi="Arial" w:cs="Arial"/>
          <w:sz w:val="20"/>
          <w:szCs w:val="20"/>
        </w:rPr>
        <w:t xml:space="preserve"> </w:t>
      </w:r>
      <w:r>
        <w:rPr>
          <w:rFonts w:ascii="Arial" w:hAnsi="Arial" w:cs="Arial"/>
          <w:sz w:val="20"/>
          <w:szCs w:val="20"/>
        </w:rPr>
        <w:t xml:space="preserve">2.91% </w:t>
      </w:r>
      <w:r w:rsidRPr="00402580">
        <w:rPr>
          <w:rFonts w:ascii="Arial" w:hAnsi="Arial" w:cs="Arial"/>
          <w:sz w:val="20"/>
          <w:szCs w:val="20"/>
        </w:rPr>
        <w:t>in 2020. The decrease in rural areas was much smaller: 10.49%</w:t>
      </w:r>
      <w:r>
        <w:rPr>
          <w:rFonts w:ascii="Arial" w:hAnsi="Arial" w:cs="Arial"/>
          <w:sz w:val="20"/>
          <w:szCs w:val="20"/>
        </w:rPr>
        <w:t xml:space="preserve"> in 2010</w:t>
      </w:r>
      <w:r w:rsidRPr="00402580">
        <w:rPr>
          <w:rFonts w:ascii="Arial" w:hAnsi="Arial" w:cs="Arial"/>
          <w:sz w:val="20"/>
          <w:szCs w:val="20"/>
        </w:rPr>
        <w:t xml:space="preserve"> and 9.7%</w:t>
      </w:r>
      <w:r>
        <w:rPr>
          <w:rFonts w:ascii="Arial" w:hAnsi="Arial" w:cs="Arial"/>
          <w:sz w:val="20"/>
          <w:szCs w:val="20"/>
        </w:rPr>
        <w:t xml:space="preserve"> </w:t>
      </w:r>
      <w:r w:rsidRPr="006F1AC6">
        <w:rPr>
          <w:rFonts w:ascii="Arial" w:hAnsi="Arial" w:cs="Arial"/>
          <w:sz w:val="20"/>
          <w:szCs w:val="20"/>
        </w:rPr>
        <w:t>in 2020</w:t>
      </w:r>
      <w:r w:rsidRPr="00402580">
        <w:rPr>
          <w:rFonts w:ascii="Arial" w:hAnsi="Arial" w:cs="Arial"/>
          <w:sz w:val="20"/>
          <w:szCs w:val="20"/>
        </w:rPr>
        <w:t>.</w:t>
      </w:r>
    </w:p>
    <w:p w14:paraId="44A8F334" w14:textId="77777777" w:rsidR="0072648E" w:rsidRPr="00402580" w:rsidRDefault="0072648E" w:rsidP="0072648E">
      <w:pPr>
        <w:spacing w:after="120"/>
        <w:jc w:val="both"/>
        <w:rPr>
          <w:rFonts w:ascii="Arial" w:hAnsi="Arial" w:cs="Arial"/>
          <w:sz w:val="20"/>
          <w:szCs w:val="20"/>
        </w:rPr>
      </w:pPr>
      <w:r>
        <w:rPr>
          <w:rFonts w:ascii="Arial" w:hAnsi="Arial" w:cs="Arial"/>
          <w:sz w:val="20"/>
          <w:szCs w:val="20"/>
        </w:rPr>
        <w:t>T</w:t>
      </w:r>
      <w:r w:rsidRPr="00402580">
        <w:rPr>
          <w:rFonts w:ascii="Arial" w:hAnsi="Arial" w:cs="Arial"/>
          <w:sz w:val="20"/>
          <w:szCs w:val="20"/>
        </w:rPr>
        <w:t xml:space="preserve">he highest unemployment in rural areas </w:t>
      </w:r>
      <w:r>
        <w:rPr>
          <w:rFonts w:ascii="Arial" w:hAnsi="Arial" w:cs="Arial"/>
          <w:sz w:val="20"/>
          <w:szCs w:val="20"/>
        </w:rPr>
        <w:t>was recorded</w:t>
      </w:r>
      <w:r w:rsidRPr="00402580">
        <w:rPr>
          <w:rFonts w:ascii="Arial" w:hAnsi="Arial" w:cs="Arial"/>
          <w:sz w:val="20"/>
          <w:szCs w:val="20"/>
        </w:rPr>
        <w:t xml:space="preserve"> in the village of Catane. </w:t>
      </w:r>
      <w:r>
        <w:rPr>
          <w:rFonts w:ascii="Arial" w:hAnsi="Arial" w:cs="Arial"/>
          <w:sz w:val="20"/>
          <w:szCs w:val="20"/>
        </w:rPr>
        <w:t>Unemployment increased in</w:t>
      </w:r>
      <w:r w:rsidRPr="00402580">
        <w:rPr>
          <w:rFonts w:ascii="Arial" w:hAnsi="Arial" w:cs="Arial"/>
          <w:sz w:val="20"/>
          <w:szCs w:val="20"/>
        </w:rPr>
        <w:t xml:space="preserve"> </w:t>
      </w:r>
      <w:r w:rsidRPr="006F1AC6">
        <w:rPr>
          <w:rFonts w:ascii="Arial" w:hAnsi="Arial" w:cs="Arial"/>
          <w:sz w:val="20"/>
          <w:szCs w:val="20"/>
        </w:rPr>
        <w:t>Catane</w:t>
      </w:r>
      <w:r w:rsidRPr="00C31DE8" w:rsidDel="00C31DE8">
        <w:rPr>
          <w:rFonts w:ascii="Arial" w:hAnsi="Arial" w:cs="Arial"/>
          <w:sz w:val="20"/>
          <w:szCs w:val="20"/>
        </w:rPr>
        <w:t xml:space="preserve"> </w:t>
      </w:r>
      <w:r>
        <w:rPr>
          <w:rFonts w:ascii="Arial" w:hAnsi="Arial" w:cs="Arial"/>
          <w:sz w:val="20"/>
          <w:szCs w:val="20"/>
        </w:rPr>
        <w:t>from</w:t>
      </w:r>
      <w:r w:rsidRPr="00402580">
        <w:rPr>
          <w:rFonts w:ascii="Arial" w:hAnsi="Arial" w:cs="Arial"/>
          <w:sz w:val="20"/>
          <w:szCs w:val="20"/>
        </w:rPr>
        <w:t xml:space="preserve"> 23.70%</w:t>
      </w:r>
      <w:r>
        <w:rPr>
          <w:rFonts w:ascii="Arial" w:hAnsi="Arial" w:cs="Arial"/>
          <w:sz w:val="20"/>
          <w:szCs w:val="20"/>
        </w:rPr>
        <w:t xml:space="preserve"> in 2010</w:t>
      </w:r>
      <w:r w:rsidRPr="00402580">
        <w:rPr>
          <w:rFonts w:ascii="Arial" w:hAnsi="Arial" w:cs="Arial"/>
          <w:sz w:val="20"/>
          <w:szCs w:val="20"/>
        </w:rPr>
        <w:t xml:space="preserve"> to 50%</w:t>
      </w:r>
      <w:r>
        <w:rPr>
          <w:rFonts w:ascii="Arial" w:hAnsi="Arial" w:cs="Arial"/>
          <w:sz w:val="20"/>
          <w:szCs w:val="20"/>
        </w:rPr>
        <w:t xml:space="preserve"> in 2020</w:t>
      </w:r>
      <w:r w:rsidRPr="00402580">
        <w:rPr>
          <w:rFonts w:ascii="Arial" w:hAnsi="Arial" w:cs="Arial"/>
          <w:sz w:val="20"/>
          <w:szCs w:val="20"/>
        </w:rPr>
        <w:t xml:space="preserve">. </w:t>
      </w:r>
      <w:r>
        <w:rPr>
          <w:rFonts w:ascii="Arial" w:hAnsi="Arial" w:cs="Arial"/>
          <w:sz w:val="20"/>
          <w:szCs w:val="20"/>
        </w:rPr>
        <w:t xml:space="preserve">By contrast, </w:t>
      </w:r>
      <w:r w:rsidRPr="00402580">
        <w:rPr>
          <w:rFonts w:ascii="Arial" w:hAnsi="Arial" w:cs="Arial"/>
          <w:sz w:val="20"/>
          <w:szCs w:val="20"/>
        </w:rPr>
        <w:t xml:space="preserve">Vela reduced its unemployment </w:t>
      </w:r>
      <w:r>
        <w:rPr>
          <w:rFonts w:ascii="Arial" w:hAnsi="Arial" w:cs="Arial"/>
          <w:sz w:val="20"/>
          <w:szCs w:val="20"/>
        </w:rPr>
        <w:t xml:space="preserve">rate </w:t>
      </w:r>
      <w:r w:rsidRPr="00402580">
        <w:rPr>
          <w:rFonts w:ascii="Arial" w:hAnsi="Arial" w:cs="Arial"/>
          <w:sz w:val="20"/>
          <w:szCs w:val="20"/>
        </w:rPr>
        <w:t>from 39.70% in 2010 to 30% in 2020. The lowest share of unemployment</w:t>
      </w:r>
      <w:r>
        <w:rPr>
          <w:rFonts w:ascii="Arial" w:hAnsi="Arial" w:cs="Arial"/>
          <w:sz w:val="20"/>
          <w:szCs w:val="20"/>
        </w:rPr>
        <w:t xml:space="preserve"> (0.9%)</w:t>
      </w:r>
      <w:r w:rsidRPr="00402580">
        <w:rPr>
          <w:rFonts w:ascii="Arial" w:hAnsi="Arial" w:cs="Arial"/>
          <w:sz w:val="20"/>
          <w:szCs w:val="20"/>
        </w:rPr>
        <w:t xml:space="preserve"> </w:t>
      </w:r>
      <w:r>
        <w:rPr>
          <w:rFonts w:ascii="Arial" w:hAnsi="Arial" w:cs="Arial"/>
          <w:sz w:val="20"/>
          <w:szCs w:val="20"/>
        </w:rPr>
        <w:t>was</w:t>
      </w:r>
      <w:r w:rsidRPr="00402580">
        <w:rPr>
          <w:rFonts w:ascii="Arial" w:hAnsi="Arial" w:cs="Arial"/>
          <w:sz w:val="20"/>
          <w:szCs w:val="20"/>
        </w:rPr>
        <w:t xml:space="preserve"> </w:t>
      </w:r>
      <w:r>
        <w:rPr>
          <w:rFonts w:ascii="Arial" w:hAnsi="Arial" w:cs="Arial"/>
          <w:sz w:val="20"/>
          <w:szCs w:val="20"/>
        </w:rPr>
        <w:t>recorded</w:t>
      </w:r>
      <w:r w:rsidRPr="00402580">
        <w:rPr>
          <w:rFonts w:ascii="Arial" w:hAnsi="Arial" w:cs="Arial"/>
          <w:sz w:val="20"/>
          <w:szCs w:val="20"/>
        </w:rPr>
        <w:t xml:space="preserve"> in Craiova in 2020.</w:t>
      </w:r>
    </w:p>
    <w:p w14:paraId="0C82A49F" w14:textId="32266E54" w:rsidR="00D62087" w:rsidRPr="003516DC" w:rsidRDefault="00EE6930" w:rsidP="0072648E">
      <w:pPr>
        <w:spacing w:after="120"/>
        <w:jc w:val="both"/>
        <w:rPr>
          <w:rFonts w:ascii="Arial" w:hAnsi="Arial" w:cs="Arial"/>
          <w:iCs/>
          <w:sz w:val="20"/>
          <w:szCs w:val="20"/>
        </w:rPr>
      </w:pPr>
      <w:r w:rsidRPr="003516DC">
        <w:rPr>
          <w:rFonts w:ascii="Arial" w:hAnsi="Arial" w:cs="Arial"/>
          <w:iCs/>
          <w:sz w:val="20"/>
          <w:szCs w:val="20"/>
        </w:rPr>
        <w:t>As for the qualification/ training programmes</w:t>
      </w:r>
      <w:r w:rsidR="00597139">
        <w:rPr>
          <w:rFonts w:ascii="Arial" w:hAnsi="Arial" w:cs="Arial"/>
          <w:iCs/>
          <w:sz w:val="20"/>
          <w:szCs w:val="20"/>
        </w:rPr>
        <w:t>’</w:t>
      </w:r>
      <w:r w:rsidRPr="003516DC">
        <w:rPr>
          <w:rFonts w:ascii="Arial" w:hAnsi="Arial" w:cs="Arial"/>
          <w:iCs/>
          <w:sz w:val="20"/>
          <w:szCs w:val="20"/>
        </w:rPr>
        <w:t xml:space="preserve"> structure, although diversified and attractive to some point (over 500 accredited p</w:t>
      </w:r>
      <w:r w:rsidR="00D206E5">
        <w:rPr>
          <w:rFonts w:ascii="Arial" w:hAnsi="Arial" w:cs="Arial"/>
          <w:iCs/>
          <w:sz w:val="20"/>
          <w:szCs w:val="20"/>
        </w:rPr>
        <w:t>rogrammes</w:t>
      </w:r>
      <w:r w:rsidRPr="003516DC">
        <w:rPr>
          <w:rFonts w:ascii="Arial" w:hAnsi="Arial" w:cs="Arial"/>
          <w:iCs/>
          <w:sz w:val="20"/>
          <w:szCs w:val="20"/>
        </w:rPr>
        <w:t xml:space="preserve"> for approximately 300 qualifications) the offer is rather static</w:t>
      </w:r>
      <w:r w:rsidR="00306CC7" w:rsidRPr="003516DC">
        <w:rPr>
          <w:rFonts w:ascii="Arial" w:hAnsi="Arial" w:cs="Arial"/>
          <w:iCs/>
          <w:sz w:val="20"/>
          <w:szCs w:val="20"/>
        </w:rPr>
        <w:t>,</w:t>
      </w:r>
      <w:r w:rsidRPr="003516DC">
        <w:rPr>
          <w:rFonts w:ascii="Arial" w:hAnsi="Arial" w:cs="Arial"/>
          <w:iCs/>
          <w:sz w:val="20"/>
          <w:szCs w:val="20"/>
        </w:rPr>
        <w:t xml:space="preserve"> failing to reflect the real needs and to anticipate new jobs and new professions. The most sought-after qualifications at the county level in the past few years were </w:t>
      </w:r>
      <w:r w:rsidR="00306CC7" w:rsidRPr="003516DC">
        <w:rPr>
          <w:rFonts w:ascii="Arial" w:hAnsi="Arial" w:cs="Arial"/>
          <w:iCs/>
          <w:sz w:val="20"/>
          <w:szCs w:val="20"/>
        </w:rPr>
        <w:t xml:space="preserve">those of </w:t>
      </w:r>
      <w:r w:rsidRPr="003516DC">
        <w:rPr>
          <w:rFonts w:ascii="Arial" w:hAnsi="Arial" w:cs="Arial"/>
          <w:iCs/>
          <w:sz w:val="20"/>
          <w:szCs w:val="20"/>
        </w:rPr>
        <w:t>cook</w:t>
      </w:r>
      <w:r w:rsidR="00306CC7" w:rsidRPr="003516DC">
        <w:rPr>
          <w:rFonts w:ascii="Arial" w:hAnsi="Arial" w:cs="Arial"/>
          <w:iCs/>
          <w:sz w:val="20"/>
          <w:szCs w:val="20"/>
        </w:rPr>
        <w:t>/ chef</w:t>
      </w:r>
      <w:r w:rsidRPr="003516DC">
        <w:rPr>
          <w:rFonts w:ascii="Arial" w:hAnsi="Arial" w:cs="Arial"/>
          <w:iCs/>
          <w:sz w:val="20"/>
          <w:szCs w:val="20"/>
        </w:rPr>
        <w:t xml:space="preserve">, bartender, housekeeper, hairdresser, make-up artist as well as entrepreneurial skills, data validation and processing, security agent, trainer, English language skills. </w:t>
      </w:r>
    </w:p>
    <w:p w14:paraId="6F0687B0" w14:textId="32AC5839" w:rsidR="0072648E" w:rsidRDefault="00EE6930" w:rsidP="000A7086">
      <w:pPr>
        <w:spacing w:after="120"/>
        <w:jc w:val="both"/>
        <w:rPr>
          <w:rFonts w:ascii="Arial" w:hAnsi="Arial" w:cs="Arial"/>
          <w:iCs/>
          <w:sz w:val="20"/>
          <w:szCs w:val="20"/>
        </w:rPr>
      </w:pPr>
      <w:r w:rsidRPr="003516DC">
        <w:rPr>
          <w:rFonts w:ascii="Arial" w:hAnsi="Arial" w:cs="Arial"/>
          <w:iCs/>
          <w:sz w:val="20"/>
          <w:szCs w:val="20"/>
        </w:rPr>
        <w:t xml:space="preserve">A project is underway under the coordination of Craiova University with the contribution of the County Council to identify new future needs/ skills/ professions and to implement the entire educational support infrastructure </w:t>
      </w:r>
      <w:r w:rsidR="00597139" w:rsidRPr="003516DC">
        <w:rPr>
          <w:rFonts w:ascii="Arial" w:hAnsi="Arial" w:cs="Arial"/>
          <w:iCs/>
          <w:sz w:val="20"/>
          <w:szCs w:val="20"/>
        </w:rPr>
        <w:t>according to</w:t>
      </w:r>
      <w:r w:rsidRPr="003516DC">
        <w:rPr>
          <w:rFonts w:ascii="Arial" w:hAnsi="Arial" w:cs="Arial"/>
          <w:iCs/>
          <w:sz w:val="20"/>
          <w:szCs w:val="20"/>
        </w:rPr>
        <w:t xml:space="preserve"> the legislation.  Some of the findings have already been operationalized</w:t>
      </w:r>
      <w:r w:rsidR="00306CC7" w:rsidRPr="003516DC">
        <w:rPr>
          <w:rFonts w:ascii="Arial" w:hAnsi="Arial" w:cs="Arial"/>
          <w:iCs/>
          <w:sz w:val="20"/>
          <w:szCs w:val="20"/>
        </w:rPr>
        <w:t>,</w:t>
      </w:r>
      <w:r w:rsidRPr="003516DC">
        <w:rPr>
          <w:rFonts w:ascii="Arial" w:hAnsi="Arial" w:cs="Arial"/>
          <w:iCs/>
          <w:sz w:val="20"/>
          <w:szCs w:val="20"/>
        </w:rPr>
        <w:t xml:space="preserve"> respectively in the field of environmental engineering or in the field of IT information security. There </w:t>
      </w:r>
      <w:r w:rsidRPr="003516DC">
        <w:rPr>
          <w:rFonts w:ascii="Arial" w:hAnsi="Arial" w:cs="Arial"/>
          <w:iCs/>
          <w:sz w:val="20"/>
          <w:szCs w:val="20"/>
        </w:rPr>
        <w:lastRenderedPageBreak/>
        <w:t>are still other qualifications needed in fields like I</w:t>
      </w:r>
      <w:r w:rsidR="00306CC7" w:rsidRPr="003516DC">
        <w:rPr>
          <w:rFonts w:ascii="Arial" w:hAnsi="Arial" w:cs="Arial"/>
          <w:iCs/>
          <w:sz w:val="20"/>
          <w:szCs w:val="20"/>
        </w:rPr>
        <w:t>T&amp;C</w:t>
      </w:r>
      <w:r w:rsidRPr="003516DC">
        <w:rPr>
          <w:rFonts w:ascii="Arial" w:hAnsi="Arial" w:cs="Arial"/>
          <w:iCs/>
          <w:sz w:val="20"/>
          <w:szCs w:val="20"/>
        </w:rPr>
        <w:t xml:space="preserve"> and creative industries, professional services, retail and transportation, real estate as well as finance</w:t>
      </w:r>
      <w:r w:rsidR="00306CC7" w:rsidRPr="003516DC">
        <w:rPr>
          <w:rFonts w:ascii="Arial" w:hAnsi="Arial" w:cs="Arial"/>
          <w:iCs/>
          <w:sz w:val="20"/>
          <w:szCs w:val="20"/>
        </w:rPr>
        <w:t>.</w:t>
      </w:r>
      <w:r w:rsidRPr="003516DC">
        <w:rPr>
          <w:rFonts w:ascii="Arial" w:hAnsi="Arial" w:cs="Arial"/>
          <w:iCs/>
          <w:sz w:val="20"/>
          <w:szCs w:val="20"/>
        </w:rPr>
        <w:t xml:space="preserve"> </w:t>
      </w:r>
    </w:p>
    <w:p w14:paraId="772341FC" w14:textId="77B73D70" w:rsidR="00306CC7" w:rsidRPr="0072648E" w:rsidRDefault="0072648E" w:rsidP="00E42342">
      <w:pPr>
        <w:pStyle w:val="Heading4"/>
        <w:numPr>
          <w:ilvl w:val="0"/>
          <w:numId w:val="268"/>
        </w:numPr>
        <w:spacing w:before="0" w:after="120"/>
        <w:rPr>
          <w:sz w:val="20"/>
          <w:szCs w:val="20"/>
        </w:rPr>
      </w:pPr>
      <w:r>
        <w:rPr>
          <w:sz w:val="20"/>
          <w:szCs w:val="20"/>
        </w:rPr>
        <w:t>Social infrastructure</w:t>
      </w:r>
    </w:p>
    <w:p w14:paraId="6ACFB6D0" w14:textId="48FA8738" w:rsidR="002529C0" w:rsidRDefault="0078437C" w:rsidP="003847A7">
      <w:pPr>
        <w:spacing w:after="120"/>
        <w:jc w:val="both"/>
        <w:rPr>
          <w:rFonts w:ascii="Arial" w:hAnsi="Arial" w:cs="Arial"/>
          <w:sz w:val="20"/>
          <w:szCs w:val="20"/>
        </w:rPr>
      </w:pPr>
      <w:r w:rsidRPr="003516DC">
        <w:rPr>
          <w:rFonts w:ascii="Arial" w:hAnsi="Arial" w:cs="Arial"/>
          <w:sz w:val="20"/>
          <w:szCs w:val="20"/>
        </w:rPr>
        <w:t xml:space="preserve">The </w:t>
      </w:r>
      <w:r w:rsidRPr="003516DC">
        <w:rPr>
          <w:rFonts w:ascii="Arial" w:hAnsi="Arial" w:cs="Arial"/>
          <w:b/>
          <w:sz w:val="20"/>
          <w:szCs w:val="20"/>
        </w:rPr>
        <w:t xml:space="preserve">educational infrastructure </w:t>
      </w:r>
      <w:r w:rsidRPr="003516DC">
        <w:rPr>
          <w:rFonts w:ascii="Arial" w:hAnsi="Arial" w:cs="Arial"/>
          <w:sz w:val="20"/>
          <w:szCs w:val="20"/>
        </w:rPr>
        <w:t xml:space="preserve">is diversified for all levels </w:t>
      </w:r>
      <w:r w:rsidR="00690B18" w:rsidRPr="003516DC">
        <w:rPr>
          <w:rFonts w:ascii="Arial" w:hAnsi="Arial" w:cs="Arial"/>
          <w:sz w:val="20"/>
          <w:szCs w:val="20"/>
        </w:rPr>
        <w:t xml:space="preserve">of education </w:t>
      </w:r>
      <w:r w:rsidRPr="003516DC">
        <w:rPr>
          <w:rFonts w:ascii="Arial" w:hAnsi="Arial" w:cs="Arial"/>
          <w:sz w:val="20"/>
          <w:szCs w:val="20"/>
        </w:rPr>
        <w:t>and there is a large market of skilling service providers for adults</w:t>
      </w:r>
      <w:r w:rsidR="00690B18" w:rsidRPr="003516DC">
        <w:rPr>
          <w:rFonts w:ascii="Arial" w:hAnsi="Arial" w:cs="Arial"/>
          <w:sz w:val="20"/>
          <w:szCs w:val="20"/>
        </w:rPr>
        <w:t>. However,</w:t>
      </w:r>
      <w:r w:rsidRPr="003516DC">
        <w:rPr>
          <w:rFonts w:ascii="Arial" w:hAnsi="Arial" w:cs="Arial"/>
          <w:sz w:val="20"/>
          <w:szCs w:val="20"/>
        </w:rPr>
        <w:t xml:space="preserve"> almost all of </w:t>
      </w:r>
      <w:r w:rsidR="00690B18" w:rsidRPr="003516DC">
        <w:rPr>
          <w:rFonts w:ascii="Arial" w:hAnsi="Arial" w:cs="Arial"/>
          <w:sz w:val="20"/>
          <w:szCs w:val="20"/>
        </w:rPr>
        <w:t xml:space="preserve">this sector </w:t>
      </w:r>
      <w:r w:rsidRPr="003516DC">
        <w:rPr>
          <w:rFonts w:ascii="Arial" w:hAnsi="Arial" w:cs="Arial"/>
          <w:sz w:val="20"/>
          <w:szCs w:val="20"/>
        </w:rPr>
        <w:t>is centrali</w:t>
      </w:r>
      <w:r w:rsidR="00690B18" w:rsidRPr="003516DC">
        <w:rPr>
          <w:rFonts w:ascii="Arial" w:hAnsi="Arial" w:cs="Arial"/>
          <w:sz w:val="20"/>
          <w:szCs w:val="20"/>
        </w:rPr>
        <w:t>s</w:t>
      </w:r>
      <w:r w:rsidRPr="003516DC">
        <w:rPr>
          <w:rFonts w:ascii="Arial" w:hAnsi="Arial" w:cs="Arial"/>
          <w:sz w:val="20"/>
          <w:szCs w:val="20"/>
        </w:rPr>
        <w:t xml:space="preserve">ed in Craiova </w:t>
      </w:r>
      <w:r w:rsidR="00690B18" w:rsidRPr="003516DC">
        <w:rPr>
          <w:rFonts w:ascii="Arial" w:hAnsi="Arial" w:cs="Arial"/>
          <w:sz w:val="20"/>
          <w:szCs w:val="20"/>
        </w:rPr>
        <w:t xml:space="preserve">with </w:t>
      </w:r>
      <w:r w:rsidRPr="003516DC">
        <w:rPr>
          <w:rFonts w:ascii="Arial" w:hAnsi="Arial" w:cs="Arial"/>
          <w:sz w:val="20"/>
          <w:szCs w:val="20"/>
        </w:rPr>
        <w:t xml:space="preserve">sparse </w:t>
      </w:r>
      <w:r w:rsidR="00690B18" w:rsidRPr="003516DC">
        <w:rPr>
          <w:rFonts w:ascii="Arial" w:hAnsi="Arial" w:cs="Arial"/>
          <w:sz w:val="20"/>
          <w:szCs w:val="20"/>
        </w:rPr>
        <w:t xml:space="preserve">offers </w:t>
      </w:r>
      <w:r w:rsidRPr="003516DC">
        <w:rPr>
          <w:rFonts w:ascii="Arial" w:hAnsi="Arial" w:cs="Arial"/>
          <w:sz w:val="20"/>
          <w:szCs w:val="20"/>
        </w:rPr>
        <w:t xml:space="preserve">distributed </w:t>
      </w:r>
      <w:r w:rsidR="00690B18" w:rsidRPr="003516DC">
        <w:rPr>
          <w:rFonts w:ascii="Arial" w:hAnsi="Arial" w:cs="Arial"/>
          <w:sz w:val="20"/>
          <w:szCs w:val="20"/>
        </w:rPr>
        <w:t xml:space="preserve">throughout </w:t>
      </w:r>
      <w:r w:rsidRPr="003516DC">
        <w:rPr>
          <w:rFonts w:ascii="Arial" w:hAnsi="Arial" w:cs="Arial"/>
          <w:sz w:val="20"/>
          <w:szCs w:val="20"/>
        </w:rPr>
        <w:t xml:space="preserve">the rest of the county. Despite the existence of several technological and vocational </w:t>
      </w:r>
      <w:r w:rsidR="00597139" w:rsidRPr="003516DC">
        <w:rPr>
          <w:rFonts w:ascii="Arial" w:hAnsi="Arial" w:cs="Arial"/>
          <w:sz w:val="20"/>
          <w:szCs w:val="20"/>
        </w:rPr>
        <w:t>high schools</w:t>
      </w:r>
      <w:r w:rsidRPr="003516DC">
        <w:rPr>
          <w:rFonts w:ascii="Arial" w:hAnsi="Arial" w:cs="Arial"/>
          <w:sz w:val="20"/>
          <w:szCs w:val="20"/>
        </w:rPr>
        <w:t xml:space="preserve"> at </w:t>
      </w:r>
      <w:r w:rsidR="0082261E" w:rsidRPr="003516DC">
        <w:rPr>
          <w:rFonts w:ascii="Arial" w:hAnsi="Arial" w:cs="Arial"/>
          <w:sz w:val="20"/>
          <w:szCs w:val="20"/>
        </w:rPr>
        <w:t xml:space="preserve">the </w:t>
      </w:r>
      <w:r w:rsidRPr="003516DC">
        <w:rPr>
          <w:rFonts w:ascii="Arial" w:hAnsi="Arial" w:cs="Arial"/>
          <w:sz w:val="20"/>
          <w:szCs w:val="20"/>
        </w:rPr>
        <w:t>county level, interviews conducted</w:t>
      </w:r>
      <w:r w:rsidR="0082261E" w:rsidRPr="003516DC">
        <w:rPr>
          <w:rFonts w:ascii="Arial" w:hAnsi="Arial" w:cs="Arial"/>
          <w:sz w:val="20"/>
          <w:szCs w:val="20"/>
        </w:rPr>
        <w:t xml:space="preserve"> with </w:t>
      </w:r>
      <w:r w:rsidR="00F94C73" w:rsidRPr="003516DC">
        <w:rPr>
          <w:rFonts w:ascii="Arial" w:hAnsi="Arial" w:cs="Arial"/>
          <w:sz w:val="20"/>
          <w:szCs w:val="20"/>
        </w:rPr>
        <w:t>stakeholders</w:t>
      </w:r>
      <w:r w:rsidRPr="003516DC">
        <w:rPr>
          <w:rFonts w:ascii="Arial" w:hAnsi="Arial" w:cs="Arial"/>
          <w:sz w:val="20"/>
          <w:szCs w:val="20"/>
        </w:rPr>
        <w:t xml:space="preserve"> revealed that </w:t>
      </w:r>
      <w:r w:rsidRPr="003516DC">
        <w:rPr>
          <w:rFonts w:ascii="Arial" w:hAnsi="Arial" w:cs="Arial"/>
          <w:color w:val="0F243E"/>
          <w:sz w:val="20"/>
          <w:szCs w:val="20"/>
        </w:rPr>
        <w:t>the technological and professional education curricul</w:t>
      </w:r>
      <w:r w:rsidR="0082261E" w:rsidRPr="003516DC">
        <w:rPr>
          <w:rFonts w:ascii="Arial" w:hAnsi="Arial" w:cs="Arial"/>
          <w:color w:val="0F243E"/>
          <w:sz w:val="20"/>
          <w:szCs w:val="20"/>
        </w:rPr>
        <w:t>um</w:t>
      </w:r>
      <w:r w:rsidRPr="003516DC">
        <w:rPr>
          <w:rFonts w:ascii="Arial" w:hAnsi="Arial" w:cs="Arial"/>
          <w:color w:val="0F243E"/>
          <w:sz w:val="20"/>
          <w:szCs w:val="20"/>
        </w:rPr>
        <w:t xml:space="preserve"> is </w:t>
      </w:r>
      <w:r w:rsidRPr="003516DC">
        <w:rPr>
          <w:rFonts w:ascii="Arial" w:hAnsi="Arial" w:cs="Arial"/>
          <w:sz w:val="20"/>
          <w:szCs w:val="20"/>
        </w:rPr>
        <w:t xml:space="preserve">not adapted to the dynamics of the local business environment and teachers </w:t>
      </w:r>
      <w:r w:rsidR="00495C76" w:rsidRPr="003516DC">
        <w:rPr>
          <w:rFonts w:ascii="Arial" w:hAnsi="Arial" w:cs="Arial"/>
          <w:sz w:val="20"/>
          <w:szCs w:val="20"/>
        </w:rPr>
        <w:t xml:space="preserve">do </w:t>
      </w:r>
      <w:r w:rsidRPr="003516DC">
        <w:rPr>
          <w:rFonts w:ascii="Arial" w:hAnsi="Arial" w:cs="Arial"/>
          <w:sz w:val="20"/>
          <w:szCs w:val="20"/>
        </w:rPr>
        <w:t>not</w:t>
      </w:r>
      <w:r w:rsidR="00495C76" w:rsidRPr="003516DC">
        <w:rPr>
          <w:rFonts w:ascii="Arial" w:hAnsi="Arial" w:cs="Arial"/>
          <w:sz w:val="20"/>
          <w:szCs w:val="20"/>
        </w:rPr>
        <w:t xml:space="preserve"> have sufficient</w:t>
      </w:r>
      <w:r w:rsidRPr="003516DC">
        <w:rPr>
          <w:rFonts w:ascii="Arial" w:hAnsi="Arial" w:cs="Arial"/>
          <w:sz w:val="20"/>
          <w:szCs w:val="20"/>
        </w:rPr>
        <w:t xml:space="preserve"> skill</w:t>
      </w:r>
      <w:r w:rsidR="00495C76" w:rsidRPr="003516DC">
        <w:rPr>
          <w:rFonts w:ascii="Arial" w:hAnsi="Arial" w:cs="Arial"/>
          <w:sz w:val="20"/>
          <w:szCs w:val="20"/>
        </w:rPr>
        <w:t>s</w:t>
      </w:r>
      <w:r w:rsidRPr="003516DC">
        <w:rPr>
          <w:rFonts w:ascii="Arial" w:hAnsi="Arial" w:cs="Arial"/>
          <w:sz w:val="20"/>
          <w:szCs w:val="20"/>
        </w:rPr>
        <w:t xml:space="preserve"> in IT&amp;C/digitali</w:t>
      </w:r>
      <w:r w:rsidR="00F94C73" w:rsidRPr="003516DC">
        <w:rPr>
          <w:rFonts w:ascii="Arial" w:hAnsi="Arial" w:cs="Arial"/>
          <w:sz w:val="20"/>
          <w:szCs w:val="20"/>
        </w:rPr>
        <w:t>s</w:t>
      </w:r>
      <w:r w:rsidRPr="003516DC">
        <w:rPr>
          <w:rFonts w:ascii="Arial" w:hAnsi="Arial" w:cs="Arial"/>
          <w:sz w:val="20"/>
          <w:szCs w:val="20"/>
        </w:rPr>
        <w:t>ation to be able to innovate their teaching methods. Unlike other regions affected by the transition, the higher education environment locally is adaptive and open to new educational domains and close cooperation with the local business environment, particularly for digitali</w:t>
      </w:r>
      <w:r w:rsidR="00A15100" w:rsidRPr="003516DC">
        <w:rPr>
          <w:rFonts w:ascii="Arial" w:hAnsi="Arial" w:cs="Arial"/>
          <w:sz w:val="20"/>
          <w:szCs w:val="20"/>
        </w:rPr>
        <w:t>s</w:t>
      </w:r>
      <w:r w:rsidRPr="003516DC">
        <w:rPr>
          <w:rFonts w:ascii="Arial" w:hAnsi="Arial" w:cs="Arial"/>
          <w:sz w:val="20"/>
          <w:szCs w:val="20"/>
        </w:rPr>
        <w:t>ation-related developments.</w:t>
      </w:r>
      <w:r w:rsidR="002529C0" w:rsidRPr="002529C0">
        <w:rPr>
          <w:rFonts w:ascii="Arial" w:hAnsi="Arial" w:cs="Arial"/>
          <w:sz w:val="20"/>
          <w:szCs w:val="20"/>
        </w:rPr>
        <w:t xml:space="preserve"> </w:t>
      </w:r>
    </w:p>
    <w:p w14:paraId="136F6637" w14:textId="519B4DF4" w:rsidR="00D62087" w:rsidRPr="003516DC" w:rsidRDefault="00D62087" w:rsidP="003847A7">
      <w:pPr>
        <w:spacing w:after="120"/>
        <w:jc w:val="both"/>
        <w:rPr>
          <w:rFonts w:ascii="Arial" w:hAnsi="Arial" w:cs="Arial"/>
          <w:sz w:val="20"/>
          <w:szCs w:val="20"/>
        </w:rPr>
      </w:pPr>
      <w:r w:rsidRPr="003516DC">
        <w:rPr>
          <w:rFonts w:ascii="Arial" w:hAnsi="Arial" w:cs="Arial"/>
          <w:sz w:val="20"/>
          <w:szCs w:val="20"/>
        </w:rPr>
        <w:t>The South-West Oltenia region faces major challenges in terms of demographic decline, the relevance of education and training for the labor market, the appropriate use of labor resources and labor productivity. The multidimensional analysis of education and training from the perspective of using data in making strategic decisions on infrastructure investments highlights the significant need to invest in educational infrastructure for pre-schoolers, respectively. Thus, improving the quality of education and increasing the population's access to education by developing the related infrastructure are priorities for Gorj and Dolj counties in the context of the current situation deeply affected by demographic and labor market changes.</w:t>
      </w:r>
    </w:p>
    <w:p w14:paraId="42E28912" w14:textId="43138A77" w:rsidR="0035231D" w:rsidRPr="003516DC" w:rsidRDefault="0035231D" w:rsidP="0035231D">
      <w:pPr>
        <w:spacing w:after="120"/>
        <w:jc w:val="both"/>
        <w:rPr>
          <w:rFonts w:ascii="Arial" w:hAnsi="Arial" w:cs="Arial"/>
          <w:sz w:val="20"/>
          <w:szCs w:val="20"/>
        </w:rPr>
      </w:pPr>
      <w:r w:rsidRPr="003516DC">
        <w:rPr>
          <w:rFonts w:ascii="Arial" w:hAnsi="Arial" w:cs="Arial"/>
          <w:sz w:val="20"/>
          <w:szCs w:val="20"/>
        </w:rPr>
        <w:t>While the social services infrastructure is quite diversified in Dolj, it fails to cover the increased demand throughout the county, because the acute shortage of specialized staff, as well as the chronic infrastructure problems prevent a larger number of suppliers to get the accreditation/ licence. The social service infrastructure is supported mainly by public organi</w:t>
      </w:r>
      <w:r w:rsidR="004E7B64">
        <w:rPr>
          <w:rFonts w:ascii="Arial" w:hAnsi="Arial" w:cs="Arial"/>
          <w:sz w:val="20"/>
          <w:szCs w:val="20"/>
        </w:rPr>
        <w:t>sation</w:t>
      </w:r>
      <w:r w:rsidRPr="003516DC">
        <w:rPr>
          <w:rFonts w:ascii="Arial" w:hAnsi="Arial" w:cs="Arial"/>
          <w:sz w:val="20"/>
          <w:szCs w:val="20"/>
        </w:rPr>
        <w:t>s representing 90% of the total (60 public suppliers out of 68 totally accredited) with 33% units concentrated in Craiova (23 out of 68 totally accredited).</w:t>
      </w:r>
    </w:p>
    <w:p w14:paraId="4162A3EE" w14:textId="33920BE5" w:rsidR="00D62087" w:rsidRPr="003516DC" w:rsidRDefault="0035231D" w:rsidP="003847A7">
      <w:pPr>
        <w:spacing w:after="120"/>
        <w:jc w:val="both"/>
        <w:rPr>
          <w:rFonts w:ascii="Arial" w:hAnsi="Arial" w:cs="Arial"/>
          <w:sz w:val="20"/>
          <w:szCs w:val="20"/>
        </w:rPr>
      </w:pPr>
      <w:r>
        <w:rPr>
          <w:rFonts w:ascii="Arial" w:hAnsi="Arial" w:cs="Arial"/>
          <w:sz w:val="20"/>
          <w:szCs w:val="20"/>
        </w:rPr>
        <w:t xml:space="preserve">According to the </w:t>
      </w:r>
      <w:r w:rsidRPr="00E273BF">
        <w:rPr>
          <w:rFonts w:ascii="Arial" w:hAnsi="Arial" w:cs="Arial"/>
          <w:sz w:val="20"/>
          <w:szCs w:val="20"/>
        </w:rPr>
        <w:t>Integrated Information System for Education in Romania</w:t>
      </w:r>
      <w:r>
        <w:rPr>
          <w:rFonts w:ascii="Arial" w:hAnsi="Arial" w:cs="Arial"/>
          <w:sz w:val="20"/>
          <w:szCs w:val="20"/>
        </w:rPr>
        <w:t xml:space="preserve"> (SIIIR)</w:t>
      </w:r>
      <w:r>
        <w:rPr>
          <w:rStyle w:val="FootnoteReference"/>
          <w:rFonts w:ascii="Arial" w:hAnsi="Arial" w:cs="Arial"/>
          <w:sz w:val="20"/>
          <w:szCs w:val="20"/>
        </w:rPr>
        <w:footnoteReference w:id="77"/>
      </w:r>
      <w:r>
        <w:rPr>
          <w:rFonts w:ascii="Arial" w:hAnsi="Arial" w:cs="Arial"/>
          <w:sz w:val="20"/>
          <w:szCs w:val="20"/>
        </w:rPr>
        <w:t>, i</w:t>
      </w:r>
      <w:r w:rsidRPr="003516DC">
        <w:rPr>
          <w:rFonts w:ascii="Arial" w:hAnsi="Arial" w:cs="Arial"/>
          <w:sz w:val="20"/>
          <w:szCs w:val="20"/>
        </w:rPr>
        <w:t>n</w:t>
      </w:r>
      <w:r>
        <w:rPr>
          <w:rFonts w:ascii="Arial" w:hAnsi="Arial" w:cs="Arial"/>
          <w:sz w:val="20"/>
          <w:szCs w:val="20"/>
        </w:rPr>
        <w:t xml:space="preserve"> 2020</w:t>
      </w:r>
      <w:r w:rsidR="00D62087" w:rsidRPr="003516DC">
        <w:rPr>
          <w:rFonts w:ascii="Arial" w:hAnsi="Arial" w:cs="Arial"/>
          <w:sz w:val="20"/>
          <w:szCs w:val="20"/>
        </w:rPr>
        <w:t xml:space="preserve"> there </w:t>
      </w:r>
      <w:r>
        <w:rPr>
          <w:rFonts w:ascii="Arial" w:hAnsi="Arial" w:cs="Arial"/>
          <w:sz w:val="20"/>
          <w:szCs w:val="20"/>
        </w:rPr>
        <w:t>were</w:t>
      </w:r>
      <w:r w:rsidR="00D62087" w:rsidRPr="003516DC">
        <w:rPr>
          <w:rFonts w:ascii="Arial" w:hAnsi="Arial" w:cs="Arial"/>
          <w:sz w:val="20"/>
          <w:szCs w:val="20"/>
        </w:rPr>
        <w:t xml:space="preserve"> 227 kindergartens with normal p</w:t>
      </w:r>
      <w:r w:rsidR="00D206E5">
        <w:rPr>
          <w:rFonts w:ascii="Arial" w:hAnsi="Arial" w:cs="Arial"/>
          <w:sz w:val="20"/>
          <w:szCs w:val="20"/>
        </w:rPr>
        <w:t xml:space="preserve">rogramme </w:t>
      </w:r>
      <w:r w:rsidR="00D62087" w:rsidRPr="003516DC">
        <w:rPr>
          <w:rFonts w:ascii="Arial" w:hAnsi="Arial" w:cs="Arial"/>
          <w:sz w:val="20"/>
          <w:szCs w:val="20"/>
        </w:rPr>
        <w:t>and 41 kindergartens with extended program. Technological vocational education includes: 19 technological high schools and 3 vocational schools. There are no data on social infrastructure for the care of the elderly.</w:t>
      </w:r>
    </w:p>
    <w:p w14:paraId="07F9734B" w14:textId="58170233" w:rsidR="002529C0" w:rsidRPr="003516DC" w:rsidRDefault="002529C0" w:rsidP="003847A7">
      <w:pPr>
        <w:spacing w:after="120"/>
        <w:jc w:val="both"/>
        <w:rPr>
          <w:rFonts w:ascii="Arial" w:hAnsi="Arial" w:cs="Arial"/>
          <w:sz w:val="20"/>
          <w:szCs w:val="20"/>
        </w:rPr>
      </w:pPr>
      <w:r w:rsidRPr="003516DC">
        <w:rPr>
          <w:rFonts w:ascii="Arial" w:hAnsi="Arial" w:cs="Arial"/>
          <w:sz w:val="20"/>
          <w:szCs w:val="20"/>
        </w:rPr>
        <w:t>There are 13 accredited senior care houses (of which 10 located in Craiova) holding a total capacity of 1,069 seniors. This represents 37% from the total accommodation capacity in South-West Oltenia region and ranks Dolj on the first position in the region. The social canteens are completely missing in the county, there is no such functional service at present, while at the Oltenia region level there are 9 canteens with a capacity of over 1,100 places</w:t>
      </w:r>
      <w:r w:rsidRPr="003516DC">
        <w:rPr>
          <w:rStyle w:val="FootnoteReference"/>
          <w:rFonts w:ascii="Arial" w:hAnsi="Arial" w:cs="Arial"/>
          <w:sz w:val="20"/>
          <w:szCs w:val="20"/>
        </w:rPr>
        <w:footnoteReference w:id="78"/>
      </w:r>
      <w:r w:rsidRPr="003516DC">
        <w:rPr>
          <w:rFonts w:ascii="Arial" w:hAnsi="Arial" w:cs="Arial"/>
          <w:sz w:val="20"/>
          <w:szCs w:val="20"/>
        </w:rPr>
        <w:t>.</w:t>
      </w:r>
    </w:p>
    <w:p w14:paraId="13301461" w14:textId="43F80149" w:rsidR="002529C0" w:rsidRDefault="002529C0" w:rsidP="003847A7">
      <w:pPr>
        <w:spacing w:after="120"/>
        <w:jc w:val="both"/>
        <w:rPr>
          <w:rFonts w:ascii="Arial" w:hAnsi="Arial" w:cs="Arial"/>
          <w:sz w:val="20"/>
          <w:szCs w:val="20"/>
        </w:rPr>
      </w:pPr>
      <w:r w:rsidRPr="003516DC">
        <w:rPr>
          <w:rFonts w:ascii="Arial" w:hAnsi="Arial" w:cs="Arial"/>
          <w:sz w:val="20"/>
          <w:szCs w:val="20"/>
        </w:rPr>
        <w:t>There are only 9 nurseries operating in the county, all of them registered in Craiova, which is a disproportionately small number compared to the population number and its growing needs</w:t>
      </w:r>
      <w:r w:rsidR="0035231D">
        <w:rPr>
          <w:rFonts w:ascii="Arial" w:hAnsi="Arial" w:cs="Arial"/>
          <w:sz w:val="20"/>
          <w:szCs w:val="20"/>
        </w:rPr>
        <w:t xml:space="preserve">, and </w:t>
      </w:r>
      <w:r w:rsidR="0035231D" w:rsidRPr="003516DC">
        <w:rPr>
          <w:rFonts w:ascii="Arial" w:hAnsi="Arial" w:cs="Arial"/>
          <w:sz w:val="20"/>
          <w:szCs w:val="20"/>
        </w:rPr>
        <w:t>which significantly affects the possibility of integration into the labor market of the active female population</w:t>
      </w:r>
      <w:r w:rsidRPr="003516DC">
        <w:rPr>
          <w:rFonts w:ascii="Arial" w:hAnsi="Arial" w:cs="Arial"/>
          <w:sz w:val="20"/>
          <w:szCs w:val="20"/>
        </w:rPr>
        <w:t>. In 2018 in Dolj County there were 1,251 children that used the social protection system, which is the largest in the region, followed by Valcea 1,125 and Mehedinti 672</w:t>
      </w:r>
      <w:r w:rsidRPr="003516DC">
        <w:rPr>
          <w:rStyle w:val="FootnoteReference"/>
          <w:rFonts w:ascii="Arial" w:hAnsi="Arial" w:cs="Arial"/>
          <w:sz w:val="20"/>
          <w:szCs w:val="20"/>
        </w:rPr>
        <w:footnoteReference w:id="79"/>
      </w:r>
      <w:r w:rsidRPr="003516DC">
        <w:rPr>
          <w:rFonts w:ascii="Arial" w:hAnsi="Arial" w:cs="Arial"/>
          <w:sz w:val="20"/>
          <w:szCs w:val="20"/>
        </w:rPr>
        <w:t>.</w:t>
      </w:r>
    </w:p>
    <w:p w14:paraId="4CAB315C" w14:textId="2CAD6608" w:rsidR="002529C0" w:rsidRPr="00E54A76" w:rsidRDefault="002529C0" w:rsidP="00A03682">
      <w:pPr>
        <w:jc w:val="both"/>
        <w:rPr>
          <w:rFonts w:ascii="Arial" w:hAnsi="Arial" w:cs="Arial"/>
          <w:sz w:val="20"/>
          <w:szCs w:val="20"/>
        </w:rPr>
      </w:pPr>
      <w:r w:rsidRPr="00E54A76">
        <w:rPr>
          <w:rFonts w:ascii="Arial" w:hAnsi="Arial" w:cs="Arial"/>
          <w:sz w:val="20"/>
          <w:szCs w:val="20"/>
        </w:rPr>
        <w:t>The graph below shows that Dolj county has an age pyramid with few young people, with all subsegments of the age segment 0 – 19 being below the national average. At the same time, the over 60 population is above the national average.</w:t>
      </w:r>
    </w:p>
    <w:p w14:paraId="5E916372" w14:textId="264558FE" w:rsidR="002529C0" w:rsidRPr="003516DC" w:rsidRDefault="002529C0" w:rsidP="00597139">
      <w:pPr>
        <w:pStyle w:val="Caption"/>
        <w:jc w:val="both"/>
      </w:pPr>
      <w:bookmarkStart w:id="161" w:name="_Toc90727363"/>
      <w:r w:rsidRPr="003516DC">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4E2DCB">
        <w:rPr>
          <w:noProof/>
        </w:rPr>
        <w:t>27</w:t>
      </w:r>
      <w:r w:rsidR="000B273D">
        <w:rPr>
          <w:noProof/>
        </w:rPr>
        <w:fldChar w:fldCharType="end"/>
      </w:r>
      <w:r w:rsidRPr="003516DC">
        <w:t>: Representativeness of the target age groups of the social, health and education infrastructure (young and old) in Dolj county as compared to national level, 2020</w:t>
      </w:r>
      <w:bookmarkEnd w:id="161"/>
    </w:p>
    <w:p w14:paraId="01318E1E" w14:textId="1AB3A4F6" w:rsidR="00302A01" w:rsidRPr="0035231D" w:rsidRDefault="002529C0" w:rsidP="0035231D">
      <w:pPr>
        <w:spacing w:after="120"/>
        <w:jc w:val="both"/>
        <w:rPr>
          <w:rFonts w:ascii="Arial" w:hAnsi="Arial" w:cs="Arial"/>
          <w:lang w:eastAsia="en-US"/>
        </w:rPr>
      </w:pPr>
      <w:r w:rsidRPr="00E54A76">
        <w:rPr>
          <w:rFonts w:ascii="Arial" w:hAnsi="Arial" w:cs="Arial"/>
          <w:noProof/>
          <w:lang w:val="en-US" w:eastAsia="en-US"/>
        </w:rPr>
        <w:drawing>
          <wp:inline distT="0" distB="0" distL="0" distR="0" wp14:anchorId="45F8323C" wp14:editId="5DAC0E4C">
            <wp:extent cx="5676265" cy="1755775"/>
            <wp:effectExtent l="0" t="0" r="635" b="0"/>
            <wp:docPr id="2087055607" name="Picture 208705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76265" cy="1755775"/>
                    </a:xfrm>
                    <a:prstGeom prst="rect">
                      <a:avLst/>
                    </a:prstGeom>
                  </pic:spPr>
                </pic:pic>
              </a:graphicData>
            </a:graphic>
          </wp:inline>
        </w:drawing>
      </w:r>
    </w:p>
    <w:p w14:paraId="7CE68F6D" w14:textId="31B74A42" w:rsidR="0035231D" w:rsidRPr="0035231D" w:rsidRDefault="0035231D" w:rsidP="00E42342">
      <w:pPr>
        <w:pStyle w:val="Heading4"/>
        <w:numPr>
          <w:ilvl w:val="0"/>
          <w:numId w:val="269"/>
        </w:numPr>
        <w:spacing w:before="0" w:after="120"/>
        <w:jc w:val="both"/>
        <w:rPr>
          <w:sz w:val="20"/>
          <w:szCs w:val="20"/>
        </w:rPr>
      </w:pPr>
      <w:r w:rsidRPr="0035231D">
        <w:rPr>
          <w:sz w:val="20"/>
          <w:szCs w:val="20"/>
        </w:rPr>
        <w:t>Environment</w:t>
      </w:r>
    </w:p>
    <w:p w14:paraId="56AE5B30" w14:textId="0AFBE756" w:rsidR="00302A01" w:rsidRPr="003516DC" w:rsidRDefault="00302A01" w:rsidP="0035231D">
      <w:pPr>
        <w:spacing w:after="120"/>
        <w:jc w:val="both"/>
        <w:rPr>
          <w:rFonts w:ascii="Arial" w:hAnsi="Arial" w:cs="Arial"/>
          <w:sz w:val="20"/>
          <w:szCs w:val="20"/>
        </w:rPr>
      </w:pPr>
      <w:r w:rsidRPr="003516DC">
        <w:rPr>
          <w:rFonts w:ascii="Arial" w:hAnsi="Arial" w:cs="Arial"/>
          <w:sz w:val="20"/>
          <w:szCs w:val="20"/>
        </w:rPr>
        <w:t xml:space="preserve">In terms of </w:t>
      </w:r>
      <w:r w:rsidRPr="003516DC">
        <w:rPr>
          <w:rFonts w:ascii="Arial" w:hAnsi="Arial" w:cs="Arial"/>
          <w:b/>
          <w:sz w:val="20"/>
          <w:szCs w:val="20"/>
        </w:rPr>
        <w:t>environmental degradation</w:t>
      </w:r>
      <w:r w:rsidRPr="003516DC">
        <w:rPr>
          <w:rFonts w:ascii="Arial" w:hAnsi="Arial" w:cs="Arial"/>
          <w:sz w:val="20"/>
          <w:szCs w:val="20"/>
        </w:rPr>
        <w:t xml:space="preserve"> and </w:t>
      </w:r>
      <w:r w:rsidRPr="003516DC">
        <w:rPr>
          <w:rFonts w:ascii="Arial" w:hAnsi="Arial" w:cs="Arial"/>
          <w:b/>
          <w:sz w:val="20"/>
          <w:szCs w:val="20"/>
        </w:rPr>
        <w:t>air pollution</w:t>
      </w:r>
      <w:r w:rsidRPr="003516DC">
        <w:rPr>
          <w:rFonts w:ascii="Arial" w:hAnsi="Arial" w:cs="Arial"/>
          <w:sz w:val="20"/>
          <w:szCs w:val="20"/>
        </w:rPr>
        <w:t xml:space="preserve">, the county is in </w:t>
      </w:r>
      <w:r w:rsidR="002B60B5" w:rsidRPr="003516DC">
        <w:rPr>
          <w:rFonts w:ascii="Arial" w:hAnsi="Arial" w:cs="Arial"/>
          <w:sz w:val="20"/>
          <w:szCs w:val="20"/>
        </w:rPr>
        <w:t xml:space="preserve">violation </w:t>
      </w:r>
      <w:r w:rsidRPr="003516DC">
        <w:rPr>
          <w:rFonts w:ascii="Arial" w:hAnsi="Arial" w:cs="Arial"/>
          <w:sz w:val="20"/>
          <w:szCs w:val="20"/>
        </w:rPr>
        <w:t xml:space="preserve">of standards for sulphur dioxide, particle pollution, nitrogen dioxide and others, which led to the preparation and implementation of a five-year plan at </w:t>
      </w:r>
      <w:r w:rsidR="00735AB3" w:rsidRPr="003516DC">
        <w:rPr>
          <w:rFonts w:ascii="Arial" w:hAnsi="Arial" w:cs="Arial"/>
          <w:sz w:val="20"/>
          <w:szCs w:val="20"/>
        </w:rPr>
        <w:t xml:space="preserve">the </w:t>
      </w:r>
      <w:r w:rsidRPr="003516DC">
        <w:rPr>
          <w:rFonts w:ascii="Arial" w:hAnsi="Arial" w:cs="Arial"/>
          <w:sz w:val="20"/>
          <w:szCs w:val="20"/>
        </w:rPr>
        <w:t xml:space="preserve">county-level </w:t>
      </w:r>
      <w:r w:rsidR="00735AB3" w:rsidRPr="003516DC">
        <w:rPr>
          <w:rFonts w:ascii="Arial" w:hAnsi="Arial" w:cs="Arial"/>
          <w:sz w:val="20"/>
          <w:szCs w:val="20"/>
        </w:rPr>
        <w:t xml:space="preserve">to improve </w:t>
      </w:r>
      <w:r w:rsidRPr="003516DC">
        <w:rPr>
          <w:rFonts w:ascii="Arial" w:hAnsi="Arial" w:cs="Arial"/>
          <w:sz w:val="20"/>
          <w:szCs w:val="20"/>
        </w:rPr>
        <w:t>air quality. While in Craiova Municipality</w:t>
      </w:r>
      <w:r w:rsidR="005F3D56" w:rsidRPr="003516DC">
        <w:rPr>
          <w:rFonts w:ascii="Arial" w:hAnsi="Arial" w:cs="Arial"/>
          <w:sz w:val="20"/>
          <w:szCs w:val="20"/>
        </w:rPr>
        <w:t>,</w:t>
      </w:r>
      <w:r w:rsidRPr="003516DC">
        <w:rPr>
          <w:rFonts w:ascii="Arial" w:hAnsi="Arial" w:cs="Arial"/>
          <w:sz w:val="20"/>
          <w:szCs w:val="20"/>
        </w:rPr>
        <w:t xml:space="preserve"> the main air quality issue is PM10 (suspended dust pollution produced primarily by the road traffic, construction activity, centralized and individual heating system, etc.), 98% of the NOx and PM10 emissions come from the Craiova II Power Plant.</w:t>
      </w:r>
      <w:r w:rsidRPr="003516DC">
        <w:rPr>
          <w:rFonts w:ascii="Arial" w:hAnsi="Arial" w:cs="Arial"/>
          <w:b/>
          <w:sz w:val="20"/>
          <w:szCs w:val="20"/>
        </w:rPr>
        <w:t xml:space="preserve"> </w:t>
      </w:r>
      <w:r w:rsidRPr="003516DC">
        <w:rPr>
          <w:rFonts w:ascii="Arial" w:hAnsi="Arial" w:cs="Arial"/>
          <w:sz w:val="20"/>
          <w:szCs w:val="20"/>
        </w:rPr>
        <w:t xml:space="preserve">The country is rich in </w:t>
      </w:r>
      <w:r w:rsidRPr="003516DC">
        <w:rPr>
          <w:rFonts w:ascii="Arial" w:hAnsi="Arial" w:cs="Arial"/>
          <w:b/>
          <w:sz w:val="20"/>
          <w:szCs w:val="20"/>
        </w:rPr>
        <w:t>biodiversity</w:t>
      </w:r>
      <w:r w:rsidRPr="003516DC">
        <w:rPr>
          <w:rFonts w:ascii="Arial" w:hAnsi="Arial" w:cs="Arial"/>
          <w:sz w:val="20"/>
          <w:szCs w:val="20"/>
        </w:rPr>
        <w:t xml:space="preserve">, housing important protected areas, including wetlands. </w:t>
      </w:r>
    </w:p>
    <w:p w14:paraId="4DB12047" w14:textId="2778AB2F" w:rsidR="00302A01" w:rsidRPr="003516DC" w:rsidRDefault="00302A01" w:rsidP="0035231D">
      <w:pPr>
        <w:spacing w:after="120"/>
        <w:jc w:val="both"/>
        <w:rPr>
          <w:rFonts w:ascii="Arial" w:hAnsi="Arial" w:cs="Arial"/>
          <w:sz w:val="20"/>
          <w:szCs w:val="20"/>
        </w:rPr>
      </w:pPr>
      <w:r w:rsidRPr="003516DC">
        <w:rPr>
          <w:rFonts w:ascii="Arial" w:hAnsi="Arial" w:cs="Arial"/>
          <w:sz w:val="20"/>
          <w:szCs w:val="20"/>
        </w:rPr>
        <w:t xml:space="preserve">A study commissioned by University of Craiova on </w:t>
      </w:r>
      <w:r w:rsidRPr="003516DC">
        <w:rPr>
          <w:rFonts w:ascii="Arial" w:hAnsi="Arial" w:cs="Arial"/>
          <w:b/>
          <w:sz w:val="20"/>
          <w:szCs w:val="20"/>
        </w:rPr>
        <w:t>GHG emissions</w:t>
      </w:r>
      <w:r w:rsidRPr="003516DC">
        <w:rPr>
          <w:rFonts w:ascii="Arial" w:hAnsi="Arial" w:cs="Arial"/>
          <w:sz w:val="20"/>
          <w:szCs w:val="20"/>
        </w:rPr>
        <w:t xml:space="preserve"> </w:t>
      </w:r>
      <w:r w:rsidR="00184759" w:rsidRPr="003516DC">
        <w:rPr>
          <w:rFonts w:ascii="Arial" w:hAnsi="Arial" w:cs="Arial"/>
          <w:sz w:val="20"/>
          <w:szCs w:val="20"/>
        </w:rPr>
        <w:t xml:space="preserve">for </w:t>
      </w:r>
      <w:r w:rsidRPr="003516DC">
        <w:rPr>
          <w:rFonts w:ascii="Arial" w:hAnsi="Arial" w:cs="Arial"/>
          <w:sz w:val="20"/>
          <w:szCs w:val="20"/>
        </w:rPr>
        <w:t xml:space="preserve">Dolj </w:t>
      </w:r>
      <w:r w:rsidR="00350AA9" w:rsidRPr="003516DC">
        <w:rPr>
          <w:rFonts w:ascii="Arial" w:hAnsi="Arial" w:cs="Arial"/>
          <w:sz w:val="20"/>
          <w:szCs w:val="20"/>
        </w:rPr>
        <w:t>c</w:t>
      </w:r>
      <w:r w:rsidR="00184759" w:rsidRPr="003516DC">
        <w:rPr>
          <w:rFonts w:ascii="Arial" w:hAnsi="Arial" w:cs="Arial"/>
          <w:sz w:val="20"/>
          <w:szCs w:val="20"/>
        </w:rPr>
        <w:t xml:space="preserve">ounty </w:t>
      </w:r>
      <w:r w:rsidRPr="003516DC">
        <w:rPr>
          <w:rFonts w:ascii="Arial" w:hAnsi="Arial" w:cs="Arial"/>
          <w:sz w:val="20"/>
          <w:szCs w:val="20"/>
        </w:rPr>
        <w:t xml:space="preserve">was presented to us during the stakeholder interviews. </w:t>
      </w:r>
      <w:r w:rsidR="00A76481" w:rsidRPr="003516DC">
        <w:rPr>
          <w:rFonts w:ascii="Arial" w:hAnsi="Arial" w:cs="Arial"/>
          <w:sz w:val="20"/>
          <w:szCs w:val="20"/>
        </w:rPr>
        <w:t>E</w:t>
      </w:r>
      <w:r w:rsidRPr="003516DC">
        <w:rPr>
          <w:rFonts w:ascii="Arial" w:hAnsi="Arial" w:cs="Arial"/>
          <w:sz w:val="20"/>
          <w:szCs w:val="20"/>
        </w:rPr>
        <w:t>missions from agriculture have rise</w:t>
      </w:r>
      <w:r w:rsidR="00A76481" w:rsidRPr="003516DC">
        <w:rPr>
          <w:rFonts w:ascii="Arial" w:hAnsi="Arial" w:cs="Arial"/>
          <w:sz w:val="20"/>
          <w:szCs w:val="20"/>
        </w:rPr>
        <w:t>n</w:t>
      </w:r>
      <w:r w:rsidRPr="003516DC">
        <w:rPr>
          <w:rFonts w:ascii="Arial" w:hAnsi="Arial" w:cs="Arial"/>
          <w:sz w:val="20"/>
          <w:szCs w:val="20"/>
        </w:rPr>
        <w:t xml:space="preserve"> between 2013 and 2018, with CO</w:t>
      </w:r>
      <w:r w:rsidRPr="00782BFD">
        <w:rPr>
          <w:rFonts w:ascii="Arial" w:hAnsi="Arial" w:cs="Arial"/>
          <w:sz w:val="20"/>
          <w:szCs w:val="20"/>
          <w:vertAlign w:val="subscript"/>
        </w:rPr>
        <w:t>2</w:t>
      </w:r>
      <w:r w:rsidRPr="003516DC">
        <w:rPr>
          <w:rFonts w:ascii="Arial" w:hAnsi="Arial" w:cs="Arial"/>
          <w:sz w:val="20"/>
          <w:szCs w:val="20"/>
        </w:rPr>
        <w:t xml:space="preserve"> from agriculture increasing by 40% and reaching 1,700 Gt. </w:t>
      </w:r>
      <w:r w:rsidR="00727633" w:rsidRPr="003516DC">
        <w:rPr>
          <w:rFonts w:ascii="Arial" w:hAnsi="Arial" w:cs="Arial"/>
          <w:sz w:val="20"/>
          <w:szCs w:val="20"/>
        </w:rPr>
        <w:t>By contrast</w:t>
      </w:r>
      <w:r w:rsidRPr="003516DC">
        <w:rPr>
          <w:rFonts w:ascii="Arial" w:hAnsi="Arial" w:cs="Arial"/>
          <w:sz w:val="20"/>
          <w:szCs w:val="20"/>
        </w:rPr>
        <w:t xml:space="preserve">, GHG emissions from the industrial sector </w:t>
      </w:r>
      <w:r w:rsidR="00727633" w:rsidRPr="003516DC">
        <w:rPr>
          <w:rFonts w:ascii="Arial" w:hAnsi="Arial" w:cs="Arial"/>
          <w:sz w:val="20"/>
          <w:szCs w:val="20"/>
        </w:rPr>
        <w:t>have been</w:t>
      </w:r>
      <w:r w:rsidRPr="003516DC">
        <w:rPr>
          <w:rFonts w:ascii="Arial" w:hAnsi="Arial" w:cs="Arial"/>
          <w:sz w:val="20"/>
          <w:szCs w:val="20"/>
        </w:rPr>
        <w:t xml:space="preserve"> decreasing </w:t>
      </w:r>
      <w:r w:rsidR="00727633" w:rsidRPr="003516DC">
        <w:rPr>
          <w:rFonts w:ascii="Arial" w:hAnsi="Arial" w:cs="Arial"/>
          <w:sz w:val="20"/>
          <w:szCs w:val="20"/>
        </w:rPr>
        <w:t xml:space="preserve">over </w:t>
      </w:r>
      <w:r w:rsidRPr="003516DC">
        <w:rPr>
          <w:rFonts w:ascii="Arial" w:hAnsi="Arial" w:cs="Arial"/>
          <w:sz w:val="20"/>
          <w:szCs w:val="20"/>
        </w:rPr>
        <w:t>the same period</w:t>
      </w:r>
      <w:r w:rsidR="00B35AB0" w:rsidRPr="003516DC">
        <w:rPr>
          <w:rFonts w:ascii="Arial" w:hAnsi="Arial" w:cs="Arial"/>
          <w:sz w:val="20"/>
          <w:szCs w:val="20"/>
        </w:rPr>
        <w:t>. However,</w:t>
      </w:r>
      <w:r w:rsidRPr="003516DC">
        <w:rPr>
          <w:rFonts w:ascii="Arial" w:hAnsi="Arial" w:cs="Arial"/>
          <w:sz w:val="20"/>
          <w:szCs w:val="20"/>
        </w:rPr>
        <w:t xml:space="preserve"> energy sector emissions </w:t>
      </w:r>
      <w:r w:rsidR="00B35AB0" w:rsidRPr="003516DC">
        <w:rPr>
          <w:rFonts w:ascii="Arial" w:hAnsi="Arial" w:cs="Arial"/>
          <w:sz w:val="20"/>
          <w:szCs w:val="20"/>
        </w:rPr>
        <w:t xml:space="preserve">still </w:t>
      </w:r>
      <w:r w:rsidRPr="003516DC">
        <w:rPr>
          <w:rFonts w:ascii="Arial" w:hAnsi="Arial" w:cs="Arial"/>
          <w:sz w:val="20"/>
          <w:szCs w:val="20"/>
        </w:rPr>
        <w:t xml:space="preserve">dwarf all others at </w:t>
      </w:r>
      <w:r w:rsidR="00B35AB0" w:rsidRPr="003516DC">
        <w:rPr>
          <w:rFonts w:ascii="Arial" w:hAnsi="Arial" w:cs="Arial"/>
          <w:sz w:val="20"/>
          <w:szCs w:val="20"/>
        </w:rPr>
        <w:t xml:space="preserve">the </w:t>
      </w:r>
      <w:r w:rsidRPr="003516DC">
        <w:rPr>
          <w:rFonts w:ascii="Arial" w:hAnsi="Arial" w:cs="Arial"/>
          <w:sz w:val="20"/>
          <w:szCs w:val="20"/>
        </w:rPr>
        <w:t xml:space="preserve">county level (22,800 </w:t>
      </w:r>
      <w:r w:rsidR="005F14EF" w:rsidRPr="003516DC">
        <w:rPr>
          <w:rFonts w:ascii="Arial" w:hAnsi="Arial" w:cs="Arial"/>
          <w:sz w:val="20"/>
          <w:szCs w:val="20"/>
        </w:rPr>
        <w:t>CO</w:t>
      </w:r>
      <w:r w:rsidR="005F14EF" w:rsidRPr="001C148D">
        <w:rPr>
          <w:rFonts w:ascii="Arial" w:hAnsi="Arial" w:cs="Arial"/>
          <w:sz w:val="20"/>
          <w:szCs w:val="20"/>
          <w:vertAlign w:val="subscript"/>
        </w:rPr>
        <w:t>2</w:t>
      </w:r>
      <w:r w:rsidR="005F14EF" w:rsidRPr="003516DC">
        <w:rPr>
          <w:rFonts w:ascii="Arial" w:hAnsi="Arial" w:cs="Arial"/>
          <w:sz w:val="20"/>
          <w:szCs w:val="20"/>
        </w:rPr>
        <w:t xml:space="preserve"> </w:t>
      </w:r>
      <w:r w:rsidRPr="003516DC">
        <w:rPr>
          <w:rFonts w:ascii="Arial" w:hAnsi="Arial" w:cs="Arial"/>
          <w:sz w:val="20"/>
          <w:szCs w:val="20"/>
        </w:rPr>
        <w:t>Gt in 2018</w:t>
      </w:r>
      <w:r w:rsidR="00B35AB0" w:rsidRPr="003516DC">
        <w:rPr>
          <w:rFonts w:ascii="Arial" w:hAnsi="Arial" w:cs="Arial"/>
          <w:sz w:val="20"/>
          <w:szCs w:val="20"/>
        </w:rPr>
        <w:t>),</w:t>
      </w:r>
      <w:r w:rsidRPr="003516DC">
        <w:rPr>
          <w:rFonts w:ascii="Arial" w:hAnsi="Arial" w:cs="Arial"/>
          <w:sz w:val="20"/>
          <w:szCs w:val="20"/>
        </w:rPr>
        <w:t xml:space="preserve"> </w:t>
      </w:r>
      <w:r w:rsidR="00B35AB0" w:rsidRPr="003516DC">
        <w:rPr>
          <w:rFonts w:ascii="Arial" w:hAnsi="Arial" w:cs="Arial"/>
          <w:sz w:val="20"/>
          <w:szCs w:val="20"/>
        </w:rPr>
        <w:t>which</w:t>
      </w:r>
      <w:r w:rsidRPr="003516DC">
        <w:rPr>
          <w:rFonts w:ascii="Arial" w:hAnsi="Arial" w:cs="Arial"/>
          <w:sz w:val="20"/>
          <w:szCs w:val="20"/>
        </w:rPr>
        <w:t xml:space="preserve"> represents about 50% of the industrial </w:t>
      </w:r>
      <w:r w:rsidR="005F14EF" w:rsidRPr="003516DC">
        <w:rPr>
          <w:rFonts w:ascii="Arial" w:hAnsi="Arial" w:cs="Arial"/>
          <w:sz w:val="20"/>
          <w:szCs w:val="20"/>
        </w:rPr>
        <w:t>CO</w:t>
      </w:r>
      <w:r w:rsidR="005F14EF" w:rsidRPr="001C148D">
        <w:rPr>
          <w:rFonts w:ascii="Arial" w:hAnsi="Arial" w:cs="Arial"/>
          <w:sz w:val="20"/>
          <w:szCs w:val="20"/>
          <w:vertAlign w:val="subscript"/>
        </w:rPr>
        <w:t>2</w:t>
      </w:r>
      <w:r w:rsidR="005F14EF" w:rsidRPr="003516DC">
        <w:rPr>
          <w:rFonts w:ascii="Arial" w:hAnsi="Arial" w:cs="Arial"/>
          <w:sz w:val="20"/>
          <w:szCs w:val="20"/>
        </w:rPr>
        <w:t xml:space="preserve"> </w:t>
      </w:r>
      <w:r w:rsidRPr="003516DC">
        <w:rPr>
          <w:rFonts w:ascii="Arial" w:hAnsi="Arial" w:cs="Arial"/>
          <w:sz w:val="20"/>
          <w:szCs w:val="20"/>
        </w:rPr>
        <w:t xml:space="preserve">emissions </w:t>
      </w:r>
      <w:r w:rsidR="00807FB1" w:rsidRPr="003516DC">
        <w:rPr>
          <w:rFonts w:ascii="Arial" w:hAnsi="Arial" w:cs="Arial"/>
          <w:sz w:val="20"/>
          <w:szCs w:val="20"/>
        </w:rPr>
        <w:t xml:space="preserve">in </w:t>
      </w:r>
      <w:r w:rsidRPr="003516DC">
        <w:rPr>
          <w:rFonts w:ascii="Arial" w:hAnsi="Arial" w:cs="Arial"/>
          <w:sz w:val="20"/>
          <w:szCs w:val="20"/>
        </w:rPr>
        <w:t xml:space="preserve">Dolj </w:t>
      </w:r>
      <w:r w:rsidR="00350AA9" w:rsidRPr="003516DC">
        <w:rPr>
          <w:rFonts w:ascii="Arial" w:hAnsi="Arial" w:cs="Arial"/>
          <w:sz w:val="20"/>
          <w:szCs w:val="20"/>
        </w:rPr>
        <w:t>c</w:t>
      </w:r>
      <w:r w:rsidRPr="003516DC">
        <w:rPr>
          <w:rFonts w:ascii="Arial" w:hAnsi="Arial" w:cs="Arial"/>
          <w:sz w:val="20"/>
          <w:szCs w:val="20"/>
        </w:rPr>
        <w:t xml:space="preserve">ounty. </w:t>
      </w:r>
      <w:r w:rsidR="00E13F11" w:rsidRPr="003516DC">
        <w:rPr>
          <w:rFonts w:ascii="Arial" w:hAnsi="Arial" w:cs="Arial"/>
          <w:sz w:val="20"/>
          <w:szCs w:val="20"/>
        </w:rPr>
        <w:t>O</w:t>
      </w:r>
      <w:r w:rsidRPr="003516DC">
        <w:rPr>
          <w:rFonts w:ascii="Arial" w:hAnsi="Arial" w:cs="Arial"/>
          <w:sz w:val="20"/>
          <w:szCs w:val="20"/>
        </w:rPr>
        <w:t>f the</w:t>
      </w:r>
      <w:r w:rsidR="00E13F11" w:rsidRPr="003516DC">
        <w:rPr>
          <w:rFonts w:ascii="Arial" w:hAnsi="Arial" w:cs="Arial"/>
          <w:sz w:val="20"/>
          <w:szCs w:val="20"/>
        </w:rPr>
        <w:t xml:space="preserve"> roughly 72,000</w:t>
      </w:r>
      <w:r w:rsidRPr="003516DC">
        <w:rPr>
          <w:rFonts w:ascii="Arial" w:hAnsi="Arial" w:cs="Arial"/>
          <w:sz w:val="20"/>
          <w:szCs w:val="20"/>
        </w:rPr>
        <w:t xml:space="preserve"> employees </w:t>
      </w:r>
      <w:r w:rsidR="00E13F11" w:rsidRPr="003516DC">
        <w:rPr>
          <w:rFonts w:ascii="Arial" w:hAnsi="Arial" w:cs="Arial"/>
          <w:sz w:val="20"/>
          <w:szCs w:val="20"/>
        </w:rPr>
        <w:t xml:space="preserve">in Dolj </w:t>
      </w:r>
      <w:r w:rsidR="00350AA9" w:rsidRPr="003516DC">
        <w:rPr>
          <w:rFonts w:ascii="Arial" w:hAnsi="Arial" w:cs="Arial"/>
          <w:sz w:val="20"/>
          <w:szCs w:val="20"/>
        </w:rPr>
        <w:t>c</w:t>
      </w:r>
      <w:r w:rsidR="00E13F11" w:rsidRPr="003516DC">
        <w:rPr>
          <w:rFonts w:ascii="Arial" w:hAnsi="Arial" w:cs="Arial"/>
          <w:sz w:val="20"/>
          <w:szCs w:val="20"/>
        </w:rPr>
        <w:t>ounty</w:t>
      </w:r>
      <w:r w:rsidRPr="003516DC">
        <w:rPr>
          <w:rFonts w:ascii="Arial" w:hAnsi="Arial" w:cs="Arial"/>
          <w:sz w:val="20"/>
          <w:szCs w:val="20"/>
        </w:rPr>
        <w:t>, about 3% (2,700 people) work in the energy sector</w:t>
      </w:r>
      <w:r w:rsidR="00E13F11" w:rsidRPr="003516DC">
        <w:rPr>
          <w:rFonts w:ascii="Arial" w:hAnsi="Arial" w:cs="Arial"/>
          <w:sz w:val="20"/>
          <w:szCs w:val="20"/>
        </w:rPr>
        <w:t>.</w:t>
      </w:r>
      <w:r w:rsidRPr="003516DC">
        <w:rPr>
          <w:rFonts w:ascii="Arial" w:hAnsi="Arial" w:cs="Arial"/>
          <w:sz w:val="20"/>
          <w:szCs w:val="20"/>
        </w:rPr>
        <w:t xml:space="preserve"> </w:t>
      </w:r>
      <w:r w:rsidR="00E13F11" w:rsidRPr="003516DC">
        <w:rPr>
          <w:rFonts w:ascii="Arial" w:hAnsi="Arial" w:cs="Arial"/>
          <w:sz w:val="20"/>
          <w:szCs w:val="20"/>
        </w:rPr>
        <w:t>T</w:t>
      </w:r>
      <w:r w:rsidRPr="003516DC">
        <w:rPr>
          <w:rFonts w:ascii="Arial" w:hAnsi="Arial" w:cs="Arial"/>
          <w:sz w:val="20"/>
          <w:szCs w:val="20"/>
        </w:rPr>
        <w:t xml:space="preserve">he remaining 97% </w:t>
      </w:r>
      <w:r w:rsidR="00E13F11" w:rsidRPr="003516DC">
        <w:rPr>
          <w:rFonts w:ascii="Arial" w:hAnsi="Arial" w:cs="Arial"/>
          <w:sz w:val="20"/>
          <w:szCs w:val="20"/>
        </w:rPr>
        <w:t>are</w:t>
      </w:r>
      <w:r w:rsidRPr="003516DC">
        <w:rPr>
          <w:rFonts w:ascii="Arial" w:hAnsi="Arial" w:cs="Arial"/>
          <w:sz w:val="20"/>
          <w:szCs w:val="20"/>
        </w:rPr>
        <w:t xml:space="preserve"> </w:t>
      </w:r>
      <w:r w:rsidR="00E13F11" w:rsidRPr="003516DC">
        <w:rPr>
          <w:rFonts w:ascii="Arial" w:hAnsi="Arial" w:cs="Arial"/>
          <w:sz w:val="20"/>
          <w:szCs w:val="20"/>
        </w:rPr>
        <w:t xml:space="preserve">roughly </w:t>
      </w:r>
      <w:r w:rsidRPr="003516DC">
        <w:rPr>
          <w:rFonts w:ascii="Arial" w:hAnsi="Arial" w:cs="Arial"/>
          <w:sz w:val="20"/>
          <w:szCs w:val="20"/>
        </w:rPr>
        <w:t xml:space="preserve">distributed among economic sectors which are responsible for the other half of </w:t>
      </w:r>
      <w:r w:rsidR="005F14EF" w:rsidRPr="003516DC">
        <w:rPr>
          <w:rFonts w:ascii="Arial" w:hAnsi="Arial" w:cs="Arial"/>
          <w:sz w:val="20"/>
          <w:szCs w:val="20"/>
        </w:rPr>
        <w:t>CO</w:t>
      </w:r>
      <w:r w:rsidR="005F14EF" w:rsidRPr="001C148D">
        <w:rPr>
          <w:rFonts w:ascii="Arial" w:hAnsi="Arial" w:cs="Arial"/>
          <w:sz w:val="20"/>
          <w:szCs w:val="20"/>
          <w:vertAlign w:val="subscript"/>
        </w:rPr>
        <w:t>2</w:t>
      </w:r>
      <w:r w:rsidR="005F14EF" w:rsidRPr="003516DC">
        <w:rPr>
          <w:rFonts w:ascii="Arial" w:hAnsi="Arial" w:cs="Arial"/>
          <w:sz w:val="20"/>
          <w:szCs w:val="20"/>
        </w:rPr>
        <w:t xml:space="preserve"> </w:t>
      </w:r>
      <w:r w:rsidRPr="003516DC">
        <w:rPr>
          <w:rFonts w:ascii="Arial" w:hAnsi="Arial" w:cs="Arial"/>
          <w:sz w:val="20"/>
          <w:szCs w:val="20"/>
        </w:rPr>
        <w:t xml:space="preserve">emissions at </w:t>
      </w:r>
      <w:r w:rsidR="007A64F0" w:rsidRPr="003516DC">
        <w:rPr>
          <w:rFonts w:ascii="Arial" w:hAnsi="Arial" w:cs="Arial"/>
          <w:sz w:val="20"/>
          <w:szCs w:val="20"/>
        </w:rPr>
        <w:t xml:space="preserve">the </w:t>
      </w:r>
      <w:r w:rsidRPr="003516DC">
        <w:rPr>
          <w:rFonts w:ascii="Arial" w:hAnsi="Arial" w:cs="Arial"/>
          <w:sz w:val="20"/>
          <w:szCs w:val="20"/>
        </w:rPr>
        <w:t>county level.</w:t>
      </w:r>
    </w:p>
    <w:p w14:paraId="24253325" w14:textId="0D6C24E7" w:rsidR="00A049A8" w:rsidRPr="003847A7" w:rsidRDefault="00302A01" w:rsidP="003847A7">
      <w:pPr>
        <w:spacing w:after="120"/>
        <w:jc w:val="both"/>
        <w:rPr>
          <w:rFonts w:ascii="Arial" w:hAnsi="Arial" w:cs="Arial"/>
          <w:sz w:val="20"/>
          <w:szCs w:val="20"/>
          <w:shd w:val="clear" w:color="auto" w:fill="EFEFEF"/>
        </w:rPr>
      </w:pPr>
      <w:r w:rsidRPr="003516DC">
        <w:rPr>
          <w:rFonts w:ascii="Arial" w:hAnsi="Arial" w:cs="Arial"/>
          <w:sz w:val="20"/>
          <w:szCs w:val="20"/>
        </w:rPr>
        <w:t xml:space="preserve">There are 17 designated protected areas in the county, </w:t>
      </w:r>
      <w:r w:rsidR="00FC2D82" w:rsidRPr="003516DC">
        <w:rPr>
          <w:rFonts w:ascii="Arial" w:hAnsi="Arial" w:cs="Arial"/>
          <w:sz w:val="20"/>
          <w:szCs w:val="20"/>
        </w:rPr>
        <w:t>eight</w:t>
      </w:r>
      <w:r w:rsidR="00403EFE" w:rsidRPr="003516DC">
        <w:rPr>
          <w:rFonts w:ascii="Arial" w:hAnsi="Arial" w:cs="Arial"/>
          <w:sz w:val="20"/>
          <w:szCs w:val="20"/>
        </w:rPr>
        <w:t xml:space="preserve"> of which</w:t>
      </w:r>
      <w:r w:rsidRPr="003516DC">
        <w:rPr>
          <w:rFonts w:ascii="Arial" w:hAnsi="Arial" w:cs="Arial"/>
          <w:sz w:val="20"/>
          <w:szCs w:val="20"/>
        </w:rPr>
        <w:t xml:space="preserve"> have a designated custodian</w:t>
      </w:r>
      <w:r w:rsidR="003A4C1F" w:rsidRPr="003516DC">
        <w:rPr>
          <w:rFonts w:ascii="Arial" w:hAnsi="Arial" w:cs="Arial"/>
          <w:sz w:val="20"/>
          <w:szCs w:val="20"/>
        </w:rPr>
        <w:t>.</w:t>
      </w:r>
      <w:r w:rsidRPr="003516DC">
        <w:rPr>
          <w:rFonts w:ascii="Arial" w:hAnsi="Arial" w:cs="Arial"/>
          <w:sz w:val="20"/>
          <w:szCs w:val="20"/>
        </w:rPr>
        <w:t xml:space="preserve"> </w:t>
      </w:r>
      <w:r w:rsidR="003A4C1F" w:rsidRPr="003516DC">
        <w:rPr>
          <w:rFonts w:ascii="Arial" w:hAnsi="Arial" w:cs="Arial"/>
          <w:sz w:val="20"/>
          <w:szCs w:val="20"/>
        </w:rPr>
        <w:t>T</w:t>
      </w:r>
      <w:r w:rsidRPr="003516DC">
        <w:rPr>
          <w:rFonts w:ascii="Arial" w:hAnsi="Arial" w:cs="Arial"/>
          <w:sz w:val="20"/>
          <w:szCs w:val="20"/>
        </w:rPr>
        <w:t>he total yearly budget for the administration of these areas is under EUR 400,000 (half</w:t>
      </w:r>
      <w:r w:rsidR="003A4C1F" w:rsidRPr="003516DC">
        <w:rPr>
          <w:rFonts w:ascii="Arial" w:hAnsi="Arial" w:cs="Arial"/>
          <w:sz w:val="20"/>
          <w:szCs w:val="20"/>
        </w:rPr>
        <w:t xml:space="preserve"> of which</w:t>
      </w:r>
      <w:r w:rsidRPr="003516DC">
        <w:rPr>
          <w:rFonts w:ascii="Arial" w:hAnsi="Arial" w:cs="Arial"/>
          <w:sz w:val="20"/>
          <w:szCs w:val="20"/>
        </w:rPr>
        <w:t xml:space="preserve"> is </w:t>
      </w:r>
      <w:r w:rsidR="003A4C1F" w:rsidRPr="003516DC">
        <w:rPr>
          <w:rFonts w:ascii="Arial" w:hAnsi="Arial" w:cs="Arial"/>
          <w:sz w:val="20"/>
          <w:szCs w:val="20"/>
        </w:rPr>
        <w:t>from</w:t>
      </w:r>
      <w:r w:rsidRPr="003516DC">
        <w:rPr>
          <w:rFonts w:ascii="Arial" w:hAnsi="Arial" w:cs="Arial"/>
          <w:sz w:val="20"/>
          <w:szCs w:val="20"/>
        </w:rPr>
        <w:t xml:space="preserve"> private donations by two NGOs</w:t>
      </w:r>
      <w:r w:rsidR="003A4C1F" w:rsidRPr="003516DC">
        <w:rPr>
          <w:rFonts w:ascii="Arial" w:hAnsi="Arial" w:cs="Arial"/>
          <w:sz w:val="20"/>
          <w:szCs w:val="20"/>
        </w:rPr>
        <w:t>:</w:t>
      </w:r>
      <w:r w:rsidRPr="003516DC">
        <w:rPr>
          <w:rFonts w:ascii="Arial" w:hAnsi="Arial" w:cs="Arial"/>
          <w:sz w:val="20"/>
          <w:szCs w:val="20"/>
        </w:rPr>
        <w:t xml:space="preserve"> WWF and the Romanian Ornithological Society). Dolj is </w:t>
      </w:r>
      <w:r w:rsidR="005836E7" w:rsidRPr="003516DC">
        <w:rPr>
          <w:rFonts w:ascii="Arial" w:hAnsi="Arial" w:cs="Arial"/>
          <w:sz w:val="20"/>
          <w:szCs w:val="20"/>
        </w:rPr>
        <w:t xml:space="preserve">highly </w:t>
      </w:r>
      <w:r w:rsidRPr="003516DC">
        <w:rPr>
          <w:rFonts w:ascii="Arial" w:hAnsi="Arial" w:cs="Arial"/>
          <w:sz w:val="20"/>
          <w:szCs w:val="20"/>
        </w:rPr>
        <w:t>vulnerable to</w:t>
      </w:r>
      <w:r w:rsidRPr="003516DC">
        <w:rPr>
          <w:rFonts w:ascii="Arial" w:hAnsi="Arial" w:cs="Arial"/>
          <w:b/>
          <w:sz w:val="20"/>
          <w:szCs w:val="20"/>
        </w:rPr>
        <w:t xml:space="preserve"> soil degradation</w:t>
      </w:r>
      <w:r w:rsidRPr="003516DC">
        <w:rPr>
          <w:rFonts w:ascii="Arial" w:hAnsi="Arial" w:cs="Arial"/>
          <w:sz w:val="20"/>
          <w:szCs w:val="20"/>
        </w:rPr>
        <w:t>, and although official figures</w:t>
      </w:r>
      <w:r w:rsidR="009E67D1" w:rsidRPr="003516DC">
        <w:rPr>
          <w:rStyle w:val="FootnoteReference"/>
          <w:rFonts w:ascii="Arial" w:hAnsi="Arial" w:cs="Arial"/>
          <w:sz w:val="20"/>
          <w:szCs w:val="20"/>
        </w:rPr>
        <w:footnoteReference w:id="80"/>
      </w:r>
      <w:r w:rsidRPr="003516DC">
        <w:rPr>
          <w:rFonts w:ascii="Arial" w:hAnsi="Arial" w:cs="Arial"/>
          <w:sz w:val="20"/>
          <w:szCs w:val="20"/>
        </w:rPr>
        <w:t xml:space="preserve"> indicate that only 14,000 hectares are subject to desertification and 20,000 hectares to erosion, statements from the Minister of Environment speak about a massive 100,000 hectares</w:t>
      </w:r>
      <w:r w:rsidRPr="003516DC">
        <w:rPr>
          <w:rStyle w:val="FootnoteReference"/>
          <w:rFonts w:ascii="Arial" w:hAnsi="Arial" w:cs="Arial"/>
          <w:sz w:val="20"/>
          <w:szCs w:val="20"/>
        </w:rPr>
        <w:footnoteReference w:id="81"/>
      </w:r>
      <w:r w:rsidRPr="003516DC">
        <w:rPr>
          <w:rFonts w:ascii="Arial" w:hAnsi="Arial" w:cs="Arial"/>
          <w:sz w:val="20"/>
          <w:szCs w:val="20"/>
        </w:rPr>
        <w:t xml:space="preserve"> (approx</w:t>
      </w:r>
      <w:r w:rsidR="005836E7" w:rsidRPr="003516DC">
        <w:rPr>
          <w:rFonts w:ascii="Arial" w:hAnsi="Arial" w:cs="Arial"/>
          <w:sz w:val="20"/>
          <w:szCs w:val="20"/>
        </w:rPr>
        <w:t>imately</w:t>
      </w:r>
      <w:r w:rsidRPr="003516DC">
        <w:rPr>
          <w:rFonts w:ascii="Arial" w:hAnsi="Arial" w:cs="Arial"/>
          <w:sz w:val="20"/>
          <w:szCs w:val="20"/>
        </w:rPr>
        <w:t xml:space="preserve"> 30% of the county’s </w:t>
      </w:r>
      <w:r w:rsidR="0038097B" w:rsidRPr="003516DC">
        <w:rPr>
          <w:rFonts w:ascii="Arial" w:hAnsi="Arial" w:cs="Arial"/>
          <w:sz w:val="20"/>
          <w:szCs w:val="20"/>
        </w:rPr>
        <w:t>land area</w:t>
      </w:r>
      <w:r w:rsidRPr="003516DC">
        <w:rPr>
          <w:rFonts w:ascii="Arial" w:hAnsi="Arial" w:cs="Arial"/>
          <w:sz w:val="20"/>
          <w:szCs w:val="20"/>
        </w:rPr>
        <w:t xml:space="preserve">) </w:t>
      </w:r>
      <w:r w:rsidR="009A04C7" w:rsidRPr="003516DC">
        <w:rPr>
          <w:rFonts w:ascii="Arial" w:hAnsi="Arial" w:cs="Arial"/>
          <w:sz w:val="20"/>
          <w:szCs w:val="20"/>
        </w:rPr>
        <w:t xml:space="preserve">being </w:t>
      </w:r>
      <w:r w:rsidRPr="003516DC">
        <w:rPr>
          <w:rFonts w:ascii="Arial" w:hAnsi="Arial" w:cs="Arial"/>
          <w:sz w:val="20"/>
          <w:szCs w:val="20"/>
        </w:rPr>
        <w:t xml:space="preserve">affected by desertification. This clearly indicates, as </w:t>
      </w:r>
      <w:r w:rsidR="00482418" w:rsidRPr="003516DC">
        <w:rPr>
          <w:rFonts w:ascii="Arial" w:hAnsi="Arial" w:cs="Arial"/>
          <w:sz w:val="20"/>
          <w:szCs w:val="20"/>
        </w:rPr>
        <w:t xml:space="preserve">also </w:t>
      </w:r>
      <w:r w:rsidRPr="003516DC">
        <w:rPr>
          <w:rFonts w:ascii="Arial" w:hAnsi="Arial" w:cs="Arial"/>
          <w:sz w:val="20"/>
          <w:szCs w:val="20"/>
        </w:rPr>
        <w:t xml:space="preserve">evidenced by stakeholder interviews, that a more data-driven </w:t>
      </w:r>
      <w:r w:rsidR="00527EEB" w:rsidRPr="003516DC">
        <w:rPr>
          <w:rFonts w:ascii="Arial" w:hAnsi="Arial" w:cs="Arial"/>
          <w:sz w:val="20"/>
          <w:szCs w:val="20"/>
        </w:rPr>
        <w:t>approach to</w:t>
      </w:r>
      <w:r w:rsidRPr="003516DC">
        <w:rPr>
          <w:rFonts w:ascii="Arial" w:hAnsi="Arial" w:cs="Arial"/>
          <w:sz w:val="20"/>
          <w:szCs w:val="20"/>
        </w:rPr>
        <w:t xml:space="preserve"> combat the phenomenon is needed. Approximately 78 local administrative-territorial units (out of 112) are affected by nitrate pollution</w:t>
      </w:r>
      <w:r w:rsidR="00A049A8" w:rsidRPr="003516DC">
        <w:rPr>
          <w:rStyle w:val="FootnoteReference"/>
          <w:rFonts w:ascii="Arial" w:hAnsi="Arial" w:cs="Arial"/>
          <w:sz w:val="20"/>
          <w:szCs w:val="20"/>
        </w:rPr>
        <w:footnoteReference w:id="82"/>
      </w:r>
      <w:r w:rsidRPr="003516DC">
        <w:rPr>
          <w:rFonts w:ascii="Arial" w:hAnsi="Arial" w:cs="Arial"/>
          <w:sz w:val="20"/>
          <w:szCs w:val="20"/>
        </w:rPr>
        <w:t xml:space="preserve">. </w:t>
      </w:r>
    </w:p>
    <w:p w14:paraId="09528D14" w14:textId="0281040A" w:rsidR="00235E91" w:rsidRPr="003516DC" w:rsidRDefault="00A049A8" w:rsidP="003847A7">
      <w:pPr>
        <w:spacing w:after="120"/>
        <w:jc w:val="both"/>
        <w:rPr>
          <w:rFonts w:ascii="Arial" w:hAnsi="Arial" w:cs="Arial"/>
          <w:sz w:val="20"/>
          <w:szCs w:val="20"/>
          <w:shd w:val="clear" w:color="auto" w:fill="FFFFFF" w:themeFill="background1"/>
        </w:rPr>
      </w:pPr>
      <w:r w:rsidRPr="003516DC">
        <w:rPr>
          <w:rFonts w:ascii="Arial" w:hAnsi="Arial" w:cs="Arial"/>
          <w:sz w:val="20"/>
          <w:szCs w:val="20"/>
        </w:rPr>
        <w:t xml:space="preserve">When it comes to </w:t>
      </w:r>
      <w:r w:rsidRPr="003516DC">
        <w:rPr>
          <w:rFonts w:ascii="Arial" w:hAnsi="Arial" w:cs="Arial"/>
          <w:b/>
          <w:sz w:val="20"/>
          <w:szCs w:val="20"/>
        </w:rPr>
        <w:t>contaminated sites</w:t>
      </w:r>
      <w:r w:rsidR="00350AA9" w:rsidRPr="003516DC">
        <w:rPr>
          <w:rFonts w:ascii="Arial" w:hAnsi="Arial" w:cs="Arial"/>
          <w:sz w:val="20"/>
          <w:szCs w:val="20"/>
        </w:rPr>
        <w:t>, Dolj c</w:t>
      </w:r>
      <w:r w:rsidRPr="003516DC">
        <w:rPr>
          <w:rFonts w:ascii="Arial" w:hAnsi="Arial" w:cs="Arial"/>
          <w:sz w:val="20"/>
          <w:szCs w:val="20"/>
        </w:rPr>
        <w:t xml:space="preserve">ounty catalogued 31 contaminated and potentially contaminated sites under ownership/administrative arrangements. </w:t>
      </w:r>
      <w:r w:rsidR="00235E91" w:rsidRPr="003516DC">
        <w:rPr>
          <w:rFonts w:ascii="Arial" w:hAnsi="Arial" w:cs="Arial"/>
          <w:sz w:val="20"/>
          <w:szCs w:val="20"/>
        </w:rPr>
        <w:t xml:space="preserve">As many as 24 sites, meaning most of the </w:t>
      </w:r>
      <w:r w:rsidR="00F41337" w:rsidRPr="003516DC">
        <w:rPr>
          <w:rFonts w:ascii="Arial" w:hAnsi="Arial" w:cs="Arial"/>
          <w:sz w:val="20"/>
          <w:szCs w:val="20"/>
        </w:rPr>
        <w:t xml:space="preserve">land area </w:t>
      </w:r>
      <w:r w:rsidR="00235E91" w:rsidRPr="003516DC">
        <w:rPr>
          <w:rFonts w:ascii="Arial" w:hAnsi="Arial" w:cs="Arial"/>
          <w:sz w:val="20"/>
          <w:szCs w:val="20"/>
        </w:rPr>
        <w:t xml:space="preserve">(about 95%) are </w:t>
      </w:r>
      <w:r w:rsidRPr="003516DC">
        <w:rPr>
          <w:rFonts w:ascii="Arial" w:hAnsi="Arial" w:cs="Arial"/>
          <w:sz w:val="20"/>
          <w:szCs w:val="20"/>
        </w:rPr>
        <w:t xml:space="preserve">owned by OMV Petrom, which used to have petrochemical activities in the </w:t>
      </w:r>
      <w:r w:rsidRPr="003516DC">
        <w:rPr>
          <w:rFonts w:ascii="Arial" w:hAnsi="Arial" w:cs="Arial"/>
          <w:sz w:val="20"/>
          <w:szCs w:val="20"/>
          <w:shd w:val="clear" w:color="auto" w:fill="FFFFFF" w:themeFill="background1"/>
        </w:rPr>
        <w:t>area</w:t>
      </w:r>
      <w:r w:rsidR="00F41337" w:rsidRPr="003516DC">
        <w:rPr>
          <w:rFonts w:ascii="Arial" w:hAnsi="Arial" w:cs="Arial"/>
          <w:sz w:val="20"/>
          <w:szCs w:val="20"/>
          <w:shd w:val="clear" w:color="auto" w:fill="FFFFFF" w:themeFill="background1"/>
        </w:rPr>
        <w:t>.</w:t>
      </w:r>
      <w:r w:rsidRPr="003516DC">
        <w:rPr>
          <w:rFonts w:ascii="Arial" w:hAnsi="Arial" w:cs="Arial"/>
          <w:sz w:val="20"/>
          <w:szCs w:val="20"/>
          <w:shd w:val="clear" w:color="auto" w:fill="FFFFFF" w:themeFill="background1"/>
        </w:rPr>
        <w:t xml:space="preserve"> </w:t>
      </w:r>
      <w:r w:rsidR="00F41337" w:rsidRPr="003516DC">
        <w:rPr>
          <w:rFonts w:ascii="Arial" w:hAnsi="Arial" w:cs="Arial"/>
          <w:sz w:val="20"/>
          <w:szCs w:val="20"/>
          <w:shd w:val="clear" w:color="auto" w:fill="FFFFFF" w:themeFill="background1"/>
        </w:rPr>
        <w:t xml:space="preserve">Two sites </w:t>
      </w:r>
      <w:r w:rsidRPr="003516DC">
        <w:rPr>
          <w:rFonts w:ascii="Arial" w:hAnsi="Arial" w:cs="Arial"/>
          <w:sz w:val="20"/>
          <w:szCs w:val="20"/>
          <w:shd w:val="clear" w:color="auto" w:fill="FFFFFF" w:themeFill="background1"/>
        </w:rPr>
        <w:t xml:space="preserve">are owned by </w:t>
      </w:r>
      <w:r w:rsidR="00F41337" w:rsidRPr="003516DC">
        <w:rPr>
          <w:rFonts w:ascii="Arial" w:hAnsi="Arial" w:cs="Arial"/>
          <w:sz w:val="20"/>
          <w:szCs w:val="20"/>
          <w:shd w:val="clear" w:color="auto" w:fill="FFFFFF" w:themeFill="background1"/>
        </w:rPr>
        <w:t xml:space="preserve">the </w:t>
      </w:r>
      <w:r w:rsidR="00135228" w:rsidRPr="003516DC">
        <w:rPr>
          <w:rFonts w:ascii="Arial" w:hAnsi="Arial" w:cs="Arial"/>
          <w:sz w:val="20"/>
          <w:szCs w:val="20"/>
          <w:shd w:val="clear" w:color="auto" w:fill="FFFFFF" w:themeFill="background1"/>
        </w:rPr>
        <w:t xml:space="preserve">Oltenia </w:t>
      </w:r>
      <w:r w:rsidR="005E52B2" w:rsidRPr="003516DC">
        <w:rPr>
          <w:rFonts w:ascii="Arial" w:hAnsi="Arial" w:cs="Arial"/>
          <w:sz w:val="20"/>
          <w:szCs w:val="20"/>
          <w:shd w:val="clear" w:color="auto" w:fill="FFFFFF" w:themeFill="background1"/>
        </w:rPr>
        <w:t xml:space="preserve">Energy Complex </w:t>
      </w:r>
      <w:r w:rsidRPr="003516DC">
        <w:rPr>
          <w:rFonts w:ascii="Arial" w:hAnsi="Arial" w:cs="Arial"/>
          <w:sz w:val="20"/>
          <w:szCs w:val="20"/>
          <w:shd w:val="clear" w:color="auto" w:fill="FFFFFF" w:themeFill="background1"/>
        </w:rPr>
        <w:t xml:space="preserve">and five are owned by the state (local or central authorities). In total they </w:t>
      </w:r>
      <w:r w:rsidR="001F217C" w:rsidRPr="003516DC">
        <w:rPr>
          <w:rFonts w:ascii="Arial" w:hAnsi="Arial" w:cs="Arial"/>
          <w:sz w:val="20"/>
          <w:szCs w:val="20"/>
          <w:shd w:val="clear" w:color="auto" w:fill="FFFFFF" w:themeFill="background1"/>
        </w:rPr>
        <w:t>span</w:t>
      </w:r>
      <w:r w:rsidRPr="003516DC">
        <w:rPr>
          <w:rFonts w:ascii="Arial" w:hAnsi="Arial" w:cs="Arial"/>
          <w:sz w:val="20"/>
          <w:szCs w:val="20"/>
          <w:shd w:val="clear" w:color="auto" w:fill="FFFFFF" w:themeFill="background1"/>
        </w:rPr>
        <w:t xml:space="preserve"> </w:t>
      </w:r>
      <w:r w:rsidR="001F217C" w:rsidRPr="003516DC">
        <w:rPr>
          <w:rFonts w:ascii="Arial" w:hAnsi="Arial" w:cs="Arial"/>
          <w:sz w:val="20"/>
          <w:szCs w:val="20"/>
          <w:shd w:val="clear" w:color="auto" w:fill="FFFFFF" w:themeFill="background1"/>
        </w:rPr>
        <w:t xml:space="preserve">more than </w:t>
      </w:r>
      <w:r w:rsidRPr="003516DC">
        <w:rPr>
          <w:rFonts w:ascii="Arial" w:hAnsi="Arial" w:cs="Arial"/>
          <w:sz w:val="20"/>
          <w:szCs w:val="20"/>
          <w:shd w:val="clear" w:color="auto" w:fill="FFFFFF" w:themeFill="background1"/>
        </w:rPr>
        <w:t>15,</w:t>
      </w:r>
      <w:r w:rsidR="00235E91" w:rsidRPr="003516DC">
        <w:rPr>
          <w:rFonts w:ascii="Arial" w:hAnsi="Arial" w:cs="Arial"/>
          <w:sz w:val="20"/>
          <w:szCs w:val="20"/>
          <w:shd w:val="clear" w:color="auto" w:fill="FFFFFF" w:themeFill="background1"/>
        </w:rPr>
        <w:t>2</w:t>
      </w:r>
      <w:r w:rsidRPr="003516DC">
        <w:rPr>
          <w:rFonts w:ascii="Arial" w:hAnsi="Arial" w:cs="Arial"/>
          <w:sz w:val="20"/>
          <w:szCs w:val="20"/>
          <w:shd w:val="clear" w:color="auto" w:fill="FFFFFF" w:themeFill="background1"/>
        </w:rPr>
        <w:t>00 hectares.</w:t>
      </w:r>
    </w:p>
    <w:p w14:paraId="3E0FA8B8" w14:textId="16921192" w:rsidR="00235E91" w:rsidRPr="003847A7" w:rsidRDefault="00235E91" w:rsidP="00E42342">
      <w:pPr>
        <w:pStyle w:val="ListParagraph"/>
        <w:numPr>
          <w:ilvl w:val="0"/>
          <w:numId w:val="115"/>
        </w:numPr>
        <w:spacing w:after="120" w:line="240" w:lineRule="auto"/>
        <w:ind w:left="360"/>
        <w:contextualSpacing w:val="0"/>
        <w:jc w:val="both"/>
        <w:rPr>
          <w:sz w:val="20"/>
          <w:szCs w:val="20"/>
        </w:rPr>
      </w:pPr>
      <w:r w:rsidRPr="003516DC">
        <w:rPr>
          <w:sz w:val="20"/>
          <w:szCs w:val="20"/>
        </w:rPr>
        <w:t xml:space="preserve">Most sites are assessed with low and medium risk scores and only three of them, owned by OMV Petrom, </w:t>
      </w:r>
      <w:r w:rsidR="007A18D7" w:rsidRPr="003516DC">
        <w:rPr>
          <w:sz w:val="20"/>
          <w:szCs w:val="20"/>
        </w:rPr>
        <w:t xml:space="preserve">carry a </w:t>
      </w:r>
      <w:r w:rsidR="00135228" w:rsidRPr="003516DC">
        <w:rPr>
          <w:sz w:val="20"/>
          <w:szCs w:val="20"/>
        </w:rPr>
        <w:t>high-risk</w:t>
      </w:r>
      <w:r w:rsidR="007A18D7" w:rsidRPr="003516DC">
        <w:rPr>
          <w:sz w:val="20"/>
          <w:szCs w:val="20"/>
        </w:rPr>
        <w:t xml:space="preserve"> </w:t>
      </w:r>
      <w:r w:rsidRPr="003516DC">
        <w:rPr>
          <w:sz w:val="20"/>
          <w:szCs w:val="20"/>
        </w:rPr>
        <w:t xml:space="preserve">level </w:t>
      </w:r>
      <w:r w:rsidR="00BA21DE" w:rsidRPr="003516DC">
        <w:rPr>
          <w:sz w:val="20"/>
          <w:szCs w:val="20"/>
        </w:rPr>
        <w:t>(</w:t>
      </w:r>
      <w:r w:rsidRPr="003516DC">
        <w:rPr>
          <w:sz w:val="20"/>
          <w:szCs w:val="20"/>
        </w:rPr>
        <w:t xml:space="preserve">for a </w:t>
      </w:r>
      <w:r w:rsidR="00BA21DE" w:rsidRPr="003516DC">
        <w:rPr>
          <w:sz w:val="20"/>
          <w:szCs w:val="20"/>
        </w:rPr>
        <w:t xml:space="preserve">land area </w:t>
      </w:r>
      <w:r w:rsidRPr="003516DC">
        <w:rPr>
          <w:sz w:val="20"/>
          <w:szCs w:val="20"/>
        </w:rPr>
        <w:t xml:space="preserve">of less than </w:t>
      </w:r>
      <w:r w:rsidR="00BA21DE" w:rsidRPr="003516DC">
        <w:rPr>
          <w:sz w:val="20"/>
          <w:szCs w:val="20"/>
        </w:rPr>
        <w:t>five</w:t>
      </w:r>
      <w:r w:rsidRPr="003516DC">
        <w:rPr>
          <w:sz w:val="20"/>
          <w:szCs w:val="20"/>
        </w:rPr>
        <w:t xml:space="preserve"> hectares</w:t>
      </w:r>
      <w:r w:rsidR="00BA21DE" w:rsidRPr="003516DC">
        <w:rPr>
          <w:sz w:val="20"/>
          <w:szCs w:val="20"/>
        </w:rPr>
        <w:t>)</w:t>
      </w:r>
      <w:r w:rsidRPr="003516DC">
        <w:rPr>
          <w:sz w:val="20"/>
          <w:szCs w:val="20"/>
        </w:rPr>
        <w:t xml:space="preserve">, less than 0,1% </w:t>
      </w:r>
      <w:r w:rsidR="00FF5193" w:rsidRPr="003516DC">
        <w:rPr>
          <w:sz w:val="20"/>
          <w:szCs w:val="20"/>
        </w:rPr>
        <w:t xml:space="preserve">of </w:t>
      </w:r>
      <w:r w:rsidRPr="003516DC">
        <w:rPr>
          <w:sz w:val="20"/>
          <w:szCs w:val="20"/>
        </w:rPr>
        <w:t>the total.</w:t>
      </w:r>
    </w:p>
    <w:p w14:paraId="518F3016" w14:textId="5F96EB4F" w:rsidR="00235E91" w:rsidRPr="003847A7" w:rsidRDefault="00235E91" w:rsidP="00E42342">
      <w:pPr>
        <w:pStyle w:val="ListParagraph"/>
        <w:numPr>
          <w:ilvl w:val="0"/>
          <w:numId w:val="115"/>
        </w:numPr>
        <w:spacing w:after="120" w:line="240" w:lineRule="auto"/>
        <w:ind w:left="360"/>
        <w:contextualSpacing w:val="0"/>
        <w:jc w:val="both"/>
        <w:rPr>
          <w:sz w:val="20"/>
          <w:szCs w:val="20"/>
        </w:rPr>
      </w:pPr>
      <w:r w:rsidRPr="003516DC">
        <w:rPr>
          <w:sz w:val="20"/>
          <w:szCs w:val="20"/>
        </w:rPr>
        <w:t xml:space="preserve">The site of Mofleni, classified </w:t>
      </w:r>
      <w:r w:rsidR="00F25056" w:rsidRPr="003516DC">
        <w:rPr>
          <w:sz w:val="20"/>
          <w:szCs w:val="20"/>
        </w:rPr>
        <w:t xml:space="preserve">as </w:t>
      </w:r>
      <w:r w:rsidRPr="003516DC">
        <w:rPr>
          <w:sz w:val="20"/>
          <w:szCs w:val="20"/>
        </w:rPr>
        <w:t xml:space="preserve">low risk, is owned by the state and administered by the Craiova City Council and is used as </w:t>
      </w:r>
      <w:r w:rsidR="00F25056" w:rsidRPr="003516DC">
        <w:rPr>
          <w:sz w:val="20"/>
          <w:szCs w:val="20"/>
        </w:rPr>
        <w:t xml:space="preserve">a </w:t>
      </w:r>
      <w:r w:rsidRPr="003516DC">
        <w:rPr>
          <w:sz w:val="20"/>
          <w:szCs w:val="20"/>
        </w:rPr>
        <w:t>household and industrial waste deposit. Currently, Mofleni is the only greened and fully compliant deposit from the county.</w:t>
      </w:r>
    </w:p>
    <w:p w14:paraId="536F609D" w14:textId="5E4B49BE" w:rsidR="009A3ECC" w:rsidRPr="003847A7" w:rsidRDefault="00235E91" w:rsidP="00E42342">
      <w:pPr>
        <w:pStyle w:val="ListParagraph"/>
        <w:numPr>
          <w:ilvl w:val="0"/>
          <w:numId w:val="115"/>
        </w:numPr>
        <w:spacing w:after="120" w:line="240" w:lineRule="auto"/>
        <w:ind w:left="360"/>
        <w:contextualSpacing w:val="0"/>
        <w:jc w:val="both"/>
        <w:rPr>
          <w:sz w:val="20"/>
          <w:szCs w:val="20"/>
        </w:rPr>
      </w:pPr>
      <w:r w:rsidRPr="003516DC">
        <w:rPr>
          <w:sz w:val="20"/>
          <w:szCs w:val="20"/>
        </w:rPr>
        <w:lastRenderedPageBreak/>
        <w:t xml:space="preserve">Apart from the catalogued contaminated/partially contaminated sites, there </w:t>
      </w:r>
      <w:r w:rsidR="00F25056" w:rsidRPr="003516DC">
        <w:rPr>
          <w:sz w:val="20"/>
          <w:szCs w:val="20"/>
        </w:rPr>
        <w:t>are several</w:t>
      </w:r>
      <w:r w:rsidRPr="003516DC">
        <w:rPr>
          <w:sz w:val="20"/>
          <w:szCs w:val="20"/>
        </w:rPr>
        <w:t xml:space="preserve"> abandoned   surfaces that have historically </w:t>
      </w:r>
      <w:r w:rsidR="00F25056" w:rsidRPr="003516DC">
        <w:rPr>
          <w:sz w:val="20"/>
          <w:szCs w:val="20"/>
        </w:rPr>
        <w:t xml:space="preserve">been used </w:t>
      </w:r>
      <w:r w:rsidRPr="003516DC">
        <w:rPr>
          <w:sz w:val="20"/>
          <w:szCs w:val="20"/>
        </w:rPr>
        <w:t xml:space="preserve">for economic activities, some of </w:t>
      </w:r>
      <w:r w:rsidR="00F25056" w:rsidRPr="003516DC">
        <w:rPr>
          <w:sz w:val="20"/>
          <w:szCs w:val="20"/>
        </w:rPr>
        <w:t xml:space="preserve">which </w:t>
      </w:r>
      <w:r w:rsidRPr="003516DC">
        <w:rPr>
          <w:sz w:val="20"/>
          <w:szCs w:val="20"/>
        </w:rPr>
        <w:t xml:space="preserve">still hold utilities </w:t>
      </w:r>
      <w:r w:rsidR="00F25056" w:rsidRPr="003516DC">
        <w:rPr>
          <w:sz w:val="20"/>
          <w:szCs w:val="20"/>
        </w:rPr>
        <w:t xml:space="preserve">infrastructure </w:t>
      </w:r>
      <w:r w:rsidRPr="003516DC">
        <w:rPr>
          <w:sz w:val="20"/>
          <w:szCs w:val="20"/>
        </w:rPr>
        <w:t xml:space="preserve">(electricity, water, sewerage or natural gas grid connection), </w:t>
      </w:r>
      <w:r w:rsidR="00A646C8" w:rsidRPr="003516DC">
        <w:rPr>
          <w:sz w:val="20"/>
          <w:szCs w:val="20"/>
        </w:rPr>
        <w:t xml:space="preserve">which offer </w:t>
      </w:r>
      <w:r w:rsidRPr="003516DC">
        <w:rPr>
          <w:sz w:val="20"/>
          <w:szCs w:val="20"/>
        </w:rPr>
        <w:t>potential for urban regeneration projects</w:t>
      </w:r>
      <w:r w:rsidR="00322D7F" w:rsidRPr="003516DC">
        <w:rPr>
          <w:sz w:val="20"/>
          <w:szCs w:val="20"/>
        </w:rPr>
        <w:t>. These are located</w:t>
      </w:r>
      <w:r w:rsidRPr="003516DC">
        <w:rPr>
          <w:sz w:val="20"/>
          <w:szCs w:val="20"/>
        </w:rPr>
        <w:t xml:space="preserve"> mainly </w:t>
      </w:r>
      <w:r w:rsidR="00777554" w:rsidRPr="003516DC">
        <w:rPr>
          <w:sz w:val="20"/>
          <w:szCs w:val="20"/>
        </w:rPr>
        <w:t xml:space="preserve">within </w:t>
      </w:r>
      <w:r w:rsidRPr="003516DC">
        <w:rPr>
          <w:sz w:val="20"/>
          <w:szCs w:val="20"/>
        </w:rPr>
        <w:t xml:space="preserve">the county seat </w:t>
      </w:r>
      <w:r w:rsidR="00157561" w:rsidRPr="003516DC">
        <w:rPr>
          <w:sz w:val="20"/>
          <w:szCs w:val="20"/>
        </w:rPr>
        <w:t xml:space="preserve">of </w:t>
      </w:r>
      <w:r w:rsidRPr="003516DC">
        <w:rPr>
          <w:sz w:val="20"/>
          <w:szCs w:val="20"/>
        </w:rPr>
        <w:t>Craiova.</w:t>
      </w:r>
    </w:p>
    <w:p w14:paraId="4F61EEF8" w14:textId="41210455" w:rsidR="0035231D" w:rsidRPr="0035231D" w:rsidRDefault="0035231D" w:rsidP="00E42342">
      <w:pPr>
        <w:pStyle w:val="Heading4"/>
        <w:numPr>
          <w:ilvl w:val="0"/>
          <w:numId w:val="270"/>
        </w:numPr>
        <w:spacing w:before="0" w:after="120"/>
        <w:jc w:val="both"/>
        <w:rPr>
          <w:sz w:val="20"/>
          <w:szCs w:val="20"/>
        </w:rPr>
      </w:pPr>
      <w:r w:rsidRPr="0035231D">
        <w:rPr>
          <w:sz w:val="20"/>
          <w:szCs w:val="20"/>
        </w:rPr>
        <w:t>Socio-cultural level</w:t>
      </w:r>
    </w:p>
    <w:p w14:paraId="52F990FD" w14:textId="16B596AB" w:rsidR="00C6712C" w:rsidRPr="003516DC" w:rsidRDefault="00A049A8" w:rsidP="0035231D">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sz w:val="20"/>
          <w:szCs w:val="20"/>
        </w:rPr>
        <w:t xml:space="preserve">socio-cultural </w:t>
      </w:r>
      <w:r w:rsidRPr="003516DC">
        <w:rPr>
          <w:rFonts w:ascii="Arial" w:hAnsi="Arial" w:cs="Arial"/>
          <w:sz w:val="20"/>
          <w:szCs w:val="20"/>
        </w:rPr>
        <w:t xml:space="preserve">perspective, Dolj </w:t>
      </w:r>
      <w:r w:rsidR="00350AA9" w:rsidRPr="003516DC">
        <w:rPr>
          <w:rFonts w:ascii="Arial" w:hAnsi="Arial" w:cs="Arial"/>
          <w:sz w:val="20"/>
          <w:szCs w:val="20"/>
        </w:rPr>
        <w:t>c</w:t>
      </w:r>
      <w:r w:rsidRPr="003516DC">
        <w:rPr>
          <w:rFonts w:ascii="Arial" w:hAnsi="Arial" w:cs="Arial"/>
          <w:sz w:val="20"/>
          <w:szCs w:val="20"/>
        </w:rPr>
        <w:t>ounty is industrial-agrarian by tradition and characteri</w:t>
      </w:r>
      <w:r w:rsidR="00930B06" w:rsidRPr="003516DC">
        <w:rPr>
          <w:rFonts w:ascii="Arial" w:hAnsi="Arial" w:cs="Arial"/>
          <w:sz w:val="20"/>
          <w:szCs w:val="20"/>
        </w:rPr>
        <w:t>s</w:t>
      </w:r>
      <w:r w:rsidRPr="003516DC">
        <w:rPr>
          <w:rFonts w:ascii="Arial" w:hAnsi="Arial" w:cs="Arial"/>
          <w:sz w:val="20"/>
          <w:szCs w:val="20"/>
        </w:rPr>
        <w:t>ed by extreme disparities (economic, demographic, social, cultural, etc.) between Craiova and the rest of the county. Health and educational services are heterogeneously distributed between rural and urban areas, with large access problems in the countryside</w:t>
      </w:r>
      <w:r w:rsidR="009542BA" w:rsidRPr="003516DC">
        <w:rPr>
          <w:rFonts w:ascii="Arial" w:hAnsi="Arial" w:cs="Arial"/>
          <w:sz w:val="20"/>
          <w:szCs w:val="20"/>
        </w:rPr>
        <w:t>.</w:t>
      </w:r>
      <w:r w:rsidRPr="003516DC">
        <w:rPr>
          <w:rFonts w:ascii="Arial" w:hAnsi="Arial" w:cs="Arial"/>
          <w:sz w:val="20"/>
          <w:szCs w:val="20"/>
        </w:rPr>
        <w:t xml:space="preserve"> </w:t>
      </w:r>
      <w:r w:rsidR="009542BA" w:rsidRPr="003516DC">
        <w:rPr>
          <w:rFonts w:ascii="Arial" w:hAnsi="Arial" w:cs="Arial"/>
          <w:sz w:val="20"/>
          <w:szCs w:val="20"/>
        </w:rPr>
        <w:t>I</w:t>
      </w:r>
      <w:r w:rsidRPr="003516DC">
        <w:rPr>
          <w:rFonts w:ascii="Arial" w:hAnsi="Arial" w:cs="Arial"/>
          <w:sz w:val="20"/>
          <w:szCs w:val="20"/>
        </w:rPr>
        <w:t>n Craiova</w:t>
      </w:r>
      <w:r w:rsidR="009542BA" w:rsidRPr="003516DC">
        <w:rPr>
          <w:rFonts w:ascii="Arial" w:hAnsi="Arial" w:cs="Arial"/>
          <w:sz w:val="20"/>
          <w:szCs w:val="20"/>
        </w:rPr>
        <w:t>,</w:t>
      </w:r>
      <w:r w:rsidRPr="003516DC">
        <w:rPr>
          <w:rFonts w:ascii="Arial" w:hAnsi="Arial" w:cs="Arial"/>
          <w:sz w:val="20"/>
          <w:szCs w:val="20"/>
        </w:rPr>
        <w:t xml:space="preserve"> the share of doctors and pharmacists employed in the public health system is higher than the national average, while in rural areas the trend is reversed. Social support </w:t>
      </w:r>
      <w:r w:rsidR="00990A8C" w:rsidRPr="003516DC">
        <w:rPr>
          <w:rFonts w:ascii="Arial" w:hAnsi="Arial" w:cs="Arial"/>
          <w:sz w:val="20"/>
          <w:szCs w:val="20"/>
        </w:rPr>
        <w:t>comes primarily</w:t>
      </w:r>
      <w:r w:rsidR="009542BA" w:rsidRPr="003516DC">
        <w:rPr>
          <w:rFonts w:ascii="Arial" w:hAnsi="Arial" w:cs="Arial"/>
          <w:sz w:val="20"/>
          <w:szCs w:val="20"/>
        </w:rPr>
        <w:t xml:space="preserve"> </w:t>
      </w:r>
      <w:r w:rsidR="00990A8C" w:rsidRPr="003516DC">
        <w:rPr>
          <w:rFonts w:ascii="Arial" w:hAnsi="Arial" w:cs="Arial"/>
          <w:sz w:val="20"/>
          <w:szCs w:val="20"/>
        </w:rPr>
        <w:t xml:space="preserve">from </w:t>
      </w:r>
      <w:r w:rsidRPr="003516DC">
        <w:rPr>
          <w:rFonts w:ascii="Arial" w:hAnsi="Arial" w:cs="Arial"/>
          <w:sz w:val="20"/>
          <w:szCs w:val="20"/>
        </w:rPr>
        <w:t>the public sector, with an underrepresented private and non-governmental sector delivering social services in comparison to other counties. There is also a strong lack of speciali</w:t>
      </w:r>
      <w:r w:rsidR="002A7FD4" w:rsidRPr="003516DC">
        <w:rPr>
          <w:rFonts w:ascii="Arial" w:hAnsi="Arial" w:cs="Arial"/>
          <w:sz w:val="20"/>
          <w:szCs w:val="20"/>
        </w:rPr>
        <w:t>s</w:t>
      </w:r>
      <w:r w:rsidRPr="003516DC">
        <w:rPr>
          <w:rFonts w:ascii="Arial" w:hAnsi="Arial" w:cs="Arial"/>
          <w:sz w:val="20"/>
          <w:szCs w:val="20"/>
        </w:rPr>
        <w:t xml:space="preserve">ed staff alongside chronic infrastructure problems in social services delivery. </w:t>
      </w:r>
    </w:p>
    <w:p w14:paraId="595070B7" w14:textId="7D3D2A87" w:rsidR="00C6712C" w:rsidRPr="003516DC" w:rsidRDefault="00C6712C" w:rsidP="0035231D">
      <w:pPr>
        <w:spacing w:after="120"/>
        <w:jc w:val="both"/>
        <w:rPr>
          <w:rFonts w:ascii="Arial" w:hAnsi="Arial" w:cs="Arial"/>
          <w:sz w:val="20"/>
          <w:szCs w:val="20"/>
        </w:rPr>
      </w:pPr>
      <w:r w:rsidRPr="003516DC">
        <w:rPr>
          <w:rFonts w:ascii="Arial" w:hAnsi="Arial" w:cs="Arial"/>
          <w:sz w:val="20"/>
          <w:szCs w:val="20"/>
        </w:rPr>
        <w:t xml:space="preserve">The </w:t>
      </w:r>
      <w:r w:rsidRPr="003516DC">
        <w:rPr>
          <w:rFonts w:ascii="Arial" w:hAnsi="Arial" w:cs="Arial"/>
          <w:b/>
          <w:sz w:val="20"/>
          <w:szCs w:val="20"/>
        </w:rPr>
        <w:t>relative poverty rate</w:t>
      </w:r>
      <w:r w:rsidR="009364A5" w:rsidRPr="003516DC">
        <w:rPr>
          <w:rStyle w:val="FootnoteReference"/>
          <w:rFonts w:ascii="Arial" w:hAnsi="Arial" w:cs="Arial"/>
          <w:b/>
          <w:sz w:val="20"/>
          <w:szCs w:val="20"/>
        </w:rPr>
        <w:footnoteReference w:id="83"/>
      </w:r>
      <w:r w:rsidRPr="003516DC">
        <w:rPr>
          <w:rFonts w:ascii="Arial" w:hAnsi="Arial" w:cs="Arial"/>
          <w:sz w:val="20"/>
          <w:szCs w:val="20"/>
        </w:rPr>
        <w:t xml:space="preserve"> in Dolj </w:t>
      </w:r>
      <w:r w:rsidR="00350AA9" w:rsidRPr="003516DC">
        <w:rPr>
          <w:rFonts w:ascii="Arial" w:hAnsi="Arial" w:cs="Arial"/>
          <w:sz w:val="20"/>
          <w:szCs w:val="20"/>
        </w:rPr>
        <w:t>c</w:t>
      </w:r>
      <w:r w:rsidRPr="003516DC">
        <w:rPr>
          <w:rFonts w:ascii="Arial" w:hAnsi="Arial" w:cs="Arial"/>
          <w:sz w:val="20"/>
          <w:szCs w:val="20"/>
        </w:rPr>
        <w:t xml:space="preserve">ounty is 26.7%, much lower than the South West Oltenia region </w:t>
      </w:r>
      <w:r w:rsidR="00F32471" w:rsidRPr="003516DC">
        <w:rPr>
          <w:rFonts w:ascii="Arial" w:hAnsi="Arial" w:cs="Arial"/>
          <w:sz w:val="20"/>
          <w:szCs w:val="20"/>
        </w:rPr>
        <w:t xml:space="preserve">of nearly </w:t>
      </w:r>
      <w:r w:rsidRPr="003516DC">
        <w:rPr>
          <w:rFonts w:ascii="Arial" w:hAnsi="Arial" w:cs="Arial"/>
          <w:sz w:val="20"/>
          <w:szCs w:val="20"/>
        </w:rPr>
        <w:t>40%</w:t>
      </w:r>
      <w:r w:rsidR="00A4223D" w:rsidRPr="003516DC">
        <w:rPr>
          <w:rFonts w:ascii="Arial" w:hAnsi="Arial" w:cs="Arial"/>
          <w:sz w:val="20"/>
          <w:szCs w:val="20"/>
        </w:rPr>
        <w:t>.</w:t>
      </w:r>
      <w:r w:rsidRPr="003516DC">
        <w:rPr>
          <w:rFonts w:ascii="Arial" w:hAnsi="Arial" w:cs="Arial"/>
          <w:sz w:val="20"/>
          <w:szCs w:val="20"/>
        </w:rPr>
        <w:t xml:space="preserve"> </w:t>
      </w:r>
      <w:r w:rsidR="00A4223D" w:rsidRPr="003516DC">
        <w:rPr>
          <w:rFonts w:ascii="Arial" w:hAnsi="Arial" w:cs="Arial"/>
          <w:sz w:val="20"/>
          <w:szCs w:val="20"/>
        </w:rPr>
        <w:t>C</w:t>
      </w:r>
      <w:r w:rsidRPr="003516DC">
        <w:rPr>
          <w:rFonts w:ascii="Arial" w:hAnsi="Arial" w:cs="Arial"/>
          <w:sz w:val="20"/>
          <w:szCs w:val="20"/>
        </w:rPr>
        <w:t>ompar</w:t>
      </w:r>
      <w:r w:rsidR="00A4223D" w:rsidRPr="003516DC">
        <w:rPr>
          <w:rFonts w:ascii="Arial" w:hAnsi="Arial" w:cs="Arial"/>
          <w:sz w:val="20"/>
          <w:szCs w:val="20"/>
        </w:rPr>
        <w:t>ed</w:t>
      </w:r>
      <w:r w:rsidRPr="003516DC">
        <w:rPr>
          <w:rFonts w:ascii="Arial" w:hAnsi="Arial" w:cs="Arial"/>
          <w:sz w:val="20"/>
          <w:szCs w:val="20"/>
        </w:rPr>
        <w:t xml:space="preserve"> </w:t>
      </w:r>
      <w:r w:rsidR="00A4223D" w:rsidRPr="003516DC">
        <w:rPr>
          <w:rFonts w:ascii="Arial" w:hAnsi="Arial" w:cs="Arial"/>
          <w:sz w:val="20"/>
          <w:szCs w:val="20"/>
        </w:rPr>
        <w:t xml:space="preserve">to </w:t>
      </w:r>
      <w:r w:rsidRPr="003516DC">
        <w:rPr>
          <w:rFonts w:ascii="Arial" w:hAnsi="Arial" w:cs="Arial"/>
          <w:sz w:val="20"/>
          <w:szCs w:val="20"/>
        </w:rPr>
        <w:t>the national values</w:t>
      </w:r>
      <w:r w:rsidR="00582C9A" w:rsidRPr="003516DC">
        <w:rPr>
          <w:rFonts w:ascii="Arial" w:hAnsi="Arial" w:cs="Arial"/>
          <w:sz w:val="20"/>
          <w:szCs w:val="20"/>
        </w:rPr>
        <w:t>,</w:t>
      </w:r>
      <w:r w:rsidRPr="003516DC">
        <w:rPr>
          <w:rFonts w:ascii="Arial" w:hAnsi="Arial" w:cs="Arial"/>
          <w:sz w:val="20"/>
          <w:szCs w:val="20"/>
        </w:rPr>
        <w:t xml:space="preserve"> </w:t>
      </w:r>
      <w:r w:rsidR="00582C9A" w:rsidRPr="003516DC">
        <w:rPr>
          <w:rFonts w:ascii="Arial" w:hAnsi="Arial" w:cs="Arial"/>
          <w:sz w:val="20"/>
          <w:szCs w:val="20"/>
        </w:rPr>
        <w:t xml:space="preserve">relative poverty </w:t>
      </w:r>
      <w:r w:rsidRPr="003516DC">
        <w:rPr>
          <w:rFonts w:ascii="Arial" w:hAnsi="Arial" w:cs="Arial"/>
          <w:sz w:val="20"/>
          <w:szCs w:val="20"/>
        </w:rPr>
        <w:t>falls between the average statistical value of 22.3% and the maximum statistical value of 31.5%, according to a study</w:t>
      </w:r>
      <w:r w:rsidR="00CE6489" w:rsidRPr="003516DC">
        <w:rPr>
          <w:rFonts w:ascii="Arial" w:hAnsi="Arial" w:cs="Arial"/>
          <w:sz w:val="20"/>
          <w:szCs w:val="20"/>
        </w:rPr>
        <w:t xml:space="preserve"> about vulnerable groups conducted to support the Romanian Government P</w:t>
      </w:r>
      <w:r w:rsidR="00D206E5">
        <w:rPr>
          <w:rFonts w:ascii="Arial" w:hAnsi="Arial" w:cs="Arial"/>
          <w:sz w:val="20"/>
          <w:szCs w:val="20"/>
        </w:rPr>
        <w:t xml:space="preserve">rogramme </w:t>
      </w:r>
      <w:r w:rsidR="00CE6489" w:rsidRPr="003516DC">
        <w:rPr>
          <w:rFonts w:ascii="Arial" w:hAnsi="Arial" w:cs="Arial"/>
          <w:sz w:val="20"/>
          <w:szCs w:val="20"/>
        </w:rPr>
        <w:t>2017-2020</w:t>
      </w:r>
      <w:r w:rsidRPr="003516DC">
        <w:rPr>
          <w:rStyle w:val="FootnoteReference"/>
          <w:rFonts w:ascii="Arial" w:hAnsi="Arial" w:cs="Arial"/>
          <w:sz w:val="20"/>
          <w:szCs w:val="20"/>
        </w:rPr>
        <w:footnoteReference w:id="84"/>
      </w:r>
      <w:r w:rsidRPr="003516DC">
        <w:rPr>
          <w:rFonts w:ascii="Arial" w:hAnsi="Arial" w:cs="Arial"/>
          <w:sz w:val="20"/>
          <w:szCs w:val="20"/>
        </w:rPr>
        <w:t>.</w:t>
      </w:r>
    </w:p>
    <w:p w14:paraId="137522B5" w14:textId="36E5A0EF" w:rsidR="009364A5" w:rsidRDefault="00A049A8" w:rsidP="0035231D">
      <w:pPr>
        <w:spacing w:after="120"/>
        <w:jc w:val="both"/>
        <w:rPr>
          <w:rFonts w:ascii="Arial" w:hAnsi="Arial" w:cs="Arial"/>
          <w:sz w:val="20"/>
          <w:szCs w:val="20"/>
        </w:rPr>
      </w:pPr>
      <w:r w:rsidRPr="003516DC">
        <w:rPr>
          <w:rFonts w:ascii="Arial" w:hAnsi="Arial" w:cs="Arial"/>
          <w:sz w:val="20"/>
          <w:szCs w:val="20"/>
        </w:rPr>
        <w:t xml:space="preserve">The highest poverty values are in isolated rural areas (the West and South of the county, </w:t>
      </w:r>
      <w:r w:rsidR="007A3DE7" w:rsidRPr="003516DC">
        <w:rPr>
          <w:rFonts w:ascii="Arial" w:hAnsi="Arial" w:cs="Arial"/>
          <w:sz w:val="20"/>
          <w:szCs w:val="20"/>
        </w:rPr>
        <w:t>far</w:t>
      </w:r>
      <w:r w:rsidRPr="003516DC">
        <w:rPr>
          <w:rFonts w:ascii="Arial" w:hAnsi="Arial" w:cs="Arial"/>
          <w:sz w:val="20"/>
          <w:szCs w:val="20"/>
        </w:rPr>
        <w:t xml:space="preserve"> from Craiova) and in Roma communities. In Dolj</w:t>
      </w:r>
      <w:r w:rsidR="007A3DE7" w:rsidRPr="003516DC">
        <w:rPr>
          <w:rFonts w:ascii="Arial" w:hAnsi="Arial" w:cs="Arial"/>
          <w:sz w:val="20"/>
          <w:szCs w:val="20"/>
        </w:rPr>
        <w:t>,</w:t>
      </w:r>
      <w:r w:rsidRPr="003516DC">
        <w:rPr>
          <w:rFonts w:ascii="Arial" w:hAnsi="Arial" w:cs="Arial"/>
          <w:sz w:val="20"/>
          <w:szCs w:val="20"/>
        </w:rPr>
        <w:t xml:space="preserve"> 2</w:t>
      </w:r>
      <w:r w:rsidR="00C6712C" w:rsidRPr="003516DC">
        <w:rPr>
          <w:rFonts w:ascii="Arial" w:hAnsi="Arial" w:cs="Arial"/>
          <w:sz w:val="20"/>
          <w:szCs w:val="20"/>
        </w:rPr>
        <w:t>6</w:t>
      </w:r>
      <w:r w:rsidRPr="003516DC">
        <w:rPr>
          <w:rFonts w:ascii="Arial" w:hAnsi="Arial" w:cs="Arial"/>
          <w:sz w:val="20"/>
          <w:szCs w:val="20"/>
        </w:rPr>
        <w:t xml:space="preserve">.7% of urban dwellers live in disadvantaged urban areas and 1.63% </w:t>
      </w:r>
      <w:r w:rsidR="007A3DE7" w:rsidRPr="003516DC">
        <w:rPr>
          <w:rFonts w:ascii="Arial" w:hAnsi="Arial" w:cs="Arial"/>
          <w:sz w:val="20"/>
          <w:szCs w:val="20"/>
        </w:rPr>
        <w:t xml:space="preserve">live </w:t>
      </w:r>
      <w:r w:rsidRPr="003516DC">
        <w:rPr>
          <w:rFonts w:ascii="Arial" w:hAnsi="Arial" w:cs="Arial"/>
          <w:sz w:val="20"/>
          <w:szCs w:val="20"/>
        </w:rPr>
        <w:t>in marginali</w:t>
      </w:r>
      <w:r w:rsidR="007A3DE7" w:rsidRPr="003516DC">
        <w:rPr>
          <w:rFonts w:ascii="Arial" w:hAnsi="Arial" w:cs="Arial"/>
          <w:sz w:val="20"/>
          <w:szCs w:val="20"/>
        </w:rPr>
        <w:t>s</w:t>
      </w:r>
      <w:r w:rsidRPr="003516DC">
        <w:rPr>
          <w:rFonts w:ascii="Arial" w:hAnsi="Arial" w:cs="Arial"/>
          <w:sz w:val="20"/>
          <w:szCs w:val="20"/>
        </w:rPr>
        <w:t>ed urban areas, while 7.9% of the rural population lives in marginali</w:t>
      </w:r>
      <w:r w:rsidR="00155236" w:rsidRPr="003516DC">
        <w:rPr>
          <w:rFonts w:ascii="Arial" w:hAnsi="Arial" w:cs="Arial"/>
          <w:sz w:val="20"/>
          <w:szCs w:val="20"/>
        </w:rPr>
        <w:t>s</w:t>
      </w:r>
      <w:r w:rsidRPr="003516DC">
        <w:rPr>
          <w:rFonts w:ascii="Arial" w:hAnsi="Arial" w:cs="Arial"/>
          <w:sz w:val="20"/>
          <w:szCs w:val="20"/>
        </w:rPr>
        <w:t>ed rural areas</w:t>
      </w:r>
      <w:r w:rsidR="007030C4" w:rsidRPr="003516DC">
        <w:rPr>
          <w:rStyle w:val="FootnoteReference"/>
          <w:rFonts w:ascii="Arial" w:hAnsi="Arial" w:cs="Arial"/>
          <w:sz w:val="20"/>
          <w:szCs w:val="20"/>
        </w:rPr>
        <w:footnoteReference w:id="85"/>
      </w:r>
      <w:r w:rsidRPr="003516DC">
        <w:rPr>
          <w:rFonts w:ascii="Arial" w:hAnsi="Arial" w:cs="Arial"/>
          <w:sz w:val="20"/>
          <w:szCs w:val="20"/>
        </w:rPr>
        <w:t>.</w:t>
      </w:r>
    </w:p>
    <w:p w14:paraId="225BC9EB" w14:textId="1EE8AF53" w:rsidR="0035231D" w:rsidRPr="0035231D" w:rsidRDefault="0035231D" w:rsidP="00E42342">
      <w:pPr>
        <w:pStyle w:val="Heading4"/>
        <w:numPr>
          <w:ilvl w:val="0"/>
          <w:numId w:val="271"/>
        </w:numPr>
        <w:spacing w:before="0" w:after="120"/>
        <w:jc w:val="both"/>
        <w:rPr>
          <w:sz w:val="20"/>
          <w:szCs w:val="20"/>
        </w:rPr>
      </w:pPr>
      <w:r w:rsidRPr="0035231D">
        <w:rPr>
          <w:sz w:val="20"/>
          <w:szCs w:val="20"/>
        </w:rPr>
        <w:t>Digitalisation and technology transfer</w:t>
      </w:r>
    </w:p>
    <w:p w14:paraId="22314BB8" w14:textId="5D9EB653" w:rsidR="00A049A8" w:rsidRPr="003516DC" w:rsidRDefault="00A049A8" w:rsidP="0035231D">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sz w:val="20"/>
          <w:szCs w:val="20"/>
        </w:rPr>
        <w:t>digitali</w:t>
      </w:r>
      <w:r w:rsidR="00D302C2" w:rsidRPr="003516DC">
        <w:rPr>
          <w:rFonts w:ascii="Arial" w:hAnsi="Arial" w:cs="Arial"/>
          <w:b/>
          <w:sz w:val="20"/>
          <w:szCs w:val="20"/>
        </w:rPr>
        <w:t>s</w:t>
      </w:r>
      <w:r w:rsidRPr="003516DC">
        <w:rPr>
          <w:rFonts w:ascii="Arial" w:hAnsi="Arial" w:cs="Arial"/>
          <w:b/>
          <w:sz w:val="20"/>
          <w:szCs w:val="20"/>
        </w:rPr>
        <w:t>ation/technology transfer</w:t>
      </w:r>
      <w:r w:rsidRPr="003516DC">
        <w:rPr>
          <w:rFonts w:ascii="Arial" w:hAnsi="Arial" w:cs="Arial"/>
          <w:sz w:val="20"/>
          <w:szCs w:val="20"/>
        </w:rPr>
        <w:t xml:space="preserve"> perspective, the considerable increase in turnover in manufacturing at </w:t>
      </w:r>
      <w:r w:rsidR="009A3B4F" w:rsidRPr="003516DC">
        <w:rPr>
          <w:rFonts w:ascii="Arial" w:hAnsi="Arial" w:cs="Arial"/>
          <w:sz w:val="20"/>
          <w:szCs w:val="20"/>
        </w:rPr>
        <w:t xml:space="preserve">the </w:t>
      </w:r>
      <w:r w:rsidRPr="003516DC">
        <w:rPr>
          <w:rFonts w:ascii="Arial" w:hAnsi="Arial" w:cs="Arial"/>
          <w:sz w:val="20"/>
          <w:szCs w:val="20"/>
        </w:rPr>
        <w:t xml:space="preserve">county level is fuelled by the increase in technology-intensive activities. While Dolj </w:t>
      </w:r>
      <w:r w:rsidR="00350AA9" w:rsidRPr="003516DC">
        <w:rPr>
          <w:rFonts w:ascii="Arial" w:hAnsi="Arial" w:cs="Arial"/>
          <w:sz w:val="20"/>
          <w:szCs w:val="20"/>
        </w:rPr>
        <w:t>c</w:t>
      </w:r>
      <w:r w:rsidRPr="003516DC">
        <w:rPr>
          <w:rFonts w:ascii="Arial" w:hAnsi="Arial" w:cs="Arial"/>
          <w:sz w:val="20"/>
          <w:szCs w:val="20"/>
        </w:rPr>
        <w:t>ounty scored the highest turnover for “</w:t>
      </w:r>
      <w:r w:rsidR="009A3B4F" w:rsidRPr="003516DC">
        <w:rPr>
          <w:rFonts w:ascii="Arial" w:hAnsi="Arial" w:cs="Arial"/>
          <w:sz w:val="20"/>
          <w:szCs w:val="20"/>
        </w:rPr>
        <w:t>m</w:t>
      </w:r>
      <w:r w:rsidRPr="003516DC">
        <w:rPr>
          <w:rFonts w:ascii="Arial" w:hAnsi="Arial" w:cs="Arial"/>
          <w:sz w:val="20"/>
          <w:szCs w:val="20"/>
        </w:rPr>
        <w:t xml:space="preserve">anufacturing” among the six JTP counties, it also recorded the best turnover growth for </w:t>
      </w:r>
      <w:r w:rsidR="009A3B4F" w:rsidRPr="003516DC">
        <w:rPr>
          <w:rFonts w:ascii="Arial" w:hAnsi="Arial" w:cs="Arial"/>
          <w:sz w:val="20"/>
          <w:szCs w:val="20"/>
        </w:rPr>
        <w:t>m</w:t>
      </w:r>
      <w:r w:rsidRPr="003516DC">
        <w:rPr>
          <w:rFonts w:ascii="Arial" w:hAnsi="Arial" w:cs="Arial"/>
          <w:sz w:val="20"/>
          <w:szCs w:val="20"/>
        </w:rPr>
        <w:t>edium-</w:t>
      </w:r>
      <w:r w:rsidR="009A3B4F" w:rsidRPr="003516DC">
        <w:rPr>
          <w:rFonts w:ascii="Arial" w:hAnsi="Arial" w:cs="Arial"/>
          <w:sz w:val="20"/>
          <w:szCs w:val="20"/>
        </w:rPr>
        <w:t>h</w:t>
      </w:r>
      <w:r w:rsidRPr="003516DC">
        <w:rPr>
          <w:rFonts w:ascii="Arial" w:hAnsi="Arial" w:cs="Arial"/>
          <w:sz w:val="20"/>
          <w:szCs w:val="20"/>
        </w:rPr>
        <w:t xml:space="preserve">igh technology intensive activities (see </w:t>
      </w:r>
      <w:r w:rsidR="00830199" w:rsidRPr="003516DC">
        <w:rPr>
          <w:rFonts w:ascii="Arial" w:hAnsi="Arial" w:cs="Arial"/>
          <w:sz w:val="20"/>
          <w:szCs w:val="20"/>
        </w:rPr>
        <w:t>T</w:t>
      </w:r>
      <w:r w:rsidRPr="003516DC">
        <w:rPr>
          <w:rFonts w:ascii="Arial" w:hAnsi="Arial" w:cs="Arial"/>
          <w:sz w:val="20"/>
          <w:szCs w:val="20"/>
        </w:rPr>
        <w:t>able</w:t>
      </w:r>
      <w:r w:rsidR="00830199" w:rsidRPr="003516DC">
        <w:rPr>
          <w:rFonts w:ascii="Arial" w:hAnsi="Arial" w:cs="Arial"/>
          <w:sz w:val="20"/>
          <w:szCs w:val="20"/>
        </w:rPr>
        <w:t xml:space="preserve"> </w:t>
      </w:r>
      <w:r w:rsidR="004E2DCB">
        <w:rPr>
          <w:rFonts w:ascii="Arial" w:hAnsi="Arial" w:cs="Arial"/>
          <w:sz w:val="20"/>
          <w:szCs w:val="20"/>
        </w:rPr>
        <w:t>34</w:t>
      </w:r>
      <w:r w:rsidRPr="003516DC">
        <w:rPr>
          <w:rFonts w:ascii="Arial" w:hAnsi="Arial" w:cs="Arial"/>
          <w:sz w:val="20"/>
          <w:szCs w:val="20"/>
        </w:rPr>
        <w:t>).</w:t>
      </w:r>
      <w:r w:rsidR="00601D9A" w:rsidRPr="003516DC">
        <w:rPr>
          <w:rFonts w:ascii="Arial" w:hAnsi="Arial" w:cs="Arial"/>
          <w:sz w:val="20"/>
          <w:szCs w:val="20"/>
        </w:rPr>
        <w:t xml:space="preserve"> The growth trend for knowledge intensive businesses is also prevalent in the services sector (see Table </w:t>
      </w:r>
      <w:r w:rsidR="004E2DCB">
        <w:rPr>
          <w:rFonts w:ascii="Arial" w:hAnsi="Arial" w:cs="Arial"/>
          <w:sz w:val="20"/>
          <w:szCs w:val="20"/>
        </w:rPr>
        <w:t>35</w:t>
      </w:r>
      <w:r w:rsidR="00601D9A" w:rsidRPr="003516DC">
        <w:rPr>
          <w:rFonts w:ascii="Arial" w:hAnsi="Arial" w:cs="Arial"/>
          <w:sz w:val="20"/>
          <w:szCs w:val="20"/>
        </w:rPr>
        <w:t>).</w:t>
      </w:r>
    </w:p>
    <w:p w14:paraId="2902C07E" w14:textId="2CC5667F" w:rsidR="00A049A8" w:rsidRPr="003516DC" w:rsidRDefault="00A049A8" w:rsidP="0035231D">
      <w:pPr>
        <w:pStyle w:val="Caption"/>
        <w:spacing w:before="0"/>
        <w:ind w:left="0" w:firstLine="0"/>
      </w:pPr>
      <w:bookmarkStart w:id="162" w:name="_Toc90725988"/>
      <w:bookmarkStart w:id="163" w:name="_Toc90727285"/>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34</w:t>
      </w:r>
      <w:r w:rsidR="0040363E" w:rsidRPr="003516DC">
        <w:rPr>
          <w:noProof/>
        </w:rPr>
        <w:fldChar w:fldCharType="end"/>
      </w:r>
      <w:r w:rsidRPr="003516DC">
        <w:t>: Evolution of manufacturing industry by technology intensiveness in Dolj county</w:t>
      </w:r>
      <w:bookmarkEnd w:id="162"/>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A049A8" w:rsidRPr="003516DC" w14:paraId="295A5A34" w14:textId="77777777" w:rsidTr="0094603F">
        <w:trPr>
          <w:trHeight w:val="315"/>
        </w:trPr>
        <w:tc>
          <w:tcPr>
            <w:tcW w:w="2214" w:type="pct"/>
            <w:vMerge w:val="restart"/>
            <w:shd w:val="clear" w:color="auto" w:fill="002060"/>
            <w:noWrap/>
            <w:vAlign w:val="center"/>
            <w:hideMark/>
          </w:tcPr>
          <w:p w14:paraId="200BE715" w14:textId="77777777" w:rsidR="00A049A8" w:rsidRPr="003516DC" w:rsidRDefault="00A049A8" w:rsidP="00B609EF">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03ACE59A" w14:textId="77777777" w:rsidR="00A049A8" w:rsidRPr="003516DC" w:rsidRDefault="00A049A8"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1AF0F7AD" w14:textId="77777777" w:rsidR="00A049A8" w:rsidRPr="003516DC" w:rsidRDefault="00A049A8"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A049A8" w:rsidRPr="003516DC" w14:paraId="687F893F" w14:textId="77777777" w:rsidTr="0094603F">
        <w:trPr>
          <w:trHeight w:val="315"/>
        </w:trPr>
        <w:tc>
          <w:tcPr>
            <w:tcW w:w="2214" w:type="pct"/>
            <w:vMerge/>
            <w:shd w:val="clear" w:color="auto" w:fill="002060"/>
            <w:vAlign w:val="center"/>
            <w:hideMark/>
          </w:tcPr>
          <w:p w14:paraId="0A4332C5" w14:textId="77777777" w:rsidR="00A049A8" w:rsidRPr="003516DC" w:rsidRDefault="00A049A8" w:rsidP="00B609EF">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4EFF53AE" w14:textId="77777777" w:rsidR="00A049A8" w:rsidRPr="003516DC" w:rsidRDefault="00A049A8" w:rsidP="00B609EF">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343A292E" w14:textId="77777777" w:rsidR="00A049A8" w:rsidRPr="003516DC" w:rsidRDefault="00A049A8" w:rsidP="00B609EF">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364AA3ED" w14:textId="77777777" w:rsidR="00A049A8" w:rsidRPr="003516DC" w:rsidRDefault="00A049A8" w:rsidP="00B609EF">
            <w:pPr>
              <w:rPr>
                <w:rFonts w:ascii="Arial" w:eastAsia="Times New Roman" w:hAnsi="Arial" w:cs="Arial"/>
                <w:color w:val="000000"/>
                <w:sz w:val="18"/>
                <w:szCs w:val="18"/>
                <w:lang w:val="en-US"/>
              </w:rPr>
            </w:pPr>
          </w:p>
        </w:tc>
      </w:tr>
      <w:tr w:rsidR="00A049A8" w:rsidRPr="003516DC" w14:paraId="47EEBBAE" w14:textId="77777777" w:rsidTr="0094603F">
        <w:trPr>
          <w:trHeight w:val="315"/>
        </w:trPr>
        <w:tc>
          <w:tcPr>
            <w:tcW w:w="2214" w:type="pct"/>
            <w:shd w:val="clear" w:color="auto" w:fill="auto"/>
            <w:noWrap/>
            <w:vAlign w:val="center"/>
            <w:hideMark/>
          </w:tcPr>
          <w:p w14:paraId="7FC12108" w14:textId="77777777" w:rsidR="00A049A8" w:rsidRPr="003516DC" w:rsidRDefault="00A049A8" w:rsidP="00A049A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TOTAL - Manufacturing</w:t>
            </w:r>
          </w:p>
        </w:tc>
        <w:tc>
          <w:tcPr>
            <w:tcW w:w="858" w:type="pct"/>
            <w:shd w:val="clear" w:color="auto" w:fill="auto"/>
            <w:noWrap/>
            <w:vAlign w:val="center"/>
          </w:tcPr>
          <w:p w14:paraId="2F1D265F" w14:textId="0397A5D7"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2,959,368,312</w:t>
            </w:r>
          </w:p>
        </w:tc>
        <w:tc>
          <w:tcPr>
            <w:tcW w:w="968" w:type="pct"/>
            <w:shd w:val="clear" w:color="auto" w:fill="auto"/>
            <w:noWrap/>
            <w:vAlign w:val="center"/>
          </w:tcPr>
          <w:p w14:paraId="0C55C4BC" w14:textId="6BC1CBDF"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14,692,534,042</w:t>
            </w:r>
          </w:p>
        </w:tc>
        <w:tc>
          <w:tcPr>
            <w:tcW w:w="960" w:type="pct"/>
            <w:shd w:val="clear" w:color="auto" w:fill="auto"/>
            <w:noWrap/>
            <w:vAlign w:val="center"/>
          </w:tcPr>
          <w:p w14:paraId="516918F1" w14:textId="04B70EA5"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396.48%</w:t>
            </w:r>
          </w:p>
        </w:tc>
      </w:tr>
      <w:tr w:rsidR="00A049A8" w:rsidRPr="003516DC" w14:paraId="399CA13D" w14:textId="77777777" w:rsidTr="0094603F">
        <w:trPr>
          <w:trHeight w:val="315"/>
        </w:trPr>
        <w:tc>
          <w:tcPr>
            <w:tcW w:w="2214" w:type="pct"/>
            <w:shd w:val="clear" w:color="auto" w:fill="auto"/>
            <w:noWrap/>
            <w:vAlign w:val="center"/>
            <w:hideMark/>
          </w:tcPr>
          <w:p w14:paraId="2CA2CBCB" w14:textId="77777777" w:rsidR="00A049A8" w:rsidRPr="003516DC" w:rsidRDefault="00A049A8" w:rsidP="00A049A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tcPr>
          <w:p w14:paraId="7C70EC74" w14:textId="7DB98151"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13,501,912</w:t>
            </w:r>
          </w:p>
        </w:tc>
        <w:tc>
          <w:tcPr>
            <w:tcW w:w="968" w:type="pct"/>
            <w:shd w:val="clear" w:color="auto" w:fill="auto"/>
            <w:noWrap/>
            <w:vAlign w:val="center"/>
          </w:tcPr>
          <w:p w14:paraId="132C29CF" w14:textId="50A2F52A" w:rsidR="00A049A8" w:rsidRPr="003516DC" w:rsidRDefault="00A049A8" w:rsidP="00A049A8">
            <w:pPr>
              <w:ind w:firstLineChars="100" w:firstLine="180"/>
              <w:jc w:val="right"/>
              <w:rPr>
                <w:rFonts w:ascii="Arial" w:eastAsia="Times New Roman" w:hAnsi="Arial" w:cs="Arial"/>
                <w:bCs/>
                <w:color w:val="000000"/>
                <w:sz w:val="18"/>
                <w:szCs w:val="18"/>
                <w:lang w:val="en-US"/>
              </w:rPr>
            </w:pPr>
            <w:r w:rsidRPr="003516DC">
              <w:rPr>
                <w:rFonts w:ascii="Arial" w:hAnsi="Arial" w:cs="Arial"/>
                <w:bCs/>
                <w:sz w:val="18"/>
                <w:szCs w:val="18"/>
              </w:rPr>
              <w:t>50,549,598</w:t>
            </w:r>
          </w:p>
        </w:tc>
        <w:tc>
          <w:tcPr>
            <w:tcW w:w="960" w:type="pct"/>
            <w:shd w:val="clear" w:color="auto" w:fill="auto"/>
            <w:noWrap/>
            <w:vAlign w:val="center"/>
          </w:tcPr>
          <w:p w14:paraId="204CB3DB" w14:textId="16A4261A"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274.39%</w:t>
            </w:r>
          </w:p>
        </w:tc>
      </w:tr>
      <w:tr w:rsidR="00A049A8" w:rsidRPr="003516DC" w14:paraId="2A4A2BDC" w14:textId="77777777" w:rsidTr="0094603F">
        <w:trPr>
          <w:trHeight w:val="315"/>
        </w:trPr>
        <w:tc>
          <w:tcPr>
            <w:tcW w:w="2214" w:type="pct"/>
            <w:shd w:val="clear" w:color="auto" w:fill="auto"/>
            <w:noWrap/>
            <w:vAlign w:val="center"/>
            <w:hideMark/>
          </w:tcPr>
          <w:p w14:paraId="48E28258" w14:textId="77777777" w:rsidR="00A049A8" w:rsidRPr="003516DC" w:rsidRDefault="00A049A8" w:rsidP="00A049A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Medium-High technology intensive</w:t>
            </w:r>
          </w:p>
        </w:tc>
        <w:tc>
          <w:tcPr>
            <w:tcW w:w="858" w:type="pct"/>
            <w:shd w:val="clear" w:color="auto" w:fill="auto"/>
            <w:noWrap/>
            <w:vAlign w:val="center"/>
          </w:tcPr>
          <w:p w14:paraId="34AF3400" w14:textId="32565EC1"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1,294,258,607</w:t>
            </w:r>
          </w:p>
        </w:tc>
        <w:tc>
          <w:tcPr>
            <w:tcW w:w="968" w:type="pct"/>
            <w:shd w:val="clear" w:color="auto" w:fill="auto"/>
            <w:noWrap/>
            <w:vAlign w:val="center"/>
          </w:tcPr>
          <w:p w14:paraId="406AA929" w14:textId="367DEB81" w:rsidR="00A049A8" w:rsidRPr="003516DC" w:rsidRDefault="00A049A8" w:rsidP="00A049A8">
            <w:pPr>
              <w:ind w:firstLineChars="100" w:firstLine="180"/>
              <w:jc w:val="right"/>
              <w:rPr>
                <w:rFonts w:ascii="Arial" w:eastAsia="Times New Roman" w:hAnsi="Arial" w:cs="Arial"/>
                <w:bCs/>
                <w:color w:val="000000"/>
                <w:sz w:val="18"/>
                <w:szCs w:val="18"/>
                <w:lang w:val="en-US"/>
              </w:rPr>
            </w:pPr>
            <w:r w:rsidRPr="003516DC">
              <w:rPr>
                <w:rFonts w:ascii="Arial" w:hAnsi="Arial" w:cs="Arial"/>
                <w:bCs/>
                <w:sz w:val="18"/>
                <w:szCs w:val="18"/>
              </w:rPr>
              <w:t>12,166,620,883</w:t>
            </w:r>
          </w:p>
        </w:tc>
        <w:tc>
          <w:tcPr>
            <w:tcW w:w="960" w:type="pct"/>
            <w:shd w:val="clear" w:color="auto" w:fill="auto"/>
            <w:noWrap/>
            <w:vAlign w:val="center"/>
          </w:tcPr>
          <w:p w14:paraId="56E85678" w14:textId="17C08217"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840.05%</w:t>
            </w:r>
          </w:p>
        </w:tc>
      </w:tr>
      <w:tr w:rsidR="00A049A8" w:rsidRPr="003516DC" w14:paraId="6F27144E" w14:textId="77777777" w:rsidTr="0094603F">
        <w:trPr>
          <w:trHeight w:val="315"/>
        </w:trPr>
        <w:tc>
          <w:tcPr>
            <w:tcW w:w="2214" w:type="pct"/>
            <w:shd w:val="clear" w:color="auto" w:fill="auto"/>
            <w:noWrap/>
            <w:vAlign w:val="center"/>
            <w:hideMark/>
          </w:tcPr>
          <w:p w14:paraId="7A8170D5" w14:textId="77777777" w:rsidR="00A049A8" w:rsidRPr="003516DC" w:rsidRDefault="00A049A8" w:rsidP="00A049A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Medium-Low technology intensive</w:t>
            </w:r>
          </w:p>
        </w:tc>
        <w:tc>
          <w:tcPr>
            <w:tcW w:w="858" w:type="pct"/>
            <w:shd w:val="clear" w:color="auto" w:fill="auto"/>
            <w:noWrap/>
            <w:vAlign w:val="center"/>
          </w:tcPr>
          <w:p w14:paraId="52D29A62" w14:textId="4F4B781B"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585,379,832</w:t>
            </w:r>
          </w:p>
        </w:tc>
        <w:tc>
          <w:tcPr>
            <w:tcW w:w="968" w:type="pct"/>
            <w:shd w:val="clear" w:color="auto" w:fill="auto"/>
            <w:noWrap/>
            <w:vAlign w:val="center"/>
          </w:tcPr>
          <w:p w14:paraId="747976F1" w14:textId="1D4B9627" w:rsidR="00A049A8" w:rsidRPr="003516DC" w:rsidRDefault="00A049A8" w:rsidP="00A049A8">
            <w:pPr>
              <w:ind w:firstLineChars="100" w:firstLine="180"/>
              <w:jc w:val="right"/>
              <w:rPr>
                <w:rFonts w:ascii="Arial" w:eastAsia="Times New Roman" w:hAnsi="Arial" w:cs="Arial"/>
                <w:bCs/>
                <w:color w:val="000000"/>
                <w:sz w:val="18"/>
                <w:szCs w:val="18"/>
                <w:lang w:val="en-US"/>
              </w:rPr>
            </w:pPr>
            <w:r w:rsidRPr="003516DC">
              <w:rPr>
                <w:rFonts w:ascii="Arial" w:hAnsi="Arial" w:cs="Arial"/>
                <w:bCs/>
                <w:sz w:val="18"/>
                <w:szCs w:val="18"/>
              </w:rPr>
              <w:t>1,374,514,303</w:t>
            </w:r>
          </w:p>
        </w:tc>
        <w:tc>
          <w:tcPr>
            <w:tcW w:w="960" w:type="pct"/>
            <w:shd w:val="clear" w:color="auto" w:fill="auto"/>
            <w:noWrap/>
            <w:vAlign w:val="center"/>
          </w:tcPr>
          <w:p w14:paraId="72D4F77B" w14:textId="77CC10AF"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134.81%</w:t>
            </w:r>
          </w:p>
        </w:tc>
      </w:tr>
      <w:tr w:rsidR="00A049A8" w:rsidRPr="003516DC" w14:paraId="398C52C0" w14:textId="77777777" w:rsidTr="0094603F">
        <w:trPr>
          <w:trHeight w:val="315"/>
        </w:trPr>
        <w:tc>
          <w:tcPr>
            <w:tcW w:w="2214" w:type="pct"/>
            <w:shd w:val="clear" w:color="auto" w:fill="auto"/>
            <w:noWrap/>
            <w:vAlign w:val="center"/>
            <w:hideMark/>
          </w:tcPr>
          <w:p w14:paraId="4942E075" w14:textId="77777777" w:rsidR="00A049A8" w:rsidRPr="003516DC" w:rsidRDefault="00A049A8" w:rsidP="00A049A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tcPr>
          <w:p w14:paraId="25A9C68A" w14:textId="6AA90474"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1,066,227,961</w:t>
            </w:r>
          </w:p>
        </w:tc>
        <w:tc>
          <w:tcPr>
            <w:tcW w:w="968" w:type="pct"/>
            <w:shd w:val="clear" w:color="auto" w:fill="auto"/>
            <w:noWrap/>
            <w:vAlign w:val="center"/>
          </w:tcPr>
          <w:p w14:paraId="7D327465" w14:textId="711CD225" w:rsidR="00A049A8" w:rsidRPr="003516DC" w:rsidRDefault="00A049A8" w:rsidP="00A049A8">
            <w:pPr>
              <w:ind w:firstLineChars="100" w:firstLine="180"/>
              <w:jc w:val="right"/>
              <w:rPr>
                <w:rFonts w:ascii="Arial" w:eastAsia="Times New Roman" w:hAnsi="Arial" w:cs="Arial"/>
                <w:bCs/>
                <w:color w:val="000000"/>
                <w:sz w:val="18"/>
                <w:szCs w:val="18"/>
                <w:lang w:val="en-US"/>
              </w:rPr>
            </w:pPr>
            <w:r w:rsidRPr="003516DC">
              <w:rPr>
                <w:rFonts w:ascii="Arial" w:hAnsi="Arial" w:cs="Arial"/>
                <w:bCs/>
                <w:sz w:val="18"/>
                <w:szCs w:val="18"/>
              </w:rPr>
              <w:t>1,100,849,258</w:t>
            </w:r>
          </w:p>
        </w:tc>
        <w:tc>
          <w:tcPr>
            <w:tcW w:w="960" w:type="pct"/>
            <w:shd w:val="clear" w:color="auto" w:fill="auto"/>
            <w:noWrap/>
            <w:vAlign w:val="center"/>
          </w:tcPr>
          <w:p w14:paraId="13A845D9" w14:textId="79B6C6E1" w:rsidR="00A049A8" w:rsidRPr="003516DC" w:rsidRDefault="00A049A8" w:rsidP="00A049A8">
            <w:pPr>
              <w:jc w:val="right"/>
              <w:rPr>
                <w:rFonts w:ascii="Arial" w:eastAsia="Times New Roman" w:hAnsi="Arial" w:cs="Arial"/>
                <w:bCs/>
                <w:color w:val="000000"/>
                <w:sz w:val="18"/>
                <w:szCs w:val="18"/>
                <w:lang w:val="en-US"/>
              </w:rPr>
            </w:pPr>
            <w:r w:rsidRPr="003516DC">
              <w:rPr>
                <w:rFonts w:ascii="Arial" w:hAnsi="Arial" w:cs="Arial"/>
                <w:bCs/>
                <w:sz w:val="18"/>
                <w:szCs w:val="18"/>
              </w:rPr>
              <w:t>3.25%</w:t>
            </w:r>
          </w:p>
        </w:tc>
      </w:tr>
    </w:tbl>
    <w:p w14:paraId="51634BA4" w14:textId="12ACD739" w:rsidR="00B609EF" w:rsidRPr="003516DC" w:rsidRDefault="00B609EF" w:rsidP="00B609EF">
      <w:pPr>
        <w:spacing w:after="240"/>
        <w:rPr>
          <w:rFonts w:ascii="Arial" w:hAnsi="Arial" w:cs="Arial"/>
          <w:i/>
          <w:color w:val="1155CC"/>
          <w:sz w:val="16"/>
          <w:szCs w:val="16"/>
          <w:u w:val="single"/>
        </w:rPr>
      </w:pPr>
      <w:r w:rsidRPr="003516DC">
        <w:rPr>
          <w:rFonts w:ascii="Arial" w:hAnsi="Arial" w:cs="Arial"/>
          <w:i/>
          <w:sz w:val="16"/>
          <w:szCs w:val="16"/>
        </w:rPr>
        <w:t xml:space="preserve">Source: processing of </w:t>
      </w:r>
      <w:r w:rsidR="0093379D" w:rsidRPr="003516DC">
        <w:rPr>
          <w:rFonts w:ascii="Arial" w:hAnsi="Arial" w:cs="Arial"/>
          <w:i/>
          <w:sz w:val="16"/>
          <w:szCs w:val="16"/>
        </w:rPr>
        <w:t xml:space="preserve">National Trade Register </w:t>
      </w:r>
      <w:r w:rsidRPr="003516DC">
        <w:rPr>
          <w:rFonts w:ascii="Arial" w:hAnsi="Arial" w:cs="Arial"/>
          <w:i/>
          <w:sz w:val="16"/>
          <w:szCs w:val="16"/>
        </w:rPr>
        <w:t>data, based on EC high tech classification of NACE codes</w:t>
      </w:r>
      <w:hyperlink r:id="rId94">
        <w:r w:rsidRPr="003516DC">
          <w:rPr>
            <w:rFonts w:ascii="Arial" w:hAnsi="Arial" w:cs="Arial"/>
            <w:i/>
            <w:sz w:val="16"/>
            <w:szCs w:val="16"/>
          </w:rPr>
          <w:t xml:space="preserve"> </w:t>
        </w:r>
      </w:hyperlink>
      <w:hyperlink r:id="rId95">
        <w:r w:rsidRPr="003516DC">
          <w:rPr>
            <w:rFonts w:ascii="Arial" w:hAnsi="Arial" w:cs="Arial"/>
            <w:i/>
            <w:color w:val="1155CC"/>
            <w:sz w:val="16"/>
            <w:szCs w:val="16"/>
            <w:u w:val="single"/>
          </w:rPr>
          <w:t>https://ec.europa.eu/eurostat/statistics-explained/index.php/Glossary:High-tech</w:t>
        </w:r>
      </w:hyperlink>
    </w:p>
    <w:p w14:paraId="10D38433" w14:textId="77777777" w:rsidR="00597139" w:rsidRDefault="00597139">
      <w:pPr>
        <w:spacing w:line="276" w:lineRule="auto"/>
        <w:rPr>
          <w:rFonts w:ascii="Arial" w:hAnsi="Arial" w:cs="Arial"/>
          <w:b/>
          <w:iCs/>
          <w:color w:val="4F81BD"/>
          <w:sz w:val="20"/>
          <w:szCs w:val="20"/>
          <w:lang w:eastAsia="en-US"/>
        </w:rPr>
      </w:pPr>
      <w:r>
        <w:br w:type="page"/>
      </w:r>
    </w:p>
    <w:p w14:paraId="08CFAED3" w14:textId="32479CC4" w:rsidR="00A049A8" w:rsidRPr="004E2DCB" w:rsidRDefault="00B609EF" w:rsidP="004E2DCB">
      <w:pPr>
        <w:pStyle w:val="Caption"/>
        <w:spacing w:before="0"/>
        <w:ind w:left="1138" w:hanging="1138"/>
      </w:pPr>
      <w:bookmarkStart w:id="164" w:name="_Toc90725989"/>
      <w:bookmarkStart w:id="165" w:name="_Toc90727286"/>
      <w:r w:rsidRPr="003516DC">
        <w:lastRenderedPageBreak/>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35</w:t>
      </w:r>
      <w:r w:rsidR="0040363E" w:rsidRPr="003516DC">
        <w:rPr>
          <w:noProof/>
        </w:rPr>
        <w:fldChar w:fldCharType="end"/>
      </w:r>
      <w:r w:rsidRPr="003516DC">
        <w:t>: Evolution of the services sector by knowledge intensiveness in Dolj county</w:t>
      </w:r>
      <w:bookmarkEnd w:id="164"/>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911"/>
        <w:gridCol w:w="1679"/>
        <w:gridCol w:w="1784"/>
      </w:tblGrid>
      <w:tr w:rsidR="00B609EF" w:rsidRPr="003516DC" w14:paraId="321DCE65" w14:textId="77777777" w:rsidTr="0035231D">
        <w:trPr>
          <w:trHeight w:val="300"/>
          <w:tblHeader/>
        </w:trPr>
        <w:tc>
          <w:tcPr>
            <w:tcW w:w="1991" w:type="pct"/>
            <w:vMerge w:val="restart"/>
            <w:shd w:val="clear" w:color="auto" w:fill="002060"/>
            <w:vAlign w:val="center"/>
            <w:hideMark/>
          </w:tcPr>
          <w:p w14:paraId="32A55DB4" w14:textId="77777777" w:rsidR="00B609EF" w:rsidRPr="003516DC" w:rsidRDefault="00B609EF" w:rsidP="00B609EF">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010" w:type="pct"/>
            <w:gridSpan w:val="2"/>
            <w:vMerge w:val="restart"/>
            <w:shd w:val="clear" w:color="auto" w:fill="002060"/>
            <w:vAlign w:val="center"/>
            <w:hideMark/>
          </w:tcPr>
          <w:p w14:paraId="0D088D06" w14:textId="77777777" w:rsidR="00B609EF" w:rsidRPr="003516DC" w:rsidRDefault="00B609EF"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99" w:type="pct"/>
            <w:shd w:val="clear" w:color="auto" w:fill="002060"/>
            <w:noWrap/>
            <w:vAlign w:val="center"/>
            <w:hideMark/>
          </w:tcPr>
          <w:p w14:paraId="1C16CF5C" w14:textId="77777777" w:rsidR="00B609EF" w:rsidRPr="003516DC" w:rsidRDefault="00B609EF"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B609EF" w:rsidRPr="003516DC" w14:paraId="1EED13DC" w14:textId="77777777" w:rsidTr="0035231D">
        <w:trPr>
          <w:trHeight w:val="317"/>
          <w:tblHeader/>
        </w:trPr>
        <w:tc>
          <w:tcPr>
            <w:tcW w:w="1991" w:type="pct"/>
            <w:vMerge/>
            <w:shd w:val="clear" w:color="auto" w:fill="002060"/>
            <w:vAlign w:val="center"/>
            <w:hideMark/>
          </w:tcPr>
          <w:p w14:paraId="3C83C797" w14:textId="77777777" w:rsidR="00B609EF" w:rsidRPr="003516DC" w:rsidRDefault="00B609EF" w:rsidP="00B609EF">
            <w:pPr>
              <w:rPr>
                <w:rFonts w:ascii="Arial" w:eastAsia="Times New Roman" w:hAnsi="Arial" w:cs="Arial"/>
                <w:b/>
                <w:bCs/>
                <w:color w:val="FFFFFF" w:themeColor="background1"/>
                <w:sz w:val="18"/>
                <w:szCs w:val="18"/>
                <w:lang w:val="en-US"/>
              </w:rPr>
            </w:pPr>
          </w:p>
        </w:tc>
        <w:tc>
          <w:tcPr>
            <w:tcW w:w="2010" w:type="pct"/>
            <w:gridSpan w:val="2"/>
            <w:vMerge/>
            <w:shd w:val="clear" w:color="auto" w:fill="002060"/>
            <w:vAlign w:val="center"/>
            <w:hideMark/>
          </w:tcPr>
          <w:p w14:paraId="268CCFF6" w14:textId="77777777" w:rsidR="00B609EF" w:rsidRPr="003516DC" w:rsidRDefault="00B609EF" w:rsidP="00B609EF">
            <w:pPr>
              <w:rPr>
                <w:rFonts w:ascii="Arial" w:eastAsia="Times New Roman" w:hAnsi="Arial" w:cs="Arial"/>
                <w:b/>
                <w:bCs/>
                <w:color w:val="FFFFFF" w:themeColor="background1"/>
                <w:sz w:val="18"/>
                <w:szCs w:val="18"/>
                <w:lang w:val="en-US"/>
              </w:rPr>
            </w:pPr>
          </w:p>
        </w:tc>
        <w:tc>
          <w:tcPr>
            <w:tcW w:w="999" w:type="pct"/>
            <w:vMerge w:val="restart"/>
            <w:shd w:val="clear" w:color="auto" w:fill="002060"/>
            <w:noWrap/>
            <w:vAlign w:val="center"/>
            <w:hideMark/>
          </w:tcPr>
          <w:p w14:paraId="0312DD9F" w14:textId="77777777" w:rsidR="00B609EF" w:rsidRPr="003516DC" w:rsidRDefault="00B609EF"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05CCDAA8" w14:textId="77777777" w:rsidR="00B609EF" w:rsidRPr="003516DC" w:rsidRDefault="00B609EF" w:rsidP="00B609EF">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B609EF" w:rsidRPr="003516DC" w14:paraId="28708920" w14:textId="77777777" w:rsidTr="0035231D">
        <w:trPr>
          <w:trHeight w:val="385"/>
          <w:tblHeader/>
        </w:trPr>
        <w:tc>
          <w:tcPr>
            <w:tcW w:w="1991" w:type="pct"/>
            <w:vMerge/>
            <w:vAlign w:val="center"/>
            <w:hideMark/>
          </w:tcPr>
          <w:p w14:paraId="081FAB91" w14:textId="77777777" w:rsidR="00B609EF" w:rsidRPr="003516DC" w:rsidRDefault="00B609EF" w:rsidP="00B609EF">
            <w:pPr>
              <w:rPr>
                <w:rFonts w:ascii="Arial" w:eastAsia="Times New Roman" w:hAnsi="Arial" w:cs="Arial"/>
                <w:b/>
                <w:bCs/>
                <w:color w:val="000000"/>
                <w:sz w:val="18"/>
                <w:szCs w:val="18"/>
                <w:lang w:val="en-US"/>
              </w:rPr>
            </w:pPr>
          </w:p>
        </w:tc>
        <w:tc>
          <w:tcPr>
            <w:tcW w:w="1070" w:type="pct"/>
            <w:shd w:val="clear" w:color="auto" w:fill="D9D9D9" w:themeFill="background1" w:themeFillShade="D9"/>
            <w:noWrap/>
            <w:vAlign w:val="center"/>
            <w:hideMark/>
          </w:tcPr>
          <w:p w14:paraId="42059D4C" w14:textId="77777777" w:rsidR="00B609EF" w:rsidRPr="003516DC" w:rsidRDefault="00B609EF" w:rsidP="00B609EF">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940" w:type="pct"/>
            <w:shd w:val="clear" w:color="auto" w:fill="D9D9D9" w:themeFill="background1" w:themeFillShade="D9"/>
            <w:vAlign w:val="center"/>
            <w:hideMark/>
          </w:tcPr>
          <w:p w14:paraId="6C7056F8" w14:textId="77777777" w:rsidR="00B609EF" w:rsidRPr="003516DC" w:rsidRDefault="00B609EF" w:rsidP="00B609EF">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999" w:type="pct"/>
            <w:vMerge/>
            <w:shd w:val="clear" w:color="000000" w:fill="FDE9D9"/>
            <w:noWrap/>
            <w:vAlign w:val="center"/>
            <w:hideMark/>
          </w:tcPr>
          <w:p w14:paraId="2CC54EE6" w14:textId="77777777" w:rsidR="00B609EF" w:rsidRPr="003516DC" w:rsidRDefault="00B609EF" w:rsidP="00B609EF">
            <w:pPr>
              <w:jc w:val="center"/>
              <w:rPr>
                <w:rFonts w:ascii="Arial" w:eastAsia="Times New Roman" w:hAnsi="Arial" w:cs="Arial"/>
                <w:b/>
                <w:bCs/>
                <w:color w:val="000000"/>
                <w:sz w:val="18"/>
                <w:szCs w:val="18"/>
                <w:lang w:val="en-US"/>
              </w:rPr>
            </w:pPr>
          </w:p>
        </w:tc>
      </w:tr>
      <w:tr w:rsidR="00B609EF" w:rsidRPr="003516DC" w14:paraId="3500B287" w14:textId="77777777" w:rsidTr="0094603F">
        <w:trPr>
          <w:trHeight w:val="315"/>
        </w:trPr>
        <w:tc>
          <w:tcPr>
            <w:tcW w:w="1991" w:type="pct"/>
            <w:shd w:val="clear" w:color="000000" w:fill="FFFFFF"/>
            <w:vAlign w:val="center"/>
            <w:hideMark/>
          </w:tcPr>
          <w:p w14:paraId="0049539D" w14:textId="77777777" w:rsidR="00B609EF" w:rsidRPr="003516DC" w:rsidRDefault="00B609EF" w:rsidP="00B609EF">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Total services</w:t>
            </w:r>
          </w:p>
        </w:tc>
        <w:tc>
          <w:tcPr>
            <w:tcW w:w="1070" w:type="pct"/>
            <w:shd w:val="clear" w:color="000000" w:fill="FFFFFF"/>
            <w:noWrap/>
            <w:vAlign w:val="center"/>
            <w:hideMark/>
          </w:tcPr>
          <w:p w14:paraId="18197059" w14:textId="728D842D"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904,794,546</w:t>
            </w:r>
          </w:p>
        </w:tc>
        <w:tc>
          <w:tcPr>
            <w:tcW w:w="940" w:type="pct"/>
            <w:shd w:val="clear" w:color="000000" w:fill="FFFFFF"/>
            <w:noWrap/>
            <w:vAlign w:val="center"/>
            <w:hideMark/>
          </w:tcPr>
          <w:p w14:paraId="22F7D6A9" w14:textId="46BF40CB"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2,445,633,899</w:t>
            </w:r>
          </w:p>
        </w:tc>
        <w:tc>
          <w:tcPr>
            <w:tcW w:w="999" w:type="pct"/>
            <w:shd w:val="clear" w:color="auto" w:fill="auto"/>
            <w:noWrap/>
            <w:vAlign w:val="center"/>
            <w:hideMark/>
          </w:tcPr>
          <w:p w14:paraId="18F2C873" w14:textId="67319E41" w:rsidR="00B609EF" w:rsidRPr="003516DC" w:rsidRDefault="00B609EF" w:rsidP="00B609EF">
            <w:pPr>
              <w:jc w:val="center"/>
              <w:rPr>
                <w:rFonts w:ascii="Arial" w:eastAsia="Times New Roman" w:hAnsi="Arial" w:cs="Arial"/>
                <w:b/>
                <w:color w:val="000000"/>
                <w:sz w:val="18"/>
                <w:szCs w:val="18"/>
                <w:lang w:val="en-US"/>
              </w:rPr>
            </w:pPr>
            <w:r w:rsidRPr="003516DC">
              <w:rPr>
                <w:rFonts w:ascii="Arial" w:hAnsi="Arial" w:cs="Arial"/>
                <w:b/>
                <w:sz w:val="18"/>
                <w:szCs w:val="18"/>
              </w:rPr>
              <w:t>170.30%</w:t>
            </w:r>
          </w:p>
        </w:tc>
      </w:tr>
      <w:tr w:rsidR="00B609EF" w:rsidRPr="003516DC" w14:paraId="0CD74405" w14:textId="77777777" w:rsidTr="0094603F">
        <w:trPr>
          <w:trHeight w:val="315"/>
        </w:trPr>
        <w:tc>
          <w:tcPr>
            <w:tcW w:w="1991" w:type="pct"/>
            <w:shd w:val="clear" w:color="auto" w:fill="auto"/>
            <w:noWrap/>
            <w:vAlign w:val="center"/>
            <w:hideMark/>
          </w:tcPr>
          <w:p w14:paraId="76CDBB35" w14:textId="77777777" w:rsidR="00B609EF" w:rsidRPr="003516DC" w:rsidRDefault="00B609EF" w:rsidP="00B609EF">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070" w:type="pct"/>
            <w:shd w:val="clear" w:color="auto" w:fill="auto"/>
            <w:noWrap/>
            <w:vAlign w:val="center"/>
            <w:hideMark/>
          </w:tcPr>
          <w:p w14:paraId="4D93DC1C" w14:textId="5826E7FD"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116,360,765</w:t>
            </w:r>
          </w:p>
        </w:tc>
        <w:tc>
          <w:tcPr>
            <w:tcW w:w="940" w:type="pct"/>
            <w:shd w:val="clear" w:color="auto" w:fill="auto"/>
            <w:noWrap/>
            <w:vAlign w:val="center"/>
            <w:hideMark/>
          </w:tcPr>
          <w:p w14:paraId="3C7001C1" w14:textId="51A21F62"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386,311,675</w:t>
            </w:r>
          </w:p>
        </w:tc>
        <w:tc>
          <w:tcPr>
            <w:tcW w:w="999" w:type="pct"/>
            <w:shd w:val="clear" w:color="auto" w:fill="auto"/>
            <w:noWrap/>
            <w:vAlign w:val="center"/>
            <w:hideMark/>
          </w:tcPr>
          <w:p w14:paraId="30000BF3" w14:textId="732C2D88" w:rsidR="00B609EF" w:rsidRPr="003516DC" w:rsidRDefault="00B609EF" w:rsidP="00B609EF">
            <w:pPr>
              <w:jc w:val="center"/>
              <w:rPr>
                <w:rFonts w:ascii="Arial" w:eastAsia="Times New Roman" w:hAnsi="Arial" w:cs="Arial"/>
                <w:b/>
                <w:color w:val="000000"/>
                <w:sz w:val="18"/>
                <w:szCs w:val="18"/>
                <w:lang w:val="en-US"/>
              </w:rPr>
            </w:pPr>
            <w:r w:rsidRPr="003516DC">
              <w:rPr>
                <w:rFonts w:ascii="Arial" w:hAnsi="Arial" w:cs="Arial"/>
                <w:b/>
                <w:sz w:val="18"/>
                <w:szCs w:val="18"/>
              </w:rPr>
              <w:t>231.99%</w:t>
            </w:r>
          </w:p>
        </w:tc>
      </w:tr>
      <w:tr w:rsidR="00B609EF" w:rsidRPr="003516DC" w14:paraId="771E42A7" w14:textId="77777777" w:rsidTr="0094603F">
        <w:trPr>
          <w:trHeight w:val="315"/>
        </w:trPr>
        <w:tc>
          <w:tcPr>
            <w:tcW w:w="1991" w:type="pct"/>
            <w:shd w:val="clear" w:color="auto" w:fill="auto"/>
            <w:vAlign w:val="center"/>
            <w:hideMark/>
          </w:tcPr>
          <w:p w14:paraId="39592605"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High-tech knowledge-intensive services:</w:t>
            </w:r>
          </w:p>
        </w:tc>
        <w:tc>
          <w:tcPr>
            <w:tcW w:w="1070" w:type="pct"/>
            <w:shd w:val="clear" w:color="auto" w:fill="auto"/>
            <w:noWrap/>
            <w:vAlign w:val="center"/>
            <w:hideMark/>
          </w:tcPr>
          <w:p w14:paraId="2C145C1E" w14:textId="084DC787"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25,579,406</w:t>
            </w:r>
          </w:p>
        </w:tc>
        <w:tc>
          <w:tcPr>
            <w:tcW w:w="940" w:type="pct"/>
            <w:shd w:val="clear" w:color="auto" w:fill="auto"/>
            <w:noWrap/>
            <w:vAlign w:val="center"/>
            <w:hideMark/>
          </w:tcPr>
          <w:p w14:paraId="241EBD9F" w14:textId="41F4B12C"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38,094,852</w:t>
            </w:r>
          </w:p>
        </w:tc>
        <w:tc>
          <w:tcPr>
            <w:tcW w:w="999" w:type="pct"/>
            <w:shd w:val="clear" w:color="auto" w:fill="auto"/>
            <w:noWrap/>
            <w:vAlign w:val="center"/>
            <w:hideMark/>
          </w:tcPr>
          <w:p w14:paraId="4A5D449E" w14:textId="541D5738"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48.93%</w:t>
            </w:r>
          </w:p>
        </w:tc>
      </w:tr>
      <w:tr w:rsidR="00B609EF" w:rsidRPr="003516DC" w14:paraId="1B27C86C" w14:textId="77777777" w:rsidTr="0094603F">
        <w:trPr>
          <w:trHeight w:val="315"/>
        </w:trPr>
        <w:tc>
          <w:tcPr>
            <w:tcW w:w="1991" w:type="pct"/>
            <w:shd w:val="clear" w:color="auto" w:fill="auto"/>
            <w:vAlign w:val="center"/>
            <w:hideMark/>
          </w:tcPr>
          <w:p w14:paraId="5EEFF807"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070" w:type="pct"/>
            <w:shd w:val="clear" w:color="auto" w:fill="auto"/>
            <w:noWrap/>
            <w:vAlign w:val="center"/>
            <w:hideMark/>
          </w:tcPr>
          <w:p w14:paraId="370B0C05" w14:textId="38771866"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5,720,506</w:t>
            </w:r>
          </w:p>
        </w:tc>
        <w:tc>
          <w:tcPr>
            <w:tcW w:w="940" w:type="pct"/>
            <w:shd w:val="clear" w:color="auto" w:fill="auto"/>
            <w:noWrap/>
            <w:vAlign w:val="center"/>
            <w:hideMark/>
          </w:tcPr>
          <w:p w14:paraId="3DD8EFBD" w14:textId="4B4B9943"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30,280,351</w:t>
            </w:r>
          </w:p>
        </w:tc>
        <w:tc>
          <w:tcPr>
            <w:tcW w:w="999" w:type="pct"/>
            <w:shd w:val="clear" w:color="auto" w:fill="auto"/>
            <w:noWrap/>
            <w:vAlign w:val="center"/>
            <w:hideMark/>
          </w:tcPr>
          <w:p w14:paraId="4671E9EB" w14:textId="6B7BC32D"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429.33%</w:t>
            </w:r>
          </w:p>
        </w:tc>
      </w:tr>
      <w:tr w:rsidR="00B609EF" w:rsidRPr="003516DC" w14:paraId="72B4CF42" w14:textId="77777777" w:rsidTr="0094603F">
        <w:trPr>
          <w:trHeight w:val="315"/>
        </w:trPr>
        <w:tc>
          <w:tcPr>
            <w:tcW w:w="1991" w:type="pct"/>
            <w:shd w:val="clear" w:color="auto" w:fill="auto"/>
            <w:vAlign w:val="center"/>
            <w:hideMark/>
          </w:tcPr>
          <w:p w14:paraId="604087DC"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070" w:type="pct"/>
            <w:shd w:val="clear" w:color="auto" w:fill="auto"/>
            <w:noWrap/>
            <w:vAlign w:val="center"/>
            <w:hideMark/>
          </w:tcPr>
          <w:p w14:paraId="26A8FEB5" w14:textId="1E3AE444"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85,060,853</w:t>
            </w:r>
          </w:p>
        </w:tc>
        <w:tc>
          <w:tcPr>
            <w:tcW w:w="940" w:type="pct"/>
            <w:shd w:val="clear" w:color="auto" w:fill="auto"/>
            <w:noWrap/>
            <w:vAlign w:val="center"/>
            <w:hideMark/>
          </w:tcPr>
          <w:p w14:paraId="3C401BED" w14:textId="2EDB3FB3"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317,936,472</w:t>
            </w:r>
          </w:p>
        </w:tc>
        <w:tc>
          <w:tcPr>
            <w:tcW w:w="999" w:type="pct"/>
            <w:shd w:val="clear" w:color="auto" w:fill="auto"/>
            <w:noWrap/>
            <w:vAlign w:val="center"/>
            <w:hideMark/>
          </w:tcPr>
          <w:p w14:paraId="027C3974" w14:textId="003ADDB4"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273.78%</w:t>
            </w:r>
          </w:p>
        </w:tc>
      </w:tr>
      <w:tr w:rsidR="00B609EF" w:rsidRPr="003516DC" w14:paraId="298043EE" w14:textId="77777777" w:rsidTr="0094603F">
        <w:trPr>
          <w:trHeight w:val="315"/>
        </w:trPr>
        <w:tc>
          <w:tcPr>
            <w:tcW w:w="1991" w:type="pct"/>
            <w:shd w:val="clear" w:color="auto" w:fill="auto"/>
            <w:vAlign w:val="center"/>
            <w:hideMark/>
          </w:tcPr>
          <w:p w14:paraId="1D80190F"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070" w:type="pct"/>
            <w:shd w:val="clear" w:color="auto" w:fill="auto"/>
            <w:noWrap/>
            <w:vAlign w:val="center"/>
            <w:hideMark/>
          </w:tcPr>
          <w:p w14:paraId="564E053A" w14:textId="5F9798D1"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252,533,463</w:t>
            </w:r>
          </w:p>
        </w:tc>
        <w:tc>
          <w:tcPr>
            <w:tcW w:w="940" w:type="pct"/>
            <w:shd w:val="clear" w:color="auto" w:fill="auto"/>
            <w:noWrap/>
            <w:vAlign w:val="center"/>
            <w:hideMark/>
          </w:tcPr>
          <w:p w14:paraId="0A2B656E" w14:textId="6AEA1B75"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246,710,817</w:t>
            </w:r>
          </w:p>
        </w:tc>
        <w:tc>
          <w:tcPr>
            <w:tcW w:w="999" w:type="pct"/>
            <w:shd w:val="clear" w:color="auto" w:fill="auto"/>
            <w:noWrap/>
            <w:vAlign w:val="center"/>
            <w:hideMark/>
          </w:tcPr>
          <w:p w14:paraId="3DDEDAE4" w14:textId="685061F7"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-2.31%</w:t>
            </w:r>
          </w:p>
        </w:tc>
      </w:tr>
      <w:tr w:rsidR="00B609EF" w:rsidRPr="003516DC" w14:paraId="132547A1" w14:textId="77777777" w:rsidTr="0094603F">
        <w:trPr>
          <w:trHeight w:val="315"/>
        </w:trPr>
        <w:tc>
          <w:tcPr>
            <w:tcW w:w="1991" w:type="pct"/>
            <w:shd w:val="clear" w:color="auto" w:fill="auto"/>
            <w:vAlign w:val="center"/>
            <w:hideMark/>
          </w:tcPr>
          <w:p w14:paraId="38BAD8E7"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070" w:type="pct"/>
            <w:shd w:val="clear" w:color="auto" w:fill="auto"/>
            <w:noWrap/>
            <w:vAlign w:val="center"/>
            <w:hideMark/>
          </w:tcPr>
          <w:p w14:paraId="731FEEC8" w14:textId="0689C25F"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279,794,256</w:t>
            </w:r>
          </w:p>
        </w:tc>
        <w:tc>
          <w:tcPr>
            <w:tcW w:w="940" w:type="pct"/>
            <w:shd w:val="clear" w:color="auto" w:fill="auto"/>
            <w:noWrap/>
            <w:vAlign w:val="center"/>
            <w:hideMark/>
          </w:tcPr>
          <w:p w14:paraId="2B1858D5" w14:textId="072C6858"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756,492,393</w:t>
            </w:r>
          </w:p>
        </w:tc>
        <w:tc>
          <w:tcPr>
            <w:tcW w:w="999" w:type="pct"/>
            <w:shd w:val="clear" w:color="auto" w:fill="auto"/>
            <w:noWrap/>
            <w:vAlign w:val="center"/>
            <w:hideMark/>
          </w:tcPr>
          <w:p w14:paraId="6014A5B0" w14:textId="5060E91E"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170.37%</w:t>
            </w:r>
          </w:p>
        </w:tc>
      </w:tr>
      <w:tr w:rsidR="00B609EF" w:rsidRPr="003516DC" w14:paraId="5E3E3215" w14:textId="77777777" w:rsidTr="0094603F">
        <w:trPr>
          <w:trHeight w:val="315"/>
        </w:trPr>
        <w:tc>
          <w:tcPr>
            <w:tcW w:w="1991" w:type="pct"/>
            <w:shd w:val="clear" w:color="auto" w:fill="auto"/>
            <w:vAlign w:val="center"/>
            <w:hideMark/>
          </w:tcPr>
          <w:p w14:paraId="1839942D"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070" w:type="pct"/>
            <w:shd w:val="clear" w:color="auto" w:fill="auto"/>
            <w:noWrap/>
            <w:vAlign w:val="center"/>
            <w:hideMark/>
          </w:tcPr>
          <w:p w14:paraId="73F64E06" w14:textId="0234D240"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256,106,062</w:t>
            </w:r>
          </w:p>
        </w:tc>
        <w:tc>
          <w:tcPr>
            <w:tcW w:w="940" w:type="pct"/>
            <w:shd w:val="clear" w:color="auto" w:fill="auto"/>
            <w:noWrap/>
            <w:vAlign w:val="center"/>
            <w:hideMark/>
          </w:tcPr>
          <w:p w14:paraId="4B1C278D" w14:textId="2A27F097"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1,056,119,014</w:t>
            </w:r>
          </w:p>
        </w:tc>
        <w:tc>
          <w:tcPr>
            <w:tcW w:w="999" w:type="pct"/>
            <w:shd w:val="clear" w:color="auto" w:fill="auto"/>
            <w:noWrap/>
            <w:vAlign w:val="center"/>
            <w:hideMark/>
          </w:tcPr>
          <w:p w14:paraId="1226314E" w14:textId="5F1732D4"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312.38%</w:t>
            </w:r>
          </w:p>
        </w:tc>
      </w:tr>
      <w:tr w:rsidR="00B609EF" w:rsidRPr="003516DC" w14:paraId="14F256FB" w14:textId="77777777" w:rsidTr="0094603F">
        <w:trPr>
          <w:trHeight w:val="315"/>
        </w:trPr>
        <w:tc>
          <w:tcPr>
            <w:tcW w:w="1991" w:type="pct"/>
            <w:shd w:val="clear" w:color="auto" w:fill="auto"/>
            <w:vAlign w:val="center"/>
            <w:hideMark/>
          </w:tcPr>
          <w:p w14:paraId="13144B0A"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070" w:type="pct"/>
            <w:shd w:val="clear" w:color="auto" w:fill="auto"/>
            <w:noWrap/>
            <w:vAlign w:val="center"/>
            <w:hideMark/>
          </w:tcPr>
          <w:p w14:paraId="0C8F7855" w14:textId="32F9D415"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6,175,039,685</w:t>
            </w:r>
          </w:p>
        </w:tc>
        <w:tc>
          <w:tcPr>
            <w:tcW w:w="940" w:type="pct"/>
            <w:shd w:val="clear" w:color="auto" w:fill="auto"/>
            <w:noWrap/>
            <w:vAlign w:val="center"/>
            <w:hideMark/>
          </w:tcPr>
          <w:p w14:paraId="7708031B" w14:textId="7212542C"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11,840,757,744</w:t>
            </w:r>
          </w:p>
        </w:tc>
        <w:tc>
          <w:tcPr>
            <w:tcW w:w="999" w:type="pct"/>
            <w:shd w:val="clear" w:color="auto" w:fill="auto"/>
            <w:noWrap/>
            <w:vAlign w:val="center"/>
            <w:hideMark/>
          </w:tcPr>
          <w:p w14:paraId="096C25C9" w14:textId="19928428"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91.75%</w:t>
            </w:r>
          </w:p>
        </w:tc>
      </w:tr>
      <w:tr w:rsidR="00B609EF" w:rsidRPr="003516DC" w14:paraId="5263A954" w14:textId="77777777" w:rsidTr="0094603F">
        <w:trPr>
          <w:trHeight w:val="315"/>
        </w:trPr>
        <w:tc>
          <w:tcPr>
            <w:tcW w:w="1991" w:type="pct"/>
            <w:shd w:val="clear" w:color="auto" w:fill="auto"/>
            <w:noWrap/>
            <w:vAlign w:val="center"/>
            <w:hideMark/>
          </w:tcPr>
          <w:p w14:paraId="2FFF8F2F" w14:textId="77777777" w:rsidR="00B609EF" w:rsidRPr="003516DC" w:rsidRDefault="00B609EF" w:rsidP="00B609EF">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070" w:type="pct"/>
            <w:shd w:val="clear" w:color="auto" w:fill="auto"/>
            <w:noWrap/>
            <w:vAlign w:val="center"/>
            <w:hideMark/>
          </w:tcPr>
          <w:p w14:paraId="7A24DA28" w14:textId="7467F962"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6,140,658,062</w:t>
            </w:r>
          </w:p>
        </w:tc>
        <w:tc>
          <w:tcPr>
            <w:tcW w:w="940" w:type="pct"/>
            <w:shd w:val="clear" w:color="auto" w:fill="auto"/>
            <w:noWrap/>
            <w:vAlign w:val="center"/>
            <w:hideMark/>
          </w:tcPr>
          <w:p w14:paraId="72D239CC" w14:textId="00CE1773" w:rsidR="00B609EF" w:rsidRPr="003516DC" w:rsidRDefault="00B609EF" w:rsidP="00B609EF">
            <w:pPr>
              <w:jc w:val="right"/>
              <w:rPr>
                <w:rFonts w:ascii="Arial" w:eastAsia="Times New Roman" w:hAnsi="Arial" w:cs="Arial"/>
                <w:b/>
                <w:color w:val="000000"/>
                <w:sz w:val="18"/>
                <w:szCs w:val="18"/>
                <w:lang w:val="en-US"/>
              </w:rPr>
            </w:pPr>
            <w:r w:rsidRPr="003516DC">
              <w:rPr>
                <w:rFonts w:ascii="Arial" w:hAnsi="Arial" w:cs="Arial"/>
                <w:b/>
                <w:sz w:val="18"/>
                <w:szCs w:val="18"/>
              </w:rPr>
              <w:t>11,764,646,699</w:t>
            </w:r>
          </w:p>
        </w:tc>
        <w:tc>
          <w:tcPr>
            <w:tcW w:w="999" w:type="pct"/>
            <w:shd w:val="clear" w:color="auto" w:fill="auto"/>
            <w:noWrap/>
            <w:vAlign w:val="center"/>
            <w:hideMark/>
          </w:tcPr>
          <w:p w14:paraId="06003E53" w14:textId="5907881A" w:rsidR="00B609EF" w:rsidRPr="003516DC" w:rsidRDefault="00B609EF" w:rsidP="00B609EF">
            <w:pPr>
              <w:jc w:val="center"/>
              <w:rPr>
                <w:rFonts w:ascii="Arial" w:eastAsia="Times New Roman" w:hAnsi="Arial" w:cs="Arial"/>
                <w:b/>
                <w:color w:val="000000"/>
                <w:sz w:val="18"/>
                <w:szCs w:val="18"/>
                <w:lang w:val="en-US"/>
              </w:rPr>
            </w:pPr>
            <w:r w:rsidRPr="003516DC">
              <w:rPr>
                <w:rFonts w:ascii="Arial" w:hAnsi="Arial" w:cs="Arial"/>
                <w:b/>
                <w:sz w:val="18"/>
                <w:szCs w:val="18"/>
              </w:rPr>
              <w:t>91.59%</w:t>
            </w:r>
          </w:p>
        </w:tc>
      </w:tr>
      <w:tr w:rsidR="00B609EF" w:rsidRPr="003516DC" w14:paraId="5F072F6E" w14:textId="77777777" w:rsidTr="0094603F">
        <w:trPr>
          <w:trHeight w:val="315"/>
        </w:trPr>
        <w:tc>
          <w:tcPr>
            <w:tcW w:w="1991" w:type="pct"/>
            <w:shd w:val="clear" w:color="auto" w:fill="auto"/>
            <w:vAlign w:val="center"/>
            <w:hideMark/>
          </w:tcPr>
          <w:p w14:paraId="5463D7AD"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070" w:type="pct"/>
            <w:shd w:val="clear" w:color="auto" w:fill="auto"/>
            <w:noWrap/>
            <w:vAlign w:val="center"/>
            <w:hideMark/>
          </w:tcPr>
          <w:p w14:paraId="1555F1B9" w14:textId="5EAA4138"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34,381,623</w:t>
            </w:r>
          </w:p>
        </w:tc>
        <w:tc>
          <w:tcPr>
            <w:tcW w:w="940" w:type="pct"/>
            <w:shd w:val="clear" w:color="auto" w:fill="auto"/>
            <w:noWrap/>
            <w:vAlign w:val="center"/>
            <w:hideMark/>
          </w:tcPr>
          <w:p w14:paraId="1D2712F0" w14:textId="20558CF8"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76,111,045</w:t>
            </w:r>
          </w:p>
        </w:tc>
        <w:tc>
          <w:tcPr>
            <w:tcW w:w="999" w:type="pct"/>
            <w:shd w:val="clear" w:color="auto" w:fill="auto"/>
            <w:noWrap/>
            <w:vAlign w:val="center"/>
            <w:hideMark/>
          </w:tcPr>
          <w:p w14:paraId="7F0E34A9" w14:textId="6501CBC6"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121.37%</w:t>
            </w:r>
          </w:p>
        </w:tc>
      </w:tr>
      <w:tr w:rsidR="00B609EF" w:rsidRPr="003516DC" w14:paraId="0093FB97" w14:textId="77777777" w:rsidTr="0094603F">
        <w:trPr>
          <w:trHeight w:val="315"/>
        </w:trPr>
        <w:tc>
          <w:tcPr>
            <w:tcW w:w="1991" w:type="pct"/>
            <w:shd w:val="clear" w:color="auto" w:fill="auto"/>
            <w:vAlign w:val="center"/>
            <w:hideMark/>
          </w:tcPr>
          <w:p w14:paraId="31B36880" w14:textId="77777777" w:rsidR="00B609EF" w:rsidRPr="003516DC" w:rsidRDefault="00B609EF" w:rsidP="00B609EF">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070" w:type="pct"/>
            <w:shd w:val="clear" w:color="auto" w:fill="auto"/>
            <w:noWrap/>
            <w:vAlign w:val="center"/>
            <w:hideMark/>
          </w:tcPr>
          <w:p w14:paraId="4ABCD2A9" w14:textId="6425973F"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904,794,546</w:t>
            </w:r>
          </w:p>
        </w:tc>
        <w:tc>
          <w:tcPr>
            <w:tcW w:w="940" w:type="pct"/>
            <w:shd w:val="clear" w:color="auto" w:fill="auto"/>
            <w:noWrap/>
            <w:vAlign w:val="center"/>
            <w:hideMark/>
          </w:tcPr>
          <w:p w14:paraId="48EA8745" w14:textId="50DC6CF6" w:rsidR="00B609EF" w:rsidRPr="003516DC" w:rsidRDefault="00B609EF" w:rsidP="00B609EF">
            <w:pPr>
              <w:jc w:val="right"/>
              <w:rPr>
                <w:rFonts w:ascii="Arial" w:eastAsia="Times New Roman" w:hAnsi="Arial" w:cs="Arial"/>
                <w:bCs/>
                <w:color w:val="000000"/>
                <w:sz w:val="18"/>
                <w:szCs w:val="18"/>
                <w:lang w:val="en-US"/>
              </w:rPr>
            </w:pPr>
            <w:r w:rsidRPr="003516DC">
              <w:rPr>
                <w:rFonts w:ascii="Arial" w:hAnsi="Arial" w:cs="Arial"/>
                <w:bCs/>
                <w:sz w:val="18"/>
                <w:szCs w:val="18"/>
              </w:rPr>
              <w:t>2,445,633,899</w:t>
            </w:r>
          </w:p>
        </w:tc>
        <w:tc>
          <w:tcPr>
            <w:tcW w:w="999" w:type="pct"/>
            <w:shd w:val="clear" w:color="auto" w:fill="auto"/>
            <w:noWrap/>
            <w:vAlign w:val="center"/>
            <w:hideMark/>
          </w:tcPr>
          <w:p w14:paraId="68542ECA" w14:textId="288E5BC6" w:rsidR="00B609EF" w:rsidRPr="003516DC" w:rsidRDefault="00B609EF" w:rsidP="00B609EF">
            <w:pPr>
              <w:jc w:val="center"/>
              <w:rPr>
                <w:rFonts w:ascii="Arial" w:eastAsia="Times New Roman" w:hAnsi="Arial" w:cs="Arial"/>
                <w:bCs/>
                <w:color w:val="000000"/>
                <w:sz w:val="18"/>
                <w:szCs w:val="18"/>
                <w:lang w:val="en-US"/>
              </w:rPr>
            </w:pPr>
            <w:r w:rsidRPr="003516DC">
              <w:rPr>
                <w:rFonts w:ascii="Arial" w:hAnsi="Arial" w:cs="Arial"/>
                <w:bCs/>
                <w:sz w:val="18"/>
                <w:szCs w:val="18"/>
              </w:rPr>
              <w:t>170.30%</w:t>
            </w:r>
          </w:p>
        </w:tc>
      </w:tr>
    </w:tbl>
    <w:p w14:paraId="145DBC7C" w14:textId="538EB778" w:rsidR="00302A01" w:rsidRPr="0035231D" w:rsidRDefault="00B609EF" w:rsidP="0035231D">
      <w:pPr>
        <w:spacing w:after="120"/>
        <w:rPr>
          <w:rFonts w:ascii="Arial" w:hAnsi="Arial" w:cs="Arial"/>
          <w:i/>
          <w:color w:val="1155CC"/>
          <w:sz w:val="16"/>
          <w:szCs w:val="16"/>
          <w:u w:val="single"/>
        </w:rPr>
      </w:pPr>
      <w:r w:rsidRPr="003516DC">
        <w:rPr>
          <w:rFonts w:ascii="Arial" w:hAnsi="Arial" w:cs="Arial"/>
          <w:i/>
          <w:sz w:val="16"/>
          <w:szCs w:val="16"/>
        </w:rPr>
        <w:t>Source: processing of N</w:t>
      </w:r>
      <w:r w:rsidR="0093379D" w:rsidRPr="003516DC">
        <w:rPr>
          <w:rFonts w:ascii="Arial" w:hAnsi="Arial" w:cs="Arial"/>
          <w:i/>
          <w:sz w:val="16"/>
          <w:szCs w:val="16"/>
        </w:rPr>
        <w:t>ational Trade Register</w:t>
      </w:r>
      <w:r w:rsidRPr="003516DC">
        <w:rPr>
          <w:rFonts w:ascii="Arial" w:hAnsi="Arial" w:cs="Arial"/>
          <w:i/>
          <w:sz w:val="16"/>
          <w:szCs w:val="16"/>
        </w:rPr>
        <w:t xml:space="preserve"> data, based on EC KIS classification of NACE codes</w:t>
      </w:r>
      <w:hyperlink r:id="rId96">
        <w:r w:rsidRPr="003516DC">
          <w:rPr>
            <w:rFonts w:ascii="Arial" w:hAnsi="Arial" w:cs="Arial"/>
            <w:i/>
            <w:sz w:val="16"/>
            <w:szCs w:val="16"/>
          </w:rPr>
          <w:t xml:space="preserve"> </w:t>
        </w:r>
      </w:hyperlink>
      <w:hyperlink r:id="rId97">
        <w:r w:rsidRPr="003516DC">
          <w:rPr>
            <w:rFonts w:ascii="Arial" w:hAnsi="Arial" w:cs="Arial"/>
            <w:i/>
            <w:color w:val="1155CC"/>
            <w:sz w:val="16"/>
            <w:szCs w:val="16"/>
            <w:u w:val="single"/>
          </w:rPr>
          <w:t>https://ec.europa.eu/eurostat/statistics-explained/index.php/Glossary:Knowledge-intensive_services_(KIS)</w:t>
        </w:r>
      </w:hyperlink>
    </w:p>
    <w:p w14:paraId="774B904B" w14:textId="7923F8FC" w:rsidR="00D62087" w:rsidRDefault="00B609EF" w:rsidP="003847A7">
      <w:pPr>
        <w:spacing w:after="120"/>
        <w:jc w:val="both"/>
        <w:rPr>
          <w:rFonts w:ascii="Arial" w:hAnsi="Arial" w:cs="Arial"/>
          <w:sz w:val="20"/>
          <w:szCs w:val="20"/>
        </w:rPr>
      </w:pPr>
      <w:r w:rsidRPr="003516DC">
        <w:rPr>
          <w:rFonts w:ascii="Arial" w:hAnsi="Arial" w:cs="Arial"/>
          <w:sz w:val="20"/>
          <w:szCs w:val="20"/>
        </w:rPr>
        <w:t>In addition, as the local stakeholders we interviewed stressed, the growing potential for economic diversific</w:t>
      </w:r>
      <w:r w:rsidR="00350AA9" w:rsidRPr="003516DC">
        <w:rPr>
          <w:rFonts w:ascii="Arial" w:hAnsi="Arial" w:cs="Arial"/>
          <w:sz w:val="20"/>
          <w:szCs w:val="20"/>
        </w:rPr>
        <w:t>ation in Dolj c</w:t>
      </w:r>
      <w:r w:rsidRPr="003516DC">
        <w:rPr>
          <w:rFonts w:ascii="Arial" w:hAnsi="Arial" w:cs="Arial"/>
          <w:sz w:val="20"/>
          <w:szCs w:val="20"/>
        </w:rPr>
        <w:t xml:space="preserve">ounty </w:t>
      </w:r>
      <w:r w:rsidR="00834A4F" w:rsidRPr="003516DC">
        <w:rPr>
          <w:rFonts w:ascii="Arial" w:hAnsi="Arial" w:cs="Arial"/>
          <w:sz w:val="20"/>
          <w:szCs w:val="20"/>
        </w:rPr>
        <w:t xml:space="preserve">should focus on </w:t>
      </w:r>
      <w:r w:rsidRPr="003516DC">
        <w:rPr>
          <w:rFonts w:ascii="Arial" w:hAnsi="Arial" w:cs="Arial"/>
          <w:sz w:val="20"/>
          <w:szCs w:val="20"/>
        </w:rPr>
        <w:t>more knowledge intensive industries with a focus on IT&amp;C, automotive value chain</w:t>
      </w:r>
      <w:r w:rsidR="00E54141" w:rsidRPr="003516DC">
        <w:rPr>
          <w:rFonts w:ascii="Arial" w:hAnsi="Arial" w:cs="Arial"/>
          <w:sz w:val="20"/>
          <w:szCs w:val="20"/>
        </w:rPr>
        <w:t xml:space="preserve"> and</w:t>
      </w:r>
      <w:r w:rsidRPr="003516DC">
        <w:rPr>
          <w:rFonts w:ascii="Arial" w:hAnsi="Arial" w:cs="Arial"/>
          <w:sz w:val="20"/>
          <w:szCs w:val="20"/>
        </w:rPr>
        <w:t xml:space="preserve"> professional services in Craiova and</w:t>
      </w:r>
      <w:r w:rsidR="00731566" w:rsidRPr="003516DC">
        <w:rPr>
          <w:rFonts w:ascii="Arial" w:hAnsi="Arial" w:cs="Arial"/>
          <w:sz w:val="20"/>
          <w:szCs w:val="20"/>
        </w:rPr>
        <w:t xml:space="preserve"> the</w:t>
      </w:r>
      <w:r w:rsidRPr="003516DC">
        <w:rPr>
          <w:rFonts w:ascii="Arial" w:hAnsi="Arial" w:cs="Arial"/>
          <w:sz w:val="20"/>
          <w:szCs w:val="20"/>
        </w:rPr>
        <w:t xml:space="preserve"> Craiova Municipal Area.</w:t>
      </w:r>
    </w:p>
    <w:p w14:paraId="37E6E554" w14:textId="19FC18AE" w:rsidR="00D62087" w:rsidRPr="003516DC" w:rsidRDefault="00D62087" w:rsidP="0035231D">
      <w:pPr>
        <w:spacing w:after="120"/>
        <w:jc w:val="both"/>
        <w:rPr>
          <w:rFonts w:ascii="Arial" w:hAnsi="Arial" w:cs="Arial"/>
          <w:sz w:val="20"/>
          <w:szCs w:val="20"/>
        </w:rPr>
      </w:pPr>
      <w:r w:rsidRPr="003516DC">
        <w:rPr>
          <w:rFonts w:ascii="Arial" w:hAnsi="Arial" w:cs="Arial"/>
          <w:sz w:val="20"/>
          <w:szCs w:val="20"/>
        </w:rPr>
        <w:t>Regarding R&amp;D evolution in Dolj county, there is a 0.06% increase for the R&amp;D expenditures in GDP indicator, below the South - West Region value (0.08%) and half of the national increase value (0.12%).</w:t>
      </w:r>
    </w:p>
    <w:p w14:paraId="2FF89EF5" w14:textId="25BBA9B5" w:rsidR="00D62087" w:rsidRPr="003516DC" w:rsidRDefault="0064139C" w:rsidP="0064139C">
      <w:pPr>
        <w:pStyle w:val="Caption"/>
        <w:rPr>
          <w:b w:val="0"/>
          <w:iCs w:val="0"/>
        </w:rPr>
      </w:pPr>
      <w:bookmarkStart w:id="166" w:name="_Toc90725990"/>
      <w:bookmarkStart w:id="167" w:name="_Toc90727287"/>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36</w:t>
      </w:r>
      <w:r w:rsidR="000B273D">
        <w:rPr>
          <w:noProof/>
        </w:rPr>
        <w:fldChar w:fldCharType="end"/>
      </w:r>
      <w:r w:rsidR="00D62087" w:rsidRPr="003516DC">
        <w:t>: Share of R&amp;DI in GDP during 2014-2018 for Dolj county, South-West Region and Romania</w:t>
      </w:r>
      <w:bookmarkEnd w:id="166"/>
      <w:bookmarkEnd w:id="167"/>
    </w:p>
    <w:tbl>
      <w:tblPr>
        <w:tblW w:w="5000" w:type="pct"/>
        <w:tblLayout w:type="fixed"/>
        <w:tblLook w:val="04A0" w:firstRow="1" w:lastRow="0" w:firstColumn="1" w:lastColumn="0" w:noHBand="0" w:noVBand="1"/>
      </w:tblPr>
      <w:tblGrid>
        <w:gridCol w:w="3289"/>
        <w:gridCol w:w="884"/>
        <w:gridCol w:w="884"/>
        <w:gridCol w:w="884"/>
        <w:gridCol w:w="884"/>
        <w:gridCol w:w="884"/>
        <w:gridCol w:w="1220"/>
      </w:tblGrid>
      <w:tr w:rsidR="00D62087" w:rsidRPr="003516DC" w14:paraId="429A6766" w14:textId="77777777" w:rsidTr="00EE02DE">
        <w:trPr>
          <w:trHeight w:val="414"/>
        </w:trPr>
        <w:tc>
          <w:tcPr>
            <w:tcW w:w="1842"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FF6F5DE" w14:textId="77777777" w:rsidR="00D62087" w:rsidRPr="003516DC" w:rsidRDefault="00D62087" w:rsidP="00EE02DE">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495" w:type="pct"/>
            <w:tcBorders>
              <w:top w:val="single" w:sz="4" w:space="0" w:color="auto"/>
              <w:left w:val="nil"/>
              <w:bottom w:val="single" w:sz="4" w:space="0" w:color="auto"/>
              <w:right w:val="single" w:sz="4" w:space="0" w:color="auto"/>
            </w:tcBorders>
            <w:shd w:val="clear" w:color="auto" w:fill="002060"/>
            <w:noWrap/>
            <w:vAlign w:val="center"/>
            <w:hideMark/>
          </w:tcPr>
          <w:p w14:paraId="70432FD2"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495" w:type="pct"/>
            <w:tcBorders>
              <w:top w:val="single" w:sz="4" w:space="0" w:color="auto"/>
              <w:left w:val="nil"/>
              <w:bottom w:val="single" w:sz="4" w:space="0" w:color="auto"/>
              <w:right w:val="single" w:sz="4" w:space="0" w:color="auto"/>
            </w:tcBorders>
            <w:shd w:val="clear" w:color="auto" w:fill="002060"/>
            <w:noWrap/>
            <w:vAlign w:val="center"/>
            <w:hideMark/>
          </w:tcPr>
          <w:p w14:paraId="5C8E73F6"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495" w:type="pct"/>
            <w:tcBorders>
              <w:top w:val="single" w:sz="4" w:space="0" w:color="auto"/>
              <w:left w:val="nil"/>
              <w:bottom w:val="single" w:sz="4" w:space="0" w:color="auto"/>
              <w:right w:val="single" w:sz="4" w:space="0" w:color="auto"/>
            </w:tcBorders>
            <w:shd w:val="clear" w:color="auto" w:fill="002060"/>
            <w:noWrap/>
            <w:vAlign w:val="center"/>
            <w:hideMark/>
          </w:tcPr>
          <w:p w14:paraId="60039B20"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495" w:type="pct"/>
            <w:tcBorders>
              <w:top w:val="single" w:sz="4" w:space="0" w:color="auto"/>
              <w:left w:val="nil"/>
              <w:bottom w:val="single" w:sz="4" w:space="0" w:color="auto"/>
              <w:right w:val="single" w:sz="4" w:space="0" w:color="auto"/>
            </w:tcBorders>
            <w:shd w:val="clear" w:color="auto" w:fill="002060"/>
            <w:noWrap/>
            <w:vAlign w:val="center"/>
            <w:hideMark/>
          </w:tcPr>
          <w:p w14:paraId="05631703"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495" w:type="pct"/>
            <w:tcBorders>
              <w:top w:val="single" w:sz="4" w:space="0" w:color="auto"/>
              <w:left w:val="nil"/>
              <w:bottom w:val="single" w:sz="4" w:space="0" w:color="auto"/>
              <w:right w:val="single" w:sz="4" w:space="0" w:color="auto"/>
            </w:tcBorders>
            <w:shd w:val="clear" w:color="auto" w:fill="002060"/>
            <w:noWrap/>
            <w:vAlign w:val="center"/>
            <w:hideMark/>
          </w:tcPr>
          <w:p w14:paraId="45766F48"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83" w:type="pct"/>
            <w:tcBorders>
              <w:top w:val="single" w:sz="4" w:space="0" w:color="auto"/>
              <w:left w:val="nil"/>
              <w:bottom w:val="single" w:sz="4" w:space="0" w:color="auto"/>
              <w:right w:val="single" w:sz="4" w:space="0" w:color="auto"/>
            </w:tcBorders>
            <w:shd w:val="clear" w:color="auto" w:fill="002060"/>
            <w:noWrap/>
            <w:vAlign w:val="center"/>
            <w:hideMark/>
          </w:tcPr>
          <w:p w14:paraId="6B9808E7" w14:textId="77777777" w:rsidR="00D62087" w:rsidRPr="003516DC" w:rsidRDefault="00D62087" w:rsidP="00EE02DE">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2014/2018</w:t>
            </w:r>
          </w:p>
        </w:tc>
      </w:tr>
      <w:tr w:rsidR="00D62087" w:rsidRPr="003516DC" w14:paraId="42873301" w14:textId="77777777" w:rsidTr="00EE02DE">
        <w:trPr>
          <w:trHeight w:val="414"/>
        </w:trPr>
        <w:tc>
          <w:tcPr>
            <w:tcW w:w="1842" w:type="pct"/>
            <w:tcBorders>
              <w:top w:val="nil"/>
              <w:left w:val="single" w:sz="4" w:space="0" w:color="auto"/>
              <w:bottom w:val="single" w:sz="4" w:space="0" w:color="auto"/>
              <w:right w:val="single" w:sz="4" w:space="0" w:color="auto"/>
            </w:tcBorders>
            <w:shd w:val="clear" w:color="auto" w:fill="auto"/>
            <w:noWrap/>
            <w:vAlign w:val="center"/>
            <w:hideMark/>
          </w:tcPr>
          <w:p w14:paraId="387D9A08" w14:textId="77777777" w:rsidR="00D62087" w:rsidRPr="003516DC" w:rsidRDefault="00D62087" w:rsidP="00EE02DE">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Dolj County</w:t>
            </w:r>
          </w:p>
        </w:tc>
        <w:tc>
          <w:tcPr>
            <w:tcW w:w="495" w:type="pct"/>
            <w:tcBorders>
              <w:top w:val="nil"/>
              <w:left w:val="nil"/>
              <w:bottom w:val="single" w:sz="4" w:space="0" w:color="auto"/>
              <w:right w:val="single" w:sz="4" w:space="0" w:color="auto"/>
            </w:tcBorders>
            <w:shd w:val="clear" w:color="auto" w:fill="auto"/>
            <w:noWrap/>
            <w:vAlign w:val="center"/>
            <w:hideMark/>
          </w:tcPr>
          <w:p w14:paraId="458B06EA"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0.10%</w:t>
            </w:r>
          </w:p>
        </w:tc>
        <w:tc>
          <w:tcPr>
            <w:tcW w:w="495" w:type="pct"/>
            <w:tcBorders>
              <w:top w:val="nil"/>
              <w:left w:val="nil"/>
              <w:bottom w:val="single" w:sz="4" w:space="0" w:color="auto"/>
              <w:right w:val="single" w:sz="4" w:space="0" w:color="auto"/>
            </w:tcBorders>
            <w:shd w:val="clear" w:color="auto" w:fill="auto"/>
            <w:noWrap/>
            <w:vAlign w:val="center"/>
            <w:hideMark/>
          </w:tcPr>
          <w:p w14:paraId="019508F7"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0.14%</w:t>
            </w:r>
          </w:p>
        </w:tc>
        <w:tc>
          <w:tcPr>
            <w:tcW w:w="495" w:type="pct"/>
            <w:tcBorders>
              <w:top w:val="nil"/>
              <w:left w:val="nil"/>
              <w:bottom w:val="single" w:sz="4" w:space="0" w:color="auto"/>
              <w:right w:val="single" w:sz="4" w:space="0" w:color="auto"/>
            </w:tcBorders>
            <w:shd w:val="clear" w:color="auto" w:fill="auto"/>
            <w:noWrap/>
            <w:vAlign w:val="center"/>
            <w:hideMark/>
          </w:tcPr>
          <w:p w14:paraId="4D85A9EC"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0.15%</w:t>
            </w:r>
          </w:p>
        </w:tc>
        <w:tc>
          <w:tcPr>
            <w:tcW w:w="495" w:type="pct"/>
            <w:tcBorders>
              <w:top w:val="nil"/>
              <w:left w:val="nil"/>
              <w:bottom w:val="single" w:sz="4" w:space="0" w:color="auto"/>
              <w:right w:val="single" w:sz="4" w:space="0" w:color="auto"/>
            </w:tcBorders>
            <w:shd w:val="clear" w:color="auto" w:fill="auto"/>
            <w:noWrap/>
            <w:vAlign w:val="center"/>
            <w:hideMark/>
          </w:tcPr>
          <w:p w14:paraId="1BD49370"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0.20%</w:t>
            </w:r>
          </w:p>
        </w:tc>
        <w:tc>
          <w:tcPr>
            <w:tcW w:w="495" w:type="pct"/>
            <w:tcBorders>
              <w:top w:val="nil"/>
              <w:left w:val="nil"/>
              <w:bottom w:val="single" w:sz="4" w:space="0" w:color="auto"/>
              <w:right w:val="single" w:sz="4" w:space="0" w:color="auto"/>
            </w:tcBorders>
            <w:shd w:val="clear" w:color="auto" w:fill="auto"/>
            <w:noWrap/>
            <w:vAlign w:val="center"/>
            <w:hideMark/>
          </w:tcPr>
          <w:p w14:paraId="4528E051"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0.16%</w:t>
            </w:r>
          </w:p>
        </w:tc>
        <w:tc>
          <w:tcPr>
            <w:tcW w:w="683" w:type="pct"/>
            <w:tcBorders>
              <w:top w:val="nil"/>
              <w:left w:val="nil"/>
              <w:bottom w:val="single" w:sz="4" w:space="0" w:color="auto"/>
              <w:right w:val="single" w:sz="4" w:space="0" w:color="auto"/>
            </w:tcBorders>
            <w:shd w:val="clear" w:color="auto" w:fill="auto"/>
            <w:noWrap/>
            <w:vAlign w:val="center"/>
            <w:hideMark/>
          </w:tcPr>
          <w:p w14:paraId="4C3258D8"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0.06%</w:t>
            </w:r>
          </w:p>
        </w:tc>
      </w:tr>
      <w:tr w:rsidR="00D62087" w:rsidRPr="003516DC" w14:paraId="1F5A1ED5" w14:textId="77777777" w:rsidTr="00EE02DE">
        <w:trPr>
          <w:trHeight w:val="414"/>
        </w:trPr>
        <w:tc>
          <w:tcPr>
            <w:tcW w:w="1842" w:type="pct"/>
            <w:tcBorders>
              <w:top w:val="nil"/>
              <w:left w:val="single" w:sz="4" w:space="0" w:color="auto"/>
              <w:bottom w:val="single" w:sz="4" w:space="0" w:color="auto"/>
              <w:right w:val="single" w:sz="4" w:space="0" w:color="auto"/>
            </w:tcBorders>
            <w:shd w:val="clear" w:color="auto" w:fill="auto"/>
            <w:noWrap/>
            <w:vAlign w:val="center"/>
            <w:hideMark/>
          </w:tcPr>
          <w:p w14:paraId="57BC93B7" w14:textId="77777777" w:rsidR="00D62087" w:rsidRPr="003516DC" w:rsidRDefault="00D62087" w:rsidP="00EE02DE">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South West Region</w:t>
            </w:r>
          </w:p>
        </w:tc>
        <w:tc>
          <w:tcPr>
            <w:tcW w:w="495" w:type="pct"/>
            <w:tcBorders>
              <w:top w:val="nil"/>
              <w:left w:val="nil"/>
              <w:bottom w:val="single" w:sz="4" w:space="0" w:color="auto"/>
              <w:right w:val="single" w:sz="4" w:space="0" w:color="auto"/>
            </w:tcBorders>
            <w:shd w:val="clear" w:color="auto" w:fill="auto"/>
            <w:noWrap/>
            <w:vAlign w:val="center"/>
            <w:hideMark/>
          </w:tcPr>
          <w:p w14:paraId="787BB1F6"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0.15%</w:t>
            </w:r>
          </w:p>
        </w:tc>
        <w:tc>
          <w:tcPr>
            <w:tcW w:w="495" w:type="pct"/>
            <w:tcBorders>
              <w:top w:val="nil"/>
              <w:left w:val="nil"/>
              <w:bottom w:val="single" w:sz="4" w:space="0" w:color="auto"/>
              <w:right w:val="single" w:sz="4" w:space="0" w:color="auto"/>
            </w:tcBorders>
            <w:shd w:val="clear" w:color="auto" w:fill="auto"/>
            <w:noWrap/>
            <w:vAlign w:val="center"/>
            <w:hideMark/>
          </w:tcPr>
          <w:p w14:paraId="3C672C71"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0.21%</w:t>
            </w:r>
          </w:p>
        </w:tc>
        <w:tc>
          <w:tcPr>
            <w:tcW w:w="495" w:type="pct"/>
            <w:tcBorders>
              <w:top w:val="nil"/>
              <w:left w:val="nil"/>
              <w:bottom w:val="single" w:sz="4" w:space="0" w:color="auto"/>
              <w:right w:val="single" w:sz="4" w:space="0" w:color="auto"/>
            </w:tcBorders>
            <w:shd w:val="clear" w:color="auto" w:fill="auto"/>
            <w:noWrap/>
            <w:vAlign w:val="center"/>
            <w:hideMark/>
          </w:tcPr>
          <w:p w14:paraId="5D20D17A"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0.15%</w:t>
            </w:r>
          </w:p>
        </w:tc>
        <w:tc>
          <w:tcPr>
            <w:tcW w:w="495" w:type="pct"/>
            <w:tcBorders>
              <w:top w:val="nil"/>
              <w:left w:val="nil"/>
              <w:bottom w:val="single" w:sz="4" w:space="0" w:color="auto"/>
              <w:right w:val="single" w:sz="4" w:space="0" w:color="auto"/>
            </w:tcBorders>
            <w:shd w:val="clear" w:color="auto" w:fill="auto"/>
            <w:noWrap/>
            <w:vAlign w:val="center"/>
            <w:hideMark/>
          </w:tcPr>
          <w:p w14:paraId="4F111AC6"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0.20%</w:t>
            </w:r>
          </w:p>
        </w:tc>
        <w:tc>
          <w:tcPr>
            <w:tcW w:w="495" w:type="pct"/>
            <w:tcBorders>
              <w:top w:val="nil"/>
              <w:left w:val="nil"/>
              <w:bottom w:val="single" w:sz="4" w:space="0" w:color="auto"/>
              <w:right w:val="single" w:sz="4" w:space="0" w:color="auto"/>
            </w:tcBorders>
            <w:shd w:val="clear" w:color="auto" w:fill="auto"/>
            <w:noWrap/>
            <w:vAlign w:val="center"/>
            <w:hideMark/>
          </w:tcPr>
          <w:p w14:paraId="5E3CF585"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color w:val="000000"/>
                <w:sz w:val="18"/>
                <w:szCs w:val="18"/>
              </w:rPr>
              <w:t>0.23%</w:t>
            </w:r>
          </w:p>
        </w:tc>
        <w:tc>
          <w:tcPr>
            <w:tcW w:w="683" w:type="pct"/>
            <w:tcBorders>
              <w:top w:val="nil"/>
              <w:left w:val="nil"/>
              <w:bottom w:val="single" w:sz="4" w:space="0" w:color="auto"/>
              <w:right w:val="single" w:sz="4" w:space="0" w:color="auto"/>
            </w:tcBorders>
            <w:shd w:val="clear" w:color="auto" w:fill="auto"/>
            <w:noWrap/>
            <w:vAlign w:val="center"/>
            <w:hideMark/>
          </w:tcPr>
          <w:p w14:paraId="63A3D61E"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0.08%</w:t>
            </w:r>
          </w:p>
        </w:tc>
      </w:tr>
      <w:tr w:rsidR="00D62087" w:rsidRPr="003516DC" w14:paraId="3AC87B74" w14:textId="77777777" w:rsidTr="00EE02DE">
        <w:trPr>
          <w:trHeight w:val="414"/>
        </w:trPr>
        <w:tc>
          <w:tcPr>
            <w:tcW w:w="1842" w:type="pct"/>
            <w:tcBorders>
              <w:top w:val="nil"/>
              <w:left w:val="single" w:sz="4" w:space="0" w:color="auto"/>
              <w:bottom w:val="single" w:sz="4" w:space="0" w:color="auto"/>
              <w:right w:val="single" w:sz="4" w:space="0" w:color="auto"/>
            </w:tcBorders>
            <w:shd w:val="clear" w:color="auto" w:fill="auto"/>
            <w:noWrap/>
            <w:vAlign w:val="center"/>
            <w:hideMark/>
          </w:tcPr>
          <w:p w14:paraId="5F5D945D" w14:textId="77777777" w:rsidR="00D62087" w:rsidRPr="00680AEC" w:rsidRDefault="00D62087" w:rsidP="00EE02DE">
            <w:pPr>
              <w:rPr>
                <w:rFonts w:ascii="Arial" w:hAnsi="Arial"/>
                <w:color w:val="000000"/>
                <w:sz w:val="18"/>
                <w:lang w:val="it-IT"/>
              </w:rPr>
            </w:pPr>
            <w:r w:rsidRPr="00680AEC">
              <w:rPr>
                <w:rFonts w:ascii="Arial" w:hAnsi="Arial"/>
                <w:color w:val="000000"/>
                <w:sz w:val="18"/>
                <w:lang w:val="it-IT"/>
              </w:rPr>
              <w:t>% of R&amp;DI in GDP Romania</w:t>
            </w:r>
          </w:p>
        </w:tc>
        <w:tc>
          <w:tcPr>
            <w:tcW w:w="495" w:type="pct"/>
            <w:tcBorders>
              <w:top w:val="nil"/>
              <w:left w:val="nil"/>
              <w:bottom w:val="single" w:sz="4" w:space="0" w:color="auto"/>
              <w:right w:val="single" w:sz="4" w:space="0" w:color="auto"/>
            </w:tcBorders>
            <w:shd w:val="clear" w:color="auto" w:fill="auto"/>
            <w:noWrap/>
            <w:vAlign w:val="center"/>
            <w:hideMark/>
          </w:tcPr>
          <w:p w14:paraId="24119C76"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0.38%</w:t>
            </w:r>
          </w:p>
        </w:tc>
        <w:tc>
          <w:tcPr>
            <w:tcW w:w="495" w:type="pct"/>
            <w:tcBorders>
              <w:top w:val="nil"/>
              <w:left w:val="nil"/>
              <w:bottom w:val="single" w:sz="4" w:space="0" w:color="auto"/>
              <w:right w:val="single" w:sz="4" w:space="0" w:color="auto"/>
            </w:tcBorders>
            <w:shd w:val="clear" w:color="auto" w:fill="auto"/>
            <w:noWrap/>
            <w:vAlign w:val="center"/>
            <w:hideMark/>
          </w:tcPr>
          <w:p w14:paraId="52AC2B31"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0.49%</w:t>
            </w:r>
          </w:p>
        </w:tc>
        <w:tc>
          <w:tcPr>
            <w:tcW w:w="495" w:type="pct"/>
            <w:tcBorders>
              <w:top w:val="nil"/>
              <w:left w:val="nil"/>
              <w:bottom w:val="single" w:sz="4" w:space="0" w:color="auto"/>
              <w:right w:val="single" w:sz="4" w:space="0" w:color="auto"/>
            </w:tcBorders>
            <w:shd w:val="clear" w:color="auto" w:fill="auto"/>
            <w:noWrap/>
            <w:vAlign w:val="center"/>
            <w:hideMark/>
          </w:tcPr>
          <w:p w14:paraId="3201C5DA"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0.48%</w:t>
            </w:r>
          </w:p>
        </w:tc>
        <w:tc>
          <w:tcPr>
            <w:tcW w:w="495" w:type="pct"/>
            <w:tcBorders>
              <w:top w:val="nil"/>
              <w:left w:val="nil"/>
              <w:bottom w:val="single" w:sz="4" w:space="0" w:color="auto"/>
              <w:right w:val="single" w:sz="4" w:space="0" w:color="auto"/>
            </w:tcBorders>
            <w:shd w:val="clear" w:color="auto" w:fill="auto"/>
            <w:noWrap/>
            <w:vAlign w:val="center"/>
            <w:hideMark/>
          </w:tcPr>
          <w:p w14:paraId="091007E0"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495" w:type="pct"/>
            <w:tcBorders>
              <w:top w:val="nil"/>
              <w:left w:val="nil"/>
              <w:bottom w:val="single" w:sz="4" w:space="0" w:color="auto"/>
              <w:right w:val="single" w:sz="4" w:space="0" w:color="auto"/>
            </w:tcBorders>
            <w:shd w:val="clear" w:color="auto" w:fill="auto"/>
            <w:noWrap/>
            <w:vAlign w:val="center"/>
            <w:hideMark/>
          </w:tcPr>
          <w:p w14:paraId="470AE162"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683" w:type="pct"/>
            <w:tcBorders>
              <w:top w:val="nil"/>
              <w:left w:val="nil"/>
              <w:bottom w:val="single" w:sz="4" w:space="0" w:color="auto"/>
              <w:right w:val="single" w:sz="4" w:space="0" w:color="auto"/>
            </w:tcBorders>
            <w:shd w:val="clear" w:color="auto" w:fill="auto"/>
            <w:noWrap/>
            <w:vAlign w:val="center"/>
            <w:hideMark/>
          </w:tcPr>
          <w:p w14:paraId="0775519C" w14:textId="77777777" w:rsidR="00D62087" w:rsidRPr="003516DC" w:rsidRDefault="00D62087" w:rsidP="00EE02DE">
            <w:pPr>
              <w:jc w:val="center"/>
              <w:rPr>
                <w:rFonts w:ascii="Arial" w:eastAsia="Times New Roman" w:hAnsi="Arial" w:cs="Arial"/>
                <w:color w:val="000000"/>
                <w:sz w:val="18"/>
                <w:szCs w:val="18"/>
                <w:lang w:val="en-US"/>
              </w:rPr>
            </w:pPr>
            <w:r w:rsidRPr="003516DC">
              <w:rPr>
                <w:rFonts w:ascii="Arial" w:hAnsi="Arial" w:cs="Arial"/>
                <w:sz w:val="18"/>
                <w:szCs w:val="18"/>
              </w:rPr>
              <w:t>0.12%</w:t>
            </w:r>
          </w:p>
        </w:tc>
      </w:tr>
    </w:tbl>
    <w:p w14:paraId="60A7A1EE" w14:textId="0E2EB023" w:rsidR="00D62087" w:rsidRPr="0035231D" w:rsidRDefault="00D62087" w:rsidP="0035231D">
      <w:pPr>
        <w:spacing w:after="120"/>
        <w:jc w:val="both"/>
        <w:rPr>
          <w:rFonts w:ascii="Arial" w:hAnsi="Arial" w:cs="Arial"/>
          <w:i/>
          <w:sz w:val="16"/>
          <w:szCs w:val="16"/>
        </w:rPr>
      </w:pPr>
      <w:r w:rsidRPr="003516DC">
        <w:rPr>
          <w:rFonts w:ascii="Arial" w:hAnsi="Arial" w:cs="Arial"/>
          <w:i/>
          <w:sz w:val="16"/>
          <w:szCs w:val="16"/>
        </w:rPr>
        <w:t>Source: NIS, Tempo, CDO104B, CON103I</w:t>
      </w:r>
    </w:p>
    <w:p w14:paraId="5EBC2766" w14:textId="5CCE1D40" w:rsidR="0035231D" w:rsidRPr="0035231D" w:rsidRDefault="0035231D" w:rsidP="00E42342">
      <w:pPr>
        <w:pStyle w:val="Heading4"/>
        <w:numPr>
          <w:ilvl w:val="0"/>
          <w:numId w:val="272"/>
        </w:numPr>
        <w:spacing w:before="0" w:after="120"/>
        <w:jc w:val="both"/>
        <w:rPr>
          <w:sz w:val="20"/>
          <w:szCs w:val="20"/>
        </w:rPr>
      </w:pPr>
      <w:r>
        <w:rPr>
          <w:sz w:val="20"/>
          <w:szCs w:val="20"/>
        </w:rPr>
        <w:t>Renewable energy production</w:t>
      </w:r>
    </w:p>
    <w:p w14:paraId="6D895BF8" w14:textId="0A69F88A" w:rsidR="003F0B80" w:rsidRPr="003847A7" w:rsidRDefault="00E909F2" w:rsidP="003847A7">
      <w:pPr>
        <w:spacing w:after="120"/>
        <w:jc w:val="both"/>
        <w:rPr>
          <w:rFonts w:ascii="Arial" w:hAnsi="Arial" w:cs="Arial"/>
          <w:sz w:val="20"/>
          <w:szCs w:val="20"/>
        </w:rPr>
      </w:pPr>
      <w:r>
        <w:rPr>
          <w:rFonts w:ascii="Arial" w:hAnsi="Arial" w:cs="Arial"/>
          <w:sz w:val="20"/>
          <w:szCs w:val="20"/>
        </w:rPr>
        <w:t xml:space="preserve">In terms of </w:t>
      </w:r>
      <w:r w:rsidRPr="00D86D2D">
        <w:rPr>
          <w:rFonts w:ascii="Arial" w:hAnsi="Arial" w:cs="Arial"/>
          <w:b/>
          <w:bCs/>
          <w:sz w:val="20"/>
          <w:szCs w:val="20"/>
        </w:rPr>
        <w:t>renewable energy production</w:t>
      </w:r>
      <w:r>
        <w:rPr>
          <w:rFonts w:ascii="Arial" w:hAnsi="Arial" w:cs="Arial"/>
          <w:sz w:val="20"/>
          <w:szCs w:val="20"/>
        </w:rPr>
        <w:t xml:space="preserve">, </w:t>
      </w:r>
      <w:r w:rsidRPr="003847A7">
        <w:rPr>
          <w:rFonts w:ascii="Arial" w:hAnsi="Arial" w:cs="Arial"/>
          <w:sz w:val="20"/>
          <w:szCs w:val="20"/>
        </w:rPr>
        <w:t>Dolj county can develop a significant share of cost competitive projects. A total of 400 MW of solar PV projects can be developed at very low prices. In total the county requires below 400 ha of land to develop the estimated 400 MW of utility scale PV assigned under the analysis. This represents a fraction of available land for development in Dolj compared to available agricultural land.</w:t>
      </w:r>
    </w:p>
    <w:p w14:paraId="2DB5A401" w14:textId="1A445720" w:rsidR="0035231D" w:rsidRPr="0035231D" w:rsidRDefault="0035231D" w:rsidP="00E42342">
      <w:pPr>
        <w:pStyle w:val="Heading4"/>
        <w:numPr>
          <w:ilvl w:val="0"/>
          <w:numId w:val="273"/>
        </w:numPr>
        <w:spacing w:before="0" w:after="120"/>
        <w:jc w:val="both"/>
        <w:rPr>
          <w:sz w:val="20"/>
          <w:szCs w:val="20"/>
        </w:rPr>
      </w:pPr>
      <w:r>
        <w:rPr>
          <w:sz w:val="20"/>
          <w:szCs w:val="20"/>
        </w:rPr>
        <w:t>ETS support potential</w:t>
      </w:r>
    </w:p>
    <w:p w14:paraId="2F62EDD4" w14:textId="07B9309A" w:rsidR="00DB1E5D" w:rsidRDefault="003F0B80" w:rsidP="003847A7">
      <w:pPr>
        <w:spacing w:after="120"/>
        <w:jc w:val="both"/>
        <w:rPr>
          <w:rFonts w:ascii="Arial" w:hAnsi="Arial" w:cs="Arial"/>
          <w:sz w:val="20"/>
          <w:szCs w:val="20"/>
        </w:rPr>
      </w:pPr>
      <w:r w:rsidRPr="003847A7">
        <w:rPr>
          <w:rFonts w:ascii="Arial" w:hAnsi="Arial" w:cs="Arial"/>
          <w:sz w:val="20"/>
          <w:szCs w:val="20"/>
        </w:rPr>
        <w:t xml:space="preserve">When it comes to </w:t>
      </w:r>
      <w:r w:rsidRPr="003847A7">
        <w:rPr>
          <w:rFonts w:ascii="Arial" w:hAnsi="Arial" w:cs="Arial"/>
          <w:b/>
          <w:bCs/>
          <w:sz w:val="20"/>
          <w:szCs w:val="20"/>
        </w:rPr>
        <w:t>ETS support potential</w:t>
      </w:r>
      <w:r w:rsidR="00285FBB" w:rsidRPr="003847A7">
        <w:rPr>
          <w:rFonts w:ascii="Arial" w:hAnsi="Arial" w:cs="Arial"/>
          <w:b/>
          <w:bCs/>
          <w:sz w:val="20"/>
          <w:szCs w:val="20"/>
        </w:rPr>
        <w:t>,</w:t>
      </w:r>
      <w:r w:rsidRPr="003847A7">
        <w:rPr>
          <w:rFonts w:ascii="Arial" w:hAnsi="Arial" w:cs="Arial"/>
          <w:b/>
          <w:bCs/>
          <w:sz w:val="20"/>
          <w:szCs w:val="20"/>
        </w:rPr>
        <w:t xml:space="preserve"> </w:t>
      </w:r>
      <w:r w:rsidR="00285FBB" w:rsidRPr="003847A7">
        <w:rPr>
          <w:rFonts w:ascii="Arial" w:hAnsi="Arial" w:cs="Arial"/>
          <w:sz w:val="20"/>
          <w:szCs w:val="20"/>
        </w:rPr>
        <w:t>i</w:t>
      </w:r>
      <w:r w:rsidRPr="003847A7">
        <w:rPr>
          <w:rFonts w:ascii="Arial" w:hAnsi="Arial" w:cs="Arial"/>
          <w:sz w:val="20"/>
          <w:szCs w:val="20"/>
        </w:rPr>
        <w:t xml:space="preserve">n Dolj there are about 10% of freely allocated allowances from a total of more than 3 </w:t>
      </w:r>
      <w:r w:rsidR="00B248C3">
        <w:rPr>
          <w:rFonts w:ascii="Arial" w:hAnsi="Arial" w:cs="Arial"/>
          <w:sz w:val="20"/>
          <w:szCs w:val="20"/>
        </w:rPr>
        <w:t>million</w:t>
      </w:r>
      <w:r w:rsidRPr="003847A7">
        <w:rPr>
          <w:rFonts w:ascii="Arial" w:hAnsi="Arial" w:cs="Arial"/>
          <w:sz w:val="20"/>
          <w:szCs w:val="20"/>
        </w:rPr>
        <w:t xml:space="preserve"> allowances. The estimated outflows of cash from the department to acquire EUA is 68 </w:t>
      </w:r>
      <w:r w:rsidR="00B248C3">
        <w:rPr>
          <w:rFonts w:ascii="Arial" w:hAnsi="Arial" w:cs="Arial"/>
          <w:sz w:val="20"/>
          <w:szCs w:val="20"/>
        </w:rPr>
        <w:t>m</w:t>
      </w:r>
      <w:r w:rsidRPr="003847A7">
        <w:rPr>
          <w:rFonts w:ascii="Arial" w:hAnsi="Arial" w:cs="Arial"/>
          <w:sz w:val="20"/>
          <w:szCs w:val="20"/>
        </w:rPr>
        <w:t xml:space="preserve"> EUR. In Dolj, 100% of the verified emissions occur in the two power generation units owned by Complexul Energetic Oltenia, Isalnita and Craiova.</w:t>
      </w:r>
    </w:p>
    <w:p w14:paraId="7118DC10" w14:textId="47451DF1" w:rsidR="0035231D" w:rsidRPr="0035231D" w:rsidRDefault="0035231D" w:rsidP="00E42342">
      <w:pPr>
        <w:pStyle w:val="Heading4"/>
        <w:numPr>
          <w:ilvl w:val="0"/>
          <w:numId w:val="274"/>
        </w:numPr>
        <w:spacing w:before="0" w:after="120"/>
        <w:ind w:left="810" w:hanging="810"/>
        <w:jc w:val="both"/>
        <w:rPr>
          <w:sz w:val="20"/>
          <w:szCs w:val="20"/>
        </w:rPr>
      </w:pPr>
      <w:r>
        <w:rPr>
          <w:sz w:val="20"/>
          <w:szCs w:val="20"/>
        </w:rPr>
        <w:lastRenderedPageBreak/>
        <w:t>Energy poverty and district heating</w:t>
      </w:r>
    </w:p>
    <w:p w14:paraId="2630CF82" w14:textId="28368E15" w:rsidR="00DB1E5D" w:rsidRPr="003516DC" w:rsidRDefault="00DB1E5D" w:rsidP="003847A7">
      <w:pPr>
        <w:spacing w:after="120"/>
        <w:jc w:val="both"/>
        <w:rPr>
          <w:rFonts w:ascii="Arial" w:eastAsia="Times New Roman" w:hAnsi="Arial" w:cs="Arial"/>
          <w:sz w:val="20"/>
          <w:szCs w:val="20"/>
          <w:lang w:val="en-US"/>
        </w:rPr>
      </w:pPr>
      <w:r w:rsidRPr="003847A7">
        <w:rPr>
          <w:rFonts w:ascii="Arial" w:hAnsi="Arial" w:cs="Arial"/>
          <w:sz w:val="20"/>
          <w:szCs w:val="20"/>
        </w:rPr>
        <w:t xml:space="preserve">In terms of </w:t>
      </w:r>
      <w:r w:rsidRPr="003847A7">
        <w:rPr>
          <w:rFonts w:ascii="Arial" w:hAnsi="Arial" w:cs="Arial"/>
          <w:b/>
          <w:bCs/>
          <w:sz w:val="20"/>
          <w:szCs w:val="20"/>
        </w:rPr>
        <w:t>energy poverty</w:t>
      </w:r>
      <w:r w:rsidRPr="003847A7">
        <w:rPr>
          <w:rFonts w:ascii="Arial" w:hAnsi="Arial" w:cs="Arial"/>
          <w:sz w:val="20"/>
          <w:szCs w:val="20"/>
        </w:rPr>
        <w:t xml:space="preserve">, </w:t>
      </w:r>
      <w:r w:rsidRPr="003847A7">
        <w:rPr>
          <w:rFonts w:ascii="Arial" w:eastAsia="Times New Roman" w:hAnsi="Arial" w:cs="Arial"/>
          <w:sz w:val="20"/>
          <w:szCs w:val="20"/>
          <w:lang w:val="en-US"/>
        </w:rPr>
        <w:t xml:space="preserve">Dolj has a population </w:t>
      </w:r>
      <w:r w:rsidRPr="003516DC">
        <w:rPr>
          <w:rFonts w:ascii="Arial" w:eastAsia="Times New Roman" w:hAnsi="Arial" w:cs="Arial"/>
          <w:color w:val="000000"/>
          <w:sz w:val="20"/>
          <w:szCs w:val="20"/>
          <w:lang w:val="en-US"/>
        </w:rPr>
        <w:t xml:space="preserve">of 687,186, in 253,574 households, with an average population of 2.71 per household. 45% of the population lives in rural areas, 55% in urban areas. 47% of households do not have access to the gas grid. 16% of households in the urban areas do not have access to the gas grid, the highest percentage in all six counties. Moreover, in the rural areas, over 86% of households are not connected. Dolj has the highest unemployment rate among the six counties, with 7,1%, the lowest average salary at </w:t>
      </w:r>
      <w:r w:rsidR="00CF20BE">
        <w:rPr>
          <w:rFonts w:ascii="Arial" w:eastAsia="Times New Roman" w:hAnsi="Arial" w:cs="Arial"/>
          <w:color w:val="000000"/>
          <w:sz w:val="20"/>
          <w:szCs w:val="20"/>
          <w:lang w:val="en-US"/>
        </w:rPr>
        <w:t xml:space="preserve">RON </w:t>
      </w:r>
      <w:r w:rsidRPr="003516DC">
        <w:rPr>
          <w:rFonts w:ascii="Arial" w:eastAsia="Times New Roman" w:hAnsi="Arial" w:cs="Arial"/>
          <w:color w:val="000000"/>
          <w:sz w:val="20"/>
          <w:szCs w:val="20"/>
          <w:lang w:val="en-US"/>
        </w:rPr>
        <w:t>2</w:t>
      </w:r>
      <w:r w:rsidR="00CF20BE">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999 </w:t>
      </w:r>
      <w:r w:rsidR="00CF20BE">
        <w:rPr>
          <w:rFonts w:ascii="Arial" w:eastAsia="Times New Roman" w:hAnsi="Arial" w:cs="Arial"/>
          <w:color w:val="000000"/>
          <w:sz w:val="20"/>
          <w:szCs w:val="20"/>
          <w:lang w:val="en-US"/>
        </w:rPr>
        <w:t>RON</w:t>
      </w:r>
      <w:r w:rsidRPr="003516DC">
        <w:rPr>
          <w:rFonts w:ascii="Arial" w:eastAsia="Times New Roman" w:hAnsi="Arial" w:cs="Arial"/>
          <w:color w:val="000000"/>
          <w:sz w:val="20"/>
          <w:szCs w:val="20"/>
          <w:lang w:val="en-US"/>
        </w:rPr>
        <w:t>, and the second lowest GDP per capita at</w:t>
      </w:r>
      <w:r w:rsidR="00CF20BE">
        <w:rPr>
          <w:rFonts w:ascii="Arial" w:eastAsia="Times New Roman" w:hAnsi="Arial" w:cs="Arial"/>
          <w:color w:val="000000"/>
          <w:sz w:val="20"/>
          <w:szCs w:val="20"/>
          <w:lang w:val="en-US"/>
        </w:rPr>
        <w:t xml:space="preserve"> EUR</w:t>
      </w:r>
      <w:r w:rsidRPr="003516DC">
        <w:rPr>
          <w:rFonts w:ascii="Arial" w:eastAsia="Times New Roman" w:hAnsi="Arial" w:cs="Arial"/>
          <w:color w:val="000000"/>
          <w:sz w:val="20"/>
          <w:szCs w:val="20"/>
          <w:lang w:val="en-US"/>
        </w:rPr>
        <w:t xml:space="preserve"> 9</w:t>
      </w:r>
      <w:r w:rsidR="00CF20BE">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235. The lower levels of these indicators and the poorer connectivity to the gas grid is also reflected in the energy poverty rates, estimated at 40%, going to 57% in winter. </w:t>
      </w:r>
    </w:p>
    <w:p w14:paraId="29768A00" w14:textId="4AFAB3C9" w:rsidR="00DB1E5D" w:rsidRPr="003847A7" w:rsidRDefault="00DB1E5D" w:rsidP="003847A7">
      <w:pPr>
        <w:spacing w:after="120"/>
        <w:jc w:val="both"/>
        <w:rPr>
          <w:rFonts w:ascii="Arial" w:eastAsia="Times New Roman" w:hAnsi="Arial" w:cs="Arial"/>
          <w:color w:val="000000"/>
          <w:sz w:val="20"/>
          <w:szCs w:val="20"/>
          <w:lang w:val="en-US"/>
        </w:rPr>
      </w:pPr>
      <w:r w:rsidRPr="003516DC">
        <w:rPr>
          <w:rFonts w:ascii="Arial" w:eastAsia="Times New Roman" w:hAnsi="Arial" w:cs="Arial"/>
          <w:color w:val="000000"/>
          <w:sz w:val="20"/>
          <w:szCs w:val="20"/>
          <w:lang w:val="en-US"/>
        </w:rPr>
        <w:t>Termo Craiova, the district heating company in Craiova, has declared bankruptcy at the end of March 2021 and is now functioning only in order to terminate its activity. </w:t>
      </w:r>
    </w:p>
    <w:p w14:paraId="2CA4FBBE" w14:textId="7FF8096B" w:rsidR="00DE2577" w:rsidRPr="0035231D" w:rsidRDefault="00DE2577" w:rsidP="0035231D">
      <w:pPr>
        <w:spacing w:after="120"/>
        <w:jc w:val="both"/>
        <w:rPr>
          <w:rFonts w:ascii="Arial" w:hAnsi="Arial" w:cs="Arial"/>
          <w:sz w:val="20"/>
          <w:szCs w:val="20"/>
        </w:rPr>
      </w:pPr>
      <w:r w:rsidRPr="003516DC">
        <w:rPr>
          <w:rFonts w:ascii="Arial" w:hAnsi="Arial" w:cs="Arial"/>
          <w:sz w:val="20"/>
          <w:szCs w:val="20"/>
        </w:rPr>
        <w:t>The figure below show</w:t>
      </w:r>
      <w:r>
        <w:rPr>
          <w:rFonts w:ascii="Arial" w:hAnsi="Arial" w:cs="Arial"/>
          <w:sz w:val="20"/>
          <w:szCs w:val="20"/>
        </w:rPr>
        <w:t>s</w:t>
      </w:r>
      <w:r w:rsidRPr="003516DC">
        <w:rPr>
          <w:rFonts w:ascii="Arial" w:hAnsi="Arial" w:cs="Arial"/>
          <w:sz w:val="20"/>
          <w:szCs w:val="20"/>
        </w:rPr>
        <w:t xml:space="preserve"> the intensity of gas consumption in</w:t>
      </w:r>
      <w:r>
        <w:rPr>
          <w:rFonts w:ascii="Arial" w:hAnsi="Arial" w:cs="Arial"/>
          <w:sz w:val="20"/>
          <w:szCs w:val="20"/>
        </w:rPr>
        <w:t xml:space="preserve"> Dolj county</w:t>
      </w:r>
      <w:r w:rsidRPr="003516DC">
        <w:rPr>
          <w:rFonts w:ascii="Arial" w:hAnsi="Arial" w:cs="Arial"/>
          <w:sz w:val="20"/>
          <w:szCs w:val="20"/>
        </w:rPr>
        <w:t>. Th</w:t>
      </w:r>
      <w:r>
        <w:rPr>
          <w:rFonts w:ascii="Arial" w:hAnsi="Arial" w:cs="Arial"/>
          <w:sz w:val="20"/>
          <w:szCs w:val="20"/>
        </w:rPr>
        <w:t>is</w:t>
      </w:r>
      <w:r w:rsidRPr="003516DC">
        <w:rPr>
          <w:rFonts w:ascii="Arial" w:hAnsi="Arial" w:cs="Arial"/>
          <w:sz w:val="20"/>
          <w:szCs w:val="20"/>
        </w:rPr>
        <w:t xml:space="preserve"> illustrate</w:t>
      </w:r>
      <w:r>
        <w:rPr>
          <w:rFonts w:ascii="Arial" w:hAnsi="Arial" w:cs="Arial"/>
          <w:sz w:val="20"/>
          <w:szCs w:val="20"/>
        </w:rPr>
        <w:t>s</w:t>
      </w:r>
      <w:r w:rsidRPr="003516DC">
        <w:rPr>
          <w:rFonts w:ascii="Arial" w:hAnsi="Arial" w:cs="Arial"/>
          <w:sz w:val="20"/>
          <w:szCs w:val="20"/>
        </w:rPr>
        <w:t xml:space="preserve"> why, despite connections to the gas grid, many households restrict their natural gas consumption, presumably due to energy poverty</w:t>
      </w:r>
      <w:r>
        <w:rPr>
          <w:rFonts w:ascii="Arial" w:hAnsi="Arial" w:cs="Arial"/>
          <w:sz w:val="20"/>
          <w:szCs w:val="20"/>
        </w:rPr>
        <w:t>, such as the larger municipalities of Dolj.</w:t>
      </w:r>
    </w:p>
    <w:p w14:paraId="4E530F9B" w14:textId="38706A05" w:rsidR="00DE2577" w:rsidRPr="003516DC" w:rsidRDefault="00DE2577" w:rsidP="0035231D">
      <w:pPr>
        <w:pStyle w:val="Caption"/>
        <w:spacing w:before="0"/>
        <w:ind w:left="1138" w:hanging="1138"/>
      </w:pPr>
      <w:bookmarkStart w:id="168" w:name="_Toc90725938"/>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11</w:t>
      </w:r>
      <w:r w:rsidRPr="003516DC">
        <w:rPr>
          <w:noProof/>
        </w:rPr>
        <w:fldChar w:fldCharType="end"/>
      </w:r>
      <w:r w:rsidRPr="003516DC">
        <w:t>: Residential gas consumption per UAT in Dolj county (thousand cubic meters)</w:t>
      </w:r>
      <w:bookmarkEnd w:id="168"/>
    </w:p>
    <w:p w14:paraId="638A85AF" w14:textId="77777777" w:rsidR="00DE2577" w:rsidRPr="003516DC" w:rsidRDefault="00DE2577" w:rsidP="00DE2577">
      <w:pPr>
        <w:rPr>
          <w:rFonts w:ascii="Arial" w:hAnsi="Arial" w:cs="Arial"/>
        </w:rPr>
      </w:pPr>
      <w:r w:rsidRPr="00402580">
        <w:rPr>
          <w:rFonts w:ascii="Arial" w:hAnsi="Arial" w:cs="Arial"/>
          <w:noProof/>
          <w:lang w:val="en-US" w:eastAsia="en-US"/>
        </w:rPr>
        <w:drawing>
          <wp:inline distT="0" distB="0" distL="0" distR="0" wp14:anchorId="705B36E7" wp14:editId="1B414430">
            <wp:extent cx="5678424" cy="3749040"/>
            <wp:effectExtent l="0" t="0" r="0" b="3810"/>
            <wp:docPr id="2087055715" name="Picture 2087055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98">
                      <a:extLst>
                        <a:ext uri="{28A0092B-C50C-407E-A947-70E740481C1C}">
                          <a14:useLocalDpi xmlns:a14="http://schemas.microsoft.com/office/drawing/2010/main" val="0"/>
                        </a:ext>
                      </a:extLst>
                    </a:blip>
                    <a:stretch>
                      <a:fillRect/>
                    </a:stretch>
                  </pic:blipFill>
                  <pic:spPr>
                    <a:xfrm>
                      <a:off x="0" y="0"/>
                      <a:ext cx="5678424" cy="3749040"/>
                    </a:xfrm>
                    <a:prstGeom prst="rect">
                      <a:avLst/>
                    </a:prstGeom>
                  </pic:spPr>
                </pic:pic>
              </a:graphicData>
            </a:graphic>
          </wp:inline>
        </w:drawing>
      </w:r>
    </w:p>
    <w:p w14:paraId="543780F6" w14:textId="77777777" w:rsidR="00DE2577" w:rsidRPr="003516DC" w:rsidRDefault="00DE2577" w:rsidP="00DE2577">
      <w:pPr>
        <w:rPr>
          <w:rFonts w:ascii="Arial" w:hAnsi="Arial" w:cs="Arial"/>
          <w:i/>
          <w:iCs/>
          <w:sz w:val="16"/>
          <w:szCs w:val="16"/>
        </w:rPr>
      </w:pPr>
      <w:r w:rsidRPr="003516DC">
        <w:rPr>
          <w:rFonts w:ascii="Arial" w:hAnsi="Arial" w:cs="Arial"/>
          <w:i/>
          <w:iCs/>
          <w:sz w:val="16"/>
          <w:szCs w:val="16"/>
        </w:rPr>
        <w:t>Source: Figure processed based on NIS data, 2020</w:t>
      </w:r>
    </w:p>
    <w:p w14:paraId="63FAF8FA" w14:textId="2427B535" w:rsidR="00B609EF" w:rsidRDefault="00B609EF" w:rsidP="00E42342">
      <w:pPr>
        <w:pStyle w:val="Heading3"/>
        <w:numPr>
          <w:ilvl w:val="0"/>
          <w:numId w:val="134"/>
        </w:numPr>
        <w:rPr>
          <w:b w:val="0"/>
          <w:bCs/>
        </w:rPr>
      </w:pPr>
      <w:r w:rsidRPr="005B45B2">
        <w:rPr>
          <w:b w:val="0"/>
          <w:bCs/>
        </w:rPr>
        <w:t>Challenges</w:t>
      </w:r>
      <w:r w:rsidR="00F0070A" w:rsidRPr="005B45B2">
        <w:rPr>
          <w:b w:val="0"/>
          <w:bCs/>
        </w:rPr>
        <w:t xml:space="preserve"> in Dolj </w:t>
      </w:r>
      <w:r w:rsidR="00F57476">
        <w:rPr>
          <w:b w:val="0"/>
          <w:bCs/>
        </w:rPr>
        <w:t>C</w:t>
      </w:r>
      <w:r w:rsidR="00F0070A" w:rsidRPr="005B45B2">
        <w:rPr>
          <w:b w:val="0"/>
          <w:bCs/>
        </w:rPr>
        <w:t>ounty</w:t>
      </w:r>
    </w:p>
    <w:p w14:paraId="4119453E" w14:textId="10AB1910" w:rsidR="0035231D" w:rsidRPr="0035231D" w:rsidRDefault="0035231D" w:rsidP="0035231D">
      <w:pPr>
        <w:spacing w:after="120"/>
        <w:jc w:val="both"/>
        <w:rPr>
          <w:rFonts w:ascii="Arial" w:hAnsi="Arial" w:cs="Arial"/>
          <w:sz w:val="20"/>
          <w:szCs w:val="20"/>
        </w:rPr>
      </w:pPr>
      <w:r w:rsidRPr="0035231D">
        <w:rPr>
          <w:rFonts w:ascii="Arial" w:hAnsi="Arial" w:cs="Arial"/>
          <w:sz w:val="20"/>
          <w:szCs w:val="20"/>
        </w:rPr>
        <w:t xml:space="preserve">Based on desk research and stakeholder interviews, </w:t>
      </w:r>
      <w:r>
        <w:rPr>
          <w:rFonts w:ascii="Arial" w:hAnsi="Arial" w:cs="Arial"/>
          <w:sz w:val="20"/>
          <w:szCs w:val="20"/>
        </w:rPr>
        <w:t>Dolj</w:t>
      </w:r>
      <w:r w:rsidRPr="0035231D">
        <w:rPr>
          <w:rFonts w:ascii="Arial" w:hAnsi="Arial" w:cs="Arial"/>
          <w:sz w:val="20"/>
          <w:szCs w:val="20"/>
        </w:rPr>
        <w:t xml:space="preserve"> County faces several challenges:</w:t>
      </w:r>
    </w:p>
    <w:p w14:paraId="6D688ADF" w14:textId="13E6878E" w:rsidR="00BD034F" w:rsidRPr="00D963B9" w:rsidRDefault="00B609EF" w:rsidP="00597139">
      <w:pPr>
        <w:numPr>
          <w:ilvl w:val="0"/>
          <w:numId w:val="3"/>
        </w:numPr>
        <w:spacing w:after="120"/>
        <w:ind w:left="360"/>
        <w:jc w:val="both"/>
        <w:rPr>
          <w:rFonts w:ascii="Arial" w:hAnsi="Arial" w:cs="Arial"/>
          <w:sz w:val="20"/>
          <w:szCs w:val="20"/>
        </w:rPr>
      </w:pPr>
      <w:r w:rsidRPr="003516DC">
        <w:rPr>
          <w:rFonts w:ascii="Arial" w:hAnsi="Arial" w:cs="Arial"/>
          <w:color w:val="222222"/>
          <w:sz w:val="20"/>
          <w:szCs w:val="20"/>
        </w:rPr>
        <w:t>One of the key political-administrative challenges, prominent in Dolj</w:t>
      </w:r>
      <w:r w:rsidR="00CB52FB" w:rsidRPr="003516DC">
        <w:rPr>
          <w:rFonts w:ascii="Arial" w:hAnsi="Arial" w:cs="Arial"/>
          <w:color w:val="222222"/>
          <w:sz w:val="20"/>
          <w:szCs w:val="20"/>
        </w:rPr>
        <w:t xml:space="preserve"> and</w:t>
      </w:r>
      <w:r w:rsidRPr="003516DC">
        <w:rPr>
          <w:rFonts w:ascii="Arial" w:hAnsi="Arial" w:cs="Arial"/>
          <w:color w:val="222222"/>
          <w:sz w:val="20"/>
          <w:szCs w:val="20"/>
        </w:rPr>
        <w:t xml:space="preserve"> other transition regions, is the </w:t>
      </w:r>
      <w:r w:rsidRPr="003516DC">
        <w:rPr>
          <w:rFonts w:ascii="Arial" w:hAnsi="Arial" w:cs="Arial"/>
          <w:sz w:val="20"/>
          <w:szCs w:val="20"/>
        </w:rPr>
        <w:t xml:space="preserve">identification of the synergies and interdependencies between the </w:t>
      </w:r>
      <w:r w:rsidR="008838C7" w:rsidRPr="003516DC">
        <w:rPr>
          <w:rFonts w:ascii="Arial" w:hAnsi="Arial" w:cs="Arial"/>
          <w:sz w:val="20"/>
          <w:szCs w:val="20"/>
        </w:rPr>
        <w:t>identified</w:t>
      </w:r>
      <w:r w:rsidR="008838C7" w:rsidRPr="003516DC" w:rsidDel="008838C7">
        <w:rPr>
          <w:rFonts w:ascii="Arial" w:hAnsi="Arial" w:cs="Arial"/>
          <w:sz w:val="20"/>
          <w:szCs w:val="20"/>
        </w:rPr>
        <w:t xml:space="preserve"> </w:t>
      </w:r>
      <w:r w:rsidRPr="003516DC">
        <w:rPr>
          <w:rFonts w:ascii="Arial" w:hAnsi="Arial" w:cs="Arial"/>
          <w:sz w:val="20"/>
          <w:szCs w:val="20"/>
        </w:rPr>
        <w:t>needs</w:t>
      </w:r>
      <w:r w:rsidR="008838C7" w:rsidRPr="003516DC">
        <w:rPr>
          <w:rFonts w:ascii="Arial" w:hAnsi="Arial" w:cs="Arial"/>
          <w:sz w:val="20"/>
          <w:szCs w:val="20"/>
        </w:rPr>
        <w:t xml:space="preserve"> </w:t>
      </w:r>
      <w:r w:rsidRPr="003516DC">
        <w:rPr>
          <w:rFonts w:ascii="Arial" w:hAnsi="Arial" w:cs="Arial"/>
          <w:sz w:val="20"/>
          <w:szCs w:val="20"/>
        </w:rPr>
        <w:t xml:space="preserve">and the appropriate EU funding sources. </w:t>
      </w:r>
    </w:p>
    <w:p w14:paraId="3FB2E997" w14:textId="565FAA10" w:rsidR="00B609EF" w:rsidRPr="00D963B9" w:rsidRDefault="00B609EF" w:rsidP="00597139">
      <w:pPr>
        <w:numPr>
          <w:ilvl w:val="0"/>
          <w:numId w:val="3"/>
        </w:numPr>
        <w:spacing w:after="120"/>
        <w:ind w:left="360"/>
        <w:jc w:val="both"/>
        <w:rPr>
          <w:rFonts w:ascii="Arial" w:hAnsi="Arial" w:cs="Arial"/>
          <w:color w:val="222222"/>
          <w:sz w:val="20"/>
          <w:szCs w:val="20"/>
        </w:rPr>
      </w:pPr>
      <w:r w:rsidRPr="003516DC">
        <w:rPr>
          <w:rFonts w:ascii="Arial" w:hAnsi="Arial" w:cs="Arial"/>
          <w:sz w:val="20"/>
          <w:szCs w:val="20"/>
        </w:rPr>
        <w:t xml:space="preserve">Another </w:t>
      </w:r>
      <w:r w:rsidR="00F83821" w:rsidRPr="003516DC">
        <w:rPr>
          <w:rFonts w:ascii="Arial" w:hAnsi="Arial" w:cs="Arial"/>
          <w:sz w:val="20"/>
          <w:szCs w:val="20"/>
        </w:rPr>
        <w:t>challenge</w:t>
      </w:r>
      <w:r w:rsidRPr="003516DC">
        <w:rPr>
          <w:rFonts w:ascii="Arial" w:hAnsi="Arial" w:cs="Arial"/>
          <w:sz w:val="20"/>
          <w:szCs w:val="20"/>
        </w:rPr>
        <w:t xml:space="preserve">, more specific to the just transition agenda, is the lack of </w:t>
      </w:r>
      <w:r w:rsidR="00F83821" w:rsidRPr="003516DC">
        <w:rPr>
          <w:rFonts w:ascii="Arial" w:hAnsi="Arial" w:cs="Arial"/>
          <w:sz w:val="20"/>
          <w:szCs w:val="20"/>
        </w:rPr>
        <w:t xml:space="preserve">experience </w:t>
      </w:r>
      <w:r w:rsidRPr="003516DC">
        <w:rPr>
          <w:rFonts w:ascii="Arial" w:hAnsi="Arial" w:cs="Arial"/>
          <w:sz w:val="20"/>
          <w:szCs w:val="20"/>
        </w:rPr>
        <w:t xml:space="preserve">of local stakeholders in working effectively with many participants in </w:t>
      </w:r>
      <w:r w:rsidR="00F83821" w:rsidRPr="003516DC">
        <w:rPr>
          <w:rFonts w:ascii="Arial" w:hAnsi="Arial" w:cs="Arial"/>
          <w:sz w:val="20"/>
          <w:szCs w:val="20"/>
        </w:rPr>
        <w:t>w</w:t>
      </w:r>
      <w:r w:rsidRPr="003516DC">
        <w:rPr>
          <w:rFonts w:ascii="Arial" w:hAnsi="Arial" w:cs="Arial"/>
          <w:sz w:val="20"/>
          <w:szCs w:val="20"/>
        </w:rPr>
        <w:t xml:space="preserve">orking </w:t>
      </w:r>
      <w:r w:rsidR="00F83821" w:rsidRPr="003516DC">
        <w:rPr>
          <w:rFonts w:ascii="Arial" w:hAnsi="Arial" w:cs="Arial"/>
          <w:sz w:val="20"/>
          <w:szCs w:val="20"/>
        </w:rPr>
        <w:t>g</w:t>
      </w:r>
      <w:r w:rsidRPr="003516DC">
        <w:rPr>
          <w:rFonts w:ascii="Arial" w:hAnsi="Arial" w:cs="Arial"/>
          <w:sz w:val="20"/>
          <w:szCs w:val="20"/>
        </w:rPr>
        <w:t>roups</w:t>
      </w:r>
      <w:r w:rsidR="00F83821" w:rsidRPr="003516DC">
        <w:rPr>
          <w:rFonts w:ascii="Arial" w:hAnsi="Arial" w:cs="Arial"/>
          <w:sz w:val="20"/>
          <w:szCs w:val="20"/>
        </w:rPr>
        <w:t xml:space="preserve"> and</w:t>
      </w:r>
      <w:r w:rsidRPr="003516DC">
        <w:rPr>
          <w:rFonts w:ascii="Arial" w:hAnsi="Arial" w:cs="Arial"/>
          <w:sz w:val="20"/>
          <w:szCs w:val="20"/>
        </w:rPr>
        <w:t xml:space="preserve"> in multi-level policy planning process. </w:t>
      </w:r>
      <w:r w:rsidRPr="003516DC">
        <w:rPr>
          <w:rFonts w:ascii="Arial" w:hAnsi="Arial" w:cs="Arial"/>
          <w:color w:val="222222"/>
          <w:sz w:val="20"/>
          <w:szCs w:val="20"/>
        </w:rPr>
        <w:t xml:space="preserve">More efforts will be needed to strengthen the capacity </w:t>
      </w:r>
      <w:r w:rsidR="00F83821" w:rsidRPr="003516DC">
        <w:rPr>
          <w:rFonts w:ascii="Arial" w:hAnsi="Arial" w:cs="Arial"/>
          <w:color w:val="222222"/>
          <w:sz w:val="20"/>
          <w:szCs w:val="20"/>
        </w:rPr>
        <w:t xml:space="preserve">of local stakeholders </w:t>
      </w:r>
      <w:r w:rsidRPr="003516DC">
        <w:rPr>
          <w:rFonts w:ascii="Arial" w:hAnsi="Arial" w:cs="Arial"/>
          <w:color w:val="222222"/>
          <w:sz w:val="20"/>
          <w:szCs w:val="20"/>
        </w:rPr>
        <w:t>to form Public Private Partnerships with</w:t>
      </w:r>
      <w:r w:rsidR="000D0D22" w:rsidRPr="003516DC">
        <w:rPr>
          <w:rFonts w:ascii="Arial" w:hAnsi="Arial" w:cs="Arial"/>
          <w:color w:val="222222"/>
          <w:sz w:val="20"/>
          <w:szCs w:val="20"/>
        </w:rPr>
        <w:t xml:space="preserve"> other</w:t>
      </w:r>
      <w:r w:rsidRPr="003516DC">
        <w:rPr>
          <w:rFonts w:ascii="Arial" w:hAnsi="Arial" w:cs="Arial"/>
          <w:color w:val="222222"/>
          <w:sz w:val="20"/>
          <w:szCs w:val="20"/>
        </w:rPr>
        <w:t xml:space="preserve"> local and regional actors. Both public institutions and the local business community have very low capacit</w:t>
      </w:r>
      <w:r w:rsidR="00625BB9" w:rsidRPr="003516DC">
        <w:rPr>
          <w:rFonts w:ascii="Arial" w:hAnsi="Arial" w:cs="Arial"/>
          <w:color w:val="222222"/>
          <w:sz w:val="20"/>
          <w:szCs w:val="20"/>
        </w:rPr>
        <w:t>ies</w:t>
      </w:r>
      <w:r w:rsidRPr="003516DC">
        <w:rPr>
          <w:rFonts w:ascii="Arial" w:hAnsi="Arial" w:cs="Arial"/>
          <w:color w:val="222222"/>
          <w:sz w:val="20"/>
          <w:szCs w:val="20"/>
        </w:rPr>
        <w:t xml:space="preserve"> working with </w:t>
      </w:r>
      <w:r w:rsidR="006A56B4" w:rsidRPr="003516DC">
        <w:rPr>
          <w:rFonts w:ascii="Arial" w:hAnsi="Arial" w:cs="Arial"/>
          <w:color w:val="222222"/>
          <w:sz w:val="20"/>
          <w:szCs w:val="20"/>
        </w:rPr>
        <w:t>public financial instruments (e.g., InvestEU) and need to exchange best practices with better-positioned actors.</w:t>
      </w:r>
      <w:r w:rsidRPr="003516DC">
        <w:rPr>
          <w:rFonts w:ascii="Arial" w:hAnsi="Arial" w:cs="Arial"/>
          <w:color w:val="222222"/>
          <w:sz w:val="20"/>
          <w:szCs w:val="20"/>
        </w:rPr>
        <w:t>.</w:t>
      </w:r>
    </w:p>
    <w:p w14:paraId="5FF31899" w14:textId="1801CD3A" w:rsidR="00B609EF" w:rsidRPr="003516DC" w:rsidRDefault="00B609EF" w:rsidP="00597139">
      <w:pPr>
        <w:numPr>
          <w:ilvl w:val="0"/>
          <w:numId w:val="3"/>
        </w:numPr>
        <w:spacing w:after="120"/>
        <w:ind w:left="360"/>
        <w:jc w:val="both"/>
        <w:rPr>
          <w:rFonts w:ascii="Arial" w:hAnsi="Arial" w:cs="Arial"/>
          <w:sz w:val="20"/>
          <w:szCs w:val="20"/>
        </w:rPr>
      </w:pPr>
      <w:r w:rsidRPr="003516DC">
        <w:rPr>
          <w:rFonts w:ascii="Arial" w:hAnsi="Arial" w:cs="Arial"/>
          <w:sz w:val="20"/>
          <w:szCs w:val="20"/>
        </w:rPr>
        <w:lastRenderedPageBreak/>
        <w:t xml:space="preserve">An economic challenge is </w:t>
      </w:r>
      <w:r w:rsidR="00317CF7" w:rsidRPr="003516DC">
        <w:rPr>
          <w:rFonts w:ascii="Arial" w:hAnsi="Arial" w:cs="Arial"/>
          <w:sz w:val="20"/>
          <w:szCs w:val="20"/>
        </w:rPr>
        <w:t xml:space="preserve">the </w:t>
      </w:r>
      <w:r w:rsidRPr="003516DC">
        <w:rPr>
          <w:rFonts w:ascii="Arial" w:hAnsi="Arial" w:cs="Arial"/>
          <w:sz w:val="20"/>
          <w:szCs w:val="20"/>
        </w:rPr>
        <w:t>lack of economic diversification: while the South-West Oltenia region</w:t>
      </w:r>
      <w:r w:rsidR="007211A0" w:rsidRPr="003516DC">
        <w:rPr>
          <w:rFonts w:ascii="Arial" w:hAnsi="Arial" w:cs="Arial"/>
          <w:sz w:val="20"/>
          <w:szCs w:val="20"/>
        </w:rPr>
        <w:t xml:space="preserve"> of</w:t>
      </w:r>
      <w:r w:rsidR="00350AA9" w:rsidRPr="003516DC">
        <w:rPr>
          <w:rFonts w:ascii="Arial" w:hAnsi="Arial" w:cs="Arial"/>
          <w:sz w:val="20"/>
          <w:szCs w:val="20"/>
        </w:rPr>
        <w:t xml:space="preserve"> Dolj c</w:t>
      </w:r>
      <w:r w:rsidRPr="003516DC">
        <w:rPr>
          <w:rFonts w:ascii="Arial" w:hAnsi="Arial" w:cs="Arial"/>
          <w:sz w:val="20"/>
          <w:szCs w:val="20"/>
        </w:rPr>
        <w:t>ounty has the most companies in the top 50</w:t>
      </w:r>
      <w:r w:rsidR="007030C4" w:rsidRPr="003516DC">
        <w:rPr>
          <w:rStyle w:val="FootnoteReference"/>
          <w:rFonts w:ascii="Arial" w:hAnsi="Arial" w:cs="Arial"/>
          <w:sz w:val="20"/>
          <w:szCs w:val="20"/>
        </w:rPr>
        <w:footnoteReference w:id="86"/>
      </w:r>
      <w:r w:rsidRPr="003516DC">
        <w:rPr>
          <w:rFonts w:ascii="Arial" w:hAnsi="Arial" w:cs="Arial"/>
          <w:sz w:val="20"/>
          <w:szCs w:val="20"/>
        </w:rPr>
        <w:t xml:space="preserve"> (Ford Romania, CEZ Vânzare, Distribuție Energie Oltenia, Cummins Generator Technologies Romania SA, Dumagas Transport SA, Azalis SRL, Comdata Service SRL, Foraj Sonde SRL, etc.)</w:t>
      </w:r>
      <w:r w:rsidR="007211A0" w:rsidRPr="003516DC">
        <w:rPr>
          <w:rFonts w:ascii="Arial" w:hAnsi="Arial" w:cs="Arial"/>
          <w:sz w:val="20"/>
          <w:szCs w:val="20"/>
        </w:rPr>
        <w:t>,</w:t>
      </w:r>
      <w:r w:rsidRPr="003516DC">
        <w:rPr>
          <w:rFonts w:ascii="Arial" w:hAnsi="Arial" w:cs="Arial"/>
          <w:sz w:val="20"/>
          <w:szCs w:val="20"/>
        </w:rPr>
        <w:t xml:space="preserve"> the breakdown </w:t>
      </w:r>
      <w:r w:rsidR="008E4F49" w:rsidRPr="003516DC">
        <w:rPr>
          <w:rFonts w:ascii="Arial" w:hAnsi="Arial" w:cs="Arial"/>
          <w:sz w:val="20"/>
          <w:szCs w:val="20"/>
        </w:rPr>
        <w:t xml:space="preserve">by </w:t>
      </w:r>
      <w:r w:rsidRPr="003516DC">
        <w:rPr>
          <w:rFonts w:ascii="Arial" w:hAnsi="Arial" w:cs="Arial"/>
          <w:sz w:val="20"/>
          <w:szCs w:val="20"/>
        </w:rPr>
        <w:t>economic sector and industr</w:t>
      </w:r>
      <w:r w:rsidR="00A83E9C" w:rsidRPr="003516DC">
        <w:rPr>
          <w:rFonts w:ascii="Arial" w:hAnsi="Arial" w:cs="Arial"/>
          <w:sz w:val="20"/>
          <w:szCs w:val="20"/>
        </w:rPr>
        <w:t>y</w:t>
      </w:r>
      <w:r w:rsidRPr="003516DC">
        <w:rPr>
          <w:rFonts w:ascii="Arial" w:hAnsi="Arial" w:cs="Arial"/>
          <w:sz w:val="20"/>
          <w:szCs w:val="20"/>
        </w:rPr>
        <w:t xml:space="preserve"> </w:t>
      </w:r>
      <w:r w:rsidR="000A2BF4" w:rsidRPr="003516DC">
        <w:rPr>
          <w:rFonts w:ascii="Arial" w:hAnsi="Arial" w:cs="Arial"/>
          <w:sz w:val="20"/>
          <w:szCs w:val="20"/>
        </w:rPr>
        <w:t xml:space="preserve">has </w:t>
      </w:r>
      <w:r w:rsidRPr="003516DC">
        <w:rPr>
          <w:rFonts w:ascii="Arial" w:hAnsi="Arial" w:cs="Arial"/>
          <w:sz w:val="20"/>
          <w:szCs w:val="20"/>
        </w:rPr>
        <w:t>roughly the same pattern as 10 years ago.</w:t>
      </w:r>
    </w:p>
    <w:p w14:paraId="3A12DED1" w14:textId="154CFA9B" w:rsidR="00B609EF" w:rsidRPr="00D963B9" w:rsidRDefault="00B609EF" w:rsidP="00597139">
      <w:pPr>
        <w:numPr>
          <w:ilvl w:val="0"/>
          <w:numId w:val="3"/>
        </w:numPr>
        <w:spacing w:after="120"/>
        <w:ind w:left="360"/>
        <w:jc w:val="both"/>
        <w:rPr>
          <w:rFonts w:ascii="Arial" w:hAnsi="Arial" w:cs="Arial"/>
          <w:sz w:val="20"/>
          <w:szCs w:val="20"/>
        </w:rPr>
      </w:pPr>
      <w:r w:rsidRPr="003516DC">
        <w:rPr>
          <w:rFonts w:ascii="Arial" w:hAnsi="Arial" w:cs="Arial"/>
          <w:sz w:val="20"/>
          <w:szCs w:val="20"/>
        </w:rPr>
        <w:t>The</w:t>
      </w:r>
      <w:r w:rsidR="00AB13B0" w:rsidRPr="003516DC">
        <w:rPr>
          <w:rFonts w:ascii="Arial" w:hAnsi="Arial" w:cs="Arial"/>
          <w:sz w:val="20"/>
          <w:szCs w:val="20"/>
        </w:rPr>
        <w:t>re is a</w:t>
      </w:r>
      <w:r w:rsidRPr="003516DC">
        <w:rPr>
          <w:rFonts w:ascii="Arial" w:hAnsi="Arial" w:cs="Arial"/>
          <w:sz w:val="20"/>
          <w:szCs w:val="20"/>
        </w:rPr>
        <w:t xml:space="preserve"> mismatch between the labour needs of SMEs and larger enterprises and the skills of the local workforce</w:t>
      </w:r>
      <w:r w:rsidR="00AB13B0" w:rsidRPr="003516DC">
        <w:rPr>
          <w:rFonts w:ascii="Arial" w:hAnsi="Arial" w:cs="Arial"/>
          <w:sz w:val="20"/>
          <w:szCs w:val="20"/>
        </w:rPr>
        <w:t>. This</w:t>
      </w:r>
      <w:r w:rsidRPr="003516DC">
        <w:rPr>
          <w:rFonts w:ascii="Arial" w:hAnsi="Arial" w:cs="Arial"/>
          <w:sz w:val="20"/>
          <w:szCs w:val="20"/>
        </w:rPr>
        <w:t xml:space="preserve"> hampers the development of local enterprises and reinforces migratory patterns. Data indicates that the considerable turnover growth in the manufacturing sector is not matched by a proportional growth of employment in this sector, which shows that the sector is technology intensive and less prone to the emergence of new firms. The trade sector (incl</w:t>
      </w:r>
      <w:r w:rsidR="00264DD3" w:rsidRPr="003516DC">
        <w:rPr>
          <w:rFonts w:ascii="Arial" w:hAnsi="Arial" w:cs="Arial"/>
          <w:sz w:val="20"/>
          <w:szCs w:val="20"/>
        </w:rPr>
        <w:t>uding</w:t>
      </w:r>
      <w:r w:rsidRPr="003516DC">
        <w:rPr>
          <w:rFonts w:ascii="Arial" w:hAnsi="Arial" w:cs="Arial"/>
          <w:sz w:val="20"/>
          <w:szCs w:val="20"/>
        </w:rPr>
        <w:t xml:space="preserve"> hotels and restaurants) is less competitive in terms of turnover but creates more, albeit less well-paid jobs, while also favouring the emergence of new enterprises.</w:t>
      </w:r>
    </w:p>
    <w:p w14:paraId="681DE8BD" w14:textId="073EE2F9" w:rsidR="00B609EF" w:rsidRPr="00D963B9" w:rsidRDefault="00B609EF" w:rsidP="00597139">
      <w:pPr>
        <w:numPr>
          <w:ilvl w:val="0"/>
          <w:numId w:val="3"/>
        </w:numPr>
        <w:spacing w:after="120"/>
        <w:ind w:left="360"/>
        <w:jc w:val="both"/>
        <w:rPr>
          <w:rFonts w:ascii="Arial" w:hAnsi="Arial" w:cs="Arial"/>
          <w:sz w:val="20"/>
          <w:szCs w:val="20"/>
          <w:highlight w:val="white"/>
        </w:rPr>
      </w:pPr>
      <w:r w:rsidRPr="003516DC">
        <w:rPr>
          <w:rFonts w:ascii="Arial" w:hAnsi="Arial" w:cs="Arial"/>
          <w:sz w:val="20"/>
          <w:szCs w:val="20"/>
        </w:rPr>
        <w:t>Unemployment has persistently double</w:t>
      </w:r>
      <w:r w:rsidR="007802FF" w:rsidRPr="003516DC">
        <w:rPr>
          <w:rFonts w:ascii="Arial" w:hAnsi="Arial" w:cs="Arial"/>
          <w:sz w:val="20"/>
          <w:szCs w:val="20"/>
        </w:rPr>
        <w:t>d</w:t>
      </w:r>
      <w:r w:rsidRPr="003516DC">
        <w:rPr>
          <w:rFonts w:ascii="Arial" w:hAnsi="Arial" w:cs="Arial"/>
          <w:sz w:val="20"/>
          <w:szCs w:val="20"/>
        </w:rPr>
        <w:t xml:space="preserve"> the national average</w:t>
      </w:r>
      <w:r w:rsidR="007802FF" w:rsidRPr="003516DC">
        <w:rPr>
          <w:rFonts w:ascii="Arial" w:hAnsi="Arial" w:cs="Arial"/>
          <w:sz w:val="20"/>
          <w:szCs w:val="20"/>
        </w:rPr>
        <w:t xml:space="preserve"> in the last decade</w:t>
      </w:r>
      <w:r w:rsidRPr="003516DC">
        <w:rPr>
          <w:rFonts w:ascii="Arial" w:hAnsi="Arial" w:cs="Arial"/>
          <w:sz w:val="20"/>
          <w:szCs w:val="20"/>
        </w:rPr>
        <w:t xml:space="preserve">, </w:t>
      </w:r>
      <w:r w:rsidR="00202BD5" w:rsidRPr="003516DC">
        <w:rPr>
          <w:rFonts w:ascii="Arial" w:hAnsi="Arial" w:cs="Arial"/>
          <w:sz w:val="20"/>
          <w:szCs w:val="20"/>
        </w:rPr>
        <w:t xml:space="preserve">and is </w:t>
      </w:r>
      <w:r w:rsidRPr="003516DC">
        <w:rPr>
          <w:rFonts w:ascii="Arial" w:hAnsi="Arial" w:cs="Arial"/>
          <w:sz w:val="20"/>
          <w:szCs w:val="20"/>
        </w:rPr>
        <w:t>high</w:t>
      </w:r>
      <w:r w:rsidR="00202BD5" w:rsidRPr="003516DC">
        <w:rPr>
          <w:rFonts w:ascii="Arial" w:hAnsi="Arial" w:cs="Arial"/>
          <w:sz w:val="20"/>
          <w:szCs w:val="20"/>
        </w:rPr>
        <w:t>ly</w:t>
      </w:r>
      <w:r w:rsidRPr="003516DC">
        <w:rPr>
          <w:rFonts w:ascii="Arial" w:hAnsi="Arial" w:cs="Arial"/>
          <w:sz w:val="20"/>
          <w:szCs w:val="20"/>
        </w:rPr>
        <w:t xml:space="preserve"> concentrat</w:t>
      </w:r>
      <w:r w:rsidR="00202BD5" w:rsidRPr="003516DC">
        <w:rPr>
          <w:rFonts w:ascii="Arial" w:hAnsi="Arial" w:cs="Arial"/>
          <w:sz w:val="20"/>
          <w:szCs w:val="20"/>
        </w:rPr>
        <w:t>ed</w:t>
      </w:r>
      <w:r w:rsidRPr="003516DC">
        <w:rPr>
          <w:rFonts w:ascii="Arial" w:hAnsi="Arial" w:cs="Arial"/>
          <w:sz w:val="20"/>
          <w:szCs w:val="20"/>
        </w:rPr>
        <w:t xml:space="preserve"> outside </w:t>
      </w:r>
      <w:r w:rsidR="007802FF" w:rsidRPr="003516DC">
        <w:rPr>
          <w:rFonts w:ascii="Arial" w:hAnsi="Arial" w:cs="Arial"/>
          <w:sz w:val="20"/>
          <w:szCs w:val="20"/>
        </w:rPr>
        <w:t>of</w:t>
      </w:r>
      <w:r w:rsidRPr="003516DC">
        <w:rPr>
          <w:rFonts w:ascii="Arial" w:hAnsi="Arial" w:cs="Arial"/>
          <w:sz w:val="20"/>
          <w:szCs w:val="20"/>
        </w:rPr>
        <w:t xml:space="preserve"> Craiova. An important challenge in terms of employment in the dec</w:t>
      </w:r>
      <w:r w:rsidRPr="003516DC">
        <w:rPr>
          <w:rFonts w:ascii="Arial" w:hAnsi="Arial" w:cs="Arial"/>
          <w:sz w:val="20"/>
          <w:szCs w:val="20"/>
          <w:highlight w:val="white"/>
        </w:rPr>
        <w:t>arboni</w:t>
      </w:r>
      <w:r w:rsidR="00202BD5" w:rsidRPr="003516DC">
        <w:rPr>
          <w:rFonts w:ascii="Arial" w:hAnsi="Arial" w:cs="Arial"/>
          <w:sz w:val="20"/>
          <w:szCs w:val="20"/>
          <w:highlight w:val="white"/>
        </w:rPr>
        <w:t>s</w:t>
      </w:r>
      <w:r w:rsidRPr="003516DC">
        <w:rPr>
          <w:rFonts w:ascii="Arial" w:hAnsi="Arial" w:cs="Arial"/>
          <w:sz w:val="20"/>
          <w:szCs w:val="20"/>
          <w:highlight w:val="white"/>
        </w:rPr>
        <w:t xml:space="preserve">ation context is expected to stem from the restructuring of </w:t>
      </w:r>
      <w:r w:rsidR="00135228" w:rsidRPr="003516DC">
        <w:rPr>
          <w:rFonts w:ascii="Arial" w:hAnsi="Arial" w:cs="Arial"/>
          <w:sz w:val="20"/>
          <w:szCs w:val="20"/>
          <w:highlight w:val="white"/>
        </w:rPr>
        <w:t xml:space="preserve">Oltenia </w:t>
      </w:r>
      <w:r w:rsidRPr="003516DC">
        <w:rPr>
          <w:rFonts w:ascii="Arial" w:hAnsi="Arial" w:cs="Arial"/>
          <w:sz w:val="20"/>
          <w:szCs w:val="20"/>
          <w:highlight w:val="white"/>
        </w:rPr>
        <w:t>Energy Complex, which employs 1</w:t>
      </w:r>
      <w:r w:rsidR="00202BD5" w:rsidRPr="003516DC">
        <w:rPr>
          <w:rFonts w:ascii="Arial" w:hAnsi="Arial" w:cs="Arial"/>
          <w:sz w:val="20"/>
          <w:szCs w:val="20"/>
          <w:highlight w:val="white"/>
        </w:rPr>
        <w:t>,</w:t>
      </w:r>
      <w:r w:rsidRPr="003516DC">
        <w:rPr>
          <w:rFonts w:ascii="Arial" w:hAnsi="Arial" w:cs="Arial"/>
          <w:sz w:val="20"/>
          <w:szCs w:val="20"/>
          <w:highlight w:val="white"/>
        </w:rPr>
        <w:t xml:space="preserve">200 employees in </w:t>
      </w:r>
      <w:r w:rsidR="00202BD5" w:rsidRPr="003516DC">
        <w:rPr>
          <w:rFonts w:ascii="Arial" w:hAnsi="Arial" w:cs="Arial"/>
          <w:sz w:val="20"/>
          <w:szCs w:val="20"/>
          <w:highlight w:val="white"/>
        </w:rPr>
        <w:t xml:space="preserve">the </w:t>
      </w:r>
      <w:r w:rsidRPr="003516DC">
        <w:rPr>
          <w:rFonts w:ascii="Arial" w:hAnsi="Arial" w:cs="Arial"/>
          <w:sz w:val="20"/>
          <w:szCs w:val="20"/>
          <w:highlight w:val="white"/>
        </w:rPr>
        <w:t xml:space="preserve">coal-fired power-plants Ișalnița and Craiova II. According to the current restructuring plan of </w:t>
      </w:r>
      <w:r w:rsidR="00135228" w:rsidRPr="003516DC">
        <w:rPr>
          <w:rFonts w:ascii="Arial" w:hAnsi="Arial" w:cs="Arial"/>
          <w:sz w:val="20"/>
          <w:szCs w:val="20"/>
          <w:highlight w:val="white"/>
        </w:rPr>
        <w:t xml:space="preserve">Oltenia </w:t>
      </w:r>
      <w:r w:rsidRPr="003516DC">
        <w:rPr>
          <w:rFonts w:ascii="Arial" w:hAnsi="Arial" w:cs="Arial"/>
          <w:sz w:val="20"/>
          <w:szCs w:val="20"/>
          <w:highlight w:val="white"/>
        </w:rPr>
        <w:t>Energy Complex (still pending approval), 70% of these Dolj-based employees are expected to be laid off by 2025</w:t>
      </w:r>
      <w:r w:rsidR="00202BD5" w:rsidRPr="003516DC">
        <w:rPr>
          <w:rFonts w:ascii="Arial" w:hAnsi="Arial" w:cs="Arial"/>
          <w:sz w:val="20"/>
          <w:szCs w:val="20"/>
          <w:highlight w:val="white"/>
        </w:rPr>
        <w:t>.</w:t>
      </w:r>
      <w:r w:rsidRPr="003516DC">
        <w:rPr>
          <w:rFonts w:ascii="Arial" w:hAnsi="Arial" w:cs="Arial"/>
          <w:sz w:val="20"/>
          <w:szCs w:val="20"/>
          <w:highlight w:val="white"/>
        </w:rPr>
        <w:t xml:space="preserve"> </w:t>
      </w:r>
      <w:r w:rsidR="00202BD5" w:rsidRPr="003516DC">
        <w:rPr>
          <w:rFonts w:ascii="Arial" w:hAnsi="Arial" w:cs="Arial"/>
          <w:sz w:val="20"/>
          <w:szCs w:val="20"/>
          <w:highlight w:val="white"/>
        </w:rPr>
        <w:t>H</w:t>
      </w:r>
      <w:r w:rsidRPr="003516DC">
        <w:rPr>
          <w:rFonts w:ascii="Arial" w:hAnsi="Arial" w:cs="Arial"/>
          <w:sz w:val="20"/>
          <w:szCs w:val="20"/>
          <w:highlight w:val="white"/>
        </w:rPr>
        <w:t>owever, approx</w:t>
      </w:r>
      <w:r w:rsidR="00202BD5" w:rsidRPr="003516DC">
        <w:rPr>
          <w:rFonts w:ascii="Arial" w:hAnsi="Arial" w:cs="Arial"/>
          <w:sz w:val="20"/>
          <w:szCs w:val="20"/>
          <w:highlight w:val="white"/>
        </w:rPr>
        <w:t>imately</w:t>
      </w:r>
      <w:r w:rsidRPr="003516DC">
        <w:rPr>
          <w:rFonts w:ascii="Arial" w:hAnsi="Arial" w:cs="Arial"/>
          <w:sz w:val="20"/>
          <w:szCs w:val="20"/>
          <w:highlight w:val="white"/>
        </w:rPr>
        <w:t xml:space="preserve"> 15% of them are close to retirement, 7</w:t>
      </w:r>
      <w:r w:rsidR="00986B33" w:rsidRPr="003516DC">
        <w:rPr>
          <w:rFonts w:ascii="Arial" w:hAnsi="Arial" w:cs="Arial"/>
          <w:sz w:val="20"/>
          <w:szCs w:val="20"/>
          <w:highlight w:val="white"/>
        </w:rPr>
        <w:t>.</w:t>
      </w:r>
      <w:r w:rsidRPr="003516DC">
        <w:rPr>
          <w:rFonts w:ascii="Arial" w:hAnsi="Arial" w:cs="Arial"/>
          <w:sz w:val="20"/>
          <w:szCs w:val="20"/>
          <w:highlight w:val="white"/>
        </w:rPr>
        <w:t xml:space="preserve">5% will be reassigned, </w:t>
      </w:r>
      <w:r w:rsidR="000F5AF0" w:rsidRPr="003516DC">
        <w:rPr>
          <w:rFonts w:ascii="Arial" w:hAnsi="Arial" w:cs="Arial"/>
          <w:sz w:val="20"/>
          <w:szCs w:val="20"/>
          <w:highlight w:val="white"/>
        </w:rPr>
        <w:t xml:space="preserve">and </w:t>
      </w:r>
      <w:r w:rsidRPr="003516DC">
        <w:rPr>
          <w:rFonts w:ascii="Arial" w:hAnsi="Arial" w:cs="Arial"/>
          <w:sz w:val="20"/>
          <w:szCs w:val="20"/>
          <w:highlight w:val="white"/>
        </w:rPr>
        <w:t xml:space="preserve">the remaining 842 </w:t>
      </w:r>
      <w:r w:rsidR="000F5AF0" w:rsidRPr="003516DC">
        <w:rPr>
          <w:rFonts w:ascii="Arial" w:hAnsi="Arial" w:cs="Arial"/>
          <w:sz w:val="20"/>
          <w:szCs w:val="20"/>
          <w:highlight w:val="white"/>
        </w:rPr>
        <w:t>employees</w:t>
      </w:r>
      <w:r w:rsidRPr="003516DC">
        <w:rPr>
          <w:rFonts w:ascii="Arial" w:hAnsi="Arial" w:cs="Arial"/>
          <w:sz w:val="20"/>
          <w:szCs w:val="20"/>
          <w:highlight w:val="white"/>
        </w:rPr>
        <w:t xml:space="preserve"> will have to be absorbed in other sectors of the economy and potentially reskilled/upskilled. Furthermore, the 120 contractors/ suppliers of </w:t>
      </w:r>
      <w:r w:rsidR="00135228" w:rsidRPr="003516DC">
        <w:rPr>
          <w:rFonts w:ascii="Arial" w:hAnsi="Arial" w:cs="Arial"/>
          <w:sz w:val="20"/>
          <w:szCs w:val="20"/>
          <w:highlight w:val="white"/>
        </w:rPr>
        <w:t xml:space="preserve">Oltenia </w:t>
      </w:r>
      <w:r w:rsidRPr="003516DC">
        <w:rPr>
          <w:rFonts w:ascii="Arial" w:hAnsi="Arial" w:cs="Arial"/>
          <w:sz w:val="20"/>
          <w:szCs w:val="20"/>
          <w:highlight w:val="white"/>
        </w:rPr>
        <w:t>Energy Complex that cooperate with Isalnita and Craiova II power-plants have approximately 7</w:t>
      </w:r>
      <w:r w:rsidR="00B107D6" w:rsidRPr="003516DC">
        <w:rPr>
          <w:rFonts w:ascii="Arial" w:hAnsi="Arial" w:cs="Arial"/>
          <w:sz w:val="20"/>
          <w:szCs w:val="20"/>
          <w:highlight w:val="white"/>
        </w:rPr>
        <w:t>,</w:t>
      </w:r>
      <w:r w:rsidRPr="003516DC">
        <w:rPr>
          <w:rFonts w:ascii="Arial" w:hAnsi="Arial" w:cs="Arial"/>
          <w:sz w:val="20"/>
          <w:szCs w:val="20"/>
          <w:highlight w:val="white"/>
        </w:rPr>
        <w:t>000 employees. We estimate that 20</w:t>
      </w:r>
      <w:r w:rsidR="00B107D6" w:rsidRPr="003516DC">
        <w:rPr>
          <w:rFonts w:ascii="Arial" w:hAnsi="Arial" w:cs="Arial"/>
          <w:sz w:val="20"/>
          <w:szCs w:val="20"/>
          <w:highlight w:val="white"/>
        </w:rPr>
        <w:t>-</w:t>
      </w:r>
      <w:r w:rsidRPr="003516DC">
        <w:rPr>
          <w:rFonts w:ascii="Arial" w:hAnsi="Arial" w:cs="Arial"/>
          <w:sz w:val="20"/>
          <w:szCs w:val="20"/>
          <w:highlight w:val="white"/>
        </w:rPr>
        <w:t xml:space="preserve">50% of these companies’ turnover is dependent on </w:t>
      </w:r>
      <w:r w:rsidR="00135228" w:rsidRPr="003516DC">
        <w:rPr>
          <w:rFonts w:ascii="Arial" w:hAnsi="Arial" w:cs="Arial"/>
          <w:sz w:val="20"/>
          <w:szCs w:val="20"/>
          <w:highlight w:val="white"/>
        </w:rPr>
        <w:t xml:space="preserve">Oltenia </w:t>
      </w:r>
      <w:r w:rsidRPr="003516DC">
        <w:rPr>
          <w:rFonts w:ascii="Arial" w:hAnsi="Arial" w:cs="Arial"/>
          <w:sz w:val="20"/>
          <w:szCs w:val="20"/>
          <w:highlight w:val="white"/>
        </w:rPr>
        <w:t>Energy Complex</w:t>
      </w:r>
      <w:r w:rsidR="00EC7775" w:rsidRPr="003516DC">
        <w:rPr>
          <w:rFonts w:ascii="Arial" w:hAnsi="Arial" w:cs="Arial"/>
          <w:sz w:val="20"/>
          <w:szCs w:val="20"/>
          <w:highlight w:val="white"/>
        </w:rPr>
        <w:t>. A</w:t>
      </w:r>
      <w:r w:rsidRPr="003516DC">
        <w:rPr>
          <w:rFonts w:ascii="Arial" w:hAnsi="Arial" w:cs="Arial"/>
          <w:sz w:val="20"/>
          <w:szCs w:val="20"/>
          <w:highlight w:val="white"/>
        </w:rPr>
        <w:t>ssuming equal productivity levels for all staff</w:t>
      </w:r>
      <w:r w:rsidR="00EC7775" w:rsidRPr="003516DC">
        <w:rPr>
          <w:rFonts w:ascii="Arial" w:hAnsi="Arial" w:cs="Arial"/>
          <w:sz w:val="20"/>
          <w:szCs w:val="20"/>
          <w:highlight w:val="white"/>
        </w:rPr>
        <w:t>,</w:t>
      </w:r>
      <w:r w:rsidRPr="003516DC">
        <w:rPr>
          <w:rFonts w:ascii="Arial" w:hAnsi="Arial" w:cs="Arial"/>
          <w:sz w:val="20"/>
          <w:szCs w:val="20"/>
          <w:highlight w:val="white"/>
        </w:rPr>
        <w:t xml:space="preserve"> the number of Dolj-based jobs endangered by the restructuring of the Oltenia</w:t>
      </w:r>
      <w:r w:rsidR="00135228" w:rsidRPr="003516DC">
        <w:rPr>
          <w:rFonts w:ascii="Arial" w:hAnsi="Arial" w:cs="Arial"/>
          <w:sz w:val="20"/>
          <w:szCs w:val="20"/>
          <w:highlight w:val="white"/>
        </w:rPr>
        <w:t xml:space="preserve"> Energy</w:t>
      </w:r>
      <w:r w:rsidRPr="003516DC">
        <w:rPr>
          <w:rFonts w:ascii="Arial" w:hAnsi="Arial" w:cs="Arial"/>
          <w:sz w:val="20"/>
          <w:szCs w:val="20"/>
          <w:highlight w:val="white"/>
        </w:rPr>
        <w:t xml:space="preserve"> Complex would be between 1</w:t>
      </w:r>
      <w:r w:rsidR="00EC7775" w:rsidRPr="003516DC">
        <w:rPr>
          <w:rFonts w:ascii="Arial" w:hAnsi="Arial" w:cs="Arial"/>
          <w:sz w:val="20"/>
          <w:szCs w:val="20"/>
          <w:highlight w:val="white"/>
        </w:rPr>
        <w:t>,</w:t>
      </w:r>
      <w:r w:rsidRPr="003516DC">
        <w:rPr>
          <w:rFonts w:ascii="Arial" w:hAnsi="Arial" w:cs="Arial"/>
          <w:sz w:val="20"/>
          <w:szCs w:val="20"/>
          <w:highlight w:val="white"/>
        </w:rPr>
        <w:t>400 and 3</w:t>
      </w:r>
      <w:r w:rsidR="00EC7775" w:rsidRPr="003516DC">
        <w:rPr>
          <w:rFonts w:ascii="Arial" w:hAnsi="Arial" w:cs="Arial"/>
          <w:sz w:val="20"/>
          <w:szCs w:val="20"/>
          <w:highlight w:val="white"/>
        </w:rPr>
        <w:t>,</w:t>
      </w:r>
      <w:r w:rsidRPr="003516DC">
        <w:rPr>
          <w:rFonts w:ascii="Arial" w:hAnsi="Arial" w:cs="Arial"/>
          <w:sz w:val="20"/>
          <w:szCs w:val="20"/>
          <w:highlight w:val="white"/>
        </w:rPr>
        <w:t xml:space="preserve">500. </w:t>
      </w:r>
      <w:r w:rsidR="00E649E2" w:rsidRPr="003516DC">
        <w:rPr>
          <w:rFonts w:ascii="Arial" w:hAnsi="Arial" w:cs="Arial"/>
          <w:sz w:val="20"/>
          <w:szCs w:val="20"/>
          <w:highlight w:val="white"/>
        </w:rPr>
        <w:t>A</w:t>
      </w:r>
      <w:r w:rsidRPr="003516DC">
        <w:rPr>
          <w:rFonts w:ascii="Arial" w:hAnsi="Arial" w:cs="Arial"/>
          <w:sz w:val="20"/>
          <w:szCs w:val="20"/>
          <w:highlight w:val="white"/>
        </w:rPr>
        <w:t>ccording to the local stakeholders we interviewed,</w:t>
      </w:r>
      <w:r w:rsidR="00E649E2" w:rsidRPr="003516DC">
        <w:rPr>
          <w:rFonts w:ascii="Arial" w:hAnsi="Arial" w:cs="Arial"/>
          <w:sz w:val="20"/>
          <w:szCs w:val="20"/>
          <w:highlight w:val="white"/>
        </w:rPr>
        <w:t xml:space="preserve"> the actual figures</w:t>
      </w:r>
      <w:r w:rsidRPr="003516DC">
        <w:rPr>
          <w:rFonts w:ascii="Arial" w:hAnsi="Arial" w:cs="Arial"/>
          <w:sz w:val="20"/>
          <w:szCs w:val="20"/>
          <w:highlight w:val="white"/>
        </w:rPr>
        <w:t xml:space="preserve"> may be even higher</w:t>
      </w:r>
      <w:r w:rsidR="00E649E2" w:rsidRPr="003516DC">
        <w:rPr>
          <w:rFonts w:ascii="Arial" w:hAnsi="Arial" w:cs="Arial"/>
          <w:sz w:val="20"/>
          <w:szCs w:val="20"/>
          <w:highlight w:val="white"/>
        </w:rPr>
        <w:t xml:space="preserve"> because</w:t>
      </w:r>
      <w:r w:rsidRPr="003516DC">
        <w:rPr>
          <w:rFonts w:ascii="Arial" w:hAnsi="Arial" w:cs="Arial"/>
          <w:sz w:val="20"/>
          <w:szCs w:val="20"/>
          <w:highlight w:val="white"/>
        </w:rPr>
        <w:t xml:space="preserve"> a segment of the staff hired by </w:t>
      </w:r>
      <w:r w:rsidR="004A7C96" w:rsidRPr="003516DC">
        <w:rPr>
          <w:rFonts w:ascii="Arial" w:hAnsi="Arial" w:cs="Arial"/>
          <w:sz w:val="20"/>
          <w:szCs w:val="20"/>
          <w:highlight w:val="white"/>
        </w:rPr>
        <w:t xml:space="preserve">Oltenia </w:t>
      </w:r>
      <w:r w:rsidRPr="003516DC">
        <w:rPr>
          <w:rFonts w:ascii="Arial" w:hAnsi="Arial" w:cs="Arial"/>
          <w:sz w:val="20"/>
          <w:szCs w:val="20"/>
          <w:highlight w:val="white"/>
        </w:rPr>
        <w:t xml:space="preserve">Energy Complex in Gorj are actually residents in Northern Dolj and commute to work daily in Gorj. </w:t>
      </w:r>
    </w:p>
    <w:p w14:paraId="5E54F3E9" w14:textId="77777777" w:rsidR="00BB4544" w:rsidRPr="003516DC" w:rsidRDefault="00B609EF" w:rsidP="00597139">
      <w:pPr>
        <w:numPr>
          <w:ilvl w:val="0"/>
          <w:numId w:val="3"/>
        </w:numPr>
        <w:spacing w:after="120"/>
        <w:ind w:left="360"/>
        <w:jc w:val="both"/>
        <w:rPr>
          <w:rFonts w:ascii="Arial" w:hAnsi="Arial" w:cs="Arial"/>
          <w:sz w:val="20"/>
          <w:szCs w:val="20"/>
        </w:rPr>
      </w:pPr>
      <w:r w:rsidRPr="003516DC">
        <w:rPr>
          <w:rFonts w:ascii="Arial" w:hAnsi="Arial" w:cs="Arial"/>
          <w:sz w:val="20"/>
          <w:szCs w:val="20"/>
        </w:rPr>
        <w:t>Given the county’s sticky unemployment, despite the continuously upward trend in terms of economic development (number of companies, turnover, number of new jobs, etc.) the extra pressure brought by the Oltenia Energy Complex restructuring will require</w:t>
      </w:r>
      <w:r w:rsidR="00404ED1" w:rsidRPr="003516DC">
        <w:rPr>
          <w:rFonts w:ascii="Arial" w:hAnsi="Arial" w:cs="Arial"/>
          <w:sz w:val="20"/>
          <w:szCs w:val="20"/>
        </w:rPr>
        <w:t xml:space="preserve"> </w:t>
      </w:r>
      <w:r w:rsidRPr="003516DC">
        <w:rPr>
          <w:rFonts w:ascii="Arial" w:hAnsi="Arial" w:cs="Arial"/>
          <w:sz w:val="20"/>
          <w:szCs w:val="20"/>
        </w:rPr>
        <w:t>significant moderni</w:t>
      </w:r>
      <w:r w:rsidR="00404ED1" w:rsidRPr="003516DC">
        <w:rPr>
          <w:rFonts w:ascii="Arial" w:hAnsi="Arial" w:cs="Arial"/>
          <w:sz w:val="20"/>
          <w:szCs w:val="20"/>
        </w:rPr>
        <w:t>s</w:t>
      </w:r>
      <w:r w:rsidRPr="003516DC">
        <w:rPr>
          <w:rFonts w:ascii="Arial" w:hAnsi="Arial" w:cs="Arial"/>
          <w:sz w:val="20"/>
          <w:szCs w:val="20"/>
        </w:rPr>
        <w:t>ation of local employment and job-placement services, with out of the box solutions linking labour inclusion support (incl</w:t>
      </w:r>
      <w:r w:rsidR="00A03DA1" w:rsidRPr="003516DC">
        <w:rPr>
          <w:rFonts w:ascii="Arial" w:hAnsi="Arial" w:cs="Arial"/>
          <w:sz w:val="20"/>
          <w:szCs w:val="20"/>
        </w:rPr>
        <w:t>uding</w:t>
      </w:r>
      <w:r w:rsidRPr="003516DC">
        <w:rPr>
          <w:rFonts w:ascii="Arial" w:hAnsi="Arial" w:cs="Arial"/>
          <w:sz w:val="20"/>
          <w:szCs w:val="20"/>
        </w:rPr>
        <w:t xml:space="preserve"> skilling and reskilling) and productive investment support in new and existing enterprises. The most sought-after qualifications at the county level are entrepreneurial skills/professional cooking/data validation and </w:t>
      </w:r>
      <w:r w:rsidRPr="003516DC">
        <w:rPr>
          <w:rFonts w:ascii="Arial" w:hAnsi="Arial" w:cs="Arial"/>
          <w:sz w:val="20"/>
          <w:szCs w:val="20"/>
          <w:highlight w:val="white"/>
        </w:rPr>
        <w:t>processing</w:t>
      </w:r>
      <w:r w:rsidRPr="003516DC">
        <w:rPr>
          <w:rFonts w:ascii="Arial" w:hAnsi="Arial" w:cs="Arial"/>
          <w:sz w:val="20"/>
          <w:szCs w:val="20"/>
        </w:rPr>
        <w:t xml:space="preserve"> operator/security agent/trainer. Arguably, in a knowledge-intensive, green economy, different type</w:t>
      </w:r>
      <w:r w:rsidR="005E0FFC" w:rsidRPr="003516DC">
        <w:rPr>
          <w:rFonts w:ascii="Arial" w:hAnsi="Arial" w:cs="Arial"/>
          <w:sz w:val="20"/>
          <w:szCs w:val="20"/>
        </w:rPr>
        <w:t>s</w:t>
      </w:r>
      <w:r w:rsidRPr="003516DC">
        <w:rPr>
          <w:rFonts w:ascii="Arial" w:hAnsi="Arial" w:cs="Arial"/>
          <w:sz w:val="20"/>
          <w:szCs w:val="20"/>
        </w:rPr>
        <w:t xml:space="preserve"> of qualifications will have to be offered. The response of the local employment agency and other local institutions to the changes in the labour market, especially regarding the qualification/upskilling is currently a reactive </w:t>
      </w:r>
      <w:r w:rsidR="00F23449" w:rsidRPr="003516DC">
        <w:rPr>
          <w:rFonts w:ascii="Arial" w:hAnsi="Arial" w:cs="Arial"/>
          <w:sz w:val="20"/>
          <w:szCs w:val="20"/>
        </w:rPr>
        <w:t xml:space="preserve">approach </w:t>
      </w:r>
      <w:r w:rsidR="005E0FFC" w:rsidRPr="003516DC">
        <w:rPr>
          <w:rFonts w:ascii="Arial" w:hAnsi="Arial" w:cs="Arial"/>
          <w:sz w:val="20"/>
          <w:szCs w:val="20"/>
        </w:rPr>
        <w:t>rather than</w:t>
      </w:r>
      <w:r w:rsidRPr="003516DC">
        <w:rPr>
          <w:rFonts w:ascii="Arial" w:hAnsi="Arial" w:cs="Arial"/>
          <w:sz w:val="20"/>
          <w:szCs w:val="20"/>
        </w:rPr>
        <w:t xml:space="preserve"> a predictive one.</w:t>
      </w:r>
    </w:p>
    <w:p w14:paraId="3BFEF87B" w14:textId="32CD2BE1" w:rsidR="00B609EF" w:rsidRPr="00D963B9" w:rsidRDefault="00BB4544" w:rsidP="00597139">
      <w:pPr>
        <w:numPr>
          <w:ilvl w:val="0"/>
          <w:numId w:val="3"/>
        </w:numPr>
        <w:spacing w:after="120"/>
        <w:ind w:left="360"/>
        <w:jc w:val="both"/>
        <w:rPr>
          <w:rFonts w:ascii="Arial" w:hAnsi="Arial" w:cs="Arial"/>
          <w:sz w:val="20"/>
          <w:szCs w:val="20"/>
        </w:rPr>
      </w:pPr>
      <w:r w:rsidRPr="003516DC">
        <w:rPr>
          <w:rFonts w:ascii="Arial" w:hAnsi="Arial" w:cs="Arial"/>
          <w:sz w:val="20"/>
          <w:szCs w:val="20"/>
        </w:rPr>
        <w:t>Actively involved in mitigating  the employment problems (participation in projects/ p</w:t>
      </w:r>
      <w:r w:rsidR="00D206E5">
        <w:rPr>
          <w:rFonts w:ascii="Arial" w:hAnsi="Arial" w:cs="Arial"/>
          <w:sz w:val="20"/>
          <w:szCs w:val="20"/>
        </w:rPr>
        <w:t>rogrammes</w:t>
      </w:r>
      <w:r w:rsidRPr="003516DC">
        <w:rPr>
          <w:rFonts w:ascii="Arial" w:hAnsi="Arial" w:cs="Arial"/>
          <w:sz w:val="20"/>
          <w:szCs w:val="20"/>
        </w:rPr>
        <w:t>, data gathering in proprietary databases, consultations with the business community and other public and private institutions) the Workforce Authority needs access to more complex instruments in order to achieve more ambitious objectives: integrated information systems Workforce/ Education/ Public institutions/ Training providers, counselling centers for the unemployed, innovative systems for jobs matching / needs prediction “Jobs Observatory”, better targeted consultation processes with all involved parties.</w:t>
      </w:r>
      <w:r w:rsidR="00B609EF" w:rsidRPr="003516DC">
        <w:rPr>
          <w:rFonts w:ascii="Arial" w:hAnsi="Arial" w:cs="Arial"/>
          <w:sz w:val="20"/>
          <w:szCs w:val="20"/>
        </w:rPr>
        <w:t xml:space="preserve"> </w:t>
      </w:r>
    </w:p>
    <w:p w14:paraId="1665BE1F" w14:textId="2806D447" w:rsidR="00B609EF" w:rsidRPr="00D963B9" w:rsidRDefault="00B609EF" w:rsidP="00597139">
      <w:pPr>
        <w:numPr>
          <w:ilvl w:val="0"/>
          <w:numId w:val="3"/>
        </w:numPr>
        <w:spacing w:after="120"/>
        <w:ind w:left="360"/>
        <w:jc w:val="both"/>
        <w:rPr>
          <w:rFonts w:ascii="Arial" w:hAnsi="Arial" w:cs="Arial"/>
          <w:sz w:val="20"/>
          <w:szCs w:val="20"/>
        </w:rPr>
      </w:pPr>
      <w:r w:rsidRPr="003516DC">
        <w:rPr>
          <w:rFonts w:ascii="Arial" w:hAnsi="Arial" w:cs="Arial"/>
          <w:sz w:val="20"/>
          <w:szCs w:val="20"/>
          <w:highlight w:val="white"/>
        </w:rPr>
        <w:t>Demographic</w:t>
      </w:r>
      <w:r w:rsidRPr="003516DC">
        <w:rPr>
          <w:rFonts w:ascii="Arial" w:hAnsi="Arial" w:cs="Arial"/>
          <w:sz w:val="20"/>
          <w:szCs w:val="20"/>
        </w:rPr>
        <w:t xml:space="preserve"> decline, albeit less severe than in other affected countries, is still a challenge at </w:t>
      </w:r>
      <w:r w:rsidR="005955DD" w:rsidRPr="003516DC">
        <w:rPr>
          <w:rFonts w:ascii="Arial" w:hAnsi="Arial" w:cs="Arial"/>
          <w:sz w:val="20"/>
          <w:szCs w:val="20"/>
        </w:rPr>
        <w:t xml:space="preserve">the </w:t>
      </w:r>
      <w:r w:rsidRPr="003516DC">
        <w:rPr>
          <w:rFonts w:ascii="Arial" w:hAnsi="Arial" w:cs="Arial"/>
          <w:sz w:val="20"/>
          <w:szCs w:val="20"/>
        </w:rPr>
        <w:t>county level. The continuous dec</w:t>
      </w:r>
      <w:r w:rsidR="00350AA9" w:rsidRPr="003516DC">
        <w:rPr>
          <w:rFonts w:ascii="Arial" w:hAnsi="Arial" w:cs="Arial"/>
          <w:sz w:val="20"/>
          <w:szCs w:val="20"/>
        </w:rPr>
        <w:t>line of the population in Dolj c</w:t>
      </w:r>
      <w:r w:rsidRPr="003516DC">
        <w:rPr>
          <w:rFonts w:ascii="Arial" w:hAnsi="Arial" w:cs="Arial"/>
          <w:sz w:val="20"/>
          <w:szCs w:val="20"/>
        </w:rPr>
        <w:t>ounty between 2014 and 2019, from 705</w:t>
      </w:r>
      <w:r w:rsidR="005955DD" w:rsidRPr="003516DC">
        <w:rPr>
          <w:rFonts w:ascii="Arial" w:hAnsi="Arial" w:cs="Arial"/>
          <w:sz w:val="20"/>
          <w:szCs w:val="20"/>
        </w:rPr>
        <w:t>,</w:t>
      </w:r>
      <w:r w:rsidRPr="003516DC">
        <w:rPr>
          <w:rFonts w:ascii="Arial" w:hAnsi="Arial" w:cs="Arial"/>
          <w:sz w:val="20"/>
          <w:szCs w:val="20"/>
        </w:rPr>
        <w:t>007 inhabitants in 2014 to 686</w:t>
      </w:r>
      <w:r w:rsidR="005955DD" w:rsidRPr="003516DC">
        <w:rPr>
          <w:rFonts w:ascii="Arial" w:hAnsi="Arial" w:cs="Arial"/>
          <w:sz w:val="20"/>
          <w:szCs w:val="20"/>
        </w:rPr>
        <w:t>,</w:t>
      </w:r>
      <w:r w:rsidRPr="003516DC">
        <w:rPr>
          <w:rFonts w:ascii="Arial" w:hAnsi="Arial" w:cs="Arial"/>
          <w:sz w:val="20"/>
          <w:szCs w:val="20"/>
        </w:rPr>
        <w:t>350 in 2019</w:t>
      </w:r>
      <w:r w:rsidR="00037895" w:rsidRPr="003516DC">
        <w:rPr>
          <w:rFonts w:ascii="Arial" w:hAnsi="Arial" w:cs="Arial"/>
          <w:sz w:val="20"/>
          <w:szCs w:val="20"/>
        </w:rPr>
        <w:t xml:space="preserve"> is</w:t>
      </w:r>
      <w:r w:rsidRPr="003516DC">
        <w:rPr>
          <w:rFonts w:ascii="Arial" w:hAnsi="Arial" w:cs="Arial"/>
          <w:sz w:val="20"/>
          <w:szCs w:val="20"/>
        </w:rPr>
        <w:t xml:space="preserve"> a </w:t>
      </w:r>
      <w:r w:rsidR="00037895" w:rsidRPr="003516DC">
        <w:rPr>
          <w:rFonts w:ascii="Arial" w:hAnsi="Arial" w:cs="Arial"/>
          <w:sz w:val="20"/>
          <w:szCs w:val="20"/>
        </w:rPr>
        <w:t xml:space="preserve">decline of </w:t>
      </w:r>
      <w:r w:rsidRPr="003516DC">
        <w:rPr>
          <w:rFonts w:ascii="Arial" w:hAnsi="Arial" w:cs="Arial"/>
          <w:sz w:val="20"/>
          <w:szCs w:val="20"/>
        </w:rPr>
        <w:t>2</w:t>
      </w:r>
      <w:r w:rsidR="00037895" w:rsidRPr="003516DC">
        <w:rPr>
          <w:rFonts w:ascii="Arial" w:hAnsi="Arial" w:cs="Arial"/>
          <w:sz w:val="20"/>
          <w:szCs w:val="20"/>
        </w:rPr>
        <w:t>.</w:t>
      </w:r>
      <w:r w:rsidRPr="003516DC">
        <w:rPr>
          <w:rFonts w:ascii="Arial" w:hAnsi="Arial" w:cs="Arial"/>
          <w:sz w:val="20"/>
          <w:szCs w:val="20"/>
        </w:rPr>
        <w:t>65%</w:t>
      </w:r>
      <w:r w:rsidR="00037895" w:rsidRPr="003516DC">
        <w:rPr>
          <w:rFonts w:ascii="Arial" w:hAnsi="Arial" w:cs="Arial"/>
          <w:sz w:val="20"/>
          <w:szCs w:val="20"/>
        </w:rPr>
        <w:t>. This figure is</w:t>
      </w:r>
      <w:r w:rsidRPr="003516DC">
        <w:rPr>
          <w:rFonts w:ascii="Arial" w:hAnsi="Arial" w:cs="Arial"/>
          <w:sz w:val="20"/>
          <w:szCs w:val="20"/>
        </w:rPr>
        <w:t xml:space="preserve"> similar to the national 2</w:t>
      </w:r>
      <w:r w:rsidR="00037895" w:rsidRPr="003516DC">
        <w:rPr>
          <w:rFonts w:ascii="Arial" w:hAnsi="Arial" w:cs="Arial"/>
          <w:sz w:val="20"/>
          <w:szCs w:val="20"/>
        </w:rPr>
        <w:t>.</w:t>
      </w:r>
      <w:r w:rsidRPr="003516DC">
        <w:rPr>
          <w:rFonts w:ascii="Arial" w:hAnsi="Arial" w:cs="Arial"/>
          <w:sz w:val="20"/>
          <w:szCs w:val="20"/>
        </w:rPr>
        <w:t>7</w:t>
      </w:r>
      <w:r w:rsidR="00037895" w:rsidRPr="003516DC">
        <w:rPr>
          <w:rFonts w:ascii="Arial" w:hAnsi="Arial" w:cs="Arial"/>
          <w:sz w:val="20"/>
          <w:szCs w:val="20"/>
        </w:rPr>
        <w:t>%</w:t>
      </w:r>
      <w:r w:rsidRPr="003516DC">
        <w:rPr>
          <w:rFonts w:ascii="Arial" w:hAnsi="Arial" w:cs="Arial"/>
          <w:sz w:val="20"/>
          <w:szCs w:val="20"/>
        </w:rPr>
        <w:t xml:space="preserve"> decline and much lower than the 5</w:t>
      </w:r>
      <w:r w:rsidR="00037895" w:rsidRPr="003516DC">
        <w:rPr>
          <w:rFonts w:ascii="Arial" w:hAnsi="Arial" w:cs="Arial"/>
          <w:sz w:val="20"/>
          <w:szCs w:val="20"/>
        </w:rPr>
        <w:t>.</w:t>
      </w:r>
      <w:r w:rsidRPr="003516DC">
        <w:rPr>
          <w:rFonts w:ascii="Arial" w:hAnsi="Arial" w:cs="Arial"/>
          <w:sz w:val="20"/>
          <w:szCs w:val="20"/>
        </w:rPr>
        <w:t>7</w:t>
      </w:r>
      <w:r w:rsidR="00037895" w:rsidRPr="003516DC">
        <w:rPr>
          <w:rFonts w:ascii="Arial" w:hAnsi="Arial" w:cs="Arial"/>
          <w:sz w:val="20"/>
          <w:szCs w:val="20"/>
        </w:rPr>
        <w:t>% decline in</w:t>
      </w:r>
      <w:r w:rsidRPr="003516DC">
        <w:rPr>
          <w:rFonts w:ascii="Arial" w:hAnsi="Arial" w:cs="Arial"/>
          <w:sz w:val="20"/>
          <w:szCs w:val="20"/>
        </w:rPr>
        <w:t xml:space="preserve"> </w:t>
      </w:r>
      <w:r w:rsidR="00037895" w:rsidRPr="003516DC">
        <w:rPr>
          <w:rFonts w:ascii="Arial" w:hAnsi="Arial" w:cs="Arial"/>
          <w:sz w:val="20"/>
          <w:szCs w:val="20"/>
        </w:rPr>
        <w:t xml:space="preserve">neighbouring </w:t>
      </w:r>
      <w:r w:rsidRPr="003516DC">
        <w:rPr>
          <w:rFonts w:ascii="Arial" w:hAnsi="Arial" w:cs="Arial"/>
          <w:sz w:val="20"/>
          <w:szCs w:val="20"/>
        </w:rPr>
        <w:t xml:space="preserve">Gorj. However, </w:t>
      </w:r>
      <w:r w:rsidR="00DF4B81" w:rsidRPr="003516DC">
        <w:rPr>
          <w:rFonts w:ascii="Arial" w:hAnsi="Arial" w:cs="Arial"/>
          <w:sz w:val="20"/>
          <w:szCs w:val="20"/>
        </w:rPr>
        <w:t>at</w:t>
      </w:r>
      <w:r w:rsidR="00241010" w:rsidRPr="003516DC">
        <w:rPr>
          <w:rFonts w:ascii="Arial" w:hAnsi="Arial" w:cs="Arial"/>
          <w:sz w:val="20"/>
          <w:szCs w:val="20"/>
        </w:rPr>
        <w:t xml:space="preserve"> </w:t>
      </w:r>
      <w:r w:rsidRPr="003516DC">
        <w:rPr>
          <w:rFonts w:ascii="Arial" w:hAnsi="Arial" w:cs="Arial"/>
          <w:sz w:val="20"/>
          <w:szCs w:val="20"/>
        </w:rPr>
        <w:t>18</w:t>
      </w:r>
      <w:r w:rsidR="00F260FF" w:rsidRPr="003516DC">
        <w:rPr>
          <w:rFonts w:ascii="Arial" w:hAnsi="Arial" w:cs="Arial"/>
          <w:sz w:val="20"/>
          <w:szCs w:val="20"/>
        </w:rPr>
        <w:t>,</w:t>
      </w:r>
      <w:r w:rsidRPr="003516DC">
        <w:rPr>
          <w:rFonts w:ascii="Arial" w:hAnsi="Arial" w:cs="Arial"/>
          <w:sz w:val="20"/>
          <w:szCs w:val="20"/>
        </w:rPr>
        <w:t>000 people</w:t>
      </w:r>
      <w:r w:rsidR="00DF4B81" w:rsidRPr="003516DC">
        <w:rPr>
          <w:rFonts w:ascii="Arial" w:hAnsi="Arial" w:cs="Arial"/>
          <w:sz w:val="20"/>
          <w:szCs w:val="20"/>
        </w:rPr>
        <w:t>, this figure</w:t>
      </w:r>
      <w:r w:rsidRPr="003516DC">
        <w:rPr>
          <w:rFonts w:ascii="Arial" w:hAnsi="Arial" w:cs="Arial"/>
          <w:sz w:val="20"/>
          <w:szCs w:val="20"/>
        </w:rPr>
        <w:t xml:space="preserve"> is more than the number of residents from Bailesti, one of the smaller cities in Dolj. </w:t>
      </w:r>
      <w:r w:rsidR="00BB4544" w:rsidRPr="003516DC">
        <w:rPr>
          <w:rFonts w:ascii="Arial" w:hAnsi="Arial" w:cs="Arial"/>
          <w:sz w:val="20"/>
          <w:szCs w:val="20"/>
        </w:rPr>
        <w:t xml:space="preserve">Moreover, the temporary migration phenomenon intensified in recent years, with approximately 8,000 inhabitants per year </w:t>
      </w:r>
      <w:r w:rsidR="0030646F" w:rsidRPr="003516DC">
        <w:rPr>
          <w:rFonts w:ascii="Arial" w:hAnsi="Arial" w:cs="Arial"/>
          <w:sz w:val="20"/>
          <w:szCs w:val="20"/>
        </w:rPr>
        <w:t xml:space="preserve">leaving the county </w:t>
      </w:r>
      <w:r w:rsidR="00BB4544" w:rsidRPr="003516DC">
        <w:rPr>
          <w:rFonts w:ascii="Arial" w:hAnsi="Arial" w:cs="Arial"/>
          <w:sz w:val="20"/>
          <w:szCs w:val="20"/>
        </w:rPr>
        <w:t>(the equivalent of the population of smaller municipality such as Segarcea).</w:t>
      </w:r>
    </w:p>
    <w:p w14:paraId="645596E4" w14:textId="5BB37F46" w:rsidR="00B609EF" w:rsidRPr="003516DC" w:rsidRDefault="00B609EF" w:rsidP="00597139">
      <w:pPr>
        <w:numPr>
          <w:ilvl w:val="0"/>
          <w:numId w:val="3"/>
        </w:numPr>
        <w:spacing w:after="120"/>
        <w:ind w:left="360"/>
        <w:jc w:val="both"/>
        <w:rPr>
          <w:rFonts w:ascii="Arial" w:hAnsi="Arial" w:cs="Arial"/>
          <w:sz w:val="20"/>
          <w:szCs w:val="20"/>
        </w:rPr>
      </w:pPr>
      <w:r w:rsidRPr="003516DC">
        <w:rPr>
          <w:rFonts w:ascii="Arial" w:hAnsi="Arial" w:cs="Arial"/>
          <w:sz w:val="20"/>
          <w:szCs w:val="20"/>
        </w:rPr>
        <w:t>In terms of digitali</w:t>
      </w:r>
      <w:r w:rsidR="00BD3275" w:rsidRPr="003516DC">
        <w:rPr>
          <w:rFonts w:ascii="Arial" w:hAnsi="Arial" w:cs="Arial"/>
          <w:sz w:val="20"/>
          <w:szCs w:val="20"/>
        </w:rPr>
        <w:t>s</w:t>
      </w:r>
      <w:r w:rsidRPr="003516DC">
        <w:rPr>
          <w:rFonts w:ascii="Arial" w:hAnsi="Arial" w:cs="Arial"/>
          <w:sz w:val="20"/>
          <w:szCs w:val="20"/>
        </w:rPr>
        <w:t xml:space="preserve">ation, the main challenge is in the public sector. Although local public institutions purchased technical IT&amp;C infrastructure and internet access, the technical level of the solutions </w:t>
      </w:r>
      <w:r w:rsidRPr="003516DC">
        <w:rPr>
          <w:rFonts w:ascii="Arial" w:hAnsi="Arial" w:cs="Arial"/>
          <w:sz w:val="20"/>
          <w:szCs w:val="20"/>
        </w:rPr>
        <w:lastRenderedPageBreak/>
        <w:t xml:space="preserve">implemented is low. No steps were taken towards integrated solutions </w:t>
      </w:r>
      <w:r w:rsidR="00BD3275" w:rsidRPr="003516DC">
        <w:rPr>
          <w:rFonts w:ascii="Arial" w:hAnsi="Arial" w:cs="Arial"/>
          <w:sz w:val="20"/>
          <w:szCs w:val="20"/>
        </w:rPr>
        <w:t xml:space="preserve">or </w:t>
      </w:r>
      <w:r w:rsidRPr="003516DC">
        <w:rPr>
          <w:rFonts w:ascii="Arial" w:hAnsi="Arial" w:cs="Arial"/>
          <w:sz w:val="20"/>
          <w:szCs w:val="20"/>
        </w:rPr>
        <w:t>towards the interconnection of the databases of the different entities of the county/local administration. At the same time, stakeholders mention that local businesses are also reluctant to make steps towards digitali</w:t>
      </w:r>
      <w:r w:rsidR="00BD3275" w:rsidRPr="003516DC">
        <w:rPr>
          <w:rFonts w:ascii="Arial" w:hAnsi="Arial" w:cs="Arial"/>
          <w:sz w:val="20"/>
          <w:szCs w:val="20"/>
        </w:rPr>
        <w:t>s</w:t>
      </w:r>
      <w:r w:rsidRPr="003516DC">
        <w:rPr>
          <w:rFonts w:ascii="Arial" w:hAnsi="Arial" w:cs="Arial"/>
          <w:sz w:val="20"/>
          <w:szCs w:val="20"/>
        </w:rPr>
        <w:t>ation.</w:t>
      </w:r>
    </w:p>
    <w:p w14:paraId="1B109054" w14:textId="1F2F2C16" w:rsidR="005B0FFF" w:rsidRPr="005B45B2" w:rsidRDefault="005B0FFF" w:rsidP="00E42342">
      <w:pPr>
        <w:pStyle w:val="Heading3"/>
        <w:numPr>
          <w:ilvl w:val="0"/>
          <w:numId w:val="135"/>
        </w:numPr>
        <w:spacing w:after="120"/>
        <w:rPr>
          <w:b w:val="0"/>
          <w:bCs/>
        </w:rPr>
      </w:pPr>
      <w:r w:rsidRPr="005B45B2">
        <w:rPr>
          <w:b w:val="0"/>
          <w:bCs/>
        </w:rPr>
        <w:t>Opportunities</w:t>
      </w:r>
      <w:r w:rsidR="00F0070A" w:rsidRPr="005B45B2">
        <w:rPr>
          <w:b w:val="0"/>
          <w:bCs/>
        </w:rPr>
        <w:t xml:space="preserve"> in Dolj </w:t>
      </w:r>
      <w:r w:rsidR="00F57476">
        <w:rPr>
          <w:b w:val="0"/>
          <w:bCs/>
        </w:rPr>
        <w:t>C</w:t>
      </w:r>
      <w:r w:rsidR="00F0070A" w:rsidRPr="005B45B2">
        <w:rPr>
          <w:b w:val="0"/>
          <w:bCs/>
        </w:rPr>
        <w:t>ounty</w:t>
      </w:r>
    </w:p>
    <w:p w14:paraId="181E51F6" w14:textId="70E18003" w:rsidR="005B0FFF" w:rsidRPr="003516DC" w:rsidRDefault="005B0FFF" w:rsidP="005B0FFF">
      <w:pPr>
        <w:jc w:val="both"/>
        <w:rPr>
          <w:rFonts w:ascii="Arial" w:hAnsi="Arial" w:cs="Arial"/>
          <w:sz w:val="20"/>
          <w:szCs w:val="20"/>
        </w:rPr>
      </w:pPr>
      <w:r w:rsidRPr="003516DC">
        <w:rPr>
          <w:rFonts w:ascii="Arial" w:hAnsi="Arial" w:cs="Arial"/>
          <w:sz w:val="20"/>
          <w:szCs w:val="20"/>
        </w:rPr>
        <w:t>Stakeholder interviews and data analysis indicate the following opportunities:</w:t>
      </w:r>
    </w:p>
    <w:p w14:paraId="15F8E848" w14:textId="402EE8A0" w:rsidR="005B0FFF" w:rsidRPr="003516DC" w:rsidRDefault="005B0FFF" w:rsidP="005B0FFF">
      <w:pPr>
        <w:jc w:val="both"/>
        <w:rPr>
          <w:rFonts w:ascii="Arial" w:hAnsi="Arial" w:cs="Arial"/>
          <w:sz w:val="8"/>
          <w:szCs w:val="8"/>
        </w:rPr>
      </w:pPr>
    </w:p>
    <w:p w14:paraId="5E3B1631" w14:textId="7230B32C" w:rsidR="005B0FFF" w:rsidRPr="003516DC" w:rsidRDefault="005B0FFF" w:rsidP="00597139">
      <w:pPr>
        <w:numPr>
          <w:ilvl w:val="0"/>
          <w:numId w:val="4"/>
        </w:numPr>
        <w:ind w:left="360"/>
        <w:jc w:val="both"/>
        <w:rPr>
          <w:rFonts w:ascii="Arial" w:hAnsi="Arial" w:cs="Arial"/>
          <w:sz w:val="20"/>
          <w:szCs w:val="20"/>
        </w:rPr>
      </w:pPr>
      <w:r w:rsidRPr="003516DC">
        <w:rPr>
          <w:rFonts w:ascii="Arial" w:hAnsi="Arial" w:cs="Arial"/>
          <w:sz w:val="20"/>
          <w:szCs w:val="20"/>
        </w:rPr>
        <w:t>Economic diversification opportunities exist both in Craiova and the Craiova Municipal Area (in areas like IT&amp;C, knowledge and technology-intensive manufacturing) and in the rest of the county (sectors like bio agriculture, food processing, sustainable tourism, textile and clothing, repair of motor vehicles, etc.).</w:t>
      </w:r>
    </w:p>
    <w:p w14:paraId="06D9F587" w14:textId="77777777" w:rsidR="005B0FFF" w:rsidRPr="003516DC" w:rsidRDefault="005B0FFF" w:rsidP="00597139">
      <w:pPr>
        <w:ind w:left="360"/>
        <w:jc w:val="both"/>
        <w:rPr>
          <w:rFonts w:ascii="Arial" w:hAnsi="Arial" w:cs="Arial"/>
          <w:sz w:val="8"/>
          <w:szCs w:val="8"/>
        </w:rPr>
      </w:pPr>
    </w:p>
    <w:p w14:paraId="1BCF4F1D" w14:textId="7D1B7E36" w:rsidR="005B0FFF" w:rsidRPr="003516DC" w:rsidRDefault="005B0FFF" w:rsidP="00597139">
      <w:pPr>
        <w:numPr>
          <w:ilvl w:val="0"/>
          <w:numId w:val="4"/>
        </w:numPr>
        <w:shd w:val="clear" w:color="auto" w:fill="FFFFFF"/>
        <w:ind w:left="360"/>
        <w:jc w:val="both"/>
        <w:rPr>
          <w:rFonts w:ascii="Arial" w:hAnsi="Arial" w:cs="Arial"/>
          <w:sz w:val="20"/>
          <w:szCs w:val="20"/>
        </w:rPr>
      </w:pPr>
      <w:r w:rsidRPr="003516DC">
        <w:rPr>
          <w:rFonts w:ascii="Arial" w:hAnsi="Arial" w:cs="Arial"/>
          <w:sz w:val="20"/>
          <w:szCs w:val="20"/>
        </w:rPr>
        <w:t>A fairly developed educational and training offer for all levels of education: the 150 public and private certified training/skilling providers have the capacity to train approx</w:t>
      </w:r>
      <w:r w:rsidR="00A10970" w:rsidRPr="003516DC">
        <w:rPr>
          <w:rFonts w:ascii="Arial" w:hAnsi="Arial" w:cs="Arial"/>
          <w:sz w:val="20"/>
          <w:szCs w:val="20"/>
        </w:rPr>
        <w:t>imately</w:t>
      </w:r>
      <w:r w:rsidRPr="003516DC">
        <w:rPr>
          <w:rFonts w:ascii="Arial" w:hAnsi="Arial" w:cs="Arial"/>
          <w:sz w:val="20"/>
          <w:szCs w:val="20"/>
        </w:rPr>
        <w:t xml:space="preserve"> 4</w:t>
      </w:r>
      <w:r w:rsidR="00A10970" w:rsidRPr="003516DC">
        <w:rPr>
          <w:rFonts w:ascii="Arial" w:hAnsi="Arial" w:cs="Arial"/>
          <w:sz w:val="20"/>
          <w:szCs w:val="20"/>
        </w:rPr>
        <w:t>,</w:t>
      </w:r>
      <w:r w:rsidRPr="003516DC">
        <w:rPr>
          <w:rFonts w:ascii="Arial" w:hAnsi="Arial" w:cs="Arial"/>
          <w:sz w:val="20"/>
          <w:szCs w:val="20"/>
        </w:rPr>
        <w:t xml:space="preserve">500 </w:t>
      </w:r>
      <w:r w:rsidR="00A10970" w:rsidRPr="003516DC">
        <w:rPr>
          <w:rFonts w:ascii="Arial" w:hAnsi="Arial" w:cs="Arial"/>
          <w:sz w:val="20"/>
          <w:szCs w:val="20"/>
        </w:rPr>
        <w:t xml:space="preserve">people </w:t>
      </w:r>
      <w:r w:rsidRPr="003516DC">
        <w:rPr>
          <w:rFonts w:ascii="Arial" w:hAnsi="Arial" w:cs="Arial"/>
          <w:sz w:val="20"/>
          <w:szCs w:val="20"/>
        </w:rPr>
        <w:t>per year. They currently offer 550 p</w:t>
      </w:r>
      <w:r w:rsidR="00D206E5">
        <w:rPr>
          <w:rFonts w:ascii="Arial" w:hAnsi="Arial" w:cs="Arial"/>
          <w:sz w:val="20"/>
          <w:szCs w:val="20"/>
        </w:rPr>
        <w:t>rogrammes</w:t>
      </w:r>
      <w:r w:rsidRPr="003516DC">
        <w:rPr>
          <w:rFonts w:ascii="Arial" w:hAnsi="Arial" w:cs="Arial"/>
          <w:sz w:val="20"/>
          <w:szCs w:val="20"/>
        </w:rPr>
        <w:t xml:space="preserve"> for about 300 types of qualifications. The biggest training provider in the county is CRFPA Dolj, </w:t>
      </w:r>
      <w:r w:rsidR="00AC01CB" w:rsidRPr="003516DC">
        <w:rPr>
          <w:rFonts w:ascii="Arial" w:hAnsi="Arial" w:cs="Arial"/>
          <w:sz w:val="20"/>
          <w:szCs w:val="20"/>
        </w:rPr>
        <w:t xml:space="preserve">a public entity that </w:t>
      </w:r>
      <w:r w:rsidRPr="003516DC">
        <w:rPr>
          <w:rFonts w:ascii="Arial" w:hAnsi="Arial" w:cs="Arial"/>
          <w:sz w:val="20"/>
          <w:szCs w:val="20"/>
        </w:rPr>
        <w:t>delivers vocational training p</w:t>
      </w:r>
      <w:r w:rsidR="00D206E5">
        <w:rPr>
          <w:rFonts w:ascii="Arial" w:hAnsi="Arial" w:cs="Arial"/>
          <w:sz w:val="20"/>
          <w:szCs w:val="20"/>
        </w:rPr>
        <w:t>rogrammes</w:t>
      </w:r>
      <w:r w:rsidRPr="003516DC">
        <w:rPr>
          <w:rFonts w:ascii="Arial" w:hAnsi="Arial" w:cs="Arial"/>
          <w:sz w:val="20"/>
          <w:szCs w:val="20"/>
        </w:rPr>
        <w:t xml:space="preserve"> for 64 different qualifications</w:t>
      </w:r>
      <w:r w:rsidR="007030C4" w:rsidRPr="003516DC">
        <w:rPr>
          <w:rStyle w:val="FootnoteReference"/>
          <w:rFonts w:ascii="Arial" w:hAnsi="Arial" w:cs="Arial"/>
          <w:sz w:val="20"/>
          <w:szCs w:val="20"/>
        </w:rPr>
        <w:footnoteReference w:id="87"/>
      </w:r>
      <w:r w:rsidRPr="003516DC">
        <w:rPr>
          <w:rFonts w:ascii="Arial" w:hAnsi="Arial" w:cs="Arial"/>
          <w:sz w:val="20"/>
          <w:szCs w:val="20"/>
        </w:rPr>
        <w:t xml:space="preserve">. </w:t>
      </w:r>
    </w:p>
    <w:p w14:paraId="194C1403" w14:textId="77777777" w:rsidR="005B0FFF" w:rsidRPr="003516DC" w:rsidRDefault="005B0FFF" w:rsidP="00597139">
      <w:pPr>
        <w:shd w:val="clear" w:color="auto" w:fill="FFFFFF"/>
        <w:ind w:left="360"/>
        <w:jc w:val="both"/>
        <w:rPr>
          <w:rFonts w:ascii="Arial" w:hAnsi="Arial" w:cs="Arial"/>
          <w:sz w:val="8"/>
          <w:szCs w:val="8"/>
        </w:rPr>
      </w:pPr>
    </w:p>
    <w:p w14:paraId="7B1AC1EE" w14:textId="608950A6" w:rsidR="005B0FFF" w:rsidRPr="003516DC" w:rsidRDefault="005B0FFF" w:rsidP="00597139">
      <w:pPr>
        <w:numPr>
          <w:ilvl w:val="0"/>
          <w:numId w:val="4"/>
        </w:numPr>
        <w:shd w:val="clear" w:color="auto" w:fill="FFFFFF"/>
        <w:ind w:left="360"/>
        <w:jc w:val="both"/>
        <w:rPr>
          <w:rFonts w:ascii="Arial" w:hAnsi="Arial" w:cs="Arial"/>
          <w:sz w:val="20"/>
          <w:szCs w:val="20"/>
        </w:rPr>
      </w:pPr>
      <w:r w:rsidRPr="003516DC">
        <w:rPr>
          <w:rFonts w:ascii="Arial" w:hAnsi="Arial" w:cs="Arial"/>
          <w:sz w:val="20"/>
          <w:szCs w:val="20"/>
        </w:rPr>
        <w:t xml:space="preserve">The local higher education environment is constantly updating its offer and has started to develop green energy/environmental sciences professional tracks </w:t>
      </w:r>
      <w:r w:rsidR="009A14D9" w:rsidRPr="003516DC">
        <w:rPr>
          <w:rFonts w:ascii="Arial" w:hAnsi="Arial" w:cs="Arial"/>
          <w:sz w:val="20"/>
          <w:szCs w:val="20"/>
        </w:rPr>
        <w:t>and</w:t>
      </w:r>
      <w:r w:rsidRPr="003516DC">
        <w:rPr>
          <w:rFonts w:ascii="Arial" w:hAnsi="Arial" w:cs="Arial"/>
          <w:sz w:val="20"/>
          <w:szCs w:val="20"/>
        </w:rPr>
        <w:t xml:space="preserve"> research “future (green) skills”.</w:t>
      </w:r>
    </w:p>
    <w:p w14:paraId="436CB36D" w14:textId="77777777" w:rsidR="005B0FFF" w:rsidRPr="003516DC" w:rsidRDefault="005B0FFF" w:rsidP="00597139">
      <w:pPr>
        <w:shd w:val="clear" w:color="auto" w:fill="FFFFFF"/>
        <w:ind w:left="360"/>
        <w:jc w:val="both"/>
        <w:rPr>
          <w:rFonts w:ascii="Arial" w:hAnsi="Arial" w:cs="Arial"/>
          <w:sz w:val="8"/>
          <w:szCs w:val="8"/>
        </w:rPr>
      </w:pPr>
    </w:p>
    <w:p w14:paraId="4C8EC2B8" w14:textId="50DF00E7" w:rsidR="005B0FFF" w:rsidRPr="003516DC" w:rsidRDefault="005B0FFF" w:rsidP="00597139">
      <w:pPr>
        <w:numPr>
          <w:ilvl w:val="0"/>
          <w:numId w:val="4"/>
        </w:numPr>
        <w:ind w:left="360"/>
        <w:jc w:val="both"/>
        <w:rPr>
          <w:rFonts w:ascii="Arial" w:hAnsi="Arial" w:cs="Arial"/>
          <w:sz w:val="20"/>
          <w:szCs w:val="20"/>
        </w:rPr>
      </w:pPr>
      <w:r w:rsidRPr="003516DC">
        <w:rPr>
          <w:rFonts w:ascii="Arial" w:hAnsi="Arial" w:cs="Arial"/>
          <w:sz w:val="20"/>
          <w:szCs w:val="20"/>
        </w:rPr>
        <w:t>In addition to the contaminated/partially contaminated sites that are already catalogued (as per 74/ 2019 Law), there are other unused/abandoned sites that have been exploited in the past for economic activities, which were closed years ago. Most of these sites (brownfields) are in Craiova</w:t>
      </w:r>
      <w:r w:rsidR="00303906" w:rsidRPr="003516DC">
        <w:rPr>
          <w:rFonts w:ascii="Arial" w:hAnsi="Arial" w:cs="Arial"/>
          <w:sz w:val="20"/>
          <w:szCs w:val="20"/>
        </w:rPr>
        <w:t xml:space="preserve"> and</w:t>
      </w:r>
      <w:r w:rsidRPr="003516DC">
        <w:rPr>
          <w:rFonts w:ascii="Arial" w:hAnsi="Arial" w:cs="Arial"/>
          <w:sz w:val="20"/>
          <w:szCs w:val="20"/>
        </w:rPr>
        <w:t xml:space="preserve"> other cities where old enterprises have been decommissioned</w:t>
      </w:r>
      <w:r w:rsidR="00303906" w:rsidRPr="003516DC">
        <w:rPr>
          <w:rFonts w:ascii="Arial" w:hAnsi="Arial" w:cs="Arial"/>
          <w:sz w:val="20"/>
          <w:szCs w:val="20"/>
        </w:rPr>
        <w:t>.</w:t>
      </w:r>
      <w:r w:rsidRPr="003516DC">
        <w:rPr>
          <w:rFonts w:ascii="Arial" w:hAnsi="Arial" w:cs="Arial"/>
          <w:sz w:val="20"/>
          <w:szCs w:val="20"/>
        </w:rPr>
        <w:t xml:space="preserve"> </w:t>
      </w:r>
      <w:r w:rsidR="00303906" w:rsidRPr="003516DC">
        <w:rPr>
          <w:rFonts w:ascii="Arial" w:hAnsi="Arial" w:cs="Arial"/>
          <w:sz w:val="20"/>
          <w:szCs w:val="20"/>
        </w:rPr>
        <w:t>T</w:t>
      </w:r>
      <w:r w:rsidRPr="003516DC">
        <w:rPr>
          <w:rFonts w:ascii="Arial" w:hAnsi="Arial" w:cs="Arial"/>
          <w:sz w:val="20"/>
          <w:szCs w:val="20"/>
        </w:rPr>
        <w:t xml:space="preserve">hese </w:t>
      </w:r>
      <w:r w:rsidR="00303906" w:rsidRPr="003516DC">
        <w:rPr>
          <w:rFonts w:ascii="Arial" w:hAnsi="Arial" w:cs="Arial"/>
          <w:sz w:val="20"/>
          <w:szCs w:val="20"/>
        </w:rPr>
        <w:t xml:space="preserve">sites </w:t>
      </w:r>
      <w:r w:rsidRPr="003516DC">
        <w:rPr>
          <w:rFonts w:ascii="Arial" w:hAnsi="Arial" w:cs="Arial"/>
          <w:sz w:val="20"/>
          <w:szCs w:val="20"/>
        </w:rPr>
        <w:t>could be valuable for urban planning/regeneration projects or for other purposes.</w:t>
      </w:r>
    </w:p>
    <w:p w14:paraId="3BEC0DF2" w14:textId="77777777" w:rsidR="005B0FFF" w:rsidRPr="003516DC" w:rsidRDefault="005B0FFF" w:rsidP="00597139">
      <w:pPr>
        <w:ind w:left="360"/>
        <w:jc w:val="both"/>
        <w:rPr>
          <w:rFonts w:ascii="Arial" w:hAnsi="Arial" w:cs="Arial"/>
          <w:sz w:val="8"/>
          <w:szCs w:val="8"/>
        </w:rPr>
      </w:pPr>
    </w:p>
    <w:p w14:paraId="1BD0DF0B" w14:textId="17889947" w:rsidR="005B0FFF" w:rsidRPr="003516DC" w:rsidRDefault="005B0FFF" w:rsidP="00597139">
      <w:pPr>
        <w:numPr>
          <w:ilvl w:val="0"/>
          <w:numId w:val="4"/>
        </w:numPr>
        <w:ind w:left="360"/>
        <w:jc w:val="both"/>
        <w:rPr>
          <w:rFonts w:ascii="Arial" w:hAnsi="Arial" w:cs="Arial"/>
          <w:sz w:val="20"/>
          <w:szCs w:val="20"/>
        </w:rPr>
      </w:pPr>
      <w:r w:rsidRPr="003516DC">
        <w:rPr>
          <w:rFonts w:ascii="Arial" w:hAnsi="Arial" w:cs="Arial"/>
          <w:sz w:val="20"/>
          <w:szCs w:val="20"/>
        </w:rPr>
        <w:t>IT&amp;C h</w:t>
      </w:r>
      <w:r w:rsidR="00AF00FE" w:rsidRPr="003516DC">
        <w:rPr>
          <w:rFonts w:ascii="Arial" w:hAnsi="Arial" w:cs="Arial"/>
          <w:sz w:val="20"/>
          <w:szCs w:val="20"/>
        </w:rPr>
        <w:t>olds</w:t>
      </w:r>
      <w:r w:rsidRPr="003516DC">
        <w:rPr>
          <w:rFonts w:ascii="Arial" w:hAnsi="Arial" w:cs="Arial"/>
          <w:sz w:val="20"/>
          <w:szCs w:val="20"/>
        </w:rPr>
        <w:t xml:space="preserve"> important growth potential and </w:t>
      </w:r>
      <w:r w:rsidR="00AF00FE" w:rsidRPr="003516DC">
        <w:rPr>
          <w:rFonts w:ascii="Arial" w:hAnsi="Arial" w:cs="Arial"/>
          <w:sz w:val="20"/>
          <w:szCs w:val="20"/>
        </w:rPr>
        <w:t>could</w:t>
      </w:r>
      <w:r w:rsidRPr="003516DC">
        <w:rPr>
          <w:rFonts w:ascii="Arial" w:hAnsi="Arial" w:cs="Arial"/>
          <w:sz w:val="20"/>
          <w:szCs w:val="20"/>
        </w:rPr>
        <w:t xml:space="preserve"> creat</w:t>
      </w:r>
      <w:r w:rsidR="00AF00FE" w:rsidRPr="003516DC">
        <w:rPr>
          <w:rFonts w:ascii="Arial" w:hAnsi="Arial" w:cs="Arial"/>
          <w:sz w:val="20"/>
          <w:szCs w:val="20"/>
        </w:rPr>
        <w:t>e</w:t>
      </w:r>
      <w:r w:rsidRPr="003516DC">
        <w:rPr>
          <w:rFonts w:ascii="Arial" w:hAnsi="Arial" w:cs="Arial"/>
          <w:sz w:val="20"/>
          <w:szCs w:val="20"/>
        </w:rPr>
        <w:t xml:space="preserve"> a regional development hub in information technology around the University of Craiova</w:t>
      </w:r>
      <w:r w:rsidR="00AF00FE" w:rsidRPr="003516DC">
        <w:rPr>
          <w:rFonts w:ascii="Arial" w:hAnsi="Arial" w:cs="Arial"/>
          <w:sz w:val="20"/>
          <w:szCs w:val="20"/>
        </w:rPr>
        <w:t>.</w:t>
      </w:r>
      <w:r w:rsidRPr="003516DC">
        <w:rPr>
          <w:rFonts w:ascii="Arial" w:hAnsi="Arial" w:cs="Arial"/>
          <w:sz w:val="20"/>
          <w:szCs w:val="20"/>
        </w:rPr>
        <w:t xml:space="preserve"> </w:t>
      </w:r>
      <w:r w:rsidR="00AF00FE" w:rsidRPr="003516DC">
        <w:rPr>
          <w:rFonts w:ascii="Arial" w:hAnsi="Arial" w:cs="Arial"/>
          <w:sz w:val="20"/>
          <w:szCs w:val="20"/>
        </w:rPr>
        <w:t>T</w:t>
      </w:r>
      <w:r w:rsidRPr="003516DC">
        <w:rPr>
          <w:rFonts w:ascii="Arial" w:hAnsi="Arial" w:cs="Arial"/>
          <w:sz w:val="20"/>
          <w:szCs w:val="20"/>
        </w:rPr>
        <w:t xml:space="preserve">he Faculty of Automation, Computers and Electronics has an updated innovation-focused curriculum, but according to stakeholder observations, not all graduates are attracted by the possibility of staying and working in the county. They also point out, in general, that the migration of well-trained professionals from the IT&amp;C industry represents a real, </w:t>
      </w:r>
      <w:r w:rsidR="00AF00FE" w:rsidRPr="003516DC">
        <w:rPr>
          <w:rFonts w:ascii="Arial" w:hAnsi="Arial" w:cs="Arial"/>
          <w:sz w:val="20"/>
          <w:szCs w:val="20"/>
        </w:rPr>
        <w:t xml:space="preserve">although </w:t>
      </w:r>
      <w:r w:rsidRPr="003516DC">
        <w:rPr>
          <w:rFonts w:ascii="Arial" w:hAnsi="Arial" w:cs="Arial"/>
          <w:sz w:val="20"/>
          <w:szCs w:val="20"/>
        </w:rPr>
        <w:t xml:space="preserve">not yet quantified problem. </w:t>
      </w:r>
    </w:p>
    <w:p w14:paraId="2CD62BAA" w14:textId="77777777" w:rsidR="005B0FFF" w:rsidRPr="003516DC" w:rsidRDefault="005B0FFF" w:rsidP="00597139">
      <w:pPr>
        <w:ind w:left="360"/>
        <w:jc w:val="both"/>
        <w:rPr>
          <w:rFonts w:ascii="Arial" w:hAnsi="Arial" w:cs="Arial"/>
          <w:sz w:val="8"/>
          <w:szCs w:val="8"/>
        </w:rPr>
      </w:pPr>
    </w:p>
    <w:p w14:paraId="7B9A6B3F" w14:textId="3181693B" w:rsidR="005B45B2" w:rsidRPr="004E2DCB" w:rsidRDefault="005B0FFF" w:rsidP="005B45B2">
      <w:pPr>
        <w:numPr>
          <w:ilvl w:val="0"/>
          <w:numId w:val="4"/>
        </w:numPr>
        <w:ind w:left="360"/>
        <w:jc w:val="both"/>
        <w:rPr>
          <w:rFonts w:ascii="Arial" w:hAnsi="Arial" w:cs="Arial"/>
          <w:sz w:val="20"/>
          <w:szCs w:val="20"/>
        </w:rPr>
      </w:pPr>
      <w:r w:rsidRPr="003516DC">
        <w:rPr>
          <w:rFonts w:ascii="Arial" w:hAnsi="Arial" w:cs="Arial"/>
          <w:sz w:val="20"/>
          <w:szCs w:val="20"/>
        </w:rPr>
        <w:t>As the IT&amp;C is also part of the innovation processes in most fields, it can speed up the potential of intelligent speciali</w:t>
      </w:r>
      <w:r w:rsidR="001C2A07" w:rsidRPr="003516DC">
        <w:rPr>
          <w:rFonts w:ascii="Arial" w:hAnsi="Arial" w:cs="Arial"/>
          <w:sz w:val="20"/>
          <w:szCs w:val="20"/>
        </w:rPr>
        <w:t>s</w:t>
      </w:r>
      <w:r w:rsidRPr="003516DC">
        <w:rPr>
          <w:rFonts w:ascii="Arial" w:hAnsi="Arial" w:cs="Arial"/>
          <w:sz w:val="20"/>
          <w:szCs w:val="20"/>
        </w:rPr>
        <w:t xml:space="preserve">ation, as proven by the case of the local automotive industry in Dolj. </w:t>
      </w:r>
    </w:p>
    <w:p w14:paraId="6F595E29" w14:textId="0EC47597" w:rsidR="005B45B2" w:rsidRPr="005B45B2" w:rsidRDefault="005B45B2" w:rsidP="00E42342">
      <w:pPr>
        <w:pStyle w:val="Heading3"/>
        <w:numPr>
          <w:ilvl w:val="0"/>
          <w:numId w:val="136"/>
        </w:numPr>
        <w:rPr>
          <w:b w:val="0"/>
          <w:bCs/>
        </w:rPr>
      </w:pPr>
      <w:r>
        <w:rPr>
          <w:b w:val="0"/>
          <w:bCs/>
        </w:rPr>
        <w:t>Transition pathway in Dolj county</w:t>
      </w:r>
    </w:p>
    <w:p w14:paraId="49BF0698" w14:textId="77777777" w:rsidR="005B45B2" w:rsidRPr="003516DC" w:rsidRDefault="005B45B2" w:rsidP="003847A7">
      <w:pPr>
        <w:spacing w:after="120"/>
        <w:jc w:val="both"/>
        <w:rPr>
          <w:rFonts w:ascii="Arial" w:hAnsi="Arial" w:cs="Arial"/>
          <w:sz w:val="20"/>
          <w:szCs w:val="20"/>
        </w:rPr>
      </w:pPr>
      <w:r w:rsidRPr="003516DC">
        <w:rPr>
          <w:rFonts w:ascii="Arial" w:hAnsi="Arial" w:cs="Arial"/>
          <w:sz w:val="20"/>
          <w:szCs w:val="20"/>
        </w:rPr>
        <w:t>The transition process to a climate-neutral economy will be triggered in Dolj county by the implementation of the CEO restructuring plan, more specifically by the component that addresses the two large thermal power plants located in Dolj, Isalnita and Craiova II, and will have roughly three main components.</w:t>
      </w:r>
    </w:p>
    <w:p w14:paraId="406CCE29" w14:textId="0ED04394" w:rsidR="005B45B2" w:rsidRPr="003847A7" w:rsidRDefault="005B45B2" w:rsidP="00E42342">
      <w:pPr>
        <w:pStyle w:val="ListParagraph"/>
        <w:numPr>
          <w:ilvl w:val="0"/>
          <w:numId w:val="122"/>
        </w:numPr>
        <w:spacing w:after="120" w:line="240" w:lineRule="auto"/>
        <w:ind w:right="172"/>
        <w:contextualSpacing w:val="0"/>
        <w:jc w:val="both"/>
        <w:rPr>
          <w:i/>
          <w:sz w:val="20"/>
          <w:szCs w:val="20"/>
        </w:rPr>
      </w:pPr>
      <w:r w:rsidRPr="003847A7">
        <w:rPr>
          <w:b/>
          <w:sz w:val="20"/>
          <w:szCs w:val="20"/>
        </w:rPr>
        <w:t>The restructuring/ closing of the thermal power plants Isalnita and Craiova II (2021-2025).</w:t>
      </w:r>
      <w:r w:rsidRPr="003847A7">
        <w:rPr>
          <w:sz w:val="20"/>
          <w:szCs w:val="20"/>
        </w:rPr>
        <w:t xml:space="preserve"> Isalnita is planned to be closed in two phases, the first in 2021 (the process is already initiated) the second in 2026, and be replaced with a photovoltaic park (</w:t>
      </w:r>
      <w:r w:rsidRPr="003847A7">
        <w:rPr>
          <w:sz w:val="20"/>
          <w:szCs w:val="20"/>
          <w:lang w:val="ro-RO"/>
        </w:rPr>
        <w:t xml:space="preserve">cca 85 MW) and a modern power plant based on natural gas technology. For </w:t>
      </w:r>
      <w:r w:rsidRPr="003847A7">
        <w:rPr>
          <w:sz w:val="20"/>
          <w:szCs w:val="20"/>
        </w:rPr>
        <w:t>Craiova II a refurbishment and externali</w:t>
      </w:r>
      <w:r w:rsidR="004E7B64">
        <w:rPr>
          <w:sz w:val="20"/>
          <w:szCs w:val="20"/>
        </w:rPr>
        <w:t>sation</w:t>
      </w:r>
      <w:r w:rsidRPr="003847A7">
        <w:rPr>
          <w:sz w:val="20"/>
          <w:szCs w:val="20"/>
        </w:rPr>
        <w:t xml:space="preserve"> plan will be prepared which  will go in effect by 2023</w:t>
      </w:r>
      <w:r w:rsidRPr="003847A7">
        <w:rPr>
          <w:rStyle w:val="FootnoteReference"/>
          <w:sz w:val="20"/>
          <w:szCs w:val="20"/>
        </w:rPr>
        <w:footnoteReference w:id="88"/>
      </w:r>
      <w:r w:rsidRPr="003847A7">
        <w:rPr>
          <w:sz w:val="20"/>
          <w:szCs w:val="20"/>
        </w:rPr>
        <w:t xml:space="preserve">. </w:t>
      </w:r>
    </w:p>
    <w:p w14:paraId="292DC5AD" w14:textId="77777777" w:rsidR="005B45B2" w:rsidRPr="003847A7" w:rsidRDefault="005B45B2" w:rsidP="00E42342">
      <w:pPr>
        <w:pStyle w:val="ListParagraph"/>
        <w:numPr>
          <w:ilvl w:val="0"/>
          <w:numId w:val="122"/>
        </w:numPr>
        <w:spacing w:after="120" w:line="240" w:lineRule="auto"/>
        <w:contextualSpacing w:val="0"/>
        <w:jc w:val="both"/>
        <w:rPr>
          <w:i/>
          <w:sz w:val="20"/>
          <w:szCs w:val="20"/>
        </w:rPr>
      </w:pPr>
      <w:r w:rsidRPr="003847A7">
        <w:rPr>
          <w:b/>
          <w:sz w:val="20"/>
          <w:szCs w:val="20"/>
        </w:rPr>
        <w:t>The global restructuring/ closing of the CEO capacities (2021-2030)</w:t>
      </w:r>
      <w:r w:rsidRPr="003847A7">
        <w:rPr>
          <w:sz w:val="20"/>
          <w:szCs w:val="20"/>
        </w:rPr>
        <w:t>. The global restructuring process consisting in a gradual curtailment of all the capacities activity, although located mostly in Gorj, will also affect Dolj county from social and occupational standpoint. This process will deploy up to 2030 and after this milestone. The effects of this phase will go mainly to the commuters that work in the CEO capacities from Gorj while being residents in Dolj (North and Nort-West)</w:t>
      </w:r>
      <w:r w:rsidRPr="003847A7">
        <w:rPr>
          <w:i/>
          <w:sz w:val="20"/>
          <w:szCs w:val="20"/>
        </w:rPr>
        <w:t xml:space="preserve"> </w:t>
      </w:r>
    </w:p>
    <w:p w14:paraId="2D0C2DD3" w14:textId="4B13B084" w:rsidR="00F90DC9" w:rsidRPr="007E33AE" w:rsidRDefault="005B45B2" w:rsidP="00E42342">
      <w:pPr>
        <w:pStyle w:val="ListParagraph"/>
        <w:numPr>
          <w:ilvl w:val="0"/>
          <w:numId w:val="122"/>
        </w:numPr>
        <w:spacing w:after="120" w:line="240" w:lineRule="auto"/>
        <w:contextualSpacing w:val="0"/>
        <w:jc w:val="both"/>
        <w:rPr>
          <w:sz w:val="20"/>
          <w:szCs w:val="20"/>
        </w:rPr>
      </w:pPr>
      <w:r w:rsidRPr="003847A7">
        <w:rPr>
          <w:b/>
          <w:sz w:val="20"/>
          <w:szCs w:val="20"/>
        </w:rPr>
        <w:t>Restructuring/ adaptation of the companies in greenhouse gas generating business (2021-2030).</w:t>
      </w:r>
      <w:r w:rsidRPr="003847A7">
        <w:rPr>
          <w:sz w:val="20"/>
          <w:szCs w:val="20"/>
        </w:rPr>
        <w:t xml:space="preserve"> A </w:t>
      </w:r>
      <w:r w:rsidR="00ED2A87">
        <w:rPr>
          <w:sz w:val="20"/>
          <w:szCs w:val="20"/>
        </w:rPr>
        <w:t>significant number of</w:t>
      </w:r>
      <w:r w:rsidRPr="003847A7">
        <w:rPr>
          <w:sz w:val="20"/>
          <w:szCs w:val="20"/>
        </w:rPr>
        <w:t xml:space="preserve"> companies may be compelled to take measures to reduce the greenhouse gas emissions through refurbishment, reorgani</w:t>
      </w:r>
      <w:r w:rsidR="004E7B64">
        <w:rPr>
          <w:sz w:val="20"/>
          <w:szCs w:val="20"/>
        </w:rPr>
        <w:t>sation</w:t>
      </w:r>
      <w:r w:rsidRPr="003847A7">
        <w:rPr>
          <w:sz w:val="20"/>
          <w:szCs w:val="20"/>
        </w:rPr>
        <w:t xml:space="preserve"> or simply simple reorientation by 2030 and after this milestone. Some of these companies will be the automotive players</w:t>
      </w:r>
      <w:r w:rsidR="00597139">
        <w:rPr>
          <w:sz w:val="20"/>
          <w:szCs w:val="20"/>
        </w:rPr>
        <w:t>,</w:t>
      </w:r>
      <w:r w:rsidRPr="003847A7">
        <w:rPr>
          <w:sz w:val="20"/>
          <w:szCs w:val="20"/>
        </w:rPr>
        <w:t xml:space="preserve"> which </w:t>
      </w:r>
      <w:r w:rsidRPr="003847A7">
        <w:rPr>
          <w:sz w:val="20"/>
          <w:szCs w:val="20"/>
        </w:rPr>
        <w:lastRenderedPageBreak/>
        <w:t>generate a lof of jobs locally.</w:t>
      </w:r>
      <w:r w:rsidR="0056567F">
        <w:rPr>
          <w:sz w:val="20"/>
          <w:szCs w:val="20"/>
        </w:rPr>
        <w:t xml:space="preserve"> </w:t>
      </w:r>
      <w:bookmarkStart w:id="169" w:name="_Hlk85565099"/>
      <w:r w:rsidR="0056567F">
        <w:rPr>
          <w:sz w:val="20"/>
          <w:szCs w:val="20"/>
        </w:rPr>
        <w:t>In general</w:t>
      </w:r>
      <w:r w:rsidR="00ED2A87">
        <w:rPr>
          <w:sz w:val="20"/>
          <w:szCs w:val="20"/>
        </w:rPr>
        <w:t>,</w:t>
      </w:r>
      <w:r w:rsidR="0056567F">
        <w:rPr>
          <w:sz w:val="20"/>
          <w:szCs w:val="20"/>
        </w:rPr>
        <w:t xml:space="preserve"> these companies </w:t>
      </w:r>
      <w:r w:rsidR="001E5FC6">
        <w:rPr>
          <w:sz w:val="20"/>
          <w:szCs w:val="20"/>
        </w:rPr>
        <w:t>do</w:t>
      </w:r>
      <w:r w:rsidR="0056567F">
        <w:rPr>
          <w:sz w:val="20"/>
          <w:szCs w:val="20"/>
        </w:rPr>
        <w:t xml:space="preserve"> not hav</w:t>
      </w:r>
      <w:r w:rsidR="001E5FC6">
        <w:rPr>
          <w:sz w:val="20"/>
          <w:szCs w:val="20"/>
        </w:rPr>
        <w:t>e</w:t>
      </w:r>
      <w:r w:rsidR="0056567F">
        <w:rPr>
          <w:sz w:val="20"/>
          <w:szCs w:val="20"/>
        </w:rPr>
        <w:t xml:space="preserve"> net zero plans</w:t>
      </w:r>
      <w:r w:rsidR="001E5FC6">
        <w:rPr>
          <w:sz w:val="20"/>
          <w:szCs w:val="20"/>
        </w:rPr>
        <w:t xml:space="preserve"> in place</w:t>
      </w:r>
      <w:r w:rsidR="0056567F">
        <w:rPr>
          <w:sz w:val="20"/>
          <w:szCs w:val="20"/>
        </w:rPr>
        <w:t xml:space="preserve">, although many are committed to incremental emissions reductions. This </w:t>
      </w:r>
      <w:r w:rsidR="001E5FC6">
        <w:rPr>
          <w:sz w:val="20"/>
          <w:szCs w:val="20"/>
        </w:rPr>
        <w:t>is related to</w:t>
      </w:r>
      <w:r w:rsidR="0056567F">
        <w:rPr>
          <w:sz w:val="20"/>
          <w:szCs w:val="20"/>
        </w:rPr>
        <w:t xml:space="preserve"> the fact </w:t>
      </w:r>
      <w:r w:rsidR="001E5FC6">
        <w:rPr>
          <w:sz w:val="20"/>
          <w:szCs w:val="20"/>
        </w:rPr>
        <w:t xml:space="preserve">that </w:t>
      </w:r>
      <w:r w:rsidR="0056567F">
        <w:rPr>
          <w:sz w:val="20"/>
          <w:szCs w:val="20"/>
        </w:rPr>
        <w:t xml:space="preserve">the energy/green transition has not been properly embraced at </w:t>
      </w:r>
      <w:r w:rsidR="001E5FC6">
        <w:rPr>
          <w:sz w:val="20"/>
          <w:szCs w:val="20"/>
        </w:rPr>
        <w:t xml:space="preserve">the </w:t>
      </w:r>
      <w:r w:rsidR="0056567F">
        <w:rPr>
          <w:sz w:val="20"/>
          <w:szCs w:val="20"/>
        </w:rPr>
        <w:t>regional level</w:t>
      </w:r>
      <w:r w:rsidR="001E5FC6">
        <w:rPr>
          <w:sz w:val="20"/>
          <w:szCs w:val="20"/>
        </w:rPr>
        <w:t>.</w:t>
      </w:r>
      <w:r w:rsidR="0056567F">
        <w:rPr>
          <w:sz w:val="20"/>
          <w:szCs w:val="20"/>
        </w:rPr>
        <w:t xml:space="preserve"> </w:t>
      </w:r>
      <w:r w:rsidR="001E5FC6">
        <w:rPr>
          <w:sz w:val="20"/>
          <w:szCs w:val="20"/>
        </w:rPr>
        <w:t xml:space="preserve">Additionally, </w:t>
      </w:r>
      <w:r w:rsidR="0056567F">
        <w:rPr>
          <w:sz w:val="20"/>
          <w:szCs w:val="20"/>
        </w:rPr>
        <w:t>the national and regional decarboni</w:t>
      </w:r>
      <w:r w:rsidR="001E5FC6">
        <w:rPr>
          <w:sz w:val="20"/>
          <w:szCs w:val="20"/>
        </w:rPr>
        <w:t>s</w:t>
      </w:r>
      <w:r w:rsidR="0056567F">
        <w:rPr>
          <w:sz w:val="20"/>
          <w:szCs w:val="20"/>
        </w:rPr>
        <w:t xml:space="preserve">ation pathway is not </w:t>
      </w:r>
      <w:r w:rsidR="001E5FC6">
        <w:rPr>
          <w:sz w:val="20"/>
          <w:szCs w:val="20"/>
        </w:rPr>
        <w:t xml:space="preserve">sufficiently </w:t>
      </w:r>
      <w:r w:rsidR="0056567F">
        <w:rPr>
          <w:sz w:val="20"/>
          <w:szCs w:val="20"/>
        </w:rPr>
        <w:t xml:space="preserve">defined </w:t>
      </w:r>
      <w:r w:rsidR="001E5FC6">
        <w:rPr>
          <w:sz w:val="20"/>
          <w:szCs w:val="20"/>
        </w:rPr>
        <w:t>and</w:t>
      </w:r>
      <w:r w:rsidR="0056567F">
        <w:rPr>
          <w:sz w:val="20"/>
          <w:szCs w:val="20"/>
        </w:rPr>
        <w:t xml:space="preserve"> players do not know what measures they need to take by when. Representatives of the local auto industry that we interviewed during the stakeholder engagement process are aware of the wave of decarboni</w:t>
      </w:r>
      <w:r w:rsidR="001E5FC6">
        <w:rPr>
          <w:sz w:val="20"/>
          <w:szCs w:val="20"/>
        </w:rPr>
        <w:t>s</w:t>
      </w:r>
      <w:r w:rsidR="0056567F">
        <w:rPr>
          <w:sz w:val="20"/>
          <w:szCs w:val="20"/>
        </w:rPr>
        <w:t>ation in the transport sector, but they have not decided on concrete transformational measures (</w:t>
      </w:r>
      <w:r w:rsidR="001F0479">
        <w:rPr>
          <w:sz w:val="20"/>
          <w:szCs w:val="20"/>
        </w:rPr>
        <w:t>e.g.,</w:t>
      </w:r>
      <w:r w:rsidR="0056567F">
        <w:rPr>
          <w:sz w:val="20"/>
          <w:szCs w:val="20"/>
        </w:rPr>
        <w:t xml:space="preserve"> switching to produc</w:t>
      </w:r>
      <w:r w:rsidR="001E5FC6">
        <w:rPr>
          <w:sz w:val="20"/>
          <w:szCs w:val="20"/>
        </w:rPr>
        <w:t>tion of</w:t>
      </w:r>
      <w:r w:rsidR="0056567F">
        <w:rPr>
          <w:sz w:val="20"/>
          <w:szCs w:val="20"/>
        </w:rPr>
        <w:t xml:space="preserve"> electric car engines, etc.). One of the reasons for this</w:t>
      </w:r>
      <w:r w:rsidR="001E5FC6">
        <w:rPr>
          <w:sz w:val="20"/>
          <w:szCs w:val="20"/>
        </w:rPr>
        <w:t xml:space="preserve"> hesitancy</w:t>
      </w:r>
      <w:r w:rsidR="0056567F">
        <w:rPr>
          <w:sz w:val="20"/>
          <w:szCs w:val="20"/>
        </w:rPr>
        <w:t>, according to the concerns we heard during the stakeholder engagement process, is the lack of</w:t>
      </w:r>
      <w:r w:rsidR="001E5FC6">
        <w:rPr>
          <w:sz w:val="20"/>
          <w:szCs w:val="20"/>
        </w:rPr>
        <w:t xml:space="preserve"> a</w:t>
      </w:r>
      <w:r w:rsidR="0056567F">
        <w:rPr>
          <w:sz w:val="20"/>
          <w:szCs w:val="20"/>
        </w:rPr>
        <w:t xml:space="preserve"> local qualified workforce that could be employed in these new industrial business lines.</w:t>
      </w:r>
    </w:p>
    <w:p w14:paraId="2CED3539" w14:textId="77777777" w:rsidR="00F90DC9" w:rsidRPr="003516DC" w:rsidRDefault="00F90DC9" w:rsidP="00E42342">
      <w:pPr>
        <w:pStyle w:val="Heading2"/>
        <w:numPr>
          <w:ilvl w:val="0"/>
          <w:numId w:val="162"/>
        </w:numPr>
        <w:spacing w:before="240" w:line="240" w:lineRule="auto"/>
        <w:ind w:left="432" w:hanging="432"/>
      </w:pPr>
      <w:bookmarkStart w:id="170" w:name="_Toc90725868"/>
      <w:bookmarkEnd w:id="169"/>
      <w:r w:rsidRPr="003516DC">
        <w:t>SWOT analysis and strategic outlook</w:t>
      </w:r>
      <w:bookmarkEnd w:id="170"/>
    </w:p>
    <w:p w14:paraId="688CCB7B" w14:textId="77777777" w:rsidR="00F90DC9" w:rsidRPr="003516DC" w:rsidRDefault="00F90DC9" w:rsidP="00F90DC9">
      <w:pPr>
        <w:jc w:val="both"/>
        <w:rPr>
          <w:rFonts w:ascii="Arial" w:hAnsi="Arial" w:cs="Arial"/>
          <w:sz w:val="20"/>
          <w:szCs w:val="20"/>
        </w:rPr>
      </w:pPr>
      <w:r w:rsidRPr="003516DC">
        <w:rPr>
          <w:rFonts w:ascii="Arial" w:hAnsi="Arial" w:cs="Arial"/>
          <w:sz w:val="20"/>
          <w:szCs w:val="20"/>
        </w:rPr>
        <w:t>The analysis conducted over the chapters of this report, as well as part of the previous deliverables under this assignment, is summarised in the SWOT analysis below.</w:t>
      </w:r>
    </w:p>
    <w:p w14:paraId="7C6724E4" w14:textId="3E79CB16" w:rsidR="00F90DC9" w:rsidRPr="003516DC" w:rsidRDefault="00F90DC9" w:rsidP="00F90DC9">
      <w:pPr>
        <w:pStyle w:val="Caption"/>
        <w:rPr>
          <w:b w:val="0"/>
        </w:rPr>
      </w:pPr>
      <w:bookmarkStart w:id="171" w:name="_Toc90725991"/>
      <w:bookmarkStart w:id="172" w:name="_Toc9072728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37</w:t>
      </w:r>
      <w:r w:rsidRPr="003516DC">
        <w:rPr>
          <w:noProof/>
        </w:rPr>
        <w:fldChar w:fldCharType="end"/>
      </w:r>
      <w:r w:rsidRPr="003516DC">
        <w:t>: SWOT analysis for Dolj county</w:t>
      </w:r>
      <w:bookmarkEnd w:id="171"/>
      <w:bookmarkEnd w:id="172"/>
    </w:p>
    <w:tbl>
      <w:tblPr>
        <w:tblStyle w:val="TableGrid"/>
        <w:tblW w:w="5000" w:type="pct"/>
        <w:tblCellMar>
          <w:top w:w="68" w:type="dxa"/>
          <w:left w:w="68" w:type="dxa"/>
          <w:bottom w:w="68" w:type="dxa"/>
          <w:right w:w="68" w:type="dxa"/>
        </w:tblCellMar>
        <w:tblLook w:val="04A0" w:firstRow="1" w:lastRow="0" w:firstColumn="1" w:lastColumn="0" w:noHBand="0" w:noVBand="1"/>
      </w:tblPr>
      <w:tblGrid>
        <w:gridCol w:w="4464"/>
        <w:gridCol w:w="4465"/>
      </w:tblGrid>
      <w:tr w:rsidR="00F90DC9" w:rsidRPr="003516DC" w14:paraId="4A63A071" w14:textId="77777777" w:rsidTr="007E33AE">
        <w:trPr>
          <w:trHeight w:val="101"/>
        </w:trPr>
        <w:tc>
          <w:tcPr>
            <w:tcW w:w="2500" w:type="pct"/>
            <w:shd w:val="clear" w:color="auto" w:fill="002060"/>
            <w:vAlign w:val="center"/>
          </w:tcPr>
          <w:p w14:paraId="1BFF3EA9" w14:textId="77777777" w:rsidR="00F90DC9" w:rsidRPr="003516DC" w:rsidRDefault="00F90DC9" w:rsidP="00D963B9">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Strengths</w:t>
            </w:r>
          </w:p>
        </w:tc>
        <w:tc>
          <w:tcPr>
            <w:tcW w:w="2500" w:type="pct"/>
            <w:shd w:val="clear" w:color="auto" w:fill="002060"/>
            <w:vAlign w:val="center"/>
          </w:tcPr>
          <w:p w14:paraId="2A138860" w14:textId="77777777" w:rsidR="00F90DC9" w:rsidRPr="003516DC" w:rsidRDefault="00F90DC9" w:rsidP="00D963B9">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Weaknesses</w:t>
            </w:r>
          </w:p>
        </w:tc>
      </w:tr>
      <w:tr w:rsidR="00F90DC9" w:rsidRPr="003516DC" w14:paraId="388767CA" w14:textId="77777777" w:rsidTr="007E33AE">
        <w:trPr>
          <w:trHeight w:val="101"/>
        </w:trPr>
        <w:tc>
          <w:tcPr>
            <w:tcW w:w="5000" w:type="pct"/>
            <w:gridSpan w:val="2"/>
            <w:shd w:val="clear" w:color="auto" w:fill="DDDDDD"/>
            <w:vAlign w:val="center"/>
          </w:tcPr>
          <w:p w14:paraId="6B0EF986"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t>Political &amp; Administrative</w:t>
            </w:r>
          </w:p>
        </w:tc>
      </w:tr>
      <w:tr w:rsidR="00F90DC9" w:rsidRPr="003516DC" w14:paraId="27F3A8CD" w14:textId="77777777" w:rsidTr="00964831">
        <w:tc>
          <w:tcPr>
            <w:tcW w:w="2500" w:type="pct"/>
          </w:tcPr>
          <w:p w14:paraId="3DA58F9E" w14:textId="77777777" w:rsidR="00F90DC9" w:rsidRPr="003516DC" w:rsidRDefault="00F90DC9" w:rsidP="00D963B9">
            <w:pPr>
              <w:pStyle w:val="ListParagraph"/>
              <w:numPr>
                <w:ilvl w:val="0"/>
                <w:numId w:val="27"/>
              </w:numPr>
              <w:spacing w:line="240" w:lineRule="auto"/>
              <w:rPr>
                <w:sz w:val="18"/>
                <w:szCs w:val="18"/>
              </w:rPr>
            </w:pPr>
            <w:r w:rsidRPr="003516DC">
              <w:rPr>
                <w:sz w:val="18"/>
                <w:szCs w:val="18"/>
              </w:rPr>
              <w:t>Experience in project implementation and fund access at ADR SV Oltenia as well as county Council, effective communication channels in the TJTP context.</w:t>
            </w:r>
          </w:p>
          <w:p w14:paraId="13837512" w14:textId="77777777" w:rsidR="00F90DC9" w:rsidRPr="003516DC" w:rsidRDefault="00F90DC9" w:rsidP="00D963B9">
            <w:pPr>
              <w:pStyle w:val="ListParagraph"/>
              <w:numPr>
                <w:ilvl w:val="0"/>
                <w:numId w:val="27"/>
              </w:numPr>
              <w:shd w:val="clear" w:color="auto" w:fill="FFFFFF"/>
              <w:spacing w:line="240" w:lineRule="auto"/>
              <w:rPr>
                <w:rFonts w:eastAsia="Times New Roman"/>
                <w:sz w:val="18"/>
                <w:szCs w:val="18"/>
                <w:lang w:val="en-US"/>
              </w:rPr>
            </w:pPr>
            <w:r w:rsidRPr="003516DC">
              <w:rPr>
                <w:rFonts w:eastAsia="Times New Roman"/>
                <w:sz w:val="18"/>
                <w:szCs w:val="18"/>
                <w:lang w:val="en-US"/>
              </w:rPr>
              <w:t xml:space="preserve">Strategic planning capacity, the programing documents for 2021-2027 per region/county are already published or in an advanced stage. </w:t>
            </w:r>
          </w:p>
        </w:tc>
        <w:tc>
          <w:tcPr>
            <w:tcW w:w="2500" w:type="pct"/>
          </w:tcPr>
          <w:p w14:paraId="352EF0C2" w14:textId="77777777" w:rsidR="00F90DC9" w:rsidRPr="003516DC" w:rsidRDefault="00F90DC9" w:rsidP="00D963B9">
            <w:pPr>
              <w:pStyle w:val="ListParagraph"/>
              <w:numPr>
                <w:ilvl w:val="0"/>
                <w:numId w:val="27"/>
              </w:numPr>
              <w:spacing w:line="240" w:lineRule="auto"/>
              <w:rPr>
                <w:sz w:val="18"/>
                <w:szCs w:val="18"/>
              </w:rPr>
            </w:pPr>
            <w:r w:rsidRPr="003516DC">
              <w:rPr>
                <w:sz w:val="18"/>
                <w:szCs w:val="18"/>
              </w:rPr>
              <w:t xml:space="preserve">Primary infrastructure is lacking in most areas of the county with a few exceptions (i.e., Craiova), with large budgets needed for rehabilitation/reconstruction. </w:t>
            </w:r>
          </w:p>
          <w:p w14:paraId="64D70550" w14:textId="77777777" w:rsidR="00F90DC9" w:rsidRPr="003516DC" w:rsidRDefault="00F90DC9" w:rsidP="00D963B9">
            <w:pPr>
              <w:pStyle w:val="ListParagraph"/>
              <w:numPr>
                <w:ilvl w:val="0"/>
                <w:numId w:val="27"/>
              </w:numPr>
              <w:spacing w:line="240" w:lineRule="auto"/>
              <w:rPr>
                <w:sz w:val="18"/>
                <w:szCs w:val="18"/>
              </w:rPr>
            </w:pPr>
            <w:r w:rsidRPr="003516DC">
              <w:rPr>
                <w:sz w:val="18"/>
                <w:szCs w:val="18"/>
              </w:rPr>
              <w:t>The natural gas transport infrastructure currently covers only the northern part of the county while Calafat and large areas in south and west are not yet covered.</w:t>
            </w:r>
          </w:p>
        </w:tc>
      </w:tr>
      <w:tr w:rsidR="00F90DC9" w:rsidRPr="003516DC" w14:paraId="0ABEE2F0" w14:textId="77777777" w:rsidTr="007E33AE">
        <w:trPr>
          <w:trHeight w:val="101"/>
        </w:trPr>
        <w:tc>
          <w:tcPr>
            <w:tcW w:w="5000" w:type="pct"/>
            <w:gridSpan w:val="2"/>
            <w:shd w:val="clear" w:color="auto" w:fill="DDDDDD"/>
            <w:vAlign w:val="center"/>
          </w:tcPr>
          <w:p w14:paraId="499F990A" w14:textId="77777777" w:rsidR="00F90DC9" w:rsidRPr="003516DC" w:rsidRDefault="00F90DC9" w:rsidP="00D963B9">
            <w:pPr>
              <w:jc w:val="center"/>
              <w:rPr>
                <w:rFonts w:ascii="Arial" w:hAnsi="Arial" w:cs="Arial"/>
                <w:sz w:val="18"/>
                <w:szCs w:val="18"/>
              </w:rPr>
            </w:pPr>
            <w:r w:rsidRPr="003516DC">
              <w:rPr>
                <w:rFonts w:ascii="Arial" w:hAnsi="Arial" w:cs="Arial"/>
                <w:b/>
                <w:bCs/>
                <w:sz w:val="18"/>
                <w:szCs w:val="18"/>
              </w:rPr>
              <w:t>Economic &amp; Environmental</w:t>
            </w:r>
          </w:p>
        </w:tc>
      </w:tr>
      <w:tr w:rsidR="00F90DC9" w:rsidRPr="003516DC" w14:paraId="57C76097" w14:textId="77777777" w:rsidTr="00964831">
        <w:tc>
          <w:tcPr>
            <w:tcW w:w="2500" w:type="pct"/>
          </w:tcPr>
          <w:p w14:paraId="5814BD8B"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An "Urban Growth Pole" since 2008, along with </w:t>
            </w:r>
            <w:r w:rsidRPr="003516DC">
              <w:rPr>
                <w:sz w:val="18"/>
                <w:szCs w:val="18"/>
                <w:lang w:val="en-US"/>
              </w:rPr>
              <w:t xml:space="preserve">Craiova Metropolitan Area (CMA), the county seat is an </w:t>
            </w:r>
            <w:r w:rsidRPr="003516DC">
              <w:rPr>
                <w:sz w:val="18"/>
                <w:szCs w:val="18"/>
              </w:rPr>
              <w:t>economic development growth engine in the region.</w:t>
            </w:r>
          </w:p>
          <w:p w14:paraId="2EB86BB8"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Dynamic SME sector in Craiova and CMA, good impact from the two industrial parks, high occupancy rate and competition for acceptance. </w:t>
            </w:r>
          </w:p>
          <w:p w14:paraId="74092CBC"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Potent manufacturing sector, with several industries with positive trends such as automotive, automotive components.</w:t>
            </w:r>
          </w:p>
          <w:p w14:paraId="1F061FA9"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Dynamic IT&amp;C sector with stable evolution, good business and academic support.  </w:t>
            </w:r>
          </w:p>
          <w:p w14:paraId="48F95782"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Geographic position favourable to connectivity, both internal and international, crossed by two of the central and global TEN-T transport corridors (road, railway, air and waterway).</w:t>
            </w:r>
          </w:p>
          <w:p w14:paraId="209EEA26"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The 150 km border is part of the European Danube Macro-Region, and on the navigation axis between the Black Sea and the North Sea.</w:t>
            </w:r>
          </w:p>
          <w:p w14:paraId="0B897811"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Calafat-Vidin road and railway changes the border crossing patterns in this area balancing the transit through Calafat border crossing point.</w:t>
            </w:r>
          </w:p>
          <w:p w14:paraId="33CFE9DC"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Craiova International Airport, recently modernised, is 7 km from the city centre and supports mobility and serves the Oltenia Region.</w:t>
            </w:r>
          </w:p>
          <w:p w14:paraId="4A4B73EA"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Existing awareness and commitment in the business community for solar energy as re-generable green source, completed and ongoing projects.</w:t>
            </w:r>
          </w:p>
          <w:p w14:paraId="4BAAAD6D"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Excellent biodiversity and attractive landscapes, unique areas adjacent to Danube, other areas of </w:t>
            </w:r>
            <w:r w:rsidRPr="003516DC">
              <w:rPr>
                <w:sz w:val="18"/>
                <w:szCs w:val="18"/>
              </w:rPr>
              <w:lastRenderedPageBreak/>
              <w:t xml:space="preserve">remarkable unicity represent valuable touristic assets. </w:t>
            </w:r>
          </w:p>
          <w:p w14:paraId="6DCC0B22"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Good quality soil and well-developed hydrographic network sustain a diversified agriculture with tradition and continuity.  </w:t>
            </w:r>
          </w:p>
        </w:tc>
        <w:tc>
          <w:tcPr>
            <w:tcW w:w="2500" w:type="pct"/>
          </w:tcPr>
          <w:p w14:paraId="47D3FDB4" w14:textId="77777777" w:rsidR="00F90DC9" w:rsidRPr="003516DC" w:rsidRDefault="00F90DC9" w:rsidP="00D963B9">
            <w:pPr>
              <w:pStyle w:val="ListParagraph"/>
              <w:numPr>
                <w:ilvl w:val="0"/>
                <w:numId w:val="28"/>
              </w:numPr>
              <w:spacing w:line="240" w:lineRule="auto"/>
              <w:rPr>
                <w:sz w:val="18"/>
                <w:szCs w:val="18"/>
                <w:lang w:val="en-US"/>
              </w:rPr>
            </w:pPr>
            <w:r w:rsidRPr="003516DC">
              <w:rPr>
                <w:sz w:val="18"/>
                <w:szCs w:val="18"/>
                <w:lang w:val="en-US"/>
              </w:rPr>
              <w:lastRenderedPageBreak/>
              <w:t>Pronounced imbalance between the county seat and the rest of the territory, reflected throughout the community life on all layers.</w:t>
            </w:r>
          </w:p>
          <w:p w14:paraId="2AB8C107" w14:textId="77777777" w:rsidR="00F90DC9" w:rsidRPr="003516DC" w:rsidRDefault="00F90DC9" w:rsidP="00D963B9">
            <w:pPr>
              <w:pStyle w:val="ListParagraph"/>
              <w:numPr>
                <w:ilvl w:val="0"/>
                <w:numId w:val="28"/>
              </w:numPr>
              <w:spacing w:line="240" w:lineRule="auto"/>
              <w:rPr>
                <w:sz w:val="18"/>
                <w:szCs w:val="18"/>
                <w:lang w:val="en-US"/>
              </w:rPr>
            </w:pPr>
            <w:r w:rsidRPr="003516DC">
              <w:rPr>
                <w:sz w:val="18"/>
                <w:szCs w:val="18"/>
                <w:lang w:val="en-US"/>
              </w:rPr>
              <w:t xml:space="preserve">Very low number of companies in rural areas, in urban territories less than </w:t>
            </w:r>
            <w:r w:rsidRPr="003516DC">
              <w:rPr>
                <w:sz w:val="18"/>
                <w:szCs w:val="18"/>
              </w:rPr>
              <w:t>one company per 1,000 inhabitants</w:t>
            </w:r>
            <w:r w:rsidRPr="003516DC">
              <w:rPr>
                <w:sz w:val="18"/>
                <w:szCs w:val="18"/>
                <w:lang w:val="en-US"/>
              </w:rPr>
              <w:t xml:space="preserve"> on average</w:t>
            </w:r>
            <w:r w:rsidRPr="003516DC">
              <w:rPr>
                <w:sz w:val="18"/>
                <w:szCs w:val="18"/>
              </w:rPr>
              <w:t>.</w:t>
            </w:r>
          </w:p>
          <w:p w14:paraId="0CD1ECD5"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Currently no high-speed road (highway, express road) in the county to facilitate connection with national and European destinations.</w:t>
            </w:r>
          </w:p>
          <w:p w14:paraId="6C775F33"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Currently no bypass belts for the main municipalities and cities (i.e., Filiași, Calafat, southern Craiova) and insufficient railway routes crossing passages.</w:t>
            </w:r>
          </w:p>
          <w:p w14:paraId="3A8C0DBB"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 xml:space="preserve">Low volumes of waterway transport for both passengers and goods compared to estimated potential (and historical trend). </w:t>
            </w:r>
          </w:p>
          <w:p w14:paraId="29F78F7C" w14:textId="77777777" w:rsidR="00F90DC9" w:rsidRPr="003516DC" w:rsidRDefault="00F90DC9" w:rsidP="00D963B9">
            <w:pPr>
              <w:pStyle w:val="ListParagraph"/>
              <w:numPr>
                <w:ilvl w:val="0"/>
                <w:numId w:val="28"/>
              </w:numPr>
              <w:spacing w:line="240" w:lineRule="auto"/>
              <w:rPr>
                <w:color w:val="000000"/>
                <w:sz w:val="18"/>
                <w:szCs w:val="18"/>
              </w:rPr>
            </w:pPr>
            <w:r w:rsidRPr="003516DC">
              <w:rPr>
                <w:color w:val="000000"/>
                <w:sz w:val="18"/>
                <w:szCs w:val="18"/>
              </w:rPr>
              <w:t>No relevant land improvement works since 1990s, rehabilitation and modernisation work needed such as irrigation, ecological reconstruction of soils, dams and drainage. </w:t>
            </w:r>
          </w:p>
          <w:p w14:paraId="194845A4" w14:textId="77777777" w:rsidR="00F90DC9" w:rsidRPr="003516DC" w:rsidRDefault="00F90DC9" w:rsidP="00D963B9">
            <w:pPr>
              <w:pStyle w:val="ListParagraph"/>
              <w:numPr>
                <w:ilvl w:val="0"/>
                <w:numId w:val="28"/>
              </w:numPr>
              <w:spacing w:line="240" w:lineRule="auto"/>
              <w:rPr>
                <w:sz w:val="18"/>
                <w:szCs w:val="18"/>
              </w:rPr>
            </w:pPr>
            <w:r w:rsidRPr="003516DC">
              <w:rPr>
                <w:sz w:val="18"/>
                <w:szCs w:val="18"/>
              </w:rPr>
              <w:t>Degraded soil in many areas due to massive deforestation and heavy rain, desertification phenomenon present in many areas (i.e., the triangle Sadova - Bechet – Corabia).</w:t>
            </w:r>
          </w:p>
          <w:p w14:paraId="04A463E5" w14:textId="1A51C4D5" w:rsidR="00F90DC9" w:rsidRPr="003516DC" w:rsidRDefault="00F90DC9" w:rsidP="00D963B9">
            <w:pPr>
              <w:pStyle w:val="ListParagraph"/>
              <w:numPr>
                <w:ilvl w:val="0"/>
                <w:numId w:val="28"/>
              </w:numPr>
              <w:spacing w:line="240" w:lineRule="auto"/>
              <w:rPr>
                <w:sz w:val="18"/>
                <w:szCs w:val="18"/>
              </w:rPr>
            </w:pPr>
            <w:r w:rsidRPr="003516DC">
              <w:rPr>
                <w:sz w:val="18"/>
                <w:szCs w:val="18"/>
              </w:rPr>
              <w:t>Poor tourist infrastructure and services except Craiova municipality and CMA, despite the abundance of attractive natural and built objectives, lack p</w:t>
            </w:r>
            <w:r w:rsidR="00D206E5">
              <w:rPr>
                <w:sz w:val="18"/>
                <w:szCs w:val="18"/>
              </w:rPr>
              <w:t>rogrammes</w:t>
            </w:r>
            <w:r w:rsidRPr="003516DC">
              <w:rPr>
                <w:sz w:val="18"/>
                <w:szCs w:val="18"/>
              </w:rPr>
              <w:t>, circuits and integrated approach.</w:t>
            </w:r>
          </w:p>
          <w:p w14:paraId="31990E53" w14:textId="77777777" w:rsidR="00F90DC9" w:rsidRPr="003516DC" w:rsidRDefault="00F90DC9" w:rsidP="00D963B9">
            <w:pPr>
              <w:pStyle w:val="ListParagraph"/>
              <w:numPr>
                <w:ilvl w:val="0"/>
                <w:numId w:val="28"/>
              </w:numPr>
              <w:spacing w:line="240" w:lineRule="auto"/>
              <w:rPr>
                <w:color w:val="000000" w:themeColor="text1"/>
                <w:sz w:val="18"/>
                <w:szCs w:val="18"/>
              </w:rPr>
            </w:pPr>
            <w:r w:rsidRPr="003516DC">
              <w:rPr>
                <w:color w:val="000000" w:themeColor="text1"/>
                <w:sz w:val="18"/>
                <w:szCs w:val="18"/>
              </w:rPr>
              <w:t xml:space="preserve">Pollution in Craiova ranked regime A for PM10, nitrogen dioxide and nitrogen oxides (NO2 / NOx) </w:t>
            </w:r>
            <w:r w:rsidRPr="003516DC">
              <w:rPr>
                <w:color w:val="000000" w:themeColor="text1"/>
                <w:sz w:val="18"/>
                <w:szCs w:val="18"/>
              </w:rPr>
              <w:lastRenderedPageBreak/>
              <w:t>and Dolj county</w:t>
            </w:r>
            <w:r w:rsidRPr="003516DC">
              <w:rPr>
                <w:b/>
                <w:color w:val="000000" w:themeColor="text1"/>
                <w:sz w:val="18"/>
                <w:szCs w:val="18"/>
              </w:rPr>
              <w:t xml:space="preserve"> </w:t>
            </w:r>
            <w:r w:rsidRPr="003516DC">
              <w:rPr>
                <w:color w:val="000000" w:themeColor="text1"/>
                <w:sz w:val="18"/>
                <w:szCs w:val="18"/>
              </w:rPr>
              <w:t>regime B for sulfur dioxide (SO2) and particle pollution PM10 and PM 2.5.</w:t>
            </w:r>
            <w:r w:rsidRPr="003516DC">
              <w:rPr>
                <w:sz w:val="18"/>
                <w:szCs w:val="18"/>
              </w:rPr>
              <w:t xml:space="preserve"> </w:t>
            </w:r>
          </w:p>
        </w:tc>
      </w:tr>
      <w:tr w:rsidR="00F90DC9" w:rsidRPr="003516DC" w14:paraId="79F2C06D" w14:textId="77777777" w:rsidTr="007E33AE">
        <w:trPr>
          <w:trHeight w:val="101"/>
        </w:trPr>
        <w:tc>
          <w:tcPr>
            <w:tcW w:w="5000" w:type="pct"/>
            <w:gridSpan w:val="2"/>
            <w:shd w:val="clear" w:color="auto" w:fill="DDDDDD"/>
            <w:vAlign w:val="center"/>
          </w:tcPr>
          <w:p w14:paraId="16D163EA"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lastRenderedPageBreak/>
              <w:t>Social &amp; Cultural</w:t>
            </w:r>
          </w:p>
        </w:tc>
      </w:tr>
      <w:tr w:rsidR="00F90DC9" w:rsidRPr="003516DC" w14:paraId="4576BD03" w14:textId="77777777" w:rsidTr="00964831">
        <w:tc>
          <w:tcPr>
            <w:tcW w:w="2500" w:type="pct"/>
          </w:tcPr>
          <w:p w14:paraId="70CD0D2E" w14:textId="77777777" w:rsidR="00F90DC9" w:rsidRPr="003516DC" w:rsidRDefault="00F90DC9" w:rsidP="00D963B9">
            <w:pPr>
              <w:pStyle w:val="ListParagraph"/>
              <w:numPr>
                <w:ilvl w:val="0"/>
                <w:numId w:val="29"/>
              </w:numPr>
              <w:spacing w:line="240" w:lineRule="auto"/>
              <w:rPr>
                <w:sz w:val="18"/>
                <w:szCs w:val="18"/>
              </w:rPr>
            </w:pPr>
            <w:r w:rsidRPr="003516DC">
              <w:rPr>
                <w:sz w:val="18"/>
                <w:szCs w:val="18"/>
              </w:rPr>
              <w:t>Significant share of workforce with good qualification profile including highly qualified university graduates.</w:t>
            </w:r>
          </w:p>
          <w:p w14:paraId="057F9A05" w14:textId="77777777" w:rsidR="00F90DC9" w:rsidRPr="003516DC" w:rsidRDefault="00F90DC9" w:rsidP="00D963B9">
            <w:pPr>
              <w:pStyle w:val="ListParagraph"/>
              <w:numPr>
                <w:ilvl w:val="0"/>
                <w:numId w:val="29"/>
              </w:numPr>
              <w:spacing w:line="240" w:lineRule="auto"/>
              <w:rPr>
                <w:sz w:val="18"/>
                <w:szCs w:val="18"/>
              </w:rPr>
            </w:pPr>
            <w:r w:rsidRPr="003516DC">
              <w:rPr>
                <w:sz w:val="18"/>
                <w:szCs w:val="18"/>
              </w:rPr>
              <w:t>Two public universities and one private university in Craiova with more than 17,000 students.</w:t>
            </w:r>
          </w:p>
          <w:p w14:paraId="0B44727C" w14:textId="77777777" w:rsidR="00F90DC9" w:rsidRPr="003516DC" w:rsidRDefault="00F90DC9" w:rsidP="00D963B9">
            <w:pPr>
              <w:pStyle w:val="ListParagraph"/>
              <w:numPr>
                <w:ilvl w:val="0"/>
                <w:numId w:val="29"/>
              </w:numPr>
              <w:shd w:val="clear" w:color="auto" w:fill="FFFFFF"/>
              <w:tabs>
                <w:tab w:val="left" w:pos="378"/>
              </w:tabs>
              <w:spacing w:line="240" w:lineRule="auto"/>
              <w:contextualSpacing w:val="0"/>
              <w:rPr>
                <w:rStyle w:val="Strong"/>
                <w:b w:val="0"/>
                <w:bCs w:val="0"/>
                <w:sz w:val="18"/>
                <w:szCs w:val="18"/>
                <w:bdr w:val="none" w:sz="0" w:space="0" w:color="auto" w:frame="1"/>
              </w:rPr>
            </w:pPr>
            <w:r w:rsidRPr="003516DC">
              <w:rPr>
                <w:rStyle w:val="Strong"/>
                <w:b w:val="0"/>
                <w:bCs w:val="0"/>
                <w:sz w:val="18"/>
                <w:szCs w:val="18"/>
                <w:bdr w:val="none" w:sz="0" w:space="0" w:color="auto" w:frame="1"/>
              </w:rPr>
              <w:t>Consistent offer in the vocational training area with about 149 authorised training providers and 550 authorised training programmes.</w:t>
            </w:r>
          </w:p>
          <w:p w14:paraId="5BE8A928" w14:textId="77777777" w:rsidR="00F90DC9" w:rsidRPr="003516DC" w:rsidRDefault="00F90DC9" w:rsidP="00D963B9">
            <w:pPr>
              <w:pStyle w:val="ListParagraph"/>
              <w:numPr>
                <w:ilvl w:val="0"/>
                <w:numId w:val="29"/>
              </w:numPr>
              <w:spacing w:line="240" w:lineRule="auto"/>
              <w:rPr>
                <w:sz w:val="18"/>
                <w:szCs w:val="18"/>
                <w:shd w:val="clear" w:color="auto" w:fill="FFFFFF"/>
              </w:rPr>
            </w:pPr>
            <w:r w:rsidRPr="003516DC">
              <w:rPr>
                <w:sz w:val="18"/>
                <w:szCs w:val="18"/>
              </w:rPr>
              <w:t xml:space="preserve">Craiova is rich in cultural heritage and monuments are already known as touristic attractions, that are promoted and included in programmes and circuits. </w:t>
            </w:r>
            <w:r w:rsidRPr="003516DC">
              <w:rPr>
                <w:sz w:val="18"/>
                <w:szCs w:val="18"/>
                <w:shd w:val="clear" w:color="auto" w:fill="FFFFFF"/>
              </w:rPr>
              <w:t xml:space="preserve"> </w:t>
            </w:r>
          </w:p>
          <w:p w14:paraId="07AE4085" w14:textId="77777777" w:rsidR="00F90DC9" w:rsidRPr="003516DC" w:rsidRDefault="00F90DC9" w:rsidP="00D963B9">
            <w:pPr>
              <w:rPr>
                <w:rFonts w:ascii="Arial" w:hAnsi="Arial" w:cs="Arial"/>
                <w:sz w:val="18"/>
                <w:szCs w:val="18"/>
              </w:rPr>
            </w:pPr>
          </w:p>
        </w:tc>
        <w:tc>
          <w:tcPr>
            <w:tcW w:w="2500" w:type="pct"/>
          </w:tcPr>
          <w:p w14:paraId="42EDF1C1" w14:textId="77777777" w:rsidR="00F90DC9" w:rsidRPr="003516DC" w:rsidRDefault="00F90DC9" w:rsidP="00D963B9">
            <w:pPr>
              <w:pStyle w:val="ListParagraph"/>
              <w:numPr>
                <w:ilvl w:val="0"/>
                <w:numId w:val="29"/>
              </w:numPr>
              <w:spacing w:line="240" w:lineRule="auto"/>
              <w:rPr>
                <w:sz w:val="18"/>
                <w:szCs w:val="18"/>
              </w:rPr>
            </w:pPr>
            <w:r w:rsidRPr="003516DC">
              <w:rPr>
                <w:sz w:val="18"/>
                <w:szCs w:val="18"/>
              </w:rPr>
              <w:t xml:space="preserve">High overall unemployment rate, with annual values above the national average constantly, further exposed in the context of transition.  </w:t>
            </w:r>
          </w:p>
          <w:p w14:paraId="3D603EDF" w14:textId="77777777" w:rsidR="00F90DC9" w:rsidRPr="003516DC" w:rsidRDefault="00F90DC9" w:rsidP="00D963B9">
            <w:pPr>
              <w:pStyle w:val="ListParagraph"/>
              <w:numPr>
                <w:ilvl w:val="0"/>
                <w:numId w:val="29"/>
              </w:numPr>
              <w:spacing w:line="240" w:lineRule="auto"/>
              <w:rPr>
                <w:sz w:val="18"/>
                <w:szCs w:val="18"/>
              </w:rPr>
            </w:pPr>
            <w:r w:rsidRPr="003516DC">
              <w:rPr>
                <w:sz w:val="18"/>
                <w:szCs w:val="18"/>
              </w:rPr>
              <w:t>High risk of poverty especially in the areas with reduced accessibility and aging population or those with large Roma population.</w:t>
            </w:r>
          </w:p>
          <w:p w14:paraId="3058CEF9" w14:textId="77777777" w:rsidR="00F90DC9" w:rsidRPr="003516DC" w:rsidRDefault="00F90DC9" w:rsidP="00D963B9">
            <w:pPr>
              <w:pStyle w:val="ListParagraph"/>
              <w:numPr>
                <w:ilvl w:val="0"/>
                <w:numId w:val="29"/>
              </w:numPr>
              <w:spacing w:line="240" w:lineRule="auto"/>
              <w:rPr>
                <w:rFonts w:eastAsia="Times New Roman"/>
                <w:sz w:val="18"/>
                <w:szCs w:val="18"/>
                <w:lang w:eastAsia="ro-RO"/>
              </w:rPr>
            </w:pPr>
            <w:r w:rsidRPr="003516DC">
              <w:rPr>
                <w:rFonts w:eastAsia="Times New Roman"/>
                <w:sz w:val="18"/>
                <w:szCs w:val="18"/>
                <w:lang w:eastAsia="ro-RO"/>
              </w:rPr>
              <w:t>Poor health services and lack of medical staff with proper qualification in rural areas.</w:t>
            </w:r>
          </w:p>
          <w:p w14:paraId="5A08F7C1" w14:textId="77777777" w:rsidR="00F90DC9" w:rsidRPr="003516DC" w:rsidRDefault="00F90DC9" w:rsidP="00D963B9">
            <w:pPr>
              <w:pStyle w:val="ListParagraph"/>
              <w:numPr>
                <w:ilvl w:val="0"/>
                <w:numId w:val="29"/>
              </w:numPr>
              <w:spacing w:line="240" w:lineRule="auto"/>
              <w:rPr>
                <w:rFonts w:eastAsia="Times New Roman"/>
                <w:sz w:val="18"/>
                <w:szCs w:val="18"/>
                <w:lang w:eastAsia="ro-RO"/>
              </w:rPr>
            </w:pPr>
            <w:r w:rsidRPr="003516DC">
              <w:rPr>
                <w:rFonts w:eastAsia="Times New Roman"/>
                <w:sz w:val="18"/>
                <w:szCs w:val="18"/>
                <w:lang w:eastAsia="ro-RO"/>
              </w:rPr>
              <w:t xml:space="preserve">Low quality of education services in rural areas that are impaired by a lack of accessibility and poor infrastructure. </w:t>
            </w:r>
          </w:p>
          <w:p w14:paraId="25158407" w14:textId="77777777" w:rsidR="00F90DC9" w:rsidRPr="003516DC" w:rsidRDefault="00F90DC9" w:rsidP="00D963B9">
            <w:pPr>
              <w:pStyle w:val="ListParagraph"/>
              <w:numPr>
                <w:ilvl w:val="0"/>
                <w:numId w:val="29"/>
              </w:numPr>
              <w:spacing w:line="240" w:lineRule="auto"/>
              <w:rPr>
                <w:rFonts w:eastAsia="Times New Roman"/>
                <w:sz w:val="18"/>
                <w:szCs w:val="18"/>
              </w:rPr>
            </w:pPr>
            <w:r w:rsidRPr="003516DC">
              <w:rPr>
                <w:rFonts w:eastAsia="Times New Roman"/>
                <w:color w:val="000000"/>
                <w:sz w:val="18"/>
                <w:szCs w:val="18"/>
              </w:rPr>
              <w:t>Significant outmigration trend.</w:t>
            </w:r>
          </w:p>
        </w:tc>
      </w:tr>
      <w:tr w:rsidR="00F90DC9" w:rsidRPr="003516DC" w14:paraId="1CAC38AF" w14:textId="77777777" w:rsidTr="007E33AE">
        <w:trPr>
          <w:trHeight w:val="101"/>
        </w:trPr>
        <w:tc>
          <w:tcPr>
            <w:tcW w:w="5000" w:type="pct"/>
            <w:gridSpan w:val="2"/>
            <w:shd w:val="clear" w:color="auto" w:fill="DDDDDD"/>
            <w:vAlign w:val="center"/>
          </w:tcPr>
          <w:p w14:paraId="773DE5F7"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t>Technological</w:t>
            </w:r>
          </w:p>
        </w:tc>
      </w:tr>
      <w:tr w:rsidR="00F90DC9" w:rsidRPr="003516DC" w14:paraId="3B0ACC52" w14:textId="77777777" w:rsidTr="00964831">
        <w:tc>
          <w:tcPr>
            <w:tcW w:w="2500" w:type="pct"/>
          </w:tcPr>
          <w:p w14:paraId="1607401C" w14:textId="77777777" w:rsidR="00F90DC9" w:rsidRPr="003516DC" w:rsidRDefault="00F90DC9" w:rsidP="00D963B9">
            <w:pPr>
              <w:pStyle w:val="ListParagraph"/>
              <w:numPr>
                <w:ilvl w:val="0"/>
                <w:numId w:val="31"/>
              </w:numPr>
              <w:spacing w:line="240" w:lineRule="auto"/>
              <w:rPr>
                <w:sz w:val="18"/>
                <w:szCs w:val="18"/>
              </w:rPr>
            </w:pPr>
            <w:r w:rsidRPr="003516DC">
              <w:rPr>
                <w:sz w:val="18"/>
                <w:szCs w:val="18"/>
              </w:rPr>
              <w:t>The University of Craiova is an important player in research at the national level and the most prominent in the region.</w:t>
            </w:r>
          </w:p>
          <w:p w14:paraId="2F331DEE" w14:textId="77777777" w:rsidR="00F90DC9" w:rsidRPr="003516DC" w:rsidRDefault="00F90DC9" w:rsidP="00D963B9">
            <w:pPr>
              <w:pStyle w:val="ListParagraph"/>
              <w:numPr>
                <w:ilvl w:val="0"/>
                <w:numId w:val="31"/>
              </w:numPr>
              <w:spacing w:line="240" w:lineRule="auto"/>
              <w:rPr>
                <w:sz w:val="18"/>
                <w:szCs w:val="18"/>
              </w:rPr>
            </w:pPr>
            <w:r w:rsidRPr="003516DC">
              <w:rPr>
                <w:sz w:val="18"/>
                <w:szCs w:val="18"/>
              </w:rPr>
              <w:t xml:space="preserve">As many as 30 entities operating in the field of research and innovation, including several research institutes with tradition in their field.   </w:t>
            </w:r>
          </w:p>
          <w:p w14:paraId="5710104C" w14:textId="77777777" w:rsidR="00F90DC9" w:rsidRPr="003516DC" w:rsidRDefault="00F90DC9" w:rsidP="00D963B9">
            <w:pPr>
              <w:pStyle w:val="ListParagraph"/>
              <w:numPr>
                <w:ilvl w:val="0"/>
                <w:numId w:val="31"/>
              </w:numPr>
              <w:spacing w:line="240" w:lineRule="auto"/>
              <w:rPr>
                <w:sz w:val="18"/>
                <w:szCs w:val="18"/>
              </w:rPr>
            </w:pPr>
            <w:r w:rsidRPr="003516DC">
              <w:rPr>
                <w:sz w:val="18"/>
                <w:szCs w:val="18"/>
              </w:rPr>
              <w:t>Large companies in Craiova and CMA that have developed their own research/ development units focused on new products creation (INDA Craiova, INAS Craiova, Softonic Craiova, etc.).</w:t>
            </w:r>
          </w:p>
        </w:tc>
        <w:tc>
          <w:tcPr>
            <w:tcW w:w="2500" w:type="pct"/>
          </w:tcPr>
          <w:p w14:paraId="1E4E0F79" w14:textId="77777777" w:rsidR="00F90DC9" w:rsidRPr="003516DC" w:rsidRDefault="00F90DC9" w:rsidP="00D963B9">
            <w:pPr>
              <w:pStyle w:val="ListParagraph"/>
              <w:numPr>
                <w:ilvl w:val="0"/>
                <w:numId w:val="30"/>
              </w:numPr>
              <w:spacing w:line="240" w:lineRule="auto"/>
              <w:rPr>
                <w:rFonts w:eastAsia="Times New Roman"/>
                <w:sz w:val="18"/>
                <w:szCs w:val="18"/>
                <w:lang w:eastAsia="ro-RO"/>
              </w:rPr>
            </w:pPr>
            <w:r w:rsidRPr="003516DC">
              <w:rPr>
                <w:rFonts w:eastAsia="Times New Roman"/>
                <w:sz w:val="18"/>
                <w:szCs w:val="18"/>
                <w:lang w:eastAsia="ro-RO"/>
              </w:rPr>
              <w:t>Low level of digitisation and poor-quality solutions in public institutions as well as part of private companies.</w:t>
            </w:r>
          </w:p>
          <w:p w14:paraId="33B462F5" w14:textId="77777777" w:rsidR="00F90DC9" w:rsidRPr="003516DC" w:rsidRDefault="00F90DC9" w:rsidP="00D963B9">
            <w:pPr>
              <w:pStyle w:val="ListParagraph"/>
              <w:numPr>
                <w:ilvl w:val="0"/>
                <w:numId w:val="30"/>
              </w:numPr>
              <w:spacing w:line="240" w:lineRule="auto"/>
              <w:rPr>
                <w:rFonts w:eastAsia="Times New Roman"/>
                <w:sz w:val="18"/>
                <w:szCs w:val="18"/>
                <w:lang w:eastAsia="ro-RO"/>
              </w:rPr>
            </w:pPr>
            <w:r w:rsidRPr="003516DC">
              <w:rPr>
                <w:rFonts w:eastAsia="Times New Roman"/>
                <w:sz w:val="18"/>
                <w:szCs w:val="18"/>
                <w:lang w:eastAsia="ro-RO"/>
              </w:rPr>
              <w:t>The capacity of effective technology transfer and research results implementation is insufficient as it is mostly fuelled by the higher education.</w:t>
            </w:r>
          </w:p>
          <w:p w14:paraId="2A452E37" w14:textId="77777777" w:rsidR="00F90DC9" w:rsidRPr="003516DC" w:rsidRDefault="00F90DC9" w:rsidP="00D963B9">
            <w:pPr>
              <w:pStyle w:val="ListParagraph"/>
              <w:numPr>
                <w:ilvl w:val="0"/>
                <w:numId w:val="30"/>
              </w:numPr>
              <w:spacing w:line="240" w:lineRule="auto"/>
              <w:rPr>
                <w:sz w:val="18"/>
                <w:szCs w:val="18"/>
              </w:rPr>
            </w:pPr>
            <w:r w:rsidRPr="003516DC">
              <w:rPr>
                <w:sz w:val="18"/>
                <w:szCs w:val="18"/>
              </w:rPr>
              <w:t>The development of the business environment is slowed by the scarce volume of investments in technology and efficiency, insufficient promotion on the international and national markets.</w:t>
            </w:r>
          </w:p>
        </w:tc>
      </w:tr>
      <w:tr w:rsidR="00F90DC9" w:rsidRPr="003516DC" w14:paraId="284F0CA6" w14:textId="77777777" w:rsidTr="007E33AE">
        <w:trPr>
          <w:trHeight w:val="101"/>
        </w:trPr>
        <w:tc>
          <w:tcPr>
            <w:tcW w:w="2500" w:type="pct"/>
            <w:shd w:val="clear" w:color="auto" w:fill="002060"/>
            <w:vAlign w:val="center"/>
          </w:tcPr>
          <w:p w14:paraId="284D458D" w14:textId="77777777" w:rsidR="00F90DC9" w:rsidRPr="003516DC" w:rsidRDefault="00F90DC9" w:rsidP="00D963B9">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Opportunities</w:t>
            </w:r>
          </w:p>
        </w:tc>
        <w:tc>
          <w:tcPr>
            <w:tcW w:w="2500" w:type="pct"/>
            <w:shd w:val="clear" w:color="auto" w:fill="002060"/>
            <w:vAlign w:val="center"/>
          </w:tcPr>
          <w:p w14:paraId="3771EAF2" w14:textId="77777777" w:rsidR="00F90DC9" w:rsidRPr="003516DC" w:rsidRDefault="00F90DC9" w:rsidP="00D963B9">
            <w:pPr>
              <w:jc w:val="center"/>
              <w:rPr>
                <w:rFonts w:ascii="Arial" w:hAnsi="Arial" w:cs="Arial"/>
                <w:b/>
                <w:color w:val="FFFFFF" w:themeColor="background1"/>
                <w:sz w:val="18"/>
                <w:szCs w:val="18"/>
              </w:rPr>
            </w:pPr>
            <w:r w:rsidRPr="003516DC">
              <w:rPr>
                <w:rFonts w:ascii="Arial" w:hAnsi="Arial" w:cs="Arial"/>
                <w:b/>
                <w:color w:val="FFFFFF" w:themeColor="background1"/>
                <w:sz w:val="18"/>
                <w:szCs w:val="18"/>
              </w:rPr>
              <w:t>Threats</w:t>
            </w:r>
          </w:p>
        </w:tc>
      </w:tr>
      <w:tr w:rsidR="00F90DC9" w:rsidRPr="003516DC" w14:paraId="04417E4B" w14:textId="77777777" w:rsidTr="007E33AE">
        <w:trPr>
          <w:trHeight w:val="101"/>
        </w:trPr>
        <w:tc>
          <w:tcPr>
            <w:tcW w:w="5000" w:type="pct"/>
            <w:gridSpan w:val="2"/>
            <w:shd w:val="clear" w:color="auto" w:fill="DDDDDD"/>
            <w:vAlign w:val="center"/>
          </w:tcPr>
          <w:p w14:paraId="7BA501C3"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t>Political &amp; Administrative</w:t>
            </w:r>
          </w:p>
        </w:tc>
      </w:tr>
      <w:tr w:rsidR="00F90DC9" w:rsidRPr="003516DC" w14:paraId="255EC696" w14:textId="77777777" w:rsidTr="00964831">
        <w:tc>
          <w:tcPr>
            <w:tcW w:w="2500" w:type="pct"/>
          </w:tcPr>
          <w:p w14:paraId="5F96BED0" w14:textId="77777777" w:rsidR="00F90DC9" w:rsidRPr="003516DC" w:rsidRDefault="00F90DC9" w:rsidP="00D963B9">
            <w:pPr>
              <w:pStyle w:val="ListParagraph"/>
              <w:numPr>
                <w:ilvl w:val="0"/>
                <w:numId w:val="32"/>
              </w:numPr>
              <w:spacing w:line="240" w:lineRule="auto"/>
              <w:rPr>
                <w:sz w:val="18"/>
                <w:szCs w:val="18"/>
              </w:rPr>
            </w:pPr>
            <w:r w:rsidRPr="003516DC">
              <w:rPr>
                <w:sz w:val="18"/>
                <w:szCs w:val="18"/>
              </w:rPr>
              <w:t>Important resources available in the EU context favourable to boost the local and regional development plans, including JTF, PNRR, Regional Operational Plan.</w:t>
            </w:r>
          </w:p>
          <w:p w14:paraId="35231AEA" w14:textId="77777777" w:rsidR="00F90DC9" w:rsidRPr="003516DC" w:rsidRDefault="00F90DC9" w:rsidP="00D963B9">
            <w:pPr>
              <w:pStyle w:val="ListParagraph"/>
              <w:numPr>
                <w:ilvl w:val="0"/>
                <w:numId w:val="32"/>
              </w:numPr>
              <w:spacing w:line="240" w:lineRule="auto"/>
              <w:rPr>
                <w:sz w:val="18"/>
                <w:szCs w:val="18"/>
              </w:rPr>
            </w:pPr>
            <w:r w:rsidRPr="003516DC">
              <w:rPr>
                <w:sz w:val="18"/>
                <w:szCs w:val="18"/>
              </w:rPr>
              <w:t xml:space="preserve">New natural gas supply pipeline between Craiova and Calafat will contribute to the economic recovery of Calafat and other localities in the south and west of the region. </w:t>
            </w:r>
          </w:p>
          <w:p w14:paraId="1ECC4552" w14:textId="77777777" w:rsidR="00F90DC9" w:rsidRPr="003516DC" w:rsidRDefault="00F90DC9" w:rsidP="00D963B9">
            <w:pPr>
              <w:pStyle w:val="ListParagraph"/>
              <w:numPr>
                <w:ilvl w:val="0"/>
                <w:numId w:val="32"/>
              </w:numPr>
              <w:spacing w:line="240" w:lineRule="auto"/>
              <w:rPr>
                <w:sz w:val="18"/>
                <w:szCs w:val="18"/>
              </w:rPr>
            </w:pPr>
            <w:r w:rsidRPr="003516DC">
              <w:rPr>
                <w:sz w:val="18"/>
                <w:szCs w:val="18"/>
              </w:rPr>
              <w:t>The rehabilitation of the essential infrastructure in the Danube perimeter, the consolidation and rehabilitation of the Danube bank will boost the local economy.</w:t>
            </w:r>
          </w:p>
        </w:tc>
        <w:tc>
          <w:tcPr>
            <w:tcW w:w="2500" w:type="pct"/>
          </w:tcPr>
          <w:p w14:paraId="1D8C2B1D" w14:textId="77777777" w:rsidR="00F90DC9" w:rsidRPr="003516DC" w:rsidRDefault="00F90DC9" w:rsidP="00D963B9">
            <w:pPr>
              <w:pStyle w:val="ListParagraph"/>
              <w:numPr>
                <w:ilvl w:val="0"/>
                <w:numId w:val="32"/>
              </w:numPr>
              <w:spacing w:line="240" w:lineRule="auto"/>
              <w:rPr>
                <w:sz w:val="18"/>
                <w:szCs w:val="18"/>
              </w:rPr>
            </w:pPr>
            <w:r w:rsidRPr="003516DC">
              <w:rPr>
                <w:sz w:val="18"/>
                <w:szCs w:val="18"/>
              </w:rPr>
              <w:t>Regulatory/legal issues regarding the property of the Calafat commercial port, which is currently administered by another county authority (</w:t>
            </w:r>
            <w:r w:rsidRPr="003516DC">
              <w:rPr>
                <w:sz w:val="18"/>
                <w:szCs w:val="18"/>
                <w:shd w:val="clear" w:color="auto" w:fill="FFFFFF"/>
              </w:rPr>
              <w:t>CN-APDF-SA GIURGIU</w:t>
            </w:r>
            <w:r w:rsidRPr="003516DC">
              <w:rPr>
                <w:sz w:val="18"/>
                <w:szCs w:val="18"/>
              </w:rPr>
              <w:t>), jeopardizing the capacity of the local authorities to integrate this important objective in their development plans.</w:t>
            </w:r>
          </w:p>
        </w:tc>
      </w:tr>
      <w:tr w:rsidR="00F90DC9" w:rsidRPr="003516DC" w14:paraId="3CDF40FE" w14:textId="77777777" w:rsidTr="007E33AE">
        <w:trPr>
          <w:trHeight w:val="101"/>
        </w:trPr>
        <w:tc>
          <w:tcPr>
            <w:tcW w:w="5000" w:type="pct"/>
            <w:gridSpan w:val="2"/>
            <w:shd w:val="clear" w:color="auto" w:fill="DDDDDD"/>
            <w:vAlign w:val="center"/>
          </w:tcPr>
          <w:p w14:paraId="3FF5342C"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t>Economic &amp; Environmental</w:t>
            </w:r>
          </w:p>
        </w:tc>
      </w:tr>
      <w:tr w:rsidR="00F90DC9" w:rsidRPr="003516DC" w14:paraId="2F287D6A" w14:textId="77777777" w:rsidTr="00964831">
        <w:tc>
          <w:tcPr>
            <w:tcW w:w="2500" w:type="pct"/>
          </w:tcPr>
          <w:p w14:paraId="5BCD3547"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Competitive advantages of the automotive industry towards international and local markets given the tradition and continuity, the know-how, specialised workforce and traditional customers.</w:t>
            </w:r>
          </w:p>
          <w:p w14:paraId="6A81B8EF"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 xml:space="preserve">Important potential for agro-food and textile industry development as it has both tradition and high-quality raw material. </w:t>
            </w:r>
          </w:p>
          <w:p w14:paraId="0DA0A85B"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 xml:space="preserve">Good potential for construction industry to grow through new methods and technologies connected to energy efficiency. </w:t>
            </w:r>
          </w:p>
          <w:p w14:paraId="67676460"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The rehabilitation of the commercial and leisure ports of Calafat and Bechet will put the area on the tourist maps for cruise circuits and help transport on the Danube to gain efficiency.</w:t>
            </w:r>
          </w:p>
          <w:p w14:paraId="0482B55C" w14:textId="77777777" w:rsidR="00F90DC9" w:rsidRPr="003516DC" w:rsidRDefault="00F90DC9" w:rsidP="00D963B9">
            <w:pPr>
              <w:pStyle w:val="ListParagraph"/>
              <w:numPr>
                <w:ilvl w:val="0"/>
                <w:numId w:val="33"/>
              </w:numPr>
              <w:spacing w:line="240" w:lineRule="auto"/>
              <w:rPr>
                <w:color w:val="000000" w:themeColor="text1"/>
                <w:sz w:val="18"/>
                <w:szCs w:val="18"/>
                <w:lang w:val="en-US"/>
              </w:rPr>
            </w:pPr>
            <w:r w:rsidRPr="003516DC">
              <w:rPr>
                <w:color w:val="000000" w:themeColor="text1"/>
                <w:sz w:val="18"/>
                <w:szCs w:val="18"/>
                <w:lang w:val="en-US"/>
              </w:rPr>
              <w:lastRenderedPageBreak/>
              <w:t xml:space="preserve">The adopted Master plan (2008-2038) on the Integrated Waste Management System creates a sound platform for circular economy growth. </w:t>
            </w:r>
          </w:p>
          <w:p w14:paraId="25742EEA"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Excellent premises for the development of ecological agriculture providing there will be accompanying measures to stimulate the initiatives.</w:t>
            </w:r>
          </w:p>
          <w:p w14:paraId="75388C17"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 xml:space="preserve">Very good potential for the energy production based on biomass due to the abundance of agriculture biomass. </w:t>
            </w:r>
          </w:p>
          <w:p w14:paraId="15633A54"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 xml:space="preserve">Deep thermal springs with high temperatures near Craiova and Calafat represent an alternative solution for renewable heating source. </w:t>
            </w:r>
          </w:p>
        </w:tc>
        <w:tc>
          <w:tcPr>
            <w:tcW w:w="2500" w:type="pct"/>
          </w:tcPr>
          <w:p w14:paraId="1AC1789E"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lastRenderedPageBreak/>
              <w:t>The desertification phenomenon is already having effects in terms of quality of agricultural soil while the climate change and the intensification of certain phenomena that in the past had a low incidence will further impact the agriculture sector.</w:t>
            </w:r>
          </w:p>
          <w:p w14:paraId="0B3CFF8C"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The CEO restructuring programme will impact 120 companies on its value chain, with various intensities, with impact on unemployment.</w:t>
            </w:r>
          </w:p>
          <w:p w14:paraId="3E244F8A" w14:textId="77777777" w:rsidR="00F90DC9" w:rsidRPr="003516DC" w:rsidRDefault="00F90DC9" w:rsidP="00D963B9">
            <w:pPr>
              <w:pStyle w:val="ListParagraph"/>
              <w:numPr>
                <w:ilvl w:val="0"/>
                <w:numId w:val="33"/>
              </w:numPr>
              <w:spacing w:line="240" w:lineRule="auto"/>
              <w:rPr>
                <w:sz w:val="18"/>
                <w:szCs w:val="18"/>
              </w:rPr>
            </w:pPr>
            <w:r w:rsidRPr="003516DC">
              <w:rPr>
                <w:sz w:val="18"/>
                <w:szCs w:val="18"/>
              </w:rPr>
              <w:t>The commuters from the north of the county that have jobs in the CEO capacities or units from Gorj county may lose their jobs worsening the unemployment problems.</w:t>
            </w:r>
          </w:p>
          <w:p w14:paraId="120C2505" w14:textId="77777777" w:rsidR="00F90DC9" w:rsidRPr="003516DC" w:rsidRDefault="00F90DC9" w:rsidP="00D963B9">
            <w:pPr>
              <w:ind w:firstLine="60"/>
              <w:rPr>
                <w:rFonts w:ascii="Arial" w:hAnsi="Arial" w:cs="Arial"/>
                <w:sz w:val="18"/>
                <w:szCs w:val="18"/>
              </w:rPr>
            </w:pPr>
          </w:p>
          <w:p w14:paraId="76F4FA05" w14:textId="77777777" w:rsidR="00F90DC9" w:rsidRPr="003516DC" w:rsidRDefault="00F90DC9" w:rsidP="00D963B9">
            <w:pPr>
              <w:jc w:val="both"/>
              <w:rPr>
                <w:rFonts w:ascii="Arial" w:hAnsi="Arial" w:cs="Arial"/>
                <w:sz w:val="18"/>
                <w:szCs w:val="18"/>
              </w:rPr>
            </w:pPr>
          </w:p>
        </w:tc>
      </w:tr>
      <w:tr w:rsidR="00F90DC9" w:rsidRPr="003516DC" w14:paraId="659423DE" w14:textId="77777777" w:rsidTr="007E33AE">
        <w:trPr>
          <w:trHeight w:val="101"/>
        </w:trPr>
        <w:tc>
          <w:tcPr>
            <w:tcW w:w="5000" w:type="pct"/>
            <w:gridSpan w:val="2"/>
            <w:shd w:val="clear" w:color="auto" w:fill="DDDDDD"/>
            <w:vAlign w:val="center"/>
          </w:tcPr>
          <w:p w14:paraId="3F601F0E"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lastRenderedPageBreak/>
              <w:t>Social &amp; Cultural</w:t>
            </w:r>
          </w:p>
        </w:tc>
      </w:tr>
      <w:tr w:rsidR="00F90DC9" w:rsidRPr="003516DC" w14:paraId="6ABC9824" w14:textId="77777777" w:rsidTr="00964831">
        <w:tc>
          <w:tcPr>
            <w:tcW w:w="2500" w:type="pct"/>
          </w:tcPr>
          <w:p w14:paraId="7F30D5EF" w14:textId="77777777" w:rsidR="00F90DC9" w:rsidRPr="003516DC" w:rsidRDefault="00F90DC9" w:rsidP="00D963B9">
            <w:pPr>
              <w:pStyle w:val="ListParagraph"/>
              <w:numPr>
                <w:ilvl w:val="0"/>
                <w:numId w:val="34"/>
              </w:numPr>
              <w:spacing w:line="240" w:lineRule="auto"/>
              <w:rPr>
                <w:sz w:val="18"/>
                <w:szCs w:val="18"/>
              </w:rPr>
            </w:pPr>
            <w:r w:rsidRPr="003516DC">
              <w:rPr>
                <w:sz w:val="18"/>
                <w:szCs w:val="18"/>
              </w:rPr>
              <w:t xml:space="preserve">Various initiatives from civil society pursuing social, cultural or environmental objectives indicate the potential of communities to assist local traditions and culture revival. </w:t>
            </w:r>
          </w:p>
          <w:p w14:paraId="0F8C2D4F" w14:textId="77777777" w:rsidR="00F90DC9" w:rsidRPr="003516DC" w:rsidRDefault="00F90DC9" w:rsidP="00D963B9">
            <w:pPr>
              <w:pStyle w:val="ListParagraph"/>
              <w:spacing w:line="240" w:lineRule="auto"/>
              <w:rPr>
                <w:sz w:val="18"/>
                <w:szCs w:val="18"/>
              </w:rPr>
            </w:pPr>
          </w:p>
          <w:p w14:paraId="0FB2F05E" w14:textId="77777777" w:rsidR="00F90DC9" w:rsidRPr="003516DC" w:rsidRDefault="00F90DC9" w:rsidP="00D963B9">
            <w:pPr>
              <w:rPr>
                <w:rFonts w:ascii="Arial" w:hAnsi="Arial" w:cs="Arial"/>
                <w:sz w:val="18"/>
                <w:szCs w:val="18"/>
              </w:rPr>
            </w:pPr>
          </w:p>
          <w:p w14:paraId="5EBBF042" w14:textId="77777777" w:rsidR="00F90DC9" w:rsidRPr="003516DC" w:rsidRDefault="00F90DC9" w:rsidP="00D963B9">
            <w:pPr>
              <w:rPr>
                <w:rFonts w:ascii="Arial" w:hAnsi="Arial" w:cs="Arial"/>
                <w:sz w:val="18"/>
                <w:szCs w:val="18"/>
              </w:rPr>
            </w:pPr>
          </w:p>
          <w:p w14:paraId="6AFCF0F6" w14:textId="77777777" w:rsidR="00F90DC9" w:rsidRPr="003516DC" w:rsidRDefault="00F90DC9" w:rsidP="00D963B9">
            <w:pPr>
              <w:rPr>
                <w:rFonts w:ascii="Arial" w:hAnsi="Arial" w:cs="Arial"/>
                <w:sz w:val="18"/>
                <w:szCs w:val="18"/>
              </w:rPr>
            </w:pPr>
          </w:p>
          <w:p w14:paraId="04B4F72B" w14:textId="77777777" w:rsidR="00F90DC9" w:rsidRPr="003516DC" w:rsidRDefault="00F90DC9" w:rsidP="00D963B9">
            <w:pPr>
              <w:rPr>
                <w:rFonts w:ascii="Arial" w:hAnsi="Arial" w:cs="Arial"/>
                <w:sz w:val="18"/>
                <w:szCs w:val="18"/>
              </w:rPr>
            </w:pPr>
          </w:p>
          <w:p w14:paraId="2D7AF261" w14:textId="77777777" w:rsidR="00F90DC9" w:rsidRPr="003516DC" w:rsidRDefault="00F90DC9" w:rsidP="00D963B9">
            <w:pPr>
              <w:rPr>
                <w:rFonts w:ascii="Arial" w:hAnsi="Arial" w:cs="Arial"/>
                <w:sz w:val="18"/>
                <w:szCs w:val="18"/>
              </w:rPr>
            </w:pPr>
          </w:p>
        </w:tc>
        <w:tc>
          <w:tcPr>
            <w:tcW w:w="2500" w:type="pct"/>
          </w:tcPr>
          <w:p w14:paraId="60B15132" w14:textId="77777777" w:rsidR="00F90DC9" w:rsidRPr="003516DC" w:rsidRDefault="00F90DC9" w:rsidP="00D963B9">
            <w:pPr>
              <w:pStyle w:val="ListParagraph"/>
              <w:numPr>
                <w:ilvl w:val="0"/>
                <w:numId w:val="34"/>
              </w:numPr>
              <w:spacing w:line="240" w:lineRule="auto"/>
              <w:rPr>
                <w:sz w:val="18"/>
                <w:szCs w:val="18"/>
              </w:rPr>
            </w:pPr>
            <w:r w:rsidRPr="003516DC">
              <w:rPr>
                <w:sz w:val="18"/>
                <w:szCs w:val="18"/>
              </w:rPr>
              <w:t>Temporary and permanent migration could increase in the next period, accelerated by the CEO restructuring.</w:t>
            </w:r>
          </w:p>
          <w:p w14:paraId="0D84E2D4" w14:textId="77777777" w:rsidR="00F90DC9" w:rsidRPr="003516DC" w:rsidRDefault="00F90DC9" w:rsidP="00D963B9">
            <w:pPr>
              <w:pStyle w:val="ListParagraph"/>
              <w:numPr>
                <w:ilvl w:val="0"/>
                <w:numId w:val="34"/>
              </w:numPr>
              <w:spacing w:line="240" w:lineRule="auto"/>
              <w:rPr>
                <w:sz w:val="18"/>
                <w:szCs w:val="18"/>
              </w:rPr>
            </w:pPr>
            <w:r w:rsidRPr="003516DC">
              <w:rPr>
                <w:sz w:val="18"/>
                <w:szCs w:val="18"/>
              </w:rPr>
              <w:t xml:space="preserve">According to the estimations, about 25% of the county population is at risk of poverty (INS forecast).  </w:t>
            </w:r>
          </w:p>
          <w:p w14:paraId="3DFE9590" w14:textId="77777777" w:rsidR="00F90DC9" w:rsidRPr="003516DC" w:rsidRDefault="00F90DC9" w:rsidP="00D963B9">
            <w:pPr>
              <w:pStyle w:val="ListParagraph"/>
              <w:numPr>
                <w:ilvl w:val="0"/>
                <w:numId w:val="34"/>
              </w:numPr>
              <w:spacing w:line="240" w:lineRule="auto"/>
              <w:rPr>
                <w:sz w:val="18"/>
                <w:szCs w:val="18"/>
              </w:rPr>
            </w:pPr>
            <w:r w:rsidRPr="003516DC">
              <w:rPr>
                <w:sz w:val="18"/>
                <w:szCs w:val="18"/>
              </w:rPr>
              <w:t>The demographic forecast for 2030-2050 indicates a downward trend, from 560,000 in 2030 to 435,000 in 2050, compared to over 750,000 in the early 1990s (INS forecast).</w:t>
            </w:r>
          </w:p>
        </w:tc>
      </w:tr>
      <w:tr w:rsidR="00F90DC9" w:rsidRPr="003516DC" w14:paraId="1BAB6061" w14:textId="77777777" w:rsidTr="007E33AE">
        <w:trPr>
          <w:trHeight w:val="101"/>
        </w:trPr>
        <w:tc>
          <w:tcPr>
            <w:tcW w:w="5000" w:type="pct"/>
            <w:gridSpan w:val="2"/>
            <w:shd w:val="clear" w:color="auto" w:fill="DDDDDD"/>
            <w:vAlign w:val="center"/>
          </w:tcPr>
          <w:p w14:paraId="60258D52" w14:textId="77777777" w:rsidR="00F90DC9" w:rsidRPr="003516DC" w:rsidRDefault="00F90DC9" w:rsidP="00D963B9">
            <w:pPr>
              <w:jc w:val="center"/>
              <w:rPr>
                <w:rFonts w:ascii="Arial" w:hAnsi="Arial" w:cs="Arial"/>
                <w:b/>
                <w:bCs/>
                <w:sz w:val="18"/>
                <w:szCs w:val="18"/>
              </w:rPr>
            </w:pPr>
            <w:r w:rsidRPr="003516DC">
              <w:rPr>
                <w:rFonts w:ascii="Arial" w:hAnsi="Arial" w:cs="Arial"/>
                <w:b/>
                <w:bCs/>
                <w:sz w:val="18"/>
                <w:szCs w:val="18"/>
              </w:rPr>
              <w:t>Technological</w:t>
            </w:r>
          </w:p>
        </w:tc>
      </w:tr>
      <w:tr w:rsidR="00F90DC9" w:rsidRPr="003516DC" w14:paraId="43243BC5" w14:textId="77777777" w:rsidTr="00964831">
        <w:tc>
          <w:tcPr>
            <w:tcW w:w="2500" w:type="pct"/>
          </w:tcPr>
          <w:p w14:paraId="189D17B2" w14:textId="77777777" w:rsidR="00F90DC9" w:rsidRPr="003516DC" w:rsidRDefault="00F90DC9" w:rsidP="00D963B9">
            <w:pPr>
              <w:pStyle w:val="ListParagraph"/>
              <w:numPr>
                <w:ilvl w:val="0"/>
                <w:numId w:val="35"/>
              </w:numPr>
              <w:spacing w:line="240" w:lineRule="auto"/>
              <w:rPr>
                <w:sz w:val="18"/>
                <w:szCs w:val="18"/>
              </w:rPr>
            </w:pPr>
            <w:r w:rsidRPr="003516DC">
              <w:rPr>
                <w:sz w:val="18"/>
                <w:szCs w:val="18"/>
              </w:rPr>
              <w:t>IT&amp;C growth potential, raising premises for creating a regional development hub in information technology around the University of Craiova and the most active actors involved in research and innovation.</w:t>
            </w:r>
          </w:p>
          <w:p w14:paraId="5DA2D2D1" w14:textId="5E2288B4" w:rsidR="00F90DC9" w:rsidRPr="003516DC" w:rsidRDefault="00F90DC9" w:rsidP="00D963B9">
            <w:pPr>
              <w:pStyle w:val="ListParagraph"/>
              <w:numPr>
                <w:ilvl w:val="0"/>
                <w:numId w:val="35"/>
              </w:numPr>
              <w:spacing w:line="240" w:lineRule="auto"/>
              <w:rPr>
                <w:sz w:val="18"/>
                <w:szCs w:val="18"/>
              </w:rPr>
            </w:pPr>
            <w:r w:rsidRPr="003516DC">
              <w:rPr>
                <w:sz w:val="18"/>
                <w:szCs w:val="18"/>
              </w:rPr>
              <w:t>High potential to create partnerships between universities/other educational institutions and companies for joint research activities, practical training of students and doctoral p</w:t>
            </w:r>
            <w:r w:rsidR="00D206E5">
              <w:rPr>
                <w:sz w:val="18"/>
                <w:szCs w:val="18"/>
              </w:rPr>
              <w:t>rogrammes</w:t>
            </w:r>
            <w:r w:rsidRPr="003516DC">
              <w:rPr>
                <w:sz w:val="18"/>
                <w:szCs w:val="18"/>
              </w:rPr>
              <w:t xml:space="preserve">. </w:t>
            </w:r>
          </w:p>
          <w:p w14:paraId="4A7E7CE2" w14:textId="77777777" w:rsidR="00F90DC9" w:rsidRPr="003516DC" w:rsidRDefault="00F90DC9" w:rsidP="00D963B9">
            <w:pPr>
              <w:pStyle w:val="ListParagraph"/>
              <w:numPr>
                <w:ilvl w:val="0"/>
                <w:numId w:val="35"/>
              </w:numPr>
              <w:spacing w:line="240" w:lineRule="auto"/>
              <w:rPr>
                <w:sz w:val="18"/>
                <w:szCs w:val="18"/>
              </w:rPr>
            </w:pPr>
            <w:r w:rsidRPr="003516DC">
              <w:rPr>
                <w:sz w:val="18"/>
                <w:szCs w:val="18"/>
              </w:rPr>
              <w:t xml:space="preserve">High potential to create partnerships between universities and large companies that with special interest in research and investment potential. </w:t>
            </w:r>
          </w:p>
        </w:tc>
        <w:tc>
          <w:tcPr>
            <w:tcW w:w="2500" w:type="pct"/>
          </w:tcPr>
          <w:p w14:paraId="7189C596" w14:textId="77777777" w:rsidR="00F90DC9" w:rsidRPr="003516DC" w:rsidRDefault="00F90DC9" w:rsidP="00D963B9">
            <w:pPr>
              <w:pStyle w:val="ListParagraph"/>
              <w:numPr>
                <w:ilvl w:val="0"/>
                <w:numId w:val="35"/>
              </w:numPr>
              <w:spacing w:line="240" w:lineRule="auto"/>
              <w:rPr>
                <w:rFonts w:eastAsia="Times New Roman"/>
                <w:sz w:val="18"/>
                <w:szCs w:val="18"/>
                <w:lang w:eastAsia="ro-RO"/>
              </w:rPr>
            </w:pPr>
            <w:r w:rsidRPr="003516DC">
              <w:rPr>
                <w:rFonts w:eastAsia="Times New Roman"/>
                <w:sz w:val="18"/>
                <w:szCs w:val="18"/>
                <w:lang w:eastAsia="ro-RO"/>
              </w:rPr>
              <w:t xml:space="preserve">Lack of investment potential in economic sectors that generate greenhouse gases, especially for companies with outdated technologies that need to reduce their emissions in accordance with new and more demanding requirements. </w:t>
            </w:r>
          </w:p>
          <w:p w14:paraId="4D6E0361" w14:textId="77777777" w:rsidR="00F90DC9" w:rsidRPr="003516DC" w:rsidRDefault="00F90DC9" w:rsidP="00D963B9">
            <w:pPr>
              <w:pStyle w:val="ListParagraph"/>
              <w:spacing w:line="240" w:lineRule="auto"/>
              <w:rPr>
                <w:rFonts w:eastAsia="Times New Roman"/>
                <w:sz w:val="18"/>
                <w:szCs w:val="18"/>
                <w:lang w:eastAsia="ro-RO"/>
              </w:rPr>
            </w:pPr>
          </w:p>
          <w:p w14:paraId="10846BB2" w14:textId="77777777" w:rsidR="00F90DC9" w:rsidRPr="003516DC" w:rsidRDefault="00F90DC9" w:rsidP="00D963B9">
            <w:pPr>
              <w:rPr>
                <w:rFonts w:ascii="Arial" w:hAnsi="Arial" w:cs="Arial"/>
                <w:sz w:val="18"/>
                <w:szCs w:val="18"/>
              </w:rPr>
            </w:pPr>
          </w:p>
        </w:tc>
      </w:tr>
    </w:tbl>
    <w:p w14:paraId="3D63170F" w14:textId="77777777" w:rsidR="00F90DC9" w:rsidRPr="003516DC" w:rsidRDefault="00F90DC9" w:rsidP="007E33AE">
      <w:pPr>
        <w:spacing w:before="120" w:after="120"/>
        <w:rPr>
          <w:rFonts w:ascii="Arial" w:hAnsi="Arial" w:cs="Arial"/>
          <w:bCs/>
          <w:i/>
          <w:iCs/>
          <w:color w:val="0070C0"/>
          <w:sz w:val="20"/>
          <w:szCs w:val="20"/>
        </w:rPr>
      </w:pPr>
      <w:r w:rsidRPr="003516DC">
        <w:rPr>
          <w:rFonts w:ascii="Arial" w:hAnsi="Arial" w:cs="Arial"/>
          <w:bCs/>
          <w:i/>
          <w:iCs/>
          <w:color w:val="0070C0"/>
          <w:sz w:val="20"/>
          <w:szCs w:val="20"/>
        </w:rPr>
        <w:t>Strategic outlook</w:t>
      </w:r>
    </w:p>
    <w:p w14:paraId="78C7168A" w14:textId="15C3DE45" w:rsidR="00F90DC9" w:rsidRPr="003516DC" w:rsidRDefault="00F90DC9" w:rsidP="003847A7">
      <w:pPr>
        <w:spacing w:after="120"/>
        <w:jc w:val="both"/>
        <w:rPr>
          <w:rFonts w:ascii="Arial" w:hAnsi="Arial" w:cs="Arial"/>
          <w:sz w:val="20"/>
          <w:szCs w:val="20"/>
        </w:rPr>
      </w:pPr>
      <w:r w:rsidRPr="003516DC">
        <w:rPr>
          <w:rFonts w:ascii="Arial" w:hAnsi="Arial" w:cs="Arial"/>
          <w:sz w:val="20"/>
          <w:szCs w:val="20"/>
        </w:rPr>
        <w:t xml:space="preserve">Dolj has a well-defined economic, social, cultural and demographic profile. Its dual industrial-agrarian profile reflects its communist heritage, but at the same time, the county has made steps to integrate new innovative technologies, intelligent specialisation, information technology and connectivity. </w:t>
      </w:r>
    </w:p>
    <w:p w14:paraId="2FA411D2" w14:textId="77B27F20" w:rsidR="00F90DC9" w:rsidRPr="003516DC" w:rsidRDefault="00F90DC9" w:rsidP="003847A7">
      <w:pPr>
        <w:spacing w:after="120"/>
        <w:jc w:val="both"/>
        <w:rPr>
          <w:rFonts w:ascii="Arial" w:hAnsi="Arial" w:cs="Arial"/>
          <w:sz w:val="20"/>
          <w:szCs w:val="20"/>
        </w:rPr>
      </w:pPr>
      <w:r w:rsidRPr="003516DC">
        <w:rPr>
          <w:rFonts w:ascii="Arial" w:hAnsi="Arial" w:cs="Arial"/>
          <w:sz w:val="20"/>
          <w:szCs w:val="20"/>
        </w:rPr>
        <w:t xml:space="preserve">Overall, Dolj is a county of contrasts. Due to its integration with coal-fired electricity production and employment-intensive exposure to manufacturing that may be affected by the transition, alongside the general decline of agriculture, the future of Dolj is vulnerable. The impressive growth of the local economy must not only be more equitably spread at the county level but must also be supported by structural changes and investments to avoid a boom-and-bust cycle. </w:t>
      </w:r>
    </w:p>
    <w:p w14:paraId="6C22ED25" w14:textId="5EF84DAC" w:rsidR="005B45B2" w:rsidRDefault="00F90DC9" w:rsidP="003847A7">
      <w:pPr>
        <w:spacing w:after="120"/>
        <w:jc w:val="both"/>
        <w:rPr>
          <w:rFonts w:ascii="Arial" w:hAnsi="Arial" w:cs="Arial"/>
          <w:sz w:val="20"/>
          <w:szCs w:val="20"/>
        </w:rPr>
      </w:pPr>
      <w:r w:rsidRPr="003516DC">
        <w:rPr>
          <w:rFonts w:ascii="Arial" w:hAnsi="Arial" w:cs="Arial"/>
          <w:sz w:val="20"/>
          <w:szCs w:val="20"/>
        </w:rPr>
        <w:t>The local private sector, which has already created an impressive number of jobs, must be supported in its diversification towards circular economy, renewable energy, and more knowledge intensive manufacturing. A smart approach is to create prospective active measures for labour market inclusion, including an observatory on future jobs, linking the highly dynamic local university environment with the new fields of growth in the county.</w:t>
      </w:r>
    </w:p>
    <w:p w14:paraId="164B1A29" w14:textId="1FD73E27" w:rsidR="005B45B2" w:rsidRDefault="005B45B2" w:rsidP="00E42342">
      <w:pPr>
        <w:pStyle w:val="Heading2"/>
        <w:numPr>
          <w:ilvl w:val="0"/>
          <w:numId w:val="163"/>
        </w:numPr>
        <w:spacing w:before="240" w:after="240" w:line="240" w:lineRule="auto"/>
        <w:ind w:left="432" w:hanging="432"/>
      </w:pPr>
      <w:bookmarkStart w:id="173" w:name="_Toc90725869"/>
      <w:r w:rsidRPr="00345CF4">
        <w:t xml:space="preserve">Results of occupational mismatch analysis in </w:t>
      </w:r>
      <w:r>
        <w:t>Dolj county</w:t>
      </w:r>
      <w:bookmarkEnd w:id="173"/>
    </w:p>
    <w:p w14:paraId="333C2C05" w14:textId="0FF73E63" w:rsidR="005B45B2" w:rsidRPr="003847A7" w:rsidRDefault="005B45B2" w:rsidP="003847A7">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26718579" w14:textId="5A1249E3" w:rsidR="005B45B2" w:rsidRPr="003516DC" w:rsidRDefault="005B45B2" w:rsidP="005B45B2">
      <w:pPr>
        <w:jc w:val="both"/>
        <w:rPr>
          <w:rFonts w:ascii="Arial" w:hAnsi="Arial" w:cs="Arial"/>
          <w:sz w:val="20"/>
          <w:szCs w:val="20"/>
        </w:rPr>
      </w:pPr>
      <w:r w:rsidRPr="003516DC">
        <w:rPr>
          <w:rFonts w:ascii="Arial" w:hAnsi="Arial" w:cs="Arial"/>
          <w:sz w:val="20"/>
          <w:szCs w:val="20"/>
        </w:rPr>
        <w:t>In Dolj Graph 2</w:t>
      </w:r>
      <w:r w:rsidR="00F140B0">
        <w:rPr>
          <w:rFonts w:ascii="Arial" w:hAnsi="Arial" w:cs="Arial"/>
          <w:sz w:val="20"/>
          <w:szCs w:val="20"/>
        </w:rPr>
        <w:t>8</w:t>
      </w:r>
      <w:r w:rsidRPr="003516DC">
        <w:rPr>
          <w:rFonts w:ascii="Arial" w:hAnsi="Arial" w:cs="Arial"/>
          <w:sz w:val="20"/>
          <w:szCs w:val="20"/>
        </w:rPr>
        <w:t xml:space="preserve"> presents employment changes from 2018 in the baseline, including the projected changes in Agriculture. Due to the high decrease in Agriculture, to get a better picture of the other </w:t>
      </w:r>
      <w:r w:rsidRPr="003516DC">
        <w:rPr>
          <w:rFonts w:ascii="Arial" w:hAnsi="Arial" w:cs="Arial"/>
          <w:sz w:val="20"/>
          <w:szCs w:val="20"/>
        </w:rPr>
        <w:lastRenderedPageBreak/>
        <w:t>sectors, and because Agriculture is not the most impacted sector when discussing the transition process, we will exclude the sector from the subsequent figures. It is important to note, that according to the projections, losses in the agricultural sector can be severe.</w:t>
      </w:r>
    </w:p>
    <w:p w14:paraId="6C1A3BA3" w14:textId="6403C0D5" w:rsidR="005B45B2" w:rsidRPr="003516DC" w:rsidRDefault="005B45B2" w:rsidP="006E7A76">
      <w:pPr>
        <w:pStyle w:val="Caption"/>
        <w:spacing w:before="120"/>
        <w:ind w:left="1282" w:hanging="1282"/>
        <w:jc w:val="both"/>
        <w:rPr>
          <w:iCs w:val="0"/>
          <w:color w:val="auto"/>
        </w:rPr>
      </w:pPr>
      <w:bookmarkStart w:id="174" w:name="_Toc90727364"/>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28</w:t>
      </w:r>
      <w:r w:rsidRPr="003516DC">
        <w:rPr>
          <w:noProof/>
        </w:rPr>
        <w:fldChar w:fldCharType="end"/>
      </w:r>
      <w:r w:rsidRPr="003516DC">
        <w:t xml:space="preserve">: Changes in employment from 2018 in baseline projections in Dolj; </w:t>
      </w:r>
      <w:r w:rsidRPr="003516DC">
        <w:br/>
        <w:t>left panel - changes by sector; right panel – changes by occupation; including Agriculture</w:t>
      </w:r>
      <w:bookmarkEnd w:id="174"/>
    </w:p>
    <w:p w14:paraId="456EBD66" w14:textId="2448315C" w:rsidR="005B45B2" w:rsidRPr="003516DC" w:rsidRDefault="005B45B2" w:rsidP="005B45B2">
      <w:pPr>
        <w:jc w:val="both"/>
        <w:rPr>
          <w:rFonts w:ascii="Arial" w:hAnsi="Arial" w:cs="Arial"/>
          <w:sz w:val="20"/>
          <w:szCs w:val="20"/>
        </w:rPr>
      </w:pPr>
      <w:r w:rsidRPr="00402580">
        <w:rPr>
          <w:rFonts w:ascii="Arial" w:hAnsi="Arial" w:cs="Arial"/>
          <w:noProof/>
          <w:lang w:val="en-US" w:eastAsia="en-US"/>
        </w:rPr>
        <w:drawing>
          <wp:inline distT="0" distB="0" distL="0" distR="0" wp14:anchorId="1704851C" wp14:editId="0226DE42">
            <wp:extent cx="5678424" cy="3017520"/>
            <wp:effectExtent l="0" t="0" r="0" b="0"/>
            <wp:docPr id="2087055772" name="Graphic 2087055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Graphic 27"/>
                    <pic:cNvPicPr/>
                  </pic:nvPicPr>
                  <pic:blipFill>
                    <a:blip r:embed="rId9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00"/>
                        </a:ext>
                      </a:extLst>
                    </a:blip>
                    <a:stretch>
                      <a:fillRect/>
                    </a:stretch>
                  </pic:blipFill>
                  <pic:spPr>
                    <a:xfrm>
                      <a:off x="0" y="0"/>
                      <a:ext cx="5678424" cy="3017520"/>
                    </a:xfrm>
                    <a:prstGeom prst="rect">
                      <a:avLst/>
                    </a:prstGeom>
                  </pic:spPr>
                </pic:pic>
              </a:graphicData>
            </a:graphic>
          </wp:inline>
        </w:drawing>
      </w:r>
    </w:p>
    <w:p w14:paraId="4464BC29" w14:textId="23B1A6B4" w:rsidR="005B45B2" w:rsidRPr="003516DC" w:rsidRDefault="005B45B2" w:rsidP="005B45B2">
      <w:pPr>
        <w:jc w:val="both"/>
        <w:rPr>
          <w:rFonts w:ascii="Arial" w:hAnsi="Arial" w:cs="Arial"/>
          <w:sz w:val="20"/>
          <w:szCs w:val="20"/>
        </w:rPr>
      </w:pPr>
      <w:r w:rsidRPr="003516DC">
        <w:rPr>
          <w:rFonts w:ascii="Arial" w:hAnsi="Arial" w:cs="Arial"/>
          <w:sz w:val="20"/>
          <w:szCs w:val="20"/>
        </w:rPr>
        <w:t>Graph 2</w:t>
      </w:r>
      <w:r w:rsidR="00F140B0">
        <w:rPr>
          <w:rFonts w:ascii="Arial" w:hAnsi="Arial" w:cs="Arial"/>
          <w:sz w:val="20"/>
          <w:szCs w:val="20"/>
        </w:rPr>
        <w:t>9</w:t>
      </w:r>
      <w:r w:rsidRPr="003516DC">
        <w:rPr>
          <w:rFonts w:ascii="Arial" w:hAnsi="Arial" w:cs="Arial"/>
          <w:sz w:val="20"/>
          <w:szCs w:val="20"/>
        </w:rPr>
        <w:t xml:space="preserve"> shows the employment changes excluding Agriculture. The results we observe are very similar to patterns seen so far: long-term losses in manufacturing, construction (and agriculture), while gains in services and retail. What is particularly striking in Dolj, is that there is very limited offset to these effects in the baseline, i.e., while there is some growth in retail and services this is rather limited, driving an overall employment decrease. The pattern is the same if we look at the occupational structure (right panel). The occupational groups of trades workers, elementary workers and operators and assemblers (mostly lower skilled jobs) lose severe numbers of jobs, while there are no substantial increases to offset this. </w:t>
      </w:r>
    </w:p>
    <w:p w14:paraId="67933D05" w14:textId="03BD59E8" w:rsidR="005B45B2" w:rsidRPr="003516DC" w:rsidRDefault="005B45B2" w:rsidP="006E7A76">
      <w:pPr>
        <w:pStyle w:val="Caption"/>
        <w:spacing w:before="120"/>
        <w:ind w:left="1282" w:hanging="1282"/>
        <w:jc w:val="both"/>
      </w:pPr>
      <w:bookmarkStart w:id="175" w:name="_Toc90727365"/>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29</w:t>
      </w:r>
      <w:r w:rsidRPr="003516DC">
        <w:rPr>
          <w:noProof/>
        </w:rPr>
        <w:fldChar w:fldCharType="end"/>
      </w:r>
      <w:r w:rsidRPr="003516DC">
        <w:t xml:space="preserve">: Changes in employment from 2018 in baseline projections in Dolj; </w:t>
      </w:r>
      <w:r w:rsidRPr="003516DC">
        <w:br/>
        <w:t>left panel - changes by sector; right panel – changes by occupation; excluding Agriculture</w:t>
      </w:r>
      <w:bookmarkEnd w:id="175"/>
    </w:p>
    <w:p w14:paraId="1698D7A3" w14:textId="3EB1F2FE" w:rsidR="005B45B2" w:rsidRPr="003516DC" w:rsidRDefault="005B45B2" w:rsidP="005B45B2">
      <w:pPr>
        <w:jc w:val="both"/>
        <w:rPr>
          <w:rFonts w:ascii="Arial" w:hAnsi="Arial" w:cs="Arial"/>
          <w:sz w:val="20"/>
          <w:szCs w:val="20"/>
        </w:rPr>
      </w:pPr>
      <w:r w:rsidRPr="00402580">
        <w:rPr>
          <w:rFonts w:ascii="Arial" w:hAnsi="Arial" w:cs="Arial"/>
          <w:noProof/>
          <w:lang w:val="en-US" w:eastAsia="en-US"/>
        </w:rPr>
        <w:drawing>
          <wp:inline distT="0" distB="0" distL="0" distR="0" wp14:anchorId="530C0C3C" wp14:editId="1972AA07">
            <wp:extent cx="5678424" cy="3017520"/>
            <wp:effectExtent l="0" t="0" r="0" b="0"/>
            <wp:docPr id="2087055773" name="Graphic 2087055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10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02"/>
                        </a:ext>
                      </a:extLst>
                    </a:blip>
                    <a:stretch>
                      <a:fillRect/>
                    </a:stretch>
                  </pic:blipFill>
                  <pic:spPr>
                    <a:xfrm>
                      <a:off x="0" y="0"/>
                      <a:ext cx="5678424" cy="3017520"/>
                    </a:xfrm>
                    <a:prstGeom prst="rect">
                      <a:avLst/>
                    </a:prstGeom>
                  </pic:spPr>
                </pic:pic>
              </a:graphicData>
            </a:graphic>
          </wp:inline>
        </w:drawing>
      </w:r>
    </w:p>
    <w:p w14:paraId="0095547F" w14:textId="6550FAFF" w:rsidR="005B45B2" w:rsidRPr="003516DC" w:rsidRDefault="005B45B2" w:rsidP="005B45B2">
      <w:pPr>
        <w:jc w:val="both"/>
        <w:rPr>
          <w:rFonts w:ascii="Arial" w:hAnsi="Arial" w:cs="Arial"/>
          <w:sz w:val="20"/>
          <w:szCs w:val="20"/>
        </w:rPr>
      </w:pPr>
      <w:r w:rsidRPr="003516DC">
        <w:rPr>
          <w:rFonts w:ascii="Arial" w:hAnsi="Arial" w:cs="Arial"/>
          <w:sz w:val="20"/>
          <w:szCs w:val="20"/>
        </w:rPr>
        <w:lastRenderedPageBreak/>
        <w:t>The left panel of Graph 2</w:t>
      </w:r>
      <w:r w:rsidR="00F140B0">
        <w:rPr>
          <w:rFonts w:ascii="Arial" w:hAnsi="Arial" w:cs="Arial"/>
          <w:sz w:val="20"/>
          <w:szCs w:val="20"/>
        </w:rPr>
        <w:t>9</w:t>
      </w:r>
      <w:r w:rsidRPr="003516DC">
        <w:rPr>
          <w:rFonts w:ascii="Arial" w:hAnsi="Arial" w:cs="Arial"/>
          <w:sz w:val="20"/>
          <w:szCs w:val="20"/>
        </w:rPr>
        <w:t xml:space="preserve"> details this picture more. Losses in the highlighted, mostly lower skilled occupational groups are driven by losses in the manufacturing and construction sectors. While the downward trend in the construction sector is something that we observe on the national level (and in other regions) the magnitude of losses in the manufacturing sector is prominent in Dolj.</w:t>
      </w:r>
    </w:p>
    <w:p w14:paraId="7BD73C2A" w14:textId="64FCD4E4" w:rsidR="005B45B2" w:rsidRPr="003516DC" w:rsidRDefault="005B45B2" w:rsidP="005B45B2">
      <w:pPr>
        <w:pStyle w:val="Caption"/>
        <w:ind w:left="1276" w:hanging="1276"/>
        <w:jc w:val="both"/>
      </w:pPr>
      <w:bookmarkStart w:id="176" w:name="_Toc90727366"/>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30</w:t>
      </w:r>
      <w:r w:rsidRPr="003516DC">
        <w:rPr>
          <w:noProof/>
        </w:rPr>
        <w:fldChar w:fldCharType="end"/>
      </w:r>
      <w:r w:rsidRPr="003516DC">
        <w:t xml:space="preserve">: </w:t>
      </w:r>
      <w:r w:rsidRPr="003516DC">
        <w:tab/>
        <w:t>Changes in employment from 2018 in baseline projections and in the Green Deal scenario in Dolj; left panel – changes by sector and occupation in baseline; right panel – changes by sector and occupation in the Green Deal scenario compared to the baseline</w:t>
      </w:r>
      <w:bookmarkEnd w:id="176"/>
    </w:p>
    <w:p w14:paraId="0B2C01A9" w14:textId="05DF0BE9" w:rsidR="005B45B2" w:rsidRPr="003516DC" w:rsidRDefault="005B45B2" w:rsidP="005B45B2">
      <w:pPr>
        <w:rPr>
          <w:rFonts w:ascii="Arial" w:hAnsi="Arial" w:cs="Arial"/>
        </w:rPr>
      </w:pPr>
      <w:r w:rsidRPr="00402580">
        <w:rPr>
          <w:rFonts w:ascii="Arial" w:hAnsi="Arial" w:cs="Arial"/>
          <w:noProof/>
          <w:lang w:val="en-US" w:eastAsia="en-US"/>
        </w:rPr>
        <w:drawing>
          <wp:inline distT="0" distB="0" distL="0" distR="0" wp14:anchorId="5B5E2C75" wp14:editId="5602BE5B">
            <wp:extent cx="5678424" cy="3081528"/>
            <wp:effectExtent l="0" t="0" r="0" b="5080"/>
            <wp:docPr id="2087055775" name="Graphic 2087055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Graphic 29"/>
                    <pic:cNvPicPr/>
                  </pic:nvPicPr>
                  <pic:blipFill>
                    <a:blip r:embed="rId10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04"/>
                        </a:ext>
                      </a:extLst>
                    </a:blip>
                    <a:stretch>
                      <a:fillRect/>
                    </a:stretch>
                  </pic:blipFill>
                  <pic:spPr>
                    <a:xfrm>
                      <a:off x="0" y="0"/>
                      <a:ext cx="5678424" cy="3081528"/>
                    </a:xfrm>
                    <a:prstGeom prst="rect">
                      <a:avLst/>
                    </a:prstGeom>
                  </pic:spPr>
                </pic:pic>
              </a:graphicData>
            </a:graphic>
          </wp:inline>
        </w:drawing>
      </w:r>
    </w:p>
    <w:p w14:paraId="29975EE2" w14:textId="1C35ABB0" w:rsidR="005B45B2" w:rsidRPr="003847A7" w:rsidRDefault="005B45B2" w:rsidP="00D963B9">
      <w:pPr>
        <w:spacing w:before="120" w:after="120"/>
        <w:rPr>
          <w:rFonts w:ascii="Arial" w:hAnsi="Arial" w:cs="Arial"/>
          <w:b/>
          <w:bCs/>
          <w:color w:val="4F81BD" w:themeColor="accent1"/>
          <w:sz w:val="20"/>
          <w:szCs w:val="20"/>
        </w:rPr>
      </w:pPr>
      <w:r w:rsidRPr="003516DC">
        <w:rPr>
          <w:rFonts w:ascii="Arial" w:hAnsi="Arial" w:cs="Arial"/>
          <w:b/>
          <w:bCs/>
          <w:color w:val="4F81BD" w:themeColor="accent1"/>
          <w:sz w:val="20"/>
          <w:szCs w:val="20"/>
        </w:rPr>
        <w:t>Green Deal impacts</w:t>
      </w:r>
    </w:p>
    <w:p w14:paraId="02024A68" w14:textId="3698782C" w:rsidR="00F90DC9" w:rsidRDefault="005B45B2" w:rsidP="00F90DC9">
      <w:pPr>
        <w:jc w:val="both"/>
        <w:rPr>
          <w:rFonts w:ascii="Arial" w:hAnsi="Arial" w:cs="Arial"/>
          <w:sz w:val="20"/>
          <w:szCs w:val="20"/>
        </w:rPr>
      </w:pPr>
      <w:r w:rsidRPr="003516DC">
        <w:rPr>
          <w:rFonts w:ascii="Arial" w:hAnsi="Arial" w:cs="Arial"/>
          <w:sz w:val="20"/>
          <w:szCs w:val="20"/>
        </w:rPr>
        <w:t xml:space="preserve">The right panel of Graph </w:t>
      </w:r>
      <w:r w:rsidR="00F140B0">
        <w:rPr>
          <w:rFonts w:ascii="Arial" w:hAnsi="Arial" w:cs="Arial"/>
          <w:sz w:val="20"/>
          <w:szCs w:val="20"/>
        </w:rPr>
        <w:t>30</w:t>
      </w:r>
      <w:r w:rsidRPr="003516DC">
        <w:rPr>
          <w:rFonts w:ascii="Arial" w:hAnsi="Arial" w:cs="Arial"/>
          <w:sz w:val="20"/>
          <w:szCs w:val="20"/>
        </w:rPr>
        <w:t xml:space="preserve"> shows the employment impacts of the Green Deal scenario. These impacts are largely similar to what we see in other regions, however, importantly due to the closing of active coal sites we see negative impacts from the scenario by 2025 here, which are still there by 2030. Construction gains from the Green Deal scenario, which are generally able to provide some relief for the low-skilled occupational groups (within occupation transition), are less prominent in Dolj, providing only a mild offset effect. Furthermore, the Green Deal scenario has quite stark impacts on employment in high-skilled occupational groups, and as – contrary to other regions – the baseline growth of high-skilled employment is not strong enough to offset losses here, the scenario ends up with severely reduced employment growth in high-skilled occupation groups such as professionals.</w:t>
      </w:r>
    </w:p>
    <w:p w14:paraId="5682C7F1" w14:textId="61EB2F01" w:rsidR="005B45B2" w:rsidRPr="003516DC" w:rsidRDefault="005B45B2" w:rsidP="00E42342">
      <w:pPr>
        <w:pStyle w:val="Heading2"/>
        <w:numPr>
          <w:ilvl w:val="0"/>
          <w:numId w:val="164"/>
        </w:numPr>
        <w:spacing w:before="240" w:after="240" w:line="240" w:lineRule="auto"/>
        <w:ind w:left="432" w:hanging="432"/>
      </w:pPr>
      <w:bookmarkStart w:id="177" w:name="_Toc90725870"/>
      <w:r w:rsidRPr="003516DC">
        <w:t>Employment and GVA impact by illustrative action</w:t>
      </w:r>
      <w:r>
        <w:t xml:space="preserve"> in Dolj county</w:t>
      </w:r>
      <w:bookmarkEnd w:id="177"/>
    </w:p>
    <w:p w14:paraId="53E7EB5C" w14:textId="77777777" w:rsidR="005B45B2" w:rsidRPr="003516DC" w:rsidRDefault="005B45B2" w:rsidP="005B45B2">
      <w:pPr>
        <w:jc w:val="both"/>
        <w:rPr>
          <w:rFonts w:ascii="Arial" w:hAnsi="Arial" w:cs="Arial"/>
          <w:sz w:val="20"/>
          <w:szCs w:val="20"/>
        </w:rPr>
      </w:pPr>
      <w:r w:rsidRPr="003516DC">
        <w:rPr>
          <w:rFonts w:ascii="Arial" w:hAnsi="Arial" w:cs="Arial"/>
          <w:sz w:val="20"/>
          <w:szCs w:val="20"/>
        </w:rPr>
        <w:t>In the simulations R&amp;D investments yield the largest GVA impact in Dolj County and they generate the highest number of new jobs. The Circular case brings a smaller GVA impact and job increase than in other counties, which is further reduced by losses. Substantial impacts in the ICT sector are driven by initial low-level capital and knowledge stock.</w:t>
      </w:r>
    </w:p>
    <w:p w14:paraId="033D1B24" w14:textId="0E787D3B" w:rsidR="005B45B2" w:rsidRPr="003516DC" w:rsidRDefault="005B45B2" w:rsidP="005B45B2">
      <w:pPr>
        <w:pStyle w:val="Caption"/>
        <w:ind w:left="993" w:hanging="993"/>
        <w:rPr>
          <w:b w:val="0"/>
          <w:iCs w:val="0"/>
          <w:noProof/>
        </w:rPr>
      </w:pPr>
      <w:bookmarkStart w:id="178" w:name="_Toc90727367"/>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31</w:t>
      </w:r>
      <w:r w:rsidRPr="003516DC">
        <w:rPr>
          <w:noProof/>
        </w:rPr>
        <w:fldChar w:fldCharType="end"/>
      </w:r>
      <w:r w:rsidRPr="003516DC">
        <w:rPr>
          <w:noProof/>
        </w:rPr>
        <w:t>: GVA impact in Dolj County (RO411) in 2030 by sectors, resulting from a total of EUR 100 million investment over the years 2021-2027 under the three illustrative action categories, EUR million (current prices)</w:t>
      </w:r>
      <w:bookmarkEnd w:id="178"/>
    </w:p>
    <w:p w14:paraId="5A46EB13" w14:textId="6B9F2E09" w:rsidR="005B45B2" w:rsidRPr="003516DC" w:rsidRDefault="005B45B2" w:rsidP="005B45B2">
      <w:pPr>
        <w:rPr>
          <w:rFonts w:ascii="Arial" w:hAnsi="Arial" w:cs="Arial"/>
        </w:rPr>
      </w:pPr>
      <w:r w:rsidRPr="00402580">
        <w:rPr>
          <w:rFonts w:ascii="Arial" w:eastAsia="Times New Roman" w:hAnsi="Arial" w:cs="Arial"/>
          <w:b/>
          <w:bCs/>
          <w:i/>
          <w:noProof/>
          <w:color w:val="006398"/>
          <w:szCs w:val="26"/>
          <w:lang w:val="en-US" w:eastAsia="en-US"/>
        </w:rPr>
        <w:drawing>
          <wp:inline distT="0" distB="0" distL="0" distR="0" wp14:anchorId="15B7178E" wp14:editId="3AC02E4C">
            <wp:extent cx="5678424" cy="3081528"/>
            <wp:effectExtent l="0" t="0" r="0" b="5080"/>
            <wp:docPr id="2087055783" name="Graphic 2087055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Graphic 59"/>
                    <pic:cNvPicPr/>
                  </pic:nvPicPr>
                  <pic:blipFill>
                    <a:blip r:embed="rId10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06"/>
                        </a:ext>
                      </a:extLst>
                    </a:blip>
                    <a:stretch>
                      <a:fillRect/>
                    </a:stretch>
                  </pic:blipFill>
                  <pic:spPr>
                    <a:xfrm>
                      <a:off x="0" y="0"/>
                      <a:ext cx="5678424" cy="3081528"/>
                    </a:xfrm>
                    <a:prstGeom prst="rect">
                      <a:avLst/>
                    </a:prstGeom>
                  </pic:spPr>
                </pic:pic>
              </a:graphicData>
            </a:graphic>
          </wp:inline>
        </w:drawing>
      </w:r>
    </w:p>
    <w:p w14:paraId="6DB51E2E" w14:textId="77777777" w:rsidR="005B45B2" w:rsidRPr="003516DC" w:rsidRDefault="005B45B2" w:rsidP="005B45B2">
      <w:pPr>
        <w:rPr>
          <w:rFonts w:ascii="Arial" w:hAnsi="Arial" w:cs="Arial"/>
          <w:i/>
          <w:sz w:val="16"/>
          <w:szCs w:val="16"/>
        </w:rPr>
      </w:pPr>
      <w:r w:rsidRPr="003516DC">
        <w:rPr>
          <w:rFonts w:ascii="Arial" w:hAnsi="Arial" w:cs="Arial"/>
          <w:i/>
          <w:sz w:val="16"/>
          <w:szCs w:val="16"/>
        </w:rPr>
        <w:t>Source: E3ME modelling</w:t>
      </w:r>
    </w:p>
    <w:p w14:paraId="5853B93B" w14:textId="19760510" w:rsidR="005B45B2" w:rsidRPr="003516DC" w:rsidRDefault="005B45B2" w:rsidP="005B45B2">
      <w:pPr>
        <w:pStyle w:val="Caption"/>
        <w:ind w:left="993" w:hanging="993"/>
        <w:rPr>
          <w:b w:val="0"/>
          <w:iCs w:val="0"/>
          <w:noProof/>
        </w:rPr>
      </w:pPr>
      <w:bookmarkStart w:id="179" w:name="_Toc90727368"/>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32</w:t>
      </w:r>
      <w:r w:rsidRPr="003516DC">
        <w:rPr>
          <w:noProof/>
        </w:rPr>
        <w:fldChar w:fldCharType="end"/>
      </w:r>
      <w:r w:rsidRPr="003516DC">
        <w:rPr>
          <w:noProof/>
        </w:rPr>
        <w:t>: Employment impact in Dolj County (RO411) in 2030 by sectors, resulting from a total of EUR 100 million investment over the years 2021-2027 under the three illustrative action categories, '000 jobs</w:t>
      </w:r>
      <w:bookmarkEnd w:id="179"/>
    </w:p>
    <w:p w14:paraId="1EF5E347" w14:textId="2F358C6B" w:rsidR="005B45B2" w:rsidRPr="003516DC" w:rsidRDefault="005B45B2" w:rsidP="005B45B2">
      <w:pPr>
        <w:rPr>
          <w:rFonts w:ascii="Arial" w:hAnsi="Arial" w:cs="Arial"/>
        </w:rPr>
      </w:pPr>
      <w:r w:rsidRPr="00402580">
        <w:rPr>
          <w:rFonts w:ascii="Arial" w:hAnsi="Arial" w:cs="Arial"/>
          <w:noProof/>
          <w:lang w:val="en-US" w:eastAsia="en-US"/>
        </w:rPr>
        <w:drawing>
          <wp:inline distT="0" distB="0" distL="0" distR="0" wp14:anchorId="621361D6" wp14:editId="5F840394">
            <wp:extent cx="5678424" cy="3081528"/>
            <wp:effectExtent l="0" t="0" r="0" b="5080"/>
            <wp:docPr id="2087055784" name="Graphic 2087055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Graphic 60"/>
                    <pic:cNvPicPr/>
                  </pic:nvPicPr>
                  <pic:blipFill>
                    <a:blip r:embed="rId10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08"/>
                        </a:ext>
                      </a:extLst>
                    </a:blip>
                    <a:stretch>
                      <a:fillRect/>
                    </a:stretch>
                  </pic:blipFill>
                  <pic:spPr>
                    <a:xfrm>
                      <a:off x="0" y="0"/>
                      <a:ext cx="5678424" cy="3081528"/>
                    </a:xfrm>
                    <a:prstGeom prst="rect">
                      <a:avLst/>
                    </a:prstGeom>
                  </pic:spPr>
                </pic:pic>
              </a:graphicData>
            </a:graphic>
          </wp:inline>
        </w:drawing>
      </w:r>
    </w:p>
    <w:p w14:paraId="5A1CE246" w14:textId="77777777" w:rsidR="005B45B2" w:rsidRPr="003516DC" w:rsidRDefault="005B45B2" w:rsidP="005B45B2">
      <w:pPr>
        <w:rPr>
          <w:rFonts w:ascii="Arial" w:hAnsi="Arial" w:cs="Arial"/>
          <w:i/>
          <w:sz w:val="16"/>
          <w:szCs w:val="16"/>
        </w:rPr>
      </w:pPr>
      <w:r w:rsidRPr="003516DC">
        <w:rPr>
          <w:rFonts w:ascii="Arial" w:hAnsi="Arial" w:cs="Arial"/>
          <w:i/>
          <w:sz w:val="16"/>
          <w:szCs w:val="16"/>
        </w:rPr>
        <w:t>Source: E3ME modelling</w:t>
      </w:r>
    </w:p>
    <w:p w14:paraId="51C83FE7" w14:textId="657906BA" w:rsidR="00D52A76" w:rsidRDefault="00F9231F" w:rsidP="00E42342">
      <w:pPr>
        <w:pStyle w:val="Heading2"/>
        <w:numPr>
          <w:ilvl w:val="0"/>
          <w:numId w:val="165"/>
        </w:numPr>
        <w:spacing w:before="240" w:line="240" w:lineRule="auto"/>
        <w:ind w:left="432" w:hanging="432"/>
      </w:pPr>
      <w:bookmarkStart w:id="180" w:name="_Toc90725871"/>
      <w:r w:rsidRPr="003516DC">
        <w:t>Type of operations needed</w:t>
      </w:r>
      <w:r w:rsidR="00355050">
        <w:t xml:space="preserve"> in Dolj county</w:t>
      </w:r>
      <w:bookmarkEnd w:id="180"/>
    </w:p>
    <w:p w14:paraId="569C863C" w14:textId="266C21C2" w:rsidR="00D52A76" w:rsidRPr="00D52A76" w:rsidRDefault="00D52A76" w:rsidP="00D52A76">
      <w:pPr>
        <w:jc w:val="both"/>
        <w:rPr>
          <w:rFonts w:ascii="Arial" w:hAnsi="Arial" w:cs="Arial"/>
          <w:sz w:val="20"/>
          <w:szCs w:val="20"/>
        </w:rPr>
      </w:pPr>
      <w:r w:rsidRPr="00AC2D01">
        <w:rPr>
          <w:rFonts w:ascii="Arial" w:hAnsi="Arial" w:cs="Arial"/>
          <w:sz w:val="20"/>
          <w:szCs w:val="20"/>
        </w:rPr>
        <w:t>Based on trends and statistical analysis, an analysis of the draft TJTPs still being elaborated by the County Councils, as well as stakeholder interviews, the team of consultants is proposing the following draft priority investment needs at each county.</w:t>
      </w:r>
    </w:p>
    <w:p w14:paraId="5DD1F0C0" w14:textId="6571FEA7" w:rsidR="00F9231F" w:rsidRDefault="00F9231F" w:rsidP="00D52A76">
      <w:pPr>
        <w:pStyle w:val="Caption"/>
        <w:ind w:left="0" w:firstLine="0"/>
      </w:pPr>
      <w:bookmarkStart w:id="181" w:name="_Toc90725992"/>
      <w:bookmarkStart w:id="182" w:name="_Toc90727289"/>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38</w:t>
      </w:r>
      <w:r w:rsidRPr="003516DC">
        <w:rPr>
          <w:noProof/>
        </w:rPr>
        <w:fldChar w:fldCharType="end"/>
      </w:r>
      <w:r w:rsidRPr="003516DC">
        <w:t xml:space="preserve">: </w:t>
      </w:r>
      <w:r w:rsidR="00320B4A">
        <w:t>Justification for proposed JTF operation in Dolj county</w:t>
      </w:r>
      <w:bookmarkEnd w:id="181"/>
      <w:bookmarkEnd w:id="182"/>
    </w:p>
    <w:tbl>
      <w:tblPr>
        <w:tblW w:w="51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4786"/>
      </w:tblGrid>
      <w:tr w:rsidR="005C6336" w:rsidRPr="003847A7" w14:paraId="204B7F9E" w14:textId="77777777" w:rsidTr="007E33AE">
        <w:trPr>
          <w:trHeight w:val="20"/>
          <w:tblHeader/>
        </w:trPr>
        <w:tc>
          <w:tcPr>
            <w:tcW w:w="5000" w:type="pct"/>
            <w:gridSpan w:val="2"/>
            <w:shd w:val="clear" w:color="auto" w:fill="002060"/>
            <w:tcMar>
              <w:top w:w="100" w:type="dxa"/>
              <w:left w:w="100" w:type="dxa"/>
              <w:bottom w:w="100" w:type="dxa"/>
              <w:right w:w="100" w:type="dxa"/>
            </w:tcMar>
            <w:vAlign w:val="center"/>
          </w:tcPr>
          <w:p w14:paraId="20596384" w14:textId="77777777" w:rsidR="005C6336" w:rsidRPr="003847A7" w:rsidRDefault="005C6336" w:rsidP="00964831">
            <w:pPr>
              <w:jc w:val="center"/>
              <w:rPr>
                <w:rFonts w:ascii="Arial" w:hAnsi="Arial" w:cs="Arial"/>
                <w:b/>
                <w:bCs/>
                <w:sz w:val="18"/>
                <w:szCs w:val="18"/>
                <w:highlight w:val="white"/>
              </w:rPr>
            </w:pPr>
          </w:p>
        </w:tc>
      </w:tr>
      <w:tr w:rsidR="005C6336" w:rsidRPr="003847A7" w14:paraId="262D8B70" w14:textId="77777777" w:rsidTr="00402580">
        <w:trPr>
          <w:trHeight w:val="737"/>
          <w:tblHeader/>
        </w:trPr>
        <w:tc>
          <w:tcPr>
            <w:tcW w:w="2411" w:type="pct"/>
            <w:shd w:val="clear" w:color="auto" w:fill="C6D9F1" w:themeFill="text2" w:themeFillTint="33"/>
            <w:tcMar>
              <w:top w:w="100" w:type="dxa"/>
              <w:left w:w="100" w:type="dxa"/>
              <w:bottom w:w="100" w:type="dxa"/>
              <w:right w:w="100" w:type="dxa"/>
            </w:tcMar>
            <w:vAlign w:val="center"/>
          </w:tcPr>
          <w:p w14:paraId="0B6BA0E0" w14:textId="613B3245" w:rsidR="005C6336" w:rsidRPr="003847A7" w:rsidRDefault="005C6336" w:rsidP="00964831">
            <w:pPr>
              <w:jc w:val="both"/>
              <w:rPr>
                <w:rFonts w:ascii="Arial" w:hAnsi="Arial" w:cs="Arial"/>
                <w:b/>
                <w:bCs/>
                <w:sz w:val="18"/>
                <w:szCs w:val="18"/>
              </w:rPr>
            </w:pPr>
            <w:r w:rsidRPr="003847A7">
              <w:rPr>
                <w:rFonts w:ascii="Arial" w:hAnsi="Arial" w:cs="Arial"/>
                <w:b/>
                <w:bCs/>
                <w:sz w:val="18"/>
                <w:szCs w:val="18"/>
                <w:lang w:val="en-US"/>
              </w:rPr>
              <w:t>Based on local challenges analysis</w:t>
            </w:r>
            <w:r w:rsidR="00A129AC">
              <w:rPr>
                <w:rStyle w:val="FootnoteReference"/>
                <w:rFonts w:ascii="Arial" w:hAnsi="Arial" w:cs="Arial"/>
                <w:b/>
                <w:bCs/>
                <w:sz w:val="18"/>
                <w:szCs w:val="18"/>
              </w:rPr>
              <w:footnoteReference w:id="89"/>
            </w:r>
          </w:p>
        </w:tc>
        <w:tc>
          <w:tcPr>
            <w:tcW w:w="2588" w:type="pct"/>
            <w:shd w:val="clear" w:color="auto" w:fill="C6D9F1" w:themeFill="text2" w:themeFillTint="33"/>
            <w:tcMar>
              <w:top w:w="100" w:type="dxa"/>
              <w:left w:w="100" w:type="dxa"/>
              <w:bottom w:w="100" w:type="dxa"/>
              <w:right w:w="100" w:type="dxa"/>
            </w:tcMar>
            <w:vAlign w:val="center"/>
          </w:tcPr>
          <w:p w14:paraId="3B076800" w14:textId="786D7760" w:rsidR="005C6336" w:rsidRPr="003847A7" w:rsidRDefault="005C6336" w:rsidP="00964831">
            <w:pPr>
              <w:jc w:val="both"/>
              <w:rPr>
                <w:rFonts w:ascii="Arial" w:hAnsi="Arial" w:cs="Arial"/>
                <w:b/>
                <w:bCs/>
                <w:sz w:val="18"/>
                <w:szCs w:val="18"/>
                <w:lang w:val="en-US"/>
              </w:rPr>
            </w:pPr>
            <w:r w:rsidRPr="003847A7">
              <w:rPr>
                <w:rFonts w:ascii="Arial" w:hAnsi="Arial" w:cs="Arial"/>
                <w:b/>
                <w:bCs/>
                <w:sz w:val="18"/>
                <w:szCs w:val="18"/>
              </w:rPr>
              <w:t>Identified as priority to address the impact of the transition by the stakeholders and from the trends analysis and</w:t>
            </w:r>
            <w:r w:rsidR="00D33463">
              <w:rPr>
                <w:rFonts w:ascii="Arial" w:hAnsi="Arial" w:cs="Arial"/>
                <w:b/>
                <w:bCs/>
                <w:sz w:val="18"/>
                <w:szCs w:val="18"/>
              </w:rPr>
              <w:t xml:space="preserve"> potentially</w:t>
            </w:r>
            <w:r w:rsidRPr="003847A7">
              <w:rPr>
                <w:rFonts w:ascii="Arial" w:hAnsi="Arial" w:cs="Arial"/>
                <w:b/>
                <w:bCs/>
                <w:sz w:val="18"/>
                <w:szCs w:val="18"/>
              </w:rPr>
              <w:t xml:space="preserve"> in scope of the JTF Regulation</w:t>
            </w:r>
          </w:p>
        </w:tc>
      </w:tr>
      <w:tr w:rsidR="005C6336" w:rsidRPr="003847A7" w14:paraId="47AE0290" w14:textId="77777777" w:rsidTr="00964831">
        <w:trPr>
          <w:trHeight w:val="20"/>
        </w:trPr>
        <w:tc>
          <w:tcPr>
            <w:tcW w:w="2411" w:type="pct"/>
            <w:shd w:val="clear" w:color="auto" w:fill="auto"/>
            <w:tcMar>
              <w:top w:w="100" w:type="dxa"/>
              <w:left w:w="100" w:type="dxa"/>
              <w:bottom w:w="100" w:type="dxa"/>
              <w:right w:w="100" w:type="dxa"/>
            </w:tcMar>
          </w:tcPr>
          <w:p w14:paraId="70F94D89" w14:textId="435F0BAF" w:rsidR="00DA17F4" w:rsidRPr="003847A7" w:rsidRDefault="00DA17F4" w:rsidP="00E42342">
            <w:pPr>
              <w:pStyle w:val="ListParagraph"/>
              <w:numPr>
                <w:ilvl w:val="0"/>
                <w:numId w:val="193"/>
              </w:numPr>
              <w:spacing w:line="240" w:lineRule="auto"/>
              <w:rPr>
                <w:sz w:val="18"/>
                <w:szCs w:val="18"/>
              </w:rPr>
            </w:pPr>
            <w:r w:rsidRPr="003847A7">
              <w:rPr>
                <w:sz w:val="18"/>
                <w:szCs w:val="18"/>
              </w:rPr>
              <w:t xml:space="preserve">Lack of economic diversification reflected in the breakdown of economic sector/ industry which has roughly the same pattern as 10 years ago </w:t>
            </w:r>
          </w:p>
          <w:p w14:paraId="272071B0" w14:textId="3E7E7B67" w:rsidR="00DA17F4" w:rsidRPr="003847A7" w:rsidRDefault="00DA17F4" w:rsidP="00E42342">
            <w:pPr>
              <w:pStyle w:val="ListParagraph"/>
              <w:numPr>
                <w:ilvl w:val="0"/>
                <w:numId w:val="193"/>
              </w:numPr>
              <w:spacing w:line="240" w:lineRule="auto"/>
              <w:rPr>
                <w:sz w:val="18"/>
                <w:szCs w:val="18"/>
              </w:rPr>
            </w:pPr>
            <w:r w:rsidRPr="003847A7">
              <w:rPr>
                <w:sz w:val="18"/>
                <w:szCs w:val="18"/>
              </w:rPr>
              <w:t>Pronounced disparities between Craiova Metropolitan Area (CMA) and the rest of the territory reflected throughout the community life on all layers including the share of registered companies which is almost 85% in Craiova; this implies very low number of companies outside CMA (about 1/1000)</w:t>
            </w:r>
          </w:p>
          <w:p w14:paraId="22B63C97" w14:textId="17D8BFDC" w:rsidR="00DA17F4" w:rsidRPr="003847A7" w:rsidRDefault="00DA17F4" w:rsidP="00E42342">
            <w:pPr>
              <w:pStyle w:val="ListParagraph"/>
              <w:numPr>
                <w:ilvl w:val="0"/>
                <w:numId w:val="193"/>
              </w:numPr>
              <w:spacing w:line="240" w:lineRule="auto"/>
              <w:rPr>
                <w:sz w:val="18"/>
                <w:szCs w:val="18"/>
              </w:rPr>
            </w:pPr>
            <w:r w:rsidRPr="003847A7">
              <w:rPr>
                <w:sz w:val="18"/>
                <w:szCs w:val="18"/>
              </w:rPr>
              <w:t>Significant ris</w:t>
            </w:r>
            <w:r w:rsidR="00B87E88">
              <w:rPr>
                <w:sz w:val="18"/>
                <w:szCs w:val="18"/>
              </w:rPr>
              <w:t>k</w:t>
            </w:r>
            <w:r w:rsidRPr="003847A7">
              <w:rPr>
                <w:sz w:val="18"/>
                <w:szCs w:val="18"/>
              </w:rPr>
              <w:t xml:space="preserve"> for 120 companies in the value chain of CEO to be affected during the restructuring plan implementation, with various intensities, with impact on unemployment </w:t>
            </w:r>
          </w:p>
          <w:p w14:paraId="443F238E" w14:textId="6D15378F" w:rsidR="00DA17F4" w:rsidRPr="003847A7" w:rsidRDefault="00DA17F4" w:rsidP="00E42342">
            <w:pPr>
              <w:pStyle w:val="ListParagraph"/>
              <w:numPr>
                <w:ilvl w:val="0"/>
                <w:numId w:val="193"/>
              </w:numPr>
              <w:spacing w:line="240" w:lineRule="auto"/>
              <w:rPr>
                <w:sz w:val="18"/>
                <w:szCs w:val="18"/>
              </w:rPr>
            </w:pPr>
            <w:r w:rsidRPr="003847A7">
              <w:rPr>
                <w:sz w:val="18"/>
                <w:szCs w:val="18"/>
              </w:rPr>
              <w:t>Low workforce offer/ skills mismatch affecting the SME’s growth capacity and their stability combined with lack of work opportunities which reinforce the phenomenon of temporary and permanent emigration</w:t>
            </w:r>
          </w:p>
          <w:p w14:paraId="4543C8FD" w14:textId="07E09DF5" w:rsidR="00DA17F4" w:rsidRPr="003847A7" w:rsidRDefault="00DA17F4" w:rsidP="00E42342">
            <w:pPr>
              <w:pStyle w:val="ListParagraph"/>
              <w:numPr>
                <w:ilvl w:val="0"/>
                <w:numId w:val="193"/>
              </w:numPr>
              <w:spacing w:line="240" w:lineRule="auto"/>
              <w:rPr>
                <w:sz w:val="18"/>
                <w:szCs w:val="18"/>
              </w:rPr>
            </w:pPr>
            <w:r w:rsidRPr="003847A7">
              <w:rPr>
                <w:sz w:val="18"/>
                <w:szCs w:val="18"/>
              </w:rPr>
              <w:t>Low level of digiti</w:t>
            </w:r>
            <w:r w:rsidR="004E7B64">
              <w:rPr>
                <w:sz w:val="18"/>
                <w:szCs w:val="18"/>
              </w:rPr>
              <w:t>sation</w:t>
            </w:r>
            <w:r w:rsidRPr="003847A7">
              <w:rPr>
                <w:sz w:val="18"/>
                <w:szCs w:val="18"/>
              </w:rPr>
              <w:t xml:space="preserve"> and poor technical solutions in public institutions as well as part of private companies </w:t>
            </w:r>
          </w:p>
          <w:p w14:paraId="548279E9" w14:textId="49363E9A" w:rsidR="00DA17F4" w:rsidRPr="003847A7" w:rsidRDefault="00DA17F4" w:rsidP="00E42342">
            <w:pPr>
              <w:pStyle w:val="ListParagraph"/>
              <w:numPr>
                <w:ilvl w:val="0"/>
                <w:numId w:val="193"/>
              </w:numPr>
              <w:spacing w:line="240" w:lineRule="auto"/>
              <w:rPr>
                <w:sz w:val="18"/>
                <w:szCs w:val="18"/>
              </w:rPr>
            </w:pPr>
            <w:r w:rsidRPr="003847A7">
              <w:rPr>
                <w:sz w:val="18"/>
                <w:szCs w:val="18"/>
              </w:rPr>
              <w:t>Scarce volume of investments in technology and efficiency, insufficient promotion on the international and national markets</w:t>
            </w:r>
          </w:p>
          <w:p w14:paraId="2C8BBDFB" w14:textId="1604D4B8" w:rsidR="00DA17F4" w:rsidRPr="003847A7" w:rsidRDefault="00DA17F4" w:rsidP="00E42342">
            <w:pPr>
              <w:pStyle w:val="ListParagraph"/>
              <w:numPr>
                <w:ilvl w:val="0"/>
                <w:numId w:val="193"/>
              </w:numPr>
              <w:spacing w:line="240" w:lineRule="auto"/>
              <w:rPr>
                <w:sz w:val="18"/>
                <w:szCs w:val="18"/>
              </w:rPr>
            </w:pPr>
            <w:r w:rsidRPr="003847A7">
              <w:rPr>
                <w:sz w:val="18"/>
                <w:szCs w:val="18"/>
              </w:rPr>
              <w:t xml:space="preserve">Low entrepreneurship culture and appetite as well as low capacity to support start-up/ scale-ups </w:t>
            </w:r>
          </w:p>
          <w:p w14:paraId="080413F7" w14:textId="7C66BB30" w:rsidR="00DA17F4" w:rsidRPr="003847A7" w:rsidRDefault="00DA17F4" w:rsidP="00E42342">
            <w:pPr>
              <w:pStyle w:val="ListParagraph"/>
              <w:numPr>
                <w:ilvl w:val="0"/>
                <w:numId w:val="193"/>
              </w:numPr>
              <w:spacing w:line="240" w:lineRule="auto"/>
              <w:rPr>
                <w:sz w:val="18"/>
                <w:szCs w:val="18"/>
              </w:rPr>
            </w:pPr>
            <w:r w:rsidRPr="003847A7">
              <w:rPr>
                <w:sz w:val="18"/>
                <w:szCs w:val="18"/>
              </w:rPr>
              <w:t xml:space="preserve">High rate of closed companies from the total (over 8% in 2019, higher than the national average of 7,45  )  reflecting poor long-term sustainability of SMEs </w:t>
            </w:r>
          </w:p>
          <w:p w14:paraId="40268806" w14:textId="77B8C515" w:rsidR="005C6336" w:rsidRPr="003847A7" w:rsidRDefault="00DA17F4" w:rsidP="00E42342">
            <w:pPr>
              <w:pStyle w:val="ListParagraph"/>
              <w:numPr>
                <w:ilvl w:val="0"/>
                <w:numId w:val="193"/>
              </w:numPr>
              <w:spacing w:line="240" w:lineRule="auto"/>
              <w:rPr>
                <w:sz w:val="18"/>
                <w:szCs w:val="18"/>
                <w:highlight w:val="white"/>
              </w:rPr>
            </w:pPr>
            <w:r w:rsidRPr="003847A7">
              <w:rPr>
                <w:sz w:val="18"/>
                <w:szCs w:val="18"/>
              </w:rPr>
              <w:t>Chronic infrastructure problems in most of county territory mainly related to basic infrastructure affecting the business potential and entrepreneurial appetite (high speed road, bypass belt etc.)</w:t>
            </w:r>
          </w:p>
        </w:tc>
        <w:tc>
          <w:tcPr>
            <w:tcW w:w="2588" w:type="pct"/>
            <w:shd w:val="clear" w:color="auto" w:fill="auto"/>
            <w:tcMar>
              <w:top w:w="100" w:type="dxa"/>
              <w:left w:w="100" w:type="dxa"/>
              <w:bottom w:w="100" w:type="dxa"/>
              <w:right w:w="100" w:type="dxa"/>
            </w:tcMar>
          </w:tcPr>
          <w:p w14:paraId="542AFF8A" w14:textId="2EC41C61" w:rsidR="007E33AE" w:rsidRDefault="00DA17F4" w:rsidP="007E33AE">
            <w:pPr>
              <w:pStyle w:val="ListParagraph"/>
              <w:spacing w:line="240" w:lineRule="auto"/>
              <w:ind w:left="0" w:right="58"/>
              <w:rPr>
                <w:sz w:val="18"/>
                <w:szCs w:val="18"/>
              </w:rPr>
            </w:pPr>
            <w:r w:rsidRPr="003847A7">
              <w:rPr>
                <w:b/>
                <w:bCs/>
                <w:sz w:val="18"/>
                <w:szCs w:val="18"/>
              </w:rPr>
              <w:t>Type 1:</w:t>
            </w:r>
            <w:r w:rsidRPr="003847A7">
              <w:rPr>
                <w:sz w:val="18"/>
                <w:szCs w:val="18"/>
              </w:rPr>
              <w:t xml:space="preserve"> </w:t>
            </w:r>
            <w:r w:rsidR="007E33AE" w:rsidRPr="00BC061B">
              <w:rPr>
                <w:sz w:val="18"/>
                <w:szCs w:val="18"/>
                <w:highlight w:val="white"/>
              </w:rPr>
              <w:t>Economic diversification and sustainable entrepreneurship support as well as increasing access to research, innovation and digiti</w:t>
            </w:r>
            <w:r w:rsidR="004E7B64">
              <w:rPr>
                <w:sz w:val="18"/>
                <w:szCs w:val="18"/>
                <w:highlight w:val="white"/>
              </w:rPr>
              <w:t>sation</w:t>
            </w:r>
          </w:p>
          <w:p w14:paraId="3481717C" w14:textId="77777777" w:rsidR="000E3635" w:rsidRDefault="000E3635" w:rsidP="007E33AE">
            <w:pPr>
              <w:pStyle w:val="ListParagraph"/>
              <w:spacing w:line="240" w:lineRule="auto"/>
              <w:ind w:left="0" w:right="58"/>
              <w:rPr>
                <w:sz w:val="18"/>
                <w:szCs w:val="18"/>
              </w:rPr>
            </w:pPr>
          </w:p>
          <w:p w14:paraId="3BA3A729" w14:textId="71450B66" w:rsidR="005C2CA2" w:rsidRPr="00782BFD" w:rsidRDefault="005C2CA2" w:rsidP="005C2CA2">
            <w:pPr>
              <w:pStyle w:val="ListParagraph"/>
              <w:numPr>
                <w:ilvl w:val="0"/>
                <w:numId w:val="342"/>
              </w:numPr>
              <w:spacing w:line="240" w:lineRule="auto"/>
              <w:ind w:right="58"/>
              <w:rPr>
                <w:bCs/>
                <w:sz w:val="18"/>
                <w:szCs w:val="18"/>
              </w:rPr>
            </w:pPr>
            <w:r>
              <w:rPr>
                <w:bCs/>
                <w:sz w:val="18"/>
                <w:szCs w:val="18"/>
              </w:rPr>
              <w:t>Starting new businesses and developing/ diversifying existing ones in areas such as manufacturing</w:t>
            </w:r>
            <w:r w:rsidRPr="001E5FC6">
              <w:rPr>
                <w:bCs/>
                <w:sz w:val="18"/>
                <w:szCs w:val="18"/>
              </w:rPr>
              <w:t xml:space="preserve">, </w:t>
            </w:r>
            <w:r w:rsidRPr="00782BFD">
              <w:rPr>
                <w:bCs/>
                <w:sz w:val="18"/>
                <w:szCs w:val="18"/>
              </w:rPr>
              <w:t xml:space="preserve">information technology, foods and beverages, </w:t>
            </w:r>
            <w:r w:rsidRPr="001E5FC6">
              <w:rPr>
                <w:bCs/>
                <w:sz w:val="18"/>
                <w:szCs w:val="18"/>
              </w:rPr>
              <w:t>tourism, circular economy</w:t>
            </w:r>
            <w:r w:rsidR="00D34DD4">
              <w:rPr>
                <w:bCs/>
                <w:sz w:val="18"/>
                <w:szCs w:val="18"/>
              </w:rPr>
              <w:t>,</w:t>
            </w:r>
            <w:r w:rsidRPr="001E5FC6">
              <w:rPr>
                <w:bCs/>
                <w:sz w:val="18"/>
                <w:szCs w:val="18"/>
              </w:rPr>
              <w:t xml:space="preserve"> etc</w:t>
            </w:r>
            <w:r w:rsidRPr="00782BFD">
              <w:rPr>
                <w:bCs/>
                <w:sz w:val="18"/>
                <w:szCs w:val="18"/>
              </w:rPr>
              <w:t xml:space="preserve">. </w:t>
            </w:r>
          </w:p>
          <w:p w14:paraId="1050A504" w14:textId="41C79D7C" w:rsidR="005C2CA2" w:rsidRPr="00782BFD" w:rsidRDefault="005C2CA2" w:rsidP="005C2CA2">
            <w:pPr>
              <w:pStyle w:val="ListParagraph"/>
              <w:numPr>
                <w:ilvl w:val="0"/>
                <w:numId w:val="342"/>
              </w:numPr>
              <w:spacing w:line="240" w:lineRule="auto"/>
              <w:ind w:right="58"/>
              <w:rPr>
                <w:bCs/>
                <w:sz w:val="18"/>
                <w:szCs w:val="18"/>
              </w:rPr>
            </w:pPr>
            <w:r w:rsidRPr="00782BFD">
              <w:rPr>
                <w:bCs/>
                <w:sz w:val="18"/>
                <w:szCs w:val="18"/>
              </w:rPr>
              <w:t xml:space="preserve">Starting new businesses by creatively leveraging the </w:t>
            </w:r>
            <w:r w:rsidR="00D34DD4">
              <w:rPr>
                <w:bCs/>
                <w:sz w:val="18"/>
                <w:szCs w:val="18"/>
              </w:rPr>
              <w:t xml:space="preserve">unique local </w:t>
            </w:r>
            <w:r w:rsidRPr="00782BFD">
              <w:rPr>
                <w:bCs/>
                <w:sz w:val="18"/>
                <w:szCs w:val="18"/>
              </w:rPr>
              <w:t xml:space="preserve">resources, such as the Danube perimeter and its </w:t>
            </w:r>
            <w:r w:rsidRPr="00782BFD">
              <w:rPr>
                <w:sz w:val="18"/>
                <w:szCs w:val="18"/>
              </w:rPr>
              <w:t>national/international interconnectivity capacity (transportation, leisure circuits, transport vehicles maintenance, events organisation, etc</w:t>
            </w:r>
            <w:r w:rsidRPr="00782BFD">
              <w:rPr>
                <w:bCs/>
                <w:sz w:val="18"/>
                <w:szCs w:val="18"/>
              </w:rPr>
              <w:t>)</w:t>
            </w:r>
          </w:p>
          <w:p w14:paraId="00D74B1F" w14:textId="545B4209" w:rsidR="005C2CA2" w:rsidRPr="00782BFD" w:rsidRDefault="005C2CA2" w:rsidP="005C2CA2">
            <w:pPr>
              <w:pStyle w:val="ListParagraph"/>
              <w:numPr>
                <w:ilvl w:val="0"/>
                <w:numId w:val="342"/>
              </w:numPr>
              <w:spacing w:line="240" w:lineRule="auto"/>
              <w:ind w:right="58"/>
              <w:rPr>
                <w:bCs/>
                <w:sz w:val="18"/>
                <w:szCs w:val="18"/>
              </w:rPr>
            </w:pPr>
            <w:r w:rsidRPr="00782BFD">
              <w:rPr>
                <w:sz w:val="18"/>
                <w:szCs w:val="18"/>
              </w:rPr>
              <w:t>Stimulating</w:t>
            </w:r>
            <w:r w:rsidR="00B32751" w:rsidRPr="00782BFD">
              <w:rPr>
                <w:sz w:val="18"/>
                <w:szCs w:val="18"/>
              </w:rPr>
              <w:t xml:space="preserve"> the</w:t>
            </w:r>
            <w:r w:rsidRPr="00782BFD">
              <w:rPr>
                <w:sz w:val="18"/>
                <w:szCs w:val="18"/>
              </w:rPr>
              <w:t xml:space="preserve"> construction industry with </w:t>
            </w:r>
            <w:r w:rsidR="00D34DD4">
              <w:rPr>
                <w:sz w:val="18"/>
                <w:szCs w:val="18"/>
              </w:rPr>
              <w:t>related</w:t>
            </w:r>
            <w:r w:rsidRPr="00782BFD">
              <w:rPr>
                <w:sz w:val="18"/>
                <w:szCs w:val="18"/>
              </w:rPr>
              <w:t xml:space="preserve"> industries to boost the energy efficien</w:t>
            </w:r>
            <w:r w:rsidR="00D34DD4">
              <w:rPr>
                <w:sz w:val="18"/>
                <w:szCs w:val="18"/>
              </w:rPr>
              <w:t>cy</w:t>
            </w:r>
            <w:r w:rsidRPr="00782BFD">
              <w:rPr>
                <w:sz w:val="18"/>
                <w:szCs w:val="18"/>
              </w:rPr>
              <w:t xml:space="preserve"> </w:t>
            </w:r>
            <w:r w:rsidR="00D34DD4">
              <w:rPr>
                <w:sz w:val="18"/>
                <w:szCs w:val="18"/>
              </w:rPr>
              <w:t>of</w:t>
            </w:r>
            <w:r w:rsidRPr="00782BFD">
              <w:rPr>
                <w:sz w:val="18"/>
                <w:szCs w:val="18"/>
              </w:rPr>
              <w:t xml:space="preserve"> residential, business and public buildings</w:t>
            </w:r>
          </w:p>
          <w:p w14:paraId="5E698E5F" w14:textId="4C0145AF" w:rsidR="005C2CA2" w:rsidRPr="001E5FC6" w:rsidRDefault="005C2CA2" w:rsidP="005C2CA2">
            <w:pPr>
              <w:pStyle w:val="ListParagraph"/>
              <w:numPr>
                <w:ilvl w:val="0"/>
                <w:numId w:val="342"/>
              </w:numPr>
              <w:spacing w:line="240" w:lineRule="auto"/>
              <w:ind w:right="58"/>
              <w:rPr>
                <w:bCs/>
                <w:sz w:val="18"/>
                <w:szCs w:val="18"/>
              </w:rPr>
            </w:pPr>
            <w:r w:rsidRPr="001E5FC6">
              <w:rPr>
                <w:bCs/>
                <w:sz w:val="18"/>
                <w:szCs w:val="18"/>
              </w:rPr>
              <w:t xml:space="preserve">Setting up business </w:t>
            </w:r>
            <w:r w:rsidR="00D34DD4">
              <w:rPr>
                <w:bCs/>
                <w:sz w:val="18"/>
                <w:szCs w:val="18"/>
              </w:rPr>
              <w:t>incubators</w:t>
            </w:r>
            <w:r w:rsidRPr="001E5FC6">
              <w:rPr>
                <w:bCs/>
                <w:sz w:val="18"/>
                <w:szCs w:val="18"/>
              </w:rPr>
              <w:t xml:space="preserve"> and industrial parks</w:t>
            </w:r>
          </w:p>
          <w:p w14:paraId="35D318C6" w14:textId="22EFF2F7" w:rsidR="00B32751" w:rsidRPr="00782BFD" w:rsidRDefault="005C2CA2" w:rsidP="005C2CA2">
            <w:pPr>
              <w:pStyle w:val="ListParagraph"/>
              <w:numPr>
                <w:ilvl w:val="0"/>
                <w:numId w:val="342"/>
              </w:numPr>
              <w:spacing w:line="240" w:lineRule="auto"/>
              <w:ind w:right="58"/>
              <w:rPr>
                <w:bCs/>
                <w:sz w:val="18"/>
                <w:szCs w:val="18"/>
              </w:rPr>
            </w:pPr>
            <w:r w:rsidRPr="00D34DD4">
              <w:rPr>
                <w:sz w:val="18"/>
                <w:szCs w:val="18"/>
              </w:rPr>
              <w:t>Establishing innovative multi-stakeholder platforms</w:t>
            </w:r>
            <w:r w:rsidR="006E7A76">
              <w:rPr>
                <w:sz w:val="18"/>
                <w:szCs w:val="18"/>
              </w:rPr>
              <w:t xml:space="preserve"> </w:t>
            </w:r>
            <w:r w:rsidRPr="00D34DD4">
              <w:rPr>
                <w:sz w:val="18"/>
                <w:szCs w:val="18"/>
              </w:rPr>
              <w:t xml:space="preserve">and stimulating technology transfer </w:t>
            </w:r>
            <w:r w:rsidRPr="00782BFD">
              <w:rPr>
                <w:sz w:val="18"/>
                <w:szCs w:val="18"/>
              </w:rPr>
              <w:t>with a focus on  agr</w:t>
            </w:r>
            <w:r w:rsidR="00B32751" w:rsidRPr="00782BFD">
              <w:rPr>
                <w:sz w:val="18"/>
                <w:szCs w:val="18"/>
              </w:rPr>
              <w:t>i</w:t>
            </w:r>
            <w:r w:rsidRPr="00782BFD">
              <w:rPr>
                <w:sz w:val="18"/>
                <w:szCs w:val="18"/>
              </w:rPr>
              <w:t xml:space="preserve">-food business, automotive, construction, tourism, RES energy production and distribution,  circular economy and energy efficiency implementation.  </w:t>
            </w:r>
          </w:p>
          <w:p w14:paraId="55A8CC2F" w14:textId="754BBFA7" w:rsidR="005C6336" w:rsidRPr="003641DF" w:rsidRDefault="005C2CA2" w:rsidP="001F0479">
            <w:pPr>
              <w:pStyle w:val="ListParagraph"/>
              <w:numPr>
                <w:ilvl w:val="0"/>
                <w:numId w:val="342"/>
              </w:numPr>
              <w:spacing w:line="240" w:lineRule="auto"/>
              <w:ind w:right="58"/>
            </w:pPr>
            <w:r w:rsidRPr="00782BFD">
              <w:rPr>
                <w:bCs/>
                <w:sz w:val="18"/>
                <w:szCs w:val="18"/>
              </w:rPr>
              <w:t xml:space="preserve">Supporting the innovative digitisation of the public sector </w:t>
            </w:r>
            <w:r w:rsidRPr="00782BFD">
              <w:rPr>
                <w:sz w:val="18"/>
                <w:szCs w:val="18"/>
              </w:rPr>
              <w:t>to help the companies with decision process</w:t>
            </w:r>
            <w:r w:rsidR="00D34DD4">
              <w:rPr>
                <w:sz w:val="18"/>
                <w:szCs w:val="18"/>
              </w:rPr>
              <w:t>es</w:t>
            </w:r>
            <w:r w:rsidRPr="00782BFD">
              <w:rPr>
                <w:sz w:val="18"/>
                <w:szCs w:val="18"/>
              </w:rPr>
              <w:t>, timely communication, response improvement, effective situation tracking and assessment</w:t>
            </w:r>
          </w:p>
        </w:tc>
      </w:tr>
      <w:tr w:rsidR="005C6336" w:rsidRPr="003847A7" w14:paraId="68491BDF" w14:textId="77777777" w:rsidTr="00964831">
        <w:trPr>
          <w:trHeight w:val="790"/>
        </w:trPr>
        <w:tc>
          <w:tcPr>
            <w:tcW w:w="2411" w:type="pct"/>
            <w:shd w:val="clear" w:color="auto" w:fill="auto"/>
            <w:tcMar>
              <w:top w:w="100" w:type="dxa"/>
              <w:left w:w="100" w:type="dxa"/>
              <w:bottom w:w="100" w:type="dxa"/>
              <w:right w:w="100" w:type="dxa"/>
            </w:tcMar>
          </w:tcPr>
          <w:p w14:paraId="4F19773E" w14:textId="3D6567D0" w:rsidR="00DA17F4" w:rsidRPr="003847A7" w:rsidRDefault="00DA17F4" w:rsidP="00E42342">
            <w:pPr>
              <w:pStyle w:val="ListParagraph"/>
              <w:numPr>
                <w:ilvl w:val="0"/>
                <w:numId w:val="194"/>
              </w:numPr>
              <w:spacing w:after="40" w:line="240" w:lineRule="auto"/>
              <w:rPr>
                <w:sz w:val="18"/>
                <w:szCs w:val="18"/>
              </w:rPr>
            </w:pPr>
            <w:r w:rsidRPr="003847A7">
              <w:rPr>
                <w:sz w:val="18"/>
                <w:szCs w:val="18"/>
              </w:rPr>
              <w:t>High potential for energy generation from renewable resources, which is currently undervalued</w:t>
            </w:r>
          </w:p>
          <w:p w14:paraId="1F005FE4" w14:textId="3A510E55" w:rsidR="00DA17F4" w:rsidRPr="003847A7" w:rsidRDefault="00DA17F4" w:rsidP="00E42342">
            <w:pPr>
              <w:pStyle w:val="ListParagraph"/>
              <w:numPr>
                <w:ilvl w:val="0"/>
                <w:numId w:val="194"/>
              </w:numPr>
              <w:spacing w:after="40" w:line="240" w:lineRule="auto"/>
              <w:rPr>
                <w:sz w:val="18"/>
                <w:szCs w:val="18"/>
              </w:rPr>
            </w:pPr>
            <w:r w:rsidRPr="003847A7">
              <w:rPr>
                <w:sz w:val="18"/>
                <w:szCs w:val="18"/>
              </w:rPr>
              <w:t xml:space="preserve">Poor energy efficiency in buildings </w:t>
            </w:r>
          </w:p>
          <w:p w14:paraId="6C6B638D" w14:textId="77777777" w:rsidR="00DA17F4" w:rsidRPr="003847A7" w:rsidRDefault="00DA17F4" w:rsidP="00E42342">
            <w:pPr>
              <w:pStyle w:val="ListParagraph"/>
              <w:numPr>
                <w:ilvl w:val="0"/>
                <w:numId w:val="194"/>
              </w:numPr>
              <w:spacing w:after="60" w:line="240" w:lineRule="auto"/>
              <w:rPr>
                <w:sz w:val="18"/>
                <w:szCs w:val="18"/>
              </w:rPr>
            </w:pPr>
            <w:r w:rsidRPr="003847A7">
              <w:rPr>
                <w:sz w:val="18"/>
                <w:szCs w:val="18"/>
              </w:rPr>
              <w:t>Poor air quality and environmental degradation throughout the county, as it is in violation of standards for sulphur dioxide, particle pollution, nitrogen dioxide and others, therefore a five-years plan is in effect in the county to improve air quality</w:t>
            </w:r>
          </w:p>
          <w:p w14:paraId="6ED6FB20" w14:textId="77777777" w:rsidR="00DA17F4" w:rsidRPr="003847A7" w:rsidRDefault="00DA17F4" w:rsidP="00E42342">
            <w:pPr>
              <w:pStyle w:val="ListParagraph"/>
              <w:numPr>
                <w:ilvl w:val="0"/>
                <w:numId w:val="194"/>
              </w:numPr>
              <w:spacing w:after="60" w:line="240" w:lineRule="auto"/>
              <w:rPr>
                <w:sz w:val="18"/>
                <w:szCs w:val="18"/>
                <w:lang w:val="en-US"/>
              </w:rPr>
            </w:pPr>
            <w:r w:rsidRPr="003847A7">
              <w:rPr>
                <w:sz w:val="18"/>
                <w:szCs w:val="18"/>
              </w:rPr>
              <w:t xml:space="preserve">Poor air quality In Craiova municipality the main issue is PM10 (suspended dust pollution) </w:t>
            </w:r>
            <w:r w:rsidRPr="003847A7">
              <w:rPr>
                <w:sz w:val="18"/>
                <w:szCs w:val="18"/>
              </w:rPr>
              <w:lastRenderedPageBreak/>
              <w:t xml:space="preserve">produced primarily by the road traffic, construction activity, centralized and individual heating systems, etc.  while 98% of the NOx and PM10 emissions </w:t>
            </w:r>
            <w:r w:rsidRPr="003847A7">
              <w:rPr>
                <w:b/>
                <w:sz w:val="18"/>
                <w:szCs w:val="18"/>
              </w:rPr>
              <w:t>come from the Craiova II Power Plant</w:t>
            </w:r>
            <w:r w:rsidRPr="003847A7">
              <w:rPr>
                <w:sz w:val="18"/>
                <w:szCs w:val="18"/>
              </w:rPr>
              <w:t xml:space="preserve"> </w:t>
            </w:r>
            <w:r w:rsidRPr="003847A7">
              <w:rPr>
                <w:b/>
                <w:sz w:val="18"/>
                <w:szCs w:val="18"/>
              </w:rPr>
              <w:t xml:space="preserve"> </w:t>
            </w:r>
            <w:r w:rsidRPr="003847A7">
              <w:rPr>
                <w:sz w:val="18"/>
                <w:szCs w:val="18"/>
              </w:rPr>
              <w:t xml:space="preserve"> </w:t>
            </w:r>
          </w:p>
          <w:p w14:paraId="486CF1D6" w14:textId="77777777" w:rsidR="00DA17F4" w:rsidRPr="003847A7" w:rsidRDefault="00DA17F4" w:rsidP="00E42342">
            <w:pPr>
              <w:pStyle w:val="ListParagraph"/>
              <w:numPr>
                <w:ilvl w:val="0"/>
                <w:numId w:val="194"/>
              </w:numPr>
              <w:spacing w:after="60" w:line="240" w:lineRule="auto"/>
              <w:rPr>
                <w:sz w:val="18"/>
                <w:szCs w:val="18"/>
                <w:shd w:val="clear" w:color="auto" w:fill="EFEFEF"/>
              </w:rPr>
            </w:pPr>
            <w:r w:rsidRPr="003847A7">
              <w:rPr>
                <w:sz w:val="18"/>
                <w:szCs w:val="18"/>
              </w:rPr>
              <w:t>High vulnerability to</w:t>
            </w:r>
            <w:r w:rsidRPr="003847A7">
              <w:rPr>
                <w:b/>
                <w:sz w:val="18"/>
                <w:szCs w:val="18"/>
              </w:rPr>
              <w:t xml:space="preserve"> soil degradation</w:t>
            </w:r>
            <w:r w:rsidRPr="003847A7">
              <w:rPr>
                <w:sz w:val="18"/>
                <w:szCs w:val="18"/>
              </w:rPr>
              <w:t xml:space="preserve"> therefore a more data-driven approach to combat the phenomenon is needed   </w:t>
            </w:r>
          </w:p>
          <w:p w14:paraId="16867849" w14:textId="77777777" w:rsidR="00DA17F4" w:rsidRPr="003847A7" w:rsidRDefault="00DA17F4" w:rsidP="00E42342">
            <w:pPr>
              <w:pStyle w:val="ListParagraph"/>
              <w:numPr>
                <w:ilvl w:val="0"/>
                <w:numId w:val="194"/>
              </w:numPr>
              <w:spacing w:after="60" w:line="240" w:lineRule="auto"/>
              <w:rPr>
                <w:sz w:val="18"/>
                <w:szCs w:val="18"/>
              </w:rPr>
            </w:pPr>
            <w:r w:rsidRPr="003847A7">
              <w:rPr>
                <w:sz w:val="18"/>
                <w:szCs w:val="18"/>
              </w:rPr>
              <w:t>Low performance on the green area per inhabitant indicator in Craiova municipality, much lower than the European norm (13 sqm/ inhabitant comparing to 26sqm/ inhabitant)</w:t>
            </w:r>
          </w:p>
          <w:p w14:paraId="3BD695BA" w14:textId="350CF1F1" w:rsidR="005C6336" w:rsidRPr="003847A7" w:rsidRDefault="00DA17F4" w:rsidP="00E42342">
            <w:pPr>
              <w:pStyle w:val="ListParagraph"/>
              <w:numPr>
                <w:ilvl w:val="0"/>
                <w:numId w:val="194"/>
              </w:numPr>
              <w:spacing w:after="60" w:line="240" w:lineRule="auto"/>
              <w:rPr>
                <w:sz w:val="18"/>
                <w:szCs w:val="18"/>
                <w:shd w:val="clear" w:color="auto" w:fill="EFEFEF"/>
              </w:rPr>
            </w:pPr>
            <w:r w:rsidRPr="003847A7">
              <w:rPr>
                <w:sz w:val="18"/>
                <w:szCs w:val="18"/>
                <w:lang w:val="en-US"/>
              </w:rPr>
              <w:t xml:space="preserve">High level of concern from </w:t>
            </w:r>
            <w:r w:rsidRPr="003847A7">
              <w:rPr>
                <w:sz w:val="18"/>
                <w:szCs w:val="18"/>
              </w:rPr>
              <w:t>civil society and business actors interested in contributing to the just transition-related processes at the county level</w:t>
            </w:r>
          </w:p>
        </w:tc>
        <w:tc>
          <w:tcPr>
            <w:tcW w:w="2588" w:type="pct"/>
            <w:shd w:val="clear" w:color="auto" w:fill="auto"/>
            <w:tcMar>
              <w:top w:w="100" w:type="dxa"/>
              <w:left w:w="100" w:type="dxa"/>
              <w:bottom w:w="100" w:type="dxa"/>
              <w:right w:w="100" w:type="dxa"/>
            </w:tcMar>
          </w:tcPr>
          <w:p w14:paraId="5AEFA1BF" w14:textId="5D6014F2" w:rsidR="00707E4A" w:rsidRDefault="00DA17F4" w:rsidP="00707E4A">
            <w:pPr>
              <w:tabs>
                <w:tab w:val="left" w:pos="1620"/>
              </w:tabs>
              <w:rPr>
                <w:rFonts w:ascii="Arial" w:hAnsi="Arial" w:cs="Arial"/>
                <w:bCs/>
                <w:sz w:val="18"/>
                <w:szCs w:val="18"/>
              </w:rPr>
            </w:pPr>
            <w:r w:rsidRPr="003847A7">
              <w:rPr>
                <w:rFonts w:ascii="Arial" w:hAnsi="Arial" w:cs="Arial"/>
                <w:b/>
                <w:bCs/>
                <w:sz w:val="18"/>
                <w:szCs w:val="18"/>
              </w:rPr>
              <w:lastRenderedPageBreak/>
              <w:t>Type 2:</w:t>
            </w:r>
            <w:r w:rsidRPr="003847A7">
              <w:rPr>
                <w:rFonts w:ascii="Arial" w:hAnsi="Arial" w:cs="Arial"/>
                <w:sz w:val="18"/>
                <w:szCs w:val="18"/>
              </w:rPr>
              <w:t xml:space="preserve"> </w:t>
            </w:r>
            <w:r w:rsidR="00707E4A">
              <w:rPr>
                <w:rFonts w:ascii="Arial" w:hAnsi="Arial" w:cs="Arial"/>
                <w:sz w:val="18"/>
                <w:szCs w:val="18"/>
              </w:rPr>
              <w:t>O</w:t>
            </w:r>
            <w:r w:rsidR="00707E4A" w:rsidRPr="0098453F">
              <w:rPr>
                <w:rFonts w:ascii="Arial" w:hAnsi="Arial" w:cs="Arial"/>
                <w:bCs/>
                <w:sz w:val="18"/>
                <w:szCs w:val="18"/>
                <w:highlight w:val="white"/>
              </w:rPr>
              <w:t>pportunities for investing in new technologies and infrastructure for green energy, pollution reduction and circular economy</w:t>
            </w:r>
          </w:p>
          <w:p w14:paraId="4A1068CC" w14:textId="72912EA0" w:rsidR="00FE7372" w:rsidRDefault="00FE7372" w:rsidP="00707E4A">
            <w:pPr>
              <w:tabs>
                <w:tab w:val="left" w:pos="1620"/>
              </w:tabs>
              <w:rPr>
                <w:rFonts w:ascii="Arial" w:hAnsi="Arial" w:cs="Arial"/>
                <w:bCs/>
                <w:sz w:val="18"/>
                <w:szCs w:val="18"/>
                <w:lang w:val="ro-RO"/>
              </w:rPr>
            </w:pPr>
          </w:p>
          <w:p w14:paraId="5FF6DBB3" w14:textId="1FA10151" w:rsidR="005C2CA2" w:rsidRDefault="005C2CA2" w:rsidP="005C2CA2">
            <w:pPr>
              <w:pStyle w:val="ListParagraph"/>
              <w:numPr>
                <w:ilvl w:val="0"/>
                <w:numId w:val="343"/>
              </w:numPr>
              <w:tabs>
                <w:tab w:val="left" w:pos="1620"/>
              </w:tabs>
              <w:rPr>
                <w:bCs/>
                <w:sz w:val="18"/>
                <w:szCs w:val="18"/>
                <w:lang w:val="ro-RO"/>
              </w:rPr>
            </w:pPr>
            <w:bookmarkStart w:id="183" w:name="_Hlk85565124"/>
            <w:r>
              <w:rPr>
                <w:bCs/>
                <w:sz w:val="18"/>
                <w:szCs w:val="18"/>
                <w:lang w:val="ro-RO"/>
              </w:rPr>
              <w:t>Implementing solar power plants/photovoltaic farms projects</w:t>
            </w:r>
          </w:p>
          <w:p w14:paraId="1C57478F" w14:textId="77777777" w:rsidR="005C2CA2" w:rsidRPr="001E5FC6" w:rsidRDefault="005C2CA2" w:rsidP="005C2CA2">
            <w:pPr>
              <w:pStyle w:val="ListParagraph"/>
              <w:numPr>
                <w:ilvl w:val="0"/>
                <w:numId w:val="343"/>
              </w:numPr>
              <w:tabs>
                <w:tab w:val="left" w:pos="1620"/>
              </w:tabs>
              <w:rPr>
                <w:bCs/>
                <w:sz w:val="18"/>
                <w:szCs w:val="18"/>
                <w:lang w:val="ro-RO"/>
              </w:rPr>
            </w:pPr>
            <w:r>
              <w:rPr>
                <w:bCs/>
                <w:sz w:val="18"/>
                <w:szCs w:val="18"/>
                <w:lang w:val="ro-RO"/>
              </w:rPr>
              <w:t xml:space="preserve">Undertaking </w:t>
            </w:r>
            <w:r>
              <w:rPr>
                <w:sz w:val="18"/>
                <w:szCs w:val="18"/>
              </w:rPr>
              <w:t xml:space="preserve">urban renewal projects for urban </w:t>
            </w:r>
            <w:r w:rsidRPr="001E5FC6">
              <w:rPr>
                <w:sz w:val="18"/>
                <w:szCs w:val="18"/>
              </w:rPr>
              <w:t>industrial sites rehabilitation</w:t>
            </w:r>
          </w:p>
          <w:p w14:paraId="5B60F125" w14:textId="742CEAF6" w:rsidR="005C2CA2" w:rsidRPr="00782BFD" w:rsidRDefault="005C2CA2" w:rsidP="005C2CA2">
            <w:pPr>
              <w:pStyle w:val="ListParagraph"/>
              <w:numPr>
                <w:ilvl w:val="0"/>
                <w:numId w:val="343"/>
              </w:numPr>
              <w:tabs>
                <w:tab w:val="left" w:pos="1620"/>
              </w:tabs>
              <w:rPr>
                <w:bCs/>
                <w:sz w:val="18"/>
                <w:szCs w:val="18"/>
                <w:lang w:val="ro-RO"/>
              </w:rPr>
            </w:pPr>
            <w:r w:rsidRPr="00782BFD">
              <w:rPr>
                <w:sz w:val="18"/>
                <w:szCs w:val="18"/>
              </w:rPr>
              <w:t>Contaminated/potentially contaminated site renaturation</w:t>
            </w:r>
          </w:p>
          <w:p w14:paraId="2BE50231" w14:textId="77777777" w:rsidR="005C2CA2" w:rsidRPr="001E5FC6" w:rsidRDefault="005C2CA2" w:rsidP="005C2CA2">
            <w:pPr>
              <w:pStyle w:val="ListParagraph"/>
              <w:numPr>
                <w:ilvl w:val="0"/>
                <w:numId w:val="343"/>
              </w:numPr>
              <w:tabs>
                <w:tab w:val="left" w:pos="1620"/>
              </w:tabs>
              <w:rPr>
                <w:bCs/>
                <w:sz w:val="18"/>
                <w:szCs w:val="18"/>
                <w:lang w:val="ro-RO"/>
              </w:rPr>
            </w:pPr>
            <w:r w:rsidRPr="001E5FC6">
              <w:rPr>
                <w:bCs/>
                <w:sz w:val="18"/>
                <w:szCs w:val="18"/>
                <w:lang w:val="ro-RO"/>
              </w:rPr>
              <w:lastRenderedPageBreak/>
              <w:t xml:space="preserve">Replacing </w:t>
            </w:r>
            <w:r w:rsidRPr="001E5FC6">
              <w:rPr>
                <w:sz w:val="18"/>
                <w:szCs w:val="18"/>
              </w:rPr>
              <w:t>inefficient district heating and supporting energy efficiency with new sustainable heating systems installation</w:t>
            </w:r>
          </w:p>
          <w:p w14:paraId="6226098C" w14:textId="3352244C" w:rsidR="005C6336" w:rsidRPr="003847A7" w:rsidRDefault="005C2CA2" w:rsidP="005C6336">
            <w:pPr>
              <w:rPr>
                <w:sz w:val="18"/>
                <w:szCs w:val="18"/>
              </w:rPr>
            </w:pPr>
            <w:r w:rsidRPr="00782BFD">
              <w:rPr>
                <w:rFonts w:ascii="Arial" w:hAnsi="Arial" w:cs="Arial"/>
                <w:sz w:val="18"/>
                <w:szCs w:val="18"/>
                <w:lang w:eastAsia="en-US"/>
              </w:rPr>
              <w:t xml:space="preserve">Creative solutions for transportation in the urban agglomeration </w:t>
            </w:r>
            <w:r w:rsidR="00D34DD4">
              <w:rPr>
                <w:sz w:val="18"/>
                <w:szCs w:val="18"/>
              </w:rPr>
              <w:t xml:space="preserve">of </w:t>
            </w:r>
            <w:r w:rsidRPr="00782BFD">
              <w:rPr>
                <w:rFonts w:ascii="Arial" w:hAnsi="Arial" w:cs="Arial"/>
                <w:sz w:val="18"/>
                <w:szCs w:val="18"/>
                <w:lang w:eastAsia="en-US"/>
              </w:rPr>
              <w:t xml:space="preserve">Craiova and CMA for better air quality and reduced pollution by means of green mobility </w:t>
            </w:r>
            <w:bookmarkEnd w:id="183"/>
          </w:p>
        </w:tc>
      </w:tr>
      <w:tr w:rsidR="005C6336" w:rsidRPr="003847A7" w14:paraId="4CE952DD" w14:textId="77777777" w:rsidTr="00964831">
        <w:trPr>
          <w:trHeight w:val="367"/>
        </w:trPr>
        <w:tc>
          <w:tcPr>
            <w:tcW w:w="2411" w:type="pct"/>
            <w:shd w:val="clear" w:color="auto" w:fill="auto"/>
            <w:tcMar>
              <w:top w:w="100" w:type="dxa"/>
              <w:left w:w="100" w:type="dxa"/>
              <w:bottom w:w="100" w:type="dxa"/>
              <w:right w:w="100" w:type="dxa"/>
            </w:tcMar>
          </w:tcPr>
          <w:p w14:paraId="73C2F7BA" w14:textId="77777777" w:rsidR="008D3E47" w:rsidRPr="003847A7" w:rsidRDefault="008D3E47" w:rsidP="00E42342">
            <w:pPr>
              <w:pStyle w:val="ListParagraph"/>
              <w:numPr>
                <w:ilvl w:val="0"/>
                <w:numId w:val="195"/>
              </w:numPr>
              <w:spacing w:line="240" w:lineRule="auto"/>
              <w:rPr>
                <w:sz w:val="18"/>
                <w:szCs w:val="18"/>
              </w:rPr>
            </w:pPr>
            <w:r w:rsidRPr="003847A7">
              <w:rPr>
                <w:rFonts w:eastAsia="Times New Roman"/>
                <w:color w:val="000000" w:themeColor="text1"/>
                <w:sz w:val="18"/>
                <w:szCs w:val="18"/>
                <w:lang w:eastAsia="en-GB"/>
              </w:rPr>
              <w:lastRenderedPageBreak/>
              <w:t xml:space="preserve">Exceeded effectiveness capacity of the existing mechanisms that deal with the unemployment problems, unprepared for a new impact that will be generated by the coming transition measures  </w:t>
            </w:r>
          </w:p>
          <w:p w14:paraId="19A68A97" w14:textId="42B468F9" w:rsidR="008D3E47" w:rsidRPr="003847A7" w:rsidRDefault="008D3E47" w:rsidP="00E42342">
            <w:pPr>
              <w:pStyle w:val="ListParagraph"/>
              <w:numPr>
                <w:ilvl w:val="0"/>
                <w:numId w:val="195"/>
              </w:numPr>
              <w:spacing w:after="60" w:line="240" w:lineRule="auto"/>
              <w:contextualSpacing w:val="0"/>
              <w:rPr>
                <w:color w:val="000000" w:themeColor="text1"/>
                <w:sz w:val="18"/>
                <w:szCs w:val="18"/>
              </w:rPr>
            </w:pPr>
            <w:r w:rsidRPr="003847A7">
              <w:rPr>
                <w:color w:val="000000" w:themeColor="text1"/>
                <w:sz w:val="18"/>
                <w:szCs w:val="18"/>
              </w:rPr>
              <w:t>The list of available education p</w:t>
            </w:r>
            <w:r w:rsidR="00D206E5">
              <w:rPr>
                <w:color w:val="000000" w:themeColor="text1"/>
                <w:sz w:val="18"/>
                <w:szCs w:val="18"/>
              </w:rPr>
              <w:t>rogrammes</w:t>
            </w:r>
            <w:r w:rsidRPr="003847A7">
              <w:rPr>
                <w:color w:val="000000" w:themeColor="text1"/>
                <w:sz w:val="18"/>
                <w:szCs w:val="18"/>
              </w:rPr>
              <w:t xml:space="preserve"> is a static one, many qualifications are outdated, do not reflect the real needs and do not anticipate new jobs and new professions </w:t>
            </w:r>
          </w:p>
          <w:p w14:paraId="251F8B9D" w14:textId="77777777" w:rsidR="008D3E47" w:rsidRPr="003847A7" w:rsidRDefault="008D3E47" w:rsidP="00E42342">
            <w:pPr>
              <w:pStyle w:val="ListParagraph"/>
              <w:numPr>
                <w:ilvl w:val="0"/>
                <w:numId w:val="195"/>
              </w:numPr>
              <w:spacing w:after="60" w:line="240" w:lineRule="auto"/>
              <w:contextualSpacing w:val="0"/>
              <w:rPr>
                <w:sz w:val="18"/>
                <w:szCs w:val="18"/>
              </w:rPr>
            </w:pPr>
            <w:r w:rsidRPr="003847A7">
              <w:rPr>
                <w:sz w:val="18"/>
                <w:szCs w:val="18"/>
              </w:rPr>
              <w:t>The share of long-term unemployment is significant in the county with 82% of the total unemployed in 2019</w:t>
            </w:r>
          </w:p>
          <w:p w14:paraId="463BC7D2" w14:textId="77777777" w:rsidR="008D3E47" w:rsidRPr="003847A7" w:rsidRDefault="008D3E47" w:rsidP="00E42342">
            <w:pPr>
              <w:pStyle w:val="ListParagraph"/>
              <w:numPr>
                <w:ilvl w:val="0"/>
                <w:numId w:val="195"/>
              </w:numPr>
              <w:spacing w:after="60" w:line="240" w:lineRule="auto"/>
              <w:contextualSpacing w:val="0"/>
              <w:rPr>
                <w:b/>
                <w:sz w:val="18"/>
                <w:szCs w:val="18"/>
              </w:rPr>
            </w:pPr>
            <w:r w:rsidRPr="003847A7">
              <w:rPr>
                <w:b/>
                <w:sz w:val="18"/>
                <w:szCs w:val="18"/>
              </w:rPr>
              <w:t>Inadequate social services infrastructure, insufficient service providers, low personnel qualification and poor territorial coverage</w:t>
            </w:r>
          </w:p>
          <w:p w14:paraId="7E6DAF8F" w14:textId="77777777" w:rsidR="008D3E47" w:rsidRPr="003847A7" w:rsidRDefault="008D3E47" w:rsidP="00E42342">
            <w:pPr>
              <w:pStyle w:val="ListParagraph"/>
              <w:numPr>
                <w:ilvl w:val="0"/>
                <w:numId w:val="195"/>
              </w:numPr>
              <w:spacing w:after="60" w:line="240" w:lineRule="auto"/>
              <w:contextualSpacing w:val="0"/>
              <w:rPr>
                <w:rFonts w:eastAsia="Times New Roman"/>
                <w:color w:val="000000" w:themeColor="text1"/>
                <w:sz w:val="18"/>
                <w:szCs w:val="18"/>
                <w:lang w:eastAsia="en-GB"/>
              </w:rPr>
            </w:pPr>
            <w:r w:rsidRPr="003847A7">
              <w:rPr>
                <w:sz w:val="18"/>
                <w:szCs w:val="18"/>
                <w:highlight w:val="white"/>
              </w:rPr>
              <w:t>Demographic</w:t>
            </w:r>
            <w:r w:rsidRPr="003847A7">
              <w:rPr>
                <w:sz w:val="18"/>
                <w:szCs w:val="18"/>
              </w:rPr>
              <w:t xml:space="preserve"> decline corroborated with temporary migration of residents to other countries or to other counties in Romania intensified in recent years </w:t>
            </w:r>
          </w:p>
          <w:p w14:paraId="50F4ECD8" w14:textId="19680359" w:rsidR="008D3E47" w:rsidRPr="003847A7" w:rsidRDefault="008D3E47" w:rsidP="00E42342">
            <w:pPr>
              <w:pStyle w:val="ListParagraph"/>
              <w:numPr>
                <w:ilvl w:val="0"/>
                <w:numId w:val="195"/>
              </w:numPr>
              <w:spacing w:after="60" w:line="240" w:lineRule="auto"/>
              <w:contextualSpacing w:val="0"/>
              <w:rPr>
                <w:i/>
                <w:sz w:val="18"/>
                <w:szCs w:val="18"/>
              </w:rPr>
            </w:pPr>
            <w:r w:rsidRPr="003847A7">
              <w:rPr>
                <w:sz w:val="18"/>
                <w:szCs w:val="18"/>
              </w:rPr>
              <w:t>Approximately 50% of the unemployed do not have the necessary level of education to access authorized professional training p</w:t>
            </w:r>
            <w:r w:rsidR="00D206E5">
              <w:rPr>
                <w:sz w:val="18"/>
                <w:szCs w:val="18"/>
              </w:rPr>
              <w:t>rogrammes</w:t>
            </w:r>
            <w:r w:rsidRPr="003847A7">
              <w:rPr>
                <w:sz w:val="18"/>
                <w:szCs w:val="18"/>
              </w:rPr>
              <w:t xml:space="preserve"> supported by the Workforce Agency  </w:t>
            </w:r>
          </w:p>
          <w:p w14:paraId="5F2F09E3" w14:textId="77777777" w:rsidR="008D3E47" w:rsidRPr="003847A7" w:rsidRDefault="008D3E47" w:rsidP="00E42342">
            <w:pPr>
              <w:pStyle w:val="CommentText"/>
              <w:numPr>
                <w:ilvl w:val="0"/>
                <w:numId w:val="195"/>
              </w:numPr>
              <w:spacing w:after="60"/>
              <w:rPr>
                <w:sz w:val="18"/>
                <w:szCs w:val="18"/>
              </w:rPr>
            </w:pPr>
            <w:r w:rsidRPr="003847A7">
              <w:rPr>
                <w:sz w:val="18"/>
                <w:szCs w:val="18"/>
              </w:rPr>
              <w:t>T</w:t>
            </w:r>
            <w:r w:rsidRPr="003847A7">
              <w:rPr>
                <w:color w:val="0F243E"/>
                <w:sz w:val="18"/>
                <w:szCs w:val="18"/>
              </w:rPr>
              <w:t xml:space="preserve">he technological and professional education curriculum is </w:t>
            </w:r>
            <w:r w:rsidRPr="003847A7">
              <w:rPr>
                <w:sz w:val="18"/>
                <w:szCs w:val="18"/>
              </w:rPr>
              <w:t>not fully adapted to the dynamics of the actual/ future business environment and teachers do not have sufficient skills in IT&amp;C/ digitalisation to be able to innovate their teaching methods</w:t>
            </w:r>
          </w:p>
          <w:p w14:paraId="3627C802" w14:textId="31B9CCDF" w:rsidR="005C6336" w:rsidRPr="003847A7" w:rsidRDefault="008D3E47" w:rsidP="00E42342">
            <w:pPr>
              <w:pStyle w:val="ListParagraph"/>
              <w:numPr>
                <w:ilvl w:val="0"/>
                <w:numId w:val="195"/>
              </w:numPr>
              <w:spacing w:after="60" w:line="240" w:lineRule="auto"/>
              <w:contextualSpacing w:val="0"/>
              <w:rPr>
                <w:sz w:val="18"/>
                <w:szCs w:val="18"/>
              </w:rPr>
            </w:pPr>
            <w:r w:rsidRPr="003847A7">
              <w:rPr>
                <w:sz w:val="18"/>
                <w:szCs w:val="18"/>
              </w:rPr>
              <w:t xml:space="preserve">There is a mismatch between the labour needs of SMEs and larger enterprises and the skills of the local workforce  </w:t>
            </w:r>
          </w:p>
        </w:tc>
        <w:tc>
          <w:tcPr>
            <w:tcW w:w="2588" w:type="pct"/>
            <w:shd w:val="clear" w:color="auto" w:fill="auto"/>
            <w:tcMar>
              <w:top w:w="100" w:type="dxa"/>
              <w:left w:w="100" w:type="dxa"/>
              <w:bottom w:w="100" w:type="dxa"/>
              <w:right w:w="100" w:type="dxa"/>
            </w:tcMar>
          </w:tcPr>
          <w:p w14:paraId="4ECC0999" w14:textId="1468AF09" w:rsidR="00707E4A" w:rsidRPr="0098453F" w:rsidRDefault="00DA17F4" w:rsidP="00707E4A">
            <w:pPr>
              <w:pStyle w:val="ListParagraph"/>
              <w:spacing w:line="240" w:lineRule="auto"/>
              <w:ind w:left="0" w:right="85"/>
              <w:rPr>
                <w:iCs/>
                <w:sz w:val="18"/>
                <w:szCs w:val="18"/>
              </w:rPr>
            </w:pPr>
            <w:r w:rsidRPr="003847A7">
              <w:rPr>
                <w:b/>
                <w:bCs/>
                <w:sz w:val="18"/>
                <w:szCs w:val="18"/>
                <w:lang w:val="en-US"/>
              </w:rPr>
              <w:t>Type 3:</w:t>
            </w:r>
            <w:r w:rsidRPr="003847A7">
              <w:rPr>
                <w:sz w:val="18"/>
                <w:szCs w:val="18"/>
                <w:lang w:val="en-US"/>
              </w:rPr>
              <w:t xml:space="preserve"> </w:t>
            </w:r>
            <w:r w:rsidR="00707E4A" w:rsidRPr="0098453F">
              <w:rPr>
                <w:iCs/>
                <w:sz w:val="18"/>
                <w:szCs w:val="18"/>
                <w:highlight w:val="white"/>
              </w:rPr>
              <w:t>Improving the employment situation in the county through upskilling/ reskilling p</w:t>
            </w:r>
            <w:r w:rsidR="00D206E5">
              <w:rPr>
                <w:iCs/>
                <w:sz w:val="18"/>
                <w:szCs w:val="18"/>
                <w:highlight w:val="white"/>
              </w:rPr>
              <w:t>rogrammes</w:t>
            </w:r>
            <w:r w:rsidR="00707E4A" w:rsidRPr="0098453F">
              <w:rPr>
                <w:iCs/>
                <w:sz w:val="18"/>
                <w:szCs w:val="18"/>
                <w:highlight w:val="white"/>
              </w:rPr>
              <w:t>, digiti</w:t>
            </w:r>
            <w:r w:rsidR="004E7B64">
              <w:rPr>
                <w:iCs/>
                <w:sz w:val="18"/>
                <w:szCs w:val="18"/>
                <w:highlight w:val="white"/>
              </w:rPr>
              <w:t>sation</w:t>
            </w:r>
            <w:r w:rsidR="00707E4A" w:rsidRPr="0098453F">
              <w:rPr>
                <w:iCs/>
                <w:sz w:val="18"/>
                <w:szCs w:val="18"/>
                <w:highlight w:val="white"/>
              </w:rPr>
              <w:t xml:space="preserve"> of the workforce services</w:t>
            </w:r>
          </w:p>
          <w:p w14:paraId="746F7059" w14:textId="77777777" w:rsidR="005C6336" w:rsidRDefault="005C6336" w:rsidP="008D3E47">
            <w:pPr>
              <w:rPr>
                <w:rFonts w:ascii="Arial" w:hAnsi="Arial" w:cs="Arial"/>
                <w:sz w:val="18"/>
                <w:szCs w:val="18"/>
                <w:lang w:val="en-US"/>
              </w:rPr>
            </w:pPr>
          </w:p>
          <w:p w14:paraId="0242CE50" w14:textId="71474B4D" w:rsidR="005C2CA2" w:rsidRDefault="005C2CA2" w:rsidP="005C2CA2">
            <w:pPr>
              <w:pStyle w:val="ListParagraph"/>
              <w:numPr>
                <w:ilvl w:val="0"/>
                <w:numId w:val="341"/>
              </w:numPr>
              <w:rPr>
                <w:sz w:val="18"/>
                <w:szCs w:val="18"/>
                <w:lang w:val="en-US"/>
              </w:rPr>
            </w:pPr>
            <w:r>
              <w:rPr>
                <w:sz w:val="18"/>
                <w:szCs w:val="18"/>
                <w:lang w:val="en-US"/>
              </w:rPr>
              <w:t xml:space="preserve">Upskilling/reskilling programmes for the </w:t>
            </w:r>
            <w:r>
              <w:rPr>
                <w:sz w:val="18"/>
                <w:szCs w:val="18"/>
              </w:rPr>
              <w:t>laid-off personnel</w:t>
            </w:r>
            <w:r w:rsidR="00010488">
              <w:rPr>
                <w:sz w:val="18"/>
                <w:szCs w:val="18"/>
              </w:rPr>
              <w:t xml:space="preserve"> and jobseeker assistance</w:t>
            </w:r>
          </w:p>
          <w:p w14:paraId="57F18E68" w14:textId="77777777" w:rsidR="005C2CA2" w:rsidRDefault="005C2CA2" w:rsidP="005C2CA2">
            <w:pPr>
              <w:pStyle w:val="ListParagraph"/>
              <w:numPr>
                <w:ilvl w:val="0"/>
                <w:numId w:val="341"/>
              </w:numPr>
              <w:rPr>
                <w:sz w:val="18"/>
                <w:szCs w:val="18"/>
                <w:lang w:val="en-US"/>
              </w:rPr>
            </w:pPr>
            <w:r>
              <w:rPr>
                <w:sz w:val="18"/>
                <w:szCs w:val="18"/>
                <w:lang w:val="en-US"/>
              </w:rPr>
              <w:t>Digitisation of the workforce services</w:t>
            </w:r>
          </w:p>
          <w:p w14:paraId="68F1003A" w14:textId="77777777" w:rsidR="005C2CA2" w:rsidRDefault="005C2CA2" w:rsidP="005C2CA2">
            <w:pPr>
              <w:pStyle w:val="ListParagraph"/>
              <w:numPr>
                <w:ilvl w:val="0"/>
                <w:numId w:val="341"/>
              </w:numPr>
              <w:rPr>
                <w:sz w:val="18"/>
                <w:szCs w:val="18"/>
                <w:lang w:val="en-US"/>
              </w:rPr>
            </w:pPr>
            <w:r>
              <w:rPr>
                <w:sz w:val="18"/>
                <w:szCs w:val="18"/>
                <w:lang w:val="en-US"/>
              </w:rPr>
              <w:t>Setting-up a “</w:t>
            </w:r>
            <w:r>
              <w:rPr>
                <w:sz w:val="18"/>
                <w:szCs w:val="18"/>
              </w:rPr>
              <w:t>Workforce Observatory” as an integrated and innovative research facility in the field of labour market and human resources</w:t>
            </w:r>
          </w:p>
          <w:p w14:paraId="1073FE24" w14:textId="00A296C1" w:rsidR="00DD0490" w:rsidRPr="003641DF" w:rsidRDefault="005C2CA2" w:rsidP="003641DF">
            <w:pPr>
              <w:pStyle w:val="ListParagraph"/>
              <w:numPr>
                <w:ilvl w:val="0"/>
                <w:numId w:val="341"/>
              </w:numPr>
              <w:rPr>
                <w:sz w:val="18"/>
                <w:szCs w:val="18"/>
                <w:lang w:val="en-US"/>
              </w:rPr>
            </w:pPr>
            <w:r>
              <w:rPr>
                <w:sz w:val="18"/>
                <w:szCs w:val="18"/>
                <w:lang w:val="en-US"/>
              </w:rPr>
              <w:t>Improving social services infrastructure, better coverage and adequacy</w:t>
            </w:r>
          </w:p>
        </w:tc>
      </w:tr>
    </w:tbl>
    <w:p w14:paraId="06C9296C" w14:textId="64AE3AC5" w:rsidR="00F9231F" w:rsidRDefault="00F9231F" w:rsidP="00F90DC9">
      <w:pPr>
        <w:jc w:val="both"/>
        <w:rPr>
          <w:rFonts w:ascii="Arial" w:hAnsi="Arial" w:cs="Arial"/>
          <w:sz w:val="20"/>
          <w:szCs w:val="20"/>
        </w:rPr>
      </w:pPr>
    </w:p>
    <w:p w14:paraId="0B1185F0" w14:textId="045A6798" w:rsidR="00F9231F" w:rsidRDefault="00F9231F" w:rsidP="00F90DC9">
      <w:pPr>
        <w:jc w:val="both"/>
        <w:rPr>
          <w:rFonts w:ascii="Arial" w:hAnsi="Arial" w:cs="Arial"/>
          <w:sz w:val="20"/>
          <w:szCs w:val="20"/>
        </w:rPr>
      </w:pPr>
    </w:p>
    <w:p w14:paraId="1B44E4A6" w14:textId="3D047126" w:rsidR="003847A7" w:rsidRDefault="003847A7" w:rsidP="00F90DC9">
      <w:pPr>
        <w:jc w:val="both"/>
        <w:rPr>
          <w:rFonts w:ascii="Arial" w:hAnsi="Arial" w:cs="Arial"/>
          <w:sz w:val="20"/>
          <w:szCs w:val="20"/>
        </w:rPr>
      </w:pPr>
    </w:p>
    <w:p w14:paraId="6E758529" w14:textId="2D82653D" w:rsidR="003847A7" w:rsidRDefault="003847A7" w:rsidP="00F90DC9">
      <w:pPr>
        <w:jc w:val="both"/>
        <w:rPr>
          <w:rFonts w:ascii="Arial" w:hAnsi="Arial" w:cs="Arial"/>
          <w:sz w:val="20"/>
          <w:szCs w:val="20"/>
        </w:rPr>
      </w:pPr>
    </w:p>
    <w:p w14:paraId="7E72AC00" w14:textId="103D69D9" w:rsidR="003847A7" w:rsidRDefault="003847A7" w:rsidP="00F90DC9">
      <w:pPr>
        <w:jc w:val="both"/>
        <w:rPr>
          <w:rFonts w:ascii="Arial" w:hAnsi="Arial" w:cs="Arial"/>
          <w:sz w:val="20"/>
          <w:szCs w:val="20"/>
        </w:rPr>
      </w:pPr>
    </w:p>
    <w:p w14:paraId="1F126866" w14:textId="203BDE3C" w:rsidR="003847A7" w:rsidRDefault="003847A7" w:rsidP="00F90DC9">
      <w:pPr>
        <w:jc w:val="both"/>
        <w:rPr>
          <w:rFonts w:ascii="Arial" w:hAnsi="Arial" w:cs="Arial"/>
          <w:sz w:val="20"/>
          <w:szCs w:val="20"/>
        </w:rPr>
      </w:pPr>
    </w:p>
    <w:p w14:paraId="33C95AB8" w14:textId="4EAA2427" w:rsidR="003847A7" w:rsidRDefault="003847A7" w:rsidP="00F90DC9">
      <w:pPr>
        <w:jc w:val="both"/>
        <w:rPr>
          <w:rFonts w:ascii="Arial" w:hAnsi="Arial" w:cs="Arial"/>
          <w:sz w:val="20"/>
          <w:szCs w:val="20"/>
        </w:rPr>
      </w:pPr>
    </w:p>
    <w:p w14:paraId="7039C7CD" w14:textId="73B3094B" w:rsidR="003847A7" w:rsidRDefault="003847A7" w:rsidP="00F90DC9">
      <w:pPr>
        <w:jc w:val="both"/>
        <w:rPr>
          <w:rFonts w:ascii="Arial" w:hAnsi="Arial" w:cs="Arial"/>
          <w:sz w:val="20"/>
          <w:szCs w:val="20"/>
        </w:rPr>
      </w:pPr>
    </w:p>
    <w:p w14:paraId="48ADC489" w14:textId="77777777" w:rsidR="003847A7" w:rsidRDefault="003847A7" w:rsidP="00F90DC9">
      <w:pPr>
        <w:jc w:val="both"/>
        <w:rPr>
          <w:rFonts w:ascii="Arial" w:hAnsi="Arial" w:cs="Arial"/>
          <w:sz w:val="20"/>
          <w:szCs w:val="20"/>
        </w:rPr>
        <w:sectPr w:rsidR="003847A7" w:rsidSect="003847A7">
          <w:headerReference w:type="default" r:id="rId109"/>
          <w:pgSz w:w="11909" w:h="16834"/>
          <w:pgMar w:top="1440" w:right="1440" w:bottom="1440" w:left="1530" w:header="720" w:footer="720" w:gutter="0"/>
          <w:cols w:space="720"/>
          <w:docGrid w:linePitch="326"/>
        </w:sectPr>
      </w:pPr>
    </w:p>
    <w:p w14:paraId="1F263AD1" w14:textId="1A8985E1" w:rsidR="005C2CA2" w:rsidRPr="006E7A76" w:rsidRDefault="00FB03F1" w:rsidP="006E7A76">
      <w:pPr>
        <w:pStyle w:val="Caption"/>
        <w:ind w:left="0" w:firstLine="0"/>
        <w:rPr>
          <w:lang w:val="en-US"/>
        </w:rPr>
      </w:pPr>
      <w:bookmarkStart w:id="184" w:name="_Toc90725993"/>
      <w:bookmarkStart w:id="185" w:name="_Toc90727290"/>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39</w:t>
      </w:r>
      <w:r w:rsidR="000B273D">
        <w:rPr>
          <w:noProof/>
        </w:rPr>
        <w:fldChar w:fldCharType="end"/>
      </w:r>
      <w:r>
        <w:t xml:space="preserve">: </w:t>
      </w:r>
      <w:r w:rsidRPr="003516DC">
        <w:t xml:space="preserve">Types of operations needed for </w:t>
      </w:r>
      <w:r>
        <w:t>Dolj</w:t>
      </w:r>
      <w:r w:rsidRPr="003516DC">
        <w:t xml:space="preserve"> County</w:t>
      </w:r>
      <w:bookmarkEnd w:id="184"/>
      <w:bookmarkEnd w:id="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5C2CA2" w:rsidRPr="005C2CA2" w14:paraId="60246B83" w14:textId="77777777" w:rsidTr="005C2CA2">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002060"/>
            <w:tcMar>
              <w:top w:w="100" w:type="dxa"/>
              <w:left w:w="100" w:type="dxa"/>
              <w:bottom w:w="100" w:type="dxa"/>
              <w:right w:w="100" w:type="dxa"/>
            </w:tcMar>
            <w:vAlign w:val="center"/>
            <w:hideMark/>
          </w:tcPr>
          <w:p w14:paraId="1E3E8942" w14:textId="77777777" w:rsidR="005C2CA2" w:rsidRPr="005C2CA2" w:rsidRDefault="005C2CA2" w:rsidP="005C2CA2">
            <w:pPr>
              <w:spacing w:line="276" w:lineRule="auto"/>
              <w:jc w:val="center"/>
              <w:rPr>
                <w:rFonts w:ascii="Arial" w:hAnsi="Arial" w:cs="Arial"/>
                <w:b/>
                <w:bCs/>
                <w:sz w:val="18"/>
                <w:szCs w:val="18"/>
                <w:highlight w:val="white"/>
              </w:rPr>
            </w:pPr>
            <w:r w:rsidRPr="005C2CA2">
              <w:rPr>
                <w:rFonts w:ascii="Arial" w:hAnsi="Arial" w:cs="Arial"/>
                <w:b/>
                <w:bCs/>
                <w:sz w:val="18"/>
                <w:szCs w:val="18"/>
              </w:rPr>
              <w:t>TYPES OF OPERATIONS NEEDED FOR DOLJ COUNTY</w:t>
            </w:r>
          </w:p>
        </w:tc>
      </w:tr>
      <w:tr w:rsidR="005C2CA2" w:rsidRPr="005C2CA2" w14:paraId="129CF83F" w14:textId="77777777" w:rsidTr="005C2CA2">
        <w:trPr>
          <w:trHeight w:val="737"/>
          <w:tblHeader/>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703D65D1" w14:textId="77777777" w:rsidR="005C2CA2" w:rsidRPr="005C2CA2" w:rsidRDefault="005C2CA2" w:rsidP="005C2CA2">
            <w:pPr>
              <w:spacing w:line="276" w:lineRule="auto"/>
              <w:rPr>
                <w:rFonts w:ascii="Arial" w:hAnsi="Arial" w:cs="Arial"/>
                <w:b/>
                <w:bCs/>
                <w:sz w:val="18"/>
                <w:szCs w:val="18"/>
              </w:rPr>
            </w:pPr>
            <w:r w:rsidRPr="005C2CA2">
              <w:rPr>
                <w:rFonts w:ascii="Arial" w:hAnsi="Arial" w:cs="Arial"/>
                <w:b/>
                <w:bCs/>
                <w:sz w:val="18"/>
                <w:szCs w:val="18"/>
              </w:rPr>
              <w:t>Degree of priority</w:t>
            </w:r>
          </w:p>
        </w:tc>
        <w:tc>
          <w:tcPr>
            <w:tcW w:w="1875"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7E77EBF9" w14:textId="3B039275" w:rsidR="005C2CA2" w:rsidRPr="005C2CA2" w:rsidRDefault="005C2CA2" w:rsidP="005C2CA2">
            <w:pPr>
              <w:spacing w:line="276" w:lineRule="auto"/>
              <w:jc w:val="both"/>
              <w:rPr>
                <w:rFonts w:ascii="Arial" w:hAnsi="Arial" w:cs="Arial"/>
                <w:b/>
                <w:bCs/>
                <w:sz w:val="18"/>
                <w:szCs w:val="18"/>
              </w:rPr>
            </w:pPr>
            <w:r w:rsidRPr="005C2CA2">
              <w:rPr>
                <w:rFonts w:ascii="Arial" w:hAnsi="Arial" w:cs="Arial"/>
                <w:b/>
                <w:bCs/>
                <w:sz w:val="18"/>
                <w:szCs w:val="18"/>
              </w:rPr>
              <w:t xml:space="preserve">Identified as priority to address the impact of the transition by the stakeholders and from the trends analysis and </w:t>
            </w:r>
            <w:r w:rsidR="00D33463">
              <w:rPr>
                <w:rFonts w:ascii="Arial" w:hAnsi="Arial" w:cs="Arial"/>
                <w:b/>
                <w:bCs/>
                <w:sz w:val="18"/>
                <w:szCs w:val="18"/>
              </w:rPr>
              <w:t>potentially</w:t>
            </w:r>
            <w:r w:rsidR="00D33463" w:rsidRPr="005C2CA2">
              <w:rPr>
                <w:rFonts w:ascii="Arial" w:hAnsi="Arial" w:cs="Arial"/>
                <w:b/>
                <w:bCs/>
                <w:sz w:val="18"/>
                <w:szCs w:val="18"/>
              </w:rPr>
              <w:t xml:space="preserve"> </w:t>
            </w:r>
            <w:r w:rsidRPr="005C2CA2">
              <w:rPr>
                <w:rFonts w:ascii="Arial" w:hAnsi="Arial" w:cs="Arial"/>
                <w:b/>
                <w:bCs/>
                <w:sz w:val="18"/>
                <w:szCs w:val="18"/>
              </w:rPr>
              <w:t>in scope of the JTF Regulation</w:t>
            </w:r>
          </w:p>
        </w:tc>
        <w:tc>
          <w:tcPr>
            <w:tcW w:w="154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59A4A2C5" w14:textId="21EB592A" w:rsidR="005C2CA2" w:rsidRPr="005C2CA2" w:rsidRDefault="005C2CA2" w:rsidP="005C2CA2">
            <w:pPr>
              <w:spacing w:line="276" w:lineRule="auto"/>
              <w:jc w:val="both"/>
              <w:rPr>
                <w:rFonts w:ascii="Arial" w:hAnsi="Arial" w:cs="Arial"/>
                <w:b/>
                <w:bCs/>
                <w:sz w:val="18"/>
                <w:szCs w:val="18"/>
              </w:rPr>
            </w:pPr>
            <w:r w:rsidRPr="005C2CA2">
              <w:rPr>
                <w:rFonts w:ascii="Arial" w:hAnsi="Arial" w:cs="Arial"/>
                <w:b/>
                <w:bCs/>
                <w:sz w:val="18"/>
                <w:szCs w:val="18"/>
              </w:rPr>
              <w:t xml:space="preserve">Identified as priority to address the impact of the transition by the stakeholders and from the trends analysis, </w:t>
            </w:r>
            <w:r w:rsidRPr="005C2CA2">
              <w:rPr>
                <w:rFonts w:ascii="Arial" w:hAnsi="Arial" w:cs="Arial"/>
                <w:b/>
                <w:sz w:val="18"/>
                <w:szCs w:val="18"/>
                <w:u w:val="single"/>
              </w:rPr>
              <w:t>not</w:t>
            </w:r>
            <w:r w:rsidRPr="005C2CA2">
              <w:rPr>
                <w:rFonts w:ascii="Arial" w:hAnsi="Arial" w:cs="Arial"/>
                <w:b/>
                <w:bCs/>
                <w:sz w:val="18"/>
                <w:szCs w:val="18"/>
              </w:rPr>
              <w:t xml:space="preserve"> in scope of the JTF Regulation (</w:t>
            </w:r>
            <w:r w:rsidRPr="00190BA4">
              <w:rPr>
                <w:rFonts w:ascii="Arial" w:hAnsi="Arial" w:cs="Arial"/>
                <w:b/>
                <w:bCs/>
                <w:sz w:val="18"/>
                <w:szCs w:val="18"/>
                <w:u w:val="single"/>
              </w:rPr>
              <w:t>therefore to be considered for other funding sources</w:t>
            </w:r>
            <w:r w:rsidRPr="005C2CA2">
              <w:rPr>
                <w:rFonts w:ascii="Arial" w:hAnsi="Arial" w:cs="Arial"/>
                <w:b/>
                <w:bCs/>
                <w:sz w:val="18"/>
                <w:szCs w:val="18"/>
              </w:rPr>
              <w:t>)</w:t>
            </w:r>
          </w:p>
        </w:tc>
        <w:tc>
          <w:tcPr>
            <w:tcW w:w="1097"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vAlign w:val="center"/>
            <w:hideMark/>
          </w:tcPr>
          <w:p w14:paraId="1C054E63" w14:textId="77777777" w:rsidR="005C2CA2" w:rsidRPr="005C2CA2" w:rsidRDefault="005C2CA2" w:rsidP="005C2CA2">
            <w:pPr>
              <w:spacing w:line="276" w:lineRule="auto"/>
              <w:jc w:val="both"/>
              <w:rPr>
                <w:rFonts w:ascii="Arial" w:hAnsi="Arial" w:cs="Arial"/>
                <w:b/>
                <w:bCs/>
                <w:sz w:val="18"/>
                <w:szCs w:val="18"/>
              </w:rPr>
            </w:pPr>
            <w:r w:rsidRPr="005C2CA2">
              <w:rPr>
                <w:rFonts w:ascii="Arial" w:hAnsi="Arial" w:cs="Arial"/>
                <w:b/>
                <w:bCs/>
                <w:sz w:val="18"/>
                <w:szCs w:val="18"/>
              </w:rPr>
              <w:t>Consistency of the type of operation with different national, regional, territorial strategies and plans</w:t>
            </w:r>
          </w:p>
        </w:tc>
      </w:tr>
      <w:tr w:rsidR="005C2CA2" w:rsidRPr="005C2CA2" w14:paraId="6DE8C6E2"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2AEC38EB" w14:textId="77777777" w:rsidR="005C2CA2" w:rsidRPr="005C2CA2" w:rsidRDefault="005C2CA2" w:rsidP="005C2CA2">
            <w:pPr>
              <w:spacing w:line="276" w:lineRule="auto"/>
              <w:jc w:val="both"/>
              <w:rPr>
                <w:rFonts w:ascii="Arial" w:hAnsi="Arial" w:cs="Arial"/>
                <w:sz w:val="18"/>
                <w:szCs w:val="18"/>
                <w:highlight w:val="white"/>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505368" w14:textId="77777777" w:rsidR="005C2CA2" w:rsidRPr="005C2CA2" w:rsidRDefault="005C2CA2" w:rsidP="005C2CA2">
            <w:pPr>
              <w:spacing w:after="160"/>
              <w:contextualSpacing/>
              <w:rPr>
                <w:rFonts w:ascii="Arial" w:eastAsia="Cambria" w:hAnsi="Arial" w:cs="Arial"/>
                <w:b/>
                <w:bCs/>
                <w:sz w:val="18"/>
                <w:szCs w:val="18"/>
                <w:lang w:val="en-US" w:eastAsia="en-US"/>
              </w:rPr>
            </w:pPr>
            <w:r w:rsidRPr="005C2CA2">
              <w:rPr>
                <w:rFonts w:ascii="Arial" w:eastAsia="Cambria" w:hAnsi="Arial" w:cs="Arial"/>
                <w:b/>
                <w:bCs/>
                <w:sz w:val="18"/>
                <w:szCs w:val="18"/>
                <w:lang w:val="en-US" w:eastAsia="en-US"/>
              </w:rPr>
              <w:t>Type 1: Economic diversification and sustainable entrepreneurship support as well as increasing access to research, innovation and digitisation:</w:t>
            </w:r>
          </w:p>
          <w:p w14:paraId="7B9C93EB" w14:textId="77777777" w:rsidR="005C2CA2" w:rsidRPr="005C2CA2" w:rsidRDefault="005C2CA2" w:rsidP="005C2CA2">
            <w:pPr>
              <w:spacing w:after="160"/>
              <w:contextualSpacing/>
              <w:rPr>
                <w:rFonts w:ascii="Arial" w:eastAsia="Cambria" w:hAnsi="Arial" w:cs="Arial"/>
                <w:sz w:val="18"/>
                <w:szCs w:val="18"/>
                <w:lang w:val="en-US" w:eastAsia="en-US"/>
              </w:rPr>
            </w:pPr>
          </w:p>
          <w:p w14:paraId="40E3A817" w14:textId="77777777" w:rsidR="005C2CA2" w:rsidRPr="005C2CA2" w:rsidRDefault="005C2CA2" w:rsidP="005C2CA2">
            <w:pPr>
              <w:numPr>
                <w:ilvl w:val="0"/>
                <w:numId w:val="345"/>
              </w:numPr>
              <w:spacing w:after="160" w:line="256" w:lineRule="auto"/>
              <w:contextualSpacing/>
              <w:rPr>
                <w:rFonts w:ascii="Arial" w:eastAsia="Cambria" w:hAnsi="Arial" w:cs="Arial"/>
                <w:sz w:val="18"/>
                <w:szCs w:val="18"/>
                <w:highlight w:val="white"/>
                <w:lang w:eastAsia="en-US"/>
              </w:rPr>
            </w:pPr>
            <w:r w:rsidRPr="005C2CA2">
              <w:rPr>
                <w:rFonts w:ascii="Arial" w:eastAsia="Cambria" w:hAnsi="Arial" w:cs="Arial"/>
                <w:sz w:val="18"/>
                <w:szCs w:val="18"/>
                <w:lang w:eastAsia="en-US"/>
              </w:rPr>
              <w:t>Sustainable entrepreneurship support, starting new businesses and developing/diversifying the activities of the existing SMEs in all areas with a focus on digitisation, new innovative technologies, energy efficiency, waste reduction, environmental protection etc. 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8B44ECC" w14:textId="77777777" w:rsidR="005C2CA2" w:rsidRPr="005C2CA2" w:rsidRDefault="005C2CA2" w:rsidP="005C2CA2">
            <w:pPr>
              <w:numPr>
                <w:ilvl w:val="0"/>
                <w:numId w:val="345"/>
              </w:numPr>
              <w:spacing w:after="160" w:line="256" w:lineRule="auto"/>
              <w:contextualSpacing/>
              <w:rPr>
                <w:rFonts w:ascii="Arial" w:eastAsia="Calibri" w:hAnsi="Arial" w:cs="Arial"/>
                <w:sz w:val="18"/>
                <w:szCs w:val="18"/>
                <w:lang w:eastAsia="en-US"/>
              </w:rPr>
            </w:pPr>
            <w:r w:rsidRPr="005C2CA2">
              <w:rPr>
                <w:rFonts w:ascii="Arial" w:hAnsi="Arial" w:cs="Arial"/>
                <w:sz w:val="18"/>
                <w:szCs w:val="18"/>
                <w:lang w:eastAsia="en-US"/>
              </w:rPr>
              <w:t>Transport infrastructure improvement and rehabilitation, better mobility conditions at national and local level.</w:t>
            </w:r>
          </w:p>
          <w:p w14:paraId="383FDD26" w14:textId="77777777" w:rsidR="005C2CA2" w:rsidRPr="005C2CA2" w:rsidRDefault="005C2CA2" w:rsidP="005C2CA2">
            <w:pPr>
              <w:numPr>
                <w:ilvl w:val="0"/>
                <w:numId w:val="345"/>
              </w:numPr>
              <w:spacing w:after="160" w:line="256" w:lineRule="auto"/>
              <w:contextualSpacing/>
              <w:rPr>
                <w:rFonts w:ascii="Arial" w:eastAsia="Cambria" w:hAnsi="Arial" w:cs="Arial"/>
                <w:sz w:val="18"/>
                <w:szCs w:val="18"/>
                <w:highlight w:val="white"/>
                <w:lang w:val="en-US" w:eastAsia="en-US"/>
              </w:rPr>
            </w:pPr>
            <w:r w:rsidRPr="005C2CA2">
              <w:rPr>
                <w:rFonts w:ascii="Arial" w:eastAsia="Calibri" w:hAnsi="Arial" w:cs="Arial"/>
                <w:sz w:val="18"/>
                <w:szCs w:val="18"/>
                <w:lang w:val="en-US" w:eastAsia="en-US"/>
              </w:rPr>
              <w:t>Essential infrastructure for utility and services rehabilitation (water, sewerage, natural gas etc.)</w:t>
            </w: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513CA28" w14:textId="77777777" w:rsidR="005C2CA2" w:rsidRPr="005C2CA2" w:rsidRDefault="005C2CA2" w:rsidP="005C2CA2">
            <w:pPr>
              <w:numPr>
                <w:ilvl w:val="0"/>
                <w:numId w:val="345"/>
              </w:numPr>
              <w:spacing w:before="240" w:after="60" w:line="256" w:lineRule="auto"/>
              <w:contextualSpacing/>
              <w:rPr>
                <w:rFonts w:ascii="Arial" w:eastAsia="Calibri" w:hAnsi="Arial" w:cs="Arial"/>
                <w:sz w:val="18"/>
                <w:szCs w:val="18"/>
                <w:lang w:eastAsia="en-US"/>
              </w:rPr>
            </w:pPr>
            <w:r w:rsidRPr="005C2CA2">
              <w:rPr>
                <w:rFonts w:ascii="Arial" w:hAnsi="Arial" w:cs="Arial"/>
                <w:sz w:val="18"/>
                <w:szCs w:val="18"/>
                <w:lang w:eastAsia="en-US"/>
              </w:rPr>
              <w:t>SW Oltenia Regional Development Plan, 2021-2027</w:t>
            </w:r>
          </w:p>
          <w:p w14:paraId="633F21B8"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Smart Specialisation Strategy RIS 3 SW Oltenia, 2021-2027</w:t>
            </w:r>
          </w:p>
          <w:p w14:paraId="07FD6ABC"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SW Oltenia Regional Operational Program, 2021-2027</w:t>
            </w:r>
          </w:p>
          <w:p w14:paraId="1FF46E70"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Research, Innovation and Smart Specialisation National Strategy (SNCISI),</w:t>
            </w:r>
            <w:r w:rsidRPr="005C2CA2">
              <w:rPr>
                <w:rFonts w:ascii="Arial" w:hAnsi="Arial" w:cs="Arial"/>
                <w:sz w:val="18"/>
                <w:szCs w:val="18"/>
                <w:highlight w:val="white"/>
                <w:lang w:eastAsia="en-US"/>
              </w:rPr>
              <w:t xml:space="preserve"> </w:t>
            </w:r>
            <w:r w:rsidRPr="005C2CA2">
              <w:rPr>
                <w:rFonts w:ascii="Arial" w:hAnsi="Arial" w:cs="Arial"/>
                <w:sz w:val="18"/>
                <w:szCs w:val="18"/>
                <w:lang w:eastAsia="en-US"/>
              </w:rPr>
              <w:t>2021-2027</w:t>
            </w:r>
          </w:p>
          <w:p w14:paraId="7F3D84BE"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National Recovery and Resilience Plan (RRP)</w:t>
            </w:r>
          </w:p>
          <w:p w14:paraId="761A66DB"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71CC3948"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1622B887" w14:textId="77777777" w:rsidR="005C2CA2" w:rsidRPr="005C2CA2" w:rsidRDefault="005C2CA2" w:rsidP="005C2CA2">
            <w:pPr>
              <w:spacing w:line="256" w:lineRule="auto"/>
              <w:rPr>
                <w:rFonts w:ascii="Arial" w:hAnsi="Arial" w:cs="Arial"/>
                <w:sz w:val="18"/>
                <w:szCs w:val="18"/>
                <w:highlight w:val="white"/>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D0DC039" w14:textId="77777777" w:rsidR="005C2CA2" w:rsidRPr="005C2CA2" w:rsidRDefault="005C2CA2" w:rsidP="005C2CA2">
            <w:pPr>
              <w:numPr>
                <w:ilvl w:val="0"/>
                <w:numId w:val="345"/>
              </w:numPr>
              <w:spacing w:after="160" w:line="256" w:lineRule="auto"/>
              <w:contextualSpacing/>
              <w:rPr>
                <w:rFonts w:ascii="Arial" w:eastAsia="Cambria" w:hAnsi="Arial" w:cs="Arial"/>
                <w:b/>
                <w:bCs/>
                <w:sz w:val="18"/>
                <w:szCs w:val="18"/>
                <w:lang w:eastAsia="en-US"/>
              </w:rPr>
            </w:pPr>
            <w:r w:rsidRPr="005C2CA2">
              <w:rPr>
                <w:rFonts w:ascii="Arial" w:hAnsi="Arial" w:cs="Arial"/>
                <w:sz w:val="18"/>
                <w:szCs w:val="18"/>
                <w:lang w:eastAsia="en-US"/>
              </w:rPr>
              <w:t xml:space="preserve">Economy diversification </w:t>
            </w:r>
            <w:r w:rsidRPr="005C2CA2">
              <w:rPr>
                <w:rFonts w:ascii="Arial" w:hAnsi="Arial" w:cs="Arial"/>
                <w:b/>
                <w:sz w:val="18"/>
                <w:szCs w:val="18"/>
                <w:lang w:eastAsia="en-US"/>
              </w:rPr>
              <w:t>by starting new businesses in manufacturing, in emerging industries</w:t>
            </w:r>
            <w:r w:rsidRPr="005C2CA2">
              <w:rPr>
                <w:rFonts w:ascii="Arial" w:hAnsi="Arial" w:cs="Arial"/>
                <w:sz w:val="18"/>
                <w:szCs w:val="18"/>
                <w:lang w:eastAsia="en-US"/>
              </w:rPr>
              <w:t xml:space="preserve"> that capitalize on the accessible, fresh raw material from agriculture, with sustainability and energy efficiency measures: </w:t>
            </w:r>
            <w:r w:rsidRPr="005C2CA2">
              <w:rPr>
                <w:rFonts w:ascii="Arial" w:hAnsi="Arial" w:cs="Arial"/>
                <w:b/>
                <w:i/>
                <w:sz w:val="18"/>
                <w:szCs w:val="18"/>
                <w:lang w:eastAsia="en-US"/>
              </w:rPr>
              <w:t>foods including milling-bakery, beverages, bear, alcohol, food canning, medicinal products etc. 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39438DB" w14:textId="77777777" w:rsidR="005C2CA2" w:rsidRPr="005C2CA2" w:rsidRDefault="005C2CA2" w:rsidP="005C2CA2">
            <w:pPr>
              <w:numPr>
                <w:ilvl w:val="0"/>
                <w:numId w:val="345"/>
              </w:numPr>
              <w:spacing w:after="160" w:line="256" w:lineRule="auto"/>
              <w:contextualSpacing/>
              <w:jc w:val="both"/>
              <w:rPr>
                <w:rFonts w:ascii="Arial" w:eastAsia="Calibri" w:hAnsi="Arial" w:cs="Arial"/>
                <w:sz w:val="18"/>
                <w:szCs w:val="18"/>
                <w:lang w:eastAsia="en-US"/>
              </w:rPr>
            </w:pPr>
            <w:r w:rsidRPr="005C2CA2">
              <w:rPr>
                <w:rFonts w:ascii="Arial" w:hAnsi="Arial" w:cs="Arial"/>
                <w:sz w:val="18"/>
                <w:szCs w:val="18"/>
                <w:lang w:eastAsia="en-US"/>
              </w:rPr>
              <w:t xml:space="preserve">Support from ATUs to build a sustainable network of vegetable and fruit freezing and deposit. </w:t>
            </w:r>
          </w:p>
          <w:p w14:paraId="0855DD7D"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Support for the rehabilitation of the areas/ territories affected by the climate change   primarily desertification phenomenon mitigation through reforestation and other specific actions.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11EB32A"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46A7C417"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42BE75FE" w14:textId="77777777" w:rsidR="005C2CA2" w:rsidRPr="005C2CA2" w:rsidRDefault="005C2CA2" w:rsidP="005C2CA2">
            <w:pPr>
              <w:spacing w:line="256" w:lineRule="auto"/>
              <w:rPr>
                <w:rFonts w:ascii="Arial" w:hAnsi="Arial" w:cs="Arial"/>
                <w:sz w:val="18"/>
                <w:szCs w:val="18"/>
                <w:highlight w:val="white"/>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FC16E69"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 xml:space="preserve">Economy diversification by capitalizing on the Danube perimeter potential, </w:t>
            </w:r>
            <w:r w:rsidRPr="005C2CA2">
              <w:rPr>
                <w:rFonts w:ascii="Arial" w:hAnsi="Arial" w:cs="Arial"/>
                <w:b/>
                <w:sz w:val="18"/>
                <w:szCs w:val="18"/>
                <w:lang w:eastAsia="en-US"/>
              </w:rPr>
              <w:t>starting new businesses in tourism or tourism connected,</w:t>
            </w:r>
            <w:r w:rsidRPr="005C2CA2">
              <w:rPr>
                <w:rFonts w:ascii="Arial" w:hAnsi="Arial" w:cs="Arial"/>
                <w:sz w:val="18"/>
                <w:szCs w:val="18"/>
                <w:lang w:eastAsia="en-US"/>
              </w:rPr>
              <w:t xml:space="preserve"> to creatively leverage the local resources and use the national/ international interconnectivity capacity (transportation, circuits maintenance, bicycle maintenance, events organisation, etc.). 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AB58384"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Support for the rehabilitation of the primary infrastructure in the Danube perimeter, the consolidation and rehabilitation of the Danube bank, the rehabilitation of the commercial and tourist port of Calafat.</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008342D6"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7D0F9DCE"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2D1A709D"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lastRenderedPageBreak/>
              <w:t>Medium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A5EF633" w14:textId="77777777" w:rsidR="005C2CA2" w:rsidRPr="005C2CA2" w:rsidRDefault="005C2CA2" w:rsidP="005C2CA2">
            <w:pPr>
              <w:numPr>
                <w:ilvl w:val="0"/>
                <w:numId w:val="345"/>
              </w:numPr>
              <w:spacing w:after="160" w:line="256" w:lineRule="auto"/>
              <w:contextualSpacing/>
              <w:rPr>
                <w:rFonts w:ascii="Arial" w:eastAsia="Calibri" w:hAnsi="Arial" w:cs="Arial"/>
                <w:sz w:val="18"/>
                <w:szCs w:val="18"/>
                <w:lang w:val="en-US" w:eastAsia="en-US"/>
              </w:rPr>
            </w:pPr>
            <w:r w:rsidRPr="005C2CA2">
              <w:rPr>
                <w:rFonts w:ascii="Arial" w:hAnsi="Arial" w:cs="Arial"/>
                <w:b/>
                <w:sz w:val="18"/>
                <w:szCs w:val="18"/>
                <w:lang w:eastAsia="en-US"/>
              </w:rPr>
              <w:t xml:space="preserve">Business nursery and industrial parks </w:t>
            </w:r>
            <w:r w:rsidRPr="005C2CA2">
              <w:rPr>
                <w:rFonts w:ascii="Arial" w:hAnsi="Arial" w:cs="Arial"/>
                <w:sz w:val="18"/>
                <w:szCs w:val="18"/>
                <w:lang w:eastAsia="en-US"/>
              </w:rPr>
              <w:t>set-up to support   new businesses to come forth and  innovative/ sustainable SMEs to grow, helping with  promotion, energy efficiency measures, sustainability, digitisation, security etc.. 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817E116"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Transport infrastructure improvement and rehabilitation, better interconnection parameters values at both national and local level.</w:t>
            </w:r>
          </w:p>
          <w:p w14:paraId="2722EBAD"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Essential infrastructure for utility and services rehabilitation (water, sewerage, natural gas etc.)</w:t>
            </w: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1B807CB"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SW Oltenia Regional Development Plan, 2021-2027</w:t>
            </w:r>
          </w:p>
          <w:p w14:paraId="0C0FB637"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Smart Specialisation Strategy RIS 3 SW Oltenia, 2021-2027</w:t>
            </w:r>
          </w:p>
          <w:p w14:paraId="51CE09B0"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SW Oltenia Regional Operational Program, 2021-2027</w:t>
            </w:r>
          </w:p>
          <w:p w14:paraId="68568E20"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Research, Innovation and Smart Specialisation National Strategy (SNCISI)</w:t>
            </w:r>
            <w:r w:rsidRPr="005C2CA2">
              <w:rPr>
                <w:rFonts w:ascii="Arial" w:hAnsi="Arial" w:cs="Arial"/>
                <w:sz w:val="18"/>
                <w:szCs w:val="18"/>
                <w:highlight w:val="white"/>
                <w:lang w:eastAsia="en-US"/>
              </w:rPr>
              <w:t>,</w:t>
            </w:r>
            <w:r w:rsidRPr="005C2CA2">
              <w:rPr>
                <w:rFonts w:ascii="Arial" w:hAnsi="Arial" w:cs="Arial"/>
                <w:sz w:val="18"/>
                <w:szCs w:val="18"/>
                <w:lang w:eastAsia="en-US"/>
              </w:rPr>
              <w:t>2021-2027</w:t>
            </w:r>
          </w:p>
          <w:p w14:paraId="5B975371"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National Recovery and Resilience Plan (RRP)</w:t>
            </w:r>
          </w:p>
          <w:p w14:paraId="5768EC84"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Dolj County Development Strategy, 2021-2027 (Draft)</w:t>
            </w:r>
          </w:p>
          <w:p w14:paraId="6F467551"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2F1E21C6"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5B25F1ED"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9BF084F" w14:textId="77777777" w:rsidR="005C2CA2" w:rsidRPr="005C2CA2" w:rsidRDefault="005C2CA2" w:rsidP="005C2CA2">
            <w:pPr>
              <w:numPr>
                <w:ilvl w:val="0"/>
                <w:numId w:val="345"/>
              </w:numPr>
              <w:spacing w:after="160" w:line="256" w:lineRule="auto"/>
              <w:contextualSpacing/>
              <w:rPr>
                <w:rFonts w:ascii="Arial" w:eastAsia="Calibri" w:hAnsi="Arial" w:cs="Arial"/>
                <w:b/>
                <w:sz w:val="18"/>
                <w:szCs w:val="18"/>
                <w:lang w:eastAsia="en-US"/>
              </w:rPr>
            </w:pPr>
            <w:r w:rsidRPr="005C2CA2">
              <w:rPr>
                <w:rFonts w:ascii="Arial" w:hAnsi="Arial" w:cs="Arial"/>
                <w:b/>
                <w:sz w:val="18"/>
                <w:szCs w:val="18"/>
                <w:lang w:eastAsia="en-US"/>
              </w:rPr>
              <w:t>Innovative HUBs set-up</w:t>
            </w:r>
            <w:r w:rsidRPr="005C2CA2">
              <w:rPr>
                <w:rFonts w:ascii="Arial" w:hAnsi="Arial" w:cs="Arial"/>
                <w:sz w:val="18"/>
                <w:szCs w:val="18"/>
                <w:lang w:eastAsia="en-US"/>
              </w:rPr>
              <w:t xml:space="preserve"> based on relevant partnerships between the business environment, research units (universities, public units, private units, etc.) and public administration to stimulate the technology transfer targeted primarily to </w:t>
            </w:r>
            <w:r w:rsidRPr="005C2CA2">
              <w:rPr>
                <w:rFonts w:ascii="Arial" w:hAnsi="Arial" w:cs="Arial"/>
                <w:b/>
                <w:i/>
                <w:sz w:val="18"/>
                <w:szCs w:val="18"/>
                <w:lang w:eastAsia="en-US"/>
              </w:rPr>
              <w:t>agro-food business, automotive,</w:t>
            </w:r>
            <w:r w:rsidRPr="005C2CA2">
              <w:rPr>
                <w:rFonts w:ascii="Arial" w:hAnsi="Arial" w:cs="Arial"/>
                <w:sz w:val="18"/>
                <w:szCs w:val="18"/>
                <w:lang w:eastAsia="en-US"/>
              </w:rPr>
              <w:t xml:space="preserve"> </w:t>
            </w:r>
            <w:r w:rsidRPr="005C2CA2">
              <w:rPr>
                <w:rFonts w:ascii="Arial" w:hAnsi="Arial" w:cs="Arial"/>
                <w:b/>
                <w:i/>
                <w:sz w:val="18"/>
                <w:szCs w:val="18"/>
                <w:lang w:eastAsia="en-US"/>
              </w:rPr>
              <w:t xml:space="preserve">construction, tourism, RES energy production and distribution </w:t>
            </w:r>
            <w:r w:rsidRPr="005C2CA2">
              <w:rPr>
                <w:rFonts w:ascii="Arial" w:hAnsi="Arial" w:cs="Arial"/>
                <w:sz w:val="18"/>
                <w:szCs w:val="18"/>
                <w:lang w:eastAsia="en-US"/>
              </w:rPr>
              <w:t>as well as</w:t>
            </w:r>
            <w:r w:rsidRPr="005C2CA2">
              <w:rPr>
                <w:rFonts w:ascii="Arial" w:hAnsi="Arial" w:cs="Arial"/>
                <w:b/>
                <w:i/>
                <w:sz w:val="18"/>
                <w:szCs w:val="18"/>
                <w:lang w:eastAsia="en-US"/>
              </w:rPr>
              <w:t xml:space="preserve"> </w:t>
            </w:r>
            <w:r w:rsidRPr="005C2CA2">
              <w:rPr>
                <w:rFonts w:ascii="Arial" w:hAnsi="Arial" w:cs="Arial"/>
                <w:sz w:val="18"/>
                <w:szCs w:val="18"/>
                <w:lang w:eastAsia="en-US"/>
              </w:rPr>
              <w:t>for</w:t>
            </w:r>
            <w:r w:rsidRPr="005C2CA2">
              <w:rPr>
                <w:rFonts w:ascii="Arial" w:hAnsi="Arial" w:cs="Arial"/>
                <w:b/>
                <w:i/>
                <w:sz w:val="18"/>
                <w:szCs w:val="18"/>
                <w:lang w:eastAsia="en-US"/>
              </w:rPr>
              <w:t xml:space="preserve"> circular economy and energy efficiency implementation and other. </w:t>
            </w:r>
            <w:r w:rsidRPr="005C2CA2">
              <w:rPr>
                <w:rFonts w:ascii="Arial" w:hAnsi="Arial" w:cs="Arial"/>
                <w:i/>
                <w:sz w:val="18"/>
                <w:szCs w:val="18"/>
                <w:lang w:eastAsia="en-US"/>
              </w:rPr>
              <w:t>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0AE982B"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Increasing the capacity of networking and partnerships creation, enhancing the efficiency while working in large groups and the ability to work collaboratively</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15105874"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0106E61D"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32027548"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35A2885" w14:textId="77777777" w:rsidR="005C2CA2" w:rsidRPr="005C2CA2" w:rsidRDefault="005C2CA2" w:rsidP="005C2CA2">
            <w:pPr>
              <w:numPr>
                <w:ilvl w:val="0"/>
                <w:numId w:val="345"/>
              </w:numPr>
              <w:spacing w:after="160" w:line="256" w:lineRule="auto"/>
              <w:contextualSpacing/>
              <w:rPr>
                <w:rFonts w:ascii="Arial" w:hAnsi="Arial" w:cs="Arial"/>
                <w:b/>
                <w:sz w:val="18"/>
                <w:szCs w:val="18"/>
                <w:lang w:eastAsia="en-US"/>
              </w:rPr>
            </w:pPr>
            <w:r w:rsidRPr="005C2CA2">
              <w:rPr>
                <w:rFonts w:ascii="Arial" w:hAnsi="Arial" w:cs="Arial"/>
                <w:sz w:val="18"/>
                <w:szCs w:val="18"/>
                <w:lang w:eastAsia="en-US"/>
              </w:rPr>
              <w:t xml:space="preserve">Construction industry stimulation along with other connected industries aimed at boosting the </w:t>
            </w:r>
            <w:r w:rsidRPr="005C2CA2">
              <w:rPr>
                <w:rFonts w:ascii="Arial" w:hAnsi="Arial" w:cs="Arial"/>
                <w:b/>
                <w:sz w:val="18"/>
                <w:szCs w:val="18"/>
                <w:lang w:eastAsia="en-US"/>
              </w:rPr>
              <w:t xml:space="preserve">energy efficient work for residential, business and public buildings </w:t>
            </w:r>
            <w:r w:rsidRPr="005C2CA2">
              <w:rPr>
                <w:rFonts w:ascii="Arial" w:hAnsi="Arial" w:cs="Arial"/>
                <w:sz w:val="18"/>
                <w:szCs w:val="18"/>
                <w:lang w:eastAsia="en-US"/>
              </w:rPr>
              <w:t>(thermal insulation, heating &amp; warm water supply from renewable energy sources etc.) O1</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54D1363B" w14:textId="77777777" w:rsidR="005C2CA2" w:rsidRPr="005C2CA2" w:rsidRDefault="005C2CA2" w:rsidP="005C2CA2">
            <w:pPr>
              <w:ind w:left="360"/>
              <w:contextualSpacing/>
              <w:jc w:val="both"/>
              <w:rPr>
                <w:rFonts w:ascii="Arial" w:hAnsi="Arial" w:cs="Arial"/>
                <w:sz w:val="18"/>
                <w:szCs w:val="18"/>
                <w:lang w:eastAsia="en-US"/>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1A4CF2"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1210AE85"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00B6A64E"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A16A18D"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 xml:space="preserve">Economy diversification and support in </w:t>
            </w:r>
            <w:r w:rsidRPr="005C2CA2">
              <w:rPr>
                <w:rFonts w:ascii="Arial" w:hAnsi="Arial" w:cs="Arial"/>
                <w:b/>
                <w:sz w:val="18"/>
                <w:szCs w:val="18"/>
                <w:lang w:eastAsia="en-US"/>
              </w:rPr>
              <w:t>endogen sustainable tourism,</w:t>
            </w:r>
            <w:r w:rsidRPr="005C2CA2">
              <w:rPr>
                <w:rFonts w:ascii="Arial" w:hAnsi="Arial" w:cs="Arial"/>
                <w:sz w:val="18"/>
                <w:szCs w:val="18"/>
                <w:lang w:eastAsia="en-US"/>
              </w:rPr>
              <w:t xml:space="preserve"> starting new businesses by using energy efficient facilities with accompanying measures such as waste reduction and selection, pollution reduction digitisation, improving processes and connectivity by using IT &amp; C. O1</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14091CC"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Facilitate the integrated tourism measures such as programmes and circuits including for short time (city break) solutions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35261C19"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1C776E77"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2503EA14"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237B8DD" w14:textId="29285260"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b/>
                <w:bCs/>
                <w:sz w:val="18"/>
                <w:szCs w:val="18"/>
                <w:lang w:eastAsia="en-US"/>
              </w:rPr>
              <w:t>Innovative digitisation of the public sector</w:t>
            </w:r>
            <w:r w:rsidRPr="005C2CA2">
              <w:rPr>
                <w:rFonts w:ascii="Arial" w:hAnsi="Arial" w:cs="Arial"/>
                <w:b/>
                <w:bCs/>
                <w:sz w:val="18"/>
                <w:szCs w:val="18"/>
                <w:vertAlign w:val="superscript"/>
                <w:lang w:eastAsia="en-US"/>
              </w:rPr>
              <w:footnoteReference w:id="90"/>
            </w:r>
            <w:r w:rsidRPr="005C2CA2">
              <w:rPr>
                <w:rFonts w:ascii="Arial" w:hAnsi="Arial" w:cs="Arial"/>
                <w:sz w:val="18"/>
                <w:szCs w:val="18"/>
                <w:lang w:eastAsia="en-US"/>
              </w:rPr>
              <w:t>, including integrated IT&amp;C systems, interconnectivity of the public Institutions IT&amp;C systems to support the decision process</w:t>
            </w:r>
            <w:r w:rsidR="00040796">
              <w:rPr>
                <w:rFonts w:ascii="Arial" w:hAnsi="Arial" w:cs="Arial"/>
                <w:sz w:val="18"/>
                <w:szCs w:val="18"/>
                <w:lang w:eastAsia="en-US"/>
              </w:rPr>
              <w:t>es for business permitting</w:t>
            </w:r>
            <w:r w:rsidRPr="005C2CA2">
              <w:rPr>
                <w:rFonts w:ascii="Arial" w:hAnsi="Arial" w:cs="Arial"/>
                <w:sz w:val="18"/>
                <w:szCs w:val="18"/>
                <w:lang w:eastAsia="en-US"/>
              </w:rPr>
              <w:t>, timely communication</w:t>
            </w:r>
            <w:r w:rsidR="00040796">
              <w:rPr>
                <w:rFonts w:ascii="Arial" w:hAnsi="Arial" w:cs="Arial"/>
                <w:sz w:val="18"/>
                <w:szCs w:val="18"/>
                <w:lang w:eastAsia="en-US"/>
              </w:rPr>
              <w:t xml:space="preserve"> with businesses</w:t>
            </w:r>
            <w:r w:rsidRPr="005C2CA2">
              <w:rPr>
                <w:rFonts w:ascii="Arial" w:hAnsi="Arial" w:cs="Arial"/>
                <w:sz w:val="18"/>
                <w:szCs w:val="18"/>
                <w:lang w:eastAsia="en-US"/>
              </w:rPr>
              <w:t>, response</w:t>
            </w:r>
            <w:r w:rsidR="00040796">
              <w:rPr>
                <w:rFonts w:ascii="Arial" w:hAnsi="Arial" w:cs="Arial"/>
                <w:sz w:val="18"/>
                <w:szCs w:val="18"/>
                <w:lang w:eastAsia="en-US"/>
              </w:rPr>
              <w:t xml:space="preserve"> rate</w:t>
            </w:r>
            <w:r w:rsidRPr="005C2CA2">
              <w:rPr>
                <w:rFonts w:ascii="Arial" w:hAnsi="Arial" w:cs="Arial"/>
                <w:sz w:val="18"/>
                <w:szCs w:val="18"/>
                <w:lang w:eastAsia="en-US"/>
              </w:rPr>
              <w:t xml:space="preserve"> improvement</w:t>
            </w:r>
            <w:r w:rsidR="00040796">
              <w:rPr>
                <w:rFonts w:ascii="Arial" w:hAnsi="Arial" w:cs="Arial"/>
                <w:sz w:val="18"/>
                <w:szCs w:val="18"/>
                <w:lang w:eastAsia="en-US"/>
              </w:rPr>
              <w:t xml:space="preserve"> vis-à-vis businesses and job-seekers, etc.</w:t>
            </w:r>
            <w:r w:rsidRPr="005C2CA2">
              <w:rPr>
                <w:rFonts w:ascii="Arial" w:hAnsi="Arial" w:cs="Arial"/>
                <w:sz w:val="18"/>
                <w:szCs w:val="18"/>
                <w:lang w:eastAsia="en-US"/>
              </w:rPr>
              <w:t xml:space="preserve"> </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EBBC795"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Planning the processes for the public institutions including necessary agreements such as data protection (GDPR) and legal  requirements.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14E47C0B"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07971ECD"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2CD5951C"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Low priority</w:t>
            </w:r>
          </w:p>
        </w:tc>
        <w:tc>
          <w:tcPr>
            <w:tcW w:w="1875" w:type="pct"/>
            <w:vMerge w:val="restar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18C630C3" w14:textId="77777777" w:rsidR="005C2CA2" w:rsidRPr="005C2CA2" w:rsidRDefault="005C2CA2" w:rsidP="005C2CA2">
            <w:pPr>
              <w:spacing w:after="160" w:line="256" w:lineRule="auto"/>
              <w:ind w:left="360"/>
              <w:contextualSpacing/>
              <w:rPr>
                <w:rFonts w:ascii="Arial" w:eastAsia="Calibri" w:hAnsi="Arial" w:cs="Arial"/>
                <w:b/>
                <w:bCs/>
                <w:sz w:val="18"/>
                <w:szCs w:val="18"/>
                <w:lang w:val="en-US" w:eastAsia="en-US"/>
              </w:rPr>
            </w:pP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649574D"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 xml:space="preserve">Entrepreneurship support in the </w:t>
            </w:r>
            <w:r w:rsidRPr="005C2CA2">
              <w:rPr>
                <w:rFonts w:ascii="Arial" w:hAnsi="Arial" w:cs="Arial"/>
                <w:bCs/>
                <w:sz w:val="18"/>
                <w:szCs w:val="18"/>
                <w:lang w:eastAsia="en-US"/>
              </w:rPr>
              <w:t xml:space="preserve">field of agro-zootechnics with </w:t>
            </w:r>
            <w:r w:rsidRPr="005C2CA2">
              <w:rPr>
                <w:rFonts w:ascii="Arial" w:hAnsi="Arial" w:cs="Arial"/>
                <w:sz w:val="18"/>
                <w:szCs w:val="18"/>
                <w:lang w:eastAsia="en-US"/>
              </w:rPr>
              <w:t>flows of animal waste disposal optimisation and management for biomass processing.</w:t>
            </w:r>
          </w:p>
        </w:tc>
        <w:tc>
          <w:tcPr>
            <w:tcW w:w="1097" w:type="pct"/>
            <w:vMerge w:val="restar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46A6C9C3"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7DD77D59"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4B855399" w14:textId="77777777" w:rsidR="005C2CA2" w:rsidRPr="005C2CA2" w:rsidRDefault="005C2CA2" w:rsidP="005C2CA2">
            <w:pPr>
              <w:spacing w:line="256" w:lineRule="auto"/>
              <w:rPr>
                <w:rFonts w:ascii="Arial" w:hAnsi="Arial" w:cs="Arial"/>
                <w:sz w:val="18"/>
                <w:szCs w:val="18"/>
              </w:rPr>
            </w:pPr>
          </w:p>
        </w:tc>
        <w:tc>
          <w:tcPr>
            <w:tcW w:w="1875" w:type="pct"/>
            <w:vMerge/>
            <w:tcBorders>
              <w:top w:val="single" w:sz="4" w:space="0" w:color="auto"/>
              <w:left w:val="single" w:sz="4" w:space="0" w:color="auto"/>
              <w:bottom w:val="single" w:sz="4" w:space="0" w:color="auto"/>
              <w:right w:val="single" w:sz="4" w:space="0" w:color="auto"/>
            </w:tcBorders>
            <w:vAlign w:val="center"/>
            <w:hideMark/>
          </w:tcPr>
          <w:p w14:paraId="54E4E61A" w14:textId="77777777" w:rsidR="005C2CA2" w:rsidRPr="005C2CA2" w:rsidRDefault="005C2CA2" w:rsidP="005C2CA2">
            <w:pPr>
              <w:spacing w:line="256" w:lineRule="auto"/>
              <w:rPr>
                <w:rFonts w:ascii="Arial" w:eastAsia="Calibri" w:hAnsi="Arial" w:cs="Arial"/>
                <w:b/>
                <w:bCs/>
                <w:sz w:val="18"/>
                <w:szCs w:val="18"/>
                <w:lang w:val="en-US" w:eastAsia="en-US"/>
              </w:rPr>
            </w:pP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C5C6542" w14:textId="77777777" w:rsidR="005C2CA2" w:rsidRPr="005C2CA2" w:rsidRDefault="005C2CA2" w:rsidP="005C2CA2">
            <w:pPr>
              <w:numPr>
                <w:ilvl w:val="0"/>
                <w:numId w:val="345"/>
              </w:numPr>
              <w:spacing w:after="160" w:line="256" w:lineRule="auto"/>
              <w:contextualSpacing/>
              <w:jc w:val="both"/>
              <w:rPr>
                <w:rFonts w:ascii="Arial" w:eastAsia="Calibri" w:hAnsi="Arial" w:cs="Arial"/>
                <w:sz w:val="18"/>
                <w:szCs w:val="18"/>
                <w:lang w:eastAsia="en-US"/>
              </w:rPr>
            </w:pPr>
            <w:r w:rsidRPr="005C2CA2">
              <w:rPr>
                <w:rFonts w:ascii="Arial" w:hAnsi="Arial" w:cs="Arial"/>
                <w:sz w:val="18"/>
                <w:szCs w:val="18"/>
                <w:lang w:eastAsia="en-US"/>
              </w:rPr>
              <w:t>Business stimulation in the field of organic farms and supporting the certification circuit / process in accordance with the legislation in force</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2FA591CF"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109F2F89"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4EF0C6A7"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601D04F" w14:textId="77777777" w:rsidR="005C2CA2" w:rsidRPr="005C2CA2" w:rsidRDefault="005C2CA2" w:rsidP="005C2CA2">
            <w:pPr>
              <w:spacing w:after="160" w:line="256" w:lineRule="auto"/>
              <w:rPr>
                <w:rFonts w:ascii="Arial" w:eastAsia="Calibri" w:hAnsi="Arial" w:cs="Arial"/>
                <w:b/>
                <w:sz w:val="18"/>
                <w:szCs w:val="18"/>
                <w:lang w:val="en-US" w:eastAsia="en-US"/>
              </w:rPr>
            </w:pPr>
            <w:r w:rsidRPr="005C2CA2">
              <w:rPr>
                <w:rFonts w:ascii="Arial" w:eastAsia="Calibri" w:hAnsi="Arial" w:cs="Arial"/>
                <w:b/>
                <w:sz w:val="18"/>
                <w:szCs w:val="18"/>
                <w:lang w:val="en-US" w:eastAsia="en-US"/>
              </w:rPr>
              <w:t>Type 2: O</w:t>
            </w:r>
            <w:r w:rsidRPr="005C2CA2">
              <w:rPr>
                <w:rFonts w:ascii="Arial" w:eastAsia="Calibri" w:hAnsi="Arial" w:cs="Arial"/>
                <w:b/>
                <w:sz w:val="18"/>
                <w:szCs w:val="18"/>
                <w:highlight w:val="white"/>
                <w:lang w:val="en-US" w:eastAsia="en-US"/>
              </w:rPr>
              <w:t>pportunities for investing in new technologies and infrastructure for green energy, pollution reduction and circular economy</w:t>
            </w:r>
          </w:p>
          <w:p w14:paraId="0EA11FCC" w14:textId="77777777" w:rsidR="005C2CA2" w:rsidRPr="005C2CA2" w:rsidRDefault="005C2CA2" w:rsidP="005C2CA2">
            <w:pPr>
              <w:numPr>
                <w:ilvl w:val="0"/>
                <w:numId w:val="345"/>
              </w:numPr>
              <w:spacing w:after="160" w:line="256" w:lineRule="auto"/>
              <w:contextualSpacing/>
              <w:rPr>
                <w:rFonts w:ascii="Arial" w:hAnsi="Arial" w:cs="Arial"/>
                <w:b/>
                <w:bCs/>
                <w:sz w:val="18"/>
                <w:szCs w:val="18"/>
                <w:lang w:eastAsia="en-US"/>
              </w:rPr>
            </w:pPr>
            <w:r w:rsidRPr="005C2CA2">
              <w:rPr>
                <w:rFonts w:ascii="Arial" w:hAnsi="Arial" w:cs="Arial"/>
                <w:b/>
                <w:sz w:val="18"/>
                <w:szCs w:val="18"/>
                <w:lang w:eastAsia="en-US"/>
              </w:rPr>
              <w:t>Solar power plants</w:t>
            </w:r>
            <w:r w:rsidRPr="005C2CA2">
              <w:rPr>
                <w:rFonts w:ascii="Arial" w:hAnsi="Arial" w:cs="Arial"/>
                <w:sz w:val="18"/>
                <w:szCs w:val="18"/>
                <w:lang w:eastAsia="en-US"/>
              </w:rPr>
              <w:t xml:space="preserve">/ </w:t>
            </w:r>
            <w:r w:rsidRPr="005C2CA2">
              <w:rPr>
                <w:rFonts w:ascii="Arial" w:hAnsi="Arial" w:cs="Arial"/>
                <w:b/>
                <w:sz w:val="18"/>
                <w:szCs w:val="18"/>
                <w:lang w:eastAsia="en-US"/>
              </w:rPr>
              <w:t>photovoltaic farms</w:t>
            </w:r>
            <w:r w:rsidRPr="005C2CA2">
              <w:rPr>
                <w:rFonts w:ascii="Arial" w:hAnsi="Arial" w:cs="Arial"/>
                <w:sz w:val="18"/>
                <w:szCs w:val="18"/>
                <w:lang w:eastAsia="en-US"/>
              </w:rPr>
              <w:t xml:space="preserve"> projects implementation and exploitation, including study of the optimal energy mix identification to ensure the production continuity (down-time reduction)</w:t>
            </w:r>
            <w:r w:rsidRPr="005C2CA2">
              <w:rPr>
                <w:rFonts w:ascii="Arial" w:hAnsi="Arial" w:cs="Arial"/>
                <w:b/>
                <w:sz w:val="18"/>
                <w:szCs w:val="18"/>
                <w:lang w:eastAsia="en-US"/>
              </w:rPr>
              <w:t>.</w:t>
            </w:r>
            <w:r w:rsidRPr="005C2CA2">
              <w:rPr>
                <w:rFonts w:ascii="Arial" w:hAnsi="Arial" w:cs="Arial"/>
                <w:sz w:val="18"/>
                <w:szCs w:val="18"/>
                <w:lang w:eastAsia="en-US"/>
              </w:rPr>
              <w:t xml:space="preserve"> O2</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564D9852" w14:textId="77777777" w:rsidR="005C2CA2" w:rsidRPr="005C2CA2" w:rsidRDefault="005C2CA2" w:rsidP="005C2CA2">
            <w:pPr>
              <w:jc w:val="both"/>
              <w:rPr>
                <w:rFonts w:ascii="Arial" w:eastAsia="Calibri" w:hAnsi="Arial" w:cs="Arial"/>
                <w:sz w:val="18"/>
                <w:szCs w:val="18"/>
                <w:lang w:val="en-US" w:eastAsia="en-US"/>
              </w:rPr>
            </w:pP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9D95901"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Dolj County Waste management Plan, 2019-2025</w:t>
            </w:r>
          </w:p>
          <w:p w14:paraId="223865B0"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 xml:space="preserve">Dolj County Land Improvement Plan. Development Stratregy and Subsequent Measures, July 2018 </w:t>
            </w:r>
          </w:p>
          <w:p w14:paraId="68A1E12F"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Dolj County Development Strategy, 2021-2027 (Draft)</w:t>
            </w:r>
          </w:p>
          <w:p w14:paraId="2548B685" w14:textId="77777777" w:rsidR="005C2CA2" w:rsidRPr="005C2CA2" w:rsidRDefault="005C2CA2" w:rsidP="005C2CA2">
            <w:pPr>
              <w:numPr>
                <w:ilvl w:val="0"/>
                <w:numId w:val="345"/>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Energy Strategy of Romania with the perspective of 2050, 16 November 2018</w:t>
            </w:r>
          </w:p>
          <w:p w14:paraId="718EDC1D" w14:textId="77777777" w:rsidR="005C2CA2" w:rsidRPr="005C2CA2" w:rsidRDefault="005C2CA2" w:rsidP="005C2CA2">
            <w:pPr>
              <w:ind w:left="360"/>
              <w:contextualSpacing/>
              <w:rPr>
                <w:rFonts w:ascii="Arial" w:eastAsia="Cambria" w:hAnsi="Arial" w:cs="Arial"/>
                <w:sz w:val="18"/>
                <w:szCs w:val="18"/>
                <w:highlight w:val="white"/>
                <w:lang w:val="en-US" w:eastAsia="en-US"/>
              </w:rPr>
            </w:pPr>
            <w:r w:rsidRPr="005C2CA2">
              <w:rPr>
                <w:rFonts w:ascii="Arial" w:eastAsia="Calibri" w:hAnsi="Arial" w:cs="Arial"/>
                <w:sz w:val="18"/>
                <w:szCs w:val="18"/>
                <w:lang w:val="en-US" w:eastAsia="en-US"/>
              </w:rPr>
              <w:lastRenderedPageBreak/>
              <w:t>Integrated National Plan for Energy and Climate Change (NECP), 2021-2030</w:t>
            </w:r>
          </w:p>
        </w:tc>
      </w:tr>
      <w:tr w:rsidR="005C2CA2" w:rsidRPr="005C2CA2" w14:paraId="63B36D74"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45EF5CEE"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ACCFF37" w14:textId="77777777" w:rsidR="005C2CA2" w:rsidRPr="005C2CA2" w:rsidRDefault="005C2CA2" w:rsidP="005C2CA2">
            <w:pPr>
              <w:numPr>
                <w:ilvl w:val="0"/>
                <w:numId w:val="345"/>
              </w:numPr>
              <w:spacing w:after="160" w:line="256" w:lineRule="auto"/>
              <w:contextualSpacing/>
              <w:rPr>
                <w:rFonts w:ascii="Arial" w:eastAsia="Calibri" w:hAnsi="Arial" w:cs="Arial"/>
                <w:b/>
                <w:sz w:val="18"/>
                <w:szCs w:val="18"/>
                <w:lang w:eastAsia="en-US"/>
              </w:rPr>
            </w:pPr>
            <w:r w:rsidRPr="005C2CA2">
              <w:rPr>
                <w:rFonts w:ascii="Arial" w:hAnsi="Arial" w:cs="Arial"/>
                <w:b/>
                <w:sz w:val="18"/>
                <w:szCs w:val="18"/>
                <w:lang w:eastAsia="en-US"/>
              </w:rPr>
              <w:t>Urban industrial sites rehabilitation</w:t>
            </w:r>
            <w:r w:rsidRPr="005C2CA2">
              <w:rPr>
                <w:rFonts w:ascii="Arial" w:hAnsi="Arial" w:cs="Arial"/>
                <w:sz w:val="18"/>
                <w:szCs w:val="18"/>
                <w:lang w:eastAsia="en-US"/>
              </w:rPr>
              <w:t xml:space="preserve"> and re-integration in the circuit through urban renewal projects, to create </w:t>
            </w:r>
            <w:r w:rsidRPr="005C2CA2">
              <w:rPr>
                <w:rFonts w:ascii="Arial" w:hAnsi="Arial" w:cs="Arial"/>
                <w:sz w:val="18"/>
                <w:szCs w:val="18"/>
                <w:lang w:eastAsia="en-US"/>
              </w:rPr>
              <w:lastRenderedPageBreak/>
              <w:t>green areas/ parks and recreational places, thus contributing to the 26 sqm of green space/ inhabitant goal (from only 13 sqm in Craiova in 2019). O2</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56791E8"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lastRenderedPageBreak/>
              <w:t xml:space="preserve">Exhaustive identification of the unused/ abandoned sites corroborated with a long-term </w:t>
            </w:r>
            <w:r w:rsidRPr="005C2CA2">
              <w:rPr>
                <w:rFonts w:ascii="Arial" w:hAnsi="Arial" w:cs="Arial"/>
                <w:sz w:val="18"/>
                <w:szCs w:val="18"/>
                <w:lang w:eastAsia="en-US"/>
              </w:rPr>
              <w:lastRenderedPageBreak/>
              <w:t>strategy/ plan prepared on the ground of relevant data about the sites such as contracts duration and owner obligations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21556293"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3C34650F"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757AE2FD"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Medium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662FAAD" w14:textId="77777777" w:rsidR="005C2CA2" w:rsidRPr="005C2CA2" w:rsidRDefault="005C2CA2" w:rsidP="005C2CA2">
            <w:pPr>
              <w:numPr>
                <w:ilvl w:val="0"/>
                <w:numId w:val="345"/>
              </w:numPr>
              <w:spacing w:after="160" w:line="256" w:lineRule="auto"/>
              <w:contextualSpacing/>
              <w:rPr>
                <w:rFonts w:ascii="Arial" w:eastAsia="Calibri" w:hAnsi="Arial" w:cs="Arial"/>
                <w:b/>
                <w:sz w:val="18"/>
                <w:szCs w:val="18"/>
                <w:lang w:val="en-US" w:eastAsia="en-US"/>
              </w:rPr>
            </w:pPr>
            <w:r w:rsidRPr="005C2CA2">
              <w:rPr>
                <w:rFonts w:ascii="Arial" w:hAnsi="Arial" w:cs="Arial"/>
                <w:b/>
                <w:sz w:val="18"/>
                <w:szCs w:val="18"/>
                <w:lang w:eastAsia="en-US"/>
              </w:rPr>
              <w:t>New sustainable heating systems installation</w:t>
            </w:r>
            <w:r w:rsidRPr="005C2CA2">
              <w:rPr>
                <w:rFonts w:ascii="Arial" w:hAnsi="Arial" w:cs="Arial"/>
                <w:sz w:val="18"/>
                <w:szCs w:val="18"/>
                <w:lang w:eastAsia="en-US"/>
              </w:rPr>
              <w:t xml:space="preserve"> to support energy efficiency and/ or replacement of inefficient district heating by using RES, small power plants for public/  business/  residential buildings. O2</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1E376E94" w14:textId="77777777" w:rsidR="005C2CA2" w:rsidRPr="005C2CA2" w:rsidRDefault="005C2CA2" w:rsidP="005C2CA2">
            <w:pPr>
              <w:ind w:left="360"/>
              <w:contextualSpacing/>
              <w:jc w:val="both"/>
              <w:rPr>
                <w:rFonts w:ascii="Arial" w:hAnsi="Arial" w:cs="Arial"/>
                <w:sz w:val="18"/>
                <w:szCs w:val="18"/>
                <w:lang w:eastAsia="en-US"/>
              </w:rPr>
            </w:pP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F99F24A" w14:textId="77777777" w:rsidR="005C2CA2" w:rsidRPr="005C2CA2" w:rsidRDefault="005C2CA2" w:rsidP="005C2CA2">
            <w:pPr>
              <w:numPr>
                <w:ilvl w:val="0"/>
                <w:numId w:val="346"/>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Dolj County Waste management Plan, 2019-2025</w:t>
            </w:r>
          </w:p>
          <w:p w14:paraId="5FF0E882" w14:textId="77777777" w:rsidR="005C2CA2" w:rsidRPr="005C2CA2" w:rsidRDefault="005C2CA2" w:rsidP="005C2CA2">
            <w:pPr>
              <w:numPr>
                <w:ilvl w:val="0"/>
                <w:numId w:val="346"/>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 xml:space="preserve">Dolj County Land Improvement Plan. Development Strategy and Subsequent Measures, July 2018 </w:t>
            </w:r>
          </w:p>
          <w:p w14:paraId="3814A515" w14:textId="77777777" w:rsidR="005C2CA2" w:rsidRPr="005C2CA2" w:rsidRDefault="005C2CA2" w:rsidP="005C2CA2">
            <w:pPr>
              <w:numPr>
                <w:ilvl w:val="0"/>
                <w:numId w:val="346"/>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Dolj County Air Quality Plan, 2020-2025</w:t>
            </w:r>
          </w:p>
          <w:p w14:paraId="0B0DF903" w14:textId="77777777" w:rsidR="005C2CA2" w:rsidRPr="005C2CA2" w:rsidRDefault="005C2CA2" w:rsidP="005C2CA2">
            <w:pPr>
              <w:numPr>
                <w:ilvl w:val="0"/>
                <w:numId w:val="346"/>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Dolj County Development Strategy, 2021-2027 (Draft)</w:t>
            </w:r>
          </w:p>
          <w:p w14:paraId="3216AE86" w14:textId="77777777" w:rsidR="005C2CA2" w:rsidRPr="005C2CA2" w:rsidRDefault="005C2CA2" w:rsidP="005C2CA2">
            <w:pPr>
              <w:numPr>
                <w:ilvl w:val="0"/>
                <w:numId w:val="346"/>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Energy Strategy of Romania with the perspective of 2050, 16 November 2018</w:t>
            </w:r>
          </w:p>
          <w:p w14:paraId="2B321AA1" w14:textId="77777777" w:rsidR="005C2CA2" w:rsidRPr="005C2CA2" w:rsidRDefault="005C2CA2" w:rsidP="005C2CA2">
            <w:pPr>
              <w:ind w:left="360"/>
              <w:contextualSpacing/>
              <w:rPr>
                <w:rFonts w:ascii="Arial" w:eastAsia="Cambria" w:hAnsi="Arial" w:cs="Arial"/>
                <w:sz w:val="18"/>
                <w:szCs w:val="18"/>
                <w:highlight w:val="white"/>
                <w:lang w:val="en-US" w:eastAsia="en-US"/>
              </w:rPr>
            </w:pPr>
            <w:r w:rsidRPr="005C2CA2">
              <w:rPr>
                <w:rFonts w:ascii="Arial" w:eastAsia="Calibri" w:hAnsi="Arial" w:cs="Arial"/>
                <w:sz w:val="18"/>
                <w:szCs w:val="18"/>
                <w:lang w:val="en-US" w:eastAsia="en-US"/>
              </w:rPr>
              <w:t>Integrated National Plan for Energy and Climate Change (NECP), 2021-2030</w:t>
            </w:r>
          </w:p>
        </w:tc>
      </w:tr>
      <w:tr w:rsidR="005C2CA2" w:rsidRPr="005C2CA2" w14:paraId="1FCD74CB"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4115D0BB"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CF57F6E" w14:textId="77777777" w:rsidR="005C2CA2" w:rsidRPr="005C2CA2" w:rsidRDefault="005C2CA2" w:rsidP="005C2CA2">
            <w:pPr>
              <w:numPr>
                <w:ilvl w:val="0"/>
                <w:numId w:val="345"/>
              </w:numPr>
              <w:spacing w:after="160" w:line="256" w:lineRule="auto"/>
              <w:contextualSpacing/>
              <w:rPr>
                <w:rFonts w:ascii="Arial" w:eastAsia="Calibri" w:hAnsi="Arial" w:cs="Arial"/>
                <w:b/>
                <w:sz w:val="18"/>
                <w:szCs w:val="18"/>
                <w:lang w:eastAsia="en-US"/>
              </w:rPr>
            </w:pPr>
            <w:r w:rsidRPr="005C2CA2">
              <w:rPr>
                <w:rFonts w:ascii="Arial" w:hAnsi="Arial" w:cs="Arial"/>
                <w:sz w:val="18"/>
                <w:szCs w:val="18"/>
                <w:lang w:eastAsia="en-US"/>
              </w:rPr>
              <w:t>Creative solutions for transportation in the urban agglomeration Craiova and CMA for better air quality and reduced pollution by means of green mobility, with a focus on clean public transportation/ electric vehicles, green transportation, inter-modality.</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71269592" w14:textId="77777777" w:rsidR="005C2CA2" w:rsidRPr="005C2CA2" w:rsidRDefault="005C2CA2" w:rsidP="005C2CA2">
            <w:pPr>
              <w:ind w:left="360"/>
              <w:contextualSpacing/>
              <w:jc w:val="both"/>
              <w:rPr>
                <w:rFonts w:ascii="Arial" w:hAnsi="Arial" w:cs="Arial"/>
                <w:sz w:val="18"/>
                <w:szCs w:val="18"/>
                <w:lang w:eastAsia="en-US"/>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044F08E"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1E7E9620"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2806574E"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65010B9"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Contaminated / potentially contaminated sites renaturation to include them in the nature circuit. O2</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89E4454"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Establishing a   long-term strategy/ plan prepared on the ground of relevant data about the sites such as contracts duration and owner obligations.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0AB00A0F"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6EE97610" w14:textId="77777777" w:rsidTr="005C2CA2">
        <w:trPr>
          <w:trHeight w:val="20"/>
        </w:trPr>
        <w:tc>
          <w:tcPr>
            <w:tcW w:w="479" w:type="pc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795217B2"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Low priority</w:t>
            </w:r>
          </w:p>
        </w:tc>
        <w:tc>
          <w:tcPr>
            <w:tcW w:w="1875"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5D641234" w14:textId="77777777" w:rsidR="005C2CA2" w:rsidRPr="005C2CA2" w:rsidRDefault="005C2CA2" w:rsidP="005C2CA2">
            <w:pPr>
              <w:spacing w:after="160" w:line="256" w:lineRule="auto"/>
              <w:rPr>
                <w:rFonts w:ascii="Arial" w:eastAsia="Calibri" w:hAnsi="Arial" w:cs="Arial"/>
                <w:sz w:val="18"/>
                <w:szCs w:val="18"/>
                <w:lang w:val="en-US" w:eastAsia="en-US"/>
              </w:rPr>
            </w:pP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31B4F8C" w14:textId="77777777" w:rsidR="005C2CA2" w:rsidRPr="005C2CA2" w:rsidRDefault="005C2CA2" w:rsidP="005C2CA2">
            <w:pPr>
              <w:numPr>
                <w:ilvl w:val="0"/>
                <w:numId w:val="345"/>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Biomass-based power plants implementation, flows creation for a local/ regional infrastructure for waste transport to the production capacity.</w:t>
            </w:r>
          </w:p>
          <w:p w14:paraId="29C794F6" w14:textId="77777777" w:rsidR="005C2CA2" w:rsidRPr="005C2CA2" w:rsidRDefault="005C2CA2" w:rsidP="005C2CA2">
            <w:pPr>
              <w:numPr>
                <w:ilvl w:val="0"/>
                <w:numId w:val="345"/>
              </w:numPr>
              <w:spacing w:after="160" w:line="256" w:lineRule="auto"/>
              <w:contextualSpacing/>
              <w:jc w:val="both"/>
              <w:rPr>
                <w:rFonts w:ascii="Arial" w:hAnsi="Arial" w:cs="Arial"/>
                <w:sz w:val="18"/>
                <w:szCs w:val="18"/>
                <w:lang w:eastAsia="en-US"/>
              </w:rPr>
            </w:pPr>
            <w:r w:rsidRPr="005C2CA2">
              <w:rPr>
                <w:rFonts w:ascii="Arial" w:hAnsi="Arial" w:cs="Arial"/>
                <w:sz w:val="18"/>
                <w:szCs w:val="18"/>
                <w:lang w:eastAsia="en-US"/>
              </w:rPr>
              <w:t>Farms for energy plants growing.</w:t>
            </w:r>
          </w:p>
        </w:tc>
        <w:tc>
          <w:tcPr>
            <w:tcW w:w="1097"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68AA78CE"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6514FCA8"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0D632DFD"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High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E80539" w14:textId="77777777" w:rsidR="005C2CA2" w:rsidRPr="005C2CA2" w:rsidRDefault="005C2CA2" w:rsidP="005C2CA2">
            <w:pPr>
              <w:spacing w:after="160" w:line="256" w:lineRule="auto"/>
              <w:rPr>
                <w:rFonts w:ascii="Arial" w:eastAsia="Calibri" w:hAnsi="Arial" w:cs="Arial"/>
                <w:b/>
                <w:sz w:val="18"/>
                <w:szCs w:val="18"/>
                <w:lang w:val="en-US" w:eastAsia="en-US"/>
              </w:rPr>
            </w:pPr>
            <w:r w:rsidRPr="005C2CA2">
              <w:rPr>
                <w:rFonts w:ascii="Arial" w:eastAsia="Calibri" w:hAnsi="Arial" w:cs="Arial"/>
                <w:b/>
                <w:sz w:val="18"/>
                <w:szCs w:val="18"/>
                <w:lang w:val="en-US" w:eastAsia="en-US"/>
              </w:rPr>
              <w:t xml:space="preserve">Type 3: </w:t>
            </w:r>
            <w:r w:rsidRPr="005C2CA2">
              <w:rPr>
                <w:rFonts w:ascii="Arial" w:eastAsia="Calibri" w:hAnsi="Arial" w:cs="Arial"/>
                <w:b/>
                <w:sz w:val="18"/>
                <w:szCs w:val="18"/>
                <w:highlight w:val="white"/>
                <w:lang w:val="en-US" w:eastAsia="en-US"/>
              </w:rPr>
              <w:t>Improving the employment situation in the county through upskilling/ reskilling programmes, digitisation of the workforce services</w:t>
            </w:r>
          </w:p>
          <w:p w14:paraId="501D2C08" w14:textId="5495F830"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b/>
                <w:sz w:val="18"/>
                <w:szCs w:val="18"/>
                <w:lang w:eastAsia="en-US"/>
              </w:rPr>
              <w:lastRenderedPageBreak/>
              <w:t>Upskilling/ reskilling programmes</w:t>
            </w:r>
            <w:r w:rsidRPr="005C2CA2">
              <w:rPr>
                <w:rFonts w:ascii="Arial" w:hAnsi="Arial" w:cs="Arial"/>
                <w:sz w:val="18"/>
                <w:szCs w:val="18"/>
                <w:lang w:eastAsia="en-US"/>
              </w:rPr>
              <w:t xml:space="preserve"> for the unemployed personnel as a result of the transition, both on immediate impact (CEO restructuring) and on long term impact, in various fields, both upskilling and reskilling</w:t>
            </w:r>
            <w:r w:rsidR="00010488">
              <w:rPr>
                <w:rFonts w:ascii="Arial" w:hAnsi="Arial" w:cs="Arial"/>
                <w:sz w:val="18"/>
                <w:szCs w:val="18"/>
                <w:lang w:eastAsia="en-US"/>
              </w:rPr>
              <w:t xml:space="preserve"> and </w:t>
            </w:r>
            <w:r w:rsidR="00010488" w:rsidRPr="00010488">
              <w:rPr>
                <w:rFonts w:ascii="Arial" w:hAnsi="Arial" w:cs="Arial"/>
                <w:sz w:val="18"/>
                <w:szCs w:val="18"/>
                <w:lang w:eastAsia="en-US"/>
              </w:rPr>
              <w:t>jobseeker assistance</w:t>
            </w:r>
            <w:r w:rsidRPr="005C2CA2">
              <w:rPr>
                <w:rFonts w:ascii="Arial" w:hAnsi="Arial" w:cs="Arial"/>
                <w:sz w:val="18"/>
                <w:szCs w:val="18"/>
                <w:lang w:eastAsia="en-US"/>
              </w:rPr>
              <w:t xml:space="preserve"> O3</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A2EFDF6"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lastRenderedPageBreak/>
              <w:t>Local and regional projects (ie. Dolj &amp;Gorj) for identification of new professions and their integration in the National Occupation Classification System.</w:t>
            </w:r>
          </w:p>
          <w:p w14:paraId="47D16BAE"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lastRenderedPageBreak/>
              <w:t xml:space="preserve">Workforce authorities procedures implementation to improve the adaptation to the labour market needs   </w:t>
            </w: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81CDD95"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lastRenderedPageBreak/>
              <w:t>Smart Specialisation Strategy RIS 3 SW Oltenia, 2021-2027</w:t>
            </w:r>
          </w:p>
          <w:p w14:paraId="166D8223"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Dolj County Development Strategy, 2021-2027 (Draft)</w:t>
            </w:r>
          </w:p>
          <w:p w14:paraId="02262680"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lastRenderedPageBreak/>
              <w:t>National Strategy for the Development of Initial Vocational Training in Dual System in Romania for 2020 – 2025</w:t>
            </w:r>
          </w:p>
          <w:p w14:paraId="0C9FAF4E" w14:textId="77777777" w:rsidR="005C2CA2" w:rsidRPr="005C2CA2" w:rsidRDefault="005C2CA2" w:rsidP="005C2CA2">
            <w:pPr>
              <w:ind w:left="360"/>
              <w:contextualSpacing/>
              <w:rPr>
                <w:rFonts w:ascii="Arial" w:eastAsia="Cambria" w:hAnsi="Arial" w:cs="Arial"/>
                <w:sz w:val="18"/>
                <w:szCs w:val="18"/>
                <w:highlight w:val="white"/>
                <w:lang w:val="en-US" w:eastAsia="en-US"/>
              </w:rPr>
            </w:pPr>
          </w:p>
        </w:tc>
      </w:tr>
      <w:tr w:rsidR="005C2CA2" w:rsidRPr="005C2CA2" w14:paraId="09C2DC0E"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712DA823"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9845F1" w14:textId="77777777" w:rsidR="005C2CA2" w:rsidRPr="005C2CA2" w:rsidRDefault="005C2CA2" w:rsidP="005C2CA2">
            <w:pPr>
              <w:numPr>
                <w:ilvl w:val="0"/>
                <w:numId w:val="347"/>
              </w:numPr>
              <w:spacing w:after="160" w:line="256" w:lineRule="auto"/>
              <w:contextualSpacing/>
              <w:rPr>
                <w:rFonts w:ascii="Arial" w:eastAsia="Calibri" w:hAnsi="Arial" w:cs="Arial"/>
                <w:b/>
                <w:sz w:val="18"/>
                <w:szCs w:val="18"/>
                <w:lang w:eastAsia="en-US"/>
              </w:rPr>
            </w:pPr>
            <w:r w:rsidRPr="005C2CA2">
              <w:rPr>
                <w:rFonts w:ascii="Arial" w:hAnsi="Arial" w:cs="Arial"/>
                <w:b/>
                <w:sz w:val="18"/>
                <w:szCs w:val="18"/>
                <w:lang w:eastAsia="en-US"/>
              </w:rPr>
              <w:t>Digitisation of the workforce services</w:t>
            </w:r>
            <w:r w:rsidRPr="005C2CA2">
              <w:rPr>
                <w:rFonts w:ascii="Arial" w:hAnsi="Arial" w:cs="Arial"/>
                <w:sz w:val="18"/>
                <w:szCs w:val="18"/>
                <w:lang w:eastAsia="en-US"/>
              </w:rPr>
              <w:t xml:space="preserve">, information systems creation to consolidate all the data for labour market at the level of public authorities AJOFM, ISJ, CRFPA and training providers business community, providing up-to-date </w:t>
            </w:r>
            <w:r w:rsidRPr="005C2CA2">
              <w:rPr>
                <w:rFonts w:ascii="Arial" w:hAnsi="Arial" w:cs="Arial"/>
                <w:b/>
                <w:sz w:val="18"/>
                <w:szCs w:val="18"/>
                <w:lang w:eastAsia="en-US"/>
              </w:rPr>
              <w:t>information about new professions</w:t>
            </w:r>
            <w:r w:rsidRPr="005C2CA2">
              <w:rPr>
                <w:rFonts w:ascii="Arial" w:hAnsi="Arial" w:cs="Arial"/>
                <w:sz w:val="18"/>
                <w:szCs w:val="18"/>
                <w:lang w:eastAsia="en-US"/>
              </w:rPr>
              <w:t>, potential, requirements, competition, etc. including evaluation and counselling support. O3</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FC018E1"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Planning the framework for the processes harmonisation, including necessary agreements such as cyber security and GDPR requirements.</w:t>
            </w:r>
          </w:p>
          <w:p w14:paraId="5787199F"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Training of the institutions’ employees</w:t>
            </w: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4EED734"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r w:rsidR="005C2CA2" w:rsidRPr="005C2CA2" w14:paraId="00D0AECD" w14:textId="77777777" w:rsidTr="005C2CA2">
        <w:trPr>
          <w:trHeight w:val="20"/>
        </w:trPr>
        <w:tc>
          <w:tcPr>
            <w:tcW w:w="479" w:type="pct"/>
            <w:vMerge w:val="restart"/>
            <w:tcBorders>
              <w:top w:val="single" w:sz="4" w:space="0" w:color="auto"/>
              <w:left w:val="single" w:sz="4" w:space="0" w:color="auto"/>
              <w:bottom w:val="single" w:sz="4" w:space="0" w:color="auto"/>
              <w:right w:val="single" w:sz="4" w:space="0" w:color="auto"/>
            </w:tcBorders>
            <w:shd w:val="clear" w:color="auto" w:fill="C6D9F1"/>
            <w:tcMar>
              <w:top w:w="100" w:type="dxa"/>
              <w:left w:w="100" w:type="dxa"/>
              <w:bottom w:w="100" w:type="dxa"/>
              <w:right w:w="100" w:type="dxa"/>
            </w:tcMar>
            <w:hideMark/>
          </w:tcPr>
          <w:p w14:paraId="1380C9CC" w14:textId="77777777" w:rsidR="005C2CA2" w:rsidRPr="005C2CA2" w:rsidRDefault="005C2CA2" w:rsidP="005C2CA2">
            <w:pPr>
              <w:spacing w:line="276" w:lineRule="auto"/>
              <w:jc w:val="both"/>
              <w:rPr>
                <w:rFonts w:ascii="Arial" w:hAnsi="Arial" w:cs="Arial"/>
                <w:sz w:val="18"/>
                <w:szCs w:val="18"/>
              </w:rPr>
            </w:pPr>
            <w:r w:rsidRPr="005C2CA2">
              <w:rPr>
                <w:rFonts w:ascii="Arial" w:hAnsi="Arial" w:cs="Arial"/>
                <w:sz w:val="18"/>
                <w:szCs w:val="18"/>
              </w:rPr>
              <w:t>Medium priority</w:t>
            </w: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ECA603D" w14:textId="77777777" w:rsidR="005C2CA2" w:rsidRPr="005C2CA2" w:rsidRDefault="005C2CA2" w:rsidP="005C2CA2">
            <w:pPr>
              <w:numPr>
                <w:ilvl w:val="0"/>
                <w:numId w:val="347"/>
              </w:numPr>
              <w:spacing w:after="160" w:line="256" w:lineRule="auto"/>
              <w:contextualSpacing/>
              <w:rPr>
                <w:rFonts w:ascii="Arial" w:eastAsia="Calibri" w:hAnsi="Arial" w:cs="Arial"/>
                <w:b/>
                <w:sz w:val="18"/>
                <w:szCs w:val="18"/>
                <w:lang w:val="en-US" w:eastAsia="en-US"/>
              </w:rPr>
            </w:pPr>
            <w:r w:rsidRPr="005C2CA2">
              <w:rPr>
                <w:rFonts w:ascii="Arial" w:hAnsi="Arial" w:cs="Arial"/>
                <w:sz w:val="18"/>
                <w:szCs w:val="18"/>
                <w:lang w:eastAsia="en-US"/>
              </w:rPr>
              <w:t>Integrated, innovative research in the field of labour market and human resources “Workforce Observatory” that will focus on the anticipation and matching of the business trends/ qualifications. This facility</w:t>
            </w:r>
            <w:r w:rsidRPr="005C2CA2">
              <w:rPr>
                <w:rFonts w:ascii="Arial" w:hAnsi="Arial" w:cs="Arial"/>
                <w:b/>
                <w:sz w:val="18"/>
                <w:szCs w:val="18"/>
                <w:lang w:eastAsia="en-US"/>
              </w:rPr>
              <w:t xml:space="preserve"> can cover also Gorj county tightly connected in terms of workforce patterns</w:t>
            </w:r>
            <w:r w:rsidRPr="005C2CA2">
              <w:rPr>
                <w:rFonts w:ascii="Arial" w:hAnsi="Arial" w:cs="Arial"/>
                <w:sz w:val="18"/>
                <w:szCs w:val="18"/>
                <w:lang w:eastAsia="en-US"/>
              </w:rPr>
              <w:t>. O3</w:t>
            </w:r>
          </w:p>
        </w:tc>
        <w:tc>
          <w:tcPr>
            <w:tcW w:w="154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4DAE8CA" w14:textId="77777777" w:rsidR="005C2CA2" w:rsidRPr="005C2CA2" w:rsidRDefault="005C2CA2" w:rsidP="005C2CA2">
            <w:pPr>
              <w:numPr>
                <w:ilvl w:val="0"/>
                <w:numId w:val="347"/>
              </w:numPr>
              <w:spacing w:before="240" w:after="60" w:line="256" w:lineRule="auto"/>
              <w:contextualSpacing/>
              <w:rPr>
                <w:rFonts w:ascii="Arial" w:hAnsi="Arial" w:cs="Arial"/>
                <w:sz w:val="18"/>
                <w:szCs w:val="18"/>
                <w:lang w:eastAsia="en-US"/>
              </w:rPr>
            </w:pPr>
            <w:r w:rsidRPr="005C2CA2">
              <w:rPr>
                <w:rFonts w:ascii="Arial" w:hAnsi="Arial" w:cs="Arial"/>
                <w:sz w:val="18"/>
                <w:szCs w:val="18"/>
                <w:lang w:eastAsia="en-US"/>
              </w:rPr>
              <w:t xml:space="preserve">Workforce authorities procedures creation to improve the adaptation to the labour market needs  </w:t>
            </w:r>
          </w:p>
        </w:tc>
        <w:tc>
          <w:tcPr>
            <w:tcW w:w="1097" w:type="pct"/>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D21650D" w14:textId="77777777" w:rsidR="005C2CA2" w:rsidRPr="005C2CA2" w:rsidRDefault="005C2CA2" w:rsidP="005C2CA2">
            <w:pPr>
              <w:numPr>
                <w:ilvl w:val="0"/>
                <w:numId w:val="347"/>
              </w:numPr>
              <w:spacing w:after="160" w:line="256" w:lineRule="auto"/>
              <w:contextualSpacing/>
              <w:rPr>
                <w:rFonts w:ascii="Arial" w:hAnsi="Arial" w:cs="Arial"/>
                <w:sz w:val="18"/>
                <w:szCs w:val="18"/>
                <w:lang w:eastAsia="en-US"/>
              </w:rPr>
            </w:pPr>
            <w:r w:rsidRPr="005C2CA2">
              <w:rPr>
                <w:rFonts w:ascii="Arial" w:hAnsi="Arial" w:cs="Arial"/>
                <w:sz w:val="18"/>
                <w:szCs w:val="18"/>
                <w:lang w:eastAsia="en-US"/>
              </w:rPr>
              <w:t>Smart Specialisation Strategy RIS 3 SW Oltenia, 2021-2027</w:t>
            </w:r>
          </w:p>
          <w:p w14:paraId="252E6B22" w14:textId="77777777" w:rsidR="005C2CA2" w:rsidRPr="005C2CA2" w:rsidRDefault="005C2CA2" w:rsidP="005C2CA2">
            <w:pPr>
              <w:ind w:left="360"/>
              <w:contextualSpacing/>
              <w:rPr>
                <w:rFonts w:ascii="Arial" w:eastAsia="Cambria" w:hAnsi="Arial" w:cs="Arial"/>
                <w:sz w:val="18"/>
                <w:szCs w:val="18"/>
                <w:highlight w:val="white"/>
                <w:lang w:val="en-US" w:eastAsia="en-US"/>
              </w:rPr>
            </w:pPr>
            <w:r w:rsidRPr="005C2CA2">
              <w:rPr>
                <w:rFonts w:ascii="Arial" w:eastAsia="Calibri" w:hAnsi="Arial" w:cs="Arial"/>
                <w:sz w:val="18"/>
                <w:szCs w:val="18"/>
                <w:lang w:val="en-US" w:eastAsia="en-US"/>
              </w:rPr>
              <w:t>Dolj County Development Strategy, 2021-2027 (Draft)</w:t>
            </w:r>
          </w:p>
        </w:tc>
      </w:tr>
      <w:tr w:rsidR="005C2CA2" w:rsidRPr="005C2CA2" w14:paraId="315CAE53" w14:textId="77777777" w:rsidTr="005C2CA2">
        <w:trPr>
          <w:trHeight w:val="20"/>
        </w:trPr>
        <w:tc>
          <w:tcPr>
            <w:tcW w:w="479" w:type="pct"/>
            <w:vMerge/>
            <w:tcBorders>
              <w:top w:val="single" w:sz="4" w:space="0" w:color="auto"/>
              <w:left w:val="single" w:sz="4" w:space="0" w:color="auto"/>
              <w:bottom w:val="single" w:sz="4" w:space="0" w:color="auto"/>
              <w:right w:val="single" w:sz="4" w:space="0" w:color="auto"/>
            </w:tcBorders>
            <w:vAlign w:val="center"/>
            <w:hideMark/>
          </w:tcPr>
          <w:p w14:paraId="60CEB1D5" w14:textId="77777777" w:rsidR="005C2CA2" w:rsidRPr="005C2CA2" w:rsidRDefault="005C2CA2" w:rsidP="005C2CA2">
            <w:pPr>
              <w:spacing w:line="256" w:lineRule="auto"/>
              <w:rPr>
                <w:rFonts w:ascii="Arial" w:hAnsi="Arial" w:cs="Arial"/>
                <w:sz w:val="18"/>
                <w:szCs w:val="18"/>
              </w:rPr>
            </w:pPr>
          </w:p>
        </w:tc>
        <w:tc>
          <w:tcPr>
            <w:tcW w:w="1875"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4891D88" w14:textId="77777777" w:rsidR="005C2CA2" w:rsidRPr="005C2CA2" w:rsidRDefault="005C2CA2" w:rsidP="005C2CA2">
            <w:pPr>
              <w:numPr>
                <w:ilvl w:val="0"/>
                <w:numId w:val="347"/>
              </w:numPr>
              <w:spacing w:after="160" w:line="256" w:lineRule="auto"/>
              <w:contextualSpacing/>
              <w:rPr>
                <w:rFonts w:ascii="Arial" w:eastAsia="Calibri" w:hAnsi="Arial" w:cs="Arial"/>
                <w:sz w:val="18"/>
                <w:szCs w:val="18"/>
                <w:lang w:eastAsia="en-US"/>
              </w:rPr>
            </w:pPr>
            <w:r w:rsidRPr="005C2CA2">
              <w:rPr>
                <w:rFonts w:ascii="Arial" w:hAnsi="Arial" w:cs="Arial"/>
                <w:b/>
                <w:sz w:val="18"/>
                <w:szCs w:val="18"/>
                <w:lang w:eastAsia="en-US"/>
              </w:rPr>
              <w:t>Social services infrastructure</w:t>
            </w:r>
            <w:r w:rsidRPr="005C2CA2">
              <w:rPr>
                <w:rFonts w:ascii="Arial" w:hAnsi="Arial" w:cs="Arial"/>
                <w:sz w:val="18"/>
                <w:szCs w:val="18"/>
                <w:lang w:eastAsia="en-US"/>
              </w:rPr>
              <w:t xml:space="preserve"> improvement, better coverage and adequacy assuring, new social service centres public and private creation with a focus on the poor areas and communities.</w:t>
            </w:r>
          </w:p>
        </w:tc>
        <w:tc>
          <w:tcPr>
            <w:tcW w:w="1549" w:type="pct"/>
            <w:tcBorders>
              <w:top w:val="single" w:sz="4" w:space="0" w:color="auto"/>
              <w:left w:val="single" w:sz="4" w:space="0" w:color="auto"/>
              <w:bottom w:val="single" w:sz="4" w:space="0" w:color="auto"/>
              <w:right w:val="single" w:sz="4" w:space="0" w:color="auto"/>
            </w:tcBorders>
            <w:shd w:val="clear" w:color="auto" w:fill="D0CECE"/>
            <w:tcMar>
              <w:top w:w="100" w:type="dxa"/>
              <w:left w:w="100" w:type="dxa"/>
              <w:bottom w:w="100" w:type="dxa"/>
              <w:right w:w="100" w:type="dxa"/>
            </w:tcMar>
          </w:tcPr>
          <w:p w14:paraId="4B3ED7F3" w14:textId="77777777" w:rsidR="005C2CA2" w:rsidRPr="005C2CA2" w:rsidRDefault="005C2CA2" w:rsidP="005C2CA2">
            <w:pPr>
              <w:spacing w:before="240" w:after="60"/>
              <w:ind w:left="360"/>
              <w:contextualSpacing/>
              <w:rPr>
                <w:rFonts w:ascii="Arial" w:hAnsi="Arial" w:cs="Arial"/>
                <w:sz w:val="18"/>
                <w:szCs w:val="18"/>
                <w:lang w:eastAsia="en-US"/>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44EF74B2" w14:textId="77777777" w:rsidR="005C2CA2" w:rsidRPr="005C2CA2" w:rsidRDefault="005C2CA2" w:rsidP="005C2CA2">
            <w:pPr>
              <w:spacing w:line="256" w:lineRule="auto"/>
              <w:rPr>
                <w:rFonts w:ascii="Arial" w:eastAsia="Cambria" w:hAnsi="Arial" w:cs="Arial"/>
                <w:sz w:val="18"/>
                <w:szCs w:val="18"/>
                <w:highlight w:val="white"/>
                <w:lang w:val="en-US" w:eastAsia="en-US"/>
              </w:rPr>
            </w:pPr>
          </w:p>
        </w:tc>
      </w:tr>
    </w:tbl>
    <w:p w14:paraId="32530C85" w14:textId="5867BF64" w:rsidR="005C2CA2" w:rsidRDefault="005C2CA2" w:rsidP="00D6091A">
      <w:pPr>
        <w:jc w:val="both"/>
        <w:rPr>
          <w:rFonts w:ascii="Arial" w:hAnsi="Arial" w:cs="Arial"/>
          <w:sz w:val="20"/>
          <w:szCs w:val="20"/>
        </w:rPr>
        <w:sectPr w:rsidR="005C2CA2" w:rsidSect="003847A7">
          <w:headerReference w:type="default" r:id="rId110"/>
          <w:pgSz w:w="16834" w:h="11909" w:orient="landscape"/>
          <w:pgMar w:top="1530" w:right="1440" w:bottom="1440" w:left="1440" w:header="720" w:footer="720" w:gutter="0"/>
          <w:cols w:space="720"/>
          <w:docGrid w:linePitch="326"/>
        </w:sectPr>
      </w:pPr>
    </w:p>
    <w:p w14:paraId="58D43770" w14:textId="77777777" w:rsidR="00F9231F" w:rsidRPr="003516DC" w:rsidRDefault="00F9231F" w:rsidP="00E42342">
      <w:pPr>
        <w:pStyle w:val="Heading2"/>
        <w:numPr>
          <w:ilvl w:val="0"/>
          <w:numId w:val="218"/>
        </w:numPr>
        <w:spacing w:before="240" w:after="240" w:line="240" w:lineRule="auto"/>
      </w:pPr>
      <w:bookmarkStart w:id="187" w:name="_Toc90725872"/>
      <w:r w:rsidRPr="003516DC">
        <w:lastRenderedPageBreak/>
        <w:t>Synergies/complementarities/consistency with other programmes</w:t>
      </w:r>
      <w:bookmarkEnd w:id="187"/>
    </w:p>
    <w:p w14:paraId="5719FA48" w14:textId="0F8EFAC7" w:rsidR="00DD03C5" w:rsidRPr="003516DC" w:rsidRDefault="007E33AE" w:rsidP="009D0C99">
      <w:pPr>
        <w:spacing w:after="120"/>
        <w:jc w:val="both"/>
        <w:rPr>
          <w:rFonts w:ascii="Arial" w:hAnsi="Arial" w:cs="Arial"/>
          <w:sz w:val="20"/>
          <w:szCs w:val="20"/>
          <w:highlight w:val="white"/>
        </w:rPr>
      </w:pPr>
      <w:r>
        <w:rPr>
          <w:rFonts w:ascii="Arial" w:hAnsi="Arial" w:cs="Arial"/>
          <w:b/>
          <w:sz w:val="20"/>
          <w:szCs w:val="20"/>
          <w:highlight w:val="white"/>
        </w:rPr>
        <w:t>Type</w:t>
      </w:r>
      <w:r w:rsidR="00DD03C5" w:rsidRPr="003516DC">
        <w:rPr>
          <w:rFonts w:ascii="Arial" w:hAnsi="Arial" w:cs="Arial"/>
          <w:b/>
          <w:sz w:val="20"/>
          <w:szCs w:val="20"/>
          <w:highlight w:val="white"/>
        </w:rPr>
        <w:t xml:space="preserve"> 1. The opportunities for financing the economic diversification and sustainable entrepreneurship support as well as increasing access to research, innovation and digiti</w:t>
      </w:r>
      <w:r w:rsidR="004E7B64">
        <w:rPr>
          <w:rFonts w:ascii="Arial" w:hAnsi="Arial" w:cs="Arial"/>
          <w:b/>
          <w:sz w:val="20"/>
          <w:szCs w:val="20"/>
          <w:highlight w:val="white"/>
        </w:rPr>
        <w:t>sation</w:t>
      </w:r>
      <w:r w:rsidR="00DD03C5" w:rsidRPr="003516DC">
        <w:rPr>
          <w:rFonts w:ascii="Arial" w:hAnsi="Arial" w:cs="Arial"/>
          <w:b/>
          <w:sz w:val="20"/>
          <w:szCs w:val="20"/>
          <w:highlight w:val="white"/>
        </w:rPr>
        <w:t>,</w:t>
      </w:r>
      <w:r w:rsidR="00DD03C5" w:rsidRPr="003516DC">
        <w:rPr>
          <w:rFonts w:ascii="Arial" w:hAnsi="Arial" w:cs="Arial"/>
          <w:sz w:val="20"/>
          <w:szCs w:val="20"/>
          <w:highlight w:val="white"/>
        </w:rPr>
        <w:t xml:space="preserve"> harnessing the existing development potential, are narrowed down for Dolj county to operations related with identified needs as follows: (1) starting new businesses and developing / diversifying the activities of the existing SMEs with a focus on innovative technologies, digiti</w:t>
      </w:r>
      <w:r w:rsidR="004E7B64">
        <w:rPr>
          <w:rFonts w:ascii="Arial" w:hAnsi="Arial" w:cs="Arial"/>
          <w:sz w:val="20"/>
          <w:szCs w:val="20"/>
          <w:highlight w:val="white"/>
        </w:rPr>
        <w:t>sation</w:t>
      </w:r>
      <w:r w:rsidR="00DD03C5" w:rsidRPr="003516DC">
        <w:rPr>
          <w:rFonts w:ascii="Arial" w:hAnsi="Arial" w:cs="Arial"/>
          <w:sz w:val="20"/>
          <w:szCs w:val="20"/>
          <w:highlight w:val="white"/>
        </w:rPr>
        <w:t>, sustainability, energy efficiency, (2) starting new businesses in manufacturing, in emerging industries that capitalize on the accessible, fresh raw material from agriculture, with sustainability and energy efficiency measures, (3) starting new  businesses  by capitalizing on the exceptional potential of the Danube perimeter,  in tourism or tourism connected, (4) starting new  businesses  in sectors with development potential such as manufacturing, construction, tourism.</w:t>
      </w:r>
    </w:p>
    <w:p w14:paraId="1AA378B2" w14:textId="214D791E" w:rsidR="00DD03C5" w:rsidRPr="003516DC" w:rsidRDefault="00DD03C5" w:rsidP="009D0C99">
      <w:pPr>
        <w:spacing w:after="120"/>
        <w:jc w:val="both"/>
        <w:rPr>
          <w:rFonts w:ascii="Arial" w:hAnsi="Arial" w:cs="Arial"/>
          <w:i/>
          <w:sz w:val="20"/>
          <w:szCs w:val="20"/>
          <w:highlight w:val="white"/>
        </w:rPr>
      </w:pPr>
      <w:r w:rsidRPr="003516DC">
        <w:rPr>
          <w:rFonts w:ascii="Arial" w:hAnsi="Arial" w:cs="Arial"/>
          <w:b/>
          <w:sz w:val="20"/>
          <w:szCs w:val="20"/>
          <w:highlight w:val="white"/>
        </w:rPr>
        <w:t>Consistency.</w:t>
      </w:r>
      <w:r w:rsidRPr="003516DC">
        <w:rPr>
          <w:rFonts w:ascii="Arial" w:hAnsi="Arial" w:cs="Arial"/>
          <w:sz w:val="20"/>
          <w:szCs w:val="20"/>
          <w:highlight w:val="white"/>
        </w:rPr>
        <w:t xml:space="preserve"> All these operations are </w:t>
      </w:r>
      <w:r w:rsidRPr="003516DC">
        <w:rPr>
          <w:rFonts w:ascii="Arial" w:hAnsi="Arial" w:cs="Arial"/>
          <w:b/>
          <w:sz w:val="20"/>
          <w:szCs w:val="20"/>
          <w:highlight w:val="white"/>
        </w:rPr>
        <w:t>consistent</w:t>
      </w:r>
      <w:r w:rsidRPr="003516DC">
        <w:rPr>
          <w:rFonts w:ascii="Arial" w:hAnsi="Arial" w:cs="Arial"/>
          <w:sz w:val="20"/>
          <w:szCs w:val="20"/>
          <w:highlight w:val="white"/>
        </w:rPr>
        <w:t xml:space="preserve"> with the main strategic/ planning/ financing documents at local, regional and national level as well as with relevant financing sources/ p</w:t>
      </w:r>
      <w:r w:rsidR="00D206E5">
        <w:rPr>
          <w:rFonts w:ascii="Arial" w:hAnsi="Arial" w:cs="Arial"/>
          <w:sz w:val="20"/>
          <w:szCs w:val="20"/>
          <w:highlight w:val="white"/>
        </w:rPr>
        <w:t>rogrammes</w:t>
      </w:r>
      <w:r w:rsidRPr="003516DC">
        <w:rPr>
          <w:rFonts w:ascii="Arial" w:hAnsi="Arial" w:cs="Arial"/>
          <w:sz w:val="20"/>
          <w:szCs w:val="20"/>
          <w:highlight w:val="white"/>
        </w:rPr>
        <w:t xml:space="preserve">: </w:t>
      </w:r>
      <w:r w:rsidRPr="003516DC">
        <w:rPr>
          <w:rFonts w:ascii="Arial" w:hAnsi="Arial" w:cs="Arial"/>
          <w:i/>
          <w:sz w:val="20"/>
          <w:szCs w:val="20"/>
          <w:highlight w:val="white"/>
        </w:rPr>
        <w:t>South-West Oltenia Regional Development Plan 2021-2027, Smart Speciali</w:t>
      </w:r>
      <w:r w:rsidR="004E7B64">
        <w:rPr>
          <w:rFonts w:ascii="Arial" w:hAnsi="Arial" w:cs="Arial"/>
          <w:i/>
          <w:sz w:val="20"/>
          <w:szCs w:val="20"/>
          <w:highlight w:val="white"/>
        </w:rPr>
        <w:t>sation</w:t>
      </w:r>
      <w:r w:rsidRPr="003516DC">
        <w:rPr>
          <w:rFonts w:ascii="Arial" w:hAnsi="Arial" w:cs="Arial"/>
          <w:i/>
          <w:sz w:val="20"/>
          <w:szCs w:val="20"/>
          <w:highlight w:val="white"/>
        </w:rPr>
        <w:t xml:space="preserve"> Strategy RIS 3 SW Oltenia 2021-2027,  Research, Innovation and Smart Speciali</w:t>
      </w:r>
      <w:r w:rsidR="004E7B64">
        <w:rPr>
          <w:rFonts w:ascii="Arial" w:hAnsi="Arial" w:cs="Arial"/>
          <w:i/>
          <w:sz w:val="20"/>
          <w:szCs w:val="20"/>
          <w:highlight w:val="white"/>
        </w:rPr>
        <w:t>sation</w:t>
      </w:r>
      <w:r w:rsidRPr="003516DC">
        <w:rPr>
          <w:rFonts w:ascii="Arial" w:hAnsi="Arial" w:cs="Arial"/>
          <w:i/>
          <w:sz w:val="20"/>
          <w:szCs w:val="20"/>
          <w:highlight w:val="white"/>
        </w:rPr>
        <w:t xml:space="preserve"> National Strategy (SNCISI) 2021-2027, Dolj County Development Strategy 2021-2027 (Draft), National </w:t>
      </w:r>
      <w:r w:rsidR="009D0C99">
        <w:rPr>
          <w:rFonts w:ascii="Arial" w:hAnsi="Arial" w:cs="Arial"/>
          <w:i/>
          <w:sz w:val="20"/>
          <w:szCs w:val="20"/>
          <w:highlight w:val="white"/>
        </w:rPr>
        <w:t>Recovery and Resilience Plan</w:t>
      </w:r>
      <w:r w:rsidRPr="003516DC">
        <w:rPr>
          <w:rFonts w:ascii="Arial" w:hAnsi="Arial" w:cs="Arial"/>
          <w:i/>
          <w:sz w:val="20"/>
          <w:szCs w:val="20"/>
          <w:highlight w:val="white"/>
        </w:rPr>
        <w:t xml:space="preserve"> (</w:t>
      </w:r>
      <w:r w:rsidR="009D0C99">
        <w:rPr>
          <w:rFonts w:ascii="Arial" w:hAnsi="Arial" w:cs="Arial"/>
          <w:i/>
          <w:sz w:val="20"/>
          <w:szCs w:val="20"/>
          <w:highlight w:val="white"/>
        </w:rPr>
        <w:t>RRP</w:t>
      </w:r>
      <w:r w:rsidRPr="003516DC">
        <w:rPr>
          <w:rFonts w:ascii="Arial" w:hAnsi="Arial" w:cs="Arial"/>
          <w:i/>
          <w:sz w:val="20"/>
          <w:szCs w:val="20"/>
          <w:highlight w:val="white"/>
        </w:rPr>
        <w:t>), SW Oltenia Regional Operational P</w:t>
      </w:r>
      <w:r w:rsidR="00D206E5">
        <w:rPr>
          <w:rFonts w:ascii="Arial" w:hAnsi="Arial" w:cs="Arial"/>
          <w:i/>
          <w:sz w:val="20"/>
          <w:szCs w:val="20"/>
          <w:highlight w:val="white"/>
        </w:rPr>
        <w:t xml:space="preserve">rogramme </w:t>
      </w:r>
      <w:r w:rsidRPr="003516DC">
        <w:rPr>
          <w:rFonts w:ascii="Arial" w:hAnsi="Arial" w:cs="Arial"/>
          <w:i/>
          <w:sz w:val="20"/>
          <w:szCs w:val="20"/>
          <w:highlight w:val="white"/>
        </w:rPr>
        <w:t xml:space="preserve">2021-2027.  </w:t>
      </w:r>
      <w:r w:rsidRPr="003516DC">
        <w:rPr>
          <w:rFonts w:ascii="Arial" w:hAnsi="Arial" w:cs="Arial"/>
          <w:sz w:val="20"/>
          <w:szCs w:val="20"/>
          <w:highlight w:val="white"/>
        </w:rPr>
        <w:t>Another operation that indirectly contributes to the economic diversification is the innovative digiti</w:t>
      </w:r>
      <w:r w:rsidR="004E7B64">
        <w:rPr>
          <w:rFonts w:ascii="Arial" w:hAnsi="Arial" w:cs="Arial"/>
          <w:sz w:val="20"/>
          <w:szCs w:val="20"/>
          <w:highlight w:val="white"/>
        </w:rPr>
        <w:t>sation</w:t>
      </w:r>
      <w:r w:rsidRPr="003516DC">
        <w:rPr>
          <w:rFonts w:ascii="Arial" w:hAnsi="Arial" w:cs="Arial"/>
          <w:sz w:val="20"/>
          <w:szCs w:val="20"/>
          <w:highlight w:val="white"/>
        </w:rPr>
        <w:t xml:space="preserve"> of the public sector, including integrated IT&amp;C systems, interconnectivity of the public Institutions which is also consistent with the </w:t>
      </w:r>
      <w:r w:rsidRPr="003516DC">
        <w:rPr>
          <w:rFonts w:ascii="Arial" w:hAnsi="Arial" w:cs="Arial"/>
          <w:i/>
          <w:sz w:val="20"/>
          <w:szCs w:val="20"/>
          <w:highlight w:val="white"/>
        </w:rPr>
        <w:t>South-West Oltenia Regional Development Plan 2021-2027, Smart Speciali</w:t>
      </w:r>
      <w:r w:rsidR="004E7B64">
        <w:rPr>
          <w:rFonts w:ascii="Arial" w:hAnsi="Arial" w:cs="Arial"/>
          <w:i/>
          <w:sz w:val="20"/>
          <w:szCs w:val="20"/>
          <w:highlight w:val="white"/>
        </w:rPr>
        <w:t>sation</w:t>
      </w:r>
      <w:r w:rsidRPr="003516DC">
        <w:rPr>
          <w:rFonts w:ascii="Arial" w:hAnsi="Arial" w:cs="Arial"/>
          <w:i/>
          <w:sz w:val="20"/>
          <w:szCs w:val="20"/>
          <w:highlight w:val="white"/>
        </w:rPr>
        <w:t xml:space="preserve"> Strategy RIS 3 SW Oltenia, Research, Innovation and Smart Speciali</w:t>
      </w:r>
      <w:r w:rsidR="004E7B64">
        <w:rPr>
          <w:rFonts w:ascii="Arial" w:hAnsi="Arial" w:cs="Arial"/>
          <w:i/>
          <w:sz w:val="20"/>
          <w:szCs w:val="20"/>
          <w:highlight w:val="white"/>
        </w:rPr>
        <w:t>sation</w:t>
      </w:r>
      <w:r w:rsidRPr="003516DC">
        <w:rPr>
          <w:rFonts w:ascii="Arial" w:hAnsi="Arial" w:cs="Arial"/>
          <w:i/>
          <w:sz w:val="20"/>
          <w:szCs w:val="20"/>
          <w:highlight w:val="white"/>
        </w:rPr>
        <w:t xml:space="preserve"> National Strategy (SNCISI), Dolj County Development Strategy 2021-2027 (Draft).</w:t>
      </w:r>
    </w:p>
    <w:p w14:paraId="74715926" w14:textId="1E3710CE" w:rsidR="00DD03C5" w:rsidRPr="009D0C99" w:rsidRDefault="00DD03C5" w:rsidP="009D0C99">
      <w:pPr>
        <w:spacing w:after="120"/>
        <w:jc w:val="both"/>
        <w:rPr>
          <w:rFonts w:ascii="Arial" w:hAnsi="Arial" w:cs="Arial"/>
          <w:i/>
          <w:sz w:val="20"/>
          <w:szCs w:val="20"/>
          <w:highlight w:val="yellow"/>
        </w:rPr>
      </w:pPr>
      <w:r w:rsidRPr="003516DC">
        <w:rPr>
          <w:rFonts w:ascii="Arial" w:hAnsi="Arial" w:cs="Arial"/>
          <w:b/>
          <w:sz w:val="20"/>
          <w:szCs w:val="20"/>
          <w:highlight w:val="white"/>
        </w:rPr>
        <w:t xml:space="preserve">Complementarities/synergies. </w:t>
      </w:r>
      <w:r w:rsidRPr="003516DC">
        <w:rPr>
          <w:rFonts w:ascii="Arial" w:hAnsi="Arial" w:cs="Arial"/>
          <w:sz w:val="20"/>
          <w:szCs w:val="20"/>
        </w:rPr>
        <w:t>By means of an integrated approach on the objectives achievement, the early identification of the complementarities and synergies of JTP with other programmes is needed in order to get the optimal capitali</w:t>
      </w:r>
      <w:r w:rsidR="004E7B64">
        <w:rPr>
          <w:rFonts w:ascii="Arial" w:hAnsi="Arial" w:cs="Arial"/>
          <w:sz w:val="20"/>
          <w:szCs w:val="20"/>
        </w:rPr>
        <w:t>sation</w:t>
      </w:r>
      <w:r w:rsidRPr="003516DC">
        <w:rPr>
          <w:rFonts w:ascii="Arial" w:hAnsi="Arial" w:cs="Arial"/>
          <w:sz w:val="20"/>
          <w:szCs w:val="20"/>
        </w:rPr>
        <w:t xml:space="preserve"> of all opportunities. For Priority 1 special attention should be paid to </w:t>
      </w:r>
      <w:r w:rsidRPr="003516DC">
        <w:rPr>
          <w:rFonts w:ascii="Arial" w:hAnsi="Arial" w:cs="Arial"/>
          <w:i/>
          <w:sz w:val="20"/>
          <w:szCs w:val="20"/>
          <w:highlight w:val="white"/>
        </w:rPr>
        <w:t>Regional Operational P</w:t>
      </w:r>
      <w:r w:rsidR="00D206E5">
        <w:rPr>
          <w:rFonts w:ascii="Arial" w:hAnsi="Arial" w:cs="Arial"/>
          <w:i/>
          <w:sz w:val="20"/>
          <w:szCs w:val="20"/>
          <w:highlight w:val="white"/>
        </w:rPr>
        <w:t xml:space="preserve">rogramme </w:t>
      </w:r>
      <w:r w:rsidRPr="003516DC">
        <w:rPr>
          <w:rFonts w:ascii="Arial" w:hAnsi="Arial" w:cs="Arial"/>
          <w:i/>
          <w:sz w:val="20"/>
          <w:szCs w:val="20"/>
          <w:highlight w:val="white"/>
        </w:rPr>
        <w:t>SW Oltenia (ROP)</w:t>
      </w:r>
      <w:r w:rsidRPr="003516DC">
        <w:rPr>
          <w:rFonts w:ascii="Arial" w:hAnsi="Arial" w:cs="Arial"/>
          <w:sz w:val="20"/>
          <w:szCs w:val="20"/>
        </w:rPr>
        <w:t xml:space="preserve"> and </w:t>
      </w:r>
      <w:r w:rsidRPr="003516DC">
        <w:rPr>
          <w:rFonts w:ascii="Arial" w:hAnsi="Arial" w:cs="Arial"/>
          <w:i/>
          <w:sz w:val="20"/>
          <w:szCs w:val="20"/>
          <w:highlight w:val="white"/>
        </w:rPr>
        <w:t xml:space="preserve">“National </w:t>
      </w:r>
      <w:r w:rsidR="009D0C99">
        <w:rPr>
          <w:rFonts w:ascii="Arial" w:hAnsi="Arial" w:cs="Arial"/>
          <w:i/>
          <w:sz w:val="20"/>
          <w:szCs w:val="20"/>
          <w:highlight w:val="white"/>
        </w:rPr>
        <w:t>Recovery and Resilience Plan</w:t>
      </w:r>
      <w:r w:rsidRPr="003516DC">
        <w:rPr>
          <w:rFonts w:ascii="Arial" w:hAnsi="Arial" w:cs="Arial"/>
          <w:i/>
          <w:sz w:val="20"/>
          <w:szCs w:val="20"/>
          <w:highlight w:val="white"/>
        </w:rPr>
        <w:t xml:space="preserve"> (</w:t>
      </w:r>
      <w:r w:rsidR="009D0C99">
        <w:rPr>
          <w:rFonts w:ascii="Arial" w:hAnsi="Arial" w:cs="Arial"/>
          <w:i/>
          <w:sz w:val="20"/>
          <w:szCs w:val="20"/>
          <w:highlight w:val="white"/>
        </w:rPr>
        <w:t>RRP</w:t>
      </w:r>
      <w:r w:rsidRPr="003516DC">
        <w:rPr>
          <w:rFonts w:ascii="Arial" w:hAnsi="Arial" w:cs="Arial"/>
          <w:i/>
          <w:sz w:val="20"/>
          <w:szCs w:val="20"/>
          <w:highlight w:val="white"/>
        </w:rPr>
        <w:t>)</w:t>
      </w:r>
      <w:r w:rsidR="009D0C99">
        <w:rPr>
          <w:rFonts w:ascii="Arial" w:hAnsi="Arial" w:cs="Arial"/>
          <w:iCs/>
          <w:sz w:val="20"/>
          <w:szCs w:val="20"/>
        </w:rPr>
        <w:t>.</w:t>
      </w:r>
    </w:p>
    <w:p w14:paraId="3A3F862A" w14:textId="7A0B3B48" w:rsidR="00DD03C5" w:rsidRPr="003516DC" w:rsidRDefault="007E33AE" w:rsidP="009D0C99">
      <w:pPr>
        <w:spacing w:after="120"/>
        <w:jc w:val="both"/>
        <w:rPr>
          <w:rFonts w:ascii="Arial" w:hAnsi="Arial" w:cs="Arial"/>
          <w:sz w:val="20"/>
          <w:szCs w:val="20"/>
          <w:highlight w:val="white"/>
        </w:rPr>
      </w:pPr>
      <w:r>
        <w:rPr>
          <w:rFonts w:ascii="Arial" w:hAnsi="Arial" w:cs="Arial"/>
          <w:b/>
          <w:sz w:val="20"/>
          <w:szCs w:val="20"/>
          <w:highlight w:val="white"/>
        </w:rPr>
        <w:t>Type</w:t>
      </w:r>
      <w:r w:rsidRPr="003516DC">
        <w:rPr>
          <w:rFonts w:ascii="Arial" w:hAnsi="Arial" w:cs="Arial"/>
          <w:b/>
          <w:sz w:val="20"/>
          <w:szCs w:val="20"/>
          <w:highlight w:val="white"/>
        </w:rPr>
        <w:t xml:space="preserve"> </w:t>
      </w:r>
      <w:r w:rsidR="00DD03C5" w:rsidRPr="003516DC">
        <w:rPr>
          <w:rFonts w:ascii="Arial" w:hAnsi="Arial" w:cs="Arial"/>
          <w:b/>
          <w:sz w:val="20"/>
          <w:szCs w:val="20"/>
          <w:highlight w:val="white"/>
        </w:rPr>
        <w:t xml:space="preserve">2. The opportunities for investing in new technologies and infrastructure for green energy,  pollution reduction and circular economy, </w:t>
      </w:r>
      <w:r w:rsidR="00DD03C5" w:rsidRPr="003516DC">
        <w:rPr>
          <w:rFonts w:ascii="Arial" w:hAnsi="Arial" w:cs="Arial"/>
          <w:sz w:val="20"/>
          <w:szCs w:val="20"/>
          <w:highlight w:val="white"/>
        </w:rPr>
        <w:t>identified in relation with the county’s needs, are narrowed down to the following operations: (1) solar power plants/ photovoltaic farms projects implementation and exploitation, (2) contaminated/ potentially contaminated sites’ renaturation to include them in the nature circuit,  (3) urban industrial sites rehabilitation and  re-integration in the circuit through urban renewal projects, (4) new sustainable heating systems installation to support  energy efficiency and/ or replacement of inefficient district heating by using renewable energy sources (RES), (5) Creative solutions for transportation in the urban agglomeration Craiova and CMA, aimed to contribute to a better air quality and reduced pollution.</w:t>
      </w:r>
    </w:p>
    <w:p w14:paraId="320ADEB6" w14:textId="267E918C" w:rsidR="00DD03C5" w:rsidRPr="003516DC" w:rsidRDefault="00DD03C5" w:rsidP="009D0C99">
      <w:pPr>
        <w:spacing w:after="120"/>
        <w:jc w:val="both"/>
        <w:rPr>
          <w:rFonts w:ascii="Arial" w:hAnsi="Arial" w:cs="Arial"/>
          <w:i/>
          <w:sz w:val="20"/>
          <w:szCs w:val="20"/>
          <w:highlight w:val="white"/>
        </w:rPr>
      </w:pPr>
      <w:r w:rsidRPr="003516DC">
        <w:rPr>
          <w:rFonts w:ascii="Arial" w:hAnsi="Arial" w:cs="Arial"/>
          <w:b/>
          <w:sz w:val="20"/>
          <w:szCs w:val="20"/>
          <w:highlight w:val="white"/>
        </w:rPr>
        <w:t>Consistency.</w:t>
      </w:r>
      <w:r w:rsidRPr="003516DC">
        <w:rPr>
          <w:rFonts w:ascii="Arial" w:hAnsi="Arial" w:cs="Arial"/>
          <w:sz w:val="20"/>
          <w:szCs w:val="20"/>
          <w:highlight w:val="white"/>
        </w:rPr>
        <w:t xml:space="preserve"> These operations are </w:t>
      </w:r>
      <w:r w:rsidRPr="003516DC">
        <w:rPr>
          <w:rFonts w:ascii="Arial" w:hAnsi="Arial" w:cs="Arial"/>
          <w:b/>
          <w:sz w:val="20"/>
          <w:szCs w:val="20"/>
          <w:highlight w:val="white"/>
        </w:rPr>
        <w:t xml:space="preserve">consistent </w:t>
      </w:r>
      <w:r w:rsidRPr="003516DC">
        <w:rPr>
          <w:rFonts w:ascii="Arial" w:hAnsi="Arial" w:cs="Arial"/>
          <w:sz w:val="20"/>
          <w:szCs w:val="20"/>
          <w:highlight w:val="white"/>
        </w:rPr>
        <w:t xml:space="preserve">with </w:t>
      </w:r>
      <w:r w:rsidRPr="003516DC">
        <w:rPr>
          <w:rFonts w:ascii="Arial" w:hAnsi="Arial" w:cs="Arial"/>
          <w:i/>
          <w:sz w:val="20"/>
          <w:szCs w:val="20"/>
          <w:highlight w:val="white"/>
        </w:rPr>
        <w:t>Dolj County Development Strategy 2021-2027 (Draft), Energy Strategy of Romania with the perspective of 2050 16 November 2018, Integrated National Plan for Energy and Climate Change (</w:t>
      </w:r>
      <w:r w:rsidR="00BC061B">
        <w:rPr>
          <w:rFonts w:ascii="Arial" w:hAnsi="Arial" w:cs="Arial"/>
          <w:i/>
          <w:sz w:val="20"/>
          <w:szCs w:val="20"/>
          <w:highlight w:val="white"/>
        </w:rPr>
        <w:t>NECP</w:t>
      </w:r>
      <w:r w:rsidRPr="003516DC">
        <w:rPr>
          <w:rFonts w:ascii="Arial" w:hAnsi="Arial" w:cs="Arial"/>
          <w:i/>
          <w:sz w:val="20"/>
          <w:szCs w:val="20"/>
          <w:highlight w:val="white"/>
        </w:rPr>
        <w:t xml:space="preserve">) 2021-2030, Dolj County Waste management Plan 2019-2025, Dolj County Land Improvement Plan. Development Strategy and Subsequent Measures July 2018.  </w:t>
      </w:r>
    </w:p>
    <w:p w14:paraId="660EC3B5" w14:textId="36C74EB9" w:rsidR="00DD03C5" w:rsidRPr="003516DC" w:rsidRDefault="00DD03C5" w:rsidP="009D0C99">
      <w:pPr>
        <w:spacing w:after="120"/>
        <w:jc w:val="both"/>
        <w:rPr>
          <w:rFonts w:ascii="Arial" w:hAnsi="Arial" w:cs="Arial"/>
          <w:sz w:val="20"/>
          <w:szCs w:val="20"/>
          <w:highlight w:val="white"/>
        </w:rPr>
      </w:pPr>
      <w:r w:rsidRPr="003516DC">
        <w:rPr>
          <w:rFonts w:ascii="Arial" w:hAnsi="Arial" w:cs="Arial"/>
          <w:b/>
          <w:sz w:val="20"/>
          <w:szCs w:val="20"/>
          <w:highlight w:val="white"/>
        </w:rPr>
        <w:t xml:space="preserve">Complementarities/synergies. </w:t>
      </w:r>
      <w:r w:rsidRPr="003516DC">
        <w:rPr>
          <w:rFonts w:ascii="Arial" w:hAnsi="Arial" w:cs="Arial"/>
          <w:sz w:val="20"/>
          <w:szCs w:val="20"/>
          <w:highlight w:val="white"/>
        </w:rPr>
        <w:t xml:space="preserve">Relating Priority 2 there are important opportunities targeting the green energy infrastructure, pollution reduction and circular economy that should be analysed from the complementarities and synergies with JTP perspective </w:t>
      </w:r>
      <w:r w:rsidRPr="003516DC">
        <w:rPr>
          <w:rFonts w:ascii="Arial" w:hAnsi="Arial" w:cs="Arial"/>
          <w:i/>
          <w:sz w:val="20"/>
          <w:szCs w:val="20"/>
          <w:highlight w:val="white"/>
        </w:rPr>
        <w:t>Regional Operational P</w:t>
      </w:r>
      <w:r w:rsidR="00D206E5">
        <w:rPr>
          <w:rFonts w:ascii="Arial" w:hAnsi="Arial" w:cs="Arial"/>
          <w:i/>
          <w:sz w:val="20"/>
          <w:szCs w:val="20"/>
          <w:highlight w:val="white"/>
        </w:rPr>
        <w:t xml:space="preserve">rogramme </w:t>
      </w:r>
      <w:r w:rsidRPr="003516DC">
        <w:rPr>
          <w:rFonts w:ascii="Arial" w:hAnsi="Arial" w:cs="Arial"/>
          <w:i/>
          <w:sz w:val="20"/>
          <w:szCs w:val="20"/>
          <w:highlight w:val="white"/>
        </w:rPr>
        <w:t xml:space="preserve">SW Oltenia, </w:t>
      </w:r>
      <w:r w:rsidRPr="003516DC">
        <w:rPr>
          <w:rFonts w:ascii="Arial" w:hAnsi="Arial" w:cs="Arial"/>
          <w:i/>
          <w:iCs/>
          <w:sz w:val="20"/>
          <w:szCs w:val="20"/>
        </w:rPr>
        <w:t>Sustainable Development Operational P</w:t>
      </w:r>
      <w:r w:rsidR="00D206E5">
        <w:rPr>
          <w:rFonts w:ascii="Arial" w:hAnsi="Arial" w:cs="Arial"/>
          <w:i/>
          <w:iCs/>
          <w:sz w:val="20"/>
          <w:szCs w:val="20"/>
        </w:rPr>
        <w:t xml:space="preserve">rogramme </w:t>
      </w:r>
      <w:r w:rsidRPr="003516DC">
        <w:rPr>
          <w:rFonts w:ascii="Arial" w:hAnsi="Arial" w:cs="Arial"/>
          <w:iCs/>
          <w:sz w:val="20"/>
          <w:szCs w:val="20"/>
        </w:rPr>
        <w:t xml:space="preserve">and </w:t>
      </w:r>
      <w:r w:rsidRPr="003516DC">
        <w:rPr>
          <w:rFonts w:ascii="Arial" w:hAnsi="Arial" w:cs="Arial"/>
          <w:i/>
          <w:sz w:val="20"/>
          <w:szCs w:val="20"/>
          <w:highlight w:val="white"/>
        </w:rPr>
        <w:t xml:space="preserve">“National </w:t>
      </w:r>
      <w:r w:rsidR="00BC061B">
        <w:rPr>
          <w:rFonts w:ascii="Arial" w:hAnsi="Arial" w:cs="Arial"/>
          <w:i/>
          <w:sz w:val="20"/>
          <w:szCs w:val="20"/>
          <w:highlight w:val="white"/>
        </w:rPr>
        <w:t>Recovery and Resilience Plan</w:t>
      </w:r>
      <w:r w:rsidRPr="003516DC">
        <w:rPr>
          <w:rFonts w:ascii="Arial" w:hAnsi="Arial" w:cs="Arial"/>
          <w:i/>
          <w:sz w:val="20"/>
          <w:szCs w:val="20"/>
          <w:highlight w:val="white"/>
        </w:rPr>
        <w:t xml:space="preserve">. </w:t>
      </w:r>
    </w:p>
    <w:p w14:paraId="6E1E7284" w14:textId="5717E9E2" w:rsidR="00DD03C5" w:rsidRPr="009D0C99" w:rsidRDefault="00DD03C5" w:rsidP="009D0C99">
      <w:pPr>
        <w:spacing w:after="120"/>
        <w:jc w:val="both"/>
        <w:rPr>
          <w:rFonts w:ascii="Arial" w:hAnsi="Arial" w:cs="Arial"/>
          <w:i/>
          <w:sz w:val="20"/>
          <w:szCs w:val="20"/>
          <w:highlight w:val="yellow"/>
        </w:rPr>
      </w:pPr>
      <w:r w:rsidRPr="003516DC">
        <w:rPr>
          <w:rFonts w:ascii="Arial" w:hAnsi="Arial" w:cs="Arial"/>
          <w:sz w:val="20"/>
          <w:szCs w:val="20"/>
          <w:highlight w:val="white"/>
        </w:rPr>
        <w:t xml:space="preserve">For the investment in solar power plants and for regeneration of contaminated sites there are synergies created with </w:t>
      </w:r>
      <w:r w:rsidRPr="000A7086">
        <w:rPr>
          <w:rFonts w:ascii="Arial" w:hAnsi="Arial" w:cs="Arial"/>
          <w:i/>
          <w:iCs/>
          <w:sz w:val="20"/>
          <w:szCs w:val="20"/>
          <w:highlight w:val="white"/>
        </w:rPr>
        <w:t>SW Oltenia Regional Operational P</w:t>
      </w:r>
      <w:r w:rsidR="00D206E5">
        <w:rPr>
          <w:rFonts w:ascii="Arial" w:hAnsi="Arial" w:cs="Arial"/>
          <w:i/>
          <w:iCs/>
          <w:sz w:val="20"/>
          <w:szCs w:val="20"/>
          <w:highlight w:val="white"/>
        </w:rPr>
        <w:t xml:space="preserve">rogramme </w:t>
      </w:r>
      <w:r w:rsidRPr="000A7086">
        <w:rPr>
          <w:rFonts w:ascii="Arial" w:hAnsi="Arial" w:cs="Arial"/>
          <w:i/>
          <w:iCs/>
          <w:sz w:val="20"/>
          <w:szCs w:val="20"/>
          <w:highlight w:val="white"/>
        </w:rPr>
        <w:t>2021-2027</w:t>
      </w:r>
      <w:r w:rsidRPr="003516DC">
        <w:rPr>
          <w:rFonts w:ascii="Arial" w:hAnsi="Arial" w:cs="Arial"/>
          <w:sz w:val="20"/>
          <w:szCs w:val="20"/>
          <w:highlight w:val="white"/>
        </w:rPr>
        <w:t>, in repurposing of sites for creating new living areas with various destinations (such as parks, playgrounds etc) as well as in decontamination of polluted sites. There are also synergies with</w:t>
      </w:r>
      <w:r w:rsidR="00BC061B">
        <w:rPr>
          <w:rFonts w:ascii="Arial" w:hAnsi="Arial" w:cs="Arial"/>
          <w:sz w:val="20"/>
          <w:szCs w:val="20"/>
          <w:highlight w:val="white"/>
        </w:rPr>
        <w:t xml:space="preserve"> the</w:t>
      </w:r>
      <w:r w:rsidRPr="003516DC">
        <w:rPr>
          <w:rFonts w:ascii="Arial" w:hAnsi="Arial" w:cs="Arial"/>
          <w:sz w:val="20"/>
          <w:szCs w:val="20"/>
          <w:highlight w:val="white"/>
        </w:rPr>
        <w:t xml:space="preserve"> </w:t>
      </w:r>
      <w:r w:rsidRPr="000A7086">
        <w:rPr>
          <w:rFonts w:ascii="Arial" w:hAnsi="Arial" w:cs="Arial"/>
          <w:i/>
          <w:iCs/>
          <w:sz w:val="20"/>
          <w:szCs w:val="20"/>
          <w:highlight w:val="white"/>
        </w:rPr>
        <w:t>National Strategy for Contaminated Sites Management</w:t>
      </w:r>
      <w:r w:rsidRPr="003516DC">
        <w:rPr>
          <w:rFonts w:ascii="Arial" w:hAnsi="Arial" w:cs="Arial"/>
          <w:sz w:val="20"/>
          <w:szCs w:val="20"/>
          <w:highlight w:val="white"/>
        </w:rPr>
        <w:t xml:space="preserve"> and </w:t>
      </w:r>
      <w:r w:rsidR="00BC061B">
        <w:rPr>
          <w:rFonts w:ascii="Arial" w:hAnsi="Arial" w:cs="Arial"/>
          <w:sz w:val="20"/>
          <w:szCs w:val="20"/>
          <w:highlight w:val="white"/>
        </w:rPr>
        <w:t>the</w:t>
      </w:r>
      <w:r w:rsidR="00BC061B" w:rsidRPr="003516DC">
        <w:rPr>
          <w:rFonts w:ascii="Arial" w:hAnsi="Arial" w:cs="Arial"/>
          <w:sz w:val="20"/>
          <w:szCs w:val="20"/>
          <w:highlight w:val="white"/>
        </w:rPr>
        <w:t xml:space="preserve"> </w:t>
      </w:r>
      <w:r w:rsidRPr="000A7086">
        <w:rPr>
          <w:rFonts w:ascii="Arial" w:hAnsi="Arial" w:cs="Arial"/>
          <w:i/>
          <w:iCs/>
          <w:sz w:val="20"/>
          <w:szCs w:val="20"/>
          <w:highlight w:val="white"/>
        </w:rPr>
        <w:t>Integrated National Plan for Energy and Climate Change (</w:t>
      </w:r>
      <w:r w:rsidR="00BC061B" w:rsidRPr="000A7086">
        <w:rPr>
          <w:rFonts w:ascii="Arial" w:hAnsi="Arial" w:cs="Arial"/>
          <w:i/>
          <w:iCs/>
          <w:sz w:val="20"/>
          <w:szCs w:val="20"/>
          <w:highlight w:val="white"/>
        </w:rPr>
        <w:t>NECP</w:t>
      </w:r>
      <w:r w:rsidRPr="000A7086">
        <w:rPr>
          <w:rFonts w:ascii="Arial" w:hAnsi="Arial" w:cs="Arial"/>
          <w:i/>
          <w:iCs/>
          <w:sz w:val="20"/>
          <w:szCs w:val="20"/>
          <w:highlight w:val="white"/>
        </w:rPr>
        <w:t>) 2021-2030</w:t>
      </w:r>
      <w:r w:rsidR="00BC061B">
        <w:rPr>
          <w:rFonts w:ascii="Arial" w:hAnsi="Arial" w:cs="Arial"/>
          <w:sz w:val="20"/>
          <w:szCs w:val="20"/>
          <w:highlight w:val="white"/>
        </w:rPr>
        <w:t>.</w:t>
      </w:r>
    </w:p>
    <w:p w14:paraId="4E5041CC" w14:textId="77F0B436" w:rsidR="00DD03C5" w:rsidRPr="003516DC" w:rsidRDefault="007E33AE" w:rsidP="009D0C99">
      <w:pPr>
        <w:spacing w:after="120"/>
        <w:jc w:val="both"/>
        <w:rPr>
          <w:rFonts w:ascii="Arial" w:hAnsi="Arial" w:cs="Arial"/>
          <w:sz w:val="20"/>
          <w:szCs w:val="20"/>
          <w:highlight w:val="white"/>
        </w:rPr>
      </w:pPr>
      <w:r>
        <w:rPr>
          <w:rFonts w:ascii="Arial" w:hAnsi="Arial" w:cs="Arial"/>
          <w:b/>
          <w:sz w:val="20"/>
          <w:szCs w:val="20"/>
          <w:highlight w:val="white"/>
        </w:rPr>
        <w:t>Type</w:t>
      </w:r>
      <w:r w:rsidRPr="003516DC">
        <w:rPr>
          <w:rFonts w:ascii="Arial" w:hAnsi="Arial" w:cs="Arial"/>
          <w:b/>
          <w:sz w:val="20"/>
          <w:szCs w:val="20"/>
          <w:highlight w:val="white"/>
        </w:rPr>
        <w:t xml:space="preserve"> </w:t>
      </w:r>
      <w:r w:rsidR="00DD03C5" w:rsidRPr="003516DC">
        <w:rPr>
          <w:rFonts w:ascii="Arial" w:hAnsi="Arial" w:cs="Arial"/>
          <w:b/>
          <w:sz w:val="20"/>
          <w:szCs w:val="20"/>
          <w:highlight w:val="white"/>
        </w:rPr>
        <w:t>3. The investment opportunities identified for improving the employment situation in the county through upskilling/ reskilling p</w:t>
      </w:r>
      <w:r w:rsidR="00D206E5">
        <w:rPr>
          <w:rFonts w:ascii="Arial" w:hAnsi="Arial" w:cs="Arial"/>
          <w:b/>
          <w:sz w:val="20"/>
          <w:szCs w:val="20"/>
          <w:highlight w:val="white"/>
        </w:rPr>
        <w:t>rogrammes</w:t>
      </w:r>
      <w:r w:rsidR="00DD03C5" w:rsidRPr="003516DC">
        <w:rPr>
          <w:rFonts w:ascii="Arial" w:hAnsi="Arial" w:cs="Arial"/>
          <w:b/>
          <w:sz w:val="20"/>
          <w:szCs w:val="20"/>
          <w:highlight w:val="white"/>
        </w:rPr>
        <w:t>, digiti</w:t>
      </w:r>
      <w:r w:rsidR="004E7B64">
        <w:rPr>
          <w:rFonts w:ascii="Arial" w:hAnsi="Arial" w:cs="Arial"/>
          <w:b/>
          <w:sz w:val="20"/>
          <w:szCs w:val="20"/>
          <w:highlight w:val="white"/>
        </w:rPr>
        <w:t>sation</w:t>
      </w:r>
      <w:r w:rsidR="00DD03C5" w:rsidRPr="003516DC">
        <w:rPr>
          <w:rFonts w:ascii="Arial" w:hAnsi="Arial" w:cs="Arial"/>
          <w:b/>
          <w:sz w:val="20"/>
          <w:szCs w:val="20"/>
          <w:highlight w:val="white"/>
        </w:rPr>
        <w:t xml:space="preserve"> of the workforce services</w:t>
      </w:r>
      <w:r w:rsidR="00DD03C5" w:rsidRPr="003516DC">
        <w:rPr>
          <w:rFonts w:ascii="Arial" w:hAnsi="Arial" w:cs="Arial"/>
          <w:sz w:val="20"/>
          <w:szCs w:val="20"/>
          <w:highlight w:val="white"/>
        </w:rPr>
        <w:t xml:space="preserve">, integrated innovative research for job matching are consistent with the </w:t>
      </w:r>
      <w:r w:rsidR="00DD03C5" w:rsidRPr="000A7086">
        <w:rPr>
          <w:rFonts w:ascii="Arial" w:hAnsi="Arial" w:cs="Arial"/>
          <w:i/>
          <w:iCs/>
          <w:sz w:val="20"/>
          <w:szCs w:val="20"/>
          <w:highlight w:val="white"/>
        </w:rPr>
        <w:t>Smart Speciali</w:t>
      </w:r>
      <w:r w:rsidR="004E7B64">
        <w:rPr>
          <w:rFonts w:ascii="Arial" w:hAnsi="Arial" w:cs="Arial"/>
          <w:i/>
          <w:iCs/>
          <w:sz w:val="20"/>
          <w:szCs w:val="20"/>
          <w:highlight w:val="white"/>
        </w:rPr>
        <w:t>sation</w:t>
      </w:r>
      <w:r w:rsidR="00DD03C5" w:rsidRPr="000A7086">
        <w:rPr>
          <w:rFonts w:ascii="Arial" w:hAnsi="Arial" w:cs="Arial"/>
          <w:i/>
          <w:iCs/>
          <w:sz w:val="20"/>
          <w:szCs w:val="20"/>
          <w:highlight w:val="white"/>
        </w:rPr>
        <w:t xml:space="preserve"> Strategy </w:t>
      </w:r>
      <w:r w:rsidR="00DD03C5" w:rsidRPr="000A7086">
        <w:rPr>
          <w:rFonts w:ascii="Arial" w:hAnsi="Arial" w:cs="Arial"/>
          <w:i/>
          <w:iCs/>
          <w:sz w:val="20"/>
          <w:szCs w:val="20"/>
          <w:highlight w:val="white"/>
        </w:rPr>
        <w:lastRenderedPageBreak/>
        <w:t>RIS 3 SV Oltenia 2021-2027</w:t>
      </w:r>
      <w:r w:rsidR="00DD03C5" w:rsidRPr="003516DC">
        <w:rPr>
          <w:rFonts w:ascii="Arial" w:hAnsi="Arial" w:cs="Arial"/>
          <w:sz w:val="20"/>
          <w:szCs w:val="20"/>
          <w:highlight w:val="white"/>
        </w:rPr>
        <w:t xml:space="preserve">, </w:t>
      </w:r>
      <w:r w:rsidR="00DD03C5" w:rsidRPr="000A7086">
        <w:rPr>
          <w:rFonts w:ascii="Arial" w:hAnsi="Arial" w:cs="Arial"/>
          <w:i/>
          <w:iCs/>
          <w:sz w:val="20"/>
          <w:szCs w:val="20"/>
          <w:highlight w:val="white"/>
        </w:rPr>
        <w:t>National Strategy for the Development of Initial Vocational Training in Dual System in Romania for 2020 – 2025</w:t>
      </w:r>
      <w:r w:rsidR="00BC061B">
        <w:rPr>
          <w:rFonts w:ascii="Arial" w:hAnsi="Arial" w:cs="Arial"/>
          <w:sz w:val="20"/>
          <w:szCs w:val="20"/>
          <w:highlight w:val="white"/>
        </w:rPr>
        <w:t>,</w:t>
      </w:r>
      <w:r w:rsidR="00DD03C5" w:rsidRPr="003516DC">
        <w:rPr>
          <w:rFonts w:ascii="Arial" w:hAnsi="Arial" w:cs="Arial"/>
          <w:sz w:val="20"/>
          <w:szCs w:val="20"/>
          <w:highlight w:val="white"/>
        </w:rPr>
        <w:t xml:space="preserve"> </w:t>
      </w:r>
      <w:r w:rsidR="00DD03C5" w:rsidRPr="000A7086">
        <w:rPr>
          <w:rFonts w:ascii="Arial" w:hAnsi="Arial" w:cs="Arial"/>
          <w:i/>
          <w:iCs/>
          <w:sz w:val="20"/>
          <w:szCs w:val="20"/>
          <w:highlight w:val="white"/>
        </w:rPr>
        <w:t>Dolj County Development Strategy 2021-2027 (Draft)</w:t>
      </w:r>
      <w:r w:rsidR="00DD03C5" w:rsidRPr="003516DC">
        <w:rPr>
          <w:rFonts w:ascii="Arial" w:hAnsi="Arial" w:cs="Arial"/>
          <w:sz w:val="20"/>
          <w:szCs w:val="20"/>
          <w:highlight w:val="white"/>
        </w:rPr>
        <w:t>.</w:t>
      </w:r>
    </w:p>
    <w:p w14:paraId="2882BC52" w14:textId="0C1606E9" w:rsidR="00DD03C5" w:rsidRPr="003516DC" w:rsidRDefault="00DD03C5" w:rsidP="009D0C99">
      <w:pPr>
        <w:spacing w:after="120"/>
        <w:jc w:val="both"/>
        <w:rPr>
          <w:rFonts w:ascii="Arial" w:hAnsi="Arial" w:cs="Arial"/>
          <w:i/>
          <w:sz w:val="20"/>
          <w:szCs w:val="20"/>
          <w:highlight w:val="yellow"/>
        </w:rPr>
      </w:pPr>
      <w:r w:rsidRPr="003516DC">
        <w:rPr>
          <w:rFonts w:ascii="Arial" w:hAnsi="Arial" w:cs="Arial"/>
          <w:b/>
          <w:sz w:val="20"/>
          <w:szCs w:val="20"/>
          <w:highlight w:val="white"/>
        </w:rPr>
        <w:t xml:space="preserve">Complementarities/synergies. </w:t>
      </w:r>
      <w:r w:rsidRPr="003516DC">
        <w:rPr>
          <w:rFonts w:ascii="Arial" w:hAnsi="Arial" w:cs="Arial"/>
          <w:sz w:val="20"/>
          <w:szCs w:val="20"/>
          <w:highlight w:val="white"/>
        </w:rPr>
        <w:t xml:space="preserve">As the investment in improving the employment situation, upskilling/ reskilling as well as social infrastructure is crucial in the JTP context, the complementarities and synergies should be thoroughly analysed primarily with the </w:t>
      </w:r>
      <w:r w:rsidRPr="003516DC">
        <w:rPr>
          <w:rFonts w:ascii="Arial" w:hAnsi="Arial" w:cs="Arial"/>
          <w:i/>
          <w:sz w:val="20"/>
          <w:szCs w:val="20"/>
          <w:highlight w:val="white"/>
        </w:rPr>
        <w:t>Regional Operational P</w:t>
      </w:r>
      <w:r w:rsidR="00D206E5">
        <w:rPr>
          <w:rFonts w:ascii="Arial" w:hAnsi="Arial" w:cs="Arial"/>
          <w:i/>
          <w:sz w:val="20"/>
          <w:szCs w:val="20"/>
          <w:highlight w:val="white"/>
        </w:rPr>
        <w:t xml:space="preserve">rogramme </w:t>
      </w:r>
      <w:r w:rsidRPr="003516DC">
        <w:rPr>
          <w:rFonts w:ascii="Arial" w:hAnsi="Arial" w:cs="Arial"/>
          <w:i/>
          <w:sz w:val="20"/>
          <w:szCs w:val="20"/>
          <w:highlight w:val="white"/>
        </w:rPr>
        <w:t>SW Oltenia,</w:t>
      </w:r>
      <w:r w:rsidRPr="003516DC">
        <w:rPr>
          <w:rFonts w:ascii="Arial" w:hAnsi="Arial" w:cs="Arial"/>
          <w:iCs/>
          <w:sz w:val="20"/>
          <w:szCs w:val="20"/>
        </w:rPr>
        <w:t xml:space="preserve"> </w:t>
      </w:r>
      <w:r w:rsidRPr="003516DC">
        <w:rPr>
          <w:rFonts w:ascii="Arial" w:hAnsi="Arial" w:cs="Arial"/>
          <w:i/>
          <w:sz w:val="20"/>
          <w:szCs w:val="20"/>
          <w:highlight w:val="white"/>
        </w:rPr>
        <w:t xml:space="preserve">“ational Plan for Development and Resilience” </w:t>
      </w:r>
      <w:r w:rsidRPr="003516DC">
        <w:rPr>
          <w:rFonts w:ascii="Arial" w:hAnsi="Arial" w:cs="Arial"/>
          <w:bCs/>
          <w:i/>
          <w:noProof/>
          <w:sz w:val="20"/>
          <w:szCs w:val="20"/>
          <w:lang w:val="ro-RO"/>
        </w:rPr>
        <w:t xml:space="preserve">„ducation and Employment Operational Programme” </w:t>
      </w:r>
      <w:r w:rsidRPr="003516DC">
        <w:rPr>
          <w:rFonts w:ascii="Arial" w:eastAsia="Times New Roman" w:hAnsi="Arial" w:cs="Arial"/>
          <w:i/>
          <w:sz w:val="20"/>
          <w:szCs w:val="20"/>
          <w:lang w:val="en"/>
        </w:rPr>
        <w:t>“ntelligent Growth, Digiti</w:t>
      </w:r>
      <w:r w:rsidR="004E7B64">
        <w:rPr>
          <w:rFonts w:ascii="Arial" w:eastAsia="Times New Roman" w:hAnsi="Arial" w:cs="Arial"/>
          <w:i/>
          <w:sz w:val="20"/>
          <w:szCs w:val="20"/>
          <w:lang w:val="en"/>
        </w:rPr>
        <w:t>sation</w:t>
      </w:r>
      <w:r w:rsidRPr="003516DC">
        <w:rPr>
          <w:rFonts w:ascii="Arial" w:eastAsia="Times New Roman" w:hAnsi="Arial" w:cs="Arial"/>
          <w:i/>
          <w:sz w:val="20"/>
          <w:szCs w:val="20"/>
          <w:lang w:val="en"/>
        </w:rPr>
        <w:t xml:space="preserve"> and Financial Instruments Operational Program</w:t>
      </w:r>
      <w:r w:rsidR="00BC061B">
        <w:rPr>
          <w:rFonts w:ascii="Arial" w:eastAsia="Times New Roman" w:hAnsi="Arial" w:cs="Arial"/>
          <w:i/>
          <w:sz w:val="20"/>
          <w:szCs w:val="20"/>
          <w:lang w:val="en"/>
        </w:rPr>
        <w:t>.</w:t>
      </w:r>
      <w:r w:rsidR="00DD3E0A">
        <w:rPr>
          <w:rFonts w:ascii="Arial" w:eastAsia="Times New Roman" w:hAnsi="Arial" w:cs="Arial"/>
          <w:i/>
          <w:sz w:val="20"/>
          <w:szCs w:val="20"/>
          <w:lang w:val="en"/>
        </w:rPr>
        <w:t xml:space="preserve"> </w:t>
      </w:r>
      <w:r w:rsidR="00BC061B" w:rsidRPr="000A7086">
        <w:rPr>
          <w:rFonts w:ascii="Arial" w:eastAsia="Times New Roman" w:hAnsi="Arial" w:cs="Arial"/>
          <w:iCs/>
          <w:sz w:val="20"/>
          <w:szCs w:val="20"/>
          <w:lang w:val="en"/>
        </w:rPr>
        <w:t xml:space="preserve">See Table </w:t>
      </w:r>
      <w:r w:rsidR="004E2DCB">
        <w:rPr>
          <w:rFonts w:ascii="Arial" w:eastAsia="Times New Roman" w:hAnsi="Arial" w:cs="Arial"/>
          <w:iCs/>
          <w:sz w:val="20"/>
          <w:szCs w:val="20"/>
          <w:lang w:val="en"/>
        </w:rPr>
        <w:t>40</w:t>
      </w:r>
      <w:r w:rsidR="00BC061B" w:rsidRPr="000A7086">
        <w:rPr>
          <w:rFonts w:ascii="Arial" w:eastAsia="Times New Roman" w:hAnsi="Arial" w:cs="Arial"/>
          <w:iCs/>
          <w:sz w:val="20"/>
          <w:szCs w:val="20"/>
          <w:lang w:val="en"/>
        </w:rPr>
        <w:t>.</w:t>
      </w:r>
    </w:p>
    <w:p w14:paraId="3A7F624B" w14:textId="4413E320" w:rsidR="00DD03C5" w:rsidRPr="003516DC" w:rsidRDefault="00FB03F1" w:rsidP="00402580">
      <w:pPr>
        <w:pStyle w:val="Caption"/>
        <w:rPr>
          <w:highlight w:val="white"/>
        </w:rPr>
      </w:pPr>
      <w:bookmarkStart w:id="188" w:name="_Toc90725994"/>
      <w:bookmarkStart w:id="189" w:name="_Toc90727291"/>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40</w:t>
      </w:r>
      <w:r w:rsidR="000B273D">
        <w:rPr>
          <w:noProof/>
        </w:rPr>
        <w:fldChar w:fldCharType="end"/>
      </w:r>
      <w:r w:rsidR="00DD03C5" w:rsidRPr="003516DC">
        <w:t>: Complementarities with other programmes (and proposed allocations)</w:t>
      </w:r>
      <w:bookmarkEnd w:id="188"/>
      <w:bookmarkEnd w:id="1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6838"/>
      </w:tblGrid>
      <w:tr w:rsidR="00DD03C5" w:rsidRPr="00BC061B" w14:paraId="1BC108AB" w14:textId="77777777" w:rsidTr="00964831">
        <w:trPr>
          <w:trHeight w:val="1925"/>
        </w:trPr>
        <w:tc>
          <w:tcPr>
            <w:tcW w:w="1171" w:type="pct"/>
            <w:vMerge w:val="restart"/>
            <w:tcMar>
              <w:top w:w="0" w:type="dxa"/>
              <w:left w:w="100" w:type="dxa"/>
              <w:bottom w:w="0" w:type="dxa"/>
              <w:right w:w="100" w:type="dxa"/>
            </w:tcMar>
          </w:tcPr>
          <w:p w14:paraId="43EA9C2E" w14:textId="77777777" w:rsidR="00DD03C5" w:rsidRPr="00BC061B" w:rsidRDefault="00DD03C5" w:rsidP="00BC061B">
            <w:pPr>
              <w:shd w:val="clear" w:color="auto" w:fill="FFFFFF"/>
              <w:rPr>
                <w:rFonts w:ascii="Arial" w:eastAsia="Calibri" w:hAnsi="Arial" w:cs="Arial"/>
                <w:i/>
                <w:iCs/>
                <w:sz w:val="18"/>
                <w:szCs w:val="18"/>
              </w:rPr>
            </w:pPr>
          </w:p>
          <w:p w14:paraId="1A766EC0" w14:textId="4830E144" w:rsidR="00DD03C5" w:rsidRPr="00BC061B" w:rsidRDefault="00BC061B" w:rsidP="00D015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color w:val="202124"/>
                <w:sz w:val="18"/>
                <w:szCs w:val="18"/>
              </w:rPr>
            </w:pPr>
            <w:r>
              <w:rPr>
                <w:rFonts w:ascii="Arial" w:eastAsia="Times New Roman" w:hAnsi="Arial" w:cs="Arial"/>
                <w:color w:val="202124"/>
                <w:sz w:val="18"/>
                <w:szCs w:val="18"/>
              </w:rPr>
              <w:t>Type</w:t>
            </w:r>
            <w:r w:rsidRPr="00BC061B">
              <w:rPr>
                <w:rFonts w:ascii="Arial" w:eastAsia="Times New Roman" w:hAnsi="Arial" w:cs="Arial"/>
                <w:color w:val="202124"/>
                <w:sz w:val="18"/>
                <w:szCs w:val="18"/>
              </w:rPr>
              <w:t xml:space="preserve"> </w:t>
            </w:r>
            <w:r w:rsidR="00DD03C5" w:rsidRPr="00BC061B">
              <w:rPr>
                <w:rFonts w:ascii="Arial" w:eastAsia="Times New Roman" w:hAnsi="Arial" w:cs="Arial"/>
                <w:color w:val="202124"/>
                <w:sz w:val="18"/>
                <w:szCs w:val="18"/>
              </w:rPr>
              <w:t xml:space="preserve">1 </w:t>
            </w:r>
          </w:p>
          <w:p w14:paraId="4C836DA7" w14:textId="5E5606A3" w:rsidR="00DD03C5" w:rsidRPr="00BC061B" w:rsidRDefault="00DD03C5" w:rsidP="000A7086">
            <w:pPr>
              <w:pStyle w:val="ListParagraph"/>
              <w:spacing w:line="240" w:lineRule="auto"/>
              <w:ind w:left="0" w:right="58"/>
              <w:rPr>
                <w:sz w:val="18"/>
                <w:szCs w:val="18"/>
              </w:rPr>
            </w:pPr>
            <w:r w:rsidRPr="00BC061B">
              <w:rPr>
                <w:sz w:val="18"/>
                <w:szCs w:val="18"/>
                <w:highlight w:val="white"/>
              </w:rPr>
              <w:t>Economic diversification and sustainable entrepreneurship support as well as increasing access to research, innovation and digiti</w:t>
            </w:r>
            <w:r w:rsidR="004E7B64">
              <w:rPr>
                <w:sz w:val="18"/>
                <w:szCs w:val="18"/>
                <w:highlight w:val="white"/>
              </w:rPr>
              <w:t>sation</w:t>
            </w:r>
          </w:p>
          <w:p w14:paraId="69127875" w14:textId="77777777" w:rsidR="00DD03C5" w:rsidRPr="00BC061B" w:rsidRDefault="00DD03C5" w:rsidP="00BC061B">
            <w:pPr>
              <w:shd w:val="clear" w:color="auto" w:fill="FFFFFF"/>
              <w:rPr>
                <w:rFonts w:ascii="Arial" w:eastAsia="Calibri" w:hAnsi="Arial" w:cs="Arial"/>
                <w:i/>
                <w:iCs/>
                <w:sz w:val="18"/>
                <w:szCs w:val="18"/>
              </w:rPr>
            </w:pPr>
          </w:p>
        </w:tc>
        <w:tc>
          <w:tcPr>
            <w:tcW w:w="3829" w:type="pct"/>
            <w:tcMar>
              <w:top w:w="57" w:type="dxa"/>
              <w:bottom w:w="57" w:type="dxa"/>
            </w:tcMar>
          </w:tcPr>
          <w:p w14:paraId="04A403B7" w14:textId="58726F7F" w:rsidR="00DD03C5" w:rsidRPr="000A7086" w:rsidRDefault="00DD03C5" w:rsidP="00BC061B">
            <w:pPr>
              <w:shd w:val="clear" w:color="auto" w:fill="FFFFFF"/>
              <w:spacing w:after="40"/>
              <w:rPr>
                <w:rFonts w:ascii="Arial" w:eastAsia="Times New Roman" w:hAnsi="Arial" w:cs="Arial"/>
                <w:bCs/>
                <w:i/>
                <w:iCs/>
                <w:color w:val="202124"/>
                <w:sz w:val="18"/>
                <w:szCs w:val="18"/>
                <w:lang w:val="en"/>
              </w:rPr>
            </w:pPr>
            <w:r w:rsidRPr="000A7086">
              <w:rPr>
                <w:rFonts w:ascii="Arial" w:hAnsi="Arial" w:cs="Arial"/>
                <w:bCs/>
                <w:i/>
                <w:iCs/>
                <w:sz w:val="18"/>
                <w:szCs w:val="18"/>
                <w:highlight w:val="white"/>
              </w:rPr>
              <w:t>“Regional Operational Program</w:t>
            </w:r>
            <w:r w:rsidR="00D015ED">
              <w:rPr>
                <w:rFonts w:ascii="Arial" w:hAnsi="Arial" w:cs="Arial"/>
                <w:bCs/>
                <w:i/>
                <w:iCs/>
                <w:sz w:val="18"/>
                <w:szCs w:val="18"/>
                <w:highlight w:val="white"/>
              </w:rPr>
              <w:t>me</w:t>
            </w:r>
            <w:r w:rsidRPr="000A7086">
              <w:rPr>
                <w:rFonts w:ascii="Arial" w:hAnsi="Arial" w:cs="Arial"/>
                <w:bCs/>
                <w:i/>
                <w:iCs/>
                <w:sz w:val="18"/>
                <w:szCs w:val="18"/>
                <w:highlight w:val="white"/>
              </w:rPr>
              <w:t xml:space="preserve"> SW Oltenia” (ROP)</w:t>
            </w:r>
          </w:p>
          <w:p w14:paraId="232F237A" w14:textId="77777777" w:rsidR="00DD03C5" w:rsidRPr="00BC061B" w:rsidRDefault="00DD03C5" w:rsidP="00D015ED">
            <w:pPr>
              <w:shd w:val="clear" w:color="auto" w:fill="FFFFFF"/>
              <w:spacing w:after="40"/>
              <w:rPr>
                <w:rFonts w:ascii="Arial" w:hAnsi="Arial" w:cs="Arial"/>
                <w:iCs/>
                <w:color w:val="000000"/>
                <w:sz w:val="18"/>
                <w:szCs w:val="18"/>
              </w:rPr>
            </w:pPr>
            <w:r w:rsidRPr="00D015ED">
              <w:rPr>
                <w:rFonts w:ascii="Arial" w:hAnsi="Arial" w:cs="Arial"/>
                <w:i/>
                <w:sz w:val="18"/>
                <w:szCs w:val="18"/>
                <w:u w:val="single"/>
              </w:rPr>
              <w:t xml:space="preserve">Priority Axis 1 </w:t>
            </w:r>
            <w:r w:rsidRPr="000A7086">
              <w:rPr>
                <w:rFonts w:ascii="Arial" w:hAnsi="Arial" w:cs="Arial"/>
                <w:i/>
                <w:color w:val="000000"/>
                <w:sz w:val="18"/>
                <w:szCs w:val="18"/>
                <w:u w:val="single"/>
              </w:rPr>
              <w:t>Competitiveness through innovation and dynamic enterprises</w:t>
            </w:r>
            <w:r w:rsidRPr="00BC061B">
              <w:rPr>
                <w:rFonts w:ascii="Arial" w:hAnsi="Arial" w:cs="Arial"/>
                <w:iCs/>
                <w:color w:val="000000"/>
                <w:sz w:val="18"/>
                <w:szCs w:val="18"/>
              </w:rPr>
              <w:t xml:space="preserve"> (</w:t>
            </w:r>
            <w:r w:rsidRPr="00BC061B">
              <w:rPr>
                <w:rFonts w:ascii="Arial" w:hAnsi="Arial" w:cs="Arial"/>
                <w:iCs/>
                <w:color w:val="000000"/>
                <w:sz w:val="18"/>
                <w:szCs w:val="18"/>
                <w:lang w:val="en-US"/>
              </w:rPr>
              <w:t xml:space="preserve">EUR </w:t>
            </w:r>
            <w:r w:rsidRPr="00BC061B">
              <w:rPr>
                <w:rFonts w:ascii="Arial" w:hAnsi="Arial" w:cs="Arial"/>
                <w:iCs/>
                <w:color w:val="000000"/>
                <w:sz w:val="18"/>
                <w:szCs w:val="18"/>
              </w:rPr>
              <w:t>183</w:t>
            </w:r>
            <w:r w:rsidRPr="00BC061B">
              <w:rPr>
                <w:rFonts w:ascii="Arial" w:hAnsi="Arial" w:cs="Arial"/>
                <w:iCs/>
                <w:color w:val="000000"/>
                <w:spacing w:val="-1"/>
                <w:sz w:val="18"/>
                <w:szCs w:val="18"/>
              </w:rPr>
              <w:t>.</w:t>
            </w:r>
            <w:r w:rsidRPr="00BC061B">
              <w:rPr>
                <w:rFonts w:ascii="Arial" w:hAnsi="Arial" w:cs="Arial"/>
                <w:iCs/>
                <w:color w:val="000000"/>
                <w:sz w:val="18"/>
                <w:szCs w:val="18"/>
              </w:rPr>
              <w:t>0</w:t>
            </w:r>
            <w:r w:rsidRPr="00BC061B">
              <w:rPr>
                <w:rFonts w:ascii="Arial" w:hAnsi="Arial" w:cs="Arial"/>
                <w:iCs/>
                <w:color w:val="000000"/>
                <w:spacing w:val="-1"/>
                <w:sz w:val="18"/>
                <w:szCs w:val="18"/>
              </w:rPr>
              <w:t>9</w:t>
            </w:r>
            <w:r w:rsidRPr="00BC061B">
              <w:rPr>
                <w:rFonts w:ascii="Arial" w:hAnsi="Arial" w:cs="Arial"/>
                <w:iCs/>
                <w:color w:val="000000"/>
                <w:spacing w:val="1"/>
                <w:sz w:val="18"/>
                <w:szCs w:val="18"/>
              </w:rPr>
              <w:t>4</w:t>
            </w:r>
            <w:r w:rsidRPr="00BC061B">
              <w:rPr>
                <w:rFonts w:ascii="Arial" w:hAnsi="Arial" w:cs="Arial"/>
                <w:iCs/>
                <w:color w:val="000000"/>
                <w:sz w:val="18"/>
                <w:szCs w:val="18"/>
              </w:rPr>
              <w:t>.0</w:t>
            </w:r>
            <w:r w:rsidRPr="00BC061B">
              <w:rPr>
                <w:rFonts w:ascii="Arial" w:hAnsi="Arial" w:cs="Arial"/>
                <w:iCs/>
                <w:color w:val="000000"/>
                <w:spacing w:val="-1"/>
                <w:sz w:val="18"/>
                <w:szCs w:val="18"/>
              </w:rPr>
              <w:t>0</w:t>
            </w:r>
            <w:r w:rsidRPr="00BC061B">
              <w:rPr>
                <w:rFonts w:ascii="Arial" w:hAnsi="Arial" w:cs="Arial"/>
                <w:iCs/>
                <w:color w:val="000000"/>
                <w:sz w:val="18"/>
                <w:szCs w:val="18"/>
              </w:rPr>
              <w:t>0), OP1/OS1 Development of research and innovation capacities and adoption of advanced technologies (</w:t>
            </w:r>
            <w:r w:rsidRPr="00BC061B">
              <w:rPr>
                <w:rFonts w:ascii="Arial" w:hAnsi="Arial" w:cs="Arial"/>
                <w:iCs/>
                <w:color w:val="000000"/>
                <w:sz w:val="18"/>
                <w:szCs w:val="18"/>
                <w:lang w:val="en-US"/>
              </w:rPr>
              <w:t xml:space="preserve">EUR </w:t>
            </w:r>
            <w:r w:rsidRPr="00BC061B">
              <w:rPr>
                <w:rFonts w:ascii="Arial" w:hAnsi="Arial" w:cs="Arial"/>
                <w:iCs/>
                <w:color w:val="000000"/>
                <w:sz w:val="18"/>
                <w:szCs w:val="18"/>
              </w:rPr>
              <w:t>58.</w:t>
            </w:r>
            <w:r w:rsidRPr="00BC061B">
              <w:rPr>
                <w:rFonts w:ascii="Arial" w:hAnsi="Arial" w:cs="Arial"/>
                <w:iCs/>
                <w:color w:val="000000"/>
                <w:spacing w:val="-1"/>
                <w:sz w:val="18"/>
                <w:szCs w:val="18"/>
              </w:rPr>
              <w:t>5</w:t>
            </w:r>
            <w:r w:rsidRPr="00BC061B">
              <w:rPr>
                <w:rFonts w:ascii="Arial" w:hAnsi="Arial" w:cs="Arial"/>
                <w:iCs/>
                <w:color w:val="000000"/>
                <w:sz w:val="18"/>
                <w:szCs w:val="18"/>
              </w:rPr>
              <w:t>46.</w:t>
            </w:r>
            <w:r w:rsidRPr="00BC061B">
              <w:rPr>
                <w:rFonts w:ascii="Arial" w:hAnsi="Arial" w:cs="Arial"/>
                <w:iCs/>
                <w:color w:val="000000"/>
                <w:spacing w:val="-1"/>
                <w:sz w:val="18"/>
                <w:szCs w:val="18"/>
              </w:rPr>
              <w:t>0</w:t>
            </w:r>
            <w:r w:rsidRPr="00BC061B">
              <w:rPr>
                <w:rFonts w:ascii="Arial" w:hAnsi="Arial" w:cs="Arial"/>
                <w:iCs/>
                <w:color w:val="000000"/>
                <w:sz w:val="18"/>
                <w:szCs w:val="18"/>
              </w:rPr>
              <w:t>00). OP1/OS3 Boosting the growth and competitiveness of SMEs (</w:t>
            </w:r>
            <w:r w:rsidRPr="00BC061B">
              <w:rPr>
                <w:rFonts w:ascii="Arial" w:hAnsi="Arial" w:cs="Arial"/>
                <w:iCs/>
                <w:color w:val="000000"/>
                <w:sz w:val="18"/>
                <w:szCs w:val="18"/>
                <w:lang w:val="en-US"/>
              </w:rPr>
              <w:t xml:space="preserve">EUR </w:t>
            </w:r>
            <w:r w:rsidRPr="00BC061B">
              <w:rPr>
                <w:rFonts w:ascii="Arial" w:hAnsi="Arial" w:cs="Arial"/>
                <w:iCs/>
                <w:color w:val="000000"/>
                <w:sz w:val="18"/>
                <w:szCs w:val="18"/>
              </w:rPr>
              <w:t>124.</w:t>
            </w:r>
            <w:r w:rsidRPr="00BC061B">
              <w:rPr>
                <w:rFonts w:ascii="Arial" w:hAnsi="Arial" w:cs="Arial"/>
                <w:iCs/>
                <w:color w:val="000000"/>
                <w:spacing w:val="-1"/>
                <w:sz w:val="18"/>
                <w:szCs w:val="18"/>
              </w:rPr>
              <w:t>5</w:t>
            </w:r>
            <w:r w:rsidRPr="00BC061B">
              <w:rPr>
                <w:rFonts w:ascii="Arial" w:hAnsi="Arial" w:cs="Arial"/>
                <w:iCs/>
                <w:color w:val="000000"/>
                <w:sz w:val="18"/>
                <w:szCs w:val="18"/>
              </w:rPr>
              <w:t>48.</w:t>
            </w:r>
            <w:r w:rsidRPr="00BC061B">
              <w:rPr>
                <w:rFonts w:ascii="Arial" w:hAnsi="Arial" w:cs="Arial"/>
                <w:iCs/>
                <w:color w:val="000000"/>
                <w:spacing w:val="-1"/>
                <w:sz w:val="18"/>
                <w:szCs w:val="18"/>
              </w:rPr>
              <w:t>0</w:t>
            </w:r>
            <w:r w:rsidRPr="00BC061B">
              <w:rPr>
                <w:rFonts w:ascii="Arial" w:hAnsi="Arial" w:cs="Arial"/>
                <w:iCs/>
                <w:color w:val="000000"/>
                <w:sz w:val="18"/>
                <w:szCs w:val="18"/>
              </w:rPr>
              <w:t xml:space="preserve">00). </w:t>
            </w:r>
          </w:p>
          <w:p w14:paraId="6270C84C" w14:textId="2D846DA2" w:rsidR="00DD03C5" w:rsidRPr="00BC061B" w:rsidRDefault="00DD03C5" w:rsidP="00D015ED">
            <w:pPr>
              <w:shd w:val="clear" w:color="auto" w:fill="FFFFFF"/>
              <w:spacing w:after="40"/>
              <w:rPr>
                <w:rFonts w:ascii="Arial" w:eastAsia="Calibri" w:hAnsi="Arial" w:cs="Arial"/>
                <w:sz w:val="18"/>
                <w:szCs w:val="18"/>
              </w:rPr>
            </w:pPr>
            <w:r w:rsidRPr="00D015ED">
              <w:rPr>
                <w:rFonts w:ascii="Arial" w:hAnsi="Arial" w:cs="Arial"/>
                <w:iCs/>
                <w:color w:val="000000"/>
                <w:sz w:val="18"/>
                <w:szCs w:val="18"/>
                <w:u w:val="single"/>
              </w:rPr>
              <w:t>Priority Axis 2 Digiti</w:t>
            </w:r>
            <w:r w:rsidR="004E7B64">
              <w:rPr>
                <w:rFonts w:ascii="Arial" w:hAnsi="Arial" w:cs="Arial"/>
                <w:iCs/>
                <w:color w:val="000000"/>
                <w:sz w:val="18"/>
                <w:szCs w:val="18"/>
                <w:u w:val="single"/>
              </w:rPr>
              <w:t>sation</w:t>
            </w:r>
            <w:r w:rsidRPr="00D015ED">
              <w:rPr>
                <w:rFonts w:ascii="Arial" w:hAnsi="Arial" w:cs="Arial"/>
                <w:iCs/>
                <w:color w:val="000000"/>
                <w:sz w:val="18"/>
                <w:szCs w:val="18"/>
                <w:u w:val="single"/>
              </w:rPr>
              <w:t xml:space="preserve"> for the benefit of citizens and companies</w:t>
            </w:r>
            <w:r w:rsidRPr="00BC061B">
              <w:rPr>
                <w:rFonts w:ascii="Arial" w:hAnsi="Arial" w:cs="Arial"/>
                <w:iCs/>
                <w:color w:val="000000"/>
                <w:sz w:val="18"/>
                <w:szCs w:val="18"/>
                <w:u w:val="single"/>
              </w:rPr>
              <w:t xml:space="preserve"> (</w:t>
            </w:r>
            <w:r w:rsidRPr="00BC061B">
              <w:rPr>
                <w:rFonts w:ascii="Arial" w:hAnsi="Arial" w:cs="Arial"/>
                <w:iCs/>
                <w:color w:val="000000"/>
                <w:sz w:val="18"/>
                <w:szCs w:val="18"/>
                <w:lang w:val="en-US"/>
              </w:rPr>
              <w:t xml:space="preserve">EUR </w:t>
            </w:r>
            <w:r w:rsidRPr="00BC061B">
              <w:rPr>
                <w:rFonts w:ascii="Arial" w:hAnsi="Arial" w:cs="Arial"/>
                <w:color w:val="000000"/>
                <w:sz w:val="18"/>
                <w:szCs w:val="18"/>
              </w:rPr>
              <w:t>113</w:t>
            </w:r>
            <w:r w:rsidRPr="00BC061B">
              <w:rPr>
                <w:rFonts w:ascii="Arial" w:hAnsi="Arial" w:cs="Arial"/>
                <w:color w:val="000000"/>
                <w:spacing w:val="-1"/>
                <w:sz w:val="18"/>
                <w:szCs w:val="18"/>
              </w:rPr>
              <w:t>.</w:t>
            </w:r>
            <w:r w:rsidRPr="00BC061B">
              <w:rPr>
                <w:rFonts w:ascii="Arial" w:hAnsi="Arial" w:cs="Arial"/>
                <w:color w:val="000000"/>
                <w:sz w:val="18"/>
                <w:szCs w:val="18"/>
              </w:rPr>
              <w:t>1</w:t>
            </w:r>
            <w:r w:rsidRPr="00BC061B">
              <w:rPr>
                <w:rFonts w:ascii="Arial" w:hAnsi="Arial" w:cs="Arial"/>
                <w:color w:val="000000"/>
                <w:spacing w:val="-1"/>
                <w:sz w:val="18"/>
                <w:szCs w:val="18"/>
              </w:rPr>
              <w:t>8</w:t>
            </w:r>
            <w:r w:rsidRPr="00BC061B">
              <w:rPr>
                <w:rFonts w:ascii="Arial" w:hAnsi="Arial" w:cs="Arial"/>
                <w:color w:val="000000"/>
                <w:sz w:val="18"/>
                <w:szCs w:val="18"/>
              </w:rPr>
              <w:t>4.000)</w:t>
            </w:r>
            <w:r w:rsidRPr="00BC061B">
              <w:rPr>
                <w:rFonts w:ascii="Arial" w:hAnsi="Arial" w:cs="Arial"/>
                <w:iCs/>
                <w:color w:val="000000"/>
                <w:sz w:val="18"/>
                <w:szCs w:val="18"/>
              </w:rPr>
              <w:t>, OP1/OS2 Harnessing the benefits of digiti</w:t>
            </w:r>
            <w:r w:rsidR="004E7B64">
              <w:rPr>
                <w:rFonts w:ascii="Arial" w:hAnsi="Arial" w:cs="Arial"/>
                <w:iCs/>
                <w:color w:val="000000"/>
                <w:sz w:val="18"/>
                <w:szCs w:val="18"/>
              </w:rPr>
              <w:t>sation</w:t>
            </w:r>
            <w:r w:rsidRPr="00BC061B">
              <w:rPr>
                <w:rFonts w:ascii="Arial" w:hAnsi="Arial" w:cs="Arial"/>
                <w:iCs/>
                <w:color w:val="000000"/>
                <w:sz w:val="18"/>
                <w:szCs w:val="18"/>
              </w:rPr>
              <w:t xml:space="preserve"> for the benefit of citizens of companies and governments (</w:t>
            </w:r>
            <w:r w:rsidRPr="00BC061B">
              <w:rPr>
                <w:rFonts w:ascii="Arial" w:hAnsi="Arial" w:cs="Arial"/>
                <w:iCs/>
                <w:color w:val="000000"/>
                <w:sz w:val="18"/>
                <w:szCs w:val="18"/>
                <w:lang w:val="en-US"/>
              </w:rPr>
              <w:t xml:space="preserve">EUR </w:t>
            </w:r>
            <w:r w:rsidRPr="00BC061B">
              <w:rPr>
                <w:rFonts w:ascii="Arial" w:hAnsi="Arial" w:cs="Arial"/>
                <w:color w:val="000000"/>
                <w:sz w:val="18"/>
                <w:szCs w:val="18"/>
              </w:rPr>
              <w:t>113</w:t>
            </w:r>
            <w:r w:rsidRPr="00BC061B">
              <w:rPr>
                <w:rFonts w:ascii="Arial" w:hAnsi="Arial" w:cs="Arial"/>
                <w:color w:val="000000"/>
                <w:spacing w:val="-1"/>
                <w:sz w:val="18"/>
                <w:szCs w:val="18"/>
              </w:rPr>
              <w:t>.</w:t>
            </w:r>
            <w:r w:rsidRPr="00BC061B">
              <w:rPr>
                <w:rFonts w:ascii="Arial" w:hAnsi="Arial" w:cs="Arial"/>
                <w:color w:val="000000"/>
                <w:sz w:val="18"/>
                <w:szCs w:val="18"/>
              </w:rPr>
              <w:t>1</w:t>
            </w:r>
            <w:r w:rsidRPr="00BC061B">
              <w:rPr>
                <w:rFonts w:ascii="Arial" w:hAnsi="Arial" w:cs="Arial"/>
                <w:color w:val="000000"/>
                <w:spacing w:val="-1"/>
                <w:sz w:val="18"/>
                <w:szCs w:val="18"/>
              </w:rPr>
              <w:t>8</w:t>
            </w:r>
            <w:r w:rsidRPr="00BC061B">
              <w:rPr>
                <w:rFonts w:ascii="Arial" w:hAnsi="Arial" w:cs="Arial"/>
                <w:color w:val="000000"/>
                <w:sz w:val="18"/>
                <w:szCs w:val="18"/>
              </w:rPr>
              <w:t>4</w:t>
            </w:r>
            <w:r w:rsidRPr="00BC061B">
              <w:rPr>
                <w:rFonts w:ascii="Arial" w:hAnsi="Arial" w:cs="Arial"/>
                <w:color w:val="000000"/>
                <w:spacing w:val="-1"/>
                <w:sz w:val="18"/>
                <w:szCs w:val="18"/>
              </w:rPr>
              <w:t>.</w:t>
            </w:r>
            <w:r w:rsidRPr="00BC061B">
              <w:rPr>
                <w:rFonts w:ascii="Arial" w:hAnsi="Arial" w:cs="Arial"/>
                <w:color w:val="000000"/>
                <w:sz w:val="18"/>
                <w:szCs w:val="18"/>
              </w:rPr>
              <w:t>000)</w:t>
            </w:r>
            <w:r w:rsidRPr="00BC061B">
              <w:rPr>
                <w:rFonts w:ascii="Arial" w:hAnsi="Arial" w:cs="Arial"/>
                <w:iCs/>
                <w:color w:val="000000"/>
                <w:sz w:val="18"/>
                <w:szCs w:val="18"/>
              </w:rPr>
              <w:t>.</w:t>
            </w:r>
          </w:p>
        </w:tc>
      </w:tr>
      <w:tr w:rsidR="00DD03C5" w:rsidRPr="00BC061B" w14:paraId="4A5F6A3D" w14:textId="77777777" w:rsidTr="00964831">
        <w:trPr>
          <w:trHeight w:val="765"/>
        </w:trPr>
        <w:tc>
          <w:tcPr>
            <w:tcW w:w="1171" w:type="pct"/>
            <w:vMerge/>
            <w:shd w:val="clear" w:color="auto" w:fill="auto"/>
            <w:tcMar>
              <w:top w:w="100" w:type="dxa"/>
              <w:left w:w="100" w:type="dxa"/>
              <w:bottom w:w="100" w:type="dxa"/>
              <w:right w:w="100" w:type="dxa"/>
            </w:tcMar>
          </w:tcPr>
          <w:p w14:paraId="577641AA" w14:textId="77777777" w:rsidR="00DD03C5" w:rsidRPr="00BC061B" w:rsidRDefault="00DD03C5">
            <w:pPr>
              <w:shd w:val="clear" w:color="auto" w:fill="FFFFFF"/>
              <w:rPr>
                <w:rFonts w:ascii="Arial" w:hAnsi="Arial" w:cs="Arial"/>
                <w:sz w:val="18"/>
                <w:szCs w:val="18"/>
              </w:rPr>
            </w:pPr>
          </w:p>
        </w:tc>
        <w:tc>
          <w:tcPr>
            <w:tcW w:w="3829" w:type="pct"/>
            <w:shd w:val="clear" w:color="auto" w:fill="auto"/>
            <w:noWrap/>
            <w:tcMar>
              <w:top w:w="0" w:type="dxa"/>
              <w:left w:w="100" w:type="dxa"/>
              <w:bottom w:w="0" w:type="dxa"/>
              <w:right w:w="100" w:type="dxa"/>
            </w:tcMar>
          </w:tcPr>
          <w:p w14:paraId="6EC203C7" w14:textId="7D518315" w:rsidR="00DD03C5" w:rsidRPr="000A7086" w:rsidRDefault="00DD03C5">
            <w:pPr>
              <w:tabs>
                <w:tab w:val="left" w:pos="10076"/>
                <w:tab w:val="left" w:pos="10992"/>
                <w:tab w:val="left" w:pos="11908"/>
                <w:tab w:val="left" w:pos="12824"/>
                <w:tab w:val="left" w:pos="13740"/>
                <w:tab w:val="left" w:pos="14656"/>
              </w:tabs>
              <w:spacing w:after="40"/>
              <w:jc w:val="both"/>
              <w:rPr>
                <w:rFonts w:ascii="Arial" w:hAnsi="Arial" w:cs="Arial"/>
                <w:bCs/>
                <w:i/>
                <w:iCs/>
                <w:sz w:val="18"/>
                <w:szCs w:val="18"/>
                <w:highlight w:val="white"/>
              </w:rPr>
            </w:pPr>
            <w:r w:rsidRPr="000A7086">
              <w:rPr>
                <w:rFonts w:ascii="Arial" w:hAnsi="Arial" w:cs="Arial"/>
                <w:bCs/>
                <w:i/>
                <w:iCs/>
                <w:sz w:val="18"/>
                <w:szCs w:val="18"/>
                <w:highlight w:val="white"/>
              </w:rPr>
              <w:t xml:space="preserve">“National </w:t>
            </w:r>
            <w:r w:rsidR="00D015ED" w:rsidRPr="000A7086">
              <w:rPr>
                <w:rFonts w:ascii="Arial" w:hAnsi="Arial" w:cs="Arial"/>
                <w:bCs/>
                <w:i/>
                <w:iCs/>
                <w:sz w:val="18"/>
                <w:szCs w:val="18"/>
                <w:highlight w:val="white"/>
              </w:rPr>
              <w:t>R</w:t>
            </w:r>
            <w:r w:rsidR="00D015ED">
              <w:rPr>
                <w:rFonts w:ascii="Arial" w:hAnsi="Arial" w:cs="Arial"/>
                <w:bCs/>
                <w:i/>
                <w:iCs/>
                <w:sz w:val="18"/>
                <w:szCs w:val="18"/>
                <w:highlight w:val="white"/>
              </w:rPr>
              <w:t>ecovery and Resilience Plan”</w:t>
            </w:r>
            <w:r w:rsidRPr="000A7086">
              <w:rPr>
                <w:rFonts w:ascii="Arial" w:hAnsi="Arial" w:cs="Arial"/>
                <w:bCs/>
                <w:i/>
                <w:iCs/>
                <w:sz w:val="18"/>
                <w:szCs w:val="18"/>
                <w:highlight w:val="white"/>
              </w:rPr>
              <w:t xml:space="preserve"> (R</w:t>
            </w:r>
            <w:r w:rsidR="00D015ED">
              <w:rPr>
                <w:rFonts w:ascii="Arial" w:hAnsi="Arial" w:cs="Arial"/>
                <w:bCs/>
                <w:i/>
                <w:iCs/>
                <w:sz w:val="18"/>
                <w:szCs w:val="18"/>
                <w:highlight w:val="white"/>
              </w:rPr>
              <w:t>RP</w:t>
            </w:r>
            <w:r w:rsidRPr="000A7086">
              <w:rPr>
                <w:rFonts w:ascii="Arial" w:hAnsi="Arial" w:cs="Arial"/>
                <w:bCs/>
                <w:i/>
                <w:iCs/>
                <w:sz w:val="18"/>
                <w:szCs w:val="18"/>
                <w:highlight w:val="white"/>
              </w:rPr>
              <w:t>)</w:t>
            </w:r>
          </w:p>
          <w:p w14:paraId="2417CE26" w14:textId="2703E1AE" w:rsidR="00DD03C5" w:rsidRPr="00BC061B" w:rsidRDefault="00DD03C5">
            <w:pPr>
              <w:tabs>
                <w:tab w:val="left" w:pos="10076"/>
                <w:tab w:val="left" w:pos="10992"/>
                <w:tab w:val="left" w:pos="11908"/>
                <w:tab w:val="left" w:pos="12824"/>
                <w:tab w:val="left" w:pos="13740"/>
                <w:tab w:val="left" w:pos="14656"/>
              </w:tabs>
              <w:spacing w:after="40"/>
              <w:jc w:val="both"/>
              <w:rPr>
                <w:rFonts w:ascii="Arial" w:hAnsi="Arial" w:cs="Arial"/>
                <w:sz w:val="18"/>
                <w:szCs w:val="18"/>
              </w:rPr>
            </w:pPr>
            <w:r w:rsidRPr="00BC061B">
              <w:rPr>
                <w:rFonts w:ascii="Arial" w:hAnsi="Arial" w:cs="Arial"/>
                <w:i/>
                <w:sz w:val="18"/>
                <w:szCs w:val="18"/>
                <w:u w:val="single"/>
              </w:rPr>
              <w:t>Pillar II Digital transformation</w:t>
            </w:r>
            <w:r w:rsidRPr="00BC061B">
              <w:rPr>
                <w:rFonts w:ascii="Arial" w:hAnsi="Arial" w:cs="Arial"/>
                <w:i/>
                <w:sz w:val="18"/>
                <w:szCs w:val="18"/>
              </w:rPr>
              <w:t>,</w:t>
            </w:r>
            <w:r w:rsidRPr="00BC061B">
              <w:rPr>
                <w:rFonts w:ascii="Arial" w:hAnsi="Arial" w:cs="Arial"/>
                <w:sz w:val="18"/>
                <w:szCs w:val="18"/>
              </w:rPr>
              <w:t xml:space="preserve"> Component 1 II.1 Government cloud and interconnected digital systems in public administration, signature and electronic identity, promotion of high value-added investments in ICT (</w:t>
            </w:r>
            <w:r w:rsidRPr="00BC061B">
              <w:rPr>
                <w:rFonts w:ascii="Arial" w:hAnsi="Arial" w:cs="Arial"/>
                <w:sz w:val="18"/>
                <w:szCs w:val="18"/>
                <w:lang w:val="en-US"/>
              </w:rPr>
              <w:t>EUR 1.89</w:t>
            </w:r>
            <w:r w:rsidR="00D62087" w:rsidRPr="00BC061B">
              <w:rPr>
                <w:rFonts w:ascii="Arial" w:hAnsi="Arial" w:cs="Arial"/>
                <w:sz w:val="18"/>
                <w:szCs w:val="18"/>
                <w:lang w:val="en-US"/>
              </w:rPr>
              <w:t xml:space="preserve"> bn</w:t>
            </w:r>
            <w:r w:rsidRPr="00BC061B">
              <w:rPr>
                <w:rFonts w:ascii="Arial" w:hAnsi="Arial" w:cs="Arial"/>
                <w:sz w:val="18"/>
                <w:szCs w:val="18"/>
              </w:rPr>
              <w:t xml:space="preserve">). </w:t>
            </w:r>
          </w:p>
          <w:p w14:paraId="404C4E2A" w14:textId="79ED268A" w:rsidR="00DD03C5" w:rsidRPr="00BC061B" w:rsidRDefault="00DD03C5">
            <w:pPr>
              <w:tabs>
                <w:tab w:val="left" w:pos="10076"/>
                <w:tab w:val="left" w:pos="10992"/>
                <w:tab w:val="left" w:pos="11908"/>
                <w:tab w:val="left" w:pos="12824"/>
                <w:tab w:val="left" w:pos="13740"/>
                <w:tab w:val="left" w:pos="14656"/>
              </w:tabs>
              <w:spacing w:after="40"/>
              <w:jc w:val="both"/>
              <w:rPr>
                <w:rFonts w:ascii="Arial" w:eastAsia="Calibri" w:hAnsi="Arial" w:cs="Arial"/>
                <w:sz w:val="18"/>
                <w:szCs w:val="18"/>
              </w:rPr>
            </w:pPr>
            <w:r w:rsidRPr="00BC061B">
              <w:rPr>
                <w:rFonts w:ascii="Arial" w:hAnsi="Arial" w:cs="Arial"/>
                <w:i/>
                <w:sz w:val="18"/>
                <w:szCs w:val="18"/>
                <w:u w:val="single"/>
              </w:rPr>
              <w:t>Pillar III Smart, sustainable and inclusive growth</w:t>
            </w:r>
            <w:r w:rsidRPr="00BC061B">
              <w:rPr>
                <w:rFonts w:ascii="Arial" w:hAnsi="Arial" w:cs="Arial"/>
                <w:sz w:val="18"/>
                <w:szCs w:val="18"/>
              </w:rPr>
              <w:t>, Component 3 III.3 Investments and financial instruments for the private sector and the reform of state-owned companies (</w:t>
            </w:r>
            <w:r w:rsidRPr="00BC061B">
              <w:rPr>
                <w:rFonts w:ascii="Arial" w:hAnsi="Arial" w:cs="Arial"/>
                <w:sz w:val="18"/>
                <w:szCs w:val="18"/>
                <w:lang w:val="en-US"/>
              </w:rPr>
              <w:t>bil 2.36</w:t>
            </w:r>
            <w:r w:rsidR="00D62087" w:rsidRPr="00BC061B">
              <w:rPr>
                <w:rFonts w:ascii="Arial" w:hAnsi="Arial" w:cs="Arial"/>
                <w:sz w:val="18"/>
                <w:szCs w:val="18"/>
                <w:lang w:val="en-US"/>
              </w:rPr>
              <w:t xml:space="preserve"> bn</w:t>
            </w:r>
            <w:r w:rsidRPr="00BC061B">
              <w:rPr>
                <w:rFonts w:ascii="Arial" w:hAnsi="Arial" w:cs="Arial"/>
                <w:sz w:val="18"/>
                <w:szCs w:val="18"/>
              </w:rPr>
              <w:t>).</w:t>
            </w:r>
          </w:p>
        </w:tc>
      </w:tr>
      <w:tr w:rsidR="00DD03C5" w:rsidRPr="00BC061B" w14:paraId="59789110" w14:textId="77777777" w:rsidTr="000A7086">
        <w:trPr>
          <w:trHeight w:val="2336"/>
        </w:trPr>
        <w:tc>
          <w:tcPr>
            <w:tcW w:w="1171" w:type="pct"/>
            <w:vMerge w:val="restart"/>
            <w:shd w:val="clear" w:color="auto" w:fill="auto"/>
            <w:tcMar>
              <w:top w:w="0" w:type="dxa"/>
              <w:left w:w="100" w:type="dxa"/>
              <w:bottom w:w="0" w:type="dxa"/>
              <w:right w:w="100" w:type="dxa"/>
            </w:tcMar>
          </w:tcPr>
          <w:p w14:paraId="497B7CDA" w14:textId="3B1EB87D" w:rsidR="00DD03C5" w:rsidRPr="000A7086" w:rsidRDefault="00BC061B" w:rsidP="00BC061B">
            <w:pPr>
              <w:tabs>
                <w:tab w:val="left" w:pos="1620"/>
              </w:tabs>
              <w:rPr>
                <w:rFonts w:ascii="Arial" w:hAnsi="Arial" w:cs="Arial"/>
                <w:bCs/>
                <w:sz w:val="18"/>
                <w:szCs w:val="18"/>
                <w:highlight w:val="white"/>
                <w:lang w:val="en-US"/>
              </w:rPr>
            </w:pPr>
            <w:r>
              <w:rPr>
                <w:rFonts w:ascii="Arial" w:hAnsi="Arial" w:cs="Arial"/>
                <w:bCs/>
                <w:sz w:val="18"/>
                <w:szCs w:val="18"/>
                <w:highlight w:val="white"/>
                <w:lang w:val="en-US"/>
              </w:rPr>
              <w:t>Type</w:t>
            </w:r>
            <w:r w:rsidRPr="000A7086">
              <w:rPr>
                <w:rFonts w:ascii="Arial" w:hAnsi="Arial" w:cs="Arial"/>
                <w:bCs/>
                <w:sz w:val="18"/>
                <w:szCs w:val="18"/>
                <w:highlight w:val="white"/>
                <w:lang w:val="en-US"/>
              </w:rPr>
              <w:t xml:space="preserve"> </w:t>
            </w:r>
            <w:r w:rsidR="00DD03C5" w:rsidRPr="000A7086">
              <w:rPr>
                <w:rFonts w:ascii="Arial" w:hAnsi="Arial" w:cs="Arial"/>
                <w:bCs/>
                <w:sz w:val="18"/>
                <w:szCs w:val="18"/>
                <w:highlight w:val="white"/>
                <w:lang w:val="en-US"/>
              </w:rPr>
              <w:t>2</w:t>
            </w:r>
          </w:p>
          <w:p w14:paraId="2171971B" w14:textId="24985C2B" w:rsidR="00DD03C5" w:rsidRPr="000A7086" w:rsidRDefault="00DD03C5" w:rsidP="00BC061B">
            <w:pPr>
              <w:tabs>
                <w:tab w:val="left" w:pos="1620"/>
              </w:tabs>
              <w:rPr>
                <w:rFonts w:ascii="Arial" w:hAnsi="Arial" w:cs="Arial"/>
                <w:bCs/>
                <w:sz w:val="18"/>
                <w:szCs w:val="18"/>
                <w:lang w:val="ro-RO"/>
              </w:rPr>
            </w:pPr>
            <w:r w:rsidRPr="000A7086">
              <w:rPr>
                <w:rFonts w:ascii="Arial" w:hAnsi="Arial" w:cs="Arial"/>
                <w:bCs/>
                <w:sz w:val="18"/>
                <w:szCs w:val="18"/>
                <w:highlight w:val="white"/>
              </w:rPr>
              <w:t>The opportunities for investing in new technologies and infrastructure for green energy, pollution reduction and circular economy</w:t>
            </w:r>
          </w:p>
          <w:p w14:paraId="1DBEAD78" w14:textId="77777777" w:rsidR="00DD03C5" w:rsidRPr="00BC061B" w:rsidRDefault="00DD03C5" w:rsidP="00BC061B">
            <w:pPr>
              <w:tabs>
                <w:tab w:val="left" w:pos="10076"/>
                <w:tab w:val="left" w:pos="10992"/>
                <w:tab w:val="left" w:pos="11908"/>
                <w:tab w:val="left" w:pos="12824"/>
                <w:tab w:val="left" w:pos="13740"/>
                <w:tab w:val="left" w:pos="14656"/>
              </w:tabs>
              <w:ind w:left="1440" w:hanging="1440"/>
              <w:rPr>
                <w:rFonts w:ascii="Arial" w:eastAsia="Calibri" w:hAnsi="Arial" w:cs="Arial"/>
                <w:i/>
                <w:iCs/>
                <w:sz w:val="18"/>
                <w:szCs w:val="18"/>
              </w:rPr>
            </w:pPr>
            <w:r w:rsidRPr="00BC061B">
              <w:rPr>
                <w:rFonts w:ascii="Arial" w:hAnsi="Arial" w:cs="Arial"/>
                <w:i/>
                <w:iCs/>
                <w:color w:val="000000"/>
                <w:sz w:val="18"/>
                <w:szCs w:val="18"/>
              </w:rPr>
              <w:t xml:space="preserve"> </w:t>
            </w:r>
            <w:r w:rsidRPr="00BC061B">
              <w:rPr>
                <w:rFonts w:ascii="Arial" w:eastAsia="Calibri" w:hAnsi="Arial" w:cs="Arial"/>
                <w:i/>
                <w:iCs/>
                <w:sz w:val="18"/>
                <w:szCs w:val="18"/>
              </w:rPr>
              <w:t xml:space="preserve"> </w:t>
            </w:r>
          </w:p>
          <w:p w14:paraId="37119316" w14:textId="77777777" w:rsidR="00DD03C5" w:rsidRPr="00BC061B" w:rsidRDefault="00DD03C5" w:rsidP="00D015ED">
            <w:pPr>
              <w:shd w:val="clear" w:color="auto" w:fill="FFFFFF"/>
              <w:rPr>
                <w:rFonts w:ascii="Arial" w:eastAsia="Calibri" w:hAnsi="Arial" w:cs="Arial"/>
                <w:i/>
                <w:iCs/>
                <w:sz w:val="18"/>
                <w:szCs w:val="18"/>
              </w:rPr>
            </w:pPr>
            <w:r w:rsidRPr="00BC061B">
              <w:rPr>
                <w:rFonts w:ascii="Arial" w:eastAsia="Calibri" w:hAnsi="Arial" w:cs="Arial"/>
                <w:i/>
                <w:iCs/>
                <w:sz w:val="18"/>
                <w:szCs w:val="18"/>
              </w:rPr>
              <w:t xml:space="preserve"> </w:t>
            </w:r>
          </w:p>
        </w:tc>
        <w:tc>
          <w:tcPr>
            <w:tcW w:w="3829" w:type="pct"/>
            <w:shd w:val="clear" w:color="auto" w:fill="auto"/>
            <w:tcMar>
              <w:top w:w="57" w:type="dxa"/>
              <w:left w:w="100" w:type="dxa"/>
              <w:bottom w:w="57" w:type="dxa"/>
              <w:right w:w="100" w:type="dxa"/>
            </w:tcMar>
          </w:tcPr>
          <w:p w14:paraId="38447933" w14:textId="04149F6A" w:rsidR="00DD03C5" w:rsidRPr="000A7086" w:rsidRDefault="00DD03C5" w:rsidP="00D015ED">
            <w:pPr>
              <w:spacing w:after="40"/>
              <w:ind w:right="51"/>
              <w:jc w:val="both"/>
              <w:rPr>
                <w:rFonts w:ascii="Arial" w:hAnsi="Arial" w:cs="Arial"/>
                <w:bCs/>
                <w:i/>
                <w:iCs/>
                <w:sz w:val="18"/>
                <w:szCs w:val="18"/>
                <w:highlight w:val="white"/>
              </w:rPr>
            </w:pPr>
            <w:r w:rsidRPr="000A7086">
              <w:rPr>
                <w:rFonts w:ascii="Arial" w:hAnsi="Arial" w:cs="Arial"/>
                <w:bCs/>
                <w:i/>
                <w:iCs/>
                <w:sz w:val="18"/>
                <w:szCs w:val="18"/>
                <w:highlight w:val="white"/>
              </w:rPr>
              <w:t>“Regional Operational Program</w:t>
            </w:r>
            <w:r w:rsidR="00D015ED">
              <w:rPr>
                <w:rFonts w:ascii="Arial" w:hAnsi="Arial" w:cs="Arial"/>
                <w:bCs/>
                <w:i/>
                <w:iCs/>
                <w:sz w:val="18"/>
                <w:szCs w:val="18"/>
                <w:highlight w:val="white"/>
              </w:rPr>
              <w:t>me</w:t>
            </w:r>
            <w:r w:rsidRPr="000A7086">
              <w:rPr>
                <w:rFonts w:ascii="Arial" w:hAnsi="Arial" w:cs="Arial"/>
                <w:bCs/>
                <w:i/>
                <w:iCs/>
                <w:sz w:val="18"/>
                <w:szCs w:val="18"/>
                <w:highlight w:val="white"/>
              </w:rPr>
              <w:t xml:space="preserve"> SW Oltenia” (ROP) </w:t>
            </w:r>
          </w:p>
          <w:p w14:paraId="35EA7AEF" w14:textId="77777777" w:rsidR="00DD03C5" w:rsidRPr="00BC061B" w:rsidRDefault="00DD03C5" w:rsidP="00D015ED">
            <w:pPr>
              <w:spacing w:after="40"/>
              <w:ind w:right="51"/>
              <w:jc w:val="both"/>
              <w:rPr>
                <w:rFonts w:ascii="Arial" w:hAnsi="Arial" w:cs="Arial"/>
                <w:color w:val="000000"/>
                <w:sz w:val="18"/>
                <w:szCs w:val="18"/>
                <w:lang w:val="en-US"/>
              </w:rPr>
            </w:pPr>
            <w:r w:rsidRPr="00BC061B">
              <w:rPr>
                <w:rFonts w:ascii="Arial" w:hAnsi="Arial" w:cs="Arial"/>
                <w:i/>
                <w:sz w:val="18"/>
                <w:szCs w:val="18"/>
                <w:highlight w:val="white"/>
                <w:u w:val="single"/>
              </w:rPr>
              <w:t>Priority Axis 3</w:t>
            </w:r>
            <w:r w:rsidRPr="00BC061B">
              <w:rPr>
                <w:rFonts w:ascii="Arial" w:hAnsi="Arial" w:cs="Arial"/>
                <w:i/>
                <w:sz w:val="18"/>
                <w:szCs w:val="18"/>
                <w:u w:val="single"/>
              </w:rPr>
              <w:t xml:space="preserve"> </w:t>
            </w:r>
            <w:r w:rsidRPr="00BC061B">
              <w:rPr>
                <w:rFonts w:ascii="Arial" w:hAnsi="Arial" w:cs="Arial"/>
                <w:i/>
                <w:color w:val="000000"/>
                <w:sz w:val="18"/>
                <w:szCs w:val="18"/>
                <w:u w:val="single"/>
              </w:rPr>
              <w:t>Energy efficiency and green infrastructure</w:t>
            </w:r>
            <w:r w:rsidRPr="00BC061B">
              <w:rPr>
                <w:rFonts w:ascii="Arial" w:hAnsi="Arial" w:cs="Arial"/>
                <w:color w:val="000000"/>
                <w:sz w:val="18"/>
                <w:szCs w:val="18"/>
              </w:rPr>
              <w:t xml:space="preserve"> (</w:t>
            </w:r>
            <w:r w:rsidRPr="00BC061B">
              <w:rPr>
                <w:rFonts w:ascii="Arial" w:hAnsi="Arial" w:cs="Arial"/>
                <w:color w:val="000000"/>
                <w:sz w:val="18"/>
                <w:szCs w:val="18"/>
                <w:lang w:val="en-US"/>
              </w:rPr>
              <w:t xml:space="preserve">EUR </w:t>
            </w:r>
            <w:r w:rsidRPr="00BC061B">
              <w:rPr>
                <w:rFonts w:ascii="Arial" w:hAnsi="Arial" w:cs="Arial"/>
                <w:color w:val="000000"/>
                <w:sz w:val="18"/>
                <w:szCs w:val="18"/>
              </w:rPr>
              <w:t>237.0</w:t>
            </w:r>
            <w:r w:rsidRPr="00BC061B">
              <w:rPr>
                <w:rFonts w:ascii="Arial" w:hAnsi="Arial" w:cs="Arial"/>
                <w:color w:val="000000"/>
                <w:spacing w:val="-1"/>
                <w:sz w:val="18"/>
                <w:szCs w:val="18"/>
              </w:rPr>
              <w:t>5</w:t>
            </w:r>
            <w:r w:rsidRPr="00BC061B">
              <w:rPr>
                <w:rFonts w:ascii="Arial" w:hAnsi="Arial" w:cs="Arial"/>
                <w:color w:val="000000"/>
                <w:sz w:val="18"/>
                <w:szCs w:val="18"/>
              </w:rPr>
              <w:t>1.0</w:t>
            </w:r>
            <w:r w:rsidRPr="00BC061B">
              <w:rPr>
                <w:rFonts w:ascii="Arial" w:hAnsi="Arial" w:cs="Arial"/>
                <w:color w:val="000000"/>
                <w:spacing w:val="-1"/>
                <w:sz w:val="18"/>
                <w:szCs w:val="18"/>
              </w:rPr>
              <w:t>0</w:t>
            </w:r>
            <w:r w:rsidRPr="00BC061B">
              <w:rPr>
                <w:rFonts w:ascii="Arial" w:hAnsi="Arial" w:cs="Arial"/>
                <w:color w:val="000000"/>
                <w:sz w:val="18"/>
                <w:szCs w:val="18"/>
              </w:rPr>
              <w:t>0)</w:t>
            </w:r>
            <w:r w:rsidRPr="00BC061B">
              <w:rPr>
                <w:rFonts w:ascii="Arial" w:hAnsi="Arial" w:cs="Arial"/>
                <w:color w:val="000000"/>
                <w:sz w:val="18"/>
                <w:szCs w:val="18"/>
                <w:lang w:val="en-US"/>
              </w:rPr>
              <w:t>,</w:t>
            </w:r>
            <w:r w:rsidRPr="00BC061B">
              <w:rPr>
                <w:rFonts w:ascii="Arial" w:hAnsi="Arial" w:cs="Arial"/>
                <w:color w:val="000000"/>
                <w:sz w:val="18"/>
                <w:szCs w:val="18"/>
              </w:rPr>
              <w:t xml:space="preserve"> OP2/OS1 Promoting energy efficiency and reducing greenhouse gas emissions</w:t>
            </w:r>
            <w:r w:rsidRPr="00BC061B">
              <w:rPr>
                <w:rFonts w:ascii="Arial" w:hAnsi="Arial" w:cs="Arial"/>
                <w:color w:val="000000"/>
                <w:sz w:val="18"/>
                <w:szCs w:val="18"/>
                <w:lang w:val="en-US"/>
              </w:rPr>
              <w:t xml:space="preserve"> (EUR </w:t>
            </w:r>
            <w:r w:rsidRPr="00BC061B">
              <w:rPr>
                <w:rFonts w:ascii="Arial" w:hAnsi="Arial" w:cs="Arial"/>
                <w:color w:val="000000"/>
                <w:sz w:val="18"/>
                <w:szCs w:val="18"/>
              </w:rPr>
              <w:t>161</w:t>
            </w:r>
            <w:r w:rsidRPr="00BC061B">
              <w:rPr>
                <w:rFonts w:ascii="Arial" w:hAnsi="Arial" w:cs="Arial"/>
                <w:color w:val="000000"/>
                <w:spacing w:val="-1"/>
                <w:sz w:val="18"/>
                <w:szCs w:val="18"/>
              </w:rPr>
              <w:t>.</w:t>
            </w:r>
            <w:r w:rsidRPr="00BC061B">
              <w:rPr>
                <w:rFonts w:ascii="Arial" w:hAnsi="Arial" w:cs="Arial"/>
                <w:color w:val="000000"/>
                <w:sz w:val="18"/>
                <w:szCs w:val="18"/>
              </w:rPr>
              <w:t>3</w:t>
            </w:r>
            <w:r w:rsidRPr="00BC061B">
              <w:rPr>
                <w:rFonts w:ascii="Arial" w:hAnsi="Arial" w:cs="Arial"/>
                <w:color w:val="000000"/>
                <w:spacing w:val="-1"/>
                <w:sz w:val="18"/>
                <w:szCs w:val="18"/>
              </w:rPr>
              <w:t>6</w:t>
            </w:r>
            <w:r w:rsidRPr="00BC061B">
              <w:rPr>
                <w:rFonts w:ascii="Arial" w:hAnsi="Arial" w:cs="Arial"/>
                <w:color w:val="000000"/>
                <w:sz w:val="18"/>
                <w:szCs w:val="18"/>
              </w:rPr>
              <w:t>3.0</w:t>
            </w:r>
            <w:r w:rsidRPr="00BC061B">
              <w:rPr>
                <w:rFonts w:ascii="Arial" w:hAnsi="Arial" w:cs="Arial"/>
                <w:color w:val="000000"/>
                <w:spacing w:val="-1"/>
                <w:sz w:val="18"/>
                <w:szCs w:val="18"/>
              </w:rPr>
              <w:t>0</w:t>
            </w:r>
            <w:r w:rsidRPr="00BC061B">
              <w:rPr>
                <w:rFonts w:ascii="Arial" w:hAnsi="Arial" w:cs="Arial"/>
                <w:color w:val="000000"/>
                <w:sz w:val="18"/>
                <w:szCs w:val="18"/>
              </w:rPr>
              <w:t>0)</w:t>
            </w:r>
            <w:r w:rsidRPr="00BC061B">
              <w:rPr>
                <w:rFonts w:ascii="Arial" w:hAnsi="Arial" w:cs="Arial"/>
                <w:color w:val="000000"/>
                <w:sz w:val="18"/>
                <w:szCs w:val="18"/>
                <w:lang w:val="en-US"/>
              </w:rPr>
              <w:t>.</w:t>
            </w:r>
            <w:r w:rsidRPr="00BC061B">
              <w:rPr>
                <w:rFonts w:ascii="Arial" w:hAnsi="Arial" w:cs="Arial"/>
                <w:color w:val="000000"/>
                <w:sz w:val="18"/>
                <w:szCs w:val="18"/>
              </w:rPr>
              <w:t xml:space="preserve"> OP2/OS7 Improving the nature and biodiversity protection, green infrastructure especially in urban areas, pollution reducing</w:t>
            </w:r>
            <w:r w:rsidRPr="00BC061B">
              <w:rPr>
                <w:rFonts w:ascii="Arial" w:hAnsi="Arial" w:cs="Arial"/>
                <w:color w:val="000000"/>
                <w:sz w:val="18"/>
                <w:szCs w:val="18"/>
                <w:lang w:val="en-US"/>
              </w:rPr>
              <w:t xml:space="preserve"> (EUR </w:t>
            </w:r>
            <w:r w:rsidRPr="00BC061B">
              <w:rPr>
                <w:rFonts w:ascii="Arial" w:hAnsi="Arial" w:cs="Arial"/>
                <w:color w:val="000000"/>
                <w:sz w:val="18"/>
                <w:szCs w:val="18"/>
              </w:rPr>
              <w:t>75.</w:t>
            </w:r>
            <w:r w:rsidRPr="00BC061B">
              <w:rPr>
                <w:rFonts w:ascii="Arial" w:hAnsi="Arial" w:cs="Arial"/>
                <w:color w:val="000000"/>
                <w:spacing w:val="-1"/>
                <w:sz w:val="18"/>
                <w:szCs w:val="18"/>
              </w:rPr>
              <w:t>6</w:t>
            </w:r>
            <w:r w:rsidRPr="00BC061B">
              <w:rPr>
                <w:rFonts w:ascii="Arial" w:hAnsi="Arial" w:cs="Arial"/>
                <w:color w:val="000000"/>
                <w:sz w:val="18"/>
                <w:szCs w:val="18"/>
              </w:rPr>
              <w:t>8</w:t>
            </w:r>
            <w:r w:rsidRPr="00BC061B">
              <w:rPr>
                <w:rFonts w:ascii="Arial" w:hAnsi="Arial" w:cs="Arial"/>
                <w:color w:val="000000"/>
                <w:spacing w:val="-1"/>
                <w:sz w:val="18"/>
                <w:szCs w:val="18"/>
              </w:rPr>
              <w:t>8</w:t>
            </w:r>
            <w:r w:rsidRPr="00BC061B">
              <w:rPr>
                <w:rFonts w:ascii="Arial" w:hAnsi="Arial" w:cs="Arial"/>
                <w:color w:val="000000"/>
                <w:spacing w:val="1"/>
                <w:sz w:val="18"/>
                <w:szCs w:val="18"/>
              </w:rPr>
              <w:t>.</w:t>
            </w:r>
            <w:r w:rsidRPr="00BC061B">
              <w:rPr>
                <w:rFonts w:ascii="Arial" w:hAnsi="Arial" w:cs="Arial"/>
                <w:color w:val="000000"/>
                <w:spacing w:val="-1"/>
                <w:sz w:val="18"/>
                <w:szCs w:val="18"/>
              </w:rPr>
              <w:t>0</w:t>
            </w:r>
            <w:r w:rsidRPr="00BC061B">
              <w:rPr>
                <w:rFonts w:ascii="Arial" w:hAnsi="Arial" w:cs="Arial"/>
                <w:color w:val="000000"/>
                <w:sz w:val="18"/>
                <w:szCs w:val="18"/>
              </w:rPr>
              <w:t>00).</w:t>
            </w:r>
          </w:p>
          <w:p w14:paraId="7F7B01C1" w14:textId="77777777" w:rsidR="00DD03C5" w:rsidRPr="00BC061B" w:rsidRDefault="00DD03C5" w:rsidP="00D015ED">
            <w:pPr>
              <w:spacing w:after="40"/>
              <w:ind w:right="51"/>
              <w:jc w:val="both"/>
              <w:rPr>
                <w:rFonts w:ascii="Arial" w:hAnsi="Arial" w:cs="Arial"/>
                <w:color w:val="000000"/>
                <w:sz w:val="18"/>
                <w:szCs w:val="18"/>
                <w:lang w:val="en-US"/>
              </w:rPr>
            </w:pPr>
            <w:r w:rsidRPr="00BC061B">
              <w:rPr>
                <w:rFonts w:ascii="Arial" w:hAnsi="Arial" w:cs="Arial"/>
                <w:i/>
                <w:color w:val="000000"/>
                <w:sz w:val="18"/>
                <w:szCs w:val="18"/>
                <w:u w:val="single"/>
              </w:rPr>
              <w:t>Priority Axis 4 Sustainable urban mobility</w:t>
            </w:r>
            <w:r w:rsidRPr="00BC061B">
              <w:rPr>
                <w:rFonts w:ascii="Arial" w:hAnsi="Arial" w:cs="Arial"/>
                <w:color w:val="000000"/>
                <w:sz w:val="18"/>
                <w:szCs w:val="18"/>
              </w:rPr>
              <w:t xml:space="preserve"> (</w:t>
            </w:r>
            <w:r w:rsidRPr="00BC061B">
              <w:rPr>
                <w:rFonts w:ascii="Arial" w:hAnsi="Arial" w:cs="Arial"/>
                <w:color w:val="000000"/>
                <w:sz w:val="18"/>
                <w:szCs w:val="18"/>
                <w:lang w:val="en-US"/>
              </w:rPr>
              <w:t xml:space="preserve">EUR </w:t>
            </w:r>
            <w:r w:rsidRPr="00BC061B">
              <w:rPr>
                <w:rFonts w:ascii="Arial" w:hAnsi="Arial" w:cs="Arial"/>
                <w:color w:val="000000"/>
                <w:sz w:val="18"/>
                <w:szCs w:val="18"/>
              </w:rPr>
              <w:t>138</w:t>
            </w:r>
            <w:r w:rsidRPr="00BC061B">
              <w:rPr>
                <w:rFonts w:ascii="Arial" w:hAnsi="Arial" w:cs="Arial"/>
                <w:color w:val="000000"/>
                <w:spacing w:val="-1"/>
                <w:sz w:val="18"/>
                <w:szCs w:val="18"/>
              </w:rPr>
              <w:t>.</w:t>
            </w:r>
            <w:r w:rsidRPr="00BC061B">
              <w:rPr>
                <w:rFonts w:ascii="Arial" w:hAnsi="Arial" w:cs="Arial"/>
                <w:color w:val="000000"/>
                <w:sz w:val="18"/>
                <w:szCs w:val="18"/>
              </w:rPr>
              <w:t>2</w:t>
            </w:r>
            <w:r w:rsidRPr="00BC061B">
              <w:rPr>
                <w:rFonts w:ascii="Arial" w:hAnsi="Arial" w:cs="Arial"/>
                <w:color w:val="000000"/>
                <w:spacing w:val="-1"/>
                <w:sz w:val="18"/>
                <w:szCs w:val="18"/>
              </w:rPr>
              <w:t>6</w:t>
            </w:r>
            <w:r w:rsidRPr="00BC061B">
              <w:rPr>
                <w:rFonts w:ascii="Arial" w:hAnsi="Arial" w:cs="Arial"/>
                <w:color w:val="000000"/>
                <w:sz w:val="18"/>
                <w:szCs w:val="18"/>
              </w:rPr>
              <w:t>8.000)</w:t>
            </w:r>
            <w:r w:rsidRPr="00BC061B">
              <w:rPr>
                <w:rFonts w:ascii="Arial" w:hAnsi="Arial" w:cs="Arial"/>
                <w:color w:val="000000"/>
                <w:sz w:val="18"/>
                <w:szCs w:val="18"/>
                <w:lang w:val="en-US"/>
              </w:rPr>
              <w:t xml:space="preserve">, </w:t>
            </w:r>
            <w:r w:rsidRPr="00BC061B">
              <w:rPr>
                <w:rFonts w:ascii="Arial" w:hAnsi="Arial" w:cs="Arial"/>
                <w:color w:val="000000"/>
                <w:sz w:val="18"/>
                <w:szCs w:val="18"/>
              </w:rPr>
              <w:t>OP2/OS8 Promoting sustainable multimodal urban mobility</w:t>
            </w:r>
            <w:r w:rsidRPr="00BC061B">
              <w:rPr>
                <w:rFonts w:ascii="Arial" w:hAnsi="Arial" w:cs="Arial"/>
                <w:color w:val="000000"/>
                <w:sz w:val="18"/>
                <w:szCs w:val="18"/>
                <w:lang w:val="en-US"/>
              </w:rPr>
              <w:t xml:space="preserve"> (EUR </w:t>
            </w:r>
            <w:r w:rsidRPr="00BC061B">
              <w:rPr>
                <w:rFonts w:ascii="Arial" w:hAnsi="Arial" w:cs="Arial"/>
                <w:color w:val="000000"/>
                <w:sz w:val="18"/>
                <w:szCs w:val="18"/>
              </w:rPr>
              <w:t>138</w:t>
            </w:r>
            <w:r w:rsidRPr="00BC061B">
              <w:rPr>
                <w:rFonts w:ascii="Arial" w:hAnsi="Arial" w:cs="Arial"/>
                <w:color w:val="000000"/>
                <w:spacing w:val="-1"/>
                <w:sz w:val="18"/>
                <w:szCs w:val="18"/>
              </w:rPr>
              <w:t>.</w:t>
            </w:r>
            <w:r w:rsidRPr="00BC061B">
              <w:rPr>
                <w:rFonts w:ascii="Arial" w:hAnsi="Arial" w:cs="Arial"/>
                <w:color w:val="000000"/>
                <w:sz w:val="18"/>
                <w:szCs w:val="18"/>
              </w:rPr>
              <w:t>2</w:t>
            </w:r>
            <w:r w:rsidRPr="00BC061B">
              <w:rPr>
                <w:rFonts w:ascii="Arial" w:hAnsi="Arial" w:cs="Arial"/>
                <w:color w:val="000000"/>
                <w:spacing w:val="-1"/>
                <w:sz w:val="18"/>
                <w:szCs w:val="18"/>
              </w:rPr>
              <w:t>6</w:t>
            </w:r>
            <w:r w:rsidRPr="00BC061B">
              <w:rPr>
                <w:rFonts w:ascii="Arial" w:hAnsi="Arial" w:cs="Arial"/>
                <w:color w:val="000000"/>
                <w:sz w:val="18"/>
                <w:szCs w:val="18"/>
              </w:rPr>
              <w:t>8</w:t>
            </w:r>
            <w:r w:rsidRPr="00BC061B">
              <w:rPr>
                <w:rFonts w:ascii="Arial" w:hAnsi="Arial" w:cs="Arial"/>
                <w:color w:val="000000"/>
                <w:spacing w:val="-1"/>
                <w:sz w:val="18"/>
                <w:szCs w:val="18"/>
              </w:rPr>
              <w:t>.</w:t>
            </w:r>
            <w:r w:rsidRPr="00BC061B">
              <w:rPr>
                <w:rFonts w:ascii="Arial" w:hAnsi="Arial" w:cs="Arial"/>
                <w:color w:val="000000"/>
                <w:sz w:val="18"/>
                <w:szCs w:val="18"/>
              </w:rPr>
              <w:t>000).</w:t>
            </w:r>
          </w:p>
          <w:p w14:paraId="2CFF4EA3" w14:textId="77777777" w:rsidR="00DD03C5" w:rsidRPr="00BC061B" w:rsidRDefault="00DD03C5" w:rsidP="000A7086">
            <w:pPr>
              <w:ind w:right="58"/>
              <w:jc w:val="both"/>
              <w:rPr>
                <w:rFonts w:ascii="Arial" w:eastAsia="Times New Roman" w:hAnsi="Arial" w:cs="Arial"/>
                <w:color w:val="202124"/>
                <w:sz w:val="18"/>
                <w:szCs w:val="18"/>
                <w:lang w:val="en"/>
              </w:rPr>
            </w:pPr>
            <w:r w:rsidRPr="00BC061B">
              <w:rPr>
                <w:rFonts w:ascii="Arial" w:hAnsi="Arial" w:cs="Arial"/>
                <w:i/>
                <w:color w:val="000000"/>
                <w:sz w:val="18"/>
                <w:szCs w:val="18"/>
                <w:u w:val="single"/>
              </w:rPr>
              <w:t>Priority Axis 5 Accessibility and connectivity at regional level</w:t>
            </w:r>
            <w:r w:rsidRPr="00BC061B">
              <w:rPr>
                <w:rFonts w:ascii="Arial" w:hAnsi="Arial" w:cs="Arial"/>
                <w:color w:val="000000"/>
                <w:sz w:val="18"/>
                <w:szCs w:val="18"/>
              </w:rPr>
              <w:t xml:space="preserve"> (</w:t>
            </w:r>
            <w:r w:rsidRPr="00BC061B">
              <w:rPr>
                <w:rFonts w:ascii="Arial" w:hAnsi="Arial" w:cs="Arial"/>
                <w:color w:val="000000"/>
                <w:sz w:val="18"/>
                <w:szCs w:val="18"/>
                <w:lang w:val="en-US"/>
              </w:rPr>
              <w:t xml:space="preserve">EUR </w:t>
            </w:r>
            <w:r w:rsidRPr="00BC061B">
              <w:rPr>
                <w:rFonts w:ascii="Arial" w:hAnsi="Arial" w:cs="Arial"/>
                <w:color w:val="000000"/>
                <w:sz w:val="18"/>
                <w:szCs w:val="18"/>
              </w:rPr>
              <w:t>145</w:t>
            </w:r>
            <w:r w:rsidRPr="00BC061B">
              <w:rPr>
                <w:rFonts w:ascii="Arial" w:hAnsi="Arial" w:cs="Arial"/>
                <w:color w:val="000000"/>
                <w:spacing w:val="-1"/>
                <w:sz w:val="18"/>
                <w:szCs w:val="18"/>
              </w:rPr>
              <w:t>.</w:t>
            </w:r>
            <w:r w:rsidRPr="00BC061B">
              <w:rPr>
                <w:rFonts w:ascii="Arial" w:hAnsi="Arial" w:cs="Arial"/>
                <w:color w:val="000000"/>
                <w:sz w:val="18"/>
                <w:szCs w:val="18"/>
              </w:rPr>
              <w:t>5</w:t>
            </w:r>
            <w:r w:rsidRPr="00BC061B">
              <w:rPr>
                <w:rFonts w:ascii="Arial" w:hAnsi="Arial" w:cs="Arial"/>
                <w:color w:val="000000"/>
                <w:spacing w:val="-1"/>
                <w:sz w:val="18"/>
                <w:szCs w:val="18"/>
              </w:rPr>
              <w:t>3</w:t>
            </w:r>
            <w:r w:rsidRPr="00BC061B">
              <w:rPr>
                <w:rFonts w:ascii="Arial" w:hAnsi="Arial" w:cs="Arial"/>
                <w:color w:val="000000"/>
                <w:sz w:val="18"/>
                <w:szCs w:val="18"/>
              </w:rPr>
              <w:t>8.0</w:t>
            </w:r>
            <w:r w:rsidRPr="00BC061B">
              <w:rPr>
                <w:rFonts w:ascii="Arial" w:hAnsi="Arial" w:cs="Arial"/>
                <w:color w:val="000000"/>
                <w:spacing w:val="-1"/>
                <w:sz w:val="18"/>
                <w:szCs w:val="18"/>
              </w:rPr>
              <w:t>0</w:t>
            </w:r>
            <w:r w:rsidRPr="00BC061B">
              <w:rPr>
                <w:rFonts w:ascii="Arial" w:hAnsi="Arial" w:cs="Arial"/>
                <w:color w:val="000000"/>
                <w:sz w:val="18"/>
                <w:szCs w:val="18"/>
              </w:rPr>
              <w:t>0)</w:t>
            </w:r>
            <w:r w:rsidRPr="00BC061B">
              <w:rPr>
                <w:rFonts w:ascii="Arial" w:hAnsi="Arial" w:cs="Arial"/>
                <w:color w:val="000000"/>
                <w:sz w:val="18"/>
                <w:szCs w:val="18"/>
                <w:lang w:val="en-US"/>
              </w:rPr>
              <w:t xml:space="preserve">, </w:t>
            </w:r>
            <w:r w:rsidRPr="00BC061B">
              <w:rPr>
                <w:rFonts w:ascii="Arial" w:hAnsi="Arial" w:cs="Arial"/>
                <w:color w:val="000000"/>
                <w:sz w:val="18"/>
                <w:szCs w:val="18"/>
              </w:rPr>
              <w:t>OP3/OS3 Development of sustainable national, regional and local mobility, resilient to climate change, smart and intermodal, including improved access to TEN-T and cross-border mobility</w:t>
            </w:r>
            <w:r w:rsidRPr="00BC061B">
              <w:rPr>
                <w:rFonts w:ascii="Arial" w:hAnsi="Arial" w:cs="Arial"/>
                <w:color w:val="000000"/>
                <w:sz w:val="18"/>
                <w:szCs w:val="18"/>
                <w:lang w:val="en-US"/>
              </w:rPr>
              <w:t xml:space="preserve"> (EUR </w:t>
            </w:r>
            <w:r w:rsidRPr="00BC061B">
              <w:rPr>
                <w:rFonts w:ascii="Arial" w:hAnsi="Arial" w:cs="Arial"/>
                <w:color w:val="000000"/>
                <w:sz w:val="18"/>
                <w:szCs w:val="18"/>
              </w:rPr>
              <w:t>145</w:t>
            </w:r>
            <w:r w:rsidRPr="00BC061B">
              <w:rPr>
                <w:rFonts w:ascii="Arial" w:hAnsi="Arial" w:cs="Arial"/>
                <w:color w:val="000000"/>
                <w:spacing w:val="-1"/>
                <w:sz w:val="18"/>
                <w:szCs w:val="18"/>
              </w:rPr>
              <w:t>.</w:t>
            </w:r>
            <w:r w:rsidRPr="00BC061B">
              <w:rPr>
                <w:rFonts w:ascii="Arial" w:hAnsi="Arial" w:cs="Arial"/>
                <w:color w:val="000000"/>
                <w:sz w:val="18"/>
                <w:szCs w:val="18"/>
              </w:rPr>
              <w:t>5</w:t>
            </w:r>
            <w:r w:rsidRPr="00BC061B">
              <w:rPr>
                <w:rFonts w:ascii="Arial" w:hAnsi="Arial" w:cs="Arial"/>
                <w:color w:val="000000"/>
                <w:spacing w:val="-1"/>
                <w:sz w:val="18"/>
                <w:szCs w:val="18"/>
              </w:rPr>
              <w:t>3</w:t>
            </w:r>
            <w:r w:rsidRPr="00BC061B">
              <w:rPr>
                <w:rFonts w:ascii="Arial" w:hAnsi="Arial" w:cs="Arial"/>
                <w:color w:val="000000"/>
                <w:sz w:val="18"/>
                <w:szCs w:val="18"/>
              </w:rPr>
              <w:t>8.0</w:t>
            </w:r>
            <w:r w:rsidRPr="00BC061B">
              <w:rPr>
                <w:rFonts w:ascii="Arial" w:hAnsi="Arial" w:cs="Arial"/>
                <w:color w:val="000000"/>
                <w:spacing w:val="-1"/>
                <w:sz w:val="18"/>
                <w:szCs w:val="18"/>
              </w:rPr>
              <w:t>0</w:t>
            </w:r>
            <w:r w:rsidRPr="00BC061B">
              <w:rPr>
                <w:rFonts w:ascii="Arial" w:hAnsi="Arial" w:cs="Arial"/>
                <w:color w:val="000000"/>
                <w:sz w:val="18"/>
                <w:szCs w:val="18"/>
              </w:rPr>
              <w:t>0).</w:t>
            </w:r>
          </w:p>
        </w:tc>
      </w:tr>
      <w:tr w:rsidR="00DD03C5" w:rsidRPr="00BC061B" w14:paraId="5ABD940D" w14:textId="77777777" w:rsidTr="00964831">
        <w:trPr>
          <w:trHeight w:val="359"/>
        </w:trPr>
        <w:tc>
          <w:tcPr>
            <w:tcW w:w="1171" w:type="pct"/>
            <w:vMerge/>
            <w:shd w:val="clear" w:color="auto" w:fill="auto"/>
            <w:tcMar>
              <w:top w:w="0" w:type="dxa"/>
              <w:left w:w="100" w:type="dxa"/>
              <w:bottom w:w="0" w:type="dxa"/>
              <w:right w:w="100" w:type="dxa"/>
            </w:tcMar>
          </w:tcPr>
          <w:p w14:paraId="01620874" w14:textId="77777777" w:rsidR="00DD03C5" w:rsidRPr="00BC061B" w:rsidRDefault="00DD03C5">
            <w:pPr>
              <w:tabs>
                <w:tab w:val="left" w:pos="1620"/>
              </w:tabs>
              <w:rPr>
                <w:rFonts w:ascii="Arial" w:hAnsi="Arial" w:cs="Arial"/>
                <w:b/>
                <w:i/>
                <w:iCs/>
                <w:sz w:val="18"/>
                <w:szCs w:val="18"/>
                <w:highlight w:val="white"/>
                <w:lang w:val="en-US"/>
              </w:rPr>
            </w:pPr>
          </w:p>
        </w:tc>
        <w:tc>
          <w:tcPr>
            <w:tcW w:w="3829" w:type="pct"/>
            <w:shd w:val="clear" w:color="auto" w:fill="auto"/>
            <w:tcMar>
              <w:top w:w="57" w:type="dxa"/>
              <w:left w:w="100" w:type="dxa"/>
              <w:bottom w:w="57" w:type="dxa"/>
              <w:right w:w="100" w:type="dxa"/>
            </w:tcMar>
          </w:tcPr>
          <w:p w14:paraId="28EB045D" w14:textId="357A6FD1" w:rsidR="00DD03C5" w:rsidRPr="000A7086" w:rsidRDefault="00DD03C5">
            <w:pPr>
              <w:tabs>
                <w:tab w:val="left" w:pos="10076"/>
                <w:tab w:val="left" w:pos="10992"/>
                <w:tab w:val="left" w:pos="11908"/>
                <w:tab w:val="left" w:pos="12824"/>
                <w:tab w:val="left" w:pos="13740"/>
                <w:tab w:val="left" w:pos="14656"/>
              </w:tabs>
              <w:spacing w:after="40"/>
              <w:jc w:val="both"/>
              <w:rPr>
                <w:rFonts w:ascii="Arial" w:hAnsi="Arial" w:cs="Arial"/>
                <w:i/>
                <w:iCs/>
                <w:sz w:val="18"/>
                <w:szCs w:val="18"/>
                <w:u w:val="single"/>
              </w:rPr>
            </w:pPr>
            <w:r w:rsidRPr="000A7086">
              <w:rPr>
                <w:rFonts w:ascii="Arial" w:hAnsi="Arial" w:cs="Arial"/>
                <w:bCs/>
                <w:i/>
                <w:iCs/>
                <w:sz w:val="18"/>
                <w:szCs w:val="18"/>
                <w:highlight w:val="white"/>
              </w:rPr>
              <w:t xml:space="preserve">“National </w:t>
            </w:r>
            <w:r w:rsidR="00D015ED">
              <w:rPr>
                <w:rFonts w:ascii="Arial" w:hAnsi="Arial" w:cs="Arial"/>
                <w:bCs/>
                <w:i/>
                <w:iCs/>
                <w:sz w:val="18"/>
                <w:szCs w:val="18"/>
                <w:highlight w:val="white"/>
              </w:rPr>
              <w:t>Recovery and Resilience Plan</w:t>
            </w:r>
            <w:r w:rsidRPr="000A7086">
              <w:rPr>
                <w:rFonts w:ascii="Arial" w:hAnsi="Arial" w:cs="Arial"/>
                <w:bCs/>
                <w:i/>
                <w:iCs/>
                <w:sz w:val="18"/>
                <w:szCs w:val="18"/>
                <w:highlight w:val="white"/>
              </w:rPr>
              <w:t>” (</w:t>
            </w:r>
            <w:r w:rsidR="00D015ED">
              <w:rPr>
                <w:rFonts w:ascii="Arial" w:hAnsi="Arial" w:cs="Arial"/>
                <w:bCs/>
                <w:i/>
                <w:iCs/>
                <w:sz w:val="18"/>
                <w:szCs w:val="18"/>
                <w:highlight w:val="white"/>
              </w:rPr>
              <w:t>RRP</w:t>
            </w:r>
            <w:r w:rsidRPr="000A7086">
              <w:rPr>
                <w:rFonts w:ascii="Arial" w:hAnsi="Arial" w:cs="Arial"/>
                <w:bCs/>
                <w:i/>
                <w:iCs/>
                <w:sz w:val="18"/>
                <w:szCs w:val="18"/>
                <w:highlight w:val="white"/>
              </w:rPr>
              <w:t xml:space="preserve">) </w:t>
            </w:r>
            <w:r w:rsidRPr="000A7086">
              <w:rPr>
                <w:rFonts w:ascii="Arial" w:hAnsi="Arial" w:cs="Arial"/>
                <w:i/>
                <w:iCs/>
                <w:sz w:val="18"/>
                <w:szCs w:val="18"/>
                <w:u w:val="single"/>
              </w:rPr>
              <w:t xml:space="preserve"> </w:t>
            </w:r>
          </w:p>
          <w:p w14:paraId="5B131C6E" w14:textId="4B375FDC" w:rsidR="00DD03C5" w:rsidRPr="00BC061B" w:rsidRDefault="00DD03C5">
            <w:pPr>
              <w:tabs>
                <w:tab w:val="left" w:pos="10076"/>
                <w:tab w:val="left" w:pos="10992"/>
                <w:tab w:val="left" w:pos="11908"/>
                <w:tab w:val="left" w:pos="12824"/>
                <w:tab w:val="left" w:pos="13740"/>
                <w:tab w:val="left" w:pos="14656"/>
              </w:tabs>
              <w:spacing w:after="40"/>
              <w:jc w:val="both"/>
              <w:rPr>
                <w:rFonts w:ascii="Arial" w:hAnsi="Arial" w:cs="Arial"/>
                <w:i/>
                <w:iCs/>
                <w:sz w:val="18"/>
                <w:szCs w:val="18"/>
              </w:rPr>
            </w:pPr>
            <w:r w:rsidRPr="00BC061B">
              <w:rPr>
                <w:rFonts w:ascii="Arial" w:hAnsi="Arial" w:cs="Arial"/>
                <w:i/>
                <w:iCs/>
                <w:sz w:val="18"/>
                <w:szCs w:val="18"/>
                <w:u w:val="single"/>
              </w:rPr>
              <w:t>Pillar I Green Transition</w:t>
            </w:r>
            <w:r w:rsidRPr="00BC061B">
              <w:rPr>
                <w:rFonts w:ascii="Arial" w:hAnsi="Arial" w:cs="Arial"/>
                <w:i/>
                <w:iCs/>
                <w:sz w:val="18"/>
                <w:szCs w:val="18"/>
              </w:rPr>
              <w:t xml:space="preserve">, Component 2 I.2 We afforest Romania and protect biodiversity </w:t>
            </w:r>
            <w:r w:rsidRPr="00BC061B">
              <w:rPr>
                <w:rFonts w:ascii="Arial" w:hAnsi="Arial" w:cs="Arial"/>
                <w:iCs/>
                <w:sz w:val="18"/>
                <w:szCs w:val="18"/>
              </w:rPr>
              <w:t>(</w:t>
            </w:r>
            <w:r w:rsidRPr="00BC061B">
              <w:rPr>
                <w:rFonts w:ascii="Arial" w:hAnsi="Arial" w:cs="Arial"/>
                <w:iCs/>
                <w:sz w:val="18"/>
                <w:szCs w:val="18"/>
                <w:lang w:val="en-US"/>
              </w:rPr>
              <w:t xml:space="preserve">EUR </w:t>
            </w:r>
            <w:r w:rsidRPr="00BC061B">
              <w:rPr>
                <w:rFonts w:ascii="Arial" w:hAnsi="Arial" w:cs="Arial"/>
                <w:sz w:val="18"/>
                <w:szCs w:val="18"/>
              </w:rPr>
              <w:t>1.37</w:t>
            </w:r>
            <w:r w:rsidR="00D62087" w:rsidRPr="00BC061B">
              <w:rPr>
                <w:rFonts w:ascii="Arial" w:hAnsi="Arial" w:cs="Arial"/>
                <w:sz w:val="18"/>
                <w:szCs w:val="18"/>
              </w:rPr>
              <w:t xml:space="preserve"> bn</w:t>
            </w:r>
            <w:r w:rsidRPr="00BC061B">
              <w:rPr>
                <w:rFonts w:ascii="Arial" w:hAnsi="Arial" w:cs="Arial"/>
                <w:sz w:val="18"/>
                <w:szCs w:val="18"/>
              </w:rPr>
              <w:t>).</w:t>
            </w:r>
            <w:r w:rsidRPr="00BC061B">
              <w:rPr>
                <w:rFonts w:ascii="Arial" w:hAnsi="Arial" w:cs="Arial"/>
                <w:sz w:val="18"/>
                <w:szCs w:val="18"/>
                <w:lang w:val="en-US"/>
              </w:rPr>
              <w:t xml:space="preserve"> </w:t>
            </w:r>
            <w:r w:rsidRPr="00BC061B">
              <w:rPr>
                <w:rFonts w:ascii="Arial" w:hAnsi="Arial" w:cs="Arial"/>
                <w:i/>
                <w:iCs/>
                <w:sz w:val="18"/>
                <w:szCs w:val="18"/>
              </w:rPr>
              <w:t>Component 3 I.3 Waste management and circular economy (</w:t>
            </w:r>
            <w:r w:rsidRPr="00BC061B">
              <w:rPr>
                <w:rFonts w:ascii="Arial" w:hAnsi="Arial" w:cs="Arial"/>
                <w:iCs/>
                <w:sz w:val="18"/>
                <w:szCs w:val="18"/>
                <w:lang w:val="en-US"/>
              </w:rPr>
              <w:t xml:space="preserve">EUR </w:t>
            </w:r>
            <w:r w:rsidRPr="00BC061B">
              <w:rPr>
                <w:rFonts w:ascii="Arial" w:hAnsi="Arial" w:cs="Arial"/>
                <w:iCs/>
                <w:color w:val="000000"/>
                <w:sz w:val="18"/>
                <w:szCs w:val="18"/>
              </w:rPr>
              <w:t>1.2</w:t>
            </w:r>
            <w:r w:rsidR="00D62087" w:rsidRPr="00BC061B">
              <w:rPr>
                <w:rFonts w:ascii="Arial" w:hAnsi="Arial" w:cs="Arial"/>
                <w:iCs/>
                <w:color w:val="000000"/>
                <w:sz w:val="18"/>
                <w:szCs w:val="18"/>
              </w:rPr>
              <w:t xml:space="preserve"> bn</w:t>
            </w:r>
            <w:r w:rsidRPr="00BC061B">
              <w:rPr>
                <w:rFonts w:ascii="Arial" w:hAnsi="Arial" w:cs="Arial"/>
                <w:iCs/>
                <w:color w:val="000000"/>
                <w:sz w:val="18"/>
                <w:szCs w:val="18"/>
              </w:rPr>
              <w:t xml:space="preserve">). </w:t>
            </w:r>
            <w:r w:rsidRPr="00BC061B">
              <w:rPr>
                <w:rFonts w:ascii="Arial" w:hAnsi="Arial" w:cs="Arial"/>
                <w:i/>
                <w:iCs/>
                <w:sz w:val="18"/>
                <w:szCs w:val="18"/>
              </w:rPr>
              <w:t>Component 4 I.4 Rail transport and urban mobility</w:t>
            </w:r>
            <w:r w:rsidRPr="00BC061B">
              <w:rPr>
                <w:rFonts w:ascii="Arial" w:hAnsi="Arial" w:cs="Arial"/>
                <w:iCs/>
                <w:color w:val="000000"/>
                <w:sz w:val="18"/>
                <w:szCs w:val="18"/>
              </w:rPr>
              <w:t>.</w:t>
            </w:r>
            <w:r w:rsidRPr="00BC061B">
              <w:rPr>
                <w:rFonts w:ascii="Arial" w:hAnsi="Arial" w:cs="Arial"/>
                <w:iCs/>
                <w:color w:val="000000"/>
                <w:sz w:val="18"/>
                <w:szCs w:val="18"/>
                <w:lang w:val="en-US"/>
              </w:rPr>
              <w:t xml:space="preserve"> </w:t>
            </w:r>
            <w:r w:rsidRPr="00BC061B">
              <w:rPr>
                <w:rFonts w:ascii="Arial" w:hAnsi="Arial" w:cs="Arial"/>
                <w:i/>
                <w:iCs/>
                <w:sz w:val="18"/>
                <w:szCs w:val="18"/>
              </w:rPr>
              <w:t>Component 5 I.5 Renovation wave, fund for green and seismic rehabilitation</w:t>
            </w:r>
            <w:r w:rsidRPr="00BC061B">
              <w:rPr>
                <w:rFonts w:ascii="Arial" w:hAnsi="Arial" w:cs="Arial"/>
                <w:i/>
                <w:iCs/>
                <w:sz w:val="18"/>
                <w:szCs w:val="18"/>
                <w:lang w:val="en-US"/>
              </w:rPr>
              <w:t xml:space="preserve"> (</w:t>
            </w:r>
            <w:r w:rsidRPr="00BC061B">
              <w:rPr>
                <w:rFonts w:ascii="Arial" w:hAnsi="Arial" w:cs="Arial"/>
                <w:iCs/>
                <w:sz w:val="18"/>
                <w:szCs w:val="18"/>
                <w:lang w:val="en-US"/>
              </w:rPr>
              <w:t xml:space="preserve">EUR </w:t>
            </w:r>
            <w:r w:rsidRPr="00BC061B">
              <w:rPr>
                <w:rFonts w:ascii="Arial" w:hAnsi="Arial" w:cs="Arial"/>
                <w:sz w:val="18"/>
                <w:szCs w:val="18"/>
              </w:rPr>
              <w:t>2.2</w:t>
            </w:r>
            <w:r w:rsidR="00D62087" w:rsidRPr="00BC061B">
              <w:rPr>
                <w:rFonts w:ascii="Arial" w:hAnsi="Arial" w:cs="Arial"/>
                <w:sz w:val="18"/>
                <w:szCs w:val="18"/>
              </w:rPr>
              <w:t xml:space="preserve"> bn</w:t>
            </w:r>
            <w:r w:rsidRPr="00BC061B">
              <w:rPr>
                <w:rFonts w:ascii="Arial" w:hAnsi="Arial" w:cs="Arial"/>
                <w:sz w:val="18"/>
                <w:szCs w:val="18"/>
              </w:rPr>
              <w:t>)</w:t>
            </w:r>
            <w:r w:rsidRPr="00BC061B">
              <w:rPr>
                <w:rFonts w:ascii="Arial" w:hAnsi="Arial" w:cs="Arial"/>
                <w:i/>
                <w:iCs/>
                <w:sz w:val="18"/>
                <w:szCs w:val="18"/>
              </w:rPr>
              <w:t>. Component 6 I.6 Renewable energy and energy efficiency (</w:t>
            </w:r>
            <w:r w:rsidRPr="00BC061B">
              <w:rPr>
                <w:rFonts w:ascii="Arial" w:hAnsi="Arial" w:cs="Arial"/>
                <w:iCs/>
                <w:sz w:val="18"/>
                <w:szCs w:val="18"/>
                <w:lang w:val="en-US"/>
              </w:rPr>
              <w:t xml:space="preserve">EUR </w:t>
            </w:r>
            <w:r w:rsidRPr="00BC061B">
              <w:rPr>
                <w:rFonts w:ascii="Arial" w:hAnsi="Arial" w:cs="Arial"/>
                <w:sz w:val="18"/>
                <w:szCs w:val="18"/>
              </w:rPr>
              <w:t>1.62</w:t>
            </w:r>
            <w:r w:rsidR="00D62087" w:rsidRPr="00BC061B">
              <w:rPr>
                <w:rFonts w:ascii="Arial" w:hAnsi="Arial" w:cs="Arial"/>
                <w:sz w:val="18"/>
                <w:szCs w:val="18"/>
              </w:rPr>
              <w:t xml:space="preserve"> bn)</w:t>
            </w:r>
            <w:r w:rsidRPr="00BC061B">
              <w:rPr>
                <w:rFonts w:ascii="Arial" w:hAnsi="Arial" w:cs="Arial"/>
                <w:i/>
                <w:iCs/>
                <w:sz w:val="18"/>
                <w:szCs w:val="18"/>
              </w:rPr>
              <w:t>.</w:t>
            </w:r>
          </w:p>
          <w:p w14:paraId="07369998" w14:textId="77777777" w:rsidR="00DD03C5" w:rsidRPr="00BC061B" w:rsidRDefault="00DD03C5">
            <w:pPr>
              <w:tabs>
                <w:tab w:val="left" w:pos="10076"/>
                <w:tab w:val="left" w:pos="10992"/>
                <w:tab w:val="left" w:pos="11908"/>
                <w:tab w:val="left" w:pos="12824"/>
                <w:tab w:val="left" w:pos="13740"/>
                <w:tab w:val="left" w:pos="14656"/>
              </w:tabs>
              <w:spacing w:after="40"/>
              <w:jc w:val="both"/>
              <w:rPr>
                <w:rFonts w:ascii="Arial" w:hAnsi="Arial" w:cs="Arial"/>
                <w:sz w:val="18"/>
                <w:szCs w:val="18"/>
                <w:lang w:val="en-US"/>
              </w:rPr>
            </w:pPr>
            <w:r w:rsidRPr="00BC061B">
              <w:rPr>
                <w:rFonts w:ascii="Arial" w:hAnsi="Arial" w:cs="Arial"/>
                <w:i/>
                <w:iCs/>
                <w:sz w:val="18"/>
                <w:szCs w:val="18"/>
                <w:u w:val="single"/>
              </w:rPr>
              <w:t>Pillar III Smart, sustainable and inclusive growth</w:t>
            </w:r>
            <w:r w:rsidRPr="00BC061B">
              <w:rPr>
                <w:rFonts w:ascii="Arial" w:hAnsi="Arial" w:cs="Arial"/>
                <w:i/>
                <w:iCs/>
                <w:sz w:val="18"/>
                <w:szCs w:val="18"/>
              </w:rPr>
              <w:t>, Component 6 III.6 Development of natural gas infrastructure mixed with hydrogen and other green gases</w:t>
            </w:r>
            <w:r w:rsidRPr="00BC061B">
              <w:rPr>
                <w:rFonts w:ascii="Arial" w:hAnsi="Arial" w:cs="Arial"/>
                <w:sz w:val="18"/>
                <w:szCs w:val="18"/>
                <w:lang w:val="en-US"/>
              </w:rPr>
              <w:t xml:space="preserve">. </w:t>
            </w:r>
            <w:r w:rsidRPr="00BC061B">
              <w:rPr>
                <w:rFonts w:ascii="Arial" w:hAnsi="Arial" w:cs="Arial"/>
                <w:i/>
                <w:iCs/>
                <w:sz w:val="18"/>
                <w:szCs w:val="18"/>
              </w:rPr>
              <w:t>Component 8 III.8 Road and motorway</w:t>
            </w:r>
            <w:r w:rsidRPr="00BC061B">
              <w:rPr>
                <w:rFonts w:ascii="Arial" w:hAnsi="Arial" w:cs="Arial"/>
                <w:sz w:val="18"/>
                <w:szCs w:val="18"/>
                <w:lang w:val="en-US"/>
              </w:rPr>
              <w:t xml:space="preserve">. </w:t>
            </w:r>
          </w:p>
          <w:p w14:paraId="54AF0E1F" w14:textId="77777777" w:rsidR="00DD03C5" w:rsidRPr="00BC061B" w:rsidRDefault="00DD03C5">
            <w:pPr>
              <w:spacing w:after="40"/>
              <w:ind w:right="51"/>
              <w:jc w:val="both"/>
              <w:rPr>
                <w:rFonts w:ascii="Arial" w:hAnsi="Arial" w:cs="Arial"/>
                <w:i/>
                <w:sz w:val="18"/>
                <w:szCs w:val="18"/>
                <w:highlight w:val="white"/>
              </w:rPr>
            </w:pPr>
            <w:r w:rsidRPr="00BC061B">
              <w:rPr>
                <w:rFonts w:ascii="Arial" w:hAnsi="Arial" w:cs="Arial"/>
                <w:i/>
                <w:iCs/>
                <w:sz w:val="18"/>
                <w:szCs w:val="18"/>
                <w:u w:val="single"/>
              </w:rPr>
              <w:t>Pillar IV Social and territorial cohesion</w:t>
            </w:r>
            <w:r w:rsidRPr="00BC061B">
              <w:rPr>
                <w:rFonts w:ascii="Arial" w:hAnsi="Arial" w:cs="Arial"/>
                <w:i/>
                <w:iCs/>
                <w:sz w:val="18"/>
                <w:szCs w:val="18"/>
              </w:rPr>
              <w:t>, Component 1 IV.1 Resilience Fund for localities.</w:t>
            </w:r>
          </w:p>
        </w:tc>
      </w:tr>
      <w:tr w:rsidR="00DD03C5" w:rsidRPr="00BC061B" w14:paraId="14726D63" w14:textId="77777777" w:rsidTr="00964831">
        <w:trPr>
          <w:trHeight w:val="784"/>
        </w:trPr>
        <w:tc>
          <w:tcPr>
            <w:tcW w:w="1171" w:type="pct"/>
            <w:vMerge/>
            <w:shd w:val="clear" w:color="auto" w:fill="auto"/>
            <w:tcMar>
              <w:top w:w="100" w:type="dxa"/>
              <w:left w:w="100" w:type="dxa"/>
              <w:bottom w:w="100" w:type="dxa"/>
              <w:right w:w="100" w:type="dxa"/>
            </w:tcMar>
          </w:tcPr>
          <w:p w14:paraId="35E599EE" w14:textId="77777777" w:rsidR="00DD03C5" w:rsidRPr="00BC061B" w:rsidRDefault="00DD03C5">
            <w:pPr>
              <w:shd w:val="clear" w:color="auto" w:fill="FFFFFF"/>
              <w:jc w:val="both"/>
              <w:rPr>
                <w:rFonts w:ascii="Arial" w:hAnsi="Arial" w:cs="Arial"/>
                <w:sz w:val="18"/>
                <w:szCs w:val="18"/>
              </w:rPr>
            </w:pPr>
          </w:p>
        </w:tc>
        <w:tc>
          <w:tcPr>
            <w:tcW w:w="3829" w:type="pct"/>
            <w:shd w:val="clear" w:color="auto" w:fill="auto"/>
            <w:tcMar>
              <w:top w:w="0" w:type="dxa"/>
              <w:left w:w="100" w:type="dxa"/>
              <w:bottom w:w="0" w:type="dxa"/>
              <w:right w:w="100" w:type="dxa"/>
            </w:tcMar>
          </w:tcPr>
          <w:p w14:paraId="444F05D2" w14:textId="7F0B0E1A" w:rsidR="00DD03C5" w:rsidRPr="000A7086" w:rsidRDefault="00DD03C5">
            <w:pPr>
              <w:spacing w:after="40"/>
              <w:jc w:val="both"/>
              <w:rPr>
                <w:rFonts w:ascii="Arial" w:hAnsi="Arial" w:cs="Arial"/>
                <w:bCs/>
                <w:i/>
                <w:iCs/>
                <w:color w:val="000000"/>
                <w:sz w:val="18"/>
                <w:szCs w:val="18"/>
              </w:rPr>
            </w:pPr>
            <w:r w:rsidRPr="000A7086">
              <w:rPr>
                <w:rFonts w:ascii="Arial" w:hAnsi="Arial" w:cs="Arial"/>
                <w:bCs/>
                <w:i/>
                <w:iCs/>
                <w:color w:val="000000"/>
                <w:sz w:val="18"/>
                <w:szCs w:val="18"/>
              </w:rPr>
              <w:t>“Sustainable Development Operational Program</w:t>
            </w:r>
            <w:r w:rsidR="00D015ED">
              <w:rPr>
                <w:rFonts w:ascii="Arial" w:hAnsi="Arial" w:cs="Arial"/>
                <w:bCs/>
                <w:i/>
                <w:iCs/>
                <w:color w:val="000000"/>
                <w:sz w:val="18"/>
                <w:szCs w:val="18"/>
              </w:rPr>
              <w:t>me</w:t>
            </w:r>
            <w:r w:rsidRPr="000A7086">
              <w:rPr>
                <w:rFonts w:ascii="Arial" w:hAnsi="Arial" w:cs="Arial"/>
                <w:bCs/>
                <w:i/>
                <w:iCs/>
                <w:color w:val="000000"/>
                <w:sz w:val="18"/>
                <w:szCs w:val="18"/>
              </w:rPr>
              <w:t>” (SDOP)</w:t>
            </w:r>
          </w:p>
          <w:p w14:paraId="269F1245" w14:textId="77777777" w:rsidR="00DD03C5" w:rsidRPr="00BC061B" w:rsidRDefault="00DD03C5">
            <w:pPr>
              <w:spacing w:after="40"/>
              <w:jc w:val="both"/>
              <w:rPr>
                <w:rFonts w:ascii="Arial" w:hAnsi="Arial" w:cs="Arial"/>
                <w:iCs/>
                <w:sz w:val="18"/>
                <w:szCs w:val="18"/>
              </w:rPr>
            </w:pPr>
            <w:r w:rsidRPr="00BC061B">
              <w:rPr>
                <w:rFonts w:ascii="Arial" w:hAnsi="Arial" w:cs="Arial"/>
                <w:i/>
                <w:iCs/>
                <w:color w:val="000000"/>
                <w:sz w:val="18"/>
                <w:szCs w:val="18"/>
                <w:u w:val="single"/>
              </w:rPr>
              <w:t>Priority 1</w:t>
            </w:r>
            <w:r w:rsidRPr="00BC061B">
              <w:rPr>
                <w:rFonts w:ascii="Arial" w:hAnsi="Arial" w:cs="Arial"/>
                <w:iCs/>
                <w:color w:val="000000"/>
                <w:sz w:val="18"/>
                <w:szCs w:val="18"/>
              </w:rPr>
              <w:t xml:space="preserve"> </w:t>
            </w:r>
            <w:r w:rsidRPr="00BC061B">
              <w:rPr>
                <w:rFonts w:ascii="Arial" w:hAnsi="Arial" w:cs="Arial"/>
                <w:iCs/>
                <w:sz w:val="18"/>
                <w:szCs w:val="18"/>
              </w:rPr>
              <w:t>Promoting energy efficiency, smart energy systems and networks, storage solutions and reducing greenhouse gas emissions (</w:t>
            </w:r>
            <w:r w:rsidRPr="00BC061B">
              <w:rPr>
                <w:rFonts w:ascii="Arial" w:hAnsi="Arial" w:cs="Arial"/>
                <w:color w:val="000000"/>
                <w:sz w:val="18"/>
                <w:szCs w:val="18"/>
              </w:rPr>
              <w:t>FEDR –</w:t>
            </w:r>
            <w:r w:rsidRPr="00BC061B">
              <w:rPr>
                <w:rFonts w:ascii="Arial" w:eastAsia="Times New Roman" w:hAnsi="Arial" w:cs="Arial"/>
                <w:bCs/>
                <w:sz w:val="18"/>
                <w:szCs w:val="18"/>
              </w:rPr>
              <w:t xml:space="preserve"> EUR </w:t>
            </w:r>
            <w:r w:rsidRPr="00BC061B">
              <w:rPr>
                <w:rFonts w:ascii="Arial" w:hAnsi="Arial" w:cs="Arial"/>
                <w:iCs/>
                <w:sz w:val="18"/>
                <w:szCs w:val="18"/>
              </w:rPr>
              <w:t>400.000.000 &amp; FC - EUR 200.000.000).</w:t>
            </w:r>
          </w:p>
          <w:p w14:paraId="3F8CB7C2" w14:textId="77777777" w:rsidR="00DD03C5" w:rsidRPr="00BC061B" w:rsidRDefault="00DD03C5">
            <w:pPr>
              <w:spacing w:after="40"/>
              <w:jc w:val="both"/>
              <w:rPr>
                <w:rFonts w:ascii="Arial" w:eastAsia="Calibri" w:hAnsi="Arial" w:cs="Arial"/>
                <w:sz w:val="18"/>
                <w:szCs w:val="18"/>
              </w:rPr>
            </w:pPr>
            <w:r w:rsidRPr="00BC061B">
              <w:rPr>
                <w:rFonts w:ascii="Arial" w:hAnsi="Arial" w:cs="Arial"/>
                <w:i/>
                <w:iCs/>
                <w:color w:val="000000"/>
                <w:sz w:val="18"/>
                <w:szCs w:val="18"/>
                <w:u w:val="single"/>
              </w:rPr>
              <w:t xml:space="preserve">Priority </w:t>
            </w:r>
            <w:r w:rsidRPr="00BC061B">
              <w:rPr>
                <w:rFonts w:ascii="Arial" w:hAnsi="Arial" w:cs="Arial"/>
                <w:i/>
                <w:iCs/>
                <w:color w:val="000000"/>
                <w:sz w:val="18"/>
                <w:szCs w:val="18"/>
                <w:u w:val="single"/>
                <w:lang w:val="en-US"/>
              </w:rPr>
              <w:t>2</w:t>
            </w:r>
            <w:r w:rsidRPr="00BC061B">
              <w:rPr>
                <w:rFonts w:ascii="Arial" w:hAnsi="Arial" w:cs="Arial"/>
                <w:iCs/>
                <w:color w:val="000000"/>
                <w:sz w:val="18"/>
                <w:szCs w:val="18"/>
              </w:rPr>
              <w:t xml:space="preserve"> </w:t>
            </w:r>
            <w:r w:rsidRPr="00BC061B">
              <w:rPr>
                <w:rFonts w:ascii="Arial" w:eastAsia="Times New Roman" w:hAnsi="Arial" w:cs="Arial"/>
                <w:color w:val="202124"/>
                <w:sz w:val="18"/>
                <w:szCs w:val="18"/>
                <w:lang w:val="en"/>
              </w:rPr>
              <w:t>Development of water and wastewater infrastructure and the transition to a circular economy</w:t>
            </w:r>
            <w:r w:rsidRPr="00BC061B">
              <w:rPr>
                <w:rFonts w:ascii="Arial" w:hAnsi="Arial" w:cs="Arial"/>
                <w:iCs/>
                <w:sz w:val="18"/>
                <w:szCs w:val="18"/>
                <w:lang w:val="en-US"/>
              </w:rPr>
              <w:t xml:space="preserve"> (</w:t>
            </w:r>
            <w:r w:rsidRPr="00BC061B">
              <w:rPr>
                <w:rFonts w:ascii="Arial" w:hAnsi="Arial" w:cs="Arial"/>
                <w:color w:val="000000"/>
                <w:sz w:val="18"/>
                <w:szCs w:val="18"/>
              </w:rPr>
              <w:t xml:space="preserve">FEDR – EUR  </w:t>
            </w:r>
            <w:r w:rsidRPr="00BC061B">
              <w:rPr>
                <w:rFonts w:ascii="Arial" w:eastAsia="Times New Roman" w:hAnsi="Arial" w:cs="Arial"/>
                <w:bCs/>
                <w:sz w:val="18"/>
                <w:szCs w:val="18"/>
              </w:rPr>
              <w:t xml:space="preserve"> </w:t>
            </w:r>
            <w:r w:rsidRPr="00BC061B">
              <w:rPr>
                <w:rFonts w:ascii="Arial" w:hAnsi="Arial" w:cs="Arial"/>
                <w:iCs/>
                <w:sz w:val="18"/>
                <w:szCs w:val="18"/>
              </w:rPr>
              <w:t>2.130.000.000 &amp; FC – EUR 637.800).</w:t>
            </w:r>
          </w:p>
        </w:tc>
      </w:tr>
      <w:tr w:rsidR="00DD03C5" w:rsidRPr="00BC061B" w14:paraId="018E426B" w14:textId="77777777" w:rsidTr="00964831">
        <w:trPr>
          <w:trHeight w:val="316"/>
        </w:trPr>
        <w:tc>
          <w:tcPr>
            <w:tcW w:w="1171" w:type="pct"/>
            <w:vMerge/>
            <w:shd w:val="clear" w:color="auto" w:fill="auto"/>
            <w:tcMar>
              <w:top w:w="100" w:type="dxa"/>
              <w:left w:w="100" w:type="dxa"/>
              <w:bottom w:w="100" w:type="dxa"/>
              <w:right w:w="100" w:type="dxa"/>
            </w:tcMar>
          </w:tcPr>
          <w:p w14:paraId="04DB35A0" w14:textId="77777777" w:rsidR="00DD03C5" w:rsidRPr="00BC061B" w:rsidRDefault="00DD03C5">
            <w:pPr>
              <w:shd w:val="clear" w:color="auto" w:fill="FFFFFF"/>
              <w:jc w:val="both"/>
              <w:rPr>
                <w:rFonts w:ascii="Arial" w:hAnsi="Arial" w:cs="Arial"/>
                <w:sz w:val="18"/>
                <w:szCs w:val="18"/>
              </w:rPr>
            </w:pPr>
          </w:p>
        </w:tc>
        <w:tc>
          <w:tcPr>
            <w:tcW w:w="3829" w:type="pct"/>
            <w:shd w:val="clear" w:color="auto" w:fill="auto"/>
            <w:tcMar>
              <w:top w:w="0" w:type="dxa"/>
              <w:left w:w="100" w:type="dxa"/>
              <w:bottom w:w="0" w:type="dxa"/>
              <w:right w:w="100" w:type="dxa"/>
            </w:tcMar>
          </w:tcPr>
          <w:p w14:paraId="68A4F99D" w14:textId="4A222329" w:rsidR="00DD03C5" w:rsidRPr="000A7086" w:rsidRDefault="00DD03C5">
            <w:pPr>
              <w:spacing w:after="40"/>
              <w:jc w:val="both"/>
              <w:rPr>
                <w:rFonts w:ascii="Arial" w:hAnsi="Arial" w:cs="Arial"/>
                <w:bCs/>
                <w:i/>
                <w:sz w:val="18"/>
                <w:szCs w:val="18"/>
              </w:rPr>
            </w:pPr>
            <w:r w:rsidRPr="000A7086">
              <w:rPr>
                <w:rFonts w:ascii="Arial" w:hAnsi="Arial" w:cs="Arial"/>
                <w:bCs/>
                <w:i/>
                <w:sz w:val="18"/>
                <w:szCs w:val="18"/>
              </w:rPr>
              <w:t>“Moderni</w:t>
            </w:r>
            <w:r w:rsidR="004E7B64">
              <w:rPr>
                <w:rFonts w:ascii="Arial" w:hAnsi="Arial" w:cs="Arial"/>
                <w:bCs/>
                <w:i/>
                <w:sz w:val="18"/>
                <w:szCs w:val="18"/>
              </w:rPr>
              <w:t>sation</w:t>
            </w:r>
            <w:r w:rsidRPr="000A7086">
              <w:rPr>
                <w:rFonts w:ascii="Arial" w:hAnsi="Arial" w:cs="Arial"/>
                <w:bCs/>
                <w:i/>
                <w:sz w:val="18"/>
                <w:szCs w:val="18"/>
              </w:rPr>
              <w:t xml:space="preserve"> Fund” (MF)</w:t>
            </w:r>
          </w:p>
          <w:p w14:paraId="1C08E89C" w14:textId="77777777" w:rsidR="00DD03C5" w:rsidRPr="00BC061B" w:rsidRDefault="00DD03C5">
            <w:pPr>
              <w:spacing w:after="40"/>
              <w:jc w:val="both"/>
              <w:rPr>
                <w:rFonts w:ascii="Arial" w:hAnsi="Arial" w:cs="Arial"/>
                <w:sz w:val="18"/>
                <w:szCs w:val="18"/>
                <w:lang w:val="en"/>
              </w:rPr>
            </w:pPr>
            <w:r w:rsidRPr="00BC061B">
              <w:rPr>
                <w:rFonts w:ascii="Arial" w:hAnsi="Arial" w:cs="Arial"/>
                <w:i/>
                <w:iCs/>
                <w:sz w:val="18"/>
                <w:szCs w:val="18"/>
                <w:u w:val="single"/>
              </w:rPr>
              <w:t xml:space="preserve">Priority </w:t>
            </w:r>
            <w:r w:rsidRPr="00BC061B">
              <w:rPr>
                <w:rFonts w:ascii="Arial" w:hAnsi="Arial" w:cs="Arial"/>
                <w:i/>
                <w:sz w:val="18"/>
                <w:szCs w:val="18"/>
                <w:u w:val="single"/>
                <w:lang w:val="en"/>
              </w:rPr>
              <w:t>Axis 1</w:t>
            </w:r>
            <w:r w:rsidRPr="00BC061B">
              <w:rPr>
                <w:rFonts w:ascii="Arial" w:hAnsi="Arial" w:cs="Arial"/>
                <w:sz w:val="18"/>
                <w:szCs w:val="18"/>
                <w:lang w:val="en"/>
              </w:rPr>
              <w:t xml:space="preserve"> Investments in capacities renewable production, in storage in electricity, gas and district heating networks, efficiency power. </w:t>
            </w:r>
          </w:p>
          <w:p w14:paraId="1CD063B8" w14:textId="1698CFC6" w:rsidR="00DD03C5" w:rsidRPr="00BC061B" w:rsidRDefault="00DD03C5">
            <w:pPr>
              <w:spacing w:after="40"/>
              <w:jc w:val="both"/>
              <w:rPr>
                <w:rFonts w:ascii="Arial" w:eastAsia="Calibri" w:hAnsi="Arial" w:cs="Arial"/>
                <w:sz w:val="18"/>
                <w:szCs w:val="18"/>
              </w:rPr>
            </w:pPr>
            <w:r w:rsidRPr="00BC061B">
              <w:rPr>
                <w:rFonts w:ascii="Arial" w:hAnsi="Arial" w:cs="Arial"/>
                <w:i/>
                <w:sz w:val="18"/>
                <w:szCs w:val="18"/>
                <w:u w:val="single"/>
                <w:lang w:val="en"/>
              </w:rPr>
              <w:lastRenderedPageBreak/>
              <w:t>Priority Axis 2</w:t>
            </w:r>
            <w:r w:rsidRPr="00BC061B">
              <w:rPr>
                <w:rFonts w:ascii="Arial" w:hAnsi="Arial" w:cs="Arial"/>
                <w:sz w:val="18"/>
                <w:szCs w:val="18"/>
                <w:lang w:val="en"/>
              </w:rPr>
              <w:t xml:space="preserve"> Investments in production capacities based on gas</w:t>
            </w:r>
          </w:p>
        </w:tc>
      </w:tr>
      <w:tr w:rsidR="00DD03C5" w:rsidRPr="00BC061B" w14:paraId="10D2295D" w14:textId="77777777" w:rsidTr="00964831">
        <w:trPr>
          <w:trHeight w:val="1247"/>
        </w:trPr>
        <w:tc>
          <w:tcPr>
            <w:tcW w:w="1171" w:type="pct"/>
            <w:vMerge w:val="restart"/>
            <w:shd w:val="clear" w:color="auto" w:fill="auto"/>
            <w:tcMar>
              <w:top w:w="0" w:type="dxa"/>
              <w:left w:w="100" w:type="dxa"/>
              <w:bottom w:w="0" w:type="dxa"/>
              <w:right w:w="100" w:type="dxa"/>
            </w:tcMar>
          </w:tcPr>
          <w:p w14:paraId="4996BBAB" w14:textId="7F679087" w:rsidR="00DD03C5" w:rsidRPr="000A7086" w:rsidRDefault="007E33AE" w:rsidP="000A7086">
            <w:pPr>
              <w:pStyle w:val="ListParagraph"/>
              <w:spacing w:line="240" w:lineRule="auto"/>
              <w:ind w:left="0" w:right="85"/>
              <w:rPr>
                <w:iCs/>
                <w:color w:val="000000"/>
                <w:sz w:val="18"/>
                <w:szCs w:val="18"/>
              </w:rPr>
            </w:pPr>
            <w:r>
              <w:rPr>
                <w:iCs/>
                <w:color w:val="000000"/>
                <w:sz w:val="18"/>
                <w:szCs w:val="18"/>
              </w:rPr>
              <w:lastRenderedPageBreak/>
              <w:t>Type</w:t>
            </w:r>
            <w:r w:rsidRPr="000A7086">
              <w:rPr>
                <w:iCs/>
                <w:color w:val="000000"/>
                <w:sz w:val="18"/>
                <w:szCs w:val="18"/>
              </w:rPr>
              <w:t xml:space="preserve"> </w:t>
            </w:r>
            <w:r w:rsidR="00DD03C5" w:rsidRPr="000A7086">
              <w:rPr>
                <w:iCs/>
                <w:color w:val="000000"/>
                <w:sz w:val="18"/>
                <w:szCs w:val="18"/>
              </w:rPr>
              <w:t>3</w:t>
            </w:r>
          </w:p>
          <w:p w14:paraId="36AA5CD3" w14:textId="4864DF19" w:rsidR="00DD03C5" w:rsidRPr="000A7086" w:rsidRDefault="00DD03C5" w:rsidP="000A7086">
            <w:pPr>
              <w:pStyle w:val="ListParagraph"/>
              <w:spacing w:line="240" w:lineRule="auto"/>
              <w:ind w:left="0" w:right="85"/>
              <w:rPr>
                <w:iCs/>
                <w:sz w:val="18"/>
                <w:szCs w:val="18"/>
              </w:rPr>
            </w:pPr>
            <w:r w:rsidRPr="000A7086">
              <w:rPr>
                <w:iCs/>
                <w:sz w:val="18"/>
                <w:szCs w:val="18"/>
                <w:highlight w:val="white"/>
              </w:rPr>
              <w:t>Improving the employment situation in the county through upskilling/ reskilling p</w:t>
            </w:r>
            <w:r w:rsidR="00D206E5">
              <w:rPr>
                <w:iCs/>
                <w:sz w:val="18"/>
                <w:szCs w:val="18"/>
                <w:highlight w:val="white"/>
              </w:rPr>
              <w:t>rogrammes</w:t>
            </w:r>
            <w:r w:rsidRPr="000A7086">
              <w:rPr>
                <w:iCs/>
                <w:sz w:val="18"/>
                <w:szCs w:val="18"/>
                <w:highlight w:val="white"/>
              </w:rPr>
              <w:t>, digiti</w:t>
            </w:r>
            <w:r w:rsidR="004E7B64">
              <w:rPr>
                <w:iCs/>
                <w:sz w:val="18"/>
                <w:szCs w:val="18"/>
                <w:highlight w:val="white"/>
              </w:rPr>
              <w:t>sation</w:t>
            </w:r>
            <w:r w:rsidRPr="000A7086">
              <w:rPr>
                <w:iCs/>
                <w:sz w:val="18"/>
                <w:szCs w:val="18"/>
                <w:highlight w:val="white"/>
              </w:rPr>
              <w:t xml:space="preserve"> of the workforce services</w:t>
            </w:r>
          </w:p>
          <w:p w14:paraId="40B7D774" w14:textId="77777777" w:rsidR="00DD03C5" w:rsidRPr="00BC061B" w:rsidRDefault="00DD03C5" w:rsidP="00BC061B">
            <w:pPr>
              <w:shd w:val="clear" w:color="auto" w:fill="FFFFFF"/>
              <w:jc w:val="both"/>
              <w:rPr>
                <w:rFonts w:ascii="Arial" w:eastAsia="Times New Roman" w:hAnsi="Arial" w:cs="Arial"/>
                <w:b/>
                <w:bCs/>
                <w:i/>
                <w:color w:val="202124"/>
                <w:sz w:val="18"/>
                <w:szCs w:val="18"/>
                <w:lang w:val="ro-RO"/>
              </w:rPr>
            </w:pPr>
          </w:p>
        </w:tc>
        <w:tc>
          <w:tcPr>
            <w:tcW w:w="3829" w:type="pct"/>
            <w:shd w:val="clear" w:color="auto" w:fill="auto"/>
            <w:tcMar>
              <w:top w:w="57" w:type="dxa"/>
              <w:bottom w:w="57" w:type="dxa"/>
            </w:tcMar>
          </w:tcPr>
          <w:p w14:paraId="67D15DF2" w14:textId="432094B0" w:rsidR="00DD03C5" w:rsidRPr="000A7086" w:rsidRDefault="00DD03C5" w:rsidP="000A7086">
            <w:pPr>
              <w:pStyle w:val="ListParagraph"/>
              <w:spacing w:after="40" w:line="240" w:lineRule="auto"/>
              <w:ind w:left="0" w:right="85"/>
              <w:contextualSpacing w:val="0"/>
              <w:jc w:val="both"/>
              <w:rPr>
                <w:bCs/>
                <w:i/>
                <w:iCs/>
                <w:sz w:val="18"/>
                <w:szCs w:val="18"/>
              </w:rPr>
            </w:pPr>
            <w:r w:rsidRPr="000A7086">
              <w:rPr>
                <w:bCs/>
                <w:i/>
                <w:iCs/>
                <w:sz w:val="18"/>
                <w:szCs w:val="18"/>
                <w:highlight w:val="white"/>
              </w:rPr>
              <w:t>“Regional Operational Program</w:t>
            </w:r>
            <w:r w:rsidR="00D015ED" w:rsidRPr="000A7086">
              <w:rPr>
                <w:bCs/>
                <w:i/>
                <w:iCs/>
                <w:sz w:val="18"/>
                <w:szCs w:val="18"/>
                <w:highlight w:val="white"/>
              </w:rPr>
              <w:t>me</w:t>
            </w:r>
            <w:r w:rsidRPr="000A7086">
              <w:rPr>
                <w:bCs/>
                <w:i/>
                <w:iCs/>
                <w:sz w:val="18"/>
                <w:szCs w:val="18"/>
                <w:highlight w:val="white"/>
              </w:rPr>
              <w:t xml:space="preserve"> SW Oltenia”</w:t>
            </w:r>
            <w:r w:rsidRPr="000A7086">
              <w:rPr>
                <w:bCs/>
                <w:i/>
                <w:iCs/>
                <w:sz w:val="18"/>
                <w:szCs w:val="18"/>
              </w:rPr>
              <w:t xml:space="preserve"> (ROP) </w:t>
            </w:r>
          </w:p>
          <w:p w14:paraId="660E00D3" w14:textId="77777777" w:rsidR="00DD03C5" w:rsidRPr="00BC061B" w:rsidRDefault="00DD03C5" w:rsidP="000A7086">
            <w:pPr>
              <w:pStyle w:val="ListParagraph"/>
              <w:spacing w:after="40" w:line="240" w:lineRule="auto"/>
              <w:ind w:left="0" w:right="85"/>
              <w:contextualSpacing w:val="0"/>
              <w:jc w:val="both"/>
              <w:rPr>
                <w:sz w:val="18"/>
                <w:szCs w:val="18"/>
              </w:rPr>
            </w:pPr>
            <w:r w:rsidRPr="00BC061B">
              <w:rPr>
                <w:i/>
                <w:sz w:val="18"/>
                <w:szCs w:val="18"/>
                <w:u w:val="single"/>
              </w:rPr>
              <w:t>Priority Axis 6 Modern and inclusive education (FEDR – EUR 80.935.800),</w:t>
            </w:r>
            <w:r w:rsidRPr="00BC061B">
              <w:rPr>
                <w:sz w:val="18"/>
                <w:szCs w:val="18"/>
              </w:rPr>
              <w:t xml:space="preserve"> </w:t>
            </w:r>
          </w:p>
          <w:p w14:paraId="42429EC8" w14:textId="77777777" w:rsidR="00DD03C5" w:rsidRPr="00BC061B" w:rsidRDefault="00DD03C5" w:rsidP="00BC061B">
            <w:pPr>
              <w:shd w:val="clear" w:color="auto" w:fill="FFFFFF"/>
              <w:spacing w:after="40"/>
              <w:rPr>
                <w:rFonts w:ascii="Arial" w:eastAsia="Calibri" w:hAnsi="Arial" w:cs="Arial"/>
                <w:sz w:val="18"/>
                <w:szCs w:val="18"/>
              </w:rPr>
            </w:pPr>
            <w:r w:rsidRPr="00BC061B">
              <w:rPr>
                <w:rFonts w:ascii="Arial" w:hAnsi="Arial" w:cs="Arial"/>
                <w:sz w:val="18"/>
                <w:szCs w:val="18"/>
              </w:rPr>
              <w:t>OP4/OS2 Improving access to quality and inclusive services in education, training and lifelong learning through infrastructure development (</w:t>
            </w:r>
            <w:r w:rsidRPr="00BC061B">
              <w:rPr>
                <w:rFonts w:ascii="Arial" w:hAnsi="Arial" w:cs="Arial"/>
                <w:w w:val="101"/>
                <w:sz w:val="18"/>
                <w:szCs w:val="18"/>
                <w:lang w:val="en-US"/>
              </w:rPr>
              <w:t xml:space="preserve">EUR </w:t>
            </w:r>
            <w:r w:rsidRPr="00BC061B">
              <w:rPr>
                <w:rFonts w:ascii="Arial" w:hAnsi="Arial" w:cs="Arial"/>
                <w:color w:val="000000"/>
                <w:sz w:val="18"/>
                <w:szCs w:val="18"/>
              </w:rPr>
              <w:t>71.</w:t>
            </w:r>
            <w:r w:rsidRPr="00BC061B">
              <w:rPr>
                <w:rFonts w:ascii="Arial" w:hAnsi="Arial" w:cs="Arial"/>
                <w:color w:val="000000"/>
                <w:spacing w:val="-1"/>
                <w:sz w:val="18"/>
                <w:szCs w:val="18"/>
              </w:rPr>
              <w:t>9</w:t>
            </w:r>
            <w:r w:rsidRPr="00BC061B">
              <w:rPr>
                <w:rFonts w:ascii="Arial" w:hAnsi="Arial" w:cs="Arial"/>
                <w:color w:val="000000"/>
                <w:sz w:val="18"/>
                <w:szCs w:val="18"/>
              </w:rPr>
              <w:t>35.</w:t>
            </w:r>
            <w:r w:rsidRPr="00BC061B">
              <w:rPr>
                <w:rFonts w:ascii="Arial" w:hAnsi="Arial" w:cs="Arial"/>
                <w:color w:val="000000"/>
                <w:spacing w:val="-1"/>
                <w:sz w:val="18"/>
                <w:szCs w:val="18"/>
              </w:rPr>
              <w:t>8</w:t>
            </w:r>
            <w:r w:rsidRPr="00BC061B">
              <w:rPr>
                <w:rFonts w:ascii="Arial" w:hAnsi="Arial" w:cs="Arial"/>
                <w:color w:val="000000"/>
                <w:sz w:val="18"/>
                <w:szCs w:val="18"/>
              </w:rPr>
              <w:t>00)</w:t>
            </w:r>
            <w:r w:rsidRPr="00BC061B">
              <w:rPr>
                <w:rFonts w:ascii="Arial" w:hAnsi="Arial" w:cs="Arial"/>
                <w:sz w:val="18"/>
                <w:szCs w:val="18"/>
              </w:rPr>
              <w:t>.</w:t>
            </w:r>
          </w:p>
        </w:tc>
      </w:tr>
      <w:tr w:rsidR="00DD03C5" w:rsidRPr="00BC061B" w14:paraId="5618BB7A" w14:textId="77777777" w:rsidTr="00964831">
        <w:trPr>
          <w:trHeight w:val="1247"/>
        </w:trPr>
        <w:tc>
          <w:tcPr>
            <w:tcW w:w="1171" w:type="pct"/>
            <w:vMerge/>
            <w:shd w:val="clear" w:color="auto" w:fill="auto"/>
            <w:tcMar>
              <w:top w:w="0" w:type="dxa"/>
              <w:left w:w="100" w:type="dxa"/>
              <w:bottom w:w="0" w:type="dxa"/>
              <w:right w:w="100" w:type="dxa"/>
            </w:tcMar>
          </w:tcPr>
          <w:p w14:paraId="69898BEE" w14:textId="77777777" w:rsidR="00DD03C5" w:rsidRPr="00BC061B" w:rsidRDefault="00DD03C5" w:rsidP="000A7086">
            <w:pPr>
              <w:pStyle w:val="ListParagraph"/>
              <w:spacing w:line="240" w:lineRule="auto"/>
              <w:ind w:left="0" w:right="85"/>
              <w:rPr>
                <w:b/>
                <w:bCs/>
                <w:i/>
                <w:color w:val="000000"/>
                <w:sz w:val="18"/>
                <w:szCs w:val="18"/>
              </w:rPr>
            </w:pPr>
          </w:p>
        </w:tc>
        <w:tc>
          <w:tcPr>
            <w:tcW w:w="3829" w:type="pct"/>
            <w:shd w:val="clear" w:color="auto" w:fill="auto"/>
            <w:tcMar>
              <w:top w:w="57" w:type="dxa"/>
              <w:bottom w:w="57" w:type="dxa"/>
            </w:tcMar>
          </w:tcPr>
          <w:p w14:paraId="5CCA1DAC" w14:textId="595C0F45" w:rsidR="00DD03C5" w:rsidRPr="000A7086" w:rsidRDefault="00DD03C5" w:rsidP="00BC061B">
            <w:pPr>
              <w:shd w:val="clear" w:color="auto" w:fill="FFFFFF"/>
              <w:spacing w:after="40"/>
              <w:rPr>
                <w:rFonts w:ascii="Arial" w:hAnsi="Arial" w:cs="Arial"/>
                <w:bCs/>
                <w:i/>
                <w:iCs/>
                <w:sz w:val="18"/>
                <w:szCs w:val="18"/>
              </w:rPr>
            </w:pPr>
            <w:r w:rsidRPr="000A7086">
              <w:rPr>
                <w:rFonts w:ascii="Arial" w:hAnsi="Arial" w:cs="Arial"/>
                <w:bCs/>
                <w:i/>
                <w:iCs/>
                <w:sz w:val="18"/>
                <w:szCs w:val="18"/>
                <w:highlight w:val="white"/>
              </w:rPr>
              <w:t xml:space="preserve">“National </w:t>
            </w:r>
            <w:r w:rsidR="00D015ED" w:rsidRPr="000A7086">
              <w:rPr>
                <w:rFonts w:ascii="Arial" w:hAnsi="Arial" w:cs="Arial"/>
                <w:bCs/>
                <w:i/>
                <w:iCs/>
                <w:sz w:val="18"/>
                <w:szCs w:val="18"/>
                <w:highlight w:val="white"/>
              </w:rPr>
              <w:t>Recovery and Resilience Plan</w:t>
            </w:r>
            <w:r w:rsidRPr="000A7086">
              <w:rPr>
                <w:rFonts w:ascii="Arial" w:hAnsi="Arial" w:cs="Arial"/>
                <w:bCs/>
                <w:i/>
                <w:iCs/>
                <w:sz w:val="18"/>
                <w:szCs w:val="18"/>
                <w:highlight w:val="white"/>
              </w:rPr>
              <w:t xml:space="preserve"> (</w:t>
            </w:r>
            <w:r w:rsidR="00D015ED" w:rsidRPr="000A7086">
              <w:rPr>
                <w:rFonts w:ascii="Arial" w:hAnsi="Arial" w:cs="Arial"/>
                <w:bCs/>
                <w:i/>
                <w:iCs/>
                <w:sz w:val="18"/>
                <w:szCs w:val="18"/>
                <w:highlight w:val="white"/>
              </w:rPr>
              <w:t>RRP</w:t>
            </w:r>
            <w:r w:rsidRPr="000A7086">
              <w:rPr>
                <w:rFonts w:ascii="Arial" w:hAnsi="Arial" w:cs="Arial"/>
                <w:bCs/>
                <w:i/>
                <w:iCs/>
                <w:sz w:val="18"/>
                <w:szCs w:val="18"/>
                <w:highlight w:val="white"/>
              </w:rPr>
              <w:t>)</w:t>
            </w:r>
            <w:r w:rsidRPr="000A7086">
              <w:rPr>
                <w:rFonts w:ascii="Arial" w:hAnsi="Arial" w:cs="Arial"/>
                <w:bCs/>
                <w:i/>
                <w:iCs/>
                <w:sz w:val="18"/>
                <w:szCs w:val="18"/>
              </w:rPr>
              <w:t xml:space="preserve"> </w:t>
            </w:r>
          </w:p>
          <w:p w14:paraId="50E1451F" w14:textId="77777777" w:rsidR="00DD03C5" w:rsidRPr="00BC061B" w:rsidRDefault="00DD03C5" w:rsidP="00D015ED">
            <w:pPr>
              <w:shd w:val="clear" w:color="auto" w:fill="FFFFFF"/>
              <w:spacing w:after="40"/>
              <w:rPr>
                <w:rFonts w:ascii="Arial" w:hAnsi="Arial" w:cs="Arial"/>
                <w:i/>
                <w:iCs/>
                <w:sz w:val="18"/>
                <w:szCs w:val="18"/>
              </w:rPr>
            </w:pPr>
            <w:r w:rsidRPr="00BC061B">
              <w:rPr>
                <w:rFonts w:ascii="Arial" w:hAnsi="Arial" w:cs="Arial"/>
                <w:i/>
                <w:iCs/>
                <w:sz w:val="18"/>
                <w:szCs w:val="18"/>
                <w:u w:val="single"/>
              </w:rPr>
              <w:t>Pillar III Smart, sustainable and inclusive growth</w:t>
            </w:r>
            <w:r w:rsidRPr="00BC061B">
              <w:rPr>
                <w:rFonts w:ascii="Arial" w:hAnsi="Arial" w:cs="Arial"/>
                <w:i/>
                <w:iCs/>
                <w:sz w:val="18"/>
                <w:szCs w:val="18"/>
              </w:rPr>
              <w:t xml:space="preserve">, </w:t>
            </w:r>
            <w:r w:rsidRPr="00BC061B">
              <w:rPr>
                <w:rFonts w:ascii="Arial" w:hAnsi="Arial" w:cs="Arial"/>
                <w:iCs/>
                <w:sz w:val="18"/>
                <w:szCs w:val="18"/>
              </w:rPr>
              <w:t>Component 4 III.4 Educated Romania - Dual, technical and vocational education</w:t>
            </w:r>
            <w:r w:rsidRPr="00BC061B">
              <w:rPr>
                <w:rFonts w:ascii="Arial" w:hAnsi="Arial" w:cs="Arial"/>
                <w:i/>
                <w:iCs/>
                <w:sz w:val="18"/>
                <w:szCs w:val="18"/>
              </w:rPr>
              <w:t xml:space="preserve">. </w:t>
            </w:r>
          </w:p>
          <w:p w14:paraId="6D2596D8" w14:textId="1DBBAB13" w:rsidR="00DD03C5" w:rsidRPr="00BC061B" w:rsidRDefault="00DD03C5" w:rsidP="00D015ED">
            <w:pPr>
              <w:shd w:val="clear" w:color="auto" w:fill="FFFFFF"/>
              <w:spacing w:after="40"/>
              <w:rPr>
                <w:rFonts w:ascii="Arial" w:hAnsi="Arial" w:cs="Arial"/>
                <w:i/>
                <w:sz w:val="18"/>
                <w:szCs w:val="18"/>
                <w:highlight w:val="white"/>
              </w:rPr>
            </w:pPr>
            <w:r w:rsidRPr="00BC061B">
              <w:rPr>
                <w:rFonts w:ascii="Arial" w:hAnsi="Arial" w:cs="Arial"/>
                <w:i/>
                <w:iCs/>
                <w:sz w:val="18"/>
                <w:szCs w:val="18"/>
                <w:u w:val="single"/>
              </w:rPr>
              <w:t>Pillar VI Policies for the Next Generation, Children and Youth</w:t>
            </w:r>
            <w:r w:rsidRPr="00BC061B">
              <w:rPr>
                <w:rFonts w:ascii="Arial" w:hAnsi="Arial" w:cs="Arial"/>
                <w:i/>
                <w:iCs/>
                <w:sz w:val="18"/>
                <w:szCs w:val="18"/>
              </w:rPr>
              <w:t xml:space="preserve"> Component 3 VI.3 Educated Romania - National Nursery P</w:t>
            </w:r>
            <w:r w:rsidR="00D206E5">
              <w:rPr>
                <w:rFonts w:ascii="Arial" w:hAnsi="Arial" w:cs="Arial"/>
                <w:i/>
                <w:iCs/>
                <w:sz w:val="18"/>
                <w:szCs w:val="18"/>
              </w:rPr>
              <w:t xml:space="preserve">rogramme </w:t>
            </w:r>
            <w:r w:rsidRPr="00BC061B">
              <w:rPr>
                <w:rFonts w:ascii="Arial" w:hAnsi="Arial" w:cs="Arial"/>
                <w:i/>
                <w:iCs/>
                <w:sz w:val="18"/>
                <w:szCs w:val="18"/>
              </w:rPr>
              <w:t>(</w:t>
            </w:r>
            <w:r w:rsidRPr="00BC061B">
              <w:rPr>
                <w:rFonts w:ascii="Arial" w:hAnsi="Arial" w:cs="Arial"/>
                <w:iCs/>
                <w:sz w:val="18"/>
                <w:szCs w:val="18"/>
                <w:lang w:val="en-US"/>
              </w:rPr>
              <w:t>EUR 3.6</w:t>
            </w:r>
            <w:r w:rsidR="00EC5708" w:rsidRPr="00BC061B">
              <w:rPr>
                <w:rFonts w:ascii="Arial" w:hAnsi="Arial" w:cs="Arial"/>
                <w:iCs/>
                <w:sz w:val="18"/>
                <w:szCs w:val="18"/>
                <w:lang w:val="en-US"/>
              </w:rPr>
              <w:t xml:space="preserve"> bn</w:t>
            </w:r>
            <w:r w:rsidRPr="00BC061B">
              <w:rPr>
                <w:rFonts w:ascii="Arial" w:hAnsi="Arial" w:cs="Arial"/>
                <w:sz w:val="18"/>
                <w:szCs w:val="18"/>
              </w:rPr>
              <w:t>)</w:t>
            </w:r>
            <w:r w:rsidRPr="00BC061B">
              <w:rPr>
                <w:rFonts w:ascii="Arial" w:hAnsi="Arial" w:cs="Arial"/>
                <w:i/>
                <w:iCs/>
                <w:sz w:val="18"/>
                <w:szCs w:val="18"/>
              </w:rPr>
              <w:t>.</w:t>
            </w:r>
          </w:p>
        </w:tc>
      </w:tr>
      <w:tr w:rsidR="00DD03C5" w:rsidRPr="00BC061B" w14:paraId="42339FC0" w14:textId="77777777" w:rsidTr="00964831">
        <w:tc>
          <w:tcPr>
            <w:tcW w:w="1171" w:type="pct"/>
            <w:vMerge/>
            <w:shd w:val="clear" w:color="auto" w:fill="auto"/>
            <w:tcMar>
              <w:top w:w="100" w:type="dxa"/>
              <w:left w:w="100" w:type="dxa"/>
              <w:bottom w:w="100" w:type="dxa"/>
              <w:right w:w="100" w:type="dxa"/>
            </w:tcMar>
          </w:tcPr>
          <w:p w14:paraId="0DDD1D73" w14:textId="77777777" w:rsidR="00DD03C5" w:rsidRPr="00BC061B" w:rsidRDefault="00DD03C5">
            <w:pPr>
              <w:shd w:val="clear" w:color="auto" w:fill="FFFFFF"/>
              <w:jc w:val="both"/>
              <w:rPr>
                <w:rFonts w:ascii="Arial" w:hAnsi="Arial" w:cs="Arial"/>
                <w:sz w:val="18"/>
                <w:szCs w:val="18"/>
              </w:rPr>
            </w:pPr>
          </w:p>
        </w:tc>
        <w:tc>
          <w:tcPr>
            <w:tcW w:w="3829" w:type="pct"/>
            <w:shd w:val="clear" w:color="auto" w:fill="auto"/>
            <w:tcMar>
              <w:top w:w="0" w:type="dxa"/>
              <w:left w:w="100" w:type="dxa"/>
              <w:bottom w:w="0" w:type="dxa"/>
              <w:right w:w="100" w:type="dxa"/>
            </w:tcMar>
          </w:tcPr>
          <w:p w14:paraId="76BF8E5B" w14:textId="3BC2A6E7" w:rsidR="00DD03C5" w:rsidRPr="00BC061B" w:rsidRDefault="00DD03C5">
            <w:pPr>
              <w:shd w:val="clear" w:color="auto" w:fill="FFFFFF"/>
              <w:spacing w:after="40"/>
              <w:jc w:val="both"/>
              <w:rPr>
                <w:rFonts w:ascii="Arial" w:hAnsi="Arial" w:cs="Arial"/>
                <w:bCs/>
                <w:sz w:val="18"/>
                <w:szCs w:val="18"/>
                <w:lang w:val="ro-RO"/>
              </w:rPr>
            </w:pPr>
            <w:r w:rsidRPr="000A7086">
              <w:rPr>
                <w:rFonts w:ascii="Arial" w:hAnsi="Arial" w:cs="Arial"/>
                <w:i/>
                <w:iCs/>
                <w:w w:val="101"/>
                <w:sz w:val="18"/>
                <w:szCs w:val="18"/>
              </w:rPr>
              <w:t xml:space="preserve"> </w:t>
            </w:r>
            <w:r w:rsidRPr="000A7086">
              <w:rPr>
                <w:rFonts w:ascii="Arial" w:hAnsi="Arial" w:cs="Arial"/>
                <w:i/>
                <w:iCs/>
                <w:sz w:val="18"/>
                <w:szCs w:val="18"/>
                <w:lang w:val="ro-RO"/>
              </w:rPr>
              <w:t>„Education and Employment Operational Programme” (EEOP)</w:t>
            </w:r>
            <w:r w:rsidRPr="00D015ED">
              <w:rPr>
                <w:rFonts w:ascii="Arial" w:hAnsi="Arial" w:cs="Arial"/>
                <w:i/>
                <w:iCs/>
                <w:sz w:val="18"/>
                <w:szCs w:val="18"/>
                <w:lang w:val="ro-RO"/>
              </w:rPr>
              <w:t>,</w:t>
            </w:r>
            <w:r w:rsidRPr="00BC061B">
              <w:rPr>
                <w:rFonts w:ascii="Arial" w:hAnsi="Arial" w:cs="Arial"/>
                <w:bCs/>
                <w:i/>
                <w:sz w:val="18"/>
                <w:szCs w:val="18"/>
                <w:lang w:val="ro-RO"/>
              </w:rPr>
              <w:t xml:space="preserve"> </w:t>
            </w:r>
            <w:r w:rsidRPr="00BC061B">
              <w:rPr>
                <w:rFonts w:ascii="Arial" w:hAnsi="Arial" w:cs="Arial"/>
                <w:bCs/>
                <w:sz w:val="18"/>
                <w:szCs w:val="18"/>
                <w:lang w:val="ro-RO"/>
              </w:rPr>
              <w:t>(</w:t>
            </w:r>
            <w:r w:rsidR="00D015ED">
              <w:rPr>
                <w:rFonts w:ascii="Arial" w:hAnsi="Arial" w:cs="Arial"/>
                <w:bCs/>
                <w:sz w:val="18"/>
                <w:szCs w:val="18"/>
                <w:lang w:val="ro-RO"/>
              </w:rPr>
              <w:t>ESF</w:t>
            </w:r>
            <w:r w:rsidR="00D015ED" w:rsidRPr="00BC061B">
              <w:rPr>
                <w:rFonts w:ascii="Arial" w:hAnsi="Arial" w:cs="Arial"/>
                <w:bCs/>
                <w:sz w:val="18"/>
                <w:szCs w:val="18"/>
                <w:lang w:val="ro-RO"/>
              </w:rPr>
              <w:t xml:space="preserve"> </w:t>
            </w:r>
            <w:r w:rsidRPr="00BC061B">
              <w:rPr>
                <w:rFonts w:ascii="Arial" w:hAnsi="Arial" w:cs="Arial"/>
                <w:bCs/>
                <w:sz w:val="18"/>
                <w:szCs w:val="18"/>
                <w:lang w:val="ro-RO"/>
              </w:rPr>
              <w:t>– EUR 3.</w:t>
            </w:r>
            <w:r w:rsidR="00EC5708" w:rsidRPr="00BC061B">
              <w:rPr>
                <w:rFonts w:ascii="Arial" w:hAnsi="Arial" w:cs="Arial"/>
                <w:bCs/>
                <w:sz w:val="18"/>
                <w:szCs w:val="18"/>
                <w:lang w:val="ro-RO"/>
              </w:rPr>
              <w:t>36 bn</w:t>
            </w:r>
            <w:r w:rsidRPr="00BC061B">
              <w:rPr>
                <w:rFonts w:ascii="Arial" w:hAnsi="Arial" w:cs="Arial"/>
                <w:bCs/>
                <w:sz w:val="18"/>
                <w:szCs w:val="18"/>
                <w:lang w:val="ro-RO"/>
              </w:rPr>
              <w:t xml:space="preserve">) </w:t>
            </w:r>
          </w:p>
          <w:p w14:paraId="2DC52123"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1</w:t>
            </w:r>
            <w:r w:rsidRPr="00BC061B">
              <w:rPr>
                <w:rFonts w:ascii="Arial" w:hAnsi="Arial" w:cs="Arial"/>
                <w:sz w:val="18"/>
                <w:szCs w:val="18"/>
              </w:rPr>
              <w:t xml:space="preserve"> Unlocking the potential of young people in the labor market. </w:t>
            </w:r>
            <w:r w:rsidRPr="00BC061B">
              <w:rPr>
                <w:rFonts w:ascii="Arial" w:hAnsi="Arial" w:cs="Arial"/>
                <w:i/>
                <w:sz w:val="18"/>
                <w:szCs w:val="18"/>
                <w:u w:val="single"/>
              </w:rPr>
              <w:t>Priority 2</w:t>
            </w:r>
            <w:r w:rsidRPr="00BC061B">
              <w:rPr>
                <w:rFonts w:ascii="Arial" w:hAnsi="Arial" w:cs="Arial"/>
                <w:sz w:val="18"/>
                <w:szCs w:val="18"/>
              </w:rPr>
              <w:t xml:space="preserve"> Prevent early school leaving and increase access to and participation of disadvantaged groups in education and training. </w:t>
            </w:r>
          </w:p>
          <w:p w14:paraId="7E94FABA"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3</w:t>
            </w:r>
            <w:r w:rsidRPr="00BC061B">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3463A88F"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4</w:t>
            </w:r>
            <w:r w:rsidRPr="00BC061B">
              <w:rPr>
                <w:rFonts w:ascii="Arial" w:hAnsi="Arial" w:cs="Arial"/>
                <w:sz w:val="18"/>
                <w:szCs w:val="18"/>
              </w:rPr>
              <w:t xml:space="preserve"> Increasing the accessibility, attractiveness and quality of vocational and technical education. </w:t>
            </w:r>
          </w:p>
          <w:p w14:paraId="6E463A82"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5</w:t>
            </w:r>
            <w:r w:rsidRPr="00BC061B">
              <w:rPr>
                <w:rFonts w:ascii="Arial" w:hAnsi="Arial" w:cs="Arial"/>
                <w:sz w:val="18"/>
                <w:szCs w:val="18"/>
              </w:rPr>
              <w:t xml:space="preserve"> Increasing access to the labor market for all. </w:t>
            </w:r>
          </w:p>
          <w:p w14:paraId="173F6EC9"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6</w:t>
            </w:r>
            <w:r w:rsidRPr="00BC061B">
              <w:rPr>
                <w:rFonts w:ascii="Arial" w:hAnsi="Arial" w:cs="Arial"/>
                <w:sz w:val="18"/>
                <w:szCs w:val="18"/>
              </w:rPr>
              <w:t xml:space="preserve"> Entrepreneurship and the social economy. </w:t>
            </w:r>
          </w:p>
          <w:p w14:paraId="7789DBAD" w14:textId="77777777" w:rsidR="00DD03C5" w:rsidRPr="00BC061B" w:rsidRDefault="00DD03C5">
            <w:pPr>
              <w:shd w:val="clear" w:color="auto" w:fill="FFFFFF"/>
              <w:spacing w:after="40"/>
              <w:jc w:val="both"/>
              <w:rPr>
                <w:rFonts w:ascii="Arial" w:hAnsi="Arial" w:cs="Arial"/>
                <w:sz w:val="18"/>
                <w:szCs w:val="18"/>
              </w:rPr>
            </w:pPr>
            <w:r w:rsidRPr="00BC061B">
              <w:rPr>
                <w:rFonts w:ascii="Arial" w:hAnsi="Arial" w:cs="Arial"/>
                <w:i/>
                <w:sz w:val="18"/>
                <w:szCs w:val="18"/>
                <w:u w:val="single"/>
              </w:rPr>
              <w:t>Priority 7</w:t>
            </w:r>
            <w:r w:rsidRPr="00BC061B">
              <w:rPr>
                <w:rFonts w:ascii="Arial" w:hAnsi="Arial" w:cs="Arial"/>
                <w:sz w:val="18"/>
                <w:szCs w:val="18"/>
              </w:rPr>
              <w:t xml:space="preserve"> Supporting labor market reforms in line with labor market dynamics. </w:t>
            </w:r>
          </w:p>
          <w:p w14:paraId="7EBD60B3" w14:textId="77777777" w:rsidR="00DD03C5" w:rsidRPr="00BC061B" w:rsidRDefault="00DD03C5" w:rsidP="000A7086">
            <w:pPr>
              <w:pStyle w:val="ListParagraph"/>
              <w:spacing w:after="40" w:line="240" w:lineRule="auto"/>
              <w:ind w:left="0" w:right="85"/>
              <w:contextualSpacing w:val="0"/>
              <w:jc w:val="both"/>
              <w:rPr>
                <w:rFonts w:eastAsia="Calibri"/>
                <w:sz w:val="18"/>
                <w:szCs w:val="18"/>
              </w:rPr>
            </w:pPr>
            <w:r w:rsidRPr="00BC061B">
              <w:rPr>
                <w:i/>
                <w:sz w:val="18"/>
                <w:szCs w:val="18"/>
                <w:u w:val="single"/>
              </w:rPr>
              <w:t>Priority 8</w:t>
            </w:r>
            <w:r w:rsidRPr="00BC061B">
              <w:rPr>
                <w:sz w:val="18"/>
                <w:szCs w:val="18"/>
              </w:rPr>
              <w:t xml:space="preserve"> Strengthen population participation in lifelong learning to facilitate transitions and labor market mobility.</w:t>
            </w:r>
          </w:p>
        </w:tc>
      </w:tr>
      <w:tr w:rsidR="00DD03C5" w:rsidRPr="00BC061B" w14:paraId="31018E05" w14:textId="77777777" w:rsidTr="00964831">
        <w:trPr>
          <w:trHeight w:val="2572"/>
        </w:trPr>
        <w:tc>
          <w:tcPr>
            <w:tcW w:w="1171" w:type="pct"/>
            <w:vMerge/>
            <w:shd w:val="clear" w:color="auto" w:fill="auto"/>
            <w:tcMar>
              <w:top w:w="100" w:type="dxa"/>
              <w:left w:w="100" w:type="dxa"/>
              <w:bottom w:w="100" w:type="dxa"/>
              <w:right w:w="100" w:type="dxa"/>
            </w:tcMar>
          </w:tcPr>
          <w:p w14:paraId="518451CE" w14:textId="77777777" w:rsidR="00DD03C5" w:rsidRPr="00BC061B" w:rsidRDefault="00DD03C5">
            <w:pPr>
              <w:shd w:val="clear" w:color="auto" w:fill="FFFFFF"/>
              <w:jc w:val="both"/>
              <w:rPr>
                <w:rFonts w:ascii="Arial" w:hAnsi="Arial" w:cs="Arial"/>
                <w:sz w:val="18"/>
                <w:szCs w:val="18"/>
              </w:rPr>
            </w:pPr>
          </w:p>
        </w:tc>
        <w:tc>
          <w:tcPr>
            <w:tcW w:w="3829" w:type="pct"/>
            <w:shd w:val="clear" w:color="auto" w:fill="auto"/>
            <w:tcMar>
              <w:top w:w="0" w:type="dxa"/>
              <w:left w:w="100" w:type="dxa"/>
              <w:bottom w:w="0" w:type="dxa"/>
              <w:right w:w="100" w:type="dxa"/>
            </w:tcMar>
          </w:tcPr>
          <w:p w14:paraId="5C43297F" w14:textId="182A5812" w:rsidR="00DD03C5" w:rsidRPr="00BC061B" w:rsidRDefault="00DD03C5" w:rsidP="000A7086">
            <w:pPr>
              <w:pStyle w:val="ListParagraph"/>
              <w:shd w:val="clear" w:color="auto" w:fill="FFFFFF"/>
              <w:spacing w:after="40" w:line="240" w:lineRule="auto"/>
              <w:ind w:left="0"/>
              <w:contextualSpacing w:val="0"/>
              <w:rPr>
                <w:rFonts w:eastAsia="Times New Roman"/>
                <w:sz w:val="18"/>
                <w:szCs w:val="18"/>
                <w:lang w:val="en"/>
              </w:rPr>
            </w:pPr>
            <w:r w:rsidRPr="000A7086">
              <w:rPr>
                <w:rFonts w:eastAsia="Times New Roman"/>
                <w:bCs/>
                <w:i/>
                <w:iCs/>
                <w:sz w:val="18"/>
                <w:szCs w:val="18"/>
                <w:lang w:val="en"/>
              </w:rPr>
              <w:t>“Intelligent Growth, Digiti</w:t>
            </w:r>
            <w:r w:rsidR="004E7B64">
              <w:rPr>
                <w:rFonts w:eastAsia="Times New Roman"/>
                <w:bCs/>
                <w:i/>
                <w:iCs/>
                <w:sz w:val="18"/>
                <w:szCs w:val="18"/>
                <w:lang w:val="en"/>
              </w:rPr>
              <w:t>sation</w:t>
            </w:r>
            <w:r w:rsidRPr="000A7086">
              <w:rPr>
                <w:rFonts w:eastAsia="Times New Roman"/>
                <w:bCs/>
                <w:i/>
                <w:iCs/>
                <w:sz w:val="18"/>
                <w:szCs w:val="18"/>
                <w:lang w:val="en"/>
              </w:rPr>
              <w:t xml:space="preserve"> and Financial Instruments Operational Program</w:t>
            </w:r>
            <w:r w:rsidR="00D015ED">
              <w:rPr>
                <w:rFonts w:eastAsia="Times New Roman"/>
                <w:bCs/>
                <w:i/>
                <w:iCs/>
                <w:sz w:val="18"/>
                <w:szCs w:val="18"/>
                <w:lang w:val="en"/>
              </w:rPr>
              <w:t>me</w:t>
            </w:r>
            <w:r w:rsidRPr="000A7086">
              <w:rPr>
                <w:rFonts w:eastAsia="Times New Roman"/>
                <w:bCs/>
                <w:i/>
                <w:iCs/>
                <w:sz w:val="18"/>
                <w:szCs w:val="18"/>
                <w:lang w:val="en"/>
              </w:rPr>
              <w:t>” (IGDFIOP),</w:t>
            </w:r>
            <w:r w:rsidRPr="00BC061B">
              <w:rPr>
                <w:rFonts w:eastAsia="Times New Roman"/>
                <w:sz w:val="18"/>
                <w:szCs w:val="18"/>
                <w:lang w:val="en"/>
              </w:rPr>
              <w:t xml:space="preserve"> (</w:t>
            </w:r>
            <w:r w:rsidR="00D015ED">
              <w:rPr>
                <w:rFonts w:eastAsia="Times New Roman"/>
                <w:sz w:val="18"/>
                <w:szCs w:val="18"/>
                <w:lang w:val="en"/>
              </w:rPr>
              <w:t>ERDF</w:t>
            </w:r>
            <w:r w:rsidR="00D015ED" w:rsidRPr="00BC061B">
              <w:rPr>
                <w:rFonts w:eastAsia="Times New Roman"/>
                <w:sz w:val="18"/>
                <w:szCs w:val="18"/>
                <w:lang w:val="en"/>
              </w:rPr>
              <w:t xml:space="preserve"> </w:t>
            </w:r>
            <w:r w:rsidRPr="00BC061B">
              <w:rPr>
                <w:rFonts w:eastAsia="Times New Roman"/>
                <w:sz w:val="18"/>
                <w:szCs w:val="18"/>
                <w:lang w:val="en"/>
              </w:rPr>
              <w:t xml:space="preserve">- </w:t>
            </w:r>
            <w:r w:rsidRPr="00BC061B">
              <w:rPr>
                <w:sz w:val="18"/>
                <w:szCs w:val="18"/>
              </w:rPr>
              <w:t xml:space="preserve">RON </w:t>
            </w:r>
            <w:r w:rsidRPr="00BC061B">
              <w:rPr>
                <w:color w:val="202124"/>
                <w:sz w:val="18"/>
                <w:szCs w:val="18"/>
                <w:lang w:val="en"/>
              </w:rPr>
              <w:t>945.000.000</w:t>
            </w:r>
            <w:r w:rsidRPr="00BC061B">
              <w:rPr>
                <w:rFonts w:eastAsia="Times New Roman"/>
                <w:sz w:val="18"/>
                <w:szCs w:val="18"/>
                <w:lang w:val="en"/>
              </w:rPr>
              <w:t xml:space="preserve">). </w:t>
            </w:r>
          </w:p>
          <w:p w14:paraId="179BC8ED" w14:textId="77777777" w:rsidR="00DD03C5" w:rsidRPr="000A7086" w:rsidRDefault="00DD03C5" w:rsidP="000A7086">
            <w:pPr>
              <w:pStyle w:val="ListParagraph"/>
              <w:shd w:val="clear" w:color="auto" w:fill="FFFFFF"/>
              <w:spacing w:after="40" w:line="240" w:lineRule="auto"/>
              <w:ind w:left="0"/>
              <w:contextualSpacing w:val="0"/>
              <w:rPr>
                <w:i/>
                <w:iCs/>
                <w:sz w:val="18"/>
                <w:szCs w:val="18"/>
                <w:lang w:val="en"/>
              </w:rPr>
            </w:pPr>
            <w:r w:rsidRPr="000A7086">
              <w:rPr>
                <w:i/>
                <w:iCs/>
                <w:sz w:val="18"/>
                <w:szCs w:val="18"/>
                <w:u w:val="single"/>
                <w:lang w:val="en"/>
              </w:rPr>
              <w:t>Priority Axis 1 Integration of the RDI national ecosystem into the European and international Research Area.</w:t>
            </w:r>
            <w:r w:rsidRPr="000A7086">
              <w:rPr>
                <w:i/>
                <w:iCs/>
                <w:sz w:val="18"/>
                <w:szCs w:val="18"/>
                <w:lang w:val="en"/>
              </w:rPr>
              <w:t xml:space="preserve">  </w:t>
            </w:r>
          </w:p>
          <w:p w14:paraId="4E77F321" w14:textId="77777777" w:rsidR="00DD03C5" w:rsidRPr="00BC061B" w:rsidRDefault="00DD03C5" w:rsidP="000A7086">
            <w:pPr>
              <w:pStyle w:val="ListParagraph"/>
              <w:shd w:val="clear" w:color="auto" w:fill="FFFFFF"/>
              <w:spacing w:after="40" w:line="240" w:lineRule="auto"/>
              <w:ind w:left="0"/>
              <w:contextualSpacing w:val="0"/>
              <w:rPr>
                <w:sz w:val="18"/>
                <w:szCs w:val="18"/>
                <w:lang w:val="en"/>
              </w:rPr>
            </w:pPr>
            <w:r w:rsidRPr="000A7086">
              <w:rPr>
                <w:i/>
                <w:sz w:val="18"/>
                <w:szCs w:val="18"/>
                <w:u w:val="single"/>
                <w:lang w:val="en"/>
              </w:rPr>
              <w:t>Priority 2</w:t>
            </w:r>
            <w:r w:rsidRPr="00BC061B">
              <w:rPr>
                <w:iCs/>
                <w:sz w:val="18"/>
                <w:szCs w:val="18"/>
                <w:u w:val="single"/>
                <w:lang w:val="en"/>
              </w:rPr>
              <w:t xml:space="preserve"> </w:t>
            </w:r>
            <w:r w:rsidRPr="00BC061B">
              <w:rPr>
                <w:sz w:val="18"/>
                <w:szCs w:val="18"/>
                <w:lang w:val="en"/>
              </w:rPr>
              <w:t xml:space="preserve">Creating and promoting an attractive system of innovation in the economy for all types of innovation. </w:t>
            </w:r>
          </w:p>
          <w:p w14:paraId="6AB71A51" w14:textId="77777777" w:rsidR="00DD03C5" w:rsidRPr="00BC061B" w:rsidRDefault="00DD03C5" w:rsidP="000A7086">
            <w:pPr>
              <w:pStyle w:val="ListParagraph"/>
              <w:shd w:val="clear" w:color="auto" w:fill="FFFFFF"/>
              <w:spacing w:after="40" w:line="240" w:lineRule="auto"/>
              <w:ind w:left="0"/>
              <w:contextualSpacing w:val="0"/>
              <w:rPr>
                <w:sz w:val="18"/>
                <w:szCs w:val="18"/>
                <w:lang w:val="en"/>
              </w:rPr>
            </w:pPr>
            <w:r w:rsidRPr="000A7086">
              <w:rPr>
                <w:i/>
                <w:sz w:val="18"/>
                <w:szCs w:val="18"/>
                <w:u w:val="single"/>
                <w:lang w:val="en"/>
              </w:rPr>
              <w:t>Priority 5</w:t>
            </w:r>
            <w:r w:rsidRPr="00BC061B">
              <w:rPr>
                <w:sz w:val="18"/>
                <w:szCs w:val="18"/>
                <w:lang w:val="en"/>
              </w:rPr>
              <w:t xml:space="preserve"> Developing the RDI capacity of large enterprises.  </w:t>
            </w:r>
          </w:p>
          <w:p w14:paraId="0D7993C2" w14:textId="77777777" w:rsidR="00DD03C5" w:rsidRPr="00BC061B" w:rsidRDefault="00DD03C5" w:rsidP="000A7086">
            <w:pPr>
              <w:pStyle w:val="ListParagraph"/>
              <w:shd w:val="clear" w:color="auto" w:fill="FFFFFF"/>
              <w:spacing w:after="40" w:line="240" w:lineRule="auto"/>
              <w:ind w:left="0"/>
              <w:contextualSpacing w:val="0"/>
              <w:rPr>
                <w:sz w:val="18"/>
                <w:szCs w:val="18"/>
                <w:lang w:val="en"/>
              </w:rPr>
            </w:pPr>
            <w:r w:rsidRPr="000A7086">
              <w:rPr>
                <w:i/>
                <w:sz w:val="18"/>
                <w:szCs w:val="18"/>
                <w:u w:val="single"/>
                <w:lang w:val="en"/>
              </w:rPr>
              <w:t>Priority 6</w:t>
            </w:r>
            <w:r w:rsidRPr="00BC061B">
              <w:rPr>
                <w:sz w:val="18"/>
                <w:szCs w:val="18"/>
                <w:lang w:val="en"/>
              </w:rPr>
              <w:t xml:space="preserve"> Development of RDI strategic projects. </w:t>
            </w:r>
          </w:p>
          <w:p w14:paraId="0C263666" w14:textId="77777777" w:rsidR="00DD03C5" w:rsidRPr="00BC061B" w:rsidRDefault="00DD03C5" w:rsidP="00BC061B">
            <w:pPr>
              <w:shd w:val="clear" w:color="auto" w:fill="FFFFFF"/>
              <w:spacing w:after="40"/>
              <w:jc w:val="both"/>
              <w:rPr>
                <w:rFonts w:ascii="Arial" w:eastAsia="Calibri" w:hAnsi="Arial" w:cs="Arial"/>
                <w:sz w:val="18"/>
                <w:szCs w:val="18"/>
              </w:rPr>
            </w:pPr>
            <w:r w:rsidRPr="000A7086">
              <w:rPr>
                <w:rFonts w:ascii="Arial" w:hAnsi="Arial" w:cs="Arial"/>
                <w:i/>
                <w:sz w:val="18"/>
                <w:szCs w:val="18"/>
                <w:u w:val="single"/>
                <w:lang w:val="en"/>
              </w:rPr>
              <w:t>Priority 10</w:t>
            </w:r>
            <w:r w:rsidRPr="00BC061B">
              <w:rPr>
                <w:rFonts w:ascii="Arial" w:hAnsi="Arial" w:cs="Arial"/>
                <w:sz w:val="18"/>
                <w:szCs w:val="18"/>
                <w:lang w:val="en"/>
              </w:rPr>
              <w:t xml:space="preserve"> Stimulating access to finance for SMEs by means of Financial Instruments.</w:t>
            </w:r>
          </w:p>
        </w:tc>
      </w:tr>
    </w:tbl>
    <w:p w14:paraId="23B21AAD" w14:textId="77777777" w:rsidR="00DD03C5" w:rsidRPr="000A7086" w:rsidRDefault="00DD03C5" w:rsidP="00654AE5">
      <w:pPr>
        <w:spacing w:after="120"/>
        <w:rPr>
          <w:rFonts w:ascii="Arial" w:hAnsi="Arial" w:cs="Arial"/>
          <w:i/>
          <w:iCs/>
          <w:sz w:val="16"/>
          <w:szCs w:val="16"/>
        </w:rPr>
      </w:pPr>
      <w:r w:rsidRPr="000A7086">
        <w:rPr>
          <w:rFonts w:ascii="Arial" w:hAnsi="Arial" w:cs="Arial"/>
          <w:i/>
          <w:iCs/>
          <w:sz w:val="16"/>
          <w:szCs w:val="16"/>
        </w:rPr>
        <w:t>Note: OP= Policy Objectives; OS=Specific Objectives</w:t>
      </w:r>
    </w:p>
    <w:p w14:paraId="49E3B11C" w14:textId="7F260E48" w:rsidR="00DD03C5" w:rsidRPr="00654AE5" w:rsidRDefault="00DD03C5" w:rsidP="00654AE5">
      <w:pPr>
        <w:widowControl w:val="0"/>
        <w:autoSpaceDE w:val="0"/>
        <w:autoSpaceDN w:val="0"/>
        <w:adjustRightInd w:val="0"/>
        <w:spacing w:after="120"/>
        <w:rPr>
          <w:rFonts w:ascii="Arial" w:hAnsi="Arial" w:cs="Arial"/>
          <w:b/>
          <w:color w:val="4F81BD" w:themeColor="accent1"/>
          <w:sz w:val="20"/>
          <w:szCs w:val="20"/>
          <w:highlight w:val="white"/>
        </w:rPr>
      </w:pPr>
      <w:r w:rsidRPr="00654AE5">
        <w:rPr>
          <w:rFonts w:ascii="Arial" w:hAnsi="Arial" w:cs="Arial"/>
          <w:b/>
          <w:color w:val="4F81BD" w:themeColor="accent1"/>
          <w:sz w:val="20"/>
          <w:szCs w:val="20"/>
          <w:highlight w:val="white"/>
        </w:rPr>
        <w:t>Key Takeaways Dolj</w:t>
      </w:r>
    </w:p>
    <w:p w14:paraId="3F0E568A" w14:textId="107ACD82" w:rsidR="00DD03C5" w:rsidRDefault="00DD03C5" w:rsidP="00654AE5">
      <w:pPr>
        <w:spacing w:after="120"/>
        <w:jc w:val="both"/>
        <w:rPr>
          <w:rFonts w:ascii="Arial" w:hAnsi="Arial" w:cs="Arial"/>
          <w:sz w:val="20"/>
          <w:szCs w:val="20"/>
          <w:highlight w:val="white"/>
        </w:rPr>
      </w:pPr>
      <w:r w:rsidRPr="00A03682">
        <w:rPr>
          <w:rFonts w:ascii="Arial" w:hAnsi="Arial" w:cs="Arial"/>
          <w:sz w:val="20"/>
          <w:szCs w:val="20"/>
          <w:highlight w:val="white"/>
        </w:rPr>
        <w:t>Many</w:t>
      </w:r>
      <w:r w:rsidRPr="003516DC">
        <w:rPr>
          <w:rFonts w:ascii="Arial" w:hAnsi="Arial" w:cs="Arial"/>
          <w:sz w:val="20"/>
          <w:szCs w:val="20"/>
          <w:highlight w:val="white"/>
        </w:rPr>
        <w:t xml:space="preserve"> of the investment needs identif</w:t>
      </w:r>
      <w:r w:rsidRPr="00A03682">
        <w:rPr>
          <w:rFonts w:ascii="Arial" w:hAnsi="Arial" w:cs="Arial"/>
          <w:sz w:val="20"/>
          <w:szCs w:val="20"/>
          <w:highlight w:val="white"/>
        </w:rPr>
        <w:t>ied within the TJTP preparation process at the level of Dolj county can be financed through diverse sources, but given funding limitations, the support which may come from OPJT for Dolj could support in particular the scaling and diversification of existing SMEs; tourism business investments along the Danube perimeter;  restauration of degradated/ decontaminated sites; support for circular economy businesses - all of these being insufficiently supported by other programmes.</w:t>
      </w:r>
    </w:p>
    <w:p w14:paraId="01BB4B4E" w14:textId="77777777" w:rsidR="00EC5708" w:rsidRDefault="00EC5708" w:rsidP="00E42342">
      <w:pPr>
        <w:pStyle w:val="Heading2"/>
        <w:numPr>
          <w:ilvl w:val="0"/>
          <w:numId w:val="214"/>
        </w:numPr>
        <w:spacing w:before="240" w:line="240" w:lineRule="auto"/>
        <w:ind w:left="432" w:hanging="432"/>
      </w:pPr>
      <w:bookmarkStart w:id="190" w:name="_Toc90725873"/>
      <w:r>
        <w:t>Potential solutions and opportunities identified during the engagement process</w:t>
      </w:r>
      <w:bookmarkEnd w:id="190"/>
    </w:p>
    <w:p w14:paraId="0C2E151A" w14:textId="3F5F0DCA" w:rsidR="00EC5708" w:rsidRDefault="00EC5708" w:rsidP="00EC5708">
      <w:pPr>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intervention have been open to discussion during the regional workshop organized on 10 May 2021, as following:</w:t>
      </w:r>
    </w:p>
    <w:p w14:paraId="5EEC41F0" w14:textId="77777777" w:rsidR="00EC5708" w:rsidRDefault="00EC5708" w:rsidP="00EC5708">
      <w:pPr>
        <w:rPr>
          <w:rFonts w:ascii="Arial" w:hAnsi="Arial" w:cs="Arial"/>
          <w:sz w:val="20"/>
          <w:szCs w:val="20"/>
          <w:lang w:eastAsia="en-US"/>
        </w:rPr>
      </w:pPr>
    </w:p>
    <w:p w14:paraId="28AA7692" w14:textId="77777777" w:rsidR="00EC5708" w:rsidRDefault="00EC5708" w:rsidP="00E42342">
      <w:pPr>
        <w:pStyle w:val="ListParagraph"/>
        <w:numPr>
          <w:ilvl w:val="0"/>
          <w:numId w:val="215"/>
        </w:numPr>
        <w:rPr>
          <w:sz w:val="20"/>
          <w:szCs w:val="20"/>
        </w:rPr>
      </w:pPr>
      <w:r w:rsidRPr="00644AF6">
        <w:rPr>
          <w:sz w:val="20"/>
          <w:szCs w:val="20"/>
        </w:rPr>
        <w:t>The future of decarbonisation in the region for large companies</w:t>
      </w:r>
    </w:p>
    <w:p w14:paraId="2E938579" w14:textId="77777777" w:rsidR="00EC5708" w:rsidRDefault="00EC5708" w:rsidP="00E42342">
      <w:pPr>
        <w:pStyle w:val="ListParagraph"/>
        <w:numPr>
          <w:ilvl w:val="0"/>
          <w:numId w:val="215"/>
        </w:numPr>
        <w:rPr>
          <w:sz w:val="20"/>
          <w:szCs w:val="20"/>
        </w:rPr>
      </w:pPr>
      <w:r>
        <w:rPr>
          <w:sz w:val="20"/>
          <w:szCs w:val="20"/>
        </w:rPr>
        <w:t>Employment and attracting human capital</w:t>
      </w:r>
    </w:p>
    <w:p w14:paraId="6C7442E7" w14:textId="77777777" w:rsidR="00EC5708" w:rsidRDefault="00EC5708" w:rsidP="00E42342">
      <w:pPr>
        <w:pStyle w:val="ListParagraph"/>
        <w:numPr>
          <w:ilvl w:val="0"/>
          <w:numId w:val="215"/>
        </w:numPr>
        <w:rPr>
          <w:sz w:val="20"/>
          <w:szCs w:val="20"/>
        </w:rPr>
      </w:pPr>
      <w:r>
        <w:rPr>
          <w:sz w:val="20"/>
          <w:szCs w:val="20"/>
        </w:rPr>
        <w:lastRenderedPageBreak/>
        <w:t>Environmental challenges and opportunities</w:t>
      </w:r>
    </w:p>
    <w:p w14:paraId="433790DA" w14:textId="77777777" w:rsidR="00EC5708" w:rsidRDefault="00EC5708" w:rsidP="00E42342">
      <w:pPr>
        <w:pStyle w:val="ListParagraph"/>
        <w:numPr>
          <w:ilvl w:val="0"/>
          <w:numId w:val="215"/>
        </w:numPr>
        <w:rPr>
          <w:sz w:val="20"/>
          <w:szCs w:val="20"/>
        </w:rPr>
      </w:pPr>
      <w:r>
        <w:rPr>
          <w:sz w:val="20"/>
          <w:szCs w:val="20"/>
        </w:rPr>
        <w:t>SMEs and entrepreneurship as vectors of regional development</w:t>
      </w:r>
    </w:p>
    <w:p w14:paraId="45BCDBA1" w14:textId="77777777" w:rsidR="00EC5708" w:rsidRDefault="00EC5708" w:rsidP="00EC5708">
      <w:pPr>
        <w:rPr>
          <w:sz w:val="20"/>
          <w:szCs w:val="20"/>
        </w:rPr>
      </w:pPr>
    </w:p>
    <w:p w14:paraId="7942808F" w14:textId="73DD9176" w:rsidR="00EC5708" w:rsidRDefault="00EC5708" w:rsidP="00EC5708">
      <w:pPr>
        <w:jc w:val="both"/>
        <w:rPr>
          <w:rFonts w:ascii="Arial" w:hAnsi="Arial" w:cs="Arial"/>
          <w:sz w:val="20"/>
          <w:szCs w:val="20"/>
        </w:rPr>
      </w:pPr>
      <w:r w:rsidRPr="00355188">
        <w:rPr>
          <w:rFonts w:ascii="Arial" w:hAnsi="Arial" w:cs="Arial"/>
          <w:sz w:val="20"/>
          <w:szCs w:val="20"/>
        </w:rPr>
        <w:t xml:space="preserve">Participants were invited to actively participate in the discussions (based on the world-café methodology) and bring forward project ideas and solutions, as well as address opportunities, related to the four main topics. Subsequently, participants’ ideas have been </w:t>
      </w:r>
      <w:r w:rsidR="007722E7">
        <w:rPr>
          <w:rFonts w:ascii="Arial" w:hAnsi="Arial" w:cs="Arial"/>
          <w:sz w:val="20"/>
          <w:szCs w:val="20"/>
        </w:rPr>
        <w:t>collected</w:t>
      </w:r>
      <w:r w:rsidRPr="00355188">
        <w:rPr>
          <w:rFonts w:ascii="Arial" w:hAnsi="Arial" w:cs="Arial"/>
          <w:sz w:val="20"/>
          <w:szCs w:val="20"/>
        </w:rPr>
        <w:t xml:space="preserve"> and further assessed by the Technical Assistance team. The main takeaways are presented in this section for </w:t>
      </w:r>
      <w:r>
        <w:rPr>
          <w:rFonts w:ascii="Arial" w:hAnsi="Arial" w:cs="Arial"/>
          <w:sz w:val="20"/>
          <w:szCs w:val="20"/>
        </w:rPr>
        <w:t>Dolj</w:t>
      </w:r>
      <w:r w:rsidRPr="00355188">
        <w:rPr>
          <w:rFonts w:ascii="Arial" w:hAnsi="Arial" w:cs="Arial"/>
          <w:sz w:val="20"/>
          <w:szCs w:val="20"/>
        </w:rPr>
        <w:t xml:space="preserve"> county.</w:t>
      </w:r>
    </w:p>
    <w:p w14:paraId="789747A5" w14:textId="5EA47602" w:rsidR="00EC5708" w:rsidRDefault="00EC5708" w:rsidP="00EC5708">
      <w:pPr>
        <w:jc w:val="both"/>
        <w:rPr>
          <w:rFonts w:ascii="Arial" w:hAnsi="Arial" w:cs="Arial"/>
          <w:sz w:val="20"/>
          <w:szCs w:val="20"/>
        </w:rPr>
      </w:pPr>
    </w:p>
    <w:p w14:paraId="04F6DE42" w14:textId="77777777" w:rsidR="00EC5708" w:rsidRDefault="00EC5708" w:rsidP="00EC5708">
      <w:pPr>
        <w:jc w:val="both"/>
        <w:rPr>
          <w:rFonts w:ascii="Arial" w:hAnsi="Arial" w:cs="Arial"/>
          <w:sz w:val="20"/>
          <w:szCs w:val="20"/>
        </w:rPr>
        <w:sectPr w:rsidR="00EC5708" w:rsidSect="00D015ED">
          <w:headerReference w:type="default" r:id="rId111"/>
          <w:pgSz w:w="11909" w:h="16834"/>
          <w:pgMar w:top="1440" w:right="1440" w:bottom="1440" w:left="1530" w:header="720" w:footer="720" w:gutter="0"/>
          <w:cols w:space="720"/>
          <w:docGrid w:linePitch="326"/>
        </w:sectPr>
      </w:pPr>
    </w:p>
    <w:p w14:paraId="579BC689" w14:textId="31FE88E2" w:rsidR="00EC5708" w:rsidRDefault="00EC5708" w:rsidP="00EC5708">
      <w:pPr>
        <w:pStyle w:val="Caption"/>
      </w:pPr>
      <w:bookmarkStart w:id="191" w:name="_Toc90725995"/>
      <w:bookmarkStart w:id="192" w:name="_Toc90727292"/>
      <w:r>
        <w:lastRenderedPageBreak/>
        <w:t xml:space="preserve">Table </w:t>
      </w:r>
      <w:r w:rsidR="000B273D">
        <w:rPr>
          <w:noProof/>
        </w:rPr>
        <w:fldChar w:fldCharType="begin"/>
      </w:r>
      <w:r w:rsidR="000B273D">
        <w:rPr>
          <w:noProof/>
        </w:rPr>
        <w:instrText xml:space="preserve"> SEQ Table \* A</w:instrText>
      </w:r>
      <w:r w:rsidR="000B273D">
        <w:rPr>
          <w:noProof/>
        </w:rPr>
        <w:instrText xml:space="preserve">RABIC </w:instrText>
      </w:r>
      <w:r w:rsidR="000B273D">
        <w:rPr>
          <w:noProof/>
        </w:rPr>
        <w:fldChar w:fldCharType="separate"/>
      </w:r>
      <w:r w:rsidR="004E2DCB">
        <w:rPr>
          <w:noProof/>
        </w:rPr>
        <w:t>41</w:t>
      </w:r>
      <w:r w:rsidR="000B273D">
        <w:rPr>
          <w:noProof/>
        </w:rPr>
        <w:fldChar w:fldCharType="end"/>
      </w:r>
      <w:r>
        <w:t xml:space="preserve">: Regional workshop harvesting for Dolj </w:t>
      </w:r>
      <w:r w:rsidR="007722E7">
        <w:t>C</w:t>
      </w:r>
      <w:r>
        <w:t>ounty</w:t>
      </w:r>
      <w:bookmarkEnd w:id="191"/>
      <w:bookmarkEnd w:id="192"/>
    </w:p>
    <w:tbl>
      <w:tblPr>
        <w:tblW w:w="1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7"/>
        <w:gridCol w:w="1398"/>
        <w:gridCol w:w="5802"/>
        <w:gridCol w:w="1286"/>
      </w:tblGrid>
      <w:tr w:rsidR="00EC5708" w:rsidRPr="00D015ED" w14:paraId="654F0F41" w14:textId="77777777" w:rsidTr="00EE02DE">
        <w:tc>
          <w:tcPr>
            <w:tcW w:w="14173" w:type="dxa"/>
            <w:gridSpan w:val="4"/>
            <w:shd w:val="clear" w:color="auto" w:fill="93C47D"/>
          </w:tcPr>
          <w:p w14:paraId="0E1C5E13" w14:textId="01C211A9" w:rsidR="00EC5708" w:rsidRPr="00D015ED" w:rsidRDefault="00EC5708" w:rsidP="00EE02DE">
            <w:pPr>
              <w:spacing w:before="240" w:after="240"/>
              <w:ind w:hanging="2"/>
              <w:rPr>
                <w:rFonts w:ascii="Arial" w:hAnsi="Arial" w:cs="Arial"/>
                <w:sz w:val="18"/>
                <w:szCs w:val="18"/>
              </w:rPr>
            </w:pPr>
            <w:r w:rsidRPr="00D015ED">
              <w:rPr>
                <w:rFonts w:ascii="Arial" w:hAnsi="Arial" w:cs="Arial"/>
                <w:b/>
                <w:sz w:val="18"/>
                <w:szCs w:val="18"/>
              </w:rPr>
              <w:t xml:space="preserve">Ideas and solutions in the just transition process, Dolj county, May 2021 </w:t>
            </w:r>
          </w:p>
          <w:p w14:paraId="7151AC62" w14:textId="77777777" w:rsidR="00EC5708" w:rsidRPr="00D015ED" w:rsidRDefault="00EC5708" w:rsidP="00EE02DE">
            <w:pPr>
              <w:ind w:hanging="2"/>
              <w:rPr>
                <w:rFonts w:ascii="Arial" w:hAnsi="Arial" w:cs="Arial"/>
                <w:sz w:val="18"/>
                <w:szCs w:val="18"/>
              </w:rPr>
            </w:pPr>
          </w:p>
        </w:tc>
      </w:tr>
      <w:tr w:rsidR="00EC5708" w:rsidRPr="00D015ED" w14:paraId="2CE6E61A" w14:textId="77777777" w:rsidTr="00EE02DE">
        <w:tc>
          <w:tcPr>
            <w:tcW w:w="5687" w:type="dxa"/>
          </w:tcPr>
          <w:p w14:paraId="22F9D8C9" w14:textId="77777777" w:rsidR="00EC5708" w:rsidRPr="00D015ED" w:rsidRDefault="00EC5708" w:rsidP="00EE02DE">
            <w:pPr>
              <w:ind w:hanging="2"/>
              <w:rPr>
                <w:rFonts w:ascii="Arial" w:hAnsi="Arial" w:cs="Arial"/>
                <w:b/>
                <w:sz w:val="18"/>
                <w:szCs w:val="18"/>
              </w:rPr>
            </w:pPr>
            <w:r w:rsidRPr="00D015ED">
              <w:rPr>
                <w:rFonts w:ascii="Arial" w:hAnsi="Arial" w:cs="Arial"/>
                <w:b/>
                <w:sz w:val="18"/>
                <w:szCs w:val="18"/>
              </w:rPr>
              <w:t xml:space="preserve">The future of decarbonisation in the region for large companies (also focusing on areas/industries with growth potential in the region) </w:t>
            </w:r>
          </w:p>
          <w:p w14:paraId="6CE91D57" w14:textId="77777777" w:rsidR="00EC5708" w:rsidRPr="00D015ED" w:rsidRDefault="00EC5708" w:rsidP="00EE02DE">
            <w:pPr>
              <w:ind w:hanging="2"/>
              <w:rPr>
                <w:rFonts w:ascii="Arial" w:hAnsi="Arial" w:cs="Arial"/>
                <w:b/>
                <w:sz w:val="18"/>
                <w:szCs w:val="18"/>
              </w:rPr>
            </w:pPr>
          </w:p>
          <w:p w14:paraId="250920EF" w14:textId="65FE6EAF" w:rsidR="00EC5708" w:rsidRPr="00D015ED" w:rsidRDefault="00EC5708" w:rsidP="00EE02DE">
            <w:pPr>
              <w:ind w:hanging="2"/>
              <w:rPr>
                <w:rFonts w:ascii="Arial" w:hAnsi="Arial" w:cs="Arial"/>
                <w:sz w:val="18"/>
                <w:szCs w:val="18"/>
              </w:rPr>
            </w:pPr>
            <w:r w:rsidRPr="00D015ED">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1398" w:type="dxa"/>
          </w:tcPr>
          <w:p w14:paraId="6A412F03" w14:textId="77777777" w:rsidR="00EC5708" w:rsidRPr="00D015ED" w:rsidRDefault="00EC5708" w:rsidP="00EE02DE">
            <w:pPr>
              <w:ind w:hanging="2"/>
              <w:rPr>
                <w:rFonts w:ascii="Arial" w:hAnsi="Arial" w:cs="Arial"/>
                <w:sz w:val="18"/>
                <w:szCs w:val="18"/>
              </w:rPr>
            </w:pPr>
            <w:r w:rsidRPr="00D015ED">
              <w:rPr>
                <w:rFonts w:ascii="Arial" w:hAnsi="Arial" w:cs="Arial"/>
                <w:noProof/>
                <w:sz w:val="18"/>
                <w:szCs w:val="18"/>
                <w:lang w:val="en-US" w:eastAsia="en-US"/>
              </w:rPr>
              <w:drawing>
                <wp:inline distT="114300" distB="114300" distL="114300" distR="114300" wp14:anchorId="0413D704" wp14:editId="082C6276">
                  <wp:extent cx="752475" cy="812800"/>
                  <wp:effectExtent l="0" t="0" r="0" b="0"/>
                  <wp:docPr id="2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2"/>
                          <a:srcRect/>
                          <a:stretch>
                            <a:fillRect/>
                          </a:stretch>
                        </pic:blipFill>
                        <pic:spPr>
                          <a:xfrm>
                            <a:off x="0" y="0"/>
                            <a:ext cx="752475" cy="812800"/>
                          </a:xfrm>
                          <a:prstGeom prst="rect">
                            <a:avLst/>
                          </a:prstGeom>
                          <a:ln/>
                        </pic:spPr>
                      </pic:pic>
                    </a:graphicData>
                  </a:graphic>
                </wp:inline>
              </w:drawing>
            </w:r>
          </w:p>
        </w:tc>
        <w:tc>
          <w:tcPr>
            <w:tcW w:w="5802" w:type="dxa"/>
          </w:tcPr>
          <w:p w14:paraId="28FE3DCA" w14:textId="2EE3A156" w:rsidR="00EC5708" w:rsidRPr="00D015ED" w:rsidRDefault="00EC5708" w:rsidP="00EE02DE">
            <w:pPr>
              <w:spacing w:after="240"/>
              <w:ind w:hanging="2"/>
              <w:rPr>
                <w:rFonts w:ascii="Arial" w:hAnsi="Arial" w:cs="Arial"/>
                <w:b/>
                <w:i/>
                <w:sz w:val="18"/>
                <w:szCs w:val="18"/>
              </w:rPr>
            </w:pPr>
            <w:r w:rsidRPr="00D015ED">
              <w:rPr>
                <w:rFonts w:ascii="Arial" w:hAnsi="Arial" w:cs="Arial"/>
                <w:b/>
                <w:sz w:val="18"/>
                <w:szCs w:val="18"/>
              </w:rPr>
              <w:t>Employment and attracting human capital (including retraining and further qualification)</w:t>
            </w:r>
            <w:r w:rsidRPr="00D015ED">
              <w:rPr>
                <w:rFonts w:ascii="Arial" w:hAnsi="Arial" w:cs="Arial"/>
                <w:b/>
                <w:i/>
                <w:sz w:val="18"/>
                <w:szCs w:val="18"/>
              </w:rPr>
              <w:t xml:space="preserve"> </w:t>
            </w:r>
          </w:p>
          <w:p w14:paraId="61B57D26" w14:textId="4D9A06A8" w:rsidR="00EC5708" w:rsidRPr="00D015ED" w:rsidRDefault="00EC5708" w:rsidP="00EE02DE">
            <w:pPr>
              <w:spacing w:after="240"/>
              <w:ind w:hanging="2"/>
              <w:rPr>
                <w:rFonts w:ascii="Arial" w:hAnsi="Arial" w:cs="Arial"/>
                <w:sz w:val="18"/>
                <w:szCs w:val="18"/>
              </w:rPr>
            </w:pPr>
            <w:r w:rsidRPr="00D015ED">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easier?</w:t>
            </w:r>
          </w:p>
        </w:tc>
        <w:tc>
          <w:tcPr>
            <w:tcW w:w="1286" w:type="dxa"/>
          </w:tcPr>
          <w:p w14:paraId="0A8F0CB3" w14:textId="77777777" w:rsidR="00EC5708" w:rsidRPr="00D015ED" w:rsidRDefault="00EC5708" w:rsidP="00EE02DE">
            <w:pPr>
              <w:ind w:hanging="2"/>
              <w:rPr>
                <w:rFonts w:ascii="Arial" w:hAnsi="Arial" w:cs="Arial"/>
                <w:sz w:val="18"/>
                <w:szCs w:val="18"/>
              </w:rPr>
            </w:pPr>
            <w:r w:rsidRPr="00D015ED">
              <w:rPr>
                <w:rFonts w:ascii="Arial" w:hAnsi="Arial" w:cs="Arial"/>
                <w:noProof/>
                <w:sz w:val="18"/>
                <w:szCs w:val="18"/>
                <w:lang w:val="en-US" w:eastAsia="en-US"/>
              </w:rPr>
              <w:drawing>
                <wp:inline distT="114300" distB="114300" distL="114300" distR="114300" wp14:anchorId="29CA1093" wp14:editId="47EAAAB9">
                  <wp:extent cx="685800" cy="736600"/>
                  <wp:effectExtent l="0" t="0" r="0" b="0"/>
                  <wp:docPr id="2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3"/>
                          <a:srcRect/>
                          <a:stretch>
                            <a:fillRect/>
                          </a:stretch>
                        </pic:blipFill>
                        <pic:spPr>
                          <a:xfrm>
                            <a:off x="0" y="0"/>
                            <a:ext cx="685800" cy="736600"/>
                          </a:xfrm>
                          <a:prstGeom prst="rect">
                            <a:avLst/>
                          </a:prstGeom>
                          <a:ln/>
                        </pic:spPr>
                      </pic:pic>
                    </a:graphicData>
                  </a:graphic>
                </wp:inline>
              </w:drawing>
            </w:r>
          </w:p>
        </w:tc>
      </w:tr>
      <w:tr w:rsidR="00EC5708" w:rsidRPr="00D015ED" w14:paraId="55997505" w14:textId="77777777" w:rsidTr="00EE02DE">
        <w:trPr>
          <w:trHeight w:val="200"/>
        </w:trPr>
        <w:tc>
          <w:tcPr>
            <w:tcW w:w="7085" w:type="dxa"/>
            <w:gridSpan w:val="2"/>
          </w:tcPr>
          <w:p w14:paraId="31163A54" w14:textId="77777777" w:rsidR="00EC5708" w:rsidRPr="00D015ED" w:rsidRDefault="00EC5708" w:rsidP="00EE02DE">
            <w:pPr>
              <w:spacing w:before="240" w:after="240"/>
              <w:ind w:hanging="2"/>
              <w:rPr>
                <w:rFonts w:ascii="Arial" w:hAnsi="Arial" w:cs="Arial"/>
                <w:sz w:val="18"/>
                <w:szCs w:val="18"/>
              </w:rPr>
            </w:pPr>
            <w:r w:rsidRPr="00D015ED">
              <w:rPr>
                <w:rFonts w:ascii="Arial" w:hAnsi="Arial" w:cs="Arial"/>
                <w:b/>
                <w:sz w:val="18"/>
                <w:szCs w:val="18"/>
              </w:rPr>
              <w:t>Ideas, solutions, projects, opportunities:</w:t>
            </w:r>
          </w:p>
          <w:p w14:paraId="3CC87BE9" w14:textId="77777777" w:rsidR="00EC5708" w:rsidRPr="00D015ED" w:rsidRDefault="00EC5708" w:rsidP="0091733D">
            <w:pPr>
              <w:spacing w:before="120" w:after="120"/>
              <w:jc w:val="both"/>
              <w:rPr>
                <w:rFonts w:ascii="Arial" w:hAnsi="Arial" w:cs="Arial"/>
                <w:sz w:val="18"/>
                <w:szCs w:val="18"/>
              </w:rPr>
            </w:pPr>
            <w:r w:rsidRPr="00D015ED">
              <w:rPr>
                <w:rFonts w:ascii="Arial" w:hAnsi="Arial" w:cs="Arial"/>
                <w:sz w:val="18"/>
                <w:szCs w:val="18"/>
              </w:rPr>
              <w:t xml:space="preserve">Areas that could be emphasized in the future (others than the ones already identified, namely manufacturing, services, tourism)  </w:t>
            </w:r>
          </w:p>
          <w:p w14:paraId="724679DA" w14:textId="6AD0265E" w:rsidR="00EC5708" w:rsidRPr="0091733D" w:rsidRDefault="00EC5708" w:rsidP="00E42342">
            <w:pPr>
              <w:pStyle w:val="Briefingtext"/>
              <w:numPr>
                <w:ilvl w:val="0"/>
                <w:numId w:val="316"/>
              </w:numPr>
              <w:rPr>
                <w:sz w:val="18"/>
                <w:szCs w:val="20"/>
              </w:rPr>
            </w:pPr>
            <w:r w:rsidRPr="0091733D">
              <w:rPr>
                <w:sz w:val="18"/>
                <w:szCs w:val="20"/>
              </w:rPr>
              <w:t xml:space="preserve">Manufacturing of elements for constructions, focusing on energetic efficiency </w:t>
            </w:r>
            <w:r w:rsidR="00D015ED" w:rsidRPr="0091733D">
              <w:rPr>
                <w:sz w:val="18"/>
                <w:szCs w:val="20"/>
              </w:rPr>
              <w:t>(e.g.,</w:t>
            </w:r>
            <w:r w:rsidRPr="0091733D">
              <w:rPr>
                <w:sz w:val="18"/>
                <w:szCs w:val="20"/>
              </w:rPr>
              <w:t xml:space="preserve"> double glazed windows, roof-tops, various materials etc) </w:t>
            </w:r>
          </w:p>
          <w:p w14:paraId="14BD82BB" w14:textId="77777777" w:rsidR="00EC5708" w:rsidRPr="00D015ED" w:rsidRDefault="00EC5708" w:rsidP="0091733D">
            <w:pPr>
              <w:spacing w:after="120"/>
              <w:rPr>
                <w:rFonts w:ascii="Arial" w:hAnsi="Arial" w:cs="Arial"/>
                <w:i/>
                <w:sz w:val="18"/>
                <w:szCs w:val="18"/>
              </w:rPr>
            </w:pPr>
            <w:r w:rsidRPr="00D015ED">
              <w:rPr>
                <w:rFonts w:ascii="Arial" w:hAnsi="Arial" w:cs="Arial"/>
                <w:i/>
                <w:sz w:val="18"/>
                <w:szCs w:val="18"/>
              </w:rPr>
              <w:t>Observation: national support programmes for economic operators contributing to an increase in energy efficiency are considered helpful.</w:t>
            </w:r>
          </w:p>
          <w:p w14:paraId="454CEE04"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Manufacturing of other components for the electric cars automotive industry (given Ford’s migration towards mix/electrical cars)  </w:t>
            </w:r>
          </w:p>
          <w:p w14:paraId="3353DE21"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Manufacturing of electricity storage batteries</w:t>
            </w:r>
          </w:p>
          <w:p w14:paraId="337D6730"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Solar and biomass renewable energy manufacturing</w:t>
            </w:r>
          </w:p>
          <w:p w14:paraId="6CEC760D" w14:textId="0D2C373F" w:rsidR="00EC5708" w:rsidRPr="00D015ED" w:rsidRDefault="00EC5708" w:rsidP="00EE02DE">
            <w:pPr>
              <w:spacing w:before="240"/>
              <w:ind w:hanging="2"/>
              <w:rPr>
                <w:rFonts w:ascii="Arial" w:hAnsi="Arial" w:cs="Arial"/>
                <w:sz w:val="18"/>
                <w:szCs w:val="18"/>
              </w:rPr>
            </w:pPr>
            <w:r w:rsidRPr="00D015ED">
              <w:rPr>
                <w:rFonts w:ascii="Arial" w:hAnsi="Arial" w:cs="Arial"/>
                <w:i/>
                <w:sz w:val="18"/>
                <w:szCs w:val="18"/>
              </w:rPr>
              <w:t xml:space="preserve">Observation: there is a lot of emphasis on biomass energy in Dolj, although it is known that it is not financed by </w:t>
            </w:r>
            <w:r w:rsidR="00BB716C">
              <w:rPr>
                <w:rFonts w:ascii="Arial" w:hAnsi="Arial" w:cs="Arial"/>
                <w:i/>
                <w:sz w:val="18"/>
                <w:szCs w:val="18"/>
              </w:rPr>
              <w:t>JTF</w:t>
            </w:r>
          </w:p>
          <w:p w14:paraId="4679B3DA" w14:textId="77777777" w:rsidR="00EC5708" w:rsidRPr="00D015ED" w:rsidRDefault="00EC5708" w:rsidP="0091733D">
            <w:pPr>
              <w:spacing w:before="240" w:after="120"/>
              <w:rPr>
                <w:rFonts w:ascii="Arial" w:hAnsi="Arial" w:cs="Arial"/>
                <w:sz w:val="18"/>
                <w:szCs w:val="18"/>
              </w:rPr>
            </w:pPr>
            <w:r w:rsidRPr="00D015ED">
              <w:rPr>
                <w:rFonts w:ascii="Arial" w:hAnsi="Arial" w:cs="Arial"/>
                <w:sz w:val="18"/>
                <w:szCs w:val="18"/>
              </w:rPr>
              <w:t xml:space="preserve">Investment lines for existing companies:  </w:t>
            </w:r>
          </w:p>
          <w:p w14:paraId="45F59806"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Investments in retrofitting/changing technological lines with focus on energy efficiency</w:t>
            </w:r>
          </w:p>
          <w:p w14:paraId="79D5F23F" w14:textId="212B0126" w:rsidR="00EC5708" w:rsidRPr="0091733D" w:rsidRDefault="00EC5708" w:rsidP="00E42342">
            <w:pPr>
              <w:pStyle w:val="Briefingtext"/>
              <w:numPr>
                <w:ilvl w:val="0"/>
                <w:numId w:val="316"/>
              </w:numPr>
              <w:spacing w:after="0"/>
              <w:textDirection w:val="btLr"/>
              <w:rPr>
                <w:sz w:val="18"/>
                <w:szCs w:val="20"/>
              </w:rPr>
            </w:pPr>
            <w:r w:rsidRPr="0091733D">
              <w:rPr>
                <w:sz w:val="18"/>
                <w:szCs w:val="20"/>
              </w:rPr>
              <w:lastRenderedPageBreak/>
              <w:t>Investments in digiti</w:t>
            </w:r>
            <w:r w:rsidR="004E7B64">
              <w:rPr>
                <w:sz w:val="18"/>
                <w:szCs w:val="20"/>
              </w:rPr>
              <w:t>sation</w:t>
            </w:r>
            <w:r w:rsidRPr="0091733D">
              <w:rPr>
                <w:sz w:val="18"/>
                <w:szCs w:val="20"/>
              </w:rPr>
              <w:t xml:space="preserve"> especially on intelligent systems such as DSS/ Intelligence/ dashboards oriented on process control, quality and efficiency increase</w:t>
            </w:r>
          </w:p>
          <w:p w14:paraId="1FBB5373"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Replacing petrol/diesel car fleets with electrical car fleets for large companies, especially those acting in the area of services or that offer maintenance for delivered and installed equipment.</w:t>
            </w:r>
          </w:p>
          <w:p w14:paraId="707D204A"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Investments in introducing new power supplies for current activities, especially consuming electricity</w:t>
            </w:r>
          </w:p>
          <w:p w14:paraId="0B4CBBF6"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Investment in staff training during recruitment as well as on the job through various means in line with the needs in question, </w:t>
            </w:r>
          </w:p>
          <w:p w14:paraId="19D37043" w14:textId="1669AB51" w:rsidR="00EC5708" w:rsidRPr="00BB716C" w:rsidRDefault="004C07DA" w:rsidP="00E42342">
            <w:pPr>
              <w:pStyle w:val="Briefingtext"/>
              <w:numPr>
                <w:ilvl w:val="0"/>
                <w:numId w:val="316"/>
              </w:numPr>
              <w:spacing w:after="0"/>
              <w:textDirection w:val="btLr"/>
              <w:rPr>
                <w:sz w:val="18"/>
                <w:szCs w:val="18"/>
              </w:rPr>
            </w:pPr>
            <w:r w:rsidRPr="0091733D">
              <w:rPr>
                <w:sz w:val="18"/>
                <w:szCs w:val="20"/>
              </w:rPr>
              <w:t>D</w:t>
            </w:r>
            <w:r w:rsidR="00EC5708" w:rsidRPr="0091733D">
              <w:rPr>
                <w:sz w:val="18"/>
                <w:szCs w:val="20"/>
              </w:rPr>
              <w:t>ual education, apprenticeships</w:t>
            </w:r>
          </w:p>
        </w:tc>
        <w:tc>
          <w:tcPr>
            <w:tcW w:w="7088" w:type="dxa"/>
            <w:gridSpan w:val="2"/>
          </w:tcPr>
          <w:p w14:paraId="5F866E0A" w14:textId="77777777" w:rsidR="00EC5708" w:rsidRPr="00D015ED" w:rsidRDefault="00EC5708" w:rsidP="00EE02DE">
            <w:pPr>
              <w:spacing w:before="240" w:after="240"/>
              <w:ind w:hanging="2"/>
              <w:rPr>
                <w:rFonts w:ascii="Arial" w:hAnsi="Arial" w:cs="Arial"/>
                <w:b/>
                <w:sz w:val="18"/>
                <w:szCs w:val="18"/>
              </w:rPr>
            </w:pPr>
            <w:r w:rsidRPr="00D015ED">
              <w:rPr>
                <w:rFonts w:ascii="Arial" w:hAnsi="Arial" w:cs="Arial"/>
                <w:b/>
                <w:sz w:val="18"/>
                <w:szCs w:val="18"/>
              </w:rPr>
              <w:lastRenderedPageBreak/>
              <w:t>Ideas, solutions, projects, opportunities:</w:t>
            </w:r>
          </w:p>
          <w:p w14:paraId="43385C36" w14:textId="77777777" w:rsidR="00EC5708" w:rsidRPr="00D015ED" w:rsidRDefault="00EC5708" w:rsidP="00EE02DE">
            <w:pPr>
              <w:spacing w:before="240" w:after="240"/>
              <w:ind w:hanging="2"/>
              <w:rPr>
                <w:rFonts w:ascii="Arial" w:hAnsi="Arial" w:cs="Arial"/>
                <w:sz w:val="18"/>
                <w:szCs w:val="18"/>
              </w:rPr>
            </w:pPr>
            <w:r w:rsidRPr="00D015ED">
              <w:rPr>
                <w:rFonts w:ascii="Arial" w:hAnsi="Arial" w:cs="Arial"/>
                <w:sz w:val="18"/>
                <w:szCs w:val="18"/>
              </w:rPr>
              <w:t>Creating, implementing:</w:t>
            </w:r>
          </w:p>
          <w:p w14:paraId="643650A4"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Training centers for adults/youth</w:t>
            </w:r>
          </w:p>
          <w:p w14:paraId="12C0994B" w14:textId="785E9C72"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Career counselling centres (following </w:t>
            </w:r>
            <w:r w:rsidR="004C07DA" w:rsidRPr="0091733D">
              <w:rPr>
                <w:sz w:val="18"/>
                <w:szCs w:val="20"/>
              </w:rPr>
              <w:t>CCERA</w:t>
            </w:r>
            <w:r w:rsidRPr="0091733D">
              <w:rPr>
                <w:sz w:val="18"/>
                <w:szCs w:val="20"/>
              </w:rPr>
              <w:t xml:space="preserve"> structure</w:t>
            </w:r>
            <w:r w:rsidR="004C07DA" w:rsidRPr="0091733D">
              <w:rPr>
                <w:sz w:val="18"/>
                <w:szCs w:val="20"/>
              </w:rPr>
              <w:t xml:space="preserve"> </w:t>
            </w:r>
            <w:r w:rsidRPr="0091733D">
              <w:rPr>
                <w:sz w:val="18"/>
                <w:szCs w:val="20"/>
              </w:rPr>
              <w:t xml:space="preserve">- </w:t>
            </w:r>
            <w:r w:rsidR="004C07DA" w:rsidRPr="0091733D">
              <w:rPr>
                <w:sz w:val="18"/>
                <w:szCs w:val="20"/>
              </w:rPr>
              <w:t>C</w:t>
            </w:r>
            <w:r w:rsidRPr="0091733D">
              <w:rPr>
                <w:sz w:val="18"/>
                <w:szCs w:val="20"/>
              </w:rPr>
              <w:t xml:space="preserve">ounty </w:t>
            </w:r>
            <w:r w:rsidR="004C07DA" w:rsidRPr="0091733D">
              <w:rPr>
                <w:sz w:val="18"/>
                <w:szCs w:val="20"/>
              </w:rPr>
              <w:t>C</w:t>
            </w:r>
            <w:r w:rsidRPr="0091733D">
              <w:rPr>
                <w:sz w:val="18"/>
                <w:szCs w:val="20"/>
              </w:rPr>
              <w:t xml:space="preserve">entre for </w:t>
            </w:r>
            <w:r w:rsidR="004C07DA" w:rsidRPr="0091733D">
              <w:rPr>
                <w:sz w:val="18"/>
                <w:szCs w:val="20"/>
              </w:rPr>
              <w:t>E</w:t>
            </w:r>
            <w:r w:rsidRPr="0091733D">
              <w:rPr>
                <w:sz w:val="18"/>
                <w:szCs w:val="20"/>
              </w:rPr>
              <w:t xml:space="preserve">ducational </w:t>
            </w:r>
            <w:r w:rsidR="004C07DA" w:rsidRPr="0091733D">
              <w:rPr>
                <w:sz w:val="18"/>
                <w:szCs w:val="20"/>
              </w:rPr>
              <w:t>R</w:t>
            </w:r>
            <w:r w:rsidRPr="0091733D">
              <w:rPr>
                <w:sz w:val="18"/>
                <w:szCs w:val="20"/>
              </w:rPr>
              <w:t xml:space="preserve">esources and </w:t>
            </w:r>
            <w:r w:rsidR="004C07DA" w:rsidRPr="0091733D">
              <w:rPr>
                <w:sz w:val="18"/>
                <w:szCs w:val="20"/>
              </w:rPr>
              <w:t>A</w:t>
            </w:r>
            <w:r w:rsidRPr="0091733D">
              <w:rPr>
                <w:sz w:val="18"/>
                <w:szCs w:val="20"/>
              </w:rPr>
              <w:t xml:space="preserve">ctivities) integrated with infrastructure with working tools, </w:t>
            </w:r>
            <w:r w:rsidR="00BB716C" w:rsidRPr="0091733D">
              <w:rPr>
                <w:sz w:val="18"/>
                <w:szCs w:val="20"/>
              </w:rPr>
              <w:t>e.g.,</w:t>
            </w:r>
            <w:r w:rsidRPr="0091733D">
              <w:rPr>
                <w:sz w:val="18"/>
                <w:szCs w:val="20"/>
              </w:rPr>
              <w:t xml:space="preserve"> for secondary school youth under 14 and their parents)</w:t>
            </w:r>
          </w:p>
          <w:p w14:paraId="01C59370"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Innovation training centre</w:t>
            </w:r>
          </w:p>
          <w:p w14:paraId="13B5E437"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Digitisation training centre</w:t>
            </w:r>
          </w:p>
          <w:p w14:paraId="4400D21F" w14:textId="4DF38BD8" w:rsidR="00EC5708" w:rsidRPr="0091733D" w:rsidRDefault="00EC5708" w:rsidP="00E42342">
            <w:pPr>
              <w:pStyle w:val="Briefingtext"/>
              <w:numPr>
                <w:ilvl w:val="0"/>
                <w:numId w:val="316"/>
              </w:numPr>
              <w:spacing w:after="0"/>
              <w:textDirection w:val="btLr"/>
              <w:rPr>
                <w:sz w:val="18"/>
                <w:szCs w:val="20"/>
              </w:rPr>
            </w:pPr>
            <w:r w:rsidRPr="0091733D">
              <w:rPr>
                <w:sz w:val="18"/>
                <w:szCs w:val="20"/>
              </w:rPr>
              <w:t>Centre for the analysis of occupational dynamics</w:t>
            </w:r>
          </w:p>
          <w:p w14:paraId="6E89CC52"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Renewable energy training centre (photovoltaics)</w:t>
            </w:r>
          </w:p>
          <w:p w14:paraId="3770568F"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Biotechnology and bioinformatics training centre</w:t>
            </w:r>
          </w:p>
          <w:p w14:paraId="6BB56DA9" w14:textId="27322AD8" w:rsidR="00EC5708" w:rsidRPr="00D015ED" w:rsidRDefault="00BB716C" w:rsidP="00EE02DE">
            <w:pPr>
              <w:spacing w:before="240"/>
              <w:ind w:hanging="2"/>
              <w:rPr>
                <w:rFonts w:ascii="Arial" w:hAnsi="Arial" w:cs="Arial"/>
                <w:sz w:val="18"/>
                <w:szCs w:val="18"/>
              </w:rPr>
            </w:pPr>
            <w:r w:rsidRPr="00D015ED">
              <w:rPr>
                <w:rFonts w:ascii="Arial" w:hAnsi="Arial" w:cs="Arial"/>
                <w:sz w:val="18"/>
                <w:szCs w:val="18"/>
              </w:rPr>
              <w:t xml:space="preserve">Integrated projects in extensive partnership </w:t>
            </w:r>
            <w:r w:rsidR="00EC5708" w:rsidRPr="00D015ED">
              <w:rPr>
                <w:rFonts w:ascii="Arial" w:hAnsi="Arial" w:cs="Arial"/>
                <w:sz w:val="18"/>
                <w:szCs w:val="18"/>
              </w:rPr>
              <w:t>(academia, public sector, dual education institutions, private sector) in 2 phases:</w:t>
            </w:r>
          </w:p>
          <w:p w14:paraId="2A3CD1B3" w14:textId="77777777" w:rsidR="00EC5708" w:rsidRPr="0091733D" w:rsidRDefault="00EC5708" w:rsidP="00E42342">
            <w:pPr>
              <w:pStyle w:val="Briefingtext"/>
              <w:numPr>
                <w:ilvl w:val="0"/>
                <w:numId w:val="317"/>
              </w:numPr>
              <w:spacing w:after="120"/>
              <w:rPr>
                <w:sz w:val="18"/>
                <w:szCs w:val="20"/>
              </w:rPr>
            </w:pPr>
            <w:r w:rsidRPr="0091733D">
              <w:rPr>
                <w:sz w:val="18"/>
                <w:szCs w:val="20"/>
              </w:rPr>
              <w:t>Creation of a county centre for counselling and analysis of the dynamics of occupations that takes in young people/ unemployed/ job seekers and directs them towards initial/ continuing training centres according to existing qualifications/ skills. labour market opportunities.</w:t>
            </w:r>
          </w:p>
          <w:p w14:paraId="7A4589AE" w14:textId="77777777" w:rsidR="00EC5708" w:rsidRPr="0091733D" w:rsidRDefault="00EC5708" w:rsidP="00E42342">
            <w:pPr>
              <w:pStyle w:val="Briefingtext"/>
              <w:numPr>
                <w:ilvl w:val="0"/>
                <w:numId w:val="317"/>
              </w:numPr>
              <w:spacing w:after="120"/>
              <w:textDirection w:val="btLr"/>
              <w:rPr>
                <w:sz w:val="18"/>
                <w:szCs w:val="20"/>
              </w:rPr>
            </w:pPr>
            <w:r w:rsidRPr="0091733D">
              <w:rPr>
                <w:sz w:val="18"/>
                <w:szCs w:val="20"/>
              </w:rPr>
              <w:t>Creation/completion of initial and continuing training infrastructure in:</w:t>
            </w:r>
          </w:p>
          <w:p w14:paraId="58BFC741"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Innovative industries</w:t>
            </w:r>
          </w:p>
          <w:p w14:paraId="504BE9F2" w14:textId="360B6CE8" w:rsidR="00EC5708" w:rsidRPr="0091733D" w:rsidRDefault="00EC5708" w:rsidP="00E42342">
            <w:pPr>
              <w:pStyle w:val="Briefingtext"/>
              <w:numPr>
                <w:ilvl w:val="0"/>
                <w:numId w:val="316"/>
              </w:numPr>
              <w:spacing w:after="0"/>
              <w:textDirection w:val="btLr"/>
              <w:rPr>
                <w:sz w:val="18"/>
                <w:szCs w:val="20"/>
              </w:rPr>
            </w:pPr>
            <w:r w:rsidRPr="0091733D">
              <w:rPr>
                <w:sz w:val="18"/>
                <w:szCs w:val="20"/>
              </w:rPr>
              <w:t>Digitali</w:t>
            </w:r>
            <w:r w:rsidR="004E7B64">
              <w:rPr>
                <w:sz w:val="18"/>
                <w:szCs w:val="20"/>
              </w:rPr>
              <w:t>sation</w:t>
            </w:r>
          </w:p>
          <w:p w14:paraId="0B5AC0E2" w14:textId="1348CA6B" w:rsidR="00EC5708" w:rsidRPr="0091733D" w:rsidRDefault="00EC5708" w:rsidP="00E42342">
            <w:pPr>
              <w:pStyle w:val="Briefingtext"/>
              <w:numPr>
                <w:ilvl w:val="0"/>
                <w:numId w:val="316"/>
              </w:numPr>
              <w:spacing w:after="0"/>
              <w:textDirection w:val="btLr"/>
              <w:rPr>
                <w:sz w:val="18"/>
                <w:szCs w:val="20"/>
              </w:rPr>
            </w:pPr>
            <w:r w:rsidRPr="0091733D">
              <w:rPr>
                <w:sz w:val="18"/>
                <w:szCs w:val="20"/>
              </w:rPr>
              <w:lastRenderedPageBreak/>
              <w:t>Renewable energies</w:t>
            </w:r>
          </w:p>
          <w:p w14:paraId="0C70D942" w14:textId="6A8A2264" w:rsidR="004C07DA" w:rsidRPr="0091733D" w:rsidRDefault="00EC5708" w:rsidP="00E42342">
            <w:pPr>
              <w:pStyle w:val="Briefingtext"/>
              <w:numPr>
                <w:ilvl w:val="0"/>
                <w:numId w:val="316"/>
              </w:numPr>
              <w:spacing w:after="0"/>
              <w:textDirection w:val="btLr"/>
              <w:rPr>
                <w:sz w:val="18"/>
                <w:szCs w:val="20"/>
              </w:rPr>
            </w:pPr>
            <w:r w:rsidRPr="0091733D">
              <w:rPr>
                <w:sz w:val="18"/>
                <w:szCs w:val="20"/>
              </w:rPr>
              <w:t>Biotechnology and bioinformatics</w:t>
            </w:r>
          </w:p>
          <w:p w14:paraId="0FFE9C25"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Industries with growth potential identified by the analysis center and/or at the request of private sector representatives </w:t>
            </w:r>
          </w:p>
          <w:p w14:paraId="35B8FC4D" w14:textId="77777777" w:rsidR="00EC5708" w:rsidRPr="00D015ED" w:rsidRDefault="00EC5708" w:rsidP="00EE02DE">
            <w:pPr>
              <w:spacing w:before="100"/>
              <w:ind w:hanging="2"/>
              <w:rPr>
                <w:rFonts w:ascii="Arial" w:hAnsi="Arial" w:cs="Arial"/>
                <w:sz w:val="18"/>
                <w:szCs w:val="18"/>
              </w:rPr>
            </w:pPr>
            <w:r w:rsidRPr="00D015ED">
              <w:rPr>
                <w:rFonts w:ascii="Arial" w:hAnsi="Arial" w:cs="Arial"/>
                <w:sz w:val="18"/>
                <w:szCs w:val="18"/>
              </w:rPr>
              <w:t xml:space="preserve"> </w:t>
            </w:r>
          </w:p>
          <w:p w14:paraId="14B3ED0B" w14:textId="77777777" w:rsidR="00EC5708" w:rsidRPr="00D015ED" w:rsidRDefault="00EC5708" w:rsidP="00EE02DE">
            <w:pPr>
              <w:spacing w:after="240"/>
              <w:ind w:hanging="2"/>
              <w:rPr>
                <w:rFonts w:ascii="Arial" w:hAnsi="Arial" w:cs="Arial"/>
                <w:sz w:val="18"/>
                <w:szCs w:val="18"/>
              </w:rPr>
            </w:pPr>
          </w:p>
        </w:tc>
      </w:tr>
      <w:tr w:rsidR="00EC5708" w:rsidRPr="00D015ED" w14:paraId="560FB716" w14:textId="77777777" w:rsidTr="00EE02DE">
        <w:tc>
          <w:tcPr>
            <w:tcW w:w="5687" w:type="dxa"/>
          </w:tcPr>
          <w:p w14:paraId="7B2B193A" w14:textId="7C15E4FE" w:rsidR="00EC5708" w:rsidRPr="00D015ED" w:rsidRDefault="00EC5708" w:rsidP="00EE02DE">
            <w:pPr>
              <w:spacing w:after="240"/>
              <w:ind w:hanging="2"/>
              <w:rPr>
                <w:rFonts w:ascii="Arial" w:hAnsi="Arial" w:cs="Arial"/>
                <w:b/>
                <w:sz w:val="18"/>
                <w:szCs w:val="18"/>
              </w:rPr>
            </w:pPr>
            <w:r w:rsidRPr="00D015ED">
              <w:rPr>
                <w:rFonts w:ascii="Arial" w:hAnsi="Arial" w:cs="Arial"/>
                <w:b/>
                <w:sz w:val="18"/>
                <w:szCs w:val="18"/>
              </w:rPr>
              <w:lastRenderedPageBreak/>
              <w:t>Environmental challenges and opportunities (including recapitali</w:t>
            </w:r>
            <w:r w:rsidR="004E7B64">
              <w:rPr>
                <w:rFonts w:ascii="Arial" w:hAnsi="Arial" w:cs="Arial"/>
                <w:b/>
                <w:sz w:val="18"/>
                <w:szCs w:val="18"/>
              </w:rPr>
              <w:t>sation</w:t>
            </w:r>
            <w:r w:rsidRPr="00D015ED">
              <w:rPr>
                <w:rFonts w:ascii="Arial" w:hAnsi="Arial" w:cs="Arial"/>
                <w:b/>
                <w:sz w:val="18"/>
                <w:szCs w:val="18"/>
              </w:rPr>
              <w:t xml:space="preserve"> of “brownfield”</w:t>
            </w:r>
            <w:r w:rsidR="00BB716C">
              <w:rPr>
                <w:rFonts w:ascii="Arial" w:hAnsi="Arial" w:cs="Arial"/>
                <w:b/>
                <w:sz w:val="18"/>
                <w:szCs w:val="18"/>
              </w:rPr>
              <w:t xml:space="preserve"> </w:t>
            </w:r>
            <w:r w:rsidRPr="00D015ED">
              <w:rPr>
                <w:rFonts w:ascii="Arial" w:hAnsi="Arial" w:cs="Arial"/>
                <w:b/>
                <w:sz w:val="18"/>
                <w:szCs w:val="18"/>
              </w:rPr>
              <w:t xml:space="preserve">areas) </w:t>
            </w:r>
          </w:p>
          <w:p w14:paraId="3F73D329" w14:textId="6B81FBDF" w:rsidR="00EC5708" w:rsidRPr="00D015ED" w:rsidRDefault="00EC5708" w:rsidP="00EE02DE">
            <w:pPr>
              <w:spacing w:after="240"/>
              <w:ind w:hanging="2"/>
              <w:rPr>
                <w:rFonts w:ascii="Arial" w:hAnsi="Arial" w:cs="Arial"/>
                <w:b/>
                <w:sz w:val="18"/>
                <w:szCs w:val="18"/>
              </w:rPr>
            </w:pPr>
            <w:r w:rsidRPr="00D015ED">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(abandoned/poorly used)” as resources for our region/county?</w:t>
            </w:r>
          </w:p>
        </w:tc>
        <w:tc>
          <w:tcPr>
            <w:tcW w:w="1398" w:type="dxa"/>
          </w:tcPr>
          <w:p w14:paraId="5978A6EE" w14:textId="77777777" w:rsidR="00EC5708" w:rsidRPr="00D015ED" w:rsidRDefault="00EC5708" w:rsidP="00EE02DE">
            <w:pPr>
              <w:ind w:hanging="2"/>
              <w:rPr>
                <w:rFonts w:ascii="Arial" w:hAnsi="Arial" w:cs="Arial"/>
                <w:sz w:val="18"/>
                <w:szCs w:val="18"/>
              </w:rPr>
            </w:pPr>
            <w:r w:rsidRPr="00D015ED">
              <w:rPr>
                <w:rFonts w:ascii="Arial" w:hAnsi="Arial" w:cs="Arial"/>
                <w:noProof/>
                <w:sz w:val="18"/>
                <w:szCs w:val="18"/>
                <w:lang w:val="en-US" w:eastAsia="en-US"/>
              </w:rPr>
              <w:drawing>
                <wp:inline distT="114300" distB="114300" distL="114300" distR="114300" wp14:anchorId="10A45473" wp14:editId="0B488012">
                  <wp:extent cx="752475" cy="774700"/>
                  <wp:effectExtent l="0" t="0" r="0" b="0"/>
                  <wp:docPr id="2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4"/>
                          <a:srcRect/>
                          <a:stretch>
                            <a:fillRect/>
                          </a:stretch>
                        </pic:blipFill>
                        <pic:spPr>
                          <a:xfrm>
                            <a:off x="0" y="0"/>
                            <a:ext cx="752475" cy="774700"/>
                          </a:xfrm>
                          <a:prstGeom prst="rect">
                            <a:avLst/>
                          </a:prstGeom>
                          <a:ln/>
                        </pic:spPr>
                      </pic:pic>
                    </a:graphicData>
                  </a:graphic>
                </wp:inline>
              </w:drawing>
            </w:r>
          </w:p>
        </w:tc>
        <w:tc>
          <w:tcPr>
            <w:tcW w:w="5802" w:type="dxa"/>
          </w:tcPr>
          <w:p w14:paraId="04A8ECE7" w14:textId="77777777" w:rsidR="00EC5708" w:rsidRPr="00D015ED" w:rsidRDefault="00EC5708" w:rsidP="00EE02DE">
            <w:pPr>
              <w:spacing w:before="100"/>
              <w:ind w:hanging="2"/>
              <w:rPr>
                <w:rFonts w:ascii="Arial" w:hAnsi="Arial" w:cs="Arial"/>
                <w:b/>
                <w:sz w:val="18"/>
                <w:szCs w:val="18"/>
              </w:rPr>
            </w:pPr>
            <w:r w:rsidRPr="00D015ED">
              <w:rPr>
                <w:rFonts w:ascii="Arial" w:hAnsi="Arial" w:cs="Arial"/>
                <w:b/>
                <w:sz w:val="18"/>
                <w:szCs w:val="18"/>
              </w:rPr>
              <w:t>SME and entrepreneurship - vectors of regional development</w:t>
            </w:r>
          </w:p>
          <w:p w14:paraId="5F9517BB" w14:textId="01A73386" w:rsidR="00EC5708" w:rsidRPr="00D015ED" w:rsidRDefault="00EC5708" w:rsidP="00EE02DE">
            <w:pPr>
              <w:spacing w:before="240"/>
              <w:ind w:hanging="2"/>
              <w:rPr>
                <w:rFonts w:ascii="Arial" w:hAnsi="Arial" w:cs="Arial"/>
                <w:b/>
                <w:sz w:val="18"/>
                <w:szCs w:val="18"/>
              </w:rPr>
            </w:pPr>
            <w:r w:rsidRPr="00D015ED">
              <w:rPr>
                <w:rFonts w:ascii="Arial" w:hAnsi="Arial" w:cs="Arial"/>
                <w:i/>
                <w:sz w:val="18"/>
                <w:szCs w:val="18"/>
              </w:rPr>
              <w:t>What are the priority areas where SMEs can generate accelerated development in the region/county? How can we support the accelerated development of SMEs in our region/county? What makes our county unique? (from a SME perspective)</w:t>
            </w:r>
          </w:p>
        </w:tc>
        <w:tc>
          <w:tcPr>
            <w:tcW w:w="1286" w:type="dxa"/>
          </w:tcPr>
          <w:p w14:paraId="75BC5B83" w14:textId="77777777" w:rsidR="00EC5708" w:rsidRPr="00D015ED" w:rsidRDefault="00EC5708" w:rsidP="00EE02DE">
            <w:pPr>
              <w:ind w:hanging="2"/>
              <w:rPr>
                <w:rFonts w:ascii="Arial" w:hAnsi="Arial" w:cs="Arial"/>
                <w:sz w:val="18"/>
                <w:szCs w:val="18"/>
              </w:rPr>
            </w:pPr>
            <w:r w:rsidRPr="00D015ED">
              <w:rPr>
                <w:rFonts w:ascii="Arial" w:hAnsi="Arial" w:cs="Arial"/>
                <w:noProof/>
                <w:sz w:val="18"/>
                <w:szCs w:val="18"/>
                <w:lang w:val="en-US" w:eastAsia="en-US"/>
              </w:rPr>
              <w:drawing>
                <wp:inline distT="114300" distB="114300" distL="114300" distR="114300" wp14:anchorId="7765E02B" wp14:editId="1A55C337">
                  <wp:extent cx="685800" cy="660400"/>
                  <wp:effectExtent l="0" t="0" r="0" b="0"/>
                  <wp:docPr id="2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15"/>
                          <a:srcRect/>
                          <a:stretch>
                            <a:fillRect/>
                          </a:stretch>
                        </pic:blipFill>
                        <pic:spPr>
                          <a:xfrm>
                            <a:off x="0" y="0"/>
                            <a:ext cx="685800" cy="660400"/>
                          </a:xfrm>
                          <a:prstGeom prst="rect">
                            <a:avLst/>
                          </a:prstGeom>
                          <a:ln/>
                        </pic:spPr>
                      </pic:pic>
                    </a:graphicData>
                  </a:graphic>
                </wp:inline>
              </w:drawing>
            </w:r>
          </w:p>
        </w:tc>
      </w:tr>
      <w:tr w:rsidR="00EC5708" w:rsidRPr="00D015ED" w14:paraId="61A0E137" w14:textId="77777777" w:rsidTr="00EE02DE">
        <w:trPr>
          <w:trHeight w:val="200"/>
        </w:trPr>
        <w:tc>
          <w:tcPr>
            <w:tcW w:w="7085" w:type="dxa"/>
            <w:gridSpan w:val="2"/>
          </w:tcPr>
          <w:p w14:paraId="33EFA2A1" w14:textId="74501DDD" w:rsidR="00EC5708" w:rsidRPr="00D015ED" w:rsidRDefault="00EC5708" w:rsidP="00EE02DE">
            <w:pPr>
              <w:spacing w:before="240"/>
              <w:ind w:hanging="2"/>
              <w:rPr>
                <w:rFonts w:ascii="Arial" w:hAnsi="Arial" w:cs="Arial"/>
                <w:sz w:val="18"/>
                <w:szCs w:val="18"/>
              </w:rPr>
            </w:pPr>
            <w:r w:rsidRPr="00D015ED">
              <w:rPr>
                <w:rFonts w:ascii="Arial" w:hAnsi="Arial" w:cs="Arial"/>
                <w:sz w:val="18"/>
                <w:szCs w:val="18"/>
              </w:rPr>
              <w:t>The main ideas discussed in the working group are based on project ideas already reported on the C</w:t>
            </w:r>
            <w:r w:rsidR="00BB716C">
              <w:rPr>
                <w:rFonts w:ascii="Arial" w:hAnsi="Arial" w:cs="Arial"/>
                <w:sz w:val="18"/>
                <w:szCs w:val="18"/>
              </w:rPr>
              <w:t>ounty Council’s</w:t>
            </w:r>
            <w:r w:rsidRPr="00D015ED">
              <w:rPr>
                <w:rFonts w:ascii="Arial" w:hAnsi="Arial" w:cs="Arial"/>
                <w:sz w:val="18"/>
                <w:szCs w:val="18"/>
              </w:rPr>
              <w:t xml:space="preserve"> website containing detailed info.</w:t>
            </w:r>
          </w:p>
          <w:p w14:paraId="0B3ED9F3" w14:textId="77777777" w:rsidR="00EC5708" w:rsidRPr="00D015ED" w:rsidRDefault="00EC5708" w:rsidP="00EE02DE">
            <w:pPr>
              <w:spacing w:before="240" w:after="240"/>
              <w:ind w:hanging="2"/>
              <w:rPr>
                <w:rFonts w:ascii="Arial" w:hAnsi="Arial" w:cs="Arial"/>
                <w:b/>
                <w:sz w:val="18"/>
                <w:szCs w:val="18"/>
              </w:rPr>
            </w:pPr>
            <w:r w:rsidRPr="00D015ED">
              <w:rPr>
                <w:rFonts w:ascii="Arial" w:hAnsi="Arial" w:cs="Arial"/>
                <w:b/>
                <w:sz w:val="18"/>
                <w:szCs w:val="18"/>
              </w:rPr>
              <w:t>Ideas, solutions, projects, opportunities:</w:t>
            </w:r>
          </w:p>
          <w:p w14:paraId="053C027E" w14:textId="77777777" w:rsidR="00EC5708" w:rsidRPr="0091733D" w:rsidRDefault="00EC5708" w:rsidP="00E42342">
            <w:pPr>
              <w:pStyle w:val="Briefingtext"/>
              <w:numPr>
                <w:ilvl w:val="0"/>
                <w:numId w:val="318"/>
              </w:numPr>
              <w:spacing w:after="0"/>
              <w:rPr>
                <w:b/>
                <w:bCs/>
                <w:sz w:val="18"/>
                <w:szCs w:val="20"/>
              </w:rPr>
            </w:pPr>
            <w:r w:rsidRPr="0091733D">
              <w:rPr>
                <w:b/>
                <w:bCs/>
                <w:sz w:val="18"/>
                <w:szCs w:val="20"/>
              </w:rPr>
              <w:t>Contaminated/abandoned sites</w:t>
            </w:r>
          </w:p>
          <w:p w14:paraId="6A384CA0"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Decontamination and conversion of brownfield sites is to be included in the ROP, but RDA fears there will be no applicants</w:t>
            </w:r>
          </w:p>
          <w:p w14:paraId="0CE08074" w14:textId="1F4AA4C3"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There is </w:t>
            </w:r>
            <w:r w:rsidR="004C07DA" w:rsidRPr="0091733D">
              <w:rPr>
                <w:sz w:val="18"/>
                <w:szCs w:val="20"/>
              </w:rPr>
              <w:t xml:space="preserve">a </w:t>
            </w:r>
            <w:r w:rsidRPr="0091733D">
              <w:rPr>
                <w:sz w:val="18"/>
                <w:szCs w:val="20"/>
              </w:rPr>
              <w:t>building materials warehouse in Calafat (TCIF)</w:t>
            </w:r>
            <w:r w:rsidR="004C07DA" w:rsidRPr="0091733D">
              <w:rPr>
                <w:sz w:val="18"/>
                <w:szCs w:val="20"/>
              </w:rPr>
              <w:t>, which needs decontamination</w:t>
            </w:r>
          </w:p>
          <w:p w14:paraId="1BAC8BF4" w14:textId="0D9F86D6" w:rsidR="00EC5708" w:rsidRPr="0091733D" w:rsidRDefault="004C07DA" w:rsidP="00E42342">
            <w:pPr>
              <w:pStyle w:val="Briefingtext"/>
              <w:numPr>
                <w:ilvl w:val="0"/>
                <w:numId w:val="316"/>
              </w:numPr>
              <w:spacing w:after="0"/>
              <w:textDirection w:val="btLr"/>
              <w:rPr>
                <w:sz w:val="18"/>
                <w:szCs w:val="20"/>
              </w:rPr>
            </w:pPr>
            <w:r w:rsidRPr="0091733D">
              <w:rPr>
                <w:sz w:val="18"/>
                <w:szCs w:val="20"/>
              </w:rPr>
              <w:t>Turning wasteland into l</w:t>
            </w:r>
            <w:r w:rsidR="00EC5708" w:rsidRPr="0091733D">
              <w:rPr>
                <w:sz w:val="18"/>
                <w:szCs w:val="20"/>
              </w:rPr>
              <w:t>eisure, recreation, playground</w:t>
            </w:r>
            <w:r w:rsidRPr="0091733D">
              <w:rPr>
                <w:sz w:val="18"/>
                <w:szCs w:val="20"/>
              </w:rPr>
              <w:t xml:space="preserve"> spaces</w:t>
            </w:r>
          </w:p>
          <w:p w14:paraId="20325009" w14:textId="152915F6" w:rsidR="00EC5708" w:rsidRPr="0091733D" w:rsidRDefault="004C07DA" w:rsidP="00E42342">
            <w:pPr>
              <w:pStyle w:val="Briefingtext"/>
              <w:numPr>
                <w:ilvl w:val="0"/>
                <w:numId w:val="316"/>
              </w:numPr>
              <w:spacing w:after="0"/>
              <w:textDirection w:val="btLr"/>
              <w:rPr>
                <w:sz w:val="18"/>
                <w:szCs w:val="20"/>
              </w:rPr>
            </w:pPr>
            <w:r w:rsidRPr="0091733D">
              <w:rPr>
                <w:sz w:val="18"/>
                <w:szCs w:val="20"/>
              </w:rPr>
              <w:t xml:space="preserve">Potential </w:t>
            </w:r>
            <w:r w:rsidR="00EC5708" w:rsidRPr="0091733D">
              <w:rPr>
                <w:sz w:val="18"/>
                <w:szCs w:val="20"/>
              </w:rPr>
              <w:t>Use of bacteria to decontaminate such sites</w:t>
            </w:r>
          </w:p>
          <w:p w14:paraId="45352D87"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Ash dump at Ișalnița and Craiova II causes air pollution, and its regular covering with water is insufficient</w:t>
            </w:r>
          </w:p>
          <w:p w14:paraId="24208017"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Developing businesses in recycling - there are no recyclers - there is a need to support sorting, recycling, upcycling processes:</w:t>
            </w:r>
          </w:p>
          <w:p w14:paraId="0DDEC95A" w14:textId="643C46D2" w:rsidR="00EC5708" w:rsidRPr="0091733D" w:rsidRDefault="004C07DA" w:rsidP="00E42342">
            <w:pPr>
              <w:pStyle w:val="Briefingtext"/>
              <w:numPr>
                <w:ilvl w:val="0"/>
                <w:numId w:val="316"/>
              </w:numPr>
              <w:spacing w:after="0"/>
              <w:textDirection w:val="btLr"/>
              <w:rPr>
                <w:sz w:val="18"/>
                <w:szCs w:val="20"/>
              </w:rPr>
            </w:pPr>
            <w:r w:rsidRPr="0091733D">
              <w:rPr>
                <w:sz w:val="18"/>
                <w:szCs w:val="20"/>
              </w:rPr>
              <w:t>Support/ subsidies</w:t>
            </w:r>
            <w:r w:rsidR="00EC5708" w:rsidRPr="0091733D">
              <w:rPr>
                <w:sz w:val="18"/>
                <w:szCs w:val="20"/>
              </w:rPr>
              <w:t xml:space="preserve"> for those using recycled materials</w:t>
            </w:r>
          </w:p>
          <w:p w14:paraId="36DF30C0" w14:textId="7775D8ED" w:rsidR="00EC5708" w:rsidRPr="0091733D" w:rsidRDefault="004C07DA" w:rsidP="00E42342">
            <w:pPr>
              <w:pStyle w:val="Briefingtext"/>
              <w:numPr>
                <w:ilvl w:val="0"/>
                <w:numId w:val="316"/>
              </w:numPr>
              <w:spacing w:after="0"/>
              <w:textDirection w:val="btLr"/>
              <w:rPr>
                <w:sz w:val="18"/>
                <w:szCs w:val="20"/>
              </w:rPr>
            </w:pPr>
            <w:r w:rsidRPr="0091733D">
              <w:rPr>
                <w:sz w:val="18"/>
                <w:szCs w:val="20"/>
              </w:rPr>
              <w:t>B</w:t>
            </w:r>
            <w:r w:rsidR="00EC5708" w:rsidRPr="0091733D">
              <w:rPr>
                <w:sz w:val="18"/>
                <w:szCs w:val="20"/>
              </w:rPr>
              <w:t>enefits for those setting up small recycling and composting businesses</w:t>
            </w:r>
          </w:p>
          <w:p w14:paraId="2B5E124A" w14:textId="7F0FF8DA"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Solutions for waste generated by economic agents (Ford, </w:t>
            </w:r>
            <w:r w:rsidR="004C07DA" w:rsidRPr="0091733D">
              <w:rPr>
                <w:sz w:val="18"/>
                <w:szCs w:val="20"/>
              </w:rPr>
              <w:t>optic fibers,</w:t>
            </w:r>
            <w:r w:rsidRPr="0091733D">
              <w:rPr>
                <w:sz w:val="18"/>
                <w:szCs w:val="20"/>
              </w:rPr>
              <w:t xml:space="preserve"> etc)</w:t>
            </w:r>
          </w:p>
          <w:p w14:paraId="52F060DF" w14:textId="17401A2F" w:rsidR="00EC5708" w:rsidRPr="0091733D" w:rsidRDefault="00EC5708" w:rsidP="00E42342">
            <w:pPr>
              <w:pStyle w:val="Briefingtext"/>
              <w:numPr>
                <w:ilvl w:val="0"/>
                <w:numId w:val="316"/>
              </w:numPr>
              <w:spacing w:after="0"/>
              <w:textDirection w:val="btLr"/>
              <w:rPr>
                <w:sz w:val="18"/>
                <w:szCs w:val="20"/>
              </w:rPr>
            </w:pPr>
            <w:r w:rsidRPr="0091733D">
              <w:rPr>
                <w:sz w:val="18"/>
                <w:szCs w:val="20"/>
              </w:rPr>
              <w:t>Waste oil reconversion</w:t>
            </w:r>
          </w:p>
          <w:p w14:paraId="11393161" w14:textId="77777777" w:rsidR="00BB716C" w:rsidRPr="00BB716C" w:rsidRDefault="00BB716C" w:rsidP="00BB716C">
            <w:pPr>
              <w:pStyle w:val="ListParagraph"/>
              <w:suppressAutoHyphens/>
              <w:spacing w:line="1" w:lineRule="atLeast"/>
              <w:ind w:left="360"/>
              <w:textDirection w:val="btLr"/>
              <w:textAlignment w:val="top"/>
              <w:outlineLvl w:val="0"/>
              <w:rPr>
                <w:sz w:val="18"/>
                <w:szCs w:val="18"/>
              </w:rPr>
            </w:pPr>
          </w:p>
          <w:p w14:paraId="6AC1297E" w14:textId="77777777" w:rsidR="00EC5708" w:rsidRPr="0091733D" w:rsidRDefault="00EC5708" w:rsidP="00E42342">
            <w:pPr>
              <w:pStyle w:val="Briefingtext"/>
              <w:numPr>
                <w:ilvl w:val="0"/>
                <w:numId w:val="318"/>
              </w:numPr>
              <w:spacing w:after="0"/>
              <w:textDirection w:val="btLr"/>
              <w:rPr>
                <w:b/>
                <w:bCs/>
                <w:sz w:val="18"/>
                <w:szCs w:val="20"/>
              </w:rPr>
            </w:pPr>
            <w:r w:rsidRPr="0091733D">
              <w:rPr>
                <w:b/>
                <w:bCs/>
                <w:sz w:val="18"/>
                <w:szCs w:val="20"/>
              </w:rPr>
              <w:t>Circular economy</w:t>
            </w:r>
          </w:p>
          <w:p w14:paraId="0F61C8DA"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Public-private integration for circular economy</w:t>
            </w:r>
          </w:p>
          <w:p w14:paraId="35631343"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Development of clusters and business incubators</w:t>
            </w:r>
          </w:p>
          <w:p w14:paraId="110B438E" w14:textId="22CAADAC" w:rsidR="00EC5708" w:rsidRPr="0091733D" w:rsidRDefault="00EC5708" w:rsidP="00E42342">
            <w:pPr>
              <w:pStyle w:val="Briefingtext"/>
              <w:numPr>
                <w:ilvl w:val="0"/>
                <w:numId w:val="316"/>
              </w:numPr>
              <w:spacing w:after="0"/>
              <w:textDirection w:val="btLr"/>
              <w:rPr>
                <w:sz w:val="18"/>
                <w:szCs w:val="20"/>
              </w:rPr>
            </w:pPr>
            <w:r w:rsidRPr="0091733D">
              <w:rPr>
                <w:sz w:val="18"/>
                <w:szCs w:val="20"/>
              </w:rPr>
              <w:t>Jiu River landfill problem</w:t>
            </w:r>
            <w:r w:rsidR="004C07DA" w:rsidRPr="0091733D">
              <w:rPr>
                <w:sz w:val="18"/>
                <w:szCs w:val="20"/>
              </w:rPr>
              <w:t xml:space="preserve"> - </w:t>
            </w:r>
            <w:r w:rsidRPr="0091733D">
              <w:rPr>
                <w:sz w:val="18"/>
                <w:szCs w:val="20"/>
              </w:rPr>
              <w:t>Conversion from landfill to green spaces</w:t>
            </w:r>
          </w:p>
          <w:p w14:paraId="782B5F05"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Monitoring air pollution levels</w:t>
            </w:r>
          </w:p>
          <w:p w14:paraId="32E94B1D"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RADON - recycling concrete waste - there is demand in the private sector</w:t>
            </w:r>
          </w:p>
          <w:p w14:paraId="3AF35A99"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There are problems with accessing financial instruments - according to NBR rules</w:t>
            </w:r>
          </w:p>
          <w:p w14:paraId="350234D6"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PV on the roof of buildings (blocks and industrial premises) not only with the help of associations but directly implemented by real estate developers</w:t>
            </w:r>
          </w:p>
          <w:p w14:paraId="30B1BDE6"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University land (former pig farms) can be turned into industrial park and/or business infrastructure</w:t>
            </w:r>
          </w:p>
          <w:p w14:paraId="2DCEF753" w14:textId="77777777" w:rsidR="00EC5708" w:rsidRPr="00BB716C" w:rsidRDefault="00EC5708" w:rsidP="00E42342">
            <w:pPr>
              <w:pStyle w:val="Briefingtext"/>
              <w:numPr>
                <w:ilvl w:val="0"/>
                <w:numId w:val="316"/>
              </w:numPr>
              <w:spacing w:after="0"/>
              <w:textDirection w:val="btLr"/>
              <w:rPr>
                <w:sz w:val="18"/>
                <w:szCs w:val="18"/>
              </w:rPr>
            </w:pPr>
            <w:r w:rsidRPr="0091733D">
              <w:rPr>
                <w:sz w:val="18"/>
                <w:szCs w:val="20"/>
              </w:rPr>
              <w:t>Opportunity for biomass-based business development</w:t>
            </w:r>
          </w:p>
        </w:tc>
        <w:tc>
          <w:tcPr>
            <w:tcW w:w="7088" w:type="dxa"/>
            <w:gridSpan w:val="2"/>
          </w:tcPr>
          <w:p w14:paraId="77F2EBAA" w14:textId="77777777" w:rsidR="00EC5708" w:rsidRPr="00D015ED" w:rsidRDefault="00EC5708" w:rsidP="00EE02DE">
            <w:pPr>
              <w:spacing w:before="240" w:after="240"/>
              <w:ind w:hanging="2"/>
              <w:rPr>
                <w:rFonts w:ascii="Arial" w:hAnsi="Arial" w:cs="Arial"/>
                <w:sz w:val="18"/>
                <w:szCs w:val="18"/>
              </w:rPr>
            </w:pPr>
            <w:r w:rsidRPr="00D015ED">
              <w:rPr>
                <w:rFonts w:ascii="Arial" w:hAnsi="Arial" w:cs="Arial"/>
                <w:b/>
                <w:sz w:val="18"/>
                <w:szCs w:val="18"/>
              </w:rPr>
              <w:lastRenderedPageBreak/>
              <w:t>Ideas, solutions, projects, opportunities:</w:t>
            </w:r>
          </w:p>
          <w:p w14:paraId="3D47C1A8" w14:textId="77777777" w:rsidR="00EC5708" w:rsidRPr="00D015ED" w:rsidRDefault="00EC5708" w:rsidP="00EE02DE">
            <w:pPr>
              <w:spacing w:before="240" w:after="240"/>
              <w:ind w:hanging="2"/>
              <w:rPr>
                <w:rFonts w:ascii="Arial" w:hAnsi="Arial" w:cs="Arial"/>
                <w:sz w:val="18"/>
                <w:szCs w:val="18"/>
              </w:rPr>
            </w:pPr>
            <w:r w:rsidRPr="00D015ED">
              <w:rPr>
                <w:rFonts w:ascii="Arial" w:hAnsi="Arial" w:cs="Arial"/>
                <w:sz w:val="18"/>
                <w:szCs w:val="18"/>
              </w:rPr>
              <w:t>Industries with growth potential in Dolj county:</w:t>
            </w:r>
          </w:p>
          <w:p w14:paraId="04DD2F43"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Service industry:</w:t>
            </w:r>
          </w:p>
          <w:p w14:paraId="346AE007"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IT/software</w:t>
            </w:r>
          </w:p>
          <w:p w14:paraId="03213959"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Data analysis services - big data</w:t>
            </w:r>
          </w:p>
          <w:p w14:paraId="2CA1C5C7"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Security and protection services, dispatching, monitoring</w:t>
            </w:r>
          </w:p>
          <w:p w14:paraId="552D30D8"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PVC manufacturing - with a specific need to increase production capacity at QFort (with great potential for new job creation and hiring in the coming years)</w:t>
            </w:r>
          </w:p>
          <w:p w14:paraId="41B7BF3C"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Opportunity to fund programmes for technology transfer, purchase of new technology equipment, infrastructure development for entrepreneurs and SMEs</w:t>
            </w:r>
          </w:p>
          <w:p w14:paraId="413048CC" w14:textId="32AECF16"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The need for staff training, qualification for both start-up and existing businesses, SMEs. </w:t>
            </w:r>
          </w:p>
          <w:p w14:paraId="74659871"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Training staff in new technologies</w:t>
            </w:r>
          </w:p>
          <w:p w14:paraId="78961B30"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Training in innovation</w:t>
            </w:r>
          </w:p>
          <w:p w14:paraId="319DEF42"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Digitisation with impact on efficiency and innovation </w:t>
            </w:r>
          </w:p>
          <w:p w14:paraId="12F08355"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Expansion of the dual education system</w:t>
            </w:r>
          </w:p>
          <w:p w14:paraId="2FEB0AE1"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Opportunity for innovation, R&amp;D in partnership with academia</w:t>
            </w:r>
          </w:p>
          <w:p w14:paraId="670D19A6"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Supporting doctoral programmes and research</w:t>
            </w:r>
          </w:p>
          <w:p w14:paraId="528731E8" w14:textId="1FBE5F03" w:rsidR="00EC5708" w:rsidRPr="0091733D" w:rsidRDefault="00EC5708" w:rsidP="00E42342">
            <w:pPr>
              <w:pStyle w:val="Briefingtext"/>
              <w:numPr>
                <w:ilvl w:val="0"/>
                <w:numId w:val="316"/>
              </w:numPr>
              <w:spacing w:after="0"/>
              <w:textDirection w:val="btLr"/>
              <w:rPr>
                <w:sz w:val="18"/>
                <w:szCs w:val="20"/>
              </w:rPr>
            </w:pPr>
            <w:r w:rsidRPr="0091733D">
              <w:rPr>
                <w:sz w:val="18"/>
                <w:szCs w:val="20"/>
              </w:rPr>
              <w:lastRenderedPageBreak/>
              <w:t>The need to develop the logistics sector</w:t>
            </w:r>
            <w:r w:rsidR="00D15092" w:rsidRPr="0091733D">
              <w:rPr>
                <w:sz w:val="18"/>
                <w:szCs w:val="20"/>
              </w:rPr>
              <w:t xml:space="preserve"> - </w:t>
            </w:r>
            <w:r w:rsidRPr="0091733D">
              <w:rPr>
                <w:sz w:val="18"/>
                <w:szCs w:val="20"/>
              </w:rPr>
              <w:t>Need for investment in logistics infrastructure - parks, logistics HUBs, logistics terminal</w:t>
            </w:r>
          </w:p>
          <w:p w14:paraId="27927769" w14:textId="079AB962" w:rsidR="00EC5708" w:rsidRPr="0091733D" w:rsidRDefault="00EC5708" w:rsidP="00E42342">
            <w:pPr>
              <w:pStyle w:val="Briefingtext"/>
              <w:numPr>
                <w:ilvl w:val="0"/>
                <w:numId w:val="316"/>
              </w:numPr>
              <w:spacing w:after="0"/>
              <w:textDirection w:val="btLr"/>
              <w:rPr>
                <w:sz w:val="18"/>
                <w:szCs w:val="20"/>
              </w:rPr>
            </w:pPr>
            <w:r w:rsidRPr="0091733D">
              <w:rPr>
                <w:sz w:val="18"/>
                <w:szCs w:val="20"/>
              </w:rPr>
              <w:t xml:space="preserve">Need for training in "green" logistics services with impact on </w:t>
            </w:r>
            <w:r w:rsidR="005F14EF" w:rsidRPr="003516DC">
              <w:rPr>
                <w:sz w:val="20"/>
                <w:szCs w:val="20"/>
              </w:rPr>
              <w:t>CO</w:t>
            </w:r>
            <w:r w:rsidR="005F14EF" w:rsidRPr="001C148D">
              <w:rPr>
                <w:sz w:val="20"/>
                <w:szCs w:val="20"/>
                <w:vertAlign w:val="subscript"/>
              </w:rPr>
              <w:t>2</w:t>
            </w:r>
            <w:r w:rsidR="005F14EF" w:rsidRPr="003516DC">
              <w:rPr>
                <w:sz w:val="20"/>
                <w:szCs w:val="20"/>
              </w:rPr>
              <w:t xml:space="preserve"> </w:t>
            </w:r>
            <w:r w:rsidRPr="0091733D">
              <w:rPr>
                <w:sz w:val="18"/>
                <w:szCs w:val="20"/>
              </w:rPr>
              <w:t>reduction.</w:t>
            </w:r>
          </w:p>
          <w:p w14:paraId="38FBC0BA"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Prioritisation of funding to those sectors with high added value</w:t>
            </w:r>
          </w:p>
          <w:p w14:paraId="2D1D6149"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Need for investment in start-up and entrepreneurial training programmes</w:t>
            </w:r>
          </w:p>
          <w:p w14:paraId="72613485"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Supporting a competitive development of start-ups</w:t>
            </w:r>
          </w:p>
          <w:p w14:paraId="1628C15D"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Regional, national support for start-ups and making them international</w:t>
            </w:r>
          </w:p>
          <w:p w14:paraId="348EC7C1"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Promoting the idea of entrepreneurship through best practice models, local examples of entrepreneurs</w:t>
            </w:r>
          </w:p>
          <w:p w14:paraId="64920F14"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Mentoring programmes, internships</w:t>
            </w:r>
          </w:p>
          <w:p w14:paraId="5259558B"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Development of dual education</w:t>
            </w:r>
          </w:p>
          <w:p w14:paraId="24E44E3D" w14:textId="0A815900" w:rsidR="00EC5708" w:rsidRPr="0091733D" w:rsidRDefault="00EC5708" w:rsidP="00E42342">
            <w:pPr>
              <w:pStyle w:val="Briefingtext"/>
              <w:numPr>
                <w:ilvl w:val="0"/>
                <w:numId w:val="316"/>
              </w:numPr>
              <w:spacing w:after="0"/>
              <w:textDirection w:val="btLr"/>
              <w:rPr>
                <w:sz w:val="18"/>
                <w:szCs w:val="20"/>
              </w:rPr>
            </w:pPr>
            <w:r w:rsidRPr="0091733D">
              <w:rPr>
                <w:sz w:val="18"/>
                <w:szCs w:val="20"/>
              </w:rPr>
              <w:t>The School Inspectorate wants to develop more initiatives in the field of entrepreneurship education, such as</w:t>
            </w:r>
            <w:r w:rsidR="00D15092" w:rsidRPr="0091733D">
              <w:rPr>
                <w:sz w:val="18"/>
                <w:szCs w:val="20"/>
              </w:rPr>
              <w:t xml:space="preserve"> a </w:t>
            </w:r>
            <w:r w:rsidRPr="0091733D">
              <w:rPr>
                <w:sz w:val="18"/>
                <w:szCs w:val="20"/>
              </w:rPr>
              <w:t>"Green HUB" for young people: internship, apprenticeship, mentoring in entrepreneurship and green business programmes</w:t>
            </w:r>
            <w:r w:rsidR="00D15092" w:rsidRPr="0091733D">
              <w:rPr>
                <w:sz w:val="18"/>
                <w:szCs w:val="20"/>
              </w:rPr>
              <w:t>, p</w:t>
            </w:r>
            <w:r w:rsidRPr="0091733D">
              <w:rPr>
                <w:sz w:val="18"/>
                <w:szCs w:val="20"/>
              </w:rPr>
              <w:t>rogrammes to increase digital skills</w:t>
            </w:r>
            <w:r w:rsidR="00D15092" w:rsidRPr="0091733D">
              <w:rPr>
                <w:sz w:val="18"/>
                <w:szCs w:val="20"/>
              </w:rPr>
              <w:t>, p</w:t>
            </w:r>
            <w:r w:rsidRPr="0091733D">
              <w:rPr>
                <w:sz w:val="18"/>
                <w:szCs w:val="20"/>
              </w:rPr>
              <w:t>rogrammes to increase future skills including soft skills (team</w:t>
            </w:r>
            <w:r w:rsidR="00D15092" w:rsidRPr="0091733D">
              <w:rPr>
                <w:sz w:val="18"/>
                <w:szCs w:val="20"/>
              </w:rPr>
              <w:t xml:space="preserve"> work</w:t>
            </w:r>
            <w:r w:rsidRPr="0091733D">
              <w:rPr>
                <w:sz w:val="18"/>
                <w:szCs w:val="20"/>
              </w:rPr>
              <w:t>, communication, etc.)</w:t>
            </w:r>
          </w:p>
          <w:p w14:paraId="659A37AD"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Permaculture programmes for environmental education</w:t>
            </w:r>
          </w:p>
          <w:p w14:paraId="6856C68E" w14:textId="77777777" w:rsidR="00EC5708" w:rsidRPr="0091733D" w:rsidRDefault="00EC5708" w:rsidP="00E42342">
            <w:pPr>
              <w:pStyle w:val="Briefingtext"/>
              <w:numPr>
                <w:ilvl w:val="0"/>
                <w:numId w:val="316"/>
              </w:numPr>
              <w:spacing w:after="0"/>
              <w:textDirection w:val="btLr"/>
              <w:rPr>
                <w:sz w:val="18"/>
                <w:szCs w:val="20"/>
              </w:rPr>
            </w:pPr>
            <w:r w:rsidRPr="0091733D">
              <w:rPr>
                <w:sz w:val="18"/>
                <w:szCs w:val="20"/>
              </w:rPr>
              <w:t>Green start-up programmes</w:t>
            </w:r>
          </w:p>
          <w:p w14:paraId="412272F4" w14:textId="76BA402E" w:rsidR="00EC5708" w:rsidRPr="00BB716C" w:rsidRDefault="00EC5708" w:rsidP="00E42342">
            <w:pPr>
              <w:pStyle w:val="Briefingtext"/>
              <w:numPr>
                <w:ilvl w:val="0"/>
                <w:numId w:val="316"/>
              </w:numPr>
              <w:spacing w:after="0"/>
              <w:textDirection w:val="btLr"/>
              <w:rPr>
                <w:sz w:val="18"/>
                <w:szCs w:val="18"/>
              </w:rPr>
            </w:pPr>
            <w:r w:rsidRPr="0091733D">
              <w:rPr>
                <w:sz w:val="18"/>
                <w:szCs w:val="20"/>
              </w:rPr>
              <w:t>Supporting the circular economy, recycling, sorting, selective collection</w:t>
            </w:r>
          </w:p>
        </w:tc>
      </w:tr>
      <w:tr w:rsidR="00EC5708" w:rsidRPr="00D015ED" w14:paraId="638181DC" w14:textId="77777777" w:rsidTr="00EE02DE">
        <w:tc>
          <w:tcPr>
            <w:tcW w:w="14173" w:type="dxa"/>
            <w:gridSpan w:val="4"/>
            <w:shd w:val="clear" w:color="auto" w:fill="B6D7A8"/>
          </w:tcPr>
          <w:p w14:paraId="73ECEE5E" w14:textId="4085532D" w:rsidR="00EC5708" w:rsidRPr="00D015ED" w:rsidRDefault="00EC5708" w:rsidP="00EE02DE">
            <w:pPr>
              <w:ind w:hanging="2"/>
              <w:rPr>
                <w:rFonts w:ascii="Arial" w:hAnsi="Arial" w:cs="Arial"/>
                <w:b/>
                <w:sz w:val="18"/>
                <w:szCs w:val="18"/>
              </w:rPr>
            </w:pPr>
            <w:r w:rsidRPr="00D015ED">
              <w:rPr>
                <w:rFonts w:ascii="Arial" w:hAnsi="Arial" w:cs="Arial"/>
                <w:b/>
                <w:sz w:val="18"/>
                <w:szCs w:val="18"/>
              </w:rPr>
              <w:lastRenderedPageBreak/>
              <w:t>Ideas, need</w:t>
            </w:r>
            <w:r w:rsidR="00BB716C">
              <w:rPr>
                <w:rFonts w:ascii="Arial" w:hAnsi="Arial" w:cs="Arial"/>
                <w:b/>
                <w:sz w:val="18"/>
                <w:szCs w:val="18"/>
              </w:rPr>
              <w:t>s</w:t>
            </w:r>
            <w:r w:rsidRPr="00D015ED">
              <w:rPr>
                <w:rFonts w:ascii="Arial" w:hAnsi="Arial" w:cs="Arial"/>
                <w:b/>
                <w:sz w:val="18"/>
                <w:szCs w:val="18"/>
              </w:rPr>
              <w:t xml:space="preserve">, important cross-sector elements </w:t>
            </w:r>
          </w:p>
        </w:tc>
      </w:tr>
      <w:tr w:rsidR="00EC5708" w:rsidRPr="00D015ED" w14:paraId="45D128B7" w14:textId="77777777" w:rsidTr="00402580">
        <w:trPr>
          <w:trHeight w:val="70"/>
        </w:trPr>
        <w:tc>
          <w:tcPr>
            <w:tcW w:w="14173" w:type="dxa"/>
            <w:gridSpan w:val="4"/>
          </w:tcPr>
          <w:p w14:paraId="7A5FBC8B" w14:textId="454A9A27" w:rsidR="00EC5708" w:rsidRPr="0091733D" w:rsidRDefault="00EC5708" w:rsidP="00E42342">
            <w:pPr>
              <w:pStyle w:val="Briefingtext"/>
              <w:numPr>
                <w:ilvl w:val="0"/>
                <w:numId w:val="316"/>
              </w:numPr>
              <w:spacing w:after="0"/>
              <w:textDirection w:val="btLr"/>
              <w:rPr>
                <w:sz w:val="18"/>
                <w:szCs w:val="20"/>
              </w:rPr>
            </w:pPr>
            <w:r w:rsidRPr="0091733D">
              <w:rPr>
                <w:sz w:val="18"/>
                <w:szCs w:val="20"/>
              </w:rPr>
              <w:t>Cooperation between more local and county entities: business sector, academia, the Chamber of Commerce, organi</w:t>
            </w:r>
            <w:r w:rsidR="004E7B64">
              <w:rPr>
                <w:sz w:val="18"/>
                <w:szCs w:val="20"/>
              </w:rPr>
              <w:t>sation</w:t>
            </w:r>
            <w:r w:rsidRPr="0091733D">
              <w:rPr>
                <w:sz w:val="18"/>
                <w:szCs w:val="20"/>
              </w:rPr>
              <w:t xml:space="preserve">s acting in the area of staff training, the County Council, county town halls etc </w:t>
            </w:r>
          </w:p>
        </w:tc>
      </w:tr>
    </w:tbl>
    <w:p w14:paraId="17887088" w14:textId="110A6A46" w:rsidR="00EC5708" w:rsidRDefault="00EC5708" w:rsidP="00EC5708">
      <w:pPr>
        <w:jc w:val="both"/>
        <w:rPr>
          <w:rFonts w:ascii="Arial" w:hAnsi="Arial" w:cs="Arial"/>
          <w:sz w:val="20"/>
          <w:szCs w:val="20"/>
        </w:rPr>
        <w:sectPr w:rsidR="00EC5708" w:rsidSect="00D015ED">
          <w:headerReference w:type="default" r:id="rId116"/>
          <w:pgSz w:w="16834" w:h="11909" w:orient="landscape"/>
          <w:pgMar w:top="1530" w:right="1440" w:bottom="1440" w:left="1440" w:header="720" w:footer="720" w:gutter="0"/>
          <w:cols w:space="720"/>
          <w:docGrid w:linePitch="326"/>
        </w:sectPr>
      </w:pPr>
    </w:p>
    <w:p w14:paraId="0EF200FC" w14:textId="7F8BB172" w:rsidR="00EC5708" w:rsidRDefault="00BB716C" w:rsidP="00BB716C">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36850FE8" w14:textId="5481D6F3" w:rsidR="00EC5708" w:rsidRDefault="00BB716C" w:rsidP="00BB716C">
      <w:pPr>
        <w:spacing w:after="120"/>
        <w:jc w:val="both"/>
        <w:rPr>
          <w:rFonts w:ascii="Arial" w:hAnsi="Arial" w:cs="Arial"/>
          <w:b/>
          <w:sz w:val="20"/>
          <w:szCs w:val="20"/>
        </w:rPr>
      </w:pPr>
      <w:r w:rsidRPr="00BB716C">
        <w:rPr>
          <w:rFonts w:ascii="Arial" w:hAnsi="Arial" w:cs="Arial"/>
          <w:b/>
          <w:sz w:val="20"/>
          <w:szCs w:val="20"/>
        </w:rPr>
        <w:t>Previously emphasized points in the context of the Working Groups and now resumed in the context of the regional workshop</w:t>
      </w:r>
    </w:p>
    <w:p w14:paraId="22EEC67D" w14:textId="28B71B9B"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Investments in start-up p</w:t>
      </w:r>
      <w:r w:rsidR="00D206E5">
        <w:rPr>
          <w:rFonts w:ascii="Arial" w:hAnsi="Arial" w:cs="Arial"/>
          <w:sz w:val="20"/>
          <w:szCs w:val="20"/>
        </w:rPr>
        <w:t>rogrammes</w:t>
      </w:r>
      <w:r>
        <w:rPr>
          <w:rFonts w:ascii="Arial" w:hAnsi="Arial" w:cs="Arial"/>
          <w:sz w:val="20"/>
          <w:szCs w:val="20"/>
        </w:rPr>
        <w:t xml:space="preserve"> coupled with entrepreneurial training for the establishment of SMEs, competitive development of start-ups in areas with potential (transport and communications, food industry, machine building, food products, building materials, plastics, metal construction, machinery and equipment, building materials, etc.)</w:t>
      </w:r>
    </w:p>
    <w:p w14:paraId="3D416CFF" w14:textId="77777777"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 xml:space="preserve">Financing programmes for the acquisition of energy-efficient/eco-friendly technology/equipment  </w:t>
      </w:r>
    </w:p>
    <w:p w14:paraId="11FF4656" w14:textId="77777777"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Infrastructure development for entrepreneurship and SMEs and provision of logistic support: parks, HUBs, logistic terminals oriented to sectors/industries of interest including in the field of circular economy</w:t>
      </w:r>
    </w:p>
    <w:p w14:paraId="093A009A" w14:textId="4CF372C7"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Production of elements and materials for the construction sector, focused on energy efficiency (</w:t>
      </w:r>
      <w:r w:rsidR="00BB716C">
        <w:rPr>
          <w:rFonts w:ascii="Arial" w:hAnsi="Arial" w:cs="Arial"/>
          <w:sz w:val="20"/>
          <w:szCs w:val="20"/>
        </w:rPr>
        <w:t>e.g.,</w:t>
      </w:r>
      <w:r>
        <w:rPr>
          <w:rFonts w:ascii="Arial" w:hAnsi="Arial" w:cs="Arial"/>
          <w:sz w:val="20"/>
          <w:szCs w:val="20"/>
        </w:rPr>
        <w:t xml:space="preserve"> double glazing, roofing, PVC production - QFort other materials)</w:t>
      </w:r>
    </w:p>
    <w:p w14:paraId="1135BFA2" w14:textId="77777777"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 xml:space="preserve">Production of components for the automotive industry with a focus on encouraging the production of electric cars (given Ford's migration to mixed/electric cars) </w:t>
      </w:r>
    </w:p>
    <w:p w14:paraId="5605595B" w14:textId="77777777" w:rsidR="001552CD" w:rsidRDefault="001552CD" w:rsidP="00E42342">
      <w:pPr>
        <w:numPr>
          <w:ilvl w:val="0"/>
          <w:numId w:val="223"/>
        </w:numPr>
        <w:spacing w:after="120"/>
        <w:jc w:val="both"/>
        <w:rPr>
          <w:rFonts w:ascii="Arial" w:hAnsi="Arial" w:cs="Arial"/>
          <w:sz w:val="20"/>
          <w:szCs w:val="20"/>
        </w:rPr>
      </w:pPr>
      <w:r>
        <w:rPr>
          <w:rFonts w:ascii="Arial" w:hAnsi="Arial" w:cs="Arial"/>
          <w:sz w:val="20"/>
          <w:szCs w:val="20"/>
        </w:rPr>
        <w:t>Partnerships/extended partnerships to encourage research and especially technology transfer</w:t>
      </w:r>
    </w:p>
    <w:p w14:paraId="62A1137E" w14:textId="77777777" w:rsidR="001552CD" w:rsidRDefault="001552CD" w:rsidP="00E42342">
      <w:pPr>
        <w:numPr>
          <w:ilvl w:val="0"/>
          <w:numId w:val="224"/>
        </w:numPr>
        <w:spacing w:after="120"/>
        <w:jc w:val="both"/>
        <w:rPr>
          <w:rFonts w:ascii="Arial" w:hAnsi="Arial" w:cs="Arial"/>
          <w:sz w:val="20"/>
          <w:szCs w:val="20"/>
        </w:rPr>
      </w:pPr>
      <w:r>
        <w:rPr>
          <w:rFonts w:ascii="Arial" w:hAnsi="Arial" w:cs="Arial"/>
          <w:sz w:val="20"/>
          <w:szCs w:val="20"/>
        </w:rPr>
        <w:t xml:space="preserve">Decontamination and conversion of brownfield sites  </w:t>
      </w:r>
    </w:p>
    <w:p w14:paraId="5875B5B8" w14:textId="66CC3F70" w:rsidR="001552CD" w:rsidRDefault="001552CD" w:rsidP="00E42342">
      <w:pPr>
        <w:numPr>
          <w:ilvl w:val="0"/>
          <w:numId w:val="224"/>
        </w:numPr>
        <w:spacing w:after="120"/>
        <w:jc w:val="both"/>
        <w:rPr>
          <w:rFonts w:ascii="Arial" w:hAnsi="Arial" w:cs="Arial"/>
          <w:sz w:val="20"/>
          <w:szCs w:val="20"/>
        </w:rPr>
      </w:pPr>
      <w:r>
        <w:rPr>
          <w:rFonts w:ascii="Arial" w:hAnsi="Arial" w:cs="Arial"/>
          <w:sz w:val="20"/>
          <w:szCs w:val="20"/>
        </w:rPr>
        <w:t>Developing/supporting recycling businesses (with incentives for those who use recycled materials (</w:t>
      </w:r>
      <w:r w:rsidR="00BB716C">
        <w:rPr>
          <w:rFonts w:ascii="Arial" w:hAnsi="Arial" w:cs="Arial"/>
          <w:sz w:val="20"/>
          <w:szCs w:val="20"/>
        </w:rPr>
        <w:t>i.e.,</w:t>
      </w:r>
      <w:r>
        <w:rPr>
          <w:rFonts w:ascii="Arial" w:hAnsi="Arial" w:cs="Arial"/>
          <w:sz w:val="20"/>
          <w:szCs w:val="20"/>
        </w:rPr>
        <w:t xml:space="preserve"> business benefits for recycling businesses, waste oil conversion, etc.)</w:t>
      </w:r>
    </w:p>
    <w:p w14:paraId="36C931BB" w14:textId="77777777" w:rsidR="001552CD" w:rsidRDefault="001552CD" w:rsidP="00E42342">
      <w:pPr>
        <w:numPr>
          <w:ilvl w:val="0"/>
          <w:numId w:val="224"/>
        </w:numPr>
        <w:spacing w:after="120"/>
        <w:jc w:val="both"/>
        <w:rPr>
          <w:rFonts w:ascii="Arial" w:hAnsi="Arial" w:cs="Arial"/>
          <w:sz w:val="20"/>
          <w:szCs w:val="20"/>
        </w:rPr>
      </w:pPr>
      <w:r>
        <w:rPr>
          <w:rFonts w:ascii="Arial" w:hAnsi="Arial" w:cs="Arial"/>
          <w:sz w:val="20"/>
          <w:szCs w:val="20"/>
        </w:rPr>
        <w:t>Supporting extended public-private partnerships/partnerships for circular economy</w:t>
      </w:r>
    </w:p>
    <w:p w14:paraId="5F859D43" w14:textId="77777777" w:rsidR="001552CD" w:rsidRDefault="001552CD" w:rsidP="00E42342">
      <w:pPr>
        <w:numPr>
          <w:ilvl w:val="0"/>
          <w:numId w:val="224"/>
        </w:numPr>
        <w:spacing w:after="120"/>
        <w:jc w:val="both"/>
        <w:rPr>
          <w:rFonts w:ascii="Arial" w:hAnsi="Arial" w:cs="Arial"/>
          <w:sz w:val="20"/>
          <w:szCs w:val="20"/>
        </w:rPr>
      </w:pPr>
      <w:r>
        <w:rPr>
          <w:rFonts w:ascii="Arial" w:hAnsi="Arial" w:cs="Arial"/>
          <w:sz w:val="20"/>
          <w:szCs w:val="20"/>
        </w:rPr>
        <w:t xml:space="preserve">Energy efficient actions and installation of photovoltaic panels on the roofs of buildings (blocks and industrial premises) with support from authorities by identifying sources of funding </w:t>
      </w:r>
    </w:p>
    <w:p w14:paraId="23EEF460" w14:textId="77777777" w:rsidR="001552CD" w:rsidRDefault="001552CD" w:rsidP="00E42342">
      <w:pPr>
        <w:numPr>
          <w:ilvl w:val="0"/>
          <w:numId w:val="224"/>
        </w:numPr>
        <w:spacing w:after="120"/>
        <w:jc w:val="both"/>
        <w:rPr>
          <w:rFonts w:ascii="Arial" w:hAnsi="Arial" w:cs="Arial"/>
          <w:sz w:val="20"/>
          <w:szCs w:val="20"/>
        </w:rPr>
      </w:pPr>
      <w:r>
        <w:rPr>
          <w:rFonts w:ascii="Arial" w:hAnsi="Arial" w:cs="Arial"/>
          <w:sz w:val="20"/>
          <w:szCs w:val="20"/>
        </w:rPr>
        <w:t>Solar and biomass renewable energy production</w:t>
      </w:r>
    </w:p>
    <w:p w14:paraId="14ABE0F8" w14:textId="16668AF9" w:rsidR="001552CD" w:rsidRDefault="001552CD" w:rsidP="00E42342">
      <w:pPr>
        <w:numPr>
          <w:ilvl w:val="0"/>
          <w:numId w:val="225"/>
        </w:numPr>
        <w:spacing w:after="120"/>
        <w:jc w:val="both"/>
        <w:rPr>
          <w:rFonts w:ascii="Arial" w:hAnsi="Arial" w:cs="Arial"/>
          <w:sz w:val="20"/>
          <w:szCs w:val="20"/>
        </w:rPr>
      </w:pPr>
      <w:r>
        <w:rPr>
          <w:rFonts w:ascii="Arial" w:hAnsi="Arial" w:cs="Arial"/>
          <w:sz w:val="20"/>
          <w:szCs w:val="20"/>
        </w:rPr>
        <w:t>Training centres for adults/youth with widening the trades range portfolio/ development of initial and continuous training infrastructure so as to reflect the trends: innovation, digitali</w:t>
      </w:r>
      <w:r w:rsidR="004E7B64">
        <w:rPr>
          <w:rFonts w:ascii="Arial" w:hAnsi="Arial" w:cs="Arial"/>
          <w:sz w:val="20"/>
          <w:szCs w:val="20"/>
        </w:rPr>
        <w:t>sation</w:t>
      </w:r>
      <w:r>
        <w:rPr>
          <w:rFonts w:ascii="Arial" w:hAnsi="Arial" w:cs="Arial"/>
          <w:sz w:val="20"/>
          <w:szCs w:val="20"/>
        </w:rPr>
        <w:t>, renewable energies, biotechnologies and bioinformatics, industries with growth potential identified at county or regional level</w:t>
      </w:r>
    </w:p>
    <w:p w14:paraId="20E236AE" w14:textId="2C781184" w:rsidR="001552CD" w:rsidRDefault="001552CD" w:rsidP="00E42342">
      <w:pPr>
        <w:numPr>
          <w:ilvl w:val="0"/>
          <w:numId w:val="225"/>
        </w:numPr>
        <w:spacing w:after="120"/>
        <w:jc w:val="both"/>
        <w:rPr>
          <w:rFonts w:ascii="Arial" w:hAnsi="Arial" w:cs="Arial"/>
          <w:sz w:val="20"/>
          <w:szCs w:val="20"/>
        </w:rPr>
      </w:pPr>
      <w:r>
        <w:rPr>
          <w:rFonts w:ascii="Arial" w:hAnsi="Arial" w:cs="Arial"/>
          <w:sz w:val="20"/>
          <w:szCs w:val="20"/>
        </w:rPr>
        <w:t xml:space="preserve">Creation of a centre for the analysis of workforce dynamics "workforce observatory" to anticipate needs and create skills in line with the needs created, ideally with an intra-county coverage area </w:t>
      </w:r>
      <w:r w:rsidR="00BB716C">
        <w:rPr>
          <w:rFonts w:ascii="Arial" w:hAnsi="Arial" w:cs="Arial"/>
          <w:sz w:val="20"/>
          <w:szCs w:val="20"/>
        </w:rPr>
        <w:t>i.e.,</w:t>
      </w:r>
      <w:r>
        <w:rPr>
          <w:rFonts w:ascii="Arial" w:hAnsi="Arial" w:cs="Arial"/>
          <w:sz w:val="20"/>
          <w:szCs w:val="20"/>
        </w:rPr>
        <w:t xml:space="preserve"> Dolj-Gorj</w:t>
      </w:r>
    </w:p>
    <w:p w14:paraId="1F9B0D80" w14:textId="54793036" w:rsidR="001552CD" w:rsidRPr="00BB716C" w:rsidRDefault="001552CD" w:rsidP="00E42342">
      <w:pPr>
        <w:pStyle w:val="ListParagraph"/>
        <w:numPr>
          <w:ilvl w:val="0"/>
          <w:numId w:val="225"/>
        </w:numPr>
        <w:spacing w:after="120" w:line="240" w:lineRule="auto"/>
        <w:jc w:val="both"/>
        <w:rPr>
          <w:sz w:val="20"/>
          <w:szCs w:val="20"/>
        </w:rPr>
      </w:pPr>
      <w:r w:rsidRPr="00402580">
        <w:rPr>
          <w:sz w:val="20"/>
          <w:szCs w:val="20"/>
        </w:rPr>
        <w:t>Creation of labour force counselling centres integrated with the existing infrastructure (AJOFM, training centres, workforce observatory, etc.) according to existing qualifications/skills. labour market opportunities</w:t>
      </w:r>
    </w:p>
    <w:p w14:paraId="7EA0A951" w14:textId="2DDED91C" w:rsidR="00F9231F" w:rsidRDefault="00BB716C" w:rsidP="00BB716C">
      <w:pPr>
        <w:spacing w:after="120"/>
        <w:jc w:val="both"/>
        <w:rPr>
          <w:rFonts w:ascii="Arial" w:hAnsi="Arial" w:cs="Arial"/>
          <w:sz w:val="20"/>
          <w:szCs w:val="20"/>
        </w:rPr>
      </w:pPr>
      <w:r w:rsidRPr="00BB716C">
        <w:rPr>
          <w:rFonts w:ascii="Arial" w:hAnsi="Arial" w:cs="Arial"/>
          <w:b/>
          <w:sz w:val="20"/>
          <w:szCs w:val="20"/>
        </w:rPr>
        <w:t>New points that have emerged during the regional workshop</w:t>
      </w:r>
    </w:p>
    <w:p w14:paraId="340E2665" w14:textId="1B2FB921" w:rsidR="001552CD" w:rsidRDefault="001552CD" w:rsidP="00E42342">
      <w:pPr>
        <w:numPr>
          <w:ilvl w:val="0"/>
          <w:numId w:val="226"/>
        </w:numPr>
        <w:spacing w:after="120"/>
        <w:jc w:val="both"/>
        <w:rPr>
          <w:rFonts w:ascii="Arial" w:hAnsi="Arial" w:cs="Arial"/>
          <w:color w:val="000000"/>
          <w:sz w:val="20"/>
          <w:szCs w:val="20"/>
        </w:rPr>
      </w:pPr>
      <w:r>
        <w:rPr>
          <w:rFonts w:ascii="Arial" w:hAnsi="Arial" w:cs="Arial"/>
          <w:sz w:val="20"/>
          <w:szCs w:val="20"/>
        </w:rPr>
        <w:t>Investments in p</w:t>
      </w:r>
      <w:r w:rsidR="00D206E5">
        <w:rPr>
          <w:rFonts w:ascii="Arial" w:hAnsi="Arial" w:cs="Arial"/>
          <w:sz w:val="20"/>
          <w:szCs w:val="20"/>
        </w:rPr>
        <w:t>rogrammes</w:t>
      </w:r>
      <w:r>
        <w:rPr>
          <w:rFonts w:ascii="Arial" w:hAnsi="Arial" w:cs="Arial"/>
          <w:sz w:val="20"/>
          <w:szCs w:val="20"/>
        </w:rPr>
        <w:t xml:space="preserve"> for national/international support of start-ups, promoting the concept of start-up through good-practice models</w:t>
      </w:r>
    </w:p>
    <w:p w14:paraId="1DE3B015" w14:textId="77777777" w:rsidR="001552CD" w:rsidRDefault="001552CD" w:rsidP="00E42342">
      <w:pPr>
        <w:numPr>
          <w:ilvl w:val="0"/>
          <w:numId w:val="226"/>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 in new areas with potential - manufacturing of electricity storage batteries</w:t>
      </w:r>
    </w:p>
    <w:p w14:paraId="2E94F641" w14:textId="77777777" w:rsidR="001552CD" w:rsidRDefault="001552CD" w:rsidP="00E42342">
      <w:pPr>
        <w:numPr>
          <w:ilvl w:val="0"/>
          <w:numId w:val="227"/>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 in reengineering/changing technological lines for increasing electric efficiency and introducing new power supplies</w:t>
      </w:r>
      <w:r>
        <w:rPr>
          <w:rFonts w:ascii="Arial" w:hAnsi="Arial" w:cs="Arial"/>
          <w:color w:val="000000"/>
          <w:sz w:val="20"/>
          <w:szCs w:val="20"/>
        </w:rPr>
        <w:t xml:space="preserve"> </w:t>
      </w:r>
    </w:p>
    <w:p w14:paraId="23B7D8AF" w14:textId="2B7C791D" w:rsidR="001552CD" w:rsidRDefault="001552CD" w:rsidP="00E42342">
      <w:pPr>
        <w:numPr>
          <w:ilvl w:val="0"/>
          <w:numId w:val="227"/>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 in digitali</w:t>
      </w:r>
      <w:r w:rsidR="004E7B64">
        <w:rPr>
          <w:rFonts w:ascii="Arial" w:hAnsi="Arial" w:cs="Arial"/>
          <w:sz w:val="20"/>
          <w:szCs w:val="20"/>
        </w:rPr>
        <w:t>sation</w:t>
      </w:r>
      <w:r>
        <w:rPr>
          <w:rFonts w:ascii="Arial" w:hAnsi="Arial" w:cs="Arial"/>
          <w:sz w:val="20"/>
          <w:szCs w:val="20"/>
        </w:rPr>
        <w:t xml:space="preserve"> especially for process automatisation systems/integrated information systems/ “decision support systems”- type data analysis or “dashboard”, “big data” systems</w:t>
      </w:r>
    </w:p>
    <w:p w14:paraId="5F006679" w14:textId="77777777" w:rsidR="001552CD" w:rsidRDefault="001552CD" w:rsidP="00E42342">
      <w:pPr>
        <w:numPr>
          <w:ilvl w:val="0"/>
          <w:numId w:val="227"/>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 for replacing petrol/diesel car fleets with electrical car fleets for large companies, especially those acting in the area of services or that offer maintenance for delivered and installed equipment.</w:t>
      </w:r>
      <w:r>
        <w:rPr>
          <w:rFonts w:ascii="Arial" w:hAnsi="Arial" w:cs="Arial"/>
          <w:color w:val="000000"/>
          <w:sz w:val="20"/>
          <w:szCs w:val="20"/>
        </w:rPr>
        <w:t xml:space="preserve"> </w:t>
      </w:r>
    </w:p>
    <w:p w14:paraId="2D6812F0" w14:textId="77777777" w:rsidR="001552CD" w:rsidRDefault="001552CD" w:rsidP="00E42342">
      <w:pPr>
        <w:numPr>
          <w:ilvl w:val="0"/>
          <w:numId w:val="227"/>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w:t>
      </w:r>
      <w:r>
        <w:rPr>
          <w:rFonts w:ascii="Arial" w:hAnsi="Arial" w:cs="Arial"/>
          <w:color w:val="000000"/>
          <w:sz w:val="20"/>
          <w:szCs w:val="20"/>
        </w:rPr>
        <w:t xml:space="preserve"> in research &amp; innovation departamen</w:t>
      </w:r>
      <w:r>
        <w:rPr>
          <w:rFonts w:ascii="Arial" w:hAnsi="Arial" w:cs="Arial"/>
          <w:sz w:val="20"/>
          <w:szCs w:val="20"/>
        </w:rPr>
        <w:t>ts</w:t>
      </w:r>
    </w:p>
    <w:p w14:paraId="248250B5" w14:textId="77777777" w:rsidR="001552CD" w:rsidRDefault="001552CD" w:rsidP="00E42342">
      <w:pPr>
        <w:numPr>
          <w:ilvl w:val="0"/>
          <w:numId w:val="228"/>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ments in new and efficient decontamination solutions, like using bacteria for</w:t>
      </w:r>
      <w:r>
        <w:rPr>
          <w:rFonts w:ascii="Arial" w:hAnsi="Arial" w:cs="Arial"/>
          <w:color w:val="000000"/>
          <w:sz w:val="20"/>
          <w:szCs w:val="20"/>
        </w:rPr>
        <w:t xml:space="preserve"> certain types of sites </w:t>
      </w:r>
    </w:p>
    <w:p w14:paraId="365F0553" w14:textId="77777777" w:rsidR="001552CD" w:rsidRDefault="001552CD" w:rsidP="00E42342">
      <w:pPr>
        <w:numPr>
          <w:ilvl w:val="0"/>
          <w:numId w:val="228"/>
        </w:numPr>
        <w:spacing w:after="120"/>
        <w:jc w:val="both"/>
        <w:rPr>
          <w:rFonts w:ascii="Arial" w:hAnsi="Arial" w:cs="Arial"/>
          <w:color w:val="000000"/>
          <w:sz w:val="20"/>
          <w:szCs w:val="20"/>
        </w:rPr>
      </w:pPr>
      <w:r>
        <w:rPr>
          <w:rFonts w:ascii="Arial" w:hAnsi="Arial" w:cs="Arial"/>
          <w:color w:val="000000"/>
          <w:sz w:val="20"/>
          <w:szCs w:val="20"/>
        </w:rPr>
        <w:t>Invest</w:t>
      </w:r>
      <w:r>
        <w:rPr>
          <w:rFonts w:ascii="Arial" w:hAnsi="Arial" w:cs="Arial"/>
          <w:sz w:val="20"/>
          <w:szCs w:val="20"/>
        </w:rPr>
        <w:t xml:space="preserve">ments in the diversification/enhancement of methods for monitoring air pollution </w:t>
      </w:r>
      <w:r>
        <w:rPr>
          <w:rFonts w:ascii="Arial" w:hAnsi="Arial" w:cs="Arial"/>
          <w:color w:val="000000"/>
          <w:sz w:val="20"/>
          <w:szCs w:val="20"/>
        </w:rPr>
        <w:t xml:space="preserve"> </w:t>
      </w:r>
    </w:p>
    <w:p w14:paraId="765C0542" w14:textId="77777777" w:rsidR="001552CD" w:rsidRDefault="001552CD" w:rsidP="00E42342">
      <w:pPr>
        <w:numPr>
          <w:ilvl w:val="0"/>
          <w:numId w:val="228"/>
        </w:numPr>
        <w:spacing w:after="120"/>
        <w:jc w:val="both"/>
        <w:rPr>
          <w:rFonts w:ascii="Arial" w:hAnsi="Arial" w:cs="Arial"/>
          <w:sz w:val="20"/>
          <w:szCs w:val="20"/>
        </w:rPr>
      </w:pPr>
      <w:r>
        <w:rPr>
          <w:rFonts w:ascii="Arial" w:hAnsi="Arial" w:cs="Arial"/>
          <w:sz w:val="20"/>
          <w:szCs w:val="20"/>
        </w:rPr>
        <w:lastRenderedPageBreak/>
        <w:t xml:space="preserve">Conversion of Calafat- TCIF building material warehouse into green and leisure space </w:t>
      </w:r>
    </w:p>
    <w:p w14:paraId="4342B973" w14:textId="77777777" w:rsidR="001552CD" w:rsidRDefault="001552CD" w:rsidP="00E42342">
      <w:pPr>
        <w:numPr>
          <w:ilvl w:val="0"/>
          <w:numId w:val="228"/>
        </w:numPr>
        <w:spacing w:after="120"/>
        <w:jc w:val="both"/>
        <w:rPr>
          <w:rFonts w:ascii="Arial" w:hAnsi="Arial" w:cs="Arial"/>
          <w:sz w:val="20"/>
          <w:szCs w:val="20"/>
        </w:rPr>
      </w:pPr>
      <w:r>
        <w:rPr>
          <w:rFonts w:ascii="Arial" w:hAnsi="Arial" w:cs="Arial"/>
          <w:sz w:val="20"/>
          <w:szCs w:val="20"/>
        </w:rPr>
        <w:t>Identification of efficient solutions for the decontamination of the ash dump at Ișalnița and Craiova II (covering with water is no longer sufficient)</w:t>
      </w:r>
    </w:p>
    <w:p w14:paraId="71D15002" w14:textId="7B69E806" w:rsidR="001552CD" w:rsidRDefault="001552CD" w:rsidP="00E42342">
      <w:pPr>
        <w:numPr>
          <w:ilvl w:val="0"/>
          <w:numId w:val="228"/>
        </w:numPr>
        <w:spacing w:after="120"/>
        <w:jc w:val="both"/>
        <w:rPr>
          <w:rFonts w:ascii="Arial" w:hAnsi="Arial" w:cs="Arial"/>
          <w:sz w:val="20"/>
          <w:szCs w:val="20"/>
        </w:rPr>
      </w:pPr>
      <w:r>
        <w:rPr>
          <w:rFonts w:ascii="Arial" w:hAnsi="Arial" w:cs="Arial"/>
          <w:sz w:val="20"/>
          <w:szCs w:val="20"/>
        </w:rPr>
        <w:t xml:space="preserve">Reconversion of the Jiu </w:t>
      </w:r>
      <w:r w:rsidR="00BB716C">
        <w:rPr>
          <w:rFonts w:ascii="Arial" w:hAnsi="Arial" w:cs="Arial"/>
          <w:sz w:val="20"/>
          <w:szCs w:val="20"/>
        </w:rPr>
        <w:t>R</w:t>
      </w:r>
      <w:r>
        <w:rPr>
          <w:rFonts w:ascii="Arial" w:hAnsi="Arial" w:cs="Arial"/>
          <w:sz w:val="20"/>
          <w:szCs w:val="20"/>
        </w:rPr>
        <w:t>iver landfill into green spaces with multiple uses</w:t>
      </w:r>
    </w:p>
    <w:p w14:paraId="05F757C3" w14:textId="77777777" w:rsidR="001552CD" w:rsidRDefault="001552CD" w:rsidP="00E42342">
      <w:pPr>
        <w:numPr>
          <w:ilvl w:val="0"/>
          <w:numId w:val="228"/>
        </w:numPr>
        <w:spacing w:after="120"/>
        <w:jc w:val="both"/>
        <w:rPr>
          <w:rFonts w:ascii="Arial" w:hAnsi="Arial" w:cs="Arial"/>
          <w:sz w:val="20"/>
          <w:szCs w:val="20"/>
        </w:rPr>
      </w:pPr>
      <w:r>
        <w:rPr>
          <w:rFonts w:ascii="Arial" w:hAnsi="Arial" w:cs="Arial"/>
          <w:sz w:val="20"/>
          <w:szCs w:val="20"/>
        </w:rPr>
        <w:t>RADON - recycling of concrete waste - there is demand in the private sector</w:t>
      </w:r>
    </w:p>
    <w:p w14:paraId="67456F06" w14:textId="60EBC7B2" w:rsidR="001552CD" w:rsidRPr="00BB716C" w:rsidRDefault="001552CD" w:rsidP="00E42342">
      <w:pPr>
        <w:numPr>
          <w:ilvl w:val="0"/>
          <w:numId w:val="228"/>
        </w:numPr>
        <w:spacing w:after="120"/>
        <w:jc w:val="both"/>
        <w:rPr>
          <w:rFonts w:ascii="Arial" w:hAnsi="Arial" w:cs="Arial"/>
          <w:sz w:val="20"/>
          <w:szCs w:val="20"/>
        </w:rPr>
      </w:pPr>
      <w:r>
        <w:rPr>
          <w:rFonts w:ascii="Arial" w:hAnsi="Arial" w:cs="Arial"/>
          <w:sz w:val="20"/>
          <w:szCs w:val="20"/>
        </w:rPr>
        <w:t>Conversion of former pig farms (belonging to the University) into industrial park/business infrastructure</w:t>
      </w:r>
    </w:p>
    <w:p w14:paraId="1D9FDB58" w14:textId="4D2F1142" w:rsidR="001552CD" w:rsidRPr="00BB716C" w:rsidRDefault="001552CD" w:rsidP="00E42342">
      <w:pPr>
        <w:pStyle w:val="ListParagraph"/>
        <w:numPr>
          <w:ilvl w:val="0"/>
          <w:numId w:val="229"/>
        </w:numPr>
        <w:spacing w:after="120" w:line="240" w:lineRule="auto"/>
        <w:contextualSpacing w:val="0"/>
        <w:jc w:val="both"/>
        <w:rPr>
          <w:sz w:val="20"/>
          <w:szCs w:val="20"/>
        </w:rPr>
      </w:pPr>
      <w:r w:rsidRPr="00402580">
        <w:rPr>
          <w:sz w:val="20"/>
          <w:szCs w:val="20"/>
        </w:rPr>
        <w:t>Career counseling centers</w:t>
      </w:r>
      <w:r w:rsidRPr="00402580">
        <w:rPr>
          <w:color w:val="000000"/>
          <w:sz w:val="20"/>
          <w:szCs w:val="20"/>
        </w:rPr>
        <w:t xml:space="preserve"> (</w:t>
      </w:r>
      <w:r w:rsidRPr="00402580">
        <w:rPr>
          <w:sz w:val="20"/>
          <w:szCs w:val="20"/>
        </w:rPr>
        <w:t>following</w:t>
      </w:r>
      <w:r w:rsidRPr="00402580">
        <w:rPr>
          <w:color w:val="000000"/>
          <w:sz w:val="20"/>
          <w:szCs w:val="20"/>
        </w:rPr>
        <w:t xml:space="preserve"> CJRAE structure– </w:t>
      </w:r>
      <w:r w:rsidR="00D15092">
        <w:rPr>
          <w:sz w:val="20"/>
          <w:szCs w:val="20"/>
        </w:rPr>
        <w:t>R</w:t>
      </w:r>
      <w:r w:rsidRPr="00402580">
        <w:rPr>
          <w:sz w:val="20"/>
          <w:szCs w:val="20"/>
        </w:rPr>
        <w:t xml:space="preserve">esource and </w:t>
      </w:r>
      <w:r w:rsidR="00D15092">
        <w:rPr>
          <w:sz w:val="20"/>
          <w:szCs w:val="20"/>
        </w:rPr>
        <w:t>E</w:t>
      </w:r>
      <w:r w:rsidRPr="00402580">
        <w:rPr>
          <w:sz w:val="20"/>
          <w:szCs w:val="20"/>
        </w:rPr>
        <w:t xml:space="preserve">ducational </w:t>
      </w:r>
      <w:r w:rsidR="00D15092">
        <w:rPr>
          <w:sz w:val="20"/>
          <w:szCs w:val="20"/>
        </w:rPr>
        <w:t>A</w:t>
      </w:r>
      <w:r w:rsidRPr="00402580">
        <w:rPr>
          <w:sz w:val="20"/>
          <w:szCs w:val="20"/>
        </w:rPr>
        <w:t xml:space="preserve">ctivities </w:t>
      </w:r>
      <w:r w:rsidR="00D15092">
        <w:rPr>
          <w:sz w:val="20"/>
          <w:szCs w:val="20"/>
        </w:rPr>
        <w:t>C</w:t>
      </w:r>
      <w:r w:rsidRPr="00402580">
        <w:rPr>
          <w:sz w:val="20"/>
          <w:szCs w:val="20"/>
        </w:rPr>
        <w:t xml:space="preserve">ounty </w:t>
      </w:r>
      <w:r w:rsidR="00D15092">
        <w:rPr>
          <w:sz w:val="20"/>
          <w:szCs w:val="20"/>
        </w:rPr>
        <w:t>C</w:t>
      </w:r>
      <w:r w:rsidRPr="00402580">
        <w:rPr>
          <w:sz w:val="20"/>
          <w:szCs w:val="20"/>
        </w:rPr>
        <w:t>enter</w:t>
      </w:r>
      <w:r w:rsidRPr="00402580">
        <w:rPr>
          <w:color w:val="000000"/>
          <w:sz w:val="20"/>
          <w:szCs w:val="20"/>
        </w:rPr>
        <w:t>) integrated with the existing infrastructure and equipped with new working tools, solutions for young</w:t>
      </w:r>
      <w:r w:rsidRPr="00402580">
        <w:rPr>
          <w:sz w:val="20"/>
          <w:szCs w:val="20"/>
        </w:rPr>
        <w:t>sters under 14 and their parents</w:t>
      </w:r>
    </w:p>
    <w:p w14:paraId="3F5968B8" w14:textId="40969E0A" w:rsidR="002E5127" w:rsidRDefault="00BB716C" w:rsidP="00BB716C">
      <w:pPr>
        <w:spacing w:after="120"/>
        <w:jc w:val="both"/>
        <w:rPr>
          <w:sz w:val="20"/>
          <w:szCs w:val="20"/>
        </w:rPr>
      </w:pPr>
      <w:r w:rsidRPr="00BB716C">
        <w:rPr>
          <w:rFonts w:ascii="Arial" w:hAnsi="Arial" w:cs="Arial"/>
          <w:b/>
          <w:sz w:val="20"/>
          <w:szCs w:val="20"/>
        </w:rPr>
        <w:t>Assessment on the pertinence of the ideas put forward / Rationale based on the data collected and the JTF framework</w:t>
      </w:r>
    </w:p>
    <w:p w14:paraId="27ADBFC3" w14:textId="6D39AC70" w:rsidR="002E5127" w:rsidRPr="000A7086" w:rsidRDefault="00D15092" w:rsidP="00E627DC">
      <w:pPr>
        <w:spacing w:after="120"/>
        <w:jc w:val="both"/>
        <w:rPr>
          <w:rFonts w:ascii="Arial" w:hAnsi="Arial" w:cs="Arial"/>
          <w:bCs/>
          <w:color w:val="000000"/>
          <w:sz w:val="20"/>
          <w:szCs w:val="20"/>
          <w:lang w:eastAsia="en-US"/>
        </w:rPr>
      </w:pPr>
      <w:r w:rsidRPr="000A7086">
        <w:rPr>
          <w:rFonts w:ascii="Arial" w:hAnsi="Arial" w:cs="Arial"/>
          <w:bCs/>
          <w:sz w:val="20"/>
          <w:szCs w:val="20"/>
        </w:rPr>
        <w:t xml:space="preserve">Ideas which are </w:t>
      </w:r>
      <w:r w:rsidR="00E627DC" w:rsidRPr="000A7086">
        <w:rPr>
          <w:rFonts w:ascii="Arial" w:hAnsi="Arial" w:cs="Arial"/>
          <w:bCs/>
          <w:sz w:val="20"/>
          <w:szCs w:val="20"/>
        </w:rPr>
        <w:t xml:space="preserve">compatible </w:t>
      </w:r>
      <w:r w:rsidRPr="000A7086">
        <w:rPr>
          <w:rFonts w:ascii="Arial" w:hAnsi="Arial" w:cs="Arial"/>
          <w:bCs/>
          <w:sz w:val="20"/>
          <w:szCs w:val="20"/>
        </w:rPr>
        <w:t>with the JTF logic</w:t>
      </w:r>
      <w:r w:rsidR="00E627DC">
        <w:rPr>
          <w:rFonts w:ascii="Arial" w:hAnsi="Arial" w:cs="Arial"/>
          <w:bCs/>
          <w:sz w:val="20"/>
          <w:szCs w:val="20"/>
        </w:rPr>
        <w:t>:</w:t>
      </w:r>
    </w:p>
    <w:p w14:paraId="4955ACF4" w14:textId="2CA51B4A" w:rsidR="00AE7903" w:rsidRDefault="00AE7903" w:rsidP="00E42342">
      <w:pPr>
        <w:numPr>
          <w:ilvl w:val="0"/>
          <w:numId w:val="230"/>
        </w:numPr>
        <w:spacing w:after="120"/>
        <w:jc w:val="both"/>
        <w:rPr>
          <w:rFonts w:ascii="Arial" w:hAnsi="Arial" w:cs="Arial"/>
          <w:b/>
          <w:sz w:val="20"/>
          <w:szCs w:val="20"/>
          <w:lang w:eastAsia="en-US"/>
        </w:rPr>
      </w:pPr>
      <w:r>
        <w:rPr>
          <w:rFonts w:ascii="Arial" w:hAnsi="Arial" w:cs="Arial"/>
          <w:sz w:val="20"/>
          <w:szCs w:val="20"/>
        </w:rPr>
        <w:t>Investments in start-up p</w:t>
      </w:r>
      <w:r w:rsidR="00D206E5">
        <w:rPr>
          <w:rFonts w:ascii="Arial" w:hAnsi="Arial" w:cs="Arial"/>
          <w:sz w:val="20"/>
          <w:szCs w:val="20"/>
        </w:rPr>
        <w:t>rogrammes</w:t>
      </w:r>
      <w:r>
        <w:rPr>
          <w:rFonts w:ascii="Arial" w:hAnsi="Arial" w:cs="Arial"/>
          <w:sz w:val="20"/>
          <w:szCs w:val="20"/>
        </w:rPr>
        <w:t xml:space="preserve"> coupled with entrepreneurial training for the establishment of SMEs, competitive development of start-ups in areas with potential (transport and communications, food industry, machine building, food, building materials, plastics, metal construction, machinery and equipment, building materials, recycling, etc.)</w:t>
      </w:r>
    </w:p>
    <w:p w14:paraId="76D8D95D"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 xml:space="preserve">Funding programmes for the purchase of energy-efficient/eco-friendly technology/equipment  </w:t>
      </w:r>
    </w:p>
    <w:p w14:paraId="7817C4FC"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Development of infrastructure for entrepreneurship and SMEs and supplying logistic support: parks, HUBs, logistic terminals targeting sectors/industries of interest including in the field of circular economy</w:t>
      </w:r>
    </w:p>
    <w:p w14:paraId="42ECEFA8" w14:textId="55F00539"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Production of elements and materials for the construction sector, focused on energy efficiency (</w:t>
      </w:r>
      <w:r w:rsidR="00E627DC">
        <w:rPr>
          <w:rFonts w:ascii="Arial" w:hAnsi="Arial" w:cs="Arial"/>
          <w:sz w:val="20"/>
          <w:szCs w:val="20"/>
        </w:rPr>
        <w:t>e.g.,</w:t>
      </w:r>
      <w:r>
        <w:rPr>
          <w:rFonts w:ascii="Arial" w:hAnsi="Arial" w:cs="Arial"/>
          <w:sz w:val="20"/>
          <w:szCs w:val="20"/>
        </w:rPr>
        <w:t xml:space="preserve"> double glazing, roofing, PVC production - QFort other materials)</w:t>
      </w:r>
    </w:p>
    <w:p w14:paraId="16B2E078"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 xml:space="preserve">Solar renewable energy production  </w:t>
      </w:r>
    </w:p>
    <w:p w14:paraId="675A064D"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Identificatio</w:t>
      </w:r>
      <w:r w:rsidRPr="00D15092">
        <w:rPr>
          <w:rFonts w:ascii="Arial" w:hAnsi="Arial" w:cs="Arial"/>
          <w:sz w:val="20"/>
          <w:szCs w:val="20"/>
        </w:rPr>
        <w:t xml:space="preserve">n of </w:t>
      </w:r>
      <w:r w:rsidRPr="00402580">
        <w:rPr>
          <w:rFonts w:ascii="Arial" w:hAnsi="Arial" w:cs="Arial"/>
          <w:sz w:val="20"/>
          <w:szCs w:val="20"/>
        </w:rPr>
        <w:t>efficient solutions for the decontamination of the ash dump at Isalnita and Craiova II</w:t>
      </w:r>
      <w:r>
        <w:rPr>
          <w:rFonts w:ascii="Arial" w:hAnsi="Arial" w:cs="Arial"/>
          <w:sz w:val="20"/>
          <w:szCs w:val="20"/>
        </w:rPr>
        <w:t xml:space="preserve">  </w:t>
      </w:r>
    </w:p>
    <w:p w14:paraId="03B0A659"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 xml:space="preserve">Energy efficient actions and installation of photovoltaic panels on the roofs of buildings (blocks and industrial premises) with support from authorities by identifying sources of funding </w:t>
      </w:r>
    </w:p>
    <w:p w14:paraId="2AEA46CD" w14:textId="77777777" w:rsidR="00AE7903" w:rsidRDefault="00AE7903" w:rsidP="00E42342">
      <w:pPr>
        <w:numPr>
          <w:ilvl w:val="0"/>
          <w:numId w:val="230"/>
        </w:numPr>
        <w:spacing w:after="120"/>
        <w:jc w:val="both"/>
        <w:rPr>
          <w:rFonts w:ascii="Arial" w:hAnsi="Arial" w:cs="Arial"/>
          <w:b/>
          <w:sz w:val="20"/>
          <w:szCs w:val="20"/>
        </w:rPr>
      </w:pPr>
      <w:r>
        <w:rPr>
          <w:rFonts w:ascii="Arial" w:hAnsi="Arial" w:cs="Arial"/>
          <w:sz w:val="20"/>
          <w:szCs w:val="20"/>
        </w:rPr>
        <w:t>Training centres for adults/young people with diversification of the portfolio of trades/ development of initial and continuing training infrastructure by reflecting trends: innovation, digitalisation, renewable energies, biotechnologies and bioinformatics, industries with growth potential identified at county or regional level</w:t>
      </w:r>
    </w:p>
    <w:p w14:paraId="78AAEF3A" w14:textId="16F7C787" w:rsidR="00AE7903" w:rsidRPr="00402580" w:rsidRDefault="00AE7903" w:rsidP="00E42342">
      <w:pPr>
        <w:numPr>
          <w:ilvl w:val="0"/>
          <w:numId w:val="230"/>
        </w:numPr>
        <w:spacing w:after="120"/>
        <w:jc w:val="both"/>
        <w:rPr>
          <w:rFonts w:ascii="Arial" w:hAnsi="Arial" w:cs="Arial"/>
          <w:sz w:val="20"/>
          <w:szCs w:val="20"/>
        </w:rPr>
      </w:pPr>
      <w:r w:rsidRPr="00D15092">
        <w:rPr>
          <w:rFonts w:ascii="Arial" w:hAnsi="Arial" w:cs="Arial"/>
          <w:sz w:val="20"/>
          <w:szCs w:val="20"/>
        </w:rPr>
        <w:t xml:space="preserve">Creation of a centre for the analysis of workforce dynamics </w:t>
      </w:r>
      <w:r w:rsidRPr="00402580">
        <w:rPr>
          <w:rFonts w:ascii="Arial" w:hAnsi="Arial" w:cs="Arial"/>
          <w:sz w:val="20"/>
          <w:szCs w:val="20"/>
        </w:rPr>
        <w:t>"workforce observatory"</w:t>
      </w:r>
      <w:r w:rsidRPr="00D15092">
        <w:rPr>
          <w:rFonts w:ascii="Arial" w:hAnsi="Arial" w:cs="Arial"/>
          <w:sz w:val="20"/>
          <w:szCs w:val="20"/>
        </w:rPr>
        <w:t xml:space="preserve"> to anticipate needs and create skills in line with the needs created,</w:t>
      </w:r>
      <w:r w:rsidRPr="00402580">
        <w:rPr>
          <w:rFonts w:ascii="Arial" w:hAnsi="Arial" w:cs="Arial"/>
          <w:sz w:val="20"/>
          <w:szCs w:val="20"/>
        </w:rPr>
        <w:t xml:space="preserve"> ideally with an intra-county coverage area </w:t>
      </w:r>
      <w:r w:rsidR="00E627DC" w:rsidRPr="00402580">
        <w:rPr>
          <w:rFonts w:ascii="Arial" w:hAnsi="Arial" w:cs="Arial"/>
          <w:sz w:val="20"/>
          <w:szCs w:val="20"/>
        </w:rPr>
        <w:t>i.e.,</w:t>
      </w:r>
      <w:r w:rsidRPr="00402580">
        <w:rPr>
          <w:rFonts w:ascii="Arial" w:hAnsi="Arial" w:cs="Arial"/>
          <w:sz w:val="20"/>
          <w:szCs w:val="20"/>
        </w:rPr>
        <w:t xml:space="preserve"> Dolj-Gor</w:t>
      </w:r>
      <w:r w:rsidRPr="00D15092">
        <w:rPr>
          <w:rFonts w:ascii="Arial" w:hAnsi="Arial" w:cs="Arial"/>
          <w:sz w:val="20"/>
          <w:szCs w:val="20"/>
        </w:rPr>
        <w:t>j</w:t>
      </w:r>
    </w:p>
    <w:p w14:paraId="193B99D1" w14:textId="5899377A" w:rsidR="00D15092" w:rsidRPr="00E627DC" w:rsidRDefault="00D15092" w:rsidP="00E627DC">
      <w:pPr>
        <w:spacing w:after="120"/>
        <w:jc w:val="both"/>
        <w:rPr>
          <w:rFonts w:ascii="Arial" w:hAnsi="Arial" w:cs="Arial"/>
          <w:bCs/>
          <w:sz w:val="20"/>
          <w:szCs w:val="20"/>
        </w:rPr>
      </w:pPr>
      <w:r w:rsidRPr="000A7086">
        <w:rPr>
          <w:rFonts w:ascii="Arial" w:hAnsi="Arial" w:cs="Arial"/>
          <w:bCs/>
          <w:sz w:val="20"/>
          <w:szCs w:val="20"/>
        </w:rPr>
        <w:t xml:space="preserve">Ideas which are not </w:t>
      </w:r>
      <w:r w:rsidR="00E627DC" w:rsidRPr="00E627DC">
        <w:rPr>
          <w:rFonts w:ascii="Arial" w:hAnsi="Arial" w:cs="Arial"/>
          <w:bCs/>
          <w:sz w:val="20"/>
          <w:szCs w:val="20"/>
        </w:rPr>
        <w:t xml:space="preserve">compatible </w:t>
      </w:r>
      <w:r w:rsidRPr="000A7086">
        <w:rPr>
          <w:rFonts w:ascii="Arial" w:hAnsi="Arial" w:cs="Arial"/>
          <w:bCs/>
          <w:sz w:val="20"/>
          <w:szCs w:val="20"/>
        </w:rPr>
        <w:t>with</w:t>
      </w:r>
      <w:r w:rsidR="002E5127" w:rsidRPr="000A7086">
        <w:rPr>
          <w:rFonts w:ascii="Arial" w:hAnsi="Arial" w:cs="Arial"/>
          <w:bCs/>
          <w:sz w:val="20"/>
          <w:szCs w:val="20"/>
        </w:rPr>
        <w:t xml:space="preserve"> </w:t>
      </w:r>
      <w:r w:rsidRPr="000A7086">
        <w:rPr>
          <w:rFonts w:ascii="Arial" w:hAnsi="Arial" w:cs="Arial"/>
          <w:bCs/>
          <w:sz w:val="20"/>
          <w:szCs w:val="20"/>
        </w:rPr>
        <w:t>JTF</w:t>
      </w:r>
      <w:r w:rsidR="002E5127" w:rsidRPr="000A7086">
        <w:rPr>
          <w:rFonts w:ascii="Arial" w:hAnsi="Arial" w:cs="Arial"/>
          <w:bCs/>
          <w:sz w:val="20"/>
          <w:szCs w:val="20"/>
        </w:rPr>
        <w:t>:</w:t>
      </w:r>
    </w:p>
    <w:p w14:paraId="50CEBBC2" w14:textId="5F583904" w:rsidR="00AE7903" w:rsidRPr="00E627DC" w:rsidRDefault="00AE7903" w:rsidP="00E42342">
      <w:pPr>
        <w:numPr>
          <w:ilvl w:val="0"/>
          <w:numId w:val="231"/>
        </w:numPr>
        <w:spacing w:after="120"/>
        <w:jc w:val="both"/>
        <w:rPr>
          <w:rFonts w:ascii="Arial" w:hAnsi="Arial" w:cs="Arial"/>
          <w:sz w:val="20"/>
          <w:szCs w:val="20"/>
          <w:lang w:eastAsia="en-US"/>
        </w:rPr>
      </w:pPr>
      <w:r w:rsidRPr="00E627DC">
        <w:rPr>
          <w:rFonts w:ascii="Arial" w:hAnsi="Arial" w:cs="Arial"/>
          <w:sz w:val="20"/>
          <w:szCs w:val="20"/>
        </w:rPr>
        <w:t>Investments in programmes for making start-ups international (</w:t>
      </w:r>
      <w:r w:rsidR="00D15092" w:rsidRPr="00E627DC">
        <w:rPr>
          <w:rFonts w:ascii="Arial" w:hAnsi="Arial" w:cs="Arial"/>
          <w:sz w:val="20"/>
          <w:szCs w:val="20"/>
        </w:rPr>
        <w:t>e.g.</w:t>
      </w:r>
      <w:r w:rsidR="00E627DC">
        <w:rPr>
          <w:rFonts w:ascii="Arial" w:hAnsi="Arial" w:cs="Arial"/>
          <w:sz w:val="20"/>
          <w:szCs w:val="20"/>
        </w:rPr>
        <w:t>,</w:t>
      </w:r>
      <w:r w:rsidR="00D15092" w:rsidRPr="00E627DC">
        <w:rPr>
          <w:rFonts w:ascii="Arial" w:hAnsi="Arial" w:cs="Arial"/>
          <w:sz w:val="20"/>
          <w:szCs w:val="20"/>
        </w:rPr>
        <w:t xml:space="preserve"> subsidizing their participation in </w:t>
      </w:r>
      <w:r w:rsidRPr="00E627DC">
        <w:rPr>
          <w:rFonts w:ascii="Arial" w:hAnsi="Arial" w:cs="Arial"/>
          <w:sz w:val="20"/>
          <w:szCs w:val="20"/>
        </w:rPr>
        <w:t xml:space="preserve">international </w:t>
      </w:r>
      <w:r w:rsidR="00D15092" w:rsidRPr="00E627DC">
        <w:rPr>
          <w:rFonts w:ascii="Arial" w:hAnsi="Arial" w:cs="Arial"/>
          <w:sz w:val="20"/>
          <w:szCs w:val="20"/>
        </w:rPr>
        <w:t>fairs,</w:t>
      </w:r>
      <w:r w:rsidRPr="00E627DC">
        <w:rPr>
          <w:rFonts w:ascii="Arial" w:hAnsi="Arial" w:cs="Arial"/>
          <w:sz w:val="20"/>
          <w:szCs w:val="20"/>
        </w:rPr>
        <w:t xml:space="preserve"> etc)</w:t>
      </w:r>
    </w:p>
    <w:p w14:paraId="2605EA9A" w14:textId="77777777" w:rsidR="00AE7903" w:rsidRPr="00E627DC" w:rsidRDefault="00AE7903" w:rsidP="00E42342">
      <w:pPr>
        <w:numPr>
          <w:ilvl w:val="0"/>
          <w:numId w:val="231"/>
        </w:numPr>
        <w:spacing w:after="120"/>
        <w:jc w:val="both"/>
        <w:rPr>
          <w:rFonts w:ascii="Arial" w:hAnsi="Arial" w:cs="Arial"/>
          <w:sz w:val="20"/>
          <w:szCs w:val="20"/>
        </w:rPr>
      </w:pPr>
      <w:r w:rsidRPr="00E627DC">
        <w:rPr>
          <w:rFonts w:ascii="Arial" w:hAnsi="Arial" w:cs="Arial"/>
          <w:sz w:val="20"/>
          <w:szCs w:val="20"/>
        </w:rPr>
        <w:t xml:space="preserve">Investments for replacing petrol/diesel car fleets with electrical car fleets for large companies, especially those acting in the area of services or that offer maintenance for delivered and installed equipment. </w:t>
      </w:r>
    </w:p>
    <w:p w14:paraId="4C05E9B7" w14:textId="77777777" w:rsidR="00AE7903" w:rsidRPr="00E627DC" w:rsidRDefault="00AE7903" w:rsidP="00E42342">
      <w:pPr>
        <w:numPr>
          <w:ilvl w:val="0"/>
          <w:numId w:val="231"/>
        </w:numPr>
        <w:spacing w:after="120"/>
        <w:jc w:val="both"/>
        <w:rPr>
          <w:rFonts w:ascii="Arial" w:hAnsi="Arial" w:cs="Arial"/>
          <w:sz w:val="20"/>
          <w:szCs w:val="20"/>
        </w:rPr>
      </w:pPr>
      <w:r w:rsidRPr="00E627DC">
        <w:rPr>
          <w:rFonts w:ascii="Arial" w:hAnsi="Arial" w:cs="Arial"/>
          <w:sz w:val="20"/>
          <w:szCs w:val="20"/>
        </w:rPr>
        <w:t>Investments in research &amp; innovation departaments for large companies</w:t>
      </w:r>
    </w:p>
    <w:p w14:paraId="19E3EE2B" w14:textId="4F495A60" w:rsidR="00AE7903" w:rsidRPr="00E627DC" w:rsidRDefault="00AE7903" w:rsidP="00E42342">
      <w:pPr>
        <w:numPr>
          <w:ilvl w:val="0"/>
          <w:numId w:val="231"/>
        </w:numPr>
        <w:spacing w:after="120"/>
        <w:jc w:val="both"/>
        <w:rPr>
          <w:rFonts w:ascii="Arial" w:hAnsi="Arial" w:cs="Arial"/>
          <w:sz w:val="20"/>
          <w:szCs w:val="20"/>
        </w:rPr>
      </w:pPr>
      <w:r w:rsidRPr="00E627DC">
        <w:rPr>
          <w:rFonts w:ascii="Arial" w:hAnsi="Arial" w:cs="Arial"/>
          <w:sz w:val="20"/>
          <w:szCs w:val="20"/>
        </w:rPr>
        <w:t xml:space="preserve">Investments for the development of </w:t>
      </w:r>
      <w:r w:rsidR="00D15092" w:rsidRPr="00E627DC">
        <w:rPr>
          <w:rFonts w:ascii="Arial" w:hAnsi="Arial" w:cs="Arial"/>
          <w:sz w:val="20"/>
          <w:szCs w:val="20"/>
        </w:rPr>
        <w:t>large</w:t>
      </w:r>
      <w:r w:rsidRPr="00E627DC">
        <w:rPr>
          <w:rFonts w:ascii="Arial" w:hAnsi="Arial" w:cs="Arial"/>
          <w:sz w:val="20"/>
          <w:szCs w:val="20"/>
        </w:rPr>
        <w:t xml:space="preserve"> companies, </w:t>
      </w:r>
      <w:r w:rsidR="00E627DC" w:rsidRPr="00E627DC">
        <w:rPr>
          <w:rFonts w:ascii="Arial" w:hAnsi="Arial" w:cs="Arial"/>
          <w:sz w:val="20"/>
          <w:szCs w:val="20"/>
        </w:rPr>
        <w:t>i.e.,</w:t>
      </w:r>
      <w:r w:rsidRPr="00E627DC">
        <w:rPr>
          <w:rFonts w:ascii="Arial" w:hAnsi="Arial" w:cs="Arial"/>
          <w:sz w:val="20"/>
          <w:szCs w:val="20"/>
        </w:rPr>
        <w:t xml:space="preserve"> Investments in reengineering/changing technological lines for increasing electric efficiency and introducing new power supplies for current activities, especially for those requiring high energy consumptions, digitali</w:t>
      </w:r>
      <w:r w:rsidR="004E7B64">
        <w:rPr>
          <w:rFonts w:ascii="Arial" w:hAnsi="Arial" w:cs="Arial"/>
          <w:sz w:val="20"/>
          <w:szCs w:val="20"/>
        </w:rPr>
        <w:t>sation</w:t>
      </w:r>
      <w:r w:rsidRPr="00E627DC">
        <w:rPr>
          <w:rFonts w:ascii="Arial" w:hAnsi="Arial" w:cs="Arial"/>
          <w:sz w:val="20"/>
          <w:szCs w:val="20"/>
        </w:rPr>
        <w:t xml:space="preserve"> especially for process automatisation systems/integrated information systems/ “decision support systems”- type data analysis or “dashboard” systems </w:t>
      </w:r>
    </w:p>
    <w:p w14:paraId="5834B58C" w14:textId="77777777" w:rsidR="00AE7903" w:rsidRPr="00E627DC" w:rsidRDefault="00AE7903" w:rsidP="00E42342">
      <w:pPr>
        <w:numPr>
          <w:ilvl w:val="0"/>
          <w:numId w:val="231"/>
        </w:numPr>
        <w:spacing w:after="120"/>
        <w:jc w:val="both"/>
        <w:rPr>
          <w:rFonts w:ascii="Arial" w:hAnsi="Arial" w:cs="Arial"/>
          <w:sz w:val="20"/>
          <w:szCs w:val="20"/>
        </w:rPr>
      </w:pPr>
      <w:r w:rsidRPr="00E627DC">
        <w:rPr>
          <w:rFonts w:ascii="Arial" w:hAnsi="Arial" w:cs="Arial"/>
          <w:sz w:val="20"/>
          <w:szCs w:val="20"/>
        </w:rPr>
        <w:t xml:space="preserve">Investments in new agricultural businesses and land improvement infrastructure </w:t>
      </w:r>
    </w:p>
    <w:p w14:paraId="79259219" w14:textId="77777777" w:rsidR="00AE7903" w:rsidRPr="00E627DC" w:rsidRDefault="00AE7903" w:rsidP="00E42342">
      <w:pPr>
        <w:numPr>
          <w:ilvl w:val="0"/>
          <w:numId w:val="231"/>
        </w:numPr>
        <w:spacing w:after="120"/>
        <w:jc w:val="both"/>
        <w:rPr>
          <w:rFonts w:ascii="Arial" w:hAnsi="Arial" w:cs="Arial"/>
          <w:sz w:val="20"/>
          <w:szCs w:val="20"/>
        </w:rPr>
      </w:pPr>
      <w:r w:rsidRPr="00E627DC">
        <w:rPr>
          <w:rFonts w:ascii="Arial" w:hAnsi="Arial" w:cs="Arial"/>
          <w:sz w:val="20"/>
          <w:szCs w:val="20"/>
        </w:rPr>
        <w:lastRenderedPageBreak/>
        <w:t xml:space="preserve">Investments in tourism infrastructure </w:t>
      </w:r>
    </w:p>
    <w:p w14:paraId="63200EF6" w14:textId="1AAF6699" w:rsidR="002E5127" w:rsidRPr="00E627DC" w:rsidRDefault="00AE7903" w:rsidP="00E42342">
      <w:pPr>
        <w:pStyle w:val="ListParagraph"/>
        <w:numPr>
          <w:ilvl w:val="0"/>
          <w:numId w:val="231"/>
        </w:numPr>
        <w:spacing w:after="120" w:line="240" w:lineRule="auto"/>
        <w:contextualSpacing w:val="0"/>
        <w:jc w:val="both"/>
        <w:rPr>
          <w:sz w:val="20"/>
          <w:szCs w:val="20"/>
        </w:rPr>
      </w:pPr>
      <w:r w:rsidRPr="00E627DC">
        <w:rPr>
          <w:sz w:val="20"/>
          <w:szCs w:val="20"/>
        </w:rPr>
        <w:t>Renewable energy production from biomass and related feedstock management infrastructure</w:t>
      </w:r>
    </w:p>
    <w:p w14:paraId="55FFC622" w14:textId="77777777" w:rsidR="00AE7903" w:rsidRPr="002E5127" w:rsidRDefault="00AE7903" w:rsidP="00AE7903">
      <w:pPr>
        <w:pStyle w:val="ListParagraph"/>
        <w:ind w:left="360"/>
        <w:jc w:val="both"/>
        <w:rPr>
          <w:sz w:val="20"/>
          <w:szCs w:val="20"/>
        </w:rPr>
      </w:pPr>
    </w:p>
    <w:p w14:paraId="767CF576" w14:textId="723FA746" w:rsidR="00D6091A" w:rsidRPr="00597139" w:rsidRDefault="00D6091A" w:rsidP="00E42342">
      <w:pPr>
        <w:pStyle w:val="Heading1"/>
        <w:numPr>
          <w:ilvl w:val="0"/>
          <w:numId w:val="110"/>
        </w:numPr>
        <w:ind w:left="567" w:hanging="567"/>
        <w:rPr>
          <w:color w:val="4F81BD" w:themeColor="accent1"/>
        </w:rPr>
      </w:pPr>
      <w:bookmarkStart w:id="193" w:name="_Toc90725874"/>
      <w:r w:rsidRPr="00597139">
        <w:rPr>
          <w:color w:val="4F81BD" w:themeColor="accent1"/>
        </w:rPr>
        <w:t>Just Transition Assessment</w:t>
      </w:r>
      <w:r w:rsidR="00FF34FD" w:rsidRPr="00597139">
        <w:rPr>
          <w:color w:val="4F81BD" w:themeColor="accent1"/>
        </w:rPr>
        <w:t>, Actions and Investment Needs</w:t>
      </w:r>
      <w:r w:rsidRPr="00597139">
        <w:rPr>
          <w:color w:val="4F81BD" w:themeColor="accent1"/>
        </w:rPr>
        <w:t xml:space="preserve"> for Gorj County</w:t>
      </w:r>
      <w:bookmarkEnd w:id="193"/>
    </w:p>
    <w:p w14:paraId="268EF2CA" w14:textId="77777777" w:rsidR="00355050" w:rsidRDefault="00355050" w:rsidP="00355050">
      <w:pPr>
        <w:jc w:val="both"/>
        <w:rPr>
          <w:rFonts w:ascii="Arial" w:hAnsi="Arial" w:cs="Arial"/>
          <w:sz w:val="20"/>
          <w:szCs w:val="20"/>
        </w:rPr>
      </w:pPr>
    </w:p>
    <w:p w14:paraId="0F0115C1" w14:textId="4007A6B7" w:rsidR="00355050" w:rsidRPr="00402580" w:rsidRDefault="00355050" w:rsidP="00402580">
      <w:pPr>
        <w:pStyle w:val="FootnoteText"/>
        <w:jc w:val="both"/>
        <w:rPr>
          <w:sz w:val="20"/>
          <w:szCs w:val="20"/>
        </w:rPr>
      </w:pPr>
      <w:r w:rsidRPr="00355050">
        <w:rPr>
          <w:sz w:val="20"/>
          <w:szCs w:val="20"/>
        </w:rPr>
        <w:t xml:space="preserve">In </w:t>
      </w:r>
      <w:r w:rsidR="00CC5C90">
        <w:rPr>
          <w:sz w:val="20"/>
          <w:szCs w:val="20"/>
        </w:rPr>
        <w:t xml:space="preserve">this </w:t>
      </w:r>
      <w:r w:rsidR="00091FE3">
        <w:rPr>
          <w:sz w:val="20"/>
          <w:szCs w:val="20"/>
        </w:rPr>
        <w:t>chapter</w:t>
      </w:r>
      <w:r w:rsidR="00CC5C90">
        <w:rPr>
          <w:sz w:val="20"/>
          <w:szCs w:val="20"/>
        </w:rPr>
        <w:t>, we first present the logic of the intervention as an overarching high-level picture and then go into the details concerning the context, challenges, opportunities, SWOT analysis, and recommended investment needs.</w:t>
      </w:r>
    </w:p>
    <w:p w14:paraId="7A877793" w14:textId="31B5627D" w:rsidR="001A7A04" w:rsidRDefault="001A7A04" w:rsidP="00E42342">
      <w:pPr>
        <w:pStyle w:val="Heading2"/>
        <w:numPr>
          <w:ilvl w:val="0"/>
          <w:numId w:val="169"/>
        </w:numPr>
        <w:spacing w:before="240" w:line="240" w:lineRule="auto"/>
      </w:pPr>
      <w:bookmarkStart w:id="194" w:name="_Toc90725875"/>
      <w:r>
        <w:t xml:space="preserve">Logic of the intervention for Gorj </w:t>
      </w:r>
      <w:r w:rsidR="00F57476">
        <w:t>C</w:t>
      </w:r>
      <w:r>
        <w:t>ounty</w:t>
      </w:r>
      <w:bookmarkEnd w:id="194"/>
    </w:p>
    <w:p w14:paraId="5C32E96B" w14:textId="39F2B0D9" w:rsidR="001A7A04" w:rsidRDefault="001A7A04" w:rsidP="00402580">
      <w:pPr>
        <w:jc w:val="both"/>
        <w:rPr>
          <w:rFonts w:ascii="Arial" w:hAnsi="Arial" w:cs="Arial"/>
          <w:sz w:val="20"/>
          <w:szCs w:val="20"/>
          <w:lang w:eastAsia="en-US"/>
        </w:rPr>
      </w:pPr>
      <w:r w:rsidRPr="009118F7">
        <w:rPr>
          <w:rFonts w:ascii="Arial" w:hAnsi="Arial" w:cs="Arial"/>
          <w:sz w:val="20"/>
          <w:szCs w:val="20"/>
          <w:lang w:eastAsia="en-US"/>
        </w:rPr>
        <w:t>The logic of the intervention is summarised in the figure below</w:t>
      </w:r>
      <w:r>
        <w:rPr>
          <w:rFonts w:ascii="Arial" w:hAnsi="Arial" w:cs="Arial"/>
          <w:sz w:val="20"/>
          <w:szCs w:val="20"/>
          <w:lang w:eastAsia="en-US"/>
        </w:rPr>
        <w:t xml:space="preserve"> and blends together </w:t>
      </w:r>
      <w:r w:rsidR="00F57476">
        <w:rPr>
          <w:rFonts w:ascii="Arial" w:hAnsi="Arial" w:cs="Arial"/>
          <w:sz w:val="20"/>
          <w:szCs w:val="20"/>
          <w:lang w:eastAsia="en-US"/>
        </w:rPr>
        <w:t xml:space="preserve">the </w:t>
      </w:r>
      <w:r>
        <w:rPr>
          <w:rFonts w:ascii="Arial" w:hAnsi="Arial" w:cs="Arial"/>
          <w:sz w:val="20"/>
          <w:szCs w:val="20"/>
          <w:lang w:eastAsia="en-US"/>
        </w:rPr>
        <w:t xml:space="preserve">elements analysed in this </w:t>
      </w:r>
      <w:r w:rsidR="00091FE3">
        <w:rPr>
          <w:rFonts w:ascii="Arial" w:hAnsi="Arial" w:cs="Arial"/>
          <w:sz w:val="20"/>
          <w:szCs w:val="20"/>
          <w:lang w:eastAsia="en-US"/>
        </w:rPr>
        <w:t>chapter</w:t>
      </w:r>
      <w:r>
        <w:rPr>
          <w:rFonts w:ascii="Arial" w:hAnsi="Arial" w:cs="Arial"/>
          <w:sz w:val="20"/>
          <w:szCs w:val="20"/>
          <w:lang w:eastAsia="en-US"/>
        </w:rPr>
        <w:t>.</w:t>
      </w:r>
    </w:p>
    <w:p w14:paraId="63040D9E" w14:textId="77777777" w:rsidR="001A7A04" w:rsidRDefault="001A7A04" w:rsidP="001A7A04">
      <w:pPr>
        <w:rPr>
          <w:lang w:eastAsia="en-US"/>
        </w:rPr>
        <w:sectPr w:rsidR="001A7A04" w:rsidSect="003B70BC">
          <w:headerReference w:type="default" r:id="rId117"/>
          <w:pgSz w:w="11909" w:h="16834"/>
          <w:pgMar w:top="1440" w:right="1440" w:bottom="1440" w:left="1530" w:header="720" w:footer="720" w:gutter="0"/>
          <w:cols w:space="720"/>
          <w:docGrid w:linePitch="326"/>
        </w:sectPr>
      </w:pPr>
    </w:p>
    <w:p w14:paraId="2C2AD528" w14:textId="72405C5C" w:rsidR="00313168" w:rsidRDefault="00313168" w:rsidP="00D306CB">
      <w:pPr>
        <w:pStyle w:val="Caption"/>
        <w:spacing w:before="0"/>
        <w:ind w:left="1137" w:hanging="1051"/>
      </w:pPr>
      <w:bookmarkStart w:id="195" w:name="_Toc90725939"/>
      <w:r>
        <w:rPr>
          <w:noProof/>
          <w:lang w:val="en-US"/>
        </w:rPr>
        <w:lastRenderedPageBreak/>
        <w:drawing>
          <wp:anchor distT="0" distB="0" distL="114300" distR="114300" simplePos="0" relativeHeight="251679744" behindDoc="1" locked="0" layoutInCell="1" allowOverlap="1" wp14:anchorId="01635BAC" wp14:editId="3C6CFAD7">
            <wp:simplePos x="0" y="0"/>
            <wp:positionH relativeFrom="column">
              <wp:posOffset>-184149</wp:posOffset>
            </wp:positionH>
            <wp:positionV relativeFrom="paragraph">
              <wp:posOffset>177189</wp:posOffset>
            </wp:positionV>
            <wp:extent cx="8877300" cy="6329656"/>
            <wp:effectExtent l="0" t="0" r="0" b="0"/>
            <wp:wrapNone/>
            <wp:docPr id="2087055774" name="Picture 2087055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8879202" cy="6331012"/>
                    </a:xfrm>
                    <a:prstGeom prst="rect">
                      <a:avLst/>
                    </a:prstGeom>
                  </pic:spPr>
                </pic:pic>
              </a:graphicData>
            </a:graphic>
            <wp14:sizeRelH relativeFrom="margin">
              <wp14:pctWidth>0</wp14:pctWidth>
            </wp14:sizeRelH>
            <wp14:sizeRelV relativeFrom="margin">
              <wp14:pctHeight>0</wp14:pctHeight>
            </wp14:sizeRelV>
          </wp:anchor>
        </w:drawing>
      </w:r>
      <w:r>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12</w:t>
      </w:r>
      <w:r w:rsidR="000B273D">
        <w:rPr>
          <w:noProof/>
        </w:rPr>
        <w:fldChar w:fldCharType="end"/>
      </w:r>
      <w:r>
        <w:t>:</w:t>
      </w:r>
      <w:r w:rsidRPr="009118F7">
        <w:t xml:space="preserve"> </w:t>
      </w:r>
      <w:r>
        <w:t>Logic of the intervention for Gorj County</w:t>
      </w:r>
      <w:bookmarkEnd w:id="195"/>
    </w:p>
    <w:p w14:paraId="2037D516" w14:textId="746F7300" w:rsidR="001A7A04" w:rsidRDefault="001A7A04" w:rsidP="001A7A04">
      <w:pPr>
        <w:rPr>
          <w:lang w:eastAsia="en-US"/>
        </w:rPr>
        <w:sectPr w:rsidR="001A7A04" w:rsidSect="00A608C7">
          <w:headerReference w:type="default" r:id="rId119"/>
          <w:footerReference w:type="default" r:id="rId120"/>
          <w:pgSz w:w="16834" w:h="11909" w:orient="landscape"/>
          <w:pgMar w:top="1530" w:right="1440" w:bottom="1440" w:left="1440" w:header="720" w:footer="720" w:gutter="0"/>
          <w:cols w:space="720"/>
          <w:docGrid w:linePitch="326"/>
        </w:sectPr>
      </w:pPr>
    </w:p>
    <w:p w14:paraId="65B2F805" w14:textId="54451D72" w:rsidR="001A7A04" w:rsidRPr="003516DC" w:rsidRDefault="001A7A04" w:rsidP="00E42342">
      <w:pPr>
        <w:pStyle w:val="Heading2"/>
        <w:numPr>
          <w:ilvl w:val="0"/>
          <w:numId w:val="170"/>
        </w:numPr>
        <w:spacing w:before="240" w:line="240" w:lineRule="auto"/>
      </w:pPr>
      <w:bookmarkStart w:id="196" w:name="_Toc90725876"/>
      <w:r w:rsidRPr="003516DC">
        <w:lastRenderedPageBreak/>
        <w:t>Assessment of the transition challenges at the political-administrative, economic and employment, environmental, socio-cultural and digital/ technological levels</w:t>
      </w:r>
      <w:bookmarkEnd w:id="196"/>
    </w:p>
    <w:p w14:paraId="42476815" w14:textId="576E0B23" w:rsidR="002A7FC0" w:rsidRPr="003516DC" w:rsidRDefault="002A7FC0" w:rsidP="00E42342">
      <w:pPr>
        <w:pStyle w:val="Heading3"/>
        <w:numPr>
          <w:ilvl w:val="0"/>
          <w:numId w:val="137"/>
        </w:numPr>
        <w:spacing w:line="240" w:lineRule="auto"/>
        <w:rPr>
          <w:b w:val="0"/>
        </w:rPr>
      </w:pPr>
      <w:r w:rsidRPr="003516DC">
        <w:rPr>
          <w:b w:val="0"/>
        </w:rPr>
        <w:t>State of play</w:t>
      </w:r>
      <w:r w:rsidR="00F0070A" w:rsidRPr="003516DC">
        <w:rPr>
          <w:b w:val="0"/>
        </w:rPr>
        <w:t xml:space="preserve"> in Gorj </w:t>
      </w:r>
      <w:r w:rsidR="00F57476">
        <w:rPr>
          <w:b w:val="0"/>
        </w:rPr>
        <w:t>C</w:t>
      </w:r>
      <w:r w:rsidR="00F0070A" w:rsidRPr="003516DC">
        <w:rPr>
          <w:b w:val="0"/>
        </w:rPr>
        <w:t>ounty</w:t>
      </w:r>
    </w:p>
    <w:p w14:paraId="3215321C" w14:textId="77777777" w:rsidR="00D963B9" w:rsidRPr="00D963B9" w:rsidRDefault="00973EBB" w:rsidP="00D963B9">
      <w:pPr>
        <w:spacing w:after="120"/>
        <w:jc w:val="both"/>
        <w:rPr>
          <w:rFonts w:ascii="Arial" w:hAnsi="Arial" w:cs="Arial"/>
          <w:color w:val="4F81BD" w:themeColor="accent1"/>
          <w:sz w:val="20"/>
          <w:szCs w:val="20"/>
        </w:rPr>
      </w:pPr>
      <w:r w:rsidRPr="00D963B9">
        <w:rPr>
          <w:rFonts w:ascii="Arial" w:hAnsi="Arial" w:cs="Arial"/>
          <w:sz w:val="20"/>
          <w:szCs w:val="20"/>
        </w:rPr>
        <w:t>D</w:t>
      </w:r>
      <w:r w:rsidR="002A7FC0" w:rsidRPr="00D963B9">
        <w:rPr>
          <w:rFonts w:ascii="Arial" w:hAnsi="Arial" w:cs="Arial"/>
          <w:sz w:val="20"/>
          <w:szCs w:val="20"/>
        </w:rPr>
        <w:t xml:space="preserve">ue to its relatively small </w:t>
      </w:r>
      <w:r w:rsidR="005E6938" w:rsidRPr="00D963B9">
        <w:rPr>
          <w:rFonts w:ascii="Arial" w:hAnsi="Arial" w:cs="Arial"/>
          <w:sz w:val="20"/>
          <w:szCs w:val="20"/>
        </w:rPr>
        <w:t xml:space="preserve">land area </w:t>
      </w:r>
      <w:r w:rsidR="002A7FC0" w:rsidRPr="00D963B9">
        <w:rPr>
          <w:rFonts w:ascii="Arial" w:hAnsi="Arial" w:cs="Arial"/>
          <w:sz w:val="20"/>
          <w:szCs w:val="20"/>
        </w:rPr>
        <w:t xml:space="preserve">and low population density, Gorj has the lowest number of active companies and self-employed </w:t>
      </w:r>
      <w:r w:rsidR="005E6938" w:rsidRPr="00D963B9">
        <w:rPr>
          <w:rFonts w:ascii="Arial" w:hAnsi="Arial" w:cs="Arial"/>
          <w:sz w:val="20"/>
          <w:szCs w:val="20"/>
        </w:rPr>
        <w:t xml:space="preserve">of </w:t>
      </w:r>
      <w:r w:rsidR="002A7FC0" w:rsidRPr="00D963B9">
        <w:rPr>
          <w:rFonts w:ascii="Arial" w:hAnsi="Arial" w:cs="Arial"/>
          <w:sz w:val="20"/>
          <w:szCs w:val="20"/>
        </w:rPr>
        <w:t xml:space="preserve">the six affected counties and, more worryingly, a very small increase in new companies (1.5% in 2019). It also has a sharp demographic decline (9.4% </w:t>
      </w:r>
      <w:r w:rsidR="00BE43BF" w:rsidRPr="00D963B9">
        <w:rPr>
          <w:rFonts w:ascii="Arial" w:hAnsi="Arial" w:cs="Arial"/>
          <w:sz w:val="20"/>
          <w:szCs w:val="20"/>
        </w:rPr>
        <w:t xml:space="preserve">decline </w:t>
      </w:r>
      <w:r w:rsidR="002A7FC0" w:rsidRPr="00D963B9">
        <w:rPr>
          <w:rFonts w:ascii="Arial" w:hAnsi="Arial" w:cs="Arial"/>
          <w:sz w:val="20"/>
          <w:szCs w:val="20"/>
        </w:rPr>
        <w:t>of active age population between 2012 and 2020). Many local companies are dependent on the local coal-fired economy</w:t>
      </w:r>
      <w:r w:rsidR="008970F1" w:rsidRPr="00D963B9">
        <w:rPr>
          <w:rFonts w:ascii="Arial" w:hAnsi="Arial" w:cs="Arial"/>
          <w:sz w:val="20"/>
          <w:szCs w:val="20"/>
        </w:rPr>
        <w:t>.</w:t>
      </w:r>
      <w:r w:rsidR="002A7FC0" w:rsidRPr="00D963B9">
        <w:rPr>
          <w:rFonts w:ascii="Arial" w:hAnsi="Arial" w:cs="Arial"/>
          <w:sz w:val="20"/>
          <w:szCs w:val="20"/>
        </w:rPr>
        <w:t xml:space="preserve"> </w:t>
      </w:r>
    </w:p>
    <w:p w14:paraId="7BA21789" w14:textId="4EF1ECC5" w:rsidR="00707E4A" w:rsidRPr="005B2421" w:rsidRDefault="00707E4A" w:rsidP="00E42342">
      <w:pPr>
        <w:pStyle w:val="ListParagraph"/>
        <w:numPr>
          <w:ilvl w:val="0"/>
          <w:numId w:val="275"/>
        </w:numPr>
        <w:spacing w:after="120" w:line="240" w:lineRule="auto"/>
        <w:jc w:val="both"/>
        <w:rPr>
          <w:color w:val="4F81BD" w:themeColor="accent1"/>
          <w:sz w:val="20"/>
          <w:szCs w:val="20"/>
        </w:rPr>
      </w:pPr>
      <w:r w:rsidRPr="005B2421">
        <w:rPr>
          <w:color w:val="4F81BD" w:themeColor="accent1"/>
          <w:sz w:val="20"/>
          <w:szCs w:val="20"/>
        </w:rPr>
        <w:t>Political-administrative level</w:t>
      </w:r>
    </w:p>
    <w:p w14:paraId="3FD6863D" w14:textId="56814006" w:rsidR="00DC66DF" w:rsidRPr="003516DC" w:rsidRDefault="00DC66DF" w:rsidP="00707E4A">
      <w:pPr>
        <w:spacing w:after="120"/>
        <w:jc w:val="both"/>
        <w:rPr>
          <w:rFonts w:ascii="Arial" w:hAnsi="Arial" w:cs="Arial"/>
          <w:sz w:val="20"/>
          <w:szCs w:val="20"/>
        </w:rPr>
      </w:pPr>
      <w:r w:rsidRPr="003516DC">
        <w:rPr>
          <w:rFonts w:ascii="Arial" w:hAnsi="Arial" w:cs="Arial"/>
          <w:sz w:val="20"/>
          <w:szCs w:val="20"/>
        </w:rPr>
        <w:t xml:space="preserve">From a </w:t>
      </w:r>
      <w:r w:rsidRPr="003516DC">
        <w:rPr>
          <w:rFonts w:ascii="Arial" w:hAnsi="Arial" w:cs="Arial"/>
          <w:b/>
          <w:bCs/>
          <w:sz w:val="20"/>
          <w:szCs w:val="20"/>
        </w:rPr>
        <w:t>political-administrative</w:t>
      </w:r>
      <w:r w:rsidRPr="003516DC">
        <w:rPr>
          <w:rFonts w:ascii="Arial" w:hAnsi="Arial" w:cs="Arial"/>
          <w:sz w:val="20"/>
          <w:szCs w:val="20"/>
        </w:rPr>
        <w:t xml:space="preserve"> perspective, the </w:t>
      </w:r>
      <w:r w:rsidR="0067703A" w:rsidRPr="003516DC">
        <w:rPr>
          <w:rFonts w:ascii="Arial" w:hAnsi="Arial" w:cs="Arial"/>
          <w:sz w:val="20"/>
          <w:szCs w:val="20"/>
        </w:rPr>
        <w:t xml:space="preserve">county </w:t>
      </w:r>
      <w:r w:rsidRPr="003516DC">
        <w:rPr>
          <w:rFonts w:ascii="Arial" w:hAnsi="Arial" w:cs="Arial"/>
          <w:sz w:val="20"/>
          <w:szCs w:val="20"/>
        </w:rPr>
        <w:t>lack</w:t>
      </w:r>
      <w:r w:rsidR="0067703A" w:rsidRPr="003516DC">
        <w:rPr>
          <w:rFonts w:ascii="Arial" w:hAnsi="Arial" w:cs="Arial"/>
          <w:sz w:val="20"/>
          <w:szCs w:val="20"/>
        </w:rPr>
        <w:t>s</w:t>
      </w:r>
      <w:r w:rsidRPr="003516DC">
        <w:rPr>
          <w:rFonts w:ascii="Arial" w:hAnsi="Arial" w:cs="Arial"/>
          <w:sz w:val="20"/>
          <w:szCs w:val="20"/>
        </w:rPr>
        <w:t xml:space="preserve"> a culture </w:t>
      </w:r>
      <w:r w:rsidR="005E1D53" w:rsidRPr="003516DC">
        <w:rPr>
          <w:rFonts w:ascii="Arial" w:hAnsi="Arial" w:cs="Arial"/>
          <w:sz w:val="20"/>
          <w:szCs w:val="20"/>
        </w:rPr>
        <w:t>of collaboration between public authorities and local public administration staff</w:t>
      </w:r>
      <w:r w:rsidR="00432EC3" w:rsidRPr="003516DC">
        <w:rPr>
          <w:rFonts w:ascii="Arial" w:hAnsi="Arial" w:cs="Arial"/>
          <w:sz w:val="20"/>
          <w:szCs w:val="20"/>
        </w:rPr>
        <w:t>, which</w:t>
      </w:r>
      <w:r w:rsidRPr="003516DC">
        <w:rPr>
          <w:rFonts w:ascii="Arial" w:hAnsi="Arial" w:cs="Arial"/>
          <w:sz w:val="20"/>
          <w:szCs w:val="20"/>
        </w:rPr>
        <w:t xml:space="preserve"> pose</w:t>
      </w:r>
      <w:r w:rsidR="00432EC3" w:rsidRPr="003516DC">
        <w:rPr>
          <w:rFonts w:ascii="Arial" w:hAnsi="Arial" w:cs="Arial"/>
          <w:sz w:val="20"/>
          <w:szCs w:val="20"/>
        </w:rPr>
        <w:t>s</w:t>
      </w:r>
      <w:r w:rsidRPr="003516DC">
        <w:rPr>
          <w:rFonts w:ascii="Arial" w:hAnsi="Arial" w:cs="Arial"/>
          <w:sz w:val="20"/>
          <w:szCs w:val="20"/>
        </w:rPr>
        <w:t xml:space="preserve"> several risks for a smooth implementation of the transition agenda.</w:t>
      </w:r>
      <w:r w:rsidR="00D0428D" w:rsidRPr="003516DC">
        <w:rPr>
          <w:rFonts w:ascii="Arial" w:hAnsi="Arial" w:cs="Arial"/>
          <w:sz w:val="20"/>
          <w:szCs w:val="20"/>
        </w:rPr>
        <w:t xml:space="preserve"> The national coordinator for the FTJ implementation, having the quality of Managing Authority for the Just Transition Operational Program, is the Ministry of European Investments and Projects (M</w:t>
      </w:r>
      <w:r w:rsidR="003751DC">
        <w:rPr>
          <w:rFonts w:ascii="Arial" w:hAnsi="Arial" w:cs="Arial"/>
          <w:sz w:val="20"/>
          <w:szCs w:val="20"/>
        </w:rPr>
        <w:t>EIP</w:t>
      </w:r>
      <w:r w:rsidR="00D0428D" w:rsidRPr="003516DC">
        <w:rPr>
          <w:rFonts w:ascii="Arial" w:hAnsi="Arial" w:cs="Arial"/>
          <w:sz w:val="20"/>
          <w:szCs w:val="20"/>
        </w:rPr>
        <w:t>), which has planned a coordination mechanism with national, regional and local authorities, to ensure the involvement of all relevant stakeholders. During this process, it was said by many stakeholders that was the first time when the county public authorities have identified the priorities and contribute directly and actively together with all local stakeholders - county councils, town halls, institutions, NGOs, etc in the elaboration of PTTJ, being one of the most active counties regarding public consultations and projects collections.</w:t>
      </w:r>
    </w:p>
    <w:p w14:paraId="78969226" w14:textId="19E49275" w:rsidR="00DC66DF" w:rsidRPr="003516DC" w:rsidRDefault="00537461" w:rsidP="00707E4A">
      <w:pPr>
        <w:spacing w:after="120"/>
        <w:jc w:val="both"/>
        <w:rPr>
          <w:rFonts w:ascii="Arial" w:hAnsi="Arial" w:cs="Arial"/>
          <w:sz w:val="20"/>
          <w:szCs w:val="20"/>
        </w:rPr>
      </w:pPr>
      <w:r w:rsidRPr="003516DC">
        <w:rPr>
          <w:rFonts w:ascii="Arial" w:hAnsi="Arial" w:cs="Arial"/>
          <w:sz w:val="20"/>
          <w:szCs w:val="20"/>
        </w:rPr>
        <w:t>From 2016 to 2019, l</w:t>
      </w:r>
      <w:r w:rsidR="00DC66DF" w:rsidRPr="003516DC">
        <w:rPr>
          <w:rFonts w:ascii="Arial" w:hAnsi="Arial" w:cs="Arial"/>
          <w:sz w:val="20"/>
          <w:szCs w:val="20"/>
        </w:rPr>
        <w:t xml:space="preserve">ocal authorities (cities and county councils) </w:t>
      </w:r>
      <w:r w:rsidRPr="003516DC">
        <w:rPr>
          <w:rFonts w:ascii="Arial" w:hAnsi="Arial" w:cs="Arial"/>
          <w:sz w:val="20"/>
          <w:szCs w:val="20"/>
        </w:rPr>
        <w:t>recorded</w:t>
      </w:r>
      <w:r w:rsidR="00DC66DF" w:rsidRPr="003516DC">
        <w:rPr>
          <w:rFonts w:ascii="Arial" w:hAnsi="Arial" w:cs="Arial"/>
          <w:sz w:val="20"/>
          <w:szCs w:val="20"/>
        </w:rPr>
        <w:t xml:space="preserve"> local revenue of </w:t>
      </w:r>
      <w:r w:rsidR="00131D9A" w:rsidRPr="003516DC">
        <w:rPr>
          <w:rFonts w:ascii="Arial" w:hAnsi="Arial" w:cs="Arial"/>
          <w:sz w:val="20"/>
          <w:szCs w:val="20"/>
        </w:rPr>
        <w:t xml:space="preserve">RON </w:t>
      </w:r>
      <w:r w:rsidR="00DC66DF" w:rsidRPr="003516DC">
        <w:rPr>
          <w:rFonts w:ascii="Arial" w:hAnsi="Arial" w:cs="Arial"/>
          <w:sz w:val="20"/>
          <w:szCs w:val="20"/>
        </w:rPr>
        <w:t>1</w:t>
      </w:r>
      <w:r w:rsidR="00205991" w:rsidRPr="003516DC">
        <w:rPr>
          <w:rFonts w:ascii="Arial" w:hAnsi="Arial" w:cs="Arial"/>
          <w:sz w:val="20"/>
          <w:szCs w:val="20"/>
        </w:rPr>
        <w:t>.</w:t>
      </w:r>
      <w:r w:rsidR="00DC66DF" w:rsidRPr="003516DC">
        <w:rPr>
          <w:rFonts w:ascii="Arial" w:hAnsi="Arial" w:cs="Arial"/>
          <w:sz w:val="20"/>
          <w:szCs w:val="20"/>
        </w:rPr>
        <w:t>46</w:t>
      </w:r>
      <w:r w:rsidR="00131D9A" w:rsidRPr="003516DC">
        <w:rPr>
          <w:rFonts w:ascii="Arial" w:hAnsi="Arial" w:cs="Arial"/>
          <w:sz w:val="20"/>
          <w:szCs w:val="20"/>
        </w:rPr>
        <w:t xml:space="preserve"> bn</w:t>
      </w:r>
      <w:r w:rsidR="00911535" w:rsidRPr="003516DC">
        <w:rPr>
          <w:rFonts w:ascii="Arial" w:hAnsi="Arial" w:cs="Arial"/>
          <w:sz w:val="20"/>
          <w:szCs w:val="20"/>
        </w:rPr>
        <w:t>.</w:t>
      </w:r>
      <w:r w:rsidR="00285EEF" w:rsidRPr="003516DC">
        <w:rPr>
          <w:rFonts w:ascii="Arial" w:hAnsi="Arial" w:cs="Arial"/>
          <w:sz w:val="20"/>
          <w:szCs w:val="20"/>
        </w:rPr>
        <w:t xml:space="preserve"> See Annex </w:t>
      </w:r>
      <w:r w:rsidR="00835F07" w:rsidRPr="003516DC">
        <w:rPr>
          <w:rFonts w:ascii="Arial" w:hAnsi="Arial" w:cs="Arial"/>
          <w:sz w:val="20"/>
          <w:szCs w:val="20"/>
        </w:rPr>
        <w:t>1</w:t>
      </w:r>
      <w:r w:rsidR="00285EEF" w:rsidRPr="003516DC">
        <w:rPr>
          <w:rFonts w:ascii="Arial" w:hAnsi="Arial" w:cs="Arial"/>
          <w:sz w:val="20"/>
          <w:szCs w:val="20"/>
        </w:rPr>
        <w:t>.</w:t>
      </w:r>
      <w:r w:rsidR="00DC66DF" w:rsidRPr="003516DC">
        <w:rPr>
          <w:rFonts w:ascii="Arial" w:hAnsi="Arial" w:cs="Arial"/>
          <w:sz w:val="20"/>
          <w:szCs w:val="20"/>
        </w:rPr>
        <w:t xml:space="preserve"> </w:t>
      </w:r>
      <w:r w:rsidR="00911535" w:rsidRPr="003516DC">
        <w:rPr>
          <w:rFonts w:ascii="Arial" w:hAnsi="Arial" w:cs="Arial"/>
          <w:sz w:val="20"/>
          <w:szCs w:val="20"/>
        </w:rPr>
        <w:t>T</w:t>
      </w:r>
      <w:r w:rsidR="00DC66DF" w:rsidRPr="003516DC">
        <w:rPr>
          <w:rFonts w:ascii="Arial" w:hAnsi="Arial" w:cs="Arial"/>
          <w:sz w:val="20"/>
          <w:szCs w:val="20"/>
        </w:rPr>
        <w:t xml:space="preserve">he county population at the end of 2019 </w:t>
      </w:r>
      <w:r w:rsidR="00911535" w:rsidRPr="003516DC">
        <w:rPr>
          <w:rFonts w:ascii="Arial" w:hAnsi="Arial" w:cs="Arial"/>
          <w:sz w:val="20"/>
          <w:szCs w:val="20"/>
        </w:rPr>
        <w:t>was</w:t>
      </w:r>
      <w:r w:rsidR="00DC66DF" w:rsidRPr="003516DC">
        <w:rPr>
          <w:rFonts w:ascii="Arial" w:hAnsi="Arial" w:cs="Arial"/>
          <w:sz w:val="20"/>
          <w:szCs w:val="20"/>
        </w:rPr>
        <w:t xml:space="preserve"> 315,494 (the smallest</w:t>
      </w:r>
      <w:r w:rsidR="00911535" w:rsidRPr="003516DC">
        <w:rPr>
          <w:rFonts w:ascii="Arial" w:hAnsi="Arial" w:cs="Arial"/>
          <w:sz w:val="20"/>
          <w:szCs w:val="20"/>
        </w:rPr>
        <w:t xml:space="preserve"> country</w:t>
      </w:r>
      <w:r w:rsidR="00DC66DF" w:rsidRPr="003516DC">
        <w:rPr>
          <w:rFonts w:ascii="Arial" w:hAnsi="Arial" w:cs="Arial"/>
          <w:sz w:val="20"/>
          <w:szCs w:val="20"/>
        </w:rPr>
        <w:t xml:space="preserve"> </w:t>
      </w:r>
      <w:r w:rsidR="00911535" w:rsidRPr="003516DC">
        <w:rPr>
          <w:rFonts w:ascii="Arial" w:hAnsi="Arial" w:cs="Arial"/>
          <w:sz w:val="20"/>
          <w:szCs w:val="20"/>
        </w:rPr>
        <w:t>relative to</w:t>
      </w:r>
      <w:r w:rsidR="00DC66DF" w:rsidRPr="003516DC">
        <w:rPr>
          <w:rFonts w:ascii="Arial" w:hAnsi="Arial" w:cs="Arial"/>
          <w:sz w:val="20"/>
          <w:szCs w:val="20"/>
        </w:rPr>
        <w:t xml:space="preserve"> the other JTP counties).</w:t>
      </w:r>
      <w:r w:rsidR="00DC66DF" w:rsidRPr="003516DC">
        <w:rPr>
          <w:rFonts w:ascii="Arial" w:eastAsia="Calibri" w:hAnsi="Arial" w:cs="Arial"/>
        </w:rPr>
        <w:t xml:space="preserve"> </w:t>
      </w:r>
      <w:r w:rsidR="00C21A0D" w:rsidRPr="003516DC">
        <w:rPr>
          <w:rFonts w:ascii="Arial" w:hAnsi="Arial" w:cs="Arial"/>
          <w:sz w:val="20"/>
          <w:szCs w:val="20"/>
        </w:rPr>
        <w:t>From 2016 to 2019</w:t>
      </w:r>
      <w:r w:rsidR="00DC66DF" w:rsidRPr="003516DC">
        <w:rPr>
          <w:rFonts w:ascii="Arial" w:hAnsi="Arial" w:cs="Arial"/>
          <w:sz w:val="20"/>
          <w:szCs w:val="20"/>
        </w:rPr>
        <w:t xml:space="preserve">, </w:t>
      </w:r>
      <w:r w:rsidR="00C21A0D" w:rsidRPr="003516DC">
        <w:rPr>
          <w:rFonts w:ascii="Arial" w:hAnsi="Arial" w:cs="Arial"/>
          <w:sz w:val="20"/>
          <w:szCs w:val="20"/>
        </w:rPr>
        <w:t xml:space="preserve">Gorj </w:t>
      </w:r>
      <w:r w:rsidR="00DC66DF" w:rsidRPr="003516DC">
        <w:rPr>
          <w:rFonts w:ascii="Arial" w:hAnsi="Arial" w:cs="Arial"/>
          <w:sz w:val="20"/>
          <w:szCs w:val="20"/>
        </w:rPr>
        <w:t xml:space="preserve">municipalities accessed </w:t>
      </w:r>
      <w:r w:rsidR="00C21A0D" w:rsidRPr="003516DC">
        <w:rPr>
          <w:rFonts w:ascii="Arial" w:hAnsi="Arial" w:cs="Arial"/>
          <w:sz w:val="20"/>
          <w:szCs w:val="20"/>
        </w:rPr>
        <w:t xml:space="preserve">RON </w:t>
      </w:r>
      <w:r w:rsidR="00DC66DF" w:rsidRPr="003516DC">
        <w:rPr>
          <w:rFonts w:ascii="Arial" w:hAnsi="Arial" w:cs="Arial"/>
          <w:sz w:val="20"/>
          <w:szCs w:val="20"/>
        </w:rPr>
        <w:t>122</w:t>
      </w:r>
      <w:r w:rsidR="00C21A0D" w:rsidRPr="003516DC">
        <w:rPr>
          <w:rFonts w:ascii="Arial" w:hAnsi="Arial" w:cs="Arial"/>
          <w:sz w:val="20"/>
          <w:szCs w:val="20"/>
        </w:rPr>
        <w:t>.9</w:t>
      </w:r>
      <w:r w:rsidR="004A7C96" w:rsidRPr="003516DC">
        <w:rPr>
          <w:rFonts w:ascii="Arial" w:hAnsi="Arial" w:cs="Arial"/>
          <w:sz w:val="20"/>
          <w:szCs w:val="20"/>
        </w:rPr>
        <w:t xml:space="preserve"> m</w:t>
      </w:r>
      <w:r w:rsidR="00DC66DF" w:rsidRPr="003516DC">
        <w:rPr>
          <w:rFonts w:ascii="Arial" w:hAnsi="Arial" w:cs="Arial"/>
          <w:sz w:val="20"/>
          <w:szCs w:val="20"/>
        </w:rPr>
        <w:t xml:space="preserve"> of EU and other donor funds, representing 8.41% of their collected own revenues</w:t>
      </w:r>
      <w:r w:rsidR="00D0428D" w:rsidRPr="003516DC">
        <w:rPr>
          <w:rFonts w:ascii="Arial" w:hAnsi="Arial" w:cs="Arial"/>
          <w:sz w:val="20"/>
          <w:szCs w:val="20"/>
        </w:rPr>
        <w:t xml:space="preserve">, </w:t>
      </w:r>
      <w:r w:rsidR="00D0428D" w:rsidRPr="003516DC">
        <w:rPr>
          <w:rFonts w:ascii="Arial" w:hAnsi="Arial" w:cs="Arial"/>
          <w:color w:val="000000"/>
          <w:sz w:val="20"/>
          <w:szCs w:val="20"/>
          <w:lang w:val="en-US"/>
        </w:rPr>
        <w:t xml:space="preserve">much lower than </w:t>
      </w:r>
      <w:r w:rsidR="00D0428D" w:rsidRPr="003516DC">
        <w:rPr>
          <w:rFonts w:ascii="Arial" w:hAnsi="Arial" w:cs="Arial"/>
          <w:sz w:val="20"/>
          <w:szCs w:val="20"/>
        </w:rPr>
        <w:t xml:space="preserve">County Council of Dolj (32.3%) or </w:t>
      </w:r>
      <w:r w:rsidR="003751DC">
        <w:rPr>
          <w:rFonts w:ascii="Arial" w:hAnsi="Arial" w:cs="Arial"/>
          <w:sz w:val="20"/>
          <w:szCs w:val="20"/>
        </w:rPr>
        <w:t>Galați</w:t>
      </w:r>
      <w:r w:rsidR="00D0428D" w:rsidRPr="003516DC">
        <w:rPr>
          <w:rFonts w:ascii="Arial" w:hAnsi="Arial" w:cs="Arial"/>
          <w:sz w:val="20"/>
          <w:szCs w:val="20"/>
        </w:rPr>
        <w:t xml:space="preserve"> (29.1%).</w:t>
      </w:r>
    </w:p>
    <w:p w14:paraId="0A1467CF" w14:textId="00E47F2E" w:rsidR="00707E4A" w:rsidRPr="00707E4A" w:rsidRDefault="00707E4A" w:rsidP="00E42342">
      <w:pPr>
        <w:pStyle w:val="ListParagraph"/>
        <w:numPr>
          <w:ilvl w:val="0"/>
          <w:numId w:val="276"/>
        </w:numPr>
        <w:spacing w:after="120" w:line="240" w:lineRule="auto"/>
        <w:jc w:val="both"/>
        <w:rPr>
          <w:color w:val="4F81BD" w:themeColor="accent1"/>
          <w:sz w:val="20"/>
          <w:szCs w:val="20"/>
        </w:rPr>
      </w:pPr>
      <w:r>
        <w:rPr>
          <w:color w:val="4F81BD" w:themeColor="accent1"/>
          <w:sz w:val="20"/>
          <w:szCs w:val="20"/>
        </w:rPr>
        <w:t>Economic development</w:t>
      </w:r>
    </w:p>
    <w:p w14:paraId="095645EB" w14:textId="72F708AA" w:rsidR="00004216" w:rsidRPr="003516DC" w:rsidRDefault="00DC66DF" w:rsidP="00DC66DF">
      <w:pPr>
        <w:jc w:val="both"/>
        <w:rPr>
          <w:rFonts w:ascii="Arial" w:hAnsi="Arial" w:cs="Arial"/>
          <w:sz w:val="20"/>
          <w:szCs w:val="20"/>
        </w:rPr>
      </w:pPr>
      <w:r w:rsidRPr="003516DC">
        <w:rPr>
          <w:rFonts w:ascii="Arial" w:hAnsi="Arial" w:cs="Arial"/>
          <w:sz w:val="20"/>
          <w:szCs w:val="20"/>
        </w:rPr>
        <w:t xml:space="preserve">In terms of </w:t>
      </w:r>
      <w:r w:rsidRPr="003516DC">
        <w:rPr>
          <w:rFonts w:ascii="Arial" w:hAnsi="Arial" w:cs="Arial"/>
          <w:b/>
          <w:bCs/>
          <w:sz w:val="20"/>
          <w:szCs w:val="20"/>
        </w:rPr>
        <w:t>economic</w:t>
      </w:r>
      <w:r w:rsidRPr="003516DC">
        <w:rPr>
          <w:rFonts w:ascii="Arial" w:hAnsi="Arial" w:cs="Arial"/>
          <w:sz w:val="20"/>
          <w:szCs w:val="20"/>
        </w:rPr>
        <w:t xml:space="preserve"> outlook, two municipalities, Târgu-Jiu and Motru, </w:t>
      </w:r>
      <w:r w:rsidR="00946EC6" w:rsidRPr="003516DC">
        <w:rPr>
          <w:rFonts w:ascii="Arial" w:hAnsi="Arial" w:cs="Arial"/>
          <w:sz w:val="20"/>
          <w:szCs w:val="20"/>
        </w:rPr>
        <w:t xml:space="preserve">dominate </w:t>
      </w:r>
      <w:r w:rsidRPr="003516DC">
        <w:rPr>
          <w:rFonts w:ascii="Arial" w:hAnsi="Arial" w:cs="Arial"/>
          <w:sz w:val="20"/>
          <w:szCs w:val="20"/>
        </w:rPr>
        <w:t xml:space="preserve">the local economy and labour force, although Motru is four times less populous than Târgu-Jiu. </w:t>
      </w:r>
      <w:r w:rsidR="00DE2344" w:rsidRPr="003516DC">
        <w:rPr>
          <w:rFonts w:ascii="Arial" w:hAnsi="Arial" w:cs="Arial"/>
          <w:sz w:val="20"/>
          <w:szCs w:val="20"/>
        </w:rPr>
        <w:t>From</w:t>
      </w:r>
      <w:r w:rsidRPr="003516DC">
        <w:rPr>
          <w:rFonts w:ascii="Arial" w:hAnsi="Arial" w:cs="Arial"/>
          <w:sz w:val="20"/>
          <w:szCs w:val="20"/>
        </w:rPr>
        <w:t xml:space="preserve"> 2010-2019</w:t>
      </w:r>
      <w:r w:rsidR="00DE2344" w:rsidRPr="003516DC">
        <w:rPr>
          <w:rFonts w:ascii="Arial" w:hAnsi="Arial" w:cs="Arial"/>
          <w:sz w:val="20"/>
          <w:szCs w:val="20"/>
        </w:rPr>
        <w:t>,</w:t>
      </w:r>
      <w:r w:rsidRPr="003516DC">
        <w:rPr>
          <w:rFonts w:ascii="Arial" w:hAnsi="Arial" w:cs="Arial"/>
          <w:sz w:val="20"/>
          <w:szCs w:val="20"/>
        </w:rPr>
        <w:t xml:space="preserve"> the number of active companies from Gorj increased by 30%, albeit at a slower rate in the second half of th</w:t>
      </w:r>
      <w:r w:rsidR="005225A9" w:rsidRPr="003516DC">
        <w:rPr>
          <w:rFonts w:ascii="Arial" w:hAnsi="Arial" w:cs="Arial"/>
          <w:sz w:val="20"/>
          <w:szCs w:val="20"/>
        </w:rPr>
        <w:t>e</w:t>
      </w:r>
      <w:r w:rsidRPr="003516DC">
        <w:rPr>
          <w:rFonts w:ascii="Arial" w:hAnsi="Arial" w:cs="Arial"/>
          <w:sz w:val="20"/>
          <w:szCs w:val="20"/>
        </w:rPr>
        <w:t xml:space="preserve"> period. </w:t>
      </w:r>
      <w:r w:rsidR="005225A9" w:rsidRPr="003516DC">
        <w:rPr>
          <w:rFonts w:ascii="Arial" w:hAnsi="Arial" w:cs="Arial"/>
          <w:sz w:val="20"/>
          <w:szCs w:val="20"/>
        </w:rPr>
        <w:t>I</w:t>
      </w:r>
      <w:r w:rsidRPr="003516DC">
        <w:rPr>
          <w:rFonts w:ascii="Arial" w:hAnsi="Arial" w:cs="Arial"/>
          <w:sz w:val="20"/>
          <w:szCs w:val="20"/>
        </w:rPr>
        <w:t>n 2010</w:t>
      </w:r>
      <w:r w:rsidR="005225A9" w:rsidRPr="003516DC">
        <w:rPr>
          <w:rFonts w:ascii="Arial" w:hAnsi="Arial" w:cs="Arial"/>
          <w:sz w:val="20"/>
          <w:szCs w:val="20"/>
        </w:rPr>
        <w:t>,</w:t>
      </w:r>
      <w:r w:rsidRPr="003516DC">
        <w:rPr>
          <w:rFonts w:ascii="Arial" w:hAnsi="Arial" w:cs="Arial"/>
          <w:sz w:val="20"/>
          <w:szCs w:val="20"/>
        </w:rPr>
        <w:t xml:space="preserve"> </w:t>
      </w:r>
      <w:r w:rsidR="005225A9" w:rsidRPr="003516DC">
        <w:rPr>
          <w:rFonts w:ascii="Arial" w:hAnsi="Arial" w:cs="Arial"/>
          <w:sz w:val="20"/>
          <w:szCs w:val="20"/>
        </w:rPr>
        <w:t>about</w:t>
      </w:r>
      <w:r w:rsidRPr="003516DC">
        <w:rPr>
          <w:rFonts w:ascii="Arial" w:hAnsi="Arial" w:cs="Arial"/>
          <w:sz w:val="20"/>
          <w:szCs w:val="20"/>
        </w:rPr>
        <w:t xml:space="preserve"> half of local companies recorded profitability</w:t>
      </w:r>
      <w:r w:rsidR="00AE4FE5" w:rsidRPr="003516DC">
        <w:rPr>
          <w:rFonts w:ascii="Arial" w:hAnsi="Arial" w:cs="Arial"/>
          <w:sz w:val="20"/>
          <w:szCs w:val="20"/>
        </w:rPr>
        <w:t>.</w:t>
      </w:r>
      <w:r w:rsidRPr="003516DC">
        <w:rPr>
          <w:rFonts w:ascii="Arial" w:hAnsi="Arial" w:cs="Arial"/>
          <w:sz w:val="20"/>
          <w:szCs w:val="20"/>
        </w:rPr>
        <w:t xml:space="preserve"> </w:t>
      </w:r>
      <w:r w:rsidR="00AE4FE5" w:rsidRPr="003516DC">
        <w:rPr>
          <w:rFonts w:ascii="Arial" w:hAnsi="Arial" w:cs="Arial"/>
          <w:sz w:val="20"/>
          <w:szCs w:val="20"/>
        </w:rPr>
        <w:t xml:space="preserve">By </w:t>
      </w:r>
      <w:r w:rsidRPr="003516DC">
        <w:rPr>
          <w:rFonts w:ascii="Arial" w:hAnsi="Arial" w:cs="Arial"/>
          <w:sz w:val="20"/>
          <w:szCs w:val="20"/>
        </w:rPr>
        <w:t>2019</w:t>
      </w:r>
      <w:r w:rsidR="00AE4FE5" w:rsidRPr="003516DC">
        <w:rPr>
          <w:rFonts w:ascii="Arial" w:hAnsi="Arial" w:cs="Arial"/>
          <w:sz w:val="20"/>
          <w:szCs w:val="20"/>
        </w:rPr>
        <w:t>,</w:t>
      </w:r>
      <w:r w:rsidRPr="003516DC">
        <w:rPr>
          <w:rFonts w:ascii="Arial" w:hAnsi="Arial" w:cs="Arial"/>
          <w:sz w:val="20"/>
          <w:szCs w:val="20"/>
        </w:rPr>
        <w:t xml:space="preserve"> close to 60% of Gorj-based companies were profitable. Self-employment </w:t>
      </w:r>
      <w:r w:rsidR="00AB4723" w:rsidRPr="003516DC">
        <w:rPr>
          <w:rFonts w:ascii="Arial" w:hAnsi="Arial" w:cs="Arial"/>
          <w:sz w:val="20"/>
          <w:szCs w:val="20"/>
        </w:rPr>
        <w:t>also increased</w:t>
      </w:r>
      <w:r w:rsidRPr="003516DC">
        <w:rPr>
          <w:rFonts w:ascii="Arial" w:hAnsi="Arial" w:cs="Arial"/>
          <w:sz w:val="20"/>
          <w:szCs w:val="20"/>
        </w:rPr>
        <w:t xml:space="preserve">, particularly </w:t>
      </w:r>
      <w:r w:rsidR="006350B7" w:rsidRPr="003516DC">
        <w:rPr>
          <w:rFonts w:ascii="Arial" w:hAnsi="Arial" w:cs="Arial"/>
          <w:sz w:val="20"/>
          <w:szCs w:val="20"/>
        </w:rPr>
        <w:t xml:space="preserve">over </w:t>
      </w:r>
      <w:r w:rsidRPr="003516DC">
        <w:rPr>
          <w:rFonts w:ascii="Arial" w:hAnsi="Arial" w:cs="Arial"/>
          <w:sz w:val="20"/>
          <w:szCs w:val="20"/>
        </w:rPr>
        <w:t>the past five years (</w:t>
      </w:r>
      <w:r w:rsidR="00FC08AF" w:rsidRPr="003516DC">
        <w:rPr>
          <w:rFonts w:ascii="Arial" w:hAnsi="Arial" w:cs="Arial"/>
          <w:sz w:val="20"/>
          <w:szCs w:val="20"/>
        </w:rPr>
        <w:t>+</w:t>
      </w:r>
      <w:r w:rsidRPr="003516DC">
        <w:rPr>
          <w:rFonts w:ascii="Arial" w:hAnsi="Arial" w:cs="Arial"/>
          <w:sz w:val="20"/>
          <w:szCs w:val="20"/>
        </w:rPr>
        <w:t>57%). Over half of the registered companies are active in trade (incl</w:t>
      </w:r>
      <w:r w:rsidR="00841093" w:rsidRPr="003516DC">
        <w:rPr>
          <w:rFonts w:ascii="Arial" w:hAnsi="Arial" w:cs="Arial"/>
          <w:sz w:val="20"/>
          <w:szCs w:val="20"/>
        </w:rPr>
        <w:t>uding</w:t>
      </w:r>
      <w:r w:rsidRPr="003516DC">
        <w:rPr>
          <w:rFonts w:ascii="Arial" w:hAnsi="Arial" w:cs="Arial"/>
          <w:sz w:val="20"/>
          <w:szCs w:val="20"/>
        </w:rPr>
        <w:t xml:space="preserve"> restaurants), 11% operate in professional services, 9% in industry, 9% in constructions, 9% in social services, 3% in agriculture and 2% in mining and energy. Professional services, education, healthcare, social services, entertainment and transportation are the sectors </w:t>
      </w:r>
      <w:r w:rsidR="006D7ED9" w:rsidRPr="003516DC">
        <w:rPr>
          <w:rFonts w:ascii="Arial" w:hAnsi="Arial" w:cs="Arial"/>
          <w:sz w:val="20"/>
          <w:szCs w:val="20"/>
        </w:rPr>
        <w:t xml:space="preserve">that </w:t>
      </w:r>
      <w:r w:rsidRPr="003516DC">
        <w:rPr>
          <w:rFonts w:ascii="Arial" w:hAnsi="Arial" w:cs="Arial"/>
          <w:sz w:val="20"/>
          <w:szCs w:val="20"/>
        </w:rPr>
        <w:t xml:space="preserve">attracted </w:t>
      </w:r>
      <w:r w:rsidR="006D7ED9" w:rsidRPr="003516DC">
        <w:rPr>
          <w:rFonts w:ascii="Arial" w:hAnsi="Arial" w:cs="Arial"/>
          <w:sz w:val="20"/>
          <w:szCs w:val="20"/>
        </w:rPr>
        <w:t xml:space="preserve">the </w:t>
      </w:r>
      <w:r w:rsidR="00D0428D" w:rsidRPr="003516DC">
        <w:rPr>
          <w:rFonts w:ascii="Arial" w:hAnsi="Arial" w:cs="Arial"/>
          <w:sz w:val="20"/>
          <w:szCs w:val="20"/>
        </w:rPr>
        <w:t>newest</w:t>
      </w:r>
      <w:r w:rsidRPr="003516DC">
        <w:rPr>
          <w:rFonts w:ascii="Arial" w:hAnsi="Arial" w:cs="Arial"/>
          <w:sz w:val="20"/>
          <w:szCs w:val="20"/>
        </w:rPr>
        <w:t xml:space="preserve"> businesses </w:t>
      </w:r>
      <w:r w:rsidR="004A4405" w:rsidRPr="003516DC">
        <w:rPr>
          <w:rFonts w:ascii="Arial" w:hAnsi="Arial" w:cs="Arial"/>
          <w:sz w:val="20"/>
          <w:szCs w:val="20"/>
        </w:rPr>
        <w:t xml:space="preserve">over </w:t>
      </w:r>
      <w:r w:rsidRPr="003516DC">
        <w:rPr>
          <w:rFonts w:ascii="Arial" w:hAnsi="Arial" w:cs="Arial"/>
          <w:sz w:val="20"/>
          <w:szCs w:val="20"/>
        </w:rPr>
        <w:t xml:space="preserve">the past decade. </w:t>
      </w:r>
      <w:r w:rsidR="004401A2" w:rsidRPr="003516DC">
        <w:rPr>
          <w:rFonts w:ascii="Arial" w:hAnsi="Arial" w:cs="Arial"/>
          <w:sz w:val="20"/>
          <w:szCs w:val="20"/>
        </w:rPr>
        <w:t>T</w:t>
      </w:r>
      <w:r w:rsidRPr="003516DC">
        <w:rPr>
          <w:rFonts w:ascii="Arial" w:hAnsi="Arial" w:cs="Arial"/>
          <w:sz w:val="20"/>
          <w:szCs w:val="20"/>
        </w:rPr>
        <w:t>he turnover of local companies from the energy and manufacturing sectors is steadily decreasing</w:t>
      </w:r>
      <w:r w:rsidR="004401A2" w:rsidRPr="003516DC">
        <w:rPr>
          <w:rFonts w:ascii="Arial" w:hAnsi="Arial" w:cs="Arial"/>
          <w:sz w:val="20"/>
          <w:szCs w:val="20"/>
        </w:rPr>
        <w:t xml:space="preserve"> while</w:t>
      </w:r>
      <w:r w:rsidRPr="003516DC">
        <w:rPr>
          <w:rFonts w:ascii="Arial" w:hAnsi="Arial" w:cs="Arial"/>
          <w:sz w:val="20"/>
          <w:szCs w:val="20"/>
        </w:rPr>
        <w:t xml:space="preserve"> the turnover of companies </w:t>
      </w:r>
      <w:r w:rsidR="004401A2" w:rsidRPr="003516DC">
        <w:rPr>
          <w:rFonts w:ascii="Arial" w:hAnsi="Arial" w:cs="Arial"/>
          <w:sz w:val="20"/>
          <w:szCs w:val="20"/>
        </w:rPr>
        <w:t xml:space="preserve">in </w:t>
      </w:r>
      <w:r w:rsidRPr="003516DC">
        <w:rPr>
          <w:rFonts w:ascii="Arial" w:hAnsi="Arial" w:cs="Arial"/>
          <w:sz w:val="20"/>
          <w:szCs w:val="20"/>
        </w:rPr>
        <w:t xml:space="preserve">trade and construction is </w:t>
      </w:r>
      <w:r w:rsidR="004401A2" w:rsidRPr="003516DC">
        <w:rPr>
          <w:rFonts w:ascii="Arial" w:hAnsi="Arial" w:cs="Arial"/>
          <w:sz w:val="20"/>
          <w:szCs w:val="20"/>
        </w:rPr>
        <w:t>increasing</w:t>
      </w:r>
      <w:r w:rsidRPr="003516DC">
        <w:rPr>
          <w:rFonts w:ascii="Arial" w:hAnsi="Arial" w:cs="Arial"/>
          <w:sz w:val="20"/>
          <w:szCs w:val="20"/>
        </w:rPr>
        <w:t>. Companies are also increasing their activity: in the past three years, the average turnover of locally registered companies increased by 10% each year, with turnover spikes in social and professional services, as well as tourism. Still, the annual losses of Gorj-based companies are about RON 300 million higher than the locally registered profits. The local energy and mining industry accounts for 90% of the losses. In Gorj</w:t>
      </w:r>
      <w:r w:rsidR="008E24EE" w:rsidRPr="003516DC">
        <w:rPr>
          <w:rFonts w:ascii="Arial" w:hAnsi="Arial" w:cs="Arial"/>
          <w:sz w:val="20"/>
          <w:szCs w:val="20"/>
        </w:rPr>
        <w:t>,</w:t>
      </w:r>
      <w:r w:rsidRPr="003516DC">
        <w:rPr>
          <w:rFonts w:ascii="Arial" w:hAnsi="Arial" w:cs="Arial"/>
          <w:sz w:val="20"/>
          <w:szCs w:val="20"/>
        </w:rPr>
        <w:t xml:space="preserve"> the ten large</w:t>
      </w:r>
      <w:r w:rsidR="008E24EE" w:rsidRPr="003516DC">
        <w:rPr>
          <w:rFonts w:ascii="Arial" w:hAnsi="Arial" w:cs="Arial"/>
          <w:sz w:val="20"/>
          <w:szCs w:val="20"/>
        </w:rPr>
        <w:t>st</w:t>
      </w:r>
      <w:r w:rsidRPr="003516DC">
        <w:rPr>
          <w:rFonts w:ascii="Arial" w:hAnsi="Arial" w:cs="Arial"/>
          <w:sz w:val="20"/>
          <w:szCs w:val="20"/>
        </w:rPr>
        <w:t xml:space="preserve"> enterprises are active in construction, textile manufacturing, wood processing, security, rubber processing, architecture.</w:t>
      </w:r>
    </w:p>
    <w:p w14:paraId="17A59507" w14:textId="41AFB474" w:rsidR="00004216" w:rsidRPr="003516DC" w:rsidRDefault="00004216" w:rsidP="00190BA4">
      <w:pPr>
        <w:pStyle w:val="Caption"/>
        <w:spacing w:before="120"/>
        <w:ind w:left="1138" w:hanging="1138"/>
      </w:pPr>
      <w:bookmarkStart w:id="197" w:name="_Toc90725996"/>
      <w:bookmarkStart w:id="198" w:name="_Toc90727293"/>
      <w:bookmarkStart w:id="199" w:name="_Hlk68735985"/>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42</w:t>
      </w:r>
      <w:r w:rsidR="0040363E" w:rsidRPr="003516DC">
        <w:rPr>
          <w:noProof/>
        </w:rPr>
        <w:fldChar w:fldCharType="end"/>
      </w:r>
      <w:r w:rsidRPr="003516DC">
        <w:t>: Economic sector trends during 2010-2019</w:t>
      </w:r>
      <w:r w:rsidR="00141F2C" w:rsidRPr="003516DC">
        <w:t>:</w:t>
      </w:r>
      <w:r w:rsidRPr="003516DC">
        <w:t xml:space="preserve"> Gorj </w:t>
      </w:r>
      <w:r w:rsidR="00F77450">
        <w:t>C</w:t>
      </w:r>
      <w:r w:rsidRPr="003516DC">
        <w:t>ounty</w:t>
      </w:r>
      <w:bookmarkEnd w:id="197"/>
      <w:bookmarkEnd w:id="198"/>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3058"/>
        <w:gridCol w:w="1245"/>
        <w:gridCol w:w="1395"/>
        <w:gridCol w:w="1627"/>
        <w:gridCol w:w="1604"/>
      </w:tblGrid>
      <w:tr w:rsidR="006F5F7C" w:rsidRPr="003516DC" w14:paraId="04693B04" w14:textId="77777777" w:rsidTr="006F5F7C">
        <w:trPr>
          <w:trHeight w:val="1275"/>
          <w:tblHeader/>
        </w:trPr>
        <w:tc>
          <w:tcPr>
            <w:tcW w:w="1492" w:type="pct"/>
            <w:shd w:val="clear" w:color="auto" w:fill="002060"/>
            <w:vAlign w:val="center"/>
            <w:hideMark/>
          </w:tcPr>
          <w:p w14:paraId="42233B3D" w14:textId="77777777" w:rsidR="006F5F7C" w:rsidRPr="003516DC" w:rsidRDefault="006F5F7C" w:rsidP="00E5506A">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Economic sector</w:t>
            </w:r>
          </w:p>
        </w:tc>
        <w:tc>
          <w:tcPr>
            <w:tcW w:w="608" w:type="pct"/>
            <w:shd w:val="clear" w:color="auto" w:fill="002060"/>
            <w:vAlign w:val="center"/>
            <w:hideMark/>
          </w:tcPr>
          <w:p w14:paraId="5CA46F65" w14:textId="77777777" w:rsidR="006F5F7C" w:rsidRPr="003516DC" w:rsidRDefault="006F5F7C" w:rsidP="00E5506A">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from Total DJ County Turnover in 2019</w:t>
            </w:r>
          </w:p>
        </w:tc>
        <w:tc>
          <w:tcPr>
            <w:tcW w:w="680" w:type="pct"/>
            <w:shd w:val="clear" w:color="auto" w:fill="002060"/>
            <w:vAlign w:val="center"/>
            <w:hideMark/>
          </w:tcPr>
          <w:p w14:paraId="2B526689" w14:textId="77777777" w:rsidR="006F5F7C" w:rsidRPr="003516DC" w:rsidRDefault="006F5F7C" w:rsidP="00E5506A">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of growth (+)/ decrease (-) of turnover 2019-2010</w:t>
            </w:r>
          </w:p>
        </w:tc>
        <w:tc>
          <w:tcPr>
            <w:tcW w:w="794" w:type="pct"/>
            <w:shd w:val="clear" w:color="auto" w:fill="002060"/>
            <w:vAlign w:val="center"/>
            <w:hideMark/>
          </w:tcPr>
          <w:p w14:paraId="13345E61" w14:textId="77777777" w:rsidR="006F5F7C" w:rsidRPr="003516DC" w:rsidRDefault="006F5F7C" w:rsidP="00E5506A">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from Total DJ County Employment in 2019</w:t>
            </w:r>
          </w:p>
        </w:tc>
        <w:tc>
          <w:tcPr>
            <w:tcW w:w="782" w:type="pct"/>
            <w:shd w:val="clear" w:color="auto" w:fill="002060"/>
            <w:vAlign w:val="center"/>
            <w:hideMark/>
          </w:tcPr>
          <w:p w14:paraId="5B156316" w14:textId="77777777" w:rsidR="006F5F7C" w:rsidRPr="003516DC" w:rsidRDefault="006F5F7C" w:rsidP="00E5506A">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of growth (+)/ decrease (-) of employment 2019-2010</w:t>
            </w:r>
          </w:p>
        </w:tc>
      </w:tr>
      <w:tr w:rsidR="006F5F7C" w:rsidRPr="003516DC" w14:paraId="13970E48" w14:textId="77777777" w:rsidTr="006F5F7C">
        <w:trPr>
          <w:trHeight w:val="432"/>
        </w:trPr>
        <w:tc>
          <w:tcPr>
            <w:tcW w:w="1492" w:type="pct"/>
            <w:shd w:val="clear" w:color="000000" w:fill="FFFFFF"/>
            <w:noWrap/>
            <w:vAlign w:val="center"/>
            <w:hideMark/>
          </w:tcPr>
          <w:p w14:paraId="5409B230"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608" w:type="pct"/>
            <w:shd w:val="clear" w:color="auto" w:fill="C2D69B" w:themeFill="accent3" w:themeFillTint="99"/>
            <w:noWrap/>
            <w:vAlign w:val="center"/>
          </w:tcPr>
          <w:p w14:paraId="1305BBF3" w14:textId="5BC5A04D"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w:t>
            </w:r>
          </w:p>
        </w:tc>
        <w:tc>
          <w:tcPr>
            <w:tcW w:w="680" w:type="pct"/>
            <w:shd w:val="clear" w:color="auto" w:fill="C2D69B" w:themeFill="accent3" w:themeFillTint="99"/>
            <w:vAlign w:val="center"/>
          </w:tcPr>
          <w:p w14:paraId="5E080AF4" w14:textId="49B34275"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125%</w:t>
            </w:r>
          </w:p>
        </w:tc>
        <w:tc>
          <w:tcPr>
            <w:tcW w:w="794" w:type="pct"/>
            <w:shd w:val="clear" w:color="auto" w:fill="C2D69B" w:themeFill="accent3" w:themeFillTint="99"/>
            <w:vAlign w:val="center"/>
          </w:tcPr>
          <w:p w14:paraId="75991CE3" w14:textId="6661EF11"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w:t>
            </w:r>
          </w:p>
        </w:tc>
        <w:tc>
          <w:tcPr>
            <w:tcW w:w="782" w:type="pct"/>
            <w:shd w:val="clear" w:color="auto" w:fill="C2D69B" w:themeFill="accent3" w:themeFillTint="99"/>
            <w:vAlign w:val="center"/>
          </w:tcPr>
          <w:p w14:paraId="0DF62009" w14:textId="3CB64261"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58%</w:t>
            </w:r>
          </w:p>
        </w:tc>
      </w:tr>
      <w:tr w:rsidR="006F5F7C" w:rsidRPr="003516DC" w14:paraId="5694346D" w14:textId="77777777" w:rsidTr="006F5F7C">
        <w:trPr>
          <w:trHeight w:val="432"/>
        </w:trPr>
        <w:tc>
          <w:tcPr>
            <w:tcW w:w="1492" w:type="pct"/>
            <w:shd w:val="clear" w:color="000000" w:fill="FFFFFF"/>
            <w:vAlign w:val="center"/>
            <w:hideMark/>
          </w:tcPr>
          <w:p w14:paraId="250BA3D2"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lastRenderedPageBreak/>
              <w:t>Mining Energy production &amp;Distribution</w:t>
            </w:r>
          </w:p>
        </w:tc>
        <w:tc>
          <w:tcPr>
            <w:tcW w:w="608" w:type="pct"/>
            <w:shd w:val="clear" w:color="auto" w:fill="D9D9D9" w:themeFill="background1" w:themeFillShade="D9"/>
            <w:noWrap/>
            <w:vAlign w:val="center"/>
          </w:tcPr>
          <w:p w14:paraId="4A986397" w14:textId="7E26875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38%</w:t>
            </w:r>
          </w:p>
        </w:tc>
        <w:tc>
          <w:tcPr>
            <w:tcW w:w="680" w:type="pct"/>
            <w:shd w:val="clear" w:color="auto" w:fill="D9D9D9" w:themeFill="background1" w:themeFillShade="D9"/>
            <w:vAlign w:val="center"/>
          </w:tcPr>
          <w:p w14:paraId="53316974" w14:textId="7D09573F"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13%</w:t>
            </w:r>
          </w:p>
        </w:tc>
        <w:tc>
          <w:tcPr>
            <w:tcW w:w="794" w:type="pct"/>
            <w:shd w:val="clear" w:color="auto" w:fill="D9D9D9" w:themeFill="background1" w:themeFillShade="D9"/>
            <w:vAlign w:val="center"/>
          </w:tcPr>
          <w:p w14:paraId="29A75990" w14:textId="7349DCF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33%</w:t>
            </w:r>
          </w:p>
        </w:tc>
        <w:tc>
          <w:tcPr>
            <w:tcW w:w="782" w:type="pct"/>
            <w:shd w:val="clear" w:color="auto" w:fill="D9D9D9" w:themeFill="background1" w:themeFillShade="D9"/>
            <w:vAlign w:val="center"/>
          </w:tcPr>
          <w:p w14:paraId="1423BBA9" w14:textId="6C84187D"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-24%</w:t>
            </w:r>
          </w:p>
        </w:tc>
      </w:tr>
      <w:tr w:rsidR="006F5F7C" w:rsidRPr="003516DC" w14:paraId="331D8796" w14:textId="77777777" w:rsidTr="006F5F7C">
        <w:trPr>
          <w:trHeight w:val="432"/>
        </w:trPr>
        <w:tc>
          <w:tcPr>
            <w:tcW w:w="1492" w:type="pct"/>
            <w:shd w:val="clear" w:color="000000" w:fill="FFFFFF"/>
            <w:noWrap/>
            <w:vAlign w:val="center"/>
            <w:hideMark/>
          </w:tcPr>
          <w:p w14:paraId="0EAC2F17"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608" w:type="pct"/>
            <w:shd w:val="clear" w:color="auto" w:fill="D9D9D9" w:themeFill="background1" w:themeFillShade="D9"/>
            <w:noWrap/>
            <w:vAlign w:val="center"/>
          </w:tcPr>
          <w:p w14:paraId="7E9731A2" w14:textId="4CDC1FC8"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10%</w:t>
            </w:r>
          </w:p>
        </w:tc>
        <w:tc>
          <w:tcPr>
            <w:tcW w:w="680" w:type="pct"/>
            <w:shd w:val="clear" w:color="auto" w:fill="D9D9D9" w:themeFill="background1" w:themeFillShade="D9"/>
            <w:vAlign w:val="center"/>
          </w:tcPr>
          <w:p w14:paraId="09582178" w14:textId="6A64F66F"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13%</w:t>
            </w:r>
          </w:p>
        </w:tc>
        <w:tc>
          <w:tcPr>
            <w:tcW w:w="794" w:type="pct"/>
            <w:shd w:val="clear" w:color="auto" w:fill="D9D9D9" w:themeFill="background1" w:themeFillShade="D9"/>
            <w:vAlign w:val="center"/>
          </w:tcPr>
          <w:p w14:paraId="1508B7C3" w14:textId="144120B9"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15%</w:t>
            </w:r>
          </w:p>
        </w:tc>
        <w:tc>
          <w:tcPr>
            <w:tcW w:w="782" w:type="pct"/>
            <w:shd w:val="clear" w:color="auto" w:fill="D9D9D9" w:themeFill="background1" w:themeFillShade="D9"/>
            <w:vAlign w:val="center"/>
          </w:tcPr>
          <w:p w14:paraId="0A7E6C0A" w14:textId="5857DC7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-29%</w:t>
            </w:r>
          </w:p>
        </w:tc>
      </w:tr>
      <w:tr w:rsidR="006F5F7C" w:rsidRPr="003516DC" w14:paraId="2481312E" w14:textId="77777777" w:rsidTr="006F5F7C">
        <w:trPr>
          <w:trHeight w:val="432"/>
        </w:trPr>
        <w:tc>
          <w:tcPr>
            <w:tcW w:w="1492" w:type="pct"/>
            <w:shd w:val="clear" w:color="000000" w:fill="FFFFFF"/>
            <w:noWrap/>
            <w:vAlign w:val="center"/>
            <w:hideMark/>
          </w:tcPr>
          <w:p w14:paraId="0EE744F6"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608" w:type="pct"/>
            <w:shd w:val="clear" w:color="auto" w:fill="D9D9D9" w:themeFill="background1" w:themeFillShade="D9"/>
            <w:noWrap/>
            <w:vAlign w:val="center"/>
          </w:tcPr>
          <w:p w14:paraId="594D3F12" w14:textId="3BD3E622"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7%</w:t>
            </w:r>
          </w:p>
        </w:tc>
        <w:tc>
          <w:tcPr>
            <w:tcW w:w="680" w:type="pct"/>
            <w:shd w:val="clear" w:color="auto" w:fill="D9D9D9" w:themeFill="background1" w:themeFillShade="D9"/>
            <w:vAlign w:val="center"/>
          </w:tcPr>
          <w:p w14:paraId="03798E1A" w14:textId="3E4EE58E"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71%</w:t>
            </w:r>
          </w:p>
        </w:tc>
        <w:tc>
          <w:tcPr>
            <w:tcW w:w="794" w:type="pct"/>
            <w:shd w:val="clear" w:color="auto" w:fill="D9D9D9" w:themeFill="background1" w:themeFillShade="D9"/>
            <w:vAlign w:val="center"/>
          </w:tcPr>
          <w:p w14:paraId="694D38E2" w14:textId="4984CE4F"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7%</w:t>
            </w:r>
          </w:p>
        </w:tc>
        <w:tc>
          <w:tcPr>
            <w:tcW w:w="782" w:type="pct"/>
            <w:shd w:val="clear" w:color="auto" w:fill="D9D9D9" w:themeFill="background1" w:themeFillShade="D9"/>
            <w:vAlign w:val="center"/>
          </w:tcPr>
          <w:p w14:paraId="528C3434" w14:textId="1472AF5C"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-8%</w:t>
            </w:r>
          </w:p>
        </w:tc>
      </w:tr>
      <w:tr w:rsidR="006F5F7C" w:rsidRPr="003516DC" w14:paraId="453B6BDB" w14:textId="77777777" w:rsidTr="006F5F7C">
        <w:trPr>
          <w:trHeight w:val="432"/>
        </w:trPr>
        <w:tc>
          <w:tcPr>
            <w:tcW w:w="1492" w:type="pct"/>
            <w:shd w:val="clear" w:color="000000" w:fill="FFFFFF"/>
            <w:noWrap/>
            <w:vAlign w:val="center"/>
            <w:hideMark/>
          </w:tcPr>
          <w:p w14:paraId="0B487573"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608" w:type="pct"/>
            <w:shd w:val="clear" w:color="auto" w:fill="D9D9D9" w:themeFill="background1" w:themeFillShade="D9"/>
            <w:noWrap/>
            <w:vAlign w:val="center"/>
          </w:tcPr>
          <w:p w14:paraId="75CE780B" w14:textId="2E0CE9DD"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36%</w:t>
            </w:r>
          </w:p>
        </w:tc>
        <w:tc>
          <w:tcPr>
            <w:tcW w:w="680" w:type="pct"/>
            <w:shd w:val="clear" w:color="auto" w:fill="D9D9D9" w:themeFill="background1" w:themeFillShade="D9"/>
            <w:vAlign w:val="center"/>
          </w:tcPr>
          <w:p w14:paraId="0CE031D7" w14:textId="73C93B45"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46%</w:t>
            </w:r>
          </w:p>
        </w:tc>
        <w:tc>
          <w:tcPr>
            <w:tcW w:w="794" w:type="pct"/>
            <w:shd w:val="clear" w:color="auto" w:fill="D9D9D9" w:themeFill="background1" w:themeFillShade="D9"/>
            <w:vAlign w:val="center"/>
          </w:tcPr>
          <w:p w14:paraId="0FE4B1B1" w14:textId="740AB1A5"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27%</w:t>
            </w:r>
          </w:p>
        </w:tc>
        <w:tc>
          <w:tcPr>
            <w:tcW w:w="782" w:type="pct"/>
            <w:shd w:val="clear" w:color="auto" w:fill="D9D9D9" w:themeFill="background1" w:themeFillShade="D9"/>
            <w:vAlign w:val="center"/>
          </w:tcPr>
          <w:p w14:paraId="538189B3" w14:textId="2221606E"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-10%</w:t>
            </w:r>
          </w:p>
        </w:tc>
      </w:tr>
      <w:tr w:rsidR="006F5F7C" w:rsidRPr="003516DC" w14:paraId="01AC7264" w14:textId="77777777" w:rsidTr="006F5F7C">
        <w:trPr>
          <w:trHeight w:val="432"/>
        </w:trPr>
        <w:tc>
          <w:tcPr>
            <w:tcW w:w="1492" w:type="pct"/>
            <w:shd w:val="clear" w:color="000000" w:fill="FFFFFF"/>
            <w:noWrap/>
            <w:vAlign w:val="center"/>
            <w:hideMark/>
          </w:tcPr>
          <w:p w14:paraId="13A58D66"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608" w:type="pct"/>
            <w:shd w:val="clear" w:color="auto" w:fill="D9D9D9" w:themeFill="background1" w:themeFillShade="D9"/>
            <w:noWrap/>
            <w:vAlign w:val="center"/>
          </w:tcPr>
          <w:p w14:paraId="512E378E" w14:textId="5DF07D61"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w:t>
            </w:r>
          </w:p>
        </w:tc>
        <w:tc>
          <w:tcPr>
            <w:tcW w:w="680" w:type="pct"/>
            <w:shd w:val="clear" w:color="auto" w:fill="D9D9D9" w:themeFill="background1" w:themeFillShade="D9"/>
            <w:vAlign w:val="center"/>
          </w:tcPr>
          <w:p w14:paraId="75161095" w14:textId="09F3B93C"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68%</w:t>
            </w:r>
          </w:p>
        </w:tc>
        <w:tc>
          <w:tcPr>
            <w:tcW w:w="794" w:type="pct"/>
            <w:shd w:val="clear" w:color="auto" w:fill="D9D9D9" w:themeFill="background1" w:themeFillShade="D9"/>
            <w:vAlign w:val="center"/>
          </w:tcPr>
          <w:p w14:paraId="6A8727B3" w14:textId="5718C62F"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w:t>
            </w:r>
          </w:p>
        </w:tc>
        <w:tc>
          <w:tcPr>
            <w:tcW w:w="782" w:type="pct"/>
            <w:shd w:val="clear" w:color="auto" w:fill="D9D9D9" w:themeFill="background1" w:themeFillShade="D9"/>
            <w:vAlign w:val="center"/>
          </w:tcPr>
          <w:p w14:paraId="5E0AFCBB" w14:textId="4D13DEF8"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-16%</w:t>
            </w:r>
          </w:p>
        </w:tc>
      </w:tr>
      <w:tr w:rsidR="006F5F7C" w:rsidRPr="003516DC" w14:paraId="01EECC43" w14:textId="77777777" w:rsidTr="006F5F7C">
        <w:trPr>
          <w:trHeight w:val="432"/>
        </w:trPr>
        <w:tc>
          <w:tcPr>
            <w:tcW w:w="1492" w:type="pct"/>
            <w:shd w:val="clear" w:color="000000" w:fill="FFFFFF"/>
            <w:noWrap/>
            <w:vAlign w:val="center"/>
            <w:hideMark/>
          </w:tcPr>
          <w:p w14:paraId="4FAD06B2"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608" w:type="pct"/>
            <w:shd w:val="clear" w:color="auto" w:fill="D9D9D9" w:themeFill="background1" w:themeFillShade="D9"/>
            <w:noWrap/>
            <w:vAlign w:val="center"/>
          </w:tcPr>
          <w:p w14:paraId="3BE6C67D" w14:textId="3DC25FAA"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0.41%</w:t>
            </w:r>
          </w:p>
        </w:tc>
        <w:tc>
          <w:tcPr>
            <w:tcW w:w="680" w:type="pct"/>
            <w:shd w:val="clear" w:color="auto" w:fill="D9D9D9" w:themeFill="background1" w:themeFillShade="D9"/>
            <w:vAlign w:val="center"/>
          </w:tcPr>
          <w:p w14:paraId="1F598281" w14:textId="6615ED5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27%</w:t>
            </w:r>
          </w:p>
        </w:tc>
        <w:tc>
          <w:tcPr>
            <w:tcW w:w="794" w:type="pct"/>
            <w:shd w:val="clear" w:color="auto" w:fill="D9D9D9" w:themeFill="background1" w:themeFillShade="D9"/>
            <w:vAlign w:val="center"/>
          </w:tcPr>
          <w:p w14:paraId="47F04137" w14:textId="3D584A73"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w:t>
            </w:r>
          </w:p>
        </w:tc>
        <w:tc>
          <w:tcPr>
            <w:tcW w:w="782" w:type="pct"/>
            <w:shd w:val="clear" w:color="auto" w:fill="D9D9D9" w:themeFill="background1" w:themeFillShade="D9"/>
            <w:vAlign w:val="center"/>
          </w:tcPr>
          <w:p w14:paraId="6702B737" w14:textId="7C6BEB53"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-4%</w:t>
            </w:r>
          </w:p>
        </w:tc>
      </w:tr>
      <w:tr w:rsidR="006F5F7C" w:rsidRPr="003516DC" w14:paraId="120A4EC2" w14:textId="77777777" w:rsidTr="006F5F7C">
        <w:trPr>
          <w:trHeight w:val="432"/>
        </w:trPr>
        <w:tc>
          <w:tcPr>
            <w:tcW w:w="1492" w:type="pct"/>
            <w:shd w:val="clear" w:color="000000" w:fill="FFFFFF"/>
            <w:noWrap/>
            <w:vAlign w:val="center"/>
            <w:hideMark/>
          </w:tcPr>
          <w:p w14:paraId="411EDA44"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608" w:type="pct"/>
            <w:shd w:val="clear" w:color="auto" w:fill="D6E3BC" w:themeFill="accent3" w:themeFillTint="66"/>
            <w:noWrap/>
            <w:vAlign w:val="center"/>
          </w:tcPr>
          <w:p w14:paraId="57A837D3" w14:textId="6AB738E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0.43%</w:t>
            </w:r>
          </w:p>
        </w:tc>
        <w:tc>
          <w:tcPr>
            <w:tcW w:w="680" w:type="pct"/>
            <w:shd w:val="clear" w:color="auto" w:fill="D6E3BC" w:themeFill="accent3" w:themeFillTint="66"/>
            <w:vAlign w:val="center"/>
          </w:tcPr>
          <w:p w14:paraId="6B727151" w14:textId="723E10F1"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113%</w:t>
            </w:r>
          </w:p>
        </w:tc>
        <w:tc>
          <w:tcPr>
            <w:tcW w:w="794" w:type="pct"/>
            <w:shd w:val="clear" w:color="auto" w:fill="D6E3BC" w:themeFill="accent3" w:themeFillTint="66"/>
            <w:vAlign w:val="center"/>
          </w:tcPr>
          <w:p w14:paraId="20721E33" w14:textId="39A617F8"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0%</w:t>
            </w:r>
          </w:p>
        </w:tc>
        <w:tc>
          <w:tcPr>
            <w:tcW w:w="782" w:type="pct"/>
            <w:shd w:val="clear" w:color="auto" w:fill="D6E3BC" w:themeFill="accent3" w:themeFillTint="66"/>
            <w:vAlign w:val="center"/>
          </w:tcPr>
          <w:p w14:paraId="54FD420C" w14:textId="7558E8CF"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14%</w:t>
            </w:r>
          </w:p>
        </w:tc>
      </w:tr>
      <w:tr w:rsidR="006F5F7C" w:rsidRPr="003516DC" w14:paraId="7EBE54E8" w14:textId="77777777" w:rsidTr="006F5F7C">
        <w:trPr>
          <w:trHeight w:val="432"/>
        </w:trPr>
        <w:tc>
          <w:tcPr>
            <w:tcW w:w="1492" w:type="pct"/>
            <w:shd w:val="clear" w:color="000000" w:fill="FFFFFF"/>
            <w:noWrap/>
            <w:vAlign w:val="center"/>
            <w:hideMark/>
          </w:tcPr>
          <w:p w14:paraId="307C2492"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608" w:type="pct"/>
            <w:shd w:val="clear" w:color="auto" w:fill="D6E3BC" w:themeFill="accent3" w:themeFillTint="66"/>
            <w:noWrap/>
            <w:vAlign w:val="center"/>
          </w:tcPr>
          <w:p w14:paraId="2593C271" w14:textId="60D45B67"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3%</w:t>
            </w:r>
          </w:p>
        </w:tc>
        <w:tc>
          <w:tcPr>
            <w:tcW w:w="680" w:type="pct"/>
            <w:shd w:val="clear" w:color="auto" w:fill="D6E3BC" w:themeFill="accent3" w:themeFillTint="66"/>
            <w:vAlign w:val="center"/>
          </w:tcPr>
          <w:p w14:paraId="309734E1" w14:textId="521CE98E"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144%</w:t>
            </w:r>
          </w:p>
        </w:tc>
        <w:tc>
          <w:tcPr>
            <w:tcW w:w="794" w:type="pct"/>
            <w:shd w:val="clear" w:color="auto" w:fill="D6E3BC" w:themeFill="accent3" w:themeFillTint="66"/>
            <w:vAlign w:val="center"/>
          </w:tcPr>
          <w:p w14:paraId="33D46EAF" w14:textId="6B3AE624"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11%</w:t>
            </w:r>
          </w:p>
        </w:tc>
        <w:tc>
          <w:tcPr>
            <w:tcW w:w="782" w:type="pct"/>
            <w:shd w:val="clear" w:color="auto" w:fill="D6E3BC" w:themeFill="accent3" w:themeFillTint="66"/>
            <w:vAlign w:val="center"/>
          </w:tcPr>
          <w:p w14:paraId="77A70C55" w14:textId="7063FED6"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0%</w:t>
            </w:r>
          </w:p>
        </w:tc>
      </w:tr>
      <w:tr w:rsidR="006F5F7C" w:rsidRPr="003516DC" w14:paraId="1ADEB0E6" w14:textId="77777777" w:rsidTr="006F5F7C">
        <w:trPr>
          <w:trHeight w:val="432"/>
        </w:trPr>
        <w:tc>
          <w:tcPr>
            <w:tcW w:w="1492" w:type="pct"/>
            <w:shd w:val="clear" w:color="000000" w:fill="FFFFFF"/>
            <w:noWrap/>
            <w:vAlign w:val="center"/>
            <w:hideMark/>
          </w:tcPr>
          <w:p w14:paraId="66CC5272" w14:textId="77777777" w:rsidR="006F5F7C" w:rsidRPr="003516DC" w:rsidRDefault="006F5F7C" w:rsidP="0066153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608" w:type="pct"/>
            <w:shd w:val="clear" w:color="auto" w:fill="D6E3BC" w:themeFill="accent3" w:themeFillTint="66"/>
            <w:noWrap/>
            <w:vAlign w:val="center"/>
          </w:tcPr>
          <w:p w14:paraId="4783DD85" w14:textId="3A83FA4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3%</w:t>
            </w:r>
          </w:p>
        </w:tc>
        <w:tc>
          <w:tcPr>
            <w:tcW w:w="680" w:type="pct"/>
            <w:shd w:val="clear" w:color="auto" w:fill="D6E3BC" w:themeFill="accent3" w:themeFillTint="66"/>
            <w:vAlign w:val="center"/>
          </w:tcPr>
          <w:p w14:paraId="28D605B1" w14:textId="3A38DE1A"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205%</w:t>
            </w:r>
          </w:p>
        </w:tc>
        <w:tc>
          <w:tcPr>
            <w:tcW w:w="794" w:type="pct"/>
            <w:shd w:val="clear" w:color="auto" w:fill="D6E3BC" w:themeFill="accent3" w:themeFillTint="66"/>
            <w:vAlign w:val="center"/>
          </w:tcPr>
          <w:p w14:paraId="35A530FE" w14:textId="36EDC1B0"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4%</w:t>
            </w:r>
          </w:p>
        </w:tc>
        <w:tc>
          <w:tcPr>
            <w:tcW w:w="782" w:type="pct"/>
            <w:shd w:val="clear" w:color="auto" w:fill="D6E3BC" w:themeFill="accent3" w:themeFillTint="66"/>
            <w:vAlign w:val="center"/>
          </w:tcPr>
          <w:p w14:paraId="1D554403" w14:textId="6E2D0E73" w:rsidR="006F5F7C" w:rsidRPr="003516DC" w:rsidRDefault="006F5F7C" w:rsidP="00661530">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val="en-US" w:eastAsia="zh-CN" w:bidi="ar"/>
              </w:rPr>
              <w:t>44%</w:t>
            </w:r>
          </w:p>
        </w:tc>
      </w:tr>
    </w:tbl>
    <w:bookmarkEnd w:id="199"/>
    <w:p w14:paraId="6E50EB48" w14:textId="5E1A54CB" w:rsidR="00DC66DF" w:rsidRDefault="0093379D" w:rsidP="00DC66DF">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6CE105CB" w14:textId="77777777" w:rsidR="00F77450" w:rsidRDefault="00F77450" w:rsidP="00402580">
      <w:pPr>
        <w:spacing w:after="240"/>
        <w:jc w:val="both"/>
        <w:rPr>
          <w:rFonts w:ascii="Arial" w:hAnsi="Arial" w:cs="Arial"/>
          <w:i/>
          <w:iCs/>
          <w:sz w:val="16"/>
          <w:szCs w:val="16"/>
        </w:rPr>
      </w:pPr>
      <w:r>
        <w:rPr>
          <w:rFonts w:ascii="Arial" w:hAnsi="Arial" w:cs="Arial"/>
          <w:i/>
          <w:iCs/>
          <w:sz w:val="16"/>
          <w:szCs w:val="16"/>
        </w:rPr>
        <w:t>*Legend: economic sectors highlighted in green registered growth in terms turnover and employment; economic sectors highlighted in red registered decreases in terms of both turnover and employment; economic sectors highlighted in grey registered diverging evolutions in terms of turnover and employment, e.g., growth in turnover and decrease in employment.</w:t>
      </w:r>
    </w:p>
    <w:p w14:paraId="6D5F7B33" w14:textId="52905F3B" w:rsidR="00F84DF3" w:rsidRPr="005166AE" w:rsidRDefault="00F77450" w:rsidP="00312B8A">
      <w:pPr>
        <w:jc w:val="both"/>
        <w:rPr>
          <w:rFonts w:ascii="Arial" w:hAnsi="Arial" w:cs="Arial"/>
          <w:sz w:val="20"/>
          <w:szCs w:val="20"/>
        </w:rPr>
      </w:pPr>
      <w:r>
        <w:rPr>
          <w:rFonts w:ascii="Arial" w:hAnsi="Arial" w:cs="Arial"/>
          <w:sz w:val="20"/>
          <w:szCs w:val="20"/>
        </w:rPr>
        <w:t>T</w:t>
      </w:r>
      <w:r w:rsidR="00312B8A" w:rsidRPr="005166AE">
        <w:rPr>
          <w:rFonts w:ascii="Arial" w:hAnsi="Arial" w:cs="Arial"/>
          <w:sz w:val="20"/>
          <w:szCs w:val="20"/>
        </w:rPr>
        <w:t xml:space="preserve">able </w:t>
      </w:r>
      <w:r w:rsidR="001C68D2">
        <w:rPr>
          <w:rFonts w:ascii="Arial" w:hAnsi="Arial" w:cs="Arial"/>
          <w:sz w:val="20"/>
          <w:szCs w:val="20"/>
        </w:rPr>
        <w:t>43</w:t>
      </w:r>
      <w:r w:rsidR="001C68D2" w:rsidRPr="005166AE">
        <w:rPr>
          <w:rFonts w:ascii="Arial" w:hAnsi="Arial" w:cs="Arial"/>
          <w:sz w:val="20"/>
          <w:szCs w:val="20"/>
        </w:rPr>
        <w:t xml:space="preserve"> </w:t>
      </w:r>
      <w:r w:rsidR="00312B8A" w:rsidRPr="005166AE">
        <w:rPr>
          <w:rFonts w:ascii="Arial" w:hAnsi="Arial" w:cs="Arial"/>
          <w:sz w:val="20"/>
          <w:szCs w:val="20"/>
        </w:rPr>
        <w:t xml:space="preserve">presents </w:t>
      </w:r>
      <w:r>
        <w:rPr>
          <w:rFonts w:ascii="Arial" w:hAnsi="Arial" w:cs="Arial"/>
          <w:sz w:val="20"/>
          <w:szCs w:val="20"/>
        </w:rPr>
        <w:t xml:space="preserve">the </w:t>
      </w:r>
      <w:r w:rsidR="00312B8A" w:rsidRPr="005166AE">
        <w:rPr>
          <w:rFonts w:ascii="Arial" w:hAnsi="Arial" w:cs="Arial"/>
          <w:sz w:val="20"/>
          <w:szCs w:val="20"/>
        </w:rPr>
        <w:t xml:space="preserve">top 10 companies in </w:t>
      </w:r>
      <w:r w:rsidR="00312B8A">
        <w:rPr>
          <w:rFonts w:ascii="Arial" w:hAnsi="Arial" w:cs="Arial"/>
          <w:sz w:val="20"/>
          <w:szCs w:val="20"/>
        </w:rPr>
        <w:t>Gorj</w:t>
      </w:r>
      <w:r w:rsidR="00312B8A" w:rsidRPr="005166AE">
        <w:rPr>
          <w:rFonts w:ascii="Arial" w:hAnsi="Arial" w:cs="Arial"/>
          <w:sz w:val="20"/>
          <w:szCs w:val="20"/>
        </w:rPr>
        <w:t xml:space="preserve"> </w:t>
      </w:r>
      <w:r>
        <w:rPr>
          <w:rFonts w:ascii="Arial" w:hAnsi="Arial" w:cs="Arial"/>
          <w:sz w:val="20"/>
          <w:szCs w:val="20"/>
        </w:rPr>
        <w:t>C</w:t>
      </w:r>
      <w:r w:rsidR="00312B8A" w:rsidRPr="005166AE">
        <w:rPr>
          <w:rFonts w:ascii="Arial" w:hAnsi="Arial" w:cs="Arial"/>
          <w:sz w:val="20"/>
          <w:szCs w:val="20"/>
        </w:rPr>
        <w:t xml:space="preserve">ounty in terms of turnover and number of employees. The </w:t>
      </w:r>
      <w:r>
        <w:rPr>
          <w:rFonts w:ascii="Arial" w:hAnsi="Arial" w:cs="Arial"/>
          <w:sz w:val="20"/>
          <w:szCs w:val="20"/>
        </w:rPr>
        <w:t>table</w:t>
      </w:r>
      <w:r w:rsidR="00312B8A" w:rsidRPr="005166AE">
        <w:rPr>
          <w:rFonts w:ascii="Arial" w:hAnsi="Arial" w:cs="Arial"/>
          <w:sz w:val="20"/>
          <w:szCs w:val="20"/>
        </w:rPr>
        <w:t xml:space="preserve"> </w:t>
      </w:r>
      <w:r>
        <w:rPr>
          <w:rFonts w:ascii="Arial" w:hAnsi="Arial" w:cs="Arial"/>
          <w:sz w:val="20"/>
          <w:szCs w:val="20"/>
        </w:rPr>
        <w:t>indicates</w:t>
      </w:r>
      <w:r w:rsidR="00312B8A" w:rsidRPr="005166AE">
        <w:rPr>
          <w:rFonts w:ascii="Arial" w:hAnsi="Arial" w:cs="Arial"/>
          <w:sz w:val="20"/>
          <w:szCs w:val="20"/>
        </w:rPr>
        <w:t xml:space="preserve"> the share of energy intensive companies, main economic sector, whether they are part of the European Union Emissions Trading Systems and whether or not they are affected by the transition. At </w:t>
      </w:r>
      <w:r>
        <w:rPr>
          <w:rFonts w:ascii="Arial" w:hAnsi="Arial" w:cs="Arial"/>
          <w:sz w:val="20"/>
          <w:szCs w:val="20"/>
        </w:rPr>
        <w:t xml:space="preserve">the </w:t>
      </w:r>
      <w:r w:rsidR="00312B8A" w:rsidRPr="005166AE">
        <w:rPr>
          <w:rFonts w:ascii="Arial" w:hAnsi="Arial" w:cs="Arial"/>
          <w:sz w:val="20"/>
          <w:szCs w:val="20"/>
        </w:rPr>
        <w:t xml:space="preserve">county level, there are </w:t>
      </w:r>
      <w:r w:rsidR="00AA6E81">
        <w:rPr>
          <w:rFonts w:ascii="Arial" w:hAnsi="Arial" w:cs="Arial"/>
          <w:sz w:val="20"/>
          <w:szCs w:val="20"/>
        </w:rPr>
        <w:t xml:space="preserve">a total of </w:t>
      </w:r>
      <w:r w:rsidR="00312B8A">
        <w:rPr>
          <w:rFonts w:ascii="Arial" w:hAnsi="Arial" w:cs="Arial"/>
          <w:sz w:val="20"/>
          <w:szCs w:val="20"/>
        </w:rPr>
        <w:t>10</w:t>
      </w:r>
      <w:r w:rsidR="00312B8A" w:rsidRPr="005166AE">
        <w:rPr>
          <w:rFonts w:ascii="Arial" w:hAnsi="Arial" w:cs="Arial"/>
          <w:sz w:val="20"/>
          <w:szCs w:val="20"/>
        </w:rPr>
        <w:t xml:space="preserve"> EU-ETS installations, of which </w:t>
      </w:r>
      <w:r w:rsidR="00312B8A">
        <w:rPr>
          <w:rFonts w:ascii="Arial" w:hAnsi="Arial" w:cs="Arial"/>
          <w:sz w:val="20"/>
          <w:szCs w:val="20"/>
        </w:rPr>
        <w:t>two are</w:t>
      </w:r>
      <w:r w:rsidR="00312B8A" w:rsidRPr="005166AE">
        <w:rPr>
          <w:rFonts w:ascii="Arial" w:hAnsi="Arial" w:cs="Arial"/>
          <w:sz w:val="20"/>
          <w:szCs w:val="20"/>
        </w:rPr>
        <w:t xml:space="preserve"> listed below</w:t>
      </w:r>
      <w:r w:rsidR="00312B8A">
        <w:rPr>
          <w:rFonts w:ascii="Arial" w:hAnsi="Arial" w:cs="Arial"/>
          <w:sz w:val="20"/>
          <w:szCs w:val="20"/>
        </w:rPr>
        <w:t>.</w:t>
      </w:r>
    </w:p>
    <w:p w14:paraId="228297C5" w14:textId="4C7BC6F8" w:rsidR="00312B8A" w:rsidRDefault="00312B8A" w:rsidP="00312B8A">
      <w:pPr>
        <w:pStyle w:val="Caption"/>
        <w:sectPr w:rsidR="00312B8A" w:rsidSect="00A608C7">
          <w:headerReference w:type="default" r:id="rId121"/>
          <w:footerReference w:type="default" r:id="rId122"/>
          <w:pgSz w:w="11909" w:h="16834"/>
          <w:pgMar w:top="1440" w:right="1440" w:bottom="1440" w:left="1530" w:header="720" w:footer="720" w:gutter="0"/>
          <w:cols w:space="720"/>
        </w:sectPr>
      </w:pPr>
    </w:p>
    <w:p w14:paraId="561175F8" w14:textId="07A24822" w:rsidR="00F84DF3" w:rsidRDefault="00F84DF3" w:rsidP="00DE2D4D">
      <w:pPr>
        <w:pStyle w:val="Caption"/>
        <w:ind w:left="1138" w:hanging="1138"/>
      </w:pPr>
      <w:bookmarkStart w:id="200" w:name="_Toc90725997"/>
      <w:bookmarkStart w:id="201" w:name="_Toc90727294"/>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43</w:t>
      </w:r>
      <w:r w:rsidR="000B273D">
        <w:rPr>
          <w:noProof/>
        </w:rPr>
        <w:fldChar w:fldCharType="end"/>
      </w:r>
      <w:r>
        <w:t>: Large enterprises by turnover and employees, 2019, Gorj County</w:t>
      </w:r>
      <w:bookmarkEnd w:id="200"/>
      <w:bookmarkEnd w:id="201"/>
    </w:p>
    <w:tbl>
      <w:tblPr>
        <w:tblStyle w:val="TableGrid"/>
        <w:tblW w:w="5000" w:type="pct"/>
        <w:tblLook w:val="04A0" w:firstRow="1" w:lastRow="0" w:firstColumn="1" w:lastColumn="0" w:noHBand="0" w:noVBand="1"/>
      </w:tblPr>
      <w:tblGrid>
        <w:gridCol w:w="2489"/>
        <w:gridCol w:w="3099"/>
        <w:gridCol w:w="1066"/>
        <w:gridCol w:w="898"/>
        <w:gridCol w:w="1149"/>
        <w:gridCol w:w="1065"/>
        <w:gridCol w:w="940"/>
        <w:gridCol w:w="3238"/>
      </w:tblGrid>
      <w:tr w:rsidR="00DE2D4D" w:rsidRPr="00312B8A" w14:paraId="1A2B24A4" w14:textId="77777777" w:rsidTr="00DE2D4D">
        <w:trPr>
          <w:tblHeader/>
        </w:trPr>
        <w:tc>
          <w:tcPr>
            <w:tcW w:w="892" w:type="pct"/>
            <w:shd w:val="clear" w:color="auto" w:fill="002060"/>
          </w:tcPr>
          <w:p w14:paraId="10AAFBF0"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Company</w:t>
            </w:r>
          </w:p>
        </w:tc>
        <w:tc>
          <w:tcPr>
            <w:tcW w:w="1111" w:type="pct"/>
            <w:shd w:val="clear" w:color="auto" w:fill="002060"/>
          </w:tcPr>
          <w:p w14:paraId="0A8FF324"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Main NACE class</w:t>
            </w:r>
          </w:p>
        </w:tc>
        <w:tc>
          <w:tcPr>
            <w:tcW w:w="382" w:type="pct"/>
            <w:shd w:val="clear" w:color="auto" w:fill="002060"/>
          </w:tcPr>
          <w:p w14:paraId="4F6F7475"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Employees (no.)</w:t>
            </w:r>
          </w:p>
        </w:tc>
        <w:tc>
          <w:tcPr>
            <w:tcW w:w="322" w:type="pct"/>
            <w:shd w:val="clear" w:color="auto" w:fill="002060"/>
          </w:tcPr>
          <w:p w14:paraId="01D3982E"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Turnover (RON million)</w:t>
            </w:r>
          </w:p>
        </w:tc>
        <w:tc>
          <w:tcPr>
            <w:tcW w:w="412" w:type="pct"/>
            <w:shd w:val="clear" w:color="auto" w:fill="002060"/>
          </w:tcPr>
          <w:p w14:paraId="2D81D0DD"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EU ETS participation</w:t>
            </w:r>
          </w:p>
        </w:tc>
        <w:tc>
          <w:tcPr>
            <w:tcW w:w="382" w:type="pct"/>
            <w:shd w:val="clear" w:color="auto" w:fill="002060"/>
          </w:tcPr>
          <w:p w14:paraId="683671F2"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Affected by the transition</w:t>
            </w:r>
          </w:p>
        </w:tc>
        <w:tc>
          <w:tcPr>
            <w:tcW w:w="337" w:type="pct"/>
            <w:shd w:val="clear" w:color="auto" w:fill="002060"/>
          </w:tcPr>
          <w:p w14:paraId="0BBE4295"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Engaged during the TA</w:t>
            </w:r>
          </w:p>
        </w:tc>
        <w:tc>
          <w:tcPr>
            <w:tcW w:w="1161" w:type="pct"/>
            <w:shd w:val="clear" w:color="auto" w:fill="002060"/>
          </w:tcPr>
          <w:p w14:paraId="1D0D16A9" w14:textId="77777777" w:rsidR="00F84DF3" w:rsidRPr="00312B8A" w:rsidRDefault="00F84DF3" w:rsidP="00DE2D4D">
            <w:pPr>
              <w:rPr>
                <w:rFonts w:ascii="Arial" w:hAnsi="Arial" w:cs="Arial"/>
                <w:color w:val="FFFFFF" w:themeColor="background1"/>
                <w:sz w:val="17"/>
                <w:szCs w:val="17"/>
                <w:lang w:val="ro-RO"/>
              </w:rPr>
            </w:pPr>
            <w:r w:rsidRPr="00312B8A">
              <w:rPr>
                <w:rFonts w:ascii="Arial" w:hAnsi="Arial" w:cs="Arial"/>
                <w:color w:val="FFFFFF" w:themeColor="background1"/>
                <w:sz w:val="17"/>
                <w:szCs w:val="17"/>
                <w:lang w:val="ro-RO"/>
              </w:rPr>
              <w:t>Observations</w:t>
            </w:r>
          </w:p>
        </w:tc>
      </w:tr>
      <w:tr w:rsidR="00DE2D4D" w:rsidRPr="00312B8A" w14:paraId="67E3C722" w14:textId="77777777" w:rsidTr="00DE2D4D">
        <w:tc>
          <w:tcPr>
            <w:tcW w:w="892" w:type="pct"/>
          </w:tcPr>
          <w:p w14:paraId="042979D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SOCIETATEA COMPLEXUL ENERGETIC OLTENIA S.A.</w:t>
            </w:r>
          </w:p>
        </w:tc>
        <w:tc>
          <w:tcPr>
            <w:tcW w:w="1111" w:type="pct"/>
          </w:tcPr>
          <w:p w14:paraId="4634649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D ELECTRICITY, GAS, STEAM AND AIR CONDITIONING SUPPLY</w:t>
            </w:r>
            <w:r>
              <w:rPr>
                <w:rFonts w:ascii="Arial" w:hAnsi="Arial" w:cs="Arial"/>
                <w:sz w:val="17"/>
                <w:szCs w:val="17"/>
                <w:lang w:val="ro-RO"/>
              </w:rPr>
              <w:t xml:space="preserve"> (energy production)</w:t>
            </w:r>
          </w:p>
        </w:tc>
        <w:tc>
          <w:tcPr>
            <w:tcW w:w="382" w:type="pct"/>
          </w:tcPr>
          <w:p w14:paraId="630461ED"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12,858</w:t>
            </w:r>
          </w:p>
        </w:tc>
        <w:tc>
          <w:tcPr>
            <w:tcW w:w="322" w:type="pct"/>
          </w:tcPr>
          <w:p w14:paraId="3A2DB63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3,116</w:t>
            </w:r>
          </w:p>
        </w:tc>
        <w:tc>
          <w:tcPr>
            <w:tcW w:w="412" w:type="pct"/>
          </w:tcPr>
          <w:p w14:paraId="06B40BC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382" w:type="pct"/>
          </w:tcPr>
          <w:p w14:paraId="4434F383" w14:textId="77777777" w:rsidR="00F84DF3" w:rsidRPr="00312B8A" w:rsidRDefault="00F84DF3" w:rsidP="00DE2D4D">
            <w:pPr>
              <w:rPr>
                <w:rFonts w:ascii="Arial" w:hAnsi="Arial" w:cs="Arial"/>
                <w:sz w:val="17"/>
                <w:szCs w:val="17"/>
              </w:rPr>
            </w:pPr>
            <w:r w:rsidRPr="00312B8A">
              <w:rPr>
                <w:rFonts w:ascii="Arial" w:hAnsi="Arial" w:cs="Arial"/>
                <w:sz w:val="17"/>
                <w:szCs w:val="17"/>
              </w:rPr>
              <w:t>YES</w:t>
            </w:r>
          </w:p>
        </w:tc>
        <w:tc>
          <w:tcPr>
            <w:tcW w:w="337" w:type="pct"/>
          </w:tcPr>
          <w:p w14:paraId="3E6ECC18"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3B9896F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Directly affected by decarboni</w:t>
            </w:r>
            <w:r>
              <w:rPr>
                <w:rFonts w:ascii="Arial" w:hAnsi="Arial" w:cs="Arial"/>
                <w:sz w:val="17"/>
                <w:szCs w:val="17"/>
                <w:lang w:val="ro-RO"/>
              </w:rPr>
              <w:t>sation</w:t>
            </w:r>
          </w:p>
        </w:tc>
      </w:tr>
      <w:tr w:rsidR="00DE2D4D" w:rsidRPr="00312B8A" w14:paraId="273185EC" w14:textId="77777777" w:rsidTr="00DE2D4D">
        <w:tc>
          <w:tcPr>
            <w:tcW w:w="892" w:type="pct"/>
          </w:tcPr>
          <w:p w14:paraId="285B61E8"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TMG GUARD SRL</w:t>
            </w:r>
          </w:p>
        </w:tc>
        <w:tc>
          <w:tcPr>
            <w:tcW w:w="1111" w:type="pct"/>
          </w:tcPr>
          <w:p w14:paraId="54C7D31A"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N ADMINISTRATIVE AND SUPPORT SERVICE ACTIVITIES</w:t>
            </w:r>
            <w:r>
              <w:rPr>
                <w:rFonts w:ascii="Arial" w:hAnsi="Arial" w:cs="Arial"/>
                <w:sz w:val="17"/>
                <w:szCs w:val="17"/>
                <w:lang w:val="ro-RO"/>
              </w:rPr>
              <w:t xml:space="preserve"> </w:t>
            </w:r>
          </w:p>
          <w:p w14:paraId="10FA73C6"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(security)</w:t>
            </w:r>
          </w:p>
        </w:tc>
        <w:tc>
          <w:tcPr>
            <w:tcW w:w="382" w:type="pct"/>
          </w:tcPr>
          <w:p w14:paraId="733838E9"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1,120</w:t>
            </w:r>
          </w:p>
        </w:tc>
        <w:tc>
          <w:tcPr>
            <w:tcW w:w="322" w:type="pct"/>
          </w:tcPr>
          <w:p w14:paraId="4EEC3582"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40</w:t>
            </w:r>
          </w:p>
        </w:tc>
        <w:tc>
          <w:tcPr>
            <w:tcW w:w="412" w:type="pct"/>
          </w:tcPr>
          <w:p w14:paraId="56CDA799"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2AA37D9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5D15B7A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2532C162"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Indirectly affected by decarboni</w:t>
            </w:r>
            <w:r>
              <w:rPr>
                <w:rFonts w:ascii="Arial" w:hAnsi="Arial" w:cs="Arial"/>
                <w:sz w:val="17"/>
                <w:szCs w:val="17"/>
                <w:lang w:val="ro-RO"/>
              </w:rPr>
              <w:t>s</w:t>
            </w:r>
            <w:r w:rsidRPr="00312B8A">
              <w:rPr>
                <w:rFonts w:ascii="Arial" w:hAnsi="Arial" w:cs="Arial"/>
                <w:sz w:val="17"/>
                <w:szCs w:val="17"/>
                <w:lang w:val="ro-RO"/>
              </w:rPr>
              <w:t xml:space="preserve">ation through value chain, as they are a supplier of CE Oltenia, although the majority of their employees do not serve CE Oltenia </w:t>
            </w:r>
          </w:p>
        </w:tc>
      </w:tr>
      <w:tr w:rsidR="00DE2D4D" w:rsidRPr="00312B8A" w14:paraId="360BCD64" w14:textId="77777777" w:rsidTr="00DE2D4D">
        <w:tc>
          <w:tcPr>
            <w:tcW w:w="892" w:type="pct"/>
          </w:tcPr>
          <w:p w14:paraId="31EB86D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ARTEGO SA</w:t>
            </w:r>
          </w:p>
        </w:tc>
        <w:tc>
          <w:tcPr>
            <w:tcW w:w="1111" w:type="pct"/>
          </w:tcPr>
          <w:p w14:paraId="33A1240D"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C MANUFACTURING</w:t>
            </w:r>
            <w:r>
              <w:rPr>
                <w:rFonts w:ascii="Arial" w:hAnsi="Arial" w:cs="Arial"/>
                <w:sz w:val="17"/>
                <w:szCs w:val="17"/>
                <w:lang w:val="ro-RO"/>
              </w:rPr>
              <w:t xml:space="preserve"> </w:t>
            </w:r>
          </w:p>
          <w:p w14:paraId="47F0CBCE"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(conveyor belts)</w:t>
            </w:r>
          </w:p>
        </w:tc>
        <w:tc>
          <w:tcPr>
            <w:tcW w:w="382" w:type="pct"/>
          </w:tcPr>
          <w:p w14:paraId="7BC789C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870</w:t>
            </w:r>
          </w:p>
        </w:tc>
        <w:tc>
          <w:tcPr>
            <w:tcW w:w="322" w:type="pct"/>
          </w:tcPr>
          <w:p w14:paraId="30FE9A39"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181</w:t>
            </w:r>
          </w:p>
        </w:tc>
        <w:tc>
          <w:tcPr>
            <w:tcW w:w="412" w:type="pct"/>
          </w:tcPr>
          <w:p w14:paraId="326F563F"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744C8B0C"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337" w:type="pct"/>
          </w:tcPr>
          <w:p w14:paraId="377F353C"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262A0B9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Traditional CE Oltenia supplier which has recently engaged successfully in economic diversification</w:t>
            </w:r>
          </w:p>
        </w:tc>
      </w:tr>
      <w:tr w:rsidR="00DE2D4D" w:rsidRPr="00312B8A" w14:paraId="0CB6E08E" w14:textId="77777777" w:rsidTr="00DE2D4D">
        <w:tc>
          <w:tcPr>
            <w:tcW w:w="892" w:type="pct"/>
          </w:tcPr>
          <w:p w14:paraId="7DD342E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MOVEOS SRL</w:t>
            </w:r>
          </w:p>
        </w:tc>
        <w:tc>
          <w:tcPr>
            <w:tcW w:w="1111" w:type="pct"/>
          </w:tcPr>
          <w:p w14:paraId="2CB98B81"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M PROFESSIONAL, SCIENTIFIC AND TECHNICAL ACTIVITIES</w:t>
            </w:r>
            <w:r>
              <w:rPr>
                <w:rFonts w:ascii="Arial" w:hAnsi="Arial" w:cs="Arial"/>
                <w:sz w:val="17"/>
                <w:szCs w:val="17"/>
                <w:lang w:val="ro-RO"/>
              </w:rPr>
              <w:t xml:space="preserve"> </w:t>
            </w:r>
          </w:p>
          <w:p w14:paraId="65299EB7"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(car safety belts)</w:t>
            </w:r>
          </w:p>
        </w:tc>
        <w:tc>
          <w:tcPr>
            <w:tcW w:w="382" w:type="pct"/>
          </w:tcPr>
          <w:p w14:paraId="08BABDE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866</w:t>
            </w:r>
          </w:p>
        </w:tc>
        <w:tc>
          <w:tcPr>
            <w:tcW w:w="322" w:type="pct"/>
          </w:tcPr>
          <w:p w14:paraId="7F15191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55</w:t>
            </w:r>
          </w:p>
        </w:tc>
        <w:tc>
          <w:tcPr>
            <w:tcW w:w="412" w:type="pct"/>
          </w:tcPr>
          <w:p w14:paraId="676F978F"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3F1648D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54F5AF5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70551FE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 xml:space="preserve">Auto industry value chain / Resilience / International market / High investments at regional level </w:t>
            </w:r>
          </w:p>
        </w:tc>
      </w:tr>
      <w:tr w:rsidR="00DE2D4D" w:rsidRPr="00312B8A" w14:paraId="0E194B7E" w14:textId="77777777" w:rsidTr="00DE2D4D">
        <w:tc>
          <w:tcPr>
            <w:tcW w:w="892" w:type="pct"/>
          </w:tcPr>
          <w:p w14:paraId="5ED15B0F"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MASSIFPANEL SRL</w:t>
            </w:r>
          </w:p>
        </w:tc>
        <w:tc>
          <w:tcPr>
            <w:tcW w:w="1111" w:type="pct"/>
          </w:tcPr>
          <w:p w14:paraId="209F467D"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C MANUFACTURING</w:t>
            </w:r>
            <w:r>
              <w:rPr>
                <w:rFonts w:ascii="Arial" w:hAnsi="Arial" w:cs="Arial"/>
                <w:sz w:val="17"/>
                <w:szCs w:val="17"/>
                <w:lang w:val="ro-RO"/>
              </w:rPr>
              <w:t xml:space="preserve"> </w:t>
            </w:r>
          </w:p>
          <w:p w14:paraId="195FDC70"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(finger jointed panels)</w:t>
            </w:r>
          </w:p>
        </w:tc>
        <w:tc>
          <w:tcPr>
            <w:tcW w:w="382" w:type="pct"/>
          </w:tcPr>
          <w:p w14:paraId="0D9882E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326</w:t>
            </w:r>
          </w:p>
        </w:tc>
        <w:tc>
          <w:tcPr>
            <w:tcW w:w="322" w:type="pct"/>
          </w:tcPr>
          <w:p w14:paraId="2EE316C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44</w:t>
            </w:r>
          </w:p>
        </w:tc>
        <w:tc>
          <w:tcPr>
            <w:tcW w:w="412" w:type="pct"/>
          </w:tcPr>
          <w:p w14:paraId="58ED02D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1791ECD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543695B8"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4D1A897C"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Economy of the future / Insulated glass windows – energy efficient solutions for buildings</w:t>
            </w:r>
          </w:p>
        </w:tc>
      </w:tr>
      <w:tr w:rsidR="00DE2D4D" w:rsidRPr="00312B8A" w14:paraId="6136509E" w14:textId="77777777" w:rsidTr="00DE2D4D">
        <w:tc>
          <w:tcPr>
            <w:tcW w:w="892" w:type="pct"/>
          </w:tcPr>
          <w:p w14:paraId="7B71D465"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MINPREST SERV SA</w:t>
            </w:r>
          </w:p>
        </w:tc>
        <w:tc>
          <w:tcPr>
            <w:tcW w:w="1111" w:type="pct"/>
          </w:tcPr>
          <w:p w14:paraId="58EE2CA9"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O PUBLIC ADMINISTRATION AND DEFENCE; COMPULSORY SOCIAL SECURITY</w:t>
            </w:r>
          </w:p>
          <w:p w14:paraId="443446E8"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(auxiliary services)</w:t>
            </w:r>
          </w:p>
        </w:tc>
        <w:tc>
          <w:tcPr>
            <w:tcW w:w="382" w:type="pct"/>
          </w:tcPr>
          <w:p w14:paraId="24910142"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923</w:t>
            </w:r>
          </w:p>
        </w:tc>
        <w:tc>
          <w:tcPr>
            <w:tcW w:w="322" w:type="pct"/>
          </w:tcPr>
          <w:p w14:paraId="69EA05AF"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33</w:t>
            </w:r>
          </w:p>
        </w:tc>
        <w:tc>
          <w:tcPr>
            <w:tcW w:w="412" w:type="pct"/>
          </w:tcPr>
          <w:p w14:paraId="51E8FA1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71CE42CD"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337" w:type="pct"/>
          </w:tcPr>
          <w:p w14:paraId="10E5B08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56B10C6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Indirectly affected by decarboni</w:t>
            </w:r>
            <w:r>
              <w:rPr>
                <w:rFonts w:ascii="Arial" w:hAnsi="Arial" w:cs="Arial"/>
                <w:sz w:val="17"/>
                <w:szCs w:val="17"/>
                <w:lang w:val="ro-RO"/>
              </w:rPr>
              <w:t>sation</w:t>
            </w:r>
            <w:r w:rsidRPr="00312B8A">
              <w:rPr>
                <w:rFonts w:ascii="Arial" w:hAnsi="Arial" w:cs="Arial"/>
                <w:sz w:val="17"/>
                <w:szCs w:val="17"/>
                <w:lang w:val="ro-RO"/>
              </w:rPr>
              <w:t xml:space="preserve"> through value chain / Oltenia EC majority shareholder / Possibility for economic diversification</w:t>
            </w:r>
          </w:p>
        </w:tc>
      </w:tr>
      <w:tr w:rsidR="00DE2D4D" w:rsidRPr="00312B8A" w14:paraId="6D87DAA3" w14:textId="77777777" w:rsidTr="00DE2D4D">
        <w:tc>
          <w:tcPr>
            <w:tcW w:w="892" w:type="pct"/>
          </w:tcPr>
          <w:p w14:paraId="7BBF9EE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S.M.B. SRL</w:t>
            </w:r>
          </w:p>
        </w:tc>
        <w:tc>
          <w:tcPr>
            <w:tcW w:w="1111" w:type="pct"/>
          </w:tcPr>
          <w:p w14:paraId="013F03A5"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N ADMINISTRATIVE AND SUPPORT SERVICE ACTIVITIES</w:t>
            </w:r>
            <w:r>
              <w:rPr>
                <w:rFonts w:ascii="Arial" w:hAnsi="Arial" w:cs="Arial"/>
                <w:sz w:val="17"/>
                <w:szCs w:val="17"/>
                <w:lang w:val="ro-RO"/>
              </w:rPr>
              <w:t xml:space="preserve"> </w:t>
            </w:r>
          </w:p>
          <w:p w14:paraId="697B859D" w14:textId="77777777" w:rsidR="00F84DF3" w:rsidRPr="00312B8A" w:rsidRDefault="00F84DF3" w:rsidP="00DE2D4D">
            <w:pPr>
              <w:rPr>
                <w:rFonts w:ascii="Arial" w:hAnsi="Arial" w:cs="Arial"/>
                <w:sz w:val="17"/>
                <w:szCs w:val="17"/>
                <w:lang w:val="ro-RO"/>
              </w:rPr>
            </w:pPr>
            <w:r>
              <w:rPr>
                <w:rFonts w:ascii="Arial" w:hAnsi="Arial" w:cs="Arial"/>
                <w:sz w:val="17"/>
                <w:szCs w:val="17"/>
                <w:lang w:val="ro-RO"/>
              </w:rPr>
              <w:t>(security)</w:t>
            </w:r>
          </w:p>
        </w:tc>
        <w:tc>
          <w:tcPr>
            <w:tcW w:w="382" w:type="pct"/>
          </w:tcPr>
          <w:p w14:paraId="42C1CC7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725</w:t>
            </w:r>
          </w:p>
        </w:tc>
        <w:tc>
          <w:tcPr>
            <w:tcW w:w="322" w:type="pct"/>
          </w:tcPr>
          <w:p w14:paraId="1FCE2D9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27</w:t>
            </w:r>
          </w:p>
        </w:tc>
        <w:tc>
          <w:tcPr>
            <w:tcW w:w="412" w:type="pct"/>
          </w:tcPr>
          <w:p w14:paraId="43B8392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0D75363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337" w:type="pct"/>
          </w:tcPr>
          <w:p w14:paraId="64AE3D9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1161" w:type="pct"/>
          </w:tcPr>
          <w:p w14:paraId="0B7DA0A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Indirectly affected by decarboni</w:t>
            </w:r>
            <w:r>
              <w:rPr>
                <w:rFonts w:ascii="Arial" w:hAnsi="Arial" w:cs="Arial"/>
                <w:sz w:val="17"/>
                <w:szCs w:val="17"/>
                <w:lang w:val="ro-RO"/>
              </w:rPr>
              <w:t>sation</w:t>
            </w:r>
            <w:r w:rsidRPr="00312B8A">
              <w:rPr>
                <w:rFonts w:ascii="Arial" w:hAnsi="Arial" w:cs="Arial"/>
                <w:sz w:val="17"/>
                <w:szCs w:val="17"/>
                <w:lang w:val="ro-RO"/>
              </w:rPr>
              <w:t xml:space="preserve"> through value chain</w:t>
            </w:r>
          </w:p>
        </w:tc>
      </w:tr>
      <w:tr w:rsidR="00DE2D4D" w:rsidRPr="00312B8A" w14:paraId="3E660F49" w14:textId="77777777" w:rsidTr="00DE2D4D">
        <w:tc>
          <w:tcPr>
            <w:tcW w:w="892" w:type="pct"/>
          </w:tcPr>
          <w:p w14:paraId="0FDB881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MANUFACTURA DE MOTRU SRL</w:t>
            </w:r>
          </w:p>
        </w:tc>
        <w:tc>
          <w:tcPr>
            <w:tcW w:w="1111" w:type="pct"/>
          </w:tcPr>
          <w:p w14:paraId="7401A5C3"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 xml:space="preserve">C MANUFACTURING </w:t>
            </w:r>
          </w:p>
          <w:p w14:paraId="7E4112E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(textile production)</w:t>
            </w:r>
          </w:p>
        </w:tc>
        <w:tc>
          <w:tcPr>
            <w:tcW w:w="382" w:type="pct"/>
          </w:tcPr>
          <w:p w14:paraId="217E81C8"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303</w:t>
            </w:r>
          </w:p>
        </w:tc>
        <w:tc>
          <w:tcPr>
            <w:tcW w:w="322" w:type="pct"/>
          </w:tcPr>
          <w:p w14:paraId="0D459E1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22</w:t>
            </w:r>
          </w:p>
        </w:tc>
        <w:tc>
          <w:tcPr>
            <w:tcW w:w="412" w:type="pct"/>
          </w:tcPr>
          <w:p w14:paraId="42CF8AD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2F0D23F5"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2629320A" w14:textId="60BB111A"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r>
              <w:rPr>
                <w:rStyle w:val="FootnoteReference"/>
                <w:rFonts w:ascii="Arial" w:hAnsi="Arial" w:cs="Arial"/>
                <w:sz w:val="17"/>
                <w:szCs w:val="17"/>
                <w:lang w:val="ro-RO"/>
              </w:rPr>
              <w:footnoteReference w:id="91"/>
            </w:r>
          </w:p>
        </w:tc>
        <w:tc>
          <w:tcPr>
            <w:tcW w:w="1161" w:type="pct"/>
          </w:tcPr>
          <w:p w14:paraId="157180C7"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Top 10 employers at county level</w:t>
            </w:r>
          </w:p>
        </w:tc>
      </w:tr>
      <w:tr w:rsidR="00DE2D4D" w:rsidRPr="00312B8A" w14:paraId="51090BB2" w14:textId="77777777" w:rsidTr="00DE2D4D">
        <w:tc>
          <w:tcPr>
            <w:tcW w:w="892" w:type="pct"/>
          </w:tcPr>
          <w:p w14:paraId="6C6537D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UZINA MECANICĂ SADU</w:t>
            </w:r>
            <w:r>
              <w:rPr>
                <w:rFonts w:ascii="Arial" w:hAnsi="Arial" w:cs="Arial"/>
                <w:sz w:val="17"/>
                <w:szCs w:val="17"/>
                <w:lang w:val="ro-RO"/>
              </w:rPr>
              <w:t xml:space="preserve"> S</w:t>
            </w:r>
            <w:r w:rsidRPr="00312B8A">
              <w:rPr>
                <w:rFonts w:ascii="Arial" w:hAnsi="Arial" w:cs="Arial"/>
                <w:sz w:val="17"/>
                <w:szCs w:val="17"/>
                <w:lang w:val="ro-RO"/>
              </w:rPr>
              <w:t>A FILIALA A COMPANIEI NAŢIONALE ROMARM SA</w:t>
            </w:r>
          </w:p>
        </w:tc>
        <w:tc>
          <w:tcPr>
            <w:tcW w:w="1111" w:type="pct"/>
          </w:tcPr>
          <w:p w14:paraId="021B0DAB"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 xml:space="preserve">C MANUFACTURING </w:t>
            </w:r>
          </w:p>
          <w:p w14:paraId="62E80A3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(weapons)</w:t>
            </w:r>
          </w:p>
        </w:tc>
        <w:tc>
          <w:tcPr>
            <w:tcW w:w="382" w:type="pct"/>
          </w:tcPr>
          <w:p w14:paraId="7ADC1F64"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820</w:t>
            </w:r>
          </w:p>
        </w:tc>
        <w:tc>
          <w:tcPr>
            <w:tcW w:w="322" w:type="pct"/>
          </w:tcPr>
          <w:p w14:paraId="69AD408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50</w:t>
            </w:r>
          </w:p>
        </w:tc>
        <w:tc>
          <w:tcPr>
            <w:tcW w:w="412" w:type="pct"/>
          </w:tcPr>
          <w:p w14:paraId="3690746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5ECE373B"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2829CBE5"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1161" w:type="pct"/>
          </w:tcPr>
          <w:p w14:paraId="667FD486"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Top 10 employers at county level</w:t>
            </w:r>
          </w:p>
        </w:tc>
      </w:tr>
      <w:tr w:rsidR="00DE2D4D" w:rsidRPr="00312B8A" w14:paraId="1CDFD474" w14:textId="77777777" w:rsidTr="00DE2D4D">
        <w:tc>
          <w:tcPr>
            <w:tcW w:w="892" w:type="pct"/>
          </w:tcPr>
          <w:p w14:paraId="63127E88"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MACOFIL SA</w:t>
            </w:r>
          </w:p>
        </w:tc>
        <w:tc>
          <w:tcPr>
            <w:tcW w:w="1111" w:type="pct"/>
          </w:tcPr>
          <w:p w14:paraId="578D2390" w14:textId="77777777" w:rsidR="00F84DF3" w:rsidRDefault="00F84DF3" w:rsidP="00DE2D4D">
            <w:pPr>
              <w:rPr>
                <w:rFonts w:ascii="Arial" w:hAnsi="Arial" w:cs="Arial"/>
                <w:sz w:val="17"/>
                <w:szCs w:val="17"/>
                <w:lang w:val="ro-RO"/>
              </w:rPr>
            </w:pPr>
            <w:r w:rsidRPr="00312B8A">
              <w:rPr>
                <w:rFonts w:ascii="Arial" w:hAnsi="Arial" w:cs="Arial"/>
                <w:sz w:val="17"/>
                <w:szCs w:val="17"/>
                <w:lang w:val="ro-RO"/>
              </w:rPr>
              <w:t xml:space="preserve">C MANUFACTURING </w:t>
            </w:r>
          </w:p>
          <w:p w14:paraId="5C9A245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(construction materials)</w:t>
            </w:r>
          </w:p>
        </w:tc>
        <w:tc>
          <w:tcPr>
            <w:tcW w:w="382" w:type="pct"/>
          </w:tcPr>
          <w:p w14:paraId="20707C44"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206</w:t>
            </w:r>
          </w:p>
        </w:tc>
        <w:tc>
          <w:tcPr>
            <w:tcW w:w="322" w:type="pct"/>
          </w:tcPr>
          <w:p w14:paraId="165BF6B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40</w:t>
            </w:r>
          </w:p>
        </w:tc>
        <w:tc>
          <w:tcPr>
            <w:tcW w:w="412" w:type="pct"/>
          </w:tcPr>
          <w:p w14:paraId="6113FB21"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382" w:type="pct"/>
          </w:tcPr>
          <w:p w14:paraId="5696137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56761E2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YES</w:t>
            </w:r>
          </w:p>
        </w:tc>
        <w:tc>
          <w:tcPr>
            <w:tcW w:w="1161" w:type="pct"/>
          </w:tcPr>
          <w:p w14:paraId="0C6F175C"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Opportunity for economic diversification</w:t>
            </w:r>
          </w:p>
        </w:tc>
      </w:tr>
      <w:tr w:rsidR="00DE2D4D" w:rsidRPr="00312B8A" w14:paraId="277E921D" w14:textId="77777777" w:rsidTr="00DE2D4D">
        <w:tc>
          <w:tcPr>
            <w:tcW w:w="892" w:type="pct"/>
          </w:tcPr>
          <w:p w14:paraId="51E62A2D"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TOBACCO LOGISTIC &amp; MARKETING SRL</w:t>
            </w:r>
          </w:p>
        </w:tc>
        <w:tc>
          <w:tcPr>
            <w:tcW w:w="1111" w:type="pct"/>
          </w:tcPr>
          <w:p w14:paraId="05ECD77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G WHOLESALE AND RETAIL TRADE; REPAIR OF MOTOR VEHICLES AND MOTORCYCLES</w:t>
            </w:r>
          </w:p>
        </w:tc>
        <w:tc>
          <w:tcPr>
            <w:tcW w:w="382" w:type="pct"/>
          </w:tcPr>
          <w:p w14:paraId="6A13B9C3"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8</w:t>
            </w:r>
          </w:p>
        </w:tc>
        <w:tc>
          <w:tcPr>
            <w:tcW w:w="322" w:type="pct"/>
          </w:tcPr>
          <w:p w14:paraId="11CA688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140</w:t>
            </w:r>
          </w:p>
        </w:tc>
        <w:tc>
          <w:tcPr>
            <w:tcW w:w="412" w:type="pct"/>
          </w:tcPr>
          <w:p w14:paraId="1D17B73E"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82" w:type="pct"/>
          </w:tcPr>
          <w:p w14:paraId="31DD769A"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337" w:type="pct"/>
          </w:tcPr>
          <w:p w14:paraId="181BCAD0"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NO</w:t>
            </w:r>
          </w:p>
        </w:tc>
        <w:tc>
          <w:tcPr>
            <w:tcW w:w="1161" w:type="pct"/>
          </w:tcPr>
          <w:p w14:paraId="7D40515F" w14:textId="77777777" w:rsidR="00F84DF3" w:rsidRPr="00312B8A" w:rsidRDefault="00F84DF3" w:rsidP="00DE2D4D">
            <w:pPr>
              <w:rPr>
                <w:rFonts w:ascii="Arial" w:hAnsi="Arial" w:cs="Arial"/>
                <w:sz w:val="17"/>
                <w:szCs w:val="17"/>
                <w:lang w:val="ro-RO"/>
              </w:rPr>
            </w:pPr>
            <w:r w:rsidRPr="00312B8A">
              <w:rPr>
                <w:rFonts w:ascii="Arial" w:hAnsi="Arial" w:cs="Arial"/>
                <w:sz w:val="17"/>
                <w:szCs w:val="17"/>
                <w:lang w:val="ro-RO"/>
              </w:rPr>
              <w:t>Top 3 turnover, small number of employees</w:t>
            </w:r>
          </w:p>
        </w:tc>
      </w:tr>
    </w:tbl>
    <w:p w14:paraId="11462982" w14:textId="77777777" w:rsidR="00F84DF3" w:rsidRDefault="00F84DF3" w:rsidP="00F84DF3">
      <w:pPr>
        <w:jc w:val="both"/>
        <w:rPr>
          <w:rFonts w:ascii="Arial" w:hAnsi="Arial" w:cs="Arial"/>
          <w:sz w:val="20"/>
          <w:szCs w:val="20"/>
        </w:rPr>
      </w:pPr>
    </w:p>
    <w:p w14:paraId="1AD4D8BC" w14:textId="7F468136" w:rsidR="00312B8A" w:rsidRDefault="00312B8A" w:rsidP="00DE2D4D">
      <w:pPr>
        <w:pStyle w:val="Caption"/>
        <w:ind w:left="0" w:firstLine="0"/>
        <w:sectPr w:rsidR="00312B8A" w:rsidSect="00E66687">
          <w:headerReference w:type="default" r:id="rId123"/>
          <w:pgSz w:w="16834" w:h="11909" w:orient="landscape"/>
          <w:pgMar w:top="1530" w:right="1440" w:bottom="1440" w:left="1440" w:header="720" w:footer="720" w:gutter="0"/>
          <w:cols w:space="720"/>
          <w:docGrid w:linePitch="326"/>
        </w:sectPr>
      </w:pPr>
    </w:p>
    <w:p w14:paraId="1CA23229" w14:textId="07FA3650" w:rsidR="00B802C3" w:rsidRPr="00707E4A" w:rsidRDefault="00B802C3" w:rsidP="00E42342">
      <w:pPr>
        <w:pStyle w:val="ListParagraph"/>
        <w:numPr>
          <w:ilvl w:val="0"/>
          <w:numId w:val="277"/>
        </w:numPr>
        <w:spacing w:after="120" w:line="240" w:lineRule="auto"/>
        <w:jc w:val="both"/>
        <w:rPr>
          <w:color w:val="4F81BD" w:themeColor="accent1"/>
          <w:sz w:val="20"/>
          <w:szCs w:val="20"/>
        </w:rPr>
      </w:pPr>
      <w:r>
        <w:rPr>
          <w:color w:val="4F81BD" w:themeColor="accent1"/>
          <w:sz w:val="20"/>
          <w:szCs w:val="20"/>
        </w:rPr>
        <w:lastRenderedPageBreak/>
        <w:t>Human capital and employment</w:t>
      </w:r>
    </w:p>
    <w:p w14:paraId="51D0D545" w14:textId="0A4B3F69" w:rsidR="002E5127" w:rsidRDefault="00DC66DF" w:rsidP="00B802C3">
      <w:pPr>
        <w:spacing w:after="120"/>
        <w:jc w:val="both"/>
        <w:rPr>
          <w:rFonts w:ascii="Arial" w:hAnsi="Arial" w:cs="Arial"/>
          <w:color w:val="0070C0"/>
          <w:sz w:val="20"/>
          <w:szCs w:val="20"/>
        </w:rPr>
      </w:pPr>
      <w:r w:rsidRPr="003516DC">
        <w:rPr>
          <w:rFonts w:ascii="Arial" w:hAnsi="Arial" w:cs="Arial"/>
          <w:sz w:val="20"/>
          <w:szCs w:val="20"/>
        </w:rPr>
        <w:t xml:space="preserve">From a </w:t>
      </w:r>
      <w:r w:rsidRPr="003516DC">
        <w:rPr>
          <w:rFonts w:ascii="Arial" w:hAnsi="Arial" w:cs="Arial"/>
          <w:b/>
          <w:sz w:val="20"/>
          <w:szCs w:val="20"/>
        </w:rPr>
        <w:t>human capital</w:t>
      </w:r>
      <w:r w:rsidRPr="003516DC">
        <w:rPr>
          <w:rFonts w:ascii="Arial" w:hAnsi="Arial" w:cs="Arial"/>
          <w:sz w:val="20"/>
          <w:szCs w:val="20"/>
        </w:rPr>
        <w:t xml:space="preserve"> perspective, </w:t>
      </w:r>
      <w:r w:rsidR="009320BC" w:rsidRPr="003516DC">
        <w:rPr>
          <w:rFonts w:ascii="Arial" w:hAnsi="Arial" w:cs="Arial"/>
          <w:sz w:val="20"/>
          <w:szCs w:val="20"/>
        </w:rPr>
        <w:t xml:space="preserve">the </w:t>
      </w:r>
      <w:r w:rsidRPr="003516DC">
        <w:rPr>
          <w:rFonts w:ascii="Arial" w:hAnsi="Arial" w:cs="Arial"/>
          <w:sz w:val="20"/>
          <w:szCs w:val="20"/>
        </w:rPr>
        <w:t>unemployment rate</w:t>
      </w:r>
      <w:r w:rsidR="009320BC" w:rsidRPr="003516DC">
        <w:rPr>
          <w:rFonts w:ascii="Arial" w:hAnsi="Arial" w:cs="Arial"/>
          <w:sz w:val="20"/>
          <w:szCs w:val="20"/>
        </w:rPr>
        <w:t xml:space="preserve"> in Gorj</w:t>
      </w:r>
      <w:r w:rsidRPr="003516DC">
        <w:rPr>
          <w:rFonts w:ascii="Arial" w:hAnsi="Arial" w:cs="Arial"/>
          <w:sz w:val="20"/>
          <w:szCs w:val="20"/>
        </w:rPr>
        <w:t xml:space="preserve"> is currently at 3.8% (above the national one of 3.6%). </w:t>
      </w:r>
      <w:r w:rsidR="0025330B" w:rsidRPr="003516DC">
        <w:rPr>
          <w:rFonts w:ascii="Arial" w:hAnsi="Arial" w:cs="Arial"/>
          <w:sz w:val="20"/>
          <w:szCs w:val="20"/>
        </w:rPr>
        <w:t>O</w:t>
      </w:r>
      <w:r w:rsidRPr="003516DC">
        <w:rPr>
          <w:rFonts w:ascii="Arial" w:hAnsi="Arial" w:cs="Arial"/>
          <w:sz w:val="20"/>
          <w:szCs w:val="20"/>
        </w:rPr>
        <w:t xml:space="preserve">f the 130,000 employed </w:t>
      </w:r>
      <w:r w:rsidR="0025330B" w:rsidRPr="003516DC">
        <w:rPr>
          <w:rFonts w:ascii="Arial" w:hAnsi="Arial" w:cs="Arial"/>
          <w:sz w:val="20"/>
          <w:szCs w:val="20"/>
        </w:rPr>
        <w:t xml:space="preserve">workers in </w:t>
      </w:r>
      <w:r w:rsidRPr="003516DC">
        <w:rPr>
          <w:rFonts w:ascii="Arial" w:hAnsi="Arial" w:cs="Arial"/>
          <w:sz w:val="20"/>
          <w:szCs w:val="20"/>
        </w:rPr>
        <w:t>2019, 15% work</w:t>
      </w:r>
      <w:r w:rsidR="009B4E29" w:rsidRPr="003516DC">
        <w:rPr>
          <w:rFonts w:ascii="Arial" w:hAnsi="Arial" w:cs="Arial"/>
          <w:sz w:val="20"/>
          <w:szCs w:val="20"/>
        </w:rPr>
        <w:t>ed</w:t>
      </w:r>
      <w:r w:rsidRPr="003516DC">
        <w:rPr>
          <w:rFonts w:ascii="Arial" w:hAnsi="Arial" w:cs="Arial"/>
          <w:sz w:val="20"/>
          <w:szCs w:val="20"/>
        </w:rPr>
        <w:t xml:space="preserve"> in the energy and utilities sector, 29%</w:t>
      </w:r>
      <w:r w:rsidR="009B4E29" w:rsidRPr="003516DC">
        <w:rPr>
          <w:rFonts w:ascii="Arial" w:hAnsi="Arial" w:cs="Arial"/>
          <w:sz w:val="20"/>
          <w:szCs w:val="20"/>
        </w:rPr>
        <w:t xml:space="preserve"> were</w:t>
      </w:r>
      <w:r w:rsidRPr="003516DC">
        <w:rPr>
          <w:rFonts w:ascii="Arial" w:hAnsi="Arial" w:cs="Arial"/>
          <w:sz w:val="20"/>
          <w:szCs w:val="20"/>
        </w:rPr>
        <w:t xml:space="preserve"> in agriculture, 17% in construction, 26% in retail, transport and tourism activities, 15% in manufacturing and 24% in public and other services. </w:t>
      </w:r>
      <w:r w:rsidR="00C637DE" w:rsidRPr="003516DC">
        <w:rPr>
          <w:rFonts w:ascii="Arial" w:hAnsi="Arial" w:cs="Arial"/>
          <w:sz w:val="20"/>
          <w:szCs w:val="20"/>
        </w:rPr>
        <w:t>Of</w:t>
      </w:r>
      <w:r w:rsidRPr="003516DC">
        <w:rPr>
          <w:rFonts w:ascii="Arial" w:hAnsi="Arial" w:cs="Arial"/>
          <w:sz w:val="20"/>
          <w:szCs w:val="20"/>
        </w:rPr>
        <w:t xml:space="preserve"> </w:t>
      </w:r>
      <w:r w:rsidR="00C637DE" w:rsidRPr="003516DC">
        <w:rPr>
          <w:rFonts w:ascii="Arial" w:hAnsi="Arial" w:cs="Arial"/>
          <w:sz w:val="20"/>
          <w:szCs w:val="20"/>
        </w:rPr>
        <w:t>those</w:t>
      </w:r>
      <w:r w:rsidRPr="003516DC">
        <w:rPr>
          <w:rFonts w:ascii="Arial" w:hAnsi="Arial" w:cs="Arial"/>
          <w:sz w:val="20"/>
          <w:szCs w:val="20"/>
        </w:rPr>
        <w:t xml:space="preserve"> employed at </w:t>
      </w:r>
      <w:r w:rsidR="00C637DE" w:rsidRPr="003516DC">
        <w:rPr>
          <w:rFonts w:ascii="Arial" w:hAnsi="Arial" w:cs="Arial"/>
          <w:sz w:val="20"/>
          <w:szCs w:val="20"/>
        </w:rPr>
        <w:t xml:space="preserve">the </w:t>
      </w:r>
      <w:r w:rsidRPr="003516DC">
        <w:rPr>
          <w:rFonts w:ascii="Arial" w:hAnsi="Arial" w:cs="Arial"/>
          <w:sz w:val="20"/>
          <w:szCs w:val="20"/>
        </w:rPr>
        <w:t>county-level, only 70,000 work in companies</w:t>
      </w:r>
      <w:r w:rsidR="00C637DE" w:rsidRPr="003516DC">
        <w:rPr>
          <w:rFonts w:ascii="Arial" w:hAnsi="Arial" w:cs="Arial"/>
          <w:sz w:val="20"/>
          <w:szCs w:val="20"/>
        </w:rPr>
        <w:t>;</w:t>
      </w:r>
      <w:r w:rsidRPr="003516DC">
        <w:rPr>
          <w:rFonts w:ascii="Arial" w:hAnsi="Arial" w:cs="Arial"/>
          <w:sz w:val="20"/>
          <w:szCs w:val="20"/>
        </w:rPr>
        <w:t xml:space="preserve"> the rest </w:t>
      </w:r>
      <w:r w:rsidR="00D24BE8" w:rsidRPr="003516DC">
        <w:rPr>
          <w:rFonts w:ascii="Arial" w:hAnsi="Arial" w:cs="Arial"/>
          <w:sz w:val="20"/>
          <w:szCs w:val="20"/>
        </w:rPr>
        <w:t xml:space="preserve">(some </w:t>
      </w:r>
      <w:r w:rsidRPr="003516DC">
        <w:rPr>
          <w:rFonts w:ascii="Arial" w:hAnsi="Arial" w:cs="Arial"/>
          <w:sz w:val="20"/>
          <w:szCs w:val="20"/>
        </w:rPr>
        <w:t>130,000</w:t>
      </w:r>
      <w:r w:rsidR="00D24BE8" w:rsidRPr="003516DC">
        <w:rPr>
          <w:rFonts w:ascii="Arial" w:hAnsi="Arial" w:cs="Arial"/>
          <w:sz w:val="20"/>
          <w:szCs w:val="20"/>
        </w:rPr>
        <w:t xml:space="preserve"> workers)</w:t>
      </w:r>
      <w:r w:rsidRPr="003516DC">
        <w:rPr>
          <w:rFonts w:ascii="Arial" w:hAnsi="Arial" w:cs="Arial"/>
          <w:sz w:val="20"/>
          <w:szCs w:val="20"/>
        </w:rPr>
        <w:t xml:space="preserve"> work in the public sector or</w:t>
      </w:r>
      <w:r w:rsidR="007A4C40" w:rsidRPr="003516DC">
        <w:rPr>
          <w:rFonts w:ascii="Arial" w:hAnsi="Arial" w:cs="Arial"/>
          <w:sz w:val="20"/>
          <w:szCs w:val="20"/>
        </w:rPr>
        <w:t xml:space="preserve"> other types of organisations</w:t>
      </w:r>
      <w:r w:rsidRPr="003516DC">
        <w:rPr>
          <w:rFonts w:ascii="Arial" w:hAnsi="Arial" w:cs="Arial"/>
          <w:color w:val="222222"/>
          <w:sz w:val="20"/>
          <w:szCs w:val="20"/>
          <w:highlight w:val="white"/>
        </w:rPr>
        <w:t xml:space="preserve">. </w:t>
      </w:r>
      <w:r w:rsidRPr="003516DC">
        <w:rPr>
          <w:rFonts w:ascii="Arial" w:hAnsi="Arial" w:cs="Arial"/>
          <w:sz w:val="20"/>
          <w:szCs w:val="20"/>
        </w:rPr>
        <w:t>In the past decade, the number of employees decreased in most economic sectors, with the highest decrease in manufacturing</w:t>
      </w:r>
      <w:r w:rsidR="008E403E" w:rsidRPr="003516DC">
        <w:rPr>
          <w:rFonts w:ascii="Arial" w:hAnsi="Arial" w:cs="Arial"/>
          <w:sz w:val="20"/>
          <w:szCs w:val="20"/>
        </w:rPr>
        <w:t xml:space="preserve"> (-29%)</w:t>
      </w:r>
      <w:r w:rsidRPr="003516DC">
        <w:rPr>
          <w:rFonts w:ascii="Arial" w:hAnsi="Arial" w:cs="Arial"/>
          <w:sz w:val="20"/>
          <w:szCs w:val="20"/>
        </w:rPr>
        <w:t>, followed closely by mining and energy (</w:t>
      </w:r>
      <w:r w:rsidR="008E403E" w:rsidRPr="003516DC">
        <w:rPr>
          <w:rFonts w:ascii="Arial" w:hAnsi="Arial" w:cs="Arial"/>
          <w:sz w:val="20"/>
          <w:szCs w:val="20"/>
        </w:rPr>
        <w:t>-</w:t>
      </w:r>
      <w:r w:rsidRPr="003516DC">
        <w:rPr>
          <w:rFonts w:ascii="Arial" w:hAnsi="Arial" w:cs="Arial"/>
          <w:sz w:val="20"/>
          <w:szCs w:val="20"/>
        </w:rPr>
        <w:t>24% employees). The only increases were recorded in agriculture, social services and real estate.</w:t>
      </w:r>
      <w:r w:rsidR="002E5127" w:rsidRPr="002E5127">
        <w:rPr>
          <w:rFonts w:ascii="Arial" w:hAnsi="Arial" w:cs="Arial"/>
          <w:color w:val="0070C0"/>
          <w:sz w:val="20"/>
          <w:szCs w:val="20"/>
        </w:rPr>
        <w:t xml:space="preserve"> </w:t>
      </w:r>
    </w:p>
    <w:p w14:paraId="4FA479C7" w14:textId="77777777" w:rsidR="00283836" w:rsidRDefault="00283836" w:rsidP="00283836">
      <w:pPr>
        <w:pStyle w:val="CommentText"/>
        <w:spacing w:after="120"/>
        <w:jc w:val="both"/>
      </w:pPr>
      <w:r>
        <w:t>For an in-depth assessment of the unemployment perspective at county level, an additional indicator monitoring the share of registered unemployment in the total labour resources</w:t>
      </w:r>
      <w:r>
        <w:rPr>
          <w:rStyle w:val="FootnoteReference"/>
        </w:rPr>
        <w:footnoteReference w:id="92"/>
      </w:r>
      <w:r>
        <w:t xml:space="preserve"> has been added to the analysis. This allows for an outlook on the unemployment situation at local administrative unit level, compared to the unemployment rate indicator</w:t>
      </w:r>
      <w:r>
        <w:rPr>
          <w:rStyle w:val="FootnoteReference"/>
        </w:rPr>
        <w:footnoteReference w:id="93"/>
      </w:r>
      <w:r>
        <w:t xml:space="preserve"> which only allows monitoring at general county level. </w:t>
      </w:r>
    </w:p>
    <w:p w14:paraId="03CC4CA1" w14:textId="416E6B78" w:rsidR="00283836" w:rsidRPr="000A7086" w:rsidRDefault="008970F1" w:rsidP="000A7086">
      <w:pPr>
        <w:pStyle w:val="CommentText"/>
        <w:spacing w:after="120"/>
        <w:jc w:val="both"/>
      </w:pPr>
      <w:r>
        <w:t>Using this indicator, the g</w:t>
      </w:r>
      <w:r w:rsidR="00283836">
        <w:t xml:space="preserve">raph below shows the evolution of unemployment between 2010 and 2020, while Figure 13 presents most and least affected localities in Gorj County by unemployment. </w:t>
      </w:r>
    </w:p>
    <w:p w14:paraId="0D1F96CA" w14:textId="6E2CD21E" w:rsidR="002E5127" w:rsidRPr="003516DC" w:rsidRDefault="002E5127" w:rsidP="006E7A76">
      <w:pPr>
        <w:pStyle w:val="Caption"/>
        <w:spacing w:before="120"/>
        <w:ind w:left="1138" w:hanging="1138"/>
        <w:rPr>
          <w:i/>
          <w:color w:val="0070C0"/>
        </w:rPr>
      </w:pPr>
      <w:bookmarkStart w:id="202" w:name="_Toc90727369"/>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33</w:t>
      </w:r>
      <w:r w:rsidR="000B273D">
        <w:rPr>
          <w:noProof/>
        </w:rPr>
        <w:fldChar w:fldCharType="end"/>
      </w:r>
      <w:r w:rsidRPr="003516DC">
        <w:t xml:space="preserve">: Unemployment evolution, 2010-2020, Gorj </w:t>
      </w:r>
      <w:r w:rsidR="0081021C">
        <w:t>C</w:t>
      </w:r>
      <w:r w:rsidRPr="003516DC">
        <w:t>ounty</w:t>
      </w:r>
      <w:bookmarkEnd w:id="202"/>
    </w:p>
    <w:p w14:paraId="0FE87B35" w14:textId="77777777" w:rsidR="002E5127" w:rsidRPr="003516DC" w:rsidRDefault="002E5127" w:rsidP="002E5127">
      <w:pPr>
        <w:rPr>
          <w:rFonts w:ascii="Arial" w:hAnsi="Arial" w:cs="Arial"/>
          <w:i/>
          <w:iCs/>
          <w:color w:val="0070C0"/>
          <w:sz w:val="20"/>
          <w:szCs w:val="20"/>
        </w:rPr>
      </w:pPr>
      <w:r w:rsidRPr="001C2D87">
        <w:rPr>
          <w:rFonts w:ascii="Arial" w:hAnsi="Arial" w:cs="Arial"/>
          <w:noProof/>
          <w:lang w:val="en-US" w:eastAsia="en-US"/>
        </w:rPr>
        <w:drawing>
          <wp:inline distT="0" distB="0" distL="0" distR="0" wp14:anchorId="0D18ECB1" wp14:editId="72DADF4D">
            <wp:extent cx="5678424" cy="2377440"/>
            <wp:effectExtent l="0" t="0" r="0" b="3810"/>
            <wp:docPr id="2087055724" name="Chart 20870557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1601071-400A-4610-A8FD-B6CBCC29FE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69324944" w14:textId="63FB32DB" w:rsidR="002E5127" w:rsidRPr="003516DC" w:rsidRDefault="002E5127" w:rsidP="006E7A76">
      <w:pPr>
        <w:pStyle w:val="Caption"/>
        <w:spacing w:before="120"/>
        <w:ind w:left="1138" w:hanging="1138"/>
      </w:pPr>
      <w:bookmarkStart w:id="203" w:name="_Toc90725940"/>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13</w:t>
      </w:r>
      <w:r w:rsidR="000B273D">
        <w:rPr>
          <w:noProof/>
        </w:rPr>
        <w:fldChar w:fldCharType="end"/>
      </w:r>
      <w:r w:rsidRPr="003516DC">
        <w:t xml:space="preserve">: Unemployment rate per UAT in Gorj </w:t>
      </w:r>
      <w:r w:rsidR="0081021C">
        <w:t>C</w:t>
      </w:r>
      <w:r w:rsidRPr="003516DC">
        <w:t>ounty, 2020</w:t>
      </w:r>
      <w:bookmarkEnd w:id="203"/>
    </w:p>
    <w:p w14:paraId="27F6C073" w14:textId="292A538C" w:rsidR="00DC66DF" w:rsidRPr="006E7A76" w:rsidRDefault="002E5127" w:rsidP="006E7A76">
      <w:pPr>
        <w:rPr>
          <w:rFonts w:ascii="Arial" w:hAnsi="Arial" w:cs="Arial"/>
        </w:rPr>
      </w:pPr>
      <w:r w:rsidRPr="001C2D87">
        <w:rPr>
          <w:rFonts w:ascii="Arial" w:hAnsi="Arial" w:cs="Arial"/>
          <w:noProof/>
          <w:lang w:val="en-US" w:eastAsia="en-US"/>
        </w:rPr>
        <w:drawing>
          <wp:inline distT="0" distB="0" distL="0" distR="0" wp14:anchorId="0F0F3510" wp14:editId="6732F693">
            <wp:extent cx="5495962" cy="2651760"/>
            <wp:effectExtent l="0" t="0" r="9525" b="0"/>
            <wp:docPr id="2087055726" name="Picture 208705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97" name="Picture 2087055597"/>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495962" cy="2651760"/>
                    </a:xfrm>
                    <a:prstGeom prst="rect">
                      <a:avLst/>
                    </a:prstGeom>
                  </pic:spPr>
                </pic:pic>
              </a:graphicData>
            </a:graphic>
          </wp:inline>
        </w:drawing>
      </w:r>
    </w:p>
    <w:p w14:paraId="71A8172F" w14:textId="441DBF13" w:rsidR="00283836" w:rsidRPr="00402580" w:rsidRDefault="00283836" w:rsidP="00283836">
      <w:pPr>
        <w:spacing w:after="120"/>
        <w:jc w:val="both"/>
        <w:rPr>
          <w:rFonts w:ascii="Arial" w:hAnsi="Arial" w:cs="Arial"/>
          <w:sz w:val="20"/>
          <w:szCs w:val="20"/>
        </w:rPr>
      </w:pPr>
      <w:r w:rsidRPr="00402580">
        <w:rPr>
          <w:rFonts w:ascii="Arial" w:hAnsi="Arial" w:cs="Arial"/>
          <w:sz w:val="20"/>
          <w:szCs w:val="20"/>
        </w:rPr>
        <w:lastRenderedPageBreak/>
        <w:t xml:space="preserve">The share of unemployed </w:t>
      </w:r>
      <w:r>
        <w:rPr>
          <w:rFonts w:ascii="Arial" w:hAnsi="Arial" w:cs="Arial"/>
          <w:sz w:val="20"/>
          <w:szCs w:val="20"/>
        </w:rPr>
        <w:t xml:space="preserve">decreased from 6% in 2010 to </w:t>
      </w:r>
      <w:r w:rsidRPr="00402580">
        <w:rPr>
          <w:rFonts w:ascii="Arial" w:hAnsi="Arial" w:cs="Arial"/>
          <w:sz w:val="20"/>
          <w:szCs w:val="20"/>
        </w:rPr>
        <w:t xml:space="preserve">2.3% in 2020 </w:t>
      </w:r>
      <w:r>
        <w:rPr>
          <w:rFonts w:ascii="Arial" w:hAnsi="Arial" w:cs="Arial"/>
          <w:sz w:val="20"/>
          <w:szCs w:val="20"/>
        </w:rPr>
        <w:t xml:space="preserve">in </w:t>
      </w:r>
      <w:r w:rsidRPr="006F1AC6">
        <w:rPr>
          <w:rFonts w:ascii="Arial" w:hAnsi="Arial" w:cs="Arial"/>
          <w:sz w:val="20"/>
          <w:szCs w:val="20"/>
        </w:rPr>
        <w:t>Gorj County</w:t>
      </w:r>
      <w:r>
        <w:rPr>
          <w:rFonts w:ascii="Arial" w:hAnsi="Arial" w:cs="Arial"/>
          <w:sz w:val="20"/>
          <w:szCs w:val="20"/>
        </w:rPr>
        <w:t>.</w:t>
      </w:r>
      <w:r w:rsidRPr="006F1AC6">
        <w:rPr>
          <w:rFonts w:ascii="Arial" w:hAnsi="Arial" w:cs="Arial"/>
          <w:sz w:val="20"/>
          <w:szCs w:val="20"/>
        </w:rPr>
        <w:t xml:space="preserve"> </w:t>
      </w:r>
      <w:r>
        <w:rPr>
          <w:rFonts w:ascii="Arial" w:hAnsi="Arial" w:cs="Arial"/>
          <w:sz w:val="20"/>
          <w:szCs w:val="20"/>
        </w:rPr>
        <w:t>I</w:t>
      </w:r>
      <w:r w:rsidRPr="00402580">
        <w:rPr>
          <w:rFonts w:ascii="Arial" w:hAnsi="Arial" w:cs="Arial"/>
          <w:sz w:val="20"/>
          <w:szCs w:val="20"/>
        </w:rPr>
        <w:t>n</w:t>
      </w:r>
      <w:r>
        <w:rPr>
          <w:rFonts w:ascii="Arial" w:hAnsi="Arial" w:cs="Arial"/>
          <w:sz w:val="20"/>
          <w:szCs w:val="20"/>
        </w:rPr>
        <w:t xml:space="preserve"> urban areas</w:t>
      </w:r>
      <w:r w:rsidRPr="00402580">
        <w:rPr>
          <w:rFonts w:ascii="Arial" w:hAnsi="Arial" w:cs="Arial"/>
          <w:sz w:val="20"/>
          <w:szCs w:val="20"/>
        </w:rPr>
        <w:t xml:space="preserve">, the share of unemployment </w:t>
      </w:r>
      <w:r>
        <w:rPr>
          <w:rFonts w:ascii="Arial" w:hAnsi="Arial" w:cs="Arial"/>
          <w:sz w:val="20"/>
          <w:szCs w:val="20"/>
        </w:rPr>
        <w:t xml:space="preserve">declined from </w:t>
      </w:r>
      <w:r w:rsidRPr="00402580">
        <w:rPr>
          <w:rFonts w:ascii="Arial" w:hAnsi="Arial" w:cs="Arial"/>
          <w:sz w:val="20"/>
          <w:szCs w:val="20"/>
        </w:rPr>
        <w:t>5.15%</w:t>
      </w:r>
      <w:r>
        <w:rPr>
          <w:rFonts w:ascii="Arial" w:hAnsi="Arial" w:cs="Arial"/>
          <w:sz w:val="20"/>
          <w:szCs w:val="20"/>
        </w:rPr>
        <w:t xml:space="preserve"> in 2010 to</w:t>
      </w:r>
      <w:r w:rsidRPr="00402580">
        <w:rPr>
          <w:rFonts w:ascii="Arial" w:hAnsi="Arial" w:cs="Arial"/>
          <w:sz w:val="20"/>
          <w:szCs w:val="20"/>
        </w:rPr>
        <w:t xml:space="preserve"> 1.44% in </w:t>
      </w:r>
      <w:r>
        <w:rPr>
          <w:rFonts w:ascii="Arial" w:hAnsi="Arial" w:cs="Arial"/>
          <w:sz w:val="20"/>
          <w:szCs w:val="20"/>
        </w:rPr>
        <w:t>2020</w:t>
      </w:r>
      <w:r w:rsidRPr="00402580">
        <w:rPr>
          <w:rFonts w:ascii="Arial" w:hAnsi="Arial" w:cs="Arial"/>
          <w:sz w:val="20"/>
          <w:szCs w:val="20"/>
        </w:rPr>
        <w:t>. In rural areas, the share of unemployment in 2010 was 7.25% and reached 3.3%</w:t>
      </w:r>
      <w:r>
        <w:rPr>
          <w:rFonts w:ascii="Arial" w:hAnsi="Arial" w:cs="Arial"/>
          <w:sz w:val="20"/>
          <w:szCs w:val="20"/>
        </w:rPr>
        <w:t xml:space="preserve"> in 2020</w:t>
      </w:r>
      <w:r w:rsidRPr="00402580">
        <w:rPr>
          <w:rFonts w:ascii="Arial" w:hAnsi="Arial" w:cs="Arial"/>
          <w:sz w:val="20"/>
          <w:szCs w:val="20"/>
        </w:rPr>
        <w:t>.</w:t>
      </w:r>
    </w:p>
    <w:p w14:paraId="588E4E60" w14:textId="77777777" w:rsidR="00283836" w:rsidRPr="00402580" w:rsidRDefault="00283836" w:rsidP="00283836">
      <w:pPr>
        <w:spacing w:after="120"/>
        <w:jc w:val="both"/>
        <w:rPr>
          <w:rFonts w:ascii="Arial" w:hAnsi="Arial" w:cs="Arial"/>
          <w:sz w:val="20"/>
          <w:szCs w:val="20"/>
        </w:rPr>
      </w:pPr>
      <w:r>
        <w:rPr>
          <w:rFonts w:ascii="Arial" w:hAnsi="Arial" w:cs="Arial"/>
          <w:sz w:val="20"/>
          <w:szCs w:val="20"/>
        </w:rPr>
        <w:t>In 2010, t</w:t>
      </w:r>
      <w:r w:rsidRPr="00402580">
        <w:rPr>
          <w:rFonts w:ascii="Arial" w:hAnsi="Arial" w:cs="Arial"/>
          <w:sz w:val="20"/>
          <w:szCs w:val="20"/>
        </w:rPr>
        <w:t xml:space="preserve">he lowest unemployment rates </w:t>
      </w:r>
      <w:r>
        <w:rPr>
          <w:rFonts w:ascii="Arial" w:hAnsi="Arial" w:cs="Arial"/>
          <w:sz w:val="20"/>
          <w:szCs w:val="20"/>
        </w:rPr>
        <w:t>were</w:t>
      </w:r>
      <w:r w:rsidRPr="00402580">
        <w:rPr>
          <w:rFonts w:ascii="Arial" w:hAnsi="Arial" w:cs="Arial"/>
          <w:sz w:val="20"/>
          <w:szCs w:val="20"/>
        </w:rPr>
        <w:t xml:space="preserve"> </w:t>
      </w:r>
      <w:r>
        <w:rPr>
          <w:rFonts w:ascii="Arial" w:hAnsi="Arial" w:cs="Arial"/>
          <w:sz w:val="20"/>
          <w:szCs w:val="20"/>
        </w:rPr>
        <w:t>reported</w:t>
      </w:r>
      <w:r w:rsidRPr="00402580">
        <w:rPr>
          <w:rFonts w:ascii="Arial" w:hAnsi="Arial" w:cs="Arial"/>
          <w:sz w:val="20"/>
          <w:szCs w:val="20"/>
        </w:rPr>
        <w:t xml:space="preserve"> in Schela (4.10%), Țicleni (4.20%), Turcinești (4.20%) and Bumbești-Jiu (4.40%). In 2020, the lowest unemployment </w:t>
      </w:r>
      <w:r>
        <w:rPr>
          <w:rFonts w:ascii="Arial" w:hAnsi="Arial" w:cs="Arial"/>
          <w:sz w:val="20"/>
          <w:szCs w:val="20"/>
        </w:rPr>
        <w:t>rates were recorded</w:t>
      </w:r>
      <w:r w:rsidRPr="00402580">
        <w:rPr>
          <w:rFonts w:ascii="Arial" w:hAnsi="Arial" w:cs="Arial"/>
          <w:sz w:val="20"/>
          <w:szCs w:val="20"/>
        </w:rPr>
        <w:t xml:space="preserve"> in Bumbești-Jiu (0.8%), Țicleni (1.10%) and Motru (1.30%).</w:t>
      </w:r>
    </w:p>
    <w:p w14:paraId="282A9C1C" w14:textId="07C73A6D" w:rsidR="00283836" w:rsidRPr="00707E4A" w:rsidRDefault="00283836" w:rsidP="00E42342">
      <w:pPr>
        <w:pStyle w:val="ListParagraph"/>
        <w:numPr>
          <w:ilvl w:val="0"/>
          <w:numId w:val="278"/>
        </w:numPr>
        <w:spacing w:after="120" w:line="240" w:lineRule="auto"/>
        <w:contextualSpacing w:val="0"/>
        <w:jc w:val="both"/>
        <w:rPr>
          <w:color w:val="4F81BD" w:themeColor="accent1"/>
          <w:sz w:val="20"/>
          <w:szCs w:val="20"/>
        </w:rPr>
      </w:pPr>
      <w:r>
        <w:rPr>
          <w:color w:val="4F81BD" w:themeColor="accent1"/>
          <w:sz w:val="20"/>
          <w:szCs w:val="20"/>
        </w:rPr>
        <w:t>Social infrastructure</w:t>
      </w:r>
    </w:p>
    <w:p w14:paraId="26894008" w14:textId="46D78011" w:rsidR="00DC66DF" w:rsidRPr="003516DC" w:rsidRDefault="00DC66DF" w:rsidP="00283836">
      <w:pPr>
        <w:spacing w:after="120"/>
        <w:jc w:val="both"/>
        <w:rPr>
          <w:rFonts w:ascii="Arial" w:hAnsi="Arial" w:cs="Arial"/>
          <w:sz w:val="20"/>
          <w:szCs w:val="20"/>
        </w:rPr>
      </w:pPr>
      <w:r w:rsidRPr="003516DC">
        <w:rPr>
          <w:rFonts w:ascii="Arial" w:hAnsi="Arial" w:cs="Arial"/>
          <w:sz w:val="20"/>
          <w:szCs w:val="20"/>
        </w:rPr>
        <w:t xml:space="preserve">The </w:t>
      </w:r>
      <w:r w:rsidRPr="003516DC">
        <w:rPr>
          <w:rFonts w:ascii="Arial" w:hAnsi="Arial" w:cs="Arial"/>
          <w:b/>
          <w:bCs/>
          <w:sz w:val="20"/>
          <w:szCs w:val="20"/>
        </w:rPr>
        <w:t xml:space="preserve">educational </w:t>
      </w:r>
      <w:r w:rsidR="00254E56" w:rsidRPr="003516DC">
        <w:rPr>
          <w:rFonts w:ascii="Arial" w:hAnsi="Arial" w:cs="Arial"/>
          <w:b/>
          <w:bCs/>
          <w:sz w:val="20"/>
          <w:szCs w:val="20"/>
        </w:rPr>
        <w:t xml:space="preserve">offer </w:t>
      </w:r>
      <w:r w:rsidRPr="003516DC">
        <w:rPr>
          <w:rFonts w:ascii="Arial" w:hAnsi="Arial" w:cs="Arial"/>
          <w:sz w:val="20"/>
          <w:szCs w:val="20"/>
        </w:rPr>
        <w:t xml:space="preserve">is by and large not adapted to local labour market requirements. </w:t>
      </w:r>
      <w:r w:rsidR="001D01DC" w:rsidRPr="003516DC">
        <w:rPr>
          <w:rFonts w:ascii="Arial" w:hAnsi="Arial" w:cs="Arial"/>
          <w:sz w:val="20"/>
          <w:szCs w:val="20"/>
        </w:rPr>
        <w:t>The l</w:t>
      </w:r>
      <w:r w:rsidRPr="003516DC">
        <w:rPr>
          <w:rFonts w:ascii="Arial" w:hAnsi="Arial" w:cs="Arial"/>
          <w:sz w:val="20"/>
          <w:szCs w:val="20"/>
        </w:rPr>
        <w:t xml:space="preserve">ocal technological school </w:t>
      </w:r>
      <w:r w:rsidR="00F35276" w:rsidRPr="003516DC">
        <w:rPr>
          <w:rFonts w:ascii="Arial" w:hAnsi="Arial" w:cs="Arial"/>
          <w:sz w:val="20"/>
          <w:szCs w:val="20"/>
        </w:rPr>
        <w:t>(</w:t>
      </w:r>
      <w:r w:rsidRPr="003516DC">
        <w:rPr>
          <w:rFonts w:ascii="Arial" w:hAnsi="Arial" w:cs="Arial"/>
          <w:sz w:val="20"/>
          <w:szCs w:val="20"/>
        </w:rPr>
        <w:t>Automotive specialisation T</w:t>
      </w:r>
      <w:r w:rsidR="004A7C96" w:rsidRPr="003516DC">
        <w:rPr>
          <w:rFonts w:ascii="Arial" w:hAnsi="Arial" w:cs="Arial"/>
          <w:sz w:val="20"/>
          <w:szCs w:val="20"/>
          <w:lang w:val="ro-RO"/>
        </w:rPr>
        <w:t>â</w:t>
      </w:r>
      <w:r w:rsidRPr="003516DC">
        <w:rPr>
          <w:rFonts w:ascii="Arial" w:hAnsi="Arial" w:cs="Arial"/>
          <w:sz w:val="20"/>
          <w:szCs w:val="20"/>
        </w:rPr>
        <w:t>rgu Jiu</w:t>
      </w:r>
      <w:r w:rsidR="00F35276" w:rsidRPr="003516DC">
        <w:rPr>
          <w:rFonts w:ascii="Arial" w:hAnsi="Arial" w:cs="Arial"/>
          <w:sz w:val="20"/>
          <w:szCs w:val="20"/>
        </w:rPr>
        <w:t>)</w:t>
      </w:r>
      <w:r w:rsidRPr="003516DC">
        <w:rPr>
          <w:rFonts w:ascii="Arial" w:hAnsi="Arial" w:cs="Arial"/>
          <w:sz w:val="20"/>
          <w:szCs w:val="20"/>
        </w:rPr>
        <w:t xml:space="preserve"> offers technical speciali</w:t>
      </w:r>
      <w:r w:rsidR="0063468F" w:rsidRPr="003516DC">
        <w:rPr>
          <w:rFonts w:ascii="Arial" w:hAnsi="Arial" w:cs="Arial"/>
          <w:sz w:val="20"/>
          <w:szCs w:val="20"/>
        </w:rPr>
        <w:t>s</w:t>
      </w:r>
      <w:r w:rsidRPr="003516DC">
        <w:rPr>
          <w:rFonts w:ascii="Arial" w:hAnsi="Arial" w:cs="Arial"/>
          <w:sz w:val="20"/>
          <w:szCs w:val="20"/>
        </w:rPr>
        <w:t xml:space="preserve">ations </w:t>
      </w:r>
      <w:r w:rsidR="0063468F" w:rsidRPr="003516DC">
        <w:rPr>
          <w:rFonts w:ascii="Arial" w:hAnsi="Arial" w:cs="Arial"/>
          <w:sz w:val="20"/>
          <w:szCs w:val="20"/>
        </w:rPr>
        <w:t>that take</w:t>
      </w:r>
      <w:r w:rsidRPr="003516DC">
        <w:rPr>
          <w:rFonts w:ascii="Arial" w:hAnsi="Arial" w:cs="Arial"/>
          <w:sz w:val="20"/>
          <w:szCs w:val="20"/>
        </w:rPr>
        <w:t xml:space="preserve"> 3-4 years, while private professional training providers offer similar speciali</w:t>
      </w:r>
      <w:r w:rsidR="009B10A2" w:rsidRPr="003516DC">
        <w:rPr>
          <w:rFonts w:ascii="Arial" w:hAnsi="Arial" w:cs="Arial"/>
          <w:sz w:val="20"/>
          <w:szCs w:val="20"/>
        </w:rPr>
        <w:t>s</w:t>
      </w:r>
      <w:r w:rsidRPr="003516DC">
        <w:rPr>
          <w:rFonts w:ascii="Arial" w:hAnsi="Arial" w:cs="Arial"/>
          <w:sz w:val="20"/>
          <w:szCs w:val="20"/>
        </w:rPr>
        <w:t xml:space="preserve">ations </w:t>
      </w:r>
      <w:r w:rsidR="00A74B01" w:rsidRPr="003516DC">
        <w:rPr>
          <w:rFonts w:ascii="Arial" w:hAnsi="Arial" w:cs="Arial"/>
          <w:sz w:val="20"/>
          <w:szCs w:val="20"/>
        </w:rPr>
        <w:t>that take</w:t>
      </w:r>
      <w:r w:rsidRPr="003516DC">
        <w:rPr>
          <w:rFonts w:ascii="Arial" w:hAnsi="Arial" w:cs="Arial"/>
          <w:sz w:val="20"/>
          <w:szCs w:val="20"/>
        </w:rPr>
        <w:t xml:space="preserve"> about three months, according to interviews with local educational stakeholders. The local technological high-schools train four times more students in the public vocational curriculum than in dual education (classes supported by local enterprises by request). The “Constantin Brâncuși” University in Târgu-Jiu strives to keep its curriculum adapted to the local market, including speciali</w:t>
      </w:r>
      <w:r w:rsidR="00FA3826" w:rsidRPr="003516DC">
        <w:rPr>
          <w:rFonts w:ascii="Arial" w:hAnsi="Arial" w:cs="Arial"/>
          <w:sz w:val="20"/>
          <w:szCs w:val="20"/>
        </w:rPr>
        <w:t>s</w:t>
      </w:r>
      <w:r w:rsidRPr="003516DC">
        <w:rPr>
          <w:rFonts w:ascii="Arial" w:hAnsi="Arial" w:cs="Arial"/>
          <w:sz w:val="20"/>
          <w:szCs w:val="20"/>
        </w:rPr>
        <w:t xml:space="preserve">ations in automation, energy, environmental protection and mechanical engineering. It also collaborates with </w:t>
      </w:r>
      <w:r w:rsidR="004A7C96" w:rsidRPr="003516DC">
        <w:rPr>
          <w:rFonts w:ascii="Arial" w:hAnsi="Arial" w:cs="Arial"/>
          <w:sz w:val="20"/>
          <w:szCs w:val="20"/>
        </w:rPr>
        <w:t xml:space="preserve">Oltenia </w:t>
      </w:r>
      <w:r w:rsidRPr="003516DC">
        <w:rPr>
          <w:rFonts w:ascii="Arial" w:hAnsi="Arial" w:cs="Arial"/>
          <w:sz w:val="20"/>
          <w:szCs w:val="20"/>
        </w:rPr>
        <w:t xml:space="preserve">Energy Complex </w:t>
      </w:r>
      <w:r w:rsidR="00FA3826" w:rsidRPr="003516DC">
        <w:rPr>
          <w:rFonts w:ascii="Arial" w:hAnsi="Arial" w:cs="Arial"/>
          <w:sz w:val="20"/>
          <w:szCs w:val="20"/>
        </w:rPr>
        <w:t xml:space="preserve">to </w:t>
      </w:r>
      <w:r w:rsidRPr="003516DC">
        <w:rPr>
          <w:rFonts w:ascii="Arial" w:hAnsi="Arial" w:cs="Arial"/>
          <w:sz w:val="20"/>
          <w:szCs w:val="20"/>
        </w:rPr>
        <w:t>introduc</w:t>
      </w:r>
      <w:r w:rsidR="00FA3826" w:rsidRPr="003516DC">
        <w:rPr>
          <w:rFonts w:ascii="Arial" w:hAnsi="Arial" w:cs="Arial"/>
          <w:sz w:val="20"/>
          <w:szCs w:val="20"/>
        </w:rPr>
        <w:t>e</w:t>
      </w:r>
      <w:r w:rsidRPr="003516DC">
        <w:rPr>
          <w:rFonts w:ascii="Arial" w:hAnsi="Arial" w:cs="Arial"/>
          <w:sz w:val="20"/>
          <w:szCs w:val="20"/>
        </w:rPr>
        <w:t xml:space="preserve"> new disciplines, such as materials science, post-coal recycling, green energy, etc. Skilling and reskilling classes are organi</w:t>
      </w:r>
      <w:r w:rsidR="00FA3826" w:rsidRPr="003516DC">
        <w:rPr>
          <w:rFonts w:ascii="Arial" w:hAnsi="Arial" w:cs="Arial"/>
          <w:sz w:val="20"/>
          <w:szCs w:val="20"/>
        </w:rPr>
        <w:t>s</w:t>
      </w:r>
      <w:r w:rsidRPr="003516DC">
        <w:rPr>
          <w:rFonts w:ascii="Arial" w:hAnsi="Arial" w:cs="Arial"/>
          <w:sz w:val="20"/>
          <w:szCs w:val="20"/>
        </w:rPr>
        <w:t>ed in Gorj either through the local employment agency or through one of the 47 local private providers of adult education. Most unemployed take up classes in jobs such as human resources inspector, trade worker, data operator, barber, hairdresser, pedicure manicure worker, confectioner/chef, security guard, etc. Though not accurately measured, graduates of these classes</w:t>
      </w:r>
      <w:r w:rsidR="00E14BA0" w:rsidRPr="003516DC">
        <w:rPr>
          <w:rFonts w:ascii="Arial" w:hAnsi="Arial" w:cs="Arial"/>
          <w:sz w:val="20"/>
          <w:szCs w:val="20"/>
        </w:rPr>
        <w:t xml:space="preserve"> are assumed</w:t>
      </w:r>
      <w:r w:rsidRPr="003516DC">
        <w:rPr>
          <w:rFonts w:ascii="Arial" w:hAnsi="Arial" w:cs="Arial"/>
          <w:sz w:val="20"/>
          <w:szCs w:val="20"/>
        </w:rPr>
        <w:t xml:space="preserve"> </w:t>
      </w:r>
      <w:r w:rsidR="00E14BA0" w:rsidRPr="003516DC">
        <w:rPr>
          <w:rFonts w:ascii="Arial" w:hAnsi="Arial" w:cs="Arial"/>
          <w:sz w:val="20"/>
          <w:szCs w:val="20"/>
        </w:rPr>
        <w:t xml:space="preserve">to work abroad </w:t>
      </w:r>
      <w:r w:rsidRPr="003516DC">
        <w:rPr>
          <w:rFonts w:ascii="Arial" w:hAnsi="Arial" w:cs="Arial"/>
          <w:sz w:val="20"/>
          <w:szCs w:val="20"/>
        </w:rPr>
        <w:t>once they obtain their new qualification.</w:t>
      </w:r>
    </w:p>
    <w:p w14:paraId="442408D8" w14:textId="77777777" w:rsidR="00283836" w:rsidRPr="003516DC" w:rsidRDefault="00283836" w:rsidP="00283836">
      <w:pPr>
        <w:spacing w:after="120"/>
        <w:jc w:val="both"/>
        <w:rPr>
          <w:rFonts w:ascii="Arial" w:hAnsi="Arial" w:cs="Arial"/>
          <w:sz w:val="20"/>
          <w:szCs w:val="20"/>
        </w:rPr>
      </w:pPr>
      <w:r w:rsidRPr="003516DC">
        <w:rPr>
          <w:rFonts w:ascii="Arial" w:hAnsi="Arial" w:cs="Arial"/>
          <w:sz w:val="20"/>
          <w:szCs w:val="20"/>
        </w:rPr>
        <w:t>In 2019, there were 65 social service providers</w:t>
      </w:r>
      <w:r w:rsidRPr="0081021C">
        <w:rPr>
          <w:rFonts w:ascii="Arial" w:hAnsi="Arial" w:cs="Arial"/>
          <w:sz w:val="20"/>
          <w:szCs w:val="20"/>
        </w:rPr>
        <w:t xml:space="preserve"> </w:t>
      </w:r>
      <w:r>
        <w:rPr>
          <w:rFonts w:ascii="Arial" w:hAnsi="Arial" w:cs="Arial"/>
          <w:sz w:val="20"/>
          <w:szCs w:val="20"/>
        </w:rPr>
        <w:t>in Gorj C</w:t>
      </w:r>
      <w:r w:rsidRPr="003516DC">
        <w:rPr>
          <w:rFonts w:ascii="Arial" w:hAnsi="Arial" w:cs="Arial"/>
          <w:sz w:val="20"/>
          <w:szCs w:val="20"/>
        </w:rPr>
        <w:t>ounty, of which 10 were private and 55 public.</w:t>
      </w:r>
    </w:p>
    <w:p w14:paraId="34C4AC96" w14:textId="77777777" w:rsidR="00283836" w:rsidRPr="003516DC" w:rsidRDefault="00283836" w:rsidP="00283836">
      <w:pPr>
        <w:spacing w:after="120"/>
        <w:jc w:val="both"/>
        <w:rPr>
          <w:rFonts w:ascii="Arial" w:hAnsi="Arial" w:cs="Arial"/>
          <w:sz w:val="20"/>
          <w:szCs w:val="20"/>
        </w:rPr>
      </w:pPr>
      <w:r w:rsidRPr="003516DC">
        <w:rPr>
          <w:rFonts w:ascii="Arial" w:hAnsi="Arial" w:cs="Arial"/>
          <w:sz w:val="20"/>
          <w:szCs w:val="20"/>
        </w:rPr>
        <w:t>In the organi</w:t>
      </w:r>
      <w:r>
        <w:rPr>
          <w:rFonts w:ascii="Arial" w:hAnsi="Arial" w:cs="Arial"/>
          <w:sz w:val="20"/>
          <w:szCs w:val="20"/>
        </w:rPr>
        <w:t>s</w:t>
      </w:r>
      <w:r w:rsidRPr="003516DC">
        <w:rPr>
          <w:rFonts w:ascii="Arial" w:hAnsi="Arial" w:cs="Arial"/>
          <w:sz w:val="20"/>
          <w:szCs w:val="20"/>
        </w:rPr>
        <w:t>ational structure of the General Directorate of Social Assistance and Child Protection Gorj</w:t>
      </w:r>
      <w:r>
        <w:rPr>
          <w:rFonts w:ascii="Arial" w:hAnsi="Arial" w:cs="Arial"/>
          <w:sz w:val="20"/>
          <w:szCs w:val="20"/>
        </w:rPr>
        <w:t>,</w:t>
      </w:r>
      <w:r w:rsidRPr="003516DC">
        <w:rPr>
          <w:rFonts w:ascii="Arial" w:hAnsi="Arial" w:cs="Arial"/>
          <w:sz w:val="20"/>
          <w:szCs w:val="20"/>
        </w:rPr>
        <w:t xml:space="preserve"> there are 11 recovery/care complexes for children and adults, of which 5 are in Târgu Jiu, 2 </w:t>
      </w:r>
      <w:r>
        <w:rPr>
          <w:rFonts w:ascii="Arial" w:hAnsi="Arial" w:cs="Arial"/>
          <w:sz w:val="20"/>
          <w:szCs w:val="20"/>
        </w:rPr>
        <w:t xml:space="preserve">are </w:t>
      </w:r>
      <w:r w:rsidRPr="003516DC">
        <w:rPr>
          <w:rFonts w:ascii="Arial" w:hAnsi="Arial" w:cs="Arial"/>
          <w:sz w:val="20"/>
          <w:szCs w:val="20"/>
        </w:rPr>
        <w:t xml:space="preserve">in Târgu Cărbunești, 1 </w:t>
      </w:r>
      <w:r>
        <w:rPr>
          <w:rFonts w:ascii="Arial" w:hAnsi="Arial" w:cs="Arial"/>
          <w:sz w:val="20"/>
          <w:szCs w:val="20"/>
        </w:rPr>
        <w:t xml:space="preserve">is </w:t>
      </w:r>
      <w:r w:rsidRPr="003516DC">
        <w:rPr>
          <w:rFonts w:ascii="Arial" w:hAnsi="Arial" w:cs="Arial"/>
          <w:sz w:val="20"/>
          <w:szCs w:val="20"/>
        </w:rPr>
        <w:t xml:space="preserve">in Suseni, 1 </w:t>
      </w:r>
      <w:r>
        <w:rPr>
          <w:rFonts w:ascii="Arial" w:hAnsi="Arial" w:cs="Arial"/>
          <w:sz w:val="20"/>
          <w:szCs w:val="20"/>
        </w:rPr>
        <w:t xml:space="preserve">is </w:t>
      </w:r>
      <w:r w:rsidRPr="003516DC">
        <w:rPr>
          <w:rFonts w:ascii="Arial" w:hAnsi="Arial" w:cs="Arial"/>
          <w:sz w:val="20"/>
          <w:szCs w:val="20"/>
        </w:rPr>
        <w:t xml:space="preserve">in Dobrița, 1 </w:t>
      </w:r>
      <w:r>
        <w:rPr>
          <w:rFonts w:ascii="Arial" w:hAnsi="Arial" w:cs="Arial"/>
          <w:sz w:val="20"/>
          <w:szCs w:val="20"/>
        </w:rPr>
        <w:t xml:space="preserve">is </w:t>
      </w:r>
      <w:r w:rsidRPr="003516DC">
        <w:rPr>
          <w:rFonts w:ascii="Arial" w:hAnsi="Arial" w:cs="Arial"/>
          <w:sz w:val="20"/>
          <w:szCs w:val="20"/>
        </w:rPr>
        <w:t xml:space="preserve">in Bâlteni, </w:t>
      </w:r>
      <w:r>
        <w:rPr>
          <w:rFonts w:ascii="Arial" w:hAnsi="Arial" w:cs="Arial"/>
          <w:sz w:val="20"/>
          <w:szCs w:val="20"/>
        </w:rPr>
        <w:t xml:space="preserve">and </w:t>
      </w:r>
      <w:r w:rsidRPr="003516DC">
        <w:rPr>
          <w:rFonts w:ascii="Arial" w:hAnsi="Arial" w:cs="Arial"/>
          <w:sz w:val="20"/>
          <w:szCs w:val="20"/>
        </w:rPr>
        <w:t xml:space="preserve">1 </w:t>
      </w:r>
      <w:r>
        <w:rPr>
          <w:rFonts w:ascii="Arial" w:hAnsi="Arial" w:cs="Arial"/>
          <w:sz w:val="20"/>
          <w:szCs w:val="20"/>
        </w:rPr>
        <w:t xml:space="preserve">is </w:t>
      </w:r>
      <w:r w:rsidRPr="003516DC">
        <w:rPr>
          <w:rFonts w:ascii="Arial" w:hAnsi="Arial" w:cs="Arial"/>
          <w:sz w:val="20"/>
          <w:szCs w:val="20"/>
        </w:rPr>
        <w:t xml:space="preserve">in Novaci. </w:t>
      </w:r>
    </w:p>
    <w:p w14:paraId="4211815D" w14:textId="586F3E67" w:rsidR="00283836" w:rsidRDefault="00283836" w:rsidP="00283836">
      <w:pPr>
        <w:spacing w:after="120"/>
        <w:jc w:val="both"/>
        <w:rPr>
          <w:rFonts w:ascii="Arial" w:hAnsi="Arial" w:cs="Arial"/>
          <w:sz w:val="20"/>
          <w:szCs w:val="20"/>
        </w:rPr>
      </w:pPr>
      <w:r>
        <w:rPr>
          <w:rFonts w:ascii="Arial" w:hAnsi="Arial" w:cs="Arial"/>
          <w:sz w:val="20"/>
          <w:szCs w:val="20"/>
        </w:rPr>
        <w:t xml:space="preserve">According to the </w:t>
      </w:r>
      <w:r w:rsidRPr="00E273BF">
        <w:rPr>
          <w:rFonts w:ascii="Arial" w:hAnsi="Arial" w:cs="Arial"/>
          <w:sz w:val="20"/>
          <w:szCs w:val="20"/>
        </w:rPr>
        <w:t>Integrated Information System for Education in Romania</w:t>
      </w:r>
      <w:r>
        <w:rPr>
          <w:rFonts w:ascii="Arial" w:hAnsi="Arial" w:cs="Arial"/>
          <w:sz w:val="20"/>
          <w:szCs w:val="20"/>
        </w:rPr>
        <w:t xml:space="preserve"> (SIIIR)</w:t>
      </w:r>
      <w:r>
        <w:rPr>
          <w:rStyle w:val="FootnoteReference"/>
          <w:rFonts w:ascii="Arial" w:hAnsi="Arial" w:cs="Arial"/>
          <w:sz w:val="20"/>
          <w:szCs w:val="20"/>
        </w:rPr>
        <w:footnoteReference w:id="94"/>
      </w:r>
      <w:r>
        <w:rPr>
          <w:rFonts w:ascii="Arial" w:hAnsi="Arial" w:cs="Arial"/>
          <w:sz w:val="20"/>
          <w:szCs w:val="20"/>
        </w:rPr>
        <w:t xml:space="preserve">, in 2020 </w:t>
      </w:r>
      <w:r w:rsidRPr="003516DC">
        <w:rPr>
          <w:rFonts w:ascii="Arial" w:hAnsi="Arial" w:cs="Arial"/>
          <w:sz w:val="20"/>
          <w:szCs w:val="20"/>
        </w:rPr>
        <w:t xml:space="preserve">there </w:t>
      </w:r>
      <w:r>
        <w:rPr>
          <w:rFonts w:ascii="Arial" w:hAnsi="Arial" w:cs="Arial"/>
          <w:sz w:val="20"/>
          <w:szCs w:val="20"/>
        </w:rPr>
        <w:t>were</w:t>
      </w:r>
      <w:r w:rsidRPr="003516DC">
        <w:rPr>
          <w:rFonts w:ascii="Arial" w:hAnsi="Arial" w:cs="Arial"/>
          <w:sz w:val="20"/>
          <w:szCs w:val="20"/>
        </w:rPr>
        <w:t xml:space="preserve"> 225 kindergartens with </w:t>
      </w:r>
      <w:r>
        <w:rPr>
          <w:rFonts w:ascii="Arial" w:hAnsi="Arial" w:cs="Arial"/>
          <w:sz w:val="20"/>
          <w:szCs w:val="20"/>
        </w:rPr>
        <w:t xml:space="preserve">a </w:t>
      </w:r>
      <w:r w:rsidRPr="003516DC">
        <w:rPr>
          <w:rFonts w:ascii="Arial" w:hAnsi="Arial" w:cs="Arial"/>
          <w:sz w:val="20"/>
          <w:szCs w:val="20"/>
        </w:rPr>
        <w:t>normal program</w:t>
      </w:r>
      <w:r>
        <w:rPr>
          <w:rFonts w:ascii="Arial" w:hAnsi="Arial" w:cs="Arial"/>
          <w:sz w:val="20"/>
          <w:szCs w:val="20"/>
        </w:rPr>
        <w:t>me</w:t>
      </w:r>
      <w:r w:rsidRPr="003516DC">
        <w:rPr>
          <w:rFonts w:ascii="Arial" w:hAnsi="Arial" w:cs="Arial"/>
          <w:sz w:val="20"/>
          <w:szCs w:val="20"/>
        </w:rPr>
        <w:t xml:space="preserve"> and only 17 kindergartens with </w:t>
      </w:r>
      <w:r>
        <w:rPr>
          <w:rFonts w:ascii="Arial" w:hAnsi="Arial" w:cs="Arial"/>
          <w:sz w:val="20"/>
          <w:szCs w:val="20"/>
        </w:rPr>
        <w:t xml:space="preserve">an </w:t>
      </w:r>
      <w:r w:rsidRPr="003516DC">
        <w:rPr>
          <w:rFonts w:ascii="Arial" w:hAnsi="Arial" w:cs="Arial"/>
          <w:sz w:val="20"/>
          <w:szCs w:val="20"/>
        </w:rPr>
        <w:t>extended program</w:t>
      </w:r>
      <w:r>
        <w:rPr>
          <w:rFonts w:ascii="Arial" w:hAnsi="Arial" w:cs="Arial"/>
          <w:sz w:val="20"/>
          <w:szCs w:val="20"/>
        </w:rPr>
        <w:t>me</w:t>
      </w:r>
      <w:r w:rsidRPr="003516DC">
        <w:rPr>
          <w:rFonts w:ascii="Arial" w:hAnsi="Arial" w:cs="Arial"/>
          <w:sz w:val="20"/>
          <w:szCs w:val="20"/>
        </w:rPr>
        <w:t>. Technological vocational education include</w:t>
      </w:r>
      <w:r>
        <w:rPr>
          <w:rFonts w:ascii="Arial" w:hAnsi="Arial" w:cs="Arial"/>
          <w:sz w:val="20"/>
          <w:szCs w:val="20"/>
        </w:rPr>
        <w:t>d</w:t>
      </w:r>
      <w:r w:rsidRPr="003516DC">
        <w:rPr>
          <w:rFonts w:ascii="Arial" w:hAnsi="Arial" w:cs="Arial"/>
          <w:sz w:val="20"/>
          <w:szCs w:val="20"/>
        </w:rPr>
        <w:t>: 14 technological high schools</w:t>
      </w:r>
      <w:r>
        <w:rPr>
          <w:rFonts w:ascii="Arial" w:hAnsi="Arial" w:cs="Arial"/>
          <w:sz w:val="20"/>
          <w:szCs w:val="20"/>
        </w:rPr>
        <w:t>,</w:t>
      </w:r>
      <w:r w:rsidRPr="003516DC">
        <w:rPr>
          <w:rFonts w:ascii="Arial" w:hAnsi="Arial" w:cs="Arial"/>
          <w:sz w:val="20"/>
          <w:szCs w:val="20"/>
        </w:rPr>
        <w:t xml:space="preserve"> 3 technical colleges and no vocational school. There is no data on social infrastructure for housing and care for the elderly.</w:t>
      </w:r>
    </w:p>
    <w:p w14:paraId="687CE76D" w14:textId="464E837E" w:rsidR="0064139C" w:rsidRPr="0064139C" w:rsidRDefault="00C86044" w:rsidP="0064139C">
      <w:pPr>
        <w:pStyle w:val="Briefingtext"/>
        <w:rPr>
          <w:sz w:val="20"/>
          <w:szCs w:val="22"/>
        </w:rPr>
      </w:pPr>
      <w:r w:rsidRPr="0064139C">
        <w:rPr>
          <w:sz w:val="20"/>
          <w:szCs w:val="22"/>
        </w:rPr>
        <w:t>Graph 3</w:t>
      </w:r>
      <w:r w:rsidR="00F140B0">
        <w:rPr>
          <w:sz w:val="20"/>
          <w:szCs w:val="22"/>
        </w:rPr>
        <w:t>4</w:t>
      </w:r>
      <w:r w:rsidRPr="0064139C">
        <w:rPr>
          <w:sz w:val="20"/>
          <w:szCs w:val="22"/>
        </w:rPr>
        <w:t xml:space="preserve"> shows that Gorj County has a relatively aging population, where the population aged 0–14 is below the national average and age groups 60-64, 70-74 and 80-84 are above the national average.</w:t>
      </w:r>
    </w:p>
    <w:p w14:paraId="2FEA6B41" w14:textId="669E7973" w:rsidR="00C86044" w:rsidRPr="003516DC" w:rsidRDefault="00C86044" w:rsidP="00C86044">
      <w:pPr>
        <w:pStyle w:val="Caption"/>
        <w:ind w:left="990" w:hanging="990"/>
      </w:pPr>
      <w:bookmarkStart w:id="204" w:name="_Toc90727370"/>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34</w:t>
      </w:r>
      <w:r w:rsidR="000B273D">
        <w:rPr>
          <w:noProof/>
        </w:rPr>
        <w:fldChar w:fldCharType="end"/>
      </w:r>
      <w:r>
        <w:t xml:space="preserve">: </w:t>
      </w:r>
      <w:r w:rsidRPr="003516DC">
        <w:t xml:space="preserve">Representativeness of the target age groups of the social, health and education infrastructure (young and old) in Gorj </w:t>
      </w:r>
      <w:r>
        <w:t>C</w:t>
      </w:r>
      <w:r w:rsidRPr="003516DC">
        <w:t>ounty as compared to national level, 2020</w:t>
      </w:r>
      <w:bookmarkEnd w:id="204"/>
    </w:p>
    <w:p w14:paraId="42116207" w14:textId="1E9FBB06" w:rsidR="00C86044" w:rsidRDefault="00C86044" w:rsidP="00C86044">
      <w:pPr>
        <w:jc w:val="both"/>
        <w:rPr>
          <w:rFonts w:ascii="Arial" w:hAnsi="Arial" w:cs="Arial"/>
          <w:sz w:val="20"/>
          <w:szCs w:val="20"/>
        </w:rPr>
      </w:pPr>
      <w:r w:rsidRPr="00402580">
        <w:rPr>
          <w:rFonts w:ascii="Arial" w:hAnsi="Arial" w:cs="Arial"/>
          <w:noProof/>
          <w:lang w:val="en-US" w:eastAsia="en-US"/>
        </w:rPr>
        <w:drawing>
          <wp:inline distT="0" distB="0" distL="0" distR="0" wp14:anchorId="40C3F456" wp14:editId="38814EA6">
            <wp:extent cx="5676265" cy="1744345"/>
            <wp:effectExtent l="0" t="0" r="635" b="825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676265" cy="1744345"/>
                    </a:xfrm>
                    <a:prstGeom prst="rect">
                      <a:avLst/>
                    </a:prstGeom>
                  </pic:spPr>
                </pic:pic>
              </a:graphicData>
            </a:graphic>
          </wp:inline>
        </w:drawing>
      </w:r>
    </w:p>
    <w:p w14:paraId="2B8FFDCD" w14:textId="5868219A" w:rsidR="00C86044" w:rsidRPr="00707E4A" w:rsidRDefault="00C86044" w:rsidP="00E42342">
      <w:pPr>
        <w:pStyle w:val="ListParagraph"/>
        <w:numPr>
          <w:ilvl w:val="0"/>
          <w:numId w:val="279"/>
        </w:numPr>
        <w:spacing w:after="120" w:line="240" w:lineRule="auto"/>
        <w:contextualSpacing w:val="0"/>
        <w:jc w:val="both"/>
        <w:rPr>
          <w:color w:val="4F81BD" w:themeColor="accent1"/>
          <w:sz w:val="20"/>
          <w:szCs w:val="20"/>
        </w:rPr>
      </w:pPr>
      <w:r>
        <w:rPr>
          <w:color w:val="4F81BD" w:themeColor="accent1"/>
          <w:sz w:val="20"/>
          <w:szCs w:val="20"/>
        </w:rPr>
        <w:t>Environment</w:t>
      </w:r>
    </w:p>
    <w:p w14:paraId="186AE1D5" w14:textId="77777777" w:rsidR="00C86044" w:rsidRDefault="00DC66DF" w:rsidP="00C86044">
      <w:pPr>
        <w:tabs>
          <w:tab w:val="center" w:pos="4680"/>
          <w:tab w:val="right" w:pos="9360"/>
        </w:tabs>
        <w:spacing w:after="120"/>
        <w:jc w:val="both"/>
        <w:rPr>
          <w:rFonts w:ascii="Arial" w:hAnsi="Arial" w:cs="Arial"/>
          <w:sz w:val="20"/>
          <w:szCs w:val="20"/>
        </w:rPr>
      </w:pPr>
      <w:r w:rsidRPr="003516DC">
        <w:rPr>
          <w:rFonts w:ascii="Arial" w:hAnsi="Arial" w:cs="Arial"/>
          <w:sz w:val="20"/>
          <w:szCs w:val="20"/>
        </w:rPr>
        <w:t xml:space="preserve">The local </w:t>
      </w:r>
      <w:r w:rsidRPr="003516DC">
        <w:rPr>
          <w:rFonts w:ascii="Arial" w:hAnsi="Arial" w:cs="Arial"/>
          <w:b/>
          <w:sz w:val="20"/>
          <w:szCs w:val="20"/>
        </w:rPr>
        <w:t>environmental</w:t>
      </w:r>
      <w:r w:rsidRPr="003516DC">
        <w:rPr>
          <w:rFonts w:ascii="Arial" w:hAnsi="Arial" w:cs="Arial"/>
          <w:sz w:val="20"/>
          <w:szCs w:val="20"/>
        </w:rPr>
        <w:t xml:space="preserve"> is dominated by air pollution issues, soil quality problems and </w:t>
      </w:r>
      <w:r w:rsidRPr="003516DC">
        <w:rPr>
          <w:rFonts w:ascii="Arial" w:hAnsi="Arial" w:cs="Arial"/>
          <w:b/>
          <w:sz w:val="20"/>
          <w:szCs w:val="20"/>
        </w:rPr>
        <w:t>contaminated sites</w:t>
      </w:r>
      <w:r w:rsidRPr="003516DC">
        <w:rPr>
          <w:rFonts w:ascii="Arial" w:hAnsi="Arial" w:cs="Arial"/>
          <w:sz w:val="20"/>
          <w:szCs w:val="20"/>
        </w:rPr>
        <w:t xml:space="preserve">. Lignite exploitation is affecting approximately 13,000 hectares and the energy industry determines the presence of slag, ash and dust on </w:t>
      </w:r>
      <w:r w:rsidR="00074573" w:rsidRPr="003516DC">
        <w:rPr>
          <w:rFonts w:ascii="Arial" w:hAnsi="Arial" w:cs="Arial"/>
          <w:sz w:val="20"/>
          <w:szCs w:val="20"/>
        </w:rPr>
        <w:t>area</w:t>
      </w:r>
      <w:r w:rsidR="00F76746" w:rsidRPr="003516DC">
        <w:rPr>
          <w:rFonts w:ascii="Arial" w:hAnsi="Arial" w:cs="Arial"/>
          <w:sz w:val="20"/>
          <w:szCs w:val="20"/>
        </w:rPr>
        <w:t>s</w:t>
      </w:r>
      <w:r w:rsidRPr="003516DC">
        <w:rPr>
          <w:rFonts w:ascii="Arial" w:hAnsi="Arial" w:cs="Arial"/>
          <w:sz w:val="20"/>
          <w:szCs w:val="20"/>
        </w:rPr>
        <w:t xml:space="preserve"> up to 50,000 hectares. </w:t>
      </w:r>
      <w:r w:rsidR="00F76746" w:rsidRPr="003516DC">
        <w:rPr>
          <w:rFonts w:ascii="Arial" w:hAnsi="Arial" w:cs="Arial"/>
          <w:sz w:val="20"/>
          <w:szCs w:val="20"/>
        </w:rPr>
        <w:t>Because of</w:t>
      </w:r>
      <w:r w:rsidRPr="003516DC">
        <w:rPr>
          <w:rFonts w:ascii="Arial" w:hAnsi="Arial" w:cs="Arial"/>
          <w:sz w:val="20"/>
          <w:szCs w:val="20"/>
        </w:rPr>
        <w:t xml:space="preserve"> historical industrial activity and </w:t>
      </w:r>
      <w:r w:rsidR="009B489D" w:rsidRPr="003516DC">
        <w:rPr>
          <w:rFonts w:ascii="Arial" w:hAnsi="Arial" w:cs="Arial"/>
          <w:sz w:val="20"/>
          <w:szCs w:val="20"/>
        </w:rPr>
        <w:t xml:space="preserve">the </w:t>
      </w:r>
      <w:r w:rsidRPr="003516DC">
        <w:rPr>
          <w:rFonts w:ascii="Arial" w:hAnsi="Arial" w:cs="Arial"/>
          <w:sz w:val="20"/>
          <w:szCs w:val="20"/>
        </w:rPr>
        <w:t xml:space="preserve">more recent expansion of mining operations, there are extensive damaged land surfaces, including 167,000 hectares of eroded land and 89,000 hectares of land subject to landslides. </w:t>
      </w:r>
    </w:p>
    <w:p w14:paraId="0E76DFDF" w14:textId="77777777" w:rsidR="00C86044" w:rsidRDefault="00DC66DF" w:rsidP="00C86044">
      <w:pPr>
        <w:tabs>
          <w:tab w:val="center" w:pos="4680"/>
          <w:tab w:val="right" w:pos="9360"/>
        </w:tabs>
        <w:spacing w:after="120"/>
        <w:jc w:val="both"/>
        <w:rPr>
          <w:rFonts w:ascii="Arial" w:hAnsi="Arial" w:cs="Arial"/>
          <w:sz w:val="20"/>
          <w:szCs w:val="20"/>
        </w:rPr>
      </w:pPr>
      <w:r w:rsidRPr="003516DC">
        <w:rPr>
          <w:rFonts w:ascii="Arial" w:hAnsi="Arial" w:cs="Arial"/>
          <w:sz w:val="20"/>
          <w:szCs w:val="20"/>
        </w:rPr>
        <w:lastRenderedPageBreak/>
        <w:t xml:space="preserve">When it comes to </w:t>
      </w:r>
      <w:r w:rsidRPr="003516DC">
        <w:rPr>
          <w:rFonts w:ascii="Arial" w:hAnsi="Arial" w:cs="Arial"/>
          <w:b/>
          <w:sz w:val="20"/>
          <w:szCs w:val="20"/>
        </w:rPr>
        <w:t>contaminated sites</w:t>
      </w:r>
      <w:r w:rsidR="00350AA9" w:rsidRPr="003516DC">
        <w:rPr>
          <w:rFonts w:ascii="Arial" w:hAnsi="Arial" w:cs="Arial"/>
          <w:sz w:val="20"/>
          <w:szCs w:val="20"/>
        </w:rPr>
        <w:t>, Gorj c</w:t>
      </w:r>
      <w:r w:rsidRPr="003516DC">
        <w:rPr>
          <w:rFonts w:ascii="Arial" w:hAnsi="Arial" w:cs="Arial"/>
          <w:sz w:val="20"/>
          <w:szCs w:val="20"/>
        </w:rPr>
        <w:t xml:space="preserve">ounty catalogued 13 contaminated sites, of which </w:t>
      </w:r>
      <w:r w:rsidR="009B489D" w:rsidRPr="003516DC">
        <w:rPr>
          <w:rFonts w:ascii="Arial" w:hAnsi="Arial" w:cs="Arial"/>
          <w:sz w:val="20"/>
          <w:szCs w:val="20"/>
        </w:rPr>
        <w:t>eight</w:t>
      </w:r>
      <w:r w:rsidRPr="003516DC">
        <w:rPr>
          <w:rFonts w:ascii="Arial" w:hAnsi="Arial" w:cs="Arial"/>
          <w:sz w:val="20"/>
          <w:szCs w:val="20"/>
        </w:rPr>
        <w:t xml:space="preserve"> are publicly owned (by local municipalities) and destined for household waste deposits, while </w:t>
      </w:r>
      <w:r w:rsidR="009B489D" w:rsidRPr="003516DC">
        <w:rPr>
          <w:rFonts w:ascii="Arial" w:hAnsi="Arial" w:cs="Arial"/>
          <w:sz w:val="20"/>
          <w:szCs w:val="20"/>
        </w:rPr>
        <w:t>five</w:t>
      </w:r>
      <w:r w:rsidRPr="003516DC">
        <w:rPr>
          <w:rFonts w:ascii="Arial" w:hAnsi="Arial" w:cs="Arial"/>
          <w:sz w:val="20"/>
          <w:szCs w:val="20"/>
        </w:rPr>
        <w:t xml:space="preserve"> are owned by private enterprises and are contaminated with mercury waste, hydrocarbons, etc. In total</w:t>
      </w:r>
      <w:r w:rsidR="009B489D" w:rsidRPr="003516DC">
        <w:rPr>
          <w:rFonts w:ascii="Arial" w:hAnsi="Arial" w:cs="Arial"/>
          <w:sz w:val="20"/>
          <w:szCs w:val="20"/>
        </w:rPr>
        <w:t>,</w:t>
      </w:r>
      <w:r w:rsidRPr="003516DC">
        <w:rPr>
          <w:rFonts w:ascii="Arial" w:hAnsi="Arial" w:cs="Arial"/>
          <w:sz w:val="20"/>
          <w:szCs w:val="20"/>
        </w:rPr>
        <w:t xml:space="preserve"> the</w:t>
      </w:r>
      <w:r w:rsidR="009B489D" w:rsidRPr="003516DC">
        <w:rPr>
          <w:rFonts w:ascii="Arial" w:hAnsi="Arial" w:cs="Arial"/>
          <w:sz w:val="20"/>
          <w:szCs w:val="20"/>
        </w:rPr>
        <w:t>se sites</w:t>
      </w:r>
      <w:r w:rsidRPr="003516DC">
        <w:rPr>
          <w:rFonts w:ascii="Arial" w:hAnsi="Arial" w:cs="Arial"/>
          <w:sz w:val="20"/>
          <w:szCs w:val="20"/>
        </w:rPr>
        <w:t xml:space="preserve"> comprise a surface of 166,574 sqm. </w:t>
      </w:r>
    </w:p>
    <w:p w14:paraId="63A01DDF" w14:textId="4B7005A1" w:rsidR="00391EC8" w:rsidRPr="003516DC" w:rsidRDefault="00DC66DF" w:rsidP="00C86044">
      <w:pPr>
        <w:tabs>
          <w:tab w:val="center" w:pos="4680"/>
          <w:tab w:val="right" w:pos="9360"/>
        </w:tabs>
        <w:spacing w:after="120"/>
        <w:jc w:val="both"/>
        <w:rPr>
          <w:rFonts w:ascii="Arial" w:hAnsi="Arial" w:cs="Arial"/>
          <w:sz w:val="20"/>
          <w:szCs w:val="20"/>
        </w:rPr>
      </w:pPr>
      <w:r w:rsidRPr="003516DC">
        <w:rPr>
          <w:rFonts w:ascii="Arial" w:hAnsi="Arial" w:cs="Arial"/>
          <w:sz w:val="20"/>
          <w:szCs w:val="20"/>
        </w:rPr>
        <w:t>Another significant e</w:t>
      </w:r>
      <w:r w:rsidR="00350AA9" w:rsidRPr="003516DC">
        <w:rPr>
          <w:rFonts w:ascii="Arial" w:hAnsi="Arial" w:cs="Arial"/>
          <w:sz w:val="20"/>
          <w:szCs w:val="20"/>
        </w:rPr>
        <w:t>nvironmental challenge of Gorj c</w:t>
      </w:r>
      <w:r w:rsidRPr="003516DC">
        <w:rPr>
          <w:rFonts w:ascii="Arial" w:hAnsi="Arial" w:cs="Arial"/>
          <w:sz w:val="20"/>
          <w:szCs w:val="20"/>
        </w:rPr>
        <w:t xml:space="preserve">ounty is the extensive abandoned brownfield sites, many with various forms of contamination. There are hundreds of square </w:t>
      </w:r>
      <w:r w:rsidR="009320BC" w:rsidRPr="003516DC">
        <w:rPr>
          <w:rFonts w:ascii="Arial" w:hAnsi="Arial" w:cs="Arial"/>
          <w:sz w:val="20"/>
          <w:szCs w:val="20"/>
        </w:rPr>
        <w:t>kilo</w:t>
      </w:r>
      <w:r w:rsidRPr="003516DC">
        <w:rPr>
          <w:rFonts w:ascii="Arial" w:hAnsi="Arial" w:cs="Arial"/>
          <w:sz w:val="20"/>
          <w:szCs w:val="20"/>
        </w:rPr>
        <w:t xml:space="preserve">meters or hectares of brownfield </w:t>
      </w:r>
      <w:r w:rsidR="00FF2B9B" w:rsidRPr="003516DC">
        <w:rPr>
          <w:rFonts w:ascii="Arial" w:hAnsi="Arial" w:cs="Arial"/>
          <w:sz w:val="20"/>
          <w:szCs w:val="20"/>
        </w:rPr>
        <w:t xml:space="preserve">that </w:t>
      </w:r>
      <w:r w:rsidRPr="003516DC">
        <w:rPr>
          <w:rFonts w:ascii="Arial" w:hAnsi="Arial" w:cs="Arial"/>
          <w:sz w:val="20"/>
          <w:szCs w:val="20"/>
        </w:rPr>
        <w:t>historically hosted farms and other economic activities, and many of them hav</w:t>
      </w:r>
      <w:r w:rsidR="00FF2B9B" w:rsidRPr="003516DC">
        <w:rPr>
          <w:rFonts w:ascii="Arial" w:hAnsi="Arial" w:cs="Arial"/>
          <w:sz w:val="20"/>
          <w:szCs w:val="20"/>
        </w:rPr>
        <w:t>e</w:t>
      </w:r>
      <w:r w:rsidRPr="003516DC">
        <w:rPr>
          <w:rFonts w:ascii="Arial" w:hAnsi="Arial" w:cs="Arial"/>
          <w:sz w:val="20"/>
          <w:szCs w:val="20"/>
        </w:rPr>
        <w:t xml:space="preserve"> utilities such as electricity, water, sewerage or natural gas grid connection</w:t>
      </w:r>
      <w:r w:rsidRPr="003516DC">
        <w:rPr>
          <w:rFonts w:ascii="Arial" w:hAnsi="Arial" w:cs="Arial"/>
          <w:sz w:val="20"/>
          <w:szCs w:val="20"/>
          <w:vertAlign w:val="superscript"/>
        </w:rPr>
        <w:footnoteReference w:id="95"/>
      </w:r>
      <w:r w:rsidRPr="003516DC">
        <w:rPr>
          <w:rFonts w:ascii="Arial" w:hAnsi="Arial" w:cs="Arial"/>
          <w:sz w:val="20"/>
          <w:szCs w:val="20"/>
        </w:rPr>
        <w:t xml:space="preserve">. </w:t>
      </w:r>
      <w:r w:rsidR="00FF2B9B" w:rsidRPr="003516DC">
        <w:rPr>
          <w:rFonts w:ascii="Arial" w:hAnsi="Arial" w:cs="Arial"/>
          <w:sz w:val="20"/>
          <w:szCs w:val="20"/>
        </w:rPr>
        <w:t>I</w:t>
      </w:r>
      <w:r w:rsidRPr="003516DC">
        <w:rPr>
          <w:rFonts w:ascii="Arial" w:hAnsi="Arial" w:cs="Arial"/>
          <w:sz w:val="20"/>
          <w:szCs w:val="20"/>
        </w:rPr>
        <w:t xml:space="preserve">nterestingly, despite the industrial pollution produced by </w:t>
      </w:r>
      <w:r w:rsidR="004A7C96" w:rsidRPr="003516DC">
        <w:rPr>
          <w:rFonts w:ascii="Arial" w:hAnsi="Arial" w:cs="Arial"/>
          <w:sz w:val="20"/>
          <w:szCs w:val="20"/>
        </w:rPr>
        <w:t xml:space="preserve">Oltenia </w:t>
      </w:r>
      <w:r w:rsidRPr="003516DC">
        <w:rPr>
          <w:rFonts w:ascii="Arial" w:hAnsi="Arial" w:cs="Arial"/>
          <w:sz w:val="20"/>
          <w:szCs w:val="20"/>
        </w:rPr>
        <w:t xml:space="preserve">Energy Complex, there is no officially registered contaminated site owned by the energy complex. However, stakeholder interviews revealed there are massive land surfaces owned by </w:t>
      </w:r>
      <w:r w:rsidR="004A7C96" w:rsidRPr="003516DC">
        <w:rPr>
          <w:rFonts w:ascii="Arial" w:hAnsi="Arial" w:cs="Arial"/>
          <w:sz w:val="20"/>
          <w:szCs w:val="20"/>
        </w:rPr>
        <w:t xml:space="preserve">Oltenia </w:t>
      </w:r>
      <w:r w:rsidRPr="003516DC">
        <w:rPr>
          <w:rFonts w:ascii="Arial" w:hAnsi="Arial" w:cs="Arial"/>
          <w:sz w:val="20"/>
          <w:szCs w:val="20"/>
        </w:rPr>
        <w:t xml:space="preserve">Energy Complex, former mining perimeters for which the company lost the licence to operate several decades ago, where land intervention works need to </w:t>
      </w:r>
      <w:r w:rsidR="00FE208A" w:rsidRPr="003516DC">
        <w:rPr>
          <w:rFonts w:ascii="Arial" w:hAnsi="Arial" w:cs="Arial"/>
          <w:sz w:val="20"/>
          <w:szCs w:val="20"/>
        </w:rPr>
        <w:t>occur</w:t>
      </w:r>
      <w:r w:rsidRPr="003516DC">
        <w:rPr>
          <w:rFonts w:ascii="Arial" w:hAnsi="Arial" w:cs="Arial"/>
          <w:sz w:val="20"/>
          <w:szCs w:val="20"/>
        </w:rPr>
        <w:t xml:space="preserve"> (</w:t>
      </w:r>
      <w:r w:rsidR="00B379A3" w:rsidRPr="003516DC">
        <w:rPr>
          <w:rFonts w:ascii="Arial" w:hAnsi="Arial" w:cs="Arial"/>
          <w:sz w:val="20"/>
          <w:szCs w:val="20"/>
        </w:rPr>
        <w:t>levelling</w:t>
      </w:r>
      <w:r w:rsidRPr="003516DC">
        <w:rPr>
          <w:rFonts w:ascii="Arial" w:hAnsi="Arial" w:cs="Arial"/>
          <w:sz w:val="20"/>
          <w:szCs w:val="20"/>
        </w:rPr>
        <w:t>, etc.) for those counties to be used by publicly authorities</w:t>
      </w:r>
      <w:r w:rsidR="005B3F8C" w:rsidRPr="003516DC">
        <w:rPr>
          <w:rFonts w:ascii="Arial" w:hAnsi="Arial" w:cs="Arial"/>
          <w:sz w:val="20"/>
          <w:szCs w:val="20"/>
        </w:rPr>
        <w:t>,</w:t>
      </w:r>
      <w:r w:rsidRPr="003516DC">
        <w:rPr>
          <w:rFonts w:ascii="Arial" w:hAnsi="Arial" w:cs="Arial"/>
          <w:sz w:val="20"/>
          <w:szCs w:val="20"/>
        </w:rPr>
        <w:t xml:space="preserve"> either for their own investment plans or for leasing to private investors. Given the difficult financial situation of </w:t>
      </w:r>
      <w:r w:rsidR="004A7C96" w:rsidRPr="003516DC">
        <w:rPr>
          <w:rFonts w:ascii="Arial" w:hAnsi="Arial" w:cs="Arial"/>
          <w:sz w:val="20"/>
          <w:szCs w:val="20"/>
        </w:rPr>
        <w:t xml:space="preserve">Oltenia </w:t>
      </w:r>
      <w:r w:rsidRPr="003516DC">
        <w:rPr>
          <w:rFonts w:ascii="Arial" w:hAnsi="Arial" w:cs="Arial"/>
          <w:sz w:val="20"/>
          <w:szCs w:val="20"/>
        </w:rPr>
        <w:t xml:space="preserve">Energy Complex, it is impossible to apply the “polluter pays” principle. Consequently, extremely valuable degraded land sits idle and local stakeholders </w:t>
      </w:r>
      <w:r w:rsidR="00C0204D">
        <w:rPr>
          <w:rFonts w:ascii="Arial" w:hAnsi="Arial" w:cs="Arial"/>
          <w:sz w:val="20"/>
          <w:szCs w:val="20"/>
        </w:rPr>
        <w:t xml:space="preserve">would like </w:t>
      </w:r>
      <w:r w:rsidR="00D34DD4">
        <w:rPr>
          <w:rFonts w:ascii="Arial" w:hAnsi="Arial" w:cs="Arial"/>
          <w:sz w:val="20"/>
          <w:szCs w:val="20"/>
        </w:rPr>
        <w:t>to access</w:t>
      </w:r>
      <w:r w:rsidR="00C0204D">
        <w:rPr>
          <w:rFonts w:ascii="Arial" w:hAnsi="Arial" w:cs="Arial"/>
          <w:sz w:val="20"/>
          <w:szCs w:val="20"/>
        </w:rPr>
        <w:t xml:space="preserve"> JTF </w:t>
      </w:r>
      <w:r w:rsidR="00D34DD4">
        <w:rPr>
          <w:rFonts w:ascii="Arial" w:hAnsi="Arial" w:cs="Arial"/>
          <w:sz w:val="20"/>
          <w:szCs w:val="20"/>
        </w:rPr>
        <w:t>funding for</w:t>
      </w:r>
      <w:r w:rsidR="00C0204D">
        <w:rPr>
          <w:rFonts w:ascii="Arial" w:hAnsi="Arial" w:cs="Arial"/>
          <w:sz w:val="20"/>
          <w:szCs w:val="20"/>
        </w:rPr>
        <w:t xml:space="preserve"> interventions on these lands. </w:t>
      </w:r>
      <w:r w:rsidRPr="003516DC">
        <w:rPr>
          <w:rFonts w:ascii="Arial" w:hAnsi="Arial" w:cs="Arial"/>
          <w:sz w:val="20"/>
          <w:szCs w:val="20"/>
        </w:rPr>
        <w:t>.</w:t>
      </w:r>
      <w:r w:rsidR="00C0204D">
        <w:rPr>
          <w:rFonts w:ascii="Arial" w:hAnsi="Arial" w:cs="Arial"/>
          <w:sz w:val="20"/>
          <w:szCs w:val="20"/>
        </w:rPr>
        <w:t xml:space="preserve"> </w:t>
      </w:r>
      <w:bookmarkStart w:id="205" w:name="_Hlk85565155"/>
      <w:r w:rsidR="00C0204D" w:rsidRPr="0049379B">
        <w:rPr>
          <w:rFonts w:ascii="Arial" w:hAnsi="Arial" w:cs="Arial"/>
          <w:sz w:val="20"/>
          <w:szCs w:val="20"/>
        </w:rPr>
        <w:t>However,</w:t>
      </w:r>
      <w:r w:rsidR="0049379B">
        <w:rPr>
          <w:rFonts w:ascii="Arial" w:hAnsi="Arial" w:cs="Arial"/>
          <w:sz w:val="20"/>
          <w:szCs w:val="20"/>
        </w:rPr>
        <w:t xml:space="preserve"> t</w:t>
      </w:r>
      <w:r w:rsidR="00C0204D" w:rsidRPr="001F0479">
        <w:rPr>
          <w:rFonts w:ascii="Arial" w:hAnsi="Arial" w:cs="Arial"/>
          <w:sz w:val="20"/>
          <w:szCs w:val="20"/>
        </w:rPr>
        <w:t xml:space="preserve">he environment-related interventions under JTF cannot dispense of the obligation to respect the PPP, as PPP is also laid down in the Romanian legislation concerning contaminated sites. A solution might be </w:t>
      </w:r>
      <w:r w:rsidR="00D34DD4">
        <w:rPr>
          <w:rFonts w:ascii="Arial" w:hAnsi="Arial" w:cs="Arial"/>
          <w:sz w:val="20"/>
          <w:szCs w:val="20"/>
        </w:rPr>
        <w:t xml:space="preserve">to </w:t>
      </w:r>
      <w:r w:rsidR="00C0204D" w:rsidRPr="001F0479">
        <w:rPr>
          <w:rFonts w:ascii="Arial" w:hAnsi="Arial" w:cs="Arial"/>
          <w:sz w:val="20"/>
          <w:szCs w:val="20"/>
        </w:rPr>
        <w:t>reform the legal framework around the ownership and possible expropriation around the sites.</w:t>
      </w:r>
      <w:bookmarkEnd w:id="205"/>
    </w:p>
    <w:p w14:paraId="6CC07882" w14:textId="30A6ED0B" w:rsidR="00391EC8" w:rsidRPr="003516DC" w:rsidRDefault="00391EC8" w:rsidP="00C86044">
      <w:pPr>
        <w:tabs>
          <w:tab w:val="center" w:pos="4680"/>
          <w:tab w:val="right" w:pos="9360"/>
        </w:tabs>
        <w:spacing w:after="120"/>
        <w:jc w:val="both"/>
        <w:rPr>
          <w:rFonts w:ascii="Arial" w:hAnsi="Arial" w:cs="Arial"/>
          <w:sz w:val="20"/>
          <w:szCs w:val="20"/>
        </w:rPr>
      </w:pPr>
      <w:r w:rsidRPr="003516DC">
        <w:rPr>
          <w:rFonts w:ascii="Arial" w:hAnsi="Arial" w:cs="Arial"/>
          <w:sz w:val="20"/>
          <w:szCs w:val="20"/>
        </w:rPr>
        <w:t>According to the county development strategy 2021-2027, there is no available data for indicators that can determine how local biodiversity is threatened by nutrient pollution, despite the fact the county’s biodiversity wealth is recogni</w:t>
      </w:r>
      <w:r w:rsidR="008A514E" w:rsidRPr="003516DC">
        <w:rPr>
          <w:rFonts w:ascii="Arial" w:hAnsi="Arial" w:cs="Arial"/>
          <w:sz w:val="20"/>
          <w:szCs w:val="20"/>
        </w:rPr>
        <w:t>s</w:t>
      </w:r>
      <w:r w:rsidRPr="003516DC">
        <w:rPr>
          <w:rFonts w:ascii="Arial" w:hAnsi="Arial" w:cs="Arial"/>
          <w:sz w:val="20"/>
          <w:szCs w:val="20"/>
        </w:rPr>
        <w:t>ed through the designation of 49 sites locally as protected areas.</w:t>
      </w:r>
    </w:p>
    <w:p w14:paraId="3331B779" w14:textId="3EF1651D" w:rsidR="00C86044" w:rsidRPr="00707E4A" w:rsidRDefault="00C86044" w:rsidP="00E42342">
      <w:pPr>
        <w:pStyle w:val="ListParagraph"/>
        <w:numPr>
          <w:ilvl w:val="0"/>
          <w:numId w:val="280"/>
        </w:numPr>
        <w:spacing w:after="120" w:line="240" w:lineRule="auto"/>
        <w:contextualSpacing w:val="0"/>
        <w:jc w:val="both"/>
        <w:rPr>
          <w:color w:val="4F81BD" w:themeColor="accent1"/>
          <w:sz w:val="20"/>
          <w:szCs w:val="20"/>
        </w:rPr>
      </w:pPr>
      <w:r>
        <w:rPr>
          <w:color w:val="4F81BD" w:themeColor="accent1"/>
          <w:sz w:val="20"/>
          <w:szCs w:val="20"/>
        </w:rPr>
        <w:t>Socio-cultural level</w:t>
      </w:r>
    </w:p>
    <w:p w14:paraId="193FA321" w14:textId="6923FB1D" w:rsidR="00D0428D" w:rsidRPr="003516DC" w:rsidRDefault="00935466" w:rsidP="00391EC8">
      <w:pPr>
        <w:jc w:val="both"/>
        <w:rPr>
          <w:rFonts w:ascii="Arial" w:hAnsi="Arial" w:cs="Arial"/>
          <w:sz w:val="20"/>
          <w:szCs w:val="20"/>
        </w:rPr>
      </w:pPr>
      <w:r w:rsidRPr="003516DC">
        <w:rPr>
          <w:rFonts w:ascii="Arial" w:hAnsi="Arial" w:cs="Arial"/>
          <w:b/>
          <w:sz w:val="20"/>
          <w:szCs w:val="20"/>
        </w:rPr>
        <w:t>U</w:t>
      </w:r>
      <w:r w:rsidR="00391EC8" w:rsidRPr="003516DC">
        <w:rPr>
          <w:rFonts w:ascii="Arial" w:hAnsi="Arial" w:cs="Arial"/>
          <w:b/>
          <w:sz w:val="20"/>
          <w:szCs w:val="20"/>
        </w:rPr>
        <w:t xml:space="preserve">rban poverty </w:t>
      </w:r>
      <w:r w:rsidRPr="003516DC">
        <w:rPr>
          <w:rFonts w:ascii="Arial" w:hAnsi="Arial" w:cs="Arial"/>
          <w:bCs/>
          <w:sz w:val="20"/>
          <w:szCs w:val="20"/>
        </w:rPr>
        <w:t>is</w:t>
      </w:r>
      <w:r w:rsidRPr="003516DC">
        <w:rPr>
          <w:rFonts w:ascii="Arial" w:hAnsi="Arial" w:cs="Arial"/>
          <w:b/>
          <w:sz w:val="20"/>
          <w:szCs w:val="20"/>
        </w:rPr>
        <w:t xml:space="preserve"> </w:t>
      </w:r>
      <w:r w:rsidR="00391EC8" w:rsidRPr="003516DC">
        <w:rPr>
          <w:rFonts w:ascii="Arial" w:hAnsi="Arial" w:cs="Arial"/>
          <w:sz w:val="20"/>
          <w:szCs w:val="20"/>
        </w:rPr>
        <w:t>an extensive phenomenon according to the World Bank poverty map</w:t>
      </w:r>
      <w:r w:rsidR="00391EC8" w:rsidRPr="003516DC">
        <w:rPr>
          <w:rStyle w:val="FootnoteReference"/>
          <w:rFonts w:ascii="Arial" w:hAnsi="Arial" w:cs="Arial"/>
          <w:sz w:val="20"/>
          <w:szCs w:val="20"/>
        </w:rPr>
        <w:footnoteReference w:id="96"/>
      </w:r>
      <w:r w:rsidR="00B12CFC" w:rsidRPr="003516DC">
        <w:rPr>
          <w:rFonts w:ascii="Arial" w:hAnsi="Arial" w:cs="Arial"/>
          <w:sz w:val="20"/>
          <w:szCs w:val="20"/>
        </w:rPr>
        <w:t>.</w:t>
      </w:r>
      <w:r w:rsidR="00391EC8" w:rsidRPr="003516DC">
        <w:rPr>
          <w:rFonts w:ascii="Arial" w:hAnsi="Arial" w:cs="Arial"/>
          <w:sz w:val="20"/>
          <w:szCs w:val="20"/>
        </w:rPr>
        <w:t xml:space="preserve"> 37% of the resident population in Gorj lives in disadvantaged urban areas, while 21% of the population lives in marginali</w:t>
      </w:r>
      <w:r w:rsidR="000A25F5" w:rsidRPr="003516DC">
        <w:rPr>
          <w:rFonts w:ascii="Arial" w:hAnsi="Arial" w:cs="Arial"/>
          <w:sz w:val="20"/>
          <w:szCs w:val="20"/>
        </w:rPr>
        <w:t>s</w:t>
      </w:r>
      <w:r w:rsidR="00391EC8" w:rsidRPr="003516DC">
        <w:rPr>
          <w:rFonts w:ascii="Arial" w:hAnsi="Arial" w:cs="Arial"/>
          <w:sz w:val="20"/>
          <w:szCs w:val="20"/>
        </w:rPr>
        <w:t>ed urban areas (Bumbești-Jiu, Tismana, Rovinari).</w:t>
      </w:r>
    </w:p>
    <w:p w14:paraId="65A59680" w14:textId="7E97E46F" w:rsidR="004739DE" w:rsidRPr="00C86044" w:rsidRDefault="00C86044" w:rsidP="00E42342">
      <w:pPr>
        <w:pStyle w:val="ListParagraph"/>
        <w:numPr>
          <w:ilvl w:val="0"/>
          <w:numId w:val="281"/>
        </w:numPr>
        <w:spacing w:before="120" w:after="120" w:line="240" w:lineRule="auto"/>
        <w:contextualSpacing w:val="0"/>
        <w:jc w:val="both"/>
        <w:rPr>
          <w:color w:val="4F81BD" w:themeColor="accent1"/>
          <w:sz w:val="20"/>
          <w:szCs w:val="20"/>
        </w:rPr>
      </w:pPr>
      <w:r>
        <w:rPr>
          <w:color w:val="4F81BD" w:themeColor="accent1"/>
          <w:sz w:val="20"/>
          <w:szCs w:val="20"/>
        </w:rPr>
        <w:t>Digitalisation and technology transfer</w:t>
      </w:r>
    </w:p>
    <w:p w14:paraId="7106B7B1" w14:textId="77E55372" w:rsidR="00D0428D" w:rsidRPr="003516DC" w:rsidRDefault="00D0428D" w:rsidP="00D0428D">
      <w:pPr>
        <w:jc w:val="both"/>
        <w:rPr>
          <w:rFonts w:ascii="Arial" w:hAnsi="Arial" w:cs="Arial"/>
          <w:sz w:val="20"/>
          <w:szCs w:val="20"/>
        </w:rPr>
      </w:pPr>
      <w:r w:rsidRPr="003516DC">
        <w:rPr>
          <w:rFonts w:ascii="Arial" w:hAnsi="Arial" w:cs="Arial"/>
          <w:sz w:val="20"/>
          <w:szCs w:val="20"/>
        </w:rPr>
        <w:t>From a digitalisation/technology transfer perspective,</w:t>
      </w:r>
      <w:r w:rsidRPr="003516DC">
        <w:rPr>
          <w:rFonts w:ascii="Arial" w:hAnsi="Arial" w:cs="Arial"/>
          <w:sz w:val="20"/>
          <w:szCs w:val="20"/>
          <w:lang w:val="en-US"/>
        </w:rPr>
        <w:t xml:space="preserve"> the</w:t>
      </w:r>
      <w:r w:rsidRPr="003516DC">
        <w:rPr>
          <w:rFonts w:ascii="Arial" w:hAnsi="Arial" w:cs="Arial"/>
          <w:sz w:val="20"/>
          <w:szCs w:val="20"/>
        </w:rPr>
        <w:t xml:space="preserve"> R&amp;D expenditures </w:t>
      </w:r>
      <w:r w:rsidR="000F1FD6" w:rsidRPr="003516DC">
        <w:rPr>
          <w:rFonts w:ascii="Arial" w:hAnsi="Arial" w:cs="Arial"/>
          <w:sz w:val="20"/>
          <w:szCs w:val="20"/>
          <w:lang w:val="en-US"/>
        </w:rPr>
        <w:t>in Gorj</w:t>
      </w:r>
      <w:r w:rsidR="000F1FD6">
        <w:rPr>
          <w:rFonts w:ascii="Arial" w:hAnsi="Arial" w:cs="Arial"/>
          <w:sz w:val="20"/>
          <w:szCs w:val="20"/>
        </w:rPr>
        <w:t xml:space="preserve"> C</w:t>
      </w:r>
      <w:r w:rsidR="000F1FD6" w:rsidRPr="003516DC">
        <w:rPr>
          <w:rFonts w:ascii="Arial" w:hAnsi="Arial" w:cs="Arial"/>
          <w:sz w:val="20"/>
          <w:szCs w:val="20"/>
        </w:rPr>
        <w:t xml:space="preserve">ounty </w:t>
      </w:r>
      <w:r w:rsidRPr="003516DC">
        <w:rPr>
          <w:rFonts w:ascii="Arial" w:hAnsi="Arial" w:cs="Arial"/>
          <w:sz w:val="20"/>
          <w:szCs w:val="20"/>
        </w:rPr>
        <w:t>in</w:t>
      </w:r>
      <w:r w:rsidR="0081021C">
        <w:rPr>
          <w:rFonts w:ascii="Arial" w:hAnsi="Arial" w:cs="Arial"/>
          <w:sz w:val="20"/>
          <w:szCs w:val="20"/>
        </w:rPr>
        <w:t xml:space="preserve"> terms of</w:t>
      </w:r>
      <w:r w:rsidRPr="003516DC">
        <w:rPr>
          <w:rFonts w:ascii="Arial" w:hAnsi="Arial" w:cs="Arial"/>
          <w:sz w:val="20"/>
          <w:szCs w:val="20"/>
        </w:rPr>
        <w:t xml:space="preserve"> GDP during 2014-2018</w:t>
      </w:r>
      <w:r w:rsidRPr="003516DC">
        <w:rPr>
          <w:rFonts w:ascii="Arial" w:hAnsi="Arial" w:cs="Arial"/>
          <w:sz w:val="20"/>
          <w:szCs w:val="20"/>
          <w:lang w:val="en-US"/>
        </w:rPr>
        <w:t xml:space="preserve"> were insignificant compar</w:t>
      </w:r>
      <w:r w:rsidR="000F1FD6">
        <w:rPr>
          <w:rFonts w:ascii="Arial" w:hAnsi="Arial" w:cs="Arial"/>
          <w:sz w:val="20"/>
          <w:szCs w:val="20"/>
          <w:lang w:val="en-US"/>
        </w:rPr>
        <w:t>ed</w:t>
      </w:r>
      <w:r w:rsidRPr="003516DC">
        <w:rPr>
          <w:rFonts w:ascii="Arial" w:hAnsi="Arial" w:cs="Arial"/>
          <w:sz w:val="20"/>
          <w:szCs w:val="20"/>
          <w:lang w:val="en-US"/>
        </w:rPr>
        <w:t xml:space="preserve"> </w:t>
      </w:r>
      <w:r w:rsidR="000F1FD6">
        <w:rPr>
          <w:rFonts w:ascii="Arial" w:hAnsi="Arial" w:cs="Arial"/>
          <w:sz w:val="20"/>
          <w:szCs w:val="20"/>
          <w:lang w:val="en-US"/>
        </w:rPr>
        <w:t>to the</w:t>
      </w:r>
      <w:r w:rsidRPr="003516DC">
        <w:rPr>
          <w:rFonts w:ascii="Arial" w:hAnsi="Arial" w:cs="Arial"/>
          <w:sz w:val="20"/>
          <w:szCs w:val="20"/>
          <w:lang w:val="en-US"/>
        </w:rPr>
        <w:t xml:space="preserve"> regional or national average</w:t>
      </w:r>
      <w:r w:rsidRPr="003516DC">
        <w:rPr>
          <w:rFonts w:ascii="Arial" w:hAnsi="Arial" w:cs="Arial"/>
          <w:sz w:val="20"/>
          <w:szCs w:val="20"/>
        </w:rPr>
        <w:t xml:space="preserve">. See Table </w:t>
      </w:r>
      <w:r w:rsidR="004E2DCB">
        <w:rPr>
          <w:rFonts w:ascii="Arial" w:hAnsi="Arial" w:cs="Arial"/>
          <w:sz w:val="20"/>
          <w:szCs w:val="20"/>
          <w:lang w:val="en-US"/>
        </w:rPr>
        <w:t>44</w:t>
      </w:r>
      <w:r w:rsidR="004E2DCB" w:rsidRPr="003516DC">
        <w:rPr>
          <w:rFonts w:ascii="Arial" w:hAnsi="Arial" w:cs="Arial"/>
          <w:sz w:val="20"/>
          <w:szCs w:val="20"/>
          <w:lang w:val="en-US"/>
        </w:rPr>
        <w:t xml:space="preserve"> </w:t>
      </w:r>
      <w:r w:rsidRPr="003516DC">
        <w:rPr>
          <w:rFonts w:ascii="Arial" w:hAnsi="Arial" w:cs="Arial"/>
          <w:sz w:val="20"/>
          <w:szCs w:val="20"/>
        </w:rPr>
        <w:t>for more details.</w:t>
      </w:r>
    </w:p>
    <w:p w14:paraId="5298BB86" w14:textId="33BF4383" w:rsidR="00D0428D" w:rsidRPr="003516DC" w:rsidRDefault="00FB03F1" w:rsidP="00190BA4">
      <w:pPr>
        <w:pStyle w:val="Caption"/>
        <w:spacing w:before="120"/>
        <w:ind w:left="907" w:hanging="907"/>
      </w:pPr>
      <w:bookmarkStart w:id="206" w:name="_Toc90725998"/>
      <w:bookmarkStart w:id="207" w:name="_Toc90727295"/>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44</w:t>
      </w:r>
      <w:r w:rsidR="000B273D">
        <w:rPr>
          <w:noProof/>
        </w:rPr>
        <w:fldChar w:fldCharType="end"/>
      </w:r>
      <w:r w:rsidR="00D0428D" w:rsidRPr="003516DC">
        <w:t xml:space="preserve">: Share of R&amp;DI in GDP during 2014-2018 for </w:t>
      </w:r>
      <w:r w:rsidR="00D0428D" w:rsidRPr="003516DC">
        <w:rPr>
          <w:lang w:val="en-US"/>
        </w:rPr>
        <w:t>Gorj</w:t>
      </w:r>
      <w:r w:rsidR="00D0428D" w:rsidRPr="003516DC">
        <w:t xml:space="preserve"> county, </w:t>
      </w:r>
      <w:r w:rsidR="00D0428D" w:rsidRPr="003516DC">
        <w:rPr>
          <w:lang w:val="en-US"/>
        </w:rPr>
        <w:t>South-West</w:t>
      </w:r>
      <w:r w:rsidR="00D0428D" w:rsidRPr="003516DC">
        <w:t xml:space="preserve"> Region and Romania</w:t>
      </w:r>
      <w:bookmarkEnd w:id="206"/>
      <w:bookmarkEnd w:id="207"/>
    </w:p>
    <w:tbl>
      <w:tblPr>
        <w:tblW w:w="5000" w:type="pct"/>
        <w:tblLayout w:type="fixed"/>
        <w:tblLook w:val="04A0" w:firstRow="1" w:lastRow="0" w:firstColumn="1" w:lastColumn="0" w:noHBand="0" w:noVBand="1"/>
      </w:tblPr>
      <w:tblGrid>
        <w:gridCol w:w="2896"/>
        <w:gridCol w:w="963"/>
        <w:gridCol w:w="963"/>
        <w:gridCol w:w="963"/>
        <w:gridCol w:w="963"/>
        <w:gridCol w:w="986"/>
        <w:gridCol w:w="1195"/>
      </w:tblGrid>
      <w:tr w:rsidR="00D0428D" w:rsidRPr="003516DC" w14:paraId="7261A81B" w14:textId="77777777" w:rsidTr="006E60A3">
        <w:trPr>
          <w:trHeight w:val="300"/>
        </w:trPr>
        <w:tc>
          <w:tcPr>
            <w:tcW w:w="1622" w:type="pct"/>
            <w:tcBorders>
              <w:top w:val="single" w:sz="4" w:space="0" w:color="auto"/>
              <w:left w:val="single" w:sz="4" w:space="0" w:color="auto"/>
              <w:bottom w:val="single" w:sz="4" w:space="0" w:color="auto"/>
              <w:right w:val="single" w:sz="4" w:space="0" w:color="auto"/>
            </w:tcBorders>
            <w:shd w:val="clear" w:color="auto" w:fill="002060"/>
            <w:noWrap/>
            <w:vAlign w:val="center"/>
          </w:tcPr>
          <w:p w14:paraId="47EC177A" w14:textId="77777777" w:rsidR="00D0428D" w:rsidRPr="003516DC" w:rsidRDefault="00D0428D" w:rsidP="006E60A3">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474D8840" w14:textId="77777777" w:rsidR="00D0428D" w:rsidRPr="003516DC" w:rsidRDefault="00D0428D" w:rsidP="00F5747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0470CC6E" w14:textId="77777777" w:rsidR="00D0428D" w:rsidRPr="003516DC" w:rsidRDefault="00D0428D" w:rsidP="00F5747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765F4EE1" w14:textId="77777777" w:rsidR="00D0428D" w:rsidRPr="003516DC" w:rsidRDefault="00D0428D" w:rsidP="00F5747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41621369" w14:textId="77777777" w:rsidR="00D0428D" w:rsidRPr="003516DC" w:rsidRDefault="00D0428D" w:rsidP="00F5747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552" w:type="pct"/>
            <w:tcBorders>
              <w:top w:val="single" w:sz="4" w:space="0" w:color="auto"/>
              <w:left w:val="nil"/>
              <w:bottom w:val="single" w:sz="4" w:space="0" w:color="auto"/>
              <w:right w:val="single" w:sz="4" w:space="0" w:color="auto"/>
            </w:tcBorders>
            <w:shd w:val="clear" w:color="auto" w:fill="002060"/>
            <w:noWrap/>
            <w:vAlign w:val="center"/>
          </w:tcPr>
          <w:p w14:paraId="6A8F7EC8" w14:textId="77777777" w:rsidR="00D0428D" w:rsidRPr="003516DC" w:rsidRDefault="00D0428D" w:rsidP="00F57476">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69" w:type="pct"/>
            <w:tcBorders>
              <w:top w:val="single" w:sz="4" w:space="0" w:color="auto"/>
              <w:left w:val="nil"/>
              <w:bottom w:val="single" w:sz="4" w:space="0" w:color="auto"/>
              <w:right w:val="single" w:sz="4" w:space="0" w:color="auto"/>
            </w:tcBorders>
            <w:shd w:val="clear" w:color="auto" w:fill="002060"/>
            <w:noWrap/>
            <w:vAlign w:val="center"/>
          </w:tcPr>
          <w:p w14:paraId="1DFF9E1E" w14:textId="77777777" w:rsidR="00D0428D" w:rsidRPr="003516DC" w:rsidRDefault="00D0428D" w:rsidP="00D0428D">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2014/20118</w:t>
            </w:r>
          </w:p>
        </w:tc>
      </w:tr>
      <w:tr w:rsidR="00D0428D" w:rsidRPr="003516DC" w14:paraId="4B911A58" w14:textId="77777777" w:rsidTr="00D0428D">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277B1164" w14:textId="26D4B015" w:rsidR="00D0428D" w:rsidRPr="003516DC" w:rsidRDefault="00D0428D" w:rsidP="006E60A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G</w:t>
            </w:r>
            <w:r w:rsidR="00EE7155" w:rsidRPr="003516DC">
              <w:rPr>
                <w:rFonts w:ascii="Arial" w:eastAsia="Times New Roman" w:hAnsi="Arial" w:cs="Arial"/>
                <w:color w:val="000000"/>
                <w:sz w:val="18"/>
                <w:szCs w:val="18"/>
                <w:lang w:val="en-US"/>
              </w:rPr>
              <w:t>J</w:t>
            </w:r>
            <w:r w:rsidRPr="003516DC">
              <w:rPr>
                <w:rFonts w:ascii="Arial" w:eastAsia="Times New Roman" w:hAnsi="Arial" w:cs="Arial"/>
                <w:color w:val="000000"/>
                <w:sz w:val="18"/>
                <w:szCs w:val="18"/>
                <w:lang w:val="en-US"/>
              </w:rPr>
              <w:t xml:space="preserve"> County</w:t>
            </w:r>
          </w:p>
        </w:tc>
        <w:tc>
          <w:tcPr>
            <w:tcW w:w="539" w:type="pct"/>
            <w:tcBorders>
              <w:top w:val="nil"/>
              <w:left w:val="nil"/>
              <w:bottom w:val="single" w:sz="4" w:space="0" w:color="auto"/>
              <w:right w:val="single" w:sz="4" w:space="0" w:color="auto"/>
            </w:tcBorders>
            <w:shd w:val="clear" w:color="auto" w:fill="auto"/>
            <w:noWrap/>
            <w:vAlign w:val="bottom"/>
          </w:tcPr>
          <w:p w14:paraId="3756ED4A"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0.02%</w:t>
            </w:r>
          </w:p>
        </w:tc>
        <w:tc>
          <w:tcPr>
            <w:tcW w:w="539" w:type="pct"/>
            <w:tcBorders>
              <w:top w:val="nil"/>
              <w:left w:val="nil"/>
              <w:bottom w:val="single" w:sz="4" w:space="0" w:color="auto"/>
              <w:right w:val="single" w:sz="4" w:space="0" w:color="auto"/>
            </w:tcBorders>
            <w:shd w:val="clear" w:color="auto" w:fill="auto"/>
            <w:noWrap/>
            <w:vAlign w:val="bottom"/>
          </w:tcPr>
          <w:p w14:paraId="1CDA000F"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0.02%</w:t>
            </w:r>
          </w:p>
        </w:tc>
        <w:tc>
          <w:tcPr>
            <w:tcW w:w="539" w:type="pct"/>
            <w:tcBorders>
              <w:top w:val="nil"/>
              <w:left w:val="nil"/>
              <w:bottom w:val="single" w:sz="4" w:space="0" w:color="auto"/>
              <w:right w:val="single" w:sz="4" w:space="0" w:color="auto"/>
            </w:tcBorders>
            <w:shd w:val="clear" w:color="auto" w:fill="auto"/>
            <w:noWrap/>
            <w:vAlign w:val="bottom"/>
          </w:tcPr>
          <w:p w14:paraId="7241008F"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0.02%</w:t>
            </w:r>
          </w:p>
        </w:tc>
        <w:tc>
          <w:tcPr>
            <w:tcW w:w="539" w:type="pct"/>
            <w:tcBorders>
              <w:top w:val="nil"/>
              <w:left w:val="nil"/>
              <w:bottom w:val="single" w:sz="4" w:space="0" w:color="auto"/>
              <w:right w:val="single" w:sz="4" w:space="0" w:color="auto"/>
            </w:tcBorders>
            <w:shd w:val="clear" w:color="auto" w:fill="auto"/>
            <w:noWrap/>
            <w:vAlign w:val="bottom"/>
          </w:tcPr>
          <w:p w14:paraId="42BF683B"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0.02%</w:t>
            </w:r>
          </w:p>
        </w:tc>
        <w:tc>
          <w:tcPr>
            <w:tcW w:w="552" w:type="pct"/>
            <w:tcBorders>
              <w:top w:val="nil"/>
              <w:left w:val="nil"/>
              <w:bottom w:val="single" w:sz="4" w:space="0" w:color="auto"/>
              <w:right w:val="single" w:sz="4" w:space="0" w:color="auto"/>
            </w:tcBorders>
            <w:shd w:val="clear" w:color="auto" w:fill="auto"/>
            <w:noWrap/>
            <w:vAlign w:val="bottom"/>
          </w:tcPr>
          <w:p w14:paraId="440E8A0E"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0.02%</w:t>
            </w:r>
          </w:p>
        </w:tc>
        <w:tc>
          <w:tcPr>
            <w:tcW w:w="669" w:type="pct"/>
            <w:tcBorders>
              <w:top w:val="nil"/>
              <w:left w:val="nil"/>
              <w:bottom w:val="single" w:sz="4" w:space="0" w:color="auto"/>
              <w:right w:val="single" w:sz="4" w:space="0" w:color="auto"/>
            </w:tcBorders>
            <w:shd w:val="clear" w:color="auto" w:fill="auto"/>
            <w:noWrap/>
            <w:vAlign w:val="bottom"/>
          </w:tcPr>
          <w:p w14:paraId="7CD32721" w14:textId="77777777" w:rsidR="00D0428D" w:rsidRPr="003516DC" w:rsidRDefault="00D0428D" w:rsidP="00D0428D">
            <w:pPr>
              <w:jc w:val="center"/>
              <w:textAlignment w:val="bottom"/>
              <w:rPr>
                <w:rFonts w:ascii="Arial" w:eastAsia="Times New Roman" w:hAnsi="Arial" w:cs="Arial"/>
                <w:color w:val="000000"/>
                <w:sz w:val="18"/>
                <w:szCs w:val="18"/>
                <w:lang w:val="en-US"/>
              </w:rPr>
            </w:pPr>
            <w:r w:rsidRPr="00F57476">
              <w:rPr>
                <w:rFonts w:ascii="Arial" w:eastAsia="SimSun" w:hAnsi="Arial" w:cs="Arial"/>
                <w:sz w:val="18"/>
                <w:szCs w:val="18"/>
                <w:lang w:val="en-US" w:eastAsia="zh-CN" w:bidi="ar"/>
              </w:rPr>
              <w:t>0%</w:t>
            </w:r>
          </w:p>
        </w:tc>
      </w:tr>
      <w:tr w:rsidR="00D0428D" w:rsidRPr="003516DC" w14:paraId="2DDC68FF" w14:textId="77777777" w:rsidTr="00D0428D">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18AC7777" w14:textId="77777777" w:rsidR="00D0428D" w:rsidRPr="003516DC" w:rsidRDefault="00D0428D" w:rsidP="006E60A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S-W Region</w:t>
            </w:r>
          </w:p>
        </w:tc>
        <w:tc>
          <w:tcPr>
            <w:tcW w:w="539" w:type="pct"/>
            <w:tcBorders>
              <w:top w:val="nil"/>
              <w:left w:val="nil"/>
              <w:bottom w:val="single" w:sz="4" w:space="0" w:color="auto"/>
              <w:right w:val="single" w:sz="4" w:space="0" w:color="auto"/>
            </w:tcBorders>
            <w:shd w:val="clear" w:color="auto" w:fill="auto"/>
            <w:noWrap/>
            <w:vAlign w:val="bottom"/>
          </w:tcPr>
          <w:p w14:paraId="2B6FCD60" w14:textId="77777777" w:rsidR="00D0428D" w:rsidRPr="003516DC" w:rsidRDefault="00D0428D" w:rsidP="00D0428D">
            <w:pPr>
              <w:jc w:val="center"/>
              <w:rPr>
                <w:rFonts w:ascii="Arial" w:eastAsia="Times New Roman" w:hAnsi="Arial" w:cs="Arial"/>
                <w:color w:val="000000"/>
                <w:sz w:val="18"/>
                <w:szCs w:val="18"/>
                <w:lang w:val="en-US"/>
              </w:rPr>
            </w:pPr>
            <w:r w:rsidRPr="003516DC">
              <w:rPr>
                <w:rFonts w:ascii="Arial" w:hAnsi="Arial" w:cs="Arial"/>
                <w:color w:val="000000"/>
                <w:sz w:val="18"/>
                <w:szCs w:val="18"/>
              </w:rPr>
              <w:t>0.15%</w:t>
            </w:r>
          </w:p>
        </w:tc>
        <w:tc>
          <w:tcPr>
            <w:tcW w:w="539" w:type="pct"/>
            <w:tcBorders>
              <w:top w:val="nil"/>
              <w:left w:val="nil"/>
              <w:bottom w:val="single" w:sz="4" w:space="0" w:color="auto"/>
              <w:right w:val="single" w:sz="4" w:space="0" w:color="auto"/>
            </w:tcBorders>
            <w:shd w:val="clear" w:color="auto" w:fill="auto"/>
            <w:noWrap/>
            <w:vAlign w:val="bottom"/>
          </w:tcPr>
          <w:p w14:paraId="7B2697BD" w14:textId="77777777" w:rsidR="00D0428D" w:rsidRPr="003516DC" w:rsidRDefault="00D0428D" w:rsidP="00D0428D">
            <w:pPr>
              <w:jc w:val="center"/>
              <w:rPr>
                <w:rFonts w:ascii="Arial" w:eastAsia="Times New Roman" w:hAnsi="Arial" w:cs="Arial"/>
                <w:color w:val="000000"/>
                <w:sz w:val="18"/>
                <w:szCs w:val="18"/>
                <w:lang w:val="en-US"/>
              </w:rPr>
            </w:pPr>
            <w:r w:rsidRPr="003516DC">
              <w:rPr>
                <w:rFonts w:ascii="Arial" w:hAnsi="Arial" w:cs="Arial"/>
                <w:color w:val="000000"/>
                <w:sz w:val="18"/>
                <w:szCs w:val="18"/>
              </w:rPr>
              <w:t>0.21%</w:t>
            </w:r>
          </w:p>
        </w:tc>
        <w:tc>
          <w:tcPr>
            <w:tcW w:w="539" w:type="pct"/>
            <w:tcBorders>
              <w:top w:val="nil"/>
              <w:left w:val="nil"/>
              <w:bottom w:val="single" w:sz="4" w:space="0" w:color="auto"/>
              <w:right w:val="single" w:sz="4" w:space="0" w:color="auto"/>
            </w:tcBorders>
            <w:shd w:val="clear" w:color="auto" w:fill="auto"/>
            <w:noWrap/>
            <w:vAlign w:val="bottom"/>
          </w:tcPr>
          <w:p w14:paraId="129832E3"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color w:val="000000"/>
                <w:sz w:val="18"/>
                <w:szCs w:val="18"/>
              </w:rPr>
              <w:t>0.15%</w:t>
            </w:r>
          </w:p>
        </w:tc>
        <w:tc>
          <w:tcPr>
            <w:tcW w:w="539" w:type="pct"/>
            <w:tcBorders>
              <w:top w:val="nil"/>
              <w:left w:val="nil"/>
              <w:bottom w:val="single" w:sz="4" w:space="0" w:color="auto"/>
              <w:right w:val="single" w:sz="4" w:space="0" w:color="auto"/>
            </w:tcBorders>
            <w:shd w:val="clear" w:color="auto" w:fill="auto"/>
            <w:noWrap/>
            <w:vAlign w:val="bottom"/>
          </w:tcPr>
          <w:p w14:paraId="73E4E070"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color w:val="000000"/>
                <w:sz w:val="18"/>
                <w:szCs w:val="18"/>
              </w:rPr>
              <w:t>0.20%</w:t>
            </w:r>
          </w:p>
        </w:tc>
        <w:tc>
          <w:tcPr>
            <w:tcW w:w="552" w:type="pct"/>
            <w:tcBorders>
              <w:top w:val="nil"/>
              <w:left w:val="nil"/>
              <w:bottom w:val="single" w:sz="4" w:space="0" w:color="auto"/>
              <w:right w:val="single" w:sz="4" w:space="0" w:color="auto"/>
            </w:tcBorders>
            <w:shd w:val="clear" w:color="auto" w:fill="auto"/>
            <w:noWrap/>
            <w:vAlign w:val="bottom"/>
          </w:tcPr>
          <w:p w14:paraId="2E832ECF"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color w:val="000000"/>
                <w:sz w:val="18"/>
                <w:szCs w:val="18"/>
              </w:rPr>
              <w:t>0.23%</w:t>
            </w:r>
          </w:p>
        </w:tc>
        <w:tc>
          <w:tcPr>
            <w:tcW w:w="669" w:type="pct"/>
            <w:tcBorders>
              <w:top w:val="nil"/>
              <w:left w:val="nil"/>
              <w:bottom w:val="single" w:sz="4" w:space="0" w:color="auto"/>
              <w:right w:val="single" w:sz="4" w:space="0" w:color="auto"/>
            </w:tcBorders>
            <w:shd w:val="clear" w:color="auto" w:fill="auto"/>
            <w:noWrap/>
            <w:vAlign w:val="center"/>
          </w:tcPr>
          <w:p w14:paraId="79A79A6E"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sz w:val="18"/>
                <w:szCs w:val="18"/>
              </w:rPr>
              <w:t>0.08%</w:t>
            </w:r>
          </w:p>
        </w:tc>
      </w:tr>
      <w:tr w:rsidR="00D0428D" w:rsidRPr="003516DC" w14:paraId="3B1B6C73" w14:textId="77777777" w:rsidTr="00D0428D">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7BB4BC00" w14:textId="77777777" w:rsidR="00D0428D" w:rsidRPr="00782BFD" w:rsidRDefault="00D0428D" w:rsidP="006E60A3">
            <w:pPr>
              <w:rPr>
                <w:rFonts w:ascii="Arial" w:hAnsi="Arial"/>
                <w:color w:val="000000"/>
                <w:sz w:val="18"/>
                <w:lang w:val="it-IT"/>
              </w:rPr>
            </w:pPr>
            <w:r w:rsidRPr="00782BFD">
              <w:rPr>
                <w:rFonts w:ascii="Arial" w:hAnsi="Arial"/>
                <w:color w:val="000000"/>
                <w:sz w:val="18"/>
                <w:lang w:val="it-IT"/>
              </w:rPr>
              <w:t>% of R&amp;DI in GDP Romania</w:t>
            </w:r>
          </w:p>
        </w:tc>
        <w:tc>
          <w:tcPr>
            <w:tcW w:w="539" w:type="pct"/>
            <w:tcBorders>
              <w:top w:val="nil"/>
              <w:left w:val="nil"/>
              <w:bottom w:val="single" w:sz="4" w:space="0" w:color="auto"/>
              <w:right w:val="single" w:sz="4" w:space="0" w:color="auto"/>
            </w:tcBorders>
            <w:shd w:val="clear" w:color="auto" w:fill="auto"/>
            <w:noWrap/>
            <w:vAlign w:val="center"/>
          </w:tcPr>
          <w:p w14:paraId="5F9D4322" w14:textId="77777777" w:rsidR="00D0428D" w:rsidRPr="003516DC" w:rsidRDefault="00D0428D" w:rsidP="00D0428D">
            <w:pPr>
              <w:jc w:val="center"/>
              <w:rPr>
                <w:rFonts w:ascii="Arial" w:eastAsia="Times New Roman" w:hAnsi="Arial" w:cs="Arial"/>
                <w:color w:val="000000"/>
                <w:sz w:val="18"/>
                <w:szCs w:val="18"/>
                <w:lang w:val="en-US"/>
              </w:rPr>
            </w:pPr>
            <w:r w:rsidRPr="003516DC">
              <w:rPr>
                <w:rFonts w:ascii="Arial" w:hAnsi="Arial" w:cs="Arial"/>
                <w:sz w:val="18"/>
                <w:szCs w:val="18"/>
              </w:rPr>
              <w:t>0.38%</w:t>
            </w:r>
          </w:p>
        </w:tc>
        <w:tc>
          <w:tcPr>
            <w:tcW w:w="539" w:type="pct"/>
            <w:tcBorders>
              <w:top w:val="nil"/>
              <w:left w:val="nil"/>
              <w:bottom w:val="single" w:sz="4" w:space="0" w:color="auto"/>
              <w:right w:val="single" w:sz="4" w:space="0" w:color="auto"/>
            </w:tcBorders>
            <w:shd w:val="clear" w:color="auto" w:fill="auto"/>
            <w:noWrap/>
            <w:vAlign w:val="center"/>
          </w:tcPr>
          <w:p w14:paraId="2F25685D" w14:textId="77777777" w:rsidR="00D0428D" w:rsidRPr="003516DC" w:rsidRDefault="00D0428D" w:rsidP="00D0428D">
            <w:pPr>
              <w:jc w:val="center"/>
              <w:rPr>
                <w:rFonts w:ascii="Arial" w:eastAsia="Times New Roman" w:hAnsi="Arial" w:cs="Arial"/>
                <w:color w:val="000000"/>
                <w:sz w:val="18"/>
                <w:szCs w:val="18"/>
                <w:lang w:val="en-US"/>
              </w:rPr>
            </w:pPr>
            <w:r w:rsidRPr="003516DC">
              <w:rPr>
                <w:rFonts w:ascii="Arial" w:hAnsi="Arial" w:cs="Arial"/>
                <w:sz w:val="18"/>
                <w:szCs w:val="18"/>
              </w:rPr>
              <w:t>0.49%</w:t>
            </w:r>
          </w:p>
        </w:tc>
        <w:tc>
          <w:tcPr>
            <w:tcW w:w="539" w:type="pct"/>
            <w:tcBorders>
              <w:top w:val="nil"/>
              <w:left w:val="nil"/>
              <w:bottom w:val="single" w:sz="4" w:space="0" w:color="auto"/>
              <w:right w:val="single" w:sz="4" w:space="0" w:color="auto"/>
            </w:tcBorders>
            <w:shd w:val="clear" w:color="auto" w:fill="auto"/>
            <w:noWrap/>
            <w:vAlign w:val="center"/>
          </w:tcPr>
          <w:p w14:paraId="492178AC"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sz w:val="18"/>
                <w:szCs w:val="18"/>
              </w:rPr>
              <w:t>0.48%</w:t>
            </w:r>
          </w:p>
        </w:tc>
        <w:tc>
          <w:tcPr>
            <w:tcW w:w="539" w:type="pct"/>
            <w:tcBorders>
              <w:top w:val="nil"/>
              <w:left w:val="nil"/>
              <w:bottom w:val="single" w:sz="4" w:space="0" w:color="auto"/>
              <w:right w:val="single" w:sz="4" w:space="0" w:color="auto"/>
            </w:tcBorders>
            <w:shd w:val="clear" w:color="auto" w:fill="auto"/>
            <w:noWrap/>
            <w:vAlign w:val="center"/>
          </w:tcPr>
          <w:p w14:paraId="241F43DD"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552" w:type="pct"/>
            <w:tcBorders>
              <w:top w:val="nil"/>
              <w:left w:val="nil"/>
              <w:bottom w:val="single" w:sz="4" w:space="0" w:color="auto"/>
              <w:right w:val="single" w:sz="4" w:space="0" w:color="auto"/>
            </w:tcBorders>
            <w:shd w:val="clear" w:color="auto" w:fill="auto"/>
            <w:noWrap/>
            <w:vAlign w:val="center"/>
          </w:tcPr>
          <w:p w14:paraId="5E7B45E8"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669" w:type="pct"/>
            <w:tcBorders>
              <w:top w:val="nil"/>
              <w:left w:val="nil"/>
              <w:bottom w:val="single" w:sz="4" w:space="0" w:color="auto"/>
              <w:right w:val="single" w:sz="4" w:space="0" w:color="auto"/>
            </w:tcBorders>
            <w:shd w:val="clear" w:color="auto" w:fill="auto"/>
            <w:noWrap/>
            <w:vAlign w:val="center"/>
          </w:tcPr>
          <w:p w14:paraId="3A35C034" w14:textId="77777777" w:rsidR="00D0428D" w:rsidRPr="003516DC" w:rsidRDefault="00D0428D">
            <w:pPr>
              <w:jc w:val="center"/>
              <w:rPr>
                <w:rFonts w:ascii="Arial" w:eastAsia="Times New Roman" w:hAnsi="Arial" w:cs="Arial"/>
                <w:color w:val="000000"/>
                <w:sz w:val="18"/>
                <w:szCs w:val="18"/>
                <w:lang w:val="en-US"/>
              </w:rPr>
            </w:pPr>
            <w:r w:rsidRPr="003516DC">
              <w:rPr>
                <w:rFonts w:ascii="Arial" w:hAnsi="Arial" w:cs="Arial"/>
                <w:sz w:val="18"/>
                <w:szCs w:val="18"/>
              </w:rPr>
              <w:t>0.12%</w:t>
            </w:r>
          </w:p>
        </w:tc>
      </w:tr>
    </w:tbl>
    <w:p w14:paraId="07BC01B4" w14:textId="77777777" w:rsidR="00D0428D" w:rsidRPr="003516DC" w:rsidRDefault="00D0428D" w:rsidP="00C86044">
      <w:pPr>
        <w:spacing w:after="120"/>
        <w:rPr>
          <w:rFonts w:ascii="Arial" w:hAnsi="Arial" w:cs="Arial"/>
          <w:i/>
          <w:sz w:val="16"/>
          <w:szCs w:val="16"/>
        </w:rPr>
      </w:pPr>
      <w:r w:rsidRPr="003516DC">
        <w:rPr>
          <w:rFonts w:ascii="Arial" w:hAnsi="Arial" w:cs="Arial"/>
          <w:i/>
          <w:sz w:val="16"/>
          <w:szCs w:val="16"/>
        </w:rPr>
        <w:t>Source: NIS, Tempo, CDO104B, CON103I</w:t>
      </w:r>
    </w:p>
    <w:p w14:paraId="713F6CF2" w14:textId="68B213D7" w:rsidR="00714813" w:rsidRPr="003516DC" w:rsidRDefault="00714813" w:rsidP="00391EC8">
      <w:pPr>
        <w:jc w:val="both"/>
        <w:rPr>
          <w:rFonts w:ascii="Arial" w:eastAsia="Calibri" w:hAnsi="Arial" w:cs="Arial"/>
          <w:bCs/>
          <w:sz w:val="20"/>
          <w:szCs w:val="20"/>
        </w:rPr>
      </w:pPr>
      <w:r w:rsidRPr="003516DC">
        <w:rPr>
          <w:rFonts w:ascii="Arial" w:eastAsia="Calibri" w:hAnsi="Arial" w:cs="Arial"/>
          <w:bCs/>
          <w:sz w:val="20"/>
          <w:szCs w:val="20"/>
        </w:rPr>
        <w:t xml:space="preserve">From the </w:t>
      </w:r>
      <w:r w:rsidRPr="003516DC">
        <w:rPr>
          <w:rFonts w:ascii="Arial" w:eastAsia="Calibri" w:hAnsi="Arial" w:cs="Arial"/>
          <w:b/>
          <w:sz w:val="20"/>
          <w:szCs w:val="20"/>
        </w:rPr>
        <w:t>technology</w:t>
      </w:r>
      <w:r w:rsidRPr="003516DC">
        <w:rPr>
          <w:rFonts w:ascii="Arial" w:eastAsia="Calibri" w:hAnsi="Arial" w:cs="Arial"/>
          <w:bCs/>
          <w:sz w:val="20"/>
          <w:szCs w:val="20"/>
        </w:rPr>
        <w:t xml:space="preserve"> intensiveness </w:t>
      </w:r>
      <w:r w:rsidR="008C09CE" w:rsidRPr="003516DC">
        <w:rPr>
          <w:rFonts w:ascii="Arial" w:eastAsia="Calibri" w:hAnsi="Arial" w:cs="Arial"/>
          <w:bCs/>
          <w:sz w:val="20"/>
          <w:szCs w:val="20"/>
        </w:rPr>
        <w:t>perspective,</w:t>
      </w:r>
      <w:r w:rsidRPr="003516DC">
        <w:rPr>
          <w:rFonts w:ascii="Arial" w:eastAsia="Calibri" w:hAnsi="Arial" w:cs="Arial"/>
          <w:bCs/>
          <w:sz w:val="20"/>
          <w:szCs w:val="20"/>
        </w:rPr>
        <w:t xml:space="preserve"> most of manufacturing turnover is generated by medium-low and low-tech industries (</w:t>
      </w:r>
      <w:r w:rsidR="0009782B" w:rsidRPr="003516DC">
        <w:rPr>
          <w:rFonts w:ascii="Arial" w:eastAsia="Calibri" w:hAnsi="Arial" w:cs="Arial"/>
          <w:bCs/>
          <w:sz w:val="20"/>
          <w:szCs w:val="20"/>
        </w:rPr>
        <w:t xml:space="preserve">see </w:t>
      </w:r>
      <w:r w:rsidR="00AC770A" w:rsidRPr="003516DC">
        <w:rPr>
          <w:rFonts w:ascii="Arial" w:eastAsia="Calibri" w:hAnsi="Arial" w:cs="Arial"/>
          <w:bCs/>
          <w:sz w:val="20"/>
          <w:szCs w:val="20"/>
        </w:rPr>
        <w:t>T</w:t>
      </w:r>
      <w:r w:rsidRPr="003516DC">
        <w:rPr>
          <w:rFonts w:ascii="Arial" w:eastAsia="Calibri" w:hAnsi="Arial" w:cs="Arial"/>
          <w:bCs/>
          <w:sz w:val="20"/>
          <w:szCs w:val="20"/>
        </w:rPr>
        <w:t xml:space="preserve">able </w:t>
      </w:r>
      <w:r w:rsidR="004E2DCB">
        <w:rPr>
          <w:rFonts w:ascii="Arial" w:eastAsia="Calibri" w:hAnsi="Arial" w:cs="Arial"/>
          <w:bCs/>
          <w:sz w:val="20"/>
          <w:szCs w:val="20"/>
        </w:rPr>
        <w:t>45</w:t>
      </w:r>
      <w:r w:rsidRPr="003516DC">
        <w:rPr>
          <w:rFonts w:ascii="Arial" w:eastAsia="Calibri" w:hAnsi="Arial" w:cs="Arial"/>
          <w:bCs/>
          <w:sz w:val="20"/>
          <w:szCs w:val="20"/>
        </w:rPr>
        <w:t>)</w:t>
      </w:r>
      <w:r w:rsidR="00AE1D73" w:rsidRPr="003516DC">
        <w:rPr>
          <w:rFonts w:ascii="Arial" w:eastAsia="Calibri" w:hAnsi="Arial" w:cs="Arial"/>
          <w:bCs/>
          <w:sz w:val="20"/>
          <w:szCs w:val="20"/>
        </w:rPr>
        <w:t>.</w:t>
      </w:r>
      <w:r w:rsidRPr="003516DC">
        <w:rPr>
          <w:rFonts w:ascii="Arial" w:eastAsia="Calibri" w:hAnsi="Arial" w:cs="Arial"/>
          <w:bCs/>
          <w:sz w:val="20"/>
          <w:szCs w:val="20"/>
        </w:rPr>
        <w:t xml:space="preserve"> </w:t>
      </w:r>
      <w:r w:rsidR="00AE1D73" w:rsidRPr="003516DC">
        <w:rPr>
          <w:rFonts w:ascii="Arial" w:eastAsia="Calibri" w:hAnsi="Arial" w:cs="Arial"/>
          <w:bCs/>
          <w:sz w:val="20"/>
          <w:szCs w:val="20"/>
        </w:rPr>
        <w:t>T</w:t>
      </w:r>
      <w:r w:rsidRPr="003516DC">
        <w:rPr>
          <w:rFonts w:ascii="Arial" w:eastAsia="Calibri" w:hAnsi="Arial" w:cs="Arial"/>
          <w:bCs/>
          <w:sz w:val="20"/>
          <w:szCs w:val="20"/>
        </w:rPr>
        <w:t xml:space="preserve">he decline in total county turnover is a signal of request for high technology improvements. In the services sector, trends </w:t>
      </w:r>
      <w:r w:rsidR="00AE1D73" w:rsidRPr="003516DC">
        <w:rPr>
          <w:rFonts w:ascii="Arial" w:eastAsia="Calibri" w:hAnsi="Arial" w:cs="Arial"/>
          <w:bCs/>
          <w:sz w:val="20"/>
          <w:szCs w:val="20"/>
        </w:rPr>
        <w:t xml:space="preserve">over the last decade show that </w:t>
      </w:r>
      <w:r w:rsidRPr="003516DC">
        <w:rPr>
          <w:rFonts w:ascii="Arial" w:eastAsia="Calibri" w:hAnsi="Arial" w:cs="Arial"/>
          <w:bCs/>
          <w:sz w:val="20"/>
          <w:szCs w:val="20"/>
        </w:rPr>
        <w:t>knowledge-intensive services increase</w:t>
      </w:r>
      <w:r w:rsidR="00DF6634" w:rsidRPr="003516DC">
        <w:rPr>
          <w:rFonts w:ascii="Arial" w:eastAsia="Calibri" w:hAnsi="Arial" w:cs="Arial"/>
          <w:bCs/>
          <w:sz w:val="20"/>
          <w:szCs w:val="20"/>
        </w:rPr>
        <w:t>d</w:t>
      </w:r>
      <w:r w:rsidRPr="003516DC">
        <w:rPr>
          <w:rFonts w:ascii="Arial" w:eastAsia="Calibri" w:hAnsi="Arial" w:cs="Arial"/>
          <w:bCs/>
          <w:sz w:val="20"/>
          <w:szCs w:val="20"/>
        </w:rPr>
        <w:t xml:space="preserve"> </w:t>
      </w:r>
      <w:r w:rsidR="00DF6634" w:rsidRPr="003516DC">
        <w:rPr>
          <w:rFonts w:ascii="Arial" w:eastAsia="Calibri" w:hAnsi="Arial" w:cs="Arial"/>
          <w:bCs/>
          <w:sz w:val="20"/>
          <w:szCs w:val="20"/>
        </w:rPr>
        <w:t xml:space="preserve">by </w:t>
      </w:r>
      <w:r w:rsidRPr="003516DC">
        <w:rPr>
          <w:rFonts w:ascii="Arial" w:eastAsia="Calibri" w:hAnsi="Arial" w:cs="Arial"/>
          <w:bCs/>
          <w:sz w:val="20"/>
          <w:szCs w:val="20"/>
        </w:rPr>
        <w:t xml:space="preserve">167%, </w:t>
      </w:r>
      <w:r w:rsidR="00751136" w:rsidRPr="003516DC">
        <w:rPr>
          <w:rFonts w:ascii="Arial" w:eastAsia="Calibri" w:hAnsi="Arial" w:cs="Arial"/>
          <w:bCs/>
          <w:sz w:val="20"/>
          <w:szCs w:val="20"/>
        </w:rPr>
        <w:t>exceeding the</w:t>
      </w:r>
      <w:r w:rsidRPr="003516DC">
        <w:rPr>
          <w:rFonts w:ascii="Arial" w:eastAsia="Calibri" w:hAnsi="Arial" w:cs="Arial"/>
          <w:bCs/>
          <w:sz w:val="20"/>
          <w:szCs w:val="20"/>
        </w:rPr>
        <w:t xml:space="preserve"> increas</w:t>
      </w:r>
      <w:r w:rsidR="00751136" w:rsidRPr="003516DC">
        <w:rPr>
          <w:rFonts w:ascii="Arial" w:eastAsia="Calibri" w:hAnsi="Arial" w:cs="Arial"/>
          <w:bCs/>
          <w:sz w:val="20"/>
          <w:szCs w:val="20"/>
        </w:rPr>
        <w:t>e of</w:t>
      </w:r>
      <w:r w:rsidRPr="003516DC">
        <w:rPr>
          <w:rFonts w:ascii="Arial" w:eastAsia="Calibri" w:hAnsi="Arial" w:cs="Arial"/>
          <w:bCs/>
          <w:sz w:val="20"/>
          <w:szCs w:val="20"/>
        </w:rPr>
        <w:t xml:space="preserve"> less knowledge-intensive services </w:t>
      </w:r>
      <w:r w:rsidR="00650836" w:rsidRPr="003516DC">
        <w:rPr>
          <w:rFonts w:ascii="Arial" w:eastAsia="Calibri" w:hAnsi="Arial" w:cs="Arial"/>
          <w:bCs/>
          <w:sz w:val="20"/>
          <w:szCs w:val="20"/>
        </w:rPr>
        <w:t>(</w:t>
      </w:r>
      <w:r w:rsidRPr="003516DC">
        <w:rPr>
          <w:rFonts w:ascii="Arial" w:eastAsia="Calibri" w:hAnsi="Arial" w:cs="Arial"/>
          <w:bCs/>
          <w:sz w:val="20"/>
          <w:szCs w:val="20"/>
        </w:rPr>
        <w:t>47%</w:t>
      </w:r>
      <w:r w:rsidR="00650836" w:rsidRPr="003516DC">
        <w:rPr>
          <w:rFonts w:ascii="Arial" w:eastAsia="Calibri" w:hAnsi="Arial" w:cs="Arial"/>
          <w:bCs/>
          <w:sz w:val="20"/>
          <w:szCs w:val="20"/>
        </w:rPr>
        <w:t>)</w:t>
      </w:r>
      <w:r w:rsidR="006B1A78" w:rsidRPr="003516DC">
        <w:rPr>
          <w:rFonts w:ascii="Arial" w:eastAsia="Calibri" w:hAnsi="Arial" w:cs="Arial"/>
          <w:bCs/>
          <w:sz w:val="20"/>
          <w:szCs w:val="20"/>
        </w:rPr>
        <w:t>.</w:t>
      </w:r>
      <w:r w:rsidRPr="003516DC">
        <w:rPr>
          <w:rFonts w:ascii="Arial" w:eastAsia="Calibri" w:hAnsi="Arial" w:cs="Arial"/>
          <w:bCs/>
          <w:sz w:val="20"/>
          <w:szCs w:val="20"/>
        </w:rPr>
        <w:t xml:space="preserve"> </w:t>
      </w:r>
      <w:r w:rsidR="006B1A78" w:rsidRPr="003516DC">
        <w:rPr>
          <w:rFonts w:ascii="Arial" w:eastAsia="Calibri" w:hAnsi="Arial" w:cs="Arial"/>
          <w:bCs/>
          <w:sz w:val="20"/>
          <w:szCs w:val="20"/>
        </w:rPr>
        <w:t>T</w:t>
      </w:r>
      <w:r w:rsidRPr="003516DC">
        <w:rPr>
          <w:rFonts w:ascii="Arial" w:eastAsia="Calibri" w:hAnsi="Arial" w:cs="Arial"/>
          <w:bCs/>
          <w:sz w:val="20"/>
          <w:szCs w:val="20"/>
        </w:rPr>
        <w:t>he</w:t>
      </w:r>
      <w:r w:rsidR="006B1A78" w:rsidRPr="003516DC">
        <w:rPr>
          <w:rFonts w:ascii="Arial" w:eastAsia="Calibri" w:hAnsi="Arial" w:cs="Arial"/>
          <w:bCs/>
          <w:sz w:val="20"/>
          <w:szCs w:val="20"/>
        </w:rPr>
        <w:t>se</w:t>
      </w:r>
      <w:r w:rsidRPr="003516DC">
        <w:rPr>
          <w:rFonts w:ascii="Arial" w:eastAsia="Calibri" w:hAnsi="Arial" w:cs="Arial"/>
          <w:bCs/>
          <w:sz w:val="20"/>
          <w:szCs w:val="20"/>
        </w:rPr>
        <w:t xml:space="preserve"> trends show the productivity of the high technology and the need for developing these types of services (</w:t>
      </w:r>
      <w:r w:rsidR="0009782B" w:rsidRPr="003516DC">
        <w:rPr>
          <w:rFonts w:ascii="Arial" w:eastAsia="Calibri" w:hAnsi="Arial" w:cs="Arial"/>
          <w:bCs/>
          <w:sz w:val="20"/>
          <w:szCs w:val="20"/>
        </w:rPr>
        <w:t xml:space="preserve">see </w:t>
      </w:r>
      <w:r w:rsidR="004C7D79" w:rsidRPr="003516DC">
        <w:rPr>
          <w:rFonts w:ascii="Arial" w:eastAsia="Calibri" w:hAnsi="Arial" w:cs="Arial"/>
          <w:bCs/>
          <w:sz w:val="20"/>
          <w:szCs w:val="20"/>
        </w:rPr>
        <w:t>T</w:t>
      </w:r>
      <w:r w:rsidRPr="003516DC">
        <w:rPr>
          <w:rFonts w:ascii="Arial" w:eastAsia="Calibri" w:hAnsi="Arial" w:cs="Arial"/>
          <w:bCs/>
          <w:sz w:val="20"/>
          <w:szCs w:val="20"/>
        </w:rPr>
        <w:t xml:space="preserve">able </w:t>
      </w:r>
      <w:r w:rsidR="004E2DCB">
        <w:rPr>
          <w:rFonts w:ascii="Arial" w:eastAsia="Calibri" w:hAnsi="Arial" w:cs="Arial"/>
          <w:bCs/>
          <w:sz w:val="20"/>
          <w:szCs w:val="20"/>
        </w:rPr>
        <w:t>46</w:t>
      </w:r>
      <w:r w:rsidRPr="003516DC">
        <w:rPr>
          <w:rFonts w:ascii="Arial" w:eastAsia="Calibri" w:hAnsi="Arial" w:cs="Arial"/>
          <w:bCs/>
          <w:sz w:val="20"/>
          <w:szCs w:val="20"/>
        </w:rPr>
        <w:t>).</w:t>
      </w:r>
    </w:p>
    <w:p w14:paraId="55852830" w14:textId="12AFFE0B" w:rsidR="00714813" w:rsidRPr="003516DC" w:rsidRDefault="00714813" w:rsidP="006E7A76">
      <w:pPr>
        <w:pStyle w:val="Caption"/>
        <w:spacing w:before="120"/>
        <w:ind w:left="1138" w:hanging="1138"/>
        <w:rPr>
          <w:rFonts w:eastAsia="Calibri"/>
          <w:bCs/>
        </w:rPr>
      </w:pPr>
      <w:bookmarkStart w:id="208" w:name="_Toc90725999"/>
      <w:bookmarkStart w:id="209" w:name="_Toc90727296"/>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45</w:t>
      </w:r>
      <w:r w:rsidR="0040363E" w:rsidRPr="003516DC">
        <w:rPr>
          <w:noProof/>
        </w:rPr>
        <w:fldChar w:fldCharType="end"/>
      </w:r>
      <w:r w:rsidRPr="003516DC">
        <w:t xml:space="preserve">: Evolution of manufacturing industry by technology intensiveness in Gorj </w:t>
      </w:r>
      <w:r w:rsidR="00C04CF7" w:rsidRPr="003516DC">
        <w:t>c</w:t>
      </w:r>
      <w:r w:rsidRPr="003516DC">
        <w:t>ounty</w:t>
      </w:r>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714813" w:rsidRPr="003516DC" w14:paraId="02B9FB99" w14:textId="77777777" w:rsidTr="006E7A76">
        <w:trPr>
          <w:trHeight w:val="315"/>
          <w:tblHeader/>
        </w:trPr>
        <w:tc>
          <w:tcPr>
            <w:tcW w:w="2214" w:type="pct"/>
            <w:vMerge w:val="restart"/>
            <w:shd w:val="clear" w:color="auto" w:fill="002060"/>
            <w:noWrap/>
            <w:vAlign w:val="center"/>
            <w:hideMark/>
          </w:tcPr>
          <w:p w14:paraId="1008ABCA" w14:textId="77777777" w:rsidR="00714813" w:rsidRPr="003516DC" w:rsidRDefault="00714813"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37B3172F" w14:textId="77777777" w:rsidR="00714813" w:rsidRPr="003516DC" w:rsidRDefault="00714813"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6C8D45C1" w14:textId="77777777" w:rsidR="00714813" w:rsidRPr="003516DC" w:rsidRDefault="00714813"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714813" w:rsidRPr="003516DC" w14:paraId="74E1EEA6" w14:textId="77777777" w:rsidTr="006E7A76">
        <w:trPr>
          <w:trHeight w:val="315"/>
          <w:tblHeader/>
        </w:trPr>
        <w:tc>
          <w:tcPr>
            <w:tcW w:w="2214" w:type="pct"/>
            <w:vMerge/>
            <w:shd w:val="clear" w:color="auto" w:fill="002060"/>
            <w:vAlign w:val="center"/>
            <w:hideMark/>
          </w:tcPr>
          <w:p w14:paraId="33F5C113" w14:textId="77777777" w:rsidR="00714813" w:rsidRPr="003516DC" w:rsidRDefault="00714813" w:rsidP="00133DD1">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75FCBAFC" w14:textId="77777777" w:rsidR="00714813" w:rsidRPr="003516DC" w:rsidRDefault="00714813"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7B9E5885" w14:textId="77777777" w:rsidR="00714813" w:rsidRPr="003516DC" w:rsidRDefault="00714813"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04B6D3A4" w14:textId="77777777" w:rsidR="00714813" w:rsidRPr="003516DC" w:rsidRDefault="00714813" w:rsidP="00133DD1">
            <w:pPr>
              <w:rPr>
                <w:rFonts w:ascii="Arial" w:eastAsia="Times New Roman" w:hAnsi="Arial" w:cs="Arial"/>
                <w:color w:val="000000"/>
                <w:sz w:val="18"/>
                <w:szCs w:val="18"/>
                <w:lang w:val="en-US"/>
              </w:rPr>
            </w:pPr>
          </w:p>
        </w:tc>
      </w:tr>
      <w:tr w:rsidR="001D5258" w:rsidRPr="003516DC" w14:paraId="22A657A0" w14:textId="77777777" w:rsidTr="00BD034F">
        <w:trPr>
          <w:trHeight w:val="315"/>
        </w:trPr>
        <w:tc>
          <w:tcPr>
            <w:tcW w:w="2214" w:type="pct"/>
            <w:shd w:val="clear" w:color="auto" w:fill="auto"/>
            <w:noWrap/>
            <w:vAlign w:val="center"/>
            <w:hideMark/>
          </w:tcPr>
          <w:p w14:paraId="1A8D5FBA" w14:textId="77777777" w:rsidR="001D5258" w:rsidRPr="003516DC" w:rsidRDefault="001D5258" w:rsidP="001D525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TOTAL - Manufacturing</w:t>
            </w:r>
          </w:p>
        </w:tc>
        <w:tc>
          <w:tcPr>
            <w:tcW w:w="858" w:type="pct"/>
            <w:shd w:val="clear" w:color="auto" w:fill="auto"/>
            <w:noWrap/>
            <w:vAlign w:val="center"/>
          </w:tcPr>
          <w:p w14:paraId="3C9E1B24" w14:textId="5973711C"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843,586,952 </w:t>
            </w:r>
          </w:p>
        </w:tc>
        <w:tc>
          <w:tcPr>
            <w:tcW w:w="968" w:type="pct"/>
            <w:shd w:val="clear" w:color="auto" w:fill="auto"/>
            <w:noWrap/>
            <w:vAlign w:val="center"/>
          </w:tcPr>
          <w:p w14:paraId="1884133D" w14:textId="16B3B91A"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950,052,802 </w:t>
            </w:r>
          </w:p>
        </w:tc>
        <w:tc>
          <w:tcPr>
            <w:tcW w:w="960" w:type="pct"/>
            <w:shd w:val="clear" w:color="auto" w:fill="auto"/>
            <w:noWrap/>
            <w:vAlign w:val="center"/>
          </w:tcPr>
          <w:p w14:paraId="1DE2D8DD" w14:textId="067E0ED9"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color w:val="000000"/>
                <w:sz w:val="18"/>
                <w:szCs w:val="18"/>
              </w:rPr>
              <w:t>12.62%</w:t>
            </w:r>
          </w:p>
        </w:tc>
      </w:tr>
      <w:tr w:rsidR="001D5258" w:rsidRPr="003516DC" w14:paraId="06E9CC3A" w14:textId="77777777" w:rsidTr="00BD034F">
        <w:trPr>
          <w:trHeight w:val="315"/>
        </w:trPr>
        <w:tc>
          <w:tcPr>
            <w:tcW w:w="2214" w:type="pct"/>
            <w:shd w:val="clear" w:color="auto" w:fill="auto"/>
            <w:noWrap/>
            <w:vAlign w:val="center"/>
            <w:hideMark/>
          </w:tcPr>
          <w:p w14:paraId="627C5796" w14:textId="77777777" w:rsidR="001D5258" w:rsidRPr="003516DC" w:rsidRDefault="001D5258" w:rsidP="001D525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tcPr>
          <w:p w14:paraId="5738F3C0" w14:textId="3FFFD844"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496,664 </w:t>
            </w:r>
          </w:p>
        </w:tc>
        <w:tc>
          <w:tcPr>
            <w:tcW w:w="968" w:type="pct"/>
            <w:shd w:val="clear" w:color="auto" w:fill="auto"/>
            <w:noWrap/>
            <w:vAlign w:val="center"/>
          </w:tcPr>
          <w:p w14:paraId="3EEBF9EC" w14:textId="07D0E620" w:rsidR="001D5258" w:rsidRPr="003516DC" w:rsidRDefault="001D5258" w:rsidP="001D5258">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 2,934,949 </w:t>
            </w:r>
          </w:p>
        </w:tc>
        <w:tc>
          <w:tcPr>
            <w:tcW w:w="960" w:type="pct"/>
            <w:shd w:val="clear" w:color="auto" w:fill="auto"/>
            <w:noWrap/>
            <w:vAlign w:val="center"/>
          </w:tcPr>
          <w:p w14:paraId="7DDF9F28" w14:textId="2D0C5607"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color w:val="000000"/>
                <w:sz w:val="18"/>
                <w:szCs w:val="18"/>
              </w:rPr>
              <w:t>490.93%</w:t>
            </w:r>
          </w:p>
        </w:tc>
      </w:tr>
      <w:tr w:rsidR="001D5258" w:rsidRPr="003516DC" w14:paraId="765FCE52" w14:textId="77777777" w:rsidTr="00BD034F">
        <w:trPr>
          <w:trHeight w:val="315"/>
        </w:trPr>
        <w:tc>
          <w:tcPr>
            <w:tcW w:w="2214" w:type="pct"/>
            <w:shd w:val="clear" w:color="auto" w:fill="auto"/>
            <w:noWrap/>
            <w:vAlign w:val="center"/>
            <w:hideMark/>
          </w:tcPr>
          <w:p w14:paraId="524C88F0" w14:textId="77777777" w:rsidR="001D5258" w:rsidRPr="003516DC" w:rsidRDefault="001D5258" w:rsidP="001D525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lastRenderedPageBreak/>
              <w:t>Medium-High technology intensive</w:t>
            </w:r>
          </w:p>
        </w:tc>
        <w:tc>
          <w:tcPr>
            <w:tcW w:w="858" w:type="pct"/>
            <w:shd w:val="clear" w:color="auto" w:fill="auto"/>
            <w:noWrap/>
            <w:vAlign w:val="center"/>
          </w:tcPr>
          <w:p w14:paraId="5D2E3E0C" w14:textId="2949352D"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111,105,160 </w:t>
            </w:r>
          </w:p>
        </w:tc>
        <w:tc>
          <w:tcPr>
            <w:tcW w:w="968" w:type="pct"/>
            <w:shd w:val="clear" w:color="auto" w:fill="auto"/>
            <w:noWrap/>
            <w:vAlign w:val="center"/>
          </w:tcPr>
          <w:p w14:paraId="520F2A8D" w14:textId="74191EA2" w:rsidR="001D5258" w:rsidRPr="003516DC" w:rsidRDefault="001D5258" w:rsidP="001D5258">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 132,140,370 </w:t>
            </w:r>
          </w:p>
        </w:tc>
        <w:tc>
          <w:tcPr>
            <w:tcW w:w="960" w:type="pct"/>
            <w:shd w:val="clear" w:color="auto" w:fill="auto"/>
            <w:noWrap/>
            <w:vAlign w:val="center"/>
          </w:tcPr>
          <w:p w14:paraId="2AE0350C" w14:textId="4D4D110D"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color w:val="000000"/>
                <w:sz w:val="18"/>
                <w:szCs w:val="18"/>
              </w:rPr>
              <w:t>18.93%</w:t>
            </w:r>
          </w:p>
        </w:tc>
      </w:tr>
      <w:tr w:rsidR="001D5258" w:rsidRPr="003516DC" w14:paraId="1B924EB0" w14:textId="77777777" w:rsidTr="00BD034F">
        <w:trPr>
          <w:trHeight w:val="315"/>
        </w:trPr>
        <w:tc>
          <w:tcPr>
            <w:tcW w:w="2214" w:type="pct"/>
            <w:shd w:val="clear" w:color="auto" w:fill="auto"/>
            <w:noWrap/>
            <w:vAlign w:val="center"/>
            <w:hideMark/>
          </w:tcPr>
          <w:p w14:paraId="547B0C22" w14:textId="77777777" w:rsidR="001D5258" w:rsidRPr="003516DC" w:rsidRDefault="001D5258" w:rsidP="001D525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Medium-Low technology intensive</w:t>
            </w:r>
          </w:p>
        </w:tc>
        <w:tc>
          <w:tcPr>
            <w:tcW w:w="858" w:type="pct"/>
            <w:shd w:val="clear" w:color="auto" w:fill="auto"/>
            <w:noWrap/>
            <w:vAlign w:val="center"/>
          </w:tcPr>
          <w:p w14:paraId="0F8D675F" w14:textId="5A8C018D"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407,323,609 </w:t>
            </w:r>
          </w:p>
        </w:tc>
        <w:tc>
          <w:tcPr>
            <w:tcW w:w="968" w:type="pct"/>
            <w:shd w:val="clear" w:color="auto" w:fill="auto"/>
            <w:noWrap/>
            <w:vAlign w:val="center"/>
          </w:tcPr>
          <w:p w14:paraId="3EC35405" w14:textId="02B911DC" w:rsidR="001D5258" w:rsidRPr="003516DC" w:rsidRDefault="001D5258" w:rsidP="001D5258">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 422,750,652 </w:t>
            </w:r>
          </w:p>
        </w:tc>
        <w:tc>
          <w:tcPr>
            <w:tcW w:w="960" w:type="pct"/>
            <w:shd w:val="clear" w:color="auto" w:fill="auto"/>
            <w:noWrap/>
            <w:vAlign w:val="center"/>
          </w:tcPr>
          <w:p w14:paraId="667B199B" w14:textId="2093F6A4"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color w:val="000000"/>
                <w:sz w:val="18"/>
                <w:szCs w:val="18"/>
              </w:rPr>
              <w:t>3.79%</w:t>
            </w:r>
          </w:p>
        </w:tc>
      </w:tr>
      <w:tr w:rsidR="001D5258" w:rsidRPr="003516DC" w14:paraId="07D8E551" w14:textId="77777777" w:rsidTr="00BD034F">
        <w:trPr>
          <w:trHeight w:val="315"/>
        </w:trPr>
        <w:tc>
          <w:tcPr>
            <w:tcW w:w="2214" w:type="pct"/>
            <w:shd w:val="clear" w:color="auto" w:fill="auto"/>
            <w:noWrap/>
            <w:vAlign w:val="center"/>
            <w:hideMark/>
          </w:tcPr>
          <w:p w14:paraId="56E187AF" w14:textId="77777777" w:rsidR="001D5258" w:rsidRPr="003516DC" w:rsidRDefault="001D5258" w:rsidP="001D5258">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tcPr>
          <w:p w14:paraId="251F24EF" w14:textId="345BFA9B"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sz w:val="18"/>
                <w:szCs w:val="18"/>
              </w:rPr>
              <w:t xml:space="preserve"> 324,661,519 </w:t>
            </w:r>
          </w:p>
        </w:tc>
        <w:tc>
          <w:tcPr>
            <w:tcW w:w="968" w:type="pct"/>
            <w:shd w:val="clear" w:color="auto" w:fill="auto"/>
            <w:noWrap/>
            <w:vAlign w:val="center"/>
          </w:tcPr>
          <w:p w14:paraId="36D8AEEE" w14:textId="10EED2B5" w:rsidR="001D5258" w:rsidRPr="003516DC" w:rsidRDefault="001D5258" w:rsidP="001D5258">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 392,226,831 </w:t>
            </w:r>
          </w:p>
        </w:tc>
        <w:tc>
          <w:tcPr>
            <w:tcW w:w="960" w:type="pct"/>
            <w:shd w:val="clear" w:color="auto" w:fill="auto"/>
            <w:noWrap/>
            <w:vAlign w:val="center"/>
          </w:tcPr>
          <w:p w14:paraId="31BBAC97" w14:textId="6769C007" w:rsidR="001D5258" w:rsidRPr="003516DC" w:rsidRDefault="001D5258" w:rsidP="001D5258">
            <w:pPr>
              <w:jc w:val="right"/>
              <w:rPr>
                <w:rFonts w:ascii="Arial" w:eastAsia="Times New Roman" w:hAnsi="Arial" w:cs="Arial"/>
                <w:bCs/>
                <w:color w:val="000000"/>
                <w:sz w:val="18"/>
                <w:szCs w:val="18"/>
                <w:lang w:val="en-US"/>
              </w:rPr>
            </w:pPr>
            <w:r w:rsidRPr="003516DC">
              <w:rPr>
                <w:rFonts w:ascii="Arial" w:hAnsi="Arial" w:cs="Arial"/>
                <w:color w:val="000000"/>
                <w:sz w:val="18"/>
                <w:szCs w:val="18"/>
              </w:rPr>
              <w:t>20.81%</w:t>
            </w:r>
          </w:p>
        </w:tc>
      </w:tr>
    </w:tbl>
    <w:p w14:paraId="71408972" w14:textId="693DBE2F" w:rsidR="001D5258" w:rsidRPr="003516DC" w:rsidRDefault="001D5258" w:rsidP="001D5258">
      <w:pPr>
        <w:spacing w:after="240"/>
        <w:rPr>
          <w:rFonts w:ascii="Arial" w:hAnsi="Arial" w:cs="Arial"/>
          <w:i/>
          <w:color w:val="1155CC"/>
          <w:sz w:val="16"/>
          <w:szCs w:val="16"/>
          <w:u w:val="single"/>
        </w:rPr>
      </w:pPr>
      <w:r w:rsidRPr="003516DC">
        <w:rPr>
          <w:rFonts w:ascii="Arial" w:hAnsi="Arial" w:cs="Arial"/>
          <w:i/>
          <w:sz w:val="16"/>
          <w:szCs w:val="16"/>
        </w:rPr>
        <w:t>Source: processing of N</w:t>
      </w:r>
      <w:r w:rsidR="0093379D" w:rsidRPr="003516DC">
        <w:rPr>
          <w:rFonts w:ascii="Arial" w:hAnsi="Arial" w:cs="Arial"/>
          <w:i/>
          <w:sz w:val="16"/>
          <w:szCs w:val="16"/>
        </w:rPr>
        <w:t>ational Trade Register Office</w:t>
      </w:r>
      <w:r w:rsidRPr="003516DC">
        <w:rPr>
          <w:rFonts w:ascii="Arial" w:hAnsi="Arial" w:cs="Arial"/>
          <w:i/>
          <w:sz w:val="16"/>
          <w:szCs w:val="16"/>
        </w:rPr>
        <w:t xml:space="preserve"> data, based on EC high tech classification of NACE codes</w:t>
      </w:r>
      <w:hyperlink r:id="rId127">
        <w:r w:rsidRPr="003516DC">
          <w:rPr>
            <w:rFonts w:ascii="Arial" w:hAnsi="Arial" w:cs="Arial"/>
            <w:i/>
            <w:sz w:val="16"/>
            <w:szCs w:val="16"/>
          </w:rPr>
          <w:t xml:space="preserve"> </w:t>
        </w:r>
      </w:hyperlink>
      <w:hyperlink r:id="rId128">
        <w:r w:rsidRPr="003516DC">
          <w:rPr>
            <w:rFonts w:ascii="Arial" w:hAnsi="Arial" w:cs="Arial"/>
            <w:i/>
            <w:color w:val="1155CC"/>
            <w:sz w:val="16"/>
            <w:szCs w:val="16"/>
            <w:u w:val="single"/>
          </w:rPr>
          <w:t>https://ec.europa.eu/eurostat/statistics-explained/index.php/Glossary:High-tech</w:t>
        </w:r>
      </w:hyperlink>
    </w:p>
    <w:p w14:paraId="1ABF9171" w14:textId="4BE0385D" w:rsidR="00714813" w:rsidRPr="003516DC" w:rsidRDefault="001D5258" w:rsidP="001D5258">
      <w:pPr>
        <w:pStyle w:val="Caption"/>
      </w:pPr>
      <w:bookmarkStart w:id="210" w:name="_Toc90726000"/>
      <w:bookmarkStart w:id="211" w:name="_Toc90727297"/>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46</w:t>
      </w:r>
      <w:r w:rsidR="0040363E" w:rsidRPr="003516DC">
        <w:rPr>
          <w:noProof/>
        </w:rPr>
        <w:fldChar w:fldCharType="end"/>
      </w:r>
      <w:r w:rsidRPr="003516DC">
        <w:t xml:space="preserve">: Evolution of the services sector by knowledge intensiveness in Gorj </w:t>
      </w:r>
      <w:r w:rsidR="00C04CF7" w:rsidRPr="003516DC">
        <w:t>c</w:t>
      </w:r>
      <w:r w:rsidRPr="003516DC">
        <w:t>ounty</w:t>
      </w:r>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911"/>
        <w:gridCol w:w="1679"/>
        <w:gridCol w:w="1784"/>
      </w:tblGrid>
      <w:tr w:rsidR="009D6687" w:rsidRPr="003516DC" w14:paraId="69384E2B" w14:textId="77777777" w:rsidTr="00BD034F">
        <w:trPr>
          <w:trHeight w:val="300"/>
          <w:tblHeader/>
        </w:trPr>
        <w:tc>
          <w:tcPr>
            <w:tcW w:w="1991" w:type="pct"/>
            <w:vMerge w:val="restart"/>
            <w:shd w:val="clear" w:color="auto" w:fill="002060"/>
            <w:vAlign w:val="center"/>
            <w:hideMark/>
          </w:tcPr>
          <w:p w14:paraId="6715C7CC" w14:textId="77777777" w:rsidR="009D6687" w:rsidRPr="003516DC" w:rsidRDefault="009D6687"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010" w:type="pct"/>
            <w:gridSpan w:val="2"/>
            <w:vMerge w:val="restart"/>
            <w:shd w:val="clear" w:color="auto" w:fill="002060"/>
            <w:vAlign w:val="center"/>
            <w:hideMark/>
          </w:tcPr>
          <w:p w14:paraId="499EBE24" w14:textId="77777777" w:rsidR="009D6687" w:rsidRPr="003516DC" w:rsidRDefault="009D6687"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99" w:type="pct"/>
            <w:shd w:val="clear" w:color="auto" w:fill="002060"/>
            <w:noWrap/>
            <w:vAlign w:val="center"/>
            <w:hideMark/>
          </w:tcPr>
          <w:p w14:paraId="69F14D88" w14:textId="77777777" w:rsidR="009D6687" w:rsidRPr="003516DC" w:rsidRDefault="009D6687"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9D6687" w:rsidRPr="003516DC" w14:paraId="68CB04F5" w14:textId="77777777" w:rsidTr="00BD034F">
        <w:trPr>
          <w:trHeight w:val="317"/>
          <w:tblHeader/>
        </w:trPr>
        <w:tc>
          <w:tcPr>
            <w:tcW w:w="1991" w:type="pct"/>
            <w:vMerge/>
            <w:shd w:val="clear" w:color="auto" w:fill="002060"/>
            <w:vAlign w:val="center"/>
            <w:hideMark/>
          </w:tcPr>
          <w:p w14:paraId="301BB9D0" w14:textId="77777777" w:rsidR="009D6687" w:rsidRPr="003516DC" w:rsidRDefault="009D6687" w:rsidP="00133DD1">
            <w:pPr>
              <w:rPr>
                <w:rFonts w:ascii="Arial" w:eastAsia="Times New Roman" w:hAnsi="Arial" w:cs="Arial"/>
                <w:b/>
                <w:bCs/>
                <w:color w:val="FFFFFF" w:themeColor="background1"/>
                <w:sz w:val="18"/>
                <w:szCs w:val="18"/>
                <w:lang w:val="en-US"/>
              </w:rPr>
            </w:pPr>
          </w:p>
        </w:tc>
        <w:tc>
          <w:tcPr>
            <w:tcW w:w="2010" w:type="pct"/>
            <w:gridSpan w:val="2"/>
            <w:vMerge/>
            <w:shd w:val="clear" w:color="auto" w:fill="002060"/>
            <w:vAlign w:val="center"/>
            <w:hideMark/>
          </w:tcPr>
          <w:p w14:paraId="32B43382" w14:textId="77777777" w:rsidR="009D6687" w:rsidRPr="003516DC" w:rsidRDefault="009D6687" w:rsidP="00133DD1">
            <w:pPr>
              <w:rPr>
                <w:rFonts w:ascii="Arial" w:eastAsia="Times New Roman" w:hAnsi="Arial" w:cs="Arial"/>
                <w:b/>
                <w:bCs/>
                <w:color w:val="FFFFFF" w:themeColor="background1"/>
                <w:sz w:val="18"/>
                <w:szCs w:val="18"/>
                <w:lang w:val="en-US"/>
              </w:rPr>
            </w:pPr>
          </w:p>
        </w:tc>
        <w:tc>
          <w:tcPr>
            <w:tcW w:w="999" w:type="pct"/>
            <w:vMerge w:val="restart"/>
            <w:shd w:val="clear" w:color="auto" w:fill="002060"/>
            <w:noWrap/>
            <w:vAlign w:val="center"/>
            <w:hideMark/>
          </w:tcPr>
          <w:p w14:paraId="4628DEFD" w14:textId="77777777" w:rsidR="009D6687" w:rsidRPr="003516DC" w:rsidRDefault="009D6687"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28FF64CE" w14:textId="77777777" w:rsidR="009D6687" w:rsidRPr="003516DC" w:rsidRDefault="009D6687"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9D6687" w:rsidRPr="003516DC" w14:paraId="6819B1AC" w14:textId="77777777" w:rsidTr="00BD034F">
        <w:trPr>
          <w:trHeight w:val="88"/>
          <w:tblHeader/>
        </w:trPr>
        <w:tc>
          <w:tcPr>
            <w:tcW w:w="1991" w:type="pct"/>
            <w:vMerge/>
            <w:vAlign w:val="center"/>
            <w:hideMark/>
          </w:tcPr>
          <w:p w14:paraId="4F8A07D7" w14:textId="77777777" w:rsidR="009D6687" w:rsidRPr="003516DC" w:rsidRDefault="009D6687" w:rsidP="00133DD1">
            <w:pPr>
              <w:rPr>
                <w:rFonts w:ascii="Arial" w:eastAsia="Times New Roman" w:hAnsi="Arial" w:cs="Arial"/>
                <w:b/>
                <w:bCs/>
                <w:color w:val="000000"/>
                <w:sz w:val="18"/>
                <w:szCs w:val="18"/>
                <w:lang w:val="en-US"/>
              </w:rPr>
            </w:pPr>
          </w:p>
        </w:tc>
        <w:tc>
          <w:tcPr>
            <w:tcW w:w="1070" w:type="pct"/>
            <w:shd w:val="clear" w:color="auto" w:fill="D9D9D9" w:themeFill="background1" w:themeFillShade="D9"/>
            <w:noWrap/>
            <w:vAlign w:val="center"/>
            <w:hideMark/>
          </w:tcPr>
          <w:p w14:paraId="7D5B9EF7" w14:textId="77777777" w:rsidR="009D6687" w:rsidRPr="003516DC" w:rsidRDefault="009D6687"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940" w:type="pct"/>
            <w:shd w:val="clear" w:color="auto" w:fill="D9D9D9" w:themeFill="background1" w:themeFillShade="D9"/>
            <w:vAlign w:val="center"/>
            <w:hideMark/>
          </w:tcPr>
          <w:p w14:paraId="3EEE5E18" w14:textId="77777777" w:rsidR="009D6687" w:rsidRPr="003516DC" w:rsidRDefault="009D6687"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999" w:type="pct"/>
            <w:vMerge/>
            <w:shd w:val="clear" w:color="000000" w:fill="FDE9D9"/>
            <w:noWrap/>
            <w:vAlign w:val="center"/>
            <w:hideMark/>
          </w:tcPr>
          <w:p w14:paraId="599C9C01" w14:textId="77777777" w:rsidR="009D6687" w:rsidRPr="003516DC" w:rsidRDefault="009D6687" w:rsidP="00133DD1">
            <w:pPr>
              <w:jc w:val="center"/>
              <w:rPr>
                <w:rFonts w:ascii="Arial" w:eastAsia="Times New Roman" w:hAnsi="Arial" w:cs="Arial"/>
                <w:b/>
                <w:bCs/>
                <w:color w:val="000000"/>
                <w:sz w:val="18"/>
                <w:szCs w:val="18"/>
                <w:lang w:val="en-US"/>
              </w:rPr>
            </w:pPr>
          </w:p>
        </w:tc>
      </w:tr>
      <w:tr w:rsidR="009D6687" w:rsidRPr="003516DC" w14:paraId="7C1A852F" w14:textId="77777777" w:rsidTr="00BD034F">
        <w:trPr>
          <w:trHeight w:val="315"/>
        </w:trPr>
        <w:tc>
          <w:tcPr>
            <w:tcW w:w="1991" w:type="pct"/>
            <w:shd w:val="clear" w:color="000000" w:fill="FFFFFF"/>
            <w:vAlign w:val="center"/>
            <w:hideMark/>
          </w:tcPr>
          <w:p w14:paraId="3CC1EF1F" w14:textId="77777777" w:rsidR="009D6687" w:rsidRPr="003516DC" w:rsidRDefault="009D6687" w:rsidP="009D6687">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Total services</w:t>
            </w:r>
          </w:p>
        </w:tc>
        <w:tc>
          <w:tcPr>
            <w:tcW w:w="1070" w:type="pct"/>
            <w:shd w:val="clear" w:color="000000" w:fill="FFFFFF"/>
            <w:noWrap/>
            <w:vAlign w:val="center"/>
          </w:tcPr>
          <w:p w14:paraId="76FF57B8" w14:textId="7368C500"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2,531,225,992</w:t>
            </w:r>
          </w:p>
        </w:tc>
        <w:tc>
          <w:tcPr>
            <w:tcW w:w="940" w:type="pct"/>
            <w:shd w:val="clear" w:color="000000" w:fill="FFFFFF"/>
            <w:noWrap/>
            <w:vAlign w:val="center"/>
          </w:tcPr>
          <w:p w14:paraId="3CD5176B" w14:textId="155A7E53"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3,974,893,903</w:t>
            </w:r>
          </w:p>
        </w:tc>
        <w:tc>
          <w:tcPr>
            <w:tcW w:w="999" w:type="pct"/>
            <w:shd w:val="clear" w:color="auto" w:fill="auto"/>
            <w:noWrap/>
            <w:vAlign w:val="center"/>
          </w:tcPr>
          <w:p w14:paraId="55F03B29" w14:textId="4BACEA3A" w:rsidR="009D6687" w:rsidRPr="003516DC" w:rsidRDefault="009D6687" w:rsidP="009D6687">
            <w:pPr>
              <w:jc w:val="center"/>
              <w:rPr>
                <w:rFonts w:ascii="Arial" w:eastAsia="Times New Roman" w:hAnsi="Arial" w:cs="Arial"/>
                <w:b/>
                <w:bCs/>
                <w:color w:val="000000"/>
                <w:sz w:val="18"/>
                <w:szCs w:val="18"/>
                <w:lang w:val="en-US"/>
              </w:rPr>
            </w:pPr>
            <w:r w:rsidRPr="003516DC">
              <w:rPr>
                <w:rFonts w:ascii="Arial" w:eastAsia="SimSun" w:hAnsi="Arial" w:cs="Arial"/>
                <w:b/>
                <w:bCs/>
                <w:color w:val="000000"/>
                <w:sz w:val="18"/>
                <w:szCs w:val="18"/>
                <w:lang w:bidi="ar"/>
              </w:rPr>
              <w:t>57%</w:t>
            </w:r>
          </w:p>
        </w:tc>
      </w:tr>
      <w:tr w:rsidR="009D6687" w:rsidRPr="003516DC" w14:paraId="0485B9F9" w14:textId="77777777" w:rsidTr="00BD034F">
        <w:trPr>
          <w:trHeight w:val="315"/>
        </w:trPr>
        <w:tc>
          <w:tcPr>
            <w:tcW w:w="1991" w:type="pct"/>
            <w:shd w:val="clear" w:color="auto" w:fill="auto"/>
            <w:noWrap/>
            <w:vAlign w:val="center"/>
            <w:hideMark/>
          </w:tcPr>
          <w:p w14:paraId="20744E7E" w14:textId="77777777" w:rsidR="009D6687" w:rsidRPr="003516DC" w:rsidRDefault="009D6687" w:rsidP="009D6687">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070" w:type="pct"/>
            <w:shd w:val="clear" w:color="auto" w:fill="auto"/>
            <w:noWrap/>
            <w:vAlign w:val="center"/>
          </w:tcPr>
          <w:p w14:paraId="28F3F956" w14:textId="43A29620"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208,381,625</w:t>
            </w:r>
          </w:p>
        </w:tc>
        <w:tc>
          <w:tcPr>
            <w:tcW w:w="940" w:type="pct"/>
            <w:shd w:val="clear" w:color="auto" w:fill="auto"/>
            <w:noWrap/>
            <w:vAlign w:val="center"/>
          </w:tcPr>
          <w:p w14:paraId="32B12F9C" w14:textId="4F662869"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556,549,254</w:t>
            </w:r>
          </w:p>
        </w:tc>
        <w:tc>
          <w:tcPr>
            <w:tcW w:w="999" w:type="pct"/>
            <w:shd w:val="clear" w:color="auto" w:fill="auto"/>
            <w:noWrap/>
            <w:vAlign w:val="center"/>
          </w:tcPr>
          <w:p w14:paraId="527C4591" w14:textId="1D29155F" w:rsidR="009D6687" w:rsidRPr="003516DC" w:rsidRDefault="009D6687" w:rsidP="009D6687">
            <w:pPr>
              <w:jc w:val="center"/>
              <w:rPr>
                <w:rFonts w:ascii="Arial" w:eastAsia="Times New Roman" w:hAnsi="Arial" w:cs="Arial"/>
                <w:b/>
                <w:bCs/>
                <w:color w:val="000000"/>
                <w:sz w:val="18"/>
                <w:szCs w:val="18"/>
                <w:lang w:val="en-US"/>
              </w:rPr>
            </w:pPr>
            <w:r w:rsidRPr="003516DC">
              <w:rPr>
                <w:rFonts w:ascii="Arial" w:eastAsia="SimSun" w:hAnsi="Arial" w:cs="Arial"/>
                <w:b/>
                <w:bCs/>
                <w:color w:val="000000"/>
                <w:sz w:val="18"/>
                <w:szCs w:val="18"/>
                <w:lang w:bidi="ar"/>
              </w:rPr>
              <w:t>167%</w:t>
            </w:r>
          </w:p>
        </w:tc>
      </w:tr>
      <w:tr w:rsidR="009D6687" w:rsidRPr="003516DC" w14:paraId="6B6879AA" w14:textId="77777777" w:rsidTr="00BD034F">
        <w:trPr>
          <w:trHeight w:val="315"/>
        </w:trPr>
        <w:tc>
          <w:tcPr>
            <w:tcW w:w="1991" w:type="pct"/>
            <w:shd w:val="clear" w:color="auto" w:fill="auto"/>
            <w:vAlign w:val="center"/>
            <w:hideMark/>
          </w:tcPr>
          <w:p w14:paraId="193C4752"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High-tech knowledge-intensive services:</w:t>
            </w:r>
          </w:p>
        </w:tc>
        <w:tc>
          <w:tcPr>
            <w:tcW w:w="1070" w:type="pct"/>
            <w:shd w:val="clear" w:color="auto" w:fill="auto"/>
            <w:noWrap/>
            <w:vAlign w:val="center"/>
          </w:tcPr>
          <w:p w14:paraId="3888E1AB" w14:textId="4C258D17"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37,585,353</w:t>
            </w:r>
          </w:p>
        </w:tc>
        <w:tc>
          <w:tcPr>
            <w:tcW w:w="940" w:type="pct"/>
            <w:shd w:val="clear" w:color="auto" w:fill="auto"/>
            <w:noWrap/>
            <w:vAlign w:val="center"/>
          </w:tcPr>
          <w:p w14:paraId="76461E88" w14:textId="57A2924E"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56,955,056</w:t>
            </w:r>
          </w:p>
        </w:tc>
        <w:tc>
          <w:tcPr>
            <w:tcW w:w="999" w:type="pct"/>
            <w:shd w:val="clear" w:color="auto" w:fill="auto"/>
            <w:noWrap/>
            <w:vAlign w:val="center"/>
          </w:tcPr>
          <w:p w14:paraId="7B0E3732" w14:textId="12D3AA35"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52%</w:t>
            </w:r>
          </w:p>
        </w:tc>
      </w:tr>
      <w:tr w:rsidR="009D6687" w:rsidRPr="003516DC" w14:paraId="0D9F8C4E" w14:textId="77777777" w:rsidTr="00BD034F">
        <w:trPr>
          <w:trHeight w:val="315"/>
        </w:trPr>
        <w:tc>
          <w:tcPr>
            <w:tcW w:w="1991" w:type="pct"/>
            <w:shd w:val="clear" w:color="auto" w:fill="auto"/>
            <w:vAlign w:val="center"/>
            <w:hideMark/>
          </w:tcPr>
          <w:p w14:paraId="22105C61"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070" w:type="pct"/>
            <w:shd w:val="clear" w:color="auto" w:fill="auto"/>
            <w:noWrap/>
            <w:vAlign w:val="center"/>
          </w:tcPr>
          <w:p w14:paraId="68B4C52F" w14:textId="5D356DFF"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3,787,916</w:t>
            </w:r>
          </w:p>
        </w:tc>
        <w:tc>
          <w:tcPr>
            <w:tcW w:w="940" w:type="pct"/>
            <w:shd w:val="clear" w:color="auto" w:fill="auto"/>
            <w:noWrap/>
            <w:vAlign w:val="center"/>
          </w:tcPr>
          <w:p w14:paraId="79FD9501" w14:textId="65C9B90F"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238,816</w:t>
            </w:r>
          </w:p>
        </w:tc>
        <w:tc>
          <w:tcPr>
            <w:tcW w:w="999" w:type="pct"/>
            <w:shd w:val="clear" w:color="auto" w:fill="auto"/>
            <w:noWrap/>
            <w:vAlign w:val="center"/>
          </w:tcPr>
          <w:p w14:paraId="104A4E03" w14:textId="06CD6419"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-94%</w:t>
            </w:r>
          </w:p>
        </w:tc>
      </w:tr>
      <w:tr w:rsidR="009D6687" w:rsidRPr="003516DC" w14:paraId="78EDBC98" w14:textId="77777777" w:rsidTr="00BD034F">
        <w:trPr>
          <w:trHeight w:val="315"/>
        </w:trPr>
        <w:tc>
          <w:tcPr>
            <w:tcW w:w="1991" w:type="pct"/>
            <w:shd w:val="clear" w:color="auto" w:fill="auto"/>
            <w:vAlign w:val="center"/>
            <w:hideMark/>
          </w:tcPr>
          <w:p w14:paraId="3CD63D31"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070" w:type="pct"/>
            <w:shd w:val="clear" w:color="auto" w:fill="auto"/>
            <w:noWrap/>
            <w:vAlign w:val="center"/>
          </w:tcPr>
          <w:p w14:paraId="01F644C4" w14:textId="1085B8ED"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4,306,953</w:t>
            </w:r>
          </w:p>
        </w:tc>
        <w:tc>
          <w:tcPr>
            <w:tcW w:w="940" w:type="pct"/>
            <w:shd w:val="clear" w:color="auto" w:fill="auto"/>
            <w:noWrap/>
            <w:vAlign w:val="center"/>
          </w:tcPr>
          <w:p w14:paraId="5FB8BD03" w14:textId="75140528"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4,992,317</w:t>
            </w:r>
          </w:p>
        </w:tc>
        <w:tc>
          <w:tcPr>
            <w:tcW w:w="999" w:type="pct"/>
            <w:shd w:val="clear" w:color="auto" w:fill="auto"/>
            <w:noWrap/>
            <w:vAlign w:val="center"/>
          </w:tcPr>
          <w:p w14:paraId="4D380391" w14:textId="1C16BE0E"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16%</w:t>
            </w:r>
          </w:p>
        </w:tc>
      </w:tr>
      <w:tr w:rsidR="009D6687" w:rsidRPr="003516DC" w14:paraId="74BCFC48" w14:textId="77777777" w:rsidTr="00BD034F">
        <w:trPr>
          <w:trHeight w:val="315"/>
        </w:trPr>
        <w:tc>
          <w:tcPr>
            <w:tcW w:w="1991" w:type="pct"/>
            <w:shd w:val="clear" w:color="auto" w:fill="auto"/>
            <w:vAlign w:val="center"/>
            <w:hideMark/>
          </w:tcPr>
          <w:p w14:paraId="53691B23"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070" w:type="pct"/>
            <w:shd w:val="clear" w:color="auto" w:fill="auto"/>
            <w:noWrap/>
            <w:vAlign w:val="center"/>
          </w:tcPr>
          <w:p w14:paraId="0242FABD" w14:textId="2F85CF91"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29,490,484</w:t>
            </w:r>
          </w:p>
        </w:tc>
        <w:tc>
          <w:tcPr>
            <w:tcW w:w="940" w:type="pct"/>
            <w:shd w:val="clear" w:color="auto" w:fill="auto"/>
            <w:noWrap/>
            <w:vAlign w:val="center"/>
          </w:tcPr>
          <w:p w14:paraId="5E99E326" w14:textId="3B78B528"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51,723,923</w:t>
            </w:r>
          </w:p>
        </w:tc>
        <w:tc>
          <w:tcPr>
            <w:tcW w:w="999" w:type="pct"/>
            <w:shd w:val="clear" w:color="auto" w:fill="auto"/>
            <w:noWrap/>
            <w:vAlign w:val="center"/>
          </w:tcPr>
          <w:p w14:paraId="50AC1561" w14:textId="20CAA450"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75%</w:t>
            </w:r>
          </w:p>
        </w:tc>
      </w:tr>
      <w:tr w:rsidR="009D6687" w:rsidRPr="003516DC" w14:paraId="35FCDDA8" w14:textId="77777777" w:rsidTr="00BD034F">
        <w:trPr>
          <w:trHeight w:val="315"/>
        </w:trPr>
        <w:tc>
          <w:tcPr>
            <w:tcW w:w="1991" w:type="pct"/>
            <w:shd w:val="clear" w:color="auto" w:fill="auto"/>
            <w:vAlign w:val="center"/>
            <w:hideMark/>
          </w:tcPr>
          <w:p w14:paraId="11275264"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070" w:type="pct"/>
            <w:shd w:val="clear" w:color="auto" w:fill="auto"/>
            <w:noWrap/>
            <w:vAlign w:val="center"/>
          </w:tcPr>
          <w:p w14:paraId="2C908019" w14:textId="190E504E"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29,927,636</w:t>
            </w:r>
          </w:p>
        </w:tc>
        <w:tc>
          <w:tcPr>
            <w:tcW w:w="940" w:type="pct"/>
            <w:shd w:val="clear" w:color="auto" w:fill="auto"/>
            <w:noWrap/>
            <w:vAlign w:val="center"/>
          </w:tcPr>
          <w:p w14:paraId="3E8F1AA5" w14:textId="552B7F80"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37,952,214</w:t>
            </w:r>
          </w:p>
        </w:tc>
        <w:tc>
          <w:tcPr>
            <w:tcW w:w="999" w:type="pct"/>
            <w:shd w:val="clear" w:color="auto" w:fill="auto"/>
            <w:noWrap/>
            <w:vAlign w:val="center"/>
          </w:tcPr>
          <w:p w14:paraId="12FE046F" w14:textId="00C73010"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27%</w:t>
            </w:r>
          </w:p>
        </w:tc>
      </w:tr>
      <w:tr w:rsidR="009D6687" w:rsidRPr="003516DC" w14:paraId="24C69600" w14:textId="77777777" w:rsidTr="00BD034F">
        <w:trPr>
          <w:trHeight w:val="315"/>
        </w:trPr>
        <w:tc>
          <w:tcPr>
            <w:tcW w:w="1991" w:type="pct"/>
            <w:shd w:val="clear" w:color="auto" w:fill="auto"/>
            <w:vAlign w:val="center"/>
            <w:hideMark/>
          </w:tcPr>
          <w:p w14:paraId="40D04CE0"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070" w:type="pct"/>
            <w:shd w:val="clear" w:color="auto" w:fill="auto"/>
            <w:noWrap/>
            <w:vAlign w:val="center"/>
          </w:tcPr>
          <w:p w14:paraId="1221F4DC" w14:textId="748B9220"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68,088,543</w:t>
            </w:r>
          </w:p>
        </w:tc>
        <w:tc>
          <w:tcPr>
            <w:tcW w:w="940" w:type="pct"/>
            <w:shd w:val="clear" w:color="auto" w:fill="auto"/>
            <w:noWrap/>
            <w:vAlign w:val="center"/>
          </w:tcPr>
          <w:p w14:paraId="3BBB5A56" w14:textId="2971DE4C"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229,651,723</w:t>
            </w:r>
          </w:p>
        </w:tc>
        <w:tc>
          <w:tcPr>
            <w:tcW w:w="999" w:type="pct"/>
            <w:shd w:val="clear" w:color="auto" w:fill="auto"/>
            <w:noWrap/>
            <w:vAlign w:val="center"/>
          </w:tcPr>
          <w:p w14:paraId="1D857AD9" w14:textId="1069D49E"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237%</w:t>
            </w:r>
          </w:p>
        </w:tc>
      </w:tr>
      <w:tr w:rsidR="009D6687" w:rsidRPr="003516DC" w14:paraId="54053370" w14:textId="77777777" w:rsidTr="00BD034F">
        <w:trPr>
          <w:trHeight w:val="315"/>
        </w:trPr>
        <w:tc>
          <w:tcPr>
            <w:tcW w:w="1991" w:type="pct"/>
            <w:shd w:val="clear" w:color="auto" w:fill="auto"/>
            <w:vAlign w:val="center"/>
            <w:hideMark/>
          </w:tcPr>
          <w:p w14:paraId="71753632"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070" w:type="pct"/>
            <w:shd w:val="clear" w:color="auto" w:fill="auto"/>
            <w:noWrap/>
            <w:vAlign w:val="center"/>
          </w:tcPr>
          <w:p w14:paraId="38ACFED8" w14:textId="470E5E0E"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72,780,093</w:t>
            </w:r>
          </w:p>
        </w:tc>
        <w:tc>
          <w:tcPr>
            <w:tcW w:w="940" w:type="pct"/>
            <w:shd w:val="clear" w:color="auto" w:fill="auto"/>
            <w:noWrap/>
            <w:vAlign w:val="center"/>
          </w:tcPr>
          <w:p w14:paraId="5FB986D9" w14:textId="0D3B22D2"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231,990,261</w:t>
            </w:r>
          </w:p>
        </w:tc>
        <w:tc>
          <w:tcPr>
            <w:tcW w:w="999" w:type="pct"/>
            <w:shd w:val="clear" w:color="auto" w:fill="auto"/>
            <w:noWrap/>
            <w:vAlign w:val="center"/>
          </w:tcPr>
          <w:p w14:paraId="6B771FA0" w14:textId="30B37CB3"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219%</w:t>
            </w:r>
          </w:p>
        </w:tc>
      </w:tr>
      <w:tr w:rsidR="009D6687" w:rsidRPr="003516DC" w14:paraId="343DC37D" w14:textId="77777777" w:rsidTr="00BD034F">
        <w:trPr>
          <w:trHeight w:val="315"/>
        </w:trPr>
        <w:tc>
          <w:tcPr>
            <w:tcW w:w="1991" w:type="pct"/>
            <w:shd w:val="clear" w:color="auto" w:fill="auto"/>
            <w:noWrap/>
            <w:vAlign w:val="center"/>
            <w:hideMark/>
          </w:tcPr>
          <w:p w14:paraId="66932255" w14:textId="77777777" w:rsidR="009D6687" w:rsidRPr="003516DC" w:rsidRDefault="009D6687" w:rsidP="009D6687">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070" w:type="pct"/>
            <w:shd w:val="clear" w:color="auto" w:fill="auto"/>
            <w:noWrap/>
            <w:vAlign w:val="center"/>
          </w:tcPr>
          <w:p w14:paraId="3598FE22" w14:textId="70C3B185"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2,322,844,367</w:t>
            </w:r>
          </w:p>
        </w:tc>
        <w:tc>
          <w:tcPr>
            <w:tcW w:w="940" w:type="pct"/>
            <w:shd w:val="clear" w:color="auto" w:fill="auto"/>
            <w:noWrap/>
            <w:vAlign w:val="center"/>
          </w:tcPr>
          <w:p w14:paraId="495A1D5E" w14:textId="1E7E3AFF" w:rsidR="009D6687" w:rsidRPr="003516DC" w:rsidRDefault="009D6687" w:rsidP="009D6687">
            <w:pPr>
              <w:jc w:val="right"/>
              <w:rPr>
                <w:rFonts w:ascii="Arial" w:eastAsia="Times New Roman" w:hAnsi="Arial" w:cs="Arial"/>
                <w:b/>
                <w:color w:val="000000"/>
                <w:sz w:val="18"/>
                <w:szCs w:val="18"/>
                <w:lang w:val="en-US"/>
              </w:rPr>
            </w:pPr>
            <w:r w:rsidRPr="003516DC">
              <w:rPr>
                <w:rFonts w:ascii="Arial" w:eastAsia="SimSun" w:hAnsi="Arial" w:cs="Arial"/>
                <w:b/>
                <w:bCs/>
                <w:color w:val="000000"/>
                <w:sz w:val="18"/>
                <w:szCs w:val="18"/>
                <w:lang w:bidi="ar"/>
              </w:rPr>
              <w:t>3,418,344,649</w:t>
            </w:r>
          </w:p>
        </w:tc>
        <w:tc>
          <w:tcPr>
            <w:tcW w:w="999" w:type="pct"/>
            <w:shd w:val="clear" w:color="auto" w:fill="auto"/>
            <w:noWrap/>
            <w:vAlign w:val="center"/>
          </w:tcPr>
          <w:p w14:paraId="21256FC6" w14:textId="6BAA0FE4" w:rsidR="009D6687" w:rsidRPr="003516DC" w:rsidRDefault="009D6687" w:rsidP="009D6687">
            <w:pPr>
              <w:jc w:val="center"/>
              <w:rPr>
                <w:rFonts w:ascii="Arial" w:eastAsia="Times New Roman" w:hAnsi="Arial" w:cs="Arial"/>
                <w:b/>
                <w:bCs/>
                <w:color w:val="000000"/>
                <w:sz w:val="18"/>
                <w:szCs w:val="18"/>
                <w:lang w:val="en-US"/>
              </w:rPr>
            </w:pPr>
            <w:r w:rsidRPr="003516DC">
              <w:rPr>
                <w:rFonts w:ascii="Arial" w:eastAsia="SimSun" w:hAnsi="Arial" w:cs="Arial"/>
                <w:b/>
                <w:bCs/>
                <w:color w:val="000000"/>
                <w:sz w:val="18"/>
                <w:szCs w:val="18"/>
                <w:lang w:bidi="ar"/>
              </w:rPr>
              <w:t>47%</w:t>
            </w:r>
          </w:p>
        </w:tc>
      </w:tr>
      <w:tr w:rsidR="009D6687" w:rsidRPr="003516DC" w14:paraId="2F4215F5" w14:textId="77777777" w:rsidTr="00BD034F">
        <w:trPr>
          <w:trHeight w:val="315"/>
        </w:trPr>
        <w:tc>
          <w:tcPr>
            <w:tcW w:w="1991" w:type="pct"/>
            <w:shd w:val="clear" w:color="auto" w:fill="auto"/>
            <w:vAlign w:val="center"/>
            <w:hideMark/>
          </w:tcPr>
          <w:p w14:paraId="408173F8"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070" w:type="pct"/>
            <w:shd w:val="clear" w:color="auto" w:fill="auto"/>
            <w:noWrap/>
            <w:vAlign w:val="center"/>
          </w:tcPr>
          <w:p w14:paraId="414AB79A" w14:textId="76309410"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2,315,663,647</w:t>
            </w:r>
          </w:p>
        </w:tc>
        <w:tc>
          <w:tcPr>
            <w:tcW w:w="940" w:type="pct"/>
            <w:shd w:val="clear" w:color="auto" w:fill="auto"/>
            <w:noWrap/>
            <w:vAlign w:val="center"/>
          </w:tcPr>
          <w:p w14:paraId="6A7265DC" w14:textId="40AD1BEE"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3,389,767,512</w:t>
            </w:r>
          </w:p>
        </w:tc>
        <w:tc>
          <w:tcPr>
            <w:tcW w:w="999" w:type="pct"/>
            <w:shd w:val="clear" w:color="auto" w:fill="auto"/>
            <w:noWrap/>
            <w:vAlign w:val="center"/>
          </w:tcPr>
          <w:p w14:paraId="41BA9DBC" w14:textId="4C154583"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46%</w:t>
            </w:r>
          </w:p>
        </w:tc>
      </w:tr>
      <w:tr w:rsidR="009D6687" w:rsidRPr="003516DC" w14:paraId="09C574E6" w14:textId="77777777" w:rsidTr="00BD034F">
        <w:trPr>
          <w:trHeight w:val="315"/>
        </w:trPr>
        <w:tc>
          <w:tcPr>
            <w:tcW w:w="1991" w:type="pct"/>
            <w:shd w:val="clear" w:color="auto" w:fill="auto"/>
            <w:vAlign w:val="center"/>
            <w:hideMark/>
          </w:tcPr>
          <w:p w14:paraId="1551179F" w14:textId="77777777" w:rsidR="009D6687" w:rsidRPr="003516DC" w:rsidRDefault="009D6687" w:rsidP="009D6687">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070" w:type="pct"/>
            <w:shd w:val="clear" w:color="auto" w:fill="auto"/>
            <w:noWrap/>
            <w:vAlign w:val="center"/>
          </w:tcPr>
          <w:p w14:paraId="6303EA67" w14:textId="67189A70"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7,180,720</w:t>
            </w:r>
          </w:p>
        </w:tc>
        <w:tc>
          <w:tcPr>
            <w:tcW w:w="940" w:type="pct"/>
            <w:shd w:val="clear" w:color="auto" w:fill="auto"/>
            <w:noWrap/>
            <w:vAlign w:val="center"/>
          </w:tcPr>
          <w:p w14:paraId="284461BD" w14:textId="35E9B173" w:rsidR="009D6687" w:rsidRPr="003516DC" w:rsidRDefault="009D6687" w:rsidP="009D6687">
            <w:pPr>
              <w:jc w:val="right"/>
              <w:rPr>
                <w:rFonts w:ascii="Arial" w:eastAsia="Times New Roman" w:hAnsi="Arial" w:cs="Arial"/>
                <w:bCs/>
                <w:color w:val="000000"/>
                <w:sz w:val="18"/>
                <w:szCs w:val="18"/>
                <w:lang w:val="en-US"/>
              </w:rPr>
            </w:pPr>
            <w:r w:rsidRPr="003516DC">
              <w:rPr>
                <w:rFonts w:ascii="Arial" w:eastAsia="SimSun" w:hAnsi="Arial" w:cs="Arial"/>
                <w:color w:val="000000"/>
                <w:sz w:val="18"/>
                <w:szCs w:val="18"/>
                <w:lang w:bidi="ar"/>
              </w:rPr>
              <w:t>28,577,137</w:t>
            </w:r>
          </w:p>
        </w:tc>
        <w:tc>
          <w:tcPr>
            <w:tcW w:w="999" w:type="pct"/>
            <w:shd w:val="clear" w:color="auto" w:fill="auto"/>
            <w:noWrap/>
            <w:vAlign w:val="center"/>
          </w:tcPr>
          <w:p w14:paraId="62664DD9" w14:textId="61495ECB" w:rsidR="009D6687" w:rsidRPr="003516DC" w:rsidRDefault="009D6687" w:rsidP="009D6687">
            <w:pPr>
              <w:jc w:val="center"/>
              <w:rPr>
                <w:rFonts w:ascii="Arial" w:eastAsia="Times New Roman" w:hAnsi="Arial" w:cs="Arial"/>
                <w:color w:val="000000"/>
                <w:sz w:val="18"/>
                <w:szCs w:val="18"/>
                <w:lang w:val="en-US"/>
              </w:rPr>
            </w:pPr>
            <w:r w:rsidRPr="003516DC">
              <w:rPr>
                <w:rFonts w:ascii="Arial" w:eastAsia="SimSun" w:hAnsi="Arial" w:cs="Arial"/>
                <w:color w:val="000000"/>
                <w:sz w:val="18"/>
                <w:szCs w:val="18"/>
                <w:lang w:bidi="ar"/>
              </w:rPr>
              <w:t>298%</w:t>
            </w:r>
          </w:p>
        </w:tc>
      </w:tr>
    </w:tbl>
    <w:p w14:paraId="3965936C" w14:textId="593D1E91" w:rsidR="009A3F4C" w:rsidRPr="00C86044" w:rsidRDefault="009D6687" w:rsidP="00C86044">
      <w:pPr>
        <w:spacing w:after="120"/>
        <w:rPr>
          <w:rFonts w:ascii="Arial" w:hAnsi="Arial" w:cs="Arial"/>
          <w:i/>
          <w:color w:val="1155CC"/>
          <w:sz w:val="16"/>
          <w:szCs w:val="16"/>
          <w:u w:val="single"/>
        </w:rPr>
      </w:pPr>
      <w:r w:rsidRPr="003516DC">
        <w:rPr>
          <w:rFonts w:ascii="Arial" w:hAnsi="Arial" w:cs="Arial"/>
          <w:i/>
          <w:sz w:val="16"/>
          <w:szCs w:val="16"/>
        </w:rPr>
        <w:t xml:space="preserve">Source: processing of </w:t>
      </w:r>
      <w:r w:rsidR="0093379D" w:rsidRPr="003516DC">
        <w:rPr>
          <w:rFonts w:ascii="Arial" w:hAnsi="Arial" w:cs="Arial"/>
          <w:i/>
          <w:sz w:val="16"/>
          <w:szCs w:val="16"/>
        </w:rPr>
        <w:t xml:space="preserve">National Trade Register Office </w:t>
      </w:r>
      <w:r w:rsidRPr="003516DC">
        <w:rPr>
          <w:rFonts w:ascii="Arial" w:hAnsi="Arial" w:cs="Arial"/>
          <w:i/>
          <w:sz w:val="16"/>
          <w:szCs w:val="16"/>
        </w:rPr>
        <w:t>data, based on EC KIS classification of NACE codes</w:t>
      </w:r>
      <w:hyperlink r:id="rId129">
        <w:r w:rsidRPr="003516DC">
          <w:rPr>
            <w:rFonts w:ascii="Arial" w:hAnsi="Arial" w:cs="Arial"/>
            <w:i/>
            <w:sz w:val="16"/>
            <w:szCs w:val="16"/>
          </w:rPr>
          <w:t xml:space="preserve"> </w:t>
        </w:r>
      </w:hyperlink>
      <w:hyperlink r:id="rId130">
        <w:r w:rsidRPr="003516DC">
          <w:rPr>
            <w:rFonts w:ascii="Arial" w:hAnsi="Arial" w:cs="Arial"/>
            <w:i/>
            <w:color w:val="1155CC"/>
            <w:sz w:val="16"/>
            <w:szCs w:val="16"/>
            <w:u w:val="single"/>
          </w:rPr>
          <w:t>https://ec.europa.eu/eurostat/statistics-explained/index.php/Glossary:Knowledge-intensive_services_(KIS)</w:t>
        </w:r>
      </w:hyperlink>
    </w:p>
    <w:p w14:paraId="58D779E4" w14:textId="135F5299" w:rsidR="00C86044" w:rsidRPr="00C86044" w:rsidRDefault="00C86044" w:rsidP="00E42342">
      <w:pPr>
        <w:pStyle w:val="ListParagraph"/>
        <w:numPr>
          <w:ilvl w:val="0"/>
          <w:numId w:val="282"/>
        </w:numPr>
        <w:spacing w:before="120" w:after="120" w:line="240" w:lineRule="auto"/>
        <w:contextualSpacing w:val="0"/>
        <w:jc w:val="both"/>
        <w:rPr>
          <w:color w:val="4F81BD" w:themeColor="accent1"/>
          <w:sz w:val="20"/>
          <w:szCs w:val="20"/>
        </w:rPr>
      </w:pPr>
      <w:r>
        <w:rPr>
          <w:color w:val="4F81BD" w:themeColor="accent1"/>
          <w:sz w:val="20"/>
          <w:szCs w:val="20"/>
        </w:rPr>
        <w:t>Renewable energy production</w:t>
      </w:r>
    </w:p>
    <w:p w14:paraId="68D787AC" w14:textId="64E8C88E" w:rsidR="00E909F2" w:rsidRDefault="00E909F2" w:rsidP="00D14DC5">
      <w:pPr>
        <w:spacing w:after="120"/>
        <w:jc w:val="both"/>
        <w:rPr>
          <w:rFonts w:ascii="Arial" w:hAnsi="Arial" w:cs="Arial"/>
          <w:sz w:val="20"/>
          <w:szCs w:val="20"/>
        </w:rPr>
      </w:pPr>
      <w:r w:rsidRPr="000F1FD6">
        <w:rPr>
          <w:rFonts w:ascii="Arial" w:hAnsi="Arial" w:cs="Arial"/>
          <w:sz w:val="20"/>
          <w:szCs w:val="20"/>
        </w:rPr>
        <w:t xml:space="preserve">In terms of </w:t>
      </w:r>
      <w:r w:rsidRPr="000F1FD6">
        <w:rPr>
          <w:rFonts w:ascii="Arial" w:hAnsi="Arial" w:cs="Arial"/>
          <w:b/>
          <w:bCs/>
          <w:sz w:val="20"/>
          <w:szCs w:val="20"/>
        </w:rPr>
        <w:t>renewable energy production</w:t>
      </w:r>
      <w:r w:rsidRPr="000F1FD6">
        <w:rPr>
          <w:rFonts w:ascii="Arial" w:hAnsi="Arial" w:cs="Arial"/>
          <w:sz w:val="20"/>
          <w:szCs w:val="20"/>
        </w:rPr>
        <w:t xml:space="preserve">, </w:t>
      </w:r>
      <w:r w:rsidRPr="00402580">
        <w:rPr>
          <w:rFonts w:ascii="Arial" w:hAnsi="Arial" w:cs="Arial"/>
          <w:sz w:val="20"/>
          <w:szCs w:val="20"/>
        </w:rPr>
        <w:t>more competitive solar PV projects can be developed in Gorj. In total</w:t>
      </w:r>
      <w:r w:rsidR="00375CE8">
        <w:rPr>
          <w:rFonts w:ascii="Arial" w:hAnsi="Arial" w:cs="Arial"/>
          <w:sz w:val="20"/>
          <w:szCs w:val="20"/>
        </w:rPr>
        <w:t>,</w:t>
      </w:r>
      <w:r w:rsidRPr="00402580">
        <w:rPr>
          <w:rFonts w:ascii="Arial" w:hAnsi="Arial" w:cs="Arial"/>
          <w:sz w:val="20"/>
          <w:szCs w:val="20"/>
        </w:rPr>
        <w:t xml:space="preserve"> the county requires below 400 ha of land to develop the estimated 400 MW of utility scale PV assigned under the analysis. This represents a fraction of available land for development in Gorj compared to available agricultural land.</w:t>
      </w:r>
    </w:p>
    <w:p w14:paraId="5162D437" w14:textId="119D632B" w:rsidR="00D14DC5" w:rsidRPr="00402580" w:rsidRDefault="00D34DD4" w:rsidP="00E909F2">
      <w:pPr>
        <w:jc w:val="both"/>
        <w:rPr>
          <w:rFonts w:ascii="Arial" w:hAnsi="Arial" w:cs="Arial"/>
          <w:sz w:val="20"/>
          <w:szCs w:val="20"/>
        </w:rPr>
      </w:pPr>
      <w:bookmarkStart w:id="212" w:name="_Hlk85565172"/>
      <w:r>
        <w:rPr>
          <w:rFonts w:ascii="Arial" w:hAnsi="Arial" w:cs="Arial"/>
          <w:sz w:val="20"/>
          <w:szCs w:val="20"/>
        </w:rPr>
        <w:t>F</w:t>
      </w:r>
      <w:r w:rsidR="00D14DC5">
        <w:rPr>
          <w:rFonts w:ascii="Arial" w:hAnsi="Arial" w:cs="Arial"/>
          <w:sz w:val="20"/>
          <w:szCs w:val="20"/>
        </w:rPr>
        <w:t xml:space="preserve">ollowing </w:t>
      </w:r>
      <w:r w:rsidR="00F273CC">
        <w:rPr>
          <w:rFonts w:ascii="Arial" w:hAnsi="Arial" w:cs="Arial"/>
          <w:sz w:val="20"/>
          <w:szCs w:val="20"/>
        </w:rPr>
        <w:t>consultations</w:t>
      </w:r>
      <w:r w:rsidR="00D14DC5">
        <w:rPr>
          <w:rFonts w:ascii="Arial" w:hAnsi="Arial" w:cs="Arial"/>
          <w:sz w:val="20"/>
          <w:szCs w:val="20"/>
        </w:rPr>
        <w:t xml:space="preserve"> during the regional workshop, various ideas </w:t>
      </w:r>
      <w:r w:rsidR="00F273CC">
        <w:rPr>
          <w:rFonts w:ascii="Arial" w:hAnsi="Arial" w:cs="Arial"/>
          <w:sz w:val="20"/>
          <w:szCs w:val="20"/>
        </w:rPr>
        <w:t xml:space="preserve">such as </w:t>
      </w:r>
      <w:r w:rsidR="00D14DC5" w:rsidRPr="00D14DC5">
        <w:rPr>
          <w:rFonts w:ascii="Arial" w:hAnsi="Arial" w:cs="Arial"/>
          <w:sz w:val="20"/>
          <w:szCs w:val="20"/>
        </w:rPr>
        <w:t>hydrogen production investments</w:t>
      </w:r>
      <w:r w:rsidR="00F273CC">
        <w:rPr>
          <w:rFonts w:ascii="Arial" w:hAnsi="Arial" w:cs="Arial"/>
          <w:sz w:val="20"/>
          <w:szCs w:val="20"/>
        </w:rPr>
        <w:t xml:space="preserve"> and/or </w:t>
      </w:r>
      <w:r w:rsidR="00D14DC5" w:rsidRPr="00D14DC5">
        <w:rPr>
          <w:rFonts w:ascii="Arial" w:hAnsi="Arial" w:cs="Arial"/>
          <w:sz w:val="20"/>
          <w:szCs w:val="20"/>
        </w:rPr>
        <w:t>hydrogen mixed with natural gas</w:t>
      </w:r>
      <w:r w:rsidR="00F273CC">
        <w:rPr>
          <w:rFonts w:ascii="Arial" w:hAnsi="Arial" w:cs="Arial"/>
          <w:sz w:val="20"/>
          <w:szCs w:val="20"/>
        </w:rPr>
        <w:t xml:space="preserve"> emerged, </w:t>
      </w:r>
      <w:r>
        <w:rPr>
          <w:rFonts w:ascii="Arial" w:hAnsi="Arial" w:cs="Arial"/>
          <w:sz w:val="20"/>
          <w:szCs w:val="20"/>
        </w:rPr>
        <w:t>which</w:t>
      </w:r>
      <w:r w:rsidR="00F273CC">
        <w:rPr>
          <w:rFonts w:ascii="Arial" w:hAnsi="Arial" w:cs="Arial"/>
          <w:sz w:val="20"/>
          <w:szCs w:val="20"/>
        </w:rPr>
        <w:t xml:space="preserve"> could potentially address renewable energy production opportunities </w:t>
      </w:r>
      <w:r w:rsidR="00D14DC5" w:rsidRPr="00D14DC5">
        <w:rPr>
          <w:rFonts w:ascii="Arial" w:hAnsi="Arial" w:cs="Arial"/>
          <w:sz w:val="20"/>
          <w:szCs w:val="20"/>
        </w:rPr>
        <w:t xml:space="preserve">for </w:t>
      </w:r>
      <w:r>
        <w:rPr>
          <w:rFonts w:ascii="Arial" w:hAnsi="Arial" w:cs="Arial"/>
          <w:sz w:val="20"/>
          <w:szCs w:val="20"/>
        </w:rPr>
        <w:t xml:space="preserve">the </w:t>
      </w:r>
      <w:r w:rsidR="00D14DC5" w:rsidRPr="00D14DC5">
        <w:rPr>
          <w:rFonts w:ascii="Arial" w:hAnsi="Arial" w:cs="Arial"/>
          <w:sz w:val="20"/>
          <w:szCs w:val="20"/>
        </w:rPr>
        <w:t>Oltenia E</w:t>
      </w:r>
      <w:r w:rsidR="00D14DC5">
        <w:rPr>
          <w:rFonts w:ascii="Arial" w:hAnsi="Arial" w:cs="Arial"/>
          <w:sz w:val="20"/>
          <w:szCs w:val="20"/>
        </w:rPr>
        <w:t xml:space="preserve">nergy </w:t>
      </w:r>
      <w:r w:rsidR="00D14DC5" w:rsidRPr="00D14DC5">
        <w:rPr>
          <w:rFonts w:ascii="Arial" w:hAnsi="Arial" w:cs="Arial"/>
          <w:sz w:val="20"/>
          <w:szCs w:val="20"/>
        </w:rPr>
        <w:t>C</w:t>
      </w:r>
      <w:r w:rsidR="00D14DC5">
        <w:rPr>
          <w:rFonts w:ascii="Arial" w:hAnsi="Arial" w:cs="Arial"/>
          <w:sz w:val="20"/>
          <w:szCs w:val="20"/>
        </w:rPr>
        <w:t>omplex</w:t>
      </w:r>
      <w:r w:rsidR="00F273CC">
        <w:rPr>
          <w:rFonts w:ascii="Arial" w:hAnsi="Arial" w:cs="Arial"/>
          <w:sz w:val="20"/>
          <w:szCs w:val="20"/>
        </w:rPr>
        <w:t>.</w:t>
      </w:r>
    </w:p>
    <w:bookmarkEnd w:id="212"/>
    <w:p w14:paraId="19FD70C1" w14:textId="552CDF5F" w:rsidR="00C86044" w:rsidRPr="00C86044" w:rsidRDefault="00C86044" w:rsidP="00E42342">
      <w:pPr>
        <w:pStyle w:val="ListParagraph"/>
        <w:numPr>
          <w:ilvl w:val="0"/>
          <w:numId w:val="283"/>
        </w:numPr>
        <w:spacing w:before="120" w:after="120" w:line="240" w:lineRule="auto"/>
        <w:contextualSpacing w:val="0"/>
        <w:jc w:val="both"/>
        <w:rPr>
          <w:color w:val="4F81BD" w:themeColor="accent1"/>
          <w:sz w:val="20"/>
          <w:szCs w:val="20"/>
        </w:rPr>
      </w:pPr>
      <w:r>
        <w:rPr>
          <w:color w:val="4F81BD" w:themeColor="accent1"/>
          <w:sz w:val="20"/>
          <w:szCs w:val="20"/>
        </w:rPr>
        <w:t>ETS support potential</w:t>
      </w:r>
    </w:p>
    <w:p w14:paraId="663D08B9" w14:textId="186AA3C4" w:rsidR="00285FBB" w:rsidRPr="00402580" w:rsidRDefault="00285FBB" w:rsidP="00285FBB">
      <w:pPr>
        <w:jc w:val="both"/>
        <w:rPr>
          <w:rFonts w:ascii="Arial" w:hAnsi="Arial" w:cs="Arial"/>
          <w:sz w:val="20"/>
          <w:szCs w:val="20"/>
        </w:rPr>
      </w:pPr>
      <w:r w:rsidRPr="00402580">
        <w:rPr>
          <w:rFonts w:ascii="Arial" w:hAnsi="Arial" w:cs="Arial"/>
          <w:sz w:val="20"/>
          <w:szCs w:val="20"/>
        </w:rPr>
        <w:t xml:space="preserve">When it comes to </w:t>
      </w:r>
      <w:r w:rsidRPr="00402580">
        <w:rPr>
          <w:rFonts w:ascii="Arial" w:hAnsi="Arial" w:cs="Arial"/>
          <w:b/>
          <w:bCs/>
          <w:sz w:val="20"/>
          <w:szCs w:val="20"/>
        </w:rPr>
        <w:t>ETS support potential</w:t>
      </w:r>
      <w:r w:rsidRPr="00402580">
        <w:rPr>
          <w:rFonts w:ascii="Arial" w:hAnsi="Arial" w:cs="Arial"/>
          <w:sz w:val="20"/>
          <w:szCs w:val="20"/>
        </w:rPr>
        <w:t xml:space="preserve"> in Gorj</w:t>
      </w:r>
      <w:r w:rsidR="00375CE8">
        <w:rPr>
          <w:rFonts w:ascii="Arial" w:hAnsi="Arial" w:cs="Arial"/>
          <w:sz w:val="20"/>
          <w:szCs w:val="20"/>
        </w:rPr>
        <w:t>,</w:t>
      </w:r>
      <w:r w:rsidRPr="00402580">
        <w:rPr>
          <w:rFonts w:ascii="Arial" w:hAnsi="Arial" w:cs="Arial"/>
          <w:sz w:val="20"/>
          <w:szCs w:val="20"/>
        </w:rPr>
        <w:t xml:space="preserve"> 97% of verified emissions occur in the two power generation units owned by Complexul Energetic Oltenia, Rovinari and Turceni. In 2019, Gorj has seen a gap </w:t>
      </w:r>
      <w:r w:rsidR="00375CE8">
        <w:rPr>
          <w:rFonts w:ascii="Arial" w:hAnsi="Arial" w:cs="Arial"/>
          <w:sz w:val="20"/>
          <w:szCs w:val="20"/>
        </w:rPr>
        <w:t xml:space="preserve">of more than 8 million </w:t>
      </w:r>
      <w:r w:rsidR="00375CE8" w:rsidRPr="006F1AC6">
        <w:rPr>
          <w:rFonts w:ascii="Arial" w:hAnsi="Arial" w:cs="Arial"/>
          <w:sz w:val="20"/>
          <w:szCs w:val="20"/>
        </w:rPr>
        <w:t>allowances</w:t>
      </w:r>
      <w:r w:rsidR="00375CE8" w:rsidRPr="00375CE8">
        <w:rPr>
          <w:rFonts w:ascii="Arial" w:hAnsi="Arial" w:cs="Arial"/>
          <w:sz w:val="20"/>
          <w:szCs w:val="20"/>
        </w:rPr>
        <w:t xml:space="preserve"> </w:t>
      </w:r>
      <w:r w:rsidRPr="00402580">
        <w:rPr>
          <w:rFonts w:ascii="Arial" w:hAnsi="Arial" w:cs="Arial"/>
          <w:sz w:val="20"/>
          <w:szCs w:val="20"/>
        </w:rPr>
        <w:t>between freely allocated versus verified emissions</w:t>
      </w:r>
      <w:r w:rsidR="00375CE8">
        <w:rPr>
          <w:rFonts w:ascii="Arial" w:hAnsi="Arial" w:cs="Arial"/>
          <w:sz w:val="20"/>
          <w:szCs w:val="20"/>
        </w:rPr>
        <w:t>;</w:t>
      </w:r>
      <w:r w:rsidRPr="00402580">
        <w:rPr>
          <w:rFonts w:ascii="Arial" w:hAnsi="Arial" w:cs="Arial"/>
          <w:sz w:val="20"/>
          <w:szCs w:val="20"/>
        </w:rPr>
        <w:t xml:space="preserve"> 98% of total verified emissions are to be acquired from the market. The outflow of cash from the department is about </w:t>
      </w:r>
      <w:r w:rsidR="00375CE8">
        <w:rPr>
          <w:rFonts w:ascii="Arial" w:hAnsi="Arial" w:cs="Arial"/>
          <w:sz w:val="20"/>
          <w:szCs w:val="20"/>
        </w:rPr>
        <w:t xml:space="preserve">EUR </w:t>
      </w:r>
      <w:r w:rsidRPr="00402580">
        <w:rPr>
          <w:rFonts w:ascii="Arial" w:hAnsi="Arial" w:cs="Arial"/>
          <w:sz w:val="20"/>
          <w:szCs w:val="20"/>
        </w:rPr>
        <w:t xml:space="preserve">200 </w:t>
      </w:r>
      <w:r w:rsidR="003F334A">
        <w:rPr>
          <w:rFonts w:ascii="Arial" w:hAnsi="Arial" w:cs="Arial"/>
          <w:sz w:val="20"/>
          <w:szCs w:val="20"/>
        </w:rPr>
        <w:t>million</w:t>
      </w:r>
      <w:r w:rsidRPr="00402580">
        <w:rPr>
          <w:rFonts w:ascii="Arial" w:hAnsi="Arial" w:cs="Arial"/>
          <w:sz w:val="20"/>
          <w:szCs w:val="20"/>
        </w:rPr>
        <w:t xml:space="preserve"> at the average price of </w:t>
      </w:r>
      <w:r w:rsidR="00375CE8">
        <w:rPr>
          <w:rFonts w:ascii="Arial" w:hAnsi="Arial" w:cs="Arial"/>
          <w:sz w:val="20"/>
          <w:szCs w:val="20"/>
        </w:rPr>
        <w:t xml:space="preserve">EUR </w:t>
      </w:r>
      <w:r w:rsidRPr="00402580">
        <w:rPr>
          <w:rFonts w:ascii="Arial" w:hAnsi="Arial" w:cs="Arial"/>
          <w:sz w:val="20"/>
          <w:szCs w:val="20"/>
        </w:rPr>
        <w:t>25 per allowance in 2019.</w:t>
      </w:r>
    </w:p>
    <w:p w14:paraId="08F7F7E9" w14:textId="61A3D5D0" w:rsidR="00C86044" w:rsidRPr="00C86044" w:rsidRDefault="00C86044" w:rsidP="00E42342">
      <w:pPr>
        <w:pStyle w:val="ListParagraph"/>
        <w:numPr>
          <w:ilvl w:val="0"/>
          <w:numId w:val="284"/>
        </w:numPr>
        <w:spacing w:before="120" w:after="120" w:line="240" w:lineRule="auto"/>
        <w:ind w:left="810" w:hanging="810"/>
        <w:contextualSpacing w:val="0"/>
        <w:jc w:val="both"/>
        <w:rPr>
          <w:color w:val="4F81BD" w:themeColor="accent1"/>
          <w:sz w:val="20"/>
          <w:szCs w:val="20"/>
        </w:rPr>
      </w:pPr>
      <w:r>
        <w:rPr>
          <w:color w:val="4F81BD" w:themeColor="accent1"/>
          <w:sz w:val="20"/>
          <w:szCs w:val="20"/>
        </w:rPr>
        <w:t>Energy poverty and district heating</w:t>
      </w:r>
    </w:p>
    <w:p w14:paraId="59C27896" w14:textId="77C6EA97" w:rsidR="00DE2577" w:rsidRPr="003516DC" w:rsidRDefault="00DE2577" w:rsidP="00C86044">
      <w:pPr>
        <w:spacing w:after="120"/>
        <w:jc w:val="both"/>
        <w:rPr>
          <w:rFonts w:ascii="Arial" w:eastAsia="Times New Roman" w:hAnsi="Arial" w:cs="Arial"/>
          <w:sz w:val="20"/>
          <w:szCs w:val="20"/>
          <w:lang w:val="en-US"/>
        </w:rPr>
      </w:pPr>
      <w:r w:rsidRPr="00402580">
        <w:rPr>
          <w:rFonts w:ascii="Arial" w:hAnsi="Arial" w:cs="Arial"/>
          <w:sz w:val="20"/>
          <w:szCs w:val="20"/>
        </w:rPr>
        <w:t xml:space="preserve">In terms of </w:t>
      </w:r>
      <w:r w:rsidRPr="00402580">
        <w:rPr>
          <w:rFonts w:ascii="Arial" w:hAnsi="Arial" w:cs="Arial"/>
          <w:b/>
          <w:bCs/>
          <w:sz w:val="20"/>
          <w:szCs w:val="20"/>
        </w:rPr>
        <w:t>energy poverty</w:t>
      </w:r>
      <w:r w:rsidRPr="00402580">
        <w:rPr>
          <w:rFonts w:ascii="Arial" w:hAnsi="Arial" w:cs="Arial"/>
          <w:sz w:val="20"/>
          <w:szCs w:val="20"/>
        </w:rPr>
        <w:t xml:space="preserve">, </w:t>
      </w:r>
      <w:r w:rsidRPr="00402580">
        <w:rPr>
          <w:rFonts w:ascii="Arial" w:eastAsia="Times New Roman" w:hAnsi="Arial" w:cs="Arial"/>
          <w:sz w:val="20"/>
          <w:szCs w:val="20"/>
          <w:lang w:val="en-US"/>
        </w:rPr>
        <w:t>Go</w:t>
      </w:r>
      <w:r w:rsidRPr="003516DC">
        <w:rPr>
          <w:rFonts w:ascii="Arial" w:eastAsia="Times New Roman" w:hAnsi="Arial" w:cs="Arial"/>
          <w:color w:val="000000"/>
          <w:sz w:val="20"/>
          <w:szCs w:val="20"/>
          <w:lang w:val="en-US"/>
        </w:rPr>
        <w:t>rj has a population of 356,571 in 128,263 households</w:t>
      </w:r>
      <w:r w:rsidR="003F334A">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an average of 2.78 per household. 54% of the population lives in rural areas, 46% in urban areas. Gorj has the highest percentage of the population living in rural areas, where energy poverty is particularly difficult to eradicate. Energy poverty rates illustrate the high percentage of rural households, especially during winter, when 55% of households are estimated to be energy poor. 35% of the population does not have access to the gas grid. Gorj has a fairly high GDP per capita, close to the national average</w:t>
      </w:r>
      <w:r w:rsidR="003F334A">
        <w:rPr>
          <w:rFonts w:ascii="Arial" w:eastAsia="Times New Roman" w:hAnsi="Arial" w:cs="Arial"/>
          <w:color w:val="000000"/>
          <w:sz w:val="20"/>
          <w:szCs w:val="20"/>
          <w:lang w:val="en-US"/>
        </w:rPr>
        <w:t xml:space="preserve"> of EUR</w:t>
      </w:r>
      <w:r w:rsidRPr="003516DC">
        <w:rPr>
          <w:rFonts w:ascii="Arial" w:eastAsia="Times New Roman" w:hAnsi="Arial" w:cs="Arial"/>
          <w:color w:val="000000"/>
          <w:sz w:val="20"/>
          <w:szCs w:val="20"/>
          <w:lang w:val="en-US"/>
        </w:rPr>
        <w:t>11</w:t>
      </w:r>
      <w:r w:rsidR="003F334A">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896. </w:t>
      </w:r>
    </w:p>
    <w:p w14:paraId="7CF6E719" w14:textId="08A2F909" w:rsidR="00DE2577" w:rsidRPr="00C86044" w:rsidRDefault="00DE2577" w:rsidP="00C86044">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lastRenderedPageBreak/>
        <w:t>In Motru, UATAA still supplies heating services to 6</w:t>
      </w:r>
      <w:r w:rsidR="003F334A">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400 apartments, but the number of requests for disconnections is increasing. The main financial burden of the company comes from outstanding bills from households, plus the need to pay for CO</w:t>
      </w:r>
      <w:r w:rsidRPr="00402580">
        <w:rPr>
          <w:rFonts w:ascii="Arial" w:eastAsia="Times New Roman" w:hAnsi="Arial" w:cs="Arial"/>
          <w:color w:val="000000"/>
          <w:sz w:val="20"/>
          <w:szCs w:val="20"/>
          <w:vertAlign w:val="subscript"/>
          <w:lang w:val="en-US"/>
        </w:rPr>
        <w:t>2</w:t>
      </w:r>
      <w:r w:rsidRPr="003516DC">
        <w:rPr>
          <w:rFonts w:ascii="Arial" w:eastAsia="Times New Roman" w:hAnsi="Arial" w:cs="Arial"/>
          <w:color w:val="000000"/>
          <w:sz w:val="20"/>
          <w:szCs w:val="20"/>
          <w:lang w:val="en-US"/>
        </w:rPr>
        <w:t xml:space="preserve"> certificates, estimated at </w:t>
      </w:r>
      <w:r w:rsidR="00867222">
        <w:rPr>
          <w:rFonts w:ascii="Arial" w:eastAsia="Times New Roman" w:hAnsi="Arial" w:cs="Arial"/>
          <w:color w:val="000000"/>
          <w:sz w:val="20"/>
          <w:szCs w:val="20"/>
          <w:lang w:val="en-US"/>
        </w:rPr>
        <w:t xml:space="preserve">EUR </w:t>
      </w:r>
      <w:r w:rsidRPr="003516DC">
        <w:rPr>
          <w:rFonts w:ascii="Arial" w:eastAsia="Times New Roman" w:hAnsi="Arial" w:cs="Arial"/>
          <w:color w:val="000000"/>
          <w:sz w:val="20"/>
          <w:szCs w:val="20"/>
          <w:lang w:val="en-US"/>
        </w:rPr>
        <w:t xml:space="preserve">10 million, </w:t>
      </w:r>
      <w:r w:rsidR="00867222">
        <w:rPr>
          <w:rFonts w:ascii="Arial" w:eastAsia="Times New Roman" w:hAnsi="Arial" w:cs="Arial"/>
          <w:color w:val="000000"/>
          <w:sz w:val="20"/>
          <w:szCs w:val="20"/>
          <w:lang w:val="en-US"/>
        </w:rPr>
        <w:t xml:space="preserve">which outstrips </w:t>
      </w:r>
      <w:r w:rsidRPr="003516DC">
        <w:rPr>
          <w:rFonts w:ascii="Arial" w:eastAsia="Times New Roman" w:hAnsi="Arial" w:cs="Arial"/>
          <w:color w:val="000000"/>
          <w:sz w:val="20"/>
          <w:szCs w:val="20"/>
          <w:lang w:val="en-US"/>
        </w:rPr>
        <w:t>the possibilities of the local budget. </w:t>
      </w:r>
    </w:p>
    <w:p w14:paraId="611D24F7" w14:textId="3F314239" w:rsidR="00DE2577" w:rsidRDefault="00867222" w:rsidP="00C86044">
      <w:pPr>
        <w:spacing w:after="120"/>
        <w:jc w:val="both"/>
        <w:rPr>
          <w:rFonts w:ascii="Arial" w:hAnsi="Arial" w:cs="Arial"/>
          <w:sz w:val="20"/>
          <w:szCs w:val="20"/>
        </w:rPr>
      </w:pPr>
      <w:r>
        <w:rPr>
          <w:rFonts w:ascii="Arial" w:hAnsi="Arial" w:cs="Arial"/>
          <w:sz w:val="20"/>
          <w:szCs w:val="20"/>
        </w:rPr>
        <w:t>F</w:t>
      </w:r>
      <w:r w:rsidR="00DE2577" w:rsidRPr="003516DC">
        <w:rPr>
          <w:rFonts w:ascii="Arial" w:hAnsi="Arial" w:cs="Arial"/>
          <w:sz w:val="20"/>
          <w:szCs w:val="20"/>
        </w:rPr>
        <w:t>igure</w:t>
      </w:r>
      <w:r>
        <w:rPr>
          <w:rFonts w:ascii="Arial" w:hAnsi="Arial" w:cs="Arial"/>
          <w:sz w:val="20"/>
          <w:szCs w:val="20"/>
        </w:rPr>
        <w:t xml:space="preserve"> </w:t>
      </w:r>
      <w:r w:rsidR="00C86044">
        <w:rPr>
          <w:rFonts w:ascii="Arial" w:hAnsi="Arial" w:cs="Arial"/>
          <w:sz w:val="20"/>
          <w:szCs w:val="20"/>
        </w:rPr>
        <w:t>14</w:t>
      </w:r>
      <w:r w:rsidR="00DE2577" w:rsidRPr="003516DC">
        <w:rPr>
          <w:rFonts w:ascii="Arial" w:hAnsi="Arial" w:cs="Arial"/>
          <w:sz w:val="20"/>
          <w:szCs w:val="20"/>
        </w:rPr>
        <w:t xml:space="preserve"> show</w:t>
      </w:r>
      <w:r w:rsidR="00DE2577">
        <w:rPr>
          <w:rFonts w:ascii="Arial" w:hAnsi="Arial" w:cs="Arial"/>
          <w:sz w:val="20"/>
          <w:szCs w:val="20"/>
        </w:rPr>
        <w:t>s</w:t>
      </w:r>
      <w:r w:rsidR="00DE2577" w:rsidRPr="003516DC">
        <w:rPr>
          <w:rFonts w:ascii="Arial" w:hAnsi="Arial" w:cs="Arial"/>
          <w:sz w:val="20"/>
          <w:szCs w:val="20"/>
        </w:rPr>
        <w:t xml:space="preserve"> the intensity of gas consumption in</w:t>
      </w:r>
      <w:r w:rsidR="00DE2577">
        <w:rPr>
          <w:rFonts w:ascii="Arial" w:hAnsi="Arial" w:cs="Arial"/>
          <w:sz w:val="20"/>
          <w:szCs w:val="20"/>
        </w:rPr>
        <w:t xml:space="preserve"> Gorj </w:t>
      </w:r>
      <w:r>
        <w:rPr>
          <w:rFonts w:ascii="Arial" w:hAnsi="Arial" w:cs="Arial"/>
          <w:sz w:val="20"/>
          <w:szCs w:val="20"/>
        </w:rPr>
        <w:t>C</w:t>
      </w:r>
      <w:r w:rsidR="00DE2577">
        <w:rPr>
          <w:rFonts w:ascii="Arial" w:hAnsi="Arial" w:cs="Arial"/>
          <w:sz w:val="20"/>
          <w:szCs w:val="20"/>
        </w:rPr>
        <w:t>ounty</w:t>
      </w:r>
      <w:r w:rsidR="00DE2577" w:rsidRPr="003516DC">
        <w:rPr>
          <w:rFonts w:ascii="Arial" w:hAnsi="Arial" w:cs="Arial"/>
          <w:sz w:val="20"/>
          <w:szCs w:val="20"/>
        </w:rPr>
        <w:t>. Th</w:t>
      </w:r>
      <w:r w:rsidR="00DE2577">
        <w:rPr>
          <w:rFonts w:ascii="Arial" w:hAnsi="Arial" w:cs="Arial"/>
          <w:sz w:val="20"/>
          <w:szCs w:val="20"/>
        </w:rPr>
        <w:t>is</w:t>
      </w:r>
      <w:r w:rsidR="00DE2577" w:rsidRPr="003516DC">
        <w:rPr>
          <w:rFonts w:ascii="Arial" w:hAnsi="Arial" w:cs="Arial"/>
          <w:sz w:val="20"/>
          <w:szCs w:val="20"/>
        </w:rPr>
        <w:t xml:space="preserve"> illustrate</w:t>
      </w:r>
      <w:r w:rsidR="00DE2577">
        <w:rPr>
          <w:rFonts w:ascii="Arial" w:hAnsi="Arial" w:cs="Arial"/>
          <w:sz w:val="20"/>
          <w:szCs w:val="20"/>
        </w:rPr>
        <w:t>s</w:t>
      </w:r>
      <w:r w:rsidR="00DE2577" w:rsidRPr="003516DC">
        <w:rPr>
          <w:rFonts w:ascii="Arial" w:hAnsi="Arial" w:cs="Arial"/>
          <w:sz w:val="20"/>
          <w:szCs w:val="20"/>
        </w:rPr>
        <w:t xml:space="preserve"> why, despite connections to the gas grid, many households restrict their natural gas consumption, presumably due to energy poverty</w:t>
      </w:r>
      <w:r>
        <w:rPr>
          <w:rFonts w:ascii="Arial" w:hAnsi="Arial" w:cs="Arial"/>
          <w:sz w:val="20"/>
          <w:szCs w:val="20"/>
        </w:rPr>
        <w:t>.</w:t>
      </w:r>
    </w:p>
    <w:p w14:paraId="6B2E174B" w14:textId="09080F11" w:rsidR="00DE2577" w:rsidRPr="003516DC" w:rsidRDefault="00DE2577" w:rsidP="00DE2577">
      <w:pPr>
        <w:pStyle w:val="Caption"/>
      </w:pPr>
      <w:bookmarkStart w:id="213" w:name="_Toc90725941"/>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14</w:t>
      </w:r>
      <w:r w:rsidRPr="003516DC">
        <w:rPr>
          <w:noProof/>
        </w:rPr>
        <w:fldChar w:fldCharType="end"/>
      </w:r>
      <w:r w:rsidRPr="003516DC">
        <w:t>: Residential gas consumption per UAT in Gorj county (</w:t>
      </w:r>
      <w:r w:rsidR="00867222">
        <w:t>‘000</w:t>
      </w:r>
      <w:r w:rsidRPr="003516DC">
        <w:t xml:space="preserve"> cubic meters)</w:t>
      </w:r>
      <w:bookmarkEnd w:id="213"/>
    </w:p>
    <w:p w14:paraId="62407767" w14:textId="77777777" w:rsidR="00DE2577" w:rsidRPr="003516DC" w:rsidRDefault="00DE2577" w:rsidP="00DE2577">
      <w:pPr>
        <w:rPr>
          <w:rFonts w:ascii="Arial" w:hAnsi="Arial" w:cs="Arial"/>
        </w:rPr>
      </w:pPr>
      <w:r w:rsidRPr="00402580">
        <w:rPr>
          <w:rFonts w:ascii="Arial" w:hAnsi="Arial" w:cs="Arial"/>
          <w:noProof/>
          <w:lang w:val="en-US" w:eastAsia="en-US"/>
        </w:rPr>
        <w:drawing>
          <wp:inline distT="0" distB="0" distL="0" distR="0" wp14:anchorId="309F7C21" wp14:editId="00BEA435">
            <wp:extent cx="5678424" cy="3749040"/>
            <wp:effectExtent l="0" t="0" r="0" b="3810"/>
            <wp:docPr id="2087055722" name="Picture 2087055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131">
                      <a:extLst>
                        <a:ext uri="{28A0092B-C50C-407E-A947-70E740481C1C}">
                          <a14:useLocalDpi xmlns:a14="http://schemas.microsoft.com/office/drawing/2010/main" val="0"/>
                        </a:ext>
                      </a:extLst>
                    </a:blip>
                    <a:stretch>
                      <a:fillRect/>
                    </a:stretch>
                  </pic:blipFill>
                  <pic:spPr>
                    <a:xfrm>
                      <a:off x="0" y="0"/>
                      <a:ext cx="5678424" cy="3749040"/>
                    </a:xfrm>
                    <a:prstGeom prst="rect">
                      <a:avLst/>
                    </a:prstGeom>
                  </pic:spPr>
                </pic:pic>
              </a:graphicData>
            </a:graphic>
          </wp:inline>
        </w:drawing>
      </w:r>
    </w:p>
    <w:p w14:paraId="5DBA5831" w14:textId="4A672CFB" w:rsidR="00597139" w:rsidRPr="00E9544E" w:rsidRDefault="00DE2577" w:rsidP="00E9544E">
      <w:pPr>
        <w:rPr>
          <w:rFonts w:ascii="Arial" w:hAnsi="Arial" w:cs="Arial"/>
          <w:i/>
          <w:iCs/>
          <w:sz w:val="16"/>
          <w:szCs w:val="16"/>
        </w:rPr>
      </w:pPr>
      <w:r w:rsidRPr="003516DC">
        <w:rPr>
          <w:rFonts w:ascii="Arial" w:hAnsi="Arial" w:cs="Arial"/>
          <w:i/>
          <w:iCs/>
          <w:sz w:val="16"/>
          <w:szCs w:val="16"/>
        </w:rPr>
        <w:t>Source: Figure processed based on NIS data, 2020</w:t>
      </w:r>
    </w:p>
    <w:p w14:paraId="06BFA341" w14:textId="0A6EF504" w:rsidR="00391EC8" w:rsidRDefault="00391EC8" w:rsidP="00E42342">
      <w:pPr>
        <w:pStyle w:val="Heading3"/>
        <w:numPr>
          <w:ilvl w:val="0"/>
          <w:numId w:val="138"/>
        </w:numPr>
        <w:spacing w:before="120" w:after="120" w:line="240" w:lineRule="auto"/>
        <w:rPr>
          <w:b w:val="0"/>
        </w:rPr>
      </w:pPr>
      <w:r w:rsidRPr="003516DC">
        <w:rPr>
          <w:b w:val="0"/>
        </w:rPr>
        <w:t>Challenges</w:t>
      </w:r>
      <w:r w:rsidR="00F0070A" w:rsidRPr="003516DC">
        <w:rPr>
          <w:b w:val="0"/>
        </w:rPr>
        <w:t xml:space="preserve"> in Gorj </w:t>
      </w:r>
      <w:r w:rsidR="00600698">
        <w:rPr>
          <w:b w:val="0"/>
        </w:rPr>
        <w:t>C</w:t>
      </w:r>
      <w:r w:rsidR="00F0070A" w:rsidRPr="003516DC">
        <w:rPr>
          <w:b w:val="0"/>
        </w:rPr>
        <w:t>ounty</w:t>
      </w:r>
    </w:p>
    <w:p w14:paraId="1F68A718" w14:textId="1F780531" w:rsidR="00654AE5" w:rsidRPr="00654AE5" w:rsidRDefault="00654AE5" w:rsidP="00654AE5">
      <w:pPr>
        <w:spacing w:after="120"/>
        <w:jc w:val="both"/>
        <w:rPr>
          <w:rFonts w:ascii="Arial" w:hAnsi="Arial" w:cs="Arial"/>
          <w:sz w:val="20"/>
          <w:szCs w:val="20"/>
        </w:rPr>
      </w:pPr>
      <w:r w:rsidRPr="00654AE5">
        <w:rPr>
          <w:rFonts w:ascii="Arial" w:hAnsi="Arial" w:cs="Arial"/>
          <w:sz w:val="20"/>
          <w:szCs w:val="20"/>
        </w:rPr>
        <w:t xml:space="preserve">Based on desk research and stakeholder interviews, </w:t>
      </w:r>
      <w:r>
        <w:rPr>
          <w:rFonts w:ascii="Arial" w:hAnsi="Arial" w:cs="Arial"/>
          <w:sz w:val="20"/>
          <w:szCs w:val="20"/>
        </w:rPr>
        <w:t>Gorj</w:t>
      </w:r>
      <w:r w:rsidRPr="00654AE5">
        <w:rPr>
          <w:rFonts w:ascii="Arial" w:hAnsi="Arial" w:cs="Arial"/>
          <w:sz w:val="20"/>
          <w:szCs w:val="20"/>
        </w:rPr>
        <w:t xml:space="preserve"> County faces several challenges:</w:t>
      </w:r>
    </w:p>
    <w:p w14:paraId="7933FA7C" w14:textId="4035BDAB" w:rsidR="00DC66DF" w:rsidRPr="003516DC" w:rsidRDefault="00DC66DF" w:rsidP="00DC66DF">
      <w:pPr>
        <w:jc w:val="both"/>
        <w:rPr>
          <w:rFonts w:ascii="Arial" w:hAnsi="Arial" w:cs="Arial"/>
          <w:sz w:val="8"/>
          <w:szCs w:val="8"/>
        </w:rPr>
      </w:pPr>
    </w:p>
    <w:p w14:paraId="46EA93E7" w14:textId="7FA2E120" w:rsidR="00391EC8" w:rsidRPr="003516DC" w:rsidRDefault="00391EC8" w:rsidP="00597139">
      <w:pPr>
        <w:numPr>
          <w:ilvl w:val="0"/>
          <w:numId w:val="5"/>
        </w:numPr>
        <w:ind w:left="360"/>
        <w:jc w:val="both"/>
        <w:rPr>
          <w:rFonts w:ascii="Arial" w:hAnsi="Arial" w:cs="Arial"/>
          <w:sz w:val="20"/>
          <w:szCs w:val="20"/>
        </w:rPr>
      </w:pPr>
      <w:r w:rsidRPr="003516DC">
        <w:rPr>
          <w:rFonts w:ascii="Arial" w:hAnsi="Arial" w:cs="Arial"/>
          <w:sz w:val="20"/>
          <w:szCs w:val="20"/>
        </w:rPr>
        <w:t>The decline of local manufacturing, a sector with high employment potential, has to do with knowledge intensity: 80% of the turnover of local manufacturing is generated by medium-low and low-tech industries.</w:t>
      </w:r>
    </w:p>
    <w:p w14:paraId="429A8622" w14:textId="77777777" w:rsidR="00391EC8" w:rsidRPr="003516DC" w:rsidRDefault="00391EC8" w:rsidP="00597139">
      <w:pPr>
        <w:ind w:left="360"/>
        <w:jc w:val="both"/>
        <w:rPr>
          <w:rFonts w:ascii="Arial" w:hAnsi="Arial" w:cs="Arial"/>
          <w:sz w:val="8"/>
          <w:szCs w:val="8"/>
        </w:rPr>
      </w:pPr>
    </w:p>
    <w:p w14:paraId="071F72CC" w14:textId="67E3A3FD"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The main challenge at the county level is the concentration of economic activities around a single industry/company: Oltenia Energy Complex employ</w:t>
      </w:r>
      <w:r w:rsidR="00BA4ED6" w:rsidRPr="003516DC">
        <w:rPr>
          <w:rFonts w:ascii="Arial" w:hAnsi="Arial" w:cs="Arial"/>
          <w:sz w:val="20"/>
          <w:szCs w:val="20"/>
        </w:rPr>
        <w:t>ed</w:t>
      </w:r>
      <w:r w:rsidRPr="003516DC">
        <w:rPr>
          <w:rFonts w:ascii="Arial" w:hAnsi="Arial" w:cs="Arial"/>
          <w:sz w:val="20"/>
          <w:szCs w:val="20"/>
        </w:rPr>
        <w:t xml:space="preserve"> 12,858 direct employees </w:t>
      </w:r>
      <w:r w:rsidR="00BA4ED6" w:rsidRPr="003516DC">
        <w:rPr>
          <w:rFonts w:ascii="Arial" w:hAnsi="Arial" w:cs="Arial"/>
          <w:sz w:val="20"/>
          <w:szCs w:val="20"/>
        </w:rPr>
        <w:t xml:space="preserve">in Gorj </w:t>
      </w:r>
      <w:r w:rsidRPr="003516DC">
        <w:rPr>
          <w:rFonts w:ascii="Arial" w:hAnsi="Arial" w:cs="Arial"/>
          <w:sz w:val="20"/>
          <w:szCs w:val="20"/>
        </w:rPr>
        <w:t>at the end of 2019 (38% of the total workforce employed in the county)</w:t>
      </w:r>
      <w:r w:rsidR="00891AB3" w:rsidRPr="003516DC">
        <w:rPr>
          <w:rFonts w:ascii="Arial" w:hAnsi="Arial" w:cs="Arial"/>
          <w:sz w:val="20"/>
          <w:szCs w:val="20"/>
        </w:rPr>
        <w:t>.</w:t>
      </w:r>
      <w:r w:rsidRPr="003516DC">
        <w:rPr>
          <w:rFonts w:ascii="Arial" w:hAnsi="Arial" w:cs="Arial"/>
          <w:sz w:val="20"/>
          <w:szCs w:val="20"/>
        </w:rPr>
        <w:t xml:space="preserve"> </w:t>
      </w:r>
      <w:r w:rsidR="00891AB3" w:rsidRPr="003516DC">
        <w:rPr>
          <w:rFonts w:ascii="Arial" w:hAnsi="Arial" w:cs="Arial"/>
          <w:sz w:val="20"/>
          <w:szCs w:val="20"/>
        </w:rPr>
        <w:t xml:space="preserve">Another </w:t>
      </w:r>
      <w:r w:rsidRPr="003516DC">
        <w:rPr>
          <w:rFonts w:ascii="Arial" w:hAnsi="Arial" w:cs="Arial"/>
          <w:sz w:val="20"/>
          <w:szCs w:val="20"/>
        </w:rPr>
        <w:t xml:space="preserve">7,280 employees </w:t>
      </w:r>
      <w:r w:rsidR="006C7CE4" w:rsidRPr="003516DC">
        <w:rPr>
          <w:rFonts w:ascii="Arial" w:hAnsi="Arial" w:cs="Arial"/>
          <w:sz w:val="20"/>
          <w:szCs w:val="20"/>
        </w:rPr>
        <w:t xml:space="preserve">are </w:t>
      </w:r>
      <w:r w:rsidRPr="003516DC">
        <w:rPr>
          <w:rFonts w:ascii="Arial" w:hAnsi="Arial" w:cs="Arial"/>
          <w:sz w:val="20"/>
          <w:szCs w:val="20"/>
        </w:rPr>
        <w:t>indirectly engage</w:t>
      </w:r>
      <w:r w:rsidR="006C7CE4" w:rsidRPr="003516DC">
        <w:rPr>
          <w:rFonts w:ascii="Arial" w:hAnsi="Arial" w:cs="Arial"/>
          <w:sz w:val="20"/>
          <w:szCs w:val="20"/>
        </w:rPr>
        <w:t>d</w:t>
      </w:r>
      <w:r w:rsidRPr="003516DC">
        <w:rPr>
          <w:rFonts w:ascii="Arial" w:hAnsi="Arial" w:cs="Arial"/>
          <w:sz w:val="20"/>
          <w:szCs w:val="20"/>
        </w:rPr>
        <w:t xml:space="preserve"> in economic activity (production of assemblies and sub-assemblies, public catering services, transport services, medical services, security and protection services, etc.). 120 companies </w:t>
      </w:r>
      <w:r w:rsidR="00C5465A" w:rsidRPr="003516DC">
        <w:rPr>
          <w:rFonts w:ascii="Arial" w:hAnsi="Arial" w:cs="Arial"/>
          <w:sz w:val="20"/>
          <w:szCs w:val="20"/>
        </w:rPr>
        <w:t xml:space="preserve">have </w:t>
      </w:r>
      <w:r w:rsidRPr="003516DC">
        <w:rPr>
          <w:rFonts w:ascii="Arial" w:hAnsi="Arial" w:cs="Arial"/>
          <w:sz w:val="20"/>
          <w:szCs w:val="20"/>
        </w:rPr>
        <w:t xml:space="preserve">yearly turnovers in excess of </w:t>
      </w:r>
      <w:r w:rsidR="006349A9" w:rsidRPr="003516DC">
        <w:rPr>
          <w:rFonts w:ascii="Arial" w:hAnsi="Arial" w:cs="Arial"/>
          <w:sz w:val="20"/>
          <w:szCs w:val="20"/>
        </w:rPr>
        <w:t xml:space="preserve">EUR </w:t>
      </w:r>
      <w:r w:rsidRPr="003516DC">
        <w:rPr>
          <w:rFonts w:ascii="Arial" w:hAnsi="Arial" w:cs="Arial"/>
          <w:sz w:val="20"/>
          <w:szCs w:val="20"/>
        </w:rPr>
        <w:t xml:space="preserve">1 m, and half of these </w:t>
      </w:r>
      <w:r w:rsidR="00DD174F" w:rsidRPr="003516DC">
        <w:rPr>
          <w:rFonts w:ascii="Arial" w:hAnsi="Arial" w:cs="Arial"/>
          <w:sz w:val="20"/>
          <w:szCs w:val="20"/>
        </w:rPr>
        <w:t xml:space="preserve">rely on </w:t>
      </w:r>
      <w:r w:rsidRPr="003516DC">
        <w:rPr>
          <w:rFonts w:ascii="Arial" w:hAnsi="Arial" w:cs="Arial"/>
          <w:sz w:val="20"/>
          <w:szCs w:val="20"/>
        </w:rPr>
        <w:t xml:space="preserve">Oltenia Energy Complex </w:t>
      </w:r>
      <w:r w:rsidR="008B72BB" w:rsidRPr="003516DC">
        <w:rPr>
          <w:rFonts w:ascii="Arial" w:hAnsi="Arial" w:cs="Arial"/>
          <w:sz w:val="20"/>
          <w:szCs w:val="20"/>
        </w:rPr>
        <w:t xml:space="preserve">as </w:t>
      </w:r>
      <w:r w:rsidRPr="003516DC">
        <w:rPr>
          <w:rFonts w:ascii="Arial" w:hAnsi="Arial" w:cs="Arial"/>
          <w:sz w:val="20"/>
          <w:szCs w:val="20"/>
        </w:rPr>
        <w:t>an important client (according to stakeholder interviews</w:t>
      </w:r>
      <w:r w:rsidR="009D131A" w:rsidRPr="003516DC">
        <w:rPr>
          <w:rFonts w:ascii="Arial" w:hAnsi="Arial" w:cs="Arial"/>
          <w:sz w:val="20"/>
          <w:szCs w:val="20"/>
        </w:rPr>
        <w:t>,</w:t>
      </w:r>
      <w:r w:rsidRPr="003516DC">
        <w:rPr>
          <w:rFonts w:ascii="Arial" w:hAnsi="Arial" w:cs="Arial"/>
          <w:sz w:val="20"/>
          <w:szCs w:val="20"/>
        </w:rPr>
        <w:t xml:space="preserve"> up to 50% of the turnover of these companies is dependent on Oltenia Energy Complex as a client). </w:t>
      </w:r>
      <w:r w:rsidR="009320BC" w:rsidRPr="003516DC">
        <w:rPr>
          <w:rFonts w:ascii="Arial" w:hAnsi="Arial" w:cs="Arial"/>
          <w:sz w:val="20"/>
          <w:szCs w:val="20"/>
        </w:rPr>
        <w:t xml:space="preserve">The </w:t>
      </w:r>
      <w:r w:rsidRPr="003516DC">
        <w:rPr>
          <w:rFonts w:ascii="Arial" w:hAnsi="Arial" w:cs="Arial"/>
          <w:sz w:val="20"/>
          <w:szCs w:val="20"/>
        </w:rPr>
        <w:t>transition from obsolete coal-fired installations to new technologies (gas-fired power plants, photovoltaics), as per the current restructuring plans of the complex, requires much less staff</w:t>
      </w:r>
      <w:r w:rsidR="009320BC" w:rsidRPr="003516DC">
        <w:rPr>
          <w:rFonts w:ascii="Arial" w:hAnsi="Arial" w:cs="Arial"/>
          <w:sz w:val="20"/>
          <w:szCs w:val="20"/>
        </w:rPr>
        <w:t xml:space="preserve"> to operate. At</w:t>
      </w:r>
      <w:r w:rsidRPr="003516DC">
        <w:rPr>
          <w:rFonts w:ascii="Arial" w:hAnsi="Arial" w:cs="Arial"/>
          <w:sz w:val="20"/>
          <w:szCs w:val="20"/>
        </w:rPr>
        <w:t xml:space="preserve"> the same time</w:t>
      </w:r>
      <w:r w:rsidR="009320BC" w:rsidRPr="003516DC">
        <w:rPr>
          <w:rFonts w:ascii="Arial" w:hAnsi="Arial" w:cs="Arial"/>
          <w:sz w:val="20"/>
          <w:szCs w:val="20"/>
        </w:rPr>
        <w:t>,</w:t>
      </w:r>
      <w:r w:rsidRPr="003516DC">
        <w:rPr>
          <w:rFonts w:ascii="Arial" w:hAnsi="Arial" w:cs="Arial"/>
          <w:sz w:val="20"/>
          <w:szCs w:val="20"/>
        </w:rPr>
        <w:t xml:space="preserve"> given the senior average age of employees in the </w:t>
      </w:r>
      <w:r w:rsidR="009320BC" w:rsidRPr="003516DC">
        <w:rPr>
          <w:rFonts w:ascii="Arial" w:hAnsi="Arial" w:cs="Arial"/>
          <w:sz w:val="20"/>
          <w:szCs w:val="20"/>
        </w:rPr>
        <w:t xml:space="preserve">complex, </w:t>
      </w:r>
      <w:r w:rsidRPr="003516DC">
        <w:rPr>
          <w:rFonts w:ascii="Arial" w:hAnsi="Arial" w:cs="Arial"/>
          <w:sz w:val="20"/>
          <w:szCs w:val="20"/>
        </w:rPr>
        <w:t xml:space="preserve">so the possibility of early retirement for a considerable number of the current employees, by 2030 the company estimates it will lay off about 1,785 working age people. Additionally, interviews by the team of consultants </w:t>
      </w:r>
      <w:r w:rsidRPr="003516DC">
        <w:rPr>
          <w:rFonts w:ascii="Arial" w:hAnsi="Arial" w:cs="Arial"/>
          <w:sz w:val="20"/>
          <w:szCs w:val="20"/>
        </w:rPr>
        <w:lastRenderedPageBreak/>
        <w:t>during December 2020-February 2021, revealed that an additional number of 3,640 employees from linked businesses may be made redundant by 2030</w:t>
      </w:r>
      <w:r w:rsidRPr="003516DC">
        <w:rPr>
          <w:rFonts w:ascii="Arial" w:hAnsi="Arial" w:cs="Arial"/>
          <w:sz w:val="20"/>
          <w:szCs w:val="20"/>
          <w:vertAlign w:val="superscript"/>
        </w:rPr>
        <w:footnoteReference w:id="97"/>
      </w:r>
      <w:r w:rsidRPr="003516DC">
        <w:rPr>
          <w:rFonts w:ascii="Arial" w:hAnsi="Arial" w:cs="Arial"/>
          <w:sz w:val="20"/>
          <w:szCs w:val="20"/>
        </w:rPr>
        <w:t>.</w:t>
      </w:r>
    </w:p>
    <w:p w14:paraId="40DA5759" w14:textId="77777777" w:rsidR="00391EC8" w:rsidRPr="003516DC" w:rsidRDefault="00391EC8" w:rsidP="00597139">
      <w:pPr>
        <w:tabs>
          <w:tab w:val="center" w:pos="4680"/>
          <w:tab w:val="right" w:pos="9360"/>
        </w:tabs>
        <w:ind w:left="360"/>
        <w:jc w:val="both"/>
        <w:rPr>
          <w:rFonts w:ascii="Arial" w:hAnsi="Arial" w:cs="Arial"/>
          <w:sz w:val="8"/>
          <w:szCs w:val="8"/>
        </w:rPr>
      </w:pPr>
    </w:p>
    <w:p w14:paraId="10D7C960" w14:textId="3F86D738"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While there is capacity, especially in the ecosystem of the local University in Târgu-Jiu, to promote entrepreneurial education and even to organi</w:t>
      </w:r>
      <w:r w:rsidR="00E31F36" w:rsidRPr="003516DC">
        <w:rPr>
          <w:rFonts w:ascii="Arial" w:hAnsi="Arial" w:cs="Arial"/>
          <w:sz w:val="20"/>
          <w:szCs w:val="20"/>
        </w:rPr>
        <w:t>s</w:t>
      </w:r>
      <w:r w:rsidRPr="003516DC">
        <w:rPr>
          <w:rFonts w:ascii="Arial" w:hAnsi="Arial" w:cs="Arial"/>
          <w:sz w:val="20"/>
          <w:szCs w:val="20"/>
        </w:rPr>
        <w:t>e business incubators, past experience show</w:t>
      </w:r>
      <w:r w:rsidR="00E31F36" w:rsidRPr="003516DC">
        <w:rPr>
          <w:rFonts w:ascii="Arial" w:hAnsi="Arial" w:cs="Arial"/>
          <w:sz w:val="20"/>
          <w:szCs w:val="20"/>
        </w:rPr>
        <w:t>s</w:t>
      </w:r>
      <w:r w:rsidRPr="003516DC">
        <w:rPr>
          <w:rFonts w:ascii="Arial" w:hAnsi="Arial" w:cs="Arial"/>
          <w:sz w:val="20"/>
          <w:szCs w:val="20"/>
        </w:rPr>
        <w:t xml:space="preserve"> that local incubators have a poor track record in terms of the sustainability of supported businesses (less than 15% of entrepreneurship class graduates actually start a business, according to local stakeholder interviews).</w:t>
      </w:r>
    </w:p>
    <w:p w14:paraId="1B28AC04" w14:textId="77777777" w:rsidR="00391EC8" w:rsidRPr="003516DC" w:rsidRDefault="00391EC8" w:rsidP="00597139">
      <w:pPr>
        <w:tabs>
          <w:tab w:val="center" w:pos="4680"/>
          <w:tab w:val="right" w:pos="9360"/>
        </w:tabs>
        <w:ind w:left="360"/>
        <w:jc w:val="both"/>
        <w:rPr>
          <w:rFonts w:ascii="Arial" w:hAnsi="Arial" w:cs="Arial"/>
          <w:sz w:val="8"/>
          <w:szCs w:val="8"/>
        </w:rPr>
      </w:pPr>
    </w:p>
    <w:p w14:paraId="4155288A" w14:textId="32FB53B7"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Limited local entrepreneurship culture and capacity to support start-up/scale-ups.</w:t>
      </w:r>
    </w:p>
    <w:p w14:paraId="02F684BB" w14:textId="77777777" w:rsidR="00391EC8" w:rsidRPr="003516DC" w:rsidRDefault="00391EC8" w:rsidP="00597139">
      <w:pPr>
        <w:tabs>
          <w:tab w:val="center" w:pos="4680"/>
          <w:tab w:val="right" w:pos="9360"/>
        </w:tabs>
        <w:ind w:left="360"/>
        <w:jc w:val="both"/>
        <w:rPr>
          <w:rFonts w:ascii="Arial" w:hAnsi="Arial" w:cs="Arial"/>
          <w:sz w:val="8"/>
          <w:szCs w:val="8"/>
        </w:rPr>
      </w:pPr>
    </w:p>
    <w:p w14:paraId="7B01069A" w14:textId="710213C1"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Access to basic utilities continues to be an obstacle for local economic development</w:t>
      </w:r>
      <w:r w:rsidR="00840C73" w:rsidRPr="003516DC">
        <w:rPr>
          <w:rFonts w:ascii="Arial" w:hAnsi="Arial" w:cs="Arial"/>
          <w:sz w:val="20"/>
          <w:szCs w:val="20"/>
        </w:rPr>
        <w:t>.</w:t>
      </w:r>
      <w:r w:rsidRPr="003516DC">
        <w:rPr>
          <w:rFonts w:ascii="Arial" w:hAnsi="Arial" w:cs="Arial"/>
          <w:sz w:val="20"/>
          <w:szCs w:val="20"/>
        </w:rPr>
        <w:t xml:space="preserve"> </w:t>
      </w:r>
      <w:r w:rsidR="00840C73" w:rsidRPr="003516DC">
        <w:rPr>
          <w:rFonts w:ascii="Arial" w:hAnsi="Arial" w:cs="Arial"/>
          <w:sz w:val="20"/>
          <w:szCs w:val="20"/>
        </w:rPr>
        <w:t>F</w:t>
      </w:r>
      <w:r w:rsidRPr="003516DC">
        <w:rPr>
          <w:rFonts w:ascii="Arial" w:hAnsi="Arial" w:cs="Arial"/>
          <w:sz w:val="20"/>
          <w:szCs w:val="20"/>
        </w:rPr>
        <w:t>or instance, only two thirds of local administrative units have access to a water distribution network and only 40% have access to the natural gas grid. Motru is the only local municipality with a district heating network (under severe constraints due to the energy transition), while the district heating network in much larger Târgu-Jiu is not any longer operational.</w:t>
      </w:r>
    </w:p>
    <w:p w14:paraId="4EA8B33E" w14:textId="77777777" w:rsidR="00094C30" w:rsidRPr="003516DC" w:rsidRDefault="00094C30" w:rsidP="00597139">
      <w:pPr>
        <w:tabs>
          <w:tab w:val="center" w:pos="4680"/>
          <w:tab w:val="right" w:pos="9360"/>
        </w:tabs>
        <w:ind w:left="360"/>
        <w:jc w:val="both"/>
        <w:rPr>
          <w:rFonts w:ascii="Arial" w:hAnsi="Arial" w:cs="Arial"/>
          <w:sz w:val="8"/>
          <w:szCs w:val="8"/>
        </w:rPr>
      </w:pPr>
    </w:p>
    <w:p w14:paraId="7167454B" w14:textId="21EC9D36"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Despite the high urbani</w:t>
      </w:r>
      <w:r w:rsidR="00290334" w:rsidRPr="003516DC">
        <w:rPr>
          <w:rFonts w:ascii="Arial" w:hAnsi="Arial" w:cs="Arial"/>
          <w:sz w:val="20"/>
          <w:szCs w:val="20"/>
        </w:rPr>
        <w:t>s</w:t>
      </w:r>
      <w:r w:rsidRPr="003516DC">
        <w:rPr>
          <w:rFonts w:ascii="Arial" w:hAnsi="Arial" w:cs="Arial"/>
          <w:sz w:val="20"/>
          <w:szCs w:val="20"/>
        </w:rPr>
        <w:t>ation rate (50% of inhabitants live in urban areas), due to a historical legacy of industriali</w:t>
      </w:r>
      <w:r w:rsidR="00290334" w:rsidRPr="003516DC">
        <w:rPr>
          <w:rFonts w:ascii="Arial" w:hAnsi="Arial" w:cs="Arial"/>
          <w:sz w:val="20"/>
          <w:szCs w:val="20"/>
        </w:rPr>
        <w:t>s</w:t>
      </w:r>
      <w:r w:rsidRPr="003516DC">
        <w:rPr>
          <w:rFonts w:ascii="Arial" w:hAnsi="Arial" w:cs="Arial"/>
          <w:sz w:val="20"/>
          <w:szCs w:val="20"/>
        </w:rPr>
        <w:t>ation, risk of poverty is high and urban poverty is rampant.</w:t>
      </w:r>
    </w:p>
    <w:p w14:paraId="0A67CEDE" w14:textId="77777777" w:rsidR="00391EC8" w:rsidRPr="003516DC" w:rsidRDefault="00391EC8" w:rsidP="00597139">
      <w:pPr>
        <w:tabs>
          <w:tab w:val="center" w:pos="4680"/>
          <w:tab w:val="right" w:pos="9360"/>
        </w:tabs>
        <w:ind w:left="360"/>
        <w:jc w:val="both"/>
        <w:rPr>
          <w:rFonts w:ascii="Arial" w:hAnsi="Arial" w:cs="Arial"/>
          <w:sz w:val="8"/>
          <w:szCs w:val="8"/>
        </w:rPr>
      </w:pPr>
    </w:p>
    <w:p w14:paraId="21DA381F" w14:textId="30AA18E1"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The small demographic size of municipalities, both urban and rural, is reflected in small local budgets, based especially on transfers from the national budget, and the concentration of administrative capacity in the county capital, Târgu-Jiu, coupled with a lack of collaboration between local administration units.</w:t>
      </w:r>
    </w:p>
    <w:p w14:paraId="08894DB4" w14:textId="77777777" w:rsidR="00391EC8" w:rsidRPr="003516DC" w:rsidRDefault="00391EC8" w:rsidP="00597139">
      <w:pPr>
        <w:tabs>
          <w:tab w:val="center" w:pos="4680"/>
          <w:tab w:val="right" w:pos="9360"/>
        </w:tabs>
        <w:ind w:left="360"/>
        <w:jc w:val="both"/>
        <w:rPr>
          <w:rFonts w:ascii="Arial" w:hAnsi="Arial" w:cs="Arial"/>
          <w:sz w:val="8"/>
          <w:szCs w:val="8"/>
        </w:rPr>
      </w:pPr>
    </w:p>
    <w:p w14:paraId="4BA7CA10" w14:textId="146E7412" w:rsidR="00391EC8" w:rsidRPr="003516DC" w:rsidRDefault="00391EC8" w:rsidP="00597139">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 xml:space="preserve">Technical curriculum at the county level </w:t>
      </w:r>
      <w:r w:rsidR="006704F7" w:rsidRPr="003516DC">
        <w:rPr>
          <w:rFonts w:ascii="Arial" w:hAnsi="Arial" w:cs="Arial"/>
          <w:sz w:val="20"/>
          <w:szCs w:val="20"/>
        </w:rPr>
        <w:t>does not</w:t>
      </w:r>
      <w:r w:rsidRPr="003516DC">
        <w:rPr>
          <w:rFonts w:ascii="Arial" w:hAnsi="Arial" w:cs="Arial"/>
          <w:sz w:val="20"/>
          <w:szCs w:val="20"/>
        </w:rPr>
        <w:t xml:space="preserve"> </w:t>
      </w:r>
      <w:r w:rsidR="00E7739A" w:rsidRPr="003516DC">
        <w:rPr>
          <w:rFonts w:ascii="Arial" w:hAnsi="Arial" w:cs="Arial"/>
          <w:sz w:val="20"/>
          <w:szCs w:val="20"/>
        </w:rPr>
        <w:t>suit</w:t>
      </w:r>
      <w:r w:rsidRPr="003516DC">
        <w:rPr>
          <w:rFonts w:ascii="Arial" w:hAnsi="Arial" w:cs="Arial"/>
          <w:sz w:val="20"/>
          <w:szCs w:val="20"/>
        </w:rPr>
        <w:t xml:space="preserve"> local labour market demands, with employers mentioning the need for further education in digitali</w:t>
      </w:r>
      <w:r w:rsidR="00A53EDC" w:rsidRPr="003516DC">
        <w:rPr>
          <w:rFonts w:ascii="Arial" w:hAnsi="Arial" w:cs="Arial"/>
          <w:sz w:val="20"/>
          <w:szCs w:val="20"/>
        </w:rPr>
        <w:t>s</w:t>
      </w:r>
      <w:r w:rsidRPr="003516DC">
        <w:rPr>
          <w:rFonts w:ascii="Arial" w:hAnsi="Arial" w:cs="Arial"/>
          <w:sz w:val="20"/>
          <w:szCs w:val="20"/>
        </w:rPr>
        <w:t xml:space="preserve">ation, robotics process automation, artificial intelligence, etc. </w:t>
      </w:r>
      <w:r w:rsidR="00A53EDC" w:rsidRPr="003516DC">
        <w:rPr>
          <w:rFonts w:ascii="Arial" w:hAnsi="Arial" w:cs="Arial"/>
          <w:sz w:val="20"/>
          <w:szCs w:val="20"/>
        </w:rPr>
        <w:t xml:space="preserve">Further </w:t>
      </w:r>
      <w:r w:rsidRPr="003516DC">
        <w:rPr>
          <w:rFonts w:ascii="Arial" w:hAnsi="Arial" w:cs="Arial"/>
          <w:sz w:val="20"/>
          <w:szCs w:val="20"/>
        </w:rPr>
        <w:t>forecasting of local labour needs is one of the needs pointed out by stakeholders.</w:t>
      </w:r>
    </w:p>
    <w:p w14:paraId="3B0E22E0" w14:textId="77777777" w:rsidR="00391EC8" w:rsidRPr="003516DC" w:rsidRDefault="00391EC8" w:rsidP="00597139">
      <w:pPr>
        <w:tabs>
          <w:tab w:val="center" w:pos="4680"/>
          <w:tab w:val="right" w:pos="9360"/>
        </w:tabs>
        <w:ind w:left="360"/>
        <w:jc w:val="both"/>
        <w:rPr>
          <w:rFonts w:ascii="Arial" w:hAnsi="Arial" w:cs="Arial"/>
          <w:sz w:val="8"/>
          <w:szCs w:val="8"/>
        </w:rPr>
      </w:pPr>
    </w:p>
    <w:p w14:paraId="46E51DC3" w14:textId="4F215C68" w:rsidR="00597139" w:rsidRPr="00E9544E" w:rsidRDefault="00391EC8" w:rsidP="00E9544E">
      <w:pPr>
        <w:numPr>
          <w:ilvl w:val="0"/>
          <w:numId w:val="5"/>
        </w:numPr>
        <w:tabs>
          <w:tab w:val="center" w:pos="4680"/>
          <w:tab w:val="right" w:pos="9360"/>
        </w:tabs>
        <w:ind w:left="360"/>
        <w:jc w:val="both"/>
        <w:rPr>
          <w:rFonts w:ascii="Arial" w:hAnsi="Arial" w:cs="Arial"/>
          <w:sz w:val="20"/>
          <w:szCs w:val="20"/>
        </w:rPr>
      </w:pPr>
      <w:r w:rsidRPr="003516DC">
        <w:rPr>
          <w:rFonts w:ascii="Arial" w:hAnsi="Arial" w:cs="Arial"/>
          <w:sz w:val="20"/>
          <w:szCs w:val="20"/>
        </w:rPr>
        <w:t>According to several interviews, there is a certain reluctance of the population aged 45-65, former mining-energy sector employees benefiting from the early retirement and/or compensatory laid-off allowances, to re-qualify and actively search for jobs.</w:t>
      </w:r>
    </w:p>
    <w:p w14:paraId="6BB16A30" w14:textId="50D6436A" w:rsidR="00391EC8" w:rsidRDefault="00391EC8" w:rsidP="00E42342">
      <w:pPr>
        <w:pStyle w:val="Heading3"/>
        <w:numPr>
          <w:ilvl w:val="0"/>
          <w:numId w:val="139"/>
        </w:numPr>
        <w:spacing w:before="120" w:after="0" w:line="240" w:lineRule="auto"/>
        <w:rPr>
          <w:b w:val="0"/>
        </w:rPr>
      </w:pPr>
      <w:r w:rsidRPr="003516DC">
        <w:rPr>
          <w:b w:val="0"/>
        </w:rPr>
        <w:t>Opportunities</w:t>
      </w:r>
      <w:r w:rsidR="00F0070A" w:rsidRPr="003516DC">
        <w:rPr>
          <w:b w:val="0"/>
        </w:rPr>
        <w:t xml:space="preserve"> in Gorj </w:t>
      </w:r>
      <w:r w:rsidR="00F57476">
        <w:rPr>
          <w:b w:val="0"/>
        </w:rPr>
        <w:t>C</w:t>
      </w:r>
      <w:r w:rsidR="00F0070A" w:rsidRPr="003516DC">
        <w:rPr>
          <w:b w:val="0"/>
        </w:rPr>
        <w:t>ounty</w:t>
      </w:r>
    </w:p>
    <w:p w14:paraId="15E14DDA" w14:textId="3A5282C1" w:rsidR="00654AE5" w:rsidRPr="00597139" w:rsidRDefault="00654AE5" w:rsidP="00597139">
      <w:pPr>
        <w:spacing w:before="240"/>
        <w:jc w:val="both"/>
        <w:rPr>
          <w:rFonts w:ascii="Arial" w:hAnsi="Arial" w:cs="Arial"/>
          <w:sz w:val="20"/>
          <w:szCs w:val="20"/>
        </w:rPr>
      </w:pPr>
      <w:r w:rsidRPr="00654AE5">
        <w:rPr>
          <w:rFonts w:ascii="Arial" w:hAnsi="Arial" w:cs="Arial"/>
          <w:sz w:val="20"/>
          <w:szCs w:val="20"/>
        </w:rPr>
        <w:t>Despite the challenges, desk research and the stakeholder engagement process revealed several local opportunities:</w:t>
      </w:r>
    </w:p>
    <w:p w14:paraId="2E0D4557" w14:textId="1B546E20" w:rsidR="00DC66DF" w:rsidRPr="003516DC" w:rsidRDefault="00DC66DF" w:rsidP="0068147A">
      <w:pPr>
        <w:jc w:val="both"/>
        <w:rPr>
          <w:rFonts w:ascii="Arial" w:hAnsi="Arial" w:cs="Arial"/>
          <w:sz w:val="8"/>
          <w:szCs w:val="8"/>
        </w:rPr>
      </w:pPr>
    </w:p>
    <w:p w14:paraId="65A6998A" w14:textId="06DCA403" w:rsidR="0068147A" w:rsidRPr="003516DC" w:rsidRDefault="0068147A" w:rsidP="00597139">
      <w:pPr>
        <w:numPr>
          <w:ilvl w:val="0"/>
          <w:numId w:val="6"/>
        </w:numPr>
        <w:ind w:left="360"/>
        <w:jc w:val="both"/>
        <w:rPr>
          <w:rFonts w:ascii="Arial" w:hAnsi="Arial" w:cs="Arial"/>
          <w:b/>
          <w:sz w:val="20"/>
          <w:szCs w:val="20"/>
        </w:rPr>
      </w:pPr>
      <w:r w:rsidRPr="003516DC">
        <w:rPr>
          <w:rFonts w:ascii="Arial" w:hAnsi="Arial" w:cs="Arial"/>
          <w:sz w:val="20"/>
          <w:szCs w:val="20"/>
        </w:rPr>
        <w:t xml:space="preserve">Strong desire for public-private cooperation at </w:t>
      </w:r>
      <w:r w:rsidR="00A53EDC" w:rsidRPr="003516DC">
        <w:rPr>
          <w:rFonts w:ascii="Arial" w:hAnsi="Arial" w:cs="Arial"/>
          <w:sz w:val="20"/>
          <w:szCs w:val="20"/>
        </w:rPr>
        <w:t xml:space="preserve">the </w:t>
      </w:r>
      <w:r w:rsidRPr="003516DC">
        <w:rPr>
          <w:rFonts w:ascii="Arial" w:hAnsi="Arial" w:cs="Arial"/>
          <w:sz w:val="20"/>
          <w:szCs w:val="20"/>
        </w:rPr>
        <w:t xml:space="preserve">local level </w:t>
      </w:r>
      <w:r w:rsidR="009C2A79" w:rsidRPr="003516DC">
        <w:rPr>
          <w:rFonts w:ascii="Arial" w:hAnsi="Arial" w:cs="Arial"/>
          <w:sz w:val="20"/>
          <w:szCs w:val="20"/>
        </w:rPr>
        <w:t xml:space="preserve">to </w:t>
      </w:r>
      <w:r w:rsidRPr="003516DC">
        <w:rPr>
          <w:rFonts w:ascii="Arial" w:hAnsi="Arial" w:cs="Arial"/>
          <w:sz w:val="20"/>
          <w:szCs w:val="20"/>
        </w:rPr>
        <w:t xml:space="preserve">attract European funds and implement local development projects; training in elaboration specific areas of public administration (foreign languages, </w:t>
      </w:r>
      <w:r w:rsidR="00170CB0" w:rsidRPr="003516DC">
        <w:rPr>
          <w:rFonts w:ascii="Arial" w:hAnsi="Arial" w:cs="Arial"/>
          <w:sz w:val="20"/>
          <w:szCs w:val="20"/>
        </w:rPr>
        <w:t>p</w:t>
      </w:r>
      <w:r w:rsidRPr="003516DC">
        <w:rPr>
          <w:rFonts w:ascii="Arial" w:hAnsi="Arial" w:cs="Arial"/>
          <w:sz w:val="20"/>
          <w:szCs w:val="20"/>
        </w:rPr>
        <w:t xml:space="preserve">roject </w:t>
      </w:r>
      <w:r w:rsidR="00170CB0" w:rsidRPr="003516DC">
        <w:rPr>
          <w:rFonts w:ascii="Arial" w:hAnsi="Arial" w:cs="Arial"/>
          <w:sz w:val="20"/>
          <w:szCs w:val="20"/>
        </w:rPr>
        <w:t>m</w:t>
      </w:r>
      <w:r w:rsidRPr="003516DC">
        <w:rPr>
          <w:rFonts w:ascii="Arial" w:hAnsi="Arial" w:cs="Arial"/>
          <w:sz w:val="20"/>
          <w:szCs w:val="20"/>
        </w:rPr>
        <w:t>anagement, communication, European funding projects design, statistics data processing, etc.)</w:t>
      </w:r>
      <w:r w:rsidRPr="003516DC">
        <w:rPr>
          <w:rFonts w:ascii="Arial" w:hAnsi="Arial" w:cs="Arial"/>
          <w:color w:val="3C4043"/>
          <w:sz w:val="20"/>
          <w:szCs w:val="20"/>
        </w:rPr>
        <w:t xml:space="preserve"> </w:t>
      </w:r>
      <w:r w:rsidRPr="003516DC">
        <w:rPr>
          <w:rFonts w:ascii="Arial" w:hAnsi="Arial" w:cs="Arial"/>
          <w:sz w:val="20"/>
          <w:szCs w:val="20"/>
        </w:rPr>
        <w:t>can unlock certain existing barriers in identifying and capitali</w:t>
      </w:r>
      <w:r w:rsidR="00711B42" w:rsidRPr="003516DC">
        <w:rPr>
          <w:rFonts w:ascii="Arial" w:hAnsi="Arial" w:cs="Arial"/>
          <w:sz w:val="20"/>
          <w:szCs w:val="20"/>
        </w:rPr>
        <w:t>s</w:t>
      </w:r>
      <w:r w:rsidRPr="003516DC">
        <w:rPr>
          <w:rFonts w:ascii="Arial" w:hAnsi="Arial" w:cs="Arial"/>
          <w:sz w:val="20"/>
          <w:szCs w:val="20"/>
        </w:rPr>
        <w:t>ing on development opportunities.</w:t>
      </w:r>
    </w:p>
    <w:p w14:paraId="3E62DDFF" w14:textId="77777777" w:rsidR="0068147A" w:rsidRPr="003516DC" w:rsidRDefault="0068147A" w:rsidP="00597139">
      <w:pPr>
        <w:ind w:left="360"/>
        <w:jc w:val="both"/>
        <w:rPr>
          <w:rFonts w:ascii="Arial" w:hAnsi="Arial" w:cs="Arial"/>
          <w:b/>
          <w:sz w:val="8"/>
          <w:szCs w:val="8"/>
        </w:rPr>
      </w:pPr>
    </w:p>
    <w:p w14:paraId="0A4275A1" w14:textId="6DD949FC" w:rsidR="0068147A" w:rsidRPr="003516DC" w:rsidRDefault="0068147A" w:rsidP="00597139">
      <w:pPr>
        <w:numPr>
          <w:ilvl w:val="0"/>
          <w:numId w:val="6"/>
        </w:numPr>
        <w:ind w:left="360"/>
        <w:jc w:val="both"/>
        <w:rPr>
          <w:rFonts w:ascii="Arial" w:hAnsi="Arial" w:cs="Arial"/>
          <w:b/>
          <w:sz w:val="20"/>
          <w:szCs w:val="20"/>
        </w:rPr>
      </w:pPr>
      <w:r w:rsidRPr="003516DC">
        <w:rPr>
          <w:rFonts w:ascii="Arial" w:hAnsi="Arial" w:cs="Arial"/>
          <w:sz w:val="20"/>
          <w:szCs w:val="20"/>
        </w:rPr>
        <w:t xml:space="preserve">The existence of </w:t>
      </w:r>
      <w:r w:rsidR="00711B42" w:rsidRPr="003516DC">
        <w:rPr>
          <w:rFonts w:ascii="Arial" w:hAnsi="Arial" w:cs="Arial"/>
          <w:sz w:val="20"/>
          <w:szCs w:val="20"/>
        </w:rPr>
        <w:t>several</w:t>
      </w:r>
      <w:r w:rsidRPr="003516DC">
        <w:rPr>
          <w:rFonts w:ascii="Arial" w:hAnsi="Arial" w:cs="Arial"/>
          <w:sz w:val="20"/>
          <w:szCs w:val="20"/>
        </w:rPr>
        <w:t xml:space="preserve"> support structures (e.g.</w:t>
      </w:r>
      <w:r w:rsidR="00711B42" w:rsidRPr="003516DC">
        <w:rPr>
          <w:rFonts w:ascii="Arial" w:hAnsi="Arial" w:cs="Arial"/>
          <w:sz w:val="20"/>
          <w:szCs w:val="20"/>
        </w:rPr>
        <w:t>,</w:t>
      </w:r>
      <w:r w:rsidRPr="003516DC">
        <w:rPr>
          <w:rFonts w:ascii="Arial" w:hAnsi="Arial" w:cs="Arial"/>
          <w:sz w:val="20"/>
          <w:szCs w:val="20"/>
        </w:rPr>
        <w:t xml:space="preserve"> business incubators, industrial parks) for private businesses and sectoral associations/clusters that have the capacity to develop and implement European projects</w:t>
      </w:r>
      <w:r w:rsidRPr="003516DC">
        <w:rPr>
          <w:rFonts w:ascii="Arial" w:hAnsi="Arial" w:cs="Arial"/>
          <w:sz w:val="20"/>
          <w:szCs w:val="20"/>
          <w:vertAlign w:val="superscript"/>
        </w:rPr>
        <w:footnoteReference w:id="98"/>
      </w:r>
      <w:r w:rsidRPr="003516DC">
        <w:rPr>
          <w:rFonts w:ascii="Arial" w:hAnsi="Arial" w:cs="Arial"/>
          <w:sz w:val="20"/>
          <w:szCs w:val="20"/>
        </w:rPr>
        <w:t>.</w:t>
      </w:r>
    </w:p>
    <w:p w14:paraId="435D237E" w14:textId="0D2CC9B2" w:rsidR="0068147A" w:rsidRPr="003516DC" w:rsidRDefault="0068147A" w:rsidP="00597139">
      <w:pPr>
        <w:ind w:left="360"/>
        <w:jc w:val="both"/>
        <w:rPr>
          <w:rFonts w:ascii="Arial" w:hAnsi="Arial" w:cs="Arial"/>
          <w:b/>
          <w:sz w:val="8"/>
          <w:szCs w:val="8"/>
        </w:rPr>
      </w:pPr>
      <w:r w:rsidRPr="003516DC">
        <w:rPr>
          <w:rFonts w:ascii="Arial" w:hAnsi="Arial" w:cs="Arial"/>
          <w:sz w:val="20"/>
          <w:szCs w:val="20"/>
        </w:rPr>
        <w:t xml:space="preserve"> </w:t>
      </w:r>
    </w:p>
    <w:p w14:paraId="672762E0" w14:textId="57008A16" w:rsidR="0068147A" w:rsidRPr="003516DC" w:rsidRDefault="0068147A" w:rsidP="00597139">
      <w:pPr>
        <w:numPr>
          <w:ilvl w:val="0"/>
          <w:numId w:val="6"/>
        </w:numPr>
        <w:ind w:left="360"/>
        <w:jc w:val="both"/>
        <w:rPr>
          <w:rFonts w:ascii="Arial" w:hAnsi="Arial" w:cs="Arial"/>
          <w:b/>
          <w:sz w:val="20"/>
          <w:szCs w:val="20"/>
        </w:rPr>
      </w:pPr>
      <w:r w:rsidRPr="003516DC">
        <w:rPr>
          <w:rFonts w:ascii="Arial" w:hAnsi="Arial" w:cs="Arial"/>
          <w:sz w:val="20"/>
          <w:szCs w:val="20"/>
        </w:rPr>
        <w:t>Gorj County Council has implemented an awareness campaign and consultation of all stakeholders to identify needs and priorities for the PTTJ development, including through social media communication.</w:t>
      </w:r>
    </w:p>
    <w:p w14:paraId="4ABE41E9" w14:textId="77777777" w:rsidR="0068147A" w:rsidRPr="003516DC" w:rsidRDefault="0068147A" w:rsidP="00597139">
      <w:pPr>
        <w:ind w:left="360"/>
        <w:jc w:val="both"/>
        <w:rPr>
          <w:rFonts w:ascii="Arial" w:hAnsi="Arial" w:cs="Arial"/>
          <w:b/>
          <w:sz w:val="8"/>
          <w:szCs w:val="8"/>
        </w:rPr>
      </w:pPr>
    </w:p>
    <w:p w14:paraId="6D091DDD" w14:textId="0616F030" w:rsidR="0068147A" w:rsidRPr="003516DC" w:rsidRDefault="0068147A" w:rsidP="00597139">
      <w:pPr>
        <w:numPr>
          <w:ilvl w:val="0"/>
          <w:numId w:val="6"/>
        </w:numPr>
        <w:ind w:left="360"/>
        <w:jc w:val="both"/>
        <w:rPr>
          <w:rFonts w:ascii="Arial" w:hAnsi="Arial" w:cs="Arial"/>
          <w:sz w:val="20"/>
          <w:szCs w:val="20"/>
        </w:rPr>
      </w:pPr>
      <w:r w:rsidRPr="003516DC">
        <w:rPr>
          <w:rFonts w:ascii="Arial" w:hAnsi="Arial" w:cs="Arial"/>
          <w:sz w:val="20"/>
          <w:szCs w:val="20"/>
        </w:rPr>
        <w:t>In contrast to the low-tech trends in manufacturing, the growing services sector locally is relatively knowledge-intensive.</w:t>
      </w:r>
    </w:p>
    <w:p w14:paraId="39090F5F" w14:textId="77777777" w:rsidR="0068147A" w:rsidRPr="003516DC" w:rsidRDefault="0068147A" w:rsidP="00597139">
      <w:pPr>
        <w:ind w:left="360"/>
        <w:jc w:val="both"/>
        <w:rPr>
          <w:rFonts w:ascii="Arial" w:hAnsi="Arial" w:cs="Arial"/>
          <w:sz w:val="8"/>
          <w:szCs w:val="8"/>
        </w:rPr>
      </w:pPr>
    </w:p>
    <w:p w14:paraId="11CB961B" w14:textId="6FEA466E" w:rsidR="0068147A" w:rsidRPr="003516DC" w:rsidRDefault="0068147A" w:rsidP="00597139">
      <w:pPr>
        <w:numPr>
          <w:ilvl w:val="0"/>
          <w:numId w:val="6"/>
        </w:numPr>
        <w:ind w:left="360"/>
        <w:jc w:val="both"/>
        <w:rPr>
          <w:rFonts w:ascii="Arial" w:hAnsi="Arial" w:cs="Arial"/>
          <w:sz w:val="20"/>
          <w:szCs w:val="20"/>
        </w:rPr>
      </w:pPr>
      <w:r w:rsidRPr="003516DC">
        <w:rPr>
          <w:rFonts w:ascii="Arial" w:hAnsi="Arial" w:cs="Arial"/>
          <w:sz w:val="20"/>
          <w:szCs w:val="20"/>
        </w:rPr>
        <w:t>The local university is adaptive and willing to include new disciplines fit for a green economy.</w:t>
      </w:r>
    </w:p>
    <w:p w14:paraId="099CD291" w14:textId="77777777" w:rsidR="0068147A" w:rsidRPr="003516DC" w:rsidRDefault="0068147A" w:rsidP="00597139">
      <w:pPr>
        <w:ind w:left="360"/>
        <w:jc w:val="both"/>
        <w:rPr>
          <w:rFonts w:ascii="Arial" w:hAnsi="Arial" w:cs="Arial"/>
          <w:sz w:val="8"/>
          <w:szCs w:val="8"/>
        </w:rPr>
      </w:pPr>
    </w:p>
    <w:p w14:paraId="4A4A5629" w14:textId="06E5EE8E" w:rsidR="0068147A" w:rsidRPr="003516DC" w:rsidRDefault="0068147A" w:rsidP="00597139">
      <w:pPr>
        <w:numPr>
          <w:ilvl w:val="0"/>
          <w:numId w:val="6"/>
        </w:numPr>
        <w:ind w:left="360"/>
        <w:jc w:val="both"/>
        <w:rPr>
          <w:rFonts w:ascii="Arial" w:hAnsi="Arial" w:cs="Arial"/>
          <w:sz w:val="20"/>
          <w:szCs w:val="20"/>
        </w:rPr>
      </w:pPr>
      <w:r w:rsidRPr="003516DC">
        <w:rPr>
          <w:rFonts w:ascii="Arial" w:hAnsi="Arial" w:cs="Arial"/>
          <w:sz w:val="20"/>
          <w:szCs w:val="20"/>
        </w:rPr>
        <w:lastRenderedPageBreak/>
        <w:t>Gorj is home to 49 protected areas, including speleological attractions, which creates premises for the development of local cultural and nature-based tourism.</w:t>
      </w:r>
    </w:p>
    <w:p w14:paraId="3DFD5FC1" w14:textId="77777777" w:rsidR="0068147A" w:rsidRPr="003516DC" w:rsidRDefault="0068147A" w:rsidP="00597139">
      <w:pPr>
        <w:ind w:left="360"/>
        <w:jc w:val="both"/>
        <w:rPr>
          <w:rFonts w:ascii="Arial" w:hAnsi="Arial" w:cs="Arial"/>
          <w:sz w:val="8"/>
          <w:szCs w:val="8"/>
        </w:rPr>
      </w:pPr>
    </w:p>
    <w:p w14:paraId="20D84042" w14:textId="2522A2E9" w:rsidR="0068147A" w:rsidRPr="003516DC" w:rsidRDefault="0068147A" w:rsidP="00597139">
      <w:pPr>
        <w:numPr>
          <w:ilvl w:val="0"/>
          <w:numId w:val="6"/>
        </w:numPr>
        <w:ind w:left="360"/>
        <w:jc w:val="both"/>
        <w:rPr>
          <w:rFonts w:ascii="Arial" w:hAnsi="Arial" w:cs="Arial"/>
          <w:sz w:val="20"/>
          <w:szCs w:val="20"/>
        </w:rPr>
      </w:pPr>
      <w:r w:rsidRPr="003516DC">
        <w:rPr>
          <w:rFonts w:ascii="Arial" w:hAnsi="Arial" w:cs="Arial"/>
          <w:sz w:val="20"/>
          <w:szCs w:val="20"/>
        </w:rPr>
        <w:t xml:space="preserve">Local studies and pilot projects have been undertaken on </w:t>
      </w:r>
      <w:r w:rsidR="005F14EF" w:rsidRPr="003516DC">
        <w:rPr>
          <w:rFonts w:ascii="Arial" w:hAnsi="Arial" w:cs="Arial"/>
          <w:sz w:val="20"/>
          <w:szCs w:val="20"/>
        </w:rPr>
        <w:t>CO</w:t>
      </w:r>
      <w:r w:rsidR="005F14EF" w:rsidRPr="001C148D">
        <w:rPr>
          <w:rFonts w:ascii="Arial" w:hAnsi="Arial" w:cs="Arial"/>
          <w:sz w:val="20"/>
          <w:szCs w:val="20"/>
          <w:vertAlign w:val="subscript"/>
        </w:rPr>
        <w:t>2</w:t>
      </w:r>
      <w:r w:rsidR="005F14EF" w:rsidRPr="003516DC">
        <w:rPr>
          <w:rFonts w:ascii="Arial" w:hAnsi="Arial" w:cs="Arial"/>
          <w:sz w:val="20"/>
          <w:szCs w:val="20"/>
        </w:rPr>
        <w:t xml:space="preserve"> </w:t>
      </w:r>
      <w:r w:rsidRPr="003516DC">
        <w:rPr>
          <w:rFonts w:ascii="Arial" w:hAnsi="Arial" w:cs="Arial"/>
          <w:sz w:val="20"/>
          <w:szCs w:val="20"/>
        </w:rPr>
        <w:t>storage, coal to gas transformation, the production of organic, mineral fertilizers based on lignite powder and land restoration of degraded soils with the help of specialized vegetation plantations, that helped restore former lignite dumps in the economic circuit.</w:t>
      </w:r>
    </w:p>
    <w:p w14:paraId="749F016E" w14:textId="77777777" w:rsidR="0068147A" w:rsidRPr="003516DC" w:rsidRDefault="0068147A" w:rsidP="00597139">
      <w:pPr>
        <w:ind w:left="360"/>
        <w:jc w:val="both"/>
        <w:rPr>
          <w:rFonts w:ascii="Arial" w:hAnsi="Arial" w:cs="Arial"/>
          <w:sz w:val="8"/>
          <w:szCs w:val="8"/>
        </w:rPr>
      </w:pPr>
    </w:p>
    <w:p w14:paraId="4B84F239" w14:textId="309A8748" w:rsidR="001A7A04" w:rsidRPr="004E2DCB" w:rsidRDefault="0068147A" w:rsidP="001A7A04">
      <w:pPr>
        <w:numPr>
          <w:ilvl w:val="0"/>
          <w:numId w:val="6"/>
        </w:numPr>
        <w:ind w:left="360"/>
        <w:jc w:val="both"/>
        <w:rPr>
          <w:rFonts w:ascii="Arial" w:hAnsi="Arial" w:cs="Arial"/>
          <w:sz w:val="20"/>
          <w:szCs w:val="20"/>
        </w:rPr>
      </w:pPr>
      <w:r w:rsidRPr="003516DC">
        <w:rPr>
          <w:rFonts w:ascii="Arial" w:hAnsi="Arial" w:cs="Arial"/>
          <w:sz w:val="20"/>
          <w:szCs w:val="20"/>
        </w:rPr>
        <w:t>There is local engineering capacity and talent, especially in the energy sector, and several innovative developments could be imagined in the future</w:t>
      </w:r>
      <w:r w:rsidR="00FC6757" w:rsidRPr="003516DC">
        <w:rPr>
          <w:rFonts w:ascii="Arial" w:hAnsi="Arial" w:cs="Arial"/>
          <w:sz w:val="20"/>
          <w:szCs w:val="20"/>
        </w:rPr>
        <w:t>.</w:t>
      </w:r>
      <w:r w:rsidRPr="003516DC">
        <w:rPr>
          <w:rFonts w:ascii="Arial" w:hAnsi="Arial" w:cs="Arial"/>
          <w:sz w:val="20"/>
          <w:szCs w:val="20"/>
        </w:rPr>
        <w:t xml:space="preserve"> Bustuchin, for instance, a local village of approximately 1,000 inhabitants is energy independent and produces its own energy for public lighting, schools, etc. through solar PV</w:t>
      </w:r>
      <w:r w:rsidRPr="003516DC">
        <w:rPr>
          <w:rStyle w:val="FootnoteReference"/>
          <w:rFonts w:ascii="Arial" w:hAnsi="Arial" w:cs="Arial"/>
          <w:sz w:val="20"/>
          <w:szCs w:val="20"/>
        </w:rPr>
        <w:footnoteReference w:id="99"/>
      </w:r>
      <w:r w:rsidRPr="003516DC">
        <w:rPr>
          <w:rFonts w:ascii="Arial" w:hAnsi="Arial" w:cs="Arial"/>
          <w:sz w:val="20"/>
          <w:szCs w:val="20"/>
        </w:rPr>
        <w:t>.</w:t>
      </w:r>
    </w:p>
    <w:p w14:paraId="6F4698C7" w14:textId="0A3A6D00" w:rsidR="001A7A04" w:rsidRPr="004E2DCB" w:rsidRDefault="001A7A04" w:rsidP="004E2DCB">
      <w:pPr>
        <w:pStyle w:val="Heading3"/>
        <w:numPr>
          <w:ilvl w:val="0"/>
          <w:numId w:val="140"/>
        </w:numPr>
        <w:spacing w:after="120" w:line="240" w:lineRule="auto"/>
        <w:rPr>
          <w:b w:val="0"/>
        </w:rPr>
      </w:pPr>
      <w:r>
        <w:rPr>
          <w:b w:val="0"/>
        </w:rPr>
        <w:t xml:space="preserve">Transition pathway in Gorj </w:t>
      </w:r>
      <w:r w:rsidR="00523A88">
        <w:rPr>
          <w:b w:val="0"/>
        </w:rPr>
        <w:t>C</w:t>
      </w:r>
      <w:r>
        <w:rPr>
          <w:b w:val="0"/>
        </w:rPr>
        <w:t>ounty</w:t>
      </w:r>
    </w:p>
    <w:p w14:paraId="7471A5C2" w14:textId="5AF9FB11" w:rsidR="001A7A04" w:rsidRPr="003516DC" w:rsidRDefault="001A7A04" w:rsidP="00654AE5">
      <w:pPr>
        <w:spacing w:after="120"/>
        <w:jc w:val="both"/>
        <w:rPr>
          <w:rFonts w:ascii="Arial" w:hAnsi="Arial" w:cs="Arial"/>
        </w:rPr>
      </w:pPr>
      <w:r w:rsidRPr="003516DC">
        <w:rPr>
          <w:rFonts w:ascii="Arial" w:hAnsi="Arial" w:cs="Arial"/>
          <w:sz w:val="20"/>
          <w:szCs w:val="20"/>
          <w:lang w:val="en-US"/>
        </w:rPr>
        <w:t xml:space="preserve">The restructuring of the mining system, which began 24 years ago in Gorj County and led to the loss of thousands of jobs annually, must have an end through the </w:t>
      </w:r>
      <w:r w:rsidR="00523A88">
        <w:rPr>
          <w:rFonts w:ascii="Arial" w:hAnsi="Arial" w:cs="Arial"/>
          <w:sz w:val="20"/>
          <w:szCs w:val="20"/>
          <w:lang w:val="en-US"/>
        </w:rPr>
        <w:t>J</w:t>
      </w:r>
      <w:r w:rsidRPr="003516DC">
        <w:rPr>
          <w:rFonts w:ascii="Arial" w:hAnsi="Arial" w:cs="Arial"/>
          <w:sz w:val="20"/>
          <w:szCs w:val="20"/>
          <w:lang w:val="en-US"/>
        </w:rPr>
        <w:t xml:space="preserve">ust </w:t>
      </w:r>
      <w:r w:rsidR="00523A88">
        <w:rPr>
          <w:rFonts w:ascii="Arial" w:hAnsi="Arial" w:cs="Arial"/>
          <w:sz w:val="20"/>
          <w:szCs w:val="20"/>
          <w:lang w:val="en-US"/>
        </w:rPr>
        <w:t>T</w:t>
      </w:r>
      <w:r w:rsidRPr="003516DC">
        <w:rPr>
          <w:rFonts w:ascii="Arial" w:hAnsi="Arial" w:cs="Arial"/>
          <w:sz w:val="20"/>
          <w:szCs w:val="20"/>
          <w:lang w:val="en-US"/>
        </w:rPr>
        <w:t xml:space="preserve">ransition process. The </w:t>
      </w:r>
      <w:r w:rsidR="00523A88">
        <w:rPr>
          <w:rFonts w:ascii="Arial" w:hAnsi="Arial" w:cs="Arial"/>
          <w:sz w:val="20"/>
          <w:szCs w:val="20"/>
          <w:lang w:val="en-US"/>
        </w:rPr>
        <w:t>J</w:t>
      </w:r>
      <w:r w:rsidRPr="003516DC">
        <w:rPr>
          <w:rFonts w:ascii="Arial" w:hAnsi="Arial" w:cs="Arial"/>
          <w:sz w:val="20"/>
          <w:szCs w:val="20"/>
          <w:lang w:val="en-US"/>
        </w:rPr>
        <w:t xml:space="preserve">ust </w:t>
      </w:r>
      <w:r w:rsidR="00523A88">
        <w:rPr>
          <w:rFonts w:ascii="Arial" w:hAnsi="Arial" w:cs="Arial"/>
          <w:sz w:val="20"/>
          <w:szCs w:val="20"/>
          <w:lang w:val="en-US"/>
        </w:rPr>
        <w:t>T</w:t>
      </w:r>
      <w:r w:rsidRPr="003516DC">
        <w:rPr>
          <w:rFonts w:ascii="Arial" w:hAnsi="Arial" w:cs="Arial"/>
          <w:sz w:val="20"/>
          <w:szCs w:val="20"/>
          <w:lang w:val="en-US"/>
        </w:rPr>
        <w:t xml:space="preserve">ransition process is its opportunity to </w:t>
      </w:r>
      <w:r w:rsidR="00523A88">
        <w:rPr>
          <w:rFonts w:ascii="Arial" w:hAnsi="Arial" w:cs="Arial"/>
          <w:sz w:val="20"/>
          <w:szCs w:val="20"/>
          <w:lang w:val="en-US"/>
        </w:rPr>
        <w:t xml:space="preserve">competitively </w:t>
      </w:r>
      <w:r w:rsidRPr="003516DC">
        <w:rPr>
          <w:rFonts w:ascii="Arial" w:hAnsi="Arial" w:cs="Arial"/>
          <w:sz w:val="20"/>
          <w:szCs w:val="20"/>
          <w:lang w:val="en-US"/>
        </w:rPr>
        <w:t xml:space="preserve">develop in accordance with the other counties, to create </w:t>
      </w:r>
      <w:r w:rsidR="00523A88">
        <w:rPr>
          <w:rFonts w:ascii="Arial" w:hAnsi="Arial" w:cs="Arial"/>
          <w:sz w:val="20"/>
          <w:szCs w:val="20"/>
          <w:lang w:val="en-US"/>
        </w:rPr>
        <w:t>a</w:t>
      </w:r>
      <w:r w:rsidRPr="003516DC">
        <w:rPr>
          <w:rFonts w:ascii="Arial" w:hAnsi="Arial" w:cs="Arial"/>
          <w:sz w:val="20"/>
          <w:szCs w:val="20"/>
          <w:lang w:val="en-US"/>
        </w:rPr>
        <w:t xml:space="preserve"> viable market mechanism regulated by demand and supply, </w:t>
      </w:r>
      <w:r w:rsidR="00523A88">
        <w:rPr>
          <w:rFonts w:ascii="Arial" w:hAnsi="Arial" w:cs="Arial"/>
          <w:sz w:val="20"/>
          <w:szCs w:val="20"/>
          <w:lang w:val="en-US"/>
        </w:rPr>
        <w:t xml:space="preserve">and develop a </w:t>
      </w:r>
      <w:r w:rsidRPr="003516DC">
        <w:rPr>
          <w:rFonts w:ascii="Arial" w:hAnsi="Arial" w:cs="Arial"/>
          <w:sz w:val="20"/>
          <w:szCs w:val="20"/>
          <w:lang w:val="en-US"/>
        </w:rPr>
        <w:t xml:space="preserve">sustainable and collaborative economy through innovation, tradition and valuable resources. </w:t>
      </w:r>
    </w:p>
    <w:p w14:paraId="274C5A34" w14:textId="2BBE18FB" w:rsidR="001A7A04" w:rsidRPr="003516DC" w:rsidRDefault="001A7A04" w:rsidP="00654AE5">
      <w:pPr>
        <w:spacing w:after="120"/>
        <w:jc w:val="both"/>
        <w:rPr>
          <w:rFonts w:ascii="Arial" w:hAnsi="Arial" w:cs="Arial"/>
        </w:rPr>
      </w:pPr>
      <w:r w:rsidRPr="003516DC">
        <w:rPr>
          <w:rFonts w:ascii="Arial" w:hAnsi="Arial" w:cs="Arial"/>
          <w:sz w:val="20"/>
          <w:szCs w:val="20"/>
        </w:rPr>
        <w:t>The restructuring</w:t>
      </w:r>
      <w:r w:rsidRPr="003516DC">
        <w:rPr>
          <w:rFonts w:ascii="Arial" w:hAnsi="Arial" w:cs="Arial"/>
          <w:sz w:val="20"/>
          <w:szCs w:val="20"/>
          <w:lang w:val="en-US"/>
        </w:rPr>
        <w:t>/</w:t>
      </w:r>
      <w:r w:rsidRPr="003516DC">
        <w:rPr>
          <w:rFonts w:ascii="Arial" w:hAnsi="Arial" w:cs="Arial"/>
          <w:sz w:val="20"/>
          <w:szCs w:val="20"/>
        </w:rPr>
        <w:t>closing of the CEO capacities (2021-2030</w:t>
      </w:r>
      <w:r w:rsidRPr="003516DC">
        <w:rPr>
          <w:rFonts w:ascii="Arial" w:hAnsi="Arial" w:cs="Arial"/>
          <w:sz w:val="20"/>
          <w:szCs w:val="20"/>
          <w:lang w:val="en-US"/>
        </w:rPr>
        <w:t>),</w:t>
      </w:r>
      <w:r w:rsidRPr="003516DC">
        <w:rPr>
          <w:rFonts w:ascii="Arial" w:hAnsi="Arial" w:cs="Arial"/>
          <w:sz w:val="20"/>
          <w:szCs w:val="20"/>
        </w:rPr>
        <w:t xml:space="preserve"> consisting in a gradual phase</w:t>
      </w:r>
      <w:r w:rsidR="00523A88">
        <w:rPr>
          <w:rFonts w:ascii="Arial" w:hAnsi="Arial" w:cs="Arial"/>
          <w:sz w:val="20"/>
          <w:szCs w:val="20"/>
        </w:rPr>
        <w:t>-</w:t>
      </w:r>
      <w:r w:rsidRPr="003516DC">
        <w:rPr>
          <w:rFonts w:ascii="Arial" w:hAnsi="Arial" w:cs="Arial"/>
          <w:sz w:val="20"/>
          <w:szCs w:val="20"/>
        </w:rPr>
        <w:t xml:space="preserve">out of coal in Gorj, </w:t>
      </w:r>
      <w:r w:rsidR="004B0089">
        <w:rPr>
          <w:rFonts w:ascii="Arial" w:hAnsi="Arial" w:cs="Arial"/>
          <w:sz w:val="20"/>
          <w:szCs w:val="20"/>
        </w:rPr>
        <w:t xml:space="preserve">is expected </w:t>
      </w:r>
      <w:r w:rsidRPr="003516DC">
        <w:rPr>
          <w:rFonts w:ascii="Arial" w:hAnsi="Arial" w:cs="Arial"/>
          <w:sz w:val="20"/>
          <w:szCs w:val="20"/>
        </w:rPr>
        <w:t>by 2032</w:t>
      </w:r>
      <w:r w:rsidR="004B0089">
        <w:rPr>
          <w:rFonts w:ascii="Arial" w:hAnsi="Arial" w:cs="Arial"/>
          <w:sz w:val="20"/>
          <w:szCs w:val="20"/>
        </w:rPr>
        <w:t xml:space="preserve"> at</w:t>
      </w:r>
      <w:r w:rsidRPr="003516DC">
        <w:rPr>
          <w:rFonts w:ascii="Arial" w:hAnsi="Arial" w:cs="Arial"/>
          <w:sz w:val="20"/>
          <w:szCs w:val="20"/>
        </w:rPr>
        <w:t xml:space="preserve"> the latest accordin</w:t>
      </w:r>
      <w:r w:rsidR="00523A88">
        <w:rPr>
          <w:rFonts w:ascii="Arial" w:hAnsi="Arial" w:cs="Arial"/>
          <w:sz w:val="20"/>
          <w:szCs w:val="20"/>
        </w:rPr>
        <w:t>g</w:t>
      </w:r>
      <w:r w:rsidRPr="003516DC">
        <w:rPr>
          <w:rFonts w:ascii="Arial" w:hAnsi="Arial" w:cs="Arial"/>
          <w:sz w:val="20"/>
          <w:szCs w:val="20"/>
        </w:rPr>
        <w:t xml:space="preserve"> to RRP</w:t>
      </w:r>
      <w:r w:rsidRPr="003516DC">
        <w:rPr>
          <w:rFonts w:ascii="Arial" w:hAnsi="Arial" w:cs="Arial"/>
          <w:sz w:val="20"/>
          <w:szCs w:val="20"/>
          <w:lang w:val="en-US"/>
        </w:rPr>
        <w:t xml:space="preserve">. This will affect not only EC Oltenia, but also its current large contractors, </w:t>
      </w:r>
      <w:r w:rsidR="004B0089">
        <w:rPr>
          <w:rFonts w:ascii="Arial" w:hAnsi="Arial" w:cs="Arial"/>
          <w:sz w:val="20"/>
          <w:szCs w:val="20"/>
          <w:lang w:val="en-US"/>
        </w:rPr>
        <w:t>which</w:t>
      </w:r>
      <w:r w:rsidRPr="003516DC">
        <w:rPr>
          <w:rFonts w:ascii="Arial" w:hAnsi="Arial" w:cs="Arial"/>
          <w:sz w:val="20"/>
          <w:szCs w:val="20"/>
          <w:lang w:val="en-US"/>
        </w:rPr>
        <w:t xml:space="preserve"> will have to further diversity their economic activity.</w:t>
      </w:r>
    </w:p>
    <w:p w14:paraId="372D4712" w14:textId="2B5A3A1C" w:rsidR="001A7A04" w:rsidRDefault="001A7A04" w:rsidP="00654AE5">
      <w:pPr>
        <w:spacing w:after="120"/>
        <w:jc w:val="both"/>
        <w:rPr>
          <w:rFonts w:ascii="Arial" w:hAnsi="Arial" w:cs="Arial"/>
          <w:sz w:val="20"/>
          <w:szCs w:val="20"/>
        </w:rPr>
      </w:pPr>
      <w:r w:rsidRPr="003516DC">
        <w:rPr>
          <w:rFonts w:ascii="Arial" w:hAnsi="Arial" w:cs="Arial"/>
          <w:sz w:val="20"/>
          <w:szCs w:val="20"/>
        </w:rPr>
        <w:t>The</w:t>
      </w:r>
      <w:r w:rsidRPr="003516DC">
        <w:rPr>
          <w:rFonts w:ascii="Arial" w:hAnsi="Arial" w:cs="Arial"/>
          <w:sz w:val="20"/>
          <w:szCs w:val="20"/>
          <w:lang w:val="en-US"/>
        </w:rPr>
        <w:t xml:space="preserve"> general</w:t>
      </w:r>
      <w:r w:rsidRPr="003516DC">
        <w:rPr>
          <w:rFonts w:ascii="Arial" w:hAnsi="Arial" w:cs="Arial"/>
          <w:sz w:val="20"/>
          <w:szCs w:val="20"/>
        </w:rPr>
        <w:t xml:space="preserve"> infrastructure of Gorj </w:t>
      </w:r>
      <w:r w:rsidR="004B0089">
        <w:rPr>
          <w:rFonts w:ascii="Arial" w:hAnsi="Arial" w:cs="Arial"/>
          <w:sz w:val="20"/>
          <w:szCs w:val="20"/>
        </w:rPr>
        <w:t>C</w:t>
      </w:r>
      <w:r w:rsidRPr="003516DC">
        <w:rPr>
          <w:rFonts w:ascii="Arial" w:hAnsi="Arial" w:cs="Arial"/>
          <w:sz w:val="20"/>
          <w:szCs w:val="20"/>
        </w:rPr>
        <w:t xml:space="preserve">ounty needs </w:t>
      </w:r>
      <w:r w:rsidR="004B0089">
        <w:rPr>
          <w:rFonts w:ascii="Arial" w:hAnsi="Arial" w:cs="Arial"/>
          <w:sz w:val="20"/>
          <w:szCs w:val="20"/>
        </w:rPr>
        <w:t>several</w:t>
      </w:r>
      <w:r w:rsidRPr="003516DC">
        <w:rPr>
          <w:rFonts w:ascii="Arial" w:hAnsi="Arial" w:cs="Arial"/>
          <w:sz w:val="20"/>
          <w:szCs w:val="20"/>
        </w:rPr>
        <w:t xml:space="preserve"> investments, especially projects towards green infrastructure and multi-stakeholder cooperation.</w:t>
      </w:r>
      <w:r w:rsidRPr="003516DC">
        <w:rPr>
          <w:rFonts w:ascii="Arial" w:hAnsi="Arial" w:cs="Arial"/>
          <w:sz w:val="20"/>
          <w:szCs w:val="20"/>
          <w:lang w:val="en-US"/>
        </w:rPr>
        <w:t xml:space="preserve"> </w:t>
      </w:r>
    </w:p>
    <w:p w14:paraId="3B6FC251" w14:textId="65891C7D" w:rsidR="001A7A04" w:rsidRPr="003516DC" w:rsidRDefault="001A7A04" w:rsidP="00654AE5">
      <w:pPr>
        <w:spacing w:after="120"/>
        <w:jc w:val="both"/>
        <w:rPr>
          <w:rFonts w:ascii="Arial" w:hAnsi="Arial" w:cs="Arial"/>
          <w:i/>
        </w:rPr>
      </w:pPr>
      <w:r w:rsidRPr="003516DC">
        <w:rPr>
          <w:rStyle w:val="y2iqfc"/>
          <w:rFonts w:ascii="Arial" w:eastAsiaTheme="majorEastAsia" w:hAnsi="Arial" w:cs="Arial"/>
          <w:sz w:val="20"/>
          <w:szCs w:val="20"/>
          <w:lang w:val="en" w:eastAsia="zh-CN"/>
        </w:rPr>
        <w:t xml:space="preserve">The </w:t>
      </w:r>
      <w:r w:rsidRPr="003516DC">
        <w:rPr>
          <w:rStyle w:val="y2iqfc"/>
          <w:rFonts w:ascii="Arial" w:eastAsiaTheme="majorEastAsia" w:hAnsi="Arial" w:cs="Arial"/>
          <w:sz w:val="20"/>
          <w:szCs w:val="20"/>
          <w:lang w:val="en-US" w:eastAsia="zh-CN"/>
        </w:rPr>
        <w:t xml:space="preserve">qualitative </w:t>
      </w:r>
      <w:r w:rsidRPr="003516DC">
        <w:rPr>
          <w:rStyle w:val="y2iqfc"/>
          <w:rFonts w:ascii="Arial" w:eastAsiaTheme="majorEastAsia" w:hAnsi="Arial" w:cs="Arial"/>
          <w:sz w:val="20"/>
          <w:szCs w:val="20"/>
          <w:lang w:val="en" w:eastAsia="zh-CN"/>
        </w:rPr>
        <w:t>analysis reveal</w:t>
      </w:r>
      <w:r w:rsidRPr="003516DC">
        <w:rPr>
          <w:rStyle w:val="y2iqfc"/>
          <w:rFonts w:ascii="Arial" w:eastAsiaTheme="majorEastAsia" w:hAnsi="Arial" w:cs="Arial"/>
          <w:sz w:val="20"/>
          <w:szCs w:val="20"/>
          <w:lang w:val="en-US" w:eastAsia="zh-CN"/>
        </w:rPr>
        <w:t>s</w:t>
      </w:r>
      <w:r w:rsidRPr="003516DC">
        <w:rPr>
          <w:rStyle w:val="y2iqfc"/>
          <w:rFonts w:ascii="Arial" w:eastAsiaTheme="majorEastAsia" w:hAnsi="Arial" w:cs="Arial"/>
          <w:sz w:val="20"/>
          <w:szCs w:val="20"/>
          <w:lang w:val="en" w:eastAsia="zh-CN"/>
        </w:rPr>
        <w:t xml:space="preserve"> that the </w:t>
      </w:r>
      <w:r w:rsidRPr="003516DC">
        <w:rPr>
          <w:rStyle w:val="y2iqfc"/>
          <w:rFonts w:ascii="Arial" w:eastAsiaTheme="majorEastAsia" w:hAnsi="Arial" w:cs="Arial"/>
          <w:sz w:val="20"/>
          <w:szCs w:val="20"/>
          <w:lang w:val="en-US" w:eastAsia="zh-CN"/>
        </w:rPr>
        <w:t>continued mining restructuring process in Gorj County (</w:t>
      </w:r>
      <w:r w:rsidRPr="003516DC">
        <w:rPr>
          <w:rStyle w:val="y2iqfc"/>
          <w:rFonts w:ascii="Arial" w:eastAsiaTheme="majorEastAsia" w:hAnsi="Arial" w:cs="Arial"/>
          <w:sz w:val="20"/>
          <w:szCs w:val="20"/>
          <w:lang w:val="en" w:eastAsia="zh-CN"/>
        </w:rPr>
        <w:t>mining capacities restructuring/activity reduction/closure</w:t>
      </w:r>
      <w:r w:rsidRPr="003516DC">
        <w:rPr>
          <w:rStyle w:val="y2iqfc"/>
          <w:rFonts w:ascii="Arial" w:eastAsiaTheme="majorEastAsia" w:hAnsi="Arial" w:cs="Arial"/>
          <w:sz w:val="20"/>
          <w:szCs w:val="20"/>
          <w:lang w:val="en-US" w:eastAsia="zh-CN"/>
        </w:rPr>
        <w:t>), starting in 1997</w:t>
      </w:r>
      <w:r w:rsidR="00600698">
        <w:rPr>
          <w:rStyle w:val="y2iqfc"/>
          <w:rFonts w:ascii="Arial" w:eastAsiaTheme="majorEastAsia" w:hAnsi="Arial" w:cs="Arial"/>
          <w:sz w:val="20"/>
          <w:szCs w:val="20"/>
          <w:lang w:val="en-US" w:eastAsia="zh-CN"/>
        </w:rPr>
        <w:t xml:space="preserve"> and still</w:t>
      </w:r>
      <w:r w:rsidRPr="003516DC">
        <w:rPr>
          <w:rStyle w:val="y2iqfc"/>
          <w:rFonts w:ascii="Arial" w:eastAsiaTheme="majorEastAsia" w:hAnsi="Arial" w:cs="Arial"/>
          <w:sz w:val="20"/>
          <w:szCs w:val="20"/>
          <w:lang w:val="en-US" w:eastAsia="zh-CN"/>
        </w:rPr>
        <w:t xml:space="preserve"> ongoing, </w:t>
      </w:r>
      <w:r w:rsidRPr="003516DC">
        <w:rPr>
          <w:rStyle w:val="y2iqfc"/>
          <w:rFonts w:ascii="Arial" w:eastAsiaTheme="majorEastAsia" w:hAnsi="Arial" w:cs="Arial"/>
          <w:sz w:val="20"/>
          <w:szCs w:val="20"/>
          <w:lang w:val="en" w:eastAsia="zh-CN"/>
        </w:rPr>
        <w:t>generated unemployment and migration without support</w:t>
      </w:r>
      <w:r w:rsidR="00632625">
        <w:rPr>
          <w:rStyle w:val="y2iqfc"/>
          <w:rFonts w:ascii="Arial" w:eastAsiaTheme="majorEastAsia" w:hAnsi="Arial" w:cs="Arial"/>
          <w:sz w:val="20"/>
          <w:szCs w:val="20"/>
          <w:lang w:val="en" w:eastAsia="zh-CN"/>
        </w:rPr>
        <w:t xml:space="preserve"> from</w:t>
      </w:r>
      <w:r w:rsidRPr="003516DC">
        <w:rPr>
          <w:rStyle w:val="y2iqfc"/>
          <w:rFonts w:ascii="Arial" w:eastAsiaTheme="majorEastAsia" w:hAnsi="Arial" w:cs="Arial"/>
          <w:sz w:val="20"/>
          <w:szCs w:val="20"/>
          <w:lang w:val="en" w:eastAsia="zh-CN"/>
        </w:rPr>
        <w:t xml:space="preserve"> effective workforce absorption measures.</w:t>
      </w:r>
      <w:r w:rsidRPr="003516DC">
        <w:rPr>
          <w:rStyle w:val="y2iqfc"/>
          <w:rFonts w:ascii="Arial" w:eastAsiaTheme="majorEastAsia" w:hAnsi="Arial" w:cs="Arial"/>
          <w:sz w:val="20"/>
          <w:szCs w:val="20"/>
          <w:lang w:val="en-US" w:eastAsia="zh-CN"/>
        </w:rPr>
        <w:t xml:space="preserve"> </w:t>
      </w:r>
      <w:r w:rsidR="00632625">
        <w:rPr>
          <w:rStyle w:val="y2iqfc"/>
          <w:rFonts w:ascii="Arial" w:eastAsiaTheme="majorEastAsia" w:hAnsi="Arial" w:cs="Arial"/>
          <w:sz w:val="20"/>
          <w:szCs w:val="20"/>
          <w:lang w:val="en-US" w:eastAsia="zh-CN"/>
        </w:rPr>
        <w:t>As a result</w:t>
      </w:r>
      <w:r w:rsidRPr="003516DC">
        <w:rPr>
          <w:rStyle w:val="y2iqfc"/>
          <w:rFonts w:ascii="Arial" w:eastAsiaTheme="majorEastAsia" w:hAnsi="Arial" w:cs="Arial"/>
          <w:sz w:val="20"/>
          <w:szCs w:val="20"/>
          <w:lang w:val="en-US" w:eastAsia="zh-CN"/>
        </w:rPr>
        <w:t>, a set of active measures are indicated in the area to assist the large amount of people estimated to bec</w:t>
      </w:r>
      <w:r w:rsidR="00632625">
        <w:rPr>
          <w:rStyle w:val="y2iqfc"/>
          <w:rFonts w:ascii="Arial" w:eastAsiaTheme="majorEastAsia" w:hAnsi="Arial" w:cs="Arial"/>
          <w:sz w:val="20"/>
          <w:szCs w:val="20"/>
          <w:lang w:val="en-US" w:eastAsia="zh-CN"/>
        </w:rPr>
        <w:t>o</w:t>
      </w:r>
      <w:r w:rsidRPr="003516DC">
        <w:rPr>
          <w:rStyle w:val="y2iqfc"/>
          <w:rFonts w:ascii="Arial" w:eastAsiaTheme="majorEastAsia" w:hAnsi="Arial" w:cs="Arial"/>
          <w:sz w:val="20"/>
          <w:szCs w:val="20"/>
          <w:lang w:val="en-US" w:eastAsia="zh-CN"/>
        </w:rPr>
        <w:t xml:space="preserve">me unemployed, especially for </w:t>
      </w:r>
      <w:r w:rsidRPr="003516DC">
        <w:rPr>
          <w:rStyle w:val="y2iqfc"/>
          <w:rFonts w:ascii="Arial" w:hAnsi="Arial" w:cs="Arial"/>
          <w:sz w:val="20"/>
          <w:szCs w:val="20"/>
          <w:lang w:val="en"/>
        </w:rPr>
        <w:t>disadvantaged groups</w:t>
      </w:r>
      <w:r w:rsidRPr="003516DC">
        <w:rPr>
          <w:rStyle w:val="y2iqfc"/>
          <w:rFonts w:ascii="Arial" w:hAnsi="Arial" w:cs="Arial"/>
          <w:sz w:val="20"/>
          <w:szCs w:val="20"/>
          <w:lang w:val="en-US"/>
        </w:rPr>
        <w:t xml:space="preserve"> (young graduated people, </w:t>
      </w:r>
      <w:r w:rsidRPr="003516DC">
        <w:rPr>
          <w:rStyle w:val="y2iqfc"/>
          <w:rFonts w:ascii="Arial" w:hAnsi="Arial" w:cs="Arial"/>
          <w:sz w:val="20"/>
          <w:szCs w:val="20"/>
          <w:lang w:val="en"/>
        </w:rPr>
        <w:t>people over 50, people return</w:t>
      </w:r>
      <w:r w:rsidR="00632625">
        <w:rPr>
          <w:rStyle w:val="y2iqfc"/>
          <w:rFonts w:ascii="Arial" w:hAnsi="Arial" w:cs="Arial"/>
          <w:sz w:val="20"/>
          <w:szCs w:val="20"/>
          <w:lang w:val="en"/>
        </w:rPr>
        <w:t>ing</w:t>
      </w:r>
      <w:r w:rsidRPr="003516DC">
        <w:rPr>
          <w:rStyle w:val="y2iqfc"/>
          <w:rFonts w:ascii="Arial" w:hAnsi="Arial" w:cs="Arial"/>
          <w:sz w:val="20"/>
          <w:szCs w:val="20"/>
          <w:lang w:val="en"/>
        </w:rPr>
        <w:t xml:space="preserve"> to the country, post-institutionali</w:t>
      </w:r>
      <w:r w:rsidR="00632625">
        <w:rPr>
          <w:rStyle w:val="y2iqfc"/>
          <w:rFonts w:ascii="Arial" w:hAnsi="Arial" w:cs="Arial"/>
          <w:sz w:val="20"/>
          <w:szCs w:val="20"/>
          <w:lang w:val="en"/>
        </w:rPr>
        <w:t>s</w:t>
      </w:r>
      <w:r w:rsidRPr="003516DC">
        <w:rPr>
          <w:rStyle w:val="y2iqfc"/>
          <w:rFonts w:ascii="Arial" w:hAnsi="Arial" w:cs="Arial"/>
          <w:sz w:val="20"/>
          <w:szCs w:val="20"/>
          <w:lang w:val="en"/>
        </w:rPr>
        <w:t>ed young people able to work</w:t>
      </w:r>
      <w:r w:rsidRPr="003516DC">
        <w:rPr>
          <w:rStyle w:val="y2iqfc"/>
          <w:rFonts w:ascii="Arial" w:hAnsi="Arial" w:cs="Arial"/>
          <w:sz w:val="20"/>
          <w:szCs w:val="20"/>
          <w:lang w:val="en-US"/>
        </w:rPr>
        <w:t>):</w:t>
      </w:r>
    </w:p>
    <w:p w14:paraId="497E7CBC" w14:textId="5816CF42" w:rsidR="001A7A04" w:rsidRPr="003516DC" w:rsidRDefault="001A7A04" w:rsidP="00E42342">
      <w:pPr>
        <w:pStyle w:val="HTMLPreformatted"/>
        <w:numPr>
          <w:ilvl w:val="0"/>
          <w:numId w:val="121"/>
        </w:numPr>
        <w:tabs>
          <w:tab w:val="clear" w:pos="420"/>
        </w:tabs>
        <w:spacing w:after="120"/>
        <w:ind w:left="418" w:hanging="418"/>
        <w:jc w:val="both"/>
        <w:rPr>
          <w:rStyle w:val="y2iqfc"/>
          <w:rFonts w:ascii="Arial" w:hAnsi="Arial" w:cs="Arial"/>
          <w:lang w:val="en"/>
        </w:rPr>
      </w:pPr>
      <w:r w:rsidRPr="003516DC">
        <w:rPr>
          <w:rStyle w:val="y2iqfc"/>
          <w:rFonts w:ascii="Arial" w:eastAsiaTheme="majorEastAsia" w:hAnsi="Arial" w:cs="Arial"/>
          <w:lang w:val="en"/>
        </w:rPr>
        <w:t>D</w:t>
      </w:r>
      <w:r w:rsidRPr="003516DC">
        <w:rPr>
          <w:rStyle w:val="y2iqfc"/>
          <w:rFonts w:ascii="Arial" w:hAnsi="Arial" w:cs="Arial"/>
          <w:lang w:val="en"/>
        </w:rPr>
        <w:t>evelopment of services offered to inactive people, unemployed with a low level of skills, long-term unemployed, by creating teams mixed mobiles with a role in providing integrated identification, guidance and support services, as well as by adapting individuali</w:t>
      </w:r>
      <w:r w:rsidR="00632625">
        <w:rPr>
          <w:rStyle w:val="y2iqfc"/>
          <w:rFonts w:ascii="Arial" w:hAnsi="Arial" w:cs="Arial"/>
          <w:lang w:val="en"/>
        </w:rPr>
        <w:t>s</w:t>
      </w:r>
      <w:r w:rsidRPr="003516DC">
        <w:rPr>
          <w:rStyle w:val="y2iqfc"/>
          <w:rFonts w:ascii="Arial" w:hAnsi="Arial" w:cs="Arial"/>
          <w:lang w:val="en"/>
        </w:rPr>
        <w:t>ed interventions in case management;</w:t>
      </w:r>
    </w:p>
    <w:p w14:paraId="148413F0" w14:textId="11784462" w:rsidR="001A7A04" w:rsidRPr="003516DC" w:rsidRDefault="001A7A04" w:rsidP="00E42342">
      <w:pPr>
        <w:pStyle w:val="HTMLPreformatted"/>
        <w:numPr>
          <w:ilvl w:val="0"/>
          <w:numId w:val="121"/>
        </w:numPr>
        <w:tabs>
          <w:tab w:val="clear" w:pos="420"/>
        </w:tabs>
        <w:spacing w:after="120"/>
        <w:ind w:left="418" w:hanging="418"/>
        <w:jc w:val="both"/>
        <w:rPr>
          <w:rStyle w:val="y2iqfc"/>
          <w:rFonts w:ascii="Arial" w:hAnsi="Arial" w:cs="Arial"/>
          <w:lang w:val="en"/>
        </w:rPr>
      </w:pPr>
      <w:r w:rsidRPr="003516DC">
        <w:rPr>
          <w:rStyle w:val="y2iqfc"/>
          <w:rFonts w:ascii="Arial" w:eastAsiaTheme="majorEastAsia" w:hAnsi="Arial" w:cs="Arial"/>
          <w:lang w:val="en"/>
        </w:rPr>
        <w:t>I</w:t>
      </w:r>
      <w:r w:rsidRPr="003516DC">
        <w:rPr>
          <w:rStyle w:val="y2iqfc"/>
          <w:rFonts w:ascii="Arial" w:hAnsi="Arial" w:cs="Arial"/>
          <w:lang w:val="en"/>
        </w:rPr>
        <w:t>nitiation of entrepreneurial support program</w:t>
      </w:r>
      <w:r w:rsidR="00632625">
        <w:rPr>
          <w:rStyle w:val="y2iqfc"/>
          <w:rFonts w:ascii="Arial" w:hAnsi="Arial" w:cs="Arial"/>
          <w:lang w:val="en"/>
        </w:rPr>
        <w:t>me</w:t>
      </w:r>
      <w:r w:rsidRPr="003516DC">
        <w:rPr>
          <w:rStyle w:val="y2iqfc"/>
          <w:rFonts w:ascii="Arial" w:hAnsi="Arial" w:cs="Arial"/>
          <w:lang w:val="en"/>
        </w:rPr>
        <w:t>s, adapted to the needs of different target groups, including pre-startup measures and grant schemes for startups in key industries relevant for the development plans of the county; post-establishment business assistance/consultancy to overcome economic difficulties and support for innovation and digiti</w:t>
      </w:r>
      <w:r w:rsidR="00CD3B73">
        <w:rPr>
          <w:rStyle w:val="y2iqfc"/>
          <w:rFonts w:ascii="Arial" w:hAnsi="Arial" w:cs="Arial"/>
          <w:lang w:val="en"/>
        </w:rPr>
        <w:t>s</w:t>
      </w:r>
      <w:r w:rsidRPr="003516DC">
        <w:rPr>
          <w:rStyle w:val="y2iqfc"/>
          <w:rFonts w:ascii="Arial" w:hAnsi="Arial" w:cs="Arial"/>
          <w:lang w:val="en"/>
        </w:rPr>
        <w:t>ation of sustainable startups;</w:t>
      </w:r>
    </w:p>
    <w:p w14:paraId="29FD9749" w14:textId="3361A7EE" w:rsidR="001A7A04" w:rsidRPr="003516DC" w:rsidRDefault="001A7A04" w:rsidP="00E42342">
      <w:pPr>
        <w:pStyle w:val="HTMLPreformatted"/>
        <w:numPr>
          <w:ilvl w:val="0"/>
          <w:numId w:val="121"/>
        </w:numPr>
        <w:tabs>
          <w:tab w:val="clear" w:pos="420"/>
        </w:tabs>
        <w:spacing w:after="120"/>
        <w:ind w:left="418" w:hanging="418"/>
        <w:jc w:val="both"/>
        <w:rPr>
          <w:rStyle w:val="y2iqfc"/>
          <w:rFonts w:ascii="Arial" w:hAnsi="Arial" w:cs="Arial"/>
          <w:lang w:val="en"/>
        </w:rPr>
      </w:pPr>
      <w:r w:rsidRPr="003516DC">
        <w:rPr>
          <w:rStyle w:val="y2iqfc"/>
          <w:rFonts w:ascii="Arial" w:eastAsiaTheme="majorEastAsia" w:hAnsi="Arial" w:cs="Arial"/>
          <w:lang w:val="en"/>
        </w:rPr>
        <w:t>F</w:t>
      </w:r>
      <w:r w:rsidRPr="003516DC">
        <w:rPr>
          <w:rStyle w:val="y2iqfc"/>
          <w:rFonts w:ascii="Arial" w:hAnsi="Arial" w:cs="Arial"/>
          <w:lang w:val="en"/>
        </w:rPr>
        <w:t>inancing of integrated interventions, initiated by local administrations in partnership with the local community, social partners and other stakeholders (employers, etc.), in areas with labo</w:t>
      </w:r>
      <w:r w:rsidR="000F5D28">
        <w:rPr>
          <w:rStyle w:val="y2iqfc"/>
          <w:rFonts w:ascii="Arial" w:hAnsi="Arial" w:cs="Arial"/>
          <w:lang w:val="en"/>
        </w:rPr>
        <w:t>u</w:t>
      </w:r>
      <w:r w:rsidRPr="003516DC">
        <w:rPr>
          <w:rStyle w:val="y2iqfc"/>
          <w:rFonts w:ascii="Arial" w:hAnsi="Arial" w:cs="Arial"/>
          <w:lang w:val="en"/>
        </w:rPr>
        <w:t>r shortages and seasonal migration at</w:t>
      </w:r>
      <w:r w:rsidR="000F5D28">
        <w:rPr>
          <w:rStyle w:val="y2iqfc"/>
          <w:rFonts w:ascii="Arial" w:hAnsi="Arial" w:cs="Arial"/>
          <w:lang w:val="en"/>
        </w:rPr>
        <w:t xml:space="preserve"> the</w:t>
      </w:r>
      <w:r w:rsidRPr="003516DC">
        <w:rPr>
          <w:rStyle w:val="y2iqfc"/>
          <w:rFonts w:ascii="Arial" w:hAnsi="Arial" w:cs="Arial"/>
          <w:lang w:val="en"/>
        </w:rPr>
        <w:t xml:space="preserve"> county/regional level by designing and providing support services for reducing labo</w:t>
      </w:r>
      <w:r w:rsidR="000F5D28">
        <w:rPr>
          <w:rStyle w:val="y2iqfc"/>
          <w:rFonts w:ascii="Arial" w:hAnsi="Arial" w:cs="Arial"/>
          <w:lang w:val="en"/>
        </w:rPr>
        <w:t>u</w:t>
      </w:r>
      <w:r w:rsidRPr="003516DC">
        <w:rPr>
          <w:rStyle w:val="y2iqfc"/>
          <w:rFonts w:ascii="Arial" w:hAnsi="Arial" w:cs="Arial"/>
          <w:lang w:val="en"/>
        </w:rPr>
        <w:t>r shortages and promoting measures to reduce vertical and cross-cutting skills gaps, with a focus on basic digital skills, as well as social and green entrepreneurship;</w:t>
      </w:r>
    </w:p>
    <w:p w14:paraId="00A18EBC" w14:textId="55B884C4" w:rsidR="001A7A04" w:rsidRPr="003516DC" w:rsidRDefault="001A7A04" w:rsidP="00E42342">
      <w:pPr>
        <w:pStyle w:val="HTMLPreformatted"/>
        <w:numPr>
          <w:ilvl w:val="0"/>
          <w:numId w:val="121"/>
        </w:numPr>
        <w:tabs>
          <w:tab w:val="clear" w:pos="420"/>
        </w:tabs>
        <w:spacing w:after="120"/>
        <w:ind w:left="418" w:hanging="418"/>
        <w:jc w:val="both"/>
        <w:rPr>
          <w:rStyle w:val="y2iqfc"/>
          <w:rFonts w:ascii="Arial" w:hAnsi="Arial" w:cs="Arial"/>
          <w:lang w:val="en"/>
        </w:rPr>
      </w:pPr>
      <w:r w:rsidRPr="003516DC">
        <w:rPr>
          <w:rStyle w:val="y2iqfc"/>
          <w:rFonts w:ascii="Arial" w:eastAsiaTheme="majorEastAsia" w:hAnsi="Arial" w:cs="Arial"/>
          <w:lang w:val="en"/>
        </w:rPr>
        <w:t>P</w:t>
      </w:r>
      <w:r w:rsidRPr="003516DC">
        <w:rPr>
          <w:rStyle w:val="y2iqfc"/>
          <w:rFonts w:ascii="Arial" w:hAnsi="Arial" w:cs="Arial"/>
          <w:lang w:val="en"/>
        </w:rPr>
        <w:t>romoting atypical forms of employment, respecting the balance between professional and private life, accompanied by support for employers/consortia of employers for the arrangement of spaces for supervision and care of children of preschool age to ensure work-life balance family of employed women</w:t>
      </w:r>
      <w:r w:rsidR="000F5D28">
        <w:rPr>
          <w:rStyle w:val="y2iqfc"/>
          <w:rFonts w:ascii="Arial" w:hAnsi="Arial" w:cs="Arial"/>
          <w:lang w:val="en"/>
        </w:rPr>
        <w:t>;</w:t>
      </w:r>
    </w:p>
    <w:p w14:paraId="50ED7326" w14:textId="5F85C7A2" w:rsidR="001A7A04" w:rsidRPr="003516DC" w:rsidRDefault="001A7A04" w:rsidP="00E42342">
      <w:pPr>
        <w:pStyle w:val="HTMLPreformatted"/>
        <w:numPr>
          <w:ilvl w:val="0"/>
          <w:numId w:val="121"/>
        </w:numPr>
        <w:tabs>
          <w:tab w:val="clear" w:pos="420"/>
        </w:tabs>
        <w:spacing w:after="120"/>
        <w:ind w:left="418" w:hanging="418"/>
        <w:jc w:val="both"/>
        <w:rPr>
          <w:rStyle w:val="y2iqfc"/>
          <w:rFonts w:ascii="Arial" w:hAnsi="Arial" w:cs="Arial"/>
          <w:lang w:val="en"/>
        </w:rPr>
      </w:pPr>
      <w:r w:rsidRPr="003516DC">
        <w:rPr>
          <w:rStyle w:val="y2iqfc"/>
          <w:rFonts w:ascii="Arial" w:hAnsi="Arial" w:cs="Arial"/>
          <w:lang w:val="en"/>
        </w:rPr>
        <w:t>Initiation of integrated packages of measures for the activation of young people, including NEET and adults with low level</w:t>
      </w:r>
      <w:r w:rsidR="000F5D28">
        <w:rPr>
          <w:rStyle w:val="y2iqfc"/>
          <w:rFonts w:ascii="Arial" w:hAnsi="Arial" w:cs="Arial"/>
          <w:lang w:val="en"/>
        </w:rPr>
        <w:t>s</w:t>
      </w:r>
      <w:r w:rsidRPr="003516DC">
        <w:rPr>
          <w:rStyle w:val="y2iqfc"/>
          <w:rFonts w:ascii="Arial" w:hAnsi="Arial" w:cs="Arial"/>
          <w:lang w:val="en"/>
        </w:rPr>
        <w:t xml:space="preserve"> of education and qualification (counseling, including entrepreneurship and social entrepreneurship, vocational training/apprentices/internships/internships, stimulation of young people -employment through short internships at different employers to get in touch with the respective field of activity, stimulation of post-apprentice employers);</w:t>
      </w:r>
    </w:p>
    <w:p w14:paraId="57861B03" w14:textId="41F103C3" w:rsidR="001A7A04" w:rsidRPr="001A7A04" w:rsidRDefault="001A7A04" w:rsidP="00E42342">
      <w:pPr>
        <w:pStyle w:val="HTMLPreformatted"/>
        <w:numPr>
          <w:ilvl w:val="0"/>
          <w:numId w:val="121"/>
        </w:numPr>
        <w:tabs>
          <w:tab w:val="clear" w:pos="420"/>
        </w:tabs>
        <w:spacing w:after="120"/>
        <w:ind w:left="418" w:hanging="418"/>
        <w:jc w:val="both"/>
        <w:rPr>
          <w:rStyle w:val="y2iqfc"/>
          <w:rFonts w:ascii="Arial" w:hAnsi="Arial" w:cs="Arial"/>
        </w:rPr>
      </w:pPr>
      <w:r w:rsidRPr="003516DC">
        <w:rPr>
          <w:rStyle w:val="y2iqfc"/>
          <w:rFonts w:ascii="Arial" w:hAnsi="Arial" w:cs="Arial"/>
          <w:lang w:val="en"/>
        </w:rPr>
        <w:lastRenderedPageBreak/>
        <w:t xml:space="preserve">Increasing the capacity of </w:t>
      </w:r>
      <w:r w:rsidR="000F5D28">
        <w:rPr>
          <w:rStyle w:val="y2iqfc"/>
          <w:rFonts w:ascii="Arial" w:hAnsi="Arial" w:cs="Arial"/>
          <w:lang w:val="en"/>
        </w:rPr>
        <w:t xml:space="preserve">the </w:t>
      </w:r>
      <w:r w:rsidRPr="003516DC">
        <w:rPr>
          <w:rStyle w:val="y2iqfc"/>
          <w:rFonts w:ascii="Arial" w:eastAsiaTheme="majorEastAsia" w:hAnsi="Arial" w:cs="Arial"/>
          <w:lang w:val="en"/>
        </w:rPr>
        <w:t>County Employment</w:t>
      </w:r>
      <w:r w:rsidRPr="003516DC">
        <w:rPr>
          <w:rStyle w:val="y2iqfc"/>
          <w:rFonts w:ascii="Arial" w:hAnsi="Arial" w:cs="Arial"/>
          <w:lang w:val="en"/>
        </w:rPr>
        <w:t xml:space="preserve"> </w:t>
      </w:r>
      <w:r w:rsidRPr="003516DC">
        <w:rPr>
          <w:rStyle w:val="y2iqfc"/>
          <w:rFonts w:ascii="Arial" w:eastAsiaTheme="majorEastAsia" w:hAnsi="Arial" w:cs="Arial"/>
          <w:lang w:val="en"/>
        </w:rPr>
        <w:t xml:space="preserve">Agency </w:t>
      </w:r>
      <w:r w:rsidRPr="003516DC">
        <w:rPr>
          <w:rStyle w:val="y2iqfc"/>
          <w:rFonts w:ascii="Arial" w:hAnsi="Arial" w:cs="Arial"/>
          <w:lang w:val="en"/>
        </w:rPr>
        <w:t>to use information systems to improve the tools, processes and mechanisms for providing information on the labo</w:t>
      </w:r>
      <w:r w:rsidR="000F5D28">
        <w:rPr>
          <w:rStyle w:val="y2iqfc"/>
          <w:rFonts w:ascii="Arial" w:hAnsi="Arial" w:cs="Arial"/>
          <w:lang w:val="en"/>
        </w:rPr>
        <w:t>u</w:t>
      </w:r>
      <w:r w:rsidRPr="003516DC">
        <w:rPr>
          <w:rStyle w:val="y2iqfc"/>
          <w:rFonts w:ascii="Arial" w:hAnsi="Arial" w:cs="Arial"/>
          <w:lang w:val="en"/>
        </w:rPr>
        <w:t>r market, anticipating the need for skills, initiating/implementing active measures and vocational training, including regular forecasts on the dynamics of labo</w:t>
      </w:r>
      <w:r w:rsidR="000F5D28">
        <w:rPr>
          <w:rStyle w:val="y2iqfc"/>
          <w:rFonts w:ascii="Arial" w:hAnsi="Arial" w:cs="Arial"/>
          <w:lang w:val="en"/>
        </w:rPr>
        <w:t>u</w:t>
      </w:r>
      <w:r w:rsidRPr="003516DC">
        <w:rPr>
          <w:rStyle w:val="y2iqfc"/>
          <w:rFonts w:ascii="Arial" w:hAnsi="Arial" w:cs="Arial"/>
          <w:lang w:val="en"/>
        </w:rPr>
        <w:t>r demand</w:t>
      </w:r>
      <w:r w:rsidR="000F5D28">
        <w:rPr>
          <w:rStyle w:val="y2iqfc"/>
          <w:rFonts w:ascii="Arial" w:hAnsi="Arial" w:cs="Arial"/>
          <w:lang w:val="en"/>
        </w:rPr>
        <w:t>ed</w:t>
      </w:r>
      <w:r w:rsidRPr="003516DC">
        <w:rPr>
          <w:rStyle w:val="y2iqfc"/>
          <w:rFonts w:ascii="Arial" w:hAnsi="Arial" w:cs="Arial"/>
          <w:lang w:val="en"/>
        </w:rPr>
        <w:t xml:space="preserve"> by sectors, in regional/county profile and by residential environment, to increase the predictability of intra- and inter-sectoral allocations and reallocations of labo</w:t>
      </w:r>
      <w:r w:rsidR="000F5D28">
        <w:rPr>
          <w:rStyle w:val="y2iqfc"/>
          <w:rFonts w:ascii="Arial" w:hAnsi="Arial" w:cs="Arial"/>
          <w:lang w:val="en"/>
        </w:rPr>
        <w:t>u</w:t>
      </w:r>
      <w:r w:rsidRPr="003516DC">
        <w:rPr>
          <w:rStyle w:val="y2iqfc"/>
          <w:rFonts w:ascii="Arial" w:hAnsi="Arial" w:cs="Arial"/>
          <w:lang w:val="en"/>
        </w:rPr>
        <w:t>r.</w:t>
      </w:r>
    </w:p>
    <w:p w14:paraId="274DF793" w14:textId="11DE4259" w:rsidR="001A7A04" w:rsidRPr="003516DC" w:rsidRDefault="001A7A04" w:rsidP="00E42342">
      <w:pPr>
        <w:pStyle w:val="Heading2"/>
        <w:numPr>
          <w:ilvl w:val="0"/>
          <w:numId w:val="171"/>
        </w:numPr>
        <w:spacing w:before="240" w:line="240" w:lineRule="auto"/>
      </w:pPr>
      <w:bookmarkStart w:id="215" w:name="_Toc90725877"/>
      <w:r>
        <w:t>SWOT Analysis and strategic outlook</w:t>
      </w:r>
      <w:bookmarkEnd w:id="215"/>
    </w:p>
    <w:p w14:paraId="4ED2007F" w14:textId="77777777" w:rsidR="001A7A04" w:rsidRPr="003516DC" w:rsidRDefault="001A7A04" w:rsidP="00654AE5">
      <w:pPr>
        <w:spacing w:after="120"/>
        <w:jc w:val="both"/>
        <w:rPr>
          <w:rFonts w:ascii="Arial" w:hAnsi="Arial" w:cs="Arial"/>
          <w:sz w:val="20"/>
          <w:szCs w:val="20"/>
        </w:rPr>
      </w:pPr>
      <w:r w:rsidRPr="003516DC">
        <w:rPr>
          <w:rFonts w:ascii="Arial" w:hAnsi="Arial" w:cs="Arial"/>
          <w:sz w:val="20"/>
          <w:szCs w:val="20"/>
        </w:rPr>
        <w:t>The analysis conducted over the chapters of this report, as well as part of the previous deliverables under this assignment, is summarised in the SWOT analysis below.</w:t>
      </w:r>
    </w:p>
    <w:p w14:paraId="6969E891" w14:textId="032D590F" w:rsidR="001A7A04" w:rsidRPr="003516DC" w:rsidRDefault="001A7A04" w:rsidP="00654AE5">
      <w:pPr>
        <w:pStyle w:val="Caption"/>
        <w:spacing w:before="0"/>
        <w:ind w:left="1138" w:hanging="1138"/>
      </w:pPr>
      <w:bookmarkStart w:id="216" w:name="_Toc90726001"/>
      <w:bookmarkStart w:id="217" w:name="_Toc9072729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47</w:t>
      </w:r>
      <w:r w:rsidRPr="003516DC">
        <w:rPr>
          <w:noProof/>
        </w:rPr>
        <w:fldChar w:fldCharType="end"/>
      </w:r>
      <w:r w:rsidRPr="003516DC">
        <w:t xml:space="preserve">: SWOT analysis for Gorj </w:t>
      </w:r>
      <w:r w:rsidR="000F5D28">
        <w:t>C</w:t>
      </w:r>
      <w:r w:rsidRPr="003516DC">
        <w:t>ounty</w:t>
      </w:r>
      <w:bookmarkEnd w:id="216"/>
      <w:bookmarkEnd w:id="2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464"/>
        <w:gridCol w:w="4465"/>
      </w:tblGrid>
      <w:tr w:rsidR="001A7A04" w:rsidRPr="003516DC" w14:paraId="39138754" w14:textId="77777777" w:rsidTr="00654AE5">
        <w:trPr>
          <w:trHeight w:val="101"/>
        </w:trPr>
        <w:tc>
          <w:tcPr>
            <w:tcW w:w="2500" w:type="pct"/>
            <w:shd w:val="clear" w:color="auto" w:fill="002060"/>
            <w:tcMar>
              <w:top w:w="60" w:type="dxa"/>
              <w:left w:w="60" w:type="dxa"/>
              <w:bottom w:w="60" w:type="dxa"/>
              <w:right w:w="60" w:type="dxa"/>
            </w:tcMar>
            <w:vAlign w:val="center"/>
          </w:tcPr>
          <w:p w14:paraId="1F0BFA1D" w14:textId="77777777" w:rsidR="001A7A04" w:rsidRPr="003516DC" w:rsidRDefault="001A7A04" w:rsidP="00964831">
            <w:pPr>
              <w:ind w:left="40"/>
              <w:jc w:val="center"/>
              <w:rPr>
                <w:rFonts w:ascii="Arial" w:hAnsi="Arial" w:cs="Arial"/>
                <w:b/>
                <w:sz w:val="18"/>
                <w:szCs w:val="18"/>
              </w:rPr>
            </w:pPr>
            <w:r w:rsidRPr="003516DC">
              <w:rPr>
                <w:rFonts w:ascii="Arial" w:hAnsi="Arial" w:cs="Arial"/>
                <w:b/>
                <w:sz w:val="18"/>
                <w:szCs w:val="18"/>
              </w:rPr>
              <w:t>Strengths</w:t>
            </w:r>
          </w:p>
        </w:tc>
        <w:tc>
          <w:tcPr>
            <w:tcW w:w="2500" w:type="pct"/>
            <w:shd w:val="clear" w:color="auto" w:fill="002060"/>
            <w:tcMar>
              <w:top w:w="60" w:type="dxa"/>
              <w:left w:w="60" w:type="dxa"/>
              <w:bottom w:w="60" w:type="dxa"/>
              <w:right w:w="60" w:type="dxa"/>
            </w:tcMar>
            <w:vAlign w:val="center"/>
          </w:tcPr>
          <w:p w14:paraId="2986F28B" w14:textId="77777777" w:rsidR="001A7A04" w:rsidRPr="003516DC" w:rsidRDefault="001A7A04" w:rsidP="00964831">
            <w:pPr>
              <w:ind w:left="40"/>
              <w:jc w:val="center"/>
              <w:rPr>
                <w:rFonts w:ascii="Arial" w:hAnsi="Arial" w:cs="Arial"/>
                <w:b/>
                <w:sz w:val="18"/>
                <w:szCs w:val="18"/>
              </w:rPr>
            </w:pPr>
            <w:r w:rsidRPr="003516DC">
              <w:rPr>
                <w:rFonts w:ascii="Arial" w:hAnsi="Arial" w:cs="Arial"/>
                <w:b/>
                <w:sz w:val="18"/>
                <w:szCs w:val="18"/>
              </w:rPr>
              <w:t>Weaknesses</w:t>
            </w:r>
          </w:p>
        </w:tc>
      </w:tr>
      <w:tr w:rsidR="001A7A04" w:rsidRPr="003516DC" w14:paraId="2B68C138"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3D3B6A46"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Political &amp; Administrative</w:t>
            </w:r>
          </w:p>
        </w:tc>
      </w:tr>
      <w:tr w:rsidR="001A7A04" w:rsidRPr="003516DC" w14:paraId="026D4A9D" w14:textId="77777777" w:rsidTr="00964831">
        <w:trPr>
          <w:trHeight w:val="1641"/>
        </w:trPr>
        <w:tc>
          <w:tcPr>
            <w:tcW w:w="2500" w:type="pct"/>
            <w:shd w:val="clear" w:color="auto" w:fill="auto"/>
            <w:tcMar>
              <w:top w:w="60" w:type="dxa"/>
              <w:left w:w="60" w:type="dxa"/>
              <w:bottom w:w="60" w:type="dxa"/>
              <w:right w:w="60" w:type="dxa"/>
            </w:tcMar>
          </w:tcPr>
          <w:p w14:paraId="6CC94740" w14:textId="77777777" w:rsidR="001A7A04" w:rsidRPr="003516DC" w:rsidRDefault="001A7A04" w:rsidP="001A7A04">
            <w:pPr>
              <w:pStyle w:val="ListParagraph"/>
              <w:numPr>
                <w:ilvl w:val="0"/>
                <w:numId w:val="36"/>
              </w:numPr>
              <w:spacing w:line="240" w:lineRule="auto"/>
              <w:jc w:val="both"/>
              <w:rPr>
                <w:rFonts w:eastAsia="Calibri"/>
                <w:sz w:val="18"/>
                <w:szCs w:val="18"/>
              </w:rPr>
            </w:pPr>
            <w:r w:rsidRPr="003516DC">
              <w:rPr>
                <w:rFonts w:eastAsia="Calibri"/>
                <w:sz w:val="18"/>
                <w:szCs w:val="18"/>
              </w:rPr>
              <w:t>Implementing a strategy of consultation and collaboration between all actors interested in the just transition.</w:t>
            </w:r>
          </w:p>
          <w:p w14:paraId="00BF4E27" w14:textId="77777777" w:rsidR="001A7A04" w:rsidRPr="003516DC" w:rsidRDefault="001A7A04" w:rsidP="001A7A04">
            <w:pPr>
              <w:pStyle w:val="ListParagraph"/>
              <w:numPr>
                <w:ilvl w:val="0"/>
                <w:numId w:val="36"/>
              </w:numPr>
              <w:spacing w:line="240" w:lineRule="auto"/>
              <w:jc w:val="both"/>
              <w:rPr>
                <w:rFonts w:eastAsia="Calibri"/>
                <w:sz w:val="18"/>
                <w:szCs w:val="18"/>
              </w:rPr>
            </w:pPr>
            <w:r w:rsidRPr="003516DC">
              <w:rPr>
                <w:rFonts w:eastAsia="Calibri"/>
                <w:sz w:val="18"/>
                <w:szCs w:val="18"/>
              </w:rPr>
              <w:t>There is experience in accessing European funds within the local administration.</w:t>
            </w:r>
          </w:p>
          <w:p w14:paraId="4625D0DC" w14:textId="77777777" w:rsidR="001A7A04" w:rsidRPr="003516DC" w:rsidRDefault="001A7A04" w:rsidP="001A7A04">
            <w:pPr>
              <w:pStyle w:val="ListParagraph"/>
              <w:numPr>
                <w:ilvl w:val="0"/>
                <w:numId w:val="36"/>
              </w:numPr>
              <w:spacing w:line="240" w:lineRule="auto"/>
              <w:jc w:val="both"/>
              <w:rPr>
                <w:rFonts w:eastAsia="Calibri"/>
                <w:sz w:val="18"/>
                <w:szCs w:val="18"/>
              </w:rPr>
            </w:pPr>
            <w:r w:rsidRPr="003516DC">
              <w:rPr>
                <w:rFonts w:eastAsia="Calibri"/>
                <w:sz w:val="18"/>
                <w:szCs w:val="18"/>
              </w:rPr>
              <w:t>There is an opportunity for cooperation and collaboration between local actors.</w:t>
            </w:r>
          </w:p>
        </w:tc>
        <w:tc>
          <w:tcPr>
            <w:tcW w:w="2500" w:type="pct"/>
            <w:shd w:val="clear" w:color="auto" w:fill="auto"/>
            <w:tcMar>
              <w:top w:w="60" w:type="dxa"/>
              <w:left w:w="60" w:type="dxa"/>
              <w:bottom w:w="60" w:type="dxa"/>
              <w:right w:w="60" w:type="dxa"/>
            </w:tcMar>
          </w:tcPr>
          <w:p w14:paraId="33CA6596" w14:textId="77777777" w:rsidR="001A7A04" w:rsidRPr="003516DC" w:rsidRDefault="001A7A04" w:rsidP="001A7A04">
            <w:pPr>
              <w:pStyle w:val="ListParagraph"/>
              <w:numPr>
                <w:ilvl w:val="0"/>
                <w:numId w:val="36"/>
              </w:numPr>
              <w:spacing w:line="240" w:lineRule="auto"/>
              <w:rPr>
                <w:rFonts w:eastAsia="Calibri"/>
                <w:sz w:val="18"/>
                <w:szCs w:val="18"/>
              </w:rPr>
            </w:pPr>
            <w:r w:rsidRPr="003516DC">
              <w:rPr>
                <w:rFonts w:eastAsia="Calibri"/>
                <w:sz w:val="18"/>
                <w:szCs w:val="18"/>
              </w:rPr>
              <w:t>Small budgets of local community for co-financing.</w:t>
            </w:r>
          </w:p>
          <w:p w14:paraId="76A7EC61" w14:textId="77777777" w:rsidR="001A7A04" w:rsidRPr="003516DC" w:rsidRDefault="001A7A04" w:rsidP="001A7A04">
            <w:pPr>
              <w:pStyle w:val="ListParagraph"/>
              <w:numPr>
                <w:ilvl w:val="0"/>
                <w:numId w:val="36"/>
              </w:numPr>
              <w:spacing w:line="240" w:lineRule="auto"/>
              <w:rPr>
                <w:rFonts w:eastAsia="Calibri"/>
                <w:sz w:val="18"/>
                <w:szCs w:val="18"/>
              </w:rPr>
            </w:pPr>
            <w:r w:rsidRPr="003516DC">
              <w:rPr>
                <w:rFonts w:eastAsia="Calibri"/>
                <w:sz w:val="18"/>
                <w:szCs w:val="18"/>
              </w:rPr>
              <w:t>Business support infrastructure is underdeveloped and diversified, though not evenly distributed throughout the territory.</w:t>
            </w:r>
          </w:p>
          <w:p w14:paraId="23242A9E" w14:textId="77777777" w:rsidR="001A7A04" w:rsidRPr="003516DC" w:rsidRDefault="001A7A04" w:rsidP="001A7A04">
            <w:pPr>
              <w:pStyle w:val="ListParagraph"/>
              <w:numPr>
                <w:ilvl w:val="0"/>
                <w:numId w:val="36"/>
              </w:numPr>
              <w:spacing w:line="240" w:lineRule="auto"/>
              <w:jc w:val="both"/>
              <w:rPr>
                <w:rFonts w:eastAsia="Calibri"/>
                <w:sz w:val="18"/>
                <w:szCs w:val="18"/>
              </w:rPr>
            </w:pPr>
            <w:r w:rsidRPr="003516DC">
              <w:rPr>
                <w:rFonts w:eastAsia="Calibri"/>
                <w:sz w:val="18"/>
                <w:szCs w:val="18"/>
              </w:rPr>
              <w:t>There is only one industrial park in Bumbești-Jiu, one business incubator in Târgu Jiu;</w:t>
            </w:r>
          </w:p>
          <w:p w14:paraId="3D83C019" w14:textId="77777777" w:rsidR="001A7A04" w:rsidRPr="003516DC" w:rsidRDefault="001A7A04" w:rsidP="001A7A04">
            <w:pPr>
              <w:pStyle w:val="ListParagraph"/>
              <w:numPr>
                <w:ilvl w:val="0"/>
                <w:numId w:val="36"/>
              </w:numPr>
              <w:spacing w:line="240" w:lineRule="auto"/>
              <w:rPr>
                <w:rFonts w:eastAsia="Calibri"/>
                <w:sz w:val="18"/>
                <w:szCs w:val="18"/>
              </w:rPr>
            </w:pPr>
            <w:r w:rsidRPr="003516DC">
              <w:rPr>
                <w:rFonts w:eastAsia="Calibri"/>
                <w:sz w:val="18"/>
                <w:szCs w:val="18"/>
              </w:rPr>
              <w:t>Small number of public-private partnerships.</w:t>
            </w:r>
          </w:p>
        </w:tc>
      </w:tr>
      <w:tr w:rsidR="001A7A04" w:rsidRPr="003516DC" w14:paraId="25E0990F"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35D4201C"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Economic &amp; Environmental</w:t>
            </w:r>
          </w:p>
        </w:tc>
      </w:tr>
      <w:tr w:rsidR="001A7A04" w:rsidRPr="003516DC" w14:paraId="3A4DE854" w14:textId="77777777" w:rsidTr="00964831">
        <w:trPr>
          <w:trHeight w:val="490"/>
        </w:trPr>
        <w:tc>
          <w:tcPr>
            <w:tcW w:w="2500" w:type="pct"/>
            <w:shd w:val="clear" w:color="auto" w:fill="FFFFFF" w:themeFill="background1"/>
            <w:tcMar>
              <w:top w:w="60" w:type="dxa"/>
              <w:left w:w="60" w:type="dxa"/>
              <w:bottom w:w="60" w:type="dxa"/>
              <w:right w:w="60" w:type="dxa"/>
            </w:tcMar>
            <w:vAlign w:val="center"/>
          </w:tcPr>
          <w:p w14:paraId="345C987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In the last 10 years, the number of economic agents has increased by 30%, the number of profitable companies by 16%.</w:t>
            </w:r>
          </w:p>
          <w:p w14:paraId="5F52A430"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turnover of the active local units in the county registered a positive evolution, increasing by 10% in the last three years.</w:t>
            </w:r>
          </w:p>
          <w:p w14:paraId="0071A8C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productive sector is well represented by the two important industrial branches: the energy industry and the extraction industry.</w:t>
            </w:r>
          </w:p>
          <w:p w14:paraId="2365480B"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In Bumbesti-Jiu there is an industrial park with a good occupancy rate, which offers stimulating conditions for companies that are preparing to develop.</w:t>
            </w:r>
          </w:p>
          <w:p w14:paraId="7F898EBB"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There is the multicultural brand Brâncuși, the biodiversity of the geographical areas, rich hunting and fishing background, cultural attractions, monasteries in picturesque areas, resources for speleological tourism, some caves with the status of nature reserves.</w:t>
            </w:r>
          </w:p>
          <w:p w14:paraId="5B35A53D"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Tourist routes and ski slopes approved at the level of central authority.</w:t>
            </w:r>
          </w:p>
          <w:p w14:paraId="3410FCC9" w14:textId="35DBE2DB"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At the county level there are already several producers of electricity based on PV sources .</w:t>
            </w:r>
          </w:p>
          <w:p w14:paraId="0ABE8CE1"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There is a plan to implement an integrated and sustainable waste management system at the county level to ensure the increase of the quality of health, environment and life in the county, in compliance with the measures established by the approved planning documents.</w:t>
            </w:r>
          </w:p>
          <w:p w14:paraId="4B2F4FC1"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county has an advantageous geographical positioning from the perspective of European transport corridors, being crossed both by the central TEN-T road network.</w:t>
            </w:r>
          </w:p>
          <w:p w14:paraId="71138BE8"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 xml:space="preserve">The county is crossed by European, national and county roads that ensure its connection within the national and regional territory. (87.17% of the modernised national roads, 56.76% of the modernised county roads) -Gorj county is the only </w:t>
            </w:r>
            <w:r w:rsidRPr="003516DC">
              <w:rPr>
                <w:rFonts w:eastAsia="Calibri"/>
                <w:sz w:val="18"/>
                <w:szCs w:val="18"/>
              </w:rPr>
              <w:lastRenderedPageBreak/>
              <w:t>county that is fully connected via electrified railway (239 km).</w:t>
            </w:r>
          </w:p>
          <w:p w14:paraId="15EB3999" w14:textId="77777777" w:rsidR="001A7A04" w:rsidRPr="003516DC" w:rsidRDefault="001A7A04" w:rsidP="001A7A04">
            <w:pPr>
              <w:pStyle w:val="ListParagraph"/>
              <w:numPr>
                <w:ilvl w:val="0"/>
                <w:numId w:val="37"/>
              </w:numPr>
              <w:spacing w:line="240" w:lineRule="auto"/>
              <w:rPr>
                <w:b/>
                <w:bCs/>
                <w:sz w:val="18"/>
                <w:szCs w:val="18"/>
              </w:rPr>
            </w:pPr>
            <w:r w:rsidRPr="003516DC">
              <w:rPr>
                <w:rFonts w:eastAsia="Calibri"/>
                <w:sz w:val="18"/>
                <w:szCs w:val="18"/>
              </w:rPr>
              <w:t>The infrastructure for drinking water supply and sewerage and wastewater treatment has expanded significantly in both urban and rural areas.</w:t>
            </w:r>
          </w:p>
        </w:tc>
        <w:tc>
          <w:tcPr>
            <w:tcW w:w="2500" w:type="pct"/>
            <w:shd w:val="clear" w:color="auto" w:fill="FFFFFF" w:themeFill="background1"/>
          </w:tcPr>
          <w:p w14:paraId="7C0D4ED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lastRenderedPageBreak/>
              <w:t>Dependence of the economy on the industrial sector to the detriment of other sectors.</w:t>
            </w:r>
          </w:p>
          <w:p w14:paraId="25975B8A"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Structural imbalance in terms of economic diversification given that 52% of companies in the area operate in the trade sector.</w:t>
            </w:r>
          </w:p>
          <w:p w14:paraId="3A9F7C4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 xml:space="preserve">The distribution of SMEs in the territory indicates an uneven distribution and significant urban-rural disparities, the urban areas attract most companies (Târgu Jiu and Motru municipalities had almost 50% of the total number of economic agents in the county and achieved over 75% of county turnover in 2019). </w:t>
            </w:r>
          </w:p>
          <w:p w14:paraId="13704E2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Low level of accommodation capacity and average duration of the stay in destinations in relation to the existing tourist potential.</w:t>
            </w:r>
          </w:p>
          <w:p w14:paraId="5673AA4D"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Tourist offers are not promoted or included in tourist programmes.</w:t>
            </w:r>
          </w:p>
          <w:p w14:paraId="2E592E48"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Low number of foreign tourists visiting the county.</w:t>
            </w:r>
          </w:p>
          <w:p w14:paraId="2E513F9F"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presence of the largest CO</w:t>
            </w:r>
            <w:r w:rsidRPr="00782BFD">
              <w:rPr>
                <w:rFonts w:eastAsia="Calibri"/>
                <w:sz w:val="18"/>
                <w:szCs w:val="18"/>
                <w:vertAlign w:val="subscript"/>
              </w:rPr>
              <w:t>2</w:t>
            </w:r>
            <w:r w:rsidRPr="003516DC">
              <w:rPr>
                <w:rFonts w:eastAsia="Calibri"/>
                <w:sz w:val="18"/>
                <w:szCs w:val="18"/>
              </w:rPr>
              <w:t xml:space="preserve"> pollutant.</w:t>
            </w:r>
          </w:p>
          <w:p w14:paraId="7E028AD4"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Lack of highway infrastructure.</w:t>
            </w:r>
          </w:p>
          <w:p w14:paraId="4294DF93"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county is isolated from the air network (the nearest airport is at one hour and forty minutes away from Târgu Jiu).</w:t>
            </w:r>
          </w:p>
          <w:p w14:paraId="6451EE48"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There are no bypasses, bicycle tracks, alternative transport routes.</w:t>
            </w:r>
          </w:p>
          <w:p w14:paraId="362F1EDE"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Significant discrepancies of territorial development between the county seat and the rest of the cities, between the cities and the rural environment.</w:t>
            </w:r>
          </w:p>
          <w:p w14:paraId="48BFF4E7"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Many homes do not have access to basic utilities and water supply, heat, sewerage, even in cities.</w:t>
            </w:r>
          </w:p>
          <w:p w14:paraId="07231BFC"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The poor quality of the hospital infrastructure and the poor endowment with state-of-the-art equipment and technologies are accentuated in the rural environment.</w:t>
            </w:r>
          </w:p>
          <w:p w14:paraId="68F552C2"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lastRenderedPageBreak/>
              <w:t>Medical services provided by an insufficient number of medical staff.</w:t>
            </w:r>
          </w:p>
          <w:p w14:paraId="2674CFDE"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Difficulties in implementing an integrated waste management system.</w:t>
            </w:r>
          </w:p>
          <w:p w14:paraId="6A5746FF"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Insufficient investment in land restoration in mining areas has led to large, degraded areas.</w:t>
            </w:r>
          </w:p>
          <w:p w14:paraId="314B8C30" w14:textId="77777777" w:rsidR="001A7A04" w:rsidRPr="003516DC" w:rsidRDefault="001A7A04" w:rsidP="001A7A04">
            <w:pPr>
              <w:pStyle w:val="ListParagraph"/>
              <w:numPr>
                <w:ilvl w:val="0"/>
                <w:numId w:val="37"/>
              </w:numPr>
              <w:spacing w:line="240" w:lineRule="auto"/>
              <w:rPr>
                <w:rFonts w:eastAsia="Calibri"/>
                <w:sz w:val="18"/>
                <w:szCs w:val="18"/>
              </w:rPr>
            </w:pPr>
            <w:r w:rsidRPr="003516DC">
              <w:rPr>
                <w:rFonts w:eastAsia="Calibri"/>
                <w:sz w:val="18"/>
                <w:szCs w:val="18"/>
              </w:rPr>
              <w:t>High degree of pollution in areas close to mining works.</w:t>
            </w:r>
          </w:p>
        </w:tc>
      </w:tr>
      <w:tr w:rsidR="001A7A04" w:rsidRPr="003516DC" w14:paraId="19915918"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59D69EA7"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lastRenderedPageBreak/>
              <w:t>Social &amp; Cultural</w:t>
            </w:r>
          </w:p>
        </w:tc>
      </w:tr>
      <w:tr w:rsidR="001A7A04" w:rsidRPr="003516DC" w14:paraId="50E1EA98" w14:textId="77777777" w:rsidTr="00964831">
        <w:trPr>
          <w:trHeight w:val="2548"/>
        </w:trPr>
        <w:tc>
          <w:tcPr>
            <w:tcW w:w="2500" w:type="pct"/>
            <w:shd w:val="clear" w:color="auto" w:fill="auto"/>
            <w:tcMar>
              <w:top w:w="60" w:type="dxa"/>
              <w:left w:w="60" w:type="dxa"/>
              <w:bottom w:w="60" w:type="dxa"/>
              <w:right w:w="60" w:type="dxa"/>
            </w:tcMar>
          </w:tcPr>
          <w:p w14:paraId="78139AD3"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municipality of residence of Tirgu Jiu is a centre of economic, social and educational development for the surrounding localities.</w:t>
            </w:r>
          </w:p>
          <w:p w14:paraId="232777D5"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unemployment rate has a long-term decreasing trend, reaching 3.86% in 2020.</w:t>
            </w:r>
          </w:p>
          <w:p w14:paraId="3C2CDE80"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average net nominal earnings register higher values ​​in some fields compared to the regional average.</w:t>
            </w:r>
          </w:p>
          <w:p w14:paraId="2060B037"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Existence of the Constantin Brancusi University, which ensures the qualification of the labour force in the fields required by the labour market specific to the county, consequently being one of the actors in the field of research at county level.</w:t>
            </w:r>
          </w:p>
          <w:p w14:paraId="3854EE0C"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existence of the qualification/re-qualification infrastructure.</w:t>
            </w:r>
          </w:p>
          <w:p w14:paraId="2D3D0173"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level of school dropout is below the national average.</w:t>
            </w:r>
          </w:p>
        </w:tc>
        <w:tc>
          <w:tcPr>
            <w:tcW w:w="2500" w:type="pct"/>
            <w:shd w:val="clear" w:color="auto" w:fill="auto"/>
            <w:tcMar>
              <w:top w:w="60" w:type="dxa"/>
              <w:left w:w="60" w:type="dxa"/>
              <w:bottom w:w="60" w:type="dxa"/>
              <w:right w:w="60" w:type="dxa"/>
            </w:tcMar>
          </w:tcPr>
          <w:p w14:paraId="186D705F"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Increasing rate of external migration.</w:t>
            </w:r>
          </w:p>
          <w:p w14:paraId="397CACF3"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High unemployment rate, with values above the national average in 2019.</w:t>
            </w:r>
          </w:p>
          <w:p w14:paraId="7F03C835"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Large number of redundancies from CE Oltenia.</w:t>
            </w:r>
          </w:p>
          <w:p w14:paraId="4F24829A"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Lack of employment opportunities.</w:t>
            </w:r>
          </w:p>
          <w:p w14:paraId="46B336C5"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share of the declining school population, at the level of each schooling stage.</w:t>
            </w:r>
          </w:p>
          <w:p w14:paraId="644901D3"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The quality of education in rural areas is affected by the poorly developed education infrastructure.</w:t>
            </w:r>
          </w:p>
          <w:p w14:paraId="5FD7E8D2" w14:textId="77777777" w:rsidR="001A7A04" w:rsidRPr="003516DC" w:rsidRDefault="001A7A04" w:rsidP="001A7A04">
            <w:pPr>
              <w:pStyle w:val="ListParagraph"/>
              <w:numPr>
                <w:ilvl w:val="0"/>
                <w:numId w:val="39"/>
              </w:numPr>
              <w:spacing w:line="240" w:lineRule="auto"/>
              <w:rPr>
                <w:rFonts w:eastAsia="Calibri"/>
                <w:sz w:val="18"/>
                <w:szCs w:val="18"/>
              </w:rPr>
            </w:pPr>
            <w:r w:rsidRPr="003516DC">
              <w:rPr>
                <w:rFonts w:eastAsia="Calibri"/>
                <w:sz w:val="18"/>
                <w:szCs w:val="18"/>
              </w:rPr>
              <w:t>Entrepreneurship has a low level of development, especially in rural areas.</w:t>
            </w:r>
          </w:p>
          <w:p w14:paraId="790BB313" w14:textId="77777777" w:rsidR="001A7A04" w:rsidRPr="003516DC" w:rsidRDefault="001A7A04" w:rsidP="00964831">
            <w:pPr>
              <w:ind w:left="40"/>
              <w:rPr>
                <w:rFonts w:ascii="Arial" w:eastAsia="Calibri" w:hAnsi="Arial" w:cs="Arial"/>
                <w:sz w:val="18"/>
                <w:szCs w:val="18"/>
              </w:rPr>
            </w:pPr>
            <w:r w:rsidRPr="003516DC">
              <w:rPr>
                <w:rFonts w:ascii="Arial" w:eastAsia="Calibri" w:hAnsi="Arial" w:cs="Arial"/>
                <w:sz w:val="18"/>
                <w:szCs w:val="18"/>
              </w:rPr>
              <w:t xml:space="preserve"> </w:t>
            </w:r>
          </w:p>
        </w:tc>
      </w:tr>
      <w:tr w:rsidR="001A7A04" w:rsidRPr="003516DC" w14:paraId="234B39A3"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05F1AB74"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Technological</w:t>
            </w:r>
          </w:p>
        </w:tc>
      </w:tr>
      <w:tr w:rsidR="001A7A04" w:rsidRPr="003516DC" w14:paraId="12FF5600" w14:textId="77777777" w:rsidTr="00964831">
        <w:trPr>
          <w:trHeight w:val="2620"/>
        </w:trPr>
        <w:tc>
          <w:tcPr>
            <w:tcW w:w="2500" w:type="pct"/>
            <w:shd w:val="clear" w:color="auto" w:fill="auto"/>
            <w:tcMar>
              <w:top w:w="60" w:type="dxa"/>
              <w:left w:w="60" w:type="dxa"/>
              <w:bottom w:w="60" w:type="dxa"/>
              <w:right w:w="60" w:type="dxa"/>
            </w:tcMar>
          </w:tcPr>
          <w:p w14:paraId="17EEFA69" w14:textId="77777777" w:rsidR="001A7A04" w:rsidRPr="003516DC" w:rsidRDefault="001A7A04" w:rsidP="001A7A04">
            <w:pPr>
              <w:pStyle w:val="ListParagraph"/>
              <w:numPr>
                <w:ilvl w:val="0"/>
                <w:numId w:val="40"/>
              </w:numPr>
              <w:spacing w:line="240" w:lineRule="auto"/>
              <w:rPr>
                <w:rFonts w:eastAsia="Calibri"/>
                <w:sz w:val="18"/>
                <w:szCs w:val="18"/>
              </w:rPr>
            </w:pPr>
            <w:r w:rsidRPr="003516DC">
              <w:rPr>
                <w:rFonts w:eastAsia="Calibri"/>
                <w:sz w:val="18"/>
                <w:szCs w:val="18"/>
              </w:rPr>
              <w:t>The development of telecommunications infrastructure is good; most localities currently have access to fixed telephony and television services.</w:t>
            </w:r>
          </w:p>
          <w:p w14:paraId="4609399A" w14:textId="77777777" w:rsidR="001A7A04" w:rsidRPr="003516DC" w:rsidRDefault="001A7A04" w:rsidP="00964831">
            <w:pPr>
              <w:ind w:left="40"/>
              <w:rPr>
                <w:rFonts w:ascii="Arial" w:eastAsia="Calibri" w:hAnsi="Arial" w:cs="Arial"/>
                <w:sz w:val="18"/>
                <w:szCs w:val="18"/>
              </w:rPr>
            </w:pPr>
            <w:r w:rsidRPr="003516DC">
              <w:rPr>
                <w:rFonts w:ascii="Arial" w:eastAsia="Calibri" w:hAnsi="Arial" w:cs="Arial"/>
                <w:sz w:val="18"/>
                <w:szCs w:val="18"/>
              </w:rPr>
              <w:t xml:space="preserve"> </w:t>
            </w:r>
          </w:p>
        </w:tc>
        <w:tc>
          <w:tcPr>
            <w:tcW w:w="2500" w:type="pct"/>
            <w:shd w:val="clear" w:color="auto" w:fill="auto"/>
            <w:tcMar>
              <w:top w:w="60" w:type="dxa"/>
              <w:left w:w="60" w:type="dxa"/>
              <w:bottom w:w="60" w:type="dxa"/>
              <w:right w:w="60" w:type="dxa"/>
            </w:tcMar>
          </w:tcPr>
          <w:p w14:paraId="6AF3B045" w14:textId="77777777" w:rsidR="001A7A04" w:rsidRPr="003516DC" w:rsidRDefault="001A7A04" w:rsidP="001A7A04">
            <w:pPr>
              <w:pStyle w:val="ListParagraph"/>
              <w:numPr>
                <w:ilvl w:val="0"/>
                <w:numId w:val="40"/>
              </w:numPr>
              <w:spacing w:line="240" w:lineRule="auto"/>
              <w:rPr>
                <w:rFonts w:eastAsia="Calibri"/>
                <w:sz w:val="18"/>
                <w:szCs w:val="18"/>
              </w:rPr>
            </w:pPr>
            <w:r w:rsidRPr="003516DC">
              <w:rPr>
                <w:rFonts w:eastAsia="Calibri"/>
                <w:sz w:val="18"/>
                <w:szCs w:val="18"/>
              </w:rPr>
              <w:t>Low interest for research, development and innovation.</w:t>
            </w:r>
          </w:p>
          <w:p w14:paraId="21BE336A" w14:textId="77777777" w:rsidR="001A7A04" w:rsidRPr="003516DC" w:rsidRDefault="001A7A04" w:rsidP="001A7A04">
            <w:pPr>
              <w:pStyle w:val="ListParagraph"/>
              <w:numPr>
                <w:ilvl w:val="0"/>
                <w:numId w:val="40"/>
              </w:numPr>
              <w:spacing w:line="240" w:lineRule="auto"/>
              <w:rPr>
                <w:rFonts w:eastAsia="Calibri"/>
                <w:sz w:val="18"/>
                <w:szCs w:val="18"/>
              </w:rPr>
            </w:pPr>
            <w:r w:rsidRPr="003516DC">
              <w:rPr>
                <w:rFonts w:eastAsia="Calibri"/>
                <w:sz w:val="18"/>
                <w:szCs w:val="18"/>
              </w:rPr>
              <w:t>The capacity of technological transfer and implementation of research and innovation results are low.</w:t>
            </w:r>
          </w:p>
          <w:p w14:paraId="18C7362A" w14:textId="77777777" w:rsidR="001A7A04" w:rsidRPr="003516DC" w:rsidRDefault="001A7A04" w:rsidP="001A7A04">
            <w:pPr>
              <w:pStyle w:val="ListParagraph"/>
              <w:numPr>
                <w:ilvl w:val="0"/>
                <w:numId w:val="40"/>
              </w:numPr>
              <w:spacing w:line="240" w:lineRule="auto"/>
              <w:rPr>
                <w:rFonts w:eastAsia="Calibri"/>
                <w:sz w:val="18"/>
                <w:szCs w:val="18"/>
              </w:rPr>
            </w:pPr>
            <w:r w:rsidRPr="003516DC">
              <w:rPr>
                <w:rFonts w:eastAsia="Calibri"/>
                <w:sz w:val="18"/>
                <w:szCs w:val="18"/>
              </w:rPr>
              <w:t>Insufficient investments in telecom infrastructure (40 rural localities in Gorj county and 2,702 households do not have a high-speed broadband network).</w:t>
            </w:r>
          </w:p>
          <w:p w14:paraId="2D7595C4" w14:textId="77777777" w:rsidR="001A7A04" w:rsidRPr="003516DC" w:rsidRDefault="001A7A04" w:rsidP="001A7A04">
            <w:pPr>
              <w:pStyle w:val="ListParagraph"/>
              <w:numPr>
                <w:ilvl w:val="0"/>
                <w:numId w:val="40"/>
              </w:numPr>
              <w:spacing w:line="240" w:lineRule="auto"/>
              <w:rPr>
                <w:rFonts w:eastAsia="Calibri"/>
                <w:sz w:val="18"/>
                <w:szCs w:val="18"/>
              </w:rPr>
            </w:pPr>
            <w:r w:rsidRPr="003516DC">
              <w:rPr>
                <w:rFonts w:eastAsia="Calibri"/>
                <w:sz w:val="18"/>
                <w:szCs w:val="18"/>
              </w:rPr>
              <w:t>A low degree of innovation at the county and regional level (the South-West Oltenia region ranks 6th out of the 8 development regions in terms of the degree of innovation).</w:t>
            </w:r>
          </w:p>
        </w:tc>
      </w:tr>
      <w:tr w:rsidR="001A7A04" w:rsidRPr="003516DC" w14:paraId="3C7AAADE" w14:textId="77777777" w:rsidTr="00654AE5">
        <w:trPr>
          <w:trHeight w:val="101"/>
        </w:trPr>
        <w:tc>
          <w:tcPr>
            <w:tcW w:w="2500" w:type="pct"/>
            <w:shd w:val="clear" w:color="auto" w:fill="002060"/>
            <w:tcMar>
              <w:top w:w="60" w:type="dxa"/>
              <w:left w:w="60" w:type="dxa"/>
              <w:bottom w:w="60" w:type="dxa"/>
              <w:right w:w="60" w:type="dxa"/>
            </w:tcMar>
            <w:vAlign w:val="center"/>
          </w:tcPr>
          <w:p w14:paraId="6892F0A6" w14:textId="77777777" w:rsidR="001A7A04" w:rsidRPr="003516DC" w:rsidRDefault="001A7A04" w:rsidP="00964831">
            <w:pPr>
              <w:ind w:left="40"/>
              <w:jc w:val="center"/>
              <w:rPr>
                <w:rFonts w:ascii="Arial" w:hAnsi="Arial" w:cs="Arial"/>
                <w:b/>
                <w:sz w:val="18"/>
                <w:szCs w:val="18"/>
              </w:rPr>
            </w:pPr>
            <w:r w:rsidRPr="003516DC">
              <w:rPr>
                <w:rFonts w:ascii="Arial" w:hAnsi="Arial" w:cs="Arial"/>
                <w:b/>
                <w:sz w:val="18"/>
                <w:szCs w:val="18"/>
              </w:rPr>
              <w:t>Opportunities</w:t>
            </w:r>
          </w:p>
        </w:tc>
        <w:tc>
          <w:tcPr>
            <w:tcW w:w="2500" w:type="pct"/>
            <w:shd w:val="clear" w:color="auto" w:fill="002060"/>
            <w:tcMar>
              <w:top w:w="60" w:type="dxa"/>
              <w:left w:w="60" w:type="dxa"/>
              <w:bottom w:w="60" w:type="dxa"/>
              <w:right w:w="60" w:type="dxa"/>
            </w:tcMar>
            <w:vAlign w:val="center"/>
          </w:tcPr>
          <w:p w14:paraId="6827086A" w14:textId="77777777" w:rsidR="001A7A04" w:rsidRPr="003516DC" w:rsidRDefault="001A7A04" w:rsidP="00964831">
            <w:pPr>
              <w:ind w:left="40"/>
              <w:jc w:val="center"/>
              <w:rPr>
                <w:rFonts w:ascii="Arial" w:hAnsi="Arial" w:cs="Arial"/>
                <w:b/>
                <w:sz w:val="18"/>
                <w:szCs w:val="18"/>
              </w:rPr>
            </w:pPr>
            <w:r w:rsidRPr="003516DC">
              <w:rPr>
                <w:rFonts w:ascii="Arial" w:hAnsi="Arial" w:cs="Arial"/>
                <w:b/>
                <w:sz w:val="18"/>
                <w:szCs w:val="18"/>
              </w:rPr>
              <w:t>Threats</w:t>
            </w:r>
          </w:p>
        </w:tc>
      </w:tr>
      <w:tr w:rsidR="001A7A04" w:rsidRPr="003516DC" w14:paraId="32CA483E"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48F9D0C1"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Political &amp; Administrative</w:t>
            </w:r>
          </w:p>
        </w:tc>
      </w:tr>
      <w:tr w:rsidR="001A7A04" w:rsidRPr="003516DC" w14:paraId="188AE405" w14:textId="77777777" w:rsidTr="00964831">
        <w:trPr>
          <w:trHeight w:val="820"/>
        </w:trPr>
        <w:tc>
          <w:tcPr>
            <w:tcW w:w="2500" w:type="pct"/>
            <w:shd w:val="clear" w:color="auto" w:fill="auto"/>
            <w:tcMar>
              <w:top w:w="60" w:type="dxa"/>
              <w:left w:w="60" w:type="dxa"/>
              <w:bottom w:w="60" w:type="dxa"/>
              <w:right w:w="60" w:type="dxa"/>
            </w:tcMar>
          </w:tcPr>
          <w:p w14:paraId="15423AFB" w14:textId="77777777" w:rsidR="001A7A04" w:rsidRPr="003516DC" w:rsidRDefault="001A7A04" w:rsidP="001A7A04">
            <w:pPr>
              <w:pStyle w:val="ListParagraph"/>
              <w:numPr>
                <w:ilvl w:val="0"/>
                <w:numId w:val="38"/>
              </w:numPr>
              <w:spacing w:line="240" w:lineRule="auto"/>
              <w:rPr>
                <w:rFonts w:eastAsia="Calibri"/>
                <w:sz w:val="18"/>
                <w:szCs w:val="18"/>
              </w:rPr>
            </w:pPr>
            <w:r w:rsidRPr="003516DC">
              <w:rPr>
                <w:rFonts w:eastAsia="Calibri"/>
                <w:sz w:val="18"/>
                <w:szCs w:val="18"/>
              </w:rPr>
              <w:t>Local cooperation for establishing common development objectives.</w:t>
            </w:r>
          </w:p>
          <w:p w14:paraId="28DD7B76" w14:textId="77777777" w:rsidR="001A7A04" w:rsidRPr="003516DC" w:rsidRDefault="001A7A04" w:rsidP="001A7A04">
            <w:pPr>
              <w:pStyle w:val="ListParagraph"/>
              <w:numPr>
                <w:ilvl w:val="0"/>
                <w:numId w:val="38"/>
              </w:numPr>
              <w:spacing w:line="240" w:lineRule="auto"/>
              <w:rPr>
                <w:rFonts w:eastAsia="Calibri"/>
                <w:sz w:val="18"/>
                <w:szCs w:val="18"/>
              </w:rPr>
            </w:pPr>
            <w:r w:rsidRPr="003516DC">
              <w:rPr>
                <w:rFonts w:eastAsia="Calibri"/>
                <w:sz w:val="18"/>
                <w:szCs w:val="18"/>
              </w:rPr>
              <w:t>The existence of funds for increasing the administrative capacity of public structures.</w:t>
            </w:r>
          </w:p>
        </w:tc>
        <w:tc>
          <w:tcPr>
            <w:tcW w:w="2500" w:type="pct"/>
            <w:shd w:val="clear" w:color="auto" w:fill="auto"/>
            <w:tcMar>
              <w:top w:w="60" w:type="dxa"/>
              <w:left w:w="60" w:type="dxa"/>
              <w:bottom w:w="60" w:type="dxa"/>
              <w:right w:w="60" w:type="dxa"/>
            </w:tcMar>
          </w:tcPr>
          <w:p w14:paraId="53D63442" w14:textId="77777777" w:rsidR="001A7A04" w:rsidRPr="003516DC" w:rsidRDefault="001A7A04" w:rsidP="001A7A04">
            <w:pPr>
              <w:pStyle w:val="ListParagraph"/>
              <w:numPr>
                <w:ilvl w:val="0"/>
                <w:numId w:val="38"/>
              </w:numPr>
              <w:spacing w:line="240" w:lineRule="auto"/>
              <w:rPr>
                <w:rFonts w:eastAsia="Calibri"/>
                <w:sz w:val="18"/>
                <w:szCs w:val="18"/>
              </w:rPr>
            </w:pPr>
            <w:r w:rsidRPr="003516DC">
              <w:rPr>
                <w:rFonts w:eastAsia="Calibri"/>
                <w:sz w:val="18"/>
                <w:szCs w:val="18"/>
              </w:rPr>
              <w:t>Access to funding could exceed the current expertise of the responsible local public administration.</w:t>
            </w:r>
          </w:p>
          <w:p w14:paraId="5B9FB260" w14:textId="77777777" w:rsidR="001A7A04" w:rsidRPr="003516DC" w:rsidRDefault="001A7A04" w:rsidP="00964831">
            <w:pPr>
              <w:ind w:left="40"/>
              <w:jc w:val="both"/>
              <w:rPr>
                <w:rFonts w:ascii="Arial" w:eastAsia="Calibri" w:hAnsi="Arial" w:cs="Arial"/>
                <w:sz w:val="18"/>
                <w:szCs w:val="18"/>
              </w:rPr>
            </w:pPr>
            <w:r w:rsidRPr="003516DC">
              <w:rPr>
                <w:rFonts w:ascii="Arial" w:eastAsia="Calibri" w:hAnsi="Arial" w:cs="Arial"/>
                <w:sz w:val="18"/>
                <w:szCs w:val="18"/>
              </w:rPr>
              <w:t xml:space="preserve"> </w:t>
            </w:r>
          </w:p>
        </w:tc>
      </w:tr>
      <w:tr w:rsidR="001A7A04" w:rsidRPr="003516DC" w14:paraId="5ADAE97E"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235A50CF"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Economic &amp; Environmental</w:t>
            </w:r>
          </w:p>
        </w:tc>
      </w:tr>
      <w:tr w:rsidR="001A7A04" w:rsidRPr="003516DC" w14:paraId="3DAA93E1" w14:textId="77777777" w:rsidTr="00964831">
        <w:trPr>
          <w:trHeight w:val="480"/>
        </w:trPr>
        <w:tc>
          <w:tcPr>
            <w:tcW w:w="2500" w:type="pct"/>
            <w:shd w:val="clear" w:color="auto" w:fill="FFFFFF" w:themeFill="background1"/>
            <w:tcMar>
              <w:top w:w="60" w:type="dxa"/>
              <w:left w:w="60" w:type="dxa"/>
              <w:bottom w:w="60" w:type="dxa"/>
              <w:right w:w="60" w:type="dxa"/>
            </w:tcMar>
          </w:tcPr>
          <w:p w14:paraId="1B3C6DE1"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bi-industrial value of the county offers possibilities of economic diversification in any field.</w:t>
            </w:r>
          </w:p>
          <w:p w14:paraId="785001D0"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Transforming the industrial processes needed for a transition to a neutral economy and for maintaining or increasing the number of jobs in these sectors.</w:t>
            </w:r>
          </w:p>
          <w:p w14:paraId="306287CB"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existence of a fully untapped tourist potential.</w:t>
            </w:r>
          </w:p>
          <w:p w14:paraId="4F003AB5"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local brand, the richness and the natural beauty of the county, the numerous natural objectives of tourist interest represent premises of the development of agricultural-economic tourism.</w:t>
            </w:r>
          </w:p>
          <w:p w14:paraId="56D901ED" w14:textId="1488365C"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lastRenderedPageBreak/>
              <w:t>Approval and access to European funds for the 2021-2027 programming period, future p</w:t>
            </w:r>
            <w:r w:rsidR="00D206E5">
              <w:rPr>
                <w:rFonts w:eastAsia="Calibri"/>
                <w:sz w:val="18"/>
                <w:szCs w:val="18"/>
              </w:rPr>
              <w:t>rogrammes</w:t>
            </w:r>
            <w:r w:rsidRPr="003516DC">
              <w:rPr>
                <w:rFonts w:eastAsia="Calibri"/>
                <w:sz w:val="18"/>
                <w:szCs w:val="18"/>
              </w:rPr>
              <w:t xml:space="preserve"> for SME development.</w:t>
            </w:r>
          </w:p>
          <w:p w14:paraId="5E2BC892"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Soil quality, hydro graphic network and climatic conditions are favourable for the development of agriculture.</w:t>
            </w:r>
          </w:p>
          <w:p w14:paraId="50BA8352"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Start-up friendly.</w:t>
            </w:r>
          </w:p>
          <w:p w14:paraId="1E4CCB6A"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According to the map of Romania's solar potential, the intensity of solar radiation is favourable for the use of solar energy for the construction of photovoltaic parks.</w:t>
            </w:r>
          </w:p>
          <w:p w14:paraId="03246732"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Proposal to construct expressways.</w:t>
            </w:r>
          </w:p>
          <w:p w14:paraId="269799CB"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possibility to test and put into practice the studies regarding the alternative use of coal as fertilizer.</w:t>
            </w:r>
          </w:p>
          <w:p w14:paraId="20F3D62B" w14:textId="001DA586"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possibility of gasification of coal.</w:t>
            </w:r>
          </w:p>
          <w:p w14:paraId="456BFCCC"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Implementation of the green energy transition plan of CE Oltenia.</w:t>
            </w:r>
          </w:p>
          <w:p w14:paraId="5ACDFB65" w14:textId="77777777" w:rsidR="001A7A04" w:rsidRPr="003516DC" w:rsidRDefault="001A7A04" w:rsidP="001A7A04">
            <w:pPr>
              <w:pStyle w:val="ListParagraph"/>
              <w:numPr>
                <w:ilvl w:val="0"/>
                <w:numId w:val="41"/>
              </w:numPr>
              <w:spacing w:line="240" w:lineRule="auto"/>
              <w:rPr>
                <w:b/>
                <w:bCs/>
                <w:sz w:val="18"/>
                <w:szCs w:val="18"/>
              </w:rPr>
            </w:pPr>
            <w:r w:rsidRPr="003516DC">
              <w:rPr>
                <w:rFonts w:eastAsia="Calibri"/>
                <w:sz w:val="18"/>
                <w:szCs w:val="18"/>
              </w:rPr>
              <w:t>Proposal for new waste management.</w:t>
            </w:r>
          </w:p>
        </w:tc>
        <w:tc>
          <w:tcPr>
            <w:tcW w:w="2500" w:type="pct"/>
            <w:shd w:val="clear" w:color="auto" w:fill="FFFFFF" w:themeFill="background1"/>
          </w:tcPr>
          <w:p w14:paraId="2B323100"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lastRenderedPageBreak/>
              <w:t>Climate change and the manifestation or intensification of certain phenomena that in the past had a low incidence may affect agricultural activity in the future.</w:t>
            </w:r>
          </w:p>
          <w:p w14:paraId="3F8EA8A3"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The effects of the Covid-19 pandemic (layoffs, rising unemployment, declining turnover of tourism companies, insolvencies, bankruptcies, etc.).</w:t>
            </w:r>
          </w:p>
          <w:p w14:paraId="5EE854AC"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Degradation of the natural, architectural heritage by depopulating the localities and the rural communities.</w:t>
            </w:r>
          </w:p>
          <w:p w14:paraId="12053410"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lastRenderedPageBreak/>
              <w:t>Social and financial problems in the coal mining industry are still difficult to solve.</w:t>
            </w:r>
          </w:p>
          <w:p w14:paraId="6CAAFAAA" w14:textId="77777777" w:rsidR="001A7A04" w:rsidRPr="003516DC" w:rsidRDefault="001A7A04" w:rsidP="001A7A04">
            <w:pPr>
              <w:pStyle w:val="ListParagraph"/>
              <w:numPr>
                <w:ilvl w:val="0"/>
                <w:numId w:val="41"/>
              </w:numPr>
              <w:spacing w:line="240" w:lineRule="auto"/>
              <w:rPr>
                <w:rFonts w:eastAsia="Calibri"/>
                <w:sz w:val="18"/>
                <w:szCs w:val="18"/>
              </w:rPr>
            </w:pPr>
            <w:r w:rsidRPr="003516DC">
              <w:rPr>
                <w:rFonts w:eastAsia="Calibri"/>
                <w:sz w:val="18"/>
                <w:szCs w:val="18"/>
              </w:rPr>
              <w:t>Effects of climate change (natural disasters, floods, erosion of slope areas, droughts, etc.).</w:t>
            </w:r>
          </w:p>
          <w:p w14:paraId="765F3614" w14:textId="77777777" w:rsidR="001A7A04" w:rsidRPr="003516DC" w:rsidRDefault="001A7A04" w:rsidP="001A7A04">
            <w:pPr>
              <w:pStyle w:val="ListParagraph"/>
              <w:numPr>
                <w:ilvl w:val="0"/>
                <w:numId w:val="41"/>
              </w:numPr>
              <w:spacing w:line="240" w:lineRule="auto"/>
              <w:rPr>
                <w:b/>
                <w:bCs/>
                <w:sz w:val="18"/>
                <w:szCs w:val="18"/>
              </w:rPr>
            </w:pPr>
            <w:r w:rsidRPr="003516DC">
              <w:rPr>
                <w:rFonts w:eastAsia="Calibri"/>
                <w:sz w:val="18"/>
                <w:szCs w:val="18"/>
              </w:rPr>
              <w:t>Pollution and lack of measures to protect heritage areas.</w:t>
            </w:r>
          </w:p>
        </w:tc>
      </w:tr>
      <w:tr w:rsidR="001A7A04" w:rsidRPr="003516DC" w14:paraId="6861B5F5"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53F7E6E5"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lastRenderedPageBreak/>
              <w:t>Social &amp; Cultural</w:t>
            </w:r>
          </w:p>
        </w:tc>
      </w:tr>
      <w:tr w:rsidR="001A7A04" w:rsidRPr="003516DC" w14:paraId="36587528" w14:textId="77777777" w:rsidTr="00964831">
        <w:trPr>
          <w:trHeight w:val="4504"/>
        </w:trPr>
        <w:tc>
          <w:tcPr>
            <w:tcW w:w="2500" w:type="pct"/>
            <w:shd w:val="clear" w:color="auto" w:fill="auto"/>
            <w:tcMar>
              <w:top w:w="60" w:type="dxa"/>
              <w:left w:w="60" w:type="dxa"/>
              <w:bottom w:w="60" w:type="dxa"/>
              <w:right w:w="60" w:type="dxa"/>
            </w:tcMar>
          </w:tcPr>
          <w:p w14:paraId="078E5EE2" w14:textId="77777777" w:rsidR="001A7A04" w:rsidRPr="003516DC" w:rsidRDefault="001A7A04" w:rsidP="001A7A04">
            <w:pPr>
              <w:pStyle w:val="ListParagraph"/>
              <w:numPr>
                <w:ilvl w:val="0"/>
                <w:numId w:val="42"/>
              </w:numPr>
              <w:spacing w:line="240" w:lineRule="auto"/>
              <w:jc w:val="both"/>
              <w:rPr>
                <w:rFonts w:eastAsia="Calibri"/>
                <w:sz w:val="18"/>
                <w:szCs w:val="18"/>
              </w:rPr>
            </w:pPr>
            <w:r w:rsidRPr="003516DC">
              <w:rPr>
                <w:rFonts w:eastAsia="Calibri"/>
                <w:sz w:val="18"/>
                <w:szCs w:val="18"/>
              </w:rPr>
              <w:t>Increasing the level of workforce training.</w:t>
            </w:r>
          </w:p>
          <w:p w14:paraId="7BDAC6A2" w14:textId="77777777" w:rsidR="001A7A04" w:rsidRPr="003516DC" w:rsidRDefault="001A7A04" w:rsidP="001A7A04">
            <w:pPr>
              <w:pStyle w:val="ListParagraph"/>
              <w:numPr>
                <w:ilvl w:val="0"/>
                <w:numId w:val="42"/>
              </w:numPr>
              <w:spacing w:line="240" w:lineRule="auto"/>
              <w:jc w:val="both"/>
              <w:rPr>
                <w:rFonts w:eastAsia="Calibri"/>
                <w:sz w:val="18"/>
                <w:szCs w:val="18"/>
              </w:rPr>
            </w:pPr>
            <w:r w:rsidRPr="003516DC">
              <w:rPr>
                <w:rFonts w:eastAsia="Calibri"/>
                <w:sz w:val="18"/>
                <w:szCs w:val="18"/>
              </w:rPr>
              <w:t>Training programmes will be created and adapted to the requirements of the labour market.</w:t>
            </w:r>
          </w:p>
          <w:p w14:paraId="13034072" w14:textId="77777777" w:rsidR="001A7A04" w:rsidRPr="003516DC" w:rsidRDefault="001A7A04" w:rsidP="001A7A04">
            <w:pPr>
              <w:pStyle w:val="ListParagraph"/>
              <w:numPr>
                <w:ilvl w:val="0"/>
                <w:numId w:val="42"/>
              </w:numPr>
              <w:spacing w:line="240" w:lineRule="auto"/>
              <w:jc w:val="both"/>
              <w:rPr>
                <w:rFonts w:eastAsia="Calibri"/>
                <w:sz w:val="18"/>
                <w:szCs w:val="18"/>
              </w:rPr>
            </w:pPr>
            <w:r w:rsidRPr="003516DC">
              <w:rPr>
                <w:rFonts w:eastAsia="Calibri"/>
                <w:sz w:val="18"/>
                <w:szCs w:val="18"/>
              </w:rPr>
              <w:t>Increasing trend of average life expectancy.</w:t>
            </w:r>
          </w:p>
          <w:p w14:paraId="7ECC182C" w14:textId="77777777" w:rsidR="001A7A04" w:rsidRPr="003516DC" w:rsidRDefault="001A7A04" w:rsidP="001A7A04">
            <w:pPr>
              <w:pStyle w:val="ListParagraph"/>
              <w:numPr>
                <w:ilvl w:val="0"/>
                <w:numId w:val="42"/>
              </w:numPr>
              <w:spacing w:line="240" w:lineRule="auto"/>
              <w:jc w:val="both"/>
              <w:rPr>
                <w:rFonts w:eastAsia="Calibri"/>
                <w:sz w:val="18"/>
                <w:szCs w:val="18"/>
              </w:rPr>
            </w:pPr>
            <w:r w:rsidRPr="003516DC">
              <w:rPr>
                <w:rFonts w:eastAsia="Calibri"/>
                <w:sz w:val="18"/>
                <w:szCs w:val="18"/>
              </w:rPr>
              <w:t>Development of human resources in the field, at high school, university level and at the level of continuous professional training of adults by accessing public funds.</w:t>
            </w:r>
          </w:p>
          <w:p w14:paraId="76C84A1D" w14:textId="77777777" w:rsidR="001A7A04" w:rsidRPr="003516DC" w:rsidRDefault="001A7A04" w:rsidP="001A7A04">
            <w:pPr>
              <w:pStyle w:val="ListParagraph"/>
              <w:numPr>
                <w:ilvl w:val="0"/>
                <w:numId w:val="42"/>
              </w:numPr>
              <w:spacing w:line="240" w:lineRule="auto"/>
              <w:jc w:val="both"/>
              <w:rPr>
                <w:rFonts w:eastAsia="Calibri"/>
                <w:sz w:val="18"/>
                <w:szCs w:val="18"/>
              </w:rPr>
            </w:pPr>
            <w:r w:rsidRPr="003516DC">
              <w:rPr>
                <w:rFonts w:eastAsia="Calibri"/>
                <w:sz w:val="18"/>
                <w:szCs w:val="18"/>
              </w:rPr>
              <w:t>Through selected interventions, the POTJ will promote the economic diversification of the most affected areas in the county, together with active measures for retraining and active inclusion of workers and job seekers.</w:t>
            </w:r>
          </w:p>
          <w:p w14:paraId="7CD03DBB" w14:textId="77777777" w:rsidR="001A7A04" w:rsidRPr="003516DC" w:rsidRDefault="001A7A04" w:rsidP="00964831">
            <w:pPr>
              <w:ind w:left="40"/>
              <w:jc w:val="both"/>
              <w:rPr>
                <w:rFonts w:ascii="Arial" w:eastAsia="Calibri" w:hAnsi="Arial" w:cs="Arial"/>
                <w:sz w:val="18"/>
                <w:szCs w:val="18"/>
              </w:rPr>
            </w:pPr>
            <w:r w:rsidRPr="003516DC">
              <w:rPr>
                <w:rFonts w:ascii="Arial" w:eastAsia="Calibri" w:hAnsi="Arial" w:cs="Arial"/>
                <w:sz w:val="18"/>
                <w:szCs w:val="18"/>
              </w:rPr>
              <w:t xml:space="preserve"> </w:t>
            </w:r>
          </w:p>
        </w:tc>
        <w:tc>
          <w:tcPr>
            <w:tcW w:w="2500" w:type="pct"/>
            <w:shd w:val="clear" w:color="auto" w:fill="auto"/>
            <w:tcMar>
              <w:top w:w="60" w:type="dxa"/>
              <w:left w:w="60" w:type="dxa"/>
              <w:bottom w:w="60" w:type="dxa"/>
              <w:right w:w="60" w:type="dxa"/>
            </w:tcMar>
          </w:tcPr>
          <w:p w14:paraId="5BDD313C" w14:textId="77777777" w:rsidR="001A7A04" w:rsidRPr="003516DC" w:rsidRDefault="001A7A04" w:rsidP="001A7A04">
            <w:pPr>
              <w:pStyle w:val="ListParagraph"/>
              <w:numPr>
                <w:ilvl w:val="0"/>
                <w:numId w:val="42"/>
              </w:numPr>
              <w:spacing w:line="240" w:lineRule="auto"/>
              <w:rPr>
                <w:rFonts w:eastAsia="Calibri"/>
                <w:sz w:val="18"/>
                <w:szCs w:val="18"/>
              </w:rPr>
            </w:pPr>
            <w:r w:rsidRPr="003516DC">
              <w:rPr>
                <w:rFonts w:eastAsia="Calibri"/>
                <w:sz w:val="18"/>
                <w:szCs w:val="18"/>
              </w:rPr>
              <w:t xml:space="preserve">Aging and migration generate a rather steep demographic decline. </w:t>
            </w:r>
          </w:p>
          <w:p w14:paraId="4FB69FD7" w14:textId="77777777" w:rsidR="001A7A04" w:rsidRPr="003516DC" w:rsidRDefault="001A7A04" w:rsidP="001A7A04">
            <w:pPr>
              <w:pStyle w:val="ListParagraph"/>
              <w:numPr>
                <w:ilvl w:val="0"/>
                <w:numId w:val="42"/>
              </w:numPr>
              <w:spacing w:line="240" w:lineRule="auto"/>
              <w:rPr>
                <w:rFonts w:eastAsia="Calibri"/>
                <w:sz w:val="18"/>
                <w:szCs w:val="18"/>
              </w:rPr>
            </w:pPr>
            <w:r w:rsidRPr="003516DC">
              <w:rPr>
                <w:rFonts w:eastAsia="Calibri"/>
                <w:sz w:val="18"/>
                <w:szCs w:val="18"/>
              </w:rPr>
              <w:t>Continuation of temporary and permanent migration combined with increasing unemployment from the restructuring of large energy producers (CEO).</w:t>
            </w:r>
          </w:p>
          <w:p w14:paraId="2C1EDB2A" w14:textId="77777777" w:rsidR="001A7A04" w:rsidRPr="003516DC" w:rsidRDefault="001A7A04" w:rsidP="001A7A04">
            <w:pPr>
              <w:pStyle w:val="ListParagraph"/>
              <w:numPr>
                <w:ilvl w:val="0"/>
                <w:numId w:val="42"/>
              </w:numPr>
              <w:spacing w:line="240" w:lineRule="auto"/>
              <w:rPr>
                <w:rFonts w:eastAsia="Calibri"/>
                <w:sz w:val="18"/>
                <w:szCs w:val="18"/>
              </w:rPr>
            </w:pPr>
            <w:r w:rsidRPr="003516DC">
              <w:rPr>
                <w:rFonts w:eastAsia="Calibri"/>
                <w:sz w:val="18"/>
                <w:szCs w:val="18"/>
              </w:rPr>
              <w:t>Significant population declines in very small and medium-sized cities.</w:t>
            </w:r>
          </w:p>
          <w:p w14:paraId="36CAAEDA" w14:textId="5E8A72BF" w:rsidR="001A7A04" w:rsidRPr="003516DC" w:rsidRDefault="001A7A04" w:rsidP="001A7A04">
            <w:pPr>
              <w:pStyle w:val="ListParagraph"/>
              <w:numPr>
                <w:ilvl w:val="0"/>
                <w:numId w:val="42"/>
              </w:numPr>
              <w:spacing w:line="240" w:lineRule="auto"/>
              <w:rPr>
                <w:rFonts w:eastAsia="Calibri"/>
                <w:sz w:val="18"/>
                <w:szCs w:val="18"/>
              </w:rPr>
            </w:pPr>
            <w:r w:rsidRPr="003516DC">
              <w:rPr>
                <w:rFonts w:eastAsia="Calibri"/>
                <w:sz w:val="18"/>
                <w:szCs w:val="18"/>
              </w:rPr>
              <w:t>Mismatches between the educational offer and the needs on the labour market, low participation of the labour force in continuous training p</w:t>
            </w:r>
            <w:r w:rsidR="00D206E5">
              <w:rPr>
                <w:rFonts w:eastAsia="Calibri"/>
                <w:sz w:val="18"/>
                <w:szCs w:val="18"/>
              </w:rPr>
              <w:t>rogrammes</w:t>
            </w:r>
            <w:r w:rsidRPr="003516DC">
              <w:rPr>
                <w:rFonts w:eastAsia="Calibri"/>
                <w:sz w:val="18"/>
                <w:szCs w:val="18"/>
              </w:rPr>
              <w:t>.</w:t>
            </w:r>
          </w:p>
          <w:p w14:paraId="18A2BDCF" w14:textId="2213818F" w:rsidR="001A7A04" w:rsidRPr="003516DC" w:rsidRDefault="001A7A04" w:rsidP="001A7A04">
            <w:pPr>
              <w:pStyle w:val="ListParagraph"/>
              <w:numPr>
                <w:ilvl w:val="0"/>
                <w:numId w:val="42"/>
              </w:numPr>
              <w:spacing w:line="240" w:lineRule="auto"/>
              <w:rPr>
                <w:rFonts w:eastAsia="Calibri"/>
                <w:sz w:val="18"/>
                <w:szCs w:val="18"/>
              </w:rPr>
            </w:pPr>
            <w:r w:rsidRPr="003516DC">
              <w:rPr>
                <w:rFonts w:eastAsia="Calibri"/>
                <w:sz w:val="18"/>
                <w:szCs w:val="18"/>
              </w:rPr>
              <w:t>Due to the lack of financial education, entrepreneurship, and career counselling and because of the discrepancy between the legislative framework, strategies, policies, and development p</w:t>
            </w:r>
            <w:r w:rsidR="00D206E5">
              <w:rPr>
                <w:rFonts w:eastAsia="Calibri"/>
                <w:sz w:val="18"/>
                <w:szCs w:val="18"/>
              </w:rPr>
              <w:t>rogrammes</w:t>
            </w:r>
            <w:r w:rsidRPr="003516DC">
              <w:rPr>
                <w:rFonts w:eastAsia="Calibri"/>
                <w:sz w:val="18"/>
                <w:szCs w:val="18"/>
              </w:rPr>
              <w:t xml:space="preserve"> of uncorrelated mining areas, it is difficult to identify investors or locals eager to set up companies to provide jobs for those laid off.</w:t>
            </w:r>
          </w:p>
        </w:tc>
      </w:tr>
      <w:tr w:rsidR="001A7A04" w:rsidRPr="003516DC" w14:paraId="01EC8248" w14:textId="77777777" w:rsidTr="00654AE5">
        <w:trPr>
          <w:trHeight w:val="101"/>
        </w:trPr>
        <w:tc>
          <w:tcPr>
            <w:tcW w:w="5000" w:type="pct"/>
            <w:gridSpan w:val="2"/>
            <w:shd w:val="clear" w:color="auto" w:fill="DDDDDD"/>
            <w:tcMar>
              <w:top w:w="60" w:type="dxa"/>
              <w:left w:w="60" w:type="dxa"/>
              <w:bottom w:w="60" w:type="dxa"/>
              <w:right w:w="60" w:type="dxa"/>
            </w:tcMar>
            <w:vAlign w:val="center"/>
          </w:tcPr>
          <w:p w14:paraId="7A9359E4" w14:textId="77777777" w:rsidR="001A7A04" w:rsidRPr="003516DC" w:rsidRDefault="001A7A04" w:rsidP="00964831">
            <w:pPr>
              <w:ind w:left="40"/>
              <w:jc w:val="center"/>
              <w:rPr>
                <w:rFonts w:ascii="Arial" w:hAnsi="Arial" w:cs="Arial"/>
                <w:b/>
                <w:bCs/>
                <w:sz w:val="18"/>
                <w:szCs w:val="18"/>
              </w:rPr>
            </w:pPr>
            <w:r w:rsidRPr="003516DC">
              <w:rPr>
                <w:rFonts w:ascii="Arial" w:hAnsi="Arial" w:cs="Arial"/>
                <w:b/>
                <w:bCs/>
                <w:sz w:val="18"/>
                <w:szCs w:val="18"/>
              </w:rPr>
              <w:t>Technological</w:t>
            </w:r>
          </w:p>
        </w:tc>
      </w:tr>
      <w:tr w:rsidR="001A7A04" w:rsidRPr="003516DC" w14:paraId="03A67032" w14:textId="77777777" w:rsidTr="00964831">
        <w:trPr>
          <w:trHeight w:val="2766"/>
        </w:trPr>
        <w:tc>
          <w:tcPr>
            <w:tcW w:w="2500" w:type="pct"/>
            <w:shd w:val="clear" w:color="auto" w:fill="auto"/>
            <w:tcMar>
              <w:top w:w="60" w:type="dxa"/>
              <w:left w:w="60" w:type="dxa"/>
              <w:bottom w:w="60" w:type="dxa"/>
              <w:right w:w="60" w:type="dxa"/>
            </w:tcMar>
          </w:tcPr>
          <w:p w14:paraId="694EC0C5" w14:textId="77777777" w:rsidR="001A7A04" w:rsidRPr="003516DC" w:rsidRDefault="001A7A04" w:rsidP="001A7A04">
            <w:pPr>
              <w:pStyle w:val="ListParagraph"/>
              <w:numPr>
                <w:ilvl w:val="0"/>
                <w:numId w:val="43"/>
              </w:numPr>
              <w:spacing w:line="240" w:lineRule="auto"/>
              <w:rPr>
                <w:rFonts w:eastAsia="Calibri"/>
                <w:sz w:val="18"/>
                <w:szCs w:val="18"/>
              </w:rPr>
            </w:pPr>
            <w:r w:rsidRPr="003516DC">
              <w:rPr>
                <w:rFonts w:eastAsia="Calibri"/>
                <w:sz w:val="18"/>
                <w:szCs w:val="18"/>
              </w:rPr>
              <w:t>The existence of digitisation strategies will offer the possibility to connect all localities to broadband network in the near future.</w:t>
            </w:r>
          </w:p>
          <w:p w14:paraId="0D4643C0" w14:textId="5CCD8191" w:rsidR="001A7A04" w:rsidRPr="003516DC" w:rsidRDefault="001A7A04" w:rsidP="001A7A04">
            <w:pPr>
              <w:pStyle w:val="ListParagraph"/>
              <w:numPr>
                <w:ilvl w:val="0"/>
                <w:numId w:val="43"/>
              </w:numPr>
              <w:spacing w:line="240" w:lineRule="auto"/>
              <w:rPr>
                <w:rFonts w:eastAsia="Calibri"/>
                <w:sz w:val="18"/>
                <w:szCs w:val="18"/>
              </w:rPr>
            </w:pPr>
            <w:r w:rsidRPr="003516DC">
              <w:rPr>
                <w:rFonts w:eastAsia="Calibri"/>
                <w:sz w:val="18"/>
                <w:szCs w:val="18"/>
              </w:rPr>
              <w:t>The transition to the digiti</w:t>
            </w:r>
            <w:r w:rsidR="004E7B64">
              <w:rPr>
                <w:rFonts w:eastAsia="Calibri"/>
                <w:sz w:val="18"/>
                <w:szCs w:val="18"/>
              </w:rPr>
              <w:t>sation</w:t>
            </w:r>
            <w:r w:rsidRPr="003516DC">
              <w:rPr>
                <w:rFonts w:eastAsia="Calibri"/>
                <w:sz w:val="18"/>
                <w:szCs w:val="18"/>
              </w:rPr>
              <w:t xml:space="preserve"> of the public administration will make working with the citizens more efficient.</w:t>
            </w:r>
          </w:p>
          <w:p w14:paraId="5BA1E2BB" w14:textId="77777777" w:rsidR="001A7A04" w:rsidRPr="003516DC" w:rsidRDefault="001A7A04" w:rsidP="001A7A04">
            <w:pPr>
              <w:pStyle w:val="ListParagraph"/>
              <w:numPr>
                <w:ilvl w:val="0"/>
                <w:numId w:val="43"/>
              </w:numPr>
              <w:spacing w:line="240" w:lineRule="auto"/>
              <w:rPr>
                <w:rFonts w:eastAsia="Calibri"/>
                <w:sz w:val="18"/>
                <w:szCs w:val="18"/>
              </w:rPr>
            </w:pPr>
            <w:r w:rsidRPr="003516DC">
              <w:rPr>
                <w:rFonts w:eastAsia="Calibri"/>
                <w:sz w:val="18"/>
                <w:szCs w:val="18"/>
              </w:rPr>
              <w:t>Potential for innovation and business development with new, clean technologies.</w:t>
            </w:r>
          </w:p>
          <w:p w14:paraId="6C8412CC" w14:textId="6E7618A8" w:rsidR="001A7A04" w:rsidRPr="003516DC" w:rsidRDefault="001A7A04" w:rsidP="001A7A04">
            <w:pPr>
              <w:pStyle w:val="ListParagraph"/>
              <w:numPr>
                <w:ilvl w:val="0"/>
                <w:numId w:val="43"/>
              </w:numPr>
              <w:spacing w:line="240" w:lineRule="auto"/>
              <w:rPr>
                <w:rFonts w:eastAsia="Calibri"/>
                <w:sz w:val="18"/>
                <w:szCs w:val="18"/>
              </w:rPr>
            </w:pPr>
            <w:r w:rsidRPr="003516DC">
              <w:rPr>
                <w:rFonts w:eastAsia="Calibri"/>
                <w:sz w:val="18"/>
                <w:szCs w:val="18"/>
              </w:rPr>
              <w:t>Implementation of the Smart Speciali</w:t>
            </w:r>
            <w:r w:rsidR="004E7B64">
              <w:rPr>
                <w:rFonts w:eastAsia="Calibri"/>
                <w:sz w:val="18"/>
                <w:szCs w:val="18"/>
              </w:rPr>
              <w:t>sation</w:t>
            </w:r>
            <w:r w:rsidRPr="003516DC">
              <w:rPr>
                <w:rFonts w:eastAsia="Calibri"/>
                <w:sz w:val="18"/>
                <w:szCs w:val="18"/>
              </w:rPr>
              <w:t xml:space="preserve"> Strategy at the level of the South-West Oltenia region.</w:t>
            </w:r>
          </w:p>
          <w:p w14:paraId="21D20769" w14:textId="77777777" w:rsidR="001A7A04" w:rsidRPr="003516DC" w:rsidRDefault="001A7A04" w:rsidP="001A7A04">
            <w:pPr>
              <w:pStyle w:val="ListParagraph"/>
              <w:numPr>
                <w:ilvl w:val="0"/>
                <w:numId w:val="43"/>
              </w:numPr>
              <w:spacing w:line="240" w:lineRule="auto"/>
              <w:rPr>
                <w:rFonts w:eastAsia="Calibri"/>
                <w:sz w:val="18"/>
                <w:szCs w:val="18"/>
              </w:rPr>
            </w:pPr>
            <w:r w:rsidRPr="003516DC">
              <w:rPr>
                <w:rFonts w:eastAsia="Calibri"/>
                <w:sz w:val="18"/>
                <w:szCs w:val="18"/>
              </w:rPr>
              <w:t>Instruments proposed by SNCDI 2021-2027 dedicated to business accelerators.</w:t>
            </w:r>
          </w:p>
        </w:tc>
        <w:tc>
          <w:tcPr>
            <w:tcW w:w="2500" w:type="pct"/>
            <w:shd w:val="clear" w:color="auto" w:fill="auto"/>
            <w:tcMar>
              <w:top w:w="60" w:type="dxa"/>
              <w:left w:w="60" w:type="dxa"/>
              <w:bottom w:w="60" w:type="dxa"/>
              <w:right w:w="60" w:type="dxa"/>
            </w:tcMar>
          </w:tcPr>
          <w:p w14:paraId="1172FED2" w14:textId="77777777" w:rsidR="001A7A04" w:rsidRPr="003516DC" w:rsidRDefault="001A7A04" w:rsidP="00964831">
            <w:pPr>
              <w:ind w:left="40"/>
              <w:jc w:val="both"/>
              <w:rPr>
                <w:rFonts w:ascii="Arial" w:eastAsia="Calibri" w:hAnsi="Arial" w:cs="Arial"/>
                <w:sz w:val="18"/>
                <w:szCs w:val="18"/>
              </w:rPr>
            </w:pPr>
            <w:r w:rsidRPr="003516DC">
              <w:rPr>
                <w:rFonts w:ascii="Arial" w:eastAsia="Calibri" w:hAnsi="Arial" w:cs="Arial"/>
                <w:sz w:val="18"/>
                <w:szCs w:val="18"/>
              </w:rPr>
              <w:t>Reduced capacity of experience in accessing and implementing RDI projects with international financing.</w:t>
            </w:r>
          </w:p>
        </w:tc>
      </w:tr>
    </w:tbl>
    <w:p w14:paraId="2098002C" w14:textId="7C856D17" w:rsidR="001A7A04" w:rsidRPr="003516DC" w:rsidRDefault="001A7A04" w:rsidP="00654AE5">
      <w:pPr>
        <w:spacing w:before="120" w:after="120"/>
        <w:rPr>
          <w:rFonts w:ascii="Arial" w:hAnsi="Arial" w:cs="Arial"/>
          <w:bCs/>
          <w:i/>
          <w:iCs/>
          <w:color w:val="0070C0"/>
          <w:sz w:val="20"/>
          <w:szCs w:val="20"/>
        </w:rPr>
      </w:pPr>
      <w:r w:rsidRPr="003516DC">
        <w:rPr>
          <w:rFonts w:ascii="Arial" w:hAnsi="Arial" w:cs="Arial"/>
          <w:bCs/>
          <w:i/>
          <w:iCs/>
          <w:color w:val="0070C0"/>
          <w:sz w:val="20"/>
          <w:szCs w:val="20"/>
        </w:rPr>
        <w:t>Strategic Outlook</w:t>
      </w:r>
    </w:p>
    <w:p w14:paraId="20D3BA6D" w14:textId="5530C16F" w:rsidR="001A7A04" w:rsidRPr="003516DC" w:rsidRDefault="001A7A04" w:rsidP="00654AE5">
      <w:pPr>
        <w:spacing w:after="120"/>
        <w:jc w:val="both"/>
        <w:rPr>
          <w:rFonts w:ascii="Arial" w:eastAsia="Calibri" w:hAnsi="Arial" w:cs="Arial"/>
          <w:sz w:val="20"/>
          <w:szCs w:val="20"/>
        </w:rPr>
      </w:pPr>
      <w:r w:rsidRPr="003516DC">
        <w:rPr>
          <w:rFonts w:ascii="Arial" w:eastAsia="Calibri" w:hAnsi="Arial" w:cs="Arial"/>
          <w:sz w:val="20"/>
          <w:szCs w:val="20"/>
        </w:rPr>
        <w:t>Gorj is the most exposed county to the carbon neutrality transition since the main economic player in the county will significantly reduce its levels of employment due to a restructuring to lower carbon energy sources</w:t>
      </w:r>
      <w:r w:rsidR="00C0204D">
        <w:rPr>
          <w:rFonts w:ascii="Arial" w:eastAsia="Calibri" w:hAnsi="Arial" w:cs="Arial"/>
          <w:sz w:val="20"/>
          <w:szCs w:val="20"/>
        </w:rPr>
        <w:t xml:space="preserve">. </w:t>
      </w:r>
      <w:r w:rsidR="00C0204D" w:rsidRPr="006E7A76">
        <w:rPr>
          <w:rFonts w:ascii="Arial" w:eastAsia="Calibri" w:hAnsi="Arial" w:cs="Arial"/>
          <w:sz w:val="20"/>
          <w:szCs w:val="20"/>
        </w:rPr>
        <w:t>Moreover,</w:t>
      </w:r>
      <w:r w:rsidRPr="006E7A76">
        <w:rPr>
          <w:rFonts w:ascii="Arial" w:eastAsia="Calibri" w:hAnsi="Arial" w:cs="Arial"/>
          <w:sz w:val="20"/>
          <w:szCs w:val="20"/>
        </w:rPr>
        <w:t xml:space="preserve"> </w:t>
      </w:r>
      <w:r w:rsidRPr="006E7A76">
        <w:rPr>
          <w:rFonts w:ascii="Arial" w:hAnsi="Arial"/>
          <w:sz w:val="20"/>
        </w:rPr>
        <w:t>the county starts from</w:t>
      </w:r>
      <w:r w:rsidRPr="006E7A76">
        <w:rPr>
          <w:rFonts w:ascii="Arial" w:eastAsia="Calibri" w:hAnsi="Arial" w:cs="Arial"/>
          <w:sz w:val="20"/>
          <w:szCs w:val="20"/>
        </w:rPr>
        <w:t xml:space="preserve"> some</w:t>
      </w:r>
      <w:r w:rsidRPr="003516DC">
        <w:rPr>
          <w:rFonts w:ascii="Arial" w:eastAsia="Calibri" w:hAnsi="Arial" w:cs="Arial"/>
          <w:sz w:val="20"/>
          <w:szCs w:val="20"/>
        </w:rPr>
        <w:t xml:space="preserve"> of the lowest economic parameters in the JTF counties (lowest number of active companies, lowest new company creation). </w:t>
      </w:r>
      <w:r w:rsidR="00C0204D">
        <w:rPr>
          <w:rFonts w:ascii="Arial" w:eastAsia="Calibri" w:hAnsi="Arial" w:cs="Arial"/>
          <w:sz w:val="20"/>
          <w:szCs w:val="20"/>
        </w:rPr>
        <w:t>However, t</w:t>
      </w:r>
      <w:r w:rsidRPr="003516DC">
        <w:rPr>
          <w:rFonts w:ascii="Arial" w:eastAsia="Calibri" w:hAnsi="Arial" w:cs="Arial"/>
          <w:sz w:val="20"/>
          <w:szCs w:val="20"/>
        </w:rPr>
        <w:t xml:space="preserve">he interest </w:t>
      </w:r>
      <w:r w:rsidRPr="003516DC">
        <w:rPr>
          <w:rFonts w:ascii="Arial" w:eastAsia="Calibri" w:hAnsi="Arial" w:cs="Arial"/>
          <w:sz w:val="20"/>
          <w:szCs w:val="20"/>
        </w:rPr>
        <w:lastRenderedPageBreak/>
        <w:t xml:space="preserve">and determination of stakeholders to ensure a well-managed transition ensures a good pathway for the region’s successful decarbonisation. High policy-planning capacity and a collaborative mindset of local public authorities are key ingredients for success, and Gorj seems to possess both. </w:t>
      </w:r>
    </w:p>
    <w:p w14:paraId="10879F2B" w14:textId="30D86B9F" w:rsidR="001A7A04" w:rsidRPr="001A7A04" w:rsidRDefault="001A7A04" w:rsidP="00654AE5">
      <w:pPr>
        <w:spacing w:after="120"/>
        <w:jc w:val="both"/>
        <w:rPr>
          <w:rFonts w:ascii="Arial" w:eastAsia="Calibri" w:hAnsi="Arial" w:cs="Arial"/>
          <w:sz w:val="20"/>
          <w:szCs w:val="20"/>
        </w:rPr>
      </w:pPr>
      <w:r w:rsidRPr="003516DC">
        <w:rPr>
          <w:rFonts w:ascii="Arial" w:eastAsia="Calibri" w:hAnsi="Arial" w:cs="Arial"/>
          <w:sz w:val="20"/>
          <w:szCs w:val="20"/>
        </w:rPr>
        <w:t>The county offers many possibilities of economic diversification, but Gorj should primarily focus on medium to high-tech manufacturing, IT&amp;C, sustainable nature-based and cultural tourism, energy efficiency and green technology transfer and development. Furthermore, the JTF mechanism should offer Gorj the opportunity to restore its vast amounts of degraded lands in order to repurpose them and return them to new economic sectors. Solar energy potential offers the county numerous possibilities to increase the value of the local economy and improve the technological and engineering landscape. If properly channelled, smart reskilling programmes connected to supported economic sectors can turn Gorj into a success story in the European transition process.</w:t>
      </w:r>
    </w:p>
    <w:p w14:paraId="40C4FCE6" w14:textId="0C63B2B7" w:rsidR="001A7A04" w:rsidRDefault="001A7A04" w:rsidP="00E42342">
      <w:pPr>
        <w:pStyle w:val="Heading2"/>
        <w:numPr>
          <w:ilvl w:val="0"/>
          <w:numId w:val="163"/>
        </w:numPr>
        <w:spacing w:before="240" w:line="240" w:lineRule="auto"/>
        <w:ind w:left="432" w:hanging="432"/>
      </w:pPr>
      <w:bookmarkStart w:id="218" w:name="_Toc90725878"/>
      <w:r w:rsidRPr="00345CF4">
        <w:t xml:space="preserve">Results of occupational mismatch analysis in </w:t>
      </w:r>
      <w:r>
        <w:t xml:space="preserve">Gorj </w:t>
      </w:r>
      <w:r w:rsidR="00BE3AFB">
        <w:t>C</w:t>
      </w:r>
      <w:r>
        <w:t>ounty</w:t>
      </w:r>
      <w:bookmarkEnd w:id="218"/>
    </w:p>
    <w:p w14:paraId="6B660B2D" w14:textId="55FCA119" w:rsidR="001A7A04" w:rsidRPr="00A608C7" w:rsidRDefault="001A7A04" w:rsidP="00A608C7">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44C7A8DF" w14:textId="14BA6C56" w:rsidR="001A7A04" w:rsidRPr="003516DC" w:rsidRDefault="001A7A04" w:rsidP="00654AE5">
      <w:pPr>
        <w:spacing w:after="120"/>
        <w:jc w:val="both"/>
        <w:rPr>
          <w:rFonts w:ascii="Arial" w:hAnsi="Arial" w:cs="Arial"/>
          <w:sz w:val="20"/>
          <w:szCs w:val="20"/>
        </w:rPr>
      </w:pPr>
      <w:r w:rsidRPr="003516DC">
        <w:rPr>
          <w:rFonts w:ascii="Arial" w:hAnsi="Arial" w:cs="Arial"/>
          <w:sz w:val="20"/>
          <w:szCs w:val="20"/>
        </w:rPr>
        <w:t xml:space="preserve">In Gorj, trends on the sectoral level are once again similar to what we see in other regions, with some differences. The left panel of Graph </w:t>
      </w:r>
      <w:r w:rsidR="0064139C">
        <w:rPr>
          <w:rFonts w:ascii="Arial" w:hAnsi="Arial" w:cs="Arial"/>
          <w:sz w:val="20"/>
          <w:szCs w:val="20"/>
        </w:rPr>
        <w:t>3</w:t>
      </w:r>
      <w:r w:rsidR="00F140B0">
        <w:rPr>
          <w:rFonts w:ascii="Arial" w:hAnsi="Arial" w:cs="Arial"/>
          <w:sz w:val="20"/>
          <w:szCs w:val="20"/>
        </w:rPr>
        <w:t>5</w:t>
      </w:r>
      <w:r w:rsidRPr="003516DC">
        <w:rPr>
          <w:rFonts w:ascii="Arial" w:hAnsi="Arial" w:cs="Arial"/>
          <w:sz w:val="20"/>
          <w:szCs w:val="20"/>
        </w:rPr>
        <w:t xml:space="preserve"> shows the projected differences from the employment structure in 2018. In terms of growth the retail, transport and services sectors are expected to gain, due to national level and competitiveness effects. Nevertheless, in Gorj, the decrease in energy &amp; utilities is higher than it is in other regions, while decrease in construction and agriculture is more limited. The losses in the energy &amp; utilities sector are likely driven by the decreasing trend in coal-mining coal and fossil-based power generation, which as we see here, is already captured in the baseline. Consequently, in the occupational structure we see severe decrease in trades workers, operators and assemblers and elementary workers – all lower skilled occupational groups, while there are only limited gains in services and sales workers and professionals (as shown in the right panel).</w:t>
      </w:r>
    </w:p>
    <w:p w14:paraId="3AA63FAA" w14:textId="62D1ADAA" w:rsidR="001A7A04" w:rsidRPr="003516DC" w:rsidRDefault="001A7A04" w:rsidP="00654AE5">
      <w:pPr>
        <w:pStyle w:val="Caption"/>
        <w:spacing w:before="0"/>
        <w:ind w:left="1282" w:hanging="1282"/>
        <w:jc w:val="both"/>
      </w:pPr>
      <w:bookmarkStart w:id="219" w:name="_Toc90727371"/>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35</w:t>
      </w:r>
      <w:r w:rsidRPr="003516DC">
        <w:rPr>
          <w:noProof/>
        </w:rPr>
        <w:fldChar w:fldCharType="end"/>
      </w:r>
      <w:r w:rsidRPr="003516DC">
        <w:t xml:space="preserve">: Changes in employment from 2018 in baseline projections in Gorj; </w:t>
      </w:r>
      <w:r w:rsidRPr="003516DC">
        <w:br/>
        <w:t>left panel - changes by sector; right panel – changes by occupation; excluding Agriculture</w:t>
      </w:r>
      <w:bookmarkEnd w:id="219"/>
    </w:p>
    <w:p w14:paraId="16E52FA2" w14:textId="6B703D70" w:rsidR="001A7A04" w:rsidRPr="003516DC" w:rsidRDefault="001A7A04" w:rsidP="001A7A04">
      <w:pPr>
        <w:rPr>
          <w:rFonts w:ascii="Arial" w:hAnsi="Arial" w:cs="Arial"/>
        </w:rPr>
      </w:pPr>
      <w:r w:rsidRPr="00402580">
        <w:rPr>
          <w:rFonts w:ascii="Arial" w:hAnsi="Arial" w:cs="Arial"/>
          <w:noProof/>
          <w:lang w:val="en-US" w:eastAsia="en-US"/>
        </w:rPr>
        <w:drawing>
          <wp:inline distT="0" distB="0" distL="0" distR="0" wp14:anchorId="5FB054C2" wp14:editId="1A71C80B">
            <wp:extent cx="5678424" cy="3081528"/>
            <wp:effectExtent l="0" t="0" r="0" b="5080"/>
            <wp:docPr id="2087055786" name="Graphic 2087055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13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3"/>
                        </a:ext>
                      </a:extLst>
                    </a:blip>
                    <a:stretch>
                      <a:fillRect/>
                    </a:stretch>
                  </pic:blipFill>
                  <pic:spPr>
                    <a:xfrm>
                      <a:off x="0" y="0"/>
                      <a:ext cx="5678424" cy="3081528"/>
                    </a:xfrm>
                    <a:prstGeom prst="rect">
                      <a:avLst/>
                    </a:prstGeom>
                  </pic:spPr>
                </pic:pic>
              </a:graphicData>
            </a:graphic>
          </wp:inline>
        </w:drawing>
      </w:r>
    </w:p>
    <w:p w14:paraId="318CBD93" w14:textId="3E25B3BF" w:rsidR="00D963B9" w:rsidRDefault="001A7A04" w:rsidP="00654AE5">
      <w:pPr>
        <w:spacing w:after="120"/>
        <w:jc w:val="both"/>
        <w:rPr>
          <w:rFonts w:ascii="Arial" w:hAnsi="Arial" w:cs="Arial"/>
          <w:sz w:val="20"/>
          <w:szCs w:val="20"/>
        </w:rPr>
      </w:pPr>
      <w:r w:rsidRPr="003516DC">
        <w:rPr>
          <w:rFonts w:ascii="Arial" w:hAnsi="Arial" w:cs="Arial"/>
          <w:sz w:val="20"/>
          <w:szCs w:val="20"/>
        </w:rPr>
        <w:t xml:space="preserve">Looking at the within occupation transformation (Graph </w:t>
      </w:r>
      <w:r w:rsidR="0064139C">
        <w:rPr>
          <w:rFonts w:ascii="Arial" w:hAnsi="Arial" w:cs="Arial"/>
          <w:sz w:val="20"/>
          <w:szCs w:val="20"/>
        </w:rPr>
        <w:t>3</w:t>
      </w:r>
      <w:r w:rsidR="00F140B0">
        <w:rPr>
          <w:rFonts w:ascii="Arial" w:hAnsi="Arial" w:cs="Arial"/>
          <w:sz w:val="20"/>
          <w:szCs w:val="20"/>
        </w:rPr>
        <w:t>5</w:t>
      </w:r>
      <w:r w:rsidRPr="003516DC">
        <w:rPr>
          <w:rFonts w:ascii="Arial" w:hAnsi="Arial" w:cs="Arial"/>
          <w:sz w:val="20"/>
          <w:szCs w:val="20"/>
        </w:rPr>
        <w:t xml:space="preserve"> left panel), we see that the decrease in energy &amp; utilities drives the occupational level changes as well. It mainly contributes to decreases in trades workers, operators and assemblers, elementary workers groups but also in the group of professionals. It is important to note that there is only one occupational group from these (professionals) where there are also gains in the occupational group in different sectors. </w:t>
      </w:r>
    </w:p>
    <w:p w14:paraId="07D9F289" w14:textId="5E51BCEB" w:rsidR="00E9544E" w:rsidRPr="003516DC" w:rsidRDefault="001A7A04" w:rsidP="00654AE5">
      <w:pPr>
        <w:spacing w:after="120"/>
        <w:jc w:val="both"/>
        <w:rPr>
          <w:rFonts w:ascii="Arial" w:hAnsi="Arial" w:cs="Arial"/>
          <w:sz w:val="20"/>
          <w:szCs w:val="20"/>
        </w:rPr>
      </w:pPr>
      <w:r w:rsidRPr="003516DC">
        <w:rPr>
          <w:rFonts w:ascii="Arial" w:hAnsi="Arial" w:cs="Arial"/>
          <w:sz w:val="20"/>
          <w:szCs w:val="20"/>
        </w:rPr>
        <w:t xml:space="preserve">Therefore, while there are potential within occupation opportunities in the professionals group, which can be drawn on using re-skilling, in most cases there is need for a cross-occupation and cross-sector movement. E.g., losses are substantial in the relatively low-skilled elementary workers group in energy &amp; utilities and there are no within sector or within occupation gains, which means that people with this </w:t>
      </w:r>
      <w:r w:rsidRPr="003516DC">
        <w:rPr>
          <w:rFonts w:ascii="Arial" w:hAnsi="Arial" w:cs="Arial"/>
          <w:sz w:val="20"/>
          <w:szCs w:val="20"/>
        </w:rPr>
        <w:lastRenderedPageBreak/>
        <w:t>skillset will likely need re-training towards occupations/sectors with increasing trends (such as service and sales workers in the services sector) or new jobs needs to be created fitting the skill profile of these people.</w:t>
      </w:r>
    </w:p>
    <w:p w14:paraId="32ADE82C" w14:textId="485E3BF4" w:rsidR="001A7A04" w:rsidRPr="003516DC" w:rsidRDefault="001A7A04" w:rsidP="00654AE5">
      <w:pPr>
        <w:pStyle w:val="Caption"/>
        <w:spacing w:before="0"/>
        <w:ind w:left="1282" w:hanging="1282"/>
        <w:jc w:val="both"/>
      </w:pPr>
      <w:bookmarkStart w:id="220" w:name="_Toc90727372"/>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36</w:t>
      </w:r>
      <w:r w:rsidRPr="003516DC">
        <w:rPr>
          <w:noProof/>
        </w:rPr>
        <w:fldChar w:fldCharType="end"/>
      </w:r>
      <w:r w:rsidRPr="003516DC">
        <w:t xml:space="preserve">: </w:t>
      </w:r>
      <w:r w:rsidRPr="003516DC">
        <w:tab/>
        <w:t>Changes in employment from 2018 in baseline projections and in the Green Deal scenario in Gorj; left panel – changes by sector and occupation in baseline; right panel – changes by sector and occupation in the Green Deal scenario compared to the baseline</w:t>
      </w:r>
      <w:bookmarkEnd w:id="220"/>
    </w:p>
    <w:p w14:paraId="54B0B1BB" w14:textId="724EDB98" w:rsidR="001A7A04" w:rsidRPr="003516DC" w:rsidRDefault="001A7A04" w:rsidP="00654AE5">
      <w:pPr>
        <w:spacing w:after="120"/>
        <w:rPr>
          <w:rFonts w:ascii="Arial" w:hAnsi="Arial" w:cs="Arial"/>
        </w:rPr>
      </w:pPr>
      <w:r w:rsidRPr="00402580">
        <w:rPr>
          <w:rFonts w:ascii="Arial" w:hAnsi="Arial" w:cs="Arial"/>
          <w:noProof/>
          <w:lang w:val="en-US" w:eastAsia="en-US"/>
        </w:rPr>
        <w:drawing>
          <wp:inline distT="0" distB="0" distL="0" distR="0" wp14:anchorId="793C5F64" wp14:editId="44D4D805">
            <wp:extent cx="5687568" cy="2843784"/>
            <wp:effectExtent l="0" t="0" r="8890" b="0"/>
            <wp:docPr id="2087055787" name="Graphic 208705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 34"/>
                    <pic:cNvPicPr/>
                  </pic:nvPicPr>
                  <pic:blipFill>
                    <a:blip r:embed="rId1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5"/>
                        </a:ext>
                      </a:extLst>
                    </a:blip>
                    <a:stretch>
                      <a:fillRect/>
                    </a:stretch>
                  </pic:blipFill>
                  <pic:spPr>
                    <a:xfrm>
                      <a:off x="0" y="0"/>
                      <a:ext cx="5687568" cy="2843784"/>
                    </a:xfrm>
                    <a:prstGeom prst="rect">
                      <a:avLst/>
                    </a:prstGeom>
                  </pic:spPr>
                </pic:pic>
              </a:graphicData>
            </a:graphic>
          </wp:inline>
        </w:drawing>
      </w:r>
    </w:p>
    <w:p w14:paraId="3784DED3" w14:textId="0AD28E52" w:rsidR="001A7A04" w:rsidRPr="00A608C7" w:rsidRDefault="001A7A04" w:rsidP="00A608C7">
      <w:pPr>
        <w:spacing w:after="120"/>
        <w:rPr>
          <w:rFonts w:ascii="Arial" w:hAnsi="Arial" w:cs="Arial"/>
          <w:b/>
          <w:bCs/>
          <w:color w:val="4F81BD" w:themeColor="accent1"/>
          <w:sz w:val="20"/>
          <w:szCs w:val="20"/>
        </w:rPr>
      </w:pPr>
      <w:r w:rsidRPr="003516DC">
        <w:rPr>
          <w:rFonts w:ascii="Arial" w:hAnsi="Arial" w:cs="Arial"/>
          <w:b/>
          <w:bCs/>
          <w:color w:val="4F81BD" w:themeColor="accent1"/>
          <w:sz w:val="20"/>
          <w:szCs w:val="20"/>
        </w:rPr>
        <w:t>Green Deal impacts</w:t>
      </w:r>
    </w:p>
    <w:p w14:paraId="5A6F4616" w14:textId="4D6FF32B" w:rsidR="001A7A04" w:rsidRDefault="001A7A04" w:rsidP="001A7A04">
      <w:pPr>
        <w:jc w:val="both"/>
        <w:rPr>
          <w:rFonts w:ascii="Arial" w:hAnsi="Arial" w:cs="Arial"/>
          <w:sz w:val="20"/>
          <w:szCs w:val="20"/>
        </w:rPr>
      </w:pPr>
      <w:r w:rsidRPr="003516DC">
        <w:rPr>
          <w:rFonts w:ascii="Arial" w:hAnsi="Arial" w:cs="Arial"/>
          <w:sz w:val="20"/>
          <w:szCs w:val="20"/>
        </w:rPr>
        <w:t xml:space="preserve">The right panel of Graph </w:t>
      </w:r>
      <w:r w:rsidR="0064139C">
        <w:rPr>
          <w:rFonts w:ascii="Arial" w:hAnsi="Arial" w:cs="Arial"/>
          <w:sz w:val="20"/>
          <w:szCs w:val="20"/>
        </w:rPr>
        <w:t>3</w:t>
      </w:r>
      <w:r w:rsidR="00F140B0">
        <w:rPr>
          <w:rFonts w:ascii="Arial" w:hAnsi="Arial" w:cs="Arial"/>
          <w:sz w:val="20"/>
          <w:szCs w:val="20"/>
        </w:rPr>
        <w:t>6</w:t>
      </w:r>
      <w:r w:rsidRPr="003516DC">
        <w:rPr>
          <w:rFonts w:ascii="Arial" w:hAnsi="Arial" w:cs="Arial"/>
          <w:sz w:val="20"/>
          <w:szCs w:val="20"/>
        </w:rPr>
        <w:t xml:space="preserve"> then shows the projected impacts of the Green Deal scenario compared to the baseline. While, as in other regions, we see that the Green Deal scenario increases employment in the construction sector, in other sectors, especially in energy &amp; utilities, it amplifies the downward trend, decreasing employment in the sector even more. We also project losses from the scenario for other sectors, due to price pressures of an extended ETS system and increasing price. This means that for example in the professionals</w:t>
      </w:r>
      <w:r w:rsidR="00597139">
        <w:rPr>
          <w:rFonts w:ascii="Arial" w:hAnsi="Arial" w:cs="Arial"/>
          <w:sz w:val="20"/>
          <w:szCs w:val="20"/>
        </w:rPr>
        <w:t>’</w:t>
      </w:r>
      <w:r w:rsidRPr="003516DC">
        <w:rPr>
          <w:rFonts w:ascii="Arial" w:hAnsi="Arial" w:cs="Arial"/>
          <w:sz w:val="20"/>
          <w:szCs w:val="20"/>
        </w:rPr>
        <w:t xml:space="preserve"> occupational group from a net increase that we see in the baseline, we get to a net neutral state – i.e. employment in the sector will not change compared to the 2018 level.</w:t>
      </w:r>
    </w:p>
    <w:p w14:paraId="518B7405" w14:textId="47B525A6" w:rsidR="001A7A04" w:rsidRPr="003516DC" w:rsidRDefault="001A7A04" w:rsidP="00E42342">
      <w:pPr>
        <w:pStyle w:val="Heading2"/>
        <w:numPr>
          <w:ilvl w:val="0"/>
          <w:numId w:val="164"/>
        </w:numPr>
        <w:spacing w:before="240" w:line="240" w:lineRule="auto"/>
        <w:ind w:left="432" w:hanging="432"/>
      </w:pPr>
      <w:bookmarkStart w:id="221" w:name="_Toc90725879"/>
      <w:r w:rsidRPr="003516DC">
        <w:t>Employment and GVA impact by illustrative action</w:t>
      </w:r>
      <w:r>
        <w:t xml:space="preserve"> in Gorj </w:t>
      </w:r>
      <w:r w:rsidR="00BE3AFB">
        <w:t>C</w:t>
      </w:r>
      <w:r>
        <w:t>ounty</w:t>
      </w:r>
      <w:bookmarkEnd w:id="221"/>
    </w:p>
    <w:p w14:paraId="31EB90E4" w14:textId="77777777" w:rsidR="001A7A04" w:rsidRPr="003516DC" w:rsidRDefault="001A7A04" w:rsidP="001A7A04">
      <w:pPr>
        <w:jc w:val="both"/>
        <w:rPr>
          <w:rFonts w:ascii="Arial" w:hAnsi="Arial" w:cs="Arial"/>
          <w:sz w:val="20"/>
          <w:szCs w:val="20"/>
        </w:rPr>
      </w:pPr>
      <w:r w:rsidRPr="003516DC">
        <w:rPr>
          <w:rFonts w:ascii="Arial" w:hAnsi="Arial" w:cs="Arial"/>
          <w:sz w:val="20"/>
          <w:szCs w:val="20"/>
        </w:rPr>
        <w:t>R&amp;D investments is anticipated from the analysis to yield the largest positive GVA impact in Gorj County and generate the highest number of new jobs, especially in the Information and Communication sector, where the initial capital stock is low, and hence the additional R&amp;D investments can have a large impact on productivity growth and thus job creation. However, GVA increase in the sector is not much higher than in other counties, which indicates that jobs created in the county have a lower GVA-to-employment ratio in the sector.</w:t>
      </w:r>
    </w:p>
    <w:p w14:paraId="352236FF" w14:textId="7862ADFB" w:rsidR="001A7A04" w:rsidRPr="003516DC" w:rsidRDefault="001A7A04" w:rsidP="00D963B9">
      <w:pPr>
        <w:pStyle w:val="Caption"/>
        <w:spacing w:before="120" w:after="0"/>
        <w:ind w:left="994" w:hanging="994"/>
        <w:rPr>
          <w:b w:val="0"/>
          <w:iCs w:val="0"/>
          <w:noProof/>
        </w:rPr>
      </w:pPr>
      <w:bookmarkStart w:id="222" w:name="_Toc90727373"/>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37</w:t>
      </w:r>
      <w:r w:rsidRPr="003516DC">
        <w:rPr>
          <w:noProof/>
        </w:rPr>
        <w:fldChar w:fldCharType="end"/>
      </w:r>
      <w:r w:rsidRPr="003516DC">
        <w:rPr>
          <w:noProof/>
        </w:rPr>
        <w:t>: GVA impact in Gorj County (RO412) in 2030 by sectors, resulting from a total of EUR 100 million investment over the years 2021-2027 under the three illustrative action categories, EUR million (current prices)</w:t>
      </w:r>
      <w:bookmarkEnd w:id="222"/>
    </w:p>
    <w:p w14:paraId="7CA4A901" w14:textId="012A8C1C" w:rsidR="001A7A04" w:rsidRPr="003516DC" w:rsidRDefault="001A7A04" w:rsidP="001A7A04">
      <w:pPr>
        <w:rPr>
          <w:rFonts w:ascii="Arial" w:hAnsi="Arial" w:cs="Arial"/>
        </w:rPr>
      </w:pPr>
      <w:r w:rsidRPr="00402580">
        <w:rPr>
          <w:rFonts w:ascii="Arial" w:hAnsi="Arial" w:cs="Arial"/>
          <w:noProof/>
          <w:lang w:val="en-US" w:eastAsia="en-US"/>
        </w:rPr>
        <w:drawing>
          <wp:inline distT="0" distB="0" distL="0" distR="0" wp14:anchorId="0D3816F0" wp14:editId="7682B913">
            <wp:extent cx="5678424" cy="2651760"/>
            <wp:effectExtent l="0" t="0" r="0" b="0"/>
            <wp:docPr id="2087055788" name="Graphic 2087055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Graphic 6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7"/>
                        </a:ext>
                      </a:extLst>
                    </a:blip>
                    <a:stretch>
                      <a:fillRect/>
                    </a:stretch>
                  </pic:blipFill>
                  <pic:spPr>
                    <a:xfrm>
                      <a:off x="0" y="0"/>
                      <a:ext cx="5678424" cy="2651760"/>
                    </a:xfrm>
                    <a:prstGeom prst="rect">
                      <a:avLst/>
                    </a:prstGeom>
                  </pic:spPr>
                </pic:pic>
              </a:graphicData>
            </a:graphic>
          </wp:inline>
        </w:drawing>
      </w:r>
    </w:p>
    <w:p w14:paraId="53F4796F" w14:textId="77777777" w:rsidR="001A7A04" w:rsidRPr="003516DC" w:rsidRDefault="001A7A04" w:rsidP="00D963B9">
      <w:pPr>
        <w:rPr>
          <w:rFonts w:ascii="Arial" w:hAnsi="Arial" w:cs="Arial"/>
          <w:i/>
          <w:sz w:val="16"/>
          <w:szCs w:val="16"/>
        </w:rPr>
      </w:pPr>
      <w:r w:rsidRPr="003516DC">
        <w:rPr>
          <w:rFonts w:ascii="Arial" w:hAnsi="Arial" w:cs="Arial"/>
          <w:i/>
          <w:sz w:val="16"/>
          <w:szCs w:val="16"/>
        </w:rPr>
        <w:t>Source: E3ME modelling</w:t>
      </w:r>
    </w:p>
    <w:p w14:paraId="64E36AB8" w14:textId="089D15F4" w:rsidR="001A7A04" w:rsidRPr="003516DC" w:rsidRDefault="001A7A04" w:rsidP="001A7A04">
      <w:pPr>
        <w:pStyle w:val="Caption"/>
        <w:ind w:left="993" w:hanging="993"/>
        <w:rPr>
          <w:b w:val="0"/>
          <w:iCs w:val="0"/>
          <w:noProof/>
        </w:rPr>
      </w:pPr>
      <w:bookmarkStart w:id="223" w:name="_Toc90727374"/>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38</w:t>
      </w:r>
      <w:r w:rsidRPr="003516DC">
        <w:rPr>
          <w:noProof/>
        </w:rPr>
        <w:fldChar w:fldCharType="end"/>
      </w:r>
      <w:r w:rsidRPr="003516DC">
        <w:rPr>
          <w:noProof/>
        </w:rPr>
        <w:t>: Employment impact in Gorj County (RO412) in 2030 by sectors, resulting from a total of EUR 100 million investment over the years 2021-2027 under the three illustrative action categories, '000 jobs</w:t>
      </w:r>
      <w:bookmarkEnd w:id="223"/>
    </w:p>
    <w:p w14:paraId="0381F50E" w14:textId="002AA85B" w:rsidR="001A7A04" w:rsidRPr="003516DC" w:rsidRDefault="001A7A04" w:rsidP="001A7A04">
      <w:pPr>
        <w:rPr>
          <w:rFonts w:ascii="Arial" w:hAnsi="Arial" w:cs="Arial"/>
        </w:rPr>
      </w:pPr>
      <w:r w:rsidRPr="00402580">
        <w:rPr>
          <w:rFonts w:ascii="Arial" w:hAnsi="Arial" w:cs="Arial"/>
          <w:noProof/>
          <w:lang w:val="en-US" w:eastAsia="en-US"/>
        </w:rPr>
        <w:drawing>
          <wp:inline distT="0" distB="0" distL="0" distR="0" wp14:anchorId="06D4D54D" wp14:editId="24F92FEE">
            <wp:extent cx="5678424" cy="3081528"/>
            <wp:effectExtent l="0" t="0" r="0" b="5080"/>
            <wp:docPr id="2087055789" name="Graphic 2087055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Graphic 62"/>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9"/>
                        </a:ext>
                      </a:extLst>
                    </a:blip>
                    <a:stretch>
                      <a:fillRect/>
                    </a:stretch>
                  </pic:blipFill>
                  <pic:spPr>
                    <a:xfrm>
                      <a:off x="0" y="0"/>
                      <a:ext cx="5678424" cy="3081528"/>
                    </a:xfrm>
                    <a:prstGeom prst="rect">
                      <a:avLst/>
                    </a:prstGeom>
                  </pic:spPr>
                </pic:pic>
              </a:graphicData>
            </a:graphic>
          </wp:inline>
        </w:drawing>
      </w:r>
    </w:p>
    <w:p w14:paraId="2BA2D641" w14:textId="77777777" w:rsidR="001A7A04" w:rsidRPr="003516DC" w:rsidRDefault="001A7A04" w:rsidP="001A7A04">
      <w:pPr>
        <w:rPr>
          <w:rFonts w:ascii="Arial" w:hAnsi="Arial" w:cs="Arial"/>
          <w:i/>
          <w:sz w:val="16"/>
          <w:szCs w:val="16"/>
        </w:rPr>
      </w:pPr>
      <w:r w:rsidRPr="003516DC">
        <w:rPr>
          <w:rFonts w:ascii="Arial" w:hAnsi="Arial" w:cs="Arial"/>
          <w:i/>
          <w:sz w:val="16"/>
          <w:szCs w:val="16"/>
        </w:rPr>
        <w:t>Source: E3ME modelling</w:t>
      </w:r>
    </w:p>
    <w:p w14:paraId="13824017" w14:textId="5D7F45D5" w:rsidR="0068147A" w:rsidRDefault="0068147A" w:rsidP="005B0FFF">
      <w:pPr>
        <w:jc w:val="both"/>
        <w:rPr>
          <w:rFonts w:ascii="Arial" w:hAnsi="Arial" w:cs="Arial"/>
          <w:sz w:val="20"/>
          <w:szCs w:val="20"/>
        </w:rPr>
      </w:pPr>
    </w:p>
    <w:p w14:paraId="48A88E65" w14:textId="77777777" w:rsidR="00597139" w:rsidRDefault="00597139">
      <w:pPr>
        <w:spacing w:line="276" w:lineRule="auto"/>
        <w:rPr>
          <w:rFonts w:ascii="Arial" w:hAnsi="Arial" w:cs="Arial"/>
          <w:b/>
          <w:color w:val="4F81BD" w:themeColor="accent1"/>
          <w:lang w:eastAsia="en-US"/>
        </w:rPr>
      </w:pPr>
      <w:r>
        <w:br w:type="page"/>
      </w:r>
    </w:p>
    <w:p w14:paraId="76A6F2EA" w14:textId="3516D9A6" w:rsidR="001A7A04" w:rsidRDefault="001A7A04" w:rsidP="00E42342">
      <w:pPr>
        <w:pStyle w:val="Heading2"/>
        <w:numPr>
          <w:ilvl w:val="0"/>
          <w:numId w:val="165"/>
        </w:numPr>
        <w:spacing w:before="240" w:line="240" w:lineRule="auto"/>
        <w:ind w:left="432" w:hanging="432"/>
      </w:pPr>
      <w:bookmarkStart w:id="224" w:name="_Toc90725880"/>
      <w:r w:rsidRPr="003516DC">
        <w:lastRenderedPageBreak/>
        <w:t>Type of operations needed</w:t>
      </w:r>
      <w:r w:rsidR="00355050">
        <w:t xml:space="preserve"> in Gorj </w:t>
      </w:r>
      <w:r w:rsidR="000F5D28">
        <w:t>C</w:t>
      </w:r>
      <w:r w:rsidR="00355050">
        <w:t>ounty</w:t>
      </w:r>
      <w:bookmarkEnd w:id="224"/>
    </w:p>
    <w:p w14:paraId="58367395" w14:textId="3EC7D650" w:rsidR="00320B4A" w:rsidRPr="00320B4A" w:rsidRDefault="00320B4A" w:rsidP="00320B4A">
      <w:pPr>
        <w:jc w:val="both"/>
        <w:rPr>
          <w:rFonts w:ascii="Arial" w:hAnsi="Arial" w:cs="Arial"/>
          <w:sz w:val="20"/>
          <w:szCs w:val="20"/>
        </w:rPr>
      </w:pPr>
      <w:r w:rsidRPr="00320B4A">
        <w:rPr>
          <w:rFonts w:ascii="Arial" w:hAnsi="Arial" w:cs="Arial"/>
          <w:sz w:val="20"/>
          <w:szCs w:val="20"/>
        </w:rPr>
        <w:t>Based on trends and statistical analysis, an analysis of the draft TJTPs still being elaborated by the County Councils, as well as stakeholder interviews, the</w:t>
      </w:r>
      <w:r w:rsidR="00542F63">
        <w:rPr>
          <w:rFonts w:ascii="Arial" w:hAnsi="Arial" w:cs="Arial"/>
          <w:sz w:val="20"/>
          <w:szCs w:val="20"/>
        </w:rPr>
        <w:t xml:space="preserve"> TA</w:t>
      </w:r>
      <w:r w:rsidRPr="00320B4A">
        <w:rPr>
          <w:rFonts w:ascii="Arial" w:hAnsi="Arial" w:cs="Arial"/>
          <w:sz w:val="20"/>
          <w:szCs w:val="20"/>
        </w:rPr>
        <w:t xml:space="preserve"> team propos</w:t>
      </w:r>
      <w:r w:rsidR="00542F63">
        <w:rPr>
          <w:rFonts w:ascii="Arial" w:hAnsi="Arial" w:cs="Arial"/>
          <w:sz w:val="20"/>
          <w:szCs w:val="20"/>
        </w:rPr>
        <w:t>es</w:t>
      </w:r>
      <w:r w:rsidRPr="00320B4A">
        <w:rPr>
          <w:rFonts w:ascii="Arial" w:hAnsi="Arial" w:cs="Arial"/>
          <w:sz w:val="20"/>
          <w:szCs w:val="20"/>
        </w:rPr>
        <w:t xml:space="preserve"> the following draft priority investment needs.</w:t>
      </w:r>
    </w:p>
    <w:p w14:paraId="0D3F80A2" w14:textId="4646BE34" w:rsidR="00320B4A" w:rsidRPr="00320B4A" w:rsidRDefault="00320B4A" w:rsidP="00402580">
      <w:pPr>
        <w:pStyle w:val="Caption"/>
      </w:pPr>
      <w:bookmarkStart w:id="225" w:name="_Toc90726002"/>
      <w:bookmarkStart w:id="226" w:name="_Toc90727299"/>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48</w:t>
      </w:r>
      <w:r w:rsidR="000B273D">
        <w:rPr>
          <w:noProof/>
        </w:rPr>
        <w:fldChar w:fldCharType="end"/>
      </w:r>
      <w:r>
        <w:t xml:space="preserve">: Justification for proposed JTF operation in Gorj </w:t>
      </w:r>
      <w:r w:rsidR="00542F63">
        <w:t>C</w:t>
      </w:r>
      <w:r>
        <w:t>ounty</w:t>
      </w:r>
      <w:bookmarkEnd w:id="225"/>
      <w:bookmarkEnd w:id="226"/>
    </w:p>
    <w:tbl>
      <w:tblPr>
        <w:tblW w:w="51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4786"/>
      </w:tblGrid>
      <w:tr w:rsidR="001A7A04" w:rsidRPr="00A608C7" w14:paraId="78D2E711" w14:textId="77777777" w:rsidTr="00964831">
        <w:tc>
          <w:tcPr>
            <w:tcW w:w="5000" w:type="pct"/>
            <w:gridSpan w:val="2"/>
            <w:shd w:val="clear" w:color="auto" w:fill="002060"/>
            <w:tcMar>
              <w:top w:w="100" w:type="dxa"/>
              <w:left w:w="100" w:type="dxa"/>
              <w:bottom w:w="100" w:type="dxa"/>
              <w:right w:w="100" w:type="dxa"/>
            </w:tcMar>
            <w:vAlign w:val="center"/>
          </w:tcPr>
          <w:p w14:paraId="00C74C9E" w14:textId="77777777" w:rsidR="001A7A04" w:rsidRPr="00A608C7" w:rsidRDefault="001A7A04" w:rsidP="00964831">
            <w:pPr>
              <w:jc w:val="center"/>
              <w:rPr>
                <w:rFonts w:ascii="Arial" w:hAnsi="Arial" w:cs="Arial"/>
                <w:b/>
                <w:bCs/>
                <w:sz w:val="18"/>
                <w:szCs w:val="18"/>
                <w:highlight w:val="white"/>
              </w:rPr>
            </w:pPr>
            <w:bookmarkStart w:id="227" w:name="_Hlk75784470"/>
          </w:p>
        </w:tc>
      </w:tr>
      <w:tr w:rsidR="001A7A04" w:rsidRPr="00A608C7" w14:paraId="36798CED" w14:textId="77777777" w:rsidTr="00964831">
        <w:trPr>
          <w:trHeight w:val="737"/>
        </w:trPr>
        <w:tc>
          <w:tcPr>
            <w:tcW w:w="2411" w:type="pct"/>
            <w:shd w:val="clear" w:color="auto" w:fill="C6D9F1" w:themeFill="text2" w:themeFillTint="33"/>
            <w:tcMar>
              <w:top w:w="100" w:type="dxa"/>
              <w:left w:w="100" w:type="dxa"/>
              <w:bottom w:w="100" w:type="dxa"/>
              <w:right w:w="100" w:type="dxa"/>
            </w:tcMar>
            <w:vAlign w:val="center"/>
          </w:tcPr>
          <w:p w14:paraId="4DF774AE" w14:textId="5F8EF44B" w:rsidR="001A7A04" w:rsidRPr="00A608C7" w:rsidRDefault="008A24AD" w:rsidP="00964831">
            <w:pPr>
              <w:jc w:val="both"/>
              <w:rPr>
                <w:rFonts w:ascii="Arial" w:hAnsi="Arial" w:cs="Arial"/>
                <w:b/>
                <w:bCs/>
                <w:sz w:val="18"/>
                <w:szCs w:val="18"/>
              </w:rPr>
            </w:pPr>
            <w:r w:rsidRPr="00A608C7">
              <w:rPr>
                <w:rFonts w:ascii="Arial" w:hAnsi="Arial" w:cs="Arial"/>
                <w:b/>
                <w:bCs/>
                <w:sz w:val="18"/>
                <w:szCs w:val="18"/>
                <w:lang w:val="en-US"/>
              </w:rPr>
              <w:t>Based on local challenges analysis</w:t>
            </w:r>
            <w:r w:rsidR="00482216">
              <w:rPr>
                <w:rStyle w:val="FootnoteReference"/>
                <w:rFonts w:ascii="Arial" w:hAnsi="Arial" w:cs="Arial"/>
                <w:b/>
                <w:bCs/>
                <w:sz w:val="18"/>
                <w:szCs w:val="18"/>
                <w:lang w:val="en-US"/>
              </w:rPr>
              <w:footnoteReference w:id="100"/>
            </w:r>
          </w:p>
        </w:tc>
        <w:tc>
          <w:tcPr>
            <w:tcW w:w="2588" w:type="pct"/>
            <w:shd w:val="clear" w:color="auto" w:fill="C6D9F1" w:themeFill="text2" w:themeFillTint="33"/>
            <w:tcMar>
              <w:top w:w="100" w:type="dxa"/>
              <w:left w:w="100" w:type="dxa"/>
              <w:bottom w:w="100" w:type="dxa"/>
              <w:right w:w="100" w:type="dxa"/>
            </w:tcMar>
            <w:vAlign w:val="center"/>
          </w:tcPr>
          <w:p w14:paraId="2944262E" w14:textId="08FD4426" w:rsidR="001A7A04" w:rsidRPr="00A608C7" w:rsidRDefault="008A24AD" w:rsidP="00964831">
            <w:pPr>
              <w:jc w:val="both"/>
              <w:rPr>
                <w:rFonts w:ascii="Arial" w:hAnsi="Arial" w:cs="Arial"/>
                <w:b/>
                <w:bCs/>
                <w:sz w:val="18"/>
                <w:szCs w:val="18"/>
                <w:lang w:val="en-US"/>
              </w:rPr>
            </w:pPr>
            <w:r w:rsidRPr="00A608C7">
              <w:rPr>
                <w:rFonts w:ascii="Arial" w:hAnsi="Arial" w:cs="Arial"/>
                <w:b/>
                <w:bCs/>
                <w:sz w:val="18"/>
                <w:szCs w:val="18"/>
              </w:rPr>
              <w:t>Identified as priority to address the impact of the transition by the stakeholders and from the trends analysis and</w:t>
            </w:r>
            <w:r w:rsidR="00D33463">
              <w:rPr>
                <w:rFonts w:ascii="Arial" w:hAnsi="Arial" w:cs="Arial"/>
                <w:b/>
                <w:bCs/>
                <w:sz w:val="18"/>
                <w:szCs w:val="18"/>
              </w:rPr>
              <w:t xml:space="preserve"> potentially</w:t>
            </w:r>
            <w:r w:rsidRPr="00A608C7">
              <w:rPr>
                <w:rFonts w:ascii="Arial" w:hAnsi="Arial" w:cs="Arial"/>
                <w:b/>
                <w:bCs/>
                <w:sz w:val="18"/>
                <w:szCs w:val="18"/>
              </w:rPr>
              <w:t xml:space="preserve"> in scope of the JTF Regulation</w:t>
            </w:r>
          </w:p>
        </w:tc>
      </w:tr>
      <w:tr w:rsidR="001A7A04" w:rsidRPr="00A608C7" w14:paraId="34C96CEA" w14:textId="77777777" w:rsidTr="00964831">
        <w:trPr>
          <w:trHeight w:val="20"/>
        </w:trPr>
        <w:tc>
          <w:tcPr>
            <w:tcW w:w="2411" w:type="pct"/>
            <w:shd w:val="clear" w:color="auto" w:fill="auto"/>
            <w:tcMar>
              <w:top w:w="100" w:type="dxa"/>
              <w:left w:w="100" w:type="dxa"/>
              <w:bottom w:w="100" w:type="dxa"/>
              <w:right w:w="100" w:type="dxa"/>
            </w:tcMar>
          </w:tcPr>
          <w:p w14:paraId="2AE2379B" w14:textId="64390F3D" w:rsidR="0057324B" w:rsidRPr="00A608C7" w:rsidRDefault="0057324B" w:rsidP="00E42342">
            <w:pPr>
              <w:pStyle w:val="ListParagraph"/>
              <w:numPr>
                <w:ilvl w:val="0"/>
                <w:numId w:val="190"/>
              </w:numPr>
              <w:spacing w:line="240" w:lineRule="auto"/>
              <w:rPr>
                <w:sz w:val="18"/>
                <w:szCs w:val="18"/>
                <w:lang w:val="en-US"/>
              </w:rPr>
            </w:pPr>
            <w:r w:rsidRPr="00A608C7">
              <w:rPr>
                <w:sz w:val="18"/>
                <w:szCs w:val="18"/>
                <w:lang w:val="en-US"/>
              </w:rPr>
              <w:t xml:space="preserve">Gorj </w:t>
            </w:r>
            <w:r w:rsidR="00542F63" w:rsidRPr="00A608C7">
              <w:rPr>
                <w:sz w:val="18"/>
                <w:szCs w:val="18"/>
                <w:lang w:val="en-US"/>
              </w:rPr>
              <w:t>C</w:t>
            </w:r>
            <w:r w:rsidRPr="00A608C7">
              <w:rPr>
                <w:sz w:val="18"/>
                <w:szCs w:val="18"/>
                <w:lang w:val="en-US"/>
              </w:rPr>
              <w:t>ounty has the lowest number of active companies and self-employed of the six affected counties, and, more worryingly, a very small increase in new companies</w:t>
            </w:r>
          </w:p>
          <w:p w14:paraId="437C058F" w14:textId="5642E0F1" w:rsidR="0057324B" w:rsidRPr="00A608C7" w:rsidRDefault="0057324B" w:rsidP="00E42342">
            <w:pPr>
              <w:pStyle w:val="ListParagraph"/>
              <w:numPr>
                <w:ilvl w:val="0"/>
                <w:numId w:val="190"/>
              </w:numPr>
              <w:spacing w:line="240" w:lineRule="auto"/>
              <w:rPr>
                <w:sz w:val="18"/>
                <w:szCs w:val="18"/>
                <w:lang w:val="en-US"/>
              </w:rPr>
            </w:pPr>
            <w:r w:rsidRPr="00A608C7">
              <w:rPr>
                <w:sz w:val="18"/>
                <w:szCs w:val="18"/>
                <w:lang w:val="en-US"/>
              </w:rPr>
              <w:t>The existing of the biggest national energy producer (CEO) leads to a mono industrial character of the county, lack of diversity of the existing companies, many of them being satellites of CEO</w:t>
            </w:r>
          </w:p>
          <w:p w14:paraId="07EE0709" w14:textId="5EBC63D4" w:rsidR="0057324B" w:rsidRPr="00A608C7" w:rsidRDefault="0057324B" w:rsidP="00E42342">
            <w:pPr>
              <w:pStyle w:val="ListParagraph"/>
              <w:numPr>
                <w:ilvl w:val="0"/>
                <w:numId w:val="190"/>
              </w:numPr>
              <w:spacing w:line="240" w:lineRule="auto"/>
              <w:rPr>
                <w:sz w:val="18"/>
                <w:szCs w:val="18"/>
                <w:lang w:val="en-US"/>
              </w:rPr>
            </w:pPr>
            <w:r w:rsidRPr="00A608C7">
              <w:rPr>
                <w:sz w:val="18"/>
                <w:szCs w:val="18"/>
                <w:lang w:val="en-US"/>
              </w:rPr>
              <w:t>80% of the modest turnover of local manufacturing is generated by medium-low and low-tech industries. As a result, a key challenge is to upgrade to higher technology- and knowledge-intensive manufacturing</w:t>
            </w:r>
          </w:p>
          <w:p w14:paraId="51908DB4" w14:textId="7C4E9387" w:rsidR="0057324B" w:rsidRPr="00A608C7" w:rsidRDefault="0057324B" w:rsidP="00E42342">
            <w:pPr>
              <w:pStyle w:val="ListParagraph"/>
              <w:numPr>
                <w:ilvl w:val="0"/>
                <w:numId w:val="190"/>
              </w:numPr>
              <w:spacing w:line="240" w:lineRule="auto"/>
              <w:rPr>
                <w:sz w:val="18"/>
                <w:szCs w:val="18"/>
                <w:lang w:val="en-US"/>
              </w:rPr>
            </w:pPr>
            <w:r w:rsidRPr="00A608C7">
              <w:rPr>
                <w:sz w:val="18"/>
                <w:szCs w:val="18"/>
                <w:lang w:val="en-US"/>
              </w:rPr>
              <w:t>There is a limited local entrepreneurship culture and capacity to support start-up/scale-ups, as well as low records of newly supported SMEs</w:t>
            </w:r>
          </w:p>
          <w:p w14:paraId="2A7CC1DB" w14:textId="1D9CCCC5" w:rsidR="001A7A04" w:rsidRPr="00A608C7" w:rsidRDefault="0057324B" w:rsidP="00E42342">
            <w:pPr>
              <w:pStyle w:val="ListParagraph"/>
              <w:numPr>
                <w:ilvl w:val="0"/>
                <w:numId w:val="190"/>
              </w:numPr>
              <w:spacing w:line="240" w:lineRule="auto"/>
              <w:rPr>
                <w:sz w:val="18"/>
                <w:szCs w:val="18"/>
                <w:highlight w:val="white"/>
              </w:rPr>
            </w:pPr>
            <w:r w:rsidRPr="00A608C7">
              <w:rPr>
                <w:sz w:val="18"/>
                <w:szCs w:val="18"/>
                <w:lang w:val="en-US"/>
              </w:rPr>
              <w:t>In the last period there were allocated insignificant R&amp;D expenses for the county in comparison with the region or with the national budget</w:t>
            </w:r>
          </w:p>
        </w:tc>
        <w:tc>
          <w:tcPr>
            <w:tcW w:w="2588" w:type="pct"/>
            <w:shd w:val="clear" w:color="auto" w:fill="auto"/>
            <w:tcMar>
              <w:top w:w="100" w:type="dxa"/>
              <w:left w:w="100" w:type="dxa"/>
              <w:bottom w:w="100" w:type="dxa"/>
              <w:right w:w="100" w:type="dxa"/>
            </w:tcMar>
          </w:tcPr>
          <w:p w14:paraId="5458EE98" w14:textId="77777777" w:rsidR="000E3635" w:rsidRDefault="00DA17F4" w:rsidP="0057324B">
            <w:pPr>
              <w:rPr>
                <w:rFonts w:ascii="Arial" w:hAnsi="Arial" w:cs="Arial"/>
                <w:sz w:val="18"/>
                <w:szCs w:val="18"/>
              </w:rPr>
            </w:pPr>
            <w:r w:rsidRPr="00A608C7">
              <w:rPr>
                <w:rFonts w:ascii="Arial" w:hAnsi="Arial" w:cs="Arial"/>
                <w:b/>
                <w:sz w:val="18"/>
                <w:szCs w:val="18"/>
              </w:rPr>
              <w:t>Type</w:t>
            </w:r>
            <w:r w:rsidR="0057324B" w:rsidRPr="00A608C7">
              <w:rPr>
                <w:rFonts w:ascii="Arial" w:hAnsi="Arial" w:cs="Arial"/>
                <w:b/>
                <w:sz w:val="18"/>
                <w:szCs w:val="18"/>
              </w:rPr>
              <w:t xml:space="preserve"> 1:</w:t>
            </w:r>
            <w:r w:rsidR="0057324B" w:rsidRPr="00A608C7">
              <w:rPr>
                <w:rFonts w:ascii="Arial" w:hAnsi="Arial" w:cs="Arial"/>
                <w:sz w:val="18"/>
                <w:szCs w:val="18"/>
              </w:rPr>
              <w:t xml:space="preserve"> Entrepreneurship development, increasing competitiveness and economic diversification, research, innovation and digitisation</w:t>
            </w:r>
          </w:p>
          <w:p w14:paraId="3A37040D" w14:textId="4A799F88" w:rsidR="0057324B" w:rsidRPr="00A608C7" w:rsidRDefault="0057324B" w:rsidP="0057324B">
            <w:pPr>
              <w:rPr>
                <w:rFonts w:ascii="Arial" w:hAnsi="Arial" w:cs="Arial"/>
                <w:sz w:val="18"/>
                <w:szCs w:val="18"/>
              </w:rPr>
            </w:pPr>
          </w:p>
          <w:p w14:paraId="6DE888E6" w14:textId="609AA7D8" w:rsidR="0057324B" w:rsidRPr="00A608C7" w:rsidRDefault="0057324B" w:rsidP="0057324B">
            <w:pPr>
              <w:pStyle w:val="ListParagraph"/>
              <w:numPr>
                <w:ilvl w:val="0"/>
                <w:numId w:val="72"/>
              </w:numPr>
              <w:spacing w:line="240" w:lineRule="auto"/>
              <w:rPr>
                <w:sz w:val="18"/>
                <w:szCs w:val="18"/>
              </w:rPr>
            </w:pPr>
            <w:r w:rsidRPr="00A608C7">
              <w:rPr>
                <w:sz w:val="18"/>
                <w:szCs w:val="18"/>
              </w:rPr>
              <w:t>Setting up companies in all fields of activity and all geographical areas to eliminate disparities</w:t>
            </w:r>
            <w:r w:rsidR="00E61934">
              <w:rPr>
                <w:sz w:val="18"/>
                <w:szCs w:val="18"/>
              </w:rPr>
              <w:t xml:space="preserve">; yet, a bonification system can be </w:t>
            </w:r>
            <w:r w:rsidR="00D9753D">
              <w:rPr>
                <w:sz w:val="18"/>
                <w:szCs w:val="18"/>
              </w:rPr>
              <w:t>envisioned</w:t>
            </w:r>
            <w:r w:rsidR="00E61934">
              <w:rPr>
                <w:sz w:val="18"/>
                <w:szCs w:val="18"/>
              </w:rPr>
              <w:t xml:space="preserve"> to support the </w:t>
            </w:r>
            <w:r w:rsidR="00D9753D">
              <w:rPr>
                <w:sz w:val="18"/>
                <w:szCs w:val="18"/>
              </w:rPr>
              <w:t>creation</w:t>
            </w:r>
            <w:r w:rsidR="00E61934">
              <w:rPr>
                <w:sz w:val="18"/>
                <w:szCs w:val="18"/>
              </w:rPr>
              <w:t xml:space="preserve"> of new companies particulary in </w:t>
            </w:r>
            <w:r w:rsidR="00D9753D">
              <w:rPr>
                <w:sz w:val="18"/>
                <w:szCs w:val="18"/>
              </w:rPr>
              <w:t xml:space="preserve">sectors such as </w:t>
            </w:r>
            <w:r w:rsidR="00E61934">
              <w:rPr>
                <w:sz w:val="18"/>
                <w:szCs w:val="18"/>
              </w:rPr>
              <w:t xml:space="preserve">medium to high-tech manufacturing, IT&amp;C, sustainable nature-based </w:t>
            </w:r>
            <w:r w:rsidR="00E61934" w:rsidRPr="00E61934">
              <w:rPr>
                <w:sz w:val="18"/>
                <w:szCs w:val="18"/>
              </w:rPr>
              <w:t>and cultural tourism, energy efficiency and green technology transfer and development</w:t>
            </w:r>
          </w:p>
          <w:p w14:paraId="60A7F567" w14:textId="7C0A8228" w:rsidR="0057324B" w:rsidRPr="00A608C7" w:rsidRDefault="0057324B" w:rsidP="0057324B">
            <w:pPr>
              <w:pStyle w:val="ListParagraph"/>
              <w:numPr>
                <w:ilvl w:val="0"/>
                <w:numId w:val="72"/>
              </w:numPr>
              <w:spacing w:line="240" w:lineRule="auto"/>
              <w:rPr>
                <w:sz w:val="18"/>
                <w:szCs w:val="18"/>
              </w:rPr>
            </w:pPr>
            <w:r w:rsidRPr="00A608C7">
              <w:rPr>
                <w:sz w:val="18"/>
                <w:szCs w:val="18"/>
              </w:rPr>
              <w:t>Setting up/subsidi</w:t>
            </w:r>
            <w:r w:rsidR="00542F63" w:rsidRPr="00A608C7">
              <w:rPr>
                <w:sz w:val="18"/>
                <w:szCs w:val="18"/>
              </w:rPr>
              <w:t>s</w:t>
            </w:r>
            <w:r w:rsidRPr="00A608C7">
              <w:rPr>
                <w:sz w:val="18"/>
                <w:szCs w:val="18"/>
              </w:rPr>
              <w:t>ing business incubators and increasing the capacity and competitiveness of existing SMEs to create new jobs (scale-up support, etc.)</w:t>
            </w:r>
          </w:p>
          <w:p w14:paraId="2DBFDE8C" w14:textId="2AB18074" w:rsidR="001A7A04" w:rsidRPr="00A608C7" w:rsidRDefault="0057324B" w:rsidP="005C6336">
            <w:pPr>
              <w:pStyle w:val="ListParagraph"/>
              <w:numPr>
                <w:ilvl w:val="0"/>
                <w:numId w:val="72"/>
              </w:numPr>
              <w:spacing w:line="240" w:lineRule="auto"/>
              <w:rPr>
                <w:sz w:val="18"/>
                <w:szCs w:val="18"/>
              </w:rPr>
            </w:pPr>
            <w:r w:rsidRPr="00A608C7">
              <w:rPr>
                <w:sz w:val="18"/>
                <w:szCs w:val="18"/>
              </w:rPr>
              <w:t>Supporting productive investments in large enterprises active at the county level</w:t>
            </w:r>
            <w:r w:rsidR="00E61934">
              <w:rPr>
                <w:sz w:val="18"/>
                <w:szCs w:val="18"/>
              </w:rPr>
              <w:t>, particularly those active in medium to high-tech manufacturing and IT&amp;C</w:t>
            </w:r>
          </w:p>
        </w:tc>
      </w:tr>
      <w:tr w:rsidR="001A7A04" w:rsidRPr="00A608C7" w14:paraId="0A815B91" w14:textId="77777777" w:rsidTr="00964831">
        <w:trPr>
          <w:trHeight w:val="790"/>
        </w:trPr>
        <w:tc>
          <w:tcPr>
            <w:tcW w:w="2411" w:type="pct"/>
            <w:shd w:val="clear" w:color="auto" w:fill="auto"/>
            <w:tcMar>
              <w:top w:w="100" w:type="dxa"/>
              <w:left w:w="100" w:type="dxa"/>
              <w:bottom w:w="100" w:type="dxa"/>
              <w:right w:w="100" w:type="dxa"/>
            </w:tcMar>
          </w:tcPr>
          <w:p w14:paraId="69D0A3C6" w14:textId="3A30210F" w:rsidR="0057324B" w:rsidRPr="00A608C7" w:rsidRDefault="0057324B" w:rsidP="00E42342">
            <w:pPr>
              <w:pStyle w:val="ListParagraph"/>
              <w:numPr>
                <w:ilvl w:val="0"/>
                <w:numId w:val="191"/>
              </w:numPr>
              <w:spacing w:line="240" w:lineRule="auto"/>
              <w:rPr>
                <w:sz w:val="18"/>
                <w:szCs w:val="18"/>
                <w:lang w:val="en-US"/>
              </w:rPr>
            </w:pPr>
            <w:r w:rsidRPr="00A608C7">
              <w:rPr>
                <w:sz w:val="18"/>
                <w:szCs w:val="18"/>
                <w:lang w:val="en-US"/>
              </w:rPr>
              <w:t>T</w:t>
            </w:r>
            <w:r w:rsidRPr="00A608C7">
              <w:rPr>
                <w:sz w:val="18"/>
                <w:szCs w:val="18"/>
              </w:rPr>
              <w:t xml:space="preserve">he </w:t>
            </w:r>
            <w:r w:rsidRPr="00A608C7">
              <w:rPr>
                <w:sz w:val="18"/>
                <w:szCs w:val="18"/>
                <w:lang w:val="en-US"/>
              </w:rPr>
              <w:t>generali</w:t>
            </w:r>
            <w:r w:rsidR="00542F63" w:rsidRPr="00A608C7">
              <w:rPr>
                <w:sz w:val="18"/>
                <w:szCs w:val="18"/>
                <w:lang w:val="en-US"/>
              </w:rPr>
              <w:t>s</w:t>
            </w:r>
            <w:r w:rsidRPr="00A608C7">
              <w:rPr>
                <w:sz w:val="18"/>
                <w:szCs w:val="18"/>
                <w:lang w:val="en-US"/>
              </w:rPr>
              <w:t xml:space="preserve">ed European </w:t>
            </w:r>
            <w:r w:rsidRPr="00A608C7">
              <w:rPr>
                <w:sz w:val="18"/>
                <w:szCs w:val="18"/>
              </w:rPr>
              <w:t>green transition process</w:t>
            </w:r>
            <w:r w:rsidRPr="00A608C7">
              <w:rPr>
                <w:sz w:val="18"/>
                <w:szCs w:val="18"/>
                <w:lang w:val="en-US"/>
              </w:rPr>
              <w:t xml:space="preserve"> is requested alternative energy producing</w:t>
            </w:r>
          </w:p>
          <w:p w14:paraId="0427D32D" w14:textId="52A8B2A8" w:rsidR="0057324B" w:rsidRPr="00A608C7" w:rsidRDefault="0057324B" w:rsidP="00E42342">
            <w:pPr>
              <w:pStyle w:val="ListParagraph"/>
              <w:numPr>
                <w:ilvl w:val="0"/>
                <w:numId w:val="191"/>
              </w:numPr>
              <w:spacing w:line="240" w:lineRule="auto"/>
              <w:rPr>
                <w:sz w:val="18"/>
                <w:szCs w:val="18"/>
              </w:rPr>
            </w:pPr>
            <w:r w:rsidRPr="00A608C7">
              <w:rPr>
                <w:sz w:val="18"/>
                <w:szCs w:val="18"/>
                <w:lang w:val="en-US"/>
              </w:rPr>
              <w:t>T</w:t>
            </w:r>
            <w:r w:rsidRPr="00A608C7">
              <w:rPr>
                <w:sz w:val="18"/>
                <w:szCs w:val="18"/>
              </w:rPr>
              <w:t>here are emergent civil society and business actors very interested in contributing to the just transition-related processes at the county level</w:t>
            </w:r>
          </w:p>
          <w:p w14:paraId="06DD1C93" w14:textId="2CDAB990" w:rsidR="0057324B" w:rsidRPr="00A608C7" w:rsidRDefault="0057324B" w:rsidP="00E42342">
            <w:pPr>
              <w:pStyle w:val="ListParagraph"/>
              <w:numPr>
                <w:ilvl w:val="0"/>
                <w:numId w:val="191"/>
              </w:numPr>
              <w:spacing w:line="240" w:lineRule="auto"/>
              <w:rPr>
                <w:sz w:val="18"/>
                <w:szCs w:val="18"/>
              </w:rPr>
            </w:pPr>
            <w:r w:rsidRPr="00A608C7">
              <w:rPr>
                <w:sz w:val="18"/>
                <w:szCs w:val="18"/>
              </w:rPr>
              <w:t>The local environmental state of play is dominated by air pollution issues, soil quality problems, contaminated and brownfield sites</w:t>
            </w:r>
          </w:p>
          <w:p w14:paraId="0127EA03" w14:textId="06FAE602" w:rsidR="001A7A04" w:rsidRPr="00A608C7" w:rsidRDefault="0057324B" w:rsidP="00E42342">
            <w:pPr>
              <w:pStyle w:val="ListParagraph"/>
              <w:numPr>
                <w:ilvl w:val="0"/>
                <w:numId w:val="191"/>
              </w:numPr>
              <w:rPr>
                <w:sz w:val="18"/>
                <w:szCs w:val="18"/>
              </w:rPr>
            </w:pPr>
            <w:r w:rsidRPr="00A608C7">
              <w:rPr>
                <w:sz w:val="18"/>
                <w:szCs w:val="18"/>
                <w:lang w:val="en-US"/>
              </w:rPr>
              <w:t>The independent energy is requested for the starting business</w:t>
            </w:r>
          </w:p>
        </w:tc>
        <w:tc>
          <w:tcPr>
            <w:tcW w:w="2588" w:type="pct"/>
            <w:shd w:val="clear" w:color="auto" w:fill="auto"/>
            <w:tcMar>
              <w:top w:w="100" w:type="dxa"/>
              <w:left w:w="100" w:type="dxa"/>
              <w:bottom w:w="100" w:type="dxa"/>
              <w:right w:w="100" w:type="dxa"/>
            </w:tcMar>
          </w:tcPr>
          <w:p w14:paraId="028D6C6F" w14:textId="28260241" w:rsidR="0057324B" w:rsidRDefault="00DA17F4" w:rsidP="0057324B">
            <w:pPr>
              <w:rPr>
                <w:rFonts w:ascii="Arial" w:hAnsi="Arial" w:cs="Arial"/>
                <w:sz w:val="18"/>
                <w:szCs w:val="18"/>
              </w:rPr>
            </w:pPr>
            <w:r w:rsidRPr="00A608C7">
              <w:rPr>
                <w:rFonts w:ascii="Arial" w:hAnsi="Arial" w:cs="Arial"/>
                <w:b/>
                <w:sz w:val="18"/>
                <w:szCs w:val="18"/>
              </w:rPr>
              <w:t>Type</w:t>
            </w:r>
            <w:r w:rsidR="0057324B" w:rsidRPr="00A608C7">
              <w:rPr>
                <w:rFonts w:ascii="Arial" w:hAnsi="Arial" w:cs="Arial"/>
                <w:b/>
                <w:sz w:val="18"/>
                <w:szCs w:val="18"/>
              </w:rPr>
              <w:t xml:space="preserve"> 2</w:t>
            </w:r>
            <w:r w:rsidR="0057324B" w:rsidRPr="00A608C7">
              <w:rPr>
                <w:rFonts w:ascii="Arial" w:hAnsi="Arial" w:cs="Arial"/>
                <w:sz w:val="18"/>
                <w:szCs w:val="18"/>
              </w:rPr>
              <w:t>: Supporting investments in clean energy technologies and infrastructure to reduce pollution and strengthen the circular economy</w:t>
            </w:r>
          </w:p>
          <w:p w14:paraId="37E4C44A" w14:textId="77777777" w:rsidR="000E3635" w:rsidRPr="00A608C7" w:rsidRDefault="000E3635" w:rsidP="0057324B">
            <w:pPr>
              <w:rPr>
                <w:rFonts w:ascii="Arial" w:hAnsi="Arial" w:cs="Arial"/>
                <w:sz w:val="18"/>
                <w:szCs w:val="18"/>
              </w:rPr>
            </w:pPr>
          </w:p>
          <w:p w14:paraId="4C8D9EC7" w14:textId="77777777" w:rsidR="0057324B" w:rsidRPr="00A608C7" w:rsidRDefault="0057324B" w:rsidP="0057324B">
            <w:pPr>
              <w:pStyle w:val="ListParagraph"/>
              <w:numPr>
                <w:ilvl w:val="0"/>
                <w:numId w:val="74"/>
              </w:numPr>
              <w:spacing w:line="240" w:lineRule="auto"/>
              <w:rPr>
                <w:sz w:val="18"/>
                <w:szCs w:val="18"/>
              </w:rPr>
            </w:pPr>
            <w:r w:rsidRPr="00A608C7">
              <w:rPr>
                <w:sz w:val="18"/>
                <w:szCs w:val="18"/>
              </w:rPr>
              <w:t>Solar power plants for energy production and decentralised solar PV</w:t>
            </w:r>
          </w:p>
          <w:p w14:paraId="663AFC4E" w14:textId="77777777" w:rsidR="0057324B" w:rsidRPr="00A608C7" w:rsidRDefault="0057324B" w:rsidP="0057324B">
            <w:pPr>
              <w:pStyle w:val="ListParagraph"/>
              <w:numPr>
                <w:ilvl w:val="0"/>
                <w:numId w:val="74"/>
              </w:numPr>
              <w:spacing w:line="240" w:lineRule="auto"/>
              <w:rPr>
                <w:sz w:val="18"/>
                <w:szCs w:val="18"/>
              </w:rPr>
            </w:pPr>
            <w:r w:rsidRPr="00A608C7">
              <w:rPr>
                <w:sz w:val="18"/>
                <w:szCs w:val="18"/>
              </w:rPr>
              <w:t>Decontamination of polluted sites and land repurposing of degraded industrial sites (brownfield redevelopment)</w:t>
            </w:r>
          </w:p>
          <w:p w14:paraId="01F76243" w14:textId="4C1895E3" w:rsidR="001A7A04" w:rsidRPr="00A608C7" w:rsidRDefault="0057324B" w:rsidP="005C6336">
            <w:pPr>
              <w:pStyle w:val="ListParagraph"/>
              <w:numPr>
                <w:ilvl w:val="0"/>
                <w:numId w:val="74"/>
              </w:numPr>
              <w:spacing w:line="240" w:lineRule="auto"/>
              <w:rPr>
                <w:sz w:val="18"/>
                <w:szCs w:val="18"/>
              </w:rPr>
            </w:pPr>
            <w:r w:rsidRPr="00A608C7">
              <w:rPr>
                <w:sz w:val="18"/>
                <w:szCs w:val="18"/>
              </w:rPr>
              <w:t>Energy efficiency in buildings, particularly residential ones in energy poverty</w:t>
            </w:r>
          </w:p>
        </w:tc>
      </w:tr>
      <w:tr w:rsidR="001A7A04" w:rsidRPr="00A608C7" w14:paraId="3B1E0D3E" w14:textId="77777777" w:rsidTr="00964831">
        <w:trPr>
          <w:trHeight w:val="367"/>
        </w:trPr>
        <w:tc>
          <w:tcPr>
            <w:tcW w:w="2411" w:type="pct"/>
            <w:shd w:val="clear" w:color="auto" w:fill="auto"/>
            <w:tcMar>
              <w:top w:w="100" w:type="dxa"/>
              <w:left w:w="100" w:type="dxa"/>
              <w:bottom w:w="100" w:type="dxa"/>
              <w:right w:w="100" w:type="dxa"/>
            </w:tcMar>
          </w:tcPr>
          <w:p w14:paraId="354B5629" w14:textId="1B0E05A4" w:rsidR="0057324B" w:rsidRPr="00A608C7" w:rsidRDefault="0057324B" w:rsidP="00E42342">
            <w:pPr>
              <w:pStyle w:val="ListParagraph"/>
              <w:numPr>
                <w:ilvl w:val="0"/>
                <w:numId w:val="192"/>
              </w:numPr>
              <w:spacing w:line="240" w:lineRule="auto"/>
              <w:rPr>
                <w:sz w:val="18"/>
                <w:szCs w:val="18"/>
                <w:lang w:val="en-US"/>
              </w:rPr>
            </w:pPr>
            <w:r w:rsidRPr="00A608C7">
              <w:rPr>
                <w:sz w:val="18"/>
                <w:szCs w:val="18"/>
                <w:lang w:val="en-US"/>
              </w:rPr>
              <w:t>N</w:t>
            </w:r>
            <w:r w:rsidRPr="00A608C7">
              <w:rPr>
                <w:sz w:val="18"/>
                <w:szCs w:val="18"/>
              </w:rPr>
              <w:t>egative labour market effects from the Oltenia Complex restructuring</w:t>
            </w:r>
          </w:p>
          <w:p w14:paraId="26352B34" w14:textId="03FB1270" w:rsidR="0057324B" w:rsidRPr="00A608C7" w:rsidRDefault="0057324B" w:rsidP="00E42342">
            <w:pPr>
              <w:pStyle w:val="ListParagraph"/>
              <w:numPr>
                <w:ilvl w:val="0"/>
                <w:numId w:val="192"/>
              </w:numPr>
              <w:spacing w:line="240" w:lineRule="auto"/>
              <w:rPr>
                <w:sz w:val="18"/>
                <w:szCs w:val="18"/>
              </w:rPr>
            </w:pPr>
            <w:r w:rsidRPr="00A608C7">
              <w:rPr>
                <w:sz w:val="18"/>
                <w:szCs w:val="18"/>
              </w:rPr>
              <w:t>The educational infrastructure is not suitably adapted to the local labour market requirements</w:t>
            </w:r>
          </w:p>
          <w:p w14:paraId="60C7283B" w14:textId="51FF0C75" w:rsidR="0057324B" w:rsidRPr="00A608C7" w:rsidRDefault="0057324B" w:rsidP="00E42342">
            <w:pPr>
              <w:pStyle w:val="ListParagraph"/>
              <w:numPr>
                <w:ilvl w:val="0"/>
                <w:numId w:val="192"/>
              </w:numPr>
              <w:spacing w:line="240" w:lineRule="auto"/>
              <w:rPr>
                <w:sz w:val="18"/>
                <w:szCs w:val="18"/>
                <w:lang w:val="en-US"/>
              </w:rPr>
            </w:pPr>
            <w:r w:rsidRPr="00A608C7">
              <w:rPr>
                <w:sz w:val="18"/>
                <w:szCs w:val="18"/>
                <w:lang w:val="en-US"/>
              </w:rPr>
              <w:t>Collaboration between all actors regarding the needs and the labour market offers will lead to a better insertion</w:t>
            </w:r>
          </w:p>
          <w:p w14:paraId="6CEC0124" w14:textId="0AC9DA3B" w:rsidR="001A7A04" w:rsidRPr="00A608C7" w:rsidRDefault="005B2421" w:rsidP="00E42342">
            <w:pPr>
              <w:pStyle w:val="ListParagraph"/>
              <w:numPr>
                <w:ilvl w:val="0"/>
                <w:numId w:val="192"/>
              </w:numPr>
              <w:spacing w:before="240" w:after="240" w:line="240" w:lineRule="auto"/>
              <w:rPr>
                <w:sz w:val="18"/>
                <w:szCs w:val="18"/>
              </w:rPr>
            </w:pPr>
            <w:r>
              <w:rPr>
                <w:sz w:val="18"/>
                <w:szCs w:val="18"/>
              </w:rPr>
              <w:t>S</w:t>
            </w:r>
            <w:r w:rsidR="0057324B" w:rsidRPr="00A608C7">
              <w:rPr>
                <w:sz w:val="18"/>
                <w:szCs w:val="18"/>
              </w:rPr>
              <w:t>harp demographic decline (9.4% decline of active age population between 2012 and 2020)</w:t>
            </w:r>
            <w:r w:rsidR="001A7A04" w:rsidRPr="00A608C7">
              <w:rPr>
                <w:sz w:val="18"/>
                <w:szCs w:val="18"/>
              </w:rPr>
              <w:t xml:space="preserve"> </w:t>
            </w:r>
          </w:p>
        </w:tc>
        <w:tc>
          <w:tcPr>
            <w:tcW w:w="2588" w:type="pct"/>
            <w:shd w:val="clear" w:color="auto" w:fill="auto"/>
            <w:tcMar>
              <w:top w:w="100" w:type="dxa"/>
              <w:left w:w="100" w:type="dxa"/>
              <w:bottom w:w="100" w:type="dxa"/>
              <w:right w:w="100" w:type="dxa"/>
            </w:tcMar>
          </w:tcPr>
          <w:p w14:paraId="19550F31" w14:textId="553149F5" w:rsidR="0057324B" w:rsidRDefault="00DA17F4" w:rsidP="0057324B">
            <w:pPr>
              <w:jc w:val="both"/>
              <w:rPr>
                <w:rFonts w:ascii="Arial" w:hAnsi="Arial" w:cs="Arial"/>
                <w:sz w:val="18"/>
                <w:szCs w:val="18"/>
              </w:rPr>
            </w:pPr>
            <w:r w:rsidRPr="00A608C7">
              <w:rPr>
                <w:rFonts w:ascii="Arial" w:hAnsi="Arial" w:cs="Arial"/>
                <w:b/>
                <w:sz w:val="18"/>
                <w:szCs w:val="18"/>
              </w:rPr>
              <w:t>Type</w:t>
            </w:r>
            <w:r w:rsidR="0057324B" w:rsidRPr="00A608C7">
              <w:rPr>
                <w:rFonts w:ascii="Arial" w:hAnsi="Arial" w:cs="Arial"/>
                <w:b/>
                <w:sz w:val="18"/>
                <w:szCs w:val="18"/>
              </w:rPr>
              <w:t xml:space="preserve"> 3: </w:t>
            </w:r>
            <w:r w:rsidR="0057324B" w:rsidRPr="00A608C7">
              <w:rPr>
                <w:rFonts w:ascii="Arial" w:hAnsi="Arial" w:cs="Arial"/>
                <w:sz w:val="18"/>
                <w:szCs w:val="18"/>
              </w:rPr>
              <w:t>Increasing the level of employment</w:t>
            </w:r>
          </w:p>
          <w:p w14:paraId="0342A517" w14:textId="77777777" w:rsidR="000E3635" w:rsidRPr="00A608C7" w:rsidRDefault="000E3635" w:rsidP="0057324B">
            <w:pPr>
              <w:jc w:val="both"/>
              <w:rPr>
                <w:rFonts w:ascii="Arial" w:hAnsi="Arial" w:cs="Arial"/>
                <w:sz w:val="18"/>
                <w:szCs w:val="18"/>
              </w:rPr>
            </w:pPr>
          </w:p>
          <w:p w14:paraId="5085E138" w14:textId="18BAC7E3" w:rsidR="001A7A04" w:rsidRPr="00A608C7" w:rsidRDefault="00010488" w:rsidP="00E42342">
            <w:pPr>
              <w:pStyle w:val="ListParagraph"/>
              <w:numPr>
                <w:ilvl w:val="0"/>
                <w:numId w:val="189"/>
              </w:numPr>
              <w:spacing w:line="240" w:lineRule="auto"/>
              <w:rPr>
                <w:sz w:val="18"/>
                <w:szCs w:val="18"/>
                <w:lang w:val="en-US"/>
              </w:rPr>
            </w:pPr>
            <w:r>
              <w:rPr>
                <w:sz w:val="18"/>
                <w:szCs w:val="18"/>
              </w:rPr>
              <w:t>Reskilling and upskilling</w:t>
            </w:r>
            <w:r w:rsidR="0057324B" w:rsidRPr="00A608C7">
              <w:rPr>
                <w:sz w:val="18"/>
                <w:szCs w:val="18"/>
              </w:rPr>
              <w:t xml:space="preserve"> for those who have been laid off, particularly in medium to high technology-intensive manufacturing, IT&amp;C, constructions and building renovations, green energy production, installation and maintenance of individual renewable energy solutions, etc</w:t>
            </w:r>
            <w:r>
              <w:rPr>
                <w:sz w:val="18"/>
                <w:szCs w:val="18"/>
              </w:rPr>
              <w:t xml:space="preserve">. </w:t>
            </w:r>
            <w:r w:rsidR="00D9753D">
              <w:rPr>
                <w:sz w:val="18"/>
                <w:szCs w:val="18"/>
              </w:rPr>
              <w:t>as well as</w:t>
            </w:r>
            <w:r>
              <w:rPr>
                <w:sz w:val="18"/>
                <w:szCs w:val="18"/>
              </w:rPr>
              <w:t xml:space="preserve"> jobseeker assistance.</w:t>
            </w:r>
          </w:p>
        </w:tc>
      </w:tr>
      <w:bookmarkEnd w:id="227"/>
    </w:tbl>
    <w:p w14:paraId="7643374C" w14:textId="77777777" w:rsidR="001A7A04" w:rsidRDefault="001A7A04" w:rsidP="005B0FFF">
      <w:pPr>
        <w:jc w:val="both"/>
        <w:rPr>
          <w:rFonts w:ascii="Arial" w:hAnsi="Arial" w:cs="Arial"/>
          <w:sz w:val="20"/>
          <w:szCs w:val="20"/>
        </w:rPr>
        <w:sectPr w:rsidR="001A7A04" w:rsidSect="00E66687">
          <w:headerReference w:type="default" r:id="rId140"/>
          <w:pgSz w:w="11909" w:h="16834"/>
          <w:pgMar w:top="1440" w:right="1440" w:bottom="1440" w:left="1530" w:header="720" w:footer="720" w:gutter="0"/>
          <w:cols w:space="720"/>
          <w:docGrid w:linePitch="326"/>
        </w:sectPr>
      </w:pPr>
    </w:p>
    <w:p w14:paraId="48166850" w14:textId="7F0F516C" w:rsidR="005E7D21" w:rsidRDefault="005E7D21" w:rsidP="00402580">
      <w:pPr>
        <w:pStyle w:val="Caption"/>
      </w:pPr>
      <w:bookmarkStart w:id="229" w:name="_Toc90726003"/>
      <w:bookmarkStart w:id="230" w:name="_Toc90727300"/>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49</w:t>
      </w:r>
      <w:r w:rsidR="000B273D">
        <w:rPr>
          <w:noProof/>
        </w:rPr>
        <w:fldChar w:fldCharType="end"/>
      </w:r>
      <w:r>
        <w:t xml:space="preserve">: </w:t>
      </w:r>
      <w:r w:rsidRPr="003516DC">
        <w:t xml:space="preserve">Types of operations needed for </w:t>
      </w:r>
      <w:r>
        <w:t>Gorj</w:t>
      </w:r>
      <w:r w:rsidRPr="003516DC">
        <w:t xml:space="preserve"> County</w:t>
      </w:r>
      <w:bookmarkEnd w:id="229"/>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1A7A04" w:rsidRPr="00A608C7" w14:paraId="6683024C" w14:textId="77777777" w:rsidTr="002F781E">
        <w:trPr>
          <w:tblHeader/>
        </w:trPr>
        <w:tc>
          <w:tcPr>
            <w:tcW w:w="5000" w:type="pct"/>
            <w:gridSpan w:val="4"/>
            <w:shd w:val="clear" w:color="auto" w:fill="002060"/>
            <w:tcMar>
              <w:top w:w="100" w:type="dxa"/>
              <w:left w:w="100" w:type="dxa"/>
              <w:bottom w:w="100" w:type="dxa"/>
              <w:right w:w="100" w:type="dxa"/>
            </w:tcMar>
            <w:vAlign w:val="center"/>
          </w:tcPr>
          <w:p w14:paraId="11F45C3B" w14:textId="77777777" w:rsidR="001A7A04" w:rsidRPr="00A608C7" w:rsidRDefault="001A7A04" w:rsidP="00964831">
            <w:pPr>
              <w:jc w:val="center"/>
              <w:rPr>
                <w:rFonts w:ascii="Arial" w:hAnsi="Arial" w:cs="Arial"/>
                <w:b/>
                <w:bCs/>
                <w:sz w:val="18"/>
                <w:szCs w:val="18"/>
                <w:highlight w:val="white"/>
              </w:rPr>
            </w:pPr>
            <w:r w:rsidRPr="00A608C7">
              <w:rPr>
                <w:rFonts w:ascii="Arial" w:hAnsi="Arial" w:cs="Arial"/>
                <w:b/>
                <w:bCs/>
                <w:sz w:val="18"/>
                <w:szCs w:val="18"/>
              </w:rPr>
              <w:t>TYPES OF OPERATIONS NEEDED FOR GORJ COUNTY</w:t>
            </w:r>
          </w:p>
        </w:tc>
      </w:tr>
      <w:tr w:rsidR="001A7A04" w:rsidRPr="00A608C7" w14:paraId="6A03607D" w14:textId="77777777" w:rsidTr="002F781E">
        <w:trPr>
          <w:trHeight w:val="737"/>
          <w:tblHeader/>
        </w:trPr>
        <w:tc>
          <w:tcPr>
            <w:tcW w:w="479" w:type="pct"/>
            <w:shd w:val="clear" w:color="auto" w:fill="C6D9F1" w:themeFill="text2" w:themeFillTint="33"/>
            <w:tcMar>
              <w:top w:w="100" w:type="dxa"/>
              <w:left w:w="100" w:type="dxa"/>
              <w:bottom w:w="100" w:type="dxa"/>
              <w:right w:w="100" w:type="dxa"/>
            </w:tcMar>
            <w:vAlign w:val="center"/>
          </w:tcPr>
          <w:p w14:paraId="4AFC06A9" w14:textId="77777777" w:rsidR="001A7A04" w:rsidRPr="00A608C7" w:rsidRDefault="001A7A04" w:rsidP="00964831">
            <w:pPr>
              <w:rPr>
                <w:rFonts w:ascii="Arial" w:hAnsi="Arial" w:cs="Arial"/>
                <w:b/>
                <w:bCs/>
                <w:sz w:val="18"/>
                <w:szCs w:val="18"/>
              </w:rPr>
            </w:pPr>
            <w:r w:rsidRPr="00A608C7">
              <w:rPr>
                <w:rFonts w:ascii="Arial" w:hAnsi="Arial" w:cs="Arial"/>
                <w:b/>
                <w:bCs/>
                <w:sz w:val="18"/>
                <w:szCs w:val="18"/>
              </w:rPr>
              <w:t>Degree of priority</w:t>
            </w:r>
          </w:p>
        </w:tc>
        <w:tc>
          <w:tcPr>
            <w:tcW w:w="1875" w:type="pct"/>
            <w:shd w:val="clear" w:color="auto" w:fill="C6D9F1" w:themeFill="text2" w:themeFillTint="33"/>
            <w:tcMar>
              <w:top w:w="100" w:type="dxa"/>
              <w:left w:w="100" w:type="dxa"/>
              <w:bottom w:w="100" w:type="dxa"/>
              <w:right w:w="100" w:type="dxa"/>
            </w:tcMar>
            <w:vAlign w:val="center"/>
          </w:tcPr>
          <w:p w14:paraId="41984E32" w14:textId="2F8593EC" w:rsidR="001A7A04" w:rsidRPr="00A608C7" w:rsidRDefault="001A7A04" w:rsidP="00964831">
            <w:pPr>
              <w:jc w:val="both"/>
              <w:rPr>
                <w:rFonts w:ascii="Arial" w:hAnsi="Arial" w:cs="Arial"/>
                <w:b/>
                <w:bCs/>
                <w:sz w:val="18"/>
                <w:szCs w:val="18"/>
              </w:rPr>
            </w:pPr>
            <w:r w:rsidRPr="00A608C7">
              <w:rPr>
                <w:rFonts w:ascii="Arial" w:hAnsi="Arial" w:cs="Arial"/>
                <w:b/>
                <w:bCs/>
                <w:sz w:val="18"/>
                <w:szCs w:val="18"/>
              </w:rPr>
              <w:t xml:space="preserve">Identified as priority to address the impact of the transition by the stakeholders and from the trends analysis and </w:t>
            </w:r>
            <w:r w:rsidR="00D33463">
              <w:rPr>
                <w:rFonts w:ascii="Arial" w:hAnsi="Arial" w:cs="Arial"/>
                <w:b/>
                <w:bCs/>
                <w:sz w:val="18"/>
                <w:szCs w:val="18"/>
              </w:rPr>
              <w:t xml:space="preserve">potentially </w:t>
            </w:r>
            <w:r w:rsidRPr="00A608C7">
              <w:rPr>
                <w:rFonts w:ascii="Arial" w:hAnsi="Arial" w:cs="Arial"/>
                <w:b/>
                <w:bCs/>
                <w:sz w:val="18"/>
                <w:szCs w:val="18"/>
              </w:rPr>
              <w:t>in scope of the JTF Regulation</w:t>
            </w:r>
          </w:p>
        </w:tc>
        <w:tc>
          <w:tcPr>
            <w:tcW w:w="1549" w:type="pct"/>
            <w:shd w:val="clear" w:color="auto" w:fill="C6D9F1" w:themeFill="text2" w:themeFillTint="33"/>
            <w:tcMar>
              <w:top w:w="100" w:type="dxa"/>
              <w:left w:w="100" w:type="dxa"/>
              <w:bottom w:w="100" w:type="dxa"/>
              <w:right w:w="100" w:type="dxa"/>
            </w:tcMar>
            <w:vAlign w:val="center"/>
          </w:tcPr>
          <w:p w14:paraId="0AFCB4FA" w14:textId="0AA071E8" w:rsidR="001A7A04" w:rsidRPr="00A608C7" w:rsidRDefault="001A7A04" w:rsidP="00964831">
            <w:pPr>
              <w:jc w:val="both"/>
              <w:rPr>
                <w:rFonts w:ascii="Arial" w:hAnsi="Arial" w:cs="Arial"/>
                <w:b/>
                <w:bCs/>
                <w:sz w:val="18"/>
                <w:szCs w:val="18"/>
              </w:rPr>
            </w:pPr>
            <w:r w:rsidRPr="00A608C7">
              <w:rPr>
                <w:rFonts w:ascii="Arial" w:hAnsi="Arial" w:cs="Arial"/>
                <w:b/>
                <w:bCs/>
                <w:sz w:val="18"/>
                <w:szCs w:val="18"/>
              </w:rPr>
              <w:t xml:space="preserve">Identified as priority to address the impact of the transition by the stakeholders and from the trends analysis, </w:t>
            </w:r>
            <w:r w:rsidRPr="00190BA4">
              <w:rPr>
                <w:rFonts w:ascii="Arial" w:hAnsi="Arial" w:cs="Arial"/>
                <w:b/>
                <w:bCs/>
                <w:sz w:val="18"/>
                <w:szCs w:val="18"/>
                <w:u w:val="single"/>
              </w:rPr>
              <w:t>not</w:t>
            </w:r>
            <w:r w:rsidRPr="00A608C7">
              <w:rPr>
                <w:rFonts w:ascii="Arial" w:hAnsi="Arial" w:cs="Arial"/>
                <w:b/>
                <w:bCs/>
                <w:sz w:val="18"/>
                <w:szCs w:val="18"/>
              </w:rPr>
              <w:t xml:space="preserve"> in scope of the JTF Regulation</w:t>
            </w:r>
            <w:r w:rsidR="00856D7E">
              <w:rPr>
                <w:rFonts w:ascii="Arial" w:hAnsi="Arial" w:cs="Arial"/>
                <w:b/>
                <w:bCs/>
                <w:sz w:val="18"/>
                <w:szCs w:val="18"/>
              </w:rPr>
              <w:t xml:space="preserve"> (</w:t>
            </w:r>
            <w:r w:rsidR="00856D7E" w:rsidRPr="00190BA4">
              <w:rPr>
                <w:rFonts w:ascii="Arial" w:hAnsi="Arial" w:cs="Arial"/>
                <w:b/>
                <w:bCs/>
                <w:sz w:val="18"/>
                <w:szCs w:val="18"/>
                <w:u w:val="single"/>
              </w:rPr>
              <w:t>therefore to be considered for other funding sources</w:t>
            </w:r>
            <w:r w:rsidR="00856D7E">
              <w:rPr>
                <w:rFonts w:ascii="Arial" w:hAnsi="Arial" w:cs="Arial"/>
                <w:b/>
                <w:bCs/>
                <w:sz w:val="18"/>
                <w:szCs w:val="18"/>
              </w:rPr>
              <w:t>)</w:t>
            </w:r>
          </w:p>
        </w:tc>
        <w:tc>
          <w:tcPr>
            <w:tcW w:w="1097" w:type="pct"/>
            <w:shd w:val="clear" w:color="auto" w:fill="C6D9F1" w:themeFill="text2" w:themeFillTint="33"/>
            <w:tcMar>
              <w:top w:w="100" w:type="dxa"/>
              <w:left w:w="100" w:type="dxa"/>
              <w:bottom w:w="100" w:type="dxa"/>
              <w:right w:w="100" w:type="dxa"/>
            </w:tcMar>
            <w:vAlign w:val="center"/>
          </w:tcPr>
          <w:p w14:paraId="1BB78203" w14:textId="77777777" w:rsidR="001A7A04" w:rsidRPr="00A608C7" w:rsidRDefault="001A7A04" w:rsidP="00964831">
            <w:pPr>
              <w:jc w:val="both"/>
              <w:rPr>
                <w:rFonts w:ascii="Arial" w:hAnsi="Arial" w:cs="Arial"/>
                <w:b/>
                <w:bCs/>
                <w:sz w:val="18"/>
                <w:szCs w:val="18"/>
              </w:rPr>
            </w:pPr>
            <w:r w:rsidRPr="00A608C7">
              <w:rPr>
                <w:rFonts w:ascii="Arial" w:hAnsi="Arial" w:cs="Arial"/>
                <w:b/>
                <w:bCs/>
                <w:sz w:val="18"/>
                <w:szCs w:val="18"/>
              </w:rPr>
              <w:t>Consistency of the type of operation with different national, regional, territorial strategies and plans</w:t>
            </w:r>
          </w:p>
        </w:tc>
      </w:tr>
      <w:tr w:rsidR="001A7A04" w:rsidRPr="00A608C7" w14:paraId="0D594EA0" w14:textId="77777777" w:rsidTr="00964831">
        <w:trPr>
          <w:trHeight w:val="20"/>
        </w:trPr>
        <w:tc>
          <w:tcPr>
            <w:tcW w:w="479" w:type="pct"/>
            <w:shd w:val="clear" w:color="auto" w:fill="C6D9F1" w:themeFill="text2" w:themeFillTint="33"/>
            <w:tcMar>
              <w:top w:w="100" w:type="dxa"/>
              <w:left w:w="100" w:type="dxa"/>
              <w:bottom w:w="100" w:type="dxa"/>
              <w:right w:w="100" w:type="dxa"/>
            </w:tcMar>
          </w:tcPr>
          <w:p w14:paraId="1E998C7B" w14:textId="77777777" w:rsidR="001A7A04" w:rsidRPr="00A608C7" w:rsidRDefault="001A7A04" w:rsidP="00964831">
            <w:pPr>
              <w:jc w:val="both"/>
              <w:rPr>
                <w:rFonts w:ascii="Arial" w:hAnsi="Arial" w:cs="Arial"/>
                <w:sz w:val="18"/>
                <w:szCs w:val="18"/>
                <w:highlight w:val="white"/>
              </w:rPr>
            </w:pPr>
            <w:r w:rsidRPr="00A608C7">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03AF01D6" w14:textId="1DC667D4" w:rsidR="001A7A04" w:rsidRPr="00A608C7" w:rsidRDefault="001A7A04" w:rsidP="00964831">
            <w:pPr>
              <w:rPr>
                <w:rFonts w:ascii="Arial" w:hAnsi="Arial" w:cs="Arial"/>
                <w:sz w:val="18"/>
                <w:szCs w:val="18"/>
              </w:rPr>
            </w:pPr>
            <w:r w:rsidRPr="00A608C7">
              <w:rPr>
                <w:rFonts w:ascii="Arial" w:hAnsi="Arial" w:cs="Arial"/>
                <w:b/>
                <w:sz w:val="18"/>
                <w:szCs w:val="18"/>
              </w:rPr>
              <w:t>Type 1:</w:t>
            </w:r>
            <w:r w:rsidRPr="00A608C7">
              <w:rPr>
                <w:rFonts w:ascii="Arial" w:hAnsi="Arial" w:cs="Arial"/>
                <w:sz w:val="18"/>
                <w:szCs w:val="18"/>
              </w:rPr>
              <w:t xml:space="preserve"> Entrepreneurship development, increasing competitiveness and economic diversification, research, innovation and digitisation:</w:t>
            </w:r>
          </w:p>
          <w:p w14:paraId="6BE6163A" w14:textId="77777777" w:rsidR="001A7A04" w:rsidRPr="00A608C7" w:rsidRDefault="001A7A04" w:rsidP="00964831">
            <w:pPr>
              <w:rPr>
                <w:rFonts w:ascii="Arial" w:hAnsi="Arial" w:cs="Arial"/>
                <w:sz w:val="18"/>
                <w:szCs w:val="18"/>
              </w:rPr>
            </w:pPr>
          </w:p>
          <w:p w14:paraId="74EFA4B4" w14:textId="77777777" w:rsidR="001A7A04" w:rsidRPr="00A608C7" w:rsidRDefault="001A7A04" w:rsidP="001A7A04">
            <w:pPr>
              <w:pStyle w:val="ListParagraph"/>
              <w:numPr>
                <w:ilvl w:val="0"/>
                <w:numId w:val="72"/>
              </w:numPr>
              <w:spacing w:line="240" w:lineRule="auto"/>
              <w:rPr>
                <w:sz w:val="18"/>
                <w:szCs w:val="18"/>
              </w:rPr>
            </w:pPr>
            <w:r w:rsidRPr="00A608C7">
              <w:rPr>
                <w:sz w:val="18"/>
                <w:szCs w:val="18"/>
              </w:rPr>
              <w:t>Setting up companies in all fields of activity and all geographical areas to eliminate disparities</w:t>
            </w:r>
          </w:p>
          <w:p w14:paraId="288E947D" w14:textId="5F89F70C" w:rsidR="001A7A04" w:rsidRPr="00A608C7" w:rsidRDefault="001A7A04" w:rsidP="001A7A04">
            <w:pPr>
              <w:pStyle w:val="ListParagraph"/>
              <w:numPr>
                <w:ilvl w:val="0"/>
                <w:numId w:val="72"/>
              </w:numPr>
              <w:spacing w:line="240" w:lineRule="auto"/>
              <w:rPr>
                <w:sz w:val="18"/>
                <w:szCs w:val="18"/>
              </w:rPr>
            </w:pPr>
            <w:r w:rsidRPr="00A608C7">
              <w:rPr>
                <w:sz w:val="18"/>
                <w:szCs w:val="18"/>
              </w:rPr>
              <w:t>Setting up/subsidi</w:t>
            </w:r>
            <w:r w:rsidR="00542F63" w:rsidRPr="00A608C7">
              <w:rPr>
                <w:sz w:val="18"/>
                <w:szCs w:val="18"/>
              </w:rPr>
              <w:t>s</w:t>
            </w:r>
            <w:r w:rsidRPr="00A608C7">
              <w:rPr>
                <w:sz w:val="18"/>
                <w:szCs w:val="18"/>
              </w:rPr>
              <w:t>ing business incubators and increasing the capacity and competitiveness of existing SMEs to create new jobs (scale-up support, etc.)</w:t>
            </w:r>
          </w:p>
          <w:p w14:paraId="00E34612"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Supporting productive investments in large enterprises active at the county level</w:t>
            </w:r>
            <w:r w:rsidRPr="00A608C7">
              <w:rPr>
                <w:sz w:val="18"/>
                <w:szCs w:val="18"/>
                <w:vertAlign w:val="superscript"/>
              </w:rPr>
              <w:footnoteReference w:id="101"/>
            </w:r>
          </w:p>
          <w:p w14:paraId="2A03DF08" w14:textId="77777777" w:rsidR="001A7A04" w:rsidRPr="00A608C7" w:rsidRDefault="001A7A04" w:rsidP="00964831">
            <w:pPr>
              <w:rPr>
                <w:rFonts w:ascii="Arial" w:hAnsi="Arial" w:cs="Arial"/>
                <w:sz w:val="18"/>
                <w:szCs w:val="18"/>
                <w:highlight w:val="white"/>
              </w:rPr>
            </w:pPr>
          </w:p>
        </w:tc>
        <w:tc>
          <w:tcPr>
            <w:tcW w:w="1549" w:type="pct"/>
            <w:shd w:val="clear" w:color="auto" w:fill="auto"/>
            <w:tcMar>
              <w:top w:w="100" w:type="dxa"/>
              <w:left w:w="100" w:type="dxa"/>
              <w:bottom w:w="100" w:type="dxa"/>
              <w:right w:w="100" w:type="dxa"/>
            </w:tcMar>
          </w:tcPr>
          <w:p w14:paraId="718FFC1D"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Investments in local infrastructure: roads, water, sewerage</w:t>
            </w:r>
          </w:p>
          <w:p w14:paraId="3BC7D172"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Digitalisation of public services</w:t>
            </w:r>
            <w:r w:rsidRPr="00A608C7">
              <w:rPr>
                <w:sz w:val="18"/>
                <w:szCs w:val="18"/>
                <w:vertAlign w:val="superscript"/>
              </w:rPr>
              <w:footnoteReference w:id="102"/>
            </w:r>
          </w:p>
          <w:p w14:paraId="7BBAC9AB" w14:textId="77777777" w:rsidR="001A7A04" w:rsidRPr="00A608C7" w:rsidRDefault="001A7A04" w:rsidP="00964831">
            <w:pPr>
              <w:spacing w:before="240"/>
              <w:jc w:val="both"/>
              <w:rPr>
                <w:rFonts w:ascii="Arial" w:hAnsi="Arial" w:cs="Arial"/>
                <w:sz w:val="18"/>
                <w:szCs w:val="18"/>
                <w:highlight w:val="white"/>
              </w:rPr>
            </w:pPr>
          </w:p>
        </w:tc>
        <w:tc>
          <w:tcPr>
            <w:tcW w:w="1097" w:type="pct"/>
            <w:shd w:val="clear" w:color="auto" w:fill="auto"/>
            <w:tcMar>
              <w:top w:w="100" w:type="dxa"/>
              <w:left w:w="100" w:type="dxa"/>
              <w:bottom w:w="100" w:type="dxa"/>
              <w:right w:w="100" w:type="dxa"/>
            </w:tcMar>
          </w:tcPr>
          <w:p w14:paraId="47D79B5C"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2021-2027 South-West Oltenia Regional Development Plan</w:t>
            </w:r>
          </w:p>
          <w:p w14:paraId="356FE42D" w14:textId="718C6926" w:rsidR="001A7A04" w:rsidRPr="00A608C7" w:rsidRDefault="001A7A04" w:rsidP="001A7A04">
            <w:pPr>
              <w:pStyle w:val="ListParagraph"/>
              <w:numPr>
                <w:ilvl w:val="0"/>
                <w:numId w:val="73"/>
              </w:numPr>
              <w:spacing w:line="240" w:lineRule="auto"/>
              <w:rPr>
                <w:sz w:val="18"/>
                <w:szCs w:val="18"/>
              </w:rPr>
            </w:pPr>
            <w:r w:rsidRPr="00A608C7">
              <w:rPr>
                <w:sz w:val="18"/>
                <w:szCs w:val="18"/>
              </w:rPr>
              <w:t>2021-2027 Small Speciali</w:t>
            </w:r>
            <w:r w:rsidR="004E7B64">
              <w:rPr>
                <w:sz w:val="18"/>
                <w:szCs w:val="18"/>
              </w:rPr>
              <w:t>sation</w:t>
            </w:r>
            <w:r w:rsidRPr="00A608C7">
              <w:rPr>
                <w:sz w:val="18"/>
                <w:szCs w:val="18"/>
              </w:rPr>
              <w:t xml:space="preserve"> Strategy RIS 3 SV Oltenia</w:t>
            </w:r>
          </w:p>
          <w:p w14:paraId="20915E54"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2021-2027 SV Oltenia Regional Operational Program</w:t>
            </w:r>
          </w:p>
          <w:p w14:paraId="03DC770A" w14:textId="5E749FFE" w:rsidR="001A7A04" w:rsidRPr="00A608C7" w:rsidRDefault="001A7A04" w:rsidP="001A7A04">
            <w:pPr>
              <w:pStyle w:val="ListParagraph"/>
              <w:numPr>
                <w:ilvl w:val="0"/>
                <w:numId w:val="73"/>
              </w:numPr>
              <w:spacing w:line="240" w:lineRule="auto"/>
              <w:rPr>
                <w:sz w:val="18"/>
                <w:szCs w:val="18"/>
              </w:rPr>
            </w:pPr>
            <w:r w:rsidRPr="00A608C7">
              <w:rPr>
                <w:sz w:val="18"/>
                <w:szCs w:val="18"/>
              </w:rPr>
              <w:t>2021-2027 Research-Innovation and Smart Speciali</w:t>
            </w:r>
            <w:r w:rsidR="004E7B64">
              <w:rPr>
                <w:sz w:val="18"/>
                <w:szCs w:val="18"/>
              </w:rPr>
              <w:t>sation</w:t>
            </w:r>
            <w:r w:rsidRPr="00A608C7">
              <w:rPr>
                <w:sz w:val="18"/>
                <w:szCs w:val="18"/>
              </w:rPr>
              <w:t xml:space="preserve"> National Strategy (SNCISI)</w:t>
            </w:r>
          </w:p>
          <w:p w14:paraId="3BCF68CA" w14:textId="77777777" w:rsidR="001A7A04" w:rsidRPr="00A608C7" w:rsidRDefault="001A7A04" w:rsidP="001A7A04">
            <w:pPr>
              <w:pStyle w:val="ListParagraph"/>
              <w:numPr>
                <w:ilvl w:val="0"/>
                <w:numId w:val="73"/>
              </w:numPr>
              <w:spacing w:line="240" w:lineRule="auto"/>
              <w:rPr>
                <w:sz w:val="18"/>
                <w:szCs w:val="18"/>
              </w:rPr>
            </w:pPr>
            <w:r w:rsidRPr="00A608C7">
              <w:rPr>
                <w:sz w:val="18"/>
                <w:szCs w:val="18"/>
              </w:rPr>
              <w:t>HORIZON 2020 Governmental Strategy for the Development of the Small and Medium Enterprises Sector and the Improvement of the Romanian Business Environment</w:t>
            </w:r>
          </w:p>
          <w:p w14:paraId="1EF3E307" w14:textId="77777777" w:rsidR="001A7A04" w:rsidRPr="00A608C7" w:rsidRDefault="001A7A04" w:rsidP="001A7A04">
            <w:pPr>
              <w:pStyle w:val="ListParagraph"/>
              <w:numPr>
                <w:ilvl w:val="0"/>
                <w:numId w:val="73"/>
              </w:numPr>
              <w:spacing w:line="240" w:lineRule="auto"/>
              <w:rPr>
                <w:sz w:val="18"/>
                <w:szCs w:val="18"/>
                <w:highlight w:val="white"/>
              </w:rPr>
            </w:pPr>
            <w:r w:rsidRPr="00A608C7">
              <w:rPr>
                <w:sz w:val="18"/>
                <w:szCs w:val="18"/>
              </w:rPr>
              <w:t>2021-2027 Gorj county Development strategy of   -Draft</w:t>
            </w:r>
          </w:p>
        </w:tc>
      </w:tr>
      <w:tr w:rsidR="001A7A04" w:rsidRPr="00A608C7" w14:paraId="7D95E44F" w14:textId="77777777" w:rsidTr="00964831">
        <w:trPr>
          <w:trHeight w:val="790"/>
        </w:trPr>
        <w:tc>
          <w:tcPr>
            <w:tcW w:w="479" w:type="pct"/>
            <w:shd w:val="clear" w:color="auto" w:fill="C6D9F1" w:themeFill="text2" w:themeFillTint="33"/>
            <w:tcMar>
              <w:top w:w="100" w:type="dxa"/>
              <w:left w:w="100" w:type="dxa"/>
              <w:bottom w:w="100" w:type="dxa"/>
              <w:right w:w="100" w:type="dxa"/>
            </w:tcMar>
          </w:tcPr>
          <w:p w14:paraId="362A03C0" w14:textId="77777777" w:rsidR="001A7A04" w:rsidRPr="00A608C7" w:rsidRDefault="001A7A04" w:rsidP="00964831">
            <w:pPr>
              <w:jc w:val="both"/>
              <w:rPr>
                <w:rFonts w:ascii="Arial" w:hAnsi="Arial" w:cs="Arial"/>
                <w:sz w:val="18"/>
                <w:szCs w:val="18"/>
                <w:highlight w:val="white"/>
              </w:rPr>
            </w:pPr>
            <w:r w:rsidRPr="00A608C7">
              <w:rPr>
                <w:rFonts w:ascii="Arial" w:hAnsi="Arial" w:cs="Arial"/>
                <w:sz w:val="18"/>
                <w:szCs w:val="18"/>
              </w:rPr>
              <w:lastRenderedPageBreak/>
              <w:t>Medium priority</w:t>
            </w:r>
          </w:p>
        </w:tc>
        <w:tc>
          <w:tcPr>
            <w:tcW w:w="1875" w:type="pct"/>
            <w:shd w:val="clear" w:color="auto" w:fill="auto"/>
            <w:tcMar>
              <w:top w:w="100" w:type="dxa"/>
              <w:left w:w="100" w:type="dxa"/>
              <w:bottom w:w="100" w:type="dxa"/>
              <w:right w:w="100" w:type="dxa"/>
            </w:tcMar>
          </w:tcPr>
          <w:p w14:paraId="04DEBC5D" w14:textId="77777777" w:rsidR="001A7A04" w:rsidRPr="00A608C7" w:rsidRDefault="001A7A04" w:rsidP="00964831">
            <w:pPr>
              <w:pStyle w:val="ListParagraph"/>
              <w:spacing w:line="240" w:lineRule="auto"/>
              <w:ind w:left="360"/>
              <w:rPr>
                <w:sz w:val="18"/>
                <w:szCs w:val="18"/>
              </w:rPr>
            </w:pPr>
          </w:p>
        </w:tc>
        <w:tc>
          <w:tcPr>
            <w:tcW w:w="1549" w:type="pct"/>
            <w:shd w:val="clear" w:color="auto" w:fill="auto"/>
            <w:tcMar>
              <w:top w:w="100" w:type="dxa"/>
              <w:left w:w="100" w:type="dxa"/>
              <w:bottom w:w="100" w:type="dxa"/>
              <w:right w:w="100" w:type="dxa"/>
            </w:tcMar>
          </w:tcPr>
          <w:p w14:paraId="6FECE691" w14:textId="77777777" w:rsidR="001A7A04" w:rsidRPr="00A608C7" w:rsidRDefault="001A7A04" w:rsidP="001A7A04">
            <w:pPr>
              <w:pStyle w:val="ListParagraph"/>
              <w:numPr>
                <w:ilvl w:val="0"/>
                <w:numId w:val="71"/>
              </w:numPr>
              <w:spacing w:line="240" w:lineRule="auto"/>
              <w:rPr>
                <w:rFonts w:eastAsia="Times New Roman"/>
                <w:sz w:val="18"/>
                <w:szCs w:val="18"/>
                <w:highlight w:val="white"/>
              </w:rPr>
            </w:pPr>
            <w:r w:rsidRPr="00A608C7">
              <w:rPr>
                <w:sz w:val="18"/>
                <w:szCs w:val="18"/>
              </w:rPr>
              <w:t>Digitisation of tourism information (by either private businesses or by public entities)</w:t>
            </w:r>
            <w:r w:rsidRPr="00A608C7">
              <w:rPr>
                <w:sz w:val="18"/>
                <w:szCs w:val="18"/>
                <w:vertAlign w:val="superscript"/>
              </w:rPr>
              <w:footnoteReference w:id="103"/>
            </w:r>
            <w:r w:rsidRPr="00A608C7">
              <w:rPr>
                <w:sz w:val="18"/>
                <w:szCs w:val="18"/>
              </w:rPr>
              <w:t>, the interconnectivity of regional tourist offers</w:t>
            </w:r>
          </w:p>
        </w:tc>
        <w:tc>
          <w:tcPr>
            <w:tcW w:w="1097" w:type="pct"/>
            <w:shd w:val="clear" w:color="auto" w:fill="auto"/>
            <w:tcMar>
              <w:top w:w="100" w:type="dxa"/>
              <w:left w:w="100" w:type="dxa"/>
              <w:bottom w:w="100" w:type="dxa"/>
              <w:right w:w="100" w:type="dxa"/>
            </w:tcMar>
          </w:tcPr>
          <w:p w14:paraId="6E563E03" w14:textId="77777777" w:rsidR="001A7A04" w:rsidRPr="00D9753D" w:rsidRDefault="001A7A04" w:rsidP="001A7A04">
            <w:pPr>
              <w:pStyle w:val="ListParagraph"/>
              <w:numPr>
                <w:ilvl w:val="0"/>
                <w:numId w:val="71"/>
              </w:numPr>
              <w:spacing w:line="240" w:lineRule="auto"/>
              <w:rPr>
                <w:sz w:val="18"/>
                <w:highlight w:val="white"/>
                <w:lang w:val="it-IT"/>
              </w:rPr>
            </w:pPr>
            <w:r w:rsidRPr="00D9753D">
              <w:rPr>
                <w:sz w:val="18"/>
                <w:lang w:val="it-IT"/>
              </w:rPr>
              <w:t>2021-2027 SV Oltenia Regional Operational Program</w:t>
            </w:r>
          </w:p>
        </w:tc>
      </w:tr>
      <w:tr w:rsidR="001A7A04" w:rsidRPr="00A608C7" w14:paraId="098C90EE" w14:textId="77777777" w:rsidTr="00964831">
        <w:trPr>
          <w:trHeight w:val="367"/>
        </w:trPr>
        <w:tc>
          <w:tcPr>
            <w:tcW w:w="479" w:type="pct"/>
            <w:shd w:val="clear" w:color="auto" w:fill="C6D9F1" w:themeFill="text2" w:themeFillTint="33"/>
            <w:tcMar>
              <w:top w:w="100" w:type="dxa"/>
              <w:left w:w="100" w:type="dxa"/>
              <w:bottom w:w="100" w:type="dxa"/>
              <w:right w:w="100" w:type="dxa"/>
            </w:tcMar>
          </w:tcPr>
          <w:p w14:paraId="7A64A833" w14:textId="77777777" w:rsidR="001A7A04" w:rsidRPr="00A608C7" w:rsidRDefault="001A7A04" w:rsidP="00964831">
            <w:pPr>
              <w:jc w:val="both"/>
              <w:rPr>
                <w:rFonts w:ascii="Arial" w:hAnsi="Arial" w:cs="Arial"/>
                <w:sz w:val="18"/>
                <w:szCs w:val="18"/>
              </w:rPr>
            </w:pPr>
            <w:r w:rsidRPr="00A608C7">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0295B653" w14:textId="4AD768B1" w:rsidR="001A7A04" w:rsidRPr="00A608C7" w:rsidRDefault="001A7A04" w:rsidP="00964831">
            <w:pPr>
              <w:rPr>
                <w:rFonts w:ascii="Arial" w:hAnsi="Arial" w:cs="Arial"/>
                <w:sz w:val="18"/>
                <w:szCs w:val="18"/>
              </w:rPr>
            </w:pPr>
            <w:r w:rsidRPr="00A608C7">
              <w:rPr>
                <w:rFonts w:ascii="Arial" w:hAnsi="Arial" w:cs="Arial"/>
                <w:b/>
                <w:sz w:val="18"/>
                <w:szCs w:val="18"/>
              </w:rPr>
              <w:t>Type 2</w:t>
            </w:r>
            <w:r w:rsidRPr="00A608C7">
              <w:rPr>
                <w:rFonts w:ascii="Arial" w:hAnsi="Arial" w:cs="Arial"/>
                <w:sz w:val="18"/>
                <w:szCs w:val="18"/>
              </w:rPr>
              <w:t>: Supporting investments in clean energy technologies and infrastructure to reduce pollution and strengthen the circular economy:</w:t>
            </w:r>
          </w:p>
          <w:p w14:paraId="44804320" w14:textId="77777777" w:rsidR="001A7A04" w:rsidRPr="00A608C7" w:rsidRDefault="001A7A04" w:rsidP="00964831">
            <w:pPr>
              <w:rPr>
                <w:rFonts w:ascii="Arial" w:hAnsi="Arial" w:cs="Arial"/>
                <w:sz w:val="18"/>
                <w:szCs w:val="18"/>
              </w:rPr>
            </w:pPr>
          </w:p>
          <w:p w14:paraId="079C0C94" w14:textId="77777777" w:rsidR="001A7A04" w:rsidRPr="00A608C7" w:rsidRDefault="001A7A04" w:rsidP="001A7A04">
            <w:pPr>
              <w:pStyle w:val="ListParagraph"/>
              <w:numPr>
                <w:ilvl w:val="0"/>
                <w:numId w:val="74"/>
              </w:numPr>
              <w:spacing w:line="240" w:lineRule="auto"/>
              <w:rPr>
                <w:sz w:val="18"/>
                <w:szCs w:val="18"/>
              </w:rPr>
            </w:pPr>
            <w:r w:rsidRPr="00A608C7">
              <w:rPr>
                <w:sz w:val="18"/>
                <w:szCs w:val="18"/>
              </w:rPr>
              <w:t>Solar power plants for energy production and decentralised solar PV</w:t>
            </w:r>
          </w:p>
          <w:p w14:paraId="089B4E1B" w14:textId="77777777" w:rsidR="001A7A04" w:rsidRPr="00A608C7" w:rsidRDefault="001A7A04" w:rsidP="001A7A04">
            <w:pPr>
              <w:pStyle w:val="ListParagraph"/>
              <w:numPr>
                <w:ilvl w:val="0"/>
                <w:numId w:val="74"/>
              </w:numPr>
              <w:spacing w:line="240" w:lineRule="auto"/>
              <w:rPr>
                <w:sz w:val="18"/>
                <w:szCs w:val="18"/>
              </w:rPr>
            </w:pPr>
            <w:r w:rsidRPr="00A608C7">
              <w:rPr>
                <w:sz w:val="18"/>
                <w:szCs w:val="18"/>
              </w:rPr>
              <w:t>Decontamination of polluted sites and land repurposing of degraded industrial sites (brownfield redevelopment)</w:t>
            </w:r>
          </w:p>
          <w:p w14:paraId="49100819" w14:textId="77777777" w:rsidR="001A7A04" w:rsidRPr="00A608C7" w:rsidRDefault="001A7A04" w:rsidP="001A7A04">
            <w:pPr>
              <w:pStyle w:val="ListParagraph"/>
              <w:numPr>
                <w:ilvl w:val="0"/>
                <w:numId w:val="74"/>
              </w:numPr>
              <w:spacing w:line="240" w:lineRule="auto"/>
              <w:rPr>
                <w:sz w:val="18"/>
                <w:szCs w:val="18"/>
              </w:rPr>
            </w:pPr>
            <w:r w:rsidRPr="00A608C7">
              <w:rPr>
                <w:sz w:val="18"/>
                <w:szCs w:val="18"/>
              </w:rPr>
              <w:t>Energy efficiency in buildings, particularly residential ones in energy poverty</w:t>
            </w:r>
          </w:p>
        </w:tc>
        <w:tc>
          <w:tcPr>
            <w:tcW w:w="1549" w:type="pct"/>
            <w:shd w:val="clear" w:color="auto" w:fill="auto"/>
            <w:tcMar>
              <w:top w:w="100" w:type="dxa"/>
              <w:left w:w="100" w:type="dxa"/>
              <w:bottom w:w="100" w:type="dxa"/>
              <w:right w:w="100" w:type="dxa"/>
            </w:tcMar>
          </w:tcPr>
          <w:p w14:paraId="071379F5" w14:textId="77777777" w:rsidR="001A7A04" w:rsidRPr="00A608C7" w:rsidRDefault="001A7A04" w:rsidP="001A7A04">
            <w:pPr>
              <w:numPr>
                <w:ilvl w:val="0"/>
                <w:numId w:val="74"/>
              </w:numPr>
              <w:jc w:val="both"/>
              <w:rPr>
                <w:rFonts w:ascii="Arial" w:hAnsi="Arial" w:cs="Arial"/>
                <w:sz w:val="18"/>
                <w:szCs w:val="18"/>
              </w:rPr>
            </w:pPr>
            <w:r w:rsidRPr="00A608C7">
              <w:rPr>
                <w:rFonts w:ascii="Arial" w:hAnsi="Arial" w:cs="Arial"/>
                <w:sz w:val="18"/>
                <w:szCs w:val="18"/>
              </w:rPr>
              <w:t>Waste management</w:t>
            </w:r>
          </w:p>
          <w:p w14:paraId="113A5B70" w14:textId="77777777" w:rsidR="001A7A04" w:rsidRPr="00A608C7" w:rsidRDefault="001A7A04" w:rsidP="001A7A04">
            <w:pPr>
              <w:numPr>
                <w:ilvl w:val="0"/>
                <w:numId w:val="74"/>
              </w:numPr>
              <w:jc w:val="both"/>
              <w:rPr>
                <w:rFonts w:ascii="Arial" w:hAnsi="Arial" w:cs="Arial"/>
                <w:sz w:val="18"/>
                <w:szCs w:val="18"/>
              </w:rPr>
            </w:pPr>
            <w:r w:rsidRPr="00A608C7">
              <w:rPr>
                <w:rFonts w:ascii="Arial" w:hAnsi="Arial" w:cs="Arial"/>
                <w:sz w:val="18"/>
                <w:szCs w:val="18"/>
              </w:rPr>
              <w:t>Support for investments in forest curtains plantations</w:t>
            </w:r>
          </w:p>
          <w:p w14:paraId="06D28A58" w14:textId="77777777" w:rsidR="001A7A04" w:rsidRPr="00A608C7" w:rsidRDefault="001A7A04" w:rsidP="001A7A04">
            <w:pPr>
              <w:numPr>
                <w:ilvl w:val="0"/>
                <w:numId w:val="74"/>
              </w:numPr>
              <w:jc w:val="both"/>
              <w:rPr>
                <w:rFonts w:ascii="Arial" w:eastAsia="Times New Roman" w:hAnsi="Arial" w:cs="Arial"/>
                <w:sz w:val="18"/>
                <w:szCs w:val="18"/>
                <w:highlight w:val="white"/>
              </w:rPr>
            </w:pPr>
            <w:r w:rsidRPr="00A608C7">
              <w:rPr>
                <w:rFonts w:ascii="Arial" w:hAnsi="Arial" w:cs="Arial"/>
                <w:sz w:val="18"/>
                <w:szCs w:val="18"/>
              </w:rPr>
              <w:t>Neighbourhood gas-fired power plants</w:t>
            </w:r>
          </w:p>
        </w:tc>
        <w:tc>
          <w:tcPr>
            <w:tcW w:w="1097" w:type="pct"/>
            <w:shd w:val="clear" w:color="auto" w:fill="auto"/>
            <w:tcMar>
              <w:top w:w="100" w:type="dxa"/>
              <w:left w:w="100" w:type="dxa"/>
              <w:bottom w:w="100" w:type="dxa"/>
              <w:right w:w="100" w:type="dxa"/>
            </w:tcMar>
          </w:tcPr>
          <w:p w14:paraId="5611FD5A" w14:textId="77777777" w:rsidR="001A7A04" w:rsidRPr="00A608C7" w:rsidRDefault="001A7A04" w:rsidP="001A7A04">
            <w:pPr>
              <w:pStyle w:val="ListParagraph"/>
              <w:numPr>
                <w:ilvl w:val="0"/>
                <w:numId w:val="74"/>
              </w:numPr>
              <w:spacing w:line="240" w:lineRule="auto"/>
              <w:rPr>
                <w:sz w:val="18"/>
                <w:szCs w:val="18"/>
              </w:rPr>
            </w:pPr>
            <w:r w:rsidRPr="00A608C7">
              <w:rPr>
                <w:sz w:val="18"/>
                <w:szCs w:val="18"/>
              </w:rPr>
              <w:t>2019-2030 Romania's Energy Strategy with the perspective of 2050 (from November 16, 2018)</w:t>
            </w:r>
          </w:p>
          <w:p w14:paraId="0B31460F" w14:textId="0AC4BCB8" w:rsidR="001A7A04" w:rsidRPr="00A608C7" w:rsidRDefault="001A7A04" w:rsidP="001A7A04">
            <w:pPr>
              <w:pStyle w:val="ListParagraph"/>
              <w:numPr>
                <w:ilvl w:val="0"/>
                <w:numId w:val="74"/>
              </w:numPr>
              <w:spacing w:line="240" w:lineRule="auto"/>
              <w:rPr>
                <w:sz w:val="18"/>
                <w:szCs w:val="18"/>
              </w:rPr>
            </w:pPr>
            <w:r w:rsidRPr="00A608C7">
              <w:rPr>
                <w:sz w:val="18"/>
                <w:szCs w:val="18"/>
              </w:rPr>
              <w:t>2021-2030 Integrated National Plan for Energy and Climate Change (</w:t>
            </w:r>
            <w:r w:rsidR="00A608C7">
              <w:rPr>
                <w:sz w:val="18"/>
                <w:szCs w:val="18"/>
              </w:rPr>
              <w:t>NECP</w:t>
            </w:r>
            <w:r w:rsidRPr="00A608C7">
              <w:rPr>
                <w:sz w:val="18"/>
                <w:szCs w:val="18"/>
              </w:rPr>
              <w:t>)</w:t>
            </w:r>
          </w:p>
          <w:p w14:paraId="7C595130" w14:textId="77777777" w:rsidR="001A7A04" w:rsidRPr="00A608C7" w:rsidRDefault="001A7A04" w:rsidP="001A7A04">
            <w:pPr>
              <w:pStyle w:val="ListParagraph"/>
              <w:numPr>
                <w:ilvl w:val="0"/>
                <w:numId w:val="74"/>
              </w:numPr>
              <w:spacing w:line="240" w:lineRule="auto"/>
              <w:rPr>
                <w:rFonts w:eastAsia="Times New Roman"/>
                <w:sz w:val="18"/>
                <w:szCs w:val="18"/>
                <w:highlight w:val="white"/>
              </w:rPr>
            </w:pPr>
            <w:r w:rsidRPr="00A608C7">
              <w:rPr>
                <w:sz w:val="18"/>
                <w:szCs w:val="18"/>
              </w:rPr>
              <w:t>Development strategy of Gorj county 2021-2027 -Draft</w:t>
            </w:r>
          </w:p>
        </w:tc>
      </w:tr>
      <w:tr w:rsidR="001A7A04" w:rsidRPr="00A608C7" w14:paraId="07513A45" w14:textId="77777777" w:rsidTr="00A608C7">
        <w:trPr>
          <w:trHeight w:val="367"/>
        </w:trPr>
        <w:tc>
          <w:tcPr>
            <w:tcW w:w="479" w:type="pct"/>
            <w:shd w:val="clear" w:color="auto" w:fill="C6D9F1" w:themeFill="text2" w:themeFillTint="33"/>
            <w:tcMar>
              <w:top w:w="100" w:type="dxa"/>
              <w:left w:w="100" w:type="dxa"/>
              <w:bottom w:w="100" w:type="dxa"/>
              <w:right w:w="100" w:type="dxa"/>
            </w:tcMar>
          </w:tcPr>
          <w:p w14:paraId="70A0C2EA" w14:textId="77777777" w:rsidR="001A7A04" w:rsidRPr="00A608C7" w:rsidRDefault="001A7A04" w:rsidP="00964831">
            <w:pPr>
              <w:jc w:val="both"/>
              <w:rPr>
                <w:rFonts w:ascii="Arial" w:hAnsi="Arial" w:cs="Arial"/>
                <w:sz w:val="18"/>
                <w:szCs w:val="18"/>
              </w:rPr>
            </w:pPr>
            <w:r w:rsidRPr="00A608C7">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62627DA5" w14:textId="77777777" w:rsidR="001A7A04" w:rsidRPr="00A608C7" w:rsidRDefault="001A7A04" w:rsidP="001A7A04">
            <w:pPr>
              <w:pStyle w:val="ListParagraph"/>
              <w:numPr>
                <w:ilvl w:val="0"/>
                <w:numId w:val="75"/>
              </w:numPr>
              <w:spacing w:line="240" w:lineRule="auto"/>
              <w:rPr>
                <w:b/>
                <w:sz w:val="18"/>
                <w:szCs w:val="18"/>
              </w:rPr>
            </w:pPr>
            <w:r w:rsidRPr="00A608C7">
              <w:rPr>
                <w:sz w:val="18"/>
                <w:szCs w:val="18"/>
              </w:rPr>
              <w:t>Electric public transportation</w:t>
            </w:r>
          </w:p>
        </w:tc>
        <w:tc>
          <w:tcPr>
            <w:tcW w:w="1549" w:type="pct"/>
            <w:shd w:val="clear" w:color="auto" w:fill="auto"/>
            <w:tcMar>
              <w:top w:w="100" w:type="dxa"/>
              <w:left w:w="100" w:type="dxa"/>
              <w:bottom w:w="100" w:type="dxa"/>
              <w:right w:w="100" w:type="dxa"/>
            </w:tcMar>
          </w:tcPr>
          <w:p w14:paraId="777B1FD8" w14:textId="44D82644" w:rsidR="001A7A04" w:rsidRPr="00A608C7" w:rsidRDefault="001A7A04" w:rsidP="001A7A04">
            <w:pPr>
              <w:pStyle w:val="ListParagraph"/>
              <w:numPr>
                <w:ilvl w:val="0"/>
                <w:numId w:val="75"/>
              </w:numPr>
              <w:spacing w:line="240" w:lineRule="auto"/>
              <w:jc w:val="both"/>
              <w:rPr>
                <w:sz w:val="18"/>
                <w:szCs w:val="18"/>
              </w:rPr>
            </w:pPr>
            <w:r w:rsidRPr="00A608C7">
              <w:rPr>
                <w:sz w:val="18"/>
                <w:szCs w:val="18"/>
              </w:rPr>
              <w:t>Investments in liquefaction and burning of coal underground, gasification of coal</w:t>
            </w:r>
          </w:p>
          <w:p w14:paraId="498199CE" w14:textId="77777777" w:rsidR="001A7A04" w:rsidRPr="00A608C7" w:rsidRDefault="001A7A04" w:rsidP="001A7A04">
            <w:pPr>
              <w:pStyle w:val="ListParagraph"/>
              <w:numPr>
                <w:ilvl w:val="0"/>
                <w:numId w:val="75"/>
              </w:numPr>
              <w:spacing w:line="240" w:lineRule="auto"/>
              <w:jc w:val="both"/>
              <w:rPr>
                <w:sz w:val="18"/>
                <w:szCs w:val="18"/>
              </w:rPr>
            </w:pPr>
            <w:r w:rsidRPr="00A608C7">
              <w:rPr>
                <w:sz w:val="18"/>
                <w:szCs w:val="18"/>
              </w:rPr>
              <w:t>Development and implementation of innovative technologies for the use of lignite as a fertilizer in agriculture</w:t>
            </w:r>
          </w:p>
          <w:p w14:paraId="0BF642E4" w14:textId="77777777" w:rsidR="001A7A04" w:rsidRPr="00A608C7" w:rsidRDefault="001A7A04" w:rsidP="001A7A04">
            <w:pPr>
              <w:pStyle w:val="ListParagraph"/>
              <w:numPr>
                <w:ilvl w:val="0"/>
                <w:numId w:val="75"/>
              </w:numPr>
              <w:spacing w:line="240" w:lineRule="auto"/>
              <w:jc w:val="both"/>
              <w:rPr>
                <w:sz w:val="18"/>
                <w:szCs w:val="18"/>
              </w:rPr>
            </w:pPr>
            <w:r w:rsidRPr="00A608C7">
              <w:rPr>
                <w:sz w:val="18"/>
                <w:szCs w:val="18"/>
              </w:rPr>
              <w:t>Investments in household waste incineration plants</w:t>
            </w:r>
          </w:p>
          <w:p w14:paraId="0170CA26" w14:textId="77777777" w:rsidR="001A7A04" w:rsidRPr="00A608C7" w:rsidRDefault="001A7A04" w:rsidP="001A7A04">
            <w:pPr>
              <w:pStyle w:val="ListParagraph"/>
              <w:numPr>
                <w:ilvl w:val="0"/>
                <w:numId w:val="75"/>
              </w:numPr>
              <w:spacing w:line="240" w:lineRule="auto"/>
              <w:jc w:val="both"/>
              <w:rPr>
                <w:sz w:val="18"/>
                <w:szCs w:val="18"/>
              </w:rPr>
            </w:pPr>
            <w:r w:rsidRPr="00A608C7">
              <w:rPr>
                <w:sz w:val="18"/>
                <w:szCs w:val="18"/>
              </w:rPr>
              <w:t>Gas-based heating production</w:t>
            </w:r>
          </w:p>
          <w:p w14:paraId="5F07B273" w14:textId="77777777" w:rsidR="001A7A04" w:rsidRPr="00A608C7" w:rsidRDefault="001A7A04" w:rsidP="001A7A04">
            <w:pPr>
              <w:pStyle w:val="ListParagraph"/>
              <w:numPr>
                <w:ilvl w:val="0"/>
                <w:numId w:val="75"/>
              </w:numPr>
              <w:spacing w:line="240" w:lineRule="auto"/>
              <w:jc w:val="both"/>
              <w:rPr>
                <w:sz w:val="18"/>
                <w:szCs w:val="18"/>
              </w:rPr>
            </w:pPr>
            <w:r w:rsidRPr="00A608C7">
              <w:rPr>
                <w:sz w:val="18"/>
                <w:szCs w:val="18"/>
              </w:rPr>
              <w:t>Refurbishment of existing logistic facilities (industrial parks)</w:t>
            </w:r>
          </w:p>
        </w:tc>
        <w:tc>
          <w:tcPr>
            <w:tcW w:w="1097" w:type="pct"/>
            <w:shd w:val="clear" w:color="auto" w:fill="D9D9D9" w:themeFill="background1" w:themeFillShade="D9"/>
            <w:tcMar>
              <w:top w:w="100" w:type="dxa"/>
              <w:left w:w="100" w:type="dxa"/>
              <w:bottom w:w="100" w:type="dxa"/>
              <w:right w:w="100" w:type="dxa"/>
            </w:tcMar>
          </w:tcPr>
          <w:p w14:paraId="4555CAC8" w14:textId="77777777" w:rsidR="001A7A04" w:rsidRPr="00A608C7" w:rsidRDefault="001A7A04" w:rsidP="00964831">
            <w:pPr>
              <w:pStyle w:val="ListParagraph"/>
              <w:spacing w:line="240" w:lineRule="auto"/>
              <w:ind w:left="360"/>
              <w:rPr>
                <w:sz w:val="18"/>
                <w:szCs w:val="18"/>
              </w:rPr>
            </w:pPr>
          </w:p>
        </w:tc>
      </w:tr>
      <w:tr w:rsidR="001A7A04" w:rsidRPr="00A608C7" w14:paraId="5CA1249D" w14:textId="77777777" w:rsidTr="00A608C7">
        <w:trPr>
          <w:trHeight w:val="367"/>
        </w:trPr>
        <w:tc>
          <w:tcPr>
            <w:tcW w:w="479" w:type="pct"/>
            <w:shd w:val="clear" w:color="auto" w:fill="C6D9F1" w:themeFill="text2" w:themeFillTint="33"/>
            <w:tcMar>
              <w:top w:w="100" w:type="dxa"/>
              <w:left w:w="100" w:type="dxa"/>
              <w:bottom w:w="100" w:type="dxa"/>
              <w:right w:w="100" w:type="dxa"/>
            </w:tcMar>
          </w:tcPr>
          <w:p w14:paraId="523513DA" w14:textId="77777777" w:rsidR="001A7A04" w:rsidRPr="00A608C7" w:rsidRDefault="001A7A04" w:rsidP="00964831">
            <w:pPr>
              <w:jc w:val="both"/>
              <w:rPr>
                <w:rFonts w:ascii="Arial" w:hAnsi="Arial" w:cs="Arial"/>
                <w:sz w:val="18"/>
                <w:szCs w:val="18"/>
              </w:rPr>
            </w:pPr>
            <w:r w:rsidRPr="00A608C7">
              <w:rPr>
                <w:rFonts w:ascii="Arial" w:hAnsi="Arial" w:cs="Arial"/>
                <w:sz w:val="18"/>
                <w:szCs w:val="18"/>
              </w:rPr>
              <w:t>Low priority</w:t>
            </w:r>
          </w:p>
        </w:tc>
        <w:tc>
          <w:tcPr>
            <w:tcW w:w="1875" w:type="pct"/>
            <w:shd w:val="clear" w:color="auto" w:fill="D9D9D9" w:themeFill="background1" w:themeFillShade="D9"/>
            <w:tcMar>
              <w:top w:w="100" w:type="dxa"/>
              <w:left w:w="100" w:type="dxa"/>
              <w:bottom w:w="100" w:type="dxa"/>
              <w:right w:w="100" w:type="dxa"/>
            </w:tcMar>
          </w:tcPr>
          <w:p w14:paraId="5947612B" w14:textId="77777777" w:rsidR="001A7A04" w:rsidRPr="00A608C7" w:rsidRDefault="001A7A04" w:rsidP="00964831">
            <w:pPr>
              <w:pStyle w:val="ListParagraph"/>
              <w:spacing w:line="240" w:lineRule="auto"/>
              <w:ind w:left="360"/>
              <w:rPr>
                <w:sz w:val="18"/>
                <w:szCs w:val="18"/>
              </w:rPr>
            </w:pPr>
          </w:p>
        </w:tc>
        <w:tc>
          <w:tcPr>
            <w:tcW w:w="1549" w:type="pct"/>
            <w:shd w:val="clear" w:color="auto" w:fill="auto"/>
            <w:tcMar>
              <w:top w:w="100" w:type="dxa"/>
              <w:left w:w="100" w:type="dxa"/>
              <w:bottom w:w="100" w:type="dxa"/>
              <w:right w:w="100" w:type="dxa"/>
            </w:tcMar>
          </w:tcPr>
          <w:p w14:paraId="226799B2" w14:textId="77777777" w:rsidR="001A7A04" w:rsidRPr="00A608C7" w:rsidRDefault="001A7A04" w:rsidP="001A7A04">
            <w:pPr>
              <w:pStyle w:val="ListParagraph"/>
              <w:numPr>
                <w:ilvl w:val="0"/>
                <w:numId w:val="75"/>
              </w:numPr>
              <w:spacing w:line="240" w:lineRule="auto"/>
              <w:rPr>
                <w:sz w:val="18"/>
                <w:szCs w:val="18"/>
              </w:rPr>
            </w:pPr>
            <w:r w:rsidRPr="00A608C7">
              <w:rPr>
                <w:sz w:val="18"/>
                <w:szCs w:val="18"/>
              </w:rPr>
              <w:t>C</w:t>
            </w:r>
            <w:r w:rsidRPr="00A608C7">
              <w:rPr>
                <w:color w:val="202124"/>
                <w:sz w:val="18"/>
                <w:szCs w:val="18"/>
              </w:rPr>
              <w:t>onstruction of bicycle tracks</w:t>
            </w:r>
          </w:p>
          <w:p w14:paraId="7B800ACA" w14:textId="77777777" w:rsidR="001A7A04" w:rsidRPr="00A608C7" w:rsidRDefault="001A7A04" w:rsidP="001A7A04">
            <w:pPr>
              <w:pStyle w:val="ListParagraph"/>
              <w:numPr>
                <w:ilvl w:val="0"/>
                <w:numId w:val="75"/>
              </w:numPr>
              <w:spacing w:line="240" w:lineRule="auto"/>
              <w:rPr>
                <w:sz w:val="18"/>
                <w:szCs w:val="18"/>
              </w:rPr>
            </w:pPr>
            <w:r w:rsidRPr="00A608C7">
              <w:rPr>
                <w:color w:val="202124"/>
                <w:sz w:val="18"/>
                <w:szCs w:val="18"/>
              </w:rPr>
              <w:t>Charging stations for electric mobility</w:t>
            </w:r>
          </w:p>
        </w:tc>
        <w:tc>
          <w:tcPr>
            <w:tcW w:w="1097" w:type="pct"/>
            <w:shd w:val="clear" w:color="auto" w:fill="auto"/>
            <w:tcMar>
              <w:top w:w="100" w:type="dxa"/>
              <w:left w:w="100" w:type="dxa"/>
              <w:bottom w:w="100" w:type="dxa"/>
              <w:right w:w="100" w:type="dxa"/>
            </w:tcMar>
          </w:tcPr>
          <w:p w14:paraId="7A2AF25F" w14:textId="77777777" w:rsidR="001A7A04" w:rsidRPr="00D9753D" w:rsidRDefault="001A7A04" w:rsidP="001A7A04">
            <w:pPr>
              <w:pStyle w:val="ListParagraph"/>
              <w:numPr>
                <w:ilvl w:val="0"/>
                <w:numId w:val="74"/>
              </w:numPr>
              <w:spacing w:line="240" w:lineRule="auto"/>
              <w:rPr>
                <w:sz w:val="18"/>
                <w:lang w:val="it-IT"/>
              </w:rPr>
            </w:pPr>
            <w:r w:rsidRPr="00D9753D">
              <w:rPr>
                <w:sz w:val="18"/>
                <w:lang w:val="it-IT"/>
              </w:rPr>
              <w:t>2021-2027 SV Oltenia Regional Operational Program</w:t>
            </w:r>
          </w:p>
        </w:tc>
      </w:tr>
      <w:tr w:rsidR="001A7A04" w:rsidRPr="00A608C7" w14:paraId="7EA0AF6C" w14:textId="77777777" w:rsidTr="00964831">
        <w:trPr>
          <w:trHeight w:val="367"/>
        </w:trPr>
        <w:tc>
          <w:tcPr>
            <w:tcW w:w="479" w:type="pct"/>
            <w:shd w:val="clear" w:color="auto" w:fill="C6D9F1" w:themeFill="text2" w:themeFillTint="33"/>
            <w:tcMar>
              <w:top w:w="100" w:type="dxa"/>
              <w:left w:w="100" w:type="dxa"/>
              <w:bottom w:w="100" w:type="dxa"/>
              <w:right w:w="100" w:type="dxa"/>
            </w:tcMar>
          </w:tcPr>
          <w:p w14:paraId="2D068FDA" w14:textId="77777777" w:rsidR="001A7A04" w:rsidRPr="00A608C7" w:rsidRDefault="001A7A04" w:rsidP="00964831">
            <w:pPr>
              <w:jc w:val="both"/>
              <w:rPr>
                <w:rFonts w:ascii="Arial" w:hAnsi="Arial" w:cs="Arial"/>
                <w:sz w:val="18"/>
                <w:szCs w:val="18"/>
              </w:rPr>
            </w:pPr>
            <w:r w:rsidRPr="00A608C7">
              <w:rPr>
                <w:rFonts w:ascii="Arial" w:hAnsi="Arial" w:cs="Arial"/>
                <w:sz w:val="18"/>
                <w:szCs w:val="18"/>
              </w:rPr>
              <w:lastRenderedPageBreak/>
              <w:t>High priority</w:t>
            </w:r>
          </w:p>
        </w:tc>
        <w:tc>
          <w:tcPr>
            <w:tcW w:w="1875" w:type="pct"/>
            <w:shd w:val="clear" w:color="auto" w:fill="auto"/>
            <w:tcMar>
              <w:top w:w="100" w:type="dxa"/>
              <w:left w:w="100" w:type="dxa"/>
              <w:bottom w:w="100" w:type="dxa"/>
              <w:right w:w="100" w:type="dxa"/>
            </w:tcMar>
          </w:tcPr>
          <w:p w14:paraId="6FC9587D" w14:textId="3340E1FC" w:rsidR="001A7A04" w:rsidRPr="00A608C7" w:rsidRDefault="001A7A04" w:rsidP="00964831">
            <w:pPr>
              <w:jc w:val="both"/>
              <w:rPr>
                <w:rFonts w:ascii="Arial" w:hAnsi="Arial" w:cs="Arial"/>
                <w:sz w:val="18"/>
                <w:szCs w:val="18"/>
              </w:rPr>
            </w:pPr>
            <w:r w:rsidRPr="00A608C7">
              <w:rPr>
                <w:rFonts w:ascii="Arial" w:hAnsi="Arial" w:cs="Arial"/>
                <w:b/>
                <w:sz w:val="18"/>
                <w:szCs w:val="18"/>
              </w:rPr>
              <w:t xml:space="preserve">Type 3: </w:t>
            </w:r>
            <w:r w:rsidRPr="00A608C7">
              <w:rPr>
                <w:rFonts w:ascii="Arial" w:hAnsi="Arial" w:cs="Arial"/>
                <w:sz w:val="18"/>
                <w:szCs w:val="18"/>
              </w:rPr>
              <w:t>Increasing the level of employment:</w:t>
            </w:r>
          </w:p>
          <w:p w14:paraId="1A549964" w14:textId="1A639170" w:rsidR="001A7A04" w:rsidRPr="00A608C7" w:rsidRDefault="00010488" w:rsidP="001A7A04">
            <w:pPr>
              <w:pStyle w:val="ListParagraph"/>
              <w:numPr>
                <w:ilvl w:val="0"/>
                <w:numId w:val="74"/>
              </w:numPr>
              <w:spacing w:before="240" w:after="240" w:line="240" w:lineRule="auto"/>
              <w:rPr>
                <w:sz w:val="18"/>
                <w:szCs w:val="18"/>
              </w:rPr>
            </w:pPr>
            <w:r>
              <w:rPr>
                <w:sz w:val="18"/>
                <w:szCs w:val="18"/>
              </w:rPr>
              <w:t>Reskilling and upskilling</w:t>
            </w:r>
            <w:r w:rsidR="001A7A04" w:rsidRPr="00A608C7">
              <w:rPr>
                <w:sz w:val="18"/>
                <w:szCs w:val="18"/>
              </w:rPr>
              <w:t xml:space="preserve"> for those who have been laid off, particularly in medium to high technology-intensive manufacturing, IT&amp;C, constructions and building renovations, green energy production, installation and maintenance of individual renewable energy solutions, etc. </w:t>
            </w:r>
            <w:r w:rsidR="00D9753D">
              <w:rPr>
                <w:sz w:val="18"/>
                <w:szCs w:val="18"/>
              </w:rPr>
              <w:t>as well as</w:t>
            </w:r>
            <w:r>
              <w:rPr>
                <w:sz w:val="18"/>
                <w:szCs w:val="18"/>
              </w:rPr>
              <w:t xml:space="preserve"> jobseeker assistance</w:t>
            </w:r>
          </w:p>
          <w:p w14:paraId="3A8D4D0C" w14:textId="77777777" w:rsidR="001A7A04" w:rsidRPr="00A608C7" w:rsidRDefault="001A7A04" w:rsidP="00964831">
            <w:pPr>
              <w:pStyle w:val="ListParagraph"/>
              <w:spacing w:line="240" w:lineRule="auto"/>
              <w:ind w:left="360"/>
              <w:rPr>
                <w:sz w:val="18"/>
                <w:szCs w:val="18"/>
              </w:rPr>
            </w:pPr>
          </w:p>
        </w:tc>
        <w:tc>
          <w:tcPr>
            <w:tcW w:w="1549" w:type="pct"/>
            <w:shd w:val="clear" w:color="auto" w:fill="auto"/>
            <w:tcMar>
              <w:top w:w="100" w:type="dxa"/>
              <w:left w:w="100" w:type="dxa"/>
              <w:bottom w:w="100" w:type="dxa"/>
              <w:right w:w="100" w:type="dxa"/>
            </w:tcMar>
          </w:tcPr>
          <w:p w14:paraId="59D19648" w14:textId="77777777" w:rsidR="001A7A04" w:rsidRPr="00A608C7" w:rsidRDefault="001A7A04" w:rsidP="001A7A04">
            <w:pPr>
              <w:pStyle w:val="ListParagraph"/>
              <w:numPr>
                <w:ilvl w:val="0"/>
                <w:numId w:val="75"/>
              </w:numPr>
              <w:spacing w:line="240" w:lineRule="auto"/>
              <w:rPr>
                <w:sz w:val="18"/>
                <w:szCs w:val="18"/>
              </w:rPr>
            </w:pPr>
            <w:r w:rsidRPr="00A608C7">
              <w:rPr>
                <w:sz w:val="18"/>
                <w:szCs w:val="18"/>
              </w:rPr>
              <w:t>Update scholar curricula and new jobs training adapted to the future market development requests (public and private employers)</w:t>
            </w:r>
          </w:p>
          <w:p w14:paraId="587F2896" w14:textId="00FA4F3D" w:rsidR="001A7A04" w:rsidRPr="00A608C7" w:rsidRDefault="001A7A04" w:rsidP="009A5090">
            <w:pPr>
              <w:pStyle w:val="ListParagraph"/>
              <w:spacing w:line="240" w:lineRule="auto"/>
              <w:ind w:left="360"/>
              <w:rPr>
                <w:sz w:val="18"/>
                <w:szCs w:val="18"/>
              </w:rPr>
            </w:pPr>
          </w:p>
        </w:tc>
        <w:tc>
          <w:tcPr>
            <w:tcW w:w="1097" w:type="pct"/>
            <w:shd w:val="clear" w:color="auto" w:fill="auto"/>
            <w:tcMar>
              <w:top w:w="100" w:type="dxa"/>
              <w:left w:w="100" w:type="dxa"/>
              <w:bottom w:w="100" w:type="dxa"/>
              <w:right w:w="100" w:type="dxa"/>
            </w:tcMar>
          </w:tcPr>
          <w:p w14:paraId="2144F9EE" w14:textId="77777777" w:rsidR="001A7A04" w:rsidRPr="00A608C7" w:rsidRDefault="001A7A04" w:rsidP="001A7A04">
            <w:pPr>
              <w:pStyle w:val="ListParagraph"/>
              <w:numPr>
                <w:ilvl w:val="0"/>
                <w:numId w:val="75"/>
              </w:numPr>
              <w:spacing w:line="240" w:lineRule="auto"/>
              <w:rPr>
                <w:sz w:val="18"/>
                <w:szCs w:val="18"/>
              </w:rPr>
            </w:pPr>
            <w:r w:rsidRPr="00A608C7">
              <w:rPr>
                <w:sz w:val="18"/>
                <w:szCs w:val="18"/>
              </w:rPr>
              <w:t>2021-2027 Development strategy of Gorj county -Draft</w:t>
            </w:r>
          </w:p>
          <w:p w14:paraId="6E34E777" w14:textId="77777777" w:rsidR="001A7A04" w:rsidRPr="00A608C7" w:rsidRDefault="001A7A04" w:rsidP="001A7A04">
            <w:pPr>
              <w:pStyle w:val="ListParagraph"/>
              <w:numPr>
                <w:ilvl w:val="0"/>
                <w:numId w:val="75"/>
              </w:numPr>
              <w:spacing w:line="240" w:lineRule="auto"/>
              <w:rPr>
                <w:sz w:val="18"/>
                <w:szCs w:val="18"/>
              </w:rPr>
            </w:pPr>
            <w:r w:rsidRPr="00A608C7">
              <w:rPr>
                <w:sz w:val="18"/>
                <w:szCs w:val="18"/>
              </w:rPr>
              <w:t>2020 - 2025 National Strategy for Development of initial Vocational Training in dual system in Romania for the period</w:t>
            </w:r>
          </w:p>
        </w:tc>
      </w:tr>
    </w:tbl>
    <w:p w14:paraId="5941592D" w14:textId="77777777" w:rsidR="001A7A04" w:rsidRDefault="001A7A04" w:rsidP="005B0FFF">
      <w:pPr>
        <w:jc w:val="both"/>
        <w:rPr>
          <w:rFonts w:ascii="Arial" w:hAnsi="Arial" w:cs="Arial"/>
          <w:sz w:val="20"/>
          <w:szCs w:val="20"/>
        </w:rPr>
        <w:sectPr w:rsidR="001A7A04" w:rsidSect="00E66687">
          <w:pgSz w:w="16834" w:h="11909" w:orient="landscape"/>
          <w:pgMar w:top="1530" w:right="1440" w:bottom="1440" w:left="1440" w:header="720" w:footer="720" w:gutter="0"/>
          <w:cols w:space="720"/>
          <w:docGrid w:linePitch="326"/>
        </w:sectPr>
      </w:pPr>
    </w:p>
    <w:p w14:paraId="599123FC" w14:textId="77777777" w:rsidR="001A7A04" w:rsidRPr="003516DC" w:rsidRDefault="001A7A04" w:rsidP="00E42342">
      <w:pPr>
        <w:pStyle w:val="Heading2"/>
        <w:numPr>
          <w:ilvl w:val="0"/>
          <w:numId w:val="222"/>
        </w:numPr>
        <w:spacing w:before="240" w:line="240" w:lineRule="auto"/>
      </w:pPr>
      <w:bookmarkStart w:id="231" w:name="_Toc90725881"/>
      <w:r w:rsidRPr="003516DC">
        <w:lastRenderedPageBreak/>
        <w:t>Synergies/complementarities/consistency with other programmes</w:t>
      </w:r>
      <w:bookmarkEnd w:id="231"/>
    </w:p>
    <w:p w14:paraId="28965ACA" w14:textId="76E3DD82" w:rsidR="001A7A04" w:rsidRPr="003516DC" w:rsidRDefault="001A7A04" w:rsidP="004E2DCB">
      <w:pPr>
        <w:shd w:val="clear" w:color="auto" w:fill="FFFFFF"/>
        <w:spacing w:after="120"/>
        <w:jc w:val="both"/>
        <w:rPr>
          <w:rFonts w:ascii="Arial" w:hAnsi="Arial" w:cs="Arial"/>
          <w:sz w:val="20"/>
          <w:szCs w:val="20"/>
        </w:rPr>
      </w:pPr>
      <w:r w:rsidRPr="003516DC">
        <w:rPr>
          <w:rFonts w:ascii="Arial" w:hAnsi="Arial" w:cs="Arial"/>
          <w:sz w:val="20"/>
          <w:szCs w:val="20"/>
          <w:highlight w:val="white"/>
        </w:rPr>
        <w:t xml:space="preserve">The investment in </w:t>
      </w:r>
      <w:r w:rsidRPr="003516DC">
        <w:rPr>
          <w:rFonts w:ascii="Arial" w:hAnsi="Arial" w:cs="Arial"/>
          <w:color w:val="202124"/>
          <w:sz w:val="20"/>
          <w:szCs w:val="20"/>
        </w:rPr>
        <w:t xml:space="preserve">setting up companies in all fields of activity in scop of eliminating territorial disparities-their concentration in the metropolitan areas Targu Jiu and Motru, </w:t>
      </w:r>
      <w:r w:rsidRPr="003516DC">
        <w:rPr>
          <w:rFonts w:ascii="Arial" w:hAnsi="Arial" w:cs="Arial"/>
          <w:sz w:val="20"/>
          <w:szCs w:val="20"/>
        </w:rPr>
        <w:t xml:space="preserve">setting up / subsidizing business incubators, increasing the capacity and competitiveness of the existing county SME’s, in order to create new jobs is </w:t>
      </w:r>
      <w:r w:rsidRPr="003516DC">
        <w:rPr>
          <w:rFonts w:ascii="Arial" w:hAnsi="Arial" w:cs="Arial"/>
          <w:sz w:val="20"/>
          <w:szCs w:val="20"/>
          <w:highlight w:val="white"/>
        </w:rPr>
        <w:t>identified as high priority is consistent</w:t>
      </w:r>
      <w:r w:rsidRPr="003516DC">
        <w:rPr>
          <w:rFonts w:ascii="Arial" w:hAnsi="Arial" w:cs="Arial"/>
          <w:sz w:val="20"/>
          <w:szCs w:val="20"/>
        </w:rPr>
        <w:t xml:space="preserve"> with 2021-2027 Gorj county Development strategy-Draft, 2021-2027 South-West Oltenia Regional Development Plan, 2021-2027 Small Speciali</w:t>
      </w:r>
      <w:r w:rsidR="004E7B64">
        <w:rPr>
          <w:rFonts w:ascii="Arial" w:hAnsi="Arial" w:cs="Arial"/>
          <w:sz w:val="20"/>
          <w:szCs w:val="20"/>
        </w:rPr>
        <w:t>sation</w:t>
      </w:r>
      <w:r w:rsidRPr="003516DC">
        <w:rPr>
          <w:rFonts w:ascii="Arial" w:hAnsi="Arial" w:cs="Arial"/>
          <w:sz w:val="20"/>
          <w:szCs w:val="20"/>
        </w:rPr>
        <w:t xml:space="preserve"> Strategy RIS 3 SV Oltenia,  2021-2027 SV Oltenia Regional Operational Program(draft), 2021-2027 Research-Innovation and Smart Speciali</w:t>
      </w:r>
      <w:r w:rsidR="004E7B64">
        <w:rPr>
          <w:rFonts w:ascii="Arial" w:hAnsi="Arial" w:cs="Arial"/>
          <w:sz w:val="20"/>
          <w:szCs w:val="20"/>
        </w:rPr>
        <w:t>sation</w:t>
      </w:r>
      <w:r w:rsidRPr="003516DC">
        <w:rPr>
          <w:rFonts w:ascii="Arial" w:hAnsi="Arial" w:cs="Arial"/>
          <w:sz w:val="20"/>
          <w:szCs w:val="20"/>
        </w:rPr>
        <w:t xml:space="preserve"> National Strategy (SNCISI), HORIZON 2020 Governmental Strategy for the Development of the Small and Medium Enterprises Sector and the Improvement of the Romanian Business Environment.</w:t>
      </w:r>
    </w:p>
    <w:p w14:paraId="632EDC84" w14:textId="16608BD7" w:rsidR="001A7A04" w:rsidRPr="003516DC" w:rsidRDefault="001A7A04" w:rsidP="004E2DCB">
      <w:pPr>
        <w:shd w:val="clear" w:color="auto" w:fill="FFFFFF"/>
        <w:spacing w:after="120"/>
        <w:jc w:val="both"/>
        <w:rPr>
          <w:rFonts w:ascii="Arial" w:hAnsi="Arial" w:cs="Arial"/>
          <w:sz w:val="20"/>
          <w:szCs w:val="20"/>
        </w:rPr>
      </w:pPr>
      <w:r w:rsidRPr="003516DC">
        <w:rPr>
          <w:rFonts w:ascii="Arial" w:hAnsi="Arial" w:cs="Arial"/>
          <w:sz w:val="20"/>
          <w:szCs w:val="20"/>
        </w:rPr>
        <w:t>The synergies of the investment in solar power plants for energy production, regeneration of contaminated sites are with the investment from 2021-2027 SV Oltenia Regional Operational P</w:t>
      </w:r>
      <w:r w:rsidR="00D206E5">
        <w:rPr>
          <w:rFonts w:ascii="Arial" w:hAnsi="Arial" w:cs="Arial"/>
          <w:sz w:val="20"/>
          <w:szCs w:val="20"/>
        </w:rPr>
        <w:t xml:space="preserve">rogramme </w:t>
      </w:r>
      <w:r w:rsidRPr="003516DC">
        <w:rPr>
          <w:rFonts w:ascii="Arial" w:hAnsi="Arial" w:cs="Arial"/>
          <w:sz w:val="20"/>
          <w:szCs w:val="20"/>
        </w:rPr>
        <w:t>(draft  - Priority 1 and 2) – Priority 2 SMART City, mobility and digitali</w:t>
      </w:r>
      <w:r w:rsidR="004E7B64">
        <w:rPr>
          <w:rFonts w:ascii="Arial" w:hAnsi="Arial" w:cs="Arial"/>
          <w:sz w:val="20"/>
          <w:szCs w:val="20"/>
        </w:rPr>
        <w:t>sation</w:t>
      </w:r>
      <w:r w:rsidRPr="003516DC">
        <w:rPr>
          <w:rFonts w:ascii="Arial" w:hAnsi="Arial" w:cs="Arial"/>
          <w:sz w:val="20"/>
          <w:szCs w:val="20"/>
        </w:rPr>
        <w:t xml:space="preserve"> of public services especially in repurposing of the sites for the expansion and development of the living areas, parks, play grounds, etc. decontamination of polluted sites and from 2021-2027 SV Oltenia Regional Operational Program(draft – Priority 3), National strategy for contaminated sites management and PNIESC 2021-2030 and they have been identified as investment priorities during the interviews with the local stakeholders: business NGOs, municipalities, academic environment, local entrepreneurs. </w:t>
      </w:r>
    </w:p>
    <w:p w14:paraId="17CEAFD0" w14:textId="77777777" w:rsidR="001A7A04" w:rsidRPr="003516DC" w:rsidRDefault="001A7A04" w:rsidP="004E2DCB">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The repurposing of the decontaminated industrial sites into economic infrastructure, e.g., industrial platforms, will create synergy with JTP investment in productive investments in SMEs, including start-ups, leading to economic diversification and reconversion as well as research and transfers of new technologies to the companies located on different areas and existing or new business infrastructures.</w:t>
      </w:r>
    </w:p>
    <w:p w14:paraId="58058A9F" w14:textId="4AC999D6" w:rsidR="001A7A04" w:rsidRPr="003516DC" w:rsidRDefault="001A7A04" w:rsidP="004E2DCB">
      <w:pPr>
        <w:shd w:val="clear" w:color="auto" w:fill="FFFFFF"/>
        <w:spacing w:after="120"/>
        <w:jc w:val="both"/>
        <w:rPr>
          <w:rFonts w:ascii="Arial" w:hAnsi="Arial" w:cs="Arial"/>
          <w:sz w:val="20"/>
          <w:szCs w:val="20"/>
          <w:highlight w:val="white"/>
        </w:rPr>
      </w:pPr>
      <w:r w:rsidRPr="003516DC">
        <w:rPr>
          <w:rFonts w:ascii="Arial" w:hAnsi="Arial" w:cs="Arial"/>
          <w:sz w:val="20"/>
          <w:szCs w:val="20"/>
          <w:highlight w:val="white"/>
        </w:rPr>
        <w:t xml:space="preserve">The investment in upskilling and reskilling of workers laid off by CEO during 2021-2026, identified as high priority due to the concentration of the persons laid off into Gorj county (urban and rural areas in Gorj County especially, but also coming from surrounding counties), and workers laid off by </w:t>
      </w:r>
      <w:r w:rsidRPr="003516DC">
        <w:rPr>
          <w:rFonts w:ascii="Arial" w:hAnsi="Arial" w:cs="Arial"/>
          <w:color w:val="202124"/>
          <w:sz w:val="20"/>
          <w:szCs w:val="20"/>
        </w:rPr>
        <w:t xml:space="preserve">companies that are part of the CEO's value chain,  </w:t>
      </w:r>
      <w:r w:rsidRPr="003516DC">
        <w:rPr>
          <w:rFonts w:ascii="Arial" w:hAnsi="Arial" w:cs="Arial"/>
          <w:sz w:val="20"/>
          <w:szCs w:val="20"/>
          <w:highlight w:val="white"/>
        </w:rPr>
        <w:t>it is consistent with Gorj’s Development Strategy the Regional Development Plan, Region SV Oltenia Operational P</w:t>
      </w:r>
      <w:r w:rsidR="00D206E5">
        <w:rPr>
          <w:rFonts w:ascii="Arial" w:hAnsi="Arial" w:cs="Arial"/>
          <w:sz w:val="20"/>
          <w:szCs w:val="20"/>
          <w:highlight w:val="white"/>
        </w:rPr>
        <w:t xml:space="preserve">rogramme </w:t>
      </w:r>
      <w:r w:rsidRPr="003516DC">
        <w:rPr>
          <w:rFonts w:ascii="Arial" w:hAnsi="Arial" w:cs="Arial"/>
          <w:sz w:val="20"/>
          <w:szCs w:val="20"/>
          <w:highlight w:val="white"/>
        </w:rPr>
        <w:t xml:space="preserve"> – Priority 5, and the  Pillar III (NPRR-Draft 2020).</w:t>
      </w:r>
    </w:p>
    <w:p w14:paraId="13238FD3" w14:textId="53659269" w:rsidR="001A7A04" w:rsidRPr="003516DC" w:rsidRDefault="001A7A04" w:rsidP="004E2DCB">
      <w:pPr>
        <w:shd w:val="clear" w:color="auto" w:fill="FFFFFF"/>
        <w:spacing w:after="120"/>
        <w:jc w:val="both"/>
        <w:rPr>
          <w:rFonts w:ascii="Arial" w:hAnsi="Arial" w:cs="Arial"/>
          <w:color w:val="202124"/>
          <w:sz w:val="20"/>
          <w:szCs w:val="20"/>
        </w:rPr>
      </w:pPr>
      <w:r w:rsidRPr="003516DC">
        <w:rPr>
          <w:rFonts w:ascii="Arial" w:hAnsi="Arial" w:cs="Arial"/>
          <w:sz w:val="20"/>
          <w:szCs w:val="20"/>
          <w:highlight w:val="white"/>
        </w:rPr>
        <w:t>Investment in upskilling and reskilling of workers</w:t>
      </w:r>
      <w:r w:rsidRPr="003516DC">
        <w:rPr>
          <w:rFonts w:ascii="Arial" w:hAnsi="Arial" w:cs="Arial"/>
          <w:sz w:val="20"/>
          <w:szCs w:val="20"/>
        </w:rPr>
        <w:t xml:space="preserve"> laid off within Gorj County </w:t>
      </w:r>
      <w:r w:rsidRPr="003516DC">
        <w:rPr>
          <w:rFonts w:ascii="Arial" w:hAnsi="Arial" w:cs="Arial"/>
          <w:sz w:val="20"/>
          <w:szCs w:val="20"/>
          <w:highlight w:val="white"/>
        </w:rPr>
        <w:t>will create synergies with the pilot project in implementation at Petrosani University in partnership with the Renewable energy producers’ Association (RWEA) on miners</w:t>
      </w:r>
      <w:r w:rsidR="00597139">
        <w:rPr>
          <w:rFonts w:ascii="Arial" w:hAnsi="Arial" w:cs="Arial"/>
          <w:sz w:val="20"/>
          <w:szCs w:val="20"/>
          <w:highlight w:val="white"/>
        </w:rPr>
        <w:t>’</w:t>
      </w:r>
      <w:r w:rsidRPr="003516DC">
        <w:rPr>
          <w:rFonts w:ascii="Arial" w:hAnsi="Arial" w:cs="Arial"/>
          <w:sz w:val="20"/>
          <w:szCs w:val="20"/>
          <w:highlight w:val="white"/>
        </w:rPr>
        <w:t xml:space="preserve"> reconversion into workers for the solar and wind energy plants, dual education infrastructure financed in Hunedoara </w:t>
      </w:r>
      <w:r w:rsidR="006E7A76">
        <w:rPr>
          <w:rFonts w:ascii="Arial" w:hAnsi="Arial" w:cs="Arial"/>
          <w:sz w:val="20"/>
          <w:szCs w:val="20"/>
          <w:highlight w:val="white"/>
        </w:rPr>
        <w:t>C</w:t>
      </w:r>
      <w:r w:rsidRPr="003516DC">
        <w:rPr>
          <w:rFonts w:ascii="Arial" w:hAnsi="Arial" w:cs="Arial"/>
          <w:sz w:val="20"/>
          <w:szCs w:val="20"/>
          <w:highlight w:val="white"/>
        </w:rPr>
        <w:t xml:space="preserve">ounty/RWEA by POR 2014-2020 </w:t>
      </w:r>
      <w:r w:rsidRPr="003516DC">
        <w:rPr>
          <w:rFonts w:ascii="Arial" w:hAnsi="Arial" w:cs="Arial"/>
          <w:color w:val="202124"/>
          <w:sz w:val="20"/>
          <w:szCs w:val="20"/>
        </w:rPr>
        <w:t>due to the small distances between the localities in the Jiu Valley.</w:t>
      </w:r>
    </w:p>
    <w:p w14:paraId="0AC3E766" w14:textId="5412D7A1" w:rsidR="001A7A04" w:rsidRPr="003516DC" w:rsidRDefault="001A7A04" w:rsidP="004E2DCB">
      <w:pPr>
        <w:shd w:val="clear" w:color="auto" w:fill="FFFFFF"/>
        <w:spacing w:after="120"/>
        <w:jc w:val="both"/>
        <w:rPr>
          <w:rFonts w:ascii="Arial" w:hAnsi="Arial" w:cs="Arial"/>
          <w:color w:val="202124"/>
          <w:sz w:val="20"/>
          <w:szCs w:val="20"/>
        </w:rPr>
      </w:pPr>
      <w:r w:rsidRPr="003516DC">
        <w:rPr>
          <w:rFonts w:ascii="Arial" w:hAnsi="Arial" w:cs="Arial"/>
          <w:color w:val="202124"/>
          <w:sz w:val="20"/>
          <w:szCs w:val="20"/>
        </w:rPr>
        <w:t>The European funding sources for mitigating the socio-economic costs of the transition to a green economy that are complementary to the financial resources provided by the Just Transition Fund through the Gorj Territorial Just Transition P</w:t>
      </w:r>
      <w:r w:rsidR="00D206E5">
        <w:rPr>
          <w:rFonts w:ascii="Arial" w:hAnsi="Arial" w:cs="Arial"/>
          <w:color w:val="202124"/>
          <w:sz w:val="20"/>
          <w:szCs w:val="20"/>
        </w:rPr>
        <w:t xml:space="preserve">rogramme </w:t>
      </w:r>
      <w:r w:rsidRPr="003516DC">
        <w:rPr>
          <w:rFonts w:ascii="Arial" w:hAnsi="Arial" w:cs="Arial"/>
          <w:color w:val="202124"/>
          <w:sz w:val="20"/>
          <w:szCs w:val="20"/>
        </w:rPr>
        <w:t>(TJTP Gorj), are:</w:t>
      </w:r>
    </w:p>
    <w:p w14:paraId="1890F685" w14:textId="6C816D04" w:rsidR="001A7A04" w:rsidRPr="003516DC" w:rsidRDefault="001A7A04"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3516DC">
        <w:rPr>
          <w:rFonts w:eastAsia="Times New Roman"/>
          <w:color w:val="202124"/>
          <w:sz w:val="20"/>
          <w:szCs w:val="20"/>
          <w:lang w:val="en"/>
        </w:rPr>
        <w:t xml:space="preserve">National </w:t>
      </w:r>
      <w:r w:rsidR="00A608C7">
        <w:rPr>
          <w:rFonts w:eastAsia="Times New Roman"/>
          <w:color w:val="202124"/>
          <w:sz w:val="20"/>
          <w:szCs w:val="20"/>
          <w:lang w:val="en"/>
        </w:rPr>
        <w:t>Recovery and Resilience Plan</w:t>
      </w:r>
      <w:r w:rsidRPr="003516DC">
        <w:rPr>
          <w:rFonts w:eastAsia="Times New Roman"/>
          <w:color w:val="202124"/>
          <w:sz w:val="20"/>
          <w:szCs w:val="20"/>
          <w:lang w:val="en"/>
        </w:rPr>
        <w:t xml:space="preserve"> - </w:t>
      </w:r>
      <w:r w:rsidR="00A608C7">
        <w:rPr>
          <w:rFonts w:eastAsia="Times New Roman"/>
          <w:color w:val="202124"/>
          <w:sz w:val="20"/>
          <w:szCs w:val="20"/>
          <w:lang w:val="en"/>
        </w:rPr>
        <w:t>RRP</w:t>
      </w:r>
    </w:p>
    <w:p w14:paraId="0C4E0437" w14:textId="1DBE87DE" w:rsidR="001A7A04" w:rsidRPr="003516DC" w:rsidRDefault="001A7A04"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3516DC">
        <w:rPr>
          <w:rFonts w:eastAsia="Times New Roman"/>
          <w:color w:val="202124"/>
          <w:sz w:val="20"/>
          <w:szCs w:val="20"/>
          <w:lang w:val="en"/>
        </w:rPr>
        <w:t>Moderni</w:t>
      </w:r>
      <w:r w:rsidR="00086C94">
        <w:rPr>
          <w:rFonts w:eastAsia="Times New Roman"/>
          <w:color w:val="202124"/>
          <w:sz w:val="20"/>
          <w:szCs w:val="20"/>
          <w:lang w:val="en"/>
        </w:rPr>
        <w:t>s</w:t>
      </w:r>
      <w:r w:rsidRPr="003516DC">
        <w:rPr>
          <w:rFonts w:eastAsia="Times New Roman"/>
          <w:color w:val="202124"/>
          <w:sz w:val="20"/>
          <w:szCs w:val="20"/>
          <w:lang w:val="en"/>
        </w:rPr>
        <w:t>ation Fund - MF</w:t>
      </w:r>
    </w:p>
    <w:p w14:paraId="280478CA" w14:textId="040430EA" w:rsidR="001A7A04" w:rsidRPr="003516DC" w:rsidRDefault="001A7A04"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3516DC">
        <w:rPr>
          <w:rFonts w:eastAsia="Times New Roman"/>
          <w:color w:val="202124"/>
          <w:sz w:val="20"/>
          <w:szCs w:val="20"/>
          <w:lang w:val="en"/>
        </w:rPr>
        <w:t>Sustainable Development Operational P</w:t>
      </w:r>
      <w:r w:rsidR="00D206E5">
        <w:rPr>
          <w:rFonts w:eastAsia="Times New Roman"/>
          <w:color w:val="202124"/>
          <w:sz w:val="20"/>
          <w:szCs w:val="20"/>
          <w:lang w:val="en"/>
        </w:rPr>
        <w:t xml:space="preserve">rogramme </w:t>
      </w:r>
      <w:r w:rsidRPr="003516DC">
        <w:rPr>
          <w:rFonts w:eastAsia="Times New Roman"/>
          <w:color w:val="202124"/>
          <w:sz w:val="20"/>
          <w:szCs w:val="20"/>
          <w:lang w:val="en"/>
        </w:rPr>
        <w:t>- SDOP</w:t>
      </w:r>
    </w:p>
    <w:p w14:paraId="4E9AA9CF" w14:textId="2023380B" w:rsidR="001A7A04" w:rsidRPr="003516DC" w:rsidRDefault="001A7A04"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3516DC">
        <w:rPr>
          <w:rFonts w:eastAsia="Times New Roman"/>
          <w:color w:val="202124"/>
          <w:sz w:val="20"/>
          <w:szCs w:val="20"/>
          <w:lang w:val="en"/>
        </w:rPr>
        <w:t>Regional Operational P</w:t>
      </w:r>
      <w:r w:rsidR="00D206E5">
        <w:rPr>
          <w:rFonts w:eastAsia="Times New Roman"/>
          <w:color w:val="202124"/>
          <w:sz w:val="20"/>
          <w:szCs w:val="20"/>
          <w:lang w:val="en"/>
        </w:rPr>
        <w:t xml:space="preserve">rogramme </w:t>
      </w:r>
      <w:r w:rsidRPr="003516DC">
        <w:rPr>
          <w:rFonts w:eastAsia="Times New Roman"/>
          <w:color w:val="202124"/>
          <w:sz w:val="20"/>
          <w:szCs w:val="20"/>
          <w:lang w:val="en"/>
        </w:rPr>
        <w:t>South West Oltenia Region – ROP SW Oltenia</w:t>
      </w:r>
    </w:p>
    <w:p w14:paraId="1E714E88" w14:textId="3C402698" w:rsidR="001A7A04" w:rsidRPr="003516DC" w:rsidRDefault="00A608C7"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Pr>
          <w:sz w:val="20"/>
          <w:szCs w:val="20"/>
          <w:shd w:val="clear" w:color="auto" w:fill="FFFFFF"/>
        </w:rPr>
        <w:t>Energy Programme in Romania</w:t>
      </w:r>
    </w:p>
    <w:p w14:paraId="2761DD67" w14:textId="18917E81" w:rsidR="00086C94" w:rsidRPr="003516DC" w:rsidRDefault="001A7A04" w:rsidP="001A7A0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02124"/>
          <w:sz w:val="20"/>
          <w:szCs w:val="20"/>
        </w:rPr>
      </w:pPr>
      <w:r w:rsidRPr="003516DC">
        <w:rPr>
          <w:rFonts w:eastAsia="Times New Roman"/>
          <w:color w:val="202124"/>
          <w:sz w:val="20"/>
          <w:szCs w:val="20"/>
          <w:lang w:val="en"/>
        </w:rPr>
        <w:t>Intelligent Growth, Digiti</w:t>
      </w:r>
      <w:r w:rsidR="004E7B64">
        <w:rPr>
          <w:rFonts w:eastAsia="Times New Roman"/>
          <w:color w:val="202124"/>
          <w:sz w:val="20"/>
          <w:szCs w:val="20"/>
          <w:lang w:val="en"/>
        </w:rPr>
        <w:t>sation</w:t>
      </w:r>
      <w:r w:rsidRPr="003516DC">
        <w:rPr>
          <w:rFonts w:eastAsia="Times New Roman"/>
          <w:color w:val="202124"/>
          <w:sz w:val="20"/>
          <w:szCs w:val="20"/>
          <w:lang w:val="en"/>
        </w:rPr>
        <w:t xml:space="preserve"> and Financial Instruments Operational P</w:t>
      </w:r>
      <w:r w:rsidR="00D206E5">
        <w:rPr>
          <w:rFonts w:eastAsia="Times New Roman"/>
          <w:color w:val="202124"/>
          <w:sz w:val="20"/>
          <w:szCs w:val="20"/>
          <w:lang w:val="en"/>
        </w:rPr>
        <w:t xml:space="preserve">rogramme </w:t>
      </w:r>
      <w:r w:rsidR="00086C94">
        <w:rPr>
          <w:rFonts w:eastAsia="Times New Roman"/>
          <w:color w:val="202124"/>
          <w:sz w:val="20"/>
          <w:szCs w:val="20"/>
          <w:lang w:val="en"/>
        </w:rPr>
        <w:t>–</w:t>
      </w:r>
      <w:r w:rsidRPr="003516DC">
        <w:rPr>
          <w:rFonts w:eastAsia="Times New Roman"/>
          <w:color w:val="202124"/>
          <w:sz w:val="20"/>
          <w:szCs w:val="20"/>
          <w:lang w:val="en"/>
        </w:rPr>
        <w:t xml:space="preserve"> IGDFIOP</w:t>
      </w:r>
    </w:p>
    <w:p w14:paraId="1D5CED51" w14:textId="0AFF7839" w:rsidR="001A7A04" w:rsidRPr="003516DC" w:rsidRDefault="001A7A04" w:rsidP="00086C94">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02580">
        <w:rPr>
          <w:bCs/>
          <w:sz w:val="20"/>
          <w:szCs w:val="20"/>
          <w:lang w:val="ro-RO"/>
        </w:rPr>
        <w:t>Education and Employment Operational Programme -</w:t>
      </w:r>
      <w:r w:rsidR="00086C94">
        <w:rPr>
          <w:bCs/>
          <w:sz w:val="20"/>
          <w:szCs w:val="20"/>
          <w:lang w:val="ro-RO"/>
        </w:rPr>
        <w:t xml:space="preserve"> </w:t>
      </w:r>
      <w:r w:rsidRPr="00402580">
        <w:rPr>
          <w:bCs/>
          <w:sz w:val="20"/>
          <w:szCs w:val="20"/>
          <w:lang w:val="ro-RO"/>
        </w:rPr>
        <w:t>EEOP</w:t>
      </w:r>
    </w:p>
    <w:p w14:paraId="11091046" w14:textId="04155DAE" w:rsidR="001A7A04" w:rsidRPr="003516DC" w:rsidRDefault="001A7A04" w:rsidP="00402580">
      <w:pPr>
        <w:spacing w:before="240"/>
        <w:jc w:val="both"/>
        <w:rPr>
          <w:rFonts w:ascii="Arial" w:hAnsi="Arial" w:cs="Arial"/>
          <w:sz w:val="20"/>
          <w:szCs w:val="20"/>
        </w:rPr>
      </w:pPr>
      <w:r w:rsidRPr="003516DC">
        <w:rPr>
          <w:rFonts w:ascii="Arial" w:hAnsi="Arial" w:cs="Arial"/>
          <w:sz w:val="20"/>
          <w:szCs w:val="20"/>
        </w:rPr>
        <w:t xml:space="preserve">The key actions of the </w:t>
      </w:r>
      <w:r w:rsidR="00A608C7">
        <w:rPr>
          <w:rFonts w:ascii="Arial" w:hAnsi="Arial" w:cs="Arial"/>
          <w:sz w:val="20"/>
          <w:szCs w:val="20"/>
        </w:rPr>
        <w:t>Just Transition</w:t>
      </w:r>
      <w:r w:rsidRPr="003516DC">
        <w:rPr>
          <w:rFonts w:ascii="Arial" w:hAnsi="Arial" w:cs="Arial"/>
          <w:sz w:val="20"/>
          <w:szCs w:val="20"/>
        </w:rPr>
        <w:t xml:space="preserve"> Fund can be complemented by the European program</w:t>
      </w:r>
      <w:r w:rsidR="00086C94">
        <w:rPr>
          <w:rFonts w:ascii="Arial" w:hAnsi="Arial" w:cs="Arial"/>
          <w:sz w:val="20"/>
          <w:szCs w:val="20"/>
        </w:rPr>
        <w:t>me</w:t>
      </w:r>
      <w:r w:rsidRPr="003516DC">
        <w:rPr>
          <w:rFonts w:ascii="Arial" w:hAnsi="Arial" w:cs="Arial"/>
          <w:sz w:val="20"/>
          <w:szCs w:val="20"/>
        </w:rPr>
        <w:t>s listed in the table below.</w:t>
      </w:r>
    </w:p>
    <w:p w14:paraId="66222502" w14:textId="483E7B51" w:rsidR="001A7A04" w:rsidRPr="003516DC" w:rsidRDefault="001552CD" w:rsidP="00402580">
      <w:pPr>
        <w:pStyle w:val="Caption"/>
      </w:pPr>
      <w:bookmarkStart w:id="232" w:name="_Toc90726004"/>
      <w:bookmarkStart w:id="233" w:name="_Toc90727301"/>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50</w:t>
      </w:r>
      <w:r w:rsidR="000B273D">
        <w:rPr>
          <w:noProof/>
        </w:rPr>
        <w:fldChar w:fldCharType="end"/>
      </w:r>
      <w:r w:rsidR="001A7A04" w:rsidRPr="003516DC">
        <w:t>: Complementarities with other programmes (and proposed allocations)</w:t>
      </w:r>
      <w:bookmarkEnd w:id="232"/>
      <w:bookmarkEnd w:id="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6838"/>
      </w:tblGrid>
      <w:tr w:rsidR="001A7A04" w:rsidRPr="00A608C7" w14:paraId="1146A089" w14:textId="77777777" w:rsidTr="000A7086">
        <w:trPr>
          <w:trHeight w:val="1718"/>
        </w:trPr>
        <w:tc>
          <w:tcPr>
            <w:tcW w:w="1171" w:type="pct"/>
            <w:vMerge w:val="restart"/>
            <w:tcMar>
              <w:top w:w="0" w:type="dxa"/>
              <w:left w:w="100" w:type="dxa"/>
              <w:bottom w:w="0" w:type="dxa"/>
              <w:right w:w="100" w:type="dxa"/>
            </w:tcMar>
          </w:tcPr>
          <w:p w14:paraId="46F2BAB5" w14:textId="77777777" w:rsidR="001A7A04" w:rsidRPr="000A7086" w:rsidRDefault="001A7A04" w:rsidP="00964831">
            <w:pPr>
              <w:shd w:val="clear" w:color="auto" w:fill="FFFFFF"/>
              <w:rPr>
                <w:rFonts w:ascii="Arial" w:eastAsia="Calibri" w:hAnsi="Arial" w:cs="Arial"/>
                <w:bCs/>
                <w:sz w:val="18"/>
                <w:szCs w:val="18"/>
              </w:rPr>
            </w:pPr>
          </w:p>
          <w:p w14:paraId="68F18AB1" w14:textId="42B78220" w:rsidR="001A7A04" w:rsidRPr="000A7086" w:rsidRDefault="00A608C7" w:rsidP="009648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bCs/>
                <w:color w:val="202124"/>
                <w:sz w:val="18"/>
                <w:szCs w:val="18"/>
              </w:rPr>
            </w:pPr>
            <w:r w:rsidRPr="000A7086">
              <w:rPr>
                <w:rFonts w:ascii="Arial" w:eastAsia="Times New Roman" w:hAnsi="Arial" w:cs="Arial"/>
                <w:bCs/>
                <w:color w:val="202124"/>
                <w:sz w:val="18"/>
                <w:szCs w:val="18"/>
              </w:rPr>
              <w:t xml:space="preserve">Type </w:t>
            </w:r>
            <w:r w:rsidR="001A7A04" w:rsidRPr="000A7086">
              <w:rPr>
                <w:rFonts w:ascii="Arial" w:eastAsia="Times New Roman" w:hAnsi="Arial" w:cs="Arial"/>
                <w:bCs/>
                <w:color w:val="202124"/>
                <w:sz w:val="18"/>
                <w:szCs w:val="18"/>
              </w:rPr>
              <w:t xml:space="preserve">1 </w:t>
            </w:r>
          </w:p>
          <w:p w14:paraId="15629972" w14:textId="6CF82ABC" w:rsidR="001A7A04" w:rsidRPr="000A7086" w:rsidRDefault="001A7A04" w:rsidP="00964831">
            <w:pPr>
              <w:pStyle w:val="ListParagraph"/>
              <w:spacing w:line="240" w:lineRule="auto"/>
              <w:ind w:left="0" w:right="58"/>
              <w:rPr>
                <w:bCs/>
                <w:sz w:val="18"/>
                <w:szCs w:val="18"/>
              </w:rPr>
            </w:pPr>
            <w:r w:rsidRPr="000A7086">
              <w:rPr>
                <w:bCs/>
                <w:sz w:val="18"/>
                <w:szCs w:val="18"/>
                <w:highlight w:val="white"/>
                <w:lang w:val="en-US"/>
              </w:rPr>
              <w:t>E</w:t>
            </w:r>
            <w:r w:rsidRPr="000A7086">
              <w:rPr>
                <w:bCs/>
                <w:sz w:val="18"/>
                <w:szCs w:val="18"/>
                <w:highlight w:val="white"/>
              </w:rPr>
              <w:t>conomic diversification and sustainable entrepreneurship support as well as increasing access to research, innovation and digiti</w:t>
            </w:r>
            <w:r w:rsidR="004E7B64">
              <w:rPr>
                <w:bCs/>
                <w:sz w:val="18"/>
                <w:szCs w:val="18"/>
                <w:highlight w:val="white"/>
              </w:rPr>
              <w:t>sation</w:t>
            </w:r>
          </w:p>
          <w:p w14:paraId="02A56889" w14:textId="77777777" w:rsidR="001A7A04" w:rsidRPr="00A608C7" w:rsidRDefault="001A7A04" w:rsidP="00964831">
            <w:pPr>
              <w:shd w:val="clear" w:color="auto" w:fill="FFFFFF"/>
              <w:rPr>
                <w:rFonts w:ascii="Arial" w:eastAsia="Calibri" w:hAnsi="Arial" w:cs="Arial"/>
                <w:i/>
                <w:iCs/>
                <w:sz w:val="18"/>
                <w:szCs w:val="18"/>
              </w:rPr>
            </w:pPr>
          </w:p>
        </w:tc>
        <w:tc>
          <w:tcPr>
            <w:tcW w:w="3828" w:type="pct"/>
            <w:tcMar>
              <w:top w:w="0" w:type="dxa"/>
              <w:left w:w="100" w:type="dxa"/>
              <w:bottom w:w="0" w:type="dxa"/>
              <w:right w:w="100" w:type="dxa"/>
            </w:tcMar>
          </w:tcPr>
          <w:p w14:paraId="1EA7F323" w14:textId="00AF9308" w:rsidR="001A7A04" w:rsidRPr="00A608C7" w:rsidRDefault="001A7A04" w:rsidP="00964831">
            <w:pPr>
              <w:shd w:val="clear" w:color="auto" w:fill="FFFFFF"/>
              <w:rPr>
                <w:rFonts w:ascii="Arial" w:eastAsia="Times New Roman" w:hAnsi="Arial" w:cs="Arial"/>
                <w:color w:val="202124"/>
                <w:sz w:val="18"/>
                <w:szCs w:val="18"/>
                <w:lang w:val="en-US"/>
              </w:rPr>
            </w:pPr>
            <w:r w:rsidRPr="00A608C7">
              <w:rPr>
                <w:rFonts w:ascii="Arial" w:hAnsi="Arial" w:cs="Arial"/>
                <w:i/>
                <w:sz w:val="18"/>
                <w:szCs w:val="18"/>
                <w:highlight w:val="white"/>
              </w:rPr>
              <w:t>“Regional Operational Program</w:t>
            </w:r>
            <w:r w:rsidR="00A608C7">
              <w:rPr>
                <w:rFonts w:ascii="Arial" w:hAnsi="Arial" w:cs="Arial"/>
                <w:i/>
                <w:sz w:val="18"/>
                <w:szCs w:val="18"/>
                <w:highlight w:val="white"/>
              </w:rPr>
              <w:t>me</w:t>
            </w:r>
            <w:r w:rsidRPr="00A608C7">
              <w:rPr>
                <w:rFonts w:ascii="Arial" w:hAnsi="Arial" w:cs="Arial"/>
                <w:i/>
                <w:sz w:val="18"/>
                <w:szCs w:val="18"/>
                <w:highlight w:val="white"/>
              </w:rPr>
              <w:t xml:space="preserve"> SW Oltenia” (ROP)</w:t>
            </w:r>
          </w:p>
          <w:p w14:paraId="2C27555E" w14:textId="69906FD9" w:rsidR="001A7A04" w:rsidRPr="00A608C7" w:rsidRDefault="001A7A04" w:rsidP="00964831">
            <w:pPr>
              <w:shd w:val="clear" w:color="auto" w:fill="FFFFFF"/>
              <w:rPr>
                <w:rFonts w:ascii="Arial" w:hAnsi="Arial" w:cs="Arial"/>
                <w:color w:val="000000"/>
                <w:sz w:val="18"/>
                <w:szCs w:val="18"/>
              </w:rPr>
            </w:pPr>
            <w:r w:rsidRPr="000A7086">
              <w:rPr>
                <w:rFonts w:ascii="Arial" w:hAnsi="Arial" w:cs="Arial"/>
                <w:iCs/>
                <w:sz w:val="18"/>
                <w:szCs w:val="18"/>
                <w:u w:val="single"/>
              </w:rPr>
              <w:t xml:space="preserve">Priority Axis 1 </w:t>
            </w:r>
            <w:r w:rsidRPr="00A608C7">
              <w:rPr>
                <w:rFonts w:ascii="Arial" w:hAnsi="Arial" w:cs="Arial"/>
                <w:iCs/>
                <w:color w:val="000000"/>
                <w:sz w:val="18"/>
                <w:szCs w:val="18"/>
                <w:u w:val="single"/>
              </w:rPr>
              <w:t>Competitiveness through innovation and dynamic enterprises</w:t>
            </w:r>
            <w:r w:rsidRPr="00A608C7">
              <w:rPr>
                <w:rFonts w:ascii="Arial" w:hAnsi="Arial" w:cs="Arial"/>
                <w:iCs/>
                <w:color w:val="000000"/>
                <w:sz w:val="18"/>
                <w:szCs w:val="18"/>
              </w:rPr>
              <w:t xml:space="preserve">, </w:t>
            </w:r>
            <w:r w:rsidRPr="00A608C7">
              <w:rPr>
                <w:rFonts w:ascii="Arial" w:hAnsi="Arial" w:cs="Arial"/>
                <w:iCs/>
                <w:color w:val="000000"/>
                <w:sz w:val="18"/>
                <w:szCs w:val="18"/>
                <w:lang w:val="en-US"/>
              </w:rPr>
              <w:t xml:space="preserve">EUR </w:t>
            </w:r>
            <w:r w:rsidRPr="00A608C7">
              <w:rPr>
                <w:rFonts w:ascii="Arial" w:hAnsi="Arial" w:cs="Arial"/>
                <w:iCs/>
                <w:color w:val="000000"/>
                <w:sz w:val="18"/>
                <w:szCs w:val="18"/>
              </w:rPr>
              <w:t>183</w:t>
            </w:r>
            <w:r w:rsidRPr="00A608C7">
              <w:rPr>
                <w:rFonts w:ascii="Arial" w:hAnsi="Arial" w:cs="Arial"/>
                <w:iCs/>
                <w:color w:val="000000"/>
                <w:spacing w:val="-1"/>
                <w:sz w:val="18"/>
                <w:szCs w:val="18"/>
              </w:rPr>
              <w:t>.</w:t>
            </w:r>
            <w:r w:rsidRPr="00A608C7">
              <w:rPr>
                <w:rFonts w:ascii="Arial" w:hAnsi="Arial" w:cs="Arial"/>
                <w:iCs/>
                <w:color w:val="000000"/>
                <w:sz w:val="18"/>
                <w:szCs w:val="18"/>
              </w:rPr>
              <w:t>0</w:t>
            </w:r>
            <w:r w:rsidRPr="00A608C7">
              <w:rPr>
                <w:rFonts w:ascii="Arial" w:hAnsi="Arial" w:cs="Arial"/>
                <w:iCs/>
                <w:color w:val="000000"/>
                <w:spacing w:val="-1"/>
                <w:sz w:val="18"/>
                <w:szCs w:val="18"/>
              </w:rPr>
              <w:t>9</w:t>
            </w:r>
            <w:r w:rsidRPr="00A608C7">
              <w:rPr>
                <w:rFonts w:ascii="Arial" w:hAnsi="Arial" w:cs="Arial"/>
                <w:iCs/>
                <w:color w:val="000000"/>
                <w:spacing w:val="1"/>
                <w:sz w:val="18"/>
                <w:szCs w:val="18"/>
              </w:rPr>
              <w:t>4</w:t>
            </w:r>
            <w:r w:rsidRPr="00A608C7">
              <w:rPr>
                <w:rFonts w:ascii="Arial" w:hAnsi="Arial" w:cs="Arial"/>
                <w:iCs/>
                <w:color w:val="000000"/>
                <w:sz w:val="18"/>
                <w:szCs w:val="18"/>
              </w:rPr>
              <w:t>.0</w:t>
            </w:r>
            <w:r w:rsidRPr="00A608C7">
              <w:rPr>
                <w:rFonts w:ascii="Arial" w:hAnsi="Arial" w:cs="Arial"/>
                <w:iCs/>
                <w:color w:val="000000"/>
                <w:spacing w:val="-1"/>
                <w:sz w:val="18"/>
                <w:szCs w:val="18"/>
              </w:rPr>
              <w:t>0</w:t>
            </w:r>
            <w:r w:rsidRPr="00A608C7">
              <w:rPr>
                <w:rFonts w:ascii="Arial" w:hAnsi="Arial" w:cs="Arial"/>
                <w:iCs/>
                <w:color w:val="000000"/>
                <w:sz w:val="18"/>
                <w:szCs w:val="18"/>
              </w:rPr>
              <w:t>0</w:t>
            </w:r>
            <w:r w:rsidRPr="00A608C7">
              <w:rPr>
                <w:rFonts w:ascii="Arial" w:hAnsi="Arial" w:cs="Arial"/>
                <w:iCs/>
                <w:color w:val="000000"/>
                <w:sz w:val="18"/>
                <w:szCs w:val="18"/>
                <w:lang w:val="en-US"/>
              </w:rPr>
              <w:t xml:space="preserve">, </w:t>
            </w:r>
            <w:r w:rsidRPr="00A608C7">
              <w:rPr>
                <w:rFonts w:ascii="Arial" w:hAnsi="Arial" w:cs="Arial"/>
                <w:iCs/>
                <w:color w:val="000000"/>
                <w:sz w:val="18"/>
                <w:szCs w:val="18"/>
              </w:rPr>
              <w:t xml:space="preserve">OP1/OS1 Development of research and innovation capacities and adoption of advanced technologies, </w:t>
            </w:r>
            <w:r w:rsidRPr="00A608C7">
              <w:rPr>
                <w:rFonts w:ascii="Arial" w:hAnsi="Arial" w:cs="Arial"/>
                <w:iCs/>
                <w:color w:val="000000"/>
                <w:sz w:val="18"/>
                <w:szCs w:val="18"/>
                <w:lang w:val="en-US"/>
              </w:rPr>
              <w:t xml:space="preserve">EUR </w:t>
            </w:r>
            <w:r w:rsidRPr="00A608C7">
              <w:rPr>
                <w:rFonts w:ascii="Arial" w:hAnsi="Arial" w:cs="Arial"/>
                <w:iCs/>
                <w:color w:val="000000"/>
                <w:sz w:val="18"/>
                <w:szCs w:val="18"/>
              </w:rPr>
              <w:t>58.</w:t>
            </w:r>
            <w:r w:rsidRPr="00A608C7">
              <w:rPr>
                <w:rFonts w:ascii="Arial" w:hAnsi="Arial" w:cs="Arial"/>
                <w:iCs/>
                <w:color w:val="000000"/>
                <w:spacing w:val="-1"/>
                <w:sz w:val="18"/>
                <w:szCs w:val="18"/>
              </w:rPr>
              <w:t>5</w:t>
            </w:r>
            <w:r w:rsidRPr="00A608C7">
              <w:rPr>
                <w:rFonts w:ascii="Arial" w:hAnsi="Arial" w:cs="Arial"/>
                <w:iCs/>
                <w:color w:val="000000"/>
                <w:sz w:val="18"/>
                <w:szCs w:val="18"/>
              </w:rPr>
              <w:t>46.</w:t>
            </w:r>
            <w:r w:rsidRPr="00A608C7">
              <w:rPr>
                <w:rFonts w:ascii="Arial" w:hAnsi="Arial" w:cs="Arial"/>
                <w:iCs/>
                <w:color w:val="000000"/>
                <w:spacing w:val="-1"/>
                <w:sz w:val="18"/>
                <w:szCs w:val="18"/>
              </w:rPr>
              <w:t>0</w:t>
            </w:r>
            <w:r w:rsidRPr="00A608C7">
              <w:rPr>
                <w:rFonts w:ascii="Arial" w:hAnsi="Arial" w:cs="Arial"/>
                <w:iCs/>
                <w:color w:val="000000"/>
                <w:sz w:val="18"/>
                <w:szCs w:val="18"/>
              </w:rPr>
              <w:t>00</w:t>
            </w:r>
            <w:r w:rsidRPr="00A608C7">
              <w:rPr>
                <w:rFonts w:ascii="Arial" w:hAnsi="Arial" w:cs="Arial"/>
                <w:iCs/>
                <w:color w:val="000000"/>
                <w:sz w:val="18"/>
                <w:szCs w:val="18"/>
                <w:lang w:val="en-US"/>
              </w:rPr>
              <w:t xml:space="preserve">, </w:t>
            </w:r>
            <w:r w:rsidRPr="00A608C7">
              <w:rPr>
                <w:rFonts w:ascii="Arial" w:hAnsi="Arial" w:cs="Arial"/>
                <w:iCs/>
                <w:color w:val="000000"/>
                <w:sz w:val="18"/>
                <w:szCs w:val="18"/>
              </w:rPr>
              <w:t>OP1/OS3 Boosting the growth and competitiveness of SMEs</w:t>
            </w:r>
            <w:r w:rsidRPr="00A608C7">
              <w:rPr>
                <w:rFonts w:ascii="Arial" w:hAnsi="Arial" w:cs="Arial"/>
                <w:iCs/>
                <w:color w:val="000000"/>
                <w:sz w:val="18"/>
                <w:szCs w:val="18"/>
                <w:lang w:val="en-US"/>
              </w:rPr>
              <w:t xml:space="preserve">, EUR </w:t>
            </w:r>
            <w:r w:rsidRPr="00A608C7">
              <w:rPr>
                <w:rFonts w:ascii="Arial" w:hAnsi="Arial" w:cs="Arial"/>
                <w:color w:val="000000"/>
                <w:sz w:val="18"/>
                <w:szCs w:val="18"/>
              </w:rPr>
              <w:t>124</w:t>
            </w:r>
            <w:r w:rsidRPr="00A608C7">
              <w:rPr>
                <w:rFonts w:ascii="Arial" w:hAnsi="Arial" w:cs="Arial"/>
                <w:color w:val="000000"/>
                <w:spacing w:val="-1"/>
                <w:sz w:val="18"/>
                <w:szCs w:val="18"/>
              </w:rPr>
              <w:t>.</w:t>
            </w:r>
            <w:r w:rsidRPr="00A608C7">
              <w:rPr>
                <w:rFonts w:ascii="Arial" w:hAnsi="Arial" w:cs="Arial"/>
                <w:color w:val="000000"/>
                <w:sz w:val="18"/>
                <w:szCs w:val="18"/>
              </w:rPr>
              <w:t>5</w:t>
            </w:r>
            <w:r w:rsidRPr="00A608C7">
              <w:rPr>
                <w:rFonts w:ascii="Arial" w:hAnsi="Arial" w:cs="Arial"/>
                <w:color w:val="000000"/>
                <w:spacing w:val="-1"/>
                <w:sz w:val="18"/>
                <w:szCs w:val="18"/>
              </w:rPr>
              <w:t>4</w:t>
            </w:r>
            <w:r w:rsidRPr="00A608C7">
              <w:rPr>
                <w:rFonts w:ascii="Arial" w:hAnsi="Arial" w:cs="Arial"/>
                <w:color w:val="000000"/>
                <w:sz w:val="18"/>
                <w:szCs w:val="18"/>
              </w:rPr>
              <w:t>8.0</w:t>
            </w:r>
            <w:r w:rsidRPr="00A608C7">
              <w:rPr>
                <w:rFonts w:ascii="Arial" w:hAnsi="Arial" w:cs="Arial"/>
                <w:color w:val="000000"/>
                <w:spacing w:val="-1"/>
                <w:sz w:val="18"/>
                <w:szCs w:val="18"/>
              </w:rPr>
              <w:t>0</w:t>
            </w:r>
            <w:r w:rsidRPr="00A608C7">
              <w:rPr>
                <w:rFonts w:ascii="Arial" w:hAnsi="Arial" w:cs="Arial"/>
                <w:color w:val="000000"/>
                <w:sz w:val="18"/>
                <w:szCs w:val="18"/>
              </w:rPr>
              <w:t>0</w:t>
            </w:r>
          </w:p>
          <w:p w14:paraId="7C02C4D9" w14:textId="566C987F" w:rsidR="001A7A04" w:rsidRPr="00A608C7" w:rsidRDefault="001A7A04" w:rsidP="00964831">
            <w:pPr>
              <w:shd w:val="clear" w:color="auto" w:fill="FFFFFF"/>
              <w:rPr>
                <w:rFonts w:ascii="Arial" w:eastAsia="Calibri" w:hAnsi="Arial" w:cs="Arial"/>
                <w:sz w:val="18"/>
                <w:szCs w:val="18"/>
              </w:rPr>
            </w:pPr>
            <w:r w:rsidRPr="000A7086">
              <w:rPr>
                <w:rFonts w:ascii="Arial" w:hAnsi="Arial" w:cs="Arial"/>
                <w:i/>
                <w:color w:val="000000"/>
                <w:sz w:val="18"/>
                <w:szCs w:val="18"/>
                <w:u w:val="single"/>
              </w:rPr>
              <w:t>Priority Axis 2 Digiti</w:t>
            </w:r>
            <w:r w:rsidR="004E7B64">
              <w:rPr>
                <w:rFonts w:ascii="Arial" w:hAnsi="Arial" w:cs="Arial"/>
                <w:i/>
                <w:color w:val="000000"/>
                <w:sz w:val="18"/>
                <w:szCs w:val="18"/>
                <w:u w:val="single"/>
              </w:rPr>
              <w:t>sation</w:t>
            </w:r>
            <w:r w:rsidRPr="000A7086">
              <w:rPr>
                <w:rFonts w:ascii="Arial" w:hAnsi="Arial" w:cs="Arial"/>
                <w:i/>
                <w:color w:val="000000"/>
                <w:sz w:val="18"/>
                <w:szCs w:val="18"/>
                <w:u w:val="single"/>
              </w:rPr>
              <w:t xml:space="preserve"> for the benefit of citizens and companies</w:t>
            </w:r>
            <w:r w:rsidRPr="00A608C7">
              <w:rPr>
                <w:rFonts w:ascii="Arial" w:hAnsi="Arial" w:cs="Arial"/>
                <w:iCs/>
                <w:color w:val="000000"/>
                <w:sz w:val="18"/>
                <w:szCs w:val="18"/>
              </w:rPr>
              <w:t xml:space="preserve">, </w:t>
            </w:r>
            <w:r w:rsidRPr="00A608C7">
              <w:rPr>
                <w:rFonts w:ascii="Arial" w:hAnsi="Arial" w:cs="Arial"/>
                <w:iCs/>
                <w:color w:val="000000"/>
                <w:sz w:val="18"/>
                <w:szCs w:val="18"/>
                <w:lang w:val="en-US"/>
              </w:rPr>
              <w:t xml:space="preserve">EUR </w:t>
            </w:r>
            <w:r w:rsidRPr="00A608C7">
              <w:rPr>
                <w:rFonts w:ascii="Arial" w:hAnsi="Arial" w:cs="Arial"/>
                <w:color w:val="000000"/>
                <w:sz w:val="18"/>
                <w:szCs w:val="18"/>
              </w:rPr>
              <w:t>113</w:t>
            </w:r>
            <w:r w:rsidRPr="00A608C7">
              <w:rPr>
                <w:rFonts w:ascii="Arial" w:hAnsi="Arial" w:cs="Arial"/>
                <w:color w:val="000000"/>
                <w:spacing w:val="-1"/>
                <w:sz w:val="18"/>
                <w:szCs w:val="18"/>
              </w:rPr>
              <w:t>.</w:t>
            </w:r>
            <w:r w:rsidRPr="00A608C7">
              <w:rPr>
                <w:rFonts w:ascii="Arial" w:hAnsi="Arial" w:cs="Arial"/>
                <w:color w:val="000000"/>
                <w:sz w:val="18"/>
                <w:szCs w:val="18"/>
              </w:rPr>
              <w:t>1</w:t>
            </w:r>
            <w:r w:rsidRPr="00A608C7">
              <w:rPr>
                <w:rFonts w:ascii="Arial" w:hAnsi="Arial" w:cs="Arial"/>
                <w:color w:val="000000"/>
                <w:spacing w:val="-1"/>
                <w:sz w:val="18"/>
                <w:szCs w:val="18"/>
              </w:rPr>
              <w:t>8</w:t>
            </w:r>
            <w:r w:rsidRPr="00A608C7">
              <w:rPr>
                <w:rFonts w:ascii="Arial" w:hAnsi="Arial" w:cs="Arial"/>
                <w:color w:val="000000"/>
                <w:sz w:val="18"/>
                <w:szCs w:val="18"/>
              </w:rPr>
              <w:t>4.000</w:t>
            </w:r>
            <w:r w:rsidRPr="00A608C7">
              <w:rPr>
                <w:rFonts w:ascii="Arial" w:hAnsi="Arial" w:cs="Arial"/>
                <w:color w:val="000000"/>
                <w:sz w:val="18"/>
                <w:szCs w:val="18"/>
                <w:lang w:val="en-US"/>
              </w:rPr>
              <w:t xml:space="preserve">, </w:t>
            </w:r>
            <w:r w:rsidRPr="00A608C7">
              <w:rPr>
                <w:rFonts w:ascii="Arial" w:hAnsi="Arial" w:cs="Arial"/>
                <w:iCs/>
                <w:color w:val="000000"/>
                <w:sz w:val="18"/>
                <w:szCs w:val="18"/>
              </w:rPr>
              <w:t>OP1/OS2 Harnessing the benefits of digiti</w:t>
            </w:r>
            <w:r w:rsidR="004E7B64">
              <w:rPr>
                <w:rFonts w:ascii="Arial" w:hAnsi="Arial" w:cs="Arial"/>
                <w:iCs/>
                <w:color w:val="000000"/>
                <w:sz w:val="18"/>
                <w:szCs w:val="18"/>
              </w:rPr>
              <w:t>sation</w:t>
            </w:r>
            <w:r w:rsidRPr="00A608C7">
              <w:rPr>
                <w:rFonts w:ascii="Arial" w:hAnsi="Arial" w:cs="Arial"/>
                <w:iCs/>
                <w:color w:val="000000"/>
                <w:sz w:val="18"/>
                <w:szCs w:val="18"/>
              </w:rPr>
              <w:t xml:space="preserve"> for the benefit of citizens of companies and governments</w:t>
            </w:r>
            <w:r w:rsidRPr="00A608C7">
              <w:rPr>
                <w:rFonts w:ascii="Arial" w:hAnsi="Arial" w:cs="Arial"/>
                <w:iCs/>
                <w:color w:val="000000"/>
                <w:sz w:val="18"/>
                <w:szCs w:val="18"/>
                <w:lang w:val="en-US"/>
              </w:rPr>
              <w:t xml:space="preserve">, EUR </w:t>
            </w:r>
            <w:r w:rsidRPr="00A608C7">
              <w:rPr>
                <w:rFonts w:ascii="Arial" w:hAnsi="Arial" w:cs="Arial"/>
                <w:color w:val="000000"/>
                <w:sz w:val="18"/>
                <w:szCs w:val="18"/>
              </w:rPr>
              <w:t>113</w:t>
            </w:r>
            <w:r w:rsidRPr="00A608C7">
              <w:rPr>
                <w:rFonts w:ascii="Arial" w:hAnsi="Arial" w:cs="Arial"/>
                <w:color w:val="000000"/>
                <w:spacing w:val="-1"/>
                <w:sz w:val="18"/>
                <w:szCs w:val="18"/>
              </w:rPr>
              <w:t>.</w:t>
            </w:r>
            <w:r w:rsidRPr="00A608C7">
              <w:rPr>
                <w:rFonts w:ascii="Arial" w:hAnsi="Arial" w:cs="Arial"/>
                <w:color w:val="000000"/>
                <w:sz w:val="18"/>
                <w:szCs w:val="18"/>
              </w:rPr>
              <w:t>1</w:t>
            </w:r>
            <w:r w:rsidRPr="00A608C7">
              <w:rPr>
                <w:rFonts w:ascii="Arial" w:hAnsi="Arial" w:cs="Arial"/>
                <w:color w:val="000000"/>
                <w:spacing w:val="-1"/>
                <w:sz w:val="18"/>
                <w:szCs w:val="18"/>
              </w:rPr>
              <w:t>8</w:t>
            </w:r>
            <w:r w:rsidRPr="00A608C7">
              <w:rPr>
                <w:rFonts w:ascii="Arial" w:hAnsi="Arial" w:cs="Arial"/>
                <w:color w:val="000000"/>
                <w:sz w:val="18"/>
                <w:szCs w:val="18"/>
              </w:rPr>
              <w:t>4</w:t>
            </w:r>
            <w:r w:rsidRPr="00A608C7">
              <w:rPr>
                <w:rFonts w:ascii="Arial" w:hAnsi="Arial" w:cs="Arial"/>
                <w:color w:val="000000"/>
                <w:spacing w:val="-1"/>
                <w:sz w:val="18"/>
                <w:szCs w:val="18"/>
              </w:rPr>
              <w:t>.</w:t>
            </w:r>
            <w:r w:rsidRPr="00A608C7">
              <w:rPr>
                <w:rFonts w:ascii="Arial" w:hAnsi="Arial" w:cs="Arial"/>
                <w:color w:val="000000"/>
                <w:sz w:val="18"/>
                <w:szCs w:val="18"/>
              </w:rPr>
              <w:t>000</w:t>
            </w:r>
            <w:r w:rsidRPr="00A608C7">
              <w:rPr>
                <w:rFonts w:ascii="Arial" w:hAnsi="Arial" w:cs="Arial"/>
                <w:color w:val="000000"/>
                <w:spacing w:val="1"/>
                <w:sz w:val="18"/>
                <w:szCs w:val="18"/>
              </w:rPr>
              <w:t xml:space="preserve"> </w:t>
            </w:r>
          </w:p>
        </w:tc>
      </w:tr>
      <w:tr w:rsidR="001A7A04" w:rsidRPr="00A608C7" w14:paraId="5E3947CD" w14:textId="77777777" w:rsidTr="00964831">
        <w:trPr>
          <w:trHeight w:val="765"/>
        </w:trPr>
        <w:tc>
          <w:tcPr>
            <w:tcW w:w="1171" w:type="pct"/>
            <w:vMerge/>
            <w:shd w:val="clear" w:color="auto" w:fill="auto"/>
            <w:tcMar>
              <w:top w:w="100" w:type="dxa"/>
              <w:left w:w="100" w:type="dxa"/>
              <w:bottom w:w="100" w:type="dxa"/>
              <w:right w:w="100" w:type="dxa"/>
            </w:tcMar>
          </w:tcPr>
          <w:p w14:paraId="5D896A3B" w14:textId="77777777" w:rsidR="001A7A04" w:rsidRPr="00A608C7" w:rsidRDefault="001A7A04" w:rsidP="00964831">
            <w:pPr>
              <w:shd w:val="clear" w:color="auto" w:fill="FFFFFF"/>
              <w:rPr>
                <w:rFonts w:ascii="Arial" w:hAnsi="Arial" w:cs="Arial"/>
                <w:sz w:val="18"/>
                <w:szCs w:val="18"/>
              </w:rPr>
            </w:pPr>
          </w:p>
        </w:tc>
        <w:tc>
          <w:tcPr>
            <w:tcW w:w="3828" w:type="pct"/>
            <w:shd w:val="clear" w:color="auto" w:fill="auto"/>
            <w:tcMar>
              <w:top w:w="0" w:type="dxa"/>
              <w:left w:w="100" w:type="dxa"/>
              <w:bottom w:w="0" w:type="dxa"/>
              <w:right w:w="100" w:type="dxa"/>
            </w:tcMar>
          </w:tcPr>
          <w:p w14:paraId="7BBD37B1" w14:textId="1148279A" w:rsidR="001A7A04" w:rsidRPr="00A608C7" w:rsidRDefault="001A7A04" w:rsidP="00964831">
            <w:pPr>
              <w:tabs>
                <w:tab w:val="left" w:pos="10076"/>
                <w:tab w:val="left" w:pos="10992"/>
                <w:tab w:val="left" w:pos="11908"/>
                <w:tab w:val="left" w:pos="12824"/>
                <w:tab w:val="left" w:pos="13740"/>
                <w:tab w:val="left" w:pos="14656"/>
              </w:tabs>
              <w:jc w:val="both"/>
              <w:rPr>
                <w:rFonts w:ascii="Arial" w:hAnsi="Arial" w:cs="Arial"/>
                <w:i/>
                <w:sz w:val="18"/>
                <w:szCs w:val="18"/>
                <w:highlight w:val="white"/>
              </w:rPr>
            </w:pPr>
            <w:r w:rsidRPr="00A608C7">
              <w:rPr>
                <w:rFonts w:ascii="Arial" w:hAnsi="Arial" w:cs="Arial"/>
                <w:i/>
                <w:sz w:val="18"/>
                <w:szCs w:val="18"/>
                <w:highlight w:val="white"/>
              </w:rPr>
              <w:t xml:space="preserve">“National </w:t>
            </w:r>
            <w:r w:rsidR="00A608C7">
              <w:rPr>
                <w:rFonts w:ascii="Arial" w:hAnsi="Arial" w:cs="Arial"/>
                <w:i/>
                <w:sz w:val="18"/>
                <w:szCs w:val="18"/>
                <w:highlight w:val="white"/>
              </w:rPr>
              <w:t>Recovery and Resilience Plan</w:t>
            </w:r>
            <w:r w:rsidRPr="00A608C7">
              <w:rPr>
                <w:rFonts w:ascii="Arial" w:hAnsi="Arial" w:cs="Arial"/>
                <w:i/>
                <w:sz w:val="18"/>
                <w:szCs w:val="18"/>
                <w:highlight w:val="white"/>
              </w:rPr>
              <w:t xml:space="preserve"> (</w:t>
            </w:r>
            <w:r w:rsidR="00A608C7">
              <w:rPr>
                <w:rFonts w:ascii="Arial" w:hAnsi="Arial" w:cs="Arial"/>
                <w:i/>
                <w:sz w:val="18"/>
                <w:szCs w:val="18"/>
                <w:highlight w:val="white"/>
              </w:rPr>
              <w:t>RRP</w:t>
            </w:r>
            <w:r w:rsidRPr="00A608C7">
              <w:rPr>
                <w:rFonts w:ascii="Arial" w:hAnsi="Arial" w:cs="Arial"/>
                <w:i/>
                <w:sz w:val="18"/>
                <w:szCs w:val="18"/>
                <w:highlight w:val="white"/>
              </w:rPr>
              <w:t>)</w:t>
            </w:r>
          </w:p>
          <w:p w14:paraId="250E6E79" w14:textId="1D531665" w:rsidR="001A7A04" w:rsidRPr="00A608C7" w:rsidRDefault="001A7A04" w:rsidP="00964831">
            <w:pPr>
              <w:tabs>
                <w:tab w:val="left" w:pos="10076"/>
                <w:tab w:val="left" w:pos="10992"/>
                <w:tab w:val="left" w:pos="11908"/>
                <w:tab w:val="left" w:pos="12824"/>
                <w:tab w:val="left" w:pos="13740"/>
                <w:tab w:val="left" w:pos="14656"/>
              </w:tabs>
              <w:jc w:val="both"/>
              <w:rPr>
                <w:rFonts w:ascii="Arial" w:hAnsi="Arial" w:cs="Arial"/>
                <w:sz w:val="18"/>
                <w:szCs w:val="18"/>
              </w:rPr>
            </w:pPr>
            <w:r w:rsidRPr="00A608C7">
              <w:rPr>
                <w:rFonts w:ascii="Arial" w:hAnsi="Arial" w:cs="Arial"/>
                <w:i/>
                <w:sz w:val="18"/>
                <w:szCs w:val="18"/>
                <w:u w:val="single"/>
              </w:rPr>
              <w:t>Pillar II Digital transformation</w:t>
            </w:r>
            <w:r w:rsidRPr="00A608C7">
              <w:rPr>
                <w:rFonts w:ascii="Arial" w:hAnsi="Arial" w:cs="Arial"/>
                <w:i/>
                <w:sz w:val="18"/>
                <w:szCs w:val="18"/>
              </w:rPr>
              <w:t>,</w:t>
            </w:r>
            <w:r w:rsidRPr="00A608C7">
              <w:rPr>
                <w:rFonts w:ascii="Arial" w:hAnsi="Arial" w:cs="Arial"/>
                <w:sz w:val="18"/>
                <w:szCs w:val="18"/>
              </w:rPr>
              <w:t xml:space="preserve"> Component 1 II.1 Government cloud and interconnected digital systems in public administration, signature and electronic identity, promotion of high value-added investments in IC</w:t>
            </w:r>
            <w:r w:rsidRPr="00A608C7">
              <w:rPr>
                <w:rFonts w:ascii="Arial" w:hAnsi="Arial" w:cs="Arial"/>
                <w:sz w:val="18"/>
                <w:szCs w:val="18"/>
                <w:lang w:val="en-US"/>
              </w:rPr>
              <w:t xml:space="preserve">, EUR </w:t>
            </w:r>
            <w:r w:rsidRPr="00A608C7">
              <w:rPr>
                <w:rFonts w:ascii="Arial" w:hAnsi="Arial" w:cs="Arial"/>
                <w:sz w:val="18"/>
                <w:szCs w:val="18"/>
              </w:rPr>
              <w:t>1.89</w:t>
            </w:r>
            <w:r w:rsidR="001552CD" w:rsidRPr="00A608C7">
              <w:rPr>
                <w:rFonts w:ascii="Arial" w:hAnsi="Arial" w:cs="Arial"/>
                <w:sz w:val="18"/>
                <w:szCs w:val="18"/>
              </w:rPr>
              <w:t xml:space="preserve"> bn</w:t>
            </w:r>
          </w:p>
          <w:p w14:paraId="35B0E476" w14:textId="1823ECE1" w:rsidR="001A7A04" w:rsidRPr="00A608C7" w:rsidRDefault="001A7A04" w:rsidP="00964831">
            <w:pPr>
              <w:rPr>
                <w:rFonts w:ascii="Arial" w:hAnsi="Arial" w:cs="Arial"/>
                <w:sz w:val="18"/>
                <w:szCs w:val="18"/>
              </w:rPr>
            </w:pPr>
            <w:r w:rsidRPr="00A608C7">
              <w:rPr>
                <w:rFonts w:ascii="Arial" w:hAnsi="Arial" w:cs="Arial"/>
                <w:i/>
                <w:sz w:val="18"/>
                <w:szCs w:val="18"/>
                <w:u w:val="single"/>
              </w:rPr>
              <w:t>Pillar III Smart, sustainable and inclusive growth</w:t>
            </w:r>
            <w:r w:rsidRPr="00A608C7">
              <w:rPr>
                <w:rFonts w:ascii="Arial" w:hAnsi="Arial" w:cs="Arial"/>
                <w:sz w:val="18"/>
                <w:szCs w:val="18"/>
              </w:rPr>
              <w:t>, Component 9.</w:t>
            </w:r>
            <w:r w:rsidRPr="00A608C7">
              <w:rPr>
                <w:rFonts w:ascii="Arial" w:hAnsi="Arial" w:cs="Arial"/>
                <w:sz w:val="18"/>
                <w:szCs w:val="18"/>
                <w:lang w:val="en-US"/>
              </w:rPr>
              <w:t xml:space="preserve"> EUR </w:t>
            </w:r>
            <w:r w:rsidRPr="00A608C7">
              <w:rPr>
                <w:rFonts w:ascii="Arial" w:hAnsi="Arial" w:cs="Arial"/>
                <w:sz w:val="18"/>
                <w:szCs w:val="18"/>
              </w:rPr>
              <w:t>2</w:t>
            </w:r>
            <w:r w:rsidR="005A7142" w:rsidRPr="00A608C7">
              <w:rPr>
                <w:rFonts w:ascii="Arial" w:hAnsi="Arial" w:cs="Arial"/>
                <w:sz w:val="18"/>
                <w:szCs w:val="18"/>
              </w:rPr>
              <w:t>.</w:t>
            </w:r>
            <w:r w:rsidRPr="00A608C7">
              <w:rPr>
                <w:rFonts w:ascii="Arial" w:hAnsi="Arial" w:cs="Arial"/>
                <w:sz w:val="18"/>
                <w:szCs w:val="18"/>
              </w:rPr>
              <w:t>36</w:t>
            </w:r>
            <w:r w:rsidR="001552CD" w:rsidRPr="00A608C7">
              <w:rPr>
                <w:rFonts w:ascii="Arial" w:hAnsi="Arial" w:cs="Arial"/>
                <w:sz w:val="18"/>
                <w:szCs w:val="18"/>
              </w:rPr>
              <w:t xml:space="preserve"> bn</w:t>
            </w:r>
          </w:p>
        </w:tc>
      </w:tr>
      <w:tr w:rsidR="001A7A04" w:rsidRPr="00A608C7" w14:paraId="4E290AED" w14:textId="77777777" w:rsidTr="000A7086">
        <w:trPr>
          <w:trHeight w:val="2312"/>
        </w:trPr>
        <w:tc>
          <w:tcPr>
            <w:tcW w:w="1171" w:type="pct"/>
            <w:vMerge w:val="restart"/>
            <w:shd w:val="clear" w:color="auto" w:fill="auto"/>
            <w:tcMar>
              <w:top w:w="0" w:type="dxa"/>
              <w:left w:w="100" w:type="dxa"/>
              <w:bottom w:w="0" w:type="dxa"/>
              <w:right w:w="100" w:type="dxa"/>
            </w:tcMar>
          </w:tcPr>
          <w:p w14:paraId="56846182" w14:textId="3543347A" w:rsidR="001A7A04" w:rsidRPr="000A7086" w:rsidRDefault="00A608C7" w:rsidP="00964831">
            <w:pPr>
              <w:tabs>
                <w:tab w:val="left" w:pos="1620"/>
              </w:tabs>
              <w:rPr>
                <w:rFonts w:ascii="Arial" w:hAnsi="Arial" w:cs="Arial"/>
                <w:bCs/>
                <w:sz w:val="18"/>
                <w:szCs w:val="18"/>
                <w:highlight w:val="white"/>
                <w:lang w:val="en-US"/>
              </w:rPr>
            </w:pPr>
            <w:r w:rsidRPr="000A7086">
              <w:rPr>
                <w:rFonts w:ascii="Arial" w:hAnsi="Arial" w:cs="Arial"/>
                <w:bCs/>
                <w:sz w:val="18"/>
                <w:szCs w:val="18"/>
                <w:highlight w:val="white"/>
                <w:lang w:val="en-US"/>
              </w:rPr>
              <w:t xml:space="preserve">Type </w:t>
            </w:r>
            <w:r w:rsidR="001A7A04" w:rsidRPr="000A7086">
              <w:rPr>
                <w:rFonts w:ascii="Arial" w:hAnsi="Arial" w:cs="Arial"/>
                <w:bCs/>
                <w:sz w:val="18"/>
                <w:szCs w:val="18"/>
                <w:highlight w:val="white"/>
                <w:lang w:val="en-US"/>
              </w:rPr>
              <w:t>2</w:t>
            </w:r>
          </w:p>
          <w:p w14:paraId="2F9D907E" w14:textId="77777777" w:rsidR="001A7A04" w:rsidRPr="000A7086" w:rsidRDefault="001A7A04" w:rsidP="00964831">
            <w:pPr>
              <w:tabs>
                <w:tab w:val="left" w:pos="1620"/>
              </w:tabs>
              <w:rPr>
                <w:rFonts w:ascii="Arial" w:hAnsi="Arial" w:cs="Arial"/>
                <w:bCs/>
                <w:sz w:val="18"/>
                <w:szCs w:val="18"/>
                <w:lang w:val="ro-RO"/>
              </w:rPr>
            </w:pPr>
            <w:r w:rsidRPr="000A7086">
              <w:rPr>
                <w:rFonts w:ascii="Arial" w:hAnsi="Arial" w:cs="Arial"/>
                <w:bCs/>
                <w:sz w:val="18"/>
                <w:szCs w:val="18"/>
                <w:highlight w:val="white"/>
              </w:rPr>
              <w:t>The opportunities for investing in new technologies and infrastructure for green energy,  pollution reduction and circular economy</w:t>
            </w:r>
          </w:p>
          <w:p w14:paraId="4ABD0A90" w14:textId="77777777" w:rsidR="001A7A04" w:rsidRPr="00A608C7" w:rsidRDefault="001A7A04" w:rsidP="00964831">
            <w:pPr>
              <w:ind w:left="1627"/>
              <w:rPr>
                <w:rFonts w:ascii="Arial" w:hAnsi="Arial" w:cs="Arial"/>
                <w:i/>
                <w:iCs/>
                <w:sz w:val="18"/>
                <w:szCs w:val="18"/>
              </w:rPr>
            </w:pPr>
            <w:r w:rsidRPr="00A608C7">
              <w:rPr>
                <w:rFonts w:ascii="Arial" w:hAnsi="Arial" w:cs="Arial"/>
                <w:i/>
                <w:iCs/>
                <w:color w:val="000000"/>
                <w:sz w:val="18"/>
                <w:szCs w:val="18"/>
              </w:rPr>
              <w:t xml:space="preserve"> </w:t>
            </w:r>
          </w:p>
          <w:p w14:paraId="514B1984" w14:textId="77777777" w:rsidR="001A7A04" w:rsidRPr="00A608C7" w:rsidRDefault="001A7A04" w:rsidP="00964831">
            <w:pPr>
              <w:tabs>
                <w:tab w:val="left" w:pos="10076"/>
                <w:tab w:val="left" w:pos="10992"/>
                <w:tab w:val="left" w:pos="11908"/>
                <w:tab w:val="left" w:pos="12824"/>
                <w:tab w:val="left" w:pos="13740"/>
                <w:tab w:val="left" w:pos="14656"/>
              </w:tabs>
              <w:ind w:left="1440" w:hanging="1440"/>
              <w:rPr>
                <w:rFonts w:ascii="Arial" w:hAnsi="Arial" w:cs="Arial"/>
                <w:i/>
                <w:iCs/>
                <w:sz w:val="18"/>
                <w:szCs w:val="18"/>
              </w:rPr>
            </w:pPr>
            <w:r w:rsidRPr="00A608C7">
              <w:rPr>
                <w:rFonts w:ascii="Arial" w:hAnsi="Arial" w:cs="Arial"/>
                <w:i/>
                <w:iCs/>
                <w:sz w:val="18"/>
                <w:szCs w:val="18"/>
              </w:rPr>
              <w:t xml:space="preserve">                         </w:t>
            </w:r>
          </w:p>
          <w:p w14:paraId="491EC9AD" w14:textId="77777777" w:rsidR="001A7A04" w:rsidRPr="00A608C7" w:rsidRDefault="001A7A04" w:rsidP="00964831">
            <w:pPr>
              <w:rPr>
                <w:rFonts w:ascii="Arial" w:hAnsi="Arial" w:cs="Arial"/>
                <w:i/>
                <w:iCs/>
                <w:sz w:val="18"/>
                <w:szCs w:val="18"/>
              </w:rPr>
            </w:pPr>
          </w:p>
          <w:p w14:paraId="3D2BBAD4" w14:textId="77777777" w:rsidR="001A7A04" w:rsidRPr="00A608C7" w:rsidRDefault="001A7A04" w:rsidP="00964831">
            <w:pPr>
              <w:pStyle w:val="ListParagraph"/>
              <w:tabs>
                <w:tab w:val="left" w:pos="10076"/>
                <w:tab w:val="left" w:pos="10992"/>
                <w:tab w:val="left" w:pos="11908"/>
                <w:tab w:val="left" w:pos="12824"/>
                <w:tab w:val="left" w:pos="13740"/>
                <w:tab w:val="left" w:pos="14656"/>
              </w:tabs>
              <w:spacing w:line="240" w:lineRule="auto"/>
              <w:ind w:left="0"/>
              <w:rPr>
                <w:i/>
                <w:iCs/>
                <w:color w:val="000000"/>
                <w:sz w:val="18"/>
                <w:szCs w:val="18"/>
              </w:rPr>
            </w:pPr>
          </w:p>
          <w:p w14:paraId="51AB2DB5" w14:textId="77777777" w:rsidR="001A7A04" w:rsidRPr="00A608C7" w:rsidRDefault="001A7A04" w:rsidP="00964831">
            <w:pPr>
              <w:shd w:val="clear" w:color="auto" w:fill="FFFFFF"/>
              <w:rPr>
                <w:rFonts w:ascii="Arial" w:eastAsia="Calibri" w:hAnsi="Arial" w:cs="Arial"/>
                <w:i/>
                <w:iCs/>
                <w:sz w:val="18"/>
                <w:szCs w:val="18"/>
              </w:rPr>
            </w:pPr>
            <w:r w:rsidRPr="00A608C7">
              <w:rPr>
                <w:rFonts w:ascii="Arial" w:eastAsia="Calibri" w:hAnsi="Arial" w:cs="Arial"/>
                <w:i/>
                <w:iCs/>
                <w:sz w:val="18"/>
                <w:szCs w:val="18"/>
              </w:rPr>
              <w:t xml:space="preserve"> </w:t>
            </w:r>
          </w:p>
          <w:p w14:paraId="2F0558AA" w14:textId="77777777" w:rsidR="001A7A04" w:rsidRPr="00A608C7" w:rsidRDefault="001A7A04" w:rsidP="00964831">
            <w:pPr>
              <w:shd w:val="clear" w:color="auto" w:fill="FFFFFF"/>
              <w:rPr>
                <w:rFonts w:ascii="Arial" w:eastAsia="Calibri" w:hAnsi="Arial" w:cs="Arial"/>
                <w:i/>
                <w:iCs/>
                <w:sz w:val="18"/>
                <w:szCs w:val="18"/>
              </w:rPr>
            </w:pPr>
            <w:r w:rsidRPr="00A608C7">
              <w:rPr>
                <w:rFonts w:ascii="Arial" w:eastAsia="Calibri" w:hAnsi="Arial" w:cs="Arial"/>
                <w:i/>
                <w:iCs/>
                <w:sz w:val="18"/>
                <w:szCs w:val="18"/>
              </w:rPr>
              <w:t xml:space="preserve"> </w:t>
            </w:r>
          </w:p>
        </w:tc>
        <w:tc>
          <w:tcPr>
            <w:tcW w:w="3828" w:type="pct"/>
            <w:shd w:val="clear" w:color="auto" w:fill="auto"/>
            <w:tcMar>
              <w:top w:w="0" w:type="dxa"/>
              <w:left w:w="100" w:type="dxa"/>
              <w:bottom w:w="0" w:type="dxa"/>
              <w:right w:w="100" w:type="dxa"/>
            </w:tcMar>
          </w:tcPr>
          <w:p w14:paraId="7B273869" w14:textId="7D23A235" w:rsidR="001A7A04" w:rsidRPr="00A608C7" w:rsidRDefault="001A7A04" w:rsidP="00964831">
            <w:pPr>
              <w:ind w:right="51"/>
              <w:jc w:val="both"/>
              <w:rPr>
                <w:rFonts w:ascii="Arial" w:hAnsi="Arial" w:cs="Arial"/>
                <w:sz w:val="18"/>
                <w:szCs w:val="18"/>
                <w:highlight w:val="white"/>
              </w:rPr>
            </w:pPr>
            <w:r w:rsidRPr="00A608C7">
              <w:rPr>
                <w:rFonts w:ascii="Arial" w:hAnsi="Arial" w:cs="Arial"/>
                <w:i/>
                <w:sz w:val="18"/>
                <w:szCs w:val="18"/>
                <w:highlight w:val="white"/>
              </w:rPr>
              <w:t>“Regional Operational Program</w:t>
            </w:r>
            <w:r w:rsidR="0094678E">
              <w:rPr>
                <w:rFonts w:ascii="Arial" w:hAnsi="Arial" w:cs="Arial"/>
                <w:i/>
                <w:sz w:val="18"/>
                <w:szCs w:val="18"/>
                <w:highlight w:val="white"/>
              </w:rPr>
              <w:t>me</w:t>
            </w:r>
            <w:r w:rsidRPr="00A608C7">
              <w:rPr>
                <w:rFonts w:ascii="Arial" w:hAnsi="Arial" w:cs="Arial"/>
                <w:i/>
                <w:sz w:val="18"/>
                <w:szCs w:val="18"/>
                <w:highlight w:val="white"/>
              </w:rPr>
              <w:t xml:space="preserve"> SW Oltenia” (ROP)</w:t>
            </w:r>
            <w:r w:rsidRPr="00A608C7">
              <w:rPr>
                <w:rFonts w:ascii="Arial" w:hAnsi="Arial" w:cs="Arial"/>
                <w:sz w:val="18"/>
                <w:szCs w:val="18"/>
                <w:highlight w:val="white"/>
              </w:rPr>
              <w:t xml:space="preserve">. </w:t>
            </w:r>
          </w:p>
          <w:p w14:paraId="2AAC1F5D" w14:textId="77777777" w:rsidR="001A7A04" w:rsidRPr="00A608C7" w:rsidRDefault="001A7A04" w:rsidP="00964831">
            <w:pPr>
              <w:ind w:right="51"/>
              <w:jc w:val="both"/>
              <w:rPr>
                <w:rFonts w:ascii="Arial" w:hAnsi="Arial" w:cs="Arial"/>
                <w:color w:val="000000"/>
                <w:sz w:val="18"/>
                <w:szCs w:val="18"/>
                <w:lang w:val="en-US"/>
              </w:rPr>
            </w:pPr>
            <w:r w:rsidRPr="00A608C7">
              <w:rPr>
                <w:rFonts w:ascii="Arial" w:hAnsi="Arial" w:cs="Arial"/>
                <w:i/>
                <w:sz w:val="18"/>
                <w:szCs w:val="18"/>
                <w:highlight w:val="white"/>
                <w:u w:val="single"/>
              </w:rPr>
              <w:t>Priority Axis 3</w:t>
            </w:r>
            <w:r w:rsidRPr="00A608C7">
              <w:rPr>
                <w:rFonts w:ascii="Arial" w:hAnsi="Arial" w:cs="Arial"/>
                <w:i/>
                <w:sz w:val="18"/>
                <w:szCs w:val="18"/>
                <w:u w:val="single"/>
              </w:rPr>
              <w:t xml:space="preserve"> </w:t>
            </w:r>
            <w:r w:rsidRPr="00A608C7">
              <w:rPr>
                <w:rFonts w:ascii="Arial" w:hAnsi="Arial" w:cs="Arial"/>
                <w:i/>
                <w:color w:val="000000"/>
                <w:sz w:val="18"/>
                <w:szCs w:val="18"/>
                <w:u w:val="single"/>
              </w:rPr>
              <w:t>Energy efficiency and green infrastructure</w:t>
            </w:r>
            <w:r w:rsidRPr="00A608C7">
              <w:rPr>
                <w:rFonts w:ascii="Arial" w:hAnsi="Arial" w:cs="Arial"/>
                <w:color w:val="000000"/>
                <w:sz w:val="18"/>
                <w:szCs w:val="18"/>
              </w:rPr>
              <w:t>,</w:t>
            </w:r>
            <w:r w:rsidRPr="00A608C7">
              <w:rPr>
                <w:rFonts w:ascii="Arial" w:hAnsi="Arial" w:cs="Arial"/>
                <w:color w:val="000000"/>
                <w:sz w:val="18"/>
                <w:szCs w:val="18"/>
                <w:lang w:val="en-US"/>
              </w:rPr>
              <w:t xml:space="preserve"> EUR </w:t>
            </w:r>
            <w:r w:rsidRPr="00A608C7">
              <w:rPr>
                <w:rFonts w:ascii="Arial" w:hAnsi="Arial" w:cs="Arial"/>
                <w:color w:val="000000"/>
                <w:sz w:val="18"/>
                <w:szCs w:val="18"/>
              </w:rPr>
              <w:t>237.0</w:t>
            </w:r>
            <w:r w:rsidRPr="00A608C7">
              <w:rPr>
                <w:rFonts w:ascii="Arial" w:hAnsi="Arial" w:cs="Arial"/>
                <w:color w:val="000000"/>
                <w:spacing w:val="-1"/>
                <w:sz w:val="18"/>
                <w:szCs w:val="18"/>
              </w:rPr>
              <w:t>5</w:t>
            </w:r>
            <w:r w:rsidRPr="00A608C7">
              <w:rPr>
                <w:rFonts w:ascii="Arial" w:hAnsi="Arial" w:cs="Arial"/>
                <w:color w:val="000000"/>
                <w:sz w:val="18"/>
                <w:szCs w:val="18"/>
              </w:rPr>
              <w:t>1.0</w:t>
            </w:r>
            <w:r w:rsidRPr="00A608C7">
              <w:rPr>
                <w:rFonts w:ascii="Arial" w:hAnsi="Arial" w:cs="Arial"/>
                <w:color w:val="000000"/>
                <w:spacing w:val="-1"/>
                <w:sz w:val="18"/>
                <w:szCs w:val="18"/>
              </w:rPr>
              <w:t>0</w:t>
            </w:r>
            <w:r w:rsidRPr="00A608C7">
              <w:rPr>
                <w:rFonts w:ascii="Arial" w:hAnsi="Arial" w:cs="Arial"/>
                <w:color w:val="000000"/>
                <w:sz w:val="18"/>
                <w:szCs w:val="18"/>
              </w:rPr>
              <w:t>0</w:t>
            </w:r>
            <w:r w:rsidRPr="00A608C7">
              <w:rPr>
                <w:rFonts w:ascii="Arial" w:hAnsi="Arial" w:cs="Arial"/>
                <w:color w:val="000000"/>
                <w:sz w:val="18"/>
                <w:szCs w:val="18"/>
                <w:lang w:val="en-US"/>
              </w:rPr>
              <w:t>,</w:t>
            </w:r>
            <w:r w:rsidRPr="00A608C7">
              <w:rPr>
                <w:rFonts w:ascii="Arial" w:hAnsi="Arial" w:cs="Arial"/>
                <w:color w:val="000000"/>
                <w:sz w:val="18"/>
                <w:szCs w:val="18"/>
              </w:rPr>
              <w:t xml:space="preserve"> OP2/OS1 Promoting energy efficiency and reducing greenhouse gas emissions</w:t>
            </w:r>
            <w:r w:rsidRPr="00A608C7">
              <w:rPr>
                <w:rFonts w:ascii="Arial" w:hAnsi="Arial" w:cs="Arial"/>
                <w:color w:val="000000"/>
                <w:sz w:val="18"/>
                <w:szCs w:val="18"/>
                <w:lang w:val="en-US"/>
              </w:rPr>
              <w:t xml:space="preserve">, EUR </w:t>
            </w:r>
            <w:r w:rsidRPr="00A608C7">
              <w:rPr>
                <w:rFonts w:ascii="Arial" w:hAnsi="Arial" w:cs="Arial"/>
                <w:color w:val="000000"/>
                <w:sz w:val="18"/>
                <w:szCs w:val="18"/>
              </w:rPr>
              <w:t>161</w:t>
            </w:r>
            <w:r w:rsidRPr="00A608C7">
              <w:rPr>
                <w:rFonts w:ascii="Arial" w:hAnsi="Arial" w:cs="Arial"/>
                <w:color w:val="000000"/>
                <w:spacing w:val="-1"/>
                <w:sz w:val="18"/>
                <w:szCs w:val="18"/>
              </w:rPr>
              <w:t>.</w:t>
            </w:r>
            <w:r w:rsidRPr="00A608C7">
              <w:rPr>
                <w:rFonts w:ascii="Arial" w:hAnsi="Arial" w:cs="Arial"/>
                <w:color w:val="000000"/>
                <w:sz w:val="18"/>
                <w:szCs w:val="18"/>
              </w:rPr>
              <w:t>3</w:t>
            </w:r>
            <w:r w:rsidRPr="00A608C7">
              <w:rPr>
                <w:rFonts w:ascii="Arial" w:hAnsi="Arial" w:cs="Arial"/>
                <w:color w:val="000000"/>
                <w:spacing w:val="-1"/>
                <w:sz w:val="18"/>
                <w:szCs w:val="18"/>
              </w:rPr>
              <w:t>6</w:t>
            </w:r>
            <w:r w:rsidRPr="00A608C7">
              <w:rPr>
                <w:rFonts w:ascii="Arial" w:hAnsi="Arial" w:cs="Arial"/>
                <w:color w:val="000000"/>
                <w:sz w:val="18"/>
                <w:szCs w:val="18"/>
              </w:rPr>
              <w:t>3.0</w:t>
            </w:r>
            <w:r w:rsidRPr="00A608C7">
              <w:rPr>
                <w:rFonts w:ascii="Arial" w:hAnsi="Arial" w:cs="Arial"/>
                <w:color w:val="000000"/>
                <w:spacing w:val="-1"/>
                <w:sz w:val="18"/>
                <w:szCs w:val="18"/>
              </w:rPr>
              <w:t>0</w:t>
            </w:r>
            <w:r w:rsidRPr="00A608C7">
              <w:rPr>
                <w:rFonts w:ascii="Arial" w:hAnsi="Arial" w:cs="Arial"/>
                <w:color w:val="000000"/>
                <w:sz w:val="18"/>
                <w:szCs w:val="18"/>
              </w:rPr>
              <w:t>0</w:t>
            </w:r>
            <w:r w:rsidRPr="00A608C7">
              <w:rPr>
                <w:rFonts w:ascii="Arial" w:hAnsi="Arial" w:cs="Arial"/>
                <w:color w:val="000000"/>
                <w:sz w:val="18"/>
                <w:szCs w:val="18"/>
                <w:lang w:val="en-US"/>
              </w:rPr>
              <w:t>,</w:t>
            </w:r>
            <w:r w:rsidRPr="00A608C7">
              <w:rPr>
                <w:rFonts w:ascii="Arial" w:hAnsi="Arial" w:cs="Arial"/>
                <w:color w:val="000000"/>
                <w:sz w:val="18"/>
                <w:szCs w:val="18"/>
              </w:rPr>
              <w:t xml:space="preserve"> OP2/OS7 Improving the nature and biodiversity protection, green infrastructure especially in urban areas, pollution reducing</w:t>
            </w:r>
            <w:r w:rsidRPr="00A608C7">
              <w:rPr>
                <w:rFonts w:ascii="Arial" w:hAnsi="Arial" w:cs="Arial"/>
                <w:color w:val="000000"/>
                <w:sz w:val="18"/>
                <w:szCs w:val="18"/>
                <w:lang w:val="en-US"/>
              </w:rPr>
              <w:t xml:space="preserve">, EUR </w:t>
            </w:r>
            <w:r w:rsidRPr="00A608C7">
              <w:rPr>
                <w:rFonts w:ascii="Arial" w:hAnsi="Arial" w:cs="Arial"/>
                <w:color w:val="000000"/>
                <w:sz w:val="18"/>
                <w:szCs w:val="18"/>
              </w:rPr>
              <w:t>75.</w:t>
            </w:r>
            <w:r w:rsidRPr="00A608C7">
              <w:rPr>
                <w:rFonts w:ascii="Arial" w:hAnsi="Arial" w:cs="Arial"/>
                <w:color w:val="000000"/>
                <w:spacing w:val="-1"/>
                <w:sz w:val="18"/>
                <w:szCs w:val="18"/>
              </w:rPr>
              <w:t>6</w:t>
            </w:r>
            <w:r w:rsidRPr="00A608C7">
              <w:rPr>
                <w:rFonts w:ascii="Arial" w:hAnsi="Arial" w:cs="Arial"/>
                <w:color w:val="000000"/>
                <w:sz w:val="18"/>
                <w:szCs w:val="18"/>
              </w:rPr>
              <w:t>8</w:t>
            </w:r>
            <w:r w:rsidRPr="00A608C7">
              <w:rPr>
                <w:rFonts w:ascii="Arial" w:hAnsi="Arial" w:cs="Arial"/>
                <w:color w:val="000000"/>
                <w:spacing w:val="-1"/>
                <w:sz w:val="18"/>
                <w:szCs w:val="18"/>
              </w:rPr>
              <w:t>8</w:t>
            </w:r>
            <w:r w:rsidRPr="00A608C7">
              <w:rPr>
                <w:rFonts w:ascii="Arial" w:hAnsi="Arial" w:cs="Arial"/>
                <w:color w:val="000000"/>
                <w:spacing w:val="1"/>
                <w:sz w:val="18"/>
                <w:szCs w:val="18"/>
              </w:rPr>
              <w:t>.</w:t>
            </w:r>
            <w:r w:rsidRPr="00A608C7">
              <w:rPr>
                <w:rFonts w:ascii="Arial" w:hAnsi="Arial" w:cs="Arial"/>
                <w:color w:val="000000"/>
                <w:spacing w:val="-1"/>
                <w:sz w:val="18"/>
                <w:szCs w:val="18"/>
              </w:rPr>
              <w:t>0</w:t>
            </w:r>
            <w:r w:rsidRPr="00A608C7">
              <w:rPr>
                <w:rFonts w:ascii="Arial" w:hAnsi="Arial" w:cs="Arial"/>
                <w:color w:val="000000"/>
                <w:sz w:val="18"/>
                <w:szCs w:val="18"/>
              </w:rPr>
              <w:t>00</w:t>
            </w:r>
          </w:p>
          <w:p w14:paraId="283BF925" w14:textId="77777777" w:rsidR="001A7A04" w:rsidRPr="00A608C7" w:rsidRDefault="001A7A04" w:rsidP="00964831">
            <w:pPr>
              <w:ind w:right="51"/>
              <w:jc w:val="both"/>
              <w:rPr>
                <w:rFonts w:ascii="Arial" w:hAnsi="Arial" w:cs="Arial"/>
                <w:color w:val="000000"/>
                <w:sz w:val="18"/>
                <w:szCs w:val="18"/>
                <w:lang w:val="en-US"/>
              </w:rPr>
            </w:pPr>
            <w:r w:rsidRPr="00A608C7">
              <w:rPr>
                <w:rFonts w:ascii="Arial" w:hAnsi="Arial" w:cs="Arial"/>
                <w:i/>
                <w:color w:val="000000"/>
                <w:sz w:val="18"/>
                <w:szCs w:val="18"/>
                <w:u w:val="single"/>
              </w:rPr>
              <w:t>Priority Axis 4 Sustainable urban mobility</w:t>
            </w:r>
            <w:r w:rsidRPr="00A608C7">
              <w:rPr>
                <w:rFonts w:ascii="Arial" w:hAnsi="Arial" w:cs="Arial"/>
                <w:color w:val="000000"/>
                <w:sz w:val="18"/>
                <w:szCs w:val="18"/>
              </w:rPr>
              <w:t xml:space="preserve">, </w:t>
            </w:r>
            <w:r w:rsidRPr="00A608C7">
              <w:rPr>
                <w:rFonts w:ascii="Arial" w:hAnsi="Arial" w:cs="Arial"/>
                <w:color w:val="000000"/>
                <w:sz w:val="18"/>
                <w:szCs w:val="18"/>
                <w:lang w:val="en-US"/>
              </w:rPr>
              <w:t xml:space="preserve">EUR </w:t>
            </w:r>
            <w:r w:rsidRPr="00A608C7">
              <w:rPr>
                <w:rFonts w:ascii="Arial" w:hAnsi="Arial" w:cs="Arial"/>
                <w:color w:val="000000"/>
                <w:sz w:val="18"/>
                <w:szCs w:val="18"/>
              </w:rPr>
              <w:t>138</w:t>
            </w:r>
            <w:r w:rsidRPr="00A608C7">
              <w:rPr>
                <w:rFonts w:ascii="Arial" w:hAnsi="Arial" w:cs="Arial"/>
                <w:color w:val="000000"/>
                <w:spacing w:val="-1"/>
                <w:sz w:val="18"/>
                <w:szCs w:val="18"/>
              </w:rPr>
              <w:t>.</w:t>
            </w:r>
            <w:r w:rsidRPr="00A608C7">
              <w:rPr>
                <w:rFonts w:ascii="Arial" w:hAnsi="Arial" w:cs="Arial"/>
                <w:color w:val="000000"/>
                <w:sz w:val="18"/>
                <w:szCs w:val="18"/>
              </w:rPr>
              <w:t>2</w:t>
            </w:r>
            <w:r w:rsidRPr="00A608C7">
              <w:rPr>
                <w:rFonts w:ascii="Arial" w:hAnsi="Arial" w:cs="Arial"/>
                <w:color w:val="000000"/>
                <w:spacing w:val="-1"/>
                <w:sz w:val="18"/>
                <w:szCs w:val="18"/>
              </w:rPr>
              <w:t>6</w:t>
            </w:r>
            <w:r w:rsidRPr="00A608C7">
              <w:rPr>
                <w:rFonts w:ascii="Arial" w:hAnsi="Arial" w:cs="Arial"/>
                <w:color w:val="000000"/>
                <w:sz w:val="18"/>
                <w:szCs w:val="18"/>
              </w:rPr>
              <w:t>8.000</w:t>
            </w:r>
            <w:r w:rsidRPr="00A608C7">
              <w:rPr>
                <w:rFonts w:ascii="Arial" w:hAnsi="Arial" w:cs="Arial"/>
                <w:color w:val="000000"/>
                <w:sz w:val="18"/>
                <w:szCs w:val="18"/>
                <w:lang w:val="en-US"/>
              </w:rPr>
              <w:t xml:space="preserve">, </w:t>
            </w:r>
            <w:r w:rsidRPr="00A608C7">
              <w:rPr>
                <w:rFonts w:ascii="Arial" w:hAnsi="Arial" w:cs="Arial"/>
                <w:color w:val="000000"/>
                <w:sz w:val="18"/>
                <w:szCs w:val="18"/>
              </w:rPr>
              <w:t>OP2/OS8 Promoting sustainable multimodal urban mobility</w:t>
            </w:r>
            <w:r w:rsidRPr="00A608C7">
              <w:rPr>
                <w:rFonts w:ascii="Arial" w:hAnsi="Arial" w:cs="Arial"/>
                <w:color w:val="000000"/>
                <w:sz w:val="18"/>
                <w:szCs w:val="18"/>
                <w:lang w:val="en-US"/>
              </w:rPr>
              <w:t xml:space="preserve">, EUR </w:t>
            </w:r>
            <w:r w:rsidRPr="00A608C7">
              <w:rPr>
                <w:rFonts w:ascii="Arial" w:hAnsi="Arial" w:cs="Arial"/>
                <w:color w:val="000000"/>
                <w:sz w:val="18"/>
                <w:szCs w:val="18"/>
              </w:rPr>
              <w:t>138</w:t>
            </w:r>
            <w:r w:rsidRPr="00A608C7">
              <w:rPr>
                <w:rFonts w:ascii="Arial" w:hAnsi="Arial" w:cs="Arial"/>
                <w:color w:val="000000"/>
                <w:spacing w:val="-1"/>
                <w:sz w:val="18"/>
                <w:szCs w:val="18"/>
              </w:rPr>
              <w:t>.</w:t>
            </w:r>
            <w:r w:rsidRPr="00A608C7">
              <w:rPr>
                <w:rFonts w:ascii="Arial" w:hAnsi="Arial" w:cs="Arial"/>
                <w:color w:val="000000"/>
                <w:sz w:val="18"/>
                <w:szCs w:val="18"/>
              </w:rPr>
              <w:t>2</w:t>
            </w:r>
            <w:r w:rsidRPr="00A608C7">
              <w:rPr>
                <w:rFonts w:ascii="Arial" w:hAnsi="Arial" w:cs="Arial"/>
                <w:color w:val="000000"/>
                <w:spacing w:val="-1"/>
                <w:sz w:val="18"/>
                <w:szCs w:val="18"/>
              </w:rPr>
              <w:t>6</w:t>
            </w:r>
            <w:r w:rsidRPr="00A608C7">
              <w:rPr>
                <w:rFonts w:ascii="Arial" w:hAnsi="Arial" w:cs="Arial"/>
                <w:color w:val="000000"/>
                <w:sz w:val="18"/>
                <w:szCs w:val="18"/>
              </w:rPr>
              <w:t>8</w:t>
            </w:r>
            <w:r w:rsidRPr="00A608C7">
              <w:rPr>
                <w:rFonts w:ascii="Arial" w:hAnsi="Arial" w:cs="Arial"/>
                <w:color w:val="000000"/>
                <w:spacing w:val="-1"/>
                <w:sz w:val="18"/>
                <w:szCs w:val="18"/>
              </w:rPr>
              <w:t>.</w:t>
            </w:r>
            <w:r w:rsidRPr="00A608C7">
              <w:rPr>
                <w:rFonts w:ascii="Arial" w:hAnsi="Arial" w:cs="Arial"/>
                <w:color w:val="000000"/>
                <w:sz w:val="18"/>
                <w:szCs w:val="18"/>
              </w:rPr>
              <w:t>000</w:t>
            </w:r>
          </w:p>
          <w:p w14:paraId="1FD1C96D" w14:textId="77777777" w:rsidR="001A7A04" w:rsidRPr="00A608C7" w:rsidRDefault="001A7A04" w:rsidP="00964831">
            <w:pPr>
              <w:ind w:right="51"/>
              <w:jc w:val="both"/>
              <w:rPr>
                <w:rFonts w:ascii="Arial" w:eastAsia="Times New Roman" w:hAnsi="Arial" w:cs="Arial"/>
                <w:color w:val="202124"/>
                <w:sz w:val="18"/>
                <w:szCs w:val="18"/>
                <w:lang w:val="en-US"/>
              </w:rPr>
            </w:pPr>
            <w:r w:rsidRPr="00A608C7">
              <w:rPr>
                <w:rFonts w:ascii="Arial" w:hAnsi="Arial" w:cs="Arial"/>
                <w:i/>
                <w:color w:val="000000"/>
                <w:sz w:val="18"/>
                <w:szCs w:val="18"/>
                <w:u w:val="single"/>
              </w:rPr>
              <w:t>Priority Axis 5 Accessibility and connectivity at regional level</w:t>
            </w:r>
            <w:r w:rsidRPr="00A608C7">
              <w:rPr>
                <w:rFonts w:ascii="Arial" w:hAnsi="Arial" w:cs="Arial"/>
                <w:color w:val="000000"/>
                <w:sz w:val="18"/>
                <w:szCs w:val="18"/>
              </w:rPr>
              <w:t xml:space="preserve">, </w:t>
            </w:r>
            <w:r w:rsidRPr="00A608C7">
              <w:rPr>
                <w:rFonts w:ascii="Arial" w:hAnsi="Arial" w:cs="Arial"/>
                <w:color w:val="000000"/>
                <w:sz w:val="18"/>
                <w:szCs w:val="18"/>
                <w:lang w:val="en-US"/>
              </w:rPr>
              <w:t xml:space="preserve">EUR </w:t>
            </w:r>
            <w:r w:rsidRPr="00A608C7">
              <w:rPr>
                <w:rFonts w:ascii="Arial" w:hAnsi="Arial" w:cs="Arial"/>
                <w:color w:val="000000"/>
                <w:sz w:val="18"/>
                <w:szCs w:val="18"/>
              </w:rPr>
              <w:t>145</w:t>
            </w:r>
            <w:r w:rsidRPr="00A608C7">
              <w:rPr>
                <w:rFonts w:ascii="Arial" w:hAnsi="Arial" w:cs="Arial"/>
                <w:color w:val="000000"/>
                <w:spacing w:val="-1"/>
                <w:sz w:val="18"/>
                <w:szCs w:val="18"/>
              </w:rPr>
              <w:t>.</w:t>
            </w:r>
            <w:r w:rsidRPr="00A608C7">
              <w:rPr>
                <w:rFonts w:ascii="Arial" w:hAnsi="Arial" w:cs="Arial"/>
                <w:color w:val="000000"/>
                <w:sz w:val="18"/>
                <w:szCs w:val="18"/>
              </w:rPr>
              <w:t>5</w:t>
            </w:r>
            <w:r w:rsidRPr="00A608C7">
              <w:rPr>
                <w:rFonts w:ascii="Arial" w:hAnsi="Arial" w:cs="Arial"/>
                <w:color w:val="000000"/>
                <w:spacing w:val="-1"/>
                <w:sz w:val="18"/>
                <w:szCs w:val="18"/>
              </w:rPr>
              <w:t>3</w:t>
            </w:r>
            <w:r w:rsidRPr="00A608C7">
              <w:rPr>
                <w:rFonts w:ascii="Arial" w:hAnsi="Arial" w:cs="Arial"/>
                <w:color w:val="000000"/>
                <w:sz w:val="18"/>
                <w:szCs w:val="18"/>
              </w:rPr>
              <w:t>8.0</w:t>
            </w:r>
            <w:r w:rsidRPr="00A608C7">
              <w:rPr>
                <w:rFonts w:ascii="Arial" w:hAnsi="Arial" w:cs="Arial"/>
                <w:color w:val="000000"/>
                <w:spacing w:val="-1"/>
                <w:sz w:val="18"/>
                <w:szCs w:val="18"/>
              </w:rPr>
              <w:t>0</w:t>
            </w:r>
            <w:r w:rsidRPr="00A608C7">
              <w:rPr>
                <w:rFonts w:ascii="Arial" w:hAnsi="Arial" w:cs="Arial"/>
                <w:color w:val="000000"/>
                <w:sz w:val="18"/>
                <w:szCs w:val="18"/>
              </w:rPr>
              <w:t>0</w:t>
            </w:r>
            <w:r w:rsidRPr="00A608C7">
              <w:rPr>
                <w:rFonts w:ascii="Arial" w:hAnsi="Arial" w:cs="Arial"/>
                <w:color w:val="000000"/>
                <w:sz w:val="18"/>
                <w:szCs w:val="18"/>
                <w:lang w:val="en-US"/>
              </w:rPr>
              <w:t xml:space="preserve">, </w:t>
            </w:r>
            <w:r w:rsidRPr="00A608C7">
              <w:rPr>
                <w:rFonts w:ascii="Arial" w:hAnsi="Arial" w:cs="Arial"/>
                <w:color w:val="000000"/>
                <w:sz w:val="18"/>
                <w:szCs w:val="18"/>
              </w:rPr>
              <w:t>OP3/OS3 Development of sustainable national, regional and local mobility, resilient to climate change, smart and intermodal, including improved access to TEN-T and cross-border mobility</w:t>
            </w:r>
            <w:r w:rsidRPr="00A608C7">
              <w:rPr>
                <w:rFonts w:ascii="Arial" w:hAnsi="Arial" w:cs="Arial"/>
                <w:color w:val="000000"/>
                <w:sz w:val="18"/>
                <w:szCs w:val="18"/>
                <w:lang w:val="en-US"/>
              </w:rPr>
              <w:t xml:space="preserve">, EUR </w:t>
            </w:r>
            <w:r w:rsidRPr="00A608C7">
              <w:rPr>
                <w:rFonts w:ascii="Arial" w:hAnsi="Arial" w:cs="Arial"/>
                <w:color w:val="000000"/>
                <w:sz w:val="18"/>
                <w:szCs w:val="18"/>
              </w:rPr>
              <w:t>145</w:t>
            </w:r>
            <w:r w:rsidRPr="00A608C7">
              <w:rPr>
                <w:rFonts w:ascii="Arial" w:hAnsi="Arial" w:cs="Arial"/>
                <w:color w:val="000000"/>
                <w:spacing w:val="-1"/>
                <w:sz w:val="18"/>
                <w:szCs w:val="18"/>
              </w:rPr>
              <w:t>.</w:t>
            </w:r>
            <w:r w:rsidRPr="00A608C7">
              <w:rPr>
                <w:rFonts w:ascii="Arial" w:hAnsi="Arial" w:cs="Arial"/>
                <w:color w:val="000000"/>
                <w:sz w:val="18"/>
                <w:szCs w:val="18"/>
              </w:rPr>
              <w:t>5</w:t>
            </w:r>
            <w:r w:rsidRPr="00A608C7">
              <w:rPr>
                <w:rFonts w:ascii="Arial" w:hAnsi="Arial" w:cs="Arial"/>
                <w:color w:val="000000"/>
                <w:spacing w:val="-1"/>
                <w:sz w:val="18"/>
                <w:szCs w:val="18"/>
              </w:rPr>
              <w:t>3</w:t>
            </w:r>
            <w:r w:rsidRPr="00A608C7">
              <w:rPr>
                <w:rFonts w:ascii="Arial" w:hAnsi="Arial" w:cs="Arial"/>
                <w:color w:val="000000"/>
                <w:sz w:val="18"/>
                <w:szCs w:val="18"/>
              </w:rPr>
              <w:t>8.0</w:t>
            </w:r>
            <w:r w:rsidRPr="00A608C7">
              <w:rPr>
                <w:rFonts w:ascii="Arial" w:hAnsi="Arial" w:cs="Arial"/>
                <w:color w:val="000000"/>
                <w:spacing w:val="-1"/>
                <w:sz w:val="18"/>
                <w:szCs w:val="18"/>
              </w:rPr>
              <w:t>0</w:t>
            </w:r>
            <w:r w:rsidRPr="00A608C7">
              <w:rPr>
                <w:rFonts w:ascii="Arial" w:hAnsi="Arial" w:cs="Arial"/>
                <w:color w:val="000000"/>
                <w:sz w:val="18"/>
                <w:szCs w:val="18"/>
              </w:rPr>
              <w:t>0</w:t>
            </w:r>
          </w:p>
        </w:tc>
      </w:tr>
      <w:tr w:rsidR="001A7A04" w:rsidRPr="00A608C7" w14:paraId="62D6F686" w14:textId="77777777" w:rsidTr="000A7086">
        <w:trPr>
          <w:trHeight w:val="880"/>
        </w:trPr>
        <w:tc>
          <w:tcPr>
            <w:tcW w:w="1171" w:type="pct"/>
            <w:vMerge/>
            <w:shd w:val="clear" w:color="auto" w:fill="auto"/>
            <w:tcMar>
              <w:top w:w="100" w:type="dxa"/>
              <w:left w:w="100" w:type="dxa"/>
              <w:bottom w:w="100" w:type="dxa"/>
              <w:right w:w="100" w:type="dxa"/>
            </w:tcMar>
          </w:tcPr>
          <w:p w14:paraId="17950602"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4B144162" w14:textId="22CD64CB" w:rsidR="001A7A04" w:rsidRPr="00A608C7" w:rsidRDefault="001A7A04" w:rsidP="00964831">
            <w:pPr>
              <w:jc w:val="both"/>
              <w:rPr>
                <w:rFonts w:ascii="Arial" w:hAnsi="Arial" w:cs="Arial"/>
                <w:iCs/>
                <w:sz w:val="18"/>
                <w:szCs w:val="18"/>
              </w:rPr>
            </w:pPr>
            <w:r w:rsidRPr="00A608C7">
              <w:rPr>
                <w:rFonts w:ascii="Arial" w:hAnsi="Arial" w:cs="Arial"/>
                <w:i/>
                <w:iCs/>
                <w:sz w:val="18"/>
                <w:szCs w:val="18"/>
              </w:rPr>
              <w:t>“Moderni</w:t>
            </w:r>
            <w:r w:rsidR="004E7B64">
              <w:rPr>
                <w:rFonts w:ascii="Arial" w:hAnsi="Arial" w:cs="Arial"/>
                <w:i/>
                <w:iCs/>
                <w:sz w:val="18"/>
                <w:szCs w:val="18"/>
              </w:rPr>
              <w:t>sation</w:t>
            </w:r>
            <w:r w:rsidRPr="00A608C7">
              <w:rPr>
                <w:rFonts w:ascii="Arial" w:hAnsi="Arial" w:cs="Arial"/>
                <w:i/>
                <w:iCs/>
                <w:sz w:val="18"/>
                <w:szCs w:val="18"/>
              </w:rPr>
              <w:t xml:space="preserve"> Fund” (MF)</w:t>
            </w:r>
            <w:r w:rsidRPr="00A608C7">
              <w:rPr>
                <w:rFonts w:ascii="Arial" w:hAnsi="Arial" w:cs="Arial"/>
                <w:iCs/>
                <w:sz w:val="18"/>
                <w:szCs w:val="18"/>
              </w:rPr>
              <w:t xml:space="preserve"> </w:t>
            </w:r>
          </w:p>
          <w:p w14:paraId="631D3174" w14:textId="77777777" w:rsidR="001A7A04" w:rsidRPr="00A608C7" w:rsidRDefault="001A7A04" w:rsidP="00964831">
            <w:pPr>
              <w:jc w:val="both"/>
              <w:rPr>
                <w:rFonts w:ascii="Arial" w:hAnsi="Arial" w:cs="Arial"/>
                <w:sz w:val="18"/>
                <w:szCs w:val="18"/>
                <w:lang w:val="en"/>
              </w:rPr>
            </w:pPr>
            <w:r w:rsidRPr="00A608C7">
              <w:rPr>
                <w:rFonts w:ascii="Arial" w:hAnsi="Arial" w:cs="Arial"/>
                <w:i/>
                <w:iCs/>
                <w:sz w:val="18"/>
                <w:szCs w:val="18"/>
                <w:u w:val="single"/>
              </w:rPr>
              <w:t xml:space="preserve">Priority </w:t>
            </w:r>
            <w:r w:rsidRPr="00A608C7">
              <w:rPr>
                <w:rFonts w:ascii="Arial" w:hAnsi="Arial" w:cs="Arial"/>
                <w:i/>
                <w:sz w:val="18"/>
                <w:szCs w:val="18"/>
                <w:u w:val="single"/>
                <w:lang w:val="en"/>
              </w:rPr>
              <w:t>Axis 1</w:t>
            </w:r>
            <w:r w:rsidRPr="00A608C7">
              <w:rPr>
                <w:rFonts w:ascii="Arial" w:hAnsi="Arial" w:cs="Arial"/>
                <w:sz w:val="18"/>
                <w:szCs w:val="18"/>
                <w:lang w:val="en"/>
              </w:rPr>
              <w:t xml:space="preserve"> Investments in capacities renewable production, in storage in electricity, gas and district heating networks, efficiency power. </w:t>
            </w:r>
          </w:p>
          <w:p w14:paraId="71FF1BB6" w14:textId="05386BB8" w:rsidR="001A7A04" w:rsidRPr="00A608C7" w:rsidRDefault="001A7A04" w:rsidP="00964831">
            <w:pPr>
              <w:jc w:val="both"/>
              <w:rPr>
                <w:rFonts w:ascii="Arial" w:eastAsia="Calibri" w:hAnsi="Arial" w:cs="Arial"/>
                <w:sz w:val="18"/>
                <w:szCs w:val="18"/>
              </w:rPr>
            </w:pPr>
            <w:r w:rsidRPr="00A608C7">
              <w:rPr>
                <w:rFonts w:ascii="Arial" w:hAnsi="Arial" w:cs="Arial"/>
                <w:i/>
                <w:sz w:val="18"/>
                <w:szCs w:val="18"/>
                <w:u w:val="single"/>
                <w:lang w:val="en"/>
              </w:rPr>
              <w:t>Priority Axis 2</w:t>
            </w:r>
            <w:r w:rsidRPr="00A608C7">
              <w:rPr>
                <w:rFonts w:ascii="Arial" w:hAnsi="Arial" w:cs="Arial"/>
                <w:sz w:val="18"/>
                <w:szCs w:val="18"/>
                <w:lang w:val="en"/>
              </w:rPr>
              <w:t xml:space="preserve"> Investments in production capacities based on gas</w:t>
            </w:r>
          </w:p>
        </w:tc>
      </w:tr>
      <w:tr w:rsidR="001A7A04" w:rsidRPr="00A608C7" w14:paraId="423E534E" w14:textId="77777777" w:rsidTr="00964831">
        <w:trPr>
          <w:trHeight w:val="848"/>
        </w:trPr>
        <w:tc>
          <w:tcPr>
            <w:tcW w:w="1171" w:type="pct"/>
            <w:vMerge/>
            <w:shd w:val="clear" w:color="auto" w:fill="auto"/>
            <w:tcMar>
              <w:top w:w="100" w:type="dxa"/>
              <w:left w:w="100" w:type="dxa"/>
              <w:bottom w:w="100" w:type="dxa"/>
              <w:right w:w="100" w:type="dxa"/>
            </w:tcMar>
          </w:tcPr>
          <w:p w14:paraId="6BBC519D"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3293D332" w14:textId="06045CAE" w:rsidR="001A7A04" w:rsidRPr="00A608C7" w:rsidRDefault="001A7A04" w:rsidP="00964831">
            <w:pPr>
              <w:jc w:val="both"/>
              <w:rPr>
                <w:rFonts w:ascii="Arial" w:hAnsi="Arial" w:cs="Arial"/>
                <w:iCs/>
                <w:color w:val="000000"/>
                <w:sz w:val="18"/>
                <w:szCs w:val="18"/>
              </w:rPr>
            </w:pPr>
            <w:r w:rsidRPr="00A608C7">
              <w:rPr>
                <w:rFonts w:ascii="Arial" w:hAnsi="Arial" w:cs="Arial"/>
                <w:i/>
                <w:color w:val="000000"/>
                <w:sz w:val="18"/>
                <w:szCs w:val="18"/>
              </w:rPr>
              <w:t>“</w:t>
            </w:r>
            <w:r w:rsidRPr="00A608C7">
              <w:rPr>
                <w:rFonts w:ascii="Arial" w:hAnsi="Arial" w:cs="Arial"/>
                <w:i/>
                <w:iCs/>
                <w:color w:val="000000"/>
                <w:sz w:val="18"/>
                <w:szCs w:val="18"/>
              </w:rPr>
              <w:t>Sustainable Development Operational Program</w:t>
            </w:r>
            <w:r w:rsidR="0094678E">
              <w:rPr>
                <w:rFonts w:ascii="Arial" w:hAnsi="Arial" w:cs="Arial"/>
                <w:i/>
                <w:iCs/>
                <w:color w:val="000000"/>
                <w:sz w:val="18"/>
                <w:szCs w:val="18"/>
              </w:rPr>
              <w:t>me</w:t>
            </w:r>
            <w:r w:rsidRPr="00A608C7">
              <w:rPr>
                <w:rFonts w:ascii="Arial" w:hAnsi="Arial" w:cs="Arial"/>
                <w:i/>
                <w:iCs/>
                <w:color w:val="000000"/>
                <w:sz w:val="18"/>
                <w:szCs w:val="18"/>
              </w:rPr>
              <w:t>”</w:t>
            </w:r>
            <w:r w:rsidRPr="00A608C7">
              <w:rPr>
                <w:rFonts w:ascii="Arial" w:hAnsi="Arial" w:cs="Arial"/>
                <w:iCs/>
                <w:color w:val="000000"/>
                <w:sz w:val="18"/>
                <w:szCs w:val="18"/>
              </w:rPr>
              <w:t xml:space="preserve"> (SDOP)</w:t>
            </w:r>
          </w:p>
          <w:p w14:paraId="6C19F303" w14:textId="77777777" w:rsidR="001A7A04" w:rsidRPr="00A608C7" w:rsidRDefault="001A7A04" w:rsidP="00964831">
            <w:pPr>
              <w:jc w:val="both"/>
              <w:rPr>
                <w:rFonts w:ascii="Arial" w:hAnsi="Arial" w:cs="Arial"/>
                <w:iCs/>
                <w:sz w:val="18"/>
                <w:szCs w:val="18"/>
              </w:rPr>
            </w:pPr>
            <w:r w:rsidRPr="00A608C7">
              <w:rPr>
                <w:rFonts w:ascii="Arial" w:hAnsi="Arial" w:cs="Arial"/>
                <w:i/>
                <w:iCs/>
                <w:color w:val="000000"/>
                <w:sz w:val="18"/>
                <w:szCs w:val="18"/>
                <w:u w:val="single"/>
              </w:rPr>
              <w:t>Priority 1</w:t>
            </w:r>
            <w:r w:rsidRPr="00A608C7">
              <w:rPr>
                <w:rFonts w:ascii="Arial" w:hAnsi="Arial" w:cs="Arial"/>
                <w:iCs/>
                <w:color w:val="000000"/>
                <w:sz w:val="18"/>
                <w:szCs w:val="18"/>
              </w:rPr>
              <w:t xml:space="preserve"> </w:t>
            </w:r>
            <w:r w:rsidRPr="00A608C7">
              <w:rPr>
                <w:rFonts w:ascii="Arial" w:hAnsi="Arial" w:cs="Arial"/>
                <w:iCs/>
                <w:sz w:val="18"/>
                <w:szCs w:val="18"/>
              </w:rPr>
              <w:t>Promoting energy efficiency, smart energy systems and networks, storage solutions and reducing greenhouse gas emissions</w:t>
            </w:r>
            <w:r w:rsidRPr="00A608C7">
              <w:rPr>
                <w:rFonts w:ascii="Arial" w:hAnsi="Arial" w:cs="Arial"/>
                <w:iCs/>
                <w:sz w:val="18"/>
                <w:szCs w:val="18"/>
                <w:lang w:val="en-US"/>
              </w:rPr>
              <w:t xml:space="preserve">, EUR- </w:t>
            </w:r>
            <w:r w:rsidRPr="00A608C7">
              <w:rPr>
                <w:rFonts w:ascii="Arial" w:hAnsi="Arial" w:cs="Arial"/>
                <w:color w:val="000000"/>
                <w:sz w:val="18"/>
                <w:szCs w:val="18"/>
              </w:rPr>
              <w:t>FEDR -</w:t>
            </w:r>
            <w:r w:rsidRPr="00A608C7">
              <w:rPr>
                <w:rFonts w:ascii="Arial" w:eastAsia="Times New Roman" w:hAnsi="Arial" w:cs="Arial"/>
                <w:bCs/>
                <w:sz w:val="18"/>
                <w:szCs w:val="18"/>
              </w:rPr>
              <w:t xml:space="preserve"> </w:t>
            </w:r>
            <w:r w:rsidRPr="00A608C7">
              <w:rPr>
                <w:rFonts w:ascii="Arial" w:hAnsi="Arial" w:cs="Arial"/>
                <w:iCs/>
                <w:sz w:val="18"/>
                <w:szCs w:val="18"/>
              </w:rPr>
              <w:t>400.000.000 + FC - 200.000.000</w:t>
            </w:r>
          </w:p>
          <w:p w14:paraId="3A8CAFBA" w14:textId="42C3085C" w:rsidR="001A7A04" w:rsidRPr="00A608C7" w:rsidRDefault="001A7A04" w:rsidP="009648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color w:val="202124"/>
                <w:sz w:val="18"/>
                <w:szCs w:val="18"/>
                <w:lang w:val="en-US"/>
              </w:rPr>
            </w:pPr>
            <w:r w:rsidRPr="00A608C7">
              <w:rPr>
                <w:rFonts w:ascii="Arial" w:hAnsi="Arial" w:cs="Arial"/>
                <w:i/>
                <w:iCs/>
                <w:color w:val="000000"/>
                <w:sz w:val="18"/>
                <w:szCs w:val="18"/>
                <w:u w:val="single"/>
              </w:rPr>
              <w:t xml:space="preserve">Priority </w:t>
            </w:r>
            <w:r w:rsidRPr="00A608C7">
              <w:rPr>
                <w:rFonts w:ascii="Arial" w:hAnsi="Arial" w:cs="Arial"/>
                <w:i/>
                <w:iCs/>
                <w:color w:val="000000"/>
                <w:sz w:val="18"/>
                <w:szCs w:val="18"/>
                <w:u w:val="single"/>
                <w:lang w:val="en-US"/>
              </w:rPr>
              <w:t>2</w:t>
            </w:r>
            <w:r w:rsidRPr="00A608C7">
              <w:rPr>
                <w:rFonts w:ascii="Arial" w:hAnsi="Arial" w:cs="Arial"/>
                <w:iCs/>
                <w:color w:val="000000"/>
                <w:sz w:val="18"/>
                <w:szCs w:val="18"/>
              </w:rPr>
              <w:t xml:space="preserve"> </w:t>
            </w:r>
            <w:r w:rsidRPr="00A608C7">
              <w:rPr>
                <w:rFonts w:ascii="Arial" w:eastAsia="Times New Roman" w:hAnsi="Arial" w:cs="Arial"/>
                <w:color w:val="202124"/>
                <w:sz w:val="18"/>
                <w:szCs w:val="18"/>
                <w:lang w:val="en"/>
              </w:rPr>
              <w:t>Development of water and wastewater infrastructure and the transition to a circular economy</w:t>
            </w:r>
            <w:r w:rsidRPr="00A608C7">
              <w:rPr>
                <w:rFonts w:ascii="Arial" w:hAnsi="Arial" w:cs="Arial"/>
                <w:iCs/>
                <w:sz w:val="18"/>
                <w:szCs w:val="18"/>
                <w:lang w:val="en-US"/>
              </w:rPr>
              <w:t xml:space="preserve">, EUR- </w:t>
            </w:r>
            <w:r w:rsidR="0094678E">
              <w:rPr>
                <w:rFonts w:ascii="Arial" w:hAnsi="Arial" w:cs="Arial"/>
                <w:color w:val="000000"/>
                <w:sz w:val="18"/>
                <w:szCs w:val="18"/>
              </w:rPr>
              <w:t>ERDF</w:t>
            </w:r>
            <w:r w:rsidR="0094678E" w:rsidRPr="00A608C7">
              <w:rPr>
                <w:rFonts w:ascii="Arial" w:eastAsia="Times New Roman" w:hAnsi="Arial" w:cs="Arial"/>
                <w:bCs/>
                <w:sz w:val="18"/>
                <w:szCs w:val="18"/>
              </w:rPr>
              <w:t xml:space="preserve"> </w:t>
            </w:r>
            <w:r w:rsidRPr="00A608C7">
              <w:rPr>
                <w:rFonts w:ascii="Arial" w:hAnsi="Arial" w:cs="Arial"/>
                <w:iCs/>
                <w:sz w:val="18"/>
                <w:szCs w:val="18"/>
              </w:rPr>
              <w:t xml:space="preserve">2.130.000.000 + </w:t>
            </w:r>
            <w:r w:rsidR="0094678E">
              <w:rPr>
                <w:rFonts w:ascii="Arial" w:hAnsi="Arial" w:cs="Arial"/>
                <w:iCs/>
                <w:sz w:val="18"/>
                <w:szCs w:val="18"/>
              </w:rPr>
              <w:t>CF</w:t>
            </w:r>
            <w:r w:rsidR="0094678E" w:rsidRPr="00A608C7">
              <w:rPr>
                <w:rFonts w:ascii="Arial" w:hAnsi="Arial" w:cs="Arial"/>
                <w:iCs/>
                <w:sz w:val="18"/>
                <w:szCs w:val="18"/>
              </w:rPr>
              <w:t xml:space="preserve"> </w:t>
            </w:r>
            <w:r w:rsidRPr="00A608C7">
              <w:rPr>
                <w:rFonts w:ascii="Arial" w:hAnsi="Arial" w:cs="Arial"/>
                <w:iCs/>
                <w:sz w:val="18"/>
                <w:szCs w:val="18"/>
              </w:rPr>
              <w:t>637.800</w:t>
            </w:r>
          </w:p>
        </w:tc>
      </w:tr>
      <w:tr w:rsidR="001A7A04" w:rsidRPr="00A608C7" w14:paraId="5F4C2CE9" w14:textId="77777777" w:rsidTr="00964831">
        <w:trPr>
          <w:trHeight w:val="322"/>
        </w:trPr>
        <w:tc>
          <w:tcPr>
            <w:tcW w:w="1171" w:type="pct"/>
            <w:vMerge/>
            <w:shd w:val="clear" w:color="auto" w:fill="auto"/>
            <w:tcMar>
              <w:top w:w="100" w:type="dxa"/>
              <w:left w:w="100" w:type="dxa"/>
              <w:bottom w:w="100" w:type="dxa"/>
              <w:right w:w="100" w:type="dxa"/>
            </w:tcMar>
          </w:tcPr>
          <w:p w14:paraId="6C0E9DEB"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07CD1E43" w14:textId="27F002FD" w:rsidR="001A7A04" w:rsidRPr="00A608C7" w:rsidRDefault="001A7A04" w:rsidP="00964831">
            <w:pPr>
              <w:tabs>
                <w:tab w:val="left" w:pos="10076"/>
                <w:tab w:val="left" w:pos="10992"/>
                <w:tab w:val="left" w:pos="11908"/>
                <w:tab w:val="left" w:pos="12824"/>
                <w:tab w:val="left" w:pos="13740"/>
                <w:tab w:val="left" w:pos="14656"/>
              </w:tabs>
              <w:jc w:val="both"/>
              <w:rPr>
                <w:rFonts w:ascii="Arial" w:hAnsi="Arial" w:cs="Arial"/>
                <w:sz w:val="18"/>
                <w:szCs w:val="18"/>
                <w:highlight w:val="white"/>
              </w:rPr>
            </w:pPr>
            <w:r w:rsidRPr="00A608C7">
              <w:rPr>
                <w:rFonts w:ascii="Arial" w:hAnsi="Arial" w:cs="Arial"/>
                <w:i/>
                <w:sz w:val="18"/>
                <w:szCs w:val="18"/>
                <w:highlight w:val="white"/>
              </w:rPr>
              <w:t xml:space="preserve">“National </w:t>
            </w:r>
            <w:r w:rsidR="0094678E">
              <w:rPr>
                <w:rFonts w:ascii="Arial" w:hAnsi="Arial" w:cs="Arial"/>
                <w:i/>
                <w:sz w:val="18"/>
                <w:szCs w:val="18"/>
                <w:highlight w:val="white"/>
              </w:rPr>
              <w:t>Recovery and Resilience Plan</w:t>
            </w:r>
            <w:r w:rsidRPr="00A608C7">
              <w:rPr>
                <w:rFonts w:ascii="Arial" w:hAnsi="Arial" w:cs="Arial"/>
                <w:i/>
                <w:sz w:val="18"/>
                <w:szCs w:val="18"/>
                <w:highlight w:val="white"/>
              </w:rPr>
              <w:t>” (</w:t>
            </w:r>
            <w:r w:rsidR="0094678E">
              <w:rPr>
                <w:rFonts w:ascii="Arial" w:hAnsi="Arial" w:cs="Arial"/>
                <w:i/>
                <w:sz w:val="18"/>
                <w:szCs w:val="18"/>
                <w:highlight w:val="white"/>
              </w:rPr>
              <w:t>RRP</w:t>
            </w:r>
            <w:r w:rsidRPr="00A608C7">
              <w:rPr>
                <w:rFonts w:ascii="Arial" w:hAnsi="Arial" w:cs="Arial"/>
                <w:i/>
                <w:sz w:val="18"/>
                <w:szCs w:val="18"/>
                <w:highlight w:val="white"/>
              </w:rPr>
              <w:t>)</w:t>
            </w:r>
            <w:r w:rsidRPr="00A608C7">
              <w:rPr>
                <w:rFonts w:ascii="Arial" w:hAnsi="Arial" w:cs="Arial"/>
                <w:sz w:val="18"/>
                <w:szCs w:val="18"/>
                <w:highlight w:val="white"/>
              </w:rPr>
              <w:t xml:space="preserve">  </w:t>
            </w:r>
          </w:p>
          <w:p w14:paraId="630E9461" w14:textId="0AA27B16" w:rsidR="001A7A04" w:rsidRPr="00A608C7" w:rsidRDefault="001A7A04" w:rsidP="00964831">
            <w:pPr>
              <w:rPr>
                <w:rFonts w:ascii="Arial" w:hAnsi="Arial" w:cs="Arial"/>
                <w:sz w:val="18"/>
                <w:szCs w:val="18"/>
              </w:rPr>
            </w:pPr>
            <w:r w:rsidRPr="00A608C7">
              <w:rPr>
                <w:rFonts w:ascii="Arial" w:hAnsi="Arial" w:cs="Arial"/>
                <w:i/>
                <w:iCs/>
                <w:sz w:val="18"/>
                <w:szCs w:val="18"/>
                <w:u w:val="single"/>
              </w:rPr>
              <w:t>Pillar I Green Transition</w:t>
            </w:r>
            <w:r w:rsidRPr="00A608C7">
              <w:rPr>
                <w:rFonts w:ascii="Arial" w:hAnsi="Arial" w:cs="Arial"/>
                <w:i/>
                <w:iCs/>
                <w:sz w:val="18"/>
                <w:szCs w:val="18"/>
              </w:rPr>
              <w:t xml:space="preserve">, Component 2 We afforest Romania and protect biodiversity. </w:t>
            </w:r>
            <w:r w:rsidRPr="00A608C7">
              <w:rPr>
                <w:rFonts w:ascii="Arial" w:hAnsi="Arial" w:cs="Arial"/>
                <w:i/>
                <w:iCs/>
                <w:sz w:val="18"/>
                <w:szCs w:val="18"/>
                <w:lang w:val="en-US"/>
              </w:rPr>
              <w:t xml:space="preserve">EUR </w:t>
            </w:r>
            <w:r w:rsidRPr="00A608C7">
              <w:rPr>
                <w:rFonts w:ascii="Arial" w:hAnsi="Arial" w:cs="Arial"/>
                <w:sz w:val="18"/>
                <w:szCs w:val="18"/>
              </w:rPr>
              <w:t xml:space="preserve">1.37 </w:t>
            </w:r>
            <w:r w:rsidR="001552CD" w:rsidRPr="00A608C7">
              <w:rPr>
                <w:rFonts w:ascii="Arial" w:hAnsi="Arial" w:cs="Arial"/>
                <w:sz w:val="18"/>
                <w:szCs w:val="18"/>
              </w:rPr>
              <w:t>bn</w:t>
            </w:r>
            <w:r w:rsidRPr="00A608C7">
              <w:rPr>
                <w:rFonts w:ascii="Arial" w:hAnsi="Arial" w:cs="Arial"/>
                <w:sz w:val="18"/>
                <w:szCs w:val="18"/>
                <w:lang w:val="en-US"/>
              </w:rPr>
              <w:t xml:space="preserve">, </w:t>
            </w:r>
            <w:r w:rsidRPr="00A608C7">
              <w:rPr>
                <w:rFonts w:ascii="Arial" w:hAnsi="Arial" w:cs="Arial"/>
                <w:i/>
                <w:iCs/>
                <w:sz w:val="18"/>
                <w:szCs w:val="18"/>
              </w:rPr>
              <w:t xml:space="preserve">Component 3 Waste management. </w:t>
            </w:r>
            <w:r w:rsidRPr="00A608C7">
              <w:rPr>
                <w:rFonts w:ascii="Arial" w:hAnsi="Arial" w:cs="Arial"/>
                <w:i/>
                <w:iCs/>
                <w:sz w:val="18"/>
                <w:szCs w:val="18"/>
                <w:lang w:val="en-US"/>
              </w:rPr>
              <w:t xml:space="preserve">EUR bil </w:t>
            </w:r>
            <w:r w:rsidRPr="00A608C7">
              <w:rPr>
                <w:rFonts w:ascii="Arial" w:hAnsi="Arial" w:cs="Arial"/>
                <w:sz w:val="18"/>
                <w:szCs w:val="18"/>
              </w:rPr>
              <w:t>1.2</w:t>
            </w:r>
            <w:r w:rsidRPr="00A608C7">
              <w:rPr>
                <w:rFonts w:ascii="Arial" w:hAnsi="Arial" w:cs="Arial"/>
                <w:iCs/>
                <w:color w:val="000000"/>
                <w:sz w:val="18"/>
                <w:szCs w:val="18"/>
                <w:lang w:val="en-US"/>
              </w:rPr>
              <w:t xml:space="preserve">, </w:t>
            </w:r>
            <w:r w:rsidRPr="00A608C7">
              <w:rPr>
                <w:rFonts w:ascii="Arial" w:hAnsi="Arial" w:cs="Arial"/>
                <w:i/>
                <w:iCs/>
                <w:sz w:val="18"/>
                <w:szCs w:val="18"/>
              </w:rPr>
              <w:t>Component 4 Rail transport and urban mobility</w:t>
            </w:r>
            <w:r w:rsidRPr="00A608C7">
              <w:rPr>
                <w:rFonts w:ascii="Arial" w:hAnsi="Arial" w:cs="Arial"/>
                <w:iCs/>
                <w:color w:val="000000"/>
                <w:sz w:val="18"/>
                <w:szCs w:val="18"/>
                <w:lang w:val="en-US"/>
              </w:rPr>
              <w:t xml:space="preserve">, </w:t>
            </w:r>
            <w:r w:rsidRPr="00A608C7">
              <w:rPr>
                <w:rFonts w:ascii="Arial" w:hAnsi="Arial" w:cs="Arial"/>
                <w:i/>
                <w:iCs/>
                <w:sz w:val="18"/>
                <w:szCs w:val="18"/>
              </w:rPr>
              <w:t>Component 5 I.5 Renovation wave, fund for green and seismic rehabilitation</w:t>
            </w:r>
            <w:r w:rsidRPr="00A608C7">
              <w:rPr>
                <w:rFonts w:ascii="Arial" w:hAnsi="Arial" w:cs="Arial"/>
                <w:i/>
                <w:iCs/>
                <w:sz w:val="18"/>
                <w:szCs w:val="18"/>
                <w:lang w:val="en-US"/>
              </w:rPr>
              <w:t xml:space="preserve">, EUR </w:t>
            </w:r>
            <w:r w:rsidRPr="00A608C7">
              <w:rPr>
                <w:rFonts w:ascii="Arial" w:hAnsi="Arial" w:cs="Arial"/>
                <w:sz w:val="18"/>
                <w:szCs w:val="18"/>
              </w:rPr>
              <w:t>2.2</w:t>
            </w:r>
            <w:r w:rsidR="001552CD" w:rsidRPr="00A608C7">
              <w:rPr>
                <w:rFonts w:ascii="Arial" w:hAnsi="Arial" w:cs="Arial"/>
                <w:sz w:val="18"/>
                <w:szCs w:val="18"/>
              </w:rPr>
              <w:t xml:space="preserve"> bn</w:t>
            </w:r>
            <w:r w:rsidRPr="00A608C7">
              <w:rPr>
                <w:rFonts w:ascii="Arial" w:hAnsi="Arial" w:cs="Arial"/>
                <w:i/>
                <w:iCs/>
                <w:sz w:val="18"/>
                <w:szCs w:val="18"/>
              </w:rPr>
              <w:t>. Component 6 Energy.</w:t>
            </w:r>
            <w:r w:rsidRPr="00A608C7">
              <w:rPr>
                <w:rFonts w:ascii="Arial" w:hAnsi="Arial" w:cs="Arial"/>
                <w:i/>
                <w:iCs/>
                <w:sz w:val="18"/>
                <w:szCs w:val="18"/>
                <w:lang w:val="en-US"/>
              </w:rPr>
              <w:t xml:space="preserve"> EUR </w:t>
            </w:r>
            <w:r w:rsidRPr="00A608C7">
              <w:rPr>
                <w:rFonts w:ascii="Arial" w:hAnsi="Arial" w:cs="Arial"/>
                <w:sz w:val="18"/>
                <w:szCs w:val="18"/>
              </w:rPr>
              <w:t>1,62</w:t>
            </w:r>
            <w:r w:rsidR="001552CD" w:rsidRPr="00A608C7">
              <w:rPr>
                <w:rFonts w:ascii="Arial" w:hAnsi="Arial" w:cs="Arial"/>
                <w:sz w:val="18"/>
                <w:szCs w:val="18"/>
              </w:rPr>
              <w:t xml:space="preserve"> bn</w:t>
            </w:r>
            <w:r w:rsidRPr="00A608C7">
              <w:rPr>
                <w:rFonts w:ascii="Arial" w:hAnsi="Arial" w:cs="Arial"/>
                <w:sz w:val="18"/>
                <w:szCs w:val="18"/>
              </w:rPr>
              <w:t xml:space="preserve"> </w:t>
            </w:r>
          </w:p>
          <w:p w14:paraId="415F353D" w14:textId="77777777" w:rsidR="001A7A04" w:rsidRPr="00A608C7" w:rsidRDefault="001A7A04" w:rsidP="00964831">
            <w:pPr>
              <w:tabs>
                <w:tab w:val="left" w:pos="10076"/>
                <w:tab w:val="left" w:pos="10992"/>
                <w:tab w:val="left" w:pos="11908"/>
                <w:tab w:val="left" w:pos="12824"/>
                <w:tab w:val="left" w:pos="13740"/>
                <w:tab w:val="left" w:pos="14656"/>
              </w:tabs>
              <w:jc w:val="both"/>
              <w:rPr>
                <w:rFonts w:ascii="Arial" w:hAnsi="Arial" w:cs="Arial"/>
                <w:sz w:val="18"/>
                <w:szCs w:val="18"/>
                <w:lang w:val="en-US"/>
              </w:rPr>
            </w:pPr>
            <w:r w:rsidRPr="00A608C7">
              <w:rPr>
                <w:rFonts w:ascii="Arial" w:hAnsi="Arial" w:cs="Arial"/>
                <w:i/>
                <w:iCs/>
                <w:sz w:val="18"/>
                <w:szCs w:val="18"/>
                <w:u w:val="single"/>
              </w:rPr>
              <w:t>Pillar III Smart, sustainable and inclusive growth</w:t>
            </w:r>
          </w:p>
          <w:p w14:paraId="7C8A437E" w14:textId="77777777" w:rsidR="001A7A04" w:rsidRPr="00A608C7" w:rsidRDefault="001A7A04" w:rsidP="00964831">
            <w:pPr>
              <w:tabs>
                <w:tab w:val="left" w:pos="10076"/>
                <w:tab w:val="left" w:pos="10992"/>
                <w:tab w:val="left" w:pos="11908"/>
                <w:tab w:val="left" w:pos="12824"/>
                <w:tab w:val="left" w:pos="13740"/>
                <w:tab w:val="left" w:pos="14656"/>
              </w:tabs>
              <w:jc w:val="both"/>
              <w:rPr>
                <w:rFonts w:ascii="Arial" w:eastAsia="Calibri" w:hAnsi="Arial" w:cs="Arial"/>
                <w:sz w:val="18"/>
                <w:szCs w:val="18"/>
                <w:lang w:val="en-US"/>
              </w:rPr>
            </w:pPr>
            <w:r w:rsidRPr="00A608C7">
              <w:rPr>
                <w:rFonts w:ascii="Arial" w:hAnsi="Arial" w:cs="Arial"/>
                <w:i/>
                <w:iCs/>
                <w:sz w:val="18"/>
                <w:szCs w:val="18"/>
                <w:u w:val="single"/>
              </w:rPr>
              <w:t>Pillar IV Social and territorial cohesion</w:t>
            </w:r>
            <w:r w:rsidRPr="00A608C7">
              <w:rPr>
                <w:rFonts w:ascii="Arial" w:hAnsi="Arial" w:cs="Arial"/>
                <w:i/>
                <w:iCs/>
                <w:sz w:val="18"/>
                <w:szCs w:val="18"/>
              </w:rPr>
              <w:t xml:space="preserve">. </w:t>
            </w:r>
          </w:p>
        </w:tc>
      </w:tr>
      <w:tr w:rsidR="001A7A04" w:rsidRPr="00A608C7" w14:paraId="7C601E30" w14:textId="77777777" w:rsidTr="00964831">
        <w:trPr>
          <w:trHeight w:val="980"/>
        </w:trPr>
        <w:tc>
          <w:tcPr>
            <w:tcW w:w="1171" w:type="pct"/>
            <w:vMerge w:val="restart"/>
            <w:shd w:val="clear" w:color="auto" w:fill="auto"/>
            <w:tcMar>
              <w:top w:w="0" w:type="dxa"/>
              <w:left w:w="100" w:type="dxa"/>
              <w:bottom w:w="0" w:type="dxa"/>
              <w:right w:w="100" w:type="dxa"/>
            </w:tcMar>
          </w:tcPr>
          <w:p w14:paraId="0863D578" w14:textId="3DAF7954" w:rsidR="001A7A04" w:rsidRPr="000A7086" w:rsidRDefault="00A608C7" w:rsidP="00964831">
            <w:pPr>
              <w:pStyle w:val="ListParagraph"/>
              <w:spacing w:line="240" w:lineRule="auto"/>
              <w:ind w:left="0" w:right="85"/>
              <w:rPr>
                <w:iCs/>
                <w:color w:val="000000"/>
                <w:sz w:val="18"/>
                <w:szCs w:val="18"/>
                <w:lang w:val="en-US"/>
              </w:rPr>
            </w:pPr>
            <w:r w:rsidRPr="000A7086">
              <w:rPr>
                <w:iCs/>
                <w:color w:val="000000"/>
                <w:sz w:val="18"/>
                <w:szCs w:val="18"/>
                <w:lang w:val="en-US"/>
              </w:rPr>
              <w:t>Type</w:t>
            </w:r>
            <w:r w:rsidR="001A7A04" w:rsidRPr="000A7086">
              <w:rPr>
                <w:iCs/>
                <w:color w:val="000000"/>
                <w:sz w:val="18"/>
                <w:szCs w:val="18"/>
                <w:lang w:val="en-US"/>
              </w:rPr>
              <w:t xml:space="preserve"> 3</w:t>
            </w:r>
          </w:p>
          <w:p w14:paraId="79010281" w14:textId="7525E435" w:rsidR="001A7A04" w:rsidRPr="000A7086" w:rsidRDefault="001A7A04" w:rsidP="00964831">
            <w:pPr>
              <w:pStyle w:val="ListParagraph"/>
              <w:spacing w:line="240" w:lineRule="auto"/>
              <w:ind w:left="0" w:right="85"/>
              <w:rPr>
                <w:iCs/>
                <w:sz w:val="18"/>
                <w:szCs w:val="18"/>
                <w:lang w:val="en-US"/>
              </w:rPr>
            </w:pPr>
            <w:r w:rsidRPr="000A7086">
              <w:rPr>
                <w:iCs/>
                <w:sz w:val="18"/>
                <w:szCs w:val="18"/>
                <w:highlight w:val="white"/>
                <w:lang w:val="en-US"/>
              </w:rPr>
              <w:t>I</w:t>
            </w:r>
            <w:r w:rsidRPr="000A7086">
              <w:rPr>
                <w:iCs/>
                <w:sz w:val="18"/>
                <w:szCs w:val="18"/>
                <w:highlight w:val="white"/>
              </w:rPr>
              <w:t>mproving the employment situation in the county through upskilling/ reskilling p</w:t>
            </w:r>
            <w:r w:rsidR="00D206E5">
              <w:rPr>
                <w:iCs/>
                <w:sz w:val="18"/>
                <w:szCs w:val="18"/>
                <w:highlight w:val="white"/>
              </w:rPr>
              <w:t>rogrammes</w:t>
            </w:r>
            <w:r w:rsidRPr="000A7086">
              <w:rPr>
                <w:iCs/>
                <w:sz w:val="18"/>
                <w:szCs w:val="18"/>
                <w:highlight w:val="white"/>
              </w:rPr>
              <w:t>, digiti</w:t>
            </w:r>
            <w:r w:rsidR="004E7B64">
              <w:rPr>
                <w:iCs/>
                <w:sz w:val="18"/>
                <w:szCs w:val="18"/>
                <w:highlight w:val="white"/>
              </w:rPr>
              <w:t>sation</w:t>
            </w:r>
            <w:r w:rsidRPr="000A7086">
              <w:rPr>
                <w:iCs/>
                <w:sz w:val="18"/>
                <w:szCs w:val="18"/>
                <w:highlight w:val="white"/>
              </w:rPr>
              <w:t xml:space="preserve"> of the workforce services</w:t>
            </w:r>
          </w:p>
          <w:p w14:paraId="36CA0B9F" w14:textId="77777777" w:rsidR="001A7A04" w:rsidRPr="00A608C7" w:rsidRDefault="001A7A04" w:rsidP="00964831">
            <w:pPr>
              <w:pStyle w:val="ListParagraph"/>
              <w:tabs>
                <w:tab w:val="left" w:pos="10076"/>
                <w:tab w:val="left" w:pos="10992"/>
                <w:tab w:val="left" w:pos="11908"/>
                <w:tab w:val="left" w:pos="12824"/>
                <w:tab w:val="left" w:pos="13740"/>
                <w:tab w:val="left" w:pos="14656"/>
              </w:tabs>
              <w:spacing w:line="240" w:lineRule="auto"/>
              <w:ind w:left="0"/>
              <w:rPr>
                <w:i/>
                <w:sz w:val="18"/>
                <w:szCs w:val="18"/>
              </w:rPr>
            </w:pPr>
          </w:p>
          <w:p w14:paraId="002C96E0" w14:textId="77777777" w:rsidR="001A7A04" w:rsidRPr="00A608C7" w:rsidRDefault="001A7A04" w:rsidP="00964831">
            <w:pPr>
              <w:shd w:val="clear" w:color="auto" w:fill="FFFFFF"/>
              <w:jc w:val="both"/>
              <w:rPr>
                <w:rFonts w:ascii="Arial" w:eastAsia="Times New Roman" w:hAnsi="Arial" w:cs="Arial"/>
                <w:b/>
                <w:bCs/>
                <w:i/>
                <w:color w:val="202124"/>
                <w:sz w:val="18"/>
                <w:szCs w:val="18"/>
                <w:lang w:val="ro-RO"/>
              </w:rPr>
            </w:pPr>
          </w:p>
        </w:tc>
        <w:tc>
          <w:tcPr>
            <w:tcW w:w="3828" w:type="pct"/>
            <w:shd w:val="clear" w:color="auto" w:fill="auto"/>
            <w:tcMar>
              <w:top w:w="0" w:type="dxa"/>
              <w:left w:w="100" w:type="dxa"/>
              <w:bottom w:w="0" w:type="dxa"/>
              <w:right w:w="100" w:type="dxa"/>
            </w:tcMar>
          </w:tcPr>
          <w:p w14:paraId="49A4C71F" w14:textId="7C7AA112" w:rsidR="001A7A04" w:rsidRPr="00A608C7" w:rsidRDefault="001A7A04" w:rsidP="00964831">
            <w:pPr>
              <w:shd w:val="clear" w:color="auto" w:fill="FFFFFF"/>
              <w:rPr>
                <w:rFonts w:ascii="Arial" w:hAnsi="Arial" w:cs="Arial"/>
                <w:i/>
                <w:sz w:val="18"/>
                <w:szCs w:val="18"/>
              </w:rPr>
            </w:pPr>
            <w:r w:rsidRPr="00A608C7">
              <w:rPr>
                <w:rFonts w:ascii="Arial" w:hAnsi="Arial" w:cs="Arial"/>
                <w:i/>
                <w:sz w:val="18"/>
                <w:szCs w:val="18"/>
                <w:highlight w:val="white"/>
              </w:rPr>
              <w:t xml:space="preserve">“National </w:t>
            </w:r>
            <w:r w:rsidR="0094678E">
              <w:rPr>
                <w:rFonts w:ascii="Arial" w:hAnsi="Arial" w:cs="Arial"/>
                <w:i/>
                <w:sz w:val="18"/>
                <w:szCs w:val="18"/>
                <w:highlight w:val="white"/>
              </w:rPr>
              <w:t>Recovery and Resilience Plan”</w:t>
            </w:r>
            <w:r w:rsidRPr="00A608C7">
              <w:rPr>
                <w:rFonts w:ascii="Arial" w:hAnsi="Arial" w:cs="Arial"/>
                <w:i/>
                <w:sz w:val="18"/>
                <w:szCs w:val="18"/>
                <w:highlight w:val="white"/>
              </w:rPr>
              <w:t xml:space="preserve"> (</w:t>
            </w:r>
            <w:r w:rsidR="0094678E">
              <w:rPr>
                <w:rFonts w:ascii="Arial" w:hAnsi="Arial" w:cs="Arial"/>
                <w:i/>
                <w:sz w:val="18"/>
                <w:szCs w:val="18"/>
                <w:highlight w:val="white"/>
              </w:rPr>
              <w:t>RRP</w:t>
            </w:r>
            <w:r w:rsidRPr="00A608C7">
              <w:rPr>
                <w:rFonts w:ascii="Arial" w:hAnsi="Arial" w:cs="Arial"/>
                <w:i/>
                <w:sz w:val="18"/>
                <w:szCs w:val="18"/>
                <w:highlight w:val="white"/>
              </w:rPr>
              <w:t>)</w:t>
            </w:r>
            <w:r w:rsidRPr="00A608C7">
              <w:rPr>
                <w:rFonts w:ascii="Arial" w:hAnsi="Arial" w:cs="Arial"/>
                <w:i/>
                <w:sz w:val="18"/>
                <w:szCs w:val="18"/>
              </w:rPr>
              <w:t xml:space="preserve">. </w:t>
            </w:r>
          </w:p>
          <w:p w14:paraId="5177CF7F" w14:textId="657312BB" w:rsidR="001A7A04" w:rsidRPr="00A608C7" w:rsidRDefault="001A7A04" w:rsidP="00964831">
            <w:pPr>
              <w:shd w:val="clear" w:color="auto" w:fill="FFFFFF"/>
              <w:rPr>
                <w:rFonts w:ascii="Arial" w:eastAsia="Calibri" w:hAnsi="Arial" w:cs="Arial"/>
                <w:sz w:val="18"/>
                <w:szCs w:val="18"/>
                <w:lang w:val="en-US"/>
              </w:rPr>
            </w:pPr>
            <w:r w:rsidRPr="00A608C7">
              <w:rPr>
                <w:rFonts w:ascii="Arial" w:hAnsi="Arial" w:cs="Arial"/>
                <w:i/>
                <w:iCs/>
                <w:sz w:val="18"/>
                <w:szCs w:val="18"/>
                <w:u w:val="single"/>
              </w:rPr>
              <w:t>Pillar VI Policies for the Next Generation, Children and Youth</w:t>
            </w:r>
            <w:r w:rsidRPr="00A608C7">
              <w:rPr>
                <w:rFonts w:ascii="Arial" w:hAnsi="Arial" w:cs="Arial"/>
                <w:i/>
                <w:iCs/>
                <w:sz w:val="18"/>
                <w:szCs w:val="18"/>
              </w:rPr>
              <w:t xml:space="preserve"> Component 15 Educated Romania - National Nursery Program.</w:t>
            </w:r>
            <w:r w:rsidRPr="00A608C7">
              <w:rPr>
                <w:rFonts w:ascii="Arial" w:hAnsi="Arial" w:cs="Arial"/>
                <w:i/>
                <w:iCs/>
                <w:sz w:val="18"/>
                <w:szCs w:val="18"/>
                <w:lang w:val="en-US"/>
              </w:rPr>
              <w:t xml:space="preserve">EUR </w:t>
            </w:r>
            <w:r w:rsidRPr="00A608C7">
              <w:rPr>
                <w:rFonts w:ascii="Arial" w:hAnsi="Arial" w:cs="Arial"/>
                <w:i/>
                <w:iCs/>
                <w:sz w:val="18"/>
                <w:szCs w:val="18"/>
              </w:rPr>
              <w:t>3.6</w:t>
            </w:r>
            <w:r w:rsidR="001552CD" w:rsidRPr="00A608C7">
              <w:rPr>
                <w:rFonts w:ascii="Arial" w:hAnsi="Arial" w:cs="Arial"/>
                <w:i/>
                <w:iCs/>
                <w:sz w:val="18"/>
                <w:szCs w:val="18"/>
              </w:rPr>
              <w:t xml:space="preserve"> bn</w:t>
            </w:r>
          </w:p>
        </w:tc>
      </w:tr>
      <w:tr w:rsidR="001A7A04" w:rsidRPr="00A608C7" w14:paraId="1A116E39" w14:textId="77777777" w:rsidTr="00964831">
        <w:trPr>
          <w:trHeight w:val="1132"/>
        </w:trPr>
        <w:tc>
          <w:tcPr>
            <w:tcW w:w="1171" w:type="pct"/>
            <w:vMerge/>
            <w:shd w:val="clear" w:color="auto" w:fill="auto"/>
            <w:tcMar>
              <w:top w:w="100" w:type="dxa"/>
              <w:left w:w="100" w:type="dxa"/>
              <w:bottom w:w="100" w:type="dxa"/>
              <w:right w:w="100" w:type="dxa"/>
            </w:tcMar>
          </w:tcPr>
          <w:p w14:paraId="0E731C97"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711C77C9" w14:textId="07823464" w:rsidR="001A7A04" w:rsidRPr="00A608C7" w:rsidRDefault="001A7A04" w:rsidP="00964831">
            <w:pPr>
              <w:pStyle w:val="ListParagraph"/>
              <w:spacing w:line="240" w:lineRule="auto"/>
              <w:ind w:left="0" w:right="85"/>
              <w:contextualSpacing w:val="0"/>
              <w:jc w:val="both"/>
              <w:rPr>
                <w:i/>
                <w:sz w:val="18"/>
                <w:szCs w:val="18"/>
                <w:lang w:val="en-US"/>
              </w:rPr>
            </w:pPr>
            <w:r w:rsidRPr="00A608C7">
              <w:rPr>
                <w:i/>
                <w:sz w:val="18"/>
                <w:szCs w:val="18"/>
                <w:highlight w:val="white"/>
              </w:rPr>
              <w:t>“Regional Operational Program</w:t>
            </w:r>
            <w:r w:rsidR="0094678E">
              <w:rPr>
                <w:i/>
                <w:sz w:val="18"/>
                <w:szCs w:val="18"/>
                <w:highlight w:val="white"/>
              </w:rPr>
              <w:t>me</w:t>
            </w:r>
            <w:r w:rsidRPr="00A608C7">
              <w:rPr>
                <w:i/>
                <w:sz w:val="18"/>
                <w:szCs w:val="18"/>
                <w:highlight w:val="white"/>
              </w:rPr>
              <w:t xml:space="preserve"> SW Oltenia”</w:t>
            </w:r>
            <w:r w:rsidRPr="00A608C7">
              <w:rPr>
                <w:i/>
                <w:sz w:val="18"/>
                <w:szCs w:val="18"/>
              </w:rPr>
              <w:t xml:space="preserve"> (ROP)</w:t>
            </w:r>
            <w:r w:rsidR="0094678E">
              <w:rPr>
                <w:i/>
                <w:sz w:val="18"/>
                <w:szCs w:val="18"/>
              </w:rPr>
              <w:t>,</w:t>
            </w:r>
            <w:r w:rsidRPr="00A608C7">
              <w:rPr>
                <w:i/>
                <w:sz w:val="18"/>
                <w:szCs w:val="18"/>
              </w:rPr>
              <w:t xml:space="preserve"> </w:t>
            </w:r>
            <w:r w:rsidRPr="00A608C7">
              <w:rPr>
                <w:i/>
                <w:sz w:val="18"/>
                <w:szCs w:val="18"/>
                <w:lang w:val="en-US"/>
              </w:rPr>
              <w:t xml:space="preserve">EUR </w:t>
            </w:r>
            <w:r w:rsidRPr="00A608C7">
              <w:rPr>
                <w:color w:val="000000"/>
                <w:spacing w:val="-1"/>
                <w:sz w:val="18"/>
                <w:szCs w:val="18"/>
              </w:rPr>
              <w:t>8</w:t>
            </w:r>
            <w:r w:rsidRPr="00A608C7">
              <w:rPr>
                <w:color w:val="000000"/>
                <w:sz w:val="18"/>
                <w:szCs w:val="18"/>
              </w:rPr>
              <w:t>0</w:t>
            </w:r>
            <w:r w:rsidRPr="00A608C7">
              <w:rPr>
                <w:color w:val="000000"/>
                <w:spacing w:val="-1"/>
                <w:sz w:val="18"/>
                <w:szCs w:val="18"/>
              </w:rPr>
              <w:t>.</w:t>
            </w:r>
            <w:r w:rsidRPr="00A608C7">
              <w:rPr>
                <w:color w:val="000000"/>
                <w:sz w:val="18"/>
                <w:szCs w:val="18"/>
              </w:rPr>
              <w:t>9</w:t>
            </w:r>
            <w:r w:rsidRPr="00A608C7">
              <w:rPr>
                <w:color w:val="000000"/>
                <w:spacing w:val="-1"/>
                <w:sz w:val="18"/>
                <w:szCs w:val="18"/>
              </w:rPr>
              <w:t>35</w:t>
            </w:r>
            <w:r w:rsidRPr="00A608C7">
              <w:rPr>
                <w:color w:val="000000"/>
                <w:sz w:val="18"/>
                <w:szCs w:val="18"/>
              </w:rPr>
              <w:t>.800</w:t>
            </w:r>
          </w:p>
          <w:p w14:paraId="6C2C5D4B" w14:textId="77777777" w:rsidR="001A7A04" w:rsidRPr="00A608C7" w:rsidRDefault="001A7A04" w:rsidP="00964831">
            <w:pPr>
              <w:pStyle w:val="ListParagraph"/>
              <w:spacing w:line="240" w:lineRule="auto"/>
              <w:ind w:left="0" w:right="85"/>
              <w:contextualSpacing w:val="0"/>
              <w:jc w:val="both"/>
              <w:rPr>
                <w:sz w:val="18"/>
                <w:szCs w:val="18"/>
              </w:rPr>
            </w:pPr>
            <w:r w:rsidRPr="00A608C7">
              <w:rPr>
                <w:i/>
                <w:sz w:val="18"/>
                <w:szCs w:val="18"/>
                <w:u w:val="single"/>
              </w:rPr>
              <w:t>Priority Axis 6 Modern and inclusive education,</w:t>
            </w:r>
            <w:r w:rsidRPr="00A608C7">
              <w:rPr>
                <w:sz w:val="18"/>
                <w:szCs w:val="18"/>
              </w:rPr>
              <w:t xml:space="preserve"> </w:t>
            </w:r>
          </w:p>
          <w:p w14:paraId="7D03E913" w14:textId="77777777" w:rsidR="001A7A04" w:rsidRPr="00A608C7" w:rsidRDefault="001A7A04" w:rsidP="00964831">
            <w:pPr>
              <w:pStyle w:val="ListParagraph"/>
              <w:spacing w:line="240" w:lineRule="auto"/>
              <w:ind w:left="0" w:right="85"/>
              <w:contextualSpacing w:val="0"/>
              <w:jc w:val="both"/>
              <w:rPr>
                <w:rFonts w:eastAsia="Calibri"/>
                <w:sz w:val="18"/>
                <w:szCs w:val="18"/>
                <w:lang w:val="en-US"/>
              </w:rPr>
            </w:pPr>
            <w:r w:rsidRPr="00A608C7">
              <w:rPr>
                <w:sz w:val="18"/>
                <w:szCs w:val="18"/>
              </w:rPr>
              <w:t>OP4/OS2 Improving access to quality and inclusive services in education, training and lifelong learning through infrastructure development.</w:t>
            </w:r>
            <w:r w:rsidRPr="00A608C7">
              <w:rPr>
                <w:w w:val="101"/>
                <w:sz w:val="18"/>
                <w:szCs w:val="18"/>
              </w:rPr>
              <w:t xml:space="preserve"> </w:t>
            </w:r>
            <w:r w:rsidRPr="00A608C7">
              <w:rPr>
                <w:w w:val="101"/>
                <w:sz w:val="18"/>
                <w:szCs w:val="18"/>
                <w:lang w:val="en-US"/>
              </w:rPr>
              <w:t xml:space="preserve">EUR </w:t>
            </w:r>
            <w:r w:rsidRPr="00A608C7">
              <w:rPr>
                <w:color w:val="000000"/>
                <w:sz w:val="18"/>
                <w:szCs w:val="18"/>
              </w:rPr>
              <w:t>71.</w:t>
            </w:r>
            <w:r w:rsidRPr="00A608C7">
              <w:rPr>
                <w:color w:val="000000"/>
                <w:spacing w:val="-1"/>
                <w:sz w:val="18"/>
                <w:szCs w:val="18"/>
              </w:rPr>
              <w:t>9</w:t>
            </w:r>
            <w:r w:rsidRPr="00A608C7">
              <w:rPr>
                <w:color w:val="000000"/>
                <w:sz w:val="18"/>
                <w:szCs w:val="18"/>
              </w:rPr>
              <w:t>35.</w:t>
            </w:r>
            <w:r w:rsidRPr="00A608C7">
              <w:rPr>
                <w:color w:val="000000"/>
                <w:spacing w:val="-1"/>
                <w:sz w:val="18"/>
                <w:szCs w:val="18"/>
              </w:rPr>
              <w:t>8</w:t>
            </w:r>
            <w:r w:rsidRPr="00A608C7">
              <w:rPr>
                <w:color w:val="000000"/>
                <w:sz w:val="18"/>
                <w:szCs w:val="18"/>
              </w:rPr>
              <w:t>00</w:t>
            </w:r>
          </w:p>
        </w:tc>
      </w:tr>
      <w:tr w:rsidR="001A7A04" w:rsidRPr="00A608C7" w14:paraId="58D04890" w14:textId="77777777" w:rsidTr="000A7086">
        <w:trPr>
          <w:trHeight w:val="2950"/>
        </w:trPr>
        <w:tc>
          <w:tcPr>
            <w:tcW w:w="1171" w:type="pct"/>
            <w:vMerge/>
            <w:shd w:val="clear" w:color="auto" w:fill="auto"/>
            <w:tcMar>
              <w:top w:w="100" w:type="dxa"/>
              <w:left w:w="100" w:type="dxa"/>
              <w:bottom w:w="100" w:type="dxa"/>
              <w:right w:w="100" w:type="dxa"/>
            </w:tcMar>
          </w:tcPr>
          <w:p w14:paraId="29BE3EF9"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0282AE21" w14:textId="77777777" w:rsidR="001A7A04" w:rsidRPr="00A608C7" w:rsidRDefault="001A7A04" w:rsidP="00964831">
            <w:pPr>
              <w:shd w:val="clear" w:color="auto" w:fill="FFFFFF"/>
              <w:jc w:val="both"/>
              <w:rPr>
                <w:rFonts w:ascii="Arial" w:hAnsi="Arial" w:cs="Arial"/>
                <w:bCs/>
                <w:sz w:val="18"/>
                <w:szCs w:val="18"/>
                <w:lang w:val="ro-RO"/>
              </w:rPr>
            </w:pPr>
            <w:r w:rsidRPr="00A608C7">
              <w:rPr>
                <w:rFonts w:ascii="Arial" w:hAnsi="Arial" w:cs="Arial"/>
                <w:bCs/>
                <w:i/>
                <w:sz w:val="18"/>
                <w:szCs w:val="18"/>
                <w:lang w:val="ro-RO"/>
              </w:rPr>
              <w:t>„Education and Employment Operational Programme” (EEOP).</w:t>
            </w:r>
            <w:r w:rsidRPr="00A608C7">
              <w:rPr>
                <w:rFonts w:ascii="Arial" w:hAnsi="Arial" w:cs="Arial"/>
                <w:bCs/>
                <w:sz w:val="18"/>
                <w:szCs w:val="18"/>
                <w:lang w:val="ro-RO"/>
              </w:rPr>
              <w:t xml:space="preserve"> </w:t>
            </w:r>
          </w:p>
          <w:p w14:paraId="6A5EC908"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1</w:t>
            </w:r>
            <w:r w:rsidRPr="00A608C7">
              <w:rPr>
                <w:rFonts w:ascii="Arial" w:hAnsi="Arial" w:cs="Arial"/>
                <w:sz w:val="18"/>
                <w:szCs w:val="18"/>
              </w:rPr>
              <w:t xml:space="preserve"> Unlocking the potential of young people in the labor market. </w:t>
            </w:r>
            <w:r w:rsidRPr="00A608C7">
              <w:rPr>
                <w:rFonts w:ascii="Arial" w:hAnsi="Arial" w:cs="Arial"/>
                <w:i/>
                <w:sz w:val="18"/>
                <w:szCs w:val="18"/>
                <w:u w:val="single"/>
              </w:rPr>
              <w:t>Priority 2</w:t>
            </w:r>
            <w:r w:rsidRPr="00A608C7">
              <w:rPr>
                <w:rFonts w:ascii="Arial" w:hAnsi="Arial" w:cs="Arial"/>
                <w:sz w:val="18"/>
                <w:szCs w:val="18"/>
              </w:rPr>
              <w:t xml:space="preserve"> Prevent early school leaving and increase access to and participation of disadvantaged groups in education and training. </w:t>
            </w:r>
          </w:p>
          <w:p w14:paraId="515315B8"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3</w:t>
            </w:r>
            <w:r w:rsidRPr="00A608C7">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7B750E34"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4</w:t>
            </w:r>
            <w:r w:rsidRPr="00A608C7">
              <w:rPr>
                <w:rFonts w:ascii="Arial" w:hAnsi="Arial" w:cs="Arial"/>
                <w:sz w:val="18"/>
                <w:szCs w:val="18"/>
              </w:rPr>
              <w:t xml:space="preserve"> Increasing the accessibility, attractiveness and quality of vocational and technical education. </w:t>
            </w:r>
          </w:p>
          <w:p w14:paraId="54AEE357"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5</w:t>
            </w:r>
            <w:r w:rsidRPr="00A608C7">
              <w:rPr>
                <w:rFonts w:ascii="Arial" w:hAnsi="Arial" w:cs="Arial"/>
                <w:sz w:val="18"/>
                <w:szCs w:val="18"/>
              </w:rPr>
              <w:t xml:space="preserve"> Increasing access to the labor market for all. </w:t>
            </w:r>
          </w:p>
          <w:p w14:paraId="54546396"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6</w:t>
            </w:r>
            <w:r w:rsidRPr="00A608C7">
              <w:rPr>
                <w:rFonts w:ascii="Arial" w:hAnsi="Arial" w:cs="Arial"/>
                <w:sz w:val="18"/>
                <w:szCs w:val="18"/>
              </w:rPr>
              <w:t xml:space="preserve"> Entrepreneurship and the social economy. </w:t>
            </w:r>
          </w:p>
          <w:p w14:paraId="447D494F" w14:textId="77777777" w:rsidR="001A7A04" w:rsidRPr="00A608C7" w:rsidRDefault="001A7A04" w:rsidP="00964831">
            <w:pPr>
              <w:shd w:val="clear" w:color="auto" w:fill="FFFFFF"/>
              <w:jc w:val="both"/>
              <w:rPr>
                <w:rFonts w:ascii="Arial" w:hAnsi="Arial" w:cs="Arial"/>
                <w:sz w:val="18"/>
                <w:szCs w:val="18"/>
              </w:rPr>
            </w:pPr>
            <w:r w:rsidRPr="00A608C7">
              <w:rPr>
                <w:rFonts w:ascii="Arial" w:hAnsi="Arial" w:cs="Arial"/>
                <w:i/>
                <w:sz w:val="18"/>
                <w:szCs w:val="18"/>
                <w:u w:val="single"/>
              </w:rPr>
              <w:t>Priority 7</w:t>
            </w:r>
            <w:r w:rsidRPr="00A608C7">
              <w:rPr>
                <w:rFonts w:ascii="Arial" w:hAnsi="Arial" w:cs="Arial"/>
                <w:sz w:val="18"/>
                <w:szCs w:val="18"/>
              </w:rPr>
              <w:t xml:space="preserve"> Supporting labor market reforms in line with labor market dynamics. </w:t>
            </w:r>
          </w:p>
          <w:p w14:paraId="1572310C" w14:textId="2F17DF76" w:rsidR="001A7A04" w:rsidRPr="00A608C7" w:rsidRDefault="001A7A04" w:rsidP="00964831">
            <w:pPr>
              <w:shd w:val="clear" w:color="auto" w:fill="FFFFFF"/>
              <w:jc w:val="both"/>
              <w:rPr>
                <w:rFonts w:ascii="Arial" w:eastAsia="Calibri" w:hAnsi="Arial" w:cs="Arial"/>
                <w:sz w:val="18"/>
                <w:szCs w:val="18"/>
                <w:lang w:val="en-US"/>
              </w:rPr>
            </w:pPr>
            <w:r w:rsidRPr="00A608C7">
              <w:rPr>
                <w:rFonts w:ascii="Arial" w:hAnsi="Arial" w:cs="Arial"/>
                <w:i/>
                <w:sz w:val="18"/>
                <w:szCs w:val="18"/>
                <w:u w:val="single"/>
              </w:rPr>
              <w:t>Priority 8</w:t>
            </w:r>
            <w:r w:rsidRPr="00A608C7">
              <w:rPr>
                <w:rFonts w:ascii="Arial" w:hAnsi="Arial" w:cs="Arial"/>
                <w:sz w:val="18"/>
                <w:szCs w:val="18"/>
              </w:rPr>
              <w:t xml:space="preserve"> Strengthen population participation in lifelong learning to facilitate transitions and labor market mobility.</w:t>
            </w:r>
            <w:r w:rsidRPr="00A608C7">
              <w:rPr>
                <w:rFonts w:ascii="Arial" w:hAnsi="Arial" w:cs="Arial"/>
                <w:sz w:val="18"/>
                <w:szCs w:val="18"/>
                <w:lang w:val="en-US"/>
              </w:rPr>
              <w:t xml:space="preserve"> EUR</w:t>
            </w:r>
            <w:r w:rsidR="001552CD" w:rsidRPr="00A608C7">
              <w:rPr>
                <w:rFonts w:ascii="Arial" w:hAnsi="Arial" w:cs="Arial"/>
                <w:sz w:val="18"/>
                <w:szCs w:val="18"/>
                <w:lang w:val="en-US"/>
              </w:rPr>
              <w:t xml:space="preserve"> </w:t>
            </w:r>
            <w:r w:rsidRPr="00A608C7">
              <w:rPr>
                <w:rFonts w:ascii="Arial" w:hAnsi="Arial" w:cs="Arial"/>
                <w:sz w:val="18"/>
                <w:szCs w:val="18"/>
              </w:rPr>
              <w:t>3.86</w:t>
            </w:r>
            <w:r w:rsidR="001552CD" w:rsidRPr="00A608C7">
              <w:rPr>
                <w:rFonts w:ascii="Arial" w:hAnsi="Arial" w:cs="Arial"/>
                <w:sz w:val="18"/>
                <w:szCs w:val="18"/>
              </w:rPr>
              <w:t xml:space="preserve"> bn</w:t>
            </w:r>
          </w:p>
        </w:tc>
      </w:tr>
      <w:tr w:rsidR="001A7A04" w:rsidRPr="00A608C7" w14:paraId="3B02E497" w14:textId="77777777" w:rsidTr="00964831">
        <w:trPr>
          <w:trHeight w:val="1807"/>
        </w:trPr>
        <w:tc>
          <w:tcPr>
            <w:tcW w:w="1171" w:type="pct"/>
            <w:vMerge/>
            <w:shd w:val="clear" w:color="auto" w:fill="auto"/>
            <w:tcMar>
              <w:top w:w="100" w:type="dxa"/>
              <w:left w:w="100" w:type="dxa"/>
              <w:bottom w:w="100" w:type="dxa"/>
              <w:right w:w="100" w:type="dxa"/>
            </w:tcMar>
          </w:tcPr>
          <w:p w14:paraId="497CA6C9" w14:textId="77777777" w:rsidR="001A7A04" w:rsidRPr="00A608C7" w:rsidRDefault="001A7A04" w:rsidP="00964831">
            <w:pPr>
              <w:shd w:val="clear" w:color="auto" w:fill="FFFFFF"/>
              <w:jc w:val="both"/>
              <w:rPr>
                <w:rFonts w:ascii="Arial" w:hAnsi="Arial" w:cs="Arial"/>
                <w:sz w:val="18"/>
                <w:szCs w:val="18"/>
              </w:rPr>
            </w:pPr>
          </w:p>
        </w:tc>
        <w:tc>
          <w:tcPr>
            <w:tcW w:w="3828" w:type="pct"/>
            <w:shd w:val="clear" w:color="auto" w:fill="auto"/>
            <w:tcMar>
              <w:top w:w="0" w:type="dxa"/>
              <w:left w:w="100" w:type="dxa"/>
              <w:bottom w:w="0" w:type="dxa"/>
              <w:right w:w="100" w:type="dxa"/>
            </w:tcMar>
          </w:tcPr>
          <w:p w14:paraId="4E174B21" w14:textId="1E2684BB" w:rsidR="001A7A04" w:rsidRPr="00A608C7" w:rsidRDefault="001A7A04" w:rsidP="00964831">
            <w:pPr>
              <w:pStyle w:val="ListParagraph"/>
              <w:shd w:val="clear" w:color="auto" w:fill="FFFFFF"/>
              <w:spacing w:line="240" w:lineRule="auto"/>
              <w:ind w:left="0"/>
              <w:rPr>
                <w:rFonts w:eastAsia="Times New Roman"/>
                <w:i/>
                <w:sz w:val="18"/>
                <w:szCs w:val="18"/>
                <w:lang w:val="en"/>
              </w:rPr>
            </w:pPr>
            <w:r w:rsidRPr="00A608C7">
              <w:rPr>
                <w:rFonts w:eastAsia="Times New Roman"/>
                <w:i/>
                <w:sz w:val="18"/>
                <w:szCs w:val="18"/>
                <w:lang w:val="en"/>
              </w:rPr>
              <w:t>“Intelligent Growth, Digiti</w:t>
            </w:r>
            <w:r w:rsidR="004E7B64">
              <w:rPr>
                <w:rFonts w:eastAsia="Times New Roman"/>
                <w:i/>
                <w:sz w:val="18"/>
                <w:szCs w:val="18"/>
                <w:lang w:val="en"/>
              </w:rPr>
              <w:t>sation</w:t>
            </w:r>
            <w:r w:rsidRPr="00A608C7">
              <w:rPr>
                <w:rFonts w:eastAsia="Times New Roman"/>
                <w:i/>
                <w:sz w:val="18"/>
                <w:szCs w:val="18"/>
                <w:lang w:val="en"/>
              </w:rPr>
              <w:t xml:space="preserve"> and Financial Instruments Operational Program</w:t>
            </w:r>
            <w:r w:rsidR="0094678E">
              <w:rPr>
                <w:rFonts w:eastAsia="Times New Roman"/>
                <w:i/>
                <w:sz w:val="18"/>
                <w:szCs w:val="18"/>
                <w:lang w:val="en"/>
              </w:rPr>
              <w:t>me</w:t>
            </w:r>
            <w:r w:rsidRPr="00A608C7">
              <w:rPr>
                <w:rFonts w:eastAsia="Times New Roman"/>
                <w:i/>
                <w:sz w:val="18"/>
                <w:szCs w:val="18"/>
                <w:lang w:val="en"/>
              </w:rPr>
              <w:t xml:space="preserve">” (IGDFIOP). </w:t>
            </w:r>
          </w:p>
          <w:p w14:paraId="6EAA1038" w14:textId="77777777" w:rsidR="001A7A04" w:rsidRPr="00A608C7" w:rsidRDefault="001A7A04" w:rsidP="00964831">
            <w:pPr>
              <w:pStyle w:val="ListParagraph"/>
              <w:shd w:val="clear" w:color="auto" w:fill="FFFFFF"/>
              <w:spacing w:line="240" w:lineRule="auto"/>
              <w:ind w:left="0"/>
              <w:rPr>
                <w:sz w:val="18"/>
                <w:szCs w:val="18"/>
                <w:lang w:val="en"/>
              </w:rPr>
            </w:pPr>
            <w:r w:rsidRPr="00A608C7">
              <w:rPr>
                <w:i/>
                <w:sz w:val="18"/>
                <w:szCs w:val="18"/>
                <w:u w:val="single"/>
                <w:lang w:val="en"/>
              </w:rPr>
              <w:t>Priority Axis 1 Integration of the RDI national ecosystem into the European and international Research Area.</w:t>
            </w:r>
            <w:r w:rsidRPr="00A608C7">
              <w:rPr>
                <w:sz w:val="18"/>
                <w:szCs w:val="18"/>
                <w:lang w:val="en"/>
              </w:rPr>
              <w:t xml:space="preserve">  </w:t>
            </w:r>
          </w:p>
          <w:p w14:paraId="0D3D2F61" w14:textId="77777777" w:rsidR="001A7A04" w:rsidRPr="00A608C7" w:rsidRDefault="001A7A04" w:rsidP="00964831">
            <w:pPr>
              <w:pStyle w:val="ListParagraph"/>
              <w:shd w:val="clear" w:color="auto" w:fill="FFFFFF"/>
              <w:spacing w:line="240" w:lineRule="auto"/>
              <w:ind w:left="0"/>
              <w:rPr>
                <w:sz w:val="18"/>
                <w:szCs w:val="18"/>
                <w:lang w:val="en"/>
              </w:rPr>
            </w:pPr>
            <w:r w:rsidRPr="00A608C7">
              <w:rPr>
                <w:i/>
                <w:iCs/>
                <w:sz w:val="18"/>
                <w:szCs w:val="18"/>
                <w:u w:val="single"/>
                <w:lang w:val="en"/>
              </w:rPr>
              <w:t xml:space="preserve">Priority 2 </w:t>
            </w:r>
            <w:r w:rsidRPr="00A608C7">
              <w:rPr>
                <w:sz w:val="18"/>
                <w:szCs w:val="18"/>
                <w:lang w:val="en"/>
              </w:rPr>
              <w:t xml:space="preserve">Creating and promoting an attractive system of innovation in the economy for all types of innovation. </w:t>
            </w:r>
          </w:p>
          <w:p w14:paraId="7F4F599A" w14:textId="77777777" w:rsidR="001A7A04" w:rsidRPr="00A608C7" w:rsidRDefault="001A7A04" w:rsidP="00964831">
            <w:pPr>
              <w:pStyle w:val="ListParagraph"/>
              <w:shd w:val="clear" w:color="auto" w:fill="FFFFFF"/>
              <w:spacing w:line="240" w:lineRule="auto"/>
              <w:ind w:left="0"/>
              <w:rPr>
                <w:sz w:val="18"/>
                <w:szCs w:val="18"/>
                <w:lang w:val="en"/>
              </w:rPr>
            </w:pPr>
            <w:r w:rsidRPr="00A608C7">
              <w:rPr>
                <w:i/>
                <w:iCs/>
                <w:sz w:val="18"/>
                <w:szCs w:val="18"/>
                <w:u w:val="single"/>
                <w:lang w:val="en"/>
              </w:rPr>
              <w:t>Priority 5</w:t>
            </w:r>
            <w:r w:rsidRPr="00A608C7">
              <w:rPr>
                <w:sz w:val="18"/>
                <w:szCs w:val="18"/>
                <w:lang w:val="en"/>
              </w:rPr>
              <w:t xml:space="preserve"> Developing the RDI capacity of large enterprises.  </w:t>
            </w:r>
          </w:p>
          <w:p w14:paraId="222D6015" w14:textId="77777777" w:rsidR="001A7A04" w:rsidRPr="00A608C7" w:rsidRDefault="001A7A04" w:rsidP="00964831">
            <w:pPr>
              <w:pStyle w:val="ListParagraph"/>
              <w:shd w:val="clear" w:color="auto" w:fill="FFFFFF"/>
              <w:spacing w:line="240" w:lineRule="auto"/>
              <w:ind w:left="0"/>
              <w:rPr>
                <w:sz w:val="18"/>
                <w:szCs w:val="18"/>
                <w:lang w:val="en"/>
              </w:rPr>
            </w:pPr>
            <w:r w:rsidRPr="00A608C7">
              <w:rPr>
                <w:i/>
                <w:iCs/>
                <w:sz w:val="18"/>
                <w:szCs w:val="18"/>
                <w:u w:val="single"/>
                <w:lang w:val="en"/>
              </w:rPr>
              <w:t>Priority 6</w:t>
            </w:r>
            <w:r w:rsidRPr="00A608C7">
              <w:rPr>
                <w:sz w:val="18"/>
                <w:szCs w:val="18"/>
                <w:lang w:val="en"/>
              </w:rPr>
              <w:t xml:space="preserve"> Development of RDI strategic projects. </w:t>
            </w:r>
          </w:p>
          <w:p w14:paraId="41CBD846" w14:textId="77777777" w:rsidR="001A7A04" w:rsidRPr="00A608C7" w:rsidRDefault="001A7A04" w:rsidP="00964831">
            <w:pPr>
              <w:pStyle w:val="ListParagraph"/>
              <w:shd w:val="clear" w:color="auto" w:fill="FFFFFF"/>
              <w:spacing w:line="240" w:lineRule="auto"/>
              <w:ind w:left="0"/>
              <w:rPr>
                <w:sz w:val="18"/>
                <w:szCs w:val="18"/>
                <w:lang w:val="en"/>
              </w:rPr>
            </w:pPr>
            <w:r w:rsidRPr="00A608C7">
              <w:rPr>
                <w:i/>
                <w:iCs/>
                <w:sz w:val="18"/>
                <w:szCs w:val="18"/>
                <w:u w:val="single"/>
                <w:lang w:val="en"/>
              </w:rPr>
              <w:t>Priority 10</w:t>
            </w:r>
            <w:r w:rsidRPr="00A608C7">
              <w:rPr>
                <w:sz w:val="18"/>
                <w:szCs w:val="18"/>
                <w:lang w:val="en"/>
              </w:rPr>
              <w:t xml:space="preserve"> Stimulating access to finance for SMEs by means of Financial Instruments.</w:t>
            </w:r>
          </w:p>
          <w:p w14:paraId="4434DCAE" w14:textId="77777777" w:rsidR="001A7A04" w:rsidRPr="00A608C7" w:rsidRDefault="001A7A04" w:rsidP="00964831">
            <w:pPr>
              <w:pStyle w:val="ListParagraph"/>
              <w:shd w:val="clear" w:color="auto" w:fill="FFFFFF"/>
              <w:spacing w:line="240" w:lineRule="auto"/>
              <w:ind w:left="0"/>
              <w:rPr>
                <w:sz w:val="18"/>
                <w:szCs w:val="18"/>
                <w:lang w:val="en-US"/>
              </w:rPr>
            </w:pPr>
            <w:r w:rsidRPr="00A608C7">
              <w:rPr>
                <w:sz w:val="18"/>
                <w:szCs w:val="18"/>
                <w:lang w:val="en-US"/>
              </w:rPr>
              <w:t xml:space="preserve">RON </w:t>
            </w:r>
            <w:r w:rsidRPr="00A608C7">
              <w:rPr>
                <w:color w:val="202124"/>
                <w:sz w:val="18"/>
                <w:szCs w:val="18"/>
                <w:lang w:val="en"/>
              </w:rPr>
              <w:t>945.000.000</w:t>
            </w:r>
          </w:p>
        </w:tc>
      </w:tr>
    </w:tbl>
    <w:p w14:paraId="346CE028" w14:textId="6C24C5FD" w:rsidR="001A7A04" w:rsidRPr="00654AE5" w:rsidRDefault="001A7A04" w:rsidP="00654AE5">
      <w:pPr>
        <w:widowControl w:val="0"/>
        <w:autoSpaceDE w:val="0"/>
        <w:autoSpaceDN w:val="0"/>
        <w:adjustRightInd w:val="0"/>
        <w:spacing w:before="120" w:after="120"/>
        <w:rPr>
          <w:rFonts w:ascii="Arial" w:hAnsi="Arial" w:cs="Arial"/>
          <w:b/>
          <w:color w:val="4F81BD" w:themeColor="accent1"/>
          <w:sz w:val="20"/>
          <w:szCs w:val="20"/>
          <w:highlight w:val="white"/>
        </w:rPr>
      </w:pPr>
      <w:r w:rsidRPr="00654AE5">
        <w:rPr>
          <w:rFonts w:ascii="Arial" w:hAnsi="Arial" w:cs="Arial"/>
          <w:b/>
          <w:color w:val="4F81BD" w:themeColor="accent1"/>
          <w:sz w:val="20"/>
          <w:szCs w:val="20"/>
          <w:highlight w:val="white"/>
        </w:rPr>
        <w:t>Key Takeaways Gorj</w:t>
      </w:r>
    </w:p>
    <w:p w14:paraId="4FE02C02" w14:textId="0351C731" w:rsidR="001A7A04" w:rsidRPr="00402580" w:rsidRDefault="001A7A04" w:rsidP="00402580">
      <w:pPr>
        <w:widowControl w:val="0"/>
        <w:autoSpaceDE w:val="0"/>
        <w:autoSpaceDN w:val="0"/>
        <w:adjustRightInd w:val="0"/>
        <w:jc w:val="both"/>
        <w:rPr>
          <w:rFonts w:ascii="Arial" w:hAnsi="Arial" w:cs="Arial"/>
          <w:sz w:val="20"/>
          <w:szCs w:val="20"/>
          <w:highlight w:val="white"/>
        </w:rPr>
      </w:pPr>
      <w:r w:rsidRPr="00402580">
        <w:rPr>
          <w:rFonts w:ascii="Arial" w:hAnsi="Arial" w:cs="Arial"/>
          <w:sz w:val="20"/>
          <w:szCs w:val="20"/>
          <w:highlight w:val="white"/>
        </w:rPr>
        <w:t xml:space="preserve">While some of the investments needs that we identified as being of high priority for </w:t>
      </w:r>
      <w:r w:rsidR="00F52E81">
        <w:rPr>
          <w:rFonts w:ascii="Arial" w:hAnsi="Arial" w:cs="Arial"/>
          <w:sz w:val="20"/>
          <w:szCs w:val="20"/>
          <w:highlight w:val="white"/>
        </w:rPr>
        <w:t>Gorj</w:t>
      </w:r>
      <w:r w:rsidRPr="00402580">
        <w:rPr>
          <w:rFonts w:ascii="Arial" w:hAnsi="Arial" w:cs="Arial"/>
          <w:sz w:val="20"/>
          <w:szCs w:val="20"/>
          <w:highlight w:val="white"/>
        </w:rPr>
        <w:t xml:space="preserve"> can be financed as well through other OPs, there are areas where the investment need is high and thus the OPJT focus comes in as very desirable: support for large enterprises to implement productive investments that would lead to job creation; creation of business support infrastructure (hard and soft) for start-ups and existing SMEs, investments in functional repurposing of degraded land, investments in reskilling programmes tied to productive investment support in SMEs and large enterprises; support for green tech and circular economy businesses.</w:t>
      </w:r>
    </w:p>
    <w:p w14:paraId="00669D3D" w14:textId="77777777" w:rsidR="001552CD" w:rsidRDefault="001552CD" w:rsidP="00E42342">
      <w:pPr>
        <w:pStyle w:val="Heading2"/>
        <w:numPr>
          <w:ilvl w:val="0"/>
          <w:numId w:val="214"/>
        </w:numPr>
        <w:spacing w:before="240" w:line="240" w:lineRule="auto"/>
        <w:ind w:left="432" w:hanging="432"/>
      </w:pPr>
      <w:bookmarkStart w:id="234" w:name="_Toc90725882"/>
      <w:r>
        <w:t>Potential solutions and opportunities identified during the engagement process</w:t>
      </w:r>
      <w:bookmarkEnd w:id="234"/>
    </w:p>
    <w:p w14:paraId="15D246B0" w14:textId="7E5D7563" w:rsidR="001552CD" w:rsidRDefault="001552CD" w:rsidP="001552CD">
      <w:pPr>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intervention have been open to discussion during the regional workshop organized on 12 May 2021, as following:</w:t>
      </w:r>
    </w:p>
    <w:p w14:paraId="3EEE7D84" w14:textId="77777777" w:rsidR="001552CD" w:rsidRDefault="001552CD" w:rsidP="001552CD">
      <w:pPr>
        <w:rPr>
          <w:rFonts w:ascii="Arial" w:hAnsi="Arial" w:cs="Arial"/>
          <w:sz w:val="20"/>
          <w:szCs w:val="20"/>
          <w:lang w:eastAsia="en-US"/>
        </w:rPr>
      </w:pPr>
    </w:p>
    <w:p w14:paraId="5E5217E7" w14:textId="77777777" w:rsidR="001552CD" w:rsidRDefault="001552CD" w:rsidP="00E42342">
      <w:pPr>
        <w:pStyle w:val="ListParagraph"/>
        <w:numPr>
          <w:ilvl w:val="0"/>
          <w:numId w:val="215"/>
        </w:numPr>
        <w:rPr>
          <w:sz w:val="20"/>
          <w:szCs w:val="20"/>
        </w:rPr>
      </w:pPr>
      <w:r w:rsidRPr="00644AF6">
        <w:rPr>
          <w:sz w:val="20"/>
          <w:szCs w:val="20"/>
        </w:rPr>
        <w:t>The future of decarbonisation in the region for large companies</w:t>
      </w:r>
    </w:p>
    <w:p w14:paraId="0E6BE8CA" w14:textId="77777777" w:rsidR="001552CD" w:rsidRDefault="001552CD" w:rsidP="00E42342">
      <w:pPr>
        <w:pStyle w:val="ListParagraph"/>
        <w:numPr>
          <w:ilvl w:val="0"/>
          <w:numId w:val="215"/>
        </w:numPr>
        <w:rPr>
          <w:sz w:val="20"/>
          <w:szCs w:val="20"/>
        </w:rPr>
      </w:pPr>
      <w:r>
        <w:rPr>
          <w:sz w:val="20"/>
          <w:szCs w:val="20"/>
        </w:rPr>
        <w:t>Employment and attracting human capital</w:t>
      </w:r>
    </w:p>
    <w:p w14:paraId="5CCE4820" w14:textId="77777777" w:rsidR="001552CD" w:rsidRDefault="001552CD" w:rsidP="00E42342">
      <w:pPr>
        <w:pStyle w:val="ListParagraph"/>
        <w:numPr>
          <w:ilvl w:val="0"/>
          <w:numId w:val="215"/>
        </w:numPr>
        <w:rPr>
          <w:sz w:val="20"/>
          <w:szCs w:val="20"/>
        </w:rPr>
      </w:pPr>
      <w:r>
        <w:rPr>
          <w:sz w:val="20"/>
          <w:szCs w:val="20"/>
        </w:rPr>
        <w:t>Environmental challenges and opportunities</w:t>
      </w:r>
    </w:p>
    <w:p w14:paraId="70B1DD0C" w14:textId="77777777" w:rsidR="001552CD" w:rsidRDefault="001552CD" w:rsidP="00E42342">
      <w:pPr>
        <w:pStyle w:val="ListParagraph"/>
        <w:numPr>
          <w:ilvl w:val="0"/>
          <w:numId w:val="215"/>
        </w:numPr>
        <w:rPr>
          <w:sz w:val="20"/>
          <w:szCs w:val="20"/>
        </w:rPr>
      </w:pPr>
      <w:r>
        <w:rPr>
          <w:sz w:val="20"/>
          <w:szCs w:val="20"/>
        </w:rPr>
        <w:t>SMEs and entrepreneurship as vectors of regional development</w:t>
      </w:r>
    </w:p>
    <w:p w14:paraId="727A0500" w14:textId="77777777" w:rsidR="001552CD" w:rsidRDefault="001552CD" w:rsidP="001552CD">
      <w:pPr>
        <w:rPr>
          <w:sz w:val="20"/>
          <w:szCs w:val="20"/>
        </w:rPr>
      </w:pPr>
    </w:p>
    <w:p w14:paraId="4E1EC3B7" w14:textId="4B74408D" w:rsidR="001552CD" w:rsidRDefault="001552CD" w:rsidP="001552CD">
      <w:pPr>
        <w:jc w:val="both"/>
        <w:rPr>
          <w:rFonts w:ascii="Arial" w:hAnsi="Arial" w:cs="Arial"/>
          <w:sz w:val="20"/>
          <w:szCs w:val="20"/>
        </w:rPr>
      </w:pPr>
      <w:r w:rsidRPr="00355188">
        <w:rPr>
          <w:rFonts w:ascii="Arial" w:hAnsi="Arial" w:cs="Arial"/>
          <w:sz w:val="20"/>
          <w:szCs w:val="20"/>
        </w:rPr>
        <w:t xml:space="preserve">Participants were invited to actively participate in the discussions (based on the world-café methodology) and bring forward project ideas and solutions, as well as address opportunities, related to the four main topics. Subsequently, participant ideas </w:t>
      </w:r>
      <w:r w:rsidR="007722E7">
        <w:rPr>
          <w:rFonts w:ascii="Arial" w:hAnsi="Arial" w:cs="Arial"/>
          <w:sz w:val="20"/>
          <w:szCs w:val="20"/>
        </w:rPr>
        <w:t>were</w:t>
      </w:r>
      <w:r w:rsidRPr="00355188">
        <w:rPr>
          <w:rFonts w:ascii="Arial" w:hAnsi="Arial" w:cs="Arial"/>
          <w:sz w:val="20"/>
          <w:szCs w:val="20"/>
        </w:rPr>
        <w:t xml:space="preserve"> </w:t>
      </w:r>
      <w:r w:rsidR="007722E7">
        <w:rPr>
          <w:rFonts w:ascii="Arial" w:hAnsi="Arial" w:cs="Arial"/>
          <w:sz w:val="20"/>
          <w:szCs w:val="20"/>
        </w:rPr>
        <w:t>collected</w:t>
      </w:r>
      <w:r w:rsidRPr="00355188">
        <w:rPr>
          <w:rFonts w:ascii="Arial" w:hAnsi="Arial" w:cs="Arial"/>
          <w:sz w:val="20"/>
          <w:szCs w:val="20"/>
        </w:rPr>
        <w:t xml:space="preserve"> and further assessed by the </w:t>
      </w:r>
      <w:r w:rsidR="007722E7">
        <w:rPr>
          <w:rFonts w:ascii="Arial" w:hAnsi="Arial" w:cs="Arial"/>
          <w:sz w:val="20"/>
          <w:szCs w:val="20"/>
        </w:rPr>
        <w:t>TA</w:t>
      </w:r>
      <w:r w:rsidRPr="00355188">
        <w:rPr>
          <w:rFonts w:ascii="Arial" w:hAnsi="Arial" w:cs="Arial"/>
          <w:sz w:val="20"/>
          <w:szCs w:val="20"/>
        </w:rPr>
        <w:t xml:space="preserve"> team. The main takeaways are presented in this section for </w:t>
      </w:r>
      <w:r>
        <w:rPr>
          <w:rFonts w:ascii="Arial" w:hAnsi="Arial" w:cs="Arial"/>
          <w:sz w:val="20"/>
          <w:szCs w:val="20"/>
        </w:rPr>
        <w:t>Gorj</w:t>
      </w:r>
      <w:r w:rsidRPr="00355188">
        <w:rPr>
          <w:rFonts w:ascii="Arial" w:hAnsi="Arial" w:cs="Arial"/>
          <w:sz w:val="20"/>
          <w:szCs w:val="20"/>
        </w:rPr>
        <w:t xml:space="preserve"> </w:t>
      </w:r>
      <w:r w:rsidR="007722E7">
        <w:rPr>
          <w:rFonts w:ascii="Arial" w:hAnsi="Arial" w:cs="Arial"/>
          <w:sz w:val="20"/>
          <w:szCs w:val="20"/>
        </w:rPr>
        <w:t>C</w:t>
      </w:r>
      <w:r w:rsidRPr="00355188">
        <w:rPr>
          <w:rFonts w:ascii="Arial" w:hAnsi="Arial" w:cs="Arial"/>
          <w:sz w:val="20"/>
          <w:szCs w:val="20"/>
        </w:rPr>
        <w:t>ounty.</w:t>
      </w:r>
    </w:p>
    <w:p w14:paraId="19708A74" w14:textId="77777777" w:rsidR="001552CD" w:rsidRDefault="001552CD" w:rsidP="005B0FFF">
      <w:pPr>
        <w:jc w:val="both"/>
        <w:rPr>
          <w:rFonts w:ascii="Arial" w:hAnsi="Arial" w:cs="Arial"/>
          <w:sz w:val="20"/>
          <w:szCs w:val="20"/>
        </w:rPr>
        <w:sectPr w:rsidR="001552CD" w:rsidSect="00E66687">
          <w:pgSz w:w="11909" w:h="16834"/>
          <w:pgMar w:top="1440" w:right="1440" w:bottom="1440" w:left="1530" w:header="720" w:footer="720" w:gutter="0"/>
          <w:cols w:space="720"/>
          <w:docGrid w:linePitch="326"/>
        </w:sectPr>
      </w:pPr>
    </w:p>
    <w:p w14:paraId="4F16CB67" w14:textId="2675B6C5" w:rsidR="001552CD" w:rsidRDefault="001552CD" w:rsidP="00402580">
      <w:pPr>
        <w:pStyle w:val="Caption"/>
      </w:pPr>
      <w:bookmarkStart w:id="235" w:name="_Toc90726005"/>
      <w:bookmarkStart w:id="236" w:name="_Toc90727302"/>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51</w:t>
      </w:r>
      <w:r w:rsidR="000B273D">
        <w:rPr>
          <w:noProof/>
        </w:rPr>
        <w:fldChar w:fldCharType="end"/>
      </w:r>
      <w:r>
        <w:t xml:space="preserve">: Regional workshop harvesting for Gorj </w:t>
      </w:r>
      <w:r w:rsidR="00BE3AFB">
        <w:t>C</w:t>
      </w:r>
      <w:r>
        <w:t>ounty</w:t>
      </w:r>
      <w:bookmarkEnd w:id="235"/>
      <w:bookmarkEnd w:id="236"/>
    </w:p>
    <w:tbl>
      <w:tblPr>
        <w:tblW w:w="1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7"/>
        <w:gridCol w:w="1398"/>
        <w:gridCol w:w="5802"/>
        <w:gridCol w:w="1286"/>
      </w:tblGrid>
      <w:tr w:rsidR="001552CD" w:rsidRPr="001552CD" w14:paraId="1F99B00A" w14:textId="77777777" w:rsidTr="00EE02DE">
        <w:tc>
          <w:tcPr>
            <w:tcW w:w="14173" w:type="dxa"/>
            <w:gridSpan w:val="4"/>
            <w:shd w:val="clear" w:color="auto" w:fill="93C47D"/>
          </w:tcPr>
          <w:p w14:paraId="0E15E02B" w14:textId="292095C1" w:rsidR="001552CD" w:rsidRPr="00402580" w:rsidRDefault="001552CD" w:rsidP="00EE02DE">
            <w:pPr>
              <w:spacing w:before="240" w:after="240"/>
              <w:ind w:hanging="2"/>
              <w:rPr>
                <w:rFonts w:ascii="Arial" w:hAnsi="Arial" w:cs="Arial"/>
                <w:sz w:val="18"/>
                <w:szCs w:val="18"/>
              </w:rPr>
            </w:pPr>
            <w:r w:rsidRPr="00402580">
              <w:rPr>
                <w:rFonts w:ascii="Arial" w:hAnsi="Arial" w:cs="Arial"/>
                <w:b/>
                <w:sz w:val="18"/>
                <w:szCs w:val="18"/>
              </w:rPr>
              <w:t xml:space="preserve">Ideas and solutions in the </w:t>
            </w:r>
            <w:r w:rsidR="00086C94">
              <w:rPr>
                <w:rFonts w:ascii="Arial" w:hAnsi="Arial" w:cs="Arial"/>
                <w:b/>
                <w:sz w:val="18"/>
                <w:szCs w:val="18"/>
              </w:rPr>
              <w:t>J</w:t>
            </w:r>
            <w:r w:rsidRPr="00402580">
              <w:rPr>
                <w:rFonts w:ascii="Arial" w:hAnsi="Arial" w:cs="Arial"/>
                <w:b/>
                <w:sz w:val="18"/>
                <w:szCs w:val="18"/>
              </w:rPr>
              <w:t xml:space="preserve">ust </w:t>
            </w:r>
            <w:r w:rsidR="00086C94">
              <w:rPr>
                <w:rFonts w:ascii="Arial" w:hAnsi="Arial" w:cs="Arial"/>
                <w:b/>
                <w:sz w:val="18"/>
                <w:szCs w:val="18"/>
              </w:rPr>
              <w:t>T</w:t>
            </w:r>
            <w:r w:rsidRPr="00402580">
              <w:rPr>
                <w:rFonts w:ascii="Arial" w:hAnsi="Arial" w:cs="Arial"/>
                <w:b/>
                <w:sz w:val="18"/>
                <w:szCs w:val="18"/>
              </w:rPr>
              <w:t xml:space="preserve">ransition process, Gorj </w:t>
            </w:r>
            <w:r w:rsidR="00086C94">
              <w:rPr>
                <w:rFonts w:ascii="Arial" w:hAnsi="Arial" w:cs="Arial"/>
                <w:b/>
                <w:sz w:val="18"/>
                <w:szCs w:val="18"/>
              </w:rPr>
              <w:t>C</w:t>
            </w:r>
            <w:r w:rsidRPr="00402580">
              <w:rPr>
                <w:rFonts w:ascii="Arial" w:hAnsi="Arial" w:cs="Arial"/>
                <w:b/>
                <w:sz w:val="18"/>
                <w:szCs w:val="18"/>
              </w:rPr>
              <w:t xml:space="preserve">ounty, May 2021 </w:t>
            </w:r>
          </w:p>
          <w:p w14:paraId="78458F5C" w14:textId="77777777" w:rsidR="001552CD" w:rsidRPr="00402580" w:rsidRDefault="001552CD" w:rsidP="00EE02DE">
            <w:pPr>
              <w:ind w:hanging="2"/>
              <w:rPr>
                <w:rFonts w:ascii="Arial" w:hAnsi="Arial" w:cs="Arial"/>
                <w:sz w:val="18"/>
                <w:szCs w:val="18"/>
              </w:rPr>
            </w:pPr>
          </w:p>
        </w:tc>
      </w:tr>
      <w:tr w:rsidR="001552CD" w:rsidRPr="001552CD" w14:paraId="5D7A0437" w14:textId="77777777" w:rsidTr="00EE02DE">
        <w:tc>
          <w:tcPr>
            <w:tcW w:w="5687" w:type="dxa"/>
          </w:tcPr>
          <w:p w14:paraId="66032D99" w14:textId="77777777" w:rsidR="001552CD" w:rsidRPr="001552CD" w:rsidRDefault="001552CD" w:rsidP="00EE02DE">
            <w:pPr>
              <w:ind w:hanging="2"/>
              <w:rPr>
                <w:rFonts w:ascii="Arial" w:hAnsi="Arial" w:cs="Arial"/>
                <w:sz w:val="18"/>
                <w:szCs w:val="18"/>
              </w:rPr>
            </w:pPr>
            <w:r w:rsidRPr="001552CD">
              <w:rPr>
                <w:rFonts w:ascii="Arial" w:hAnsi="Arial" w:cs="Arial"/>
                <w:b/>
                <w:sz w:val="18"/>
                <w:szCs w:val="18"/>
              </w:rPr>
              <w:t xml:space="preserve">The future of decarbonisation in the region for large companies (also focusing on areas/industries with growth potential in the region) </w:t>
            </w:r>
            <w:r w:rsidRPr="001552CD">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1398" w:type="dxa"/>
          </w:tcPr>
          <w:p w14:paraId="22F928BD" w14:textId="77777777" w:rsidR="001552CD" w:rsidRPr="001552CD" w:rsidRDefault="001552CD" w:rsidP="00EE02DE">
            <w:pPr>
              <w:ind w:hanging="2"/>
              <w:rPr>
                <w:rFonts w:ascii="Arial" w:hAnsi="Arial" w:cs="Arial"/>
                <w:sz w:val="18"/>
                <w:szCs w:val="18"/>
              </w:rPr>
            </w:pPr>
            <w:r w:rsidRPr="001552CD">
              <w:rPr>
                <w:rFonts w:ascii="Arial" w:hAnsi="Arial" w:cs="Arial"/>
                <w:noProof/>
                <w:sz w:val="18"/>
                <w:szCs w:val="18"/>
                <w:lang w:val="en-US" w:eastAsia="en-US"/>
              </w:rPr>
              <w:drawing>
                <wp:inline distT="114300" distB="114300" distL="114300" distR="114300" wp14:anchorId="5BC7A86D" wp14:editId="1595447A">
                  <wp:extent cx="752475" cy="812800"/>
                  <wp:effectExtent l="0" t="0" r="0" b="0"/>
                  <wp:docPr id="1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1"/>
                          <a:srcRect/>
                          <a:stretch>
                            <a:fillRect/>
                          </a:stretch>
                        </pic:blipFill>
                        <pic:spPr>
                          <a:xfrm>
                            <a:off x="0" y="0"/>
                            <a:ext cx="752475" cy="812800"/>
                          </a:xfrm>
                          <a:prstGeom prst="rect">
                            <a:avLst/>
                          </a:prstGeom>
                          <a:ln/>
                        </pic:spPr>
                      </pic:pic>
                    </a:graphicData>
                  </a:graphic>
                </wp:inline>
              </w:drawing>
            </w:r>
          </w:p>
        </w:tc>
        <w:tc>
          <w:tcPr>
            <w:tcW w:w="5802" w:type="dxa"/>
          </w:tcPr>
          <w:p w14:paraId="4B9CB28D" w14:textId="77777777" w:rsidR="001552CD" w:rsidRPr="001552CD" w:rsidRDefault="001552CD" w:rsidP="00EE02DE">
            <w:pPr>
              <w:spacing w:after="240"/>
              <w:ind w:hanging="2"/>
              <w:rPr>
                <w:rFonts w:ascii="Arial" w:hAnsi="Arial" w:cs="Arial"/>
                <w:sz w:val="18"/>
                <w:szCs w:val="18"/>
              </w:rPr>
            </w:pPr>
            <w:r w:rsidRPr="001552CD">
              <w:rPr>
                <w:rFonts w:ascii="Arial" w:hAnsi="Arial" w:cs="Arial"/>
                <w:b/>
                <w:sz w:val="18"/>
                <w:szCs w:val="18"/>
              </w:rPr>
              <w:t>Employability and attracting human capital (including retraining and further qualification)</w:t>
            </w:r>
            <w:r w:rsidRPr="001552CD">
              <w:rPr>
                <w:rFonts w:ascii="Arial" w:hAnsi="Arial" w:cs="Arial"/>
                <w:b/>
                <w:i/>
                <w:sz w:val="18"/>
                <w:szCs w:val="18"/>
              </w:rPr>
              <w:t xml:space="preserve"> </w:t>
            </w:r>
            <w:r w:rsidRPr="001552CD">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easier?</w:t>
            </w:r>
          </w:p>
        </w:tc>
        <w:tc>
          <w:tcPr>
            <w:tcW w:w="1286" w:type="dxa"/>
          </w:tcPr>
          <w:p w14:paraId="557AA789" w14:textId="77777777" w:rsidR="001552CD" w:rsidRPr="00402580" w:rsidRDefault="001552CD" w:rsidP="00EE02DE">
            <w:pPr>
              <w:ind w:hanging="2"/>
              <w:rPr>
                <w:rFonts w:ascii="Arial" w:hAnsi="Arial" w:cs="Arial"/>
                <w:sz w:val="18"/>
                <w:szCs w:val="18"/>
              </w:rPr>
            </w:pPr>
            <w:r w:rsidRPr="00402580">
              <w:rPr>
                <w:rFonts w:ascii="Arial" w:hAnsi="Arial" w:cs="Arial"/>
                <w:noProof/>
                <w:sz w:val="18"/>
                <w:szCs w:val="18"/>
                <w:lang w:val="en-US" w:eastAsia="en-US"/>
              </w:rPr>
              <w:drawing>
                <wp:inline distT="114300" distB="114300" distL="114300" distR="114300" wp14:anchorId="1A70BEDC" wp14:editId="7256BCC9">
                  <wp:extent cx="685800" cy="736600"/>
                  <wp:effectExtent l="0" t="0" r="0" b="0"/>
                  <wp:docPr id="1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42"/>
                          <a:srcRect/>
                          <a:stretch>
                            <a:fillRect/>
                          </a:stretch>
                        </pic:blipFill>
                        <pic:spPr>
                          <a:xfrm>
                            <a:off x="0" y="0"/>
                            <a:ext cx="685800" cy="736600"/>
                          </a:xfrm>
                          <a:prstGeom prst="rect">
                            <a:avLst/>
                          </a:prstGeom>
                          <a:ln/>
                        </pic:spPr>
                      </pic:pic>
                    </a:graphicData>
                  </a:graphic>
                </wp:inline>
              </w:drawing>
            </w:r>
          </w:p>
        </w:tc>
      </w:tr>
      <w:tr w:rsidR="001552CD" w:rsidRPr="001552CD" w14:paraId="189D02D5" w14:textId="77777777" w:rsidTr="00EE02DE">
        <w:trPr>
          <w:trHeight w:val="200"/>
        </w:trPr>
        <w:tc>
          <w:tcPr>
            <w:tcW w:w="7085" w:type="dxa"/>
            <w:gridSpan w:val="2"/>
          </w:tcPr>
          <w:p w14:paraId="2D009CD4" w14:textId="77777777" w:rsidR="001552CD" w:rsidRPr="00402580" w:rsidRDefault="001552CD" w:rsidP="00EE02DE">
            <w:pPr>
              <w:spacing w:before="240" w:after="240"/>
              <w:ind w:hanging="2"/>
              <w:rPr>
                <w:rFonts w:ascii="Arial" w:hAnsi="Arial" w:cs="Arial"/>
                <w:b/>
                <w:sz w:val="18"/>
                <w:szCs w:val="18"/>
              </w:rPr>
            </w:pPr>
            <w:r w:rsidRPr="00402580">
              <w:rPr>
                <w:rFonts w:ascii="Arial" w:hAnsi="Arial" w:cs="Arial"/>
                <w:b/>
                <w:sz w:val="18"/>
                <w:szCs w:val="18"/>
              </w:rPr>
              <w:t>Ideas, solutions, projects, opportunities:</w:t>
            </w:r>
          </w:p>
          <w:p w14:paraId="0B8D4B9C" w14:textId="6385A86C" w:rsidR="001552CD" w:rsidRPr="00402580" w:rsidRDefault="00F52E81" w:rsidP="00EE02DE">
            <w:pPr>
              <w:spacing w:before="240" w:after="240"/>
              <w:ind w:hanging="2"/>
              <w:rPr>
                <w:rFonts w:ascii="Arial" w:hAnsi="Arial" w:cs="Arial"/>
                <w:b/>
                <w:sz w:val="18"/>
                <w:szCs w:val="18"/>
              </w:rPr>
            </w:pPr>
            <w:r>
              <w:rPr>
                <w:rFonts w:ascii="Arial" w:hAnsi="Arial" w:cs="Arial"/>
                <w:b/>
                <w:sz w:val="18"/>
                <w:szCs w:val="18"/>
              </w:rPr>
              <w:t>Gorj wants to become t</w:t>
            </w:r>
            <w:r w:rsidR="001552CD" w:rsidRPr="00402580">
              <w:rPr>
                <w:rFonts w:ascii="Arial" w:hAnsi="Arial" w:cs="Arial"/>
                <w:b/>
                <w:sz w:val="18"/>
                <w:szCs w:val="18"/>
              </w:rPr>
              <w:t xml:space="preserve">he first green county </w:t>
            </w:r>
            <w:r>
              <w:rPr>
                <w:rFonts w:ascii="Arial" w:hAnsi="Arial" w:cs="Arial"/>
                <w:b/>
                <w:sz w:val="18"/>
                <w:szCs w:val="18"/>
              </w:rPr>
              <w:t xml:space="preserve">of Romania </w:t>
            </w:r>
            <w:r w:rsidR="001552CD" w:rsidRPr="00402580">
              <w:rPr>
                <w:rFonts w:ascii="Arial" w:hAnsi="Arial" w:cs="Arial"/>
                <w:b/>
                <w:sz w:val="18"/>
                <w:szCs w:val="18"/>
              </w:rPr>
              <w:t xml:space="preserve">by means of developing several fields and industries: </w:t>
            </w:r>
          </w:p>
          <w:p w14:paraId="469A43F0" w14:textId="77777777" w:rsidR="001552CD" w:rsidRPr="0091733D" w:rsidRDefault="001552CD" w:rsidP="00E42342">
            <w:pPr>
              <w:pStyle w:val="Briefingtext"/>
              <w:numPr>
                <w:ilvl w:val="0"/>
                <w:numId w:val="319"/>
              </w:numPr>
              <w:spacing w:after="0"/>
              <w:rPr>
                <w:sz w:val="18"/>
                <w:szCs w:val="20"/>
              </w:rPr>
            </w:pPr>
            <w:r w:rsidRPr="0091733D">
              <w:rPr>
                <w:sz w:val="18"/>
                <w:szCs w:val="20"/>
              </w:rPr>
              <w:t xml:space="preserve">Automotive components industry </w:t>
            </w:r>
          </w:p>
          <w:p w14:paraId="272D24BB"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Growth potential for industries in the areas of intelligent specialisations</w:t>
            </w:r>
          </w:p>
          <w:p w14:paraId="09E6EBE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Tourism, but investment in infrastructure and promotion needed</w:t>
            </w:r>
          </w:p>
          <w:p w14:paraId="7AF4F22D"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Manufacturing industry</w:t>
            </w:r>
          </w:p>
          <w:p w14:paraId="21FBB2D1" w14:textId="621DD425" w:rsidR="001552CD" w:rsidRPr="0091733D" w:rsidRDefault="001552CD" w:rsidP="00E42342">
            <w:pPr>
              <w:pStyle w:val="Briefingtext"/>
              <w:numPr>
                <w:ilvl w:val="0"/>
                <w:numId w:val="319"/>
              </w:numPr>
              <w:spacing w:after="0"/>
              <w:textDirection w:val="btLr"/>
              <w:rPr>
                <w:sz w:val="18"/>
                <w:szCs w:val="20"/>
              </w:rPr>
            </w:pPr>
            <w:r w:rsidRPr="0091733D">
              <w:rPr>
                <w:sz w:val="18"/>
                <w:szCs w:val="20"/>
              </w:rPr>
              <w:t>Building materials industry (</w:t>
            </w:r>
            <w:r w:rsidR="00F52E81" w:rsidRPr="0091733D">
              <w:rPr>
                <w:sz w:val="18"/>
                <w:szCs w:val="20"/>
              </w:rPr>
              <w:t xml:space="preserve">e.g.: </w:t>
            </w:r>
            <w:r w:rsidRPr="0091733D">
              <w:rPr>
                <w:sz w:val="18"/>
                <w:szCs w:val="20"/>
              </w:rPr>
              <w:t>brick</w:t>
            </w:r>
            <w:r w:rsidR="00F52E81" w:rsidRPr="0091733D">
              <w:rPr>
                <w:sz w:val="18"/>
                <w:szCs w:val="20"/>
              </w:rPr>
              <w:t>s</w:t>
            </w:r>
            <w:r w:rsidRPr="0091733D">
              <w:rPr>
                <w:sz w:val="18"/>
                <w:szCs w:val="20"/>
              </w:rPr>
              <w:t xml:space="preserve"> in T</w:t>
            </w:r>
            <w:r w:rsidR="0094678E" w:rsidRPr="0091733D">
              <w:rPr>
                <w:sz w:val="18"/>
                <w:szCs w:val="20"/>
              </w:rPr>
              <w:t>ârgu</w:t>
            </w:r>
            <w:r w:rsidRPr="0091733D">
              <w:rPr>
                <w:sz w:val="18"/>
                <w:szCs w:val="20"/>
              </w:rPr>
              <w:t xml:space="preserve"> Cărbunești)</w:t>
            </w:r>
          </w:p>
          <w:p w14:paraId="5007C92D"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PV panel production, but lack of qualified/trained staff</w:t>
            </w:r>
          </w:p>
          <w:p w14:paraId="55BDA79A" w14:textId="16CAD96E" w:rsidR="001552CD" w:rsidRPr="0091733D" w:rsidRDefault="001552CD" w:rsidP="00E42342">
            <w:pPr>
              <w:pStyle w:val="Briefingtext"/>
              <w:numPr>
                <w:ilvl w:val="0"/>
                <w:numId w:val="319"/>
              </w:numPr>
              <w:spacing w:after="0"/>
              <w:textDirection w:val="btLr"/>
              <w:rPr>
                <w:sz w:val="18"/>
                <w:szCs w:val="20"/>
              </w:rPr>
            </w:pPr>
            <w:r w:rsidRPr="0091733D">
              <w:rPr>
                <w:sz w:val="18"/>
                <w:szCs w:val="20"/>
              </w:rPr>
              <w:t>Production of electric car motors (e.g.</w:t>
            </w:r>
            <w:r w:rsidR="00F52E81" w:rsidRPr="0091733D">
              <w:rPr>
                <w:sz w:val="18"/>
                <w:szCs w:val="20"/>
              </w:rPr>
              <w:t>: local company</w:t>
            </w:r>
            <w:r w:rsidRPr="0091733D">
              <w:rPr>
                <w:sz w:val="18"/>
                <w:szCs w:val="20"/>
              </w:rPr>
              <w:t xml:space="preserve"> Leoni)</w:t>
            </w:r>
          </w:p>
          <w:p w14:paraId="67D39A22"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Wood processing</w:t>
            </w:r>
          </w:p>
          <w:p w14:paraId="3BCCE65D"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Fruit and vegetable warehouses</w:t>
            </w:r>
          </w:p>
          <w:p w14:paraId="3EAE59B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Metal fabrication</w:t>
            </w:r>
          </w:p>
          <w:p w14:paraId="41B4E32D"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Wool processing</w:t>
            </w:r>
          </w:p>
          <w:p w14:paraId="537C0E70"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Potential for development of horizontal industries</w:t>
            </w:r>
          </w:p>
          <w:p w14:paraId="5942B767"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Opportunity to develop energy efficiency/thermal insulations</w:t>
            </w:r>
          </w:p>
          <w:p w14:paraId="6F82C6A7"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Household appliances</w:t>
            </w:r>
          </w:p>
          <w:p w14:paraId="070BE584" w14:textId="77777777" w:rsidR="001552CD" w:rsidRPr="00402580" w:rsidRDefault="001552CD" w:rsidP="00EE02DE">
            <w:pPr>
              <w:ind w:hanging="2"/>
              <w:rPr>
                <w:rFonts w:ascii="Arial" w:hAnsi="Arial" w:cs="Arial"/>
                <w:sz w:val="18"/>
                <w:szCs w:val="18"/>
              </w:rPr>
            </w:pPr>
          </w:p>
          <w:p w14:paraId="6E709B58" w14:textId="77777777" w:rsidR="001552CD" w:rsidRPr="0091733D" w:rsidRDefault="001552CD" w:rsidP="00E42342">
            <w:pPr>
              <w:pStyle w:val="Briefingtext"/>
              <w:numPr>
                <w:ilvl w:val="0"/>
                <w:numId w:val="319"/>
              </w:numPr>
              <w:spacing w:after="0"/>
              <w:rPr>
                <w:sz w:val="18"/>
                <w:szCs w:val="20"/>
              </w:rPr>
            </w:pPr>
            <w:r w:rsidRPr="0091733D">
              <w:rPr>
                <w:sz w:val="18"/>
                <w:szCs w:val="20"/>
              </w:rPr>
              <w:t xml:space="preserve">Attracting large investments in the county by means of: </w:t>
            </w:r>
          </w:p>
          <w:p w14:paraId="7104671E"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Fares, economic missions</w:t>
            </w:r>
          </w:p>
          <w:p w14:paraId="50F4D652"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Rebuilding/relaunching industrial parks</w:t>
            </w:r>
          </w:p>
          <w:p w14:paraId="5BCEDB55" w14:textId="67D333E5" w:rsidR="001552CD" w:rsidRPr="0091733D" w:rsidRDefault="001552CD" w:rsidP="00E42342">
            <w:pPr>
              <w:pStyle w:val="Briefingtext"/>
              <w:numPr>
                <w:ilvl w:val="0"/>
                <w:numId w:val="319"/>
              </w:numPr>
              <w:spacing w:after="0"/>
              <w:textDirection w:val="btLr"/>
              <w:rPr>
                <w:sz w:val="18"/>
                <w:szCs w:val="20"/>
              </w:rPr>
            </w:pPr>
            <w:r w:rsidRPr="0091733D">
              <w:rPr>
                <w:sz w:val="18"/>
                <w:szCs w:val="20"/>
              </w:rPr>
              <w:t>Integrated projects D</w:t>
            </w:r>
            <w:r w:rsidR="0094678E" w:rsidRPr="0091733D">
              <w:rPr>
                <w:sz w:val="18"/>
                <w:szCs w:val="20"/>
              </w:rPr>
              <w:t>olj</w:t>
            </w:r>
            <w:r w:rsidRPr="0091733D">
              <w:rPr>
                <w:sz w:val="18"/>
                <w:szCs w:val="20"/>
              </w:rPr>
              <w:t xml:space="preserve"> – G</w:t>
            </w:r>
            <w:r w:rsidR="0094678E" w:rsidRPr="0091733D">
              <w:rPr>
                <w:sz w:val="18"/>
                <w:szCs w:val="20"/>
              </w:rPr>
              <w:t>orj</w:t>
            </w:r>
          </w:p>
          <w:p w14:paraId="29C13A06"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Business Incubators</w:t>
            </w:r>
          </w:p>
          <w:p w14:paraId="74DBD277" w14:textId="7D0DA5A0" w:rsidR="001552CD" w:rsidRPr="0091733D" w:rsidRDefault="0094678E" w:rsidP="00E42342">
            <w:pPr>
              <w:pStyle w:val="Briefingtext"/>
              <w:numPr>
                <w:ilvl w:val="0"/>
                <w:numId w:val="319"/>
              </w:numPr>
              <w:spacing w:after="0"/>
              <w:textDirection w:val="btLr"/>
              <w:rPr>
                <w:sz w:val="18"/>
                <w:szCs w:val="20"/>
              </w:rPr>
            </w:pPr>
            <w:r w:rsidRPr="0091733D">
              <w:rPr>
                <w:sz w:val="18"/>
                <w:szCs w:val="20"/>
              </w:rPr>
              <w:t>R</w:t>
            </w:r>
            <w:r w:rsidR="001552CD" w:rsidRPr="0091733D">
              <w:rPr>
                <w:sz w:val="18"/>
                <w:szCs w:val="20"/>
              </w:rPr>
              <w:t>ailroad and road infrastructure</w:t>
            </w:r>
          </w:p>
          <w:p w14:paraId="30261AB7" w14:textId="77777777" w:rsidR="001552CD" w:rsidRPr="00402580" w:rsidRDefault="001552CD" w:rsidP="00EE02DE">
            <w:pPr>
              <w:spacing w:before="240" w:after="240"/>
              <w:ind w:hanging="2"/>
              <w:rPr>
                <w:rFonts w:ascii="Arial" w:hAnsi="Arial" w:cs="Arial"/>
                <w:sz w:val="18"/>
                <w:szCs w:val="18"/>
              </w:rPr>
            </w:pPr>
            <w:r w:rsidRPr="00402580">
              <w:rPr>
                <w:rFonts w:ascii="Arial" w:hAnsi="Arial" w:cs="Arial"/>
                <w:b/>
                <w:sz w:val="18"/>
                <w:szCs w:val="18"/>
              </w:rPr>
              <w:lastRenderedPageBreak/>
              <w:t>Specificity of CEO - Ideas, solutions, projects, opportunities:</w:t>
            </w:r>
          </w:p>
          <w:p w14:paraId="40DB9F25" w14:textId="77777777" w:rsidR="001552CD" w:rsidRPr="0091733D" w:rsidRDefault="001552CD" w:rsidP="00E42342">
            <w:pPr>
              <w:pStyle w:val="Briefingtext"/>
              <w:numPr>
                <w:ilvl w:val="0"/>
                <w:numId w:val="319"/>
              </w:numPr>
              <w:pBdr>
                <w:top w:val="nil"/>
                <w:left w:val="nil"/>
                <w:bottom w:val="nil"/>
                <w:right w:val="nil"/>
                <w:between w:val="nil"/>
              </w:pBdr>
              <w:spacing w:after="0"/>
              <w:textDirection w:val="btLr"/>
              <w:rPr>
                <w:sz w:val="18"/>
                <w:szCs w:val="20"/>
              </w:rPr>
            </w:pPr>
            <w:r w:rsidRPr="0091733D">
              <w:rPr>
                <w:sz w:val="18"/>
                <w:szCs w:val="20"/>
              </w:rPr>
              <w:t>Residues from technological processes within the CEO can be partly used in the building materials industry</w:t>
            </w:r>
          </w:p>
          <w:p w14:paraId="44751EEA" w14:textId="77777777" w:rsidR="001552CD" w:rsidRPr="0091733D" w:rsidRDefault="001552CD" w:rsidP="00E42342">
            <w:pPr>
              <w:pStyle w:val="Briefingtext"/>
              <w:numPr>
                <w:ilvl w:val="0"/>
                <w:numId w:val="319"/>
              </w:numPr>
              <w:pBdr>
                <w:top w:val="nil"/>
                <w:left w:val="nil"/>
                <w:bottom w:val="nil"/>
                <w:right w:val="nil"/>
                <w:between w:val="nil"/>
              </w:pBdr>
              <w:spacing w:after="0"/>
              <w:textDirection w:val="btLr"/>
              <w:rPr>
                <w:sz w:val="18"/>
                <w:szCs w:val="20"/>
              </w:rPr>
            </w:pPr>
            <w:r w:rsidRPr="0091733D">
              <w:rPr>
                <w:sz w:val="18"/>
                <w:szCs w:val="20"/>
              </w:rPr>
              <w:t>Support needed for redundant CEO staff (around 5500) on the verge of retirement</w:t>
            </w:r>
          </w:p>
          <w:p w14:paraId="5C2FD3FE" w14:textId="77777777" w:rsidR="001552CD" w:rsidRPr="0091733D" w:rsidRDefault="001552CD" w:rsidP="00E42342">
            <w:pPr>
              <w:pStyle w:val="Briefingtext"/>
              <w:numPr>
                <w:ilvl w:val="0"/>
                <w:numId w:val="319"/>
              </w:numPr>
              <w:pBdr>
                <w:top w:val="nil"/>
                <w:left w:val="nil"/>
                <w:bottom w:val="nil"/>
                <w:right w:val="nil"/>
                <w:between w:val="nil"/>
              </w:pBdr>
              <w:spacing w:after="0"/>
              <w:textDirection w:val="btLr"/>
              <w:rPr>
                <w:sz w:val="18"/>
                <w:szCs w:val="20"/>
              </w:rPr>
            </w:pPr>
            <w:r w:rsidRPr="0091733D">
              <w:rPr>
                <w:sz w:val="18"/>
                <w:szCs w:val="20"/>
              </w:rPr>
              <w:t xml:space="preserve">Energy storage, </w:t>
            </w:r>
          </w:p>
          <w:p w14:paraId="31E4A113" w14:textId="77777777" w:rsidR="001552CD" w:rsidRPr="0091733D" w:rsidRDefault="001552CD" w:rsidP="00E42342">
            <w:pPr>
              <w:pStyle w:val="Briefingtext"/>
              <w:numPr>
                <w:ilvl w:val="0"/>
                <w:numId w:val="319"/>
              </w:numPr>
              <w:pBdr>
                <w:top w:val="nil"/>
                <w:left w:val="nil"/>
                <w:bottom w:val="nil"/>
                <w:right w:val="nil"/>
                <w:between w:val="nil"/>
              </w:pBdr>
              <w:spacing w:after="0"/>
              <w:textDirection w:val="btLr"/>
              <w:rPr>
                <w:sz w:val="18"/>
                <w:szCs w:val="20"/>
              </w:rPr>
            </w:pPr>
            <w:r w:rsidRPr="0091733D">
              <w:rPr>
                <w:sz w:val="18"/>
                <w:szCs w:val="20"/>
              </w:rPr>
              <w:t>Investments for hydrogen production/hydrogen in natural gas mix</w:t>
            </w:r>
          </w:p>
          <w:p w14:paraId="2B041BAA" w14:textId="77777777" w:rsidR="001552CD" w:rsidRPr="0091733D" w:rsidRDefault="001552CD" w:rsidP="00E42342">
            <w:pPr>
              <w:pStyle w:val="Briefingtext"/>
              <w:numPr>
                <w:ilvl w:val="0"/>
                <w:numId w:val="319"/>
              </w:numPr>
              <w:pBdr>
                <w:top w:val="nil"/>
                <w:left w:val="nil"/>
                <w:bottom w:val="nil"/>
                <w:right w:val="nil"/>
                <w:between w:val="nil"/>
              </w:pBdr>
              <w:spacing w:after="0"/>
              <w:textDirection w:val="btLr"/>
              <w:rPr>
                <w:sz w:val="18"/>
                <w:szCs w:val="20"/>
              </w:rPr>
            </w:pPr>
            <w:r w:rsidRPr="0091733D">
              <w:rPr>
                <w:sz w:val="18"/>
                <w:szCs w:val="20"/>
              </w:rPr>
              <w:t>CCS</w:t>
            </w:r>
          </w:p>
          <w:p w14:paraId="57A6005A" w14:textId="77777777" w:rsidR="001552CD" w:rsidRPr="00402580" w:rsidRDefault="001552CD" w:rsidP="00EE02DE">
            <w:pPr>
              <w:ind w:hanging="2"/>
              <w:rPr>
                <w:rFonts w:ascii="Arial" w:hAnsi="Arial" w:cs="Arial"/>
                <w:sz w:val="18"/>
                <w:szCs w:val="18"/>
              </w:rPr>
            </w:pPr>
          </w:p>
          <w:p w14:paraId="1668745C" w14:textId="77777777" w:rsidR="001552CD" w:rsidRPr="00402580" w:rsidRDefault="001552CD" w:rsidP="00EE02DE">
            <w:pPr>
              <w:ind w:hanging="2"/>
              <w:rPr>
                <w:rFonts w:ascii="Arial" w:hAnsi="Arial" w:cs="Arial"/>
                <w:sz w:val="18"/>
                <w:szCs w:val="18"/>
              </w:rPr>
            </w:pPr>
          </w:p>
        </w:tc>
        <w:tc>
          <w:tcPr>
            <w:tcW w:w="7088" w:type="dxa"/>
            <w:gridSpan w:val="2"/>
          </w:tcPr>
          <w:p w14:paraId="4044A3F8" w14:textId="77777777" w:rsidR="001552CD" w:rsidRPr="00402580" w:rsidRDefault="001552CD" w:rsidP="00EE02DE">
            <w:pPr>
              <w:spacing w:before="240" w:after="240"/>
              <w:ind w:hanging="2"/>
              <w:rPr>
                <w:rFonts w:ascii="Arial" w:hAnsi="Arial" w:cs="Arial"/>
                <w:sz w:val="18"/>
                <w:szCs w:val="18"/>
              </w:rPr>
            </w:pPr>
            <w:r w:rsidRPr="00402580">
              <w:rPr>
                <w:rFonts w:ascii="Arial" w:hAnsi="Arial" w:cs="Arial"/>
                <w:b/>
                <w:sz w:val="18"/>
                <w:szCs w:val="18"/>
              </w:rPr>
              <w:lastRenderedPageBreak/>
              <w:t>Ideas, solutions, projects, opportunities:</w:t>
            </w:r>
          </w:p>
          <w:p w14:paraId="245343ED" w14:textId="2ACEDE05" w:rsidR="001552CD" w:rsidRPr="0091733D" w:rsidRDefault="001552CD" w:rsidP="00E42342">
            <w:pPr>
              <w:pStyle w:val="Briefingtext"/>
              <w:numPr>
                <w:ilvl w:val="0"/>
                <w:numId w:val="319"/>
              </w:numPr>
              <w:spacing w:after="0"/>
              <w:textDirection w:val="btLr"/>
              <w:rPr>
                <w:sz w:val="18"/>
                <w:szCs w:val="20"/>
              </w:rPr>
            </w:pPr>
            <w:r w:rsidRPr="0091733D">
              <w:rPr>
                <w:sz w:val="18"/>
                <w:szCs w:val="20"/>
              </w:rPr>
              <w:t>In the medium term - becoming the first green county</w:t>
            </w:r>
            <w:r w:rsidR="00F52E81" w:rsidRPr="0091733D">
              <w:rPr>
                <w:sz w:val="18"/>
                <w:szCs w:val="20"/>
              </w:rPr>
              <w:t xml:space="preserve"> of Romania</w:t>
            </w:r>
            <w:r w:rsidRPr="0091733D">
              <w:rPr>
                <w:sz w:val="18"/>
                <w:szCs w:val="20"/>
              </w:rPr>
              <w:t xml:space="preserve">! </w:t>
            </w:r>
            <w:r w:rsidR="00F52E81" w:rsidRPr="0091733D">
              <w:rPr>
                <w:sz w:val="18"/>
                <w:szCs w:val="20"/>
              </w:rPr>
              <w:t>=&gt; need to invest in p</w:t>
            </w:r>
            <w:r w:rsidRPr="0091733D">
              <w:rPr>
                <w:sz w:val="18"/>
                <w:szCs w:val="20"/>
              </w:rPr>
              <w:t>roduction, construction, maintenance, other services with related trainin</w:t>
            </w:r>
            <w:r w:rsidR="00F52E81" w:rsidRPr="0091733D">
              <w:rPr>
                <w:sz w:val="18"/>
                <w:szCs w:val="20"/>
              </w:rPr>
              <w:t>g support,</w:t>
            </w:r>
            <w:r w:rsidRPr="0091733D">
              <w:rPr>
                <w:sz w:val="18"/>
                <w:szCs w:val="20"/>
              </w:rPr>
              <w:t xml:space="preserve"> through public-private partnership</w:t>
            </w:r>
          </w:p>
          <w:p w14:paraId="2961A4FB"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Systems designed for young people! Depopulation is due to them leaving the county or even the country because there is no demand for them</w:t>
            </w:r>
          </w:p>
          <w:p w14:paraId="2202E86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Existing cooperation effort from all actors involved, public and private</w:t>
            </w:r>
          </w:p>
          <w:p w14:paraId="649AB299" w14:textId="77777777" w:rsidR="001552CD" w:rsidRPr="00402580" w:rsidRDefault="001552CD" w:rsidP="00EE02DE">
            <w:pPr>
              <w:spacing w:before="240" w:after="240"/>
              <w:ind w:hanging="2"/>
              <w:rPr>
                <w:rFonts w:ascii="Arial" w:hAnsi="Arial" w:cs="Arial"/>
                <w:sz w:val="18"/>
                <w:szCs w:val="18"/>
              </w:rPr>
            </w:pPr>
            <w:r w:rsidRPr="00402580">
              <w:rPr>
                <w:rFonts w:ascii="Arial" w:hAnsi="Arial" w:cs="Arial"/>
                <w:sz w:val="18"/>
                <w:szCs w:val="18"/>
              </w:rPr>
              <w:t>Entrepreneurial development, developing entrepreneurship</w:t>
            </w:r>
          </w:p>
          <w:p w14:paraId="1DC2891A"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NGOs want to focus on the area of entrepreneurial learning and development, creating meeting spaces, creative hubs, coworking, focusing on a mix of young employees leaving the mining sector but with entrepreneurial skills</w:t>
            </w:r>
          </w:p>
          <w:p w14:paraId="4B12650A" w14:textId="5D283637" w:rsidR="001552CD" w:rsidRPr="0091733D" w:rsidRDefault="001552CD" w:rsidP="00E42342">
            <w:pPr>
              <w:pStyle w:val="Briefingtext"/>
              <w:numPr>
                <w:ilvl w:val="0"/>
                <w:numId w:val="319"/>
              </w:numPr>
              <w:spacing w:after="0"/>
              <w:textDirection w:val="btLr"/>
              <w:rPr>
                <w:sz w:val="18"/>
                <w:szCs w:val="20"/>
              </w:rPr>
            </w:pPr>
            <w:r w:rsidRPr="0091733D">
              <w:rPr>
                <w:sz w:val="18"/>
                <w:szCs w:val="20"/>
              </w:rPr>
              <w:t>Modernisation of the Bumbesti Industrial Park</w:t>
            </w:r>
            <w:r w:rsidR="00F52E81" w:rsidRPr="0091733D">
              <w:rPr>
                <w:sz w:val="18"/>
                <w:szCs w:val="20"/>
              </w:rPr>
              <w:t xml:space="preserve"> -&gt; </w:t>
            </w:r>
            <w:r w:rsidRPr="0091733D">
              <w:rPr>
                <w:sz w:val="18"/>
                <w:szCs w:val="20"/>
              </w:rPr>
              <w:t>Installation of photovoltaic panels for energy independence</w:t>
            </w:r>
          </w:p>
          <w:p w14:paraId="1BBB0C1F"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Encouraging start-ups</w:t>
            </w:r>
          </w:p>
          <w:p w14:paraId="71CCD2C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Developing the social economy. Encouraging subsidies to employ disadvantaged people</w:t>
            </w:r>
          </w:p>
          <w:p w14:paraId="59BF347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 xml:space="preserve">Entrepreneurial growth: internships and developing practical skills  </w:t>
            </w:r>
          </w:p>
          <w:p w14:paraId="174CDC81" w14:textId="77777777" w:rsidR="001552CD" w:rsidRPr="00402580" w:rsidRDefault="001552CD" w:rsidP="00EE02DE">
            <w:pPr>
              <w:spacing w:before="240" w:after="240"/>
              <w:ind w:hanging="2"/>
              <w:rPr>
                <w:rFonts w:ascii="Arial" w:hAnsi="Arial" w:cs="Arial"/>
                <w:sz w:val="18"/>
                <w:szCs w:val="18"/>
              </w:rPr>
            </w:pPr>
            <w:r w:rsidRPr="00402580">
              <w:rPr>
                <w:rFonts w:ascii="Arial" w:hAnsi="Arial" w:cs="Arial"/>
                <w:sz w:val="18"/>
                <w:szCs w:val="18"/>
              </w:rPr>
              <w:t>Issues with professional training, staff vocational training:</w:t>
            </w:r>
          </w:p>
          <w:p w14:paraId="7AB3EC78" w14:textId="77777777" w:rsidR="001552CD" w:rsidRPr="0091733D" w:rsidRDefault="001552CD" w:rsidP="00E42342">
            <w:pPr>
              <w:pStyle w:val="Briefingtext"/>
              <w:numPr>
                <w:ilvl w:val="0"/>
                <w:numId w:val="319"/>
              </w:numPr>
              <w:spacing w:before="120" w:after="0"/>
              <w:textDirection w:val="btLr"/>
              <w:rPr>
                <w:sz w:val="18"/>
                <w:szCs w:val="20"/>
              </w:rPr>
            </w:pPr>
            <w:r w:rsidRPr="0091733D">
              <w:rPr>
                <w:sz w:val="18"/>
                <w:szCs w:val="20"/>
              </w:rPr>
              <w:t>Qualification for young people with low education</w:t>
            </w:r>
          </w:p>
          <w:p w14:paraId="6383ACDB"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Vocational training programmes in the fields of green energy and tourism.</w:t>
            </w:r>
          </w:p>
          <w:p w14:paraId="4D8B31BD"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Actions on digital skills development</w:t>
            </w:r>
          </w:p>
          <w:p w14:paraId="6FFFF3E1"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lastRenderedPageBreak/>
              <w:t>Skills for productive investment, retraining for new technologies</w:t>
            </w:r>
          </w:p>
          <w:p w14:paraId="493BDEDF"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Establishment of a regional observatory, Gorj-Dolj, for the monitoring of labour mobility and qualification</w:t>
            </w:r>
          </w:p>
          <w:p w14:paraId="18E1ECA7"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Vocational education developed and adapted to market requirements.</w:t>
            </w:r>
          </w:p>
          <w:p w14:paraId="2E407BC4"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Retraining designed for the medium term 5-8 years depending on the development of the job market</w:t>
            </w:r>
          </w:p>
          <w:p w14:paraId="7AD8D16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General education needs to be adapted to the current requirements of entrepreneurs, outside the energy mining sphere</w:t>
            </w:r>
          </w:p>
          <w:p w14:paraId="6AE6A6B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Own on-the-job, in-house qualification programmes</w:t>
            </w:r>
          </w:p>
          <w:p w14:paraId="2D96F188" w14:textId="77777777" w:rsidR="001552CD" w:rsidRPr="00402580" w:rsidRDefault="001552CD" w:rsidP="00EE02DE">
            <w:pPr>
              <w:spacing w:before="240" w:after="240"/>
              <w:ind w:hanging="2"/>
              <w:rPr>
                <w:rFonts w:ascii="Arial" w:hAnsi="Arial" w:cs="Arial"/>
                <w:sz w:val="18"/>
                <w:szCs w:val="18"/>
              </w:rPr>
            </w:pPr>
            <w:r w:rsidRPr="00402580">
              <w:rPr>
                <w:rFonts w:ascii="Arial" w:hAnsi="Arial" w:cs="Arial"/>
                <w:sz w:val="18"/>
                <w:szCs w:val="18"/>
              </w:rPr>
              <w:t>Investments in energy efficiency and green energy:</w:t>
            </w:r>
          </w:p>
          <w:p w14:paraId="12BCBEA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Renovating the heating systems of buildings for purposes of saving energy, as well as generating jobs</w:t>
            </w:r>
          </w:p>
          <w:p w14:paraId="6DEAFB1C"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 xml:space="preserve">Training for employees in installing and maintenance of photovoltaic parks </w:t>
            </w:r>
          </w:p>
          <w:p w14:paraId="6AB05755"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Supporting PV equipment production and job creation</w:t>
            </w:r>
          </w:p>
          <w:p w14:paraId="0A1342F4"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Equipping buildings with photovoltaic panels</w:t>
            </w:r>
          </w:p>
          <w:p w14:paraId="1FFC53C6"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Vocational retraining of 200 employees in Gorj in the photovoltaic sector (centre in Petroșani)</w:t>
            </w:r>
          </w:p>
          <w:p w14:paraId="2E269132" w14:textId="77777777" w:rsidR="001552CD" w:rsidRPr="0094678E" w:rsidRDefault="001552CD" w:rsidP="00E42342">
            <w:pPr>
              <w:pStyle w:val="Briefingtext"/>
              <w:numPr>
                <w:ilvl w:val="0"/>
                <w:numId w:val="319"/>
              </w:numPr>
              <w:spacing w:after="0"/>
              <w:textDirection w:val="btLr"/>
              <w:rPr>
                <w:sz w:val="18"/>
                <w:szCs w:val="18"/>
              </w:rPr>
            </w:pPr>
            <w:r w:rsidRPr="0091733D">
              <w:rPr>
                <w:sz w:val="18"/>
                <w:szCs w:val="20"/>
              </w:rPr>
              <w:t>Company employee acting as "satellites" around green energy production</w:t>
            </w:r>
          </w:p>
        </w:tc>
      </w:tr>
      <w:tr w:rsidR="001552CD" w:rsidRPr="001552CD" w14:paraId="7C164EB7" w14:textId="77777777" w:rsidTr="00EE02DE">
        <w:tc>
          <w:tcPr>
            <w:tcW w:w="5687" w:type="dxa"/>
          </w:tcPr>
          <w:p w14:paraId="5A826CC9" w14:textId="12E75AF7" w:rsidR="001552CD" w:rsidRPr="00402580" w:rsidRDefault="001552CD" w:rsidP="00EE02DE">
            <w:pPr>
              <w:spacing w:after="240"/>
              <w:ind w:hanging="2"/>
              <w:rPr>
                <w:rFonts w:ascii="Arial" w:hAnsi="Arial" w:cs="Arial"/>
                <w:b/>
                <w:sz w:val="18"/>
                <w:szCs w:val="18"/>
              </w:rPr>
            </w:pPr>
            <w:r w:rsidRPr="00402580">
              <w:rPr>
                <w:rFonts w:ascii="Arial" w:hAnsi="Arial" w:cs="Arial"/>
                <w:b/>
                <w:sz w:val="18"/>
                <w:szCs w:val="18"/>
              </w:rPr>
              <w:lastRenderedPageBreak/>
              <w:t>Environmental challenges and opportunities (including recapitali</w:t>
            </w:r>
            <w:r w:rsidR="00086C94">
              <w:rPr>
                <w:rFonts w:ascii="Arial" w:hAnsi="Arial" w:cs="Arial"/>
                <w:b/>
                <w:sz w:val="18"/>
                <w:szCs w:val="18"/>
              </w:rPr>
              <w:t>s</w:t>
            </w:r>
            <w:r w:rsidRPr="00402580">
              <w:rPr>
                <w:rFonts w:ascii="Arial" w:hAnsi="Arial" w:cs="Arial"/>
                <w:b/>
                <w:sz w:val="18"/>
                <w:szCs w:val="18"/>
              </w:rPr>
              <w:t>ation of “brownfield”</w:t>
            </w:r>
            <w:r w:rsidR="0094678E">
              <w:rPr>
                <w:rFonts w:ascii="Arial" w:hAnsi="Arial" w:cs="Arial"/>
                <w:b/>
                <w:sz w:val="18"/>
                <w:szCs w:val="18"/>
              </w:rPr>
              <w:t xml:space="preserve"> </w:t>
            </w:r>
            <w:r w:rsidRPr="00402580">
              <w:rPr>
                <w:rFonts w:ascii="Arial" w:hAnsi="Arial" w:cs="Arial"/>
                <w:b/>
                <w:sz w:val="18"/>
                <w:szCs w:val="18"/>
              </w:rPr>
              <w:t xml:space="preserve">areas) </w:t>
            </w:r>
          </w:p>
          <w:p w14:paraId="589438D4" w14:textId="2C7ABB79" w:rsidR="001552CD" w:rsidRPr="00402580" w:rsidRDefault="001552CD" w:rsidP="00EE02DE">
            <w:pPr>
              <w:spacing w:after="240"/>
              <w:ind w:hanging="2"/>
              <w:rPr>
                <w:rFonts w:ascii="Arial" w:hAnsi="Arial" w:cs="Arial"/>
                <w:b/>
                <w:sz w:val="18"/>
                <w:szCs w:val="18"/>
              </w:rPr>
            </w:pPr>
            <w:r w:rsidRPr="00402580">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(abandoned/poorly used)” as resources for our region/county?</w:t>
            </w:r>
          </w:p>
        </w:tc>
        <w:tc>
          <w:tcPr>
            <w:tcW w:w="1398" w:type="dxa"/>
          </w:tcPr>
          <w:p w14:paraId="495506BD" w14:textId="77777777" w:rsidR="001552CD" w:rsidRPr="00402580" w:rsidRDefault="001552CD" w:rsidP="00EE02DE">
            <w:pPr>
              <w:ind w:hanging="2"/>
              <w:rPr>
                <w:rFonts w:ascii="Arial" w:hAnsi="Arial" w:cs="Arial"/>
                <w:sz w:val="18"/>
                <w:szCs w:val="18"/>
              </w:rPr>
            </w:pPr>
            <w:r w:rsidRPr="00402580">
              <w:rPr>
                <w:rFonts w:ascii="Arial" w:hAnsi="Arial" w:cs="Arial"/>
                <w:noProof/>
                <w:sz w:val="18"/>
                <w:szCs w:val="18"/>
                <w:lang w:val="en-US" w:eastAsia="en-US"/>
              </w:rPr>
              <w:drawing>
                <wp:inline distT="114300" distB="114300" distL="114300" distR="114300" wp14:anchorId="04955413" wp14:editId="6FC7037D">
                  <wp:extent cx="752475" cy="774700"/>
                  <wp:effectExtent l="0" t="0" r="0" b="0"/>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3"/>
                          <a:srcRect/>
                          <a:stretch>
                            <a:fillRect/>
                          </a:stretch>
                        </pic:blipFill>
                        <pic:spPr>
                          <a:xfrm>
                            <a:off x="0" y="0"/>
                            <a:ext cx="752475" cy="774700"/>
                          </a:xfrm>
                          <a:prstGeom prst="rect">
                            <a:avLst/>
                          </a:prstGeom>
                          <a:ln/>
                        </pic:spPr>
                      </pic:pic>
                    </a:graphicData>
                  </a:graphic>
                </wp:inline>
              </w:drawing>
            </w:r>
          </w:p>
        </w:tc>
        <w:tc>
          <w:tcPr>
            <w:tcW w:w="5802" w:type="dxa"/>
          </w:tcPr>
          <w:p w14:paraId="5DF065D0" w14:textId="77777777" w:rsidR="001552CD" w:rsidRPr="00402580" w:rsidRDefault="001552CD" w:rsidP="00EE02DE">
            <w:pPr>
              <w:spacing w:before="100"/>
              <w:ind w:hanging="2"/>
              <w:rPr>
                <w:rFonts w:ascii="Arial" w:hAnsi="Arial" w:cs="Arial"/>
                <w:b/>
                <w:sz w:val="18"/>
                <w:szCs w:val="18"/>
              </w:rPr>
            </w:pPr>
            <w:r w:rsidRPr="00402580">
              <w:rPr>
                <w:rFonts w:ascii="Arial" w:hAnsi="Arial" w:cs="Arial"/>
                <w:b/>
                <w:sz w:val="18"/>
                <w:szCs w:val="18"/>
              </w:rPr>
              <w:t>SME and entrepreneurship - vectors of regional development</w:t>
            </w:r>
          </w:p>
          <w:p w14:paraId="6A7EBEA4" w14:textId="77777777" w:rsidR="001552CD" w:rsidRPr="00402580" w:rsidRDefault="001552CD" w:rsidP="00EE02DE">
            <w:pPr>
              <w:spacing w:before="240"/>
              <w:ind w:hanging="2"/>
              <w:rPr>
                <w:rFonts w:ascii="Arial" w:hAnsi="Arial" w:cs="Arial"/>
                <w:b/>
                <w:sz w:val="18"/>
                <w:szCs w:val="18"/>
              </w:rPr>
            </w:pPr>
            <w:r w:rsidRPr="00402580">
              <w:rPr>
                <w:rFonts w:ascii="Arial" w:hAnsi="Arial" w:cs="Arial"/>
                <w:i/>
                <w:sz w:val="18"/>
                <w:szCs w:val="18"/>
              </w:rPr>
              <w:t>What are the priority areas where SMEs can generate accelerated development in the region/county? How can we support the accelerated development of SMEs in our region/county? What makes our county unique? (from a SME perspective)</w:t>
            </w:r>
          </w:p>
        </w:tc>
        <w:tc>
          <w:tcPr>
            <w:tcW w:w="1286" w:type="dxa"/>
          </w:tcPr>
          <w:p w14:paraId="1B6490DE" w14:textId="77777777" w:rsidR="001552CD" w:rsidRPr="00402580" w:rsidRDefault="001552CD" w:rsidP="00EE02DE">
            <w:pPr>
              <w:ind w:hanging="2"/>
              <w:rPr>
                <w:rFonts w:ascii="Arial" w:hAnsi="Arial" w:cs="Arial"/>
                <w:sz w:val="18"/>
                <w:szCs w:val="18"/>
              </w:rPr>
            </w:pPr>
            <w:r w:rsidRPr="00402580">
              <w:rPr>
                <w:rFonts w:ascii="Arial" w:hAnsi="Arial" w:cs="Arial"/>
                <w:noProof/>
                <w:sz w:val="18"/>
                <w:szCs w:val="18"/>
                <w:lang w:val="en-US" w:eastAsia="en-US"/>
              </w:rPr>
              <w:drawing>
                <wp:inline distT="114300" distB="114300" distL="114300" distR="114300" wp14:anchorId="40DDC128" wp14:editId="1647E0FE">
                  <wp:extent cx="685800" cy="660400"/>
                  <wp:effectExtent l="0" t="0" r="0" b="0"/>
                  <wp:docPr id="1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4"/>
                          <a:srcRect/>
                          <a:stretch>
                            <a:fillRect/>
                          </a:stretch>
                        </pic:blipFill>
                        <pic:spPr>
                          <a:xfrm>
                            <a:off x="0" y="0"/>
                            <a:ext cx="685800" cy="660400"/>
                          </a:xfrm>
                          <a:prstGeom prst="rect">
                            <a:avLst/>
                          </a:prstGeom>
                          <a:ln/>
                        </pic:spPr>
                      </pic:pic>
                    </a:graphicData>
                  </a:graphic>
                </wp:inline>
              </w:drawing>
            </w:r>
          </w:p>
        </w:tc>
      </w:tr>
      <w:tr w:rsidR="001552CD" w:rsidRPr="001552CD" w14:paraId="44246C6F" w14:textId="77777777" w:rsidTr="00EE02DE">
        <w:trPr>
          <w:trHeight w:val="200"/>
        </w:trPr>
        <w:tc>
          <w:tcPr>
            <w:tcW w:w="7085" w:type="dxa"/>
            <w:gridSpan w:val="2"/>
          </w:tcPr>
          <w:p w14:paraId="7ED6B9EA" w14:textId="77777777" w:rsidR="001552CD" w:rsidRPr="00402580" w:rsidRDefault="001552CD" w:rsidP="00EE02DE">
            <w:pPr>
              <w:spacing w:before="240" w:after="240"/>
              <w:ind w:hanging="2"/>
              <w:rPr>
                <w:rFonts w:ascii="Arial" w:hAnsi="Arial" w:cs="Arial"/>
                <w:b/>
                <w:sz w:val="18"/>
                <w:szCs w:val="18"/>
              </w:rPr>
            </w:pPr>
            <w:r w:rsidRPr="00402580">
              <w:rPr>
                <w:rFonts w:ascii="Arial" w:hAnsi="Arial" w:cs="Arial"/>
                <w:b/>
                <w:sz w:val="18"/>
                <w:szCs w:val="18"/>
              </w:rPr>
              <w:t>Important general aspects:</w:t>
            </w:r>
          </w:p>
          <w:p w14:paraId="0EA7348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There are multiple challenges in using degraded land</w:t>
            </w:r>
          </w:p>
          <w:p w14:paraId="3F96F5E3"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Land needs to be established and indexed and then prioritised for appropriate interventions followed by project ownership</w:t>
            </w:r>
          </w:p>
          <w:p w14:paraId="1D63CCF3"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Slag and ash heaps, tailings ponds including near mining operations sites - can be used in line with the restructuring plan</w:t>
            </w:r>
          </w:p>
          <w:p w14:paraId="18BA44B2"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An important asset is the existence of a database of land not in agricultural circuit (CJ), business parks (including CEOltenia) without forest land</w:t>
            </w:r>
          </w:p>
          <w:p w14:paraId="3CEA1FE7"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CEOltenia owns very large areas of land (6000 ha)</w:t>
            </w:r>
          </w:p>
          <w:p w14:paraId="7CD6C671"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lastRenderedPageBreak/>
              <w:t>Information is needed from municipalities</w:t>
            </w:r>
          </w:p>
          <w:p w14:paraId="5687E1F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It is useful to extend the brownfield analysis to all owners (APL + private owners)</w:t>
            </w:r>
          </w:p>
          <w:p w14:paraId="35F4F04A" w14:textId="352600B5" w:rsidR="001552CD" w:rsidRPr="0091733D" w:rsidRDefault="001552CD" w:rsidP="00E42342">
            <w:pPr>
              <w:pStyle w:val="Briefingtext"/>
              <w:numPr>
                <w:ilvl w:val="0"/>
                <w:numId w:val="319"/>
              </w:numPr>
              <w:spacing w:after="0"/>
              <w:textDirection w:val="btLr"/>
              <w:rPr>
                <w:sz w:val="18"/>
                <w:szCs w:val="20"/>
              </w:rPr>
            </w:pPr>
            <w:r w:rsidRPr="0091733D">
              <w:rPr>
                <w:sz w:val="18"/>
                <w:szCs w:val="20"/>
              </w:rPr>
              <w:t>It is appropriate to associate LPAs (</w:t>
            </w:r>
            <w:r w:rsidR="0094678E" w:rsidRPr="0091733D">
              <w:rPr>
                <w:sz w:val="18"/>
                <w:szCs w:val="20"/>
              </w:rPr>
              <w:t>e.g.,</w:t>
            </w:r>
            <w:r w:rsidRPr="0091733D">
              <w:rPr>
                <w:sz w:val="18"/>
                <w:szCs w:val="20"/>
              </w:rPr>
              <w:t xml:space="preserve"> metropolitan areas, ADIs, etc.)</w:t>
            </w:r>
          </w:p>
          <w:p w14:paraId="10B310C4"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It is appropriate to extend the eligible area not only to brownfield land</w:t>
            </w:r>
          </w:p>
          <w:p w14:paraId="4096E66D" w14:textId="77777777" w:rsidR="001552CD" w:rsidRPr="00402580" w:rsidRDefault="001552CD" w:rsidP="00EE02DE">
            <w:pPr>
              <w:spacing w:before="240" w:after="240"/>
              <w:ind w:hanging="2"/>
              <w:rPr>
                <w:rFonts w:ascii="Arial" w:hAnsi="Arial" w:cs="Arial"/>
                <w:b/>
                <w:sz w:val="18"/>
                <w:szCs w:val="18"/>
              </w:rPr>
            </w:pPr>
            <w:r w:rsidRPr="00402580">
              <w:rPr>
                <w:rFonts w:ascii="Arial" w:hAnsi="Arial" w:cs="Arial"/>
                <w:b/>
                <w:sz w:val="18"/>
                <w:szCs w:val="18"/>
              </w:rPr>
              <w:t>Ideas, solutions, projects, opportunities:</w:t>
            </w:r>
          </w:p>
          <w:p w14:paraId="7812B86A"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Afforestation campaign, rewilding operations to avoid desertification, planting of protection forests</w:t>
            </w:r>
          </w:p>
          <w:p w14:paraId="0139AC07"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Planting of fodder plants on degraded land, production of pellets and/or restoration of the circuit, visibility</w:t>
            </w:r>
          </w:p>
          <w:p w14:paraId="1C894337"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Micro-farms (fruit trees)</w:t>
            </w:r>
          </w:p>
          <w:p w14:paraId="58E45113"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Locally identified land is grassland (communal fallow land) and legislative changes are needed</w:t>
            </w:r>
          </w:p>
          <w:p w14:paraId="4A071ECE"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Opportunity to rehabilitate land that can be used for new functions</w:t>
            </w:r>
          </w:p>
          <w:p w14:paraId="0E359F5A"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Development of former/current landfill sites into photovoltaic parks</w:t>
            </w:r>
          </w:p>
          <w:p w14:paraId="3A2F035B"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New functionalities - business centers near and around towns</w:t>
            </w:r>
          </w:p>
          <w:p w14:paraId="38A094B9"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Project generated and managed by SMEs in airport areas, leisure areas</w:t>
            </w:r>
          </w:p>
          <w:p w14:paraId="03764ECF"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Related projects for green transport, urban areas, metropolitan area</w:t>
            </w:r>
          </w:p>
          <w:p w14:paraId="6CBA0741"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Example of Bumbesti Jiu Industrial Park with Sadu 2 extension and support for land transfer (2.5/5ha)</w:t>
            </w:r>
          </w:p>
          <w:p w14:paraId="37B54153"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Integrated projects</w:t>
            </w:r>
          </w:p>
          <w:p w14:paraId="3F97D89B"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Industrial parks</w:t>
            </w:r>
          </w:p>
          <w:p w14:paraId="3F5D88C7"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Purchasing transportation (electric)</w:t>
            </w:r>
          </w:p>
          <w:p w14:paraId="0255054D"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Waste transformation stations</w:t>
            </w:r>
          </w:p>
          <w:p w14:paraId="12B907A2" w14:textId="77777777" w:rsidR="001552CD" w:rsidRPr="0091733D" w:rsidRDefault="001552CD" w:rsidP="00E42342">
            <w:pPr>
              <w:pStyle w:val="Briefingtext"/>
              <w:numPr>
                <w:ilvl w:val="0"/>
                <w:numId w:val="320"/>
              </w:numPr>
              <w:spacing w:after="0"/>
              <w:textDirection w:val="btLr"/>
              <w:rPr>
                <w:sz w:val="18"/>
                <w:szCs w:val="20"/>
              </w:rPr>
            </w:pPr>
            <w:r w:rsidRPr="0091733D">
              <w:rPr>
                <w:sz w:val="18"/>
                <w:szCs w:val="20"/>
              </w:rPr>
              <w:t>Green belts and green roofs, energy efficiency measures</w:t>
            </w:r>
          </w:p>
          <w:p w14:paraId="5F668F3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Supporting the transition to circular economy, investment in waste recycling</w:t>
            </w:r>
          </w:p>
          <w:p w14:paraId="7C913F1E" w14:textId="77777777" w:rsidR="001552CD" w:rsidRPr="00402580" w:rsidRDefault="001552CD" w:rsidP="00EE02DE">
            <w:pPr>
              <w:ind w:hanging="2"/>
              <w:rPr>
                <w:rFonts w:ascii="Arial" w:hAnsi="Arial" w:cs="Arial"/>
                <w:sz w:val="18"/>
                <w:szCs w:val="18"/>
              </w:rPr>
            </w:pPr>
          </w:p>
        </w:tc>
        <w:tc>
          <w:tcPr>
            <w:tcW w:w="7088" w:type="dxa"/>
            <w:gridSpan w:val="2"/>
          </w:tcPr>
          <w:p w14:paraId="6B2F51B0" w14:textId="77777777" w:rsidR="001552CD" w:rsidRPr="00402580" w:rsidRDefault="001552CD" w:rsidP="00EE02DE">
            <w:pPr>
              <w:spacing w:before="240" w:after="240"/>
              <w:ind w:hanging="2"/>
              <w:rPr>
                <w:rFonts w:ascii="Arial" w:hAnsi="Arial" w:cs="Arial"/>
                <w:b/>
                <w:sz w:val="18"/>
                <w:szCs w:val="18"/>
              </w:rPr>
            </w:pPr>
            <w:r w:rsidRPr="00402580">
              <w:rPr>
                <w:rFonts w:ascii="Arial" w:hAnsi="Arial" w:cs="Arial"/>
                <w:b/>
                <w:sz w:val="18"/>
                <w:szCs w:val="18"/>
              </w:rPr>
              <w:lastRenderedPageBreak/>
              <w:t>Ideas, solutions, projects, opportunities:</w:t>
            </w:r>
          </w:p>
          <w:p w14:paraId="115DCD71" w14:textId="0DF5EC1C" w:rsidR="001552CD" w:rsidRPr="00402580" w:rsidRDefault="001552CD" w:rsidP="00EE02DE">
            <w:pPr>
              <w:ind w:hanging="2"/>
              <w:rPr>
                <w:rFonts w:ascii="Arial" w:hAnsi="Arial" w:cs="Arial"/>
                <w:sz w:val="18"/>
                <w:szCs w:val="18"/>
              </w:rPr>
            </w:pPr>
            <w:r w:rsidRPr="00402580">
              <w:rPr>
                <w:rFonts w:ascii="Arial" w:hAnsi="Arial" w:cs="Arial"/>
                <w:sz w:val="18"/>
                <w:szCs w:val="18"/>
              </w:rPr>
              <w:t>The County Council proposes that Gor</w:t>
            </w:r>
            <w:r w:rsidR="00F52E81">
              <w:rPr>
                <w:rFonts w:ascii="Arial" w:hAnsi="Arial" w:cs="Arial"/>
                <w:sz w:val="18"/>
                <w:szCs w:val="18"/>
              </w:rPr>
              <w:t>j</w:t>
            </w:r>
            <w:r w:rsidRPr="00402580">
              <w:rPr>
                <w:rFonts w:ascii="Arial" w:hAnsi="Arial" w:cs="Arial"/>
                <w:sz w:val="18"/>
                <w:szCs w:val="18"/>
              </w:rPr>
              <w:t xml:space="preserve"> becomes the first green county in Romania in 2030 </w:t>
            </w:r>
          </w:p>
          <w:p w14:paraId="569F2F4E" w14:textId="77777777" w:rsidR="001552CD" w:rsidRPr="00402580" w:rsidRDefault="001552CD" w:rsidP="00EE02DE">
            <w:pPr>
              <w:ind w:hanging="2"/>
              <w:rPr>
                <w:rFonts w:ascii="Arial" w:hAnsi="Arial" w:cs="Arial"/>
                <w:sz w:val="18"/>
                <w:szCs w:val="18"/>
              </w:rPr>
            </w:pPr>
          </w:p>
          <w:p w14:paraId="33E6B993" w14:textId="2504CC4A" w:rsidR="001552CD" w:rsidRPr="0091733D" w:rsidRDefault="0094678E" w:rsidP="00E42342">
            <w:pPr>
              <w:pStyle w:val="Briefingtext"/>
              <w:numPr>
                <w:ilvl w:val="0"/>
                <w:numId w:val="319"/>
              </w:numPr>
              <w:spacing w:after="0"/>
              <w:textDirection w:val="btLr"/>
              <w:rPr>
                <w:sz w:val="18"/>
                <w:szCs w:val="20"/>
              </w:rPr>
            </w:pPr>
            <w:r w:rsidRPr="0091733D">
              <w:rPr>
                <w:sz w:val="18"/>
                <w:szCs w:val="20"/>
              </w:rPr>
              <w:t>D</w:t>
            </w:r>
            <w:r w:rsidR="001552CD" w:rsidRPr="0091733D">
              <w:rPr>
                <w:sz w:val="18"/>
                <w:szCs w:val="20"/>
              </w:rPr>
              <w:t>evelop industrial parks with various spaces: commercial, production, production of components for green energy, with the support of municipalities</w:t>
            </w:r>
          </w:p>
          <w:p w14:paraId="356A0802" w14:textId="2E6164FE" w:rsidR="001552CD" w:rsidRPr="0091733D" w:rsidRDefault="001552CD" w:rsidP="00E42342">
            <w:pPr>
              <w:pStyle w:val="Briefingtext"/>
              <w:numPr>
                <w:ilvl w:val="0"/>
                <w:numId w:val="319"/>
              </w:numPr>
              <w:spacing w:after="0"/>
              <w:textDirection w:val="btLr"/>
              <w:rPr>
                <w:sz w:val="18"/>
                <w:szCs w:val="20"/>
              </w:rPr>
            </w:pPr>
            <w:r w:rsidRPr="0091733D">
              <w:rPr>
                <w:sz w:val="18"/>
                <w:szCs w:val="20"/>
              </w:rPr>
              <w:t>Industrial parks developed and made more efficient, expansion project and takeover of abandoned industrial sites, moderni</w:t>
            </w:r>
            <w:r w:rsidR="00086C94" w:rsidRPr="0091733D">
              <w:rPr>
                <w:sz w:val="18"/>
                <w:szCs w:val="20"/>
              </w:rPr>
              <w:t>s</w:t>
            </w:r>
            <w:r w:rsidRPr="0091733D">
              <w:rPr>
                <w:sz w:val="18"/>
                <w:szCs w:val="20"/>
              </w:rPr>
              <w:t>ation of utilities and energy efficiency, restoration of buildings</w:t>
            </w:r>
          </w:p>
          <w:p w14:paraId="3FC1F2C4" w14:textId="1A3A5B62" w:rsidR="001552CD" w:rsidRPr="0091733D" w:rsidRDefault="001552CD" w:rsidP="00E42342">
            <w:pPr>
              <w:pStyle w:val="Briefingtext"/>
              <w:numPr>
                <w:ilvl w:val="0"/>
                <w:numId w:val="319"/>
              </w:numPr>
              <w:spacing w:after="0"/>
              <w:textDirection w:val="btLr"/>
              <w:rPr>
                <w:sz w:val="18"/>
                <w:szCs w:val="20"/>
              </w:rPr>
            </w:pPr>
            <w:r w:rsidRPr="0091733D">
              <w:rPr>
                <w:sz w:val="18"/>
                <w:szCs w:val="20"/>
              </w:rPr>
              <w:lastRenderedPageBreak/>
              <w:t>Project in partnership AJOFM/trainers</w:t>
            </w:r>
            <w:r w:rsidR="002A4A34" w:rsidRPr="0091733D">
              <w:rPr>
                <w:sz w:val="18"/>
                <w:szCs w:val="20"/>
              </w:rPr>
              <w:t xml:space="preserve"> </w:t>
            </w:r>
            <w:r w:rsidRPr="0091733D">
              <w:rPr>
                <w:sz w:val="18"/>
                <w:szCs w:val="20"/>
              </w:rPr>
              <w:t>-</w:t>
            </w:r>
            <w:r w:rsidR="002A4A34" w:rsidRPr="0091733D">
              <w:rPr>
                <w:sz w:val="18"/>
                <w:szCs w:val="20"/>
              </w:rPr>
              <w:t>TAU</w:t>
            </w:r>
            <w:r w:rsidRPr="0091733D">
              <w:rPr>
                <w:sz w:val="18"/>
                <w:szCs w:val="20"/>
              </w:rPr>
              <w:t>- Industrial parks to stimulate start-up businesses in economic areas with growth potential</w:t>
            </w:r>
          </w:p>
          <w:p w14:paraId="0E8B3255" w14:textId="164DBF99" w:rsidR="001552CD" w:rsidRPr="0091733D" w:rsidRDefault="001552CD" w:rsidP="00E42342">
            <w:pPr>
              <w:pStyle w:val="Briefingtext"/>
              <w:numPr>
                <w:ilvl w:val="0"/>
                <w:numId w:val="319"/>
              </w:numPr>
              <w:spacing w:after="0"/>
              <w:textDirection w:val="btLr"/>
              <w:rPr>
                <w:sz w:val="18"/>
                <w:szCs w:val="20"/>
              </w:rPr>
            </w:pPr>
            <w:r w:rsidRPr="0091733D">
              <w:rPr>
                <w:sz w:val="18"/>
                <w:szCs w:val="20"/>
              </w:rPr>
              <w:t>TA</w:t>
            </w:r>
            <w:r w:rsidR="002A4A34" w:rsidRPr="0091733D">
              <w:rPr>
                <w:sz w:val="18"/>
                <w:szCs w:val="20"/>
              </w:rPr>
              <w:t>U</w:t>
            </w:r>
            <w:r w:rsidRPr="0091733D">
              <w:rPr>
                <w:sz w:val="18"/>
                <w:szCs w:val="20"/>
              </w:rPr>
              <w:t>s managing de minimis schemes for start-ups and SMEs. Partnerships between TA</w:t>
            </w:r>
            <w:r w:rsidR="002A4A34" w:rsidRPr="0091733D">
              <w:rPr>
                <w:sz w:val="18"/>
                <w:szCs w:val="20"/>
              </w:rPr>
              <w:t>U</w:t>
            </w:r>
            <w:r w:rsidRPr="0091733D">
              <w:rPr>
                <w:sz w:val="18"/>
                <w:szCs w:val="20"/>
              </w:rPr>
              <w:t>s/ LAGs for managing the grant scheme</w:t>
            </w:r>
          </w:p>
          <w:p w14:paraId="0D16944A"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Technical assistance is needed to write and substantiate investment projects</w:t>
            </w:r>
          </w:p>
          <w:p w14:paraId="36439135" w14:textId="4D997712" w:rsidR="001552CD" w:rsidRPr="0091733D" w:rsidRDefault="001552CD" w:rsidP="00E42342">
            <w:pPr>
              <w:pStyle w:val="Briefingtext"/>
              <w:numPr>
                <w:ilvl w:val="0"/>
                <w:numId w:val="319"/>
              </w:numPr>
              <w:spacing w:after="0"/>
              <w:textDirection w:val="btLr"/>
              <w:rPr>
                <w:sz w:val="18"/>
                <w:szCs w:val="20"/>
              </w:rPr>
            </w:pPr>
            <w:r w:rsidRPr="0091733D">
              <w:rPr>
                <w:sz w:val="18"/>
                <w:szCs w:val="20"/>
              </w:rPr>
              <w:t xml:space="preserve">CJ - services to CEO, transition to green </w:t>
            </w:r>
            <w:r w:rsidR="0094678E" w:rsidRPr="0091733D">
              <w:rPr>
                <w:sz w:val="18"/>
                <w:szCs w:val="20"/>
              </w:rPr>
              <w:t>e.g.,</w:t>
            </w:r>
            <w:r w:rsidRPr="0091733D">
              <w:rPr>
                <w:sz w:val="18"/>
                <w:szCs w:val="20"/>
              </w:rPr>
              <w:t xml:space="preserve"> sustainable greenhouses (PV panels)</w:t>
            </w:r>
          </w:p>
          <w:p w14:paraId="59266C2E"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 xml:space="preserve">Developing existing SMEs in circular economy  </w:t>
            </w:r>
          </w:p>
          <w:p w14:paraId="1F14D361" w14:textId="77777777" w:rsidR="002A4A34" w:rsidRDefault="001552CD" w:rsidP="0091733D">
            <w:pPr>
              <w:spacing w:before="120" w:after="120"/>
              <w:rPr>
                <w:rFonts w:ascii="Arial" w:hAnsi="Arial" w:cs="Arial"/>
                <w:sz w:val="18"/>
                <w:szCs w:val="18"/>
              </w:rPr>
            </w:pPr>
            <w:r w:rsidRPr="002A4A34">
              <w:rPr>
                <w:rFonts w:ascii="Arial" w:hAnsi="Arial" w:cs="Arial"/>
                <w:sz w:val="18"/>
                <w:szCs w:val="18"/>
              </w:rPr>
              <w:t>Sustainable tourism</w:t>
            </w:r>
          </w:p>
          <w:p w14:paraId="2F91D3F4" w14:textId="77777777" w:rsidR="002A4A34" w:rsidRPr="0091733D" w:rsidRDefault="001552CD" w:rsidP="00E42342">
            <w:pPr>
              <w:pStyle w:val="Briefingtext"/>
              <w:numPr>
                <w:ilvl w:val="0"/>
                <w:numId w:val="319"/>
              </w:numPr>
              <w:spacing w:after="0"/>
              <w:rPr>
                <w:sz w:val="18"/>
                <w:szCs w:val="20"/>
              </w:rPr>
            </w:pPr>
            <w:r w:rsidRPr="0091733D">
              <w:rPr>
                <w:sz w:val="18"/>
                <w:szCs w:val="20"/>
              </w:rPr>
              <w:t>Green theme parks</w:t>
            </w:r>
          </w:p>
          <w:p w14:paraId="312283D5" w14:textId="336E752B" w:rsidR="001552CD" w:rsidRPr="0091733D" w:rsidRDefault="001552CD" w:rsidP="00E42342">
            <w:pPr>
              <w:pStyle w:val="Briefingtext"/>
              <w:numPr>
                <w:ilvl w:val="0"/>
                <w:numId w:val="319"/>
              </w:numPr>
              <w:spacing w:after="0"/>
              <w:rPr>
                <w:sz w:val="18"/>
                <w:szCs w:val="20"/>
              </w:rPr>
            </w:pPr>
            <w:r w:rsidRPr="0091733D">
              <w:rPr>
                <w:sz w:val="18"/>
                <w:szCs w:val="20"/>
              </w:rPr>
              <w:t>Endogenous tourism: investment in infrastructure in public-private partnership, multifunctional complex with business facilities, sports, tourist attractions</w:t>
            </w:r>
          </w:p>
          <w:p w14:paraId="14283EA0" w14:textId="77777777" w:rsidR="001552CD" w:rsidRPr="00402580" w:rsidRDefault="001552CD" w:rsidP="0091733D">
            <w:pPr>
              <w:spacing w:before="120" w:after="120"/>
              <w:rPr>
                <w:rFonts w:ascii="Arial" w:hAnsi="Arial" w:cs="Arial"/>
                <w:sz w:val="18"/>
                <w:szCs w:val="18"/>
              </w:rPr>
            </w:pPr>
            <w:r w:rsidRPr="00402580">
              <w:rPr>
                <w:rFonts w:ascii="Arial" w:hAnsi="Arial" w:cs="Arial"/>
                <w:sz w:val="18"/>
                <w:szCs w:val="18"/>
              </w:rPr>
              <w:t>Promotion of entrepreneurship and entrepreneurship culture training actions</w:t>
            </w:r>
          </w:p>
          <w:p w14:paraId="66F7351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Investment in business start-ups, including through business incubators and advisory services</w:t>
            </w:r>
          </w:p>
          <w:p w14:paraId="34BCEA08"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Innovative virtual business incubator, E-Learning Business platform</w:t>
            </w:r>
          </w:p>
          <w:p w14:paraId="4E6B089A"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Creation of meeting spaces, creative hubs, coworking</w:t>
            </w:r>
          </w:p>
          <w:p w14:paraId="7B35D1A9"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Involvement of TAU in entrepreneurial development through assistance, investor promotion and investment towards industrial parks</w:t>
            </w:r>
          </w:p>
          <w:p w14:paraId="5AB938CE"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Stimulating, assembling VFP components, project proposals for developing entrepreneurial culture based on previous experience</w:t>
            </w:r>
          </w:p>
          <w:p w14:paraId="0EC50CC8" w14:textId="77777777" w:rsidR="001552CD" w:rsidRPr="00402580" w:rsidRDefault="001552CD" w:rsidP="0091733D">
            <w:pPr>
              <w:spacing w:before="120" w:after="120"/>
              <w:textDirection w:val="btLr"/>
              <w:rPr>
                <w:rFonts w:ascii="Arial" w:hAnsi="Arial" w:cs="Arial"/>
                <w:sz w:val="18"/>
                <w:szCs w:val="18"/>
              </w:rPr>
            </w:pPr>
            <w:r w:rsidRPr="00402580">
              <w:rPr>
                <w:rFonts w:ascii="Arial" w:hAnsi="Arial" w:cs="Arial"/>
                <w:sz w:val="18"/>
                <w:szCs w:val="18"/>
              </w:rPr>
              <w:t xml:space="preserve">Training programmes, vocational training </w:t>
            </w:r>
          </w:p>
          <w:p w14:paraId="3888153F"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ISJ Gorj - dual education programmes with flexible training offer</w:t>
            </w:r>
          </w:p>
          <w:p w14:paraId="57A3DB64" w14:textId="77777777" w:rsidR="001552CD" w:rsidRPr="002A4A34" w:rsidRDefault="001552CD" w:rsidP="00E42342">
            <w:pPr>
              <w:pStyle w:val="Briefingtext"/>
              <w:numPr>
                <w:ilvl w:val="0"/>
                <w:numId w:val="319"/>
              </w:numPr>
              <w:spacing w:after="0"/>
              <w:textDirection w:val="btLr"/>
              <w:rPr>
                <w:sz w:val="18"/>
                <w:szCs w:val="18"/>
              </w:rPr>
            </w:pPr>
            <w:r w:rsidRPr="0091733D">
              <w:rPr>
                <w:sz w:val="18"/>
                <w:szCs w:val="20"/>
              </w:rPr>
              <w:t>Support for digital transition, transition hub</w:t>
            </w:r>
          </w:p>
        </w:tc>
      </w:tr>
      <w:tr w:rsidR="001552CD" w:rsidRPr="001552CD" w14:paraId="4FDBDA07" w14:textId="77777777" w:rsidTr="00EE02DE">
        <w:tc>
          <w:tcPr>
            <w:tcW w:w="14173" w:type="dxa"/>
            <w:gridSpan w:val="4"/>
            <w:shd w:val="clear" w:color="auto" w:fill="B6D7A8"/>
          </w:tcPr>
          <w:p w14:paraId="4460C7C0" w14:textId="4AC3D4E3" w:rsidR="001552CD" w:rsidRPr="00402580" w:rsidRDefault="001552CD" w:rsidP="00EE02DE">
            <w:pPr>
              <w:ind w:hanging="2"/>
              <w:rPr>
                <w:rFonts w:ascii="Arial" w:hAnsi="Arial" w:cs="Arial"/>
                <w:b/>
                <w:sz w:val="18"/>
                <w:szCs w:val="18"/>
              </w:rPr>
            </w:pPr>
            <w:r w:rsidRPr="00402580">
              <w:rPr>
                <w:rFonts w:ascii="Arial" w:hAnsi="Arial" w:cs="Arial"/>
                <w:b/>
                <w:sz w:val="18"/>
                <w:szCs w:val="18"/>
              </w:rPr>
              <w:lastRenderedPageBreak/>
              <w:t>Ideas, need</w:t>
            </w:r>
            <w:r w:rsidR="002A4A34">
              <w:rPr>
                <w:rFonts w:ascii="Arial" w:hAnsi="Arial" w:cs="Arial"/>
                <w:b/>
                <w:sz w:val="18"/>
                <w:szCs w:val="18"/>
              </w:rPr>
              <w:t>s</w:t>
            </w:r>
            <w:r w:rsidRPr="00402580">
              <w:rPr>
                <w:rFonts w:ascii="Arial" w:hAnsi="Arial" w:cs="Arial"/>
                <w:b/>
                <w:sz w:val="18"/>
                <w:szCs w:val="18"/>
              </w:rPr>
              <w:t xml:space="preserve">, important cross-sector elements  </w:t>
            </w:r>
          </w:p>
        </w:tc>
      </w:tr>
      <w:tr w:rsidR="001552CD" w:rsidRPr="001552CD" w14:paraId="4A528BBD" w14:textId="77777777" w:rsidTr="00EE02DE">
        <w:tc>
          <w:tcPr>
            <w:tcW w:w="14173" w:type="dxa"/>
            <w:gridSpan w:val="4"/>
          </w:tcPr>
          <w:p w14:paraId="4048311C" w14:textId="77777777" w:rsidR="001552CD" w:rsidRPr="0091733D" w:rsidRDefault="001552CD" w:rsidP="00E42342">
            <w:pPr>
              <w:pStyle w:val="Briefingtext"/>
              <w:numPr>
                <w:ilvl w:val="0"/>
                <w:numId w:val="319"/>
              </w:numPr>
              <w:spacing w:after="0"/>
              <w:textDirection w:val="btLr"/>
              <w:rPr>
                <w:sz w:val="18"/>
                <w:szCs w:val="20"/>
              </w:rPr>
            </w:pPr>
            <w:r w:rsidRPr="0091733D">
              <w:rPr>
                <w:sz w:val="18"/>
                <w:szCs w:val="20"/>
              </w:rPr>
              <w:t xml:space="preserve">Cooperation between the business sector, academia, public authorities through joint projects </w:t>
            </w:r>
          </w:p>
          <w:p w14:paraId="2C90CE99" w14:textId="696C3FAF" w:rsidR="001552CD" w:rsidRPr="00402580" w:rsidRDefault="001552CD" w:rsidP="00E42342">
            <w:pPr>
              <w:pStyle w:val="Briefingtext"/>
              <w:numPr>
                <w:ilvl w:val="0"/>
                <w:numId w:val="319"/>
              </w:numPr>
              <w:spacing w:after="0"/>
              <w:textDirection w:val="btLr"/>
              <w:rPr>
                <w:sz w:val="18"/>
                <w:szCs w:val="18"/>
              </w:rPr>
            </w:pPr>
            <w:r w:rsidRPr="0091733D">
              <w:rPr>
                <w:sz w:val="18"/>
                <w:szCs w:val="20"/>
              </w:rPr>
              <w:t>A need for public-private partnerships in organi</w:t>
            </w:r>
            <w:r w:rsidR="00086C94" w:rsidRPr="0091733D">
              <w:rPr>
                <w:sz w:val="18"/>
                <w:szCs w:val="20"/>
              </w:rPr>
              <w:t>s</w:t>
            </w:r>
            <w:r w:rsidRPr="0091733D">
              <w:rPr>
                <w:sz w:val="18"/>
                <w:szCs w:val="20"/>
              </w:rPr>
              <w:t>ing training courses requested on the labour market</w:t>
            </w:r>
          </w:p>
        </w:tc>
      </w:tr>
    </w:tbl>
    <w:p w14:paraId="7509308E" w14:textId="77777777" w:rsidR="001552CD" w:rsidRDefault="001552CD" w:rsidP="005B0FFF">
      <w:pPr>
        <w:jc w:val="both"/>
        <w:rPr>
          <w:rFonts w:ascii="Arial" w:hAnsi="Arial" w:cs="Arial"/>
          <w:sz w:val="20"/>
          <w:szCs w:val="20"/>
        </w:rPr>
        <w:sectPr w:rsidR="001552CD" w:rsidSect="00E66687">
          <w:pgSz w:w="16834" w:h="11909" w:orient="landscape"/>
          <w:pgMar w:top="1530" w:right="1440" w:bottom="1440" w:left="1440" w:header="720" w:footer="720" w:gutter="0"/>
          <w:cols w:space="720"/>
          <w:docGrid w:linePitch="326"/>
        </w:sectPr>
      </w:pPr>
    </w:p>
    <w:p w14:paraId="081C6573" w14:textId="77777777" w:rsidR="002A4A34" w:rsidRDefault="002A4A34" w:rsidP="002A4A34">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76248C6C" w14:textId="113EE07C" w:rsidR="001552CD" w:rsidRDefault="002A4A34" w:rsidP="00597139">
      <w:pPr>
        <w:spacing w:after="120"/>
        <w:jc w:val="both"/>
        <w:rPr>
          <w:rFonts w:ascii="Arial" w:hAnsi="Arial" w:cs="Arial"/>
          <w:b/>
          <w:sz w:val="20"/>
          <w:szCs w:val="20"/>
        </w:rPr>
      </w:pPr>
      <w:r w:rsidRPr="00BB716C">
        <w:rPr>
          <w:rFonts w:ascii="Arial" w:hAnsi="Arial" w:cs="Arial"/>
          <w:b/>
          <w:sz w:val="20"/>
          <w:szCs w:val="20"/>
        </w:rPr>
        <w:t>Previously emphasized points in the context of the Working Groups and now resumed in the context of the regional workshop</w:t>
      </w:r>
    </w:p>
    <w:p w14:paraId="064D6D62" w14:textId="77777777" w:rsidR="001552CD" w:rsidRDefault="001552CD" w:rsidP="00597139">
      <w:pPr>
        <w:spacing w:after="80"/>
        <w:jc w:val="both"/>
        <w:rPr>
          <w:rFonts w:ascii="Arial" w:hAnsi="Arial" w:cs="Arial"/>
          <w:sz w:val="20"/>
          <w:szCs w:val="20"/>
          <w:highlight w:val="white"/>
          <w:lang w:eastAsia="en-US"/>
        </w:rPr>
      </w:pPr>
      <w:r>
        <w:rPr>
          <w:rFonts w:ascii="Arial" w:hAnsi="Arial" w:cs="Arial"/>
          <w:sz w:val="20"/>
          <w:szCs w:val="20"/>
          <w:highlight w:val="white"/>
        </w:rPr>
        <w:t>I. Economic diversification</w:t>
      </w:r>
    </w:p>
    <w:p w14:paraId="6369EB4B" w14:textId="147A9DA5"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Supporting existing SMEs with growth potential, supporting start-ups linked to entrepreneurial training</w:t>
      </w:r>
      <w:r w:rsidR="0042398B" w:rsidRPr="002A4A34">
        <w:rPr>
          <w:sz w:val="20"/>
          <w:szCs w:val="20"/>
          <w:highlight w:val="white"/>
        </w:rPr>
        <w:t>;</w:t>
      </w:r>
    </w:p>
    <w:p w14:paraId="717490E6" w14:textId="2F6E9282"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Supporting the acquisition of equipment based on new technologies, technology transfer, service industry - developed software, industrial robots</w:t>
      </w:r>
      <w:r w:rsidR="0042398B" w:rsidRPr="002A4A34">
        <w:rPr>
          <w:sz w:val="20"/>
          <w:szCs w:val="20"/>
          <w:highlight w:val="white"/>
        </w:rPr>
        <w:t>;</w:t>
      </w:r>
      <w:r w:rsidRPr="002A4A34">
        <w:rPr>
          <w:sz w:val="20"/>
          <w:szCs w:val="20"/>
          <w:highlight w:val="white"/>
        </w:rPr>
        <w:t xml:space="preserve"> </w:t>
      </w:r>
    </w:p>
    <w:p w14:paraId="1FE7B15B" w14:textId="7A166A58"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Supporting medium and large enterprises in the fields of building materials, photovoltaic panels, food industry, wood processing, wool processing, milk processing, fruit processing, metal construction, sustainable tourism, circular economy;</w:t>
      </w:r>
    </w:p>
    <w:p w14:paraId="168BB5D2" w14:textId="77777777"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Financing of incubators to support start-ups in all fields of activity with conditions of employability and retention of the workforce proportional to the financial support requested;</w:t>
      </w:r>
    </w:p>
    <w:p w14:paraId="08CAF0E4" w14:textId="540819F0"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Development/moderni</w:t>
      </w:r>
      <w:r w:rsidR="0042398B" w:rsidRPr="002A4A34">
        <w:rPr>
          <w:sz w:val="20"/>
          <w:szCs w:val="20"/>
          <w:highlight w:val="white"/>
        </w:rPr>
        <w:t>s</w:t>
      </w:r>
      <w:r w:rsidRPr="002A4A34">
        <w:rPr>
          <w:sz w:val="20"/>
          <w:szCs w:val="20"/>
          <w:highlight w:val="white"/>
        </w:rPr>
        <w:t>ation/operationali</w:t>
      </w:r>
      <w:r w:rsidR="0042398B" w:rsidRPr="002A4A34">
        <w:rPr>
          <w:sz w:val="20"/>
          <w:szCs w:val="20"/>
          <w:highlight w:val="white"/>
        </w:rPr>
        <w:t>s</w:t>
      </w:r>
      <w:r w:rsidRPr="002A4A34">
        <w:rPr>
          <w:sz w:val="20"/>
          <w:szCs w:val="20"/>
          <w:highlight w:val="white"/>
        </w:rPr>
        <w:t>ation of industrial parks for small and medium enterprises;</w:t>
      </w:r>
      <w:r w:rsidR="0042398B" w:rsidRPr="002A4A34">
        <w:rPr>
          <w:sz w:val="20"/>
          <w:szCs w:val="20"/>
          <w:highlight w:val="white"/>
        </w:rPr>
        <w:t xml:space="preserve"> and,</w:t>
      </w:r>
    </w:p>
    <w:p w14:paraId="6C8805C2" w14:textId="77777777" w:rsidR="001552CD" w:rsidRPr="002A4A34" w:rsidRDefault="001552CD" w:rsidP="00597139">
      <w:pPr>
        <w:pStyle w:val="ListParagraph"/>
        <w:numPr>
          <w:ilvl w:val="0"/>
          <w:numId w:val="264"/>
        </w:numPr>
        <w:spacing w:after="80" w:line="240" w:lineRule="auto"/>
        <w:jc w:val="both"/>
        <w:rPr>
          <w:sz w:val="20"/>
          <w:szCs w:val="20"/>
          <w:highlight w:val="white"/>
        </w:rPr>
      </w:pPr>
      <w:r w:rsidRPr="002A4A34">
        <w:rPr>
          <w:sz w:val="20"/>
          <w:szCs w:val="20"/>
          <w:highlight w:val="white"/>
        </w:rPr>
        <w:t>HUB - for the development of IT companies, robotics in partnership with high schools and universities, technology transfer, establishment of logistics parks.</w:t>
      </w:r>
    </w:p>
    <w:p w14:paraId="3951E6C0" w14:textId="0AE3EA56" w:rsidR="001552CD" w:rsidRDefault="001552CD" w:rsidP="00597139">
      <w:pPr>
        <w:spacing w:before="240" w:after="80"/>
        <w:jc w:val="both"/>
        <w:rPr>
          <w:rFonts w:ascii="Arial" w:hAnsi="Arial" w:cs="Arial"/>
          <w:sz w:val="20"/>
          <w:szCs w:val="20"/>
          <w:highlight w:val="white"/>
        </w:rPr>
      </w:pPr>
      <w:r>
        <w:rPr>
          <w:rFonts w:ascii="Arial" w:hAnsi="Arial" w:cs="Arial"/>
          <w:sz w:val="20"/>
          <w:szCs w:val="20"/>
          <w:highlight w:val="white"/>
        </w:rPr>
        <w:t>II.</w:t>
      </w:r>
      <w:r w:rsidR="0042398B">
        <w:rPr>
          <w:rFonts w:ascii="Arial" w:hAnsi="Arial" w:cs="Arial"/>
          <w:sz w:val="20"/>
          <w:szCs w:val="20"/>
          <w:highlight w:val="white"/>
        </w:rPr>
        <w:t xml:space="preserve"> </w:t>
      </w:r>
      <w:r>
        <w:rPr>
          <w:rFonts w:ascii="Arial" w:hAnsi="Arial" w:cs="Arial"/>
          <w:sz w:val="20"/>
          <w:szCs w:val="20"/>
          <w:highlight w:val="white"/>
        </w:rPr>
        <w:t>Digitalisation of public administration;</w:t>
      </w:r>
    </w:p>
    <w:p w14:paraId="160E3695" w14:textId="55D7F28A" w:rsidR="001552CD" w:rsidRPr="002A4A34" w:rsidRDefault="001552CD" w:rsidP="00597139">
      <w:pPr>
        <w:pStyle w:val="ListParagraph"/>
        <w:numPr>
          <w:ilvl w:val="0"/>
          <w:numId w:val="262"/>
        </w:numPr>
        <w:spacing w:after="80" w:line="240" w:lineRule="auto"/>
        <w:jc w:val="both"/>
        <w:rPr>
          <w:sz w:val="20"/>
          <w:szCs w:val="20"/>
          <w:highlight w:val="white"/>
        </w:rPr>
      </w:pPr>
      <w:r w:rsidRPr="002A4A34">
        <w:rPr>
          <w:sz w:val="20"/>
          <w:szCs w:val="20"/>
          <w:highlight w:val="white"/>
        </w:rPr>
        <w:t>Installation of photovoltaic panels for public consumption;</w:t>
      </w:r>
    </w:p>
    <w:p w14:paraId="3A50BC02" w14:textId="77777777" w:rsidR="001552CD" w:rsidRPr="002A4A34" w:rsidRDefault="001552CD" w:rsidP="00597139">
      <w:pPr>
        <w:pStyle w:val="ListParagraph"/>
        <w:numPr>
          <w:ilvl w:val="0"/>
          <w:numId w:val="262"/>
        </w:numPr>
        <w:spacing w:after="80" w:line="240" w:lineRule="auto"/>
        <w:jc w:val="both"/>
        <w:rPr>
          <w:sz w:val="20"/>
          <w:szCs w:val="20"/>
          <w:highlight w:val="white"/>
        </w:rPr>
      </w:pPr>
      <w:r w:rsidRPr="002A4A34">
        <w:rPr>
          <w:sz w:val="20"/>
          <w:szCs w:val="20"/>
          <w:highlight w:val="white"/>
        </w:rPr>
        <w:t>Financing gas networks for heating homes and financing the installation of photovoltaic panels on blocks;</w:t>
      </w:r>
    </w:p>
    <w:p w14:paraId="46497650" w14:textId="77777777" w:rsidR="001552CD" w:rsidRPr="002A4A34" w:rsidRDefault="001552CD" w:rsidP="00597139">
      <w:pPr>
        <w:pStyle w:val="ListParagraph"/>
        <w:numPr>
          <w:ilvl w:val="0"/>
          <w:numId w:val="262"/>
        </w:numPr>
        <w:spacing w:after="80" w:line="240" w:lineRule="auto"/>
        <w:jc w:val="both"/>
        <w:rPr>
          <w:sz w:val="20"/>
          <w:szCs w:val="20"/>
          <w:highlight w:val="white"/>
        </w:rPr>
      </w:pPr>
      <w:r w:rsidRPr="002A4A34">
        <w:rPr>
          <w:sz w:val="20"/>
          <w:szCs w:val="20"/>
          <w:highlight w:val="white"/>
        </w:rPr>
        <w:t>Investments in rail and road infrastructure, switching public transport to electric and investments in charging stations, electric bicycle lanes and appropriate charging stations.</w:t>
      </w:r>
    </w:p>
    <w:p w14:paraId="0B4CAFE3" w14:textId="77777777" w:rsidR="001552CD" w:rsidRPr="002A4A34" w:rsidRDefault="001552CD" w:rsidP="00597139">
      <w:pPr>
        <w:pStyle w:val="ListParagraph"/>
        <w:numPr>
          <w:ilvl w:val="0"/>
          <w:numId w:val="262"/>
        </w:numPr>
        <w:spacing w:after="80" w:line="240" w:lineRule="auto"/>
        <w:jc w:val="both"/>
        <w:rPr>
          <w:sz w:val="20"/>
          <w:szCs w:val="20"/>
          <w:highlight w:val="white"/>
        </w:rPr>
      </w:pPr>
      <w:r w:rsidRPr="002A4A34">
        <w:rPr>
          <w:sz w:val="20"/>
          <w:szCs w:val="20"/>
          <w:highlight w:val="white"/>
        </w:rPr>
        <w:t>Energy efficient thermal insulation in housing and public administration.</w:t>
      </w:r>
    </w:p>
    <w:p w14:paraId="18043C42" w14:textId="77777777" w:rsidR="001552CD" w:rsidRDefault="001552CD" w:rsidP="00597139">
      <w:pPr>
        <w:spacing w:before="240" w:after="80"/>
        <w:jc w:val="both"/>
        <w:rPr>
          <w:rFonts w:ascii="Arial" w:hAnsi="Arial" w:cs="Arial"/>
          <w:sz w:val="20"/>
          <w:szCs w:val="20"/>
          <w:highlight w:val="white"/>
        </w:rPr>
      </w:pPr>
      <w:r>
        <w:rPr>
          <w:rFonts w:ascii="Arial" w:hAnsi="Arial" w:cs="Arial"/>
          <w:sz w:val="20"/>
          <w:szCs w:val="20"/>
          <w:highlight w:val="white"/>
        </w:rPr>
        <w:t xml:space="preserve">III. Re-entering publicly owned land into the business environment through public-private partnership </w:t>
      </w:r>
    </w:p>
    <w:p w14:paraId="75886A91" w14:textId="77777777" w:rsidR="001552CD" w:rsidRPr="002A4A34" w:rsidRDefault="001552CD" w:rsidP="00597139">
      <w:pPr>
        <w:pStyle w:val="ListParagraph"/>
        <w:numPr>
          <w:ilvl w:val="0"/>
          <w:numId w:val="261"/>
        </w:numPr>
        <w:spacing w:after="80" w:line="240" w:lineRule="auto"/>
        <w:jc w:val="both"/>
        <w:rPr>
          <w:sz w:val="20"/>
          <w:szCs w:val="20"/>
          <w:highlight w:val="white"/>
        </w:rPr>
      </w:pPr>
      <w:r w:rsidRPr="002A4A34">
        <w:rPr>
          <w:sz w:val="20"/>
          <w:szCs w:val="20"/>
          <w:highlight w:val="white"/>
        </w:rPr>
        <w:t>Financing of recreational parks, shopping and entertainment areas;</w:t>
      </w:r>
    </w:p>
    <w:p w14:paraId="0D6D3E88" w14:textId="73BAE16A" w:rsidR="001552CD" w:rsidRPr="002A4A34" w:rsidRDefault="001552CD" w:rsidP="00597139">
      <w:pPr>
        <w:pStyle w:val="ListParagraph"/>
        <w:numPr>
          <w:ilvl w:val="0"/>
          <w:numId w:val="261"/>
        </w:numPr>
        <w:spacing w:after="80" w:line="240" w:lineRule="auto"/>
        <w:jc w:val="both"/>
        <w:rPr>
          <w:sz w:val="20"/>
          <w:szCs w:val="20"/>
          <w:highlight w:val="white"/>
        </w:rPr>
      </w:pPr>
      <w:r w:rsidRPr="002A4A34">
        <w:rPr>
          <w:sz w:val="20"/>
          <w:szCs w:val="20"/>
          <w:highlight w:val="white"/>
        </w:rPr>
        <w:t>Development of former/current landfill sites into photovoltaic parks;</w:t>
      </w:r>
      <w:r w:rsidR="0042398B" w:rsidRPr="002A4A34">
        <w:rPr>
          <w:sz w:val="20"/>
          <w:szCs w:val="20"/>
          <w:highlight w:val="white"/>
        </w:rPr>
        <w:t xml:space="preserve"> and,</w:t>
      </w:r>
    </w:p>
    <w:p w14:paraId="330492A4" w14:textId="782B65A0" w:rsidR="001552CD" w:rsidRPr="002A4A34" w:rsidRDefault="001552CD" w:rsidP="00597139">
      <w:pPr>
        <w:pStyle w:val="ListParagraph"/>
        <w:numPr>
          <w:ilvl w:val="0"/>
          <w:numId w:val="261"/>
        </w:numPr>
        <w:spacing w:after="80" w:line="240" w:lineRule="auto"/>
        <w:jc w:val="both"/>
        <w:rPr>
          <w:sz w:val="20"/>
          <w:szCs w:val="20"/>
          <w:highlight w:val="white"/>
        </w:rPr>
      </w:pPr>
      <w:r w:rsidRPr="002A4A34">
        <w:rPr>
          <w:sz w:val="20"/>
          <w:szCs w:val="20"/>
          <w:highlight w:val="white"/>
        </w:rPr>
        <w:t>Afforestation campaign, renaturation operations to avoid desertification process, planting of protection forests</w:t>
      </w:r>
      <w:r w:rsidR="0042398B" w:rsidRPr="002A4A34">
        <w:rPr>
          <w:sz w:val="20"/>
          <w:szCs w:val="20"/>
          <w:highlight w:val="white"/>
        </w:rPr>
        <w:t>.</w:t>
      </w:r>
    </w:p>
    <w:p w14:paraId="517A7000" w14:textId="5880769E" w:rsidR="001552CD" w:rsidRDefault="001552CD" w:rsidP="00597139">
      <w:pPr>
        <w:spacing w:before="240" w:after="80"/>
        <w:jc w:val="both"/>
        <w:rPr>
          <w:rFonts w:ascii="Arial" w:hAnsi="Arial" w:cs="Arial"/>
          <w:sz w:val="20"/>
          <w:szCs w:val="20"/>
          <w:highlight w:val="white"/>
        </w:rPr>
      </w:pPr>
      <w:r>
        <w:rPr>
          <w:rFonts w:ascii="Arial" w:hAnsi="Arial" w:cs="Arial"/>
          <w:sz w:val="20"/>
          <w:szCs w:val="20"/>
          <w:highlight w:val="white"/>
        </w:rPr>
        <w:t>IV. Qualification/retraining of the workforce</w:t>
      </w:r>
    </w:p>
    <w:p w14:paraId="61278258" w14:textId="5353671C" w:rsidR="001552CD" w:rsidRPr="002A4A34" w:rsidRDefault="001552CD" w:rsidP="00597139">
      <w:pPr>
        <w:pStyle w:val="ListParagraph"/>
        <w:numPr>
          <w:ilvl w:val="0"/>
          <w:numId w:val="263"/>
        </w:numPr>
        <w:spacing w:after="80" w:line="240" w:lineRule="auto"/>
        <w:jc w:val="both"/>
        <w:rPr>
          <w:sz w:val="20"/>
          <w:szCs w:val="20"/>
          <w:highlight w:val="white"/>
        </w:rPr>
      </w:pPr>
      <w:r w:rsidRPr="002A4A34">
        <w:rPr>
          <w:sz w:val="20"/>
          <w:szCs w:val="20"/>
          <w:highlight w:val="white"/>
        </w:rPr>
        <w:t>Development and implementation of a short, medium and long</w:t>
      </w:r>
      <w:r w:rsidR="0042398B" w:rsidRPr="002A4A34">
        <w:rPr>
          <w:sz w:val="20"/>
          <w:szCs w:val="20"/>
          <w:highlight w:val="white"/>
        </w:rPr>
        <w:t>-</w:t>
      </w:r>
      <w:r w:rsidRPr="002A4A34">
        <w:rPr>
          <w:sz w:val="20"/>
          <w:szCs w:val="20"/>
          <w:highlight w:val="white"/>
        </w:rPr>
        <w:t>term training strategy - apprenticeship, vocational school, college;</w:t>
      </w:r>
    </w:p>
    <w:p w14:paraId="43C05BB6" w14:textId="77777777" w:rsidR="001552CD" w:rsidRPr="002A4A34" w:rsidRDefault="001552CD" w:rsidP="00597139">
      <w:pPr>
        <w:pStyle w:val="ListParagraph"/>
        <w:numPr>
          <w:ilvl w:val="0"/>
          <w:numId w:val="263"/>
        </w:numPr>
        <w:spacing w:after="80" w:line="240" w:lineRule="auto"/>
        <w:jc w:val="both"/>
        <w:rPr>
          <w:sz w:val="20"/>
          <w:szCs w:val="20"/>
          <w:highlight w:val="white"/>
        </w:rPr>
      </w:pPr>
      <w:r w:rsidRPr="002A4A34">
        <w:rPr>
          <w:sz w:val="20"/>
          <w:szCs w:val="20"/>
          <w:highlight w:val="white"/>
        </w:rPr>
        <w:t>AJOMF programmes of active measures to support the job seekers, adjusting AJOMF’s training plan to the needs of the labour market mainly for productive trades, creating public-private/NGO partnerships for labour force training;</w:t>
      </w:r>
    </w:p>
    <w:p w14:paraId="458B249E" w14:textId="2511447C" w:rsidR="001552CD" w:rsidRPr="002A4A34" w:rsidRDefault="001552CD" w:rsidP="00597139">
      <w:pPr>
        <w:pStyle w:val="ListParagraph"/>
        <w:numPr>
          <w:ilvl w:val="0"/>
          <w:numId w:val="263"/>
        </w:numPr>
        <w:spacing w:after="80" w:line="240" w:lineRule="auto"/>
        <w:jc w:val="both"/>
        <w:rPr>
          <w:sz w:val="20"/>
          <w:szCs w:val="20"/>
          <w:highlight w:val="white"/>
        </w:rPr>
      </w:pPr>
      <w:r w:rsidRPr="002A4A34">
        <w:rPr>
          <w:sz w:val="20"/>
          <w:szCs w:val="20"/>
          <w:highlight w:val="white"/>
        </w:rPr>
        <w:t>Active qualification measures for young people with low training</w:t>
      </w:r>
      <w:r w:rsidR="0042398B" w:rsidRPr="002A4A34">
        <w:rPr>
          <w:sz w:val="20"/>
          <w:szCs w:val="20"/>
          <w:highlight w:val="white"/>
        </w:rPr>
        <w:t>; and,</w:t>
      </w:r>
    </w:p>
    <w:p w14:paraId="119D3754" w14:textId="3C2A886D" w:rsidR="001552CD" w:rsidRPr="00D963B9" w:rsidRDefault="001552CD" w:rsidP="00597139">
      <w:pPr>
        <w:pStyle w:val="ListParagraph"/>
        <w:numPr>
          <w:ilvl w:val="0"/>
          <w:numId w:val="263"/>
        </w:numPr>
        <w:spacing w:after="120" w:line="240" w:lineRule="auto"/>
        <w:jc w:val="both"/>
        <w:rPr>
          <w:sz w:val="20"/>
          <w:szCs w:val="20"/>
          <w:highlight w:val="white"/>
        </w:rPr>
      </w:pPr>
      <w:r w:rsidRPr="002A4A34">
        <w:rPr>
          <w:sz w:val="20"/>
          <w:szCs w:val="20"/>
          <w:highlight w:val="white"/>
        </w:rPr>
        <w:t>Vocational training programmes in the fields of green energy and tourism.</w:t>
      </w:r>
    </w:p>
    <w:p w14:paraId="48515F2C" w14:textId="77777777" w:rsidR="002A4A34" w:rsidRDefault="002A4A34" w:rsidP="00597139">
      <w:pPr>
        <w:spacing w:after="120"/>
        <w:jc w:val="both"/>
        <w:rPr>
          <w:rFonts w:ascii="Arial" w:hAnsi="Arial" w:cs="Arial"/>
          <w:sz w:val="20"/>
          <w:szCs w:val="20"/>
        </w:rPr>
      </w:pPr>
      <w:r w:rsidRPr="00BB716C">
        <w:rPr>
          <w:rFonts w:ascii="Arial" w:hAnsi="Arial" w:cs="Arial"/>
          <w:b/>
          <w:sz w:val="20"/>
          <w:szCs w:val="20"/>
        </w:rPr>
        <w:t>New points that have emerged during the regional workshop</w:t>
      </w:r>
    </w:p>
    <w:p w14:paraId="0E1848BC" w14:textId="47A2ECAD" w:rsidR="001552CD" w:rsidRDefault="001552CD" w:rsidP="00597139">
      <w:pPr>
        <w:numPr>
          <w:ilvl w:val="0"/>
          <w:numId w:val="219"/>
        </w:numPr>
        <w:spacing w:after="80"/>
        <w:ind w:left="357" w:hanging="357"/>
        <w:jc w:val="both"/>
        <w:rPr>
          <w:rFonts w:ascii="Arial" w:hAnsi="Arial" w:cs="Arial"/>
          <w:sz w:val="20"/>
          <w:szCs w:val="20"/>
          <w:lang w:eastAsia="en-US"/>
        </w:rPr>
      </w:pPr>
      <w:r>
        <w:rPr>
          <w:rFonts w:ascii="Arial" w:hAnsi="Arial" w:cs="Arial"/>
          <w:sz w:val="20"/>
          <w:szCs w:val="20"/>
        </w:rPr>
        <w:t>Investment in start-up programmes linked to entrepreneurship training</w:t>
      </w:r>
      <w:r w:rsidR="00576A53">
        <w:rPr>
          <w:rFonts w:ascii="Arial" w:hAnsi="Arial" w:cs="Arial"/>
          <w:sz w:val="20"/>
          <w:szCs w:val="20"/>
        </w:rPr>
        <w:t>;</w:t>
      </w:r>
      <w:r>
        <w:rPr>
          <w:rFonts w:ascii="Arial" w:hAnsi="Arial" w:cs="Arial"/>
          <w:sz w:val="20"/>
          <w:szCs w:val="20"/>
        </w:rPr>
        <w:t xml:space="preserve"> </w:t>
      </w:r>
    </w:p>
    <w:p w14:paraId="54AB18DB" w14:textId="41A78399"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Supporting investments in service industry businesses - software development, robots, acquisition of equipment based on new technologies in the context of increasing technology transfer, supporting digital transition, transition hub</w:t>
      </w:r>
      <w:r w:rsidR="00576A53">
        <w:rPr>
          <w:rFonts w:ascii="Arial" w:hAnsi="Arial" w:cs="Arial"/>
          <w:sz w:val="20"/>
          <w:szCs w:val="20"/>
        </w:rPr>
        <w:t>;</w:t>
      </w:r>
    </w:p>
    <w:p w14:paraId="42E56B1E" w14:textId="510921B2"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Financing of large projects: automotive components industry (automotive), production of electric motors for cars (</w:t>
      </w:r>
      <w:r w:rsidR="00CE64B2">
        <w:rPr>
          <w:rFonts w:ascii="Arial" w:hAnsi="Arial" w:cs="Arial"/>
          <w:sz w:val="20"/>
          <w:szCs w:val="20"/>
        </w:rPr>
        <w:t>e.g.,</w:t>
      </w:r>
      <w:r>
        <w:rPr>
          <w:rFonts w:ascii="Arial" w:hAnsi="Arial" w:cs="Arial"/>
          <w:sz w:val="20"/>
          <w:szCs w:val="20"/>
        </w:rPr>
        <w:t xml:space="preserve"> Leoni), residues from technological processes within CEO can be partly used in building materials industry, CCS</w:t>
      </w:r>
      <w:r w:rsidR="00576A53">
        <w:rPr>
          <w:rFonts w:ascii="Arial" w:hAnsi="Arial" w:cs="Arial"/>
          <w:sz w:val="20"/>
          <w:szCs w:val="20"/>
        </w:rPr>
        <w:t>;</w:t>
      </w:r>
    </w:p>
    <w:p w14:paraId="764B2467" w14:textId="4452EEE7"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Integrated projects D</w:t>
      </w:r>
      <w:r w:rsidR="00CE64B2">
        <w:rPr>
          <w:rFonts w:ascii="Arial" w:hAnsi="Arial" w:cs="Arial"/>
          <w:sz w:val="20"/>
          <w:szCs w:val="20"/>
        </w:rPr>
        <w:t>olj</w:t>
      </w:r>
      <w:r>
        <w:rPr>
          <w:rFonts w:ascii="Arial" w:hAnsi="Arial" w:cs="Arial"/>
          <w:sz w:val="20"/>
          <w:szCs w:val="20"/>
        </w:rPr>
        <w:t>j</w:t>
      </w:r>
      <w:r w:rsidR="00576A53">
        <w:rPr>
          <w:rFonts w:ascii="Arial" w:hAnsi="Arial" w:cs="Arial"/>
          <w:sz w:val="20"/>
          <w:szCs w:val="20"/>
        </w:rPr>
        <w:t>–</w:t>
      </w:r>
      <w:r>
        <w:rPr>
          <w:rFonts w:ascii="Arial" w:hAnsi="Arial" w:cs="Arial"/>
          <w:sz w:val="20"/>
          <w:szCs w:val="20"/>
        </w:rPr>
        <w:t>G</w:t>
      </w:r>
      <w:r w:rsidR="00CE64B2">
        <w:rPr>
          <w:rFonts w:ascii="Arial" w:hAnsi="Arial" w:cs="Arial"/>
          <w:sz w:val="20"/>
          <w:szCs w:val="20"/>
        </w:rPr>
        <w:t>orj</w:t>
      </w:r>
      <w:r>
        <w:rPr>
          <w:rFonts w:ascii="Arial" w:hAnsi="Arial" w:cs="Arial"/>
          <w:sz w:val="20"/>
          <w:szCs w:val="20"/>
        </w:rPr>
        <w:t>j</w:t>
      </w:r>
      <w:r w:rsidR="00576A53">
        <w:rPr>
          <w:rFonts w:ascii="Arial" w:hAnsi="Arial" w:cs="Arial"/>
          <w:sz w:val="20"/>
          <w:szCs w:val="20"/>
        </w:rPr>
        <w:t>;</w:t>
      </w:r>
    </w:p>
    <w:p w14:paraId="3BC080B3" w14:textId="50D3B360"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Manufacturing, construction, maintenance, other services with related training, centralised, through public-private partnership</w:t>
      </w:r>
      <w:r w:rsidR="00576A53">
        <w:rPr>
          <w:rFonts w:ascii="Arial" w:hAnsi="Arial" w:cs="Arial"/>
          <w:sz w:val="20"/>
          <w:szCs w:val="20"/>
        </w:rPr>
        <w:t>;</w:t>
      </w:r>
    </w:p>
    <w:p w14:paraId="6316217A" w14:textId="7BAD92C4"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Entrepreneurial development systems for young people</w:t>
      </w:r>
      <w:r w:rsidR="00576A53">
        <w:rPr>
          <w:rFonts w:ascii="Arial" w:hAnsi="Arial" w:cs="Arial"/>
          <w:sz w:val="20"/>
          <w:szCs w:val="20"/>
        </w:rPr>
        <w:t>;</w:t>
      </w:r>
    </w:p>
    <w:p w14:paraId="630F25FA" w14:textId="6C186B91"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Social economy development</w:t>
      </w:r>
      <w:r w:rsidR="00576A53">
        <w:rPr>
          <w:rFonts w:ascii="Arial" w:hAnsi="Arial" w:cs="Arial"/>
          <w:sz w:val="20"/>
          <w:szCs w:val="20"/>
        </w:rPr>
        <w:t>;</w:t>
      </w:r>
    </w:p>
    <w:p w14:paraId="5730CDCC" w14:textId="17E8DA87"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Creation of a regional Observatory, Gorj-Dolj, to monitor labour mobility and qualification</w:t>
      </w:r>
      <w:r w:rsidR="00576A53">
        <w:rPr>
          <w:rFonts w:ascii="Arial" w:hAnsi="Arial" w:cs="Arial"/>
          <w:sz w:val="20"/>
          <w:szCs w:val="20"/>
        </w:rPr>
        <w:t>;</w:t>
      </w:r>
    </w:p>
    <w:p w14:paraId="0653ED1F" w14:textId="46FB5D5D"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lastRenderedPageBreak/>
        <w:t>5-8 years medium-term retraining depending on the development of the job market</w:t>
      </w:r>
      <w:r w:rsidR="00576A53">
        <w:rPr>
          <w:rFonts w:ascii="Arial" w:hAnsi="Arial" w:cs="Arial"/>
          <w:sz w:val="20"/>
          <w:szCs w:val="20"/>
        </w:rPr>
        <w:t>;</w:t>
      </w:r>
    </w:p>
    <w:p w14:paraId="5CBC61DA" w14:textId="3073DAD7"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 xml:space="preserve">Inclusion of new occupations in the </w:t>
      </w:r>
      <w:r w:rsidR="00CE64B2">
        <w:rPr>
          <w:rFonts w:ascii="Arial" w:hAnsi="Arial" w:cs="Arial"/>
          <w:sz w:val="20"/>
          <w:szCs w:val="20"/>
        </w:rPr>
        <w:t>Classification of Occupations in Romania (</w:t>
      </w:r>
      <w:r>
        <w:rPr>
          <w:rFonts w:ascii="Arial" w:hAnsi="Arial" w:cs="Arial"/>
          <w:sz w:val="20"/>
          <w:szCs w:val="20"/>
        </w:rPr>
        <w:t>COR</w:t>
      </w:r>
      <w:r w:rsidR="00CE64B2">
        <w:rPr>
          <w:rFonts w:ascii="Arial" w:hAnsi="Arial" w:cs="Arial"/>
          <w:sz w:val="20"/>
          <w:szCs w:val="20"/>
        </w:rPr>
        <w:t>)</w:t>
      </w:r>
      <w:r>
        <w:rPr>
          <w:rFonts w:ascii="Arial" w:hAnsi="Arial" w:cs="Arial"/>
          <w:sz w:val="20"/>
          <w:szCs w:val="20"/>
        </w:rPr>
        <w:t xml:space="preserve"> by developing specific professional standards</w:t>
      </w:r>
      <w:r w:rsidR="00576A53">
        <w:rPr>
          <w:rFonts w:ascii="Arial" w:hAnsi="Arial" w:cs="Arial"/>
          <w:sz w:val="20"/>
          <w:szCs w:val="20"/>
        </w:rPr>
        <w:t>;</w:t>
      </w:r>
    </w:p>
    <w:p w14:paraId="4202CCC0" w14:textId="77777777"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Cost optimisation for economic agents/decreasing their level so to engage in dual learning;</w:t>
      </w:r>
    </w:p>
    <w:p w14:paraId="0075B274" w14:textId="78B01506"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Employee training for assembly and maintenance of photovoltaic parks</w:t>
      </w:r>
      <w:r w:rsidR="00576A53">
        <w:rPr>
          <w:rFonts w:ascii="Arial" w:hAnsi="Arial" w:cs="Arial"/>
          <w:sz w:val="20"/>
          <w:szCs w:val="20"/>
        </w:rPr>
        <w:t>;</w:t>
      </w:r>
    </w:p>
    <w:p w14:paraId="3E4BB14E" w14:textId="4BB4904F"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With the support of municipalities, it is appropriate to develop industrial parks with various spaces: commercial, production, production of components for green energy</w:t>
      </w:r>
      <w:r w:rsidR="00576A53">
        <w:rPr>
          <w:rFonts w:ascii="Arial" w:hAnsi="Arial" w:cs="Arial"/>
          <w:sz w:val="20"/>
          <w:szCs w:val="20"/>
        </w:rPr>
        <w:t>;</w:t>
      </w:r>
    </w:p>
    <w:p w14:paraId="78DDDAC5" w14:textId="107A8DF3" w:rsidR="001552CD" w:rsidRDefault="001552CD" w:rsidP="00597139">
      <w:pPr>
        <w:numPr>
          <w:ilvl w:val="0"/>
          <w:numId w:val="219"/>
        </w:numPr>
        <w:spacing w:after="80"/>
        <w:ind w:left="357" w:hanging="357"/>
        <w:jc w:val="both"/>
        <w:rPr>
          <w:rFonts w:ascii="Arial" w:hAnsi="Arial" w:cs="Arial"/>
          <w:sz w:val="20"/>
          <w:szCs w:val="20"/>
        </w:rPr>
      </w:pPr>
      <w:r>
        <w:rPr>
          <w:rFonts w:ascii="Arial" w:hAnsi="Arial" w:cs="Arial"/>
          <w:sz w:val="20"/>
          <w:szCs w:val="20"/>
        </w:rPr>
        <w:t>ISJ Gorj - dual education programmes with flexible training offers</w:t>
      </w:r>
      <w:r w:rsidR="00576A53">
        <w:rPr>
          <w:rFonts w:ascii="Arial" w:hAnsi="Arial" w:cs="Arial"/>
          <w:sz w:val="20"/>
          <w:szCs w:val="20"/>
        </w:rPr>
        <w:t>; and,</w:t>
      </w:r>
    </w:p>
    <w:p w14:paraId="22A29A01" w14:textId="0174DA8D" w:rsidR="001552CD" w:rsidRPr="00D963B9" w:rsidRDefault="001552CD" w:rsidP="00597139">
      <w:pPr>
        <w:pStyle w:val="ListParagraph"/>
        <w:numPr>
          <w:ilvl w:val="0"/>
          <w:numId w:val="219"/>
        </w:numPr>
        <w:spacing w:after="120" w:line="240" w:lineRule="auto"/>
        <w:jc w:val="both"/>
        <w:rPr>
          <w:sz w:val="20"/>
          <w:szCs w:val="20"/>
        </w:rPr>
      </w:pPr>
      <w:r w:rsidRPr="00EF1D0F">
        <w:rPr>
          <w:sz w:val="20"/>
          <w:szCs w:val="20"/>
        </w:rPr>
        <w:t>Technical assistance to write and substantiate investment projects</w:t>
      </w:r>
      <w:r w:rsidR="00576A53">
        <w:rPr>
          <w:sz w:val="20"/>
          <w:szCs w:val="20"/>
        </w:rPr>
        <w:t>.</w:t>
      </w:r>
    </w:p>
    <w:p w14:paraId="622F849C" w14:textId="43517187" w:rsidR="00CE64B2" w:rsidRDefault="00CE64B2" w:rsidP="00597139">
      <w:pPr>
        <w:spacing w:after="120"/>
        <w:jc w:val="both"/>
        <w:rPr>
          <w:sz w:val="20"/>
          <w:szCs w:val="20"/>
        </w:rPr>
      </w:pPr>
      <w:r w:rsidRPr="00BB716C">
        <w:rPr>
          <w:rFonts w:ascii="Arial" w:hAnsi="Arial" w:cs="Arial"/>
          <w:b/>
          <w:sz w:val="20"/>
          <w:szCs w:val="20"/>
        </w:rPr>
        <w:t>Assessment on the pertinence of the ideas put forward / Rationale based on the data collected and the JTF framework</w:t>
      </w:r>
    </w:p>
    <w:p w14:paraId="593D8390" w14:textId="77777777" w:rsidR="001552CD" w:rsidRPr="007B05D9" w:rsidRDefault="001552CD" w:rsidP="00597139">
      <w:pPr>
        <w:jc w:val="both"/>
        <w:rPr>
          <w:sz w:val="12"/>
          <w:szCs w:val="12"/>
        </w:rPr>
      </w:pPr>
    </w:p>
    <w:p w14:paraId="547CD1E5" w14:textId="77777777" w:rsidR="00CE64B2" w:rsidRPr="0098453F" w:rsidRDefault="00CE64B2" w:rsidP="00597139">
      <w:pPr>
        <w:spacing w:after="120"/>
        <w:jc w:val="both"/>
        <w:rPr>
          <w:rFonts w:ascii="Arial" w:hAnsi="Arial" w:cs="Arial"/>
          <w:bCs/>
          <w:color w:val="000000"/>
          <w:sz w:val="20"/>
          <w:szCs w:val="20"/>
          <w:lang w:eastAsia="en-US"/>
        </w:rPr>
      </w:pPr>
      <w:r w:rsidRPr="0098453F">
        <w:rPr>
          <w:rFonts w:ascii="Arial" w:hAnsi="Arial" w:cs="Arial"/>
          <w:bCs/>
          <w:sz w:val="20"/>
          <w:szCs w:val="20"/>
        </w:rPr>
        <w:t>Ideas which are compatible with the JTF logic</w:t>
      </w:r>
      <w:r>
        <w:rPr>
          <w:rFonts w:ascii="Arial" w:hAnsi="Arial" w:cs="Arial"/>
          <w:bCs/>
          <w:sz w:val="20"/>
          <w:szCs w:val="20"/>
        </w:rPr>
        <w:t>:</w:t>
      </w:r>
    </w:p>
    <w:p w14:paraId="4E04D725" w14:textId="293058BC" w:rsidR="001552CD" w:rsidRDefault="001552CD" w:rsidP="00597139">
      <w:pPr>
        <w:numPr>
          <w:ilvl w:val="0"/>
          <w:numId w:val="220"/>
        </w:numPr>
        <w:spacing w:after="80"/>
        <w:ind w:left="357" w:hanging="357"/>
        <w:jc w:val="both"/>
        <w:rPr>
          <w:rFonts w:ascii="Arial" w:hAnsi="Arial" w:cs="Arial"/>
          <w:sz w:val="20"/>
          <w:szCs w:val="20"/>
        </w:rPr>
      </w:pPr>
      <w:r>
        <w:rPr>
          <w:rFonts w:ascii="Arial" w:hAnsi="Arial" w:cs="Arial"/>
          <w:sz w:val="20"/>
          <w:szCs w:val="20"/>
        </w:rPr>
        <w:t xml:space="preserve">Supporting existing SMEs with growth potential and large enterprises, </w:t>
      </w:r>
      <w:r w:rsidR="009E4CA8">
        <w:rPr>
          <w:rFonts w:ascii="Arial" w:hAnsi="Arial" w:cs="Arial"/>
          <w:sz w:val="20"/>
          <w:szCs w:val="20"/>
        </w:rPr>
        <w:t>relating</w:t>
      </w:r>
      <w:r>
        <w:rPr>
          <w:rFonts w:ascii="Arial" w:hAnsi="Arial" w:cs="Arial"/>
          <w:sz w:val="20"/>
          <w:szCs w:val="20"/>
        </w:rPr>
        <w:t xml:space="preserve"> awarded investments grants with employability</w:t>
      </w:r>
      <w:r>
        <w:rPr>
          <w:rFonts w:ascii="Arial" w:hAnsi="Arial" w:cs="Arial"/>
          <w:color w:val="000000"/>
          <w:sz w:val="20"/>
          <w:szCs w:val="20"/>
        </w:rPr>
        <w:t>;</w:t>
      </w:r>
    </w:p>
    <w:p w14:paraId="2ABE8D52" w14:textId="4D8C3FF6" w:rsidR="001552CD" w:rsidRDefault="001552CD" w:rsidP="00597139">
      <w:pPr>
        <w:numPr>
          <w:ilvl w:val="0"/>
          <w:numId w:val="220"/>
        </w:numPr>
        <w:spacing w:after="80"/>
        <w:ind w:left="357" w:hanging="357"/>
        <w:rPr>
          <w:rFonts w:ascii="Arial" w:hAnsi="Arial" w:cs="Arial"/>
          <w:sz w:val="20"/>
          <w:szCs w:val="20"/>
        </w:rPr>
      </w:pPr>
      <w:r>
        <w:rPr>
          <w:rFonts w:ascii="Arial" w:hAnsi="Arial" w:cs="Arial"/>
          <w:sz w:val="20"/>
          <w:szCs w:val="20"/>
        </w:rPr>
        <w:t>Financing business hubs for supporting start-ups in all fields of activity</w:t>
      </w:r>
      <w:r w:rsidR="007B05D9">
        <w:rPr>
          <w:rFonts w:ascii="Arial" w:hAnsi="Arial" w:cs="Arial"/>
          <w:sz w:val="20"/>
          <w:szCs w:val="20"/>
        </w:rPr>
        <w:t>;</w:t>
      </w:r>
    </w:p>
    <w:p w14:paraId="6B404553" w14:textId="7C9D9424" w:rsidR="001552CD" w:rsidRDefault="001552CD" w:rsidP="00597139">
      <w:pPr>
        <w:numPr>
          <w:ilvl w:val="0"/>
          <w:numId w:val="220"/>
        </w:numPr>
        <w:spacing w:after="80"/>
        <w:ind w:left="357" w:hanging="357"/>
        <w:rPr>
          <w:rFonts w:ascii="Arial" w:hAnsi="Arial" w:cs="Arial"/>
          <w:sz w:val="20"/>
          <w:szCs w:val="20"/>
        </w:rPr>
      </w:pPr>
      <w:r>
        <w:rPr>
          <w:rFonts w:ascii="Arial" w:hAnsi="Arial" w:cs="Arial"/>
          <w:sz w:val="20"/>
          <w:szCs w:val="20"/>
        </w:rPr>
        <w:t>HUBs for the development of IT companies, robotics in partnership with high schools and universities, technology transfer</w:t>
      </w:r>
      <w:r w:rsidR="007B05D9">
        <w:rPr>
          <w:rFonts w:ascii="Arial" w:hAnsi="Arial" w:cs="Arial"/>
          <w:sz w:val="20"/>
          <w:szCs w:val="20"/>
        </w:rPr>
        <w:t>;</w:t>
      </w:r>
    </w:p>
    <w:p w14:paraId="1BB06662" w14:textId="3E2C6903" w:rsidR="001552CD" w:rsidRDefault="001552CD" w:rsidP="00597139">
      <w:pPr>
        <w:numPr>
          <w:ilvl w:val="0"/>
          <w:numId w:val="220"/>
        </w:numPr>
        <w:spacing w:after="80"/>
        <w:ind w:left="357" w:hanging="357"/>
        <w:rPr>
          <w:rFonts w:ascii="Arial" w:hAnsi="Arial" w:cs="Arial"/>
          <w:sz w:val="20"/>
          <w:szCs w:val="20"/>
        </w:rPr>
      </w:pPr>
      <w:r>
        <w:rPr>
          <w:rFonts w:ascii="Arial" w:hAnsi="Arial" w:cs="Arial"/>
          <w:sz w:val="20"/>
          <w:szCs w:val="20"/>
        </w:rPr>
        <w:t>Energy-efficient thermal insulation for housing and public administration</w:t>
      </w:r>
      <w:r w:rsidR="007B05D9">
        <w:rPr>
          <w:rFonts w:ascii="Arial" w:hAnsi="Arial" w:cs="Arial"/>
          <w:sz w:val="20"/>
          <w:szCs w:val="20"/>
        </w:rPr>
        <w:t>;</w:t>
      </w:r>
    </w:p>
    <w:p w14:paraId="5954805D" w14:textId="315A0F0C" w:rsidR="001552CD" w:rsidRDefault="001552CD" w:rsidP="00597139">
      <w:pPr>
        <w:numPr>
          <w:ilvl w:val="0"/>
          <w:numId w:val="220"/>
        </w:numPr>
        <w:spacing w:after="80"/>
        <w:ind w:left="357" w:hanging="357"/>
        <w:jc w:val="both"/>
        <w:rPr>
          <w:rFonts w:ascii="Arial" w:hAnsi="Arial" w:cs="Arial"/>
          <w:sz w:val="20"/>
          <w:szCs w:val="20"/>
        </w:rPr>
      </w:pPr>
      <w:r>
        <w:rPr>
          <w:rFonts w:ascii="Arial" w:hAnsi="Arial" w:cs="Arial"/>
          <w:sz w:val="20"/>
          <w:szCs w:val="20"/>
        </w:rPr>
        <w:t>Cooperation between the business, academia environments and the public authorities for joint, integrated, cross-sector projects for changing the curriculum, organising training courses required in the labour market, learning internships, facilities for young people;</w:t>
      </w:r>
      <w:r w:rsidR="007B05D9">
        <w:rPr>
          <w:rFonts w:ascii="Arial" w:hAnsi="Arial" w:cs="Arial"/>
          <w:sz w:val="20"/>
          <w:szCs w:val="20"/>
        </w:rPr>
        <w:t xml:space="preserve"> and,</w:t>
      </w:r>
    </w:p>
    <w:p w14:paraId="19CD438F" w14:textId="77777777" w:rsidR="001552CD" w:rsidRDefault="001552CD" w:rsidP="00597139">
      <w:pPr>
        <w:numPr>
          <w:ilvl w:val="0"/>
          <w:numId w:val="220"/>
        </w:numPr>
        <w:spacing w:after="120"/>
        <w:rPr>
          <w:rFonts w:ascii="Arial" w:hAnsi="Arial" w:cs="Arial"/>
          <w:sz w:val="20"/>
          <w:szCs w:val="20"/>
        </w:rPr>
      </w:pPr>
      <w:r>
        <w:rPr>
          <w:rFonts w:ascii="Arial" w:hAnsi="Arial" w:cs="Arial"/>
          <w:sz w:val="20"/>
          <w:szCs w:val="20"/>
        </w:rPr>
        <w:t>Technical assistance to write and substantiate investment projects.</w:t>
      </w:r>
    </w:p>
    <w:p w14:paraId="72A57B45" w14:textId="20B11CD2" w:rsidR="001552CD" w:rsidRPr="00CE64B2" w:rsidRDefault="00CE64B2" w:rsidP="00597139">
      <w:pPr>
        <w:spacing w:after="120"/>
        <w:jc w:val="both"/>
        <w:rPr>
          <w:rFonts w:ascii="Arial" w:hAnsi="Arial" w:cs="Arial"/>
          <w:bCs/>
          <w:sz w:val="20"/>
          <w:szCs w:val="20"/>
        </w:rPr>
      </w:pPr>
      <w:r w:rsidRPr="0098453F">
        <w:rPr>
          <w:rFonts w:ascii="Arial" w:hAnsi="Arial" w:cs="Arial"/>
          <w:bCs/>
          <w:sz w:val="20"/>
          <w:szCs w:val="20"/>
        </w:rPr>
        <w:t xml:space="preserve">Ideas which are not </w:t>
      </w:r>
      <w:r w:rsidRPr="00E627DC">
        <w:rPr>
          <w:rFonts w:ascii="Arial" w:hAnsi="Arial" w:cs="Arial"/>
          <w:bCs/>
          <w:sz w:val="20"/>
          <w:szCs w:val="20"/>
        </w:rPr>
        <w:t xml:space="preserve">compatible </w:t>
      </w:r>
      <w:r w:rsidRPr="0098453F">
        <w:rPr>
          <w:rFonts w:ascii="Arial" w:hAnsi="Arial" w:cs="Arial"/>
          <w:bCs/>
          <w:sz w:val="20"/>
          <w:szCs w:val="20"/>
        </w:rPr>
        <w:t>with JTF:</w:t>
      </w:r>
    </w:p>
    <w:p w14:paraId="5176FA5B" w14:textId="5E50AF6B"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Attracting investment for fairs and exhibitions</w:t>
      </w:r>
      <w:r w:rsidR="009E4CA8">
        <w:rPr>
          <w:rFonts w:ascii="Arial" w:hAnsi="Arial" w:cs="Arial"/>
          <w:sz w:val="20"/>
          <w:szCs w:val="20"/>
        </w:rPr>
        <w:t>;</w:t>
      </w:r>
    </w:p>
    <w:p w14:paraId="5C6F4B4D" w14:textId="54B9F6B7"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Necessary support for redundant CEO staff (around 5,500) on the verge of retirement</w:t>
      </w:r>
      <w:r w:rsidR="009E4CA8">
        <w:rPr>
          <w:rFonts w:ascii="Arial" w:hAnsi="Arial" w:cs="Arial"/>
          <w:sz w:val="20"/>
          <w:szCs w:val="20"/>
        </w:rPr>
        <w:t>;</w:t>
      </w:r>
    </w:p>
    <w:p w14:paraId="34A8A56F" w14:textId="56916D16" w:rsidR="001552CD" w:rsidRDefault="00F31656" w:rsidP="00597139">
      <w:pPr>
        <w:numPr>
          <w:ilvl w:val="0"/>
          <w:numId w:val="221"/>
        </w:numPr>
        <w:spacing w:after="80"/>
        <w:ind w:left="357" w:hanging="357"/>
        <w:rPr>
          <w:rFonts w:ascii="Arial" w:hAnsi="Arial" w:cs="Arial"/>
          <w:sz w:val="20"/>
          <w:szCs w:val="20"/>
        </w:rPr>
      </w:pPr>
      <w:r>
        <w:rPr>
          <w:rFonts w:ascii="Arial" w:hAnsi="Arial" w:cs="Arial"/>
          <w:sz w:val="20"/>
          <w:szCs w:val="20"/>
        </w:rPr>
        <w:t>Supporting</w:t>
      </w:r>
      <w:r w:rsidR="001552CD">
        <w:rPr>
          <w:rFonts w:ascii="Arial" w:hAnsi="Arial" w:cs="Arial"/>
          <w:sz w:val="20"/>
          <w:szCs w:val="20"/>
        </w:rPr>
        <w:t xml:space="preserve"> CEO</w:t>
      </w:r>
      <w:r>
        <w:rPr>
          <w:rFonts w:ascii="Arial" w:hAnsi="Arial" w:cs="Arial"/>
          <w:sz w:val="20"/>
          <w:szCs w:val="20"/>
        </w:rPr>
        <w:t>’s</w:t>
      </w:r>
      <w:r w:rsidR="001552CD">
        <w:rPr>
          <w:rFonts w:ascii="Arial" w:hAnsi="Arial" w:cs="Arial"/>
          <w:sz w:val="20"/>
          <w:szCs w:val="20"/>
        </w:rPr>
        <w:t xml:space="preserve"> transition to green e.g., sustainable greenhouses (PV panels)</w:t>
      </w:r>
      <w:r w:rsidR="009E4CA8">
        <w:rPr>
          <w:rFonts w:ascii="Arial" w:hAnsi="Arial" w:cs="Arial"/>
          <w:sz w:val="20"/>
          <w:szCs w:val="20"/>
        </w:rPr>
        <w:t>;</w:t>
      </w:r>
    </w:p>
    <w:p w14:paraId="44DF72B5" w14:textId="10808916"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Energy storage</w:t>
      </w:r>
      <w:r w:rsidR="009E4CA8">
        <w:rPr>
          <w:rFonts w:ascii="Arial" w:hAnsi="Arial" w:cs="Arial"/>
          <w:sz w:val="20"/>
          <w:szCs w:val="20"/>
        </w:rPr>
        <w:t>;</w:t>
      </w:r>
    </w:p>
    <w:p w14:paraId="4B406C5C" w14:textId="39EBA6FB"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Investments for hydrogen production/hydrogen combined with natural gas</w:t>
      </w:r>
      <w:r w:rsidR="009E4CA8">
        <w:rPr>
          <w:rFonts w:ascii="Arial" w:hAnsi="Arial" w:cs="Arial"/>
          <w:sz w:val="20"/>
          <w:szCs w:val="20"/>
        </w:rPr>
        <w:t>;</w:t>
      </w:r>
    </w:p>
    <w:p w14:paraId="0189E0C3" w14:textId="157A30C1"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TA</w:t>
      </w:r>
      <w:r w:rsidR="00CE64B2">
        <w:rPr>
          <w:rFonts w:ascii="Arial" w:hAnsi="Arial" w:cs="Arial"/>
          <w:sz w:val="20"/>
          <w:szCs w:val="20"/>
        </w:rPr>
        <w:t>U</w:t>
      </w:r>
      <w:r>
        <w:rPr>
          <w:rFonts w:ascii="Arial" w:hAnsi="Arial" w:cs="Arial"/>
          <w:sz w:val="20"/>
          <w:szCs w:val="20"/>
        </w:rPr>
        <w:t>s to manage de minimis schemes for start-ups and SMEs</w:t>
      </w:r>
      <w:r w:rsidR="009E4CA8">
        <w:rPr>
          <w:rFonts w:ascii="Arial" w:hAnsi="Arial" w:cs="Arial"/>
          <w:sz w:val="20"/>
          <w:szCs w:val="20"/>
        </w:rPr>
        <w:t>;</w:t>
      </w:r>
      <w:r>
        <w:rPr>
          <w:rFonts w:ascii="Arial" w:hAnsi="Arial" w:cs="Arial"/>
          <w:sz w:val="20"/>
          <w:szCs w:val="20"/>
        </w:rPr>
        <w:t xml:space="preserve"> TA</w:t>
      </w:r>
      <w:r w:rsidR="00CE64B2">
        <w:rPr>
          <w:rFonts w:ascii="Arial" w:hAnsi="Arial" w:cs="Arial"/>
          <w:sz w:val="20"/>
          <w:szCs w:val="20"/>
        </w:rPr>
        <w:t>U</w:t>
      </w:r>
      <w:r>
        <w:rPr>
          <w:rFonts w:ascii="Arial" w:hAnsi="Arial" w:cs="Arial"/>
          <w:sz w:val="20"/>
          <w:szCs w:val="20"/>
        </w:rPr>
        <w:t>/ LAG partnerships in managing the grant scheme</w:t>
      </w:r>
      <w:r w:rsidR="009E4CA8">
        <w:rPr>
          <w:rFonts w:ascii="Arial" w:hAnsi="Arial" w:cs="Arial"/>
          <w:sz w:val="20"/>
          <w:szCs w:val="20"/>
        </w:rPr>
        <w:t>;</w:t>
      </w:r>
    </w:p>
    <w:p w14:paraId="21805C6D" w14:textId="07A1DFD3" w:rsidR="001552CD" w:rsidRDefault="001552CD" w:rsidP="00597139">
      <w:pPr>
        <w:numPr>
          <w:ilvl w:val="0"/>
          <w:numId w:val="221"/>
        </w:numPr>
        <w:spacing w:after="80"/>
        <w:ind w:left="357" w:hanging="357"/>
        <w:rPr>
          <w:rFonts w:ascii="Arial" w:hAnsi="Arial" w:cs="Arial"/>
          <w:sz w:val="20"/>
          <w:szCs w:val="20"/>
        </w:rPr>
      </w:pPr>
      <w:r>
        <w:rPr>
          <w:rFonts w:ascii="Arial" w:hAnsi="Arial" w:cs="Arial"/>
          <w:sz w:val="20"/>
          <w:szCs w:val="20"/>
        </w:rPr>
        <w:t>Tourism - investment in infrastructure and advertising</w:t>
      </w:r>
      <w:r w:rsidR="009E4CA8">
        <w:rPr>
          <w:rFonts w:ascii="Arial" w:hAnsi="Arial" w:cs="Arial"/>
          <w:sz w:val="20"/>
          <w:szCs w:val="20"/>
        </w:rPr>
        <w:t>; and,</w:t>
      </w:r>
    </w:p>
    <w:p w14:paraId="5466954B" w14:textId="77777777" w:rsidR="001552CD" w:rsidRPr="002E5127" w:rsidRDefault="001552CD" w:rsidP="00597139">
      <w:pPr>
        <w:pStyle w:val="ListParagraph"/>
        <w:numPr>
          <w:ilvl w:val="0"/>
          <w:numId w:val="221"/>
        </w:numPr>
        <w:spacing w:after="80" w:line="240" w:lineRule="auto"/>
        <w:ind w:left="357" w:hanging="357"/>
        <w:jc w:val="both"/>
        <w:rPr>
          <w:sz w:val="20"/>
          <w:szCs w:val="20"/>
        </w:rPr>
      </w:pPr>
      <w:r w:rsidRPr="002E5127">
        <w:rPr>
          <w:sz w:val="20"/>
          <w:szCs w:val="20"/>
        </w:rPr>
        <w:t>Fruit and vegetable storage</w:t>
      </w:r>
      <w:r w:rsidRPr="002E5127">
        <w:rPr>
          <w:color w:val="000000"/>
          <w:sz w:val="20"/>
          <w:szCs w:val="20"/>
        </w:rPr>
        <w:t>.</w:t>
      </w:r>
    </w:p>
    <w:p w14:paraId="75E206AB" w14:textId="0D7C4FAC" w:rsidR="001552CD" w:rsidRDefault="001552CD" w:rsidP="005B0FFF">
      <w:pPr>
        <w:jc w:val="both"/>
        <w:rPr>
          <w:rFonts w:ascii="Arial" w:hAnsi="Arial" w:cs="Arial"/>
          <w:sz w:val="20"/>
          <w:szCs w:val="20"/>
        </w:rPr>
      </w:pPr>
    </w:p>
    <w:p w14:paraId="70E18217" w14:textId="632528CC" w:rsidR="00D6091A" w:rsidRPr="00597139" w:rsidRDefault="00D6091A" w:rsidP="00E42342">
      <w:pPr>
        <w:pStyle w:val="Heading1"/>
        <w:numPr>
          <w:ilvl w:val="0"/>
          <w:numId w:val="110"/>
        </w:numPr>
        <w:ind w:left="567" w:hanging="567"/>
        <w:rPr>
          <w:color w:val="4F81BD" w:themeColor="accent1"/>
        </w:rPr>
      </w:pPr>
      <w:bookmarkStart w:id="237" w:name="_Toc90725883"/>
      <w:r w:rsidRPr="00597139">
        <w:rPr>
          <w:color w:val="4F81BD" w:themeColor="accent1"/>
        </w:rPr>
        <w:t>Just Transition Assessment</w:t>
      </w:r>
      <w:r w:rsidR="00FF34FD" w:rsidRPr="00597139">
        <w:rPr>
          <w:color w:val="4F81BD" w:themeColor="accent1"/>
        </w:rPr>
        <w:t>, Actions and Investment Needs</w:t>
      </w:r>
      <w:r w:rsidRPr="00597139">
        <w:rPr>
          <w:color w:val="4F81BD" w:themeColor="accent1"/>
        </w:rPr>
        <w:t xml:space="preserve"> for Prahova County</w:t>
      </w:r>
      <w:bookmarkEnd w:id="237"/>
    </w:p>
    <w:p w14:paraId="239B040F" w14:textId="4D61BCFD" w:rsidR="00355050" w:rsidRDefault="00355050" w:rsidP="00355050">
      <w:pPr>
        <w:rPr>
          <w:lang w:eastAsia="en-US"/>
        </w:rPr>
      </w:pPr>
    </w:p>
    <w:p w14:paraId="2C515509" w14:textId="561DE4BB" w:rsidR="00CC5C90" w:rsidRDefault="00CC5C90" w:rsidP="00CC5C90">
      <w:pPr>
        <w:pStyle w:val="FootnoteText"/>
        <w:jc w:val="both"/>
        <w:rPr>
          <w:sz w:val="20"/>
          <w:szCs w:val="20"/>
        </w:rPr>
      </w:pPr>
      <w:r>
        <w:rPr>
          <w:sz w:val="20"/>
          <w:szCs w:val="20"/>
        </w:rPr>
        <w:t xml:space="preserve">In this </w:t>
      </w:r>
      <w:r w:rsidR="00091FE3">
        <w:rPr>
          <w:sz w:val="20"/>
          <w:szCs w:val="20"/>
        </w:rPr>
        <w:t>chapter</w:t>
      </w:r>
      <w:r>
        <w:rPr>
          <w:sz w:val="20"/>
          <w:szCs w:val="20"/>
        </w:rPr>
        <w:t>, we first present the logic of the intervention as an overarching high-level picture and then go into the details concerning the context, challenges, opportunities, SWOT analysis, and recommended investment needs.</w:t>
      </w:r>
    </w:p>
    <w:p w14:paraId="12551374" w14:textId="1294CD27" w:rsidR="00542C72" w:rsidRDefault="00542C72" w:rsidP="00E42342">
      <w:pPr>
        <w:pStyle w:val="Heading2"/>
        <w:numPr>
          <w:ilvl w:val="0"/>
          <w:numId w:val="169"/>
        </w:numPr>
        <w:spacing w:before="240" w:line="240" w:lineRule="auto"/>
        <w:ind w:left="432" w:hanging="432"/>
      </w:pPr>
      <w:bookmarkStart w:id="238" w:name="_Toc90725884"/>
      <w:r>
        <w:t xml:space="preserve">Logic of the intervention for Prahova </w:t>
      </w:r>
      <w:r w:rsidR="003451C9">
        <w:t>C</w:t>
      </w:r>
      <w:r>
        <w:t>ounty</w:t>
      </w:r>
      <w:bookmarkEnd w:id="238"/>
    </w:p>
    <w:p w14:paraId="23BE589B" w14:textId="54A1A7D5" w:rsidR="00D6091A" w:rsidRDefault="00542C72" w:rsidP="00402580">
      <w:pPr>
        <w:jc w:val="both"/>
        <w:rPr>
          <w:rFonts w:ascii="Arial" w:hAnsi="Arial" w:cs="Arial"/>
          <w:sz w:val="20"/>
          <w:szCs w:val="20"/>
          <w:lang w:eastAsia="en-US"/>
        </w:rPr>
      </w:pPr>
      <w:r w:rsidRPr="009118F7">
        <w:rPr>
          <w:rFonts w:ascii="Arial" w:hAnsi="Arial" w:cs="Arial"/>
          <w:sz w:val="20"/>
          <w:szCs w:val="20"/>
          <w:lang w:eastAsia="en-US"/>
        </w:rPr>
        <w:t xml:space="preserve">The </w:t>
      </w:r>
      <w:r w:rsidR="003451C9">
        <w:rPr>
          <w:rFonts w:ascii="Arial" w:hAnsi="Arial" w:cs="Arial"/>
          <w:sz w:val="20"/>
          <w:szCs w:val="20"/>
          <w:lang w:eastAsia="en-US"/>
        </w:rPr>
        <w:t xml:space="preserve">intervention </w:t>
      </w:r>
      <w:r w:rsidRPr="009118F7">
        <w:rPr>
          <w:rFonts w:ascii="Arial" w:hAnsi="Arial" w:cs="Arial"/>
          <w:sz w:val="20"/>
          <w:szCs w:val="20"/>
          <w:lang w:eastAsia="en-US"/>
        </w:rPr>
        <w:t xml:space="preserve">logic is summarised in </w:t>
      </w:r>
      <w:r w:rsidR="003451C9">
        <w:rPr>
          <w:rFonts w:ascii="Arial" w:hAnsi="Arial" w:cs="Arial"/>
          <w:sz w:val="20"/>
          <w:szCs w:val="20"/>
          <w:lang w:eastAsia="en-US"/>
        </w:rPr>
        <w:t>F</w:t>
      </w:r>
      <w:r w:rsidRPr="009118F7">
        <w:rPr>
          <w:rFonts w:ascii="Arial" w:hAnsi="Arial" w:cs="Arial"/>
          <w:sz w:val="20"/>
          <w:szCs w:val="20"/>
          <w:lang w:eastAsia="en-US"/>
        </w:rPr>
        <w:t xml:space="preserve">igure </w:t>
      </w:r>
      <w:r w:rsidR="00E66687">
        <w:rPr>
          <w:rFonts w:ascii="Arial" w:hAnsi="Arial" w:cs="Arial"/>
          <w:sz w:val="20"/>
          <w:szCs w:val="20"/>
          <w:lang w:eastAsia="en-US"/>
        </w:rPr>
        <w:t>15</w:t>
      </w:r>
      <w:r w:rsidR="003451C9">
        <w:rPr>
          <w:rFonts w:ascii="Arial" w:hAnsi="Arial" w:cs="Arial"/>
          <w:sz w:val="20"/>
          <w:szCs w:val="20"/>
          <w:lang w:eastAsia="en-US"/>
        </w:rPr>
        <w:t xml:space="preserve"> </w:t>
      </w:r>
      <w:r>
        <w:rPr>
          <w:rFonts w:ascii="Arial" w:hAnsi="Arial" w:cs="Arial"/>
          <w:sz w:val="20"/>
          <w:szCs w:val="20"/>
          <w:lang w:eastAsia="en-US"/>
        </w:rPr>
        <w:t xml:space="preserve">and blends together </w:t>
      </w:r>
      <w:r w:rsidR="003451C9">
        <w:rPr>
          <w:rFonts w:ascii="Arial" w:hAnsi="Arial" w:cs="Arial"/>
          <w:sz w:val="20"/>
          <w:szCs w:val="20"/>
          <w:lang w:eastAsia="en-US"/>
        </w:rPr>
        <w:t xml:space="preserve">the </w:t>
      </w:r>
      <w:r>
        <w:rPr>
          <w:rFonts w:ascii="Arial" w:hAnsi="Arial" w:cs="Arial"/>
          <w:sz w:val="20"/>
          <w:szCs w:val="20"/>
          <w:lang w:eastAsia="en-US"/>
        </w:rPr>
        <w:t xml:space="preserve">elements analysed in this </w:t>
      </w:r>
      <w:r w:rsidR="00091FE3">
        <w:rPr>
          <w:rFonts w:ascii="Arial" w:hAnsi="Arial" w:cs="Arial"/>
          <w:sz w:val="20"/>
          <w:szCs w:val="20"/>
          <w:lang w:eastAsia="en-US"/>
        </w:rPr>
        <w:t>chapter</w:t>
      </w:r>
      <w:r>
        <w:rPr>
          <w:rFonts w:ascii="Arial" w:hAnsi="Arial" w:cs="Arial"/>
          <w:sz w:val="20"/>
          <w:szCs w:val="20"/>
          <w:lang w:eastAsia="en-US"/>
        </w:rPr>
        <w:t>.</w:t>
      </w:r>
    </w:p>
    <w:p w14:paraId="1E5B0521" w14:textId="45002DDD" w:rsidR="00542C72" w:rsidRDefault="00542C72" w:rsidP="00313168">
      <w:pPr>
        <w:pStyle w:val="Caption"/>
        <w:ind w:left="0" w:firstLine="0"/>
        <w:sectPr w:rsidR="00542C72" w:rsidSect="00E66687">
          <w:headerReference w:type="default" r:id="rId145"/>
          <w:pgSz w:w="11909" w:h="16834"/>
          <w:pgMar w:top="1440" w:right="1440" w:bottom="1440" w:left="1530" w:header="720" w:footer="720" w:gutter="0"/>
          <w:cols w:space="720"/>
          <w:docGrid w:linePitch="326"/>
        </w:sectPr>
      </w:pPr>
    </w:p>
    <w:p w14:paraId="49D566B7" w14:textId="56ABED68" w:rsidR="00542C72" w:rsidRDefault="00A2362B" w:rsidP="00D306CB">
      <w:pPr>
        <w:pStyle w:val="Caption"/>
        <w:spacing w:before="0"/>
        <w:ind w:left="1137" w:hanging="950"/>
        <w:sectPr w:rsidR="00542C72" w:rsidSect="00E66687">
          <w:headerReference w:type="default" r:id="rId146"/>
          <w:footerReference w:type="default" r:id="rId147"/>
          <w:pgSz w:w="16834" w:h="11909" w:orient="landscape"/>
          <w:pgMar w:top="1530" w:right="1440" w:bottom="1440" w:left="1440" w:header="720" w:footer="720" w:gutter="0"/>
          <w:cols w:space="720"/>
          <w:docGrid w:linePitch="326"/>
        </w:sectPr>
      </w:pPr>
      <w:bookmarkStart w:id="239" w:name="_Toc90725942"/>
      <w:r>
        <w:rPr>
          <w:noProof/>
          <w:lang w:val="en-US"/>
        </w:rPr>
        <w:lastRenderedPageBreak/>
        <w:drawing>
          <wp:anchor distT="0" distB="0" distL="114300" distR="114300" simplePos="0" relativeHeight="251680768" behindDoc="1" locked="0" layoutInCell="1" allowOverlap="1" wp14:anchorId="46966F47" wp14:editId="18CB06BA">
            <wp:simplePos x="0" y="0"/>
            <wp:positionH relativeFrom="margin">
              <wp:align>right</wp:align>
            </wp:positionH>
            <wp:positionV relativeFrom="paragraph">
              <wp:posOffset>155575</wp:posOffset>
            </wp:positionV>
            <wp:extent cx="8924925" cy="6331585"/>
            <wp:effectExtent l="0" t="0" r="9525" b="0"/>
            <wp:wrapNone/>
            <wp:docPr id="2087055591" name="Picture 208705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extLst>
                        <a:ext uri="{28A0092B-C50C-407E-A947-70E740481C1C}">
                          <a14:useLocalDpi xmlns:a14="http://schemas.microsoft.com/office/drawing/2010/main" val="0"/>
                        </a:ext>
                      </a:extLst>
                    </a:blip>
                    <a:stretch>
                      <a:fillRect/>
                    </a:stretch>
                  </pic:blipFill>
                  <pic:spPr>
                    <a:xfrm>
                      <a:off x="0" y="0"/>
                      <a:ext cx="8924925" cy="6331585"/>
                    </a:xfrm>
                    <a:prstGeom prst="rect">
                      <a:avLst/>
                    </a:prstGeom>
                  </pic:spPr>
                </pic:pic>
              </a:graphicData>
            </a:graphic>
            <wp14:sizeRelH relativeFrom="margin">
              <wp14:pctWidth>0</wp14:pctWidth>
            </wp14:sizeRelH>
            <wp14:sizeRelV relativeFrom="margin">
              <wp14:pctHeight>0</wp14:pctHeight>
            </wp14:sizeRelV>
          </wp:anchor>
        </w:drawing>
      </w:r>
      <w:r w:rsidR="00313168">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15</w:t>
      </w:r>
      <w:r w:rsidR="000B273D">
        <w:rPr>
          <w:noProof/>
        </w:rPr>
        <w:fldChar w:fldCharType="end"/>
      </w:r>
      <w:r w:rsidR="00313168">
        <w:t>: Logic of the intervention for Prahova County</w:t>
      </w:r>
      <w:bookmarkEnd w:id="239"/>
    </w:p>
    <w:p w14:paraId="7C32438D" w14:textId="47D90D05" w:rsidR="00542C72" w:rsidRPr="003516DC" w:rsidRDefault="00542C72" w:rsidP="00E42342">
      <w:pPr>
        <w:pStyle w:val="Heading2"/>
        <w:numPr>
          <w:ilvl w:val="0"/>
          <w:numId w:val="172"/>
        </w:numPr>
        <w:spacing w:before="240" w:line="240" w:lineRule="auto"/>
      </w:pPr>
      <w:bookmarkStart w:id="240" w:name="_Toc90725885"/>
      <w:r w:rsidRPr="003516DC">
        <w:lastRenderedPageBreak/>
        <w:t>Assessment of the transition challenges at the political-administrative, economic and employment, environmental, socio-cultural and digital/ technological levels</w:t>
      </w:r>
      <w:bookmarkEnd w:id="240"/>
    </w:p>
    <w:p w14:paraId="09A93DDE" w14:textId="5FFD7C21" w:rsidR="0068147A" w:rsidRDefault="0068147A" w:rsidP="00E42342">
      <w:pPr>
        <w:pStyle w:val="Heading3"/>
        <w:numPr>
          <w:ilvl w:val="0"/>
          <w:numId w:val="141"/>
        </w:numPr>
        <w:spacing w:before="120" w:after="120" w:line="240" w:lineRule="auto"/>
        <w:rPr>
          <w:b w:val="0"/>
        </w:rPr>
      </w:pPr>
      <w:r w:rsidRPr="003516DC">
        <w:rPr>
          <w:b w:val="0"/>
        </w:rPr>
        <w:t>State of play</w:t>
      </w:r>
      <w:r w:rsidR="00F0070A" w:rsidRPr="003516DC">
        <w:rPr>
          <w:b w:val="0"/>
        </w:rPr>
        <w:t xml:space="preserve"> in Prahova </w:t>
      </w:r>
      <w:r w:rsidR="00CF63CA">
        <w:rPr>
          <w:b w:val="0"/>
        </w:rPr>
        <w:t>C</w:t>
      </w:r>
      <w:r w:rsidR="00F0070A" w:rsidRPr="003516DC">
        <w:rPr>
          <w:b w:val="0"/>
        </w:rPr>
        <w:t>ounty</w:t>
      </w:r>
    </w:p>
    <w:p w14:paraId="1A8FDAFA" w14:textId="297C7935" w:rsidR="001E152C" w:rsidRPr="001E152C" w:rsidRDefault="001E152C" w:rsidP="00E42342">
      <w:pPr>
        <w:pStyle w:val="ListParagraph"/>
        <w:numPr>
          <w:ilvl w:val="0"/>
          <w:numId w:val="285"/>
        </w:numPr>
        <w:spacing w:after="120" w:line="240" w:lineRule="auto"/>
        <w:jc w:val="both"/>
        <w:rPr>
          <w:color w:val="4F81BD" w:themeColor="accent1"/>
          <w:sz w:val="20"/>
          <w:szCs w:val="20"/>
        </w:rPr>
      </w:pPr>
      <w:r w:rsidRPr="001E152C">
        <w:rPr>
          <w:color w:val="4F81BD" w:themeColor="accent1"/>
          <w:sz w:val="20"/>
          <w:szCs w:val="20"/>
        </w:rPr>
        <w:t>Political-administrative level</w:t>
      </w:r>
    </w:p>
    <w:p w14:paraId="1AF49E88" w14:textId="0FA01C50" w:rsidR="0068147A" w:rsidRPr="00A2362B" w:rsidRDefault="00350AA9" w:rsidP="00A2362B">
      <w:pPr>
        <w:spacing w:after="120"/>
        <w:jc w:val="both"/>
        <w:rPr>
          <w:rFonts w:ascii="Arial" w:hAnsi="Arial" w:cs="Arial"/>
          <w:sz w:val="20"/>
          <w:szCs w:val="20"/>
        </w:rPr>
      </w:pPr>
      <w:r w:rsidRPr="003516DC">
        <w:rPr>
          <w:rFonts w:ascii="Arial" w:hAnsi="Arial" w:cs="Arial"/>
          <w:sz w:val="20"/>
          <w:szCs w:val="20"/>
        </w:rPr>
        <w:t>Prahova c</w:t>
      </w:r>
      <w:r w:rsidR="0068147A" w:rsidRPr="003516DC">
        <w:rPr>
          <w:rFonts w:ascii="Arial" w:hAnsi="Arial" w:cs="Arial"/>
          <w:sz w:val="20"/>
          <w:szCs w:val="20"/>
        </w:rPr>
        <w:t xml:space="preserve">ounty is the wealthiest of the </w:t>
      </w:r>
      <w:r w:rsidR="002F2EE5" w:rsidRPr="003516DC">
        <w:rPr>
          <w:rFonts w:ascii="Arial" w:hAnsi="Arial" w:cs="Arial"/>
          <w:sz w:val="20"/>
          <w:szCs w:val="20"/>
        </w:rPr>
        <w:t>six</w:t>
      </w:r>
      <w:r w:rsidR="0068147A" w:rsidRPr="003516DC">
        <w:rPr>
          <w:rFonts w:ascii="Arial" w:hAnsi="Arial" w:cs="Arial"/>
          <w:sz w:val="20"/>
          <w:szCs w:val="20"/>
        </w:rPr>
        <w:t xml:space="preserve"> JTP target territories. Local authorities (</w:t>
      </w:r>
      <w:r w:rsidR="00A97F72" w:rsidRPr="003516DC">
        <w:rPr>
          <w:rFonts w:ascii="Arial" w:hAnsi="Arial" w:cs="Arial"/>
          <w:sz w:val="20"/>
          <w:szCs w:val="20"/>
        </w:rPr>
        <w:t xml:space="preserve">municipalities </w:t>
      </w:r>
      <w:r w:rsidR="0068147A" w:rsidRPr="003516DC">
        <w:rPr>
          <w:rFonts w:ascii="Arial" w:hAnsi="Arial" w:cs="Arial"/>
          <w:sz w:val="20"/>
          <w:szCs w:val="20"/>
        </w:rPr>
        <w:t xml:space="preserve">and county council) cumulated total local revenues of </w:t>
      </w:r>
      <w:r w:rsidR="00616B4A" w:rsidRPr="003516DC">
        <w:rPr>
          <w:rFonts w:ascii="Arial" w:hAnsi="Arial" w:cs="Arial"/>
          <w:sz w:val="20"/>
          <w:szCs w:val="20"/>
        </w:rPr>
        <w:t xml:space="preserve">RON </w:t>
      </w:r>
      <w:r w:rsidR="0068147A" w:rsidRPr="003516DC">
        <w:rPr>
          <w:rFonts w:ascii="Arial" w:hAnsi="Arial" w:cs="Arial"/>
          <w:sz w:val="20"/>
          <w:szCs w:val="20"/>
        </w:rPr>
        <w:t>1.86 bn</w:t>
      </w:r>
      <w:r w:rsidR="00616B4A" w:rsidRPr="003516DC">
        <w:rPr>
          <w:rFonts w:ascii="Arial" w:hAnsi="Arial" w:cs="Arial"/>
          <w:sz w:val="20"/>
          <w:szCs w:val="20"/>
        </w:rPr>
        <w:t xml:space="preserve"> in 2019</w:t>
      </w:r>
      <w:r w:rsidR="00AE77D9" w:rsidRPr="003516DC">
        <w:rPr>
          <w:rStyle w:val="FootnoteReference"/>
          <w:rFonts w:ascii="Arial" w:hAnsi="Arial" w:cs="Arial"/>
          <w:sz w:val="20"/>
          <w:szCs w:val="20"/>
        </w:rPr>
        <w:footnoteReference w:id="104"/>
      </w:r>
      <w:r w:rsidR="0068147A" w:rsidRPr="003516DC">
        <w:rPr>
          <w:rFonts w:ascii="Arial" w:hAnsi="Arial" w:cs="Arial"/>
          <w:sz w:val="20"/>
          <w:szCs w:val="20"/>
        </w:rPr>
        <w:t xml:space="preserve">, the highest volume of local budgets of the </w:t>
      </w:r>
      <w:r w:rsidR="00DB666B" w:rsidRPr="003516DC">
        <w:rPr>
          <w:rFonts w:ascii="Arial" w:hAnsi="Arial" w:cs="Arial"/>
          <w:sz w:val="20"/>
          <w:szCs w:val="20"/>
        </w:rPr>
        <w:t>six</w:t>
      </w:r>
      <w:r w:rsidR="0068147A" w:rsidRPr="003516DC">
        <w:rPr>
          <w:rFonts w:ascii="Arial" w:hAnsi="Arial" w:cs="Arial"/>
          <w:sz w:val="20"/>
          <w:szCs w:val="20"/>
        </w:rPr>
        <w:t xml:space="preserve"> JTP counties. Companies headquartered in Prahova generated a turnover of </w:t>
      </w:r>
      <w:r w:rsidR="00DB666B" w:rsidRPr="003516DC">
        <w:rPr>
          <w:rFonts w:ascii="Arial" w:hAnsi="Arial" w:cs="Arial"/>
          <w:sz w:val="20"/>
          <w:szCs w:val="20"/>
        </w:rPr>
        <w:t xml:space="preserve">RON </w:t>
      </w:r>
      <w:r w:rsidR="0068147A" w:rsidRPr="003516DC">
        <w:rPr>
          <w:rFonts w:ascii="Arial" w:hAnsi="Arial" w:cs="Arial"/>
          <w:sz w:val="20"/>
          <w:szCs w:val="20"/>
        </w:rPr>
        <w:t xml:space="preserve">59 bn </w:t>
      </w:r>
      <w:r w:rsidR="00DB666B" w:rsidRPr="003516DC">
        <w:rPr>
          <w:rFonts w:ascii="Arial" w:hAnsi="Arial" w:cs="Arial"/>
          <w:sz w:val="20"/>
          <w:szCs w:val="20"/>
        </w:rPr>
        <w:t>in 2019</w:t>
      </w:r>
      <w:r w:rsidR="0068147A" w:rsidRPr="003516DC">
        <w:rPr>
          <w:rFonts w:ascii="Arial" w:hAnsi="Arial" w:cs="Arial"/>
          <w:sz w:val="20"/>
          <w:szCs w:val="20"/>
        </w:rPr>
        <w:t xml:space="preserve">, significantly higher than </w:t>
      </w:r>
      <w:r w:rsidR="00B77DC7" w:rsidRPr="003516DC">
        <w:rPr>
          <w:rFonts w:ascii="Arial" w:hAnsi="Arial" w:cs="Arial"/>
          <w:sz w:val="20"/>
          <w:szCs w:val="20"/>
        </w:rPr>
        <w:t>the next highest region</w:t>
      </w:r>
      <w:r w:rsidR="0068147A" w:rsidRPr="003516DC">
        <w:rPr>
          <w:rFonts w:ascii="Arial" w:hAnsi="Arial" w:cs="Arial"/>
          <w:sz w:val="20"/>
          <w:szCs w:val="20"/>
        </w:rPr>
        <w:t xml:space="preserve"> (Dolj</w:t>
      </w:r>
      <w:r w:rsidR="00B11DDC" w:rsidRPr="003516DC">
        <w:rPr>
          <w:rFonts w:ascii="Arial" w:hAnsi="Arial" w:cs="Arial"/>
          <w:sz w:val="20"/>
          <w:szCs w:val="20"/>
        </w:rPr>
        <w:t xml:space="preserve"> –</w:t>
      </w:r>
      <w:r w:rsidR="0068147A" w:rsidRPr="003516DC">
        <w:rPr>
          <w:rFonts w:ascii="Arial" w:hAnsi="Arial" w:cs="Arial"/>
          <w:sz w:val="20"/>
          <w:szCs w:val="20"/>
        </w:rPr>
        <w:t xml:space="preserve"> </w:t>
      </w:r>
      <w:r w:rsidR="00B11DDC" w:rsidRPr="003516DC">
        <w:rPr>
          <w:rFonts w:ascii="Arial" w:hAnsi="Arial" w:cs="Arial"/>
          <w:sz w:val="20"/>
          <w:szCs w:val="20"/>
        </w:rPr>
        <w:t xml:space="preserve">RON </w:t>
      </w:r>
      <w:r w:rsidR="0068147A" w:rsidRPr="003516DC">
        <w:rPr>
          <w:rFonts w:ascii="Arial" w:hAnsi="Arial" w:cs="Arial"/>
          <w:sz w:val="20"/>
          <w:szCs w:val="20"/>
        </w:rPr>
        <w:t xml:space="preserve">35.4 bn), and 6.4 </w:t>
      </w:r>
      <w:r w:rsidR="00184161" w:rsidRPr="003516DC">
        <w:rPr>
          <w:rFonts w:ascii="Arial" w:hAnsi="Arial" w:cs="Arial"/>
          <w:sz w:val="20"/>
          <w:szCs w:val="20"/>
        </w:rPr>
        <w:t xml:space="preserve">times </w:t>
      </w:r>
      <w:r w:rsidR="0068147A" w:rsidRPr="003516DC">
        <w:rPr>
          <w:rFonts w:ascii="Arial" w:hAnsi="Arial" w:cs="Arial"/>
          <w:sz w:val="20"/>
          <w:szCs w:val="20"/>
        </w:rPr>
        <w:t xml:space="preserve">higher than the least developed </w:t>
      </w:r>
      <w:r w:rsidR="00184161" w:rsidRPr="003516DC">
        <w:rPr>
          <w:rFonts w:ascii="Arial" w:hAnsi="Arial" w:cs="Arial"/>
          <w:sz w:val="20"/>
          <w:szCs w:val="20"/>
        </w:rPr>
        <w:t>region (</w:t>
      </w:r>
      <w:r w:rsidR="0068147A" w:rsidRPr="003516DC">
        <w:rPr>
          <w:rFonts w:ascii="Arial" w:hAnsi="Arial" w:cs="Arial"/>
          <w:sz w:val="20"/>
          <w:szCs w:val="20"/>
        </w:rPr>
        <w:t>Gorj</w:t>
      </w:r>
      <w:r w:rsidR="00D23EAA" w:rsidRPr="003516DC">
        <w:rPr>
          <w:rFonts w:ascii="Arial" w:hAnsi="Arial" w:cs="Arial"/>
          <w:sz w:val="20"/>
          <w:szCs w:val="20"/>
        </w:rPr>
        <w:t xml:space="preserve"> </w:t>
      </w:r>
      <w:r w:rsidR="00FF34FD">
        <w:rPr>
          <w:rFonts w:ascii="Arial" w:hAnsi="Arial" w:cs="Arial"/>
          <w:sz w:val="20"/>
          <w:szCs w:val="20"/>
        </w:rPr>
        <w:t>–</w:t>
      </w:r>
      <w:r w:rsidR="00D23EAA" w:rsidRPr="003516DC">
        <w:rPr>
          <w:rFonts w:ascii="Arial" w:hAnsi="Arial" w:cs="Arial"/>
          <w:sz w:val="20"/>
          <w:szCs w:val="20"/>
        </w:rPr>
        <w:t xml:space="preserve"> RON</w:t>
      </w:r>
      <w:r w:rsidR="0068147A" w:rsidRPr="003516DC">
        <w:rPr>
          <w:rFonts w:ascii="Arial" w:hAnsi="Arial" w:cs="Arial"/>
          <w:sz w:val="20"/>
          <w:szCs w:val="20"/>
        </w:rPr>
        <w:t xml:space="preserve"> 9.</w:t>
      </w:r>
      <w:r w:rsidR="00D23EAA" w:rsidRPr="003516DC">
        <w:rPr>
          <w:rFonts w:ascii="Arial" w:hAnsi="Arial" w:cs="Arial"/>
          <w:sz w:val="20"/>
          <w:szCs w:val="20"/>
        </w:rPr>
        <w:t>2</w:t>
      </w:r>
      <w:r w:rsidR="0068147A" w:rsidRPr="003516DC">
        <w:rPr>
          <w:rFonts w:ascii="Arial" w:hAnsi="Arial" w:cs="Arial"/>
          <w:sz w:val="20"/>
          <w:szCs w:val="20"/>
        </w:rPr>
        <w:t xml:space="preserve"> bn). Prahova is </w:t>
      </w:r>
      <w:r w:rsidR="00AF221B" w:rsidRPr="003516DC">
        <w:rPr>
          <w:rFonts w:ascii="Arial" w:hAnsi="Arial" w:cs="Arial"/>
          <w:sz w:val="20"/>
          <w:szCs w:val="20"/>
        </w:rPr>
        <w:t xml:space="preserve">well </w:t>
      </w:r>
      <w:r w:rsidR="0068147A" w:rsidRPr="003516DC">
        <w:rPr>
          <w:rFonts w:ascii="Arial" w:hAnsi="Arial" w:cs="Arial"/>
          <w:sz w:val="20"/>
          <w:szCs w:val="20"/>
        </w:rPr>
        <w:t xml:space="preserve">positioned and connected, </w:t>
      </w:r>
      <w:r w:rsidR="00C1682D" w:rsidRPr="003516DC">
        <w:rPr>
          <w:rFonts w:ascii="Arial" w:hAnsi="Arial" w:cs="Arial"/>
          <w:sz w:val="20"/>
          <w:szCs w:val="20"/>
        </w:rPr>
        <w:t>with</w:t>
      </w:r>
      <w:r w:rsidR="0068147A" w:rsidRPr="003516DC">
        <w:rPr>
          <w:rFonts w:ascii="Arial" w:hAnsi="Arial" w:cs="Arial"/>
          <w:sz w:val="20"/>
          <w:szCs w:val="20"/>
        </w:rPr>
        <w:t xml:space="preserve"> access to mobility routes</w:t>
      </w:r>
      <w:r w:rsidR="00C1682D" w:rsidRPr="003516DC">
        <w:rPr>
          <w:rFonts w:ascii="Arial" w:hAnsi="Arial" w:cs="Arial"/>
          <w:sz w:val="20"/>
          <w:szCs w:val="20"/>
        </w:rPr>
        <w:t xml:space="preserve"> since</w:t>
      </w:r>
      <w:r w:rsidR="0068147A" w:rsidRPr="003516DC">
        <w:rPr>
          <w:rFonts w:ascii="Arial" w:hAnsi="Arial" w:cs="Arial"/>
          <w:sz w:val="20"/>
          <w:szCs w:val="20"/>
        </w:rPr>
        <w:t xml:space="preserve"> it is situated in the Bucharest capital city </w:t>
      </w:r>
      <w:r w:rsidR="00076502" w:rsidRPr="003516DC">
        <w:rPr>
          <w:rFonts w:ascii="Arial" w:hAnsi="Arial" w:cs="Arial"/>
          <w:sz w:val="20"/>
          <w:szCs w:val="20"/>
        </w:rPr>
        <w:t>metropolitan area</w:t>
      </w:r>
      <w:r w:rsidR="0068147A" w:rsidRPr="003516DC">
        <w:rPr>
          <w:rFonts w:ascii="Arial" w:hAnsi="Arial" w:cs="Arial"/>
          <w:sz w:val="20"/>
          <w:szCs w:val="20"/>
        </w:rPr>
        <w:t>.</w:t>
      </w:r>
    </w:p>
    <w:p w14:paraId="1FCB7FBA" w14:textId="0C6ADE57" w:rsidR="0068147A" w:rsidRPr="003516DC" w:rsidRDefault="00BA4D0D" w:rsidP="00A2362B">
      <w:pPr>
        <w:spacing w:after="120"/>
        <w:jc w:val="both"/>
        <w:rPr>
          <w:rFonts w:ascii="Arial" w:hAnsi="Arial" w:cs="Arial"/>
          <w:sz w:val="20"/>
          <w:szCs w:val="20"/>
        </w:rPr>
      </w:pPr>
      <w:r w:rsidRPr="003516DC">
        <w:rPr>
          <w:rFonts w:ascii="Arial" w:hAnsi="Arial" w:cs="Arial"/>
          <w:sz w:val="20"/>
          <w:szCs w:val="20"/>
        </w:rPr>
        <w:t>L</w:t>
      </w:r>
      <w:r w:rsidR="0068147A" w:rsidRPr="003516DC">
        <w:rPr>
          <w:rFonts w:ascii="Arial" w:hAnsi="Arial" w:cs="Arial"/>
          <w:sz w:val="20"/>
          <w:szCs w:val="20"/>
        </w:rPr>
        <w:t xml:space="preserve">ocal authorities in Prahova have been least effective in attracting EU funds. While local authorities in Prahova amassed local revenues of </w:t>
      </w:r>
      <w:r w:rsidR="003D76D2" w:rsidRPr="003516DC">
        <w:rPr>
          <w:rFonts w:ascii="Arial" w:hAnsi="Arial" w:cs="Arial"/>
          <w:sz w:val="20"/>
          <w:szCs w:val="20"/>
        </w:rPr>
        <w:t xml:space="preserve">RON </w:t>
      </w:r>
      <w:r w:rsidR="0068147A" w:rsidRPr="003516DC">
        <w:rPr>
          <w:rFonts w:ascii="Arial" w:hAnsi="Arial" w:cs="Arial"/>
          <w:sz w:val="20"/>
          <w:szCs w:val="20"/>
        </w:rPr>
        <w:t xml:space="preserve">4 bn over 2016-2019, only </w:t>
      </w:r>
      <w:r w:rsidR="008B18C0" w:rsidRPr="003516DC">
        <w:rPr>
          <w:rFonts w:ascii="Arial" w:hAnsi="Arial" w:cs="Arial"/>
          <w:sz w:val="20"/>
          <w:szCs w:val="20"/>
        </w:rPr>
        <w:t>4</w:t>
      </w:r>
      <w:r w:rsidR="0068147A" w:rsidRPr="003516DC">
        <w:rPr>
          <w:rFonts w:ascii="Arial" w:hAnsi="Arial" w:cs="Arial"/>
          <w:sz w:val="20"/>
          <w:szCs w:val="20"/>
        </w:rPr>
        <w:t xml:space="preserve">% of these </w:t>
      </w:r>
      <w:r w:rsidR="0060597B" w:rsidRPr="003516DC">
        <w:rPr>
          <w:rFonts w:ascii="Arial" w:hAnsi="Arial" w:cs="Arial"/>
          <w:sz w:val="20"/>
          <w:szCs w:val="20"/>
        </w:rPr>
        <w:t xml:space="preserve">funds </w:t>
      </w:r>
      <w:r w:rsidR="0068147A" w:rsidRPr="003516DC">
        <w:rPr>
          <w:rFonts w:ascii="Arial" w:hAnsi="Arial" w:cs="Arial"/>
          <w:sz w:val="20"/>
          <w:szCs w:val="20"/>
        </w:rPr>
        <w:t xml:space="preserve">were </w:t>
      </w:r>
      <w:r w:rsidR="0060597B" w:rsidRPr="003516DC">
        <w:rPr>
          <w:rFonts w:ascii="Arial" w:hAnsi="Arial" w:cs="Arial"/>
          <w:sz w:val="20"/>
          <w:szCs w:val="20"/>
        </w:rPr>
        <w:t xml:space="preserve">from </w:t>
      </w:r>
      <w:r w:rsidR="0068147A" w:rsidRPr="003516DC">
        <w:rPr>
          <w:rFonts w:ascii="Arial" w:hAnsi="Arial" w:cs="Arial"/>
          <w:sz w:val="20"/>
          <w:szCs w:val="20"/>
        </w:rPr>
        <w:t>EU and other donor</w:t>
      </w:r>
      <w:r w:rsidR="0060597B" w:rsidRPr="003516DC">
        <w:rPr>
          <w:rFonts w:ascii="Arial" w:hAnsi="Arial" w:cs="Arial"/>
          <w:sz w:val="20"/>
          <w:szCs w:val="20"/>
        </w:rPr>
        <w:t>s</w:t>
      </w:r>
      <w:r w:rsidR="0068147A" w:rsidRPr="003516DC">
        <w:rPr>
          <w:rFonts w:ascii="Arial" w:hAnsi="Arial" w:cs="Arial"/>
          <w:sz w:val="20"/>
          <w:szCs w:val="20"/>
        </w:rPr>
        <w:t xml:space="preserve">, the least of all JTP counties (see Annex </w:t>
      </w:r>
      <w:r w:rsidR="002B75CD" w:rsidRPr="003516DC">
        <w:rPr>
          <w:rFonts w:ascii="Arial" w:hAnsi="Arial" w:cs="Arial"/>
          <w:sz w:val="20"/>
          <w:szCs w:val="20"/>
        </w:rPr>
        <w:t>1</w:t>
      </w:r>
      <w:r w:rsidR="0068147A" w:rsidRPr="003516DC">
        <w:rPr>
          <w:rFonts w:ascii="Arial" w:hAnsi="Arial" w:cs="Arial"/>
          <w:sz w:val="20"/>
          <w:szCs w:val="20"/>
        </w:rPr>
        <w:t xml:space="preserve">). </w:t>
      </w:r>
      <w:r w:rsidR="00FB2CF4" w:rsidRPr="003516DC">
        <w:rPr>
          <w:rFonts w:ascii="Arial" w:hAnsi="Arial" w:cs="Arial"/>
          <w:sz w:val="20"/>
          <w:szCs w:val="20"/>
        </w:rPr>
        <w:t>L</w:t>
      </w:r>
      <w:r w:rsidR="0068147A" w:rsidRPr="003516DC">
        <w:rPr>
          <w:rFonts w:ascii="Arial" w:hAnsi="Arial" w:cs="Arial"/>
          <w:sz w:val="20"/>
          <w:szCs w:val="20"/>
        </w:rPr>
        <w:t xml:space="preserve">ocal authorities in Prahova accessed only </w:t>
      </w:r>
      <w:r w:rsidR="00257C95" w:rsidRPr="003516DC">
        <w:rPr>
          <w:rFonts w:ascii="Arial" w:hAnsi="Arial" w:cs="Arial"/>
          <w:sz w:val="20"/>
          <w:szCs w:val="20"/>
        </w:rPr>
        <w:t xml:space="preserve">RON </w:t>
      </w:r>
      <w:r w:rsidR="0068147A" w:rsidRPr="003516DC">
        <w:rPr>
          <w:rFonts w:ascii="Arial" w:hAnsi="Arial" w:cs="Arial"/>
          <w:sz w:val="20"/>
          <w:szCs w:val="20"/>
        </w:rPr>
        <w:t xml:space="preserve">160 m over 2016-2019, which </w:t>
      </w:r>
      <w:r w:rsidR="001468FA" w:rsidRPr="003516DC">
        <w:rPr>
          <w:rFonts w:ascii="Arial" w:hAnsi="Arial" w:cs="Arial"/>
          <w:sz w:val="20"/>
          <w:szCs w:val="20"/>
        </w:rPr>
        <w:t xml:space="preserve">only </w:t>
      </w:r>
      <w:r w:rsidR="0068147A" w:rsidRPr="003516DC">
        <w:rPr>
          <w:rFonts w:ascii="Arial" w:hAnsi="Arial" w:cs="Arial"/>
          <w:sz w:val="20"/>
          <w:szCs w:val="20"/>
        </w:rPr>
        <w:t>exceeds Gorj (</w:t>
      </w:r>
      <w:r w:rsidR="001468FA" w:rsidRPr="003516DC">
        <w:rPr>
          <w:rFonts w:ascii="Arial" w:hAnsi="Arial" w:cs="Arial"/>
          <w:sz w:val="20"/>
          <w:szCs w:val="20"/>
        </w:rPr>
        <w:t xml:space="preserve">RON </w:t>
      </w:r>
      <w:r w:rsidR="0068147A" w:rsidRPr="003516DC">
        <w:rPr>
          <w:rFonts w:ascii="Arial" w:hAnsi="Arial" w:cs="Arial"/>
          <w:sz w:val="20"/>
          <w:szCs w:val="20"/>
        </w:rPr>
        <w:t>122 m), the poorest of JTP counties in terms of local budget and business turnover.</w:t>
      </w:r>
    </w:p>
    <w:p w14:paraId="16B64EAE" w14:textId="7AE068B3" w:rsidR="00AE21C0" w:rsidRPr="003516DC" w:rsidRDefault="00BD034F" w:rsidP="00A2362B">
      <w:pPr>
        <w:spacing w:after="120"/>
        <w:jc w:val="both"/>
        <w:rPr>
          <w:rFonts w:ascii="Arial" w:hAnsi="Arial" w:cs="Arial"/>
          <w:sz w:val="20"/>
          <w:szCs w:val="20"/>
        </w:rPr>
      </w:pPr>
      <w:r w:rsidRPr="003516DC">
        <w:rPr>
          <w:rFonts w:ascii="Arial" w:hAnsi="Arial" w:cs="Arial"/>
          <w:b/>
          <w:sz w:val="20"/>
          <w:szCs w:val="20"/>
        </w:rPr>
        <w:t>Political-administrative situation:</w:t>
      </w:r>
      <w:r w:rsidRPr="003516DC">
        <w:rPr>
          <w:rFonts w:ascii="Arial" w:hAnsi="Arial" w:cs="Arial"/>
          <w:sz w:val="20"/>
          <w:szCs w:val="20"/>
        </w:rPr>
        <w:t xml:space="preserve"> </w:t>
      </w:r>
      <w:r w:rsidR="00AE21C0" w:rsidRPr="003516DC">
        <w:rPr>
          <w:rFonts w:ascii="Arial" w:hAnsi="Arial" w:cs="Arial"/>
          <w:sz w:val="20"/>
          <w:szCs w:val="20"/>
        </w:rPr>
        <w:t>The county council and county seat city administration have been plagued with corruption and abuse of power trials.</w:t>
      </w:r>
      <w:r w:rsidRPr="003516DC">
        <w:rPr>
          <w:rFonts w:ascii="Arial" w:hAnsi="Arial" w:cs="Arial"/>
          <w:sz w:val="20"/>
          <w:szCs w:val="20"/>
        </w:rPr>
        <w:t xml:space="preserve"> Several officials</w:t>
      </w:r>
      <w:r w:rsidRPr="003516DC">
        <w:rPr>
          <w:rStyle w:val="FootnoteReference"/>
          <w:rFonts w:ascii="Arial" w:hAnsi="Arial" w:cs="Arial"/>
          <w:sz w:val="20"/>
          <w:szCs w:val="20"/>
        </w:rPr>
        <w:t xml:space="preserve"> </w:t>
      </w:r>
      <w:r w:rsidRPr="003516DC">
        <w:rPr>
          <w:rStyle w:val="FootnoteReference"/>
          <w:rFonts w:ascii="Arial" w:hAnsi="Arial" w:cs="Arial"/>
          <w:sz w:val="20"/>
          <w:szCs w:val="20"/>
        </w:rPr>
        <w:footnoteReference w:id="105"/>
      </w:r>
      <w:r w:rsidRPr="003516DC">
        <w:rPr>
          <w:rFonts w:ascii="Arial" w:hAnsi="Arial" w:cs="Arial"/>
          <w:sz w:val="20"/>
          <w:szCs w:val="20"/>
        </w:rPr>
        <w:t xml:space="preserve"> </w:t>
      </w:r>
      <w:r w:rsidRPr="003516DC">
        <w:rPr>
          <w:rStyle w:val="FootnoteReference"/>
          <w:rFonts w:ascii="Arial" w:hAnsi="Arial" w:cs="Arial"/>
          <w:sz w:val="20"/>
          <w:szCs w:val="20"/>
        </w:rPr>
        <w:footnoteReference w:id="106"/>
      </w:r>
      <w:r w:rsidRPr="003516DC">
        <w:rPr>
          <w:rFonts w:ascii="Arial" w:hAnsi="Arial" w:cs="Arial"/>
          <w:sz w:val="20"/>
          <w:szCs w:val="20"/>
        </w:rPr>
        <w:t xml:space="preserve"> </w:t>
      </w:r>
      <w:r w:rsidRPr="003516DC">
        <w:rPr>
          <w:rStyle w:val="FootnoteReference"/>
          <w:rFonts w:ascii="Arial" w:hAnsi="Arial" w:cs="Arial"/>
          <w:sz w:val="20"/>
          <w:szCs w:val="20"/>
        </w:rPr>
        <w:footnoteReference w:id="107"/>
      </w:r>
      <w:r w:rsidRPr="003516DC">
        <w:rPr>
          <w:rFonts w:ascii="Arial" w:hAnsi="Arial" w:cs="Arial"/>
          <w:sz w:val="20"/>
          <w:szCs w:val="20"/>
        </w:rPr>
        <w:t xml:space="preserve"> </w:t>
      </w:r>
      <w:r w:rsidR="00AE21C0" w:rsidRPr="003516DC">
        <w:rPr>
          <w:rFonts w:ascii="Arial" w:hAnsi="Arial" w:cs="Arial"/>
          <w:sz w:val="20"/>
          <w:szCs w:val="20"/>
        </w:rPr>
        <w:t xml:space="preserve">have </w:t>
      </w:r>
      <w:r w:rsidR="007F7F90" w:rsidRPr="003516DC">
        <w:rPr>
          <w:rFonts w:ascii="Arial" w:hAnsi="Arial" w:cs="Arial"/>
          <w:sz w:val="20"/>
          <w:szCs w:val="20"/>
        </w:rPr>
        <w:t>been</w:t>
      </w:r>
      <w:r w:rsidR="00AE21C0" w:rsidRPr="003516DC">
        <w:rPr>
          <w:rFonts w:ascii="Arial" w:hAnsi="Arial" w:cs="Arial"/>
          <w:sz w:val="20"/>
          <w:szCs w:val="20"/>
        </w:rPr>
        <w:t xml:space="preserve"> </w:t>
      </w:r>
      <w:r w:rsidRPr="003516DC">
        <w:rPr>
          <w:rFonts w:ascii="Arial" w:hAnsi="Arial" w:cs="Arial"/>
          <w:sz w:val="20"/>
          <w:szCs w:val="20"/>
        </w:rPr>
        <w:t>trialled</w:t>
      </w:r>
      <w:r w:rsidR="00AE21C0" w:rsidRPr="003516DC">
        <w:rPr>
          <w:rFonts w:ascii="Arial" w:hAnsi="Arial" w:cs="Arial"/>
          <w:sz w:val="20"/>
          <w:szCs w:val="20"/>
        </w:rPr>
        <w:t xml:space="preserve"> for corruption and abuse of power. </w:t>
      </w:r>
      <w:r w:rsidR="000670BF" w:rsidRPr="003516DC">
        <w:rPr>
          <w:rFonts w:ascii="Arial" w:hAnsi="Arial" w:cs="Arial"/>
          <w:sz w:val="20"/>
          <w:szCs w:val="20"/>
        </w:rPr>
        <w:t xml:space="preserve">Although </w:t>
      </w:r>
      <w:r w:rsidR="00AE21C0" w:rsidRPr="003516DC">
        <w:rPr>
          <w:rFonts w:ascii="Arial" w:hAnsi="Arial" w:cs="Arial"/>
          <w:sz w:val="20"/>
          <w:szCs w:val="20"/>
        </w:rPr>
        <w:t xml:space="preserve">none of these trials </w:t>
      </w:r>
      <w:r w:rsidR="00CE003B" w:rsidRPr="003516DC">
        <w:rPr>
          <w:rFonts w:ascii="Arial" w:hAnsi="Arial" w:cs="Arial"/>
          <w:sz w:val="20"/>
          <w:szCs w:val="20"/>
        </w:rPr>
        <w:t xml:space="preserve">have been </w:t>
      </w:r>
      <w:r w:rsidR="00AE21C0" w:rsidRPr="003516DC">
        <w:rPr>
          <w:rFonts w:ascii="Arial" w:hAnsi="Arial" w:cs="Arial"/>
          <w:sz w:val="20"/>
          <w:szCs w:val="20"/>
        </w:rPr>
        <w:t xml:space="preserve">concluded or resulted in final convictions, they did </w:t>
      </w:r>
      <w:r w:rsidR="00FF148D" w:rsidRPr="003516DC">
        <w:rPr>
          <w:rFonts w:ascii="Arial" w:hAnsi="Arial" w:cs="Arial"/>
          <w:sz w:val="20"/>
          <w:szCs w:val="20"/>
        </w:rPr>
        <w:t xml:space="preserve">lower </w:t>
      </w:r>
      <w:r w:rsidR="00AE21C0" w:rsidRPr="003516DC">
        <w:rPr>
          <w:rFonts w:ascii="Arial" w:hAnsi="Arial" w:cs="Arial"/>
          <w:sz w:val="20"/>
          <w:szCs w:val="20"/>
        </w:rPr>
        <w:t>the public trust in the institutions led by these</w:t>
      </w:r>
      <w:r w:rsidR="00D56F24" w:rsidRPr="003516DC">
        <w:rPr>
          <w:rFonts w:ascii="Arial" w:hAnsi="Arial" w:cs="Arial"/>
          <w:sz w:val="20"/>
          <w:szCs w:val="20"/>
        </w:rPr>
        <w:t xml:space="preserve"> actors</w:t>
      </w:r>
      <w:r w:rsidR="00AE21C0" w:rsidRPr="003516DC">
        <w:rPr>
          <w:rFonts w:ascii="Arial" w:hAnsi="Arial" w:cs="Arial"/>
          <w:sz w:val="20"/>
          <w:szCs w:val="20"/>
        </w:rPr>
        <w:t xml:space="preserve">. The local county political leadership has changed political colour </w:t>
      </w:r>
      <w:r w:rsidR="00FB59D2" w:rsidRPr="003516DC">
        <w:rPr>
          <w:rFonts w:ascii="Arial" w:hAnsi="Arial" w:cs="Arial"/>
          <w:sz w:val="20"/>
          <w:szCs w:val="20"/>
        </w:rPr>
        <w:t xml:space="preserve">in </w:t>
      </w:r>
      <w:r w:rsidR="00AE21C0" w:rsidRPr="003516DC">
        <w:rPr>
          <w:rFonts w:ascii="Arial" w:hAnsi="Arial" w:cs="Arial"/>
          <w:sz w:val="20"/>
          <w:szCs w:val="20"/>
        </w:rPr>
        <w:t xml:space="preserve">the local </w:t>
      </w:r>
      <w:r w:rsidR="00FB59D2" w:rsidRPr="003516DC">
        <w:rPr>
          <w:rFonts w:ascii="Arial" w:hAnsi="Arial" w:cs="Arial"/>
          <w:sz w:val="20"/>
          <w:szCs w:val="20"/>
        </w:rPr>
        <w:t xml:space="preserve">2020 </w:t>
      </w:r>
      <w:r w:rsidR="00AE21C0" w:rsidRPr="003516DC">
        <w:rPr>
          <w:rFonts w:ascii="Arial" w:hAnsi="Arial" w:cs="Arial"/>
          <w:sz w:val="20"/>
          <w:szCs w:val="20"/>
        </w:rPr>
        <w:t>elections, after several mandates of the same party.</w:t>
      </w:r>
    </w:p>
    <w:p w14:paraId="61C3A451" w14:textId="0E1D849B" w:rsidR="00AE21C0" w:rsidRPr="003516DC" w:rsidRDefault="00AE21C0" w:rsidP="00A2362B">
      <w:pPr>
        <w:spacing w:after="120"/>
        <w:jc w:val="both"/>
        <w:rPr>
          <w:rFonts w:ascii="Arial" w:hAnsi="Arial" w:cs="Arial"/>
          <w:sz w:val="20"/>
          <w:szCs w:val="20"/>
        </w:rPr>
      </w:pPr>
      <w:r w:rsidRPr="003516DC">
        <w:rPr>
          <w:rFonts w:ascii="Arial" w:hAnsi="Arial" w:cs="Arial"/>
          <w:sz w:val="20"/>
          <w:szCs w:val="20"/>
        </w:rPr>
        <w:t xml:space="preserve">Currently both </w:t>
      </w:r>
      <w:r w:rsidR="00945678" w:rsidRPr="003516DC">
        <w:rPr>
          <w:rFonts w:ascii="Arial" w:hAnsi="Arial" w:cs="Arial"/>
          <w:sz w:val="20"/>
          <w:szCs w:val="20"/>
        </w:rPr>
        <w:t xml:space="preserve">the </w:t>
      </w:r>
      <w:r w:rsidRPr="003516DC">
        <w:rPr>
          <w:rFonts w:ascii="Arial" w:hAnsi="Arial" w:cs="Arial"/>
          <w:sz w:val="20"/>
          <w:szCs w:val="20"/>
        </w:rPr>
        <w:t>county council and county seat city administration are in the process of elaborating local development strategies to guide absorption of EU funds over the 2021-2027. Consequently, there is a less mature pipeline of projects, as strategic planning processes are still under way.</w:t>
      </w:r>
    </w:p>
    <w:p w14:paraId="2A09934A" w14:textId="4DDC7182" w:rsidR="00146078" w:rsidRPr="001E152C" w:rsidRDefault="00146078" w:rsidP="00E42342">
      <w:pPr>
        <w:pStyle w:val="ListParagraph"/>
        <w:numPr>
          <w:ilvl w:val="0"/>
          <w:numId w:val="286"/>
        </w:numPr>
        <w:spacing w:after="120" w:line="240" w:lineRule="auto"/>
        <w:jc w:val="both"/>
        <w:rPr>
          <w:color w:val="4F81BD" w:themeColor="accent1"/>
          <w:sz w:val="20"/>
          <w:szCs w:val="20"/>
        </w:rPr>
      </w:pPr>
      <w:r>
        <w:rPr>
          <w:color w:val="4F81BD" w:themeColor="accent1"/>
          <w:sz w:val="20"/>
          <w:szCs w:val="20"/>
        </w:rPr>
        <w:t>Economic development</w:t>
      </w:r>
    </w:p>
    <w:p w14:paraId="4F0A624D" w14:textId="0BF64560" w:rsidR="00AE21C0" w:rsidRPr="003516DC" w:rsidRDefault="00AE21C0" w:rsidP="00A2362B">
      <w:pPr>
        <w:spacing w:after="120"/>
        <w:jc w:val="both"/>
        <w:rPr>
          <w:rFonts w:ascii="Arial" w:hAnsi="Arial" w:cs="Arial"/>
          <w:sz w:val="20"/>
          <w:szCs w:val="20"/>
        </w:rPr>
      </w:pPr>
      <w:r w:rsidRPr="003516DC">
        <w:rPr>
          <w:rFonts w:ascii="Arial" w:hAnsi="Arial" w:cs="Arial"/>
          <w:sz w:val="20"/>
          <w:szCs w:val="20"/>
        </w:rPr>
        <w:t xml:space="preserve">Prahova is best positioned to consolidate its </w:t>
      </w:r>
      <w:r w:rsidRPr="003516DC">
        <w:rPr>
          <w:rFonts w:ascii="Arial" w:hAnsi="Arial" w:cs="Arial"/>
          <w:b/>
          <w:bCs/>
          <w:sz w:val="20"/>
          <w:szCs w:val="20"/>
        </w:rPr>
        <w:t>economy</w:t>
      </w:r>
      <w:r w:rsidRPr="003516DC">
        <w:rPr>
          <w:rFonts w:ascii="Arial" w:hAnsi="Arial" w:cs="Arial"/>
          <w:sz w:val="20"/>
          <w:szCs w:val="20"/>
        </w:rPr>
        <w:t xml:space="preserve">, despite its </w:t>
      </w:r>
      <w:r w:rsidR="00320AA6" w:rsidRPr="003516DC">
        <w:rPr>
          <w:rFonts w:ascii="Arial" w:hAnsi="Arial" w:cs="Arial"/>
          <w:sz w:val="20"/>
          <w:szCs w:val="20"/>
        </w:rPr>
        <w:t xml:space="preserve">historical </w:t>
      </w:r>
      <w:r w:rsidR="0093379D" w:rsidRPr="003516DC">
        <w:rPr>
          <w:rFonts w:ascii="Arial" w:hAnsi="Arial" w:cs="Arial"/>
          <w:sz w:val="20"/>
          <w:szCs w:val="20"/>
        </w:rPr>
        <w:t>economic</w:t>
      </w:r>
      <w:r w:rsidRPr="003516DC">
        <w:rPr>
          <w:rFonts w:ascii="Arial" w:hAnsi="Arial" w:cs="Arial"/>
          <w:sz w:val="20"/>
          <w:szCs w:val="20"/>
        </w:rPr>
        <w:t xml:space="preserve"> development tied to the oil and gas industry. </w:t>
      </w:r>
      <w:r w:rsidR="002F7507" w:rsidRPr="003516DC">
        <w:rPr>
          <w:rFonts w:ascii="Arial" w:hAnsi="Arial" w:cs="Arial"/>
          <w:sz w:val="20"/>
          <w:szCs w:val="20"/>
        </w:rPr>
        <w:t>T</w:t>
      </w:r>
      <w:r w:rsidRPr="003516DC">
        <w:rPr>
          <w:rFonts w:ascii="Arial" w:hAnsi="Arial" w:cs="Arial"/>
          <w:sz w:val="20"/>
          <w:szCs w:val="20"/>
        </w:rPr>
        <w:t>his county has been</w:t>
      </w:r>
      <w:r w:rsidR="00555B6C" w:rsidRPr="003516DC">
        <w:rPr>
          <w:rFonts w:ascii="Arial" w:hAnsi="Arial" w:cs="Arial"/>
          <w:sz w:val="20"/>
          <w:szCs w:val="20"/>
        </w:rPr>
        <w:t>,</w:t>
      </w:r>
      <w:r w:rsidRPr="003516DC">
        <w:rPr>
          <w:rFonts w:ascii="Arial" w:hAnsi="Arial" w:cs="Arial"/>
          <w:sz w:val="20"/>
          <w:szCs w:val="20"/>
        </w:rPr>
        <w:t xml:space="preserve"> and still is</w:t>
      </w:r>
      <w:r w:rsidR="00555B6C" w:rsidRPr="003516DC">
        <w:rPr>
          <w:rFonts w:ascii="Arial" w:hAnsi="Arial" w:cs="Arial"/>
          <w:sz w:val="20"/>
          <w:szCs w:val="20"/>
        </w:rPr>
        <w:t>,</w:t>
      </w:r>
      <w:r w:rsidRPr="003516DC">
        <w:rPr>
          <w:rFonts w:ascii="Arial" w:hAnsi="Arial" w:cs="Arial"/>
          <w:sz w:val="20"/>
          <w:szCs w:val="20"/>
        </w:rPr>
        <w:t xml:space="preserve"> the hotspot of </w:t>
      </w:r>
      <w:r w:rsidR="003D624C" w:rsidRPr="003516DC">
        <w:rPr>
          <w:rFonts w:ascii="Arial" w:hAnsi="Arial" w:cs="Arial"/>
          <w:sz w:val="20"/>
          <w:szCs w:val="20"/>
        </w:rPr>
        <w:t xml:space="preserve">the </w:t>
      </w:r>
      <w:r w:rsidRPr="003516DC">
        <w:rPr>
          <w:rFonts w:ascii="Arial" w:hAnsi="Arial" w:cs="Arial"/>
          <w:sz w:val="20"/>
          <w:szCs w:val="20"/>
        </w:rPr>
        <w:t>oil industry in Romania, with extraction and processing of crude oil going back more than a century.</w:t>
      </w:r>
    </w:p>
    <w:p w14:paraId="648F6852" w14:textId="6552EB55" w:rsidR="00AE21C0" w:rsidRPr="00A2362B" w:rsidRDefault="00AE21C0" w:rsidP="00E42342">
      <w:pPr>
        <w:pStyle w:val="ListParagraph"/>
        <w:numPr>
          <w:ilvl w:val="0"/>
          <w:numId w:val="117"/>
        </w:numPr>
        <w:spacing w:after="120" w:line="240" w:lineRule="auto"/>
        <w:ind w:left="360"/>
        <w:contextualSpacing w:val="0"/>
        <w:jc w:val="both"/>
        <w:rPr>
          <w:sz w:val="20"/>
          <w:szCs w:val="20"/>
        </w:rPr>
      </w:pPr>
      <w:r w:rsidRPr="003516DC">
        <w:rPr>
          <w:sz w:val="20"/>
          <w:szCs w:val="20"/>
        </w:rPr>
        <w:t>Wholesale and retail trade (</w:t>
      </w:r>
      <w:r w:rsidR="00425A95" w:rsidRPr="003516DC">
        <w:rPr>
          <w:sz w:val="20"/>
          <w:szCs w:val="20"/>
        </w:rPr>
        <w:t xml:space="preserve">RON </w:t>
      </w:r>
      <w:r w:rsidRPr="003516DC">
        <w:rPr>
          <w:sz w:val="20"/>
          <w:szCs w:val="20"/>
        </w:rPr>
        <w:t>21.6 bn) and manufacturing (</w:t>
      </w:r>
      <w:r w:rsidR="00715DD6" w:rsidRPr="003516DC">
        <w:rPr>
          <w:sz w:val="20"/>
          <w:szCs w:val="20"/>
        </w:rPr>
        <w:t xml:space="preserve">RON </w:t>
      </w:r>
      <w:r w:rsidRPr="003516DC">
        <w:rPr>
          <w:sz w:val="20"/>
          <w:szCs w:val="20"/>
        </w:rPr>
        <w:t xml:space="preserve">21.4 bn) generate almost three quarters of the local business turnover (73.1%). Given its position, as well as its lower land and </w:t>
      </w:r>
      <w:r w:rsidR="00674539" w:rsidRPr="003516DC">
        <w:rPr>
          <w:sz w:val="20"/>
          <w:szCs w:val="20"/>
        </w:rPr>
        <w:t>labour</w:t>
      </w:r>
      <w:r w:rsidRPr="003516DC">
        <w:rPr>
          <w:sz w:val="20"/>
          <w:szCs w:val="20"/>
        </w:rPr>
        <w:t xml:space="preserve"> costs compared to the capital city, Prahova –</w:t>
      </w:r>
      <w:r w:rsidR="006333A7" w:rsidRPr="003516DC">
        <w:rPr>
          <w:sz w:val="20"/>
          <w:szCs w:val="20"/>
        </w:rPr>
        <w:t xml:space="preserve"> </w:t>
      </w:r>
      <w:r w:rsidRPr="003516DC">
        <w:rPr>
          <w:sz w:val="20"/>
          <w:szCs w:val="20"/>
        </w:rPr>
        <w:t xml:space="preserve">in particular the peri-urban area of its county seat city – developed an </w:t>
      </w:r>
      <w:r w:rsidR="006333A7" w:rsidRPr="003516DC">
        <w:rPr>
          <w:sz w:val="20"/>
          <w:szCs w:val="20"/>
        </w:rPr>
        <w:t xml:space="preserve">several </w:t>
      </w:r>
      <w:r w:rsidRPr="003516DC">
        <w:rPr>
          <w:sz w:val="20"/>
          <w:szCs w:val="20"/>
        </w:rPr>
        <w:t>logistical and industrial parks (</w:t>
      </w:r>
      <w:r w:rsidR="009D3DE0" w:rsidRPr="003516DC">
        <w:rPr>
          <w:sz w:val="20"/>
          <w:szCs w:val="20"/>
        </w:rPr>
        <w:t>~</w:t>
      </w:r>
      <w:r w:rsidRPr="003516DC">
        <w:rPr>
          <w:sz w:val="20"/>
          <w:szCs w:val="20"/>
        </w:rPr>
        <w:t>12), many of which are privately developed.</w:t>
      </w:r>
    </w:p>
    <w:p w14:paraId="13C48391" w14:textId="5C654A6F" w:rsidR="00AE21C0" w:rsidRPr="00A2362B" w:rsidRDefault="00AE21C0" w:rsidP="00E42342">
      <w:pPr>
        <w:pStyle w:val="ListParagraph"/>
        <w:numPr>
          <w:ilvl w:val="0"/>
          <w:numId w:val="117"/>
        </w:numPr>
        <w:spacing w:after="120" w:line="240" w:lineRule="auto"/>
        <w:ind w:left="360"/>
        <w:contextualSpacing w:val="0"/>
        <w:jc w:val="both"/>
        <w:rPr>
          <w:sz w:val="20"/>
          <w:szCs w:val="20"/>
        </w:rPr>
      </w:pPr>
      <w:r w:rsidRPr="003516DC">
        <w:rPr>
          <w:sz w:val="20"/>
          <w:szCs w:val="20"/>
        </w:rPr>
        <w:t xml:space="preserve">Oil processing remains the top manufacturing activity in Prahova, with a turnover of </w:t>
      </w:r>
      <w:r w:rsidR="0052690A" w:rsidRPr="003516DC">
        <w:rPr>
          <w:sz w:val="20"/>
          <w:szCs w:val="20"/>
        </w:rPr>
        <w:t xml:space="preserve">RON </w:t>
      </w:r>
      <w:r w:rsidRPr="003516DC">
        <w:rPr>
          <w:sz w:val="20"/>
          <w:szCs w:val="20"/>
        </w:rPr>
        <w:t>5.8 bn (2019)</w:t>
      </w:r>
      <w:r w:rsidR="0098580B" w:rsidRPr="003516DC">
        <w:rPr>
          <w:sz w:val="20"/>
          <w:szCs w:val="20"/>
        </w:rPr>
        <w:t>.</w:t>
      </w:r>
      <w:r w:rsidRPr="003516DC">
        <w:rPr>
          <w:sz w:val="20"/>
          <w:szCs w:val="20"/>
        </w:rPr>
        <w:t xml:space="preserve"> </w:t>
      </w:r>
      <w:r w:rsidR="0098580B" w:rsidRPr="003516DC">
        <w:rPr>
          <w:sz w:val="20"/>
          <w:szCs w:val="20"/>
        </w:rPr>
        <w:t xml:space="preserve">However, </w:t>
      </w:r>
      <w:r w:rsidRPr="003516DC">
        <w:rPr>
          <w:sz w:val="20"/>
          <w:szCs w:val="20"/>
        </w:rPr>
        <w:t xml:space="preserve">the share of </w:t>
      </w:r>
      <w:r w:rsidR="0098580B" w:rsidRPr="003516DC">
        <w:rPr>
          <w:sz w:val="20"/>
          <w:szCs w:val="20"/>
        </w:rPr>
        <w:t>oil processing</w:t>
      </w:r>
      <w:r w:rsidRPr="003516DC">
        <w:rPr>
          <w:sz w:val="20"/>
          <w:szCs w:val="20"/>
        </w:rPr>
        <w:t xml:space="preserve"> </w:t>
      </w:r>
      <w:r w:rsidR="005F7560" w:rsidRPr="003516DC">
        <w:rPr>
          <w:sz w:val="20"/>
          <w:szCs w:val="20"/>
        </w:rPr>
        <w:t xml:space="preserve">as a percentage </w:t>
      </w:r>
      <w:r w:rsidRPr="003516DC">
        <w:rPr>
          <w:sz w:val="20"/>
          <w:szCs w:val="20"/>
        </w:rPr>
        <w:t xml:space="preserve">of the overall manufacturing sector </w:t>
      </w:r>
      <w:r w:rsidR="005F7560" w:rsidRPr="003516DC">
        <w:rPr>
          <w:sz w:val="20"/>
          <w:szCs w:val="20"/>
        </w:rPr>
        <w:t xml:space="preserve">fell </w:t>
      </w:r>
      <w:r w:rsidRPr="003516DC">
        <w:rPr>
          <w:sz w:val="20"/>
          <w:szCs w:val="20"/>
        </w:rPr>
        <w:t xml:space="preserve">from 40% in 2010 to 27% in 2019. This </w:t>
      </w:r>
      <w:r w:rsidR="00FA556C" w:rsidRPr="003516DC">
        <w:rPr>
          <w:sz w:val="20"/>
          <w:szCs w:val="20"/>
        </w:rPr>
        <w:t>indicates</w:t>
      </w:r>
      <w:r w:rsidRPr="003516DC">
        <w:rPr>
          <w:sz w:val="20"/>
          <w:szCs w:val="20"/>
        </w:rPr>
        <w:t xml:space="preserve"> that manufacturing </w:t>
      </w:r>
      <w:r w:rsidR="00FA556C" w:rsidRPr="003516DC">
        <w:rPr>
          <w:sz w:val="20"/>
          <w:szCs w:val="20"/>
        </w:rPr>
        <w:t>and</w:t>
      </w:r>
      <w:r w:rsidRPr="003516DC">
        <w:rPr>
          <w:sz w:val="20"/>
          <w:szCs w:val="20"/>
        </w:rPr>
        <w:t xml:space="preserve"> other economic activities grew in parallel to generat</w:t>
      </w:r>
      <w:r w:rsidR="00FA556C" w:rsidRPr="003516DC">
        <w:rPr>
          <w:sz w:val="20"/>
          <w:szCs w:val="20"/>
        </w:rPr>
        <w:t>e</w:t>
      </w:r>
      <w:r w:rsidRPr="003516DC">
        <w:rPr>
          <w:sz w:val="20"/>
          <w:szCs w:val="20"/>
        </w:rPr>
        <w:t xml:space="preserve"> </w:t>
      </w:r>
      <w:r w:rsidR="00FA556C" w:rsidRPr="003516DC">
        <w:rPr>
          <w:sz w:val="20"/>
          <w:szCs w:val="20"/>
        </w:rPr>
        <w:t xml:space="preserve">a </w:t>
      </w:r>
      <w:r w:rsidRPr="003516DC">
        <w:rPr>
          <w:sz w:val="20"/>
          <w:szCs w:val="20"/>
        </w:rPr>
        <w:t>gradually more diverse local business environment in Prahova. Some of the activities that generated significant growth over the past decades are related to oil processing and might have capitali</w:t>
      </w:r>
      <w:r w:rsidR="00FA556C" w:rsidRPr="003516DC">
        <w:rPr>
          <w:sz w:val="20"/>
          <w:szCs w:val="20"/>
        </w:rPr>
        <w:t>s</w:t>
      </w:r>
      <w:r w:rsidRPr="003516DC">
        <w:rPr>
          <w:sz w:val="20"/>
          <w:szCs w:val="20"/>
        </w:rPr>
        <w:t>ed on the existing knowledge and skills of the local workforce. Thus, over the past decade (2010-2019), rubber, plastics and construction materials more than tripled in turnover (</w:t>
      </w:r>
      <w:r w:rsidR="00FA556C" w:rsidRPr="003516DC">
        <w:rPr>
          <w:sz w:val="20"/>
          <w:szCs w:val="20"/>
        </w:rPr>
        <w:t xml:space="preserve">RON </w:t>
      </w:r>
      <w:r w:rsidRPr="003516DC">
        <w:rPr>
          <w:sz w:val="20"/>
          <w:szCs w:val="20"/>
        </w:rPr>
        <w:t xml:space="preserve">0.56 bn to </w:t>
      </w:r>
      <w:r w:rsidR="00FA556C" w:rsidRPr="003516DC">
        <w:rPr>
          <w:sz w:val="20"/>
          <w:szCs w:val="20"/>
        </w:rPr>
        <w:t xml:space="preserve">RON </w:t>
      </w:r>
      <w:r w:rsidRPr="003516DC">
        <w:rPr>
          <w:sz w:val="20"/>
          <w:szCs w:val="20"/>
        </w:rPr>
        <w:t>2.09 bn) and the chemical industry more than doubled (</w:t>
      </w:r>
      <w:r w:rsidR="00E6725C" w:rsidRPr="003516DC">
        <w:rPr>
          <w:sz w:val="20"/>
          <w:szCs w:val="20"/>
        </w:rPr>
        <w:t xml:space="preserve">RON </w:t>
      </w:r>
      <w:r w:rsidRPr="003516DC">
        <w:rPr>
          <w:sz w:val="20"/>
          <w:szCs w:val="20"/>
        </w:rPr>
        <w:t xml:space="preserve">0.16 bn to </w:t>
      </w:r>
      <w:r w:rsidR="00E6725C" w:rsidRPr="003516DC">
        <w:rPr>
          <w:sz w:val="20"/>
          <w:szCs w:val="20"/>
        </w:rPr>
        <w:t xml:space="preserve">RON </w:t>
      </w:r>
      <w:r w:rsidRPr="003516DC">
        <w:rPr>
          <w:sz w:val="20"/>
          <w:szCs w:val="20"/>
        </w:rPr>
        <w:t>0.35 bn).</w:t>
      </w:r>
      <w:r w:rsidR="00725589" w:rsidRPr="003516DC">
        <w:rPr>
          <w:sz w:val="20"/>
          <w:szCs w:val="20"/>
        </w:rPr>
        <w:t xml:space="preserve"> See Annex 3.</w:t>
      </w:r>
    </w:p>
    <w:p w14:paraId="3159929D" w14:textId="6DAA9367" w:rsidR="00AE21C0" w:rsidRPr="00A2362B" w:rsidRDefault="00AE21C0" w:rsidP="00E42342">
      <w:pPr>
        <w:pStyle w:val="ListParagraph"/>
        <w:numPr>
          <w:ilvl w:val="0"/>
          <w:numId w:val="117"/>
        </w:numPr>
        <w:spacing w:after="120" w:line="240" w:lineRule="auto"/>
        <w:ind w:left="360"/>
        <w:contextualSpacing w:val="0"/>
        <w:jc w:val="both"/>
        <w:rPr>
          <w:sz w:val="20"/>
          <w:szCs w:val="20"/>
        </w:rPr>
      </w:pPr>
      <w:r w:rsidRPr="003516DC">
        <w:rPr>
          <w:sz w:val="20"/>
          <w:szCs w:val="20"/>
        </w:rPr>
        <w:t>However, other economic activities have capitali</w:t>
      </w:r>
      <w:r w:rsidR="00F96C7E" w:rsidRPr="003516DC">
        <w:rPr>
          <w:sz w:val="20"/>
          <w:szCs w:val="20"/>
        </w:rPr>
        <w:t>s</w:t>
      </w:r>
      <w:r w:rsidRPr="003516DC">
        <w:rPr>
          <w:sz w:val="20"/>
          <w:szCs w:val="20"/>
        </w:rPr>
        <w:t xml:space="preserve">ed on different comparative advantages of Prahova. For instance, the food and drinks industry grew </w:t>
      </w:r>
      <w:r w:rsidR="00F96C7E" w:rsidRPr="003516DC">
        <w:rPr>
          <w:sz w:val="20"/>
          <w:szCs w:val="20"/>
        </w:rPr>
        <w:t xml:space="preserve">from RON </w:t>
      </w:r>
      <w:r w:rsidRPr="003516DC">
        <w:rPr>
          <w:sz w:val="20"/>
          <w:szCs w:val="20"/>
        </w:rPr>
        <w:t xml:space="preserve">1.9 bn to 3.5 bn in turnover </w:t>
      </w:r>
      <w:r w:rsidRPr="003516DC">
        <w:rPr>
          <w:sz w:val="20"/>
          <w:szCs w:val="20"/>
        </w:rPr>
        <w:lastRenderedPageBreak/>
        <w:t xml:space="preserve">(2010-2019), favoured by the large client base of the capital city region and the southern agricultural land reserves. Meat production and processing as well as flour milling, bread and pastry industry, generate the highest turnover of the food and drinks industry. The drinks industry – which is intensive in transport costs, </w:t>
      </w:r>
      <w:r w:rsidR="00C07552" w:rsidRPr="003516DC">
        <w:rPr>
          <w:sz w:val="20"/>
          <w:szCs w:val="20"/>
        </w:rPr>
        <w:t xml:space="preserve">and </w:t>
      </w:r>
      <w:r w:rsidRPr="003516DC">
        <w:rPr>
          <w:sz w:val="20"/>
          <w:szCs w:val="20"/>
        </w:rPr>
        <w:t xml:space="preserve">thus sensitive to proximity to distribution markets – has also been growing, both in terms of refreshments and alcoholic drinks. The latter is a particular feature of Prahova </w:t>
      </w:r>
      <w:r w:rsidR="00FF34FD">
        <w:rPr>
          <w:sz w:val="20"/>
          <w:szCs w:val="20"/>
        </w:rPr>
        <w:t>–</w:t>
      </w:r>
      <w:r w:rsidRPr="003516DC">
        <w:rPr>
          <w:sz w:val="20"/>
          <w:szCs w:val="20"/>
        </w:rPr>
        <w:t xml:space="preserve"> the Subcarpathian hills of Prahova </w:t>
      </w:r>
      <w:r w:rsidR="00C07552" w:rsidRPr="003516DC">
        <w:rPr>
          <w:sz w:val="20"/>
          <w:szCs w:val="20"/>
        </w:rPr>
        <w:t xml:space="preserve">provide </w:t>
      </w:r>
      <w:r w:rsidRPr="003516DC">
        <w:rPr>
          <w:sz w:val="20"/>
          <w:szCs w:val="20"/>
        </w:rPr>
        <w:t xml:space="preserve">some of Romania’s best wineries. Prahova generated in 2019 </w:t>
      </w:r>
      <w:r w:rsidR="00487292" w:rsidRPr="003516DC">
        <w:rPr>
          <w:sz w:val="20"/>
          <w:szCs w:val="20"/>
        </w:rPr>
        <w:t xml:space="preserve">RON </w:t>
      </w:r>
      <w:r w:rsidRPr="003516DC">
        <w:rPr>
          <w:sz w:val="20"/>
          <w:szCs w:val="20"/>
        </w:rPr>
        <w:t xml:space="preserve">177 m in turnover for wine production, while </w:t>
      </w:r>
      <w:r w:rsidR="00487292" w:rsidRPr="003516DC">
        <w:rPr>
          <w:sz w:val="20"/>
          <w:szCs w:val="20"/>
        </w:rPr>
        <w:t>the</w:t>
      </w:r>
      <w:r w:rsidRPr="003516DC">
        <w:rPr>
          <w:sz w:val="20"/>
          <w:szCs w:val="20"/>
        </w:rPr>
        <w:t xml:space="preserve"> other </w:t>
      </w:r>
      <w:r w:rsidR="00487292" w:rsidRPr="003516DC">
        <w:rPr>
          <w:sz w:val="20"/>
          <w:szCs w:val="20"/>
        </w:rPr>
        <w:t>five</w:t>
      </w:r>
      <w:r w:rsidRPr="003516DC">
        <w:rPr>
          <w:sz w:val="20"/>
          <w:szCs w:val="20"/>
        </w:rPr>
        <w:t xml:space="preserve"> JTP regions generated </w:t>
      </w:r>
      <w:r w:rsidR="00487292" w:rsidRPr="003516DC">
        <w:rPr>
          <w:sz w:val="20"/>
          <w:szCs w:val="20"/>
        </w:rPr>
        <w:t xml:space="preserve">RON </w:t>
      </w:r>
      <w:r w:rsidRPr="003516DC">
        <w:rPr>
          <w:sz w:val="20"/>
          <w:szCs w:val="20"/>
        </w:rPr>
        <w:t>5</w:t>
      </w:r>
      <w:r w:rsidR="00487292" w:rsidRPr="003516DC">
        <w:rPr>
          <w:sz w:val="20"/>
          <w:szCs w:val="20"/>
        </w:rPr>
        <w:t>.</w:t>
      </w:r>
      <w:r w:rsidRPr="003516DC">
        <w:rPr>
          <w:sz w:val="20"/>
          <w:szCs w:val="20"/>
        </w:rPr>
        <w:t xml:space="preserve">8 m </w:t>
      </w:r>
      <w:r w:rsidR="00487292" w:rsidRPr="003516DC">
        <w:rPr>
          <w:sz w:val="20"/>
          <w:szCs w:val="20"/>
        </w:rPr>
        <w:t>combined</w:t>
      </w:r>
      <w:r w:rsidRPr="003516DC">
        <w:rPr>
          <w:sz w:val="20"/>
          <w:szCs w:val="20"/>
        </w:rPr>
        <w:t>.</w:t>
      </w:r>
    </w:p>
    <w:p w14:paraId="2B01BA8E" w14:textId="2987C374" w:rsidR="00AE21C0" w:rsidRPr="00A2362B" w:rsidRDefault="00AE21C0" w:rsidP="00E42342">
      <w:pPr>
        <w:pStyle w:val="ListParagraph"/>
        <w:numPr>
          <w:ilvl w:val="0"/>
          <w:numId w:val="117"/>
        </w:numPr>
        <w:spacing w:after="120" w:line="240" w:lineRule="auto"/>
        <w:ind w:left="360"/>
        <w:contextualSpacing w:val="0"/>
        <w:jc w:val="both"/>
        <w:rPr>
          <w:sz w:val="20"/>
          <w:szCs w:val="20"/>
        </w:rPr>
      </w:pPr>
      <w:r w:rsidRPr="003516DC">
        <w:rPr>
          <w:sz w:val="20"/>
          <w:szCs w:val="20"/>
        </w:rPr>
        <w:t xml:space="preserve">Prahova has been and still is one of the Romanian counties most developed in tourism, favoured by the chain of mountain resorts along Prahova Valley (northern part of the county) and the proximity of a large pool of people in the Capital region seeking weekend leisure and tourist attractions. The tourism industry generates </w:t>
      </w:r>
      <w:r w:rsidR="00EC49E0" w:rsidRPr="003516DC">
        <w:rPr>
          <w:sz w:val="20"/>
          <w:szCs w:val="20"/>
        </w:rPr>
        <w:t xml:space="preserve">RON </w:t>
      </w:r>
      <w:r w:rsidRPr="003516DC">
        <w:rPr>
          <w:sz w:val="20"/>
          <w:szCs w:val="20"/>
        </w:rPr>
        <w:t>808.6 m</w:t>
      </w:r>
      <w:r w:rsidR="00AE77D9" w:rsidRPr="003516DC">
        <w:rPr>
          <w:rStyle w:val="FootnoteReference"/>
          <w:sz w:val="20"/>
          <w:szCs w:val="20"/>
        </w:rPr>
        <w:footnoteReference w:id="108"/>
      </w:r>
      <w:r w:rsidRPr="003516DC">
        <w:rPr>
          <w:sz w:val="20"/>
          <w:szCs w:val="20"/>
        </w:rPr>
        <w:t xml:space="preserve">, a volume </w:t>
      </w:r>
      <w:r w:rsidR="000415EE" w:rsidRPr="003516DC">
        <w:rPr>
          <w:sz w:val="20"/>
          <w:szCs w:val="20"/>
        </w:rPr>
        <w:t xml:space="preserve">that </w:t>
      </w:r>
      <w:r w:rsidRPr="003516DC">
        <w:rPr>
          <w:sz w:val="20"/>
          <w:szCs w:val="20"/>
        </w:rPr>
        <w:t xml:space="preserve">doubled </w:t>
      </w:r>
      <w:r w:rsidR="000415EE" w:rsidRPr="003516DC">
        <w:rPr>
          <w:sz w:val="20"/>
          <w:szCs w:val="20"/>
        </w:rPr>
        <w:t xml:space="preserve">from </w:t>
      </w:r>
      <w:r w:rsidRPr="003516DC">
        <w:rPr>
          <w:sz w:val="20"/>
          <w:szCs w:val="20"/>
        </w:rPr>
        <w:t>2010</w:t>
      </w:r>
      <w:r w:rsidR="000415EE" w:rsidRPr="003516DC">
        <w:rPr>
          <w:sz w:val="20"/>
          <w:szCs w:val="20"/>
        </w:rPr>
        <w:t xml:space="preserve"> to </w:t>
      </w:r>
      <w:r w:rsidRPr="003516DC">
        <w:rPr>
          <w:sz w:val="20"/>
          <w:szCs w:val="20"/>
        </w:rPr>
        <w:t xml:space="preserve">2019. </w:t>
      </w:r>
      <w:r w:rsidR="00E15886" w:rsidRPr="003516DC">
        <w:rPr>
          <w:sz w:val="20"/>
          <w:szCs w:val="20"/>
        </w:rPr>
        <w:t xml:space="preserve">Although </w:t>
      </w:r>
      <w:r w:rsidRPr="003516DC">
        <w:rPr>
          <w:sz w:val="20"/>
          <w:szCs w:val="20"/>
        </w:rPr>
        <w:t xml:space="preserve">Prahova Valley is already suffering </w:t>
      </w:r>
      <w:r w:rsidR="00E15886" w:rsidRPr="003516DC">
        <w:rPr>
          <w:sz w:val="20"/>
          <w:szCs w:val="20"/>
        </w:rPr>
        <w:t xml:space="preserve">from </w:t>
      </w:r>
      <w:r w:rsidRPr="003516DC">
        <w:rPr>
          <w:sz w:val="20"/>
          <w:szCs w:val="20"/>
        </w:rPr>
        <w:t xml:space="preserve">congestion, stakeholder consultations </w:t>
      </w:r>
      <w:r w:rsidR="00B44539" w:rsidRPr="003516DC">
        <w:rPr>
          <w:sz w:val="20"/>
          <w:szCs w:val="20"/>
        </w:rPr>
        <w:t xml:space="preserve">indicated </w:t>
      </w:r>
      <w:r w:rsidRPr="003516DC">
        <w:rPr>
          <w:sz w:val="20"/>
          <w:szCs w:val="20"/>
        </w:rPr>
        <w:t xml:space="preserve">that other areas within Prahova still have significant potential to grow – the winery hills of Dealu Mare and other mountain valleys such as Teleajen, Doftana etc. </w:t>
      </w:r>
      <w:r w:rsidR="00B44539" w:rsidRPr="003516DC">
        <w:rPr>
          <w:sz w:val="20"/>
          <w:szCs w:val="20"/>
        </w:rPr>
        <w:t>However,</w:t>
      </w:r>
      <w:r w:rsidRPr="003516DC">
        <w:rPr>
          <w:sz w:val="20"/>
          <w:szCs w:val="20"/>
        </w:rPr>
        <w:t xml:space="preserve"> this would need a boost in terms of accommodation capacit</w:t>
      </w:r>
      <w:r w:rsidR="00BC4E9D" w:rsidRPr="003516DC">
        <w:rPr>
          <w:sz w:val="20"/>
          <w:szCs w:val="20"/>
        </w:rPr>
        <w:t>y</w:t>
      </w:r>
      <w:r w:rsidRPr="003516DC">
        <w:rPr>
          <w:sz w:val="20"/>
          <w:szCs w:val="20"/>
        </w:rPr>
        <w:t>, improved accessibility and better organi</w:t>
      </w:r>
      <w:r w:rsidR="00BC4E9D" w:rsidRPr="003516DC">
        <w:rPr>
          <w:sz w:val="20"/>
          <w:szCs w:val="20"/>
        </w:rPr>
        <w:t>s</w:t>
      </w:r>
      <w:r w:rsidRPr="003516DC">
        <w:rPr>
          <w:sz w:val="20"/>
          <w:szCs w:val="20"/>
        </w:rPr>
        <w:t xml:space="preserve">ed tourist attractions and services. However, the HORECA industry has been also pinpointed for its low salary levels </w:t>
      </w:r>
      <w:r w:rsidR="00BC4E9D" w:rsidRPr="003516DC">
        <w:rPr>
          <w:sz w:val="20"/>
          <w:szCs w:val="20"/>
        </w:rPr>
        <w:t>and</w:t>
      </w:r>
      <w:r w:rsidRPr="003516DC">
        <w:rPr>
          <w:sz w:val="20"/>
          <w:szCs w:val="20"/>
        </w:rPr>
        <w:t xml:space="preserve"> fluctuating employment, given seasonality and </w:t>
      </w:r>
      <w:r w:rsidR="00BC4E9D" w:rsidRPr="003516DC">
        <w:rPr>
          <w:sz w:val="20"/>
          <w:szCs w:val="20"/>
        </w:rPr>
        <w:t>the</w:t>
      </w:r>
      <w:r w:rsidRPr="003516DC">
        <w:rPr>
          <w:sz w:val="20"/>
          <w:szCs w:val="20"/>
        </w:rPr>
        <w:t xml:space="preserve"> impact of Covid</w:t>
      </w:r>
      <w:r w:rsidR="00BC4E9D" w:rsidRPr="003516DC">
        <w:rPr>
          <w:sz w:val="20"/>
          <w:szCs w:val="20"/>
        </w:rPr>
        <w:t>-</w:t>
      </w:r>
      <w:r w:rsidRPr="003516DC">
        <w:rPr>
          <w:sz w:val="20"/>
          <w:szCs w:val="20"/>
        </w:rPr>
        <w:t>19. In this respect, a professionali</w:t>
      </w:r>
      <w:r w:rsidR="00787B5B" w:rsidRPr="003516DC">
        <w:rPr>
          <w:sz w:val="20"/>
          <w:szCs w:val="20"/>
        </w:rPr>
        <w:t>s</w:t>
      </w:r>
      <w:r w:rsidRPr="003516DC">
        <w:rPr>
          <w:sz w:val="20"/>
          <w:szCs w:val="20"/>
        </w:rPr>
        <w:t xml:space="preserve">ation of the sector – with support for better Tourism Destination Management and diversification of services to ensure round-the-year occupation – would </w:t>
      </w:r>
      <w:r w:rsidR="00787B5B" w:rsidRPr="003516DC">
        <w:rPr>
          <w:sz w:val="20"/>
          <w:szCs w:val="20"/>
        </w:rPr>
        <w:t xml:space="preserve">help the local economy and employment </w:t>
      </w:r>
      <w:r w:rsidRPr="003516DC">
        <w:rPr>
          <w:sz w:val="20"/>
          <w:szCs w:val="20"/>
        </w:rPr>
        <w:t xml:space="preserve">reap the </w:t>
      </w:r>
      <w:r w:rsidR="00D17364" w:rsidRPr="003516DC">
        <w:rPr>
          <w:sz w:val="20"/>
          <w:szCs w:val="20"/>
        </w:rPr>
        <w:t>potential benefits</w:t>
      </w:r>
      <w:r w:rsidRPr="003516DC">
        <w:rPr>
          <w:sz w:val="20"/>
          <w:szCs w:val="20"/>
        </w:rPr>
        <w:t>.</w:t>
      </w:r>
    </w:p>
    <w:p w14:paraId="67EFF41F" w14:textId="476DE294" w:rsidR="005702CA" w:rsidRPr="003516DC" w:rsidRDefault="005702CA" w:rsidP="00597139">
      <w:pPr>
        <w:pStyle w:val="Caption"/>
        <w:spacing w:before="120"/>
      </w:pPr>
      <w:bookmarkStart w:id="241" w:name="_Toc90726006"/>
      <w:bookmarkStart w:id="242" w:name="_Toc90727303"/>
      <w:r w:rsidRPr="003516DC">
        <w:t xml:space="preserve">Table </w:t>
      </w:r>
      <w:r w:rsidR="00481651" w:rsidRPr="003516DC">
        <w:rPr>
          <w:noProof/>
        </w:rPr>
        <w:fldChar w:fldCharType="begin"/>
      </w:r>
      <w:r w:rsidR="00481651" w:rsidRPr="003516DC">
        <w:rPr>
          <w:noProof/>
        </w:rPr>
        <w:instrText xml:space="preserve"> SEQ Table \* ARABIC </w:instrText>
      </w:r>
      <w:r w:rsidR="00481651" w:rsidRPr="003516DC">
        <w:rPr>
          <w:noProof/>
        </w:rPr>
        <w:fldChar w:fldCharType="separate"/>
      </w:r>
      <w:r w:rsidR="004E2DCB">
        <w:rPr>
          <w:noProof/>
        </w:rPr>
        <w:t>52</w:t>
      </w:r>
      <w:r w:rsidR="00481651" w:rsidRPr="003516DC">
        <w:rPr>
          <w:noProof/>
        </w:rPr>
        <w:fldChar w:fldCharType="end"/>
      </w:r>
      <w:r w:rsidRPr="003516DC">
        <w:t>: Economic sector tr</w:t>
      </w:r>
      <w:r w:rsidR="00350AA9" w:rsidRPr="003516DC">
        <w:t xml:space="preserve">ends during 2010-2019: Prahova </w:t>
      </w:r>
      <w:r w:rsidR="00146078">
        <w:t>C</w:t>
      </w:r>
      <w:r w:rsidRPr="003516DC">
        <w:t>ounty</w:t>
      </w:r>
      <w:bookmarkEnd w:id="241"/>
      <w:bookmarkEnd w:id="242"/>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2690"/>
        <w:gridCol w:w="1413"/>
        <w:gridCol w:w="1639"/>
        <w:gridCol w:w="1532"/>
        <w:gridCol w:w="1655"/>
      </w:tblGrid>
      <w:tr w:rsidR="006F5F7C" w:rsidRPr="003516DC" w14:paraId="5B36CCC1" w14:textId="77777777" w:rsidTr="00D963B9">
        <w:trPr>
          <w:trHeight w:val="495"/>
        </w:trPr>
        <w:tc>
          <w:tcPr>
            <w:tcW w:w="1506" w:type="pct"/>
            <w:shd w:val="clear" w:color="000000" w:fill="002060"/>
            <w:vAlign w:val="center"/>
            <w:hideMark/>
          </w:tcPr>
          <w:p w14:paraId="4799D356" w14:textId="77777777" w:rsidR="006F5F7C" w:rsidRPr="003516DC" w:rsidRDefault="006F5F7C"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Economic sector</w:t>
            </w:r>
          </w:p>
        </w:tc>
        <w:tc>
          <w:tcPr>
            <w:tcW w:w="791" w:type="pct"/>
            <w:shd w:val="clear" w:color="000000" w:fill="002060"/>
            <w:vAlign w:val="center"/>
            <w:hideMark/>
          </w:tcPr>
          <w:p w14:paraId="734D68E0" w14:textId="77777777" w:rsidR="006F5F7C" w:rsidRPr="003516DC" w:rsidRDefault="006F5F7C"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PH County Turnover in 2019</w:t>
            </w:r>
          </w:p>
        </w:tc>
        <w:tc>
          <w:tcPr>
            <w:tcW w:w="918" w:type="pct"/>
            <w:shd w:val="clear" w:color="000000" w:fill="002060"/>
            <w:vAlign w:val="center"/>
            <w:hideMark/>
          </w:tcPr>
          <w:p w14:paraId="7BBD4305" w14:textId="77777777" w:rsidR="006F5F7C" w:rsidRPr="003516DC" w:rsidRDefault="006F5F7C"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turnover 2019-2010</w:t>
            </w:r>
          </w:p>
        </w:tc>
        <w:tc>
          <w:tcPr>
            <w:tcW w:w="858" w:type="pct"/>
            <w:shd w:val="clear" w:color="000000" w:fill="002060"/>
            <w:vAlign w:val="center"/>
            <w:hideMark/>
          </w:tcPr>
          <w:p w14:paraId="26C11B84" w14:textId="77777777" w:rsidR="006F5F7C" w:rsidRPr="003516DC" w:rsidRDefault="006F5F7C"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PH County Employment in 2019</w:t>
            </w:r>
          </w:p>
        </w:tc>
        <w:tc>
          <w:tcPr>
            <w:tcW w:w="928" w:type="pct"/>
            <w:shd w:val="clear" w:color="000000" w:fill="002060"/>
            <w:vAlign w:val="center"/>
            <w:hideMark/>
          </w:tcPr>
          <w:p w14:paraId="594964CD" w14:textId="77777777" w:rsidR="006F5F7C" w:rsidRPr="003516DC" w:rsidRDefault="006F5F7C"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employment 2019-2010</w:t>
            </w:r>
          </w:p>
        </w:tc>
      </w:tr>
      <w:tr w:rsidR="006F5F7C" w:rsidRPr="003516DC" w14:paraId="1AED3417" w14:textId="77777777" w:rsidTr="00D963B9">
        <w:trPr>
          <w:trHeight w:val="465"/>
        </w:trPr>
        <w:tc>
          <w:tcPr>
            <w:tcW w:w="1506" w:type="pct"/>
            <w:shd w:val="clear" w:color="000000" w:fill="FFFFFF"/>
            <w:noWrap/>
            <w:vAlign w:val="center"/>
            <w:hideMark/>
          </w:tcPr>
          <w:p w14:paraId="6059E732"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791" w:type="pct"/>
            <w:shd w:val="clear" w:color="auto" w:fill="C2D69B" w:themeFill="accent3" w:themeFillTint="99"/>
            <w:noWrap/>
            <w:vAlign w:val="center"/>
            <w:hideMark/>
          </w:tcPr>
          <w:p w14:paraId="74075642"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2.11%</w:t>
            </w:r>
          </w:p>
        </w:tc>
        <w:tc>
          <w:tcPr>
            <w:tcW w:w="918" w:type="pct"/>
            <w:shd w:val="clear" w:color="auto" w:fill="C2D69B" w:themeFill="accent3" w:themeFillTint="99"/>
            <w:vAlign w:val="center"/>
            <w:hideMark/>
          </w:tcPr>
          <w:p w14:paraId="58850DCC"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106.05%</w:t>
            </w:r>
          </w:p>
        </w:tc>
        <w:tc>
          <w:tcPr>
            <w:tcW w:w="858" w:type="pct"/>
            <w:shd w:val="clear" w:color="auto" w:fill="C2D69B" w:themeFill="accent3" w:themeFillTint="99"/>
            <w:vAlign w:val="center"/>
            <w:hideMark/>
          </w:tcPr>
          <w:p w14:paraId="036F33A3"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2.54%</w:t>
            </w:r>
          </w:p>
        </w:tc>
        <w:tc>
          <w:tcPr>
            <w:tcW w:w="928" w:type="pct"/>
            <w:shd w:val="clear" w:color="auto" w:fill="C2D69B" w:themeFill="accent3" w:themeFillTint="99"/>
            <w:vAlign w:val="center"/>
            <w:hideMark/>
          </w:tcPr>
          <w:p w14:paraId="5C1CB69A"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27.50%</w:t>
            </w:r>
          </w:p>
        </w:tc>
      </w:tr>
      <w:tr w:rsidR="006F5F7C" w:rsidRPr="003516DC" w14:paraId="6DE440B5" w14:textId="77777777" w:rsidTr="00D963B9">
        <w:trPr>
          <w:trHeight w:val="495"/>
        </w:trPr>
        <w:tc>
          <w:tcPr>
            <w:tcW w:w="1506" w:type="pct"/>
            <w:shd w:val="clear" w:color="000000" w:fill="FFFFFF"/>
            <w:vAlign w:val="center"/>
            <w:hideMark/>
          </w:tcPr>
          <w:p w14:paraId="18F42269"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Mining Energy production &amp;Distribution</w:t>
            </w:r>
          </w:p>
        </w:tc>
        <w:tc>
          <w:tcPr>
            <w:tcW w:w="791" w:type="pct"/>
            <w:shd w:val="clear" w:color="auto" w:fill="FF7575"/>
            <w:noWrap/>
            <w:vAlign w:val="center"/>
            <w:hideMark/>
          </w:tcPr>
          <w:p w14:paraId="68D8D7A1"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4.24%</w:t>
            </w:r>
          </w:p>
        </w:tc>
        <w:tc>
          <w:tcPr>
            <w:tcW w:w="918" w:type="pct"/>
            <w:shd w:val="clear" w:color="auto" w:fill="FF7575"/>
            <w:vAlign w:val="center"/>
            <w:hideMark/>
          </w:tcPr>
          <w:p w14:paraId="61D5323F"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-20.09%</w:t>
            </w:r>
          </w:p>
        </w:tc>
        <w:tc>
          <w:tcPr>
            <w:tcW w:w="858" w:type="pct"/>
            <w:shd w:val="clear" w:color="auto" w:fill="FF7575"/>
            <w:vAlign w:val="center"/>
            <w:hideMark/>
          </w:tcPr>
          <w:p w14:paraId="4AF59744"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4.89%</w:t>
            </w:r>
          </w:p>
        </w:tc>
        <w:tc>
          <w:tcPr>
            <w:tcW w:w="928" w:type="pct"/>
            <w:shd w:val="clear" w:color="auto" w:fill="FF7575"/>
            <w:vAlign w:val="center"/>
            <w:hideMark/>
          </w:tcPr>
          <w:p w14:paraId="4AB8F99F"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-12.37%</w:t>
            </w:r>
          </w:p>
        </w:tc>
      </w:tr>
      <w:tr w:rsidR="006F5F7C" w:rsidRPr="003516DC" w14:paraId="69E30B40" w14:textId="77777777" w:rsidTr="00D963B9">
        <w:trPr>
          <w:trHeight w:val="465"/>
        </w:trPr>
        <w:tc>
          <w:tcPr>
            <w:tcW w:w="1506" w:type="pct"/>
            <w:shd w:val="clear" w:color="000000" w:fill="FFFFFF"/>
            <w:noWrap/>
            <w:vAlign w:val="center"/>
            <w:hideMark/>
          </w:tcPr>
          <w:p w14:paraId="689345A7"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791" w:type="pct"/>
            <w:shd w:val="clear" w:color="auto" w:fill="C2D69B" w:themeFill="accent3" w:themeFillTint="99"/>
            <w:noWrap/>
            <w:vAlign w:val="center"/>
            <w:hideMark/>
          </w:tcPr>
          <w:p w14:paraId="74E41911"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36.33%</w:t>
            </w:r>
          </w:p>
        </w:tc>
        <w:tc>
          <w:tcPr>
            <w:tcW w:w="918" w:type="pct"/>
            <w:shd w:val="clear" w:color="auto" w:fill="C2D69B" w:themeFill="accent3" w:themeFillTint="99"/>
            <w:vAlign w:val="center"/>
            <w:hideMark/>
          </w:tcPr>
          <w:p w14:paraId="6DA2959D"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71.40%</w:t>
            </w:r>
          </w:p>
        </w:tc>
        <w:tc>
          <w:tcPr>
            <w:tcW w:w="858" w:type="pct"/>
            <w:shd w:val="clear" w:color="auto" w:fill="C2D69B" w:themeFill="accent3" w:themeFillTint="99"/>
            <w:vAlign w:val="center"/>
            <w:hideMark/>
          </w:tcPr>
          <w:p w14:paraId="11528C5E"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34.06%</w:t>
            </w:r>
          </w:p>
        </w:tc>
        <w:tc>
          <w:tcPr>
            <w:tcW w:w="928" w:type="pct"/>
            <w:shd w:val="clear" w:color="auto" w:fill="C2D69B" w:themeFill="accent3" w:themeFillTint="99"/>
            <w:vAlign w:val="center"/>
            <w:hideMark/>
          </w:tcPr>
          <w:p w14:paraId="26DFAE0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6.99%</w:t>
            </w:r>
          </w:p>
        </w:tc>
      </w:tr>
      <w:tr w:rsidR="006F5F7C" w:rsidRPr="003516DC" w14:paraId="14C76934" w14:textId="77777777" w:rsidTr="00D963B9">
        <w:trPr>
          <w:trHeight w:val="465"/>
        </w:trPr>
        <w:tc>
          <w:tcPr>
            <w:tcW w:w="1506" w:type="pct"/>
            <w:shd w:val="clear" w:color="000000" w:fill="FFFFFF"/>
            <w:noWrap/>
            <w:vAlign w:val="center"/>
            <w:hideMark/>
          </w:tcPr>
          <w:p w14:paraId="46338E83"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791" w:type="pct"/>
            <w:shd w:val="clear" w:color="auto" w:fill="D9D9D9" w:themeFill="background1" w:themeFillShade="D9"/>
            <w:noWrap/>
            <w:vAlign w:val="center"/>
            <w:hideMark/>
          </w:tcPr>
          <w:p w14:paraId="42EEFF8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6.99%</w:t>
            </w:r>
          </w:p>
        </w:tc>
        <w:tc>
          <w:tcPr>
            <w:tcW w:w="918" w:type="pct"/>
            <w:shd w:val="clear" w:color="auto" w:fill="D9D9D9" w:themeFill="background1" w:themeFillShade="D9"/>
            <w:vAlign w:val="center"/>
            <w:hideMark/>
          </w:tcPr>
          <w:p w14:paraId="65CD798A"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47.31%</w:t>
            </w:r>
          </w:p>
        </w:tc>
        <w:tc>
          <w:tcPr>
            <w:tcW w:w="858" w:type="pct"/>
            <w:shd w:val="clear" w:color="auto" w:fill="D9D9D9" w:themeFill="background1" w:themeFillShade="D9"/>
            <w:vAlign w:val="center"/>
            <w:hideMark/>
          </w:tcPr>
          <w:p w14:paraId="16BC9660"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10.12%</w:t>
            </w:r>
          </w:p>
        </w:tc>
        <w:tc>
          <w:tcPr>
            <w:tcW w:w="928" w:type="pct"/>
            <w:shd w:val="clear" w:color="auto" w:fill="D9D9D9" w:themeFill="background1" w:themeFillShade="D9"/>
            <w:vAlign w:val="center"/>
            <w:hideMark/>
          </w:tcPr>
          <w:p w14:paraId="5BE1A249"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-5.42%</w:t>
            </w:r>
          </w:p>
        </w:tc>
      </w:tr>
      <w:tr w:rsidR="006F5F7C" w:rsidRPr="003516DC" w14:paraId="317E8534" w14:textId="77777777" w:rsidTr="00D963B9">
        <w:trPr>
          <w:trHeight w:val="465"/>
        </w:trPr>
        <w:tc>
          <w:tcPr>
            <w:tcW w:w="1506" w:type="pct"/>
            <w:shd w:val="clear" w:color="000000" w:fill="FFFFFF"/>
            <w:noWrap/>
            <w:vAlign w:val="center"/>
            <w:hideMark/>
          </w:tcPr>
          <w:p w14:paraId="411BB726"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791" w:type="pct"/>
            <w:shd w:val="clear" w:color="auto" w:fill="C2D69B" w:themeFill="accent3" w:themeFillTint="99"/>
            <w:noWrap/>
            <w:vAlign w:val="center"/>
            <w:hideMark/>
          </w:tcPr>
          <w:p w14:paraId="5F4DFCAD"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44.47%</w:t>
            </w:r>
          </w:p>
        </w:tc>
        <w:tc>
          <w:tcPr>
            <w:tcW w:w="918" w:type="pct"/>
            <w:shd w:val="clear" w:color="auto" w:fill="C2D69B" w:themeFill="accent3" w:themeFillTint="99"/>
            <w:vAlign w:val="center"/>
            <w:hideMark/>
          </w:tcPr>
          <w:p w14:paraId="4DE36AD0"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113.93%</w:t>
            </w:r>
          </w:p>
        </w:tc>
        <w:tc>
          <w:tcPr>
            <w:tcW w:w="858" w:type="pct"/>
            <w:shd w:val="clear" w:color="auto" w:fill="C2D69B" w:themeFill="accent3" w:themeFillTint="99"/>
            <w:vAlign w:val="center"/>
            <w:hideMark/>
          </w:tcPr>
          <w:p w14:paraId="288591F8"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34.25%</w:t>
            </w:r>
          </w:p>
        </w:tc>
        <w:tc>
          <w:tcPr>
            <w:tcW w:w="928" w:type="pct"/>
            <w:shd w:val="clear" w:color="auto" w:fill="C2D69B" w:themeFill="accent3" w:themeFillTint="99"/>
            <w:vAlign w:val="center"/>
            <w:hideMark/>
          </w:tcPr>
          <w:p w14:paraId="273D99DB"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18.24%</w:t>
            </w:r>
          </w:p>
        </w:tc>
      </w:tr>
      <w:tr w:rsidR="006F5F7C" w:rsidRPr="003516DC" w14:paraId="4B98C940" w14:textId="77777777" w:rsidTr="00D963B9">
        <w:trPr>
          <w:trHeight w:val="465"/>
        </w:trPr>
        <w:tc>
          <w:tcPr>
            <w:tcW w:w="1506" w:type="pct"/>
            <w:shd w:val="clear" w:color="000000" w:fill="FFFFFF"/>
            <w:noWrap/>
            <w:vAlign w:val="center"/>
            <w:hideMark/>
          </w:tcPr>
          <w:p w14:paraId="5DC8E9D1"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791" w:type="pct"/>
            <w:shd w:val="clear" w:color="auto" w:fill="FF7575"/>
            <w:noWrap/>
            <w:vAlign w:val="center"/>
            <w:hideMark/>
          </w:tcPr>
          <w:p w14:paraId="7FBED8AB"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0.59%</w:t>
            </w:r>
          </w:p>
        </w:tc>
        <w:tc>
          <w:tcPr>
            <w:tcW w:w="918" w:type="pct"/>
            <w:shd w:val="clear" w:color="auto" w:fill="FF7575"/>
            <w:vAlign w:val="center"/>
            <w:hideMark/>
          </w:tcPr>
          <w:p w14:paraId="578B0344"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-35.38%</w:t>
            </w:r>
          </w:p>
        </w:tc>
        <w:tc>
          <w:tcPr>
            <w:tcW w:w="858" w:type="pct"/>
            <w:shd w:val="clear" w:color="auto" w:fill="FF7575"/>
            <w:vAlign w:val="center"/>
            <w:hideMark/>
          </w:tcPr>
          <w:p w14:paraId="0B093E51"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1.09%</w:t>
            </w:r>
          </w:p>
        </w:tc>
        <w:tc>
          <w:tcPr>
            <w:tcW w:w="928" w:type="pct"/>
            <w:shd w:val="clear" w:color="auto" w:fill="FF7575"/>
            <w:vAlign w:val="center"/>
            <w:hideMark/>
          </w:tcPr>
          <w:p w14:paraId="7CA87181"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-5.74%</w:t>
            </w:r>
          </w:p>
        </w:tc>
      </w:tr>
      <w:tr w:rsidR="006F5F7C" w:rsidRPr="003516DC" w14:paraId="5C1C9705" w14:textId="77777777" w:rsidTr="00D963B9">
        <w:trPr>
          <w:trHeight w:val="465"/>
        </w:trPr>
        <w:tc>
          <w:tcPr>
            <w:tcW w:w="1506" w:type="pct"/>
            <w:shd w:val="clear" w:color="000000" w:fill="FFFFFF"/>
            <w:noWrap/>
            <w:vAlign w:val="center"/>
            <w:hideMark/>
          </w:tcPr>
          <w:p w14:paraId="3F6D8BBE"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791" w:type="pct"/>
            <w:shd w:val="clear" w:color="auto" w:fill="D9D9D9" w:themeFill="background1" w:themeFillShade="D9"/>
            <w:noWrap/>
            <w:vAlign w:val="center"/>
            <w:hideMark/>
          </w:tcPr>
          <w:p w14:paraId="6896DCA6"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0.41%</w:t>
            </w:r>
          </w:p>
        </w:tc>
        <w:tc>
          <w:tcPr>
            <w:tcW w:w="918" w:type="pct"/>
            <w:shd w:val="clear" w:color="auto" w:fill="D9D9D9" w:themeFill="background1" w:themeFillShade="D9"/>
            <w:vAlign w:val="center"/>
            <w:hideMark/>
          </w:tcPr>
          <w:p w14:paraId="7E9BCA5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184.99%</w:t>
            </w:r>
          </w:p>
        </w:tc>
        <w:tc>
          <w:tcPr>
            <w:tcW w:w="858" w:type="pct"/>
            <w:shd w:val="clear" w:color="auto" w:fill="D9D9D9" w:themeFill="background1" w:themeFillShade="D9"/>
            <w:vAlign w:val="center"/>
            <w:hideMark/>
          </w:tcPr>
          <w:p w14:paraId="39AE0CA6"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0.39%</w:t>
            </w:r>
          </w:p>
        </w:tc>
        <w:tc>
          <w:tcPr>
            <w:tcW w:w="928" w:type="pct"/>
            <w:shd w:val="clear" w:color="auto" w:fill="D9D9D9" w:themeFill="background1" w:themeFillShade="D9"/>
            <w:vAlign w:val="center"/>
            <w:hideMark/>
          </w:tcPr>
          <w:p w14:paraId="65281A30"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-0.85%</w:t>
            </w:r>
          </w:p>
        </w:tc>
      </w:tr>
      <w:tr w:rsidR="006F5F7C" w:rsidRPr="003516DC" w14:paraId="3C8B3E6A" w14:textId="77777777" w:rsidTr="00D963B9">
        <w:trPr>
          <w:trHeight w:val="465"/>
        </w:trPr>
        <w:tc>
          <w:tcPr>
            <w:tcW w:w="1506" w:type="pct"/>
            <w:shd w:val="clear" w:color="000000" w:fill="FFFFFF"/>
            <w:noWrap/>
            <w:vAlign w:val="center"/>
            <w:hideMark/>
          </w:tcPr>
          <w:p w14:paraId="4FDA7D46"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791" w:type="pct"/>
            <w:shd w:val="clear" w:color="auto" w:fill="D9D9D9" w:themeFill="background1" w:themeFillShade="D9"/>
            <w:noWrap/>
            <w:vAlign w:val="center"/>
            <w:hideMark/>
          </w:tcPr>
          <w:p w14:paraId="0C04B3D6"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0.41%</w:t>
            </w:r>
          </w:p>
        </w:tc>
        <w:tc>
          <w:tcPr>
            <w:tcW w:w="918" w:type="pct"/>
            <w:shd w:val="clear" w:color="auto" w:fill="D9D9D9" w:themeFill="background1" w:themeFillShade="D9"/>
            <w:vAlign w:val="center"/>
            <w:hideMark/>
          </w:tcPr>
          <w:p w14:paraId="2B73BE3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90.91%</w:t>
            </w:r>
          </w:p>
        </w:tc>
        <w:tc>
          <w:tcPr>
            <w:tcW w:w="858" w:type="pct"/>
            <w:shd w:val="clear" w:color="auto" w:fill="D9D9D9" w:themeFill="background1" w:themeFillShade="D9"/>
            <w:vAlign w:val="center"/>
            <w:hideMark/>
          </w:tcPr>
          <w:p w14:paraId="1254CA34"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0.65%</w:t>
            </w:r>
          </w:p>
        </w:tc>
        <w:tc>
          <w:tcPr>
            <w:tcW w:w="928" w:type="pct"/>
            <w:shd w:val="clear" w:color="auto" w:fill="D9D9D9" w:themeFill="background1" w:themeFillShade="D9"/>
            <w:vAlign w:val="center"/>
            <w:hideMark/>
          </w:tcPr>
          <w:p w14:paraId="59DDE34A"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-6.35%</w:t>
            </w:r>
          </w:p>
        </w:tc>
      </w:tr>
      <w:tr w:rsidR="006F5F7C" w:rsidRPr="003516DC" w14:paraId="1BB5B8FD" w14:textId="77777777" w:rsidTr="00D963B9">
        <w:trPr>
          <w:trHeight w:val="465"/>
        </w:trPr>
        <w:tc>
          <w:tcPr>
            <w:tcW w:w="1506" w:type="pct"/>
            <w:shd w:val="clear" w:color="000000" w:fill="FFFFFF"/>
            <w:noWrap/>
            <w:vAlign w:val="center"/>
            <w:hideMark/>
          </w:tcPr>
          <w:p w14:paraId="44E64558"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791" w:type="pct"/>
            <w:shd w:val="clear" w:color="auto" w:fill="D9D9D9" w:themeFill="background1" w:themeFillShade="D9"/>
            <w:noWrap/>
            <w:vAlign w:val="center"/>
            <w:hideMark/>
          </w:tcPr>
          <w:p w14:paraId="50FF1CD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3.33%</w:t>
            </w:r>
          </w:p>
        </w:tc>
        <w:tc>
          <w:tcPr>
            <w:tcW w:w="918" w:type="pct"/>
            <w:shd w:val="clear" w:color="auto" w:fill="D9D9D9" w:themeFill="background1" w:themeFillShade="D9"/>
            <w:vAlign w:val="center"/>
            <w:hideMark/>
          </w:tcPr>
          <w:p w14:paraId="6601E561"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73.27%</w:t>
            </w:r>
          </w:p>
        </w:tc>
        <w:tc>
          <w:tcPr>
            <w:tcW w:w="858" w:type="pct"/>
            <w:shd w:val="clear" w:color="auto" w:fill="D9D9D9" w:themeFill="background1" w:themeFillShade="D9"/>
            <w:vAlign w:val="center"/>
            <w:hideMark/>
          </w:tcPr>
          <w:p w14:paraId="71C99772"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7.96%</w:t>
            </w:r>
          </w:p>
        </w:tc>
        <w:tc>
          <w:tcPr>
            <w:tcW w:w="928" w:type="pct"/>
            <w:shd w:val="clear" w:color="auto" w:fill="D9D9D9" w:themeFill="background1" w:themeFillShade="D9"/>
            <w:vAlign w:val="center"/>
            <w:hideMark/>
          </w:tcPr>
          <w:p w14:paraId="5DC3EF1E"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-3.49%</w:t>
            </w:r>
          </w:p>
        </w:tc>
      </w:tr>
      <w:tr w:rsidR="006F5F7C" w:rsidRPr="003516DC" w14:paraId="14238E1E" w14:textId="77777777" w:rsidTr="00D963B9">
        <w:trPr>
          <w:trHeight w:val="465"/>
        </w:trPr>
        <w:tc>
          <w:tcPr>
            <w:tcW w:w="1506" w:type="pct"/>
            <w:shd w:val="clear" w:color="000000" w:fill="FFFFFF"/>
            <w:noWrap/>
            <w:vAlign w:val="center"/>
            <w:hideMark/>
          </w:tcPr>
          <w:p w14:paraId="25868486" w14:textId="77777777" w:rsidR="006F5F7C" w:rsidRPr="003516DC" w:rsidRDefault="006F5F7C"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791" w:type="pct"/>
            <w:shd w:val="clear" w:color="auto" w:fill="C2D69B" w:themeFill="accent3" w:themeFillTint="99"/>
            <w:noWrap/>
            <w:vAlign w:val="center"/>
            <w:hideMark/>
          </w:tcPr>
          <w:p w14:paraId="3496CE84"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1.11%</w:t>
            </w:r>
          </w:p>
        </w:tc>
        <w:tc>
          <w:tcPr>
            <w:tcW w:w="918" w:type="pct"/>
            <w:shd w:val="clear" w:color="auto" w:fill="C2D69B" w:themeFill="accent3" w:themeFillTint="99"/>
            <w:vAlign w:val="center"/>
            <w:hideMark/>
          </w:tcPr>
          <w:p w14:paraId="187D5C85"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141.61%</w:t>
            </w:r>
          </w:p>
        </w:tc>
        <w:tc>
          <w:tcPr>
            <w:tcW w:w="858" w:type="pct"/>
            <w:shd w:val="clear" w:color="auto" w:fill="C2D69B" w:themeFill="accent3" w:themeFillTint="99"/>
            <w:vAlign w:val="center"/>
            <w:hideMark/>
          </w:tcPr>
          <w:p w14:paraId="1C53277F"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4.04%</w:t>
            </w:r>
          </w:p>
        </w:tc>
        <w:tc>
          <w:tcPr>
            <w:tcW w:w="928" w:type="pct"/>
            <w:shd w:val="clear" w:color="auto" w:fill="C2D69B" w:themeFill="accent3" w:themeFillTint="99"/>
            <w:vAlign w:val="center"/>
            <w:hideMark/>
          </w:tcPr>
          <w:p w14:paraId="3D1EEA0F" w14:textId="77777777" w:rsidR="006F5F7C" w:rsidRPr="003516DC" w:rsidRDefault="006F5F7C"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47.08%</w:t>
            </w:r>
          </w:p>
        </w:tc>
      </w:tr>
    </w:tbl>
    <w:p w14:paraId="4882A4AF" w14:textId="353EE8F8" w:rsidR="005702CA" w:rsidRDefault="005702CA" w:rsidP="005702CA">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5ED9234E" w14:textId="77777777" w:rsidR="00F77450" w:rsidRDefault="00F77450" w:rsidP="00F77450">
      <w:pPr>
        <w:jc w:val="both"/>
        <w:rPr>
          <w:rFonts w:ascii="Arial" w:hAnsi="Arial" w:cs="Arial"/>
          <w:i/>
          <w:iCs/>
          <w:sz w:val="16"/>
          <w:szCs w:val="16"/>
        </w:rPr>
      </w:pPr>
      <w:r>
        <w:rPr>
          <w:rFonts w:ascii="Arial" w:hAnsi="Arial" w:cs="Arial"/>
          <w:i/>
          <w:iCs/>
          <w:sz w:val="16"/>
          <w:szCs w:val="16"/>
        </w:rPr>
        <w:t>*Legend: economic sectors highlighted in green registered growth in terms turnover and employment; economic sectors highlighted in red registered decreases in terms of both turnover and employment; economic sectors highlighted in grey registered diverging evolutions in terms of turnover and employment, e.g., growth in turnover and decrease in employment.</w:t>
      </w:r>
    </w:p>
    <w:p w14:paraId="4B88CE31" w14:textId="09ED5A59" w:rsidR="005736A7" w:rsidRDefault="005736A7" w:rsidP="005702CA">
      <w:pPr>
        <w:jc w:val="both"/>
        <w:rPr>
          <w:rFonts w:ascii="Arial" w:hAnsi="Arial" w:cs="Arial"/>
          <w:i/>
          <w:iCs/>
          <w:sz w:val="16"/>
          <w:szCs w:val="16"/>
        </w:rPr>
      </w:pPr>
    </w:p>
    <w:p w14:paraId="40FC97DE" w14:textId="61A16909" w:rsidR="005736A7" w:rsidRPr="005166AE" w:rsidRDefault="000543C0" w:rsidP="005736A7">
      <w:pPr>
        <w:jc w:val="both"/>
        <w:rPr>
          <w:rFonts w:ascii="Arial" w:hAnsi="Arial" w:cs="Arial"/>
          <w:sz w:val="20"/>
          <w:szCs w:val="20"/>
        </w:rPr>
      </w:pPr>
      <w:r>
        <w:rPr>
          <w:rFonts w:ascii="Arial" w:hAnsi="Arial" w:cs="Arial"/>
          <w:sz w:val="20"/>
          <w:szCs w:val="20"/>
        </w:rPr>
        <w:t>T</w:t>
      </w:r>
      <w:r w:rsidR="005736A7" w:rsidRPr="005166AE">
        <w:rPr>
          <w:rFonts w:ascii="Arial" w:hAnsi="Arial" w:cs="Arial"/>
          <w:sz w:val="20"/>
          <w:szCs w:val="20"/>
        </w:rPr>
        <w:t>able</w:t>
      </w:r>
      <w:r>
        <w:rPr>
          <w:rFonts w:ascii="Arial" w:hAnsi="Arial" w:cs="Arial"/>
          <w:sz w:val="20"/>
          <w:szCs w:val="20"/>
        </w:rPr>
        <w:t xml:space="preserve"> </w:t>
      </w:r>
      <w:r w:rsidR="004E2DCB">
        <w:rPr>
          <w:rFonts w:ascii="Arial" w:hAnsi="Arial" w:cs="Arial"/>
          <w:sz w:val="20"/>
          <w:szCs w:val="20"/>
        </w:rPr>
        <w:t>53</w:t>
      </w:r>
      <w:r w:rsidR="004E2DCB" w:rsidRPr="005166AE">
        <w:rPr>
          <w:rFonts w:ascii="Arial" w:hAnsi="Arial" w:cs="Arial"/>
          <w:sz w:val="20"/>
          <w:szCs w:val="20"/>
        </w:rPr>
        <w:t xml:space="preserve"> </w:t>
      </w:r>
      <w:r w:rsidR="005736A7" w:rsidRPr="005166AE">
        <w:rPr>
          <w:rFonts w:ascii="Arial" w:hAnsi="Arial" w:cs="Arial"/>
          <w:sz w:val="20"/>
          <w:szCs w:val="20"/>
        </w:rPr>
        <w:t xml:space="preserve">presents </w:t>
      </w:r>
      <w:r w:rsidR="00B50445">
        <w:rPr>
          <w:rFonts w:ascii="Arial" w:hAnsi="Arial" w:cs="Arial"/>
          <w:sz w:val="20"/>
          <w:szCs w:val="20"/>
        </w:rPr>
        <w:t xml:space="preserve">the </w:t>
      </w:r>
      <w:r w:rsidR="005736A7" w:rsidRPr="005166AE">
        <w:rPr>
          <w:rFonts w:ascii="Arial" w:hAnsi="Arial" w:cs="Arial"/>
          <w:sz w:val="20"/>
          <w:szCs w:val="20"/>
        </w:rPr>
        <w:t xml:space="preserve">top 10 companies in </w:t>
      </w:r>
      <w:r w:rsidR="005736A7">
        <w:rPr>
          <w:rFonts w:ascii="Arial" w:hAnsi="Arial" w:cs="Arial"/>
          <w:sz w:val="20"/>
          <w:szCs w:val="20"/>
        </w:rPr>
        <w:t>Prahova</w:t>
      </w:r>
      <w:r w:rsidR="00EE2BB0">
        <w:rPr>
          <w:rFonts w:ascii="Arial" w:hAnsi="Arial" w:cs="Arial"/>
          <w:sz w:val="20"/>
          <w:szCs w:val="20"/>
        </w:rPr>
        <w:t xml:space="preserve"> </w:t>
      </w:r>
      <w:r w:rsidR="00B50445">
        <w:rPr>
          <w:rFonts w:ascii="Arial" w:hAnsi="Arial" w:cs="Arial"/>
          <w:sz w:val="20"/>
          <w:szCs w:val="20"/>
        </w:rPr>
        <w:t>C</w:t>
      </w:r>
      <w:r w:rsidR="005736A7" w:rsidRPr="005166AE">
        <w:rPr>
          <w:rFonts w:ascii="Arial" w:hAnsi="Arial" w:cs="Arial"/>
          <w:sz w:val="20"/>
          <w:szCs w:val="20"/>
        </w:rPr>
        <w:t xml:space="preserve">ounty in terms of turnover and number of employees. The summary addresses the share of energy intensive companies, main economic sector, whether they are part of the European Union Emissions Trading Systems and whether they are affected by the transition. At </w:t>
      </w:r>
      <w:r w:rsidR="005473ED">
        <w:rPr>
          <w:rFonts w:ascii="Arial" w:hAnsi="Arial" w:cs="Arial"/>
          <w:sz w:val="20"/>
          <w:szCs w:val="20"/>
        </w:rPr>
        <w:t xml:space="preserve">the </w:t>
      </w:r>
      <w:r w:rsidR="005736A7" w:rsidRPr="005166AE">
        <w:rPr>
          <w:rFonts w:ascii="Arial" w:hAnsi="Arial" w:cs="Arial"/>
          <w:sz w:val="20"/>
          <w:szCs w:val="20"/>
        </w:rPr>
        <w:t xml:space="preserve">county level, there are </w:t>
      </w:r>
      <w:r w:rsidR="005473ED">
        <w:rPr>
          <w:rFonts w:ascii="Arial" w:hAnsi="Arial" w:cs="Arial"/>
          <w:sz w:val="20"/>
          <w:szCs w:val="20"/>
        </w:rPr>
        <w:t xml:space="preserve">a total of </w:t>
      </w:r>
      <w:r w:rsidR="005736A7">
        <w:rPr>
          <w:rFonts w:ascii="Arial" w:hAnsi="Arial" w:cs="Arial"/>
          <w:sz w:val="20"/>
          <w:szCs w:val="20"/>
        </w:rPr>
        <w:t>11</w:t>
      </w:r>
      <w:r w:rsidR="005736A7" w:rsidRPr="005166AE">
        <w:rPr>
          <w:rFonts w:ascii="Arial" w:hAnsi="Arial" w:cs="Arial"/>
          <w:sz w:val="20"/>
          <w:szCs w:val="20"/>
        </w:rPr>
        <w:t xml:space="preserve"> EU-ETS installations </w:t>
      </w:r>
      <w:r w:rsidR="005736A7">
        <w:rPr>
          <w:rFonts w:ascii="Arial" w:hAnsi="Arial" w:cs="Arial"/>
          <w:sz w:val="20"/>
          <w:szCs w:val="20"/>
        </w:rPr>
        <w:t>(also the highest share of installations from the six affected regions)</w:t>
      </w:r>
      <w:r w:rsidR="005736A7" w:rsidRPr="005166AE">
        <w:rPr>
          <w:rFonts w:ascii="Arial" w:hAnsi="Arial" w:cs="Arial"/>
          <w:sz w:val="20"/>
          <w:szCs w:val="20"/>
        </w:rPr>
        <w:t xml:space="preserve">, of which </w:t>
      </w:r>
      <w:r w:rsidR="005736A7">
        <w:rPr>
          <w:rFonts w:ascii="Arial" w:hAnsi="Arial" w:cs="Arial"/>
          <w:sz w:val="20"/>
          <w:szCs w:val="20"/>
        </w:rPr>
        <w:t>three are</w:t>
      </w:r>
      <w:r w:rsidR="005736A7" w:rsidRPr="005166AE">
        <w:rPr>
          <w:rFonts w:ascii="Arial" w:hAnsi="Arial" w:cs="Arial"/>
          <w:sz w:val="20"/>
          <w:szCs w:val="20"/>
        </w:rPr>
        <w:t xml:space="preserve"> listed below</w:t>
      </w:r>
      <w:r w:rsidR="005736A7">
        <w:rPr>
          <w:rFonts w:ascii="Arial" w:hAnsi="Arial" w:cs="Arial"/>
          <w:sz w:val="20"/>
          <w:szCs w:val="20"/>
        </w:rPr>
        <w:t>.</w:t>
      </w:r>
    </w:p>
    <w:p w14:paraId="7CA9C774" w14:textId="7E860525" w:rsidR="005736A7" w:rsidRDefault="005736A7" w:rsidP="00597139">
      <w:pPr>
        <w:pStyle w:val="Caption"/>
        <w:spacing w:before="60" w:after="0"/>
        <w:sectPr w:rsidR="005736A7" w:rsidSect="00E66687">
          <w:headerReference w:type="default" r:id="rId149"/>
          <w:footerReference w:type="default" r:id="rId150"/>
          <w:pgSz w:w="11909" w:h="16834"/>
          <w:pgMar w:top="1440" w:right="1440" w:bottom="1440" w:left="1530" w:header="720" w:footer="720" w:gutter="0"/>
          <w:cols w:space="720"/>
        </w:sectPr>
      </w:pPr>
    </w:p>
    <w:tbl>
      <w:tblPr>
        <w:tblStyle w:val="TableGrid"/>
        <w:tblpPr w:leftFromText="180" w:rightFromText="180" w:tblpY="330"/>
        <w:tblW w:w="5000" w:type="pct"/>
        <w:tblLook w:val="04A0" w:firstRow="1" w:lastRow="0" w:firstColumn="1" w:lastColumn="0" w:noHBand="0" w:noVBand="1"/>
      </w:tblPr>
      <w:tblGrid>
        <w:gridCol w:w="2313"/>
        <w:gridCol w:w="2893"/>
        <w:gridCol w:w="1816"/>
        <w:gridCol w:w="937"/>
        <w:gridCol w:w="1188"/>
        <w:gridCol w:w="1051"/>
        <w:gridCol w:w="1258"/>
        <w:gridCol w:w="2488"/>
      </w:tblGrid>
      <w:tr w:rsidR="00EE2BB0" w:rsidRPr="00EE2BB0" w14:paraId="75656052" w14:textId="77777777" w:rsidTr="00DE2D4D">
        <w:trPr>
          <w:tblHeader/>
        </w:trPr>
        <w:tc>
          <w:tcPr>
            <w:tcW w:w="829" w:type="pct"/>
            <w:shd w:val="clear" w:color="auto" w:fill="002060"/>
          </w:tcPr>
          <w:p w14:paraId="3F307B9D"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lastRenderedPageBreak/>
              <w:t>Company</w:t>
            </w:r>
          </w:p>
        </w:tc>
        <w:tc>
          <w:tcPr>
            <w:tcW w:w="1037" w:type="pct"/>
            <w:shd w:val="clear" w:color="auto" w:fill="002060"/>
          </w:tcPr>
          <w:p w14:paraId="42031EEF"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Main NACE class</w:t>
            </w:r>
          </w:p>
        </w:tc>
        <w:tc>
          <w:tcPr>
            <w:tcW w:w="651" w:type="pct"/>
            <w:shd w:val="clear" w:color="auto" w:fill="002060"/>
          </w:tcPr>
          <w:p w14:paraId="0CC69C0E"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Employees (no.)</w:t>
            </w:r>
          </w:p>
        </w:tc>
        <w:tc>
          <w:tcPr>
            <w:tcW w:w="336" w:type="pct"/>
            <w:shd w:val="clear" w:color="auto" w:fill="002060"/>
          </w:tcPr>
          <w:p w14:paraId="3A5D87C6"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Turnover (RON million)</w:t>
            </w:r>
          </w:p>
        </w:tc>
        <w:tc>
          <w:tcPr>
            <w:tcW w:w="426" w:type="pct"/>
            <w:shd w:val="clear" w:color="auto" w:fill="002060"/>
          </w:tcPr>
          <w:p w14:paraId="312E83BB"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EU ETS participation</w:t>
            </w:r>
          </w:p>
        </w:tc>
        <w:tc>
          <w:tcPr>
            <w:tcW w:w="377" w:type="pct"/>
            <w:shd w:val="clear" w:color="auto" w:fill="002060"/>
          </w:tcPr>
          <w:p w14:paraId="60807DBD"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Affected by the transition</w:t>
            </w:r>
          </w:p>
        </w:tc>
        <w:tc>
          <w:tcPr>
            <w:tcW w:w="451" w:type="pct"/>
            <w:shd w:val="clear" w:color="auto" w:fill="002060"/>
          </w:tcPr>
          <w:p w14:paraId="3C64AF93"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Engaged during the TA</w:t>
            </w:r>
          </w:p>
        </w:tc>
        <w:tc>
          <w:tcPr>
            <w:tcW w:w="892" w:type="pct"/>
            <w:shd w:val="clear" w:color="auto" w:fill="002060"/>
          </w:tcPr>
          <w:p w14:paraId="7DB0742A" w14:textId="77777777" w:rsidR="005736A7" w:rsidRPr="00EE2BB0" w:rsidRDefault="005736A7"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Observations</w:t>
            </w:r>
          </w:p>
        </w:tc>
      </w:tr>
      <w:tr w:rsidR="00EE2BB0" w:rsidRPr="00EE2BB0" w14:paraId="7B630C0D" w14:textId="77777777" w:rsidTr="00DE2D4D">
        <w:tc>
          <w:tcPr>
            <w:tcW w:w="829" w:type="pct"/>
          </w:tcPr>
          <w:p w14:paraId="4D2D2DB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PETROTEL-LUKOIL SA</w:t>
            </w:r>
          </w:p>
        </w:tc>
        <w:tc>
          <w:tcPr>
            <w:tcW w:w="1037" w:type="pct"/>
          </w:tcPr>
          <w:p w14:paraId="7EA334F9" w14:textId="77777777" w:rsidR="00146078" w:rsidRDefault="005736A7" w:rsidP="00DE2D4D">
            <w:pPr>
              <w:rPr>
                <w:rFonts w:ascii="Arial" w:hAnsi="Arial" w:cs="Arial"/>
                <w:sz w:val="18"/>
                <w:szCs w:val="18"/>
                <w:lang w:val="ro-RO"/>
              </w:rPr>
            </w:pPr>
            <w:r w:rsidRPr="00EE2BB0">
              <w:rPr>
                <w:rFonts w:ascii="Arial" w:hAnsi="Arial" w:cs="Arial"/>
                <w:sz w:val="18"/>
                <w:szCs w:val="18"/>
                <w:lang w:val="ro-RO"/>
              </w:rPr>
              <w:t xml:space="preserve">C MANUFACTURING </w:t>
            </w:r>
          </w:p>
          <w:p w14:paraId="5940808D" w14:textId="1B2BE955"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(refinery)</w:t>
            </w:r>
          </w:p>
        </w:tc>
        <w:tc>
          <w:tcPr>
            <w:tcW w:w="651" w:type="pct"/>
          </w:tcPr>
          <w:p w14:paraId="1A9099B6"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525</w:t>
            </w:r>
          </w:p>
        </w:tc>
        <w:tc>
          <w:tcPr>
            <w:tcW w:w="336" w:type="pct"/>
          </w:tcPr>
          <w:p w14:paraId="38659197"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5,815</w:t>
            </w:r>
          </w:p>
        </w:tc>
        <w:tc>
          <w:tcPr>
            <w:tcW w:w="426" w:type="pct"/>
          </w:tcPr>
          <w:p w14:paraId="2B8F29B8"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377" w:type="pct"/>
          </w:tcPr>
          <w:p w14:paraId="2E4045D8" w14:textId="77777777" w:rsidR="005736A7" w:rsidRPr="00EE2BB0" w:rsidRDefault="005736A7" w:rsidP="00DE2D4D">
            <w:pPr>
              <w:rPr>
                <w:rFonts w:ascii="Arial" w:hAnsi="Arial" w:cs="Arial"/>
                <w:sz w:val="18"/>
                <w:szCs w:val="18"/>
              </w:rPr>
            </w:pPr>
            <w:r w:rsidRPr="00EE2BB0">
              <w:rPr>
                <w:rFonts w:ascii="Arial" w:hAnsi="Arial" w:cs="Arial"/>
                <w:sz w:val="18"/>
                <w:szCs w:val="18"/>
              </w:rPr>
              <w:t>YES</w:t>
            </w:r>
          </w:p>
        </w:tc>
        <w:tc>
          <w:tcPr>
            <w:tcW w:w="451" w:type="pct"/>
          </w:tcPr>
          <w:p w14:paraId="72C44CA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892" w:type="pct"/>
          </w:tcPr>
          <w:p w14:paraId="6FBE878C" w14:textId="5CABED25"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Directly affected by decarboni</w:t>
            </w:r>
            <w:r w:rsidR="005473ED">
              <w:rPr>
                <w:rFonts w:ascii="Arial" w:hAnsi="Arial" w:cs="Arial"/>
                <w:sz w:val="18"/>
                <w:szCs w:val="18"/>
                <w:lang w:val="ro-RO"/>
              </w:rPr>
              <w:t>s</w:t>
            </w:r>
            <w:r w:rsidRPr="00EE2BB0">
              <w:rPr>
                <w:rFonts w:ascii="Arial" w:hAnsi="Arial" w:cs="Arial"/>
                <w:sz w:val="18"/>
                <w:szCs w:val="18"/>
                <w:lang w:val="ro-RO"/>
              </w:rPr>
              <w:t>ation / Opportunity for economic diversification</w:t>
            </w:r>
          </w:p>
        </w:tc>
      </w:tr>
      <w:tr w:rsidR="00EE2BB0" w:rsidRPr="00EE2BB0" w14:paraId="4F155186" w14:textId="77777777" w:rsidTr="00DE2D4D">
        <w:tc>
          <w:tcPr>
            <w:tcW w:w="829" w:type="pct"/>
          </w:tcPr>
          <w:p w14:paraId="21D25B37"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MASPEX ROMANIA SRL</w:t>
            </w:r>
          </w:p>
        </w:tc>
        <w:tc>
          <w:tcPr>
            <w:tcW w:w="1037" w:type="pct"/>
          </w:tcPr>
          <w:p w14:paraId="2C0E868E" w14:textId="77777777" w:rsidR="00146078" w:rsidRDefault="005736A7" w:rsidP="00DE2D4D">
            <w:pPr>
              <w:rPr>
                <w:rFonts w:ascii="Arial" w:hAnsi="Arial" w:cs="Arial"/>
                <w:sz w:val="18"/>
                <w:szCs w:val="18"/>
                <w:lang w:val="ro-RO"/>
              </w:rPr>
            </w:pPr>
            <w:r w:rsidRPr="00EE2BB0">
              <w:rPr>
                <w:rFonts w:ascii="Arial" w:hAnsi="Arial" w:cs="Arial"/>
                <w:sz w:val="18"/>
                <w:szCs w:val="18"/>
                <w:lang w:val="ro-RO"/>
              </w:rPr>
              <w:t xml:space="preserve">C MANUFACTURING </w:t>
            </w:r>
          </w:p>
          <w:p w14:paraId="1E0216A3" w14:textId="56343628"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(food &amp; beverage)</w:t>
            </w:r>
          </w:p>
        </w:tc>
        <w:tc>
          <w:tcPr>
            <w:tcW w:w="651" w:type="pct"/>
          </w:tcPr>
          <w:p w14:paraId="512B33E5"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1,380</w:t>
            </w:r>
          </w:p>
        </w:tc>
        <w:tc>
          <w:tcPr>
            <w:tcW w:w="336" w:type="pct"/>
          </w:tcPr>
          <w:p w14:paraId="0172B96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635</w:t>
            </w:r>
          </w:p>
        </w:tc>
        <w:tc>
          <w:tcPr>
            <w:tcW w:w="426" w:type="pct"/>
          </w:tcPr>
          <w:p w14:paraId="293E61E8"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593EC67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584FB52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892" w:type="pct"/>
          </w:tcPr>
          <w:p w14:paraId="04E48D8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Economy of the future</w:t>
            </w:r>
          </w:p>
        </w:tc>
      </w:tr>
      <w:tr w:rsidR="00EE2BB0" w:rsidRPr="00EE2BB0" w14:paraId="55D12B00" w14:textId="77777777" w:rsidTr="00DE2D4D">
        <w:tc>
          <w:tcPr>
            <w:tcW w:w="829" w:type="pct"/>
          </w:tcPr>
          <w:p w14:paraId="7FE55C57"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OMV PETROM SA</w:t>
            </w:r>
          </w:p>
        </w:tc>
        <w:tc>
          <w:tcPr>
            <w:tcW w:w="1037" w:type="pct"/>
          </w:tcPr>
          <w:p w14:paraId="1D146D9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B MINING AND QUARRYING (refinery)</w:t>
            </w:r>
          </w:p>
        </w:tc>
        <w:tc>
          <w:tcPr>
            <w:tcW w:w="651" w:type="pct"/>
          </w:tcPr>
          <w:p w14:paraId="33BC262C"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11,814</w:t>
            </w:r>
          </w:p>
        </w:tc>
        <w:tc>
          <w:tcPr>
            <w:tcW w:w="336" w:type="pct"/>
          </w:tcPr>
          <w:p w14:paraId="54113F4C"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19,794</w:t>
            </w:r>
          </w:p>
        </w:tc>
        <w:tc>
          <w:tcPr>
            <w:tcW w:w="426" w:type="pct"/>
          </w:tcPr>
          <w:p w14:paraId="34B6343B"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377" w:type="pct"/>
          </w:tcPr>
          <w:p w14:paraId="4CFE8B4F"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5C33214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892" w:type="pct"/>
          </w:tcPr>
          <w:p w14:paraId="30916B61" w14:textId="4AB584CD"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Directly affected by decarboni</w:t>
            </w:r>
            <w:r w:rsidR="005473ED">
              <w:rPr>
                <w:rFonts w:ascii="Arial" w:hAnsi="Arial" w:cs="Arial"/>
                <w:sz w:val="18"/>
                <w:szCs w:val="18"/>
                <w:lang w:val="ro-RO"/>
              </w:rPr>
              <w:t>s</w:t>
            </w:r>
            <w:r w:rsidRPr="00EE2BB0">
              <w:rPr>
                <w:rFonts w:ascii="Arial" w:hAnsi="Arial" w:cs="Arial"/>
                <w:sz w:val="18"/>
                <w:szCs w:val="18"/>
                <w:lang w:val="ro-RO"/>
              </w:rPr>
              <w:t>ation</w:t>
            </w:r>
          </w:p>
        </w:tc>
      </w:tr>
      <w:tr w:rsidR="00EE2BB0" w:rsidRPr="00EE2BB0" w14:paraId="10924D63" w14:textId="77777777" w:rsidTr="00DE2D4D">
        <w:tc>
          <w:tcPr>
            <w:tcW w:w="829" w:type="pct"/>
          </w:tcPr>
          <w:p w14:paraId="546B72C5"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ROMPETROL RAFINARE</w:t>
            </w:r>
          </w:p>
        </w:tc>
        <w:tc>
          <w:tcPr>
            <w:tcW w:w="1037" w:type="pct"/>
          </w:tcPr>
          <w:p w14:paraId="51DDF8D9" w14:textId="77777777" w:rsidR="00146078" w:rsidRDefault="005736A7" w:rsidP="00DE2D4D">
            <w:pPr>
              <w:rPr>
                <w:rFonts w:ascii="Arial" w:hAnsi="Arial" w:cs="Arial"/>
                <w:sz w:val="18"/>
                <w:szCs w:val="18"/>
                <w:lang w:val="ro-RO"/>
              </w:rPr>
            </w:pPr>
            <w:r w:rsidRPr="00EE2BB0">
              <w:rPr>
                <w:rFonts w:ascii="Arial" w:hAnsi="Arial" w:cs="Arial"/>
                <w:sz w:val="18"/>
                <w:szCs w:val="18"/>
                <w:lang w:val="ro-RO"/>
              </w:rPr>
              <w:t xml:space="preserve">C MANUFACTURING </w:t>
            </w:r>
          </w:p>
          <w:p w14:paraId="391ECC41" w14:textId="444CD040"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(refinery)</w:t>
            </w:r>
          </w:p>
        </w:tc>
        <w:tc>
          <w:tcPr>
            <w:tcW w:w="651" w:type="pct"/>
          </w:tcPr>
          <w:p w14:paraId="6D8EA789"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1,156</w:t>
            </w:r>
          </w:p>
        </w:tc>
        <w:tc>
          <w:tcPr>
            <w:tcW w:w="336" w:type="pct"/>
          </w:tcPr>
          <w:p w14:paraId="14BE2F6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14,750</w:t>
            </w:r>
          </w:p>
        </w:tc>
        <w:tc>
          <w:tcPr>
            <w:tcW w:w="426" w:type="pct"/>
          </w:tcPr>
          <w:p w14:paraId="5F2C5269"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377" w:type="pct"/>
          </w:tcPr>
          <w:p w14:paraId="42626C7F"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54E9229F"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892" w:type="pct"/>
          </w:tcPr>
          <w:p w14:paraId="0EE2097A" w14:textId="30B47694"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Directly affected by decarboni</w:t>
            </w:r>
            <w:r w:rsidR="005473ED">
              <w:rPr>
                <w:rFonts w:ascii="Arial" w:hAnsi="Arial" w:cs="Arial"/>
                <w:sz w:val="18"/>
                <w:szCs w:val="18"/>
                <w:lang w:val="ro-RO"/>
              </w:rPr>
              <w:t>s</w:t>
            </w:r>
            <w:r w:rsidRPr="00EE2BB0">
              <w:rPr>
                <w:rFonts w:ascii="Arial" w:hAnsi="Arial" w:cs="Arial"/>
                <w:sz w:val="18"/>
                <w:szCs w:val="18"/>
                <w:lang w:val="ro-RO"/>
              </w:rPr>
              <w:t>ation / Opportunity for economic diversification</w:t>
            </w:r>
          </w:p>
        </w:tc>
      </w:tr>
      <w:tr w:rsidR="00EE2BB0" w:rsidRPr="00EE2BB0" w14:paraId="66E25273" w14:textId="77777777" w:rsidTr="00DE2D4D">
        <w:tc>
          <w:tcPr>
            <w:tcW w:w="829" w:type="pct"/>
          </w:tcPr>
          <w:p w14:paraId="57AF8E0E"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LIDL DISCOUNT SRL</w:t>
            </w:r>
          </w:p>
        </w:tc>
        <w:tc>
          <w:tcPr>
            <w:tcW w:w="1037" w:type="pct"/>
          </w:tcPr>
          <w:p w14:paraId="04E986AE" w14:textId="12968022" w:rsidR="005736A7" w:rsidRPr="00D963B9" w:rsidRDefault="005736A7" w:rsidP="00DE2D4D">
            <w:pPr>
              <w:rPr>
                <w:rFonts w:ascii="Arial" w:hAnsi="Arial" w:cs="Arial"/>
                <w:sz w:val="18"/>
                <w:szCs w:val="18"/>
                <w:lang w:val="ro-RO"/>
              </w:rPr>
            </w:pPr>
            <w:r w:rsidRPr="00D963B9">
              <w:rPr>
                <w:rFonts w:ascii="Arial" w:hAnsi="Arial" w:cs="Arial"/>
                <w:sz w:val="18"/>
                <w:szCs w:val="18"/>
                <w:lang w:val="ro-RO"/>
              </w:rPr>
              <w:t>G WHOLESALE AND RETAIL TRADE; REPAIR OF MOTOR VEHICLES AND MOTORCYCLES</w:t>
            </w:r>
            <w:r w:rsidR="00146078" w:rsidRPr="00D963B9">
              <w:rPr>
                <w:rFonts w:ascii="Arial" w:hAnsi="Arial" w:cs="Arial"/>
                <w:sz w:val="18"/>
                <w:szCs w:val="18"/>
                <w:lang w:val="ro-RO"/>
              </w:rPr>
              <w:t xml:space="preserve"> (retail)</w:t>
            </w:r>
          </w:p>
        </w:tc>
        <w:tc>
          <w:tcPr>
            <w:tcW w:w="651" w:type="pct"/>
          </w:tcPr>
          <w:p w14:paraId="0DE081A7"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7,418</w:t>
            </w:r>
          </w:p>
        </w:tc>
        <w:tc>
          <w:tcPr>
            <w:tcW w:w="336" w:type="pct"/>
          </w:tcPr>
          <w:p w14:paraId="78DA9F3C"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9,765</w:t>
            </w:r>
          </w:p>
        </w:tc>
        <w:tc>
          <w:tcPr>
            <w:tcW w:w="426" w:type="pct"/>
          </w:tcPr>
          <w:p w14:paraId="761BAA25"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1E5B3645"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2C3DAD0A"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892" w:type="pct"/>
          </w:tcPr>
          <w:p w14:paraId="55242668" w14:textId="77777777" w:rsidR="005736A7" w:rsidRPr="00D963B9" w:rsidRDefault="005736A7" w:rsidP="00DE2D4D">
            <w:pPr>
              <w:rPr>
                <w:rFonts w:ascii="Arial" w:hAnsi="Arial" w:cs="Arial"/>
                <w:sz w:val="18"/>
                <w:szCs w:val="18"/>
                <w:lang w:val="ro-RO"/>
              </w:rPr>
            </w:pPr>
            <w:r w:rsidRPr="00D963B9">
              <w:rPr>
                <w:rFonts w:ascii="Arial" w:hAnsi="Arial" w:cs="Arial"/>
                <w:sz w:val="18"/>
                <w:szCs w:val="18"/>
                <w:lang w:val="ro-RO"/>
              </w:rPr>
              <w:t>First employer and highest turnover in company ranking</w:t>
            </w:r>
          </w:p>
        </w:tc>
      </w:tr>
      <w:tr w:rsidR="00EE2BB0" w:rsidRPr="00EE2BB0" w14:paraId="0B5F3CA9" w14:textId="77777777" w:rsidTr="00DE2D4D">
        <w:tc>
          <w:tcPr>
            <w:tcW w:w="829" w:type="pct"/>
          </w:tcPr>
          <w:p w14:paraId="1381EA7C"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YAZAKI ROMANIA SRL</w:t>
            </w:r>
          </w:p>
        </w:tc>
        <w:tc>
          <w:tcPr>
            <w:tcW w:w="1037" w:type="pct"/>
          </w:tcPr>
          <w:p w14:paraId="4B024395" w14:textId="77777777" w:rsidR="00146078" w:rsidRPr="00D963B9" w:rsidRDefault="005736A7" w:rsidP="00DE2D4D">
            <w:pPr>
              <w:rPr>
                <w:rFonts w:ascii="Arial" w:hAnsi="Arial" w:cs="Arial"/>
                <w:sz w:val="18"/>
                <w:szCs w:val="18"/>
                <w:lang w:val="ro-RO"/>
              </w:rPr>
            </w:pPr>
            <w:r w:rsidRPr="00D963B9">
              <w:rPr>
                <w:rFonts w:ascii="Arial" w:hAnsi="Arial" w:cs="Arial"/>
                <w:sz w:val="18"/>
                <w:szCs w:val="18"/>
                <w:lang w:val="ro-RO"/>
              </w:rPr>
              <w:t xml:space="preserve">C MANUFACTURING </w:t>
            </w:r>
          </w:p>
          <w:p w14:paraId="7A0D4F51" w14:textId="32BE5652" w:rsidR="005736A7" w:rsidRPr="00D963B9" w:rsidRDefault="005736A7" w:rsidP="00DE2D4D">
            <w:pPr>
              <w:rPr>
                <w:rFonts w:ascii="Arial" w:hAnsi="Arial" w:cs="Arial"/>
                <w:sz w:val="18"/>
                <w:szCs w:val="18"/>
                <w:lang w:val="ro-RO"/>
              </w:rPr>
            </w:pPr>
            <w:r w:rsidRPr="00D963B9">
              <w:rPr>
                <w:rFonts w:ascii="Arial" w:hAnsi="Arial" w:cs="Arial"/>
                <w:sz w:val="18"/>
                <w:szCs w:val="18"/>
                <w:lang w:val="ro-RO"/>
              </w:rPr>
              <w:t>(of diesel engines)</w:t>
            </w:r>
          </w:p>
        </w:tc>
        <w:tc>
          <w:tcPr>
            <w:tcW w:w="651" w:type="pct"/>
          </w:tcPr>
          <w:p w14:paraId="6BA8C013"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6,962</w:t>
            </w:r>
          </w:p>
        </w:tc>
        <w:tc>
          <w:tcPr>
            <w:tcW w:w="336" w:type="pct"/>
          </w:tcPr>
          <w:p w14:paraId="43DD773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1,263</w:t>
            </w:r>
          </w:p>
        </w:tc>
        <w:tc>
          <w:tcPr>
            <w:tcW w:w="426" w:type="pct"/>
          </w:tcPr>
          <w:p w14:paraId="22342D03"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46AF9B5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59E81F5E" w14:textId="1E16A43F"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r w:rsidRPr="00EE2BB0">
              <w:rPr>
                <w:rStyle w:val="FootnoteReference"/>
                <w:rFonts w:ascii="Arial" w:hAnsi="Arial" w:cs="Arial"/>
                <w:sz w:val="18"/>
                <w:szCs w:val="18"/>
                <w:lang w:val="ro-RO"/>
              </w:rPr>
              <w:footnoteReference w:id="109"/>
            </w:r>
          </w:p>
        </w:tc>
        <w:tc>
          <w:tcPr>
            <w:tcW w:w="892" w:type="pct"/>
          </w:tcPr>
          <w:p w14:paraId="39083829" w14:textId="5E15950A" w:rsidR="005736A7" w:rsidRPr="00D963B9" w:rsidRDefault="00146078" w:rsidP="00DE2D4D">
            <w:pPr>
              <w:rPr>
                <w:rFonts w:ascii="Arial" w:hAnsi="Arial" w:cs="Arial"/>
                <w:sz w:val="18"/>
                <w:szCs w:val="18"/>
                <w:lang w:val="ro-RO"/>
              </w:rPr>
            </w:pPr>
            <w:r w:rsidRPr="00D963B9">
              <w:rPr>
                <w:rFonts w:ascii="Arial" w:hAnsi="Arial" w:cs="Arial"/>
                <w:sz w:val="18"/>
                <w:szCs w:val="18"/>
                <w:lang w:val="ro-RO"/>
              </w:rPr>
              <w:t>Directly affected by decarbonisation</w:t>
            </w:r>
          </w:p>
        </w:tc>
      </w:tr>
      <w:tr w:rsidR="00EE2BB0" w:rsidRPr="00EE2BB0" w14:paraId="3B755908" w14:textId="77777777" w:rsidTr="00DE2D4D">
        <w:tc>
          <w:tcPr>
            <w:tcW w:w="829" w:type="pct"/>
          </w:tcPr>
          <w:p w14:paraId="5FA6E8F9" w14:textId="77777777" w:rsidR="005736A7" w:rsidRPr="005473ED" w:rsidRDefault="005736A7" w:rsidP="00DE2D4D">
            <w:pPr>
              <w:rPr>
                <w:rFonts w:ascii="Arial" w:hAnsi="Arial" w:cs="Arial"/>
                <w:sz w:val="18"/>
                <w:szCs w:val="18"/>
                <w:lang w:val="ro-RO"/>
              </w:rPr>
            </w:pPr>
            <w:r w:rsidRPr="005473ED">
              <w:rPr>
                <w:rFonts w:ascii="Arial" w:hAnsi="Arial" w:cs="Arial"/>
                <w:sz w:val="18"/>
                <w:szCs w:val="18"/>
                <w:lang w:val="ro-RO"/>
              </w:rPr>
              <w:t>CAMERON ROMÂNIA SRL</w:t>
            </w:r>
          </w:p>
        </w:tc>
        <w:tc>
          <w:tcPr>
            <w:tcW w:w="1037" w:type="pct"/>
          </w:tcPr>
          <w:p w14:paraId="75DA5287" w14:textId="77777777" w:rsidR="00D963B9" w:rsidRDefault="005736A7" w:rsidP="00DE2D4D">
            <w:pPr>
              <w:rPr>
                <w:rFonts w:ascii="Arial" w:hAnsi="Arial" w:cs="Arial"/>
                <w:sz w:val="18"/>
                <w:szCs w:val="18"/>
                <w:lang w:val="ro-RO"/>
              </w:rPr>
            </w:pPr>
            <w:r w:rsidRPr="00D963B9">
              <w:rPr>
                <w:rFonts w:ascii="Arial" w:hAnsi="Arial" w:cs="Arial"/>
                <w:sz w:val="18"/>
                <w:szCs w:val="18"/>
                <w:lang w:val="ro-RO"/>
              </w:rPr>
              <w:t>C MANUFACTURING</w:t>
            </w:r>
            <w:r w:rsidR="00146078" w:rsidRPr="00D963B9">
              <w:rPr>
                <w:rFonts w:ascii="Arial" w:hAnsi="Arial" w:cs="Arial"/>
                <w:sz w:val="18"/>
                <w:szCs w:val="18"/>
                <w:lang w:val="ro-RO"/>
              </w:rPr>
              <w:t xml:space="preserve"> </w:t>
            </w:r>
          </w:p>
          <w:p w14:paraId="21448089" w14:textId="04A2D537" w:rsidR="005736A7" w:rsidRPr="00D963B9" w:rsidRDefault="00146078" w:rsidP="00DE2D4D">
            <w:pPr>
              <w:rPr>
                <w:rFonts w:ascii="Arial" w:hAnsi="Arial" w:cs="Arial"/>
                <w:sz w:val="18"/>
                <w:szCs w:val="18"/>
                <w:lang w:val="ro-RO"/>
              </w:rPr>
            </w:pPr>
            <w:r w:rsidRPr="00D963B9">
              <w:rPr>
                <w:rFonts w:ascii="Arial" w:hAnsi="Arial" w:cs="Arial"/>
                <w:sz w:val="18"/>
                <w:szCs w:val="18"/>
                <w:lang w:val="ro-RO"/>
              </w:rPr>
              <w:t>(wellhead, valves and trees experts)</w:t>
            </w:r>
          </w:p>
        </w:tc>
        <w:tc>
          <w:tcPr>
            <w:tcW w:w="651" w:type="pct"/>
          </w:tcPr>
          <w:p w14:paraId="5C03C6B5" w14:textId="77777777" w:rsidR="005736A7" w:rsidRPr="005473ED" w:rsidRDefault="005736A7" w:rsidP="00DE2D4D">
            <w:pPr>
              <w:rPr>
                <w:rFonts w:ascii="Arial" w:hAnsi="Arial" w:cs="Arial"/>
                <w:sz w:val="18"/>
                <w:szCs w:val="18"/>
                <w:lang w:val="ro-RO"/>
              </w:rPr>
            </w:pPr>
            <w:r w:rsidRPr="005473ED">
              <w:rPr>
                <w:rFonts w:ascii="Arial" w:hAnsi="Arial" w:cs="Arial"/>
                <w:sz w:val="18"/>
                <w:szCs w:val="18"/>
                <w:lang w:val="ro-RO"/>
              </w:rPr>
              <w:t>1,393</w:t>
            </w:r>
          </w:p>
        </w:tc>
        <w:tc>
          <w:tcPr>
            <w:tcW w:w="336" w:type="pct"/>
          </w:tcPr>
          <w:p w14:paraId="17EAFDC6" w14:textId="77777777" w:rsidR="005736A7" w:rsidRPr="005473ED" w:rsidRDefault="005736A7" w:rsidP="00DE2D4D">
            <w:pPr>
              <w:rPr>
                <w:rFonts w:ascii="Arial" w:hAnsi="Arial" w:cs="Arial"/>
                <w:sz w:val="18"/>
                <w:szCs w:val="18"/>
                <w:lang w:val="ro-RO"/>
              </w:rPr>
            </w:pPr>
            <w:r w:rsidRPr="005473ED">
              <w:rPr>
                <w:rFonts w:ascii="Arial" w:hAnsi="Arial" w:cs="Arial"/>
                <w:sz w:val="18"/>
                <w:szCs w:val="18"/>
                <w:lang w:val="ro-RO"/>
              </w:rPr>
              <w:t>1,305</w:t>
            </w:r>
          </w:p>
        </w:tc>
        <w:tc>
          <w:tcPr>
            <w:tcW w:w="426" w:type="pct"/>
          </w:tcPr>
          <w:p w14:paraId="2D165D9D" w14:textId="77777777" w:rsidR="005736A7" w:rsidRPr="005473ED" w:rsidRDefault="005736A7" w:rsidP="00DE2D4D">
            <w:pPr>
              <w:rPr>
                <w:rFonts w:ascii="Arial" w:hAnsi="Arial" w:cs="Arial"/>
                <w:sz w:val="18"/>
                <w:szCs w:val="18"/>
                <w:lang w:val="ro-RO"/>
              </w:rPr>
            </w:pPr>
            <w:r w:rsidRPr="005473ED">
              <w:rPr>
                <w:rFonts w:ascii="Arial" w:hAnsi="Arial" w:cs="Arial"/>
                <w:sz w:val="18"/>
                <w:szCs w:val="18"/>
                <w:lang w:val="ro-RO"/>
              </w:rPr>
              <w:t>NO</w:t>
            </w:r>
          </w:p>
        </w:tc>
        <w:tc>
          <w:tcPr>
            <w:tcW w:w="377" w:type="pct"/>
          </w:tcPr>
          <w:p w14:paraId="4E120ADA" w14:textId="77777777" w:rsidR="005736A7" w:rsidRPr="005473ED" w:rsidRDefault="005736A7" w:rsidP="00DE2D4D">
            <w:pPr>
              <w:rPr>
                <w:rFonts w:ascii="Arial" w:hAnsi="Arial" w:cs="Arial"/>
                <w:sz w:val="18"/>
                <w:szCs w:val="18"/>
                <w:lang w:val="ro-RO"/>
              </w:rPr>
            </w:pPr>
            <w:r w:rsidRPr="005473ED">
              <w:rPr>
                <w:rFonts w:ascii="Arial" w:hAnsi="Arial" w:cs="Arial"/>
                <w:sz w:val="18"/>
                <w:szCs w:val="18"/>
                <w:lang w:val="ro-RO"/>
              </w:rPr>
              <w:t>YES</w:t>
            </w:r>
          </w:p>
        </w:tc>
        <w:tc>
          <w:tcPr>
            <w:tcW w:w="451" w:type="pct"/>
          </w:tcPr>
          <w:p w14:paraId="25373D97" w14:textId="3CBDB6DE" w:rsidR="005736A7" w:rsidRPr="00EE2BB0" w:rsidRDefault="005736A7" w:rsidP="00DE2D4D">
            <w:pPr>
              <w:rPr>
                <w:rFonts w:ascii="Arial" w:hAnsi="Arial" w:cs="Arial"/>
                <w:sz w:val="18"/>
                <w:szCs w:val="18"/>
                <w:lang w:val="ro-RO"/>
              </w:rPr>
            </w:pPr>
            <w:r w:rsidRPr="005473ED">
              <w:rPr>
                <w:rFonts w:ascii="Arial" w:hAnsi="Arial" w:cs="Arial"/>
                <w:sz w:val="18"/>
                <w:szCs w:val="18"/>
                <w:lang w:val="ro-RO"/>
              </w:rPr>
              <w:t>NO</w:t>
            </w:r>
            <w:r w:rsidRPr="00EE2BB0">
              <w:rPr>
                <w:rStyle w:val="FootnoteReference"/>
                <w:rFonts w:ascii="Arial" w:hAnsi="Arial" w:cs="Arial"/>
                <w:sz w:val="18"/>
                <w:szCs w:val="18"/>
                <w:lang w:val="ro-RO"/>
              </w:rPr>
              <w:footnoteReference w:id="110"/>
            </w:r>
          </w:p>
        </w:tc>
        <w:tc>
          <w:tcPr>
            <w:tcW w:w="892" w:type="pct"/>
          </w:tcPr>
          <w:p w14:paraId="53428F03" w14:textId="613ABE1D" w:rsidR="005736A7" w:rsidRPr="00D963B9" w:rsidRDefault="00146078" w:rsidP="00DE2D4D">
            <w:pPr>
              <w:rPr>
                <w:rFonts w:ascii="Arial" w:hAnsi="Arial" w:cs="Arial"/>
                <w:sz w:val="18"/>
                <w:szCs w:val="18"/>
                <w:lang w:val="ro-RO"/>
              </w:rPr>
            </w:pPr>
            <w:r w:rsidRPr="00D963B9">
              <w:rPr>
                <w:rFonts w:ascii="Arial" w:hAnsi="Arial" w:cs="Arial"/>
                <w:sz w:val="18"/>
                <w:szCs w:val="18"/>
                <w:lang w:val="ro-RO"/>
              </w:rPr>
              <w:t>Indirectly affected by decabornisation; Oil&amp;gas value chain</w:t>
            </w:r>
          </w:p>
        </w:tc>
      </w:tr>
      <w:tr w:rsidR="00EE2BB0" w:rsidRPr="00EE2BB0" w14:paraId="70AE6F26" w14:textId="77777777" w:rsidTr="00DE2D4D">
        <w:tc>
          <w:tcPr>
            <w:tcW w:w="829" w:type="pct"/>
          </w:tcPr>
          <w:p w14:paraId="1FE553D0"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CONPET SA</w:t>
            </w:r>
          </w:p>
        </w:tc>
        <w:tc>
          <w:tcPr>
            <w:tcW w:w="1037" w:type="pct"/>
          </w:tcPr>
          <w:p w14:paraId="3BCD061D" w14:textId="6F6F47D5"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H TRANSPORTATION AND STORAGE</w:t>
            </w:r>
            <w:r w:rsidR="00146078">
              <w:rPr>
                <w:rFonts w:ascii="Arial" w:hAnsi="Arial" w:cs="Arial"/>
                <w:sz w:val="18"/>
                <w:szCs w:val="18"/>
                <w:lang w:val="ro-RO"/>
              </w:rPr>
              <w:t xml:space="preserve"> </w:t>
            </w:r>
            <w:r w:rsidR="00146078" w:rsidRPr="00146078">
              <w:rPr>
                <w:rFonts w:ascii="Arial" w:hAnsi="Arial" w:cs="Arial"/>
                <w:sz w:val="18"/>
                <w:szCs w:val="18"/>
                <w:lang w:val="ro-RO"/>
              </w:rPr>
              <w:t>(petroleum transport services)</w:t>
            </w:r>
          </w:p>
        </w:tc>
        <w:tc>
          <w:tcPr>
            <w:tcW w:w="651" w:type="pct"/>
          </w:tcPr>
          <w:p w14:paraId="43705F2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1,587</w:t>
            </w:r>
          </w:p>
        </w:tc>
        <w:tc>
          <w:tcPr>
            <w:tcW w:w="336" w:type="pct"/>
          </w:tcPr>
          <w:p w14:paraId="4900169E"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408</w:t>
            </w:r>
          </w:p>
        </w:tc>
        <w:tc>
          <w:tcPr>
            <w:tcW w:w="426" w:type="pct"/>
          </w:tcPr>
          <w:p w14:paraId="23707A00"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2D051A3B"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37CC272B" w14:textId="29FA8F4A"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892" w:type="pct"/>
          </w:tcPr>
          <w:p w14:paraId="2E077F61" w14:textId="453342B9" w:rsidR="005736A7" w:rsidRPr="00D963B9" w:rsidRDefault="00146078" w:rsidP="00DE2D4D">
            <w:pPr>
              <w:rPr>
                <w:rFonts w:ascii="Arial" w:hAnsi="Arial" w:cs="Arial"/>
                <w:sz w:val="18"/>
                <w:szCs w:val="18"/>
                <w:lang w:val="ro-RO"/>
              </w:rPr>
            </w:pPr>
            <w:r w:rsidRPr="00D963B9">
              <w:rPr>
                <w:rFonts w:ascii="Arial" w:hAnsi="Arial" w:cs="Arial"/>
                <w:sz w:val="18"/>
                <w:szCs w:val="18"/>
                <w:lang w:val="ro-RO"/>
              </w:rPr>
              <w:t xml:space="preserve">Indirectly affected by decabornisation; </w:t>
            </w:r>
            <w:r w:rsidR="005736A7" w:rsidRPr="00D963B9">
              <w:rPr>
                <w:rFonts w:ascii="Arial" w:hAnsi="Arial" w:cs="Arial"/>
                <w:sz w:val="18"/>
                <w:szCs w:val="18"/>
                <w:lang w:val="ro-RO"/>
              </w:rPr>
              <w:t>Oil&amp;gas value chain</w:t>
            </w:r>
          </w:p>
        </w:tc>
      </w:tr>
      <w:tr w:rsidR="00EE2BB0" w:rsidRPr="00EE2BB0" w14:paraId="372AE311" w14:textId="77777777" w:rsidTr="00DE2D4D">
        <w:tc>
          <w:tcPr>
            <w:tcW w:w="829" w:type="pct"/>
          </w:tcPr>
          <w:p w14:paraId="6EEAE682"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AQUILA PART PROD COM SRL</w:t>
            </w:r>
          </w:p>
        </w:tc>
        <w:tc>
          <w:tcPr>
            <w:tcW w:w="1037" w:type="pct"/>
          </w:tcPr>
          <w:p w14:paraId="449A0409" w14:textId="09EFA249"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H TRANSPORTATION AND STORAGE</w:t>
            </w:r>
            <w:r w:rsidR="00146078">
              <w:rPr>
                <w:rFonts w:ascii="Arial" w:hAnsi="Arial" w:cs="Arial"/>
                <w:sz w:val="18"/>
                <w:szCs w:val="18"/>
                <w:lang w:val="ro-RO"/>
              </w:rPr>
              <w:t xml:space="preserve"> (FMCG distribution)</w:t>
            </w:r>
          </w:p>
        </w:tc>
        <w:tc>
          <w:tcPr>
            <w:tcW w:w="651" w:type="pct"/>
          </w:tcPr>
          <w:p w14:paraId="63999C04"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2,007</w:t>
            </w:r>
          </w:p>
        </w:tc>
        <w:tc>
          <w:tcPr>
            <w:tcW w:w="336" w:type="pct"/>
          </w:tcPr>
          <w:p w14:paraId="170341FD"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939</w:t>
            </w:r>
          </w:p>
        </w:tc>
        <w:tc>
          <w:tcPr>
            <w:tcW w:w="426" w:type="pct"/>
          </w:tcPr>
          <w:p w14:paraId="7307360A"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76B10122"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7F857DF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892" w:type="pct"/>
          </w:tcPr>
          <w:p w14:paraId="3F3D8BD9" w14:textId="7D038B67" w:rsidR="005736A7" w:rsidRPr="00D963B9" w:rsidRDefault="005736A7" w:rsidP="00DE2D4D">
            <w:pPr>
              <w:rPr>
                <w:rFonts w:ascii="Arial" w:hAnsi="Arial" w:cs="Arial"/>
                <w:sz w:val="18"/>
                <w:szCs w:val="18"/>
                <w:lang w:val="ro-RO"/>
              </w:rPr>
            </w:pPr>
          </w:p>
        </w:tc>
      </w:tr>
      <w:tr w:rsidR="00EE2BB0" w:rsidRPr="00EE2BB0" w14:paraId="4178D44C" w14:textId="77777777" w:rsidTr="00DE2D4D">
        <w:tc>
          <w:tcPr>
            <w:tcW w:w="829" w:type="pct"/>
          </w:tcPr>
          <w:p w14:paraId="0355D7D9"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UNILEVER SOUTH CENTRAL EUROPE SA</w:t>
            </w:r>
          </w:p>
        </w:tc>
        <w:tc>
          <w:tcPr>
            <w:tcW w:w="1037" w:type="pct"/>
          </w:tcPr>
          <w:p w14:paraId="0F465D0D" w14:textId="0D996B43"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G WHOLESALE AND RETAIL TRADE; REPAIR OF MOTOR VEHICLES AND MOTORCYCLES</w:t>
            </w:r>
            <w:r w:rsidR="00146078">
              <w:rPr>
                <w:rFonts w:ascii="Arial" w:hAnsi="Arial" w:cs="Arial"/>
                <w:sz w:val="18"/>
                <w:szCs w:val="18"/>
                <w:lang w:val="ro-RO"/>
              </w:rPr>
              <w:t xml:space="preserve"> (FMCG)</w:t>
            </w:r>
          </w:p>
        </w:tc>
        <w:tc>
          <w:tcPr>
            <w:tcW w:w="651" w:type="pct"/>
          </w:tcPr>
          <w:p w14:paraId="196C7E90"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208</w:t>
            </w:r>
          </w:p>
        </w:tc>
        <w:tc>
          <w:tcPr>
            <w:tcW w:w="336" w:type="pct"/>
          </w:tcPr>
          <w:p w14:paraId="72400EAF"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1,005</w:t>
            </w:r>
          </w:p>
        </w:tc>
        <w:tc>
          <w:tcPr>
            <w:tcW w:w="426" w:type="pct"/>
          </w:tcPr>
          <w:p w14:paraId="1E804E81"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377" w:type="pct"/>
          </w:tcPr>
          <w:p w14:paraId="3B507950"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YES</w:t>
            </w:r>
          </w:p>
        </w:tc>
        <w:tc>
          <w:tcPr>
            <w:tcW w:w="451" w:type="pct"/>
          </w:tcPr>
          <w:p w14:paraId="194AD2B9" w14:textId="77777777" w:rsidR="005736A7" w:rsidRPr="00EE2BB0" w:rsidRDefault="005736A7" w:rsidP="00DE2D4D">
            <w:pPr>
              <w:rPr>
                <w:rFonts w:ascii="Arial" w:hAnsi="Arial" w:cs="Arial"/>
                <w:sz w:val="18"/>
                <w:szCs w:val="18"/>
                <w:lang w:val="ro-RO"/>
              </w:rPr>
            </w:pPr>
            <w:r w:rsidRPr="00EE2BB0">
              <w:rPr>
                <w:rFonts w:ascii="Arial" w:hAnsi="Arial" w:cs="Arial"/>
                <w:sz w:val="18"/>
                <w:szCs w:val="18"/>
                <w:lang w:val="ro-RO"/>
              </w:rPr>
              <w:t>NO</w:t>
            </w:r>
          </w:p>
        </w:tc>
        <w:tc>
          <w:tcPr>
            <w:tcW w:w="892" w:type="pct"/>
          </w:tcPr>
          <w:p w14:paraId="6682C2D2" w14:textId="46E641CC" w:rsidR="005736A7" w:rsidRPr="00EE2BB0" w:rsidRDefault="00F31656" w:rsidP="00DE2D4D">
            <w:pPr>
              <w:rPr>
                <w:rFonts w:ascii="Arial" w:hAnsi="Arial" w:cs="Arial"/>
                <w:sz w:val="18"/>
                <w:szCs w:val="18"/>
                <w:lang w:val="ro-RO"/>
              </w:rPr>
            </w:pPr>
            <w:r>
              <w:rPr>
                <w:rFonts w:ascii="Arial" w:hAnsi="Arial" w:cs="Arial"/>
                <w:sz w:val="18"/>
                <w:szCs w:val="18"/>
                <w:lang w:val="ro-RO"/>
              </w:rPr>
              <w:t>Not affected by the energy transition</w:t>
            </w:r>
          </w:p>
        </w:tc>
      </w:tr>
    </w:tbl>
    <w:p w14:paraId="49C56954" w14:textId="08475ABC" w:rsidR="005736A7" w:rsidRDefault="00DE2D4D" w:rsidP="00DE2D4D">
      <w:pPr>
        <w:pStyle w:val="Caption"/>
        <w:sectPr w:rsidR="005736A7" w:rsidSect="00A2362B">
          <w:headerReference w:type="default" r:id="rId151"/>
          <w:pgSz w:w="16834" w:h="11909" w:orient="landscape"/>
          <w:pgMar w:top="1530" w:right="1440" w:bottom="1440" w:left="1440" w:header="720" w:footer="720" w:gutter="0"/>
          <w:cols w:space="720"/>
          <w:docGrid w:linePitch="326"/>
        </w:sectPr>
      </w:pPr>
      <w:bookmarkStart w:id="243" w:name="_Toc90726007"/>
      <w:bookmarkStart w:id="244" w:name="_Toc90727304"/>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53</w:t>
      </w:r>
      <w:r w:rsidR="000B273D">
        <w:rPr>
          <w:noProof/>
        </w:rPr>
        <w:fldChar w:fldCharType="end"/>
      </w:r>
      <w:r>
        <w:t>: Large enterprises by turnover and employees, 2019, Prahova County</w:t>
      </w:r>
      <w:bookmarkEnd w:id="243"/>
      <w:bookmarkEnd w:id="244"/>
    </w:p>
    <w:p w14:paraId="511A4B57" w14:textId="774F98DC" w:rsidR="00146078" w:rsidRPr="001E152C" w:rsidRDefault="00146078" w:rsidP="00E42342">
      <w:pPr>
        <w:pStyle w:val="ListParagraph"/>
        <w:numPr>
          <w:ilvl w:val="0"/>
          <w:numId w:val="287"/>
        </w:numPr>
        <w:spacing w:before="120" w:after="120" w:line="240" w:lineRule="auto"/>
        <w:jc w:val="both"/>
        <w:rPr>
          <w:color w:val="4F81BD" w:themeColor="accent1"/>
          <w:sz w:val="20"/>
          <w:szCs w:val="20"/>
        </w:rPr>
      </w:pPr>
      <w:r>
        <w:rPr>
          <w:color w:val="4F81BD" w:themeColor="accent1"/>
          <w:sz w:val="20"/>
          <w:szCs w:val="20"/>
        </w:rPr>
        <w:lastRenderedPageBreak/>
        <w:t>Human capital and employment</w:t>
      </w:r>
    </w:p>
    <w:p w14:paraId="54804A8C" w14:textId="28AE11A5" w:rsidR="00146078" w:rsidRDefault="00146078" w:rsidP="00146078">
      <w:pPr>
        <w:spacing w:after="120"/>
        <w:jc w:val="both"/>
        <w:rPr>
          <w:rFonts w:ascii="Arial" w:hAnsi="Arial" w:cs="Arial"/>
          <w:color w:val="0070C0"/>
          <w:sz w:val="20"/>
          <w:szCs w:val="20"/>
        </w:rPr>
      </w:pPr>
      <w:r w:rsidRPr="003516DC">
        <w:rPr>
          <w:rFonts w:ascii="Arial" w:hAnsi="Arial" w:cs="Arial"/>
          <w:sz w:val="20"/>
          <w:szCs w:val="20"/>
        </w:rPr>
        <w:t xml:space="preserve">The growth of the local business environment is reflected in one of the lowest </w:t>
      </w:r>
      <w:r w:rsidRPr="003516DC">
        <w:rPr>
          <w:rFonts w:ascii="Arial" w:hAnsi="Arial" w:cs="Arial"/>
          <w:b/>
          <w:sz w:val="20"/>
          <w:szCs w:val="20"/>
        </w:rPr>
        <w:t>unemployment</w:t>
      </w:r>
      <w:r w:rsidRPr="003516DC">
        <w:rPr>
          <w:rFonts w:ascii="Arial" w:hAnsi="Arial" w:cs="Arial"/>
          <w:sz w:val="20"/>
          <w:szCs w:val="20"/>
        </w:rPr>
        <w:t xml:space="preserve"> scores across the country (2.4% in 2019). Consultations with representatives of the local business environment indicated a growing interest and practice of local businesses to hire immigrants brought in Romania by specialised human resource intermediation agencies, to help tackle labour force shortages. This has been the only JTP county in which such an aspect has been raised.</w:t>
      </w:r>
      <w:r w:rsidRPr="001D4049">
        <w:rPr>
          <w:rFonts w:ascii="Arial" w:hAnsi="Arial" w:cs="Arial"/>
          <w:color w:val="0070C0"/>
          <w:sz w:val="20"/>
          <w:szCs w:val="20"/>
        </w:rPr>
        <w:t xml:space="preserve"> </w:t>
      </w:r>
    </w:p>
    <w:p w14:paraId="2D5A3026" w14:textId="3D824AA4" w:rsidR="00146078" w:rsidRDefault="00146078" w:rsidP="00146078">
      <w:pPr>
        <w:pStyle w:val="CommentText"/>
        <w:spacing w:after="120"/>
        <w:jc w:val="both"/>
      </w:pPr>
      <w:r>
        <w:t>For an in-depth assessment of the unemployment perspective at county level, an additional indicator monitoring the share of registered unemployment in the total labour resources</w:t>
      </w:r>
      <w:r w:rsidR="004E2DCB">
        <w:rPr>
          <w:rStyle w:val="FootnoteReference"/>
        </w:rPr>
        <w:footnoteReference w:id="111"/>
      </w:r>
      <w:r>
        <w:t xml:space="preserve"> has been added to the analysis. This allows for an outlook on the unemployment situation at local administrative unit level, compared to the unemployment rate indicator</w:t>
      </w:r>
      <w:r>
        <w:rPr>
          <w:rStyle w:val="FootnoteReference"/>
        </w:rPr>
        <w:footnoteReference w:id="112"/>
      </w:r>
      <w:r>
        <w:t xml:space="preserve"> which only allows monitoring at general county level. </w:t>
      </w:r>
    </w:p>
    <w:p w14:paraId="77F5F4D2" w14:textId="0C07E868" w:rsidR="00146078" w:rsidRPr="0072648E" w:rsidRDefault="008970F1" w:rsidP="00146078">
      <w:pPr>
        <w:pStyle w:val="CommentText"/>
        <w:spacing w:after="120"/>
        <w:jc w:val="both"/>
      </w:pPr>
      <w:r>
        <w:t>Using this indicator, the</w:t>
      </w:r>
      <w:r w:rsidR="00146078">
        <w:t xml:space="preserve"> graph below shows the evolution of unemployment between 2010 and 2020, while Figure 16 presents most and least affected localities in Dolj County by unemployment. </w:t>
      </w:r>
    </w:p>
    <w:p w14:paraId="363B321C" w14:textId="5B617F0A" w:rsidR="00146078" w:rsidRPr="003516DC" w:rsidRDefault="00146078" w:rsidP="00146078">
      <w:pPr>
        <w:pStyle w:val="Caption"/>
        <w:rPr>
          <w:i/>
          <w:color w:val="0070C0"/>
        </w:rPr>
      </w:pPr>
      <w:bookmarkStart w:id="245" w:name="_Toc90727375"/>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39</w:t>
      </w:r>
      <w:r w:rsidR="000B273D">
        <w:rPr>
          <w:noProof/>
        </w:rPr>
        <w:fldChar w:fldCharType="end"/>
      </w:r>
      <w:r w:rsidRPr="003516DC">
        <w:t xml:space="preserve">: Unemployment evolution, 2010-2020, Prahova </w:t>
      </w:r>
      <w:r>
        <w:t>C</w:t>
      </w:r>
      <w:r w:rsidRPr="003516DC">
        <w:t>ounty</w:t>
      </w:r>
      <w:bookmarkEnd w:id="245"/>
    </w:p>
    <w:p w14:paraId="17FE3FC1" w14:textId="77777777" w:rsidR="00146078" w:rsidRPr="003516DC" w:rsidRDefault="00146078" w:rsidP="00146078">
      <w:pPr>
        <w:rPr>
          <w:rFonts w:ascii="Arial" w:hAnsi="Arial" w:cs="Arial"/>
          <w:i/>
          <w:iCs/>
          <w:color w:val="0070C0"/>
          <w:sz w:val="20"/>
          <w:szCs w:val="20"/>
        </w:rPr>
      </w:pPr>
      <w:r w:rsidRPr="005F18F3">
        <w:rPr>
          <w:rFonts w:ascii="Arial" w:hAnsi="Arial" w:cs="Arial"/>
          <w:noProof/>
          <w:lang w:val="en-US" w:eastAsia="en-US"/>
        </w:rPr>
        <w:drawing>
          <wp:inline distT="0" distB="0" distL="0" distR="0" wp14:anchorId="03A1529F" wp14:editId="7956C858">
            <wp:extent cx="5678424" cy="2377440"/>
            <wp:effectExtent l="0" t="0" r="0" b="3810"/>
            <wp:docPr id="222" name="Chart 22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CC02C61-6425-4008-AD9D-E2AC88DA45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0FE091F4" w14:textId="4ED6AA35" w:rsidR="00146078" w:rsidRPr="003516DC" w:rsidRDefault="00146078" w:rsidP="00146078">
      <w:pPr>
        <w:pStyle w:val="Caption"/>
      </w:pPr>
      <w:bookmarkStart w:id="246" w:name="_Toc90725943"/>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16</w:t>
      </w:r>
      <w:r w:rsidR="000B273D">
        <w:rPr>
          <w:noProof/>
        </w:rPr>
        <w:fldChar w:fldCharType="end"/>
      </w:r>
      <w:r w:rsidRPr="003516DC">
        <w:t xml:space="preserve">: Unemployment rate per UAT in Prahova </w:t>
      </w:r>
      <w:r>
        <w:t>C</w:t>
      </w:r>
      <w:r w:rsidRPr="003516DC">
        <w:t>ounty, 2020</w:t>
      </w:r>
      <w:bookmarkEnd w:id="246"/>
    </w:p>
    <w:p w14:paraId="354BF204" w14:textId="77777777" w:rsidR="00146078" w:rsidRPr="003516DC" w:rsidRDefault="00146078" w:rsidP="00146078">
      <w:pPr>
        <w:rPr>
          <w:rFonts w:ascii="Arial" w:hAnsi="Arial" w:cs="Arial"/>
        </w:rPr>
      </w:pPr>
      <w:r w:rsidRPr="005F18F3">
        <w:rPr>
          <w:rFonts w:ascii="Arial" w:hAnsi="Arial" w:cs="Arial"/>
          <w:noProof/>
          <w:lang w:val="en-US" w:eastAsia="en-US"/>
        </w:rPr>
        <w:drawing>
          <wp:inline distT="0" distB="0" distL="0" distR="0" wp14:anchorId="05B50468" wp14:editId="0C76AF2D">
            <wp:extent cx="5676265" cy="2761615"/>
            <wp:effectExtent l="0" t="0" r="635" b="63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93" name="Picture 2087055593"/>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676265" cy="2761615"/>
                    </a:xfrm>
                    <a:prstGeom prst="rect">
                      <a:avLst/>
                    </a:prstGeom>
                  </pic:spPr>
                </pic:pic>
              </a:graphicData>
            </a:graphic>
          </wp:inline>
        </w:drawing>
      </w:r>
    </w:p>
    <w:p w14:paraId="5B50E572" w14:textId="787D6E52" w:rsidR="00146078" w:rsidRPr="00402580" w:rsidRDefault="00146078" w:rsidP="00146078">
      <w:pPr>
        <w:spacing w:after="120"/>
        <w:jc w:val="both"/>
        <w:rPr>
          <w:rFonts w:ascii="Arial" w:hAnsi="Arial" w:cs="Arial"/>
          <w:sz w:val="20"/>
          <w:szCs w:val="20"/>
        </w:rPr>
      </w:pPr>
      <w:r w:rsidRPr="00402580">
        <w:rPr>
          <w:rFonts w:ascii="Arial" w:hAnsi="Arial" w:cs="Arial"/>
          <w:sz w:val="20"/>
          <w:szCs w:val="20"/>
        </w:rPr>
        <w:t xml:space="preserve">In Prahova County, the share of registered unemployed </w:t>
      </w:r>
      <w:r>
        <w:rPr>
          <w:rFonts w:ascii="Arial" w:hAnsi="Arial" w:cs="Arial"/>
          <w:sz w:val="20"/>
          <w:szCs w:val="20"/>
        </w:rPr>
        <w:t>declined from</w:t>
      </w:r>
      <w:r w:rsidRPr="00402580">
        <w:rPr>
          <w:rFonts w:ascii="Arial" w:hAnsi="Arial" w:cs="Arial"/>
          <w:sz w:val="20"/>
          <w:szCs w:val="20"/>
        </w:rPr>
        <w:t xml:space="preserve"> 5% </w:t>
      </w:r>
      <w:r>
        <w:rPr>
          <w:rFonts w:ascii="Arial" w:hAnsi="Arial" w:cs="Arial"/>
          <w:sz w:val="20"/>
          <w:szCs w:val="20"/>
        </w:rPr>
        <w:t xml:space="preserve">in 2010 </w:t>
      </w:r>
      <w:r w:rsidRPr="00402580">
        <w:rPr>
          <w:rFonts w:ascii="Arial" w:hAnsi="Arial" w:cs="Arial"/>
          <w:sz w:val="20"/>
          <w:szCs w:val="20"/>
        </w:rPr>
        <w:t xml:space="preserve">to </w:t>
      </w:r>
      <w:r>
        <w:rPr>
          <w:rFonts w:ascii="Arial" w:hAnsi="Arial" w:cs="Arial"/>
          <w:sz w:val="20"/>
          <w:szCs w:val="20"/>
        </w:rPr>
        <w:t xml:space="preserve">1.8% in </w:t>
      </w:r>
      <w:r w:rsidRPr="00402580">
        <w:rPr>
          <w:rFonts w:ascii="Arial" w:hAnsi="Arial" w:cs="Arial"/>
          <w:sz w:val="20"/>
          <w:szCs w:val="20"/>
        </w:rPr>
        <w:t>2020</w:t>
      </w:r>
      <w:r w:rsidR="008970F1">
        <w:rPr>
          <w:rFonts w:ascii="Arial" w:hAnsi="Arial" w:cs="Arial"/>
          <w:sz w:val="20"/>
          <w:szCs w:val="20"/>
        </w:rPr>
        <w:t xml:space="preserve">, yet there’s been a slight (0.4%) increase in unemployment between 2019 and 2020, in contrast to the </w:t>
      </w:r>
      <w:r w:rsidR="008970F1">
        <w:rPr>
          <w:rFonts w:ascii="Arial" w:hAnsi="Arial" w:cs="Arial"/>
          <w:sz w:val="20"/>
          <w:szCs w:val="20"/>
        </w:rPr>
        <w:lastRenderedPageBreak/>
        <w:t>other affected regions, where unemployment had a continuously downwards evolution</w:t>
      </w:r>
      <w:r w:rsidR="00001309">
        <w:rPr>
          <w:rFonts w:ascii="Arial" w:hAnsi="Arial" w:cs="Arial"/>
          <w:sz w:val="20"/>
          <w:szCs w:val="20"/>
        </w:rPr>
        <w:t xml:space="preserve"> (except </w:t>
      </w:r>
      <w:r w:rsidR="003751DC">
        <w:rPr>
          <w:rFonts w:ascii="Arial" w:hAnsi="Arial" w:cs="Arial"/>
          <w:sz w:val="20"/>
          <w:szCs w:val="20"/>
        </w:rPr>
        <w:t>Galați</w:t>
      </w:r>
      <w:r w:rsidR="00001309">
        <w:rPr>
          <w:rFonts w:ascii="Arial" w:hAnsi="Arial" w:cs="Arial"/>
          <w:sz w:val="20"/>
          <w:szCs w:val="20"/>
        </w:rPr>
        <w:t>, where unemployment also increased between 2019 and 2020).</w:t>
      </w:r>
      <w:r w:rsidR="00001309">
        <w:rPr>
          <w:rFonts w:ascii="Arial" w:hAnsi="Arial" w:cs="Arial"/>
          <w:sz w:val="20"/>
          <w:szCs w:val="20"/>
          <w:lang w:val="en-US"/>
        </w:rPr>
        <w:t>”</w:t>
      </w:r>
      <w:r w:rsidR="008970F1">
        <w:rPr>
          <w:rFonts w:ascii="Arial" w:hAnsi="Arial" w:cs="Arial"/>
          <w:sz w:val="20"/>
          <w:szCs w:val="20"/>
        </w:rPr>
        <w:t xml:space="preserve"> This phenomenon might have to do with the Covid effect, as Prahova’s economy, particularly in the Northern part of the county, relies on tourism, which got a severe hit during the Covid outbreak.</w:t>
      </w:r>
      <w:r w:rsidRPr="00402580">
        <w:rPr>
          <w:rFonts w:ascii="Arial" w:hAnsi="Arial" w:cs="Arial"/>
          <w:sz w:val="20"/>
          <w:szCs w:val="20"/>
        </w:rPr>
        <w:t xml:space="preserve"> In rural areas, the unemployment rate in 2010 was 6.04% and </w:t>
      </w:r>
      <w:r>
        <w:rPr>
          <w:rFonts w:ascii="Arial" w:hAnsi="Arial" w:cs="Arial"/>
          <w:sz w:val="20"/>
          <w:szCs w:val="20"/>
        </w:rPr>
        <w:t>2.68% in</w:t>
      </w:r>
      <w:r w:rsidRPr="00402580">
        <w:rPr>
          <w:rFonts w:ascii="Arial" w:hAnsi="Arial" w:cs="Arial"/>
          <w:sz w:val="20"/>
          <w:szCs w:val="20"/>
        </w:rPr>
        <w:t xml:space="preserve"> 2020</w:t>
      </w:r>
      <w:r>
        <w:rPr>
          <w:rFonts w:ascii="Arial" w:hAnsi="Arial" w:cs="Arial"/>
          <w:sz w:val="20"/>
          <w:szCs w:val="20"/>
        </w:rPr>
        <w:t>.</w:t>
      </w:r>
    </w:p>
    <w:p w14:paraId="497F38C1" w14:textId="77777777" w:rsidR="00146078" w:rsidRPr="00402580" w:rsidRDefault="00146078" w:rsidP="00146078">
      <w:pPr>
        <w:spacing w:after="120"/>
        <w:jc w:val="both"/>
        <w:rPr>
          <w:rFonts w:ascii="Arial" w:hAnsi="Arial" w:cs="Arial"/>
          <w:sz w:val="20"/>
          <w:szCs w:val="20"/>
        </w:rPr>
      </w:pPr>
      <w:r>
        <w:rPr>
          <w:rFonts w:ascii="Arial" w:hAnsi="Arial" w:cs="Arial"/>
          <w:sz w:val="20"/>
          <w:szCs w:val="20"/>
        </w:rPr>
        <w:t>In 2020, t</w:t>
      </w:r>
      <w:r w:rsidRPr="00402580">
        <w:rPr>
          <w:rFonts w:ascii="Arial" w:hAnsi="Arial" w:cs="Arial"/>
          <w:sz w:val="20"/>
          <w:szCs w:val="20"/>
        </w:rPr>
        <w:t>he lowest unemployment rate</w:t>
      </w:r>
      <w:r>
        <w:rPr>
          <w:rFonts w:ascii="Arial" w:hAnsi="Arial" w:cs="Arial"/>
          <w:sz w:val="20"/>
          <w:szCs w:val="20"/>
        </w:rPr>
        <w:t xml:space="preserve">s </w:t>
      </w:r>
      <w:r w:rsidRPr="00402580">
        <w:rPr>
          <w:rFonts w:ascii="Arial" w:hAnsi="Arial" w:cs="Arial"/>
          <w:sz w:val="20"/>
          <w:szCs w:val="20"/>
        </w:rPr>
        <w:t xml:space="preserve">in Prahova County </w:t>
      </w:r>
      <w:r>
        <w:rPr>
          <w:rFonts w:ascii="Arial" w:hAnsi="Arial" w:cs="Arial"/>
          <w:sz w:val="20"/>
          <w:szCs w:val="20"/>
        </w:rPr>
        <w:t>were recorded</w:t>
      </w:r>
      <w:r w:rsidRPr="00402580">
        <w:rPr>
          <w:rFonts w:ascii="Arial" w:hAnsi="Arial" w:cs="Arial"/>
          <w:sz w:val="20"/>
          <w:szCs w:val="20"/>
        </w:rPr>
        <w:t xml:space="preserve"> in Sirna (0.60%), Mănești (0.60%) and Ceptura (0.70%). </w:t>
      </w:r>
      <w:r>
        <w:rPr>
          <w:rFonts w:ascii="Arial" w:hAnsi="Arial" w:cs="Arial"/>
          <w:sz w:val="20"/>
          <w:szCs w:val="20"/>
        </w:rPr>
        <w:t>In</w:t>
      </w:r>
      <w:r w:rsidRPr="00402580">
        <w:rPr>
          <w:rFonts w:ascii="Arial" w:hAnsi="Arial" w:cs="Arial"/>
          <w:sz w:val="20"/>
          <w:szCs w:val="20"/>
        </w:rPr>
        <w:t xml:space="preserve"> 2010</w:t>
      </w:r>
      <w:r>
        <w:rPr>
          <w:rFonts w:ascii="Arial" w:hAnsi="Arial" w:cs="Arial"/>
          <w:sz w:val="20"/>
          <w:szCs w:val="20"/>
        </w:rPr>
        <w:t>,</w:t>
      </w:r>
      <w:r w:rsidRPr="00402580">
        <w:rPr>
          <w:rFonts w:ascii="Arial" w:hAnsi="Arial" w:cs="Arial"/>
          <w:sz w:val="20"/>
          <w:szCs w:val="20"/>
        </w:rPr>
        <w:t xml:space="preserve"> the lowest unemployment rates were in</w:t>
      </w:r>
      <w:r>
        <w:rPr>
          <w:rFonts w:ascii="Arial" w:hAnsi="Arial" w:cs="Arial"/>
          <w:sz w:val="20"/>
          <w:szCs w:val="20"/>
        </w:rPr>
        <w:t xml:space="preserve"> </w:t>
      </w:r>
      <w:r w:rsidRPr="00402580">
        <w:rPr>
          <w:rFonts w:ascii="Arial" w:hAnsi="Arial" w:cs="Arial"/>
          <w:sz w:val="20"/>
          <w:szCs w:val="20"/>
        </w:rPr>
        <w:t>Coctii Colț (1.30%), Vadu Sapat (2.30%) and Balta Doamnei (2.90%).</w:t>
      </w:r>
    </w:p>
    <w:p w14:paraId="30B124FF" w14:textId="77777777" w:rsidR="00146078" w:rsidRPr="00402580" w:rsidRDefault="00146078" w:rsidP="00146078">
      <w:pPr>
        <w:spacing w:after="120"/>
        <w:jc w:val="both"/>
        <w:rPr>
          <w:rFonts w:ascii="Arial" w:hAnsi="Arial" w:cs="Arial"/>
          <w:sz w:val="20"/>
          <w:szCs w:val="20"/>
        </w:rPr>
      </w:pPr>
      <w:r>
        <w:rPr>
          <w:rFonts w:ascii="Arial" w:hAnsi="Arial" w:cs="Arial"/>
          <w:sz w:val="20"/>
          <w:szCs w:val="20"/>
        </w:rPr>
        <w:t>By contrast</w:t>
      </w:r>
      <w:r w:rsidRPr="00402580">
        <w:rPr>
          <w:rFonts w:ascii="Arial" w:hAnsi="Arial" w:cs="Arial"/>
          <w:sz w:val="20"/>
          <w:szCs w:val="20"/>
        </w:rPr>
        <w:t xml:space="preserve">, the highest unemployment rates in 2010 </w:t>
      </w:r>
      <w:r>
        <w:rPr>
          <w:rFonts w:ascii="Arial" w:hAnsi="Arial" w:cs="Arial"/>
          <w:sz w:val="20"/>
          <w:szCs w:val="20"/>
        </w:rPr>
        <w:t>were</w:t>
      </w:r>
      <w:r w:rsidRPr="00402580">
        <w:rPr>
          <w:rFonts w:ascii="Arial" w:hAnsi="Arial" w:cs="Arial"/>
          <w:sz w:val="20"/>
          <w:szCs w:val="20"/>
        </w:rPr>
        <w:t xml:space="preserve"> found in Păcureți (14.30%), Salcia (13.50%) and Vălcănești (11.60%). The highest shares of unemployment in 2020 </w:t>
      </w:r>
      <w:r>
        <w:rPr>
          <w:rFonts w:ascii="Arial" w:hAnsi="Arial" w:cs="Arial"/>
          <w:sz w:val="20"/>
          <w:szCs w:val="20"/>
        </w:rPr>
        <w:t>were</w:t>
      </w:r>
      <w:r w:rsidRPr="00402580">
        <w:rPr>
          <w:rFonts w:ascii="Arial" w:hAnsi="Arial" w:cs="Arial"/>
          <w:sz w:val="20"/>
          <w:szCs w:val="20"/>
        </w:rPr>
        <w:t xml:space="preserve"> in Sotrile (11.80%), Jugureni (10.80%) and Tatar (7.80%)</w:t>
      </w:r>
      <w:r>
        <w:rPr>
          <w:rFonts w:ascii="Arial" w:hAnsi="Arial" w:cs="Arial"/>
          <w:sz w:val="20"/>
          <w:szCs w:val="20"/>
        </w:rPr>
        <w:t>.</w:t>
      </w:r>
    </w:p>
    <w:p w14:paraId="005623A0" w14:textId="20DB345D" w:rsidR="00146078" w:rsidRPr="003516DC" w:rsidRDefault="00146078" w:rsidP="00146078">
      <w:pPr>
        <w:jc w:val="both"/>
        <w:rPr>
          <w:rFonts w:ascii="Arial" w:hAnsi="Arial" w:cs="Arial"/>
          <w:sz w:val="20"/>
          <w:szCs w:val="20"/>
        </w:rPr>
      </w:pPr>
      <w:r w:rsidRPr="003516DC">
        <w:rPr>
          <w:rFonts w:ascii="Arial" w:hAnsi="Arial" w:cs="Arial"/>
          <w:sz w:val="20"/>
          <w:szCs w:val="20"/>
        </w:rPr>
        <w:t xml:space="preserve">However, long term structural unemployment is an issue and has been described as an increasing concern. Interviews with the local employment office indicated that most of the unemployed come from poor areas and lack basic education and skills. For this </w:t>
      </w:r>
      <w:r w:rsidRPr="00A03682">
        <w:rPr>
          <w:rFonts w:ascii="Arial" w:hAnsi="Arial" w:cs="Arial"/>
          <w:sz w:val="20"/>
          <w:szCs w:val="20"/>
        </w:rPr>
        <w:t xml:space="preserve">reason, labour force inclusion has been described as a challenge of fighting early school dropout and functional illiteracy, as opposed to tackling skills mismatch through qualification programmes. </w:t>
      </w:r>
      <w:r w:rsidRPr="00402580">
        <w:rPr>
          <w:rFonts w:ascii="Arial" w:hAnsi="Arial" w:cs="Arial"/>
          <w:sz w:val="20"/>
          <w:szCs w:val="20"/>
        </w:rPr>
        <w:t>Interviews with Prahova County School Inspectorate revealed that dual education p</w:t>
      </w:r>
      <w:r w:rsidR="00D206E5">
        <w:rPr>
          <w:rFonts w:ascii="Arial" w:hAnsi="Arial" w:cs="Arial"/>
          <w:sz w:val="20"/>
          <w:szCs w:val="20"/>
        </w:rPr>
        <w:t>rogrammes</w:t>
      </w:r>
      <w:r w:rsidRPr="00402580">
        <w:rPr>
          <w:rFonts w:ascii="Arial" w:hAnsi="Arial" w:cs="Arial"/>
          <w:sz w:val="20"/>
          <w:szCs w:val="20"/>
        </w:rPr>
        <w:t xml:space="preserve"> are not yet sufficiently promoted in the local business environment as a long-term collaboration, not only for a single generation of graduates, between economic operator, education unit and public administrative unit.</w:t>
      </w:r>
    </w:p>
    <w:p w14:paraId="19A30626" w14:textId="7B524A7C" w:rsidR="00931AF2" w:rsidRPr="001E152C" w:rsidRDefault="00931AF2" w:rsidP="00E42342">
      <w:pPr>
        <w:pStyle w:val="ListParagraph"/>
        <w:numPr>
          <w:ilvl w:val="0"/>
          <w:numId w:val="288"/>
        </w:numPr>
        <w:spacing w:before="120" w:after="120" w:line="240" w:lineRule="auto"/>
        <w:jc w:val="both"/>
        <w:rPr>
          <w:color w:val="4F81BD" w:themeColor="accent1"/>
          <w:sz w:val="20"/>
          <w:szCs w:val="20"/>
        </w:rPr>
      </w:pPr>
      <w:r>
        <w:rPr>
          <w:color w:val="4F81BD" w:themeColor="accent1"/>
          <w:sz w:val="20"/>
          <w:szCs w:val="20"/>
        </w:rPr>
        <w:t>Social infrastructure</w:t>
      </w:r>
    </w:p>
    <w:p w14:paraId="6A423B57" w14:textId="77777777" w:rsidR="00931AF2" w:rsidRPr="003516DC" w:rsidRDefault="00931AF2" w:rsidP="00931AF2">
      <w:pPr>
        <w:spacing w:after="120"/>
        <w:jc w:val="both"/>
        <w:rPr>
          <w:rFonts w:ascii="Arial" w:hAnsi="Arial" w:cs="Arial"/>
          <w:sz w:val="20"/>
          <w:szCs w:val="20"/>
        </w:rPr>
      </w:pPr>
      <w:r w:rsidRPr="003516DC">
        <w:rPr>
          <w:rFonts w:ascii="Arial" w:hAnsi="Arial" w:cs="Arial"/>
          <w:sz w:val="20"/>
          <w:szCs w:val="20"/>
        </w:rPr>
        <w:t>In Romania, according to data from the 2011 Census and reports on the substantiation of the National Strategy on Social Inclusion and Poverty Reduction 2015-2020, among Romanians aged 65 and over, less than 1% live in institutions residential and over 26% live alone. About 212,000 elderly people (or 6.5% of people aged 65 and over) face serious or total limitations, but do not receive family support and therefore need support to carry out their daily activities. Of these people, 68,200 live alone, 127,000 are 75 years of age and older, and 47,300 are single people aged 75 and over</w:t>
      </w:r>
      <w:r>
        <w:rPr>
          <w:rFonts w:ascii="Arial" w:hAnsi="Arial" w:cs="Arial"/>
          <w:sz w:val="20"/>
          <w:szCs w:val="20"/>
        </w:rPr>
        <w:t xml:space="preserve">. </w:t>
      </w:r>
      <w:r w:rsidRPr="003516DC">
        <w:rPr>
          <w:rFonts w:ascii="Arial" w:hAnsi="Arial" w:cs="Arial"/>
          <w:sz w:val="20"/>
          <w:szCs w:val="20"/>
        </w:rPr>
        <w:t>The South Muntenia region (including Prahova County) is facing an increasing trend of population aging, which leads to a shortage of labo</w:t>
      </w:r>
      <w:r>
        <w:rPr>
          <w:rFonts w:ascii="Arial" w:hAnsi="Arial" w:cs="Arial"/>
          <w:sz w:val="20"/>
          <w:szCs w:val="20"/>
        </w:rPr>
        <w:t>u</w:t>
      </w:r>
      <w:r w:rsidRPr="003516DC">
        <w:rPr>
          <w:rFonts w:ascii="Arial" w:hAnsi="Arial" w:cs="Arial"/>
          <w:sz w:val="20"/>
          <w:szCs w:val="20"/>
        </w:rPr>
        <w:t>r and puts pressure on health and social care systems. There are no official data on the number and capacity of residential cent</w:t>
      </w:r>
      <w:r>
        <w:rPr>
          <w:rFonts w:ascii="Arial" w:hAnsi="Arial" w:cs="Arial"/>
          <w:sz w:val="20"/>
          <w:szCs w:val="20"/>
        </w:rPr>
        <w:t>re</w:t>
      </w:r>
      <w:r w:rsidRPr="003516DC">
        <w:rPr>
          <w:rFonts w:ascii="Arial" w:hAnsi="Arial" w:cs="Arial"/>
          <w:sz w:val="20"/>
          <w:szCs w:val="20"/>
        </w:rPr>
        <w:t xml:space="preserve">s for the elderly, but the National Strategy on the Elderly and Active Aging aims to create and fund a wide range of services tailored to the specific needs of older people with complex needs, with a special focus on care services. </w:t>
      </w:r>
      <w:r>
        <w:rPr>
          <w:rFonts w:ascii="Arial" w:hAnsi="Arial" w:cs="Arial"/>
          <w:sz w:val="20"/>
          <w:szCs w:val="20"/>
        </w:rPr>
        <w:t>P</w:t>
      </w:r>
      <w:r w:rsidRPr="003516DC">
        <w:rPr>
          <w:rFonts w:ascii="Arial" w:hAnsi="Arial" w:cs="Arial"/>
          <w:sz w:val="20"/>
          <w:szCs w:val="20"/>
        </w:rPr>
        <w:t>roviding home care services for patients with chronic diseases, people with mental disabilities and the elderly</w:t>
      </w:r>
      <w:r>
        <w:rPr>
          <w:rFonts w:ascii="Arial" w:hAnsi="Arial" w:cs="Arial"/>
          <w:sz w:val="20"/>
          <w:szCs w:val="20"/>
        </w:rPr>
        <w:t xml:space="preserve"> is a priority</w:t>
      </w:r>
      <w:r w:rsidRPr="003516DC">
        <w:rPr>
          <w:rFonts w:ascii="Arial" w:hAnsi="Arial" w:cs="Arial"/>
          <w:sz w:val="20"/>
          <w:szCs w:val="20"/>
        </w:rPr>
        <w:t>.</w:t>
      </w:r>
    </w:p>
    <w:p w14:paraId="640F09F2" w14:textId="4DD25E95" w:rsidR="003D5D24" w:rsidRPr="003516DC" w:rsidRDefault="003D5D24" w:rsidP="00A03682">
      <w:pPr>
        <w:pStyle w:val="Caption"/>
        <w:ind w:left="810" w:hanging="810"/>
      </w:pPr>
      <w:bookmarkStart w:id="247" w:name="_Toc90727376"/>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40</w:t>
      </w:r>
      <w:r w:rsidR="000B273D">
        <w:rPr>
          <w:noProof/>
        </w:rPr>
        <w:fldChar w:fldCharType="end"/>
      </w:r>
      <w:r w:rsidRPr="003516DC">
        <w:t xml:space="preserve">: Representativeness of the target age groups of the social, health and education infrastructure (young and old) in Prahova </w:t>
      </w:r>
      <w:r w:rsidR="00931AF2">
        <w:t>C</w:t>
      </w:r>
      <w:r w:rsidRPr="003516DC">
        <w:t>ounty as compared to national level, 2020</w:t>
      </w:r>
      <w:bookmarkEnd w:id="247"/>
    </w:p>
    <w:p w14:paraId="1FBF208A" w14:textId="6F1B87B7" w:rsidR="003D5D24" w:rsidRPr="003516DC" w:rsidRDefault="003D5D24" w:rsidP="004739DE">
      <w:pPr>
        <w:jc w:val="both"/>
        <w:rPr>
          <w:rFonts w:ascii="Arial" w:hAnsi="Arial" w:cs="Arial"/>
          <w:sz w:val="20"/>
          <w:szCs w:val="20"/>
        </w:rPr>
      </w:pPr>
      <w:r w:rsidRPr="00402580">
        <w:rPr>
          <w:rFonts w:ascii="Arial" w:hAnsi="Arial" w:cs="Arial"/>
          <w:noProof/>
          <w:lang w:val="en-US" w:eastAsia="en-US"/>
        </w:rPr>
        <w:drawing>
          <wp:inline distT="0" distB="0" distL="0" distR="0" wp14:anchorId="0E326BEC" wp14:editId="46FC95E6">
            <wp:extent cx="5676265" cy="1753870"/>
            <wp:effectExtent l="0" t="0" r="635" b="0"/>
            <wp:docPr id="2087055601" name="Picture 208705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676265" cy="1753870"/>
                    </a:xfrm>
                    <a:prstGeom prst="rect">
                      <a:avLst/>
                    </a:prstGeom>
                  </pic:spPr>
                </pic:pic>
              </a:graphicData>
            </a:graphic>
          </wp:inline>
        </w:drawing>
      </w:r>
    </w:p>
    <w:p w14:paraId="041E2053" w14:textId="07690D25" w:rsidR="00AE21C0" w:rsidRDefault="004739DE" w:rsidP="00931AF2">
      <w:pPr>
        <w:spacing w:before="120" w:after="120"/>
        <w:jc w:val="both"/>
        <w:rPr>
          <w:rFonts w:ascii="Arial" w:hAnsi="Arial" w:cs="Arial"/>
          <w:sz w:val="20"/>
          <w:szCs w:val="20"/>
        </w:rPr>
      </w:pPr>
      <w:r w:rsidRPr="003516DC">
        <w:rPr>
          <w:rFonts w:ascii="Arial" w:hAnsi="Arial" w:cs="Arial"/>
          <w:sz w:val="20"/>
          <w:szCs w:val="20"/>
        </w:rPr>
        <w:t>In Prahova County (as in the entire Central Region)</w:t>
      </w:r>
      <w:r w:rsidR="00143135">
        <w:rPr>
          <w:rFonts w:ascii="Arial" w:hAnsi="Arial" w:cs="Arial"/>
          <w:sz w:val="20"/>
          <w:szCs w:val="20"/>
        </w:rPr>
        <w:t>,</w:t>
      </w:r>
      <w:r w:rsidRPr="003516DC">
        <w:rPr>
          <w:rFonts w:ascii="Arial" w:hAnsi="Arial" w:cs="Arial"/>
          <w:sz w:val="20"/>
          <w:szCs w:val="20"/>
        </w:rPr>
        <w:t xml:space="preserve"> the educational infrastructure is undersized and degraded, which negatively affects access to education and social inclusion. In terms of early education, the participation of pre-school children in quality education and care is below the EU average, </w:t>
      </w:r>
      <w:r w:rsidR="00143135">
        <w:rPr>
          <w:rFonts w:ascii="Arial" w:hAnsi="Arial" w:cs="Arial"/>
          <w:sz w:val="20"/>
          <w:szCs w:val="20"/>
        </w:rPr>
        <w:t>partially</w:t>
      </w:r>
      <w:r w:rsidRPr="003516DC">
        <w:rPr>
          <w:rFonts w:ascii="Arial" w:hAnsi="Arial" w:cs="Arial"/>
          <w:sz w:val="20"/>
          <w:szCs w:val="20"/>
        </w:rPr>
        <w:t xml:space="preserve"> due to insufficient infrastructure. Thus, in 2018, only 16% of children under the age of 3 </w:t>
      </w:r>
      <w:r w:rsidR="00143135">
        <w:rPr>
          <w:rFonts w:ascii="Arial" w:hAnsi="Arial" w:cs="Arial"/>
          <w:sz w:val="20"/>
          <w:szCs w:val="20"/>
        </w:rPr>
        <w:t xml:space="preserve">years old </w:t>
      </w:r>
      <w:r w:rsidRPr="003516DC">
        <w:rPr>
          <w:rFonts w:ascii="Arial" w:hAnsi="Arial" w:cs="Arial"/>
          <w:sz w:val="20"/>
          <w:szCs w:val="20"/>
        </w:rPr>
        <w:t>were enrolled in nursery and kindergarten, i</w:t>
      </w:r>
      <w:r w:rsidR="00143135">
        <w:rPr>
          <w:rFonts w:ascii="Arial" w:hAnsi="Arial" w:cs="Arial"/>
          <w:sz w:val="20"/>
          <w:szCs w:val="20"/>
        </w:rPr>
        <w:t>.</w:t>
      </w:r>
      <w:r w:rsidRPr="003516DC">
        <w:rPr>
          <w:rFonts w:ascii="Arial" w:hAnsi="Arial" w:cs="Arial"/>
          <w:sz w:val="20"/>
          <w:szCs w:val="20"/>
        </w:rPr>
        <w:t>e</w:t>
      </w:r>
      <w:r w:rsidR="00143135">
        <w:rPr>
          <w:rFonts w:ascii="Arial" w:hAnsi="Arial" w:cs="Arial"/>
          <w:sz w:val="20"/>
          <w:szCs w:val="20"/>
        </w:rPr>
        <w:t>.,</w:t>
      </w:r>
      <w:r w:rsidRPr="003516DC">
        <w:rPr>
          <w:rFonts w:ascii="Arial" w:hAnsi="Arial" w:cs="Arial"/>
          <w:sz w:val="20"/>
          <w:szCs w:val="20"/>
        </w:rPr>
        <w:t xml:space="preserve"> about half of the EU average. This has implications for women</w:t>
      </w:r>
      <w:r w:rsidR="00FF34FD">
        <w:rPr>
          <w:rFonts w:ascii="Arial" w:hAnsi="Arial" w:cs="Arial"/>
          <w:sz w:val="20"/>
          <w:szCs w:val="20"/>
        </w:rPr>
        <w:t>’</w:t>
      </w:r>
      <w:r w:rsidRPr="003516DC">
        <w:rPr>
          <w:rFonts w:ascii="Arial" w:hAnsi="Arial" w:cs="Arial"/>
          <w:sz w:val="20"/>
          <w:szCs w:val="20"/>
        </w:rPr>
        <w:t>s participation in the labo</w:t>
      </w:r>
      <w:r w:rsidR="00143135">
        <w:rPr>
          <w:rFonts w:ascii="Arial" w:hAnsi="Arial" w:cs="Arial"/>
          <w:sz w:val="20"/>
          <w:szCs w:val="20"/>
        </w:rPr>
        <w:t>u</w:t>
      </w:r>
      <w:r w:rsidRPr="003516DC">
        <w:rPr>
          <w:rFonts w:ascii="Arial" w:hAnsi="Arial" w:cs="Arial"/>
          <w:sz w:val="20"/>
          <w:szCs w:val="20"/>
        </w:rPr>
        <w:t xml:space="preserve">r market as well as for the early acquisition of skills. Also, the participation rate among children aged 4 years </w:t>
      </w:r>
      <w:r w:rsidR="00143135">
        <w:rPr>
          <w:rFonts w:ascii="Arial" w:hAnsi="Arial" w:cs="Arial"/>
          <w:sz w:val="20"/>
          <w:szCs w:val="20"/>
        </w:rPr>
        <w:t xml:space="preserve">old </w:t>
      </w:r>
      <w:r w:rsidRPr="003516DC">
        <w:rPr>
          <w:rFonts w:ascii="Arial" w:hAnsi="Arial" w:cs="Arial"/>
          <w:sz w:val="20"/>
          <w:szCs w:val="20"/>
        </w:rPr>
        <w:t xml:space="preserve">and the age of compulsory schooling was 89.2% in 2018, below the EU average </w:t>
      </w:r>
      <w:r w:rsidR="00143135">
        <w:rPr>
          <w:rFonts w:ascii="Arial" w:hAnsi="Arial" w:cs="Arial"/>
          <w:sz w:val="20"/>
          <w:szCs w:val="20"/>
        </w:rPr>
        <w:t xml:space="preserve">of </w:t>
      </w:r>
      <w:r w:rsidRPr="003516DC">
        <w:rPr>
          <w:rFonts w:ascii="Arial" w:hAnsi="Arial" w:cs="Arial"/>
          <w:sz w:val="20"/>
          <w:szCs w:val="20"/>
        </w:rPr>
        <w:t>95.4%</w:t>
      </w:r>
      <w:r w:rsidR="00143135">
        <w:rPr>
          <w:rFonts w:ascii="Arial" w:hAnsi="Arial" w:cs="Arial"/>
          <w:sz w:val="20"/>
          <w:szCs w:val="20"/>
        </w:rPr>
        <w:t>. T</w:t>
      </w:r>
      <w:r w:rsidRPr="003516DC">
        <w:rPr>
          <w:rFonts w:ascii="Arial" w:hAnsi="Arial" w:cs="Arial"/>
          <w:sz w:val="20"/>
          <w:szCs w:val="20"/>
        </w:rPr>
        <w:t xml:space="preserve">he main challenges relate to access and quality of </w:t>
      </w:r>
      <w:r w:rsidR="00143135" w:rsidRPr="003516DC">
        <w:rPr>
          <w:rFonts w:ascii="Arial" w:hAnsi="Arial" w:cs="Arial"/>
          <w:sz w:val="20"/>
          <w:szCs w:val="20"/>
        </w:rPr>
        <w:t xml:space="preserve">educational </w:t>
      </w:r>
      <w:r w:rsidRPr="003516DC">
        <w:rPr>
          <w:rFonts w:ascii="Arial" w:hAnsi="Arial" w:cs="Arial"/>
          <w:sz w:val="20"/>
          <w:szCs w:val="20"/>
        </w:rPr>
        <w:t xml:space="preserve">services. In Prahova </w:t>
      </w:r>
      <w:r w:rsidR="00143135">
        <w:rPr>
          <w:rFonts w:ascii="Arial" w:hAnsi="Arial" w:cs="Arial"/>
          <w:sz w:val="20"/>
          <w:szCs w:val="20"/>
        </w:rPr>
        <w:t>C</w:t>
      </w:r>
      <w:r w:rsidRPr="003516DC">
        <w:rPr>
          <w:rFonts w:ascii="Arial" w:hAnsi="Arial" w:cs="Arial"/>
          <w:sz w:val="20"/>
          <w:szCs w:val="20"/>
        </w:rPr>
        <w:t>ounty</w:t>
      </w:r>
      <w:r w:rsidR="00143135">
        <w:rPr>
          <w:rFonts w:ascii="Arial" w:hAnsi="Arial" w:cs="Arial"/>
          <w:sz w:val="20"/>
          <w:szCs w:val="20"/>
        </w:rPr>
        <w:t>,</w:t>
      </w:r>
      <w:r w:rsidRPr="003516DC">
        <w:rPr>
          <w:rFonts w:ascii="Arial" w:hAnsi="Arial" w:cs="Arial"/>
          <w:sz w:val="20"/>
          <w:szCs w:val="20"/>
        </w:rPr>
        <w:t xml:space="preserve"> there are 279 kindergartens with </w:t>
      </w:r>
      <w:r w:rsidR="00143135">
        <w:rPr>
          <w:rFonts w:ascii="Arial" w:hAnsi="Arial" w:cs="Arial"/>
          <w:sz w:val="20"/>
          <w:szCs w:val="20"/>
        </w:rPr>
        <w:t xml:space="preserve">a </w:t>
      </w:r>
      <w:r w:rsidRPr="003516DC">
        <w:rPr>
          <w:rFonts w:ascii="Arial" w:hAnsi="Arial" w:cs="Arial"/>
          <w:sz w:val="20"/>
          <w:szCs w:val="20"/>
        </w:rPr>
        <w:t>normal program</w:t>
      </w:r>
      <w:r w:rsidR="00143135">
        <w:rPr>
          <w:rFonts w:ascii="Arial" w:hAnsi="Arial" w:cs="Arial"/>
          <w:sz w:val="20"/>
          <w:szCs w:val="20"/>
        </w:rPr>
        <w:t>me</w:t>
      </w:r>
      <w:r w:rsidRPr="003516DC">
        <w:rPr>
          <w:rFonts w:ascii="Arial" w:hAnsi="Arial" w:cs="Arial"/>
          <w:sz w:val="20"/>
          <w:szCs w:val="20"/>
        </w:rPr>
        <w:t xml:space="preserve">, 40 </w:t>
      </w:r>
      <w:r w:rsidRPr="003516DC">
        <w:rPr>
          <w:rFonts w:ascii="Arial" w:hAnsi="Arial" w:cs="Arial"/>
          <w:sz w:val="20"/>
          <w:szCs w:val="20"/>
        </w:rPr>
        <w:lastRenderedPageBreak/>
        <w:t xml:space="preserve">kindergartens with </w:t>
      </w:r>
      <w:r w:rsidR="00143135">
        <w:rPr>
          <w:rFonts w:ascii="Arial" w:hAnsi="Arial" w:cs="Arial"/>
          <w:sz w:val="20"/>
          <w:szCs w:val="20"/>
        </w:rPr>
        <w:t xml:space="preserve">an </w:t>
      </w:r>
      <w:r w:rsidRPr="003516DC">
        <w:rPr>
          <w:rFonts w:ascii="Arial" w:hAnsi="Arial" w:cs="Arial"/>
          <w:sz w:val="20"/>
          <w:szCs w:val="20"/>
        </w:rPr>
        <w:t>extended program</w:t>
      </w:r>
      <w:r w:rsidR="00143135">
        <w:rPr>
          <w:rFonts w:ascii="Arial" w:hAnsi="Arial" w:cs="Arial"/>
          <w:sz w:val="20"/>
          <w:szCs w:val="20"/>
        </w:rPr>
        <w:t>me</w:t>
      </w:r>
      <w:r w:rsidRPr="003516DC">
        <w:rPr>
          <w:rFonts w:ascii="Arial" w:hAnsi="Arial" w:cs="Arial"/>
          <w:sz w:val="20"/>
          <w:szCs w:val="20"/>
        </w:rPr>
        <w:t xml:space="preserve"> and 2 nurseries. The technological school infrastructure consists of 24 technological high schools and 5 vocational schools</w:t>
      </w:r>
      <w:r w:rsidR="00931AF2">
        <w:rPr>
          <w:rStyle w:val="FootnoteReference"/>
          <w:rFonts w:ascii="Arial" w:hAnsi="Arial" w:cs="Arial"/>
          <w:sz w:val="20"/>
          <w:szCs w:val="20"/>
        </w:rPr>
        <w:footnoteReference w:id="113"/>
      </w:r>
      <w:r w:rsidRPr="003516DC">
        <w:rPr>
          <w:rFonts w:ascii="Arial" w:hAnsi="Arial" w:cs="Arial"/>
          <w:sz w:val="20"/>
          <w:szCs w:val="20"/>
        </w:rPr>
        <w:t>.</w:t>
      </w:r>
      <w:r w:rsidR="00AE21C0" w:rsidRPr="003516DC">
        <w:rPr>
          <w:rFonts w:ascii="Arial" w:hAnsi="Arial" w:cs="Arial"/>
          <w:sz w:val="20"/>
          <w:szCs w:val="20"/>
        </w:rPr>
        <w:t xml:space="preserve">    </w:t>
      </w:r>
    </w:p>
    <w:p w14:paraId="4541D1B3" w14:textId="42335B37" w:rsidR="00931AF2" w:rsidRDefault="00931AF2" w:rsidP="00931AF2">
      <w:pPr>
        <w:jc w:val="both"/>
        <w:rPr>
          <w:rFonts w:ascii="Arial" w:hAnsi="Arial" w:cs="Arial"/>
          <w:sz w:val="20"/>
          <w:szCs w:val="20"/>
        </w:rPr>
      </w:pPr>
      <w:r w:rsidRPr="003516DC">
        <w:rPr>
          <w:rFonts w:ascii="Arial" w:hAnsi="Arial" w:cs="Arial"/>
          <w:sz w:val="20"/>
          <w:szCs w:val="20"/>
        </w:rPr>
        <w:t>The vocational</w:t>
      </w:r>
      <w:r w:rsidRPr="003516DC">
        <w:rPr>
          <w:rFonts w:ascii="Arial" w:hAnsi="Arial" w:cs="Arial"/>
          <w:b/>
          <w:sz w:val="20"/>
          <w:szCs w:val="20"/>
        </w:rPr>
        <w:t xml:space="preserve"> educational</w:t>
      </w:r>
      <w:r w:rsidRPr="003516DC">
        <w:rPr>
          <w:rFonts w:ascii="Arial" w:hAnsi="Arial" w:cs="Arial"/>
          <w:sz w:val="20"/>
          <w:szCs w:val="20"/>
        </w:rPr>
        <w:t xml:space="preserve"> school system – which is essential to qualifying labour resources in a county so developed on logistics and manufacturing – has been indicated by interviewees as insufficient. Adapting its material base and curriculum to economic activities on the rise has been noted as highly needed and important, along with development of professional training schemes such as the dual-school system that could directly involve local businesses in training of future employees.</w:t>
      </w:r>
    </w:p>
    <w:p w14:paraId="0A2B1B82" w14:textId="43D73273" w:rsidR="00931AF2" w:rsidRPr="001E152C" w:rsidRDefault="00931AF2" w:rsidP="00E42342">
      <w:pPr>
        <w:pStyle w:val="ListParagraph"/>
        <w:numPr>
          <w:ilvl w:val="0"/>
          <w:numId w:val="289"/>
        </w:numPr>
        <w:spacing w:before="120" w:after="120" w:line="240" w:lineRule="auto"/>
        <w:jc w:val="both"/>
        <w:rPr>
          <w:color w:val="4F81BD" w:themeColor="accent1"/>
          <w:sz w:val="20"/>
          <w:szCs w:val="20"/>
        </w:rPr>
      </w:pPr>
      <w:r>
        <w:rPr>
          <w:color w:val="4F81BD" w:themeColor="accent1"/>
          <w:sz w:val="20"/>
          <w:szCs w:val="20"/>
        </w:rPr>
        <w:t>Environment</w:t>
      </w:r>
    </w:p>
    <w:p w14:paraId="0C6CAAAB" w14:textId="0BC9BFB1" w:rsidR="00AE21C0" w:rsidRPr="003516DC" w:rsidRDefault="00AE21C0" w:rsidP="00A2362B">
      <w:pPr>
        <w:spacing w:after="120"/>
        <w:jc w:val="both"/>
        <w:rPr>
          <w:rFonts w:ascii="Arial" w:hAnsi="Arial" w:cs="Arial"/>
          <w:sz w:val="20"/>
          <w:szCs w:val="20"/>
        </w:rPr>
      </w:pPr>
      <w:r w:rsidRPr="003516DC">
        <w:rPr>
          <w:rFonts w:ascii="Arial" w:hAnsi="Arial" w:cs="Arial"/>
          <w:b/>
          <w:bCs/>
          <w:sz w:val="20"/>
          <w:szCs w:val="20"/>
        </w:rPr>
        <w:t>Air pollution</w:t>
      </w:r>
      <w:r w:rsidRPr="003516DC">
        <w:rPr>
          <w:rFonts w:ascii="Arial" w:hAnsi="Arial" w:cs="Arial"/>
          <w:sz w:val="20"/>
          <w:szCs w:val="20"/>
        </w:rPr>
        <w:t xml:space="preserve"> has been a hot topic in stakeholder consultation in Prahova, with </w:t>
      </w:r>
      <w:r w:rsidR="0064084A" w:rsidRPr="003516DC">
        <w:rPr>
          <w:rFonts w:ascii="Arial" w:hAnsi="Arial" w:cs="Arial"/>
          <w:sz w:val="20"/>
          <w:szCs w:val="20"/>
        </w:rPr>
        <w:t>relevance</w:t>
      </w:r>
      <w:r w:rsidRPr="003516DC">
        <w:rPr>
          <w:rFonts w:ascii="Arial" w:hAnsi="Arial" w:cs="Arial"/>
          <w:sz w:val="20"/>
          <w:szCs w:val="20"/>
        </w:rPr>
        <w:t xml:space="preserve"> to Ploiești and </w:t>
      </w:r>
      <w:r w:rsidR="0064084A" w:rsidRPr="003516DC">
        <w:rPr>
          <w:rFonts w:ascii="Arial" w:hAnsi="Arial" w:cs="Arial"/>
          <w:sz w:val="20"/>
          <w:szCs w:val="20"/>
        </w:rPr>
        <w:t xml:space="preserve">its </w:t>
      </w:r>
      <w:r w:rsidRPr="003516DC">
        <w:rPr>
          <w:rFonts w:ascii="Arial" w:hAnsi="Arial" w:cs="Arial"/>
          <w:sz w:val="20"/>
          <w:szCs w:val="20"/>
        </w:rPr>
        <w:t xml:space="preserve">surroundings. The oil industry has </w:t>
      </w:r>
      <w:r w:rsidR="00143135">
        <w:rPr>
          <w:rFonts w:ascii="Arial" w:hAnsi="Arial" w:cs="Arial"/>
          <w:sz w:val="20"/>
          <w:szCs w:val="20"/>
        </w:rPr>
        <w:t xml:space="preserve">been </w:t>
      </w:r>
      <w:r w:rsidR="0064084A" w:rsidRPr="003516DC">
        <w:rPr>
          <w:rFonts w:ascii="Arial" w:hAnsi="Arial" w:cs="Arial"/>
          <w:sz w:val="20"/>
          <w:szCs w:val="20"/>
        </w:rPr>
        <w:t>called</w:t>
      </w:r>
      <w:r w:rsidRPr="003516DC">
        <w:rPr>
          <w:rFonts w:ascii="Arial" w:hAnsi="Arial" w:cs="Arial"/>
          <w:sz w:val="20"/>
          <w:szCs w:val="20"/>
        </w:rPr>
        <w:t xml:space="preserve"> by civil society representatives as the main (though not exclusive) source of air pollution. There is discontent from the local community with respect to the effectiveness and transparency of local authorities to measure and sanction air pollution.</w:t>
      </w:r>
    </w:p>
    <w:p w14:paraId="7C7C6613" w14:textId="55CB962F" w:rsidR="00AE21C0" w:rsidRPr="003516DC" w:rsidRDefault="0064084A" w:rsidP="00A2362B">
      <w:pPr>
        <w:spacing w:after="120"/>
        <w:jc w:val="both"/>
        <w:rPr>
          <w:rFonts w:ascii="Arial" w:hAnsi="Arial" w:cs="Arial"/>
          <w:sz w:val="20"/>
          <w:szCs w:val="20"/>
        </w:rPr>
      </w:pPr>
      <w:r w:rsidRPr="003516DC">
        <w:rPr>
          <w:rFonts w:ascii="Arial" w:hAnsi="Arial" w:cs="Arial"/>
          <w:sz w:val="20"/>
          <w:szCs w:val="20"/>
        </w:rPr>
        <w:t>In 2019, t</w:t>
      </w:r>
      <w:r w:rsidR="00AE21C0" w:rsidRPr="003516DC">
        <w:rPr>
          <w:rFonts w:ascii="Arial" w:hAnsi="Arial" w:cs="Arial"/>
          <w:sz w:val="20"/>
          <w:szCs w:val="20"/>
        </w:rPr>
        <w:t xml:space="preserve">he previous local leadership of Ploiești launched the Green Ploiești Protocol, a platform of </w:t>
      </w:r>
      <w:r w:rsidRPr="003516DC">
        <w:rPr>
          <w:rFonts w:ascii="Arial" w:hAnsi="Arial" w:cs="Arial"/>
          <w:sz w:val="20"/>
          <w:szCs w:val="20"/>
        </w:rPr>
        <w:t>public</w:t>
      </w:r>
      <w:r w:rsidR="00AE21C0" w:rsidRPr="003516DC">
        <w:rPr>
          <w:rFonts w:ascii="Arial" w:hAnsi="Arial" w:cs="Arial"/>
          <w:sz w:val="20"/>
          <w:szCs w:val="20"/>
        </w:rPr>
        <w:t xml:space="preserve"> authorities, businesses, civil society organi</w:t>
      </w:r>
      <w:r w:rsidR="006A5615" w:rsidRPr="003516DC">
        <w:rPr>
          <w:rFonts w:ascii="Arial" w:hAnsi="Arial" w:cs="Arial"/>
          <w:sz w:val="20"/>
          <w:szCs w:val="20"/>
        </w:rPr>
        <w:t>s</w:t>
      </w:r>
      <w:r w:rsidR="00AE21C0" w:rsidRPr="003516DC">
        <w:rPr>
          <w:rFonts w:ascii="Arial" w:hAnsi="Arial" w:cs="Arial"/>
          <w:sz w:val="20"/>
          <w:szCs w:val="20"/>
        </w:rPr>
        <w:t>ations and academia t</w:t>
      </w:r>
      <w:r w:rsidR="006A5615" w:rsidRPr="003516DC">
        <w:rPr>
          <w:rFonts w:ascii="Arial" w:hAnsi="Arial" w:cs="Arial"/>
          <w:sz w:val="20"/>
          <w:szCs w:val="20"/>
        </w:rPr>
        <w:t>hat</w:t>
      </w:r>
      <w:r w:rsidR="00AE21C0" w:rsidRPr="003516DC">
        <w:rPr>
          <w:rFonts w:ascii="Arial" w:hAnsi="Arial" w:cs="Arial"/>
          <w:sz w:val="20"/>
          <w:szCs w:val="20"/>
        </w:rPr>
        <w:t xml:space="preserve"> monitor</w:t>
      </w:r>
      <w:r w:rsidR="006A5615" w:rsidRPr="003516DC">
        <w:rPr>
          <w:rFonts w:ascii="Arial" w:hAnsi="Arial" w:cs="Arial"/>
          <w:sz w:val="20"/>
          <w:szCs w:val="20"/>
        </w:rPr>
        <w:t>s</w:t>
      </w:r>
      <w:r w:rsidR="00AE21C0" w:rsidRPr="003516DC">
        <w:rPr>
          <w:rFonts w:ascii="Arial" w:hAnsi="Arial" w:cs="Arial"/>
          <w:sz w:val="20"/>
          <w:szCs w:val="20"/>
        </w:rPr>
        <w:t>, mitigate</w:t>
      </w:r>
      <w:r w:rsidR="006A5615" w:rsidRPr="003516DC">
        <w:rPr>
          <w:rFonts w:ascii="Arial" w:hAnsi="Arial" w:cs="Arial"/>
          <w:sz w:val="20"/>
          <w:szCs w:val="20"/>
        </w:rPr>
        <w:t>s</w:t>
      </w:r>
      <w:r w:rsidR="00AE21C0" w:rsidRPr="003516DC">
        <w:rPr>
          <w:rFonts w:ascii="Arial" w:hAnsi="Arial" w:cs="Arial"/>
          <w:sz w:val="20"/>
          <w:szCs w:val="20"/>
        </w:rPr>
        <w:t xml:space="preserve"> and raise</w:t>
      </w:r>
      <w:r w:rsidR="006A5615" w:rsidRPr="003516DC">
        <w:rPr>
          <w:rFonts w:ascii="Arial" w:hAnsi="Arial" w:cs="Arial"/>
          <w:sz w:val="20"/>
          <w:szCs w:val="20"/>
        </w:rPr>
        <w:t>s</w:t>
      </w:r>
      <w:r w:rsidR="00AE21C0" w:rsidRPr="003516DC">
        <w:rPr>
          <w:rFonts w:ascii="Arial" w:hAnsi="Arial" w:cs="Arial"/>
          <w:sz w:val="20"/>
          <w:szCs w:val="20"/>
        </w:rPr>
        <w:t xml:space="preserve"> awareness on pollution</w:t>
      </w:r>
      <w:r w:rsidR="00AE77D9" w:rsidRPr="003516DC">
        <w:rPr>
          <w:rStyle w:val="FootnoteReference"/>
          <w:rFonts w:ascii="Arial" w:hAnsi="Arial" w:cs="Arial"/>
          <w:sz w:val="20"/>
          <w:szCs w:val="20"/>
        </w:rPr>
        <w:footnoteReference w:id="114"/>
      </w:r>
      <w:r w:rsidR="00AE21C0" w:rsidRPr="003516DC">
        <w:rPr>
          <w:rFonts w:ascii="Arial" w:hAnsi="Arial" w:cs="Arial"/>
          <w:sz w:val="20"/>
          <w:szCs w:val="20"/>
        </w:rPr>
        <w:t>. According to civil society members of th</w:t>
      </w:r>
      <w:r w:rsidR="00143135">
        <w:rPr>
          <w:rFonts w:ascii="Arial" w:hAnsi="Arial" w:cs="Arial"/>
          <w:sz w:val="20"/>
          <w:szCs w:val="20"/>
        </w:rPr>
        <w:t>e</w:t>
      </w:r>
      <w:r w:rsidR="00AE21C0" w:rsidRPr="003516DC">
        <w:rPr>
          <w:rFonts w:ascii="Arial" w:hAnsi="Arial" w:cs="Arial"/>
          <w:sz w:val="20"/>
          <w:szCs w:val="20"/>
        </w:rPr>
        <w:t xml:space="preserve"> Green Protocol, </w:t>
      </w:r>
      <w:r w:rsidR="006A5615" w:rsidRPr="003516DC">
        <w:rPr>
          <w:rFonts w:ascii="Arial" w:hAnsi="Arial" w:cs="Arial"/>
          <w:sz w:val="20"/>
          <w:szCs w:val="20"/>
        </w:rPr>
        <w:t xml:space="preserve">the platform has yet to generate </w:t>
      </w:r>
      <w:r w:rsidR="00AE21C0" w:rsidRPr="003516DC">
        <w:rPr>
          <w:rFonts w:ascii="Arial" w:hAnsi="Arial" w:cs="Arial"/>
          <w:sz w:val="20"/>
          <w:szCs w:val="20"/>
        </w:rPr>
        <w:t xml:space="preserve">results and has been subsequently abandoned, leading to further lack of trust and disappointment in institutions with mandates in the field. </w:t>
      </w:r>
    </w:p>
    <w:p w14:paraId="567B4A58" w14:textId="77777777" w:rsidR="00A2362B" w:rsidRDefault="00AE21C0" w:rsidP="00A2362B">
      <w:pPr>
        <w:spacing w:after="120"/>
        <w:jc w:val="both"/>
        <w:rPr>
          <w:rFonts w:ascii="Arial" w:hAnsi="Arial" w:cs="Arial"/>
          <w:sz w:val="20"/>
          <w:szCs w:val="20"/>
        </w:rPr>
      </w:pPr>
      <w:r w:rsidRPr="003516DC">
        <w:rPr>
          <w:rFonts w:ascii="Arial" w:hAnsi="Arial" w:cs="Arial"/>
          <w:sz w:val="20"/>
          <w:szCs w:val="20"/>
        </w:rPr>
        <w:t xml:space="preserve">Air pollution has been reported by frequent burning of illegal waste dumps, a problem associated with inefficient waste management systems. </w:t>
      </w:r>
    </w:p>
    <w:p w14:paraId="39D1C0FA" w14:textId="48F0BC79" w:rsidR="00D1034B" w:rsidRPr="003516DC" w:rsidRDefault="00AE21C0" w:rsidP="00A2362B">
      <w:pPr>
        <w:spacing w:after="120"/>
        <w:jc w:val="both"/>
        <w:rPr>
          <w:rFonts w:ascii="Arial" w:hAnsi="Arial" w:cs="Arial"/>
          <w:sz w:val="20"/>
          <w:szCs w:val="20"/>
        </w:rPr>
      </w:pPr>
      <w:r w:rsidRPr="003516DC">
        <w:rPr>
          <w:rFonts w:ascii="Arial" w:hAnsi="Arial" w:cs="Arial"/>
          <w:sz w:val="20"/>
          <w:szCs w:val="20"/>
        </w:rPr>
        <w:t xml:space="preserve">Another significant </w:t>
      </w:r>
      <w:r w:rsidRPr="003516DC">
        <w:rPr>
          <w:rFonts w:ascii="Arial" w:hAnsi="Arial" w:cs="Arial"/>
          <w:b/>
          <w:bCs/>
          <w:sz w:val="20"/>
          <w:szCs w:val="20"/>
        </w:rPr>
        <w:t xml:space="preserve">environmental </w:t>
      </w:r>
      <w:r w:rsidRPr="003516DC">
        <w:rPr>
          <w:rFonts w:ascii="Arial" w:hAnsi="Arial" w:cs="Arial"/>
          <w:sz w:val="20"/>
          <w:szCs w:val="20"/>
        </w:rPr>
        <w:t xml:space="preserve">challenge of Prahova is the </w:t>
      </w:r>
      <w:r w:rsidR="00143135">
        <w:rPr>
          <w:rFonts w:ascii="Arial" w:hAnsi="Arial" w:cs="Arial"/>
          <w:sz w:val="20"/>
          <w:szCs w:val="20"/>
        </w:rPr>
        <w:t>large number of</w:t>
      </w:r>
      <w:r w:rsidR="00143135" w:rsidRPr="003516DC">
        <w:rPr>
          <w:rFonts w:ascii="Arial" w:hAnsi="Arial" w:cs="Arial"/>
          <w:sz w:val="20"/>
          <w:szCs w:val="20"/>
        </w:rPr>
        <w:t xml:space="preserve"> </w:t>
      </w:r>
      <w:r w:rsidRPr="003516DC">
        <w:rPr>
          <w:rFonts w:ascii="Arial" w:hAnsi="Arial" w:cs="Arial"/>
          <w:sz w:val="20"/>
          <w:szCs w:val="20"/>
        </w:rPr>
        <w:t xml:space="preserve">abandoned brownfield sites, many of </w:t>
      </w:r>
      <w:r w:rsidR="00143135">
        <w:rPr>
          <w:rFonts w:ascii="Arial" w:hAnsi="Arial" w:cs="Arial"/>
          <w:sz w:val="20"/>
          <w:szCs w:val="20"/>
        </w:rPr>
        <w:t>which have</w:t>
      </w:r>
      <w:r w:rsidRPr="003516DC">
        <w:rPr>
          <w:rFonts w:ascii="Arial" w:hAnsi="Arial" w:cs="Arial"/>
          <w:sz w:val="20"/>
          <w:szCs w:val="20"/>
        </w:rPr>
        <w:t xml:space="preserve"> various forms of contamination.</w:t>
      </w:r>
      <w:r w:rsidR="00AE77D9" w:rsidRPr="003516DC">
        <w:rPr>
          <w:rFonts w:ascii="Arial" w:hAnsi="Arial" w:cs="Arial"/>
          <w:sz w:val="20"/>
          <w:szCs w:val="20"/>
        </w:rPr>
        <w:t xml:space="preserve"> </w:t>
      </w:r>
      <w:r w:rsidRPr="003516DC">
        <w:rPr>
          <w:rFonts w:ascii="Arial" w:hAnsi="Arial" w:cs="Arial"/>
          <w:sz w:val="20"/>
          <w:szCs w:val="20"/>
        </w:rPr>
        <w:t xml:space="preserve">Ploiești City alone features hundreds of hectares of </w:t>
      </w:r>
      <w:r w:rsidR="00AE77D9" w:rsidRPr="003516DC">
        <w:rPr>
          <w:rFonts w:ascii="Arial" w:hAnsi="Arial" w:cs="Arial"/>
          <w:sz w:val="20"/>
          <w:szCs w:val="20"/>
        </w:rPr>
        <w:t>inner-city</w:t>
      </w:r>
      <w:r w:rsidRPr="003516DC">
        <w:rPr>
          <w:rFonts w:ascii="Arial" w:hAnsi="Arial" w:cs="Arial"/>
          <w:sz w:val="20"/>
          <w:szCs w:val="20"/>
        </w:rPr>
        <w:t xml:space="preserve"> brownfields </w:t>
      </w:r>
      <w:r w:rsidR="00143135">
        <w:rPr>
          <w:rFonts w:ascii="Arial" w:hAnsi="Arial" w:cs="Arial"/>
          <w:sz w:val="20"/>
          <w:szCs w:val="20"/>
        </w:rPr>
        <w:t>that</w:t>
      </w:r>
      <w:r w:rsidR="00143135" w:rsidRPr="003516DC">
        <w:rPr>
          <w:rFonts w:ascii="Arial" w:hAnsi="Arial" w:cs="Arial"/>
          <w:sz w:val="20"/>
          <w:szCs w:val="20"/>
        </w:rPr>
        <w:t xml:space="preserve"> </w:t>
      </w:r>
      <w:r w:rsidRPr="003516DC">
        <w:rPr>
          <w:rFonts w:ascii="Arial" w:hAnsi="Arial" w:cs="Arial"/>
          <w:sz w:val="20"/>
          <w:szCs w:val="20"/>
        </w:rPr>
        <w:t>historically hosted oil refining and processing as well as complementary economic activities.</w:t>
      </w:r>
      <w:r w:rsidR="00AE77D9" w:rsidRPr="003516DC">
        <w:rPr>
          <w:rFonts w:ascii="Arial" w:hAnsi="Arial" w:cs="Arial"/>
          <w:sz w:val="20"/>
          <w:szCs w:val="20"/>
        </w:rPr>
        <w:t xml:space="preserve"> </w:t>
      </w:r>
      <w:r w:rsidRPr="003516DC">
        <w:rPr>
          <w:rFonts w:ascii="Arial" w:hAnsi="Arial" w:cs="Arial"/>
          <w:sz w:val="20"/>
          <w:szCs w:val="20"/>
        </w:rPr>
        <w:t xml:space="preserve">The complex and shifting ownership status of the refining industry in Prahova rendered the “polluter pays” principle challenging to implement, as sites cumulated pollution across more than a century of oil industry and not all are </w:t>
      </w:r>
      <w:r w:rsidR="006A5615" w:rsidRPr="003516DC">
        <w:rPr>
          <w:rFonts w:ascii="Arial" w:hAnsi="Arial" w:cs="Arial"/>
          <w:sz w:val="20"/>
          <w:szCs w:val="20"/>
        </w:rPr>
        <w:t xml:space="preserve">recorded </w:t>
      </w:r>
      <w:r w:rsidRPr="003516DC">
        <w:rPr>
          <w:rFonts w:ascii="Arial" w:hAnsi="Arial" w:cs="Arial"/>
          <w:sz w:val="20"/>
          <w:szCs w:val="20"/>
        </w:rPr>
        <w:t xml:space="preserve">on the official </w:t>
      </w:r>
      <w:r w:rsidR="006A5615" w:rsidRPr="003516DC">
        <w:rPr>
          <w:rFonts w:ascii="Arial" w:hAnsi="Arial" w:cs="Arial"/>
          <w:sz w:val="20"/>
          <w:szCs w:val="20"/>
        </w:rPr>
        <w:t xml:space="preserve">record </w:t>
      </w:r>
      <w:r w:rsidRPr="003516DC">
        <w:rPr>
          <w:rFonts w:ascii="Arial" w:hAnsi="Arial" w:cs="Arial"/>
          <w:sz w:val="20"/>
          <w:szCs w:val="20"/>
        </w:rPr>
        <w:t>of contaminated lands. Real estate market prices pushed urban development to sprawl on easily available and affordable greenfields at the</w:t>
      </w:r>
      <w:r w:rsidR="00143135">
        <w:rPr>
          <w:rFonts w:ascii="Arial" w:hAnsi="Arial" w:cs="Arial"/>
          <w:sz w:val="20"/>
          <w:szCs w:val="20"/>
        </w:rPr>
        <w:t xml:space="preserve"> city</w:t>
      </w:r>
      <w:r w:rsidRPr="003516DC">
        <w:rPr>
          <w:rFonts w:ascii="Arial" w:hAnsi="Arial" w:cs="Arial"/>
          <w:sz w:val="20"/>
          <w:szCs w:val="20"/>
        </w:rPr>
        <w:t xml:space="preserve"> outskirts as opposed to reconverting inner city land reserves. This came with a cost, challenging mobility, generating further traffic pollution and leaving a dysfunctional urban fabric patched by large, latent brownfields.  </w:t>
      </w:r>
    </w:p>
    <w:p w14:paraId="747AD80A" w14:textId="0CBBAB68" w:rsidR="00D1034B" w:rsidRPr="003516DC" w:rsidRDefault="00A159FD" w:rsidP="00650640">
      <w:pPr>
        <w:pStyle w:val="Caption"/>
      </w:pPr>
      <w:bookmarkStart w:id="248" w:name="_Toc90725944"/>
      <w:r w:rsidRPr="003516DC">
        <w:t xml:space="preserve">Figure </w:t>
      </w:r>
      <w:r w:rsidR="00481651" w:rsidRPr="003516DC">
        <w:rPr>
          <w:noProof/>
        </w:rPr>
        <w:fldChar w:fldCharType="begin"/>
      </w:r>
      <w:r w:rsidR="00481651" w:rsidRPr="003516DC">
        <w:rPr>
          <w:noProof/>
        </w:rPr>
        <w:instrText xml:space="preserve"> SEQ Figure \* ARABIC </w:instrText>
      </w:r>
      <w:r w:rsidR="00481651" w:rsidRPr="003516DC">
        <w:rPr>
          <w:noProof/>
        </w:rPr>
        <w:fldChar w:fldCharType="separate"/>
      </w:r>
      <w:r w:rsidR="007E5B0B">
        <w:rPr>
          <w:noProof/>
        </w:rPr>
        <w:t>17</w:t>
      </w:r>
      <w:r w:rsidR="00481651" w:rsidRPr="003516DC">
        <w:rPr>
          <w:noProof/>
        </w:rPr>
        <w:fldChar w:fldCharType="end"/>
      </w:r>
      <w:r w:rsidR="00D1034B" w:rsidRPr="003516DC">
        <w:t>: Map of Ploiești featuring industrial sites (in light brown)</w:t>
      </w:r>
      <w:bookmarkEnd w:id="248"/>
    </w:p>
    <w:p w14:paraId="77DEDCD5" w14:textId="37481327" w:rsidR="00D1034B" w:rsidRPr="003516DC" w:rsidRDefault="00D1034B" w:rsidP="00D1034B">
      <w:pPr>
        <w:rPr>
          <w:rFonts w:ascii="Arial" w:hAnsi="Arial" w:cs="Arial"/>
        </w:rPr>
      </w:pPr>
      <w:r w:rsidRPr="003516DC">
        <w:rPr>
          <w:rFonts w:ascii="Arial" w:hAnsi="Arial" w:cs="Arial"/>
          <w:noProof/>
          <w:lang w:val="en-US" w:eastAsia="en-US"/>
        </w:rPr>
        <w:drawing>
          <wp:inline distT="114300" distB="114300" distL="114300" distR="114300" wp14:anchorId="6313A033" wp14:editId="2E448CCA">
            <wp:extent cx="5678424" cy="3017520"/>
            <wp:effectExtent l="0" t="0" r="0" b="0"/>
            <wp:docPr id="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5"/>
                    <a:srcRect/>
                    <a:stretch>
                      <a:fillRect/>
                    </a:stretch>
                  </pic:blipFill>
                  <pic:spPr>
                    <a:xfrm>
                      <a:off x="0" y="0"/>
                      <a:ext cx="5678424" cy="3017520"/>
                    </a:xfrm>
                    <a:prstGeom prst="rect">
                      <a:avLst/>
                    </a:prstGeom>
                    <a:ln/>
                  </pic:spPr>
                </pic:pic>
              </a:graphicData>
            </a:graphic>
          </wp:inline>
        </w:drawing>
      </w:r>
    </w:p>
    <w:p w14:paraId="59D49001" w14:textId="5FA88FB4" w:rsidR="00D1034B" w:rsidRPr="00931AF2" w:rsidRDefault="00D1034B" w:rsidP="00931AF2">
      <w:pPr>
        <w:spacing w:after="120"/>
        <w:jc w:val="both"/>
        <w:rPr>
          <w:rFonts w:ascii="Arial" w:hAnsi="Arial" w:cs="Arial"/>
          <w:i/>
          <w:iCs/>
          <w:sz w:val="18"/>
          <w:szCs w:val="18"/>
        </w:rPr>
      </w:pPr>
      <w:r w:rsidRPr="003516DC">
        <w:rPr>
          <w:rFonts w:ascii="Arial" w:hAnsi="Arial" w:cs="Arial"/>
          <w:i/>
          <w:iCs/>
          <w:sz w:val="18"/>
          <w:szCs w:val="18"/>
        </w:rPr>
        <w:lastRenderedPageBreak/>
        <w:t xml:space="preserve">Note: </w:t>
      </w:r>
      <w:r w:rsidR="006F5C8F" w:rsidRPr="003516DC">
        <w:rPr>
          <w:rFonts w:ascii="Arial" w:hAnsi="Arial" w:cs="Arial"/>
          <w:i/>
          <w:iCs/>
          <w:sz w:val="18"/>
          <w:szCs w:val="18"/>
        </w:rPr>
        <w:t>This map is not complete because there are no sites in brown hatch in the central ring of Ploiesti</w:t>
      </w:r>
      <w:r w:rsidR="006536F5" w:rsidRPr="003516DC">
        <w:rPr>
          <w:rFonts w:ascii="Arial" w:hAnsi="Arial" w:cs="Arial"/>
          <w:i/>
          <w:iCs/>
          <w:sz w:val="18"/>
          <w:szCs w:val="18"/>
        </w:rPr>
        <w:t>,</w:t>
      </w:r>
      <w:r w:rsidR="006F5C8F" w:rsidRPr="003516DC">
        <w:rPr>
          <w:rFonts w:ascii="Arial" w:hAnsi="Arial" w:cs="Arial"/>
          <w:i/>
          <w:iCs/>
          <w:sz w:val="18"/>
          <w:szCs w:val="18"/>
        </w:rPr>
        <w:t xml:space="preserve"> </w:t>
      </w:r>
      <w:r w:rsidR="006536F5" w:rsidRPr="003516DC">
        <w:rPr>
          <w:rFonts w:ascii="Arial" w:hAnsi="Arial" w:cs="Arial"/>
          <w:i/>
          <w:iCs/>
          <w:sz w:val="18"/>
          <w:szCs w:val="18"/>
        </w:rPr>
        <w:t xml:space="preserve">such as </w:t>
      </w:r>
      <w:r w:rsidR="006F5C8F" w:rsidRPr="003516DC">
        <w:rPr>
          <w:rFonts w:ascii="Arial" w:hAnsi="Arial" w:cs="Arial"/>
          <w:i/>
          <w:iCs/>
          <w:sz w:val="18"/>
          <w:szCs w:val="18"/>
        </w:rPr>
        <w:t>Columbia refinery, UZUC area, Dorobantu factory area, mostly disused, etc. To be further investigated by consulting relevant stakeholders in the area, such as the chief architect.</w:t>
      </w:r>
    </w:p>
    <w:p w14:paraId="6308A5AA" w14:textId="17731CCC" w:rsidR="00D1034B" w:rsidRPr="003516DC" w:rsidRDefault="00D1034B" w:rsidP="00A2362B">
      <w:pPr>
        <w:spacing w:after="120"/>
        <w:jc w:val="both"/>
        <w:rPr>
          <w:rFonts w:ascii="Arial" w:hAnsi="Arial" w:cs="Arial"/>
          <w:sz w:val="20"/>
          <w:szCs w:val="20"/>
        </w:rPr>
      </w:pPr>
      <w:r w:rsidRPr="003516DC">
        <w:rPr>
          <w:rFonts w:ascii="Arial" w:hAnsi="Arial" w:cs="Arial"/>
          <w:sz w:val="20"/>
          <w:szCs w:val="20"/>
        </w:rPr>
        <w:t>Site contamination is an issue in other constituencies as well, mostly linked to oil extraction processing (e</w:t>
      </w:r>
      <w:r w:rsidR="006A5615" w:rsidRPr="003516DC">
        <w:rPr>
          <w:rFonts w:ascii="Arial" w:hAnsi="Arial" w:cs="Arial"/>
          <w:sz w:val="20"/>
          <w:szCs w:val="20"/>
        </w:rPr>
        <w:t>.</w:t>
      </w:r>
      <w:r w:rsidRPr="003516DC">
        <w:rPr>
          <w:rFonts w:ascii="Arial" w:hAnsi="Arial" w:cs="Arial"/>
          <w:sz w:val="20"/>
          <w:szCs w:val="20"/>
        </w:rPr>
        <w:t>g.</w:t>
      </w:r>
      <w:r w:rsidR="006A5615" w:rsidRPr="003516DC">
        <w:rPr>
          <w:rFonts w:ascii="Arial" w:hAnsi="Arial" w:cs="Arial"/>
          <w:sz w:val="20"/>
          <w:szCs w:val="20"/>
        </w:rPr>
        <w:t>,</w:t>
      </w:r>
      <w:r w:rsidRPr="003516DC">
        <w:rPr>
          <w:rFonts w:ascii="Arial" w:hAnsi="Arial" w:cs="Arial"/>
          <w:sz w:val="20"/>
          <w:szCs w:val="20"/>
        </w:rPr>
        <w:t xml:space="preserve"> Câmpina, Brazi, Băicoi, Boldești, Urlați</w:t>
      </w:r>
      <w:r w:rsidR="006A5615" w:rsidRPr="003516DC">
        <w:rPr>
          <w:rFonts w:ascii="Arial" w:hAnsi="Arial" w:cs="Arial"/>
          <w:sz w:val="20"/>
          <w:szCs w:val="20"/>
        </w:rPr>
        <w:t>,</w:t>
      </w:r>
      <w:r w:rsidRPr="003516DC">
        <w:rPr>
          <w:rFonts w:ascii="Arial" w:hAnsi="Arial" w:cs="Arial"/>
          <w:sz w:val="20"/>
          <w:szCs w:val="20"/>
        </w:rPr>
        <w:t xml:space="preserve"> etc</w:t>
      </w:r>
      <w:r w:rsidR="006A5615" w:rsidRPr="003516DC">
        <w:rPr>
          <w:rFonts w:ascii="Arial" w:hAnsi="Arial" w:cs="Arial"/>
          <w:sz w:val="20"/>
          <w:szCs w:val="20"/>
        </w:rPr>
        <w:t>.</w:t>
      </w:r>
      <w:r w:rsidRPr="003516DC">
        <w:rPr>
          <w:rFonts w:ascii="Arial" w:hAnsi="Arial" w:cs="Arial"/>
          <w:sz w:val="20"/>
          <w:szCs w:val="20"/>
        </w:rPr>
        <w:t>) but also coal mining (e</w:t>
      </w:r>
      <w:r w:rsidR="006A5615" w:rsidRPr="003516DC">
        <w:rPr>
          <w:rFonts w:ascii="Arial" w:hAnsi="Arial" w:cs="Arial"/>
          <w:sz w:val="20"/>
          <w:szCs w:val="20"/>
        </w:rPr>
        <w:t>.</w:t>
      </w:r>
      <w:r w:rsidRPr="003516DC">
        <w:rPr>
          <w:rFonts w:ascii="Arial" w:hAnsi="Arial" w:cs="Arial"/>
          <w:sz w:val="20"/>
          <w:szCs w:val="20"/>
        </w:rPr>
        <w:t>g.</w:t>
      </w:r>
      <w:r w:rsidR="006A5615" w:rsidRPr="003516DC">
        <w:rPr>
          <w:rFonts w:ascii="Arial" w:hAnsi="Arial" w:cs="Arial"/>
          <w:sz w:val="20"/>
          <w:szCs w:val="20"/>
        </w:rPr>
        <w:t>,</w:t>
      </w:r>
      <w:r w:rsidRPr="003516DC">
        <w:rPr>
          <w:rFonts w:ascii="Arial" w:hAnsi="Arial" w:cs="Arial"/>
          <w:sz w:val="20"/>
          <w:szCs w:val="20"/>
        </w:rPr>
        <w:t xml:space="preserve"> Filipeștii de Pădure, Ceptura) and other chemical industry residues (e.g.</w:t>
      </w:r>
      <w:r w:rsidR="003A2178" w:rsidRPr="003516DC">
        <w:rPr>
          <w:rFonts w:ascii="Arial" w:hAnsi="Arial" w:cs="Arial"/>
          <w:sz w:val="20"/>
          <w:szCs w:val="20"/>
        </w:rPr>
        <w:t>,</w:t>
      </w:r>
      <w:r w:rsidRPr="003516DC">
        <w:rPr>
          <w:rFonts w:ascii="Arial" w:hAnsi="Arial" w:cs="Arial"/>
          <w:sz w:val="20"/>
          <w:szCs w:val="20"/>
        </w:rPr>
        <w:t xml:space="preserve"> phosphogypsum, pyrite ash deposits in Valea Călugărească).</w:t>
      </w:r>
    </w:p>
    <w:p w14:paraId="4058DE2D" w14:textId="36246B84" w:rsidR="00D1034B" w:rsidRPr="003516DC" w:rsidRDefault="00D1034B" w:rsidP="00931AF2">
      <w:pPr>
        <w:spacing w:after="120"/>
        <w:jc w:val="both"/>
        <w:rPr>
          <w:rFonts w:ascii="Arial" w:hAnsi="Arial" w:cs="Arial"/>
          <w:sz w:val="20"/>
          <w:szCs w:val="20"/>
        </w:rPr>
      </w:pPr>
      <w:r w:rsidRPr="003516DC">
        <w:rPr>
          <w:rFonts w:ascii="Arial" w:hAnsi="Arial" w:cs="Arial"/>
          <w:sz w:val="20"/>
          <w:szCs w:val="20"/>
        </w:rPr>
        <w:t xml:space="preserve">Such sites </w:t>
      </w:r>
      <w:r w:rsidR="003A2178" w:rsidRPr="003516DC">
        <w:rPr>
          <w:rFonts w:ascii="Arial" w:hAnsi="Arial" w:cs="Arial"/>
          <w:sz w:val="20"/>
          <w:szCs w:val="20"/>
        </w:rPr>
        <w:t>have both</w:t>
      </w:r>
      <w:r w:rsidRPr="003516DC">
        <w:rPr>
          <w:rFonts w:ascii="Arial" w:hAnsi="Arial" w:cs="Arial"/>
          <w:sz w:val="20"/>
          <w:szCs w:val="20"/>
        </w:rPr>
        <w:t xml:space="preserve"> opportunit</w:t>
      </w:r>
      <w:r w:rsidR="003A2178" w:rsidRPr="003516DC">
        <w:rPr>
          <w:rFonts w:ascii="Arial" w:hAnsi="Arial" w:cs="Arial"/>
          <w:sz w:val="20"/>
          <w:szCs w:val="20"/>
        </w:rPr>
        <w:t>ies and challenges</w:t>
      </w:r>
      <w:r w:rsidRPr="003516DC">
        <w:rPr>
          <w:rFonts w:ascii="Arial" w:hAnsi="Arial" w:cs="Arial"/>
          <w:sz w:val="20"/>
          <w:szCs w:val="20"/>
        </w:rPr>
        <w:t>. On one hand</w:t>
      </w:r>
      <w:r w:rsidR="003A2178" w:rsidRPr="003516DC">
        <w:rPr>
          <w:rFonts w:ascii="Arial" w:hAnsi="Arial" w:cs="Arial"/>
          <w:sz w:val="20"/>
          <w:szCs w:val="20"/>
        </w:rPr>
        <w:t>,</w:t>
      </w:r>
      <w:r w:rsidRPr="003516DC">
        <w:rPr>
          <w:rFonts w:ascii="Arial" w:hAnsi="Arial" w:cs="Arial"/>
          <w:sz w:val="20"/>
          <w:szCs w:val="20"/>
        </w:rPr>
        <w:t xml:space="preserve"> some of these sites pose environmental dangers given their contamination character and/or given their position, are a menace to the urban fabric distorting mobility, generating spatial segregation and inhibiting development in their vicinity. On the other hand, such land reserves, in particular those located in urban areas, may be capitali</w:t>
      </w:r>
      <w:r w:rsidR="003A2178" w:rsidRPr="003516DC">
        <w:rPr>
          <w:rFonts w:ascii="Arial" w:hAnsi="Arial" w:cs="Arial"/>
          <w:sz w:val="20"/>
          <w:szCs w:val="20"/>
        </w:rPr>
        <w:t>s</w:t>
      </w:r>
      <w:r w:rsidRPr="003516DC">
        <w:rPr>
          <w:rFonts w:ascii="Arial" w:hAnsi="Arial" w:cs="Arial"/>
          <w:sz w:val="20"/>
          <w:szCs w:val="20"/>
        </w:rPr>
        <w:t>ed as valuable assets for public or public-private investments in industrial reconversion, helping compact growth and providing the land required for the supply of needed city amenities: green spaces, socio-cultural-educational facilities etc.</w:t>
      </w:r>
    </w:p>
    <w:p w14:paraId="252E1616" w14:textId="2E3D83A4" w:rsidR="00D1034B" w:rsidRPr="003516DC" w:rsidRDefault="003A2178" w:rsidP="00A2362B">
      <w:pPr>
        <w:spacing w:after="120"/>
        <w:jc w:val="both"/>
        <w:rPr>
          <w:rFonts w:ascii="Arial" w:hAnsi="Arial" w:cs="Arial"/>
          <w:sz w:val="20"/>
          <w:szCs w:val="20"/>
        </w:rPr>
      </w:pPr>
      <w:r w:rsidRPr="003516DC">
        <w:rPr>
          <w:rFonts w:ascii="Arial" w:hAnsi="Arial" w:cs="Arial"/>
          <w:sz w:val="20"/>
          <w:szCs w:val="20"/>
        </w:rPr>
        <w:t>O</w:t>
      </w:r>
      <w:r w:rsidR="00D1034B" w:rsidRPr="003516DC">
        <w:rPr>
          <w:rFonts w:ascii="Arial" w:hAnsi="Arial" w:cs="Arial"/>
          <w:sz w:val="20"/>
          <w:szCs w:val="20"/>
        </w:rPr>
        <w:t xml:space="preserve">il extraction and refining is a core component of the </w:t>
      </w:r>
      <w:r w:rsidR="00D1034B" w:rsidRPr="003516DC">
        <w:rPr>
          <w:rFonts w:ascii="Arial" w:hAnsi="Arial" w:cs="Arial"/>
          <w:b/>
          <w:bCs/>
          <w:sz w:val="20"/>
          <w:szCs w:val="20"/>
        </w:rPr>
        <w:t>local identity and heritage</w:t>
      </w:r>
      <w:r w:rsidR="00D1034B" w:rsidRPr="003516DC">
        <w:rPr>
          <w:rFonts w:ascii="Arial" w:hAnsi="Arial" w:cs="Arial"/>
          <w:sz w:val="20"/>
          <w:szCs w:val="20"/>
        </w:rPr>
        <w:t xml:space="preserve">. However, </w:t>
      </w:r>
      <w:r w:rsidRPr="003516DC">
        <w:rPr>
          <w:rFonts w:ascii="Arial" w:hAnsi="Arial" w:cs="Arial"/>
          <w:sz w:val="20"/>
          <w:szCs w:val="20"/>
        </w:rPr>
        <w:t xml:space="preserve">few </w:t>
      </w:r>
      <w:r w:rsidR="00D1034B" w:rsidRPr="003516DC">
        <w:rPr>
          <w:rFonts w:ascii="Arial" w:hAnsi="Arial" w:cs="Arial"/>
          <w:sz w:val="20"/>
          <w:szCs w:val="20"/>
        </w:rPr>
        <w:t>efforts have been completed so far to mark and celebrate this as heritage legacy. In the light of anticipated efforts to phase out this industry in the next decades, there is an opportunity to allow community initiatives to accompany the closure/reduction of this sector with heritage-related investments: memory mapping, industrial reconversion of local built heritage elements of symbolic values, etc. Urban areas such as Ploiești and Câmpina are abundant in such resources, which are uncapitali</w:t>
      </w:r>
      <w:r w:rsidRPr="003516DC">
        <w:rPr>
          <w:rFonts w:ascii="Arial" w:hAnsi="Arial" w:cs="Arial"/>
          <w:sz w:val="20"/>
          <w:szCs w:val="20"/>
        </w:rPr>
        <w:t>s</w:t>
      </w:r>
      <w:r w:rsidR="00D1034B" w:rsidRPr="003516DC">
        <w:rPr>
          <w:rFonts w:ascii="Arial" w:hAnsi="Arial" w:cs="Arial"/>
          <w:sz w:val="20"/>
          <w:szCs w:val="20"/>
        </w:rPr>
        <w:t>ed so far.</w:t>
      </w:r>
    </w:p>
    <w:p w14:paraId="2DD44E5B" w14:textId="10D9DD7B" w:rsidR="00D1034B" w:rsidRPr="003516DC" w:rsidRDefault="009320BC" w:rsidP="00A2362B">
      <w:pPr>
        <w:spacing w:after="120"/>
        <w:jc w:val="both"/>
        <w:rPr>
          <w:rFonts w:ascii="Arial" w:hAnsi="Arial" w:cs="Arial"/>
          <w:sz w:val="20"/>
          <w:szCs w:val="20"/>
        </w:rPr>
      </w:pPr>
      <w:r w:rsidRPr="003516DC">
        <w:rPr>
          <w:rFonts w:ascii="Arial" w:hAnsi="Arial" w:cs="Arial"/>
          <w:sz w:val="20"/>
          <w:szCs w:val="20"/>
        </w:rPr>
        <w:t>The built heritage elements represent an</w:t>
      </w:r>
      <w:r w:rsidR="00D1034B" w:rsidRPr="003516DC">
        <w:rPr>
          <w:rFonts w:ascii="Arial" w:hAnsi="Arial" w:cs="Arial"/>
          <w:sz w:val="20"/>
          <w:szCs w:val="20"/>
        </w:rPr>
        <w:t xml:space="preserve"> untapped potential in the context of a city which otherwise is perceived as deficient in cultural and leisure infrastructure, green spaces</w:t>
      </w:r>
      <w:r w:rsidR="003A2178" w:rsidRPr="003516DC">
        <w:rPr>
          <w:rFonts w:ascii="Arial" w:hAnsi="Arial" w:cs="Arial"/>
          <w:sz w:val="20"/>
          <w:szCs w:val="20"/>
        </w:rPr>
        <w:t>,</w:t>
      </w:r>
      <w:r w:rsidR="00D1034B" w:rsidRPr="003516DC">
        <w:rPr>
          <w:rFonts w:ascii="Arial" w:hAnsi="Arial" w:cs="Arial"/>
          <w:sz w:val="20"/>
          <w:szCs w:val="20"/>
        </w:rPr>
        <w:t xml:space="preserve"> etc. A citizen survey conducted in the process of upgrading Ploiești Urban Plan concluded that the top </w:t>
      </w:r>
      <w:r w:rsidR="003A2178" w:rsidRPr="003516DC">
        <w:rPr>
          <w:rFonts w:ascii="Arial" w:hAnsi="Arial" w:cs="Arial"/>
          <w:sz w:val="20"/>
          <w:szCs w:val="20"/>
        </w:rPr>
        <w:t>four</w:t>
      </w:r>
      <w:r w:rsidR="00D1034B" w:rsidRPr="003516DC">
        <w:rPr>
          <w:rFonts w:ascii="Arial" w:hAnsi="Arial" w:cs="Arial"/>
          <w:sz w:val="20"/>
          <w:szCs w:val="20"/>
        </w:rPr>
        <w:t xml:space="preserve"> elements generat</w:t>
      </w:r>
      <w:r w:rsidR="003A2178" w:rsidRPr="003516DC">
        <w:rPr>
          <w:rFonts w:ascii="Arial" w:hAnsi="Arial" w:cs="Arial"/>
          <w:sz w:val="20"/>
          <w:szCs w:val="20"/>
        </w:rPr>
        <w:t>ing</w:t>
      </w:r>
      <w:r w:rsidR="00D1034B" w:rsidRPr="003516DC">
        <w:rPr>
          <w:rFonts w:ascii="Arial" w:hAnsi="Arial" w:cs="Arial"/>
          <w:sz w:val="20"/>
          <w:szCs w:val="20"/>
        </w:rPr>
        <w:t xml:space="preserve"> dissatisfaction among residents of Ploiești are the lack of playgrounds</w:t>
      </w:r>
      <w:r w:rsidR="003A2178" w:rsidRPr="003516DC">
        <w:rPr>
          <w:rFonts w:ascii="Arial" w:hAnsi="Arial" w:cs="Arial"/>
          <w:sz w:val="20"/>
          <w:szCs w:val="20"/>
        </w:rPr>
        <w:t xml:space="preserve"> for children</w:t>
      </w:r>
      <w:r w:rsidR="00D1034B" w:rsidRPr="003516DC">
        <w:rPr>
          <w:rFonts w:ascii="Arial" w:hAnsi="Arial" w:cs="Arial"/>
          <w:sz w:val="20"/>
          <w:szCs w:val="20"/>
        </w:rPr>
        <w:t>, parks/leisure facilities, green spaces and parking areas</w:t>
      </w:r>
      <w:r w:rsidR="000F6984" w:rsidRPr="003516DC">
        <w:rPr>
          <w:rStyle w:val="FootnoteReference"/>
          <w:rFonts w:ascii="Arial" w:hAnsi="Arial" w:cs="Arial"/>
          <w:sz w:val="20"/>
          <w:szCs w:val="20"/>
        </w:rPr>
        <w:footnoteReference w:id="115"/>
      </w:r>
      <w:r w:rsidR="00D1034B" w:rsidRPr="003516DC">
        <w:rPr>
          <w:rFonts w:ascii="Arial" w:hAnsi="Arial" w:cs="Arial"/>
          <w:sz w:val="20"/>
          <w:szCs w:val="20"/>
        </w:rPr>
        <w:t>.  Also, the Ploiești City Strategy 2007-2025</w:t>
      </w:r>
      <w:r w:rsidR="0089430A" w:rsidRPr="003516DC">
        <w:rPr>
          <w:rStyle w:val="FootnoteReference"/>
          <w:rFonts w:ascii="Arial" w:hAnsi="Arial" w:cs="Arial"/>
          <w:sz w:val="20"/>
          <w:szCs w:val="20"/>
        </w:rPr>
        <w:footnoteReference w:id="116"/>
      </w:r>
      <w:r w:rsidR="0089430A" w:rsidRPr="003516DC">
        <w:rPr>
          <w:rFonts w:ascii="Arial" w:hAnsi="Arial" w:cs="Arial"/>
          <w:sz w:val="20"/>
          <w:szCs w:val="20"/>
        </w:rPr>
        <w:t xml:space="preserve"> </w:t>
      </w:r>
      <w:r w:rsidR="00D1034B" w:rsidRPr="003516DC">
        <w:rPr>
          <w:rFonts w:ascii="Arial" w:hAnsi="Arial" w:cs="Arial"/>
          <w:sz w:val="20"/>
          <w:szCs w:val="20"/>
        </w:rPr>
        <w:t xml:space="preserve">includes, as one of top </w:t>
      </w:r>
      <w:r w:rsidR="003A2178" w:rsidRPr="003516DC">
        <w:rPr>
          <w:rFonts w:ascii="Arial" w:hAnsi="Arial" w:cs="Arial"/>
          <w:sz w:val="20"/>
          <w:szCs w:val="20"/>
        </w:rPr>
        <w:t>four</w:t>
      </w:r>
      <w:r w:rsidR="00D1034B" w:rsidRPr="003516DC">
        <w:rPr>
          <w:rFonts w:ascii="Arial" w:hAnsi="Arial" w:cs="Arial"/>
          <w:sz w:val="20"/>
          <w:szCs w:val="20"/>
        </w:rPr>
        <w:t xml:space="preserve"> capital infrastructure priorities, the decontamination and reconversion of the latent industrial lands in the southern area of Ploiești, mentioning the existence of these land reserves among the key opportunities of Ploiești City.</w:t>
      </w:r>
    </w:p>
    <w:p w14:paraId="4A3638FD" w14:textId="4770AD93" w:rsidR="00D1034B" w:rsidRPr="003516DC" w:rsidRDefault="00650640" w:rsidP="00A2362B">
      <w:pPr>
        <w:pStyle w:val="Caption"/>
      </w:pPr>
      <w:bookmarkStart w:id="249" w:name="_Toc90725945"/>
      <w:r w:rsidRPr="003516DC">
        <w:t xml:space="preserve">Figure </w:t>
      </w:r>
      <w:r w:rsidR="00481651" w:rsidRPr="003516DC">
        <w:rPr>
          <w:noProof/>
        </w:rPr>
        <w:fldChar w:fldCharType="begin"/>
      </w:r>
      <w:r w:rsidR="00481651" w:rsidRPr="003516DC">
        <w:rPr>
          <w:noProof/>
        </w:rPr>
        <w:instrText xml:space="preserve"> SEQ Figure \* ARABIC </w:instrText>
      </w:r>
      <w:r w:rsidR="00481651" w:rsidRPr="003516DC">
        <w:rPr>
          <w:noProof/>
        </w:rPr>
        <w:fldChar w:fldCharType="separate"/>
      </w:r>
      <w:r w:rsidR="007E5B0B">
        <w:rPr>
          <w:noProof/>
        </w:rPr>
        <w:t>18</w:t>
      </w:r>
      <w:r w:rsidR="00481651" w:rsidRPr="003516DC">
        <w:rPr>
          <w:noProof/>
        </w:rPr>
        <w:fldChar w:fldCharType="end"/>
      </w:r>
      <w:r w:rsidR="00D1034B" w:rsidRPr="003516DC">
        <w:t>: Brownfield sites in Ploiești</w:t>
      </w:r>
      <w:bookmarkEnd w:id="249"/>
    </w:p>
    <w:p w14:paraId="34FEADE4" w14:textId="2D2F366C" w:rsidR="00D1034B" w:rsidRPr="003516DC" w:rsidRDefault="00B25A26" w:rsidP="00794E77">
      <w:pPr>
        <w:jc w:val="both"/>
        <w:rPr>
          <w:rFonts w:ascii="Arial" w:hAnsi="Arial" w:cs="Arial"/>
          <w:i/>
          <w:sz w:val="18"/>
          <w:szCs w:val="20"/>
        </w:rPr>
      </w:pPr>
      <w:r w:rsidRPr="003516DC">
        <w:rPr>
          <w:rFonts w:ascii="Arial" w:hAnsi="Arial" w:cs="Arial"/>
          <w:noProof/>
          <w:sz w:val="20"/>
          <w:lang w:val="en-US" w:eastAsia="en-US"/>
        </w:rPr>
        <w:drawing>
          <wp:anchor distT="0" distB="0" distL="114300" distR="114300" simplePos="0" relativeHeight="251676672" behindDoc="0" locked="0" layoutInCell="1" allowOverlap="1" wp14:anchorId="14007BF5" wp14:editId="3608D6B4">
            <wp:simplePos x="0" y="0"/>
            <wp:positionH relativeFrom="column">
              <wp:posOffset>53975</wp:posOffset>
            </wp:positionH>
            <wp:positionV relativeFrom="paragraph">
              <wp:posOffset>33020</wp:posOffset>
            </wp:positionV>
            <wp:extent cx="2879090" cy="1849120"/>
            <wp:effectExtent l="0" t="0" r="0" b="0"/>
            <wp:wrapSquare wrapText="bothSides"/>
            <wp:docPr id="3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6">
                      <a:extLst>
                        <a:ext uri="{28A0092B-C50C-407E-A947-70E740481C1C}">
                          <a14:useLocalDpi xmlns:a14="http://schemas.microsoft.com/office/drawing/2010/main" val="0"/>
                        </a:ext>
                      </a:extLst>
                    </a:blip>
                    <a:srcRect/>
                    <a:stretch>
                      <a:fillRect/>
                    </a:stretch>
                  </pic:blipFill>
                  <pic:spPr>
                    <a:xfrm>
                      <a:off x="0" y="0"/>
                      <a:ext cx="2879090" cy="1849120"/>
                    </a:xfrm>
                    <a:prstGeom prst="rect">
                      <a:avLst/>
                    </a:prstGeom>
                    <a:ln/>
                  </pic:spPr>
                </pic:pic>
              </a:graphicData>
            </a:graphic>
            <wp14:sizeRelH relativeFrom="page">
              <wp14:pctWidth>0</wp14:pctWidth>
            </wp14:sizeRelH>
            <wp14:sizeRelV relativeFrom="page">
              <wp14:pctHeight>0</wp14:pctHeight>
            </wp14:sizeRelV>
          </wp:anchor>
        </w:drawing>
      </w:r>
      <w:r w:rsidR="00D1034B" w:rsidRPr="003516DC">
        <w:rPr>
          <w:rFonts w:ascii="Arial" w:hAnsi="Arial" w:cs="Arial"/>
          <w:i/>
          <w:sz w:val="18"/>
          <w:szCs w:val="20"/>
        </w:rPr>
        <w:t xml:space="preserve">One of the dozens </w:t>
      </w:r>
      <w:r w:rsidR="000E26BB" w:rsidRPr="003516DC">
        <w:rPr>
          <w:rFonts w:ascii="Arial" w:hAnsi="Arial" w:cs="Arial"/>
          <w:i/>
          <w:sz w:val="18"/>
          <w:szCs w:val="20"/>
        </w:rPr>
        <w:t xml:space="preserve">of </w:t>
      </w:r>
      <w:r w:rsidR="00D1034B" w:rsidRPr="003516DC">
        <w:rPr>
          <w:rFonts w:ascii="Arial" w:hAnsi="Arial" w:cs="Arial"/>
          <w:i/>
          <w:sz w:val="18"/>
          <w:szCs w:val="20"/>
        </w:rPr>
        <w:t xml:space="preserve">abandoned industrial halls </w:t>
      </w:r>
      <w:r w:rsidR="000E26BB" w:rsidRPr="003516DC">
        <w:rPr>
          <w:rFonts w:ascii="Arial" w:hAnsi="Arial" w:cs="Arial"/>
          <w:i/>
          <w:sz w:val="18"/>
          <w:szCs w:val="20"/>
        </w:rPr>
        <w:t>i</w:t>
      </w:r>
      <w:r w:rsidR="00D1034B" w:rsidRPr="003516DC">
        <w:rPr>
          <w:rFonts w:ascii="Arial" w:hAnsi="Arial" w:cs="Arial"/>
          <w:i/>
          <w:sz w:val="18"/>
          <w:szCs w:val="20"/>
        </w:rPr>
        <w:t>n the former Upetrom 1 Mai site. A part of this site (aprox 43 ha), situated within walking distance from the city center, is now for sale.</w:t>
      </w:r>
    </w:p>
    <w:p w14:paraId="57C4AEDE" w14:textId="2961C6BE" w:rsidR="00D1034B" w:rsidRPr="003516DC" w:rsidRDefault="00D1034B" w:rsidP="00D1034B">
      <w:pPr>
        <w:rPr>
          <w:rFonts w:ascii="Arial" w:hAnsi="Arial" w:cs="Arial"/>
        </w:rPr>
      </w:pPr>
    </w:p>
    <w:p w14:paraId="0E7E8486" w14:textId="26AEC91F" w:rsidR="00D1034B" w:rsidRPr="003516DC" w:rsidRDefault="00D1034B" w:rsidP="00D1034B">
      <w:pPr>
        <w:rPr>
          <w:rFonts w:ascii="Arial" w:hAnsi="Arial" w:cs="Arial"/>
        </w:rPr>
      </w:pPr>
    </w:p>
    <w:p w14:paraId="1A6665D5" w14:textId="655D5F5D" w:rsidR="00D1034B" w:rsidRPr="003516DC" w:rsidRDefault="00D1034B" w:rsidP="00D1034B">
      <w:pPr>
        <w:rPr>
          <w:rFonts w:ascii="Arial" w:hAnsi="Arial" w:cs="Arial"/>
        </w:rPr>
      </w:pPr>
    </w:p>
    <w:p w14:paraId="4A205B76" w14:textId="56618E30" w:rsidR="00D1034B" w:rsidRPr="003516DC" w:rsidRDefault="00D1034B" w:rsidP="00D1034B">
      <w:pPr>
        <w:rPr>
          <w:rFonts w:ascii="Arial" w:hAnsi="Arial" w:cs="Arial"/>
        </w:rPr>
      </w:pPr>
    </w:p>
    <w:p w14:paraId="7798BCD9" w14:textId="3991C2E0" w:rsidR="00D1034B" w:rsidRPr="003516DC" w:rsidRDefault="00D1034B" w:rsidP="00D1034B">
      <w:pPr>
        <w:rPr>
          <w:rFonts w:ascii="Arial" w:hAnsi="Arial" w:cs="Arial"/>
        </w:rPr>
      </w:pPr>
    </w:p>
    <w:p w14:paraId="27EDD089" w14:textId="216D186F" w:rsidR="00D1034B" w:rsidRDefault="00D1034B" w:rsidP="00D1034B">
      <w:pPr>
        <w:rPr>
          <w:rFonts w:ascii="Arial" w:hAnsi="Arial" w:cs="Arial"/>
        </w:rPr>
      </w:pPr>
    </w:p>
    <w:p w14:paraId="491B3270" w14:textId="77777777" w:rsidR="00A2362B" w:rsidRPr="003516DC" w:rsidRDefault="00A2362B" w:rsidP="00D1034B">
      <w:pPr>
        <w:rPr>
          <w:rFonts w:ascii="Arial" w:hAnsi="Arial" w:cs="Arial"/>
        </w:rPr>
      </w:pPr>
    </w:p>
    <w:p w14:paraId="18087B11" w14:textId="77777777" w:rsidR="000928B1" w:rsidRPr="003516DC" w:rsidRDefault="000928B1" w:rsidP="00D1034B">
      <w:pPr>
        <w:rPr>
          <w:rFonts w:ascii="Arial" w:hAnsi="Arial" w:cs="Arial"/>
        </w:rPr>
      </w:pPr>
    </w:p>
    <w:p w14:paraId="5BB2239A" w14:textId="7CFB12C2" w:rsidR="0092017A" w:rsidRPr="003516DC" w:rsidRDefault="0092017A" w:rsidP="00931AF2">
      <w:pPr>
        <w:spacing w:before="120" w:after="120"/>
        <w:jc w:val="both"/>
        <w:rPr>
          <w:rFonts w:ascii="Arial" w:hAnsi="Arial" w:cs="Arial"/>
          <w:sz w:val="20"/>
          <w:szCs w:val="20"/>
        </w:rPr>
      </w:pPr>
      <w:r w:rsidRPr="003516DC">
        <w:rPr>
          <w:rFonts w:ascii="Arial" w:hAnsi="Arial" w:cs="Arial"/>
          <w:sz w:val="20"/>
          <w:szCs w:val="20"/>
        </w:rPr>
        <w:t xml:space="preserve">The dramatic industrial restructuring that affected Prahova – and in particular Ploiești – over the past decades also </w:t>
      </w:r>
      <w:r w:rsidR="000E26BB" w:rsidRPr="003516DC">
        <w:rPr>
          <w:rFonts w:ascii="Arial" w:hAnsi="Arial" w:cs="Arial"/>
          <w:sz w:val="20"/>
          <w:szCs w:val="20"/>
        </w:rPr>
        <w:t xml:space="preserve">marginalised some </w:t>
      </w:r>
      <w:r w:rsidRPr="003516DC">
        <w:rPr>
          <w:rFonts w:ascii="Arial" w:hAnsi="Arial" w:cs="Arial"/>
          <w:sz w:val="20"/>
          <w:szCs w:val="20"/>
        </w:rPr>
        <w:t xml:space="preserve">social </w:t>
      </w:r>
      <w:r w:rsidR="000E26BB" w:rsidRPr="003516DC">
        <w:rPr>
          <w:rFonts w:ascii="Arial" w:hAnsi="Arial" w:cs="Arial"/>
          <w:sz w:val="20"/>
          <w:szCs w:val="20"/>
        </w:rPr>
        <w:t>groups</w:t>
      </w:r>
      <w:r w:rsidRPr="003516DC">
        <w:rPr>
          <w:rFonts w:ascii="Arial" w:hAnsi="Arial" w:cs="Arial"/>
          <w:sz w:val="20"/>
          <w:szCs w:val="20"/>
        </w:rPr>
        <w:t xml:space="preserve">. Large patches of brownfield sites amplify dysfunctions of the urban fabric and generate spatial segregation. Poverty pockets such as Mimiu </w:t>
      </w:r>
      <w:r w:rsidR="00FF34FD">
        <w:rPr>
          <w:rFonts w:ascii="Arial" w:hAnsi="Arial" w:cs="Arial"/>
          <w:sz w:val="20"/>
          <w:szCs w:val="20"/>
        </w:rPr>
        <w:t>–</w:t>
      </w:r>
      <w:r w:rsidRPr="003516DC">
        <w:rPr>
          <w:rFonts w:ascii="Arial" w:hAnsi="Arial" w:cs="Arial"/>
          <w:sz w:val="20"/>
          <w:szCs w:val="20"/>
        </w:rPr>
        <w:t xml:space="preserve"> pictured below </w:t>
      </w:r>
      <w:r w:rsidR="000E26BB" w:rsidRPr="003516DC">
        <w:rPr>
          <w:rFonts w:ascii="Arial" w:hAnsi="Arial" w:cs="Arial"/>
          <w:sz w:val="20"/>
          <w:szCs w:val="20"/>
        </w:rPr>
        <w:t xml:space="preserve">in </w:t>
      </w:r>
      <w:r w:rsidR="002409D0" w:rsidRPr="003516DC">
        <w:rPr>
          <w:rFonts w:ascii="Arial" w:hAnsi="Arial" w:cs="Arial"/>
          <w:sz w:val="20"/>
          <w:szCs w:val="20"/>
        </w:rPr>
        <w:t xml:space="preserve">Figure </w:t>
      </w:r>
      <w:r w:rsidR="002E605D">
        <w:rPr>
          <w:rFonts w:ascii="Arial" w:hAnsi="Arial" w:cs="Arial"/>
          <w:sz w:val="20"/>
          <w:szCs w:val="20"/>
        </w:rPr>
        <w:t>19</w:t>
      </w:r>
      <w:r w:rsidR="000E26BB" w:rsidRPr="003516DC">
        <w:rPr>
          <w:rFonts w:ascii="Arial" w:hAnsi="Arial" w:cs="Arial"/>
          <w:sz w:val="20"/>
          <w:szCs w:val="20"/>
        </w:rPr>
        <w:t xml:space="preserve"> </w:t>
      </w:r>
      <w:r w:rsidRPr="003516DC">
        <w:rPr>
          <w:rFonts w:ascii="Arial" w:hAnsi="Arial" w:cs="Arial"/>
          <w:sz w:val="20"/>
          <w:szCs w:val="20"/>
        </w:rPr>
        <w:t>– a marginali</w:t>
      </w:r>
      <w:r w:rsidR="000928B1" w:rsidRPr="003516DC">
        <w:rPr>
          <w:rFonts w:ascii="Arial" w:hAnsi="Arial" w:cs="Arial"/>
          <w:sz w:val="20"/>
          <w:szCs w:val="20"/>
        </w:rPr>
        <w:t>s</w:t>
      </w:r>
      <w:r w:rsidRPr="003516DC">
        <w:rPr>
          <w:rFonts w:ascii="Arial" w:hAnsi="Arial" w:cs="Arial"/>
          <w:sz w:val="20"/>
          <w:szCs w:val="20"/>
        </w:rPr>
        <w:t xml:space="preserve">ed urban area marked by housing informality and pronounced poverty, is inhabited by a growing </w:t>
      </w:r>
      <w:r w:rsidR="000928B1" w:rsidRPr="003516DC">
        <w:rPr>
          <w:rFonts w:ascii="Arial" w:hAnsi="Arial" w:cs="Arial"/>
          <w:sz w:val="20"/>
          <w:szCs w:val="20"/>
        </w:rPr>
        <w:t>R</w:t>
      </w:r>
      <w:r w:rsidRPr="003516DC">
        <w:rPr>
          <w:rFonts w:ascii="Arial" w:hAnsi="Arial" w:cs="Arial"/>
          <w:sz w:val="20"/>
          <w:szCs w:val="20"/>
        </w:rPr>
        <w:t>oma community.</w:t>
      </w:r>
    </w:p>
    <w:p w14:paraId="6D149970" w14:textId="0AD49000" w:rsidR="0092017A" w:rsidRPr="003516DC" w:rsidRDefault="00650640" w:rsidP="00A2362B">
      <w:pPr>
        <w:pStyle w:val="Caption"/>
        <w:ind w:left="1080" w:hanging="1080"/>
      </w:pPr>
      <w:bookmarkStart w:id="250" w:name="_Toc90725946"/>
      <w:r w:rsidRPr="003516DC">
        <w:lastRenderedPageBreak/>
        <w:t xml:space="preserve">Figure </w:t>
      </w:r>
      <w:r w:rsidR="00481651" w:rsidRPr="003516DC">
        <w:rPr>
          <w:noProof/>
        </w:rPr>
        <w:fldChar w:fldCharType="begin"/>
      </w:r>
      <w:r w:rsidR="00481651" w:rsidRPr="003516DC">
        <w:rPr>
          <w:noProof/>
        </w:rPr>
        <w:instrText xml:space="preserve"> SEQ Figure \* ARABIC </w:instrText>
      </w:r>
      <w:r w:rsidR="00481651" w:rsidRPr="003516DC">
        <w:rPr>
          <w:noProof/>
        </w:rPr>
        <w:fldChar w:fldCharType="separate"/>
      </w:r>
      <w:r w:rsidR="007E5B0B">
        <w:rPr>
          <w:noProof/>
        </w:rPr>
        <w:t>19</w:t>
      </w:r>
      <w:r w:rsidR="00481651" w:rsidRPr="003516DC">
        <w:rPr>
          <w:noProof/>
        </w:rPr>
        <w:fldChar w:fldCharType="end"/>
      </w:r>
      <w:r w:rsidR="0092017A" w:rsidRPr="003516DC">
        <w:t xml:space="preserve">: </w:t>
      </w:r>
      <w:r w:rsidR="00B25A26" w:rsidRPr="003516DC">
        <w:tab/>
      </w:r>
      <w:r w:rsidR="0092017A" w:rsidRPr="003516DC">
        <w:t>Informal housing in Mimiu, a marginali</w:t>
      </w:r>
      <w:r w:rsidR="000928B1" w:rsidRPr="003516DC">
        <w:t>s</w:t>
      </w:r>
      <w:r w:rsidR="0092017A" w:rsidRPr="003516DC">
        <w:t>ed Roma community in Ploiești, isolated between Astra Refinery brownfield site and the rail line crossing the city</w:t>
      </w:r>
      <w:bookmarkEnd w:id="250"/>
    </w:p>
    <w:p w14:paraId="7F96A4AC" w14:textId="4E61849E" w:rsidR="0092017A" w:rsidRPr="003516DC" w:rsidRDefault="0092017A" w:rsidP="0092017A">
      <w:pPr>
        <w:rPr>
          <w:rFonts w:ascii="Arial" w:hAnsi="Arial" w:cs="Arial"/>
        </w:rPr>
      </w:pPr>
      <w:r w:rsidRPr="003516DC">
        <w:rPr>
          <w:rFonts w:ascii="Arial" w:hAnsi="Arial" w:cs="Arial"/>
          <w:b/>
          <w:i/>
          <w:noProof/>
          <w:sz w:val="20"/>
          <w:szCs w:val="20"/>
          <w:lang w:val="en-US" w:eastAsia="en-US"/>
        </w:rPr>
        <w:drawing>
          <wp:inline distT="114300" distB="114300" distL="114300" distR="114300" wp14:anchorId="0E29838F" wp14:editId="59AA2528">
            <wp:extent cx="5678424" cy="210312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7"/>
                    <a:srcRect/>
                    <a:stretch>
                      <a:fillRect/>
                    </a:stretch>
                  </pic:blipFill>
                  <pic:spPr>
                    <a:xfrm>
                      <a:off x="0" y="0"/>
                      <a:ext cx="5678424" cy="2103120"/>
                    </a:xfrm>
                    <a:prstGeom prst="rect">
                      <a:avLst/>
                    </a:prstGeom>
                    <a:ln/>
                  </pic:spPr>
                </pic:pic>
              </a:graphicData>
            </a:graphic>
          </wp:inline>
        </w:drawing>
      </w:r>
    </w:p>
    <w:p w14:paraId="58BE2CE8" w14:textId="1977512A" w:rsidR="0092017A" w:rsidRPr="003516DC" w:rsidRDefault="0092017A" w:rsidP="00931AF2">
      <w:pPr>
        <w:spacing w:after="120"/>
        <w:jc w:val="both"/>
        <w:rPr>
          <w:rFonts w:ascii="Arial" w:hAnsi="Arial" w:cs="Arial"/>
          <w:i/>
          <w:iCs/>
          <w:color w:val="1155CC"/>
          <w:sz w:val="18"/>
          <w:szCs w:val="18"/>
          <w:u w:val="single"/>
        </w:rPr>
      </w:pPr>
      <w:r w:rsidRPr="003516DC">
        <w:rPr>
          <w:rFonts w:ascii="Arial" w:hAnsi="Arial" w:cs="Arial"/>
          <w:i/>
          <w:iCs/>
          <w:sz w:val="18"/>
          <w:szCs w:val="18"/>
        </w:rPr>
        <w:t>Source: Google Street View capture, 2021:</w:t>
      </w:r>
      <w:hyperlink r:id="rId158">
        <w:r w:rsidRPr="003516DC">
          <w:rPr>
            <w:rFonts w:ascii="Arial" w:hAnsi="Arial" w:cs="Arial"/>
            <w:i/>
            <w:iCs/>
            <w:sz w:val="18"/>
            <w:szCs w:val="18"/>
          </w:rPr>
          <w:t xml:space="preserve"> </w:t>
        </w:r>
      </w:hyperlink>
      <w:hyperlink r:id="rId159">
        <w:r w:rsidRPr="003516DC">
          <w:rPr>
            <w:rFonts w:ascii="Arial" w:hAnsi="Arial" w:cs="Arial"/>
            <w:i/>
            <w:iCs/>
            <w:color w:val="1155CC"/>
            <w:sz w:val="18"/>
            <w:szCs w:val="18"/>
            <w:u w:val="single"/>
          </w:rPr>
          <w:t>https://goo.gl/maps/WPbwb2JLdY31xunp9</w:t>
        </w:r>
      </w:hyperlink>
    </w:p>
    <w:p w14:paraId="6B800C13" w14:textId="4C103893" w:rsidR="00931AF2" w:rsidRPr="001E152C" w:rsidRDefault="00931AF2" w:rsidP="00E42342">
      <w:pPr>
        <w:pStyle w:val="ListParagraph"/>
        <w:numPr>
          <w:ilvl w:val="0"/>
          <w:numId w:val="290"/>
        </w:numPr>
        <w:spacing w:before="120" w:after="120" w:line="240" w:lineRule="auto"/>
        <w:jc w:val="both"/>
        <w:rPr>
          <w:color w:val="4F81BD" w:themeColor="accent1"/>
          <w:sz w:val="20"/>
          <w:szCs w:val="20"/>
        </w:rPr>
      </w:pPr>
      <w:r>
        <w:rPr>
          <w:color w:val="4F81BD" w:themeColor="accent1"/>
          <w:sz w:val="20"/>
          <w:szCs w:val="20"/>
        </w:rPr>
        <w:t>Socio-cultural level</w:t>
      </w:r>
    </w:p>
    <w:p w14:paraId="71EA9F95" w14:textId="30B93526" w:rsidR="00931AF2" w:rsidRDefault="00FF56AC" w:rsidP="0092017A">
      <w:pPr>
        <w:jc w:val="both"/>
        <w:rPr>
          <w:rFonts w:ascii="Arial" w:hAnsi="Arial" w:cs="Arial"/>
          <w:sz w:val="20"/>
          <w:szCs w:val="20"/>
        </w:rPr>
      </w:pPr>
      <w:r w:rsidRPr="003516DC">
        <w:rPr>
          <w:rFonts w:ascii="Arial" w:hAnsi="Arial" w:cs="Arial"/>
          <w:sz w:val="20"/>
          <w:szCs w:val="20"/>
        </w:rPr>
        <w:t>Although the general economic dynamism and the accessibili</w:t>
      </w:r>
      <w:r w:rsidR="00350AA9" w:rsidRPr="003516DC">
        <w:rPr>
          <w:rFonts w:ascii="Arial" w:hAnsi="Arial" w:cs="Arial"/>
          <w:sz w:val="20"/>
          <w:szCs w:val="20"/>
        </w:rPr>
        <w:t xml:space="preserve">ty of the territory of Prahova </w:t>
      </w:r>
      <w:r w:rsidR="00931AF2">
        <w:rPr>
          <w:rFonts w:ascii="Arial" w:hAnsi="Arial" w:cs="Arial"/>
          <w:sz w:val="20"/>
          <w:szCs w:val="20"/>
        </w:rPr>
        <w:t>C</w:t>
      </w:r>
      <w:r w:rsidRPr="003516DC">
        <w:rPr>
          <w:rFonts w:ascii="Arial" w:hAnsi="Arial" w:cs="Arial"/>
          <w:sz w:val="20"/>
          <w:szCs w:val="20"/>
        </w:rPr>
        <w:t>ounty create</w:t>
      </w:r>
      <w:r w:rsidR="000928B1" w:rsidRPr="003516DC">
        <w:rPr>
          <w:rFonts w:ascii="Arial" w:hAnsi="Arial" w:cs="Arial"/>
          <w:sz w:val="20"/>
          <w:szCs w:val="20"/>
        </w:rPr>
        <w:t>s</w:t>
      </w:r>
      <w:r w:rsidRPr="003516DC">
        <w:rPr>
          <w:rFonts w:ascii="Arial" w:hAnsi="Arial" w:cs="Arial"/>
          <w:sz w:val="20"/>
          <w:szCs w:val="20"/>
        </w:rPr>
        <w:t xml:space="preserve"> the </w:t>
      </w:r>
      <w:r w:rsidR="000928B1" w:rsidRPr="003516DC">
        <w:rPr>
          <w:rFonts w:ascii="Arial" w:hAnsi="Arial" w:cs="Arial"/>
          <w:sz w:val="20"/>
          <w:szCs w:val="20"/>
        </w:rPr>
        <w:t xml:space="preserve">conditions </w:t>
      </w:r>
      <w:r w:rsidRPr="003516DC">
        <w:rPr>
          <w:rFonts w:ascii="Arial" w:hAnsi="Arial" w:cs="Arial"/>
          <w:sz w:val="20"/>
          <w:szCs w:val="20"/>
        </w:rPr>
        <w:t xml:space="preserve">for </w:t>
      </w:r>
      <w:r w:rsidRPr="003516DC">
        <w:rPr>
          <w:rFonts w:ascii="Arial" w:hAnsi="Arial" w:cs="Arial"/>
          <w:b/>
          <w:bCs/>
          <w:sz w:val="20"/>
          <w:szCs w:val="20"/>
        </w:rPr>
        <w:t>poverty reduction</w:t>
      </w:r>
      <w:r w:rsidRPr="003516DC">
        <w:rPr>
          <w:rFonts w:ascii="Arial" w:hAnsi="Arial" w:cs="Arial"/>
          <w:sz w:val="20"/>
          <w:szCs w:val="20"/>
        </w:rPr>
        <w:t xml:space="preserve">, there is still a significant share of the population living </w:t>
      </w:r>
      <w:r w:rsidR="000928B1" w:rsidRPr="003516DC">
        <w:rPr>
          <w:rFonts w:ascii="Arial" w:hAnsi="Arial" w:cs="Arial"/>
          <w:sz w:val="20"/>
          <w:szCs w:val="20"/>
        </w:rPr>
        <w:t xml:space="preserve">in poverty </w:t>
      </w:r>
      <w:r w:rsidRPr="003516DC">
        <w:rPr>
          <w:rFonts w:ascii="Arial" w:hAnsi="Arial" w:cs="Arial"/>
          <w:sz w:val="20"/>
          <w:szCs w:val="20"/>
        </w:rPr>
        <w:t xml:space="preserve">in </w:t>
      </w:r>
      <w:r w:rsidRPr="003516DC">
        <w:rPr>
          <w:rFonts w:ascii="Arial" w:hAnsi="Arial" w:cs="Arial"/>
          <w:b/>
          <w:bCs/>
          <w:sz w:val="20"/>
          <w:szCs w:val="20"/>
        </w:rPr>
        <w:t>disadvantaged areas</w:t>
      </w:r>
      <w:r w:rsidRPr="003516DC">
        <w:rPr>
          <w:rFonts w:ascii="Arial" w:hAnsi="Arial" w:cs="Arial"/>
          <w:sz w:val="20"/>
          <w:szCs w:val="20"/>
        </w:rPr>
        <w:t>. The deindustriali</w:t>
      </w:r>
      <w:r w:rsidR="000928B1" w:rsidRPr="003516DC">
        <w:rPr>
          <w:rFonts w:ascii="Arial" w:hAnsi="Arial" w:cs="Arial"/>
          <w:sz w:val="20"/>
          <w:szCs w:val="20"/>
        </w:rPr>
        <w:t>s</w:t>
      </w:r>
      <w:r w:rsidRPr="003516DC">
        <w:rPr>
          <w:rFonts w:ascii="Arial" w:hAnsi="Arial" w:cs="Arial"/>
          <w:sz w:val="20"/>
          <w:szCs w:val="20"/>
        </w:rPr>
        <w:t>ation of the small towns (e.g., Plopeni, Văleni de Munte, Comarnic, etc.) led to significant transformations of the economic and housing situation of the population of these cities, confirmed by the high share of the disadvantaged population in terms of housing (4.14%</w:t>
      </w:r>
      <w:r w:rsidRPr="003516DC">
        <w:rPr>
          <w:rStyle w:val="FootnoteReference"/>
          <w:rFonts w:ascii="Arial" w:hAnsi="Arial" w:cs="Arial"/>
          <w:sz w:val="20"/>
          <w:szCs w:val="20"/>
        </w:rPr>
        <w:footnoteReference w:id="117"/>
      </w:r>
      <w:r w:rsidRPr="003516DC">
        <w:rPr>
          <w:rFonts w:ascii="Arial" w:hAnsi="Arial" w:cs="Arial"/>
          <w:sz w:val="20"/>
          <w:szCs w:val="20"/>
        </w:rPr>
        <w:t xml:space="preserve">). </w:t>
      </w:r>
      <w:r w:rsidR="00AE33A5" w:rsidRPr="003516DC">
        <w:rPr>
          <w:rFonts w:ascii="Arial" w:hAnsi="Arial" w:cs="Arial"/>
          <w:sz w:val="20"/>
          <w:szCs w:val="20"/>
        </w:rPr>
        <w:t>Additionally,</w:t>
      </w:r>
      <w:r w:rsidRPr="003516DC">
        <w:rPr>
          <w:rFonts w:ascii="Arial" w:hAnsi="Arial" w:cs="Arial"/>
          <w:sz w:val="20"/>
          <w:szCs w:val="20"/>
        </w:rPr>
        <w:t xml:space="preserve"> in the recent context of the real estate market, access to housing for the poor is increasingly difficult in cities, either living in overcrowded conditions in old apartments (including dilapidated state-owned blocks of flats) or living in poorly equippe</w:t>
      </w:r>
      <w:r w:rsidR="002B75CD" w:rsidRPr="003516DC">
        <w:rPr>
          <w:rFonts w:ascii="Arial" w:hAnsi="Arial" w:cs="Arial"/>
          <w:sz w:val="20"/>
          <w:szCs w:val="20"/>
        </w:rPr>
        <w:t xml:space="preserve">d suburbs </w:t>
      </w:r>
      <w:r w:rsidR="000928B1" w:rsidRPr="003516DC">
        <w:rPr>
          <w:rFonts w:ascii="Arial" w:hAnsi="Arial" w:cs="Arial"/>
          <w:sz w:val="20"/>
          <w:szCs w:val="20"/>
        </w:rPr>
        <w:t>(u</w:t>
      </w:r>
      <w:r w:rsidRPr="003516DC">
        <w:rPr>
          <w:rFonts w:ascii="Arial" w:hAnsi="Arial" w:cs="Arial"/>
          <w:sz w:val="20"/>
          <w:szCs w:val="20"/>
        </w:rPr>
        <w:t>rban or even informal settlements</w:t>
      </w:r>
      <w:r w:rsidR="000928B1" w:rsidRPr="003516DC">
        <w:rPr>
          <w:rFonts w:ascii="Arial" w:hAnsi="Arial" w:cs="Arial"/>
          <w:sz w:val="20"/>
          <w:szCs w:val="20"/>
        </w:rPr>
        <w:t>)</w:t>
      </w:r>
      <w:r w:rsidRPr="003516DC">
        <w:rPr>
          <w:rFonts w:ascii="Arial" w:hAnsi="Arial" w:cs="Arial"/>
          <w:sz w:val="20"/>
          <w:szCs w:val="20"/>
        </w:rPr>
        <w:t xml:space="preserve">. The low number of social housing (659 in the whole Prahova </w:t>
      </w:r>
      <w:r w:rsidR="00931AF2">
        <w:rPr>
          <w:rFonts w:ascii="Arial" w:hAnsi="Arial" w:cs="Arial"/>
          <w:sz w:val="20"/>
          <w:szCs w:val="20"/>
        </w:rPr>
        <w:t>C</w:t>
      </w:r>
      <w:r w:rsidRPr="003516DC">
        <w:rPr>
          <w:rFonts w:ascii="Arial" w:hAnsi="Arial" w:cs="Arial"/>
          <w:sz w:val="20"/>
          <w:szCs w:val="20"/>
        </w:rPr>
        <w:t>ounty, of which 290</w:t>
      </w:r>
      <w:r w:rsidR="00AE33A5" w:rsidRPr="003516DC">
        <w:rPr>
          <w:rFonts w:ascii="Arial" w:hAnsi="Arial" w:cs="Arial"/>
          <w:sz w:val="20"/>
          <w:szCs w:val="20"/>
        </w:rPr>
        <w:t xml:space="preserve"> is</w:t>
      </w:r>
      <w:r w:rsidRPr="003516DC">
        <w:rPr>
          <w:rFonts w:ascii="Arial" w:hAnsi="Arial" w:cs="Arial"/>
          <w:sz w:val="20"/>
          <w:szCs w:val="20"/>
        </w:rPr>
        <w:t xml:space="preserve"> in Ploiești and 149 </w:t>
      </w:r>
      <w:r w:rsidR="00AE33A5" w:rsidRPr="003516DC">
        <w:rPr>
          <w:rFonts w:ascii="Arial" w:hAnsi="Arial" w:cs="Arial"/>
          <w:sz w:val="20"/>
          <w:szCs w:val="20"/>
        </w:rPr>
        <w:t xml:space="preserve">is </w:t>
      </w:r>
      <w:r w:rsidRPr="003516DC">
        <w:rPr>
          <w:rFonts w:ascii="Arial" w:hAnsi="Arial" w:cs="Arial"/>
          <w:sz w:val="20"/>
          <w:szCs w:val="20"/>
        </w:rPr>
        <w:t xml:space="preserve">in Sinaia) does not favour the professional mobility of vulnerable people, access to housing being a favourable condition </w:t>
      </w:r>
      <w:r w:rsidR="00AE33A5" w:rsidRPr="003516DC">
        <w:rPr>
          <w:rFonts w:ascii="Arial" w:hAnsi="Arial" w:cs="Arial"/>
          <w:sz w:val="20"/>
          <w:szCs w:val="20"/>
        </w:rPr>
        <w:t xml:space="preserve">to </w:t>
      </w:r>
      <w:r w:rsidRPr="003516DC">
        <w:rPr>
          <w:rFonts w:ascii="Arial" w:hAnsi="Arial" w:cs="Arial"/>
          <w:sz w:val="20"/>
          <w:szCs w:val="20"/>
        </w:rPr>
        <w:t>access the labour market and</w:t>
      </w:r>
      <w:r w:rsidR="00AE33A5" w:rsidRPr="003516DC">
        <w:rPr>
          <w:rFonts w:ascii="Arial" w:hAnsi="Arial" w:cs="Arial"/>
          <w:sz w:val="20"/>
          <w:szCs w:val="20"/>
        </w:rPr>
        <w:t xml:space="preserve"> help</w:t>
      </w:r>
      <w:r w:rsidRPr="003516DC">
        <w:rPr>
          <w:rFonts w:ascii="Arial" w:hAnsi="Arial" w:cs="Arial"/>
          <w:sz w:val="20"/>
          <w:szCs w:val="20"/>
        </w:rPr>
        <w:t xml:space="preserve"> people </w:t>
      </w:r>
      <w:r w:rsidR="00AE33A5" w:rsidRPr="003516DC">
        <w:rPr>
          <w:rFonts w:ascii="Arial" w:hAnsi="Arial" w:cs="Arial"/>
          <w:sz w:val="20"/>
          <w:szCs w:val="20"/>
        </w:rPr>
        <w:t xml:space="preserve">migrate </w:t>
      </w:r>
      <w:r w:rsidRPr="003516DC">
        <w:rPr>
          <w:rFonts w:ascii="Arial" w:hAnsi="Arial" w:cs="Arial"/>
          <w:sz w:val="20"/>
          <w:szCs w:val="20"/>
        </w:rPr>
        <w:t>to areas with jobs. The relationship between deindustriali</w:t>
      </w:r>
      <w:r w:rsidR="00AE33A5" w:rsidRPr="003516DC">
        <w:rPr>
          <w:rFonts w:ascii="Arial" w:hAnsi="Arial" w:cs="Arial"/>
          <w:sz w:val="20"/>
          <w:szCs w:val="20"/>
        </w:rPr>
        <w:t>s</w:t>
      </w:r>
      <w:r w:rsidRPr="003516DC">
        <w:rPr>
          <w:rFonts w:ascii="Arial" w:hAnsi="Arial" w:cs="Arial"/>
          <w:sz w:val="20"/>
          <w:szCs w:val="20"/>
        </w:rPr>
        <w:t>ation and pov</w:t>
      </w:r>
      <w:r w:rsidR="00350AA9" w:rsidRPr="003516DC">
        <w:rPr>
          <w:rFonts w:ascii="Arial" w:hAnsi="Arial" w:cs="Arial"/>
          <w:sz w:val="20"/>
          <w:szCs w:val="20"/>
        </w:rPr>
        <w:t xml:space="preserve">erty is highlighted in Prahova </w:t>
      </w:r>
      <w:r w:rsidR="00931AF2">
        <w:rPr>
          <w:rFonts w:ascii="Arial" w:hAnsi="Arial" w:cs="Arial"/>
          <w:sz w:val="20"/>
          <w:szCs w:val="20"/>
        </w:rPr>
        <w:t>C</w:t>
      </w:r>
      <w:r w:rsidRPr="003516DC">
        <w:rPr>
          <w:rFonts w:ascii="Arial" w:hAnsi="Arial" w:cs="Arial"/>
          <w:sz w:val="20"/>
          <w:szCs w:val="20"/>
        </w:rPr>
        <w:t>ounty by the concentration of disadvantaged groups in peripheral urban areas, being more pronounced where the mono-industrial character of cities has been accentuated (Plopeni, Boldești-Scăieni, etc.). In the outskirts of Ploiești</w:t>
      </w:r>
      <w:r w:rsidR="00AE33A5" w:rsidRPr="003516DC">
        <w:rPr>
          <w:rFonts w:ascii="Arial" w:hAnsi="Arial" w:cs="Arial"/>
          <w:sz w:val="20"/>
          <w:szCs w:val="20"/>
        </w:rPr>
        <w:t>,</w:t>
      </w:r>
      <w:r w:rsidRPr="003516DC">
        <w:rPr>
          <w:rFonts w:ascii="Arial" w:hAnsi="Arial" w:cs="Arial"/>
          <w:sz w:val="20"/>
          <w:szCs w:val="20"/>
        </w:rPr>
        <w:t xml:space="preserve"> there are two </w:t>
      </w:r>
      <w:r w:rsidR="00AE33A5" w:rsidRPr="003516DC">
        <w:rPr>
          <w:rFonts w:ascii="Arial" w:hAnsi="Arial" w:cs="Arial"/>
          <w:sz w:val="20"/>
          <w:szCs w:val="20"/>
        </w:rPr>
        <w:t>neighbourhoods</w:t>
      </w:r>
      <w:r w:rsidRPr="003516DC">
        <w:rPr>
          <w:rFonts w:ascii="Arial" w:hAnsi="Arial" w:cs="Arial"/>
          <w:sz w:val="20"/>
          <w:szCs w:val="20"/>
        </w:rPr>
        <w:t xml:space="preserve"> inhabited by the poor (Mimiu and Bereasca), </w:t>
      </w:r>
      <w:r w:rsidR="00AE33A5" w:rsidRPr="003516DC">
        <w:rPr>
          <w:rFonts w:ascii="Arial" w:hAnsi="Arial" w:cs="Arial"/>
          <w:sz w:val="20"/>
          <w:szCs w:val="20"/>
        </w:rPr>
        <w:t xml:space="preserve">and </w:t>
      </w:r>
      <w:r w:rsidRPr="003516DC">
        <w:rPr>
          <w:rFonts w:ascii="Arial" w:hAnsi="Arial" w:cs="Arial"/>
          <w:sz w:val="20"/>
          <w:szCs w:val="20"/>
        </w:rPr>
        <w:t xml:space="preserve">in 10 </w:t>
      </w:r>
      <w:r w:rsidR="00AE33A5" w:rsidRPr="003516DC">
        <w:rPr>
          <w:rFonts w:ascii="Arial" w:hAnsi="Arial" w:cs="Arial"/>
          <w:sz w:val="20"/>
          <w:szCs w:val="20"/>
        </w:rPr>
        <w:t xml:space="preserve">other </w:t>
      </w:r>
      <w:r w:rsidRPr="003516DC">
        <w:rPr>
          <w:rFonts w:ascii="Arial" w:hAnsi="Arial" w:cs="Arial"/>
          <w:sz w:val="20"/>
          <w:szCs w:val="20"/>
        </w:rPr>
        <w:t xml:space="preserve">localities there are informal settlements </w:t>
      </w:r>
      <w:r w:rsidR="003033D6" w:rsidRPr="003516DC">
        <w:rPr>
          <w:rFonts w:ascii="Arial" w:hAnsi="Arial" w:cs="Arial"/>
          <w:sz w:val="20"/>
          <w:szCs w:val="20"/>
        </w:rPr>
        <w:t xml:space="preserve">with </w:t>
      </w:r>
      <w:r w:rsidR="00AE33A5" w:rsidRPr="003516DC">
        <w:rPr>
          <w:rFonts w:ascii="Arial" w:hAnsi="Arial" w:cs="Arial"/>
          <w:sz w:val="20"/>
          <w:szCs w:val="20"/>
        </w:rPr>
        <w:t>1,233</w:t>
      </w:r>
      <w:r w:rsidRPr="003516DC">
        <w:rPr>
          <w:rFonts w:ascii="Arial" w:hAnsi="Arial" w:cs="Arial"/>
          <w:sz w:val="20"/>
          <w:szCs w:val="20"/>
        </w:rPr>
        <w:t xml:space="preserve"> inhabitants.</w:t>
      </w:r>
    </w:p>
    <w:p w14:paraId="64DD479C" w14:textId="6A1BC8D7" w:rsidR="00931AF2" w:rsidRPr="001E152C" w:rsidRDefault="00931AF2" w:rsidP="00E42342">
      <w:pPr>
        <w:pStyle w:val="ListParagraph"/>
        <w:numPr>
          <w:ilvl w:val="0"/>
          <w:numId w:val="291"/>
        </w:numPr>
        <w:spacing w:before="120" w:after="120" w:line="240" w:lineRule="auto"/>
        <w:jc w:val="both"/>
        <w:rPr>
          <w:color w:val="4F81BD" w:themeColor="accent1"/>
          <w:sz w:val="20"/>
          <w:szCs w:val="20"/>
        </w:rPr>
      </w:pPr>
      <w:r>
        <w:rPr>
          <w:color w:val="4F81BD" w:themeColor="accent1"/>
          <w:sz w:val="20"/>
          <w:szCs w:val="20"/>
        </w:rPr>
        <w:t>Digitalisation and technology transfer</w:t>
      </w:r>
    </w:p>
    <w:p w14:paraId="7C624547" w14:textId="27BD4AD3" w:rsidR="005E74B1" w:rsidRPr="00A2362B" w:rsidRDefault="005E74B1" w:rsidP="00DF3D41">
      <w:pPr>
        <w:pStyle w:val="Caption"/>
        <w:ind w:left="0" w:firstLine="0"/>
        <w:jc w:val="both"/>
        <w:rPr>
          <w:b w:val="0"/>
          <w:bCs/>
          <w:color w:val="auto"/>
          <w:lang w:val="ro-RO"/>
        </w:rPr>
      </w:pPr>
      <w:r w:rsidRPr="00A2362B">
        <w:rPr>
          <w:b w:val="0"/>
          <w:bCs/>
          <w:color w:val="auto"/>
        </w:rPr>
        <w:t xml:space="preserve">The R&amp;D expenditures </w:t>
      </w:r>
      <w:r w:rsidR="00143135" w:rsidRPr="00A2362B">
        <w:rPr>
          <w:b w:val="0"/>
          <w:bCs/>
          <w:color w:val="auto"/>
        </w:rPr>
        <w:t>as a percentage of</w:t>
      </w:r>
      <w:r w:rsidRPr="00A2362B">
        <w:rPr>
          <w:b w:val="0"/>
          <w:bCs/>
          <w:color w:val="auto"/>
        </w:rPr>
        <w:t xml:space="preserve"> GDP decrease</w:t>
      </w:r>
      <w:r w:rsidR="00143135" w:rsidRPr="00A2362B">
        <w:rPr>
          <w:b w:val="0"/>
          <w:bCs/>
          <w:color w:val="auto"/>
        </w:rPr>
        <w:t>d</w:t>
      </w:r>
      <w:r w:rsidRPr="00A2362B">
        <w:rPr>
          <w:b w:val="0"/>
          <w:bCs/>
          <w:color w:val="auto"/>
        </w:rPr>
        <w:t xml:space="preserve"> </w:t>
      </w:r>
      <w:r w:rsidR="00143135" w:rsidRPr="00A2362B">
        <w:rPr>
          <w:b w:val="0"/>
          <w:bCs/>
          <w:color w:val="auto"/>
        </w:rPr>
        <w:t>from</w:t>
      </w:r>
      <w:r w:rsidRPr="00A2362B">
        <w:rPr>
          <w:b w:val="0"/>
          <w:bCs/>
          <w:color w:val="auto"/>
        </w:rPr>
        <w:t xml:space="preserve"> 2014-2018</w:t>
      </w:r>
      <w:r w:rsidR="00143135" w:rsidRPr="00A2362B">
        <w:rPr>
          <w:b w:val="0"/>
          <w:bCs/>
          <w:color w:val="auto"/>
        </w:rPr>
        <w:t>.</w:t>
      </w:r>
      <w:r w:rsidRPr="00A2362B">
        <w:rPr>
          <w:b w:val="0"/>
          <w:bCs/>
          <w:color w:val="auto"/>
        </w:rPr>
        <w:t xml:space="preserve"> Prahova</w:t>
      </w:r>
      <w:r w:rsidR="00774CC7" w:rsidRPr="00A2362B">
        <w:rPr>
          <w:b w:val="0"/>
          <w:bCs/>
          <w:color w:val="auto"/>
        </w:rPr>
        <w:t>,</w:t>
      </w:r>
      <w:r w:rsidRPr="00A2362B">
        <w:rPr>
          <w:b w:val="0"/>
          <w:bCs/>
          <w:color w:val="auto"/>
        </w:rPr>
        <w:t xml:space="preserve"> </w:t>
      </w:r>
      <w:r w:rsidR="00774CC7" w:rsidRPr="00A2362B">
        <w:rPr>
          <w:b w:val="0"/>
          <w:bCs/>
          <w:color w:val="auto"/>
        </w:rPr>
        <w:t>alongside</w:t>
      </w:r>
      <w:r w:rsidRPr="00A2362B">
        <w:rPr>
          <w:b w:val="0"/>
          <w:bCs/>
          <w:color w:val="auto"/>
        </w:rPr>
        <w:t xml:space="preserve"> Mure</w:t>
      </w:r>
      <w:r w:rsidR="00774CC7" w:rsidRPr="00A2362B">
        <w:rPr>
          <w:b w:val="0"/>
          <w:bCs/>
          <w:color w:val="auto"/>
          <w:lang w:val="ro-RO"/>
        </w:rPr>
        <w:t xml:space="preserve">ș, </w:t>
      </w:r>
      <w:r w:rsidR="00143135" w:rsidRPr="00A2362B">
        <w:rPr>
          <w:b w:val="0"/>
          <w:bCs/>
          <w:color w:val="auto"/>
          <w:lang w:val="ro-RO"/>
        </w:rPr>
        <w:t xml:space="preserve">is </w:t>
      </w:r>
      <w:r w:rsidR="00B0255C" w:rsidRPr="00A2362B">
        <w:rPr>
          <w:b w:val="0"/>
          <w:bCs/>
          <w:color w:val="auto"/>
          <w:lang w:val="ro-RO"/>
        </w:rPr>
        <w:t xml:space="preserve">one of </w:t>
      </w:r>
      <w:r w:rsidR="00774CC7" w:rsidRPr="00A2362B">
        <w:rPr>
          <w:b w:val="0"/>
          <w:bCs/>
          <w:color w:val="auto"/>
          <w:lang w:val="ro-RO"/>
        </w:rPr>
        <w:t xml:space="preserve">the two regions that </w:t>
      </w:r>
      <w:r w:rsidR="00143135" w:rsidRPr="00A2362B">
        <w:rPr>
          <w:b w:val="0"/>
          <w:bCs/>
          <w:color w:val="auto"/>
          <w:lang w:val="ro-RO"/>
        </w:rPr>
        <w:t>observed</w:t>
      </w:r>
      <w:r w:rsidR="00774CC7" w:rsidRPr="00A2362B">
        <w:rPr>
          <w:b w:val="0"/>
          <w:bCs/>
          <w:color w:val="auto"/>
          <w:lang w:val="ro-RO"/>
        </w:rPr>
        <w:t xml:space="preserve"> a negative evolution of this indicator.</w:t>
      </w:r>
      <w:r w:rsidR="00E93D73" w:rsidRPr="00A2362B">
        <w:rPr>
          <w:b w:val="0"/>
          <w:bCs/>
          <w:color w:val="auto"/>
          <w:lang w:val="ro-RO"/>
        </w:rPr>
        <w:t xml:space="preserve"> </w:t>
      </w:r>
    </w:p>
    <w:p w14:paraId="39C157C0" w14:textId="06817390" w:rsidR="00DF3D41" w:rsidRPr="003516DC" w:rsidRDefault="005E7D21" w:rsidP="00402580">
      <w:pPr>
        <w:pStyle w:val="Caption"/>
        <w:ind w:left="990" w:hanging="990"/>
      </w:pPr>
      <w:bookmarkStart w:id="251" w:name="_Toc90726008"/>
      <w:bookmarkStart w:id="252" w:name="_Toc90727305"/>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54</w:t>
      </w:r>
      <w:r w:rsidR="000B273D">
        <w:rPr>
          <w:noProof/>
        </w:rPr>
        <w:fldChar w:fldCharType="end"/>
      </w:r>
      <w:r w:rsidR="00DF3D41" w:rsidRPr="003516DC">
        <w:t xml:space="preserve">: Share of R&amp;DI in GDP during 2014-2018 for Prahova </w:t>
      </w:r>
      <w:r w:rsidR="00143135">
        <w:t>C</w:t>
      </w:r>
      <w:r w:rsidR="00DF3D41" w:rsidRPr="003516DC">
        <w:t xml:space="preserve">ounty, </w:t>
      </w:r>
      <w:r w:rsidR="00DF3D41" w:rsidRPr="003516DC">
        <w:rPr>
          <w:lang w:val="en-US"/>
        </w:rPr>
        <w:t>South Muntenia</w:t>
      </w:r>
      <w:r w:rsidR="00DF3D41" w:rsidRPr="003516DC">
        <w:t xml:space="preserve"> Region and Romania</w:t>
      </w:r>
      <w:bookmarkEnd w:id="251"/>
      <w:bookmarkEnd w:id="252"/>
    </w:p>
    <w:tbl>
      <w:tblPr>
        <w:tblW w:w="5000" w:type="pct"/>
        <w:tblLayout w:type="fixed"/>
        <w:tblLook w:val="04A0" w:firstRow="1" w:lastRow="0" w:firstColumn="1" w:lastColumn="0" w:noHBand="0" w:noVBand="1"/>
      </w:tblPr>
      <w:tblGrid>
        <w:gridCol w:w="2896"/>
        <w:gridCol w:w="963"/>
        <w:gridCol w:w="963"/>
        <w:gridCol w:w="963"/>
        <w:gridCol w:w="963"/>
        <w:gridCol w:w="986"/>
        <w:gridCol w:w="1195"/>
      </w:tblGrid>
      <w:tr w:rsidR="00866001" w:rsidRPr="003516DC" w14:paraId="76842EBB" w14:textId="77777777" w:rsidTr="006E60A3">
        <w:trPr>
          <w:trHeight w:val="300"/>
        </w:trPr>
        <w:tc>
          <w:tcPr>
            <w:tcW w:w="1622" w:type="pct"/>
            <w:tcBorders>
              <w:top w:val="single" w:sz="4" w:space="0" w:color="auto"/>
              <w:left w:val="single" w:sz="4" w:space="0" w:color="auto"/>
              <w:bottom w:val="single" w:sz="4" w:space="0" w:color="auto"/>
              <w:right w:val="single" w:sz="4" w:space="0" w:color="auto"/>
            </w:tcBorders>
            <w:shd w:val="clear" w:color="auto" w:fill="002060"/>
            <w:noWrap/>
            <w:vAlign w:val="center"/>
          </w:tcPr>
          <w:p w14:paraId="2609420C" w14:textId="77777777" w:rsidR="00866001" w:rsidRPr="003516DC" w:rsidRDefault="00866001" w:rsidP="006E60A3">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4C3789A5" w14:textId="77777777"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09A85D21" w14:textId="77777777"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1B097AD4" w14:textId="77777777"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539" w:type="pct"/>
            <w:tcBorders>
              <w:top w:val="single" w:sz="4" w:space="0" w:color="auto"/>
              <w:left w:val="nil"/>
              <w:bottom w:val="single" w:sz="4" w:space="0" w:color="auto"/>
              <w:right w:val="single" w:sz="4" w:space="0" w:color="auto"/>
            </w:tcBorders>
            <w:shd w:val="clear" w:color="auto" w:fill="002060"/>
            <w:noWrap/>
            <w:vAlign w:val="center"/>
          </w:tcPr>
          <w:p w14:paraId="55B9E790" w14:textId="77777777"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552" w:type="pct"/>
            <w:tcBorders>
              <w:top w:val="single" w:sz="4" w:space="0" w:color="auto"/>
              <w:left w:val="nil"/>
              <w:bottom w:val="single" w:sz="4" w:space="0" w:color="auto"/>
              <w:right w:val="single" w:sz="4" w:space="0" w:color="auto"/>
            </w:tcBorders>
            <w:shd w:val="clear" w:color="auto" w:fill="002060"/>
            <w:noWrap/>
            <w:vAlign w:val="center"/>
          </w:tcPr>
          <w:p w14:paraId="57F56344" w14:textId="77777777"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69" w:type="pct"/>
            <w:tcBorders>
              <w:top w:val="single" w:sz="4" w:space="0" w:color="auto"/>
              <w:left w:val="nil"/>
              <w:bottom w:val="single" w:sz="4" w:space="0" w:color="auto"/>
              <w:right w:val="single" w:sz="4" w:space="0" w:color="auto"/>
            </w:tcBorders>
            <w:shd w:val="clear" w:color="auto" w:fill="002060"/>
            <w:noWrap/>
            <w:vAlign w:val="center"/>
          </w:tcPr>
          <w:p w14:paraId="7BEE0D61" w14:textId="4030D15E" w:rsidR="00866001" w:rsidRPr="003516DC" w:rsidRDefault="00866001"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2014/2018</w:t>
            </w:r>
          </w:p>
        </w:tc>
      </w:tr>
      <w:tr w:rsidR="00866001" w:rsidRPr="003516DC" w14:paraId="4B3590D1" w14:textId="77777777" w:rsidTr="006E60A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4801BCBC" w14:textId="0045A4B6" w:rsidR="00866001" w:rsidRPr="003516DC" w:rsidRDefault="00866001" w:rsidP="006E60A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PH County</w:t>
            </w:r>
          </w:p>
        </w:tc>
        <w:tc>
          <w:tcPr>
            <w:tcW w:w="539" w:type="pct"/>
            <w:tcBorders>
              <w:top w:val="nil"/>
              <w:left w:val="nil"/>
              <w:bottom w:val="single" w:sz="4" w:space="0" w:color="auto"/>
              <w:right w:val="single" w:sz="4" w:space="0" w:color="auto"/>
            </w:tcBorders>
            <w:shd w:val="clear" w:color="auto" w:fill="auto"/>
            <w:noWrap/>
            <w:vAlign w:val="bottom"/>
          </w:tcPr>
          <w:p w14:paraId="05B25B6E" w14:textId="5EF1AE52"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0.08%</w:t>
            </w:r>
          </w:p>
        </w:tc>
        <w:tc>
          <w:tcPr>
            <w:tcW w:w="539" w:type="pct"/>
            <w:tcBorders>
              <w:top w:val="nil"/>
              <w:left w:val="nil"/>
              <w:bottom w:val="single" w:sz="4" w:space="0" w:color="auto"/>
              <w:right w:val="single" w:sz="4" w:space="0" w:color="auto"/>
            </w:tcBorders>
            <w:shd w:val="clear" w:color="auto" w:fill="auto"/>
            <w:noWrap/>
            <w:vAlign w:val="bottom"/>
          </w:tcPr>
          <w:p w14:paraId="266A4A5A" w14:textId="37F28A10"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0.10%</w:t>
            </w:r>
          </w:p>
        </w:tc>
        <w:tc>
          <w:tcPr>
            <w:tcW w:w="539" w:type="pct"/>
            <w:tcBorders>
              <w:top w:val="nil"/>
              <w:left w:val="nil"/>
              <w:bottom w:val="single" w:sz="4" w:space="0" w:color="auto"/>
              <w:right w:val="single" w:sz="4" w:space="0" w:color="auto"/>
            </w:tcBorders>
            <w:shd w:val="clear" w:color="auto" w:fill="auto"/>
            <w:noWrap/>
            <w:vAlign w:val="bottom"/>
          </w:tcPr>
          <w:p w14:paraId="56B32BCC" w14:textId="22AB3FC3"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0.03%</w:t>
            </w:r>
          </w:p>
        </w:tc>
        <w:tc>
          <w:tcPr>
            <w:tcW w:w="539" w:type="pct"/>
            <w:tcBorders>
              <w:top w:val="nil"/>
              <w:left w:val="nil"/>
              <w:bottom w:val="single" w:sz="4" w:space="0" w:color="auto"/>
              <w:right w:val="single" w:sz="4" w:space="0" w:color="auto"/>
            </w:tcBorders>
            <w:shd w:val="clear" w:color="auto" w:fill="auto"/>
            <w:noWrap/>
            <w:vAlign w:val="bottom"/>
          </w:tcPr>
          <w:p w14:paraId="32A4076E" w14:textId="5AC28921"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0.02%</w:t>
            </w:r>
          </w:p>
        </w:tc>
        <w:tc>
          <w:tcPr>
            <w:tcW w:w="552" w:type="pct"/>
            <w:tcBorders>
              <w:top w:val="nil"/>
              <w:left w:val="nil"/>
              <w:bottom w:val="single" w:sz="4" w:space="0" w:color="auto"/>
              <w:right w:val="single" w:sz="4" w:space="0" w:color="auto"/>
            </w:tcBorders>
            <w:shd w:val="clear" w:color="auto" w:fill="auto"/>
            <w:noWrap/>
            <w:vAlign w:val="bottom"/>
          </w:tcPr>
          <w:p w14:paraId="59BDC407" w14:textId="2FC44E60"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0.05%</w:t>
            </w:r>
          </w:p>
        </w:tc>
        <w:tc>
          <w:tcPr>
            <w:tcW w:w="669" w:type="pct"/>
            <w:tcBorders>
              <w:top w:val="nil"/>
              <w:left w:val="nil"/>
              <w:bottom w:val="single" w:sz="4" w:space="0" w:color="auto"/>
              <w:right w:val="single" w:sz="4" w:space="0" w:color="auto"/>
            </w:tcBorders>
            <w:shd w:val="clear" w:color="auto" w:fill="auto"/>
            <w:noWrap/>
            <w:vAlign w:val="bottom"/>
          </w:tcPr>
          <w:p w14:paraId="60161BCE" w14:textId="54FEFB2C" w:rsidR="00866001" w:rsidRPr="003516DC" w:rsidRDefault="00866001" w:rsidP="006E60A3">
            <w:pPr>
              <w:jc w:val="center"/>
              <w:textAlignment w:val="bottom"/>
              <w:rPr>
                <w:rFonts w:ascii="Arial" w:eastAsia="Times New Roman" w:hAnsi="Arial" w:cs="Arial"/>
                <w:color w:val="000000"/>
                <w:sz w:val="18"/>
                <w:szCs w:val="18"/>
                <w:lang w:val="en-US"/>
              </w:rPr>
            </w:pPr>
            <w:r w:rsidRPr="003516DC">
              <w:rPr>
                <w:rFonts w:ascii="Arial" w:eastAsia="SimSun" w:hAnsi="Arial" w:cs="Arial"/>
                <w:sz w:val="18"/>
                <w:szCs w:val="18"/>
                <w:lang w:val="en-US" w:eastAsia="zh-CN" w:bidi="ar"/>
              </w:rPr>
              <w:t>-0.03%</w:t>
            </w:r>
          </w:p>
        </w:tc>
      </w:tr>
      <w:tr w:rsidR="00866001" w:rsidRPr="003516DC" w14:paraId="1F9C736F" w14:textId="77777777" w:rsidTr="006E60A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610179BD" w14:textId="61EB4E36" w:rsidR="00866001" w:rsidRPr="003516DC" w:rsidRDefault="00866001" w:rsidP="006E60A3">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S-M Region</w:t>
            </w:r>
          </w:p>
        </w:tc>
        <w:tc>
          <w:tcPr>
            <w:tcW w:w="539" w:type="pct"/>
            <w:tcBorders>
              <w:top w:val="nil"/>
              <w:left w:val="nil"/>
              <w:bottom w:val="single" w:sz="4" w:space="0" w:color="auto"/>
              <w:right w:val="single" w:sz="4" w:space="0" w:color="auto"/>
            </w:tcBorders>
            <w:shd w:val="clear" w:color="auto" w:fill="auto"/>
            <w:noWrap/>
            <w:vAlign w:val="bottom"/>
          </w:tcPr>
          <w:p w14:paraId="10A8435F" w14:textId="7CC5A51E"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color w:val="000000"/>
                <w:sz w:val="18"/>
                <w:szCs w:val="18"/>
              </w:rPr>
              <w:t>0.34%</w:t>
            </w:r>
          </w:p>
        </w:tc>
        <w:tc>
          <w:tcPr>
            <w:tcW w:w="539" w:type="pct"/>
            <w:tcBorders>
              <w:top w:val="nil"/>
              <w:left w:val="nil"/>
              <w:bottom w:val="single" w:sz="4" w:space="0" w:color="auto"/>
              <w:right w:val="single" w:sz="4" w:space="0" w:color="auto"/>
            </w:tcBorders>
            <w:shd w:val="clear" w:color="auto" w:fill="auto"/>
            <w:noWrap/>
            <w:vAlign w:val="bottom"/>
          </w:tcPr>
          <w:p w14:paraId="222D42B8" w14:textId="262D6D91"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color w:val="000000"/>
                <w:sz w:val="18"/>
                <w:szCs w:val="18"/>
              </w:rPr>
              <w:t>0.35%</w:t>
            </w:r>
          </w:p>
        </w:tc>
        <w:tc>
          <w:tcPr>
            <w:tcW w:w="539" w:type="pct"/>
            <w:tcBorders>
              <w:top w:val="nil"/>
              <w:left w:val="nil"/>
              <w:bottom w:val="single" w:sz="4" w:space="0" w:color="auto"/>
              <w:right w:val="single" w:sz="4" w:space="0" w:color="auto"/>
            </w:tcBorders>
            <w:shd w:val="clear" w:color="auto" w:fill="auto"/>
            <w:noWrap/>
            <w:vAlign w:val="bottom"/>
          </w:tcPr>
          <w:p w14:paraId="3D6550F4" w14:textId="2937DA01"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color w:val="000000"/>
                <w:sz w:val="18"/>
                <w:szCs w:val="18"/>
              </w:rPr>
              <w:t>0.38%</w:t>
            </w:r>
          </w:p>
        </w:tc>
        <w:tc>
          <w:tcPr>
            <w:tcW w:w="539" w:type="pct"/>
            <w:tcBorders>
              <w:top w:val="nil"/>
              <w:left w:val="nil"/>
              <w:bottom w:val="single" w:sz="4" w:space="0" w:color="auto"/>
              <w:right w:val="single" w:sz="4" w:space="0" w:color="auto"/>
            </w:tcBorders>
            <w:shd w:val="clear" w:color="auto" w:fill="auto"/>
            <w:noWrap/>
            <w:vAlign w:val="bottom"/>
          </w:tcPr>
          <w:p w14:paraId="72DF7EBF" w14:textId="514BAD32"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color w:val="000000"/>
                <w:sz w:val="18"/>
                <w:szCs w:val="18"/>
              </w:rPr>
              <w:t>0.34%</w:t>
            </w:r>
          </w:p>
        </w:tc>
        <w:tc>
          <w:tcPr>
            <w:tcW w:w="552" w:type="pct"/>
            <w:tcBorders>
              <w:top w:val="nil"/>
              <w:left w:val="nil"/>
              <w:bottom w:val="single" w:sz="4" w:space="0" w:color="auto"/>
              <w:right w:val="single" w:sz="4" w:space="0" w:color="auto"/>
            </w:tcBorders>
            <w:shd w:val="clear" w:color="auto" w:fill="auto"/>
            <w:noWrap/>
            <w:vAlign w:val="bottom"/>
          </w:tcPr>
          <w:p w14:paraId="030E6AFD" w14:textId="0E6CC4CA"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color w:val="000000"/>
                <w:sz w:val="18"/>
                <w:szCs w:val="18"/>
              </w:rPr>
              <w:t>0.32%</w:t>
            </w:r>
          </w:p>
        </w:tc>
        <w:tc>
          <w:tcPr>
            <w:tcW w:w="669" w:type="pct"/>
            <w:tcBorders>
              <w:top w:val="nil"/>
              <w:left w:val="nil"/>
              <w:bottom w:val="single" w:sz="4" w:space="0" w:color="auto"/>
              <w:right w:val="single" w:sz="4" w:space="0" w:color="auto"/>
            </w:tcBorders>
            <w:shd w:val="clear" w:color="auto" w:fill="auto"/>
            <w:noWrap/>
            <w:vAlign w:val="center"/>
          </w:tcPr>
          <w:p w14:paraId="5B2B1A4A" w14:textId="3B4AAAC3"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-0.01%</w:t>
            </w:r>
          </w:p>
        </w:tc>
      </w:tr>
      <w:tr w:rsidR="00866001" w:rsidRPr="003516DC" w14:paraId="45FC2DD2" w14:textId="77777777" w:rsidTr="006E60A3">
        <w:trPr>
          <w:trHeight w:val="300"/>
        </w:trPr>
        <w:tc>
          <w:tcPr>
            <w:tcW w:w="1622" w:type="pct"/>
            <w:tcBorders>
              <w:top w:val="nil"/>
              <w:left w:val="single" w:sz="4" w:space="0" w:color="auto"/>
              <w:bottom w:val="single" w:sz="4" w:space="0" w:color="auto"/>
              <w:right w:val="single" w:sz="4" w:space="0" w:color="auto"/>
            </w:tcBorders>
            <w:shd w:val="clear" w:color="auto" w:fill="auto"/>
            <w:noWrap/>
            <w:vAlign w:val="center"/>
          </w:tcPr>
          <w:p w14:paraId="50053F0B" w14:textId="77777777" w:rsidR="00866001" w:rsidRPr="00D9753D" w:rsidRDefault="00866001" w:rsidP="006E60A3">
            <w:pPr>
              <w:rPr>
                <w:rFonts w:ascii="Arial" w:hAnsi="Arial"/>
                <w:color w:val="000000"/>
                <w:sz w:val="18"/>
                <w:lang w:val="it-IT"/>
              </w:rPr>
            </w:pPr>
            <w:r w:rsidRPr="00D9753D">
              <w:rPr>
                <w:rFonts w:ascii="Arial" w:hAnsi="Arial"/>
                <w:color w:val="000000"/>
                <w:sz w:val="18"/>
                <w:lang w:val="it-IT"/>
              </w:rPr>
              <w:t>% of R&amp;DI in GDP Romania</w:t>
            </w:r>
          </w:p>
        </w:tc>
        <w:tc>
          <w:tcPr>
            <w:tcW w:w="539" w:type="pct"/>
            <w:tcBorders>
              <w:top w:val="nil"/>
              <w:left w:val="nil"/>
              <w:bottom w:val="single" w:sz="4" w:space="0" w:color="auto"/>
              <w:right w:val="single" w:sz="4" w:space="0" w:color="auto"/>
            </w:tcBorders>
            <w:shd w:val="clear" w:color="auto" w:fill="auto"/>
            <w:noWrap/>
            <w:vAlign w:val="center"/>
          </w:tcPr>
          <w:p w14:paraId="74505B0A"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0.38%</w:t>
            </w:r>
          </w:p>
        </w:tc>
        <w:tc>
          <w:tcPr>
            <w:tcW w:w="539" w:type="pct"/>
            <w:tcBorders>
              <w:top w:val="nil"/>
              <w:left w:val="nil"/>
              <w:bottom w:val="single" w:sz="4" w:space="0" w:color="auto"/>
              <w:right w:val="single" w:sz="4" w:space="0" w:color="auto"/>
            </w:tcBorders>
            <w:shd w:val="clear" w:color="auto" w:fill="auto"/>
            <w:noWrap/>
            <w:vAlign w:val="center"/>
          </w:tcPr>
          <w:p w14:paraId="49C18ADD"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0.49%</w:t>
            </w:r>
          </w:p>
        </w:tc>
        <w:tc>
          <w:tcPr>
            <w:tcW w:w="539" w:type="pct"/>
            <w:tcBorders>
              <w:top w:val="nil"/>
              <w:left w:val="nil"/>
              <w:bottom w:val="single" w:sz="4" w:space="0" w:color="auto"/>
              <w:right w:val="single" w:sz="4" w:space="0" w:color="auto"/>
            </w:tcBorders>
            <w:shd w:val="clear" w:color="auto" w:fill="auto"/>
            <w:noWrap/>
            <w:vAlign w:val="center"/>
          </w:tcPr>
          <w:p w14:paraId="20F9206C"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0.48%</w:t>
            </w:r>
          </w:p>
        </w:tc>
        <w:tc>
          <w:tcPr>
            <w:tcW w:w="539" w:type="pct"/>
            <w:tcBorders>
              <w:top w:val="nil"/>
              <w:left w:val="nil"/>
              <w:bottom w:val="single" w:sz="4" w:space="0" w:color="auto"/>
              <w:right w:val="single" w:sz="4" w:space="0" w:color="auto"/>
            </w:tcBorders>
            <w:shd w:val="clear" w:color="auto" w:fill="auto"/>
            <w:noWrap/>
            <w:vAlign w:val="center"/>
          </w:tcPr>
          <w:p w14:paraId="105D8470"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552" w:type="pct"/>
            <w:tcBorders>
              <w:top w:val="nil"/>
              <w:left w:val="nil"/>
              <w:bottom w:val="single" w:sz="4" w:space="0" w:color="auto"/>
              <w:right w:val="single" w:sz="4" w:space="0" w:color="auto"/>
            </w:tcBorders>
            <w:shd w:val="clear" w:color="auto" w:fill="auto"/>
            <w:noWrap/>
            <w:vAlign w:val="center"/>
          </w:tcPr>
          <w:p w14:paraId="6EAE6ED0"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669" w:type="pct"/>
            <w:tcBorders>
              <w:top w:val="nil"/>
              <w:left w:val="nil"/>
              <w:bottom w:val="single" w:sz="4" w:space="0" w:color="auto"/>
              <w:right w:val="single" w:sz="4" w:space="0" w:color="auto"/>
            </w:tcBorders>
            <w:shd w:val="clear" w:color="auto" w:fill="auto"/>
            <w:noWrap/>
            <w:vAlign w:val="center"/>
          </w:tcPr>
          <w:p w14:paraId="34DE0F42" w14:textId="77777777" w:rsidR="00866001" w:rsidRPr="003516DC" w:rsidRDefault="00866001" w:rsidP="006E60A3">
            <w:pPr>
              <w:jc w:val="center"/>
              <w:rPr>
                <w:rFonts w:ascii="Arial" w:eastAsia="Times New Roman" w:hAnsi="Arial" w:cs="Arial"/>
                <w:color w:val="000000"/>
                <w:sz w:val="18"/>
                <w:szCs w:val="18"/>
                <w:lang w:val="en-US"/>
              </w:rPr>
            </w:pPr>
            <w:r w:rsidRPr="003516DC">
              <w:rPr>
                <w:rFonts w:ascii="Arial" w:hAnsi="Arial" w:cs="Arial"/>
                <w:sz w:val="18"/>
                <w:szCs w:val="18"/>
              </w:rPr>
              <w:t>0.12%</w:t>
            </w:r>
          </w:p>
        </w:tc>
      </w:tr>
    </w:tbl>
    <w:p w14:paraId="30DB53D8" w14:textId="77777777" w:rsidR="00EE7155" w:rsidRPr="003516DC" w:rsidRDefault="00EE7155" w:rsidP="00EE7155">
      <w:pPr>
        <w:rPr>
          <w:rFonts w:ascii="Arial" w:hAnsi="Arial" w:cs="Arial"/>
          <w:i/>
          <w:sz w:val="16"/>
          <w:szCs w:val="16"/>
        </w:rPr>
      </w:pPr>
      <w:r w:rsidRPr="003516DC">
        <w:rPr>
          <w:rFonts w:ascii="Arial" w:hAnsi="Arial" w:cs="Arial"/>
          <w:i/>
          <w:sz w:val="16"/>
          <w:szCs w:val="16"/>
        </w:rPr>
        <w:t>Source: NIS, Tempo, CDO104B, CON103I</w:t>
      </w:r>
    </w:p>
    <w:p w14:paraId="5D023BEA" w14:textId="77777777" w:rsidR="00DF3D41" w:rsidRPr="003516DC" w:rsidRDefault="00DF3D41" w:rsidP="0092017A">
      <w:pPr>
        <w:jc w:val="both"/>
        <w:rPr>
          <w:rFonts w:ascii="Arial" w:hAnsi="Arial" w:cs="Arial"/>
          <w:sz w:val="20"/>
          <w:szCs w:val="20"/>
        </w:rPr>
      </w:pPr>
    </w:p>
    <w:p w14:paraId="6052EBC7" w14:textId="15F30D91" w:rsidR="0092017A" w:rsidRPr="003516DC" w:rsidRDefault="0092017A" w:rsidP="0092017A">
      <w:pPr>
        <w:jc w:val="both"/>
        <w:rPr>
          <w:rFonts w:ascii="Arial" w:hAnsi="Arial" w:cs="Arial"/>
          <w:sz w:val="20"/>
          <w:szCs w:val="20"/>
        </w:rPr>
      </w:pPr>
      <w:r w:rsidRPr="003516DC">
        <w:rPr>
          <w:rFonts w:ascii="Arial" w:hAnsi="Arial" w:cs="Arial"/>
          <w:sz w:val="20"/>
          <w:szCs w:val="20"/>
        </w:rPr>
        <w:t>Prahova has the strongest manufacturing sector of all JTP counties. A look at the technology intensiveness of its manufacturing sector shows that most of manufacturing turnover is generated by medium-low- and low-tech industries. However, high-tech and medium-tech grew faster over the past decade</w:t>
      </w:r>
      <w:r w:rsidR="00521E55" w:rsidRPr="003516DC">
        <w:rPr>
          <w:rFonts w:ascii="Arial" w:hAnsi="Arial" w:cs="Arial"/>
          <w:sz w:val="20"/>
          <w:szCs w:val="20"/>
        </w:rPr>
        <w:t>,</w:t>
      </w:r>
      <w:r w:rsidRPr="003516DC">
        <w:rPr>
          <w:rFonts w:ascii="Arial" w:hAnsi="Arial" w:cs="Arial"/>
          <w:sz w:val="20"/>
          <w:szCs w:val="20"/>
        </w:rPr>
        <w:t xml:space="preserve"> </w:t>
      </w:r>
      <w:r w:rsidR="00521E55" w:rsidRPr="003516DC">
        <w:rPr>
          <w:rFonts w:ascii="Arial" w:hAnsi="Arial" w:cs="Arial"/>
          <w:sz w:val="20"/>
          <w:szCs w:val="20"/>
        </w:rPr>
        <w:t xml:space="preserve">and </w:t>
      </w:r>
      <w:r w:rsidRPr="003516DC">
        <w:rPr>
          <w:rFonts w:ascii="Arial" w:hAnsi="Arial" w:cs="Arial"/>
          <w:sz w:val="20"/>
          <w:szCs w:val="20"/>
        </w:rPr>
        <w:t xml:space="preserve">the share of total manufacturing turnover increased from 21% to 31%. </w:t>
      </w:r>
      <w:r w:rsidR="00521E55" w:rsidRPr="003516DC">
        <w:rPr>
          <w:rFonts w:ascii="Arial" w:hAnsi="Arial" w:cs="Arial"/>
          <w:sz w:val="20"/>
          <w:szCs w:val="20"/>
        </w:rPr>
        <w:t>T</w:t>
      </w:r>
      <w:r w:rsidRPr="003516DC">
        <w:rPr>
          <w:rFonts w:ascii="Arial" w:hAnsi="Arial" w:cs="Arial"/>
          <w:sz w:val="20"/>
          <w:szCs w:val="20"/>
        </w:rPr>
        <w:t xml:space="preserve">he number of employees </w:t>
      </w:r>
      <w:r w:rsidR="00521E55" w:rsidRPr="003516DC">
        <w:rPr>
          <w:rFonts w:ascii="Arial" w:hAnsi="Arial" w:cs="Arial"/>
          <w:sz w:val="20"/>
          <w:szCs w:val="20"/>
        </w:rPr>
        <w:t xml:space="preserve">in </w:t>
      </w:r>
      <w:r w:rsidRPr="003516DC">
        <w:rPr>
          <w:rFonts w:ascii="Arial" w:hAnsi="Arial" w:cs="Arial"/>
          <w:sz w:val="20"/>
          <w:szCs w:val="20"/>
        </w:rPr>
        <w:t xml:space="preserve">high-tech and medium-tech companies headquartered in Prahova </w:t>
      </w:r>
      <w:r w:rsidR="00521E55" w:rsidRPr="003516DC">
        <w:rPr>
          <w:rFonts w:ascii="Arial" w:hAnsi="Arial" w:cs="Arial"/>
          <w:sz w:val="20"/>
          <w:szCs w:val="20"/>
        </w:rPr>
        <w:t xml:space="preserve">also </w:t>
      </w:r>
      <w:r w:rsidRPr="003516DC">
        <w:rPr>
          <w:rFonts w:ascii="Arial" w:hAnsi="Arial" w:cs="Arial"/>
          <w:sz w:val="20"/>
          <w:szCs w:val="20"/>
        </w:rPr>
        <w:t>grew from 30.7% to 38.1% as share of total manufacturing employees. This indicates that Prahova is on a positive trend to increase its technology intensiveness and competitiveness profile.</w:t>
      </w:r>
    </w:p>
    <w:p w14:paraId="7EB39200" w14:textId="7855360D" w:rsidR="0092017A" w:rsidRPr="003516DC" w:rsidRDefault="0092017A" w:rsidP="002114BC">
      <w:pPr>
        <w:pStyle w:val="Caption"/>
        <w:ind w:left="0" w:firstLine="0"/>
        <w:jc w:val="both"/>
      </w:pPr>
      <w:bookmarkStart w:id="253" w:name="_Toc90726009"/>
      <w:bookmarkStart w:id="254" w:name="_Toc90727306"/>
      <w:r w:rsidRPr="003516DC">
        <w:lastRenderedPageBreak/>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55</w:t>
      </w:r>
      <w:r w:rsidR="0040363E" w:rsidRPr="003516DC">
        <w:rPr>
          <w:noProof/>
        </w:rPr>
        <w:fldChar w:fldCharType="end"/>
      </w:r>
      <w:r w:rsidRPr="003516DC">
        <w:t xml:space="preserve">: Evolution of manufacturing industry by technology intensiveness in Prahova </w:t>
      </w:r>
      <w:r w:rsidR="00D9753D">
        <w:t>C</w:t>
      </w:r>
      <w:r w:rsidRPr="003516DC">
        <w:t>ounty</w:t>
      </w:r>
      <w:bookmarkEnd w:id="253"/>
      <w:bookmarkEnd w:id="2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92017A" w:rsidRPr="003516DC" w14:paraId="20A80679" w14:textId="77777777" w:rsidTr="00B25A26">
        <w:trPr>
          <w:trHeight w:val="315"/>
        </w:trPr>
        <w:tc>
          <w:tcPr>
            <w:tcW w:w="2214" w:type="pct"/>
            <w:vMerge w:val="restart"/>
            <w:shd w:val="clear" w:color="auto" w:fill="002060"/>
            <w:noWrap/>
            <w:vAlign w:val="center"/>
            <w:hideMark/>
          </w:tcPr>
          <w:p w14:paraId="59855C00" w14:textId="77777777" w:rsidR="0092017A" w:rsidRPr="003516DC" w:rsidRDefault="0092017A" w:rsidP="00C66559">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6C2760D0"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3DB9EC38"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92017A" w:rsidRPr="003516DC" w14:paraId="510DF32C" w14:textId="77777777" w:rsidTr="00B25A26">
        <w:trPr>
          <w:trHeight w:val="315"/>
        </w:trPr>
        <w:tc>
          <w:tcPr>
            <w:tcW w:w="2214" w:type="pct"/>
            <w:vMerge/>
            <w:shd w:val="clear" w:color="auto" w:fill="002060"/>
            <w:vAlign w:val="center"/>
            <w:hideMark/>
          </w:tcPr>
          <w:p w14:paraId="690D1989" w14:textId="77777777" w:rsidR="0092017A" w:rsidRPr="003516DC" w:rsidRDefault="0092017A" w:rsidP="00C66559">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369984D9" w14:textId="77777777" w:rsidR="0092017A" w:rsidRPr="003516DC" w:rsidRDefault="0092017A" w:rsidP="00C66559">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3A8A37C6" w14:textId="77777777" w:rsidR="0092017A" w:rsidRPr="003516DC" w:rsidRDefault="0092017A" w:rsidP="00C66559">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638A7095" w14:textId="77777777" w:rsidR="0092017A" w:rsidRPr="003516DC" w:rsidRDefault="0092017A" w:rsidP="00C66559">
            <w:pPr>
              <w:rPr>
                <w:rFonts w:ascii="Arial" w:eastAsia="Times New Roman" w:hAnsi="Arial" w:cs="Arial"/>
                <w:color w:val="000000"/>
                <w:sz w:val="18"/>
                <w:szCs w:val="18"/>
                <w:lang w:val="en-US"/>
              </w:rPr>
            </w:pPr>
          </w:p>
        </w:tc>
      </w:tr>
      <w:tr w:rsidR="0092017A" w:rsidRPr="003516DC" w14:paraId="75D08A45" w14:textId="77777777" w:rsidTr="00B25A26">
        <w:trPr>
          <w:trHeight w:val="315"/>
        </w:trPr>
        <w:tc>
          <w:tcPr>
            <w:tcW w:w="2214" w:type="pct"/>
            <w:shd w:val="clear" w:color="auto" w:fill="auto"/>
            <w:noWrap/>
            <w:vAlign w:val="center"/>
            <w:hideMark/>
          </w:tcPr>
          <w:p w14:paraId="1F36C02B" w14:textId="3FE6C34B" w:rsidR="0092017A" w:rsidRPr="003516DC" w:rsidRDefault="0092017A" w:rsidP="0092017A">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TOTAL </w:t>
            </w:r>
            <w:r w:rsidR="00FF34FD">
              <w:rPr>
                <w:rFonts w:ascii="Arial" w:eastAsia="Times New Roman" w:hAnsi="Arial" w:cs="Arial"/>
                <w:color w:val="000000"/>
                <w:sz w:val="18"/>
                <w:szCs w:val="18"/>
                <w:lang w:val="en-US"/>
              </w:rPr>
              <w:t>–</w:t>
            </w:r>
            <w:r w:rsidRPr="003516DC">
              <w:rPr>
                <w:rFonts w:ascii="Arial" w:eastAsia="Times New Roman" w:hAnsi="Arial" w:cs="Arial"/>
                <w:color w:val="000000"/>
                <w:sz w:val="18"/>
                <w:szCs w:val="18"/>
                <w:lang w:val="en-US"/>
              </w:rPr>
              <w:t xml:space="preserve"> Manufacturing</w:t>
            </w:r>
          </w:p>
        </w:tc>
        <w:tc>
          <w:tcPr>
            <w:tcW w:w="858" w:type="pct"/>
            <w:shd w:val="clear" w:color="auto" w:fill="auto"/>
            <w:noWrap/>
            <w:vAlign w:val="center"/>
          </w:tcPr>
          <w:p w14:paraId="1276FBA7" w14:textId="01AF7480"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 xml:space="preserve">12,509,873,763 </w:t>
            </w:r>
          </w:p>
        </w:tc>
        <w:tc>
          <w:tcPr>
            <w:tcW w:w="968" w:type="pct"/>
            <w:shd w:val="clear" w:color="auto" w:fill="auto"/>
            <w:noWrap/>
            <w:vAlign w:val="center"/>
          </w:tcPr>
          <w:p w14:paraId="79A0FAD3" w14:textId="196AAFCC"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21,442,208,301</w:t>
            </w:r>
          </w:p>
        </w:tc>
        <w:tc>
          <w:tcPr>
            <w:tcW w:w="960" w:type="pct"/>
            <w:shd w:val="clear" w:color="auto" w:fill="auto"/>
            <w:noWrap/>
            <w:vAlign w:val="center"/>
          </w:tcPr>
          <w:p w14:paraId="2FC36398" w14:textId="321DA0FD"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71%</w:t>
            </w:r>
          </w:p>
        </w:tc>
      </w:tr>
      <w:tr w:rsidR="0092017A" w:rsidRPr="003516DC" w14:paraId="456E4883" w14:textId="77777777" w:rsidTr="00B25A26">
        <w:trPr>
          <w:trHeight w:val="315"/>
        </w:trPr>
        <w:tc>
          <w:tcPr>
            <w:tcW w:w="2214" w:type="pct"/>
            <w:shd w:val="clear" w:color="auto" w:fill="auto"/>
            <w:noWrap/>
            <w:vAlign w:val="center"/>
            <w:hideMark/>
          </w:tcPr>
          <w:p w14:paraId="5C5560EA" w14:textId="77777777" w:rsidR="0092017A" w:rsidRPr="003516DC" w:rsidRDefault="0092017A" w:rsidP="0092017A">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tcPr>
          <w:p w14:paraId="5273E7EB" w14:textId="1C9BDDAF"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 xml:space="preserve">178,008,960 </w:t>
            </w:r>
          </w:p>
        </w:tc>
        <w:tc>
          <w:tcPr>
            <w:tcW w:w="968" w:type="pct"/>
            <w:shd w:val="clear" w:color="auto" w:fill="auto"/>
            <w:noWrap/>
            <w:vAlign w:val="center"/>
          </w:tcPr>
          <w:p w14:paraId="43950653" w14:textId="2EBBB66D" w:rsidR="0092017A" w:rsidRPr="003516DC" w:rsidRDefault="0092017A" w:rsidP="0092017A">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352,585,342 </w:t>
            </w:r>
          </w:p>
        </w:tc>
        <w:tc>
          <w:tcPr>
            <w:tcW w:w="960" w:type="pct"/>
            <w:shd w:val="clear" w:color="auto" w:fill="auto"/>
            <w:noWrap/>
            <w:vAlign w:val="center"/>
          </w:tcPr>
          <w:p w14:paraId="472083D4" w14:textId="575DF6CB"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98%</w:t>
            </w:r>
          </w:p>
        </w:tc>
      </w:tr>
      <w:tr w:rsidR="0092017A" w:rsidRPr="003516DC" w14:paraId="35449853" w14:textId="77777777" w:rsidTr="00B25A26">
        <w:trPr>
          <w:trHeight w:val="315"/>
        </w:trPr>
        <w:tc>
          <w:tcPr>
            <w:tcW w:w="2214" w:type="pct"/>
            <w:shd w:val="clear" w:color="auto" w:fill="auto"/>
            <w:noWrap/>
            <w:vAlign w:val="center"/>
            <w:hideMark/>
          </w:tcPr>
          <w:p w14:paraId="32E0A408" w14:textId="77777777" w:rsidR="0092017A" w:rsidRPr="003516DC" w:rsidRDefault="0092017A" w:rsidP="0092017A">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Medium-High technology intensive</w:t>
            </w:r>
          </w:p>
        </w:tc>
        <w:tc>
          <w:tcPr>
            <w:tcW w:w="858" w:type="pct"/>
            <w:shd w:val="clear" w:color="auto" w:fill="auto"/>
            <w:noWrap/>
            <w:vAlign w:val="center"/>
          </w:tcPr>
          <w:p w14:paraId="6F018398" w14:textId="69EA673A"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 xml:space="preserve">2,467,314,407 </w:t>
            </w:r>
          </w:p>
        </w:tc>
        <w:tc>
          <w:tcPr>
            <w:tcW w:w="968" w:type="pct"/>
            <w:shd w:val="clear" w:color="auto" w:fill="auto"/>
            <w:noWrap/>
            <w:vAlign w:val="center"/>
          </w:tcPr>
          <w:p w14:paraId="2822635E" w14:textId="39184954" w:rsidR="0092017A" w:rsidRPr="003516DC" w:rsidRDefault="0092017A" w:rsidP="0092017A">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6,374,448,860 </w:t>
            </w:r>
          </w:p>
        </w:tc>
        <w:tc>
          <w:tcPr>
            <w:tcW w:w="960" w:type="pct"/>
            <w:shd w:val="clear" w:color="auto" w:fill="auto"/>
            <w:noWrap/>
            <w:vAlign w:val="center"/>
          </w:tcPr>
          <w:p w14:paraId="4A4ADE72" w14:textId="71CF02A9"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158%</w:t>
            </w:r>
          </w:p>
        </w:tc>
      </w:tr>
      <w:tr w:rsidR="0092017A" w:rsidRPr="003516DC" w14:paraId="17049559" w14:textId="77777777" w:rsidTr="00B25A26">
        <w:trPr>
          <w:trHeight w:val="315"/>
        </w:trPr>
        <w:tc>
          <w:tcPr>
            <w:tcW w:w="2214" w:type="pct"/>
            <w:shd w:val="clear" w:color="auto" w:fill="auto"/>
            <w:noWrap/>
            <w:vAlign w:val="center"/>
            <w:hideMark/>
          </w:tcPr>
          <w:p w14:paraId="23948AFC" w14:textId="77777777" w:rsidR="0092017A" w:rsidRPr="003516DC" w:rsidRDefault="0092017A" w:rsidP="0092017A">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Medium-Low technology intensive</w:t>
            </w:r>
          </w:p>
        </w:tc>
        <w:tc>
          <w:tcPr>
            <w:tcW w:w="858" w:type="pct"/>
            <w:shd w:val="clear" w:color="auto" w:fill="auto"/>
            <w:noWrap/>
            <w:vAlign w:val="center"/>
          </w:tcPr>
          <w:p w14:paraId="14A4AF6E" w14:textId="54DD89EB"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 xml:space="preserve">6,975,327,792 </w:t>
            </w:r>
          </w:p>
        </w:tc>
        <w:tc>
          <w:tcPr>
            <w:tcW w:w="968" w:type="pct"/>
            <w:shd w:val="clear" w:color="auto" w:fill="auto"/>
            <w:noWrap/>
            <w:vAlign w:val="center"/>
          </w:tcPr>
          <w:p w14:paraId="0CEAC630" w14:textId="03E1D5E8" w:rsidR="0092017A" w:rsidRPr="003516DC" w:rsidRDefault="0092017A" w:rsidP="0092017A">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9,568,840,652 </w:t>
            </w:r>
          </w:p>
        </w:tc>
        <w:tc>
          <w:tcPr>
            <w:tcW w:w="960" w:type="pct"/>
            <w:shd w:val="clear" w:color="auto" w:fill="auto"/>
            <w:noWrap/>
            <w:vAlign w:val="center"/>
          </w:tcPr>
          <w:p w14:paraId="25C1CDE5" w14:textId="395E33BE"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37%</w:t>
            </w:r>
          </w:p>
        </w:tc>
      </w:tr>
      <w:tr w:rsidR="0092017A" w:rsidRPr="003516DC" w14:paraId="2C4276D3" w14:textId="77777777" w:rsidTr="00B25A26">
        <w:trPr>
          <w:trHeight w:val="315"/>
        </w:trPr>
        <w:tc>
          <w:tcPr>
            <w:tcW w:w="2214" w:type="pct"/>
            <w:shd w:val="clear" w:color="auto" w:fill="auto"/>
            <w:noWrap/>
            <w:vAlign w:val="center"/>
            <w:hideMark/>
          </w:tcPr>
          <w:p w14:paraId="25E231EE" w14:textId="77777777" w:rsidR="0092017A" w:rsidRPr="003516DC" w:rsidRDefault="0092017A" w:rsidP="0092017A">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tcPr>
          <w:p w14:paraId="71A22C95" w14:textId="3F026492"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 xml:space="preserve">2,889,222,604 </w:t>
            </w:r>
          </w:p>
        </w:tc>
        <w:tc>
          <w:tcPr>
            <w:tcW w:w="968" w:type="pct"/>
            <w:shd w:val="clear" w:color="auto" w:fill="auto"/>
            <w:noWrap/>
            <w:vAlign w:val="center"/>
          </w:tcPr>
          <w:p w14:paraId="75954803" w14:textId="7533F565" w:rsidR="0092017A" w:rsidRPr="003516DC" w:rsidRDefault="0092017A" w:rsidP="0092017A">
            <w:pPr>
              <w:ind w:firstLineChars="100" w:firstLine="180"/>
              <w:jc w:val="right"/>
              <w:rPr>
                <w:rFonts w:ascii="Arial" w:eastAsia="Times New Roman" w:hAnsi="Arial" w:cs="Arial"/>
                <w:bCs/>
                <w:color w:val="000000"/>
                <w:sz w:val="18"/>
                <w:szCs w:val="18"/>
                <w:lang w:val="en-US"/>
              </w:rPr>
            </w:pPr>
            <w:r w:rsidRPr="003516DC">
              <w:rPr>
                <w:rFonts w:ascii="Arial" w:hAnsi="Arial" w:cs="Arial"/>
                <w:sz w:val="18"/>
                <w:szCs w:val="18"/>
              </w:rPr>
              <w:t xml:space="preserve">5,146,333,447 </w:t>
            </w:r>
          </w:p>
        </w:tc>
        <w:tc>
          <w:tcPr>
            <w:tcW w:w="960" w:type="pct"/>
            <w:shd w:val="clear" w:color="auto" w:fill="auto"/>
            <w:noWrap/>
            <w:vAlign w:val="center"/>
          </w:tcPr>
          <w:p w14:paraId="7AF88CE7" w14:textId="49D00B99" w:rsidR="0092017A" w:rsidRPr="003516DC" w:rsidRDefault="0092017A" w:rsidP="0092017A">
            <w:pPr>
              <w:jc w:val="right"/>
              <w:rPr>
                <w:rFonts w:ascii="Arial" w:eastAsia="Times New Roman" w:hAnsi="Arial" w:cs="Arial"/>
                <w:bCs/>
                <w:color w:val="000000"/>
                <w:sz w:val="18"/>
                <w:szCs w:val="18"/>
                <w:lang w:val="en-US"/>
              </w:rPr>
            </w:pPr>
            <w:r w:rsidRPr="003516DC">
              <w:rPr>
                <w:rFonts w:ascii="Arial" w:hAnsi="Arial" w:cs="Arial"/>
                <w:sz w:val="18"/>
                <w:szCs w:val="18"/>
              </w:rPr>
              <w:t>78%</w:t>
            </w:r>
          </w:p>
        </w:tc>
      </w:tr>
    </w:tbl>
    <w:p w14:paraId="7F0E8BFA" w14:textId="7D01C8F5" w:rsidR="0092017A" w:rsidRPr="003516DC" w:rsidRDefault="0092017A" w:rsidP="00931AF2">
      <w:pPr>
        <w:spacing w:after="120"/>
        <w:rPr>
          <w:rFonts w:ascii="Arial" w:hAnsi="Arial" w:cs="Arial"/>
          <w:i/>
          <w:color w:val="1155CC"/>
          <w:sz w:val="16"/>
          <w:szCs w:val="16"/>
          <w:u w:val="single"/>
        </w:rPr>
      </w:pPr>
      <w:r w:rsidRPr="003516DC">
        <w:rPr>
          <w:rFonts w:ascii="Arial" w:hAnsi="Arial" w:cs="Arial"/>
          <w:i/>
          <w:sz w:val="16"/>
          <w:szCs w:val="16"/>
        </w:rPr>
        <w:t xml:space="preserve">Source: processing of </w:t>
      </w:r>
      <w:r w:rsidR="006536F5" w:rsidRPr="003516DC">
        <w:rPr>
          <w:rFonts w:ascii="Arial" w:hAnsi="Arial" w:cs="Arial"/>
          <w:i/>
          <w:sz w:val="16"/>
          <w:szCs w:val="16"/>
        </w:rPr>
        <w:t xml:space="preserve">National Trade Register Office </w:t>
      </w:r>
      <w:r w:rsidRPr="003516DC">
        <w:rPr>
          <w:rFonts w:ascii="Arial" w:hAnsi="Arial" w:cs="Arial"/>
          <w:i/>
          <w:sz w:val="16"/>
          <w:szCs w:val="16"/>
        </w:rPr>
        <w:t>data, based on EC high tech classification of NACE codes</w:t>
      </w:r>
      <w:hyperlink r:id="rId160">
        <w:r w:rsidRPr="003516DC">
          <w:rPr>
            <w:rFonts w:ascii="Arial" w:hAnsi="Arial" w:cs="Arial"/>
            <w:i/>
            <w:sz w:val="16"/>
            <w:szCs w:val="16"/>
          </w:rPr>
          <w:t xml:space="preserve"> </w:t>
        </w:r>
      </w:hyperlink>
      <w:hyperlink r:id="rId161" w:history="1">
        <w:r w:rsidR="00931AF2" w:rsidRPr="008940F3">
          <w:rPr>
            <w:rStyle w:val="Hyperlink"/>
            <w:rFonts w:ascii="Arial" w:hAnsi="Arial" w:cs="Arial"/>
            <w:i/>
            <w:sz w:val="16"/>
            <w:szCs w:val="16"/>
          </w:rPr>
          <w:t>https://ec.europa.eu/eurostat/statistics-explained/index.php/Glossary:High-tech</w:t>
        </w:r>
      </w:hyperlink>
    </w:p>
    <w:p w14:paraId="5DC46167" w14:textId="3583B0DF" w:rsidR="0092017A" w:rsidRPr="003516DC" w:rsidRDefault="0092017A" w:rsidP="00931AF2">
      <w:pPr>
        <w:spacing w:after="120"/>
        <w:jc w:val="both"/>
        <w:rPr>
          <w:rFonts w:ascii="Arial" w:hAnsi="Arial" w:cs="Arial"/>
          <w:sz w:val="20"/>
          <w:szCs w:val="20"/>
        </w:rPr>
      </w:pPr>
      <w:r w:rsidRPr="003516DC">
        <w:rPr>
          <w:rFonts w:ascii="Arial" w:hAnsi="Arial" w:cs="Arial"/>
          <w:sz w:val="20"/>
          <w:szCs w:val="20"/>
        </w:rPr>
        <w:t xml:space="preserve">However, the trends in knowledge intensiveness of its services sector are less encouraging. Prahova is the only one of the JTP counties where companies in the </w:t>
      </w:r>
      <w:r w:rsidRPr="003516DC">
        <w:rPr>
          <w:rFonts w:ascii="Arial" w:hAnsi="Arial" w:cs="Arial"/>
          <w:b/>
          <w:sz w:val="20"/>
          <w:szCs w:val="20"/>
        </w:rPr>
        <w:t>R&amp;D and ITC sector</w:t>
      </w:r>
      <w:r w:rsidRPr="003516DC">
        <w:rPr>
          <w:rFonts w:ascii="Arial" w:hAnsi="Arial" w:cs="Arial"/>
          <w:sz w:val="20"/>
          <w:szCs w:val="20"/>
        </w:rPr>
        <w:t xml:space="preserve"> decreased both in turnover and number of employees </w:t>
      </w:r>
      <w:r w:rsidR="00521E55" w:rsidRPr="003516DC">
        <w:rPr>
          <w:rFonts w:ascii="Arial" w:hAnsi="Arial" w:cs="Arial"/>
          <w:sz w:val="20"/>
          <w:szCs w:val="20"/>
        </w:rPr>
        <w:t xml:space="preserve">from </w:t>
      </w:r>
      <w:r w:rsidRPr="003516DC">
        <w:rPr>
          <w:rFonts w:ascii="Arial" w:hAnsi="Arial" w:cs="Arial"/>
          <w:sz w:val="20"/>
          <w:szCs w:val="20"/>
        </w:rPr>
        <w:t>2010</w:t>
      </w:r>
      <w:r w:rsidR="00521E55" w:rsidRPr="003516DC">
        <w:rPr>
          <w:rFonts w:ascii="Arial" w:hAnsi="Arial" w:cs="Arial"/>
          <w:sz w:val="20"/>
          <w:szCs w:val="20"/>
        </w:rPr>
        <w:t xml:space="preserve"> to </w:t>
      </w:r>
      <w:r w:rsidRPr="003516DC">
        <w:rPr>
          <w:rFonts w:ascii="Arial" w:hAnsi="Arial" w:cs="Arial"/>
          <w:sz w:val="20"/>
          <w:szCs w:val="20"/>
        </w:rPr>
        <w:t>2019. Overall, the share of turnover and employees generated by companies active in knowledge intensive services in Prahova decreased as a share of total services, despite a (modest) growth in absolute numbers.</w:t>
      </w:r>
    </w:p>
    <w:p w14:paraId="22D20EB3" w14:textId="41469660" w:rsidR="0092017A" w:rsidRPr="003516DC" w:rsidRDefault="0092017A" w:rsidP="0092017A">
      <w:pPr>
        <w:jc w:val="both"/>
        <w:rPr>
          <w:rFonts w:ascii="Arial" w:hAnsi="Arial" w:cs="Arial"/>
          <w:sz w:val="20"/>
          <w:szCs w:val="20"/>
        </w:rPr>
      </w:pPr>
      <w:r w:rsidRPr="003516DC">
        <w:rPr>
          <w:rFonts w:ascii="Arial" w:hAnsi="Arial" w:cs="Arial"/>
          <w:sz w:val="20"/>
          <w:szCs w:val="20"/>
        </w:rPr>
        <w:t>This showcases that Prahova has consolidated, over the past decade, its manufacturing intensive profile, while failing however, to develop a service sector better rooted in the knowledge economy. Services did grow – as mentioned above – at a significant pace, but mainly on less knowledge intensive activities such as logistics or HORECA, mentioned in the section above.</w:t>
      </w:r>
    </w:p>
    <w:p w14:paraId="37012BBD" w14:textId="007154D2" w:rsidR="0092017A" w:rsidRPr="003516DC" w:rsidRDefault="0092017A" w:rsidP="0092017A">
      <w:pPr>
        <w:pStyle w:val="Caption"/>
        <w:rPr>
          <w:highlight w:val="yellow"/>
        </w:rPr>
      </w:pPr>
      <w:bookmarkStart w:id="255" w:name="_Toc90726010"/>
      <w:bookmarkStart w:id="256" w:name="_Toc90727307"/>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56</w:t>
      </w:r>
      <w:r w:rsidR="0040363E" w:rsidRPr="003516DC">
        <w:rPr>
          <w:noProof/>
        </w:rPr>
        <w:fldChar w:fldCharType="end"/>
      </w:r>
      <w:r w:rsidRPr="003516DC">
        <w:t xml:space="preserve">: Evolution of the services sector by knowledge intensiveness in Prahova </w:t>
      </w:r>
      <w:r w:rsidR="00D9753D">
        <w:t>C</w:t>
      </w:r>
      <w:r w:rsidRPr="003516DC">
        <w:t>ounty</w:t>
      </w:r>
      <w:bookmarkEnd w:id="255"/>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5"/>
        <w:gridCol w:w="1911"/>
        <w:gridCol w:w="1679"/>
        <w:gridCol w:w="1784"/>
      </w:tblGrid>
      <w:tr w:rsidR="0092017A" w:rsidRPr="003516DC" w14:paraId="17B27903" w14:textId="77777777" w:rsidTr="00B25A26">
        <w:trPr>
          <w:trHeight w:val="300"/>
        </w:trPr>
        <w:tc>
          <w:tcPr>
            <w:tcW w:w="1991" w:type="pct"/>
            <w:vMerge w:val="restart"/>
            <w:shd w:val="clear" w:color="auto" w:fill="002060"/>
            <w:vAlign w:val="center"/>
            <w:hideMark/>
          </w:tcPr>
          <w:p w14:paraId="3928DD00" w14:textId="77777777" w:rsidR="0092017A" w:rsidRPr="003516DC" w:rsidRDefault="0092017A" w:rsidP="00C66559">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010" w:type="pct"/>
            <w:gridSpan w:val="2"/>
            <w:vMerge w:val="restart"/>
            <w:shd w:val="clear" w:color="auto" w:fill="002060"/>
            <w:vAlign w:val="center"/>
            <w:hideMark/>
          </w:tcPr>
          <w:p w14:paraId="6FB30E28"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99" w:type="pct"/>
            <w:shd w:val="clear" w:color="auto" w:fill="002060"/>
            <w:noWrap/>
            <w:vAlign w:val="center"/>
            <w:hideMark/>
          </w:tcPr>
          <w:p w14:paraId="43330779"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92017A" w:rsidRPr="003516DC" w14:paraId="49C87914" w14:textId="77777777" w:rsidTr="00B25A26">
        <w:trPr>
          <w:trHeight w:val="317"/>
        </w:trPr>
        <w:tc>
          <w:tcPr>
            <w:tcW w:w="1991" w:type="pct"/>
            <w:vMerge/>
            <w:shd w:val="clear" w:color="auto" w:fill="002060"/>
            <w:vAlign w:val="center"/>
            <w:hideMark/>
          </w:tcPr>
          <w:p w14:paraId="34D92994" w14:textId="77777777" w:rsidR="0092017A" w:rsidRPr="003516DC" w:rsidRDefault="0092017A" w:rsidP="00C66559">
            <w:pPr>
              <w:rPr>
                <w:rFonts w:ascii="Arial" w:eastAsia="Times New Roman" w:hAnsi="Arial" w:cs="Arial"/>
                <w:b/>
                <w:bCs/>
                <w:color w:val="FFFFFF" w:themeColor="background1"/>
                <w:sz w:val="18"/>
                <w:szCs w:val="18"/>
                <w:lang w:val="en-US"/>
              </w:rPr>
            </w:pPr>
          </w:p>
        </w:tc>
        <w:tc>
          <w:tcPr>
            <w:tcW w:w="2010" w:type="pct"/>
            <w:gridSpan w:val="2"/>
            <w:vMerge/>
            <w:shd w:val="clear" w:color="auto" w:fill="002060"/>
            <w:vAlign w:val="center"/>
            <w:hideMark/>
          </w:tcPr>
          <w:p w14:paraId="0A1CE32B" w14:textId="77777777" w:rsidR="0092017A" w:rsidRPr="003516DC" w:rsidRDefault="0092017A" w:rsidP="00C66559">
            <w:pPr>
              <w:rPr>
                <w:rFonts w:ascii="Arial" w:eastAsia="Times New Roman" w:hAnsi="Arial" w:cs="Arial"/>
                <w:b/>
                <w:bCs/>
                <w:color w:val="FFFFFF" w:themeColor="background1"/>
                <w:sz w:val="18"/>
                <w:szCs w:val="18"/>
                <w:lang w:val="en-US"/>
              </w:rPr>
            </w:pPr>
          </w:p>
        </w:tc>
        <w:tc>
          <w:tcPr>
            <w:tcW w:w="999" w:type="pct"/>
            <w:vMerge w:val="restart"/>
            <w:shd w:val="clear" w:color="auto" w:fill="002060"/>
            <w:noWrap/>
            <w:vAlign w:val="center"/>
            <w:hideMark/>
          </w:tcPr>
          <w:p w14:paraId="11439847"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6935A359" w14:textId="77777777" w:rsidR="0092017A" w:rsidRPr="003516DC" w:rsidRDefault="0092017A" w:rsidP="00C66559">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92017A" w:rsidRPr="003516DC" w14:paraId="3B08565F" w14:textId="77777777" w:rsidTr="00B25A26">
        <w:trPr>
          <w:trHeight w:val="385"/>
        </w:trPr>
        <w:tc>
          <w:tcPr>
            <w:tcW w:w="1991" w:type="pct"/>
            <w:vMerge/>
            <w:vAlign w:val="center"/>
            <w:hideMark/>
          </w:tcPr>
          <w:p w14:paraId="2AD9D5C0" w14:textId="77777777" w:rsidR="0092017A" w:rsidRPr="003516DC" w:rsidRDefault="0092017A" w:rsidP="00C66559">
            <w:pPr>
              <w:rPr>
                <w:rFonts w:ascii="Arial" w:eastAsia="Times New Roman" w:hAnsi="Arial" w:cs="Arial"/>
                <w:b/>
                <w:bCs/>
                <w:color w:val="000000"/>
                <w:sz w:val="18"/>
                <w:szCs w:val="18"/>
                <w:lang w:val="en-US"/>
              </w:rPr>
            </w:pPr>
          </w:p>
        </w:tc>
        <w:tc>
          <w:tcPr>
            <w:tcW w:w="1070" w:type="pct"/>
            <w:shd w:val="clear" w:color="auto" w:fill="D9D9D9" w:themeFill="background1" w:themeFillShade="D9"/>
            <w:noWrap/>
            <w:vAlign w:val="center"/>
            <w:hideMark/>
          </w:tcPr>
          <w:p w14:paraId="01E9E64B" w14:textId="77777777" w:rsidR="0092017A" w:rsidRPr="003516DC" w:rsidRDefault="0092017A" w:rsidP="00C66559">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940" w:type="pct"/>
            <w:shd w:val="clear" w:color="auto" w:fill="D9D9D9" w:themeFill="background1" w:themeFillShade="D9"/>
            <w:vAlign w:val="center"/>
            <w:hideMark/>
          </w:tcPr>
          <w:p w14:paraId="05347FED" w14:textId="77777777" w:rsidR="0092017A" w:rsidRPr="003516DC" w:rsidRDefault="0092017A" w:rsidP="00C66559">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999" w:type="pct"/>
            <w:vMerge/>
            <w:shd w:val="clear" w:color="000000" w:fill="FDE9D9"/>
            <w:noWrap/>
            <w:vAlign w:val="center"/>
            <w:hideMark/>
          </w:tcPr>
          <w:p w14:paraId="4A1C4ED0" w14:textId="77777777" w:rsidR="0092017A" w:rsidRPr="003516DC" w:rsidRDefault="0092017A" w:rsidP="00C66559">
            <w:pPr>
              <w:jc w:val="center"/>
              <w:rPr>
                <w:rFonts w:ascii="Arial" w:eastAsia="Times New Roman" w:hAnsi="Arial" w:cs="Arial"/>
                <w:b/>
                <w:bCs/>
                <w:color w:val="000000"/>
                <w:sz w:val="18"/>
                <w:szCs w:val="18"/>
                <w:lang w:val="en-US"/>
              </w:rPr>
            </w:pPr>
          </w:p>
        </w:tc>
      </w:tr>
      <w:tr w:rsidR="0092017A" w:rsidRPr="003516DC" w14:paraId="233269F2" w14:textId="77777777" w:rsidTr="00B25A26">
        <w:trPr>
          <w:trHeight w:val="315"/>
        </w:trPr>
        <w:tc>
          <w:tcPr>
            <w:tcW w:w="1991" w:type="pct"/>
            <w:shd w:val="clear" w:color="auto" w:fill="auto"/>
            <w:noWrap/>
            <w:vAlign w:val="center"/>
            <w:hideMark/>
          </w:tcPr>
          <w:p w14:paraId="497369D9" w14:textId="77777777" w:rsidR="0092017A" w:rsidRPr="003516DC" w:rsidRDefault="0092017A" w:rsidP="0092017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070" w:type="pct"/>
            <w:shd w:val="clear" w:color="auto" w:fill="auto"/>
            <w:noWrap/>
            <w:vAlign w:val="center"/>
            <w:hideMark/>
          </w:tcPr>
          <w:p w14:paraId="6BB07655" w14:textId="3C42BAAF" w:rsidR="0092017A" w:rsidRPr="003516DC" w:rsidRDefault="0092017A" w:rsidP="0092017A">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2,209,496,682 </w:t>
            </w:r>
          </w:p>
        </w:tc>
        <w:tc>
          <w:tcPr>
            <w:tcW w:w="940" w:type="pct"/>
            <w:shd w:val="clear" w:color="auto" w:fill="auto"/>
            <w:noWrap/>
            <w:vAlign w:val="center"/>
            <w:hideMark/>
          </w:tcPr>
          <w:p w14:paraId="6BB8862D" w14:textId="1EC845D4" w:rsidR="0092017A" w:rsidRPr="003516DC" w:rsidRDefault="0092017A" w:rsidP="0092017A">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2,602,129,057 </w:t>
            </w:r>
          </w:p>
        </w:tc>
        <w:tc>
          <w:tcPr>
            <w:tcW w:w="999" w:type="pct"/>
            <w:shd w:val="clear" w:color="auto" w:fill="auto"/>
            <w:noWrap/>
            <w:vAlign w:val="center"/>
            <w:hideMark/>
          </w:tcPr>
          <w:p w14:paraId="21004A63" w14:textId="184BB5A9" w:rsidR="0092017A" w:rsidRPr="003516DC" w:rsidRDefault="0092017A" w:rsidP="0092017A">
            <w:pPr>
              <w:jc w:val="center"/>
              <w:rPr>
                <w:rFonts w:ascii="Arial" w:eastAsia="Times New Roman" w:hAnsi="Arial" w:cs="Arial"/>
                <w:b/>
                <w:bCs/>
                <w:color w:val="000000"/>
                <w:sz w:val="18"/>
                <w:szCs w:val="18"/>
                <w:lang w:val="en-US"/>
              </w:rPr>
            </w:pPr>
            <w:r w:rsidRPr="003516DC">
              <w:rPr>
                <w:rFonts w:ascii="Arial" w:eastAsia="Arial Narrow" w:hAnsi="Arial" w:cs="Arial"/>
                <w:b/>
                <w:sz w:val="18"/>
                <w:szCs w:val="18"/>
              </w:rPr>
              <w:t>18%</w:t>
            </w:r>
          </w:p>
        </w:tc>
      </w:tr>
      <w:tr w:rsidR="0092017A" w:rsidRPr="003516DC" w14:paraId="09C12E7F" w14:textId="77777777" w:rsidTr="00B25A26">
        <w:trPr>
          <w:trHeight w:val="315"/>
        </w:trPr>
        <w:tc>
          <w:tcPr>
            <w:tcW w:w="1991" w:type="pct"/>
            <w:shd w:val="clear" w:color="auto" w:fill="auto"/>
            <w:vAlign w:val="center"/>
            <w:hideMark/>
          </w:tcPr>
          <w:p w14:paraId="6017224F"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High-tech knowledge-intensive services:</w:t>
            </w:r>
          </w:p>
        </w:tc>
        <w:tc>
          <w:tcPr>
            <w:tcW w:w="1070" w:type="pct"/>
            <w:shd w:val="clear" w:color="auto" w:fill="auto"/>
            <w:noWrap/>
            <w:vAlign w:val="center"/>
            <w:hideMark/>
          </w:tcPr>
          <w:p w14:paraId="728C0FC8" w14:textId="207BA19C"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519,733,391 </w:t>
            </w:r>
          </w:p>
        </w:tc>
        <w:tc>
          <w:tcPr>
            <w:tcW w:w="940" w:type="pct"/>
            <w:shd w:val="clear" w:color="auto" w:fill="auto"/>
            <w:noWrap/>
            <w:vAlign w:val="center"/>
            <w:hideMark/>
          </w:tcPr>
          <w:p w14:paraId="024658C2" w14:textId="37BB147D"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339,362,503 </w:t>
            </w:r>
          </w:p>
        </w:tc>
        <w:tc>
          <w:tcPr>
            <w:tcW w:w="999" w:type="pct"/>
            <w:shd w:val="clear" w:color="auto" w:fill="auto"/>
            <w:noWrap/>
            <w:vAlign w:val="center"/>
            <w:hideMark/>
          </w:tcPr>
          <w:p w14:paraId="5FC7A992" w14:textId="6D690B0E"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-35%</w:t>
            </w:r>
          </w:p>
        </w:tc>
      </w:tr>
      <w:tr w:rsidR="0092017A" w:rsidRPr="003516DC" w14:paraId="1D44F16C" w14:textId="77777777" w:rsidTr="00B25A26">
        <w:trPr>
          <w:trHeight w:val="315"/>
        </w:trPr>
        <w:tc>
          <w:tcPr>
            <w:tcW w:w="1991" w:type="pct"/>
            <w:shd w:val="clear" w:color="auto" w:fill="auto"/>
            <w:vAlign w:val="center"/>
            <w:hideMark/>
          </w:tcPr>
          <w:p w14:paraId="53216A32"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070" w:type="pct"/>
            <w:shd w:val="clear" w:color="auto" w:fill="auto"/>
            <w:noWrap/>
            <w:vAlign w:val="center"/>
            <w:hideMark/>
          </w:tcPr>
          <w:p w14:paraId="43F3D283" w14:textId="53E32315"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18,143,636 </w:t>
            </w:r>
          </w:p>
        </w:tc>
        <w:tc>
          <w:tcPr>
            <w:tcW w:w="940" w:type="pct"/>
            <w:shd w:val="clear" w:color="auto" w:fill="auto"/>
            <w:noWrap/>
            <w:vAlign w:val="center"/>
            <w:hideMark/>
          </w:tcPr>
          <w:p w14:paraId="7BDFB6F7" w14:textId="7ED2BEC6"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7,822,130 </w:t>
            </w:r>
          </w:p>
        </w:tc>
        <w:tc>
          <w:tcPr>
            <w:tcW w:w="999" w:type="pct"/>
            <w:shd w:val="clear" w:color="auto" w:fill="auto"/>
            <w:noWrap/>
            <w:vAlign w:val="center"/>
            <w:hideMark/>
          </w:tcPr>
          <w:p w14:paraId="507B1798" w14:textId="3B0B51C5"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-57%</w:t>
            </w:r>
          </w:p>
        </w:tc>
      </w:tr>
      <w:tr w:rsidR="0092017A" w:rsidRPr="003516DC" w14:paraId="06168004" w14:textId="77777777" w:rsidTr="00B25A26">
        <w:trPr>
          <w:trHeight w:val="315"/>
        </w:trPr>
        <w:tc>
          <w:tcPr>
            <w:tcW w:w="1991" w:type="pct"/>
            <w:shd w:val="clear" w:color="auto" w:fill="auto"/>
            <w:vAlign w:val="center"/>
            <w:hideMark/>
          </w:tcPr>
          <w:p w14:paraId="78EE6F7B"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070" w:type="pct"/>
            <w:shd w:val="clear" w:color="auto" w:fill="auto"/>
            <w:noWrap/>
            <w:vAlign w:val="center"/>
            <w:hideMark/>
          </w:tcPr>
          <w:p w14:paraId="6E37CB2D" w14:textId="6AA933AC"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15,353,474 </w:t>
            </w:r>
          </w:p>
        </w:tc>
        <w:tc>
          <w:tcPr>
            <w:tcW w:w="940" w:type="pct"/>
            <w:shd w:val="clear" w:color="auto" w:fill="auto"/>
            <w:noWrap/>
            <w:vAlign w:val="center"/>
            <w:hideMark/>
          </w:tcPr>
          <w:p w14:paraId="6D7A632C" w14:textId="6F74B25E"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110,018,813 </w:t>
            </w:r>
          </w:p>
        </w:tc>
        <w:tc>
          <w:tcPr>
            <w:tcW w:w="999" w:type="pct"/>
            <w:shd w:val="clear" w:color="auto" w:fill="auto"/>
            <w:noWrap/>
            <w:vAlign w:val="center"/>
            <w:hideMark/>
          </w:tcPr>
          <w:p w14:paraId="0B3B897F" w14:textId="6E0333AF"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617%</w:t>
            </w:r>
          </w:p>
        </w:tc>
      </w:tr>
      <w:tr w:rsidR="0092017A" w:rsidRPr="003516DC" w14:paraId="0B283B1B" w14:textId="77777777" w:rsidTr="00B25A26">
        <w:trPr>
          <w:trHeight w:val="315"/>
        </w:trPr>
        <w:tc>
          <w:tcPr>
            <w:tcW w:w="1991" w:type="pct"/>
            <w:shd w:val="clear" w:color="auto" w:fill="auto"/>
            <w:vAlign w:val="center"/>
            <w:hideMark/>
          </w:tcPr>
          <w:p w14:paraId="2839D9BE"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070" w:type="pct"/>
            <w:shd w:val="clear" w:color="auto" w:fill="auto"/>
            <w:noWrap/>
            <w:vAlign w:val="center"/>
            <w:hideMark/>
          </w:tcPr>
          <w:p w14:paraId="4E632204" w14:textId="15AB5CCD"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486,236,281 </w:t>
            </w:r>
          </w:p>
        </w:tc>
        <w:tc>
          <w:tcPr>
            <w:tcW w:w="940" w:type="pct"/>
            <w:shd w:val="clear" w:color="auto" w:fill="auto"/>
            <w:noWrap/>
            <w:vAlign w:val="center"/>
            <w:hideMark/>
          </w:tcPr>
          <w:p w14:paraId="4C1CE50B" w14:textId="17336CBC"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221,521,560 </w:t>
            </w:r>
          </w:p>
        </w:tc>
        <w:tc>
          <w:tcPr>
            <w:tcW w:w="999" w:type="pct"/>
            <w:shd w:val="clear" w:color="auto" w:fill="auto"/>
            <w:noWrap/>
            <w:vAlign w:val="center"/>
            <w:hideMark/>
          </w:tcPr>
          <w:p w14:paraId="0B8BBEED" w14:textId="4F1C0B5D"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-54%</w:t>
            </w:r>
          </w:p>
        </w:tc>
      </w:tr>
      <w:tr w:rsidR="0092017A" w:rsidRPr="003516DC" w14:paraId="16904A2F" w14:textId="77777777" w:rsidTr="00B25A26">
        <w:trPr>
          <w:trHeight w:val="315"/>
        </w:trPr>
        <w:tc>
          <w:tcPr>
            <w:tcW w:w="1991" w:type="pct"/>
            <w:shd w:val="clear" w:color="auto" w:fill="auto"/>
            <w:vAlign w:val="center"/>
            <w:hideMark/>
          </w:tcPr>
          <w:p w14:paraId="21702658"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070" w:type="pct"/>
            <w:shd w:val="clear" w:color="auto" w:fill="auto"/>
            <w:noWrap/>
            <w:vAlign w:val="center"/>
            <w:hideMark/>
          </w:tcPr>
          <w:p w14:paraId="667BC5E6" w14:textId="7609FA93"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84,781,612 </w:t>
            </w:r>
          </w:p>
        </w:tc>
        <w:tc>
          <w:tcPr>
            <w:tcW w:w="940" w:type="pct"/>
            <w:shd w:val="clear" w:color="auto" w:fill="auto"/>
            <w:noWrap/>
            <w:vAlign w:val="center"/>
            <w:hideMark/>
          </w:tcPr>
          <w:p w14:paraId="3563F0C8" w14:textId="3B8B5558"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241,618,855 </w:t>
            </w:r>
          </w:p>
        </w:tc>
        <w:tc>
          <w:tcPr>
            <w:tcW w:w="999" w:type="pct"/>
            <w:shd w:val="clear" w:color="auto" w:fill="auto"/>
            <w:noWrap/>
            <w:vAlign w:val="center"/>
            <w:hideMark/>
          </w:tcPr>
          <w:p w14:paraId="5618F588" w14:textId="58466E14"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185%</w:t>
            </w:r>
          </w:p>
        </w:tc>
      </w:tr>
      <w:tr w:rsidR="0092017A" w:rsidRPr="003516DC" w14:paraId="39409C01" w14:textId="77777777" w:rsidTr="00B25A26">
        <w:trPr>
          <w:trHeight w:val="315"/>
        </w:trPr>
        <w:tc>
          <w:tcPr>
            <w:tcW w:w="1991" w:type="pct"/>
            <w:shd w:val="clear" w:color="auto" w:fill="auto"/>
            <w:vAlign w:val="center"/>
            <w:hideMark/>
          </w:tcPr>
          <w:p w14:paraId="387AB681"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070" w:type="pct"/>
            <w:shd w:val="clear" w:color="auto" w:fill="auto"/>
            <w:noWrap/>
            <w:vAlign w:val="center"/>
            <w:hideMark/>
          </w:tcPr>
          <w:p w14:paraId="56B84D00" w14:textId="2E0BE822"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848,207,939 </w:t>
            </w:r>
          </w:p>
        </w:tc>
        <w:tc>
          <w:tcPr>
            <w:tcW w:w="940" w:type="pct"/>
            <w:shd w:val="clear" w:color="auto" w:fill="auto"/>
            <w:noWrap/>
            <w:vAlign w:val="center"/>
            <w:hideMark/>
          </w:tcPr>
          <w:p w14:paraId="776EE68B" w14:textId="211E1E65"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1,496,578,097 </w:t>
            </w:r>
          </w:p>
        </w:tc>
        <w:tc>
          <w:tcPr>
            <w:tcW w:w="999" w:type="pct"/>
            <w:shd w:val="clear" w:color="auto" w:fill="auto"/>
            <w:noWrap/>
            <w:vAlign w:val="center"/>
            <w:hideMark/>
          </w:tcPr>
          <w:p w14:paraId="748F51C3" w14:textId="34B40FD0"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76%</w:t>
            </w:r>
          </w:p>
        </w:tc>
      </w:tr>
      <w:tr w:rsidR="0092017A" w:rsidRPr="003516DC" w14:paraId="1FB99319" w14:textId="77777777" w:rsidTr="00B25A26">
        <w:trPr>
          <w:trHeight w:val="315"/>
        </w:trPr>
        <w:tc>
          <w:tcPr>
            <w:tcW w:w="1991" w:type="pct"/>
            <w:shd w:val="clear" w:color="auto" w:fill="auto"/>
            <w:vAlign w:val="center"/>
            <w:hideMark/>
          </w:tcPr>
          <w:p w14:paraId="7EAD9712"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070" w:type="pct"/>
            <w:shd w:val="clear" w:color="auto" w:fill="auto"/>
            <w:noWrap/>
            <w:vAlign w:val="center"/>
            <w:hideMark/>
          </w:tcPr>
          <w:p w14:paraId="64897D08" w14:textId="00F23FA2"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237,040,349 </w:t>
            </w:r>
          </w:p>
        </w:tc>
        <w:tc>
          <w:tcPr>
            <w:tcW w:w="940" w:type="pct"/>
            <w:shd w:val="clear" w:color="auto" w:fill="auto"/>
            <w:noWrap/>
            <w:vAlign w:val="center"/>
            <w:hideMark/>
          </w:tcPr>
          <w:p w14:paraId="098E808A" w14:textId="0C5AB131"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524,569,602 </w:t>
            </w:r>
          </w:p>
        </w:tc>
        <w:tc>
          <w:tcPr>
            <w:tcW w:w="999" w:type="pct"/>
            <w:shd w:val="clear" w:color="auto" w:fill="auto"/>
            <w:noWrap/>
            <w:vAlign w:val="center"/>
            <w:hideMark/>
          </w:tcPr>
          <w:p w14:paraId="3AE5DF70" w14:textId="2389FA75"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121%</w:t>
            </w:r>
          </w:p>
        </w:tc>
      </w:tr>
      <w:tr w:rsidR="0092017A" w:rsidRPr="003516DC" w14:paraId="484CCBBE" w14:textId="77777777" w:rsidTr="00B25A26">
        <w:trPr>
          <w:trHeight w:val="315"/>
        </w:trPr>
        <w:tc>
          <w:tcPr>
            <w:tcW w:w="1991" w:type="pct"/>
            <w:shd w:val="clear" w:color="auto" w:fill="auto"/>
            <w:noWrap/>
            <w:vAlign w:val="center"/>
            <w:hideMark/>
          </w:tcPr>
          <w:p w14:paraId="2D4CDD88" w14:textId="77777777" w:rsidR="0092017A" w:rsidRPr="003516DC" w:rsidRDefault="0092017A" w:rsidP="0092017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070" w:type="pct"/>
            <w:shd w:val="clear" w:color="auto" w:fill="auto"/>
            <w:noWrap/>
            <w:vAlign w:val="center"/>
            <w:hideMark/>
          </w:tcPr>
          <w:p w14:paraId="78DB6DC3" w14:textId="3DF97ACB" w:rsidR="0092017A" w:rsidRPr="003516DC" w:rsidRDefault="0092017A" w:rsidP="0092017A">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12,733,792,185 </w:t>
            </w:r>
          </w:p>
        </w:tc>
        <w:tc>
          <w:tcPr>
            <w:tcW w:w="940" w:type="pct"/>
            <w:shd w:val="clear" w:color="auto" w:fill="auto"/>
            <w:noWrap/>
            <w:vAlign w:val="center"/>
            <w:hideMark/>
          </w:tcPr>
          <w:p w14:paraId="150EDD5C" w14:textId="44DB1DDA" w:rsidR="0092017A" w:rsidRPr="003516DC" w:rsidRDefault="0092017A" w:rsidP="0092017A">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27,094,796,591 </w:t>
            </w:r>
          </w:p>
        </w:tc>
        <w:tc>
          <w:tcPr>
            <w:tcW w:w="999" w:type="pct"/>
            <w:shd w:val="clear" w:color="auto" w:fill="auto"/>
            <w:noWrap/>
            <w:vAlign w:val="center"/>
            <w:hideMark/>
          </w:tcPr>
          <w:p w14:paraId="764ECE49" w14:textId="353DF021" w:rsidR="0092017A" w:rsidRPr="003516DC" w:rsidRDefault="0092017A" w:rsidP="0092017A">
            <w:pPr>
              <w:jc w:val="center"/>
              <w:rPr>
                <w:rFonts w:ascii="Arial" w:eastAsia="Times New Roman" w:hAnsi="Arial" w:cs="Arial"/>
                <w:b/>
                <w:bCs/>
                <w:color w:val="000000"/>
                <w:sz w:val="18"/>
                <w:szCs w:val="18"/>
                <w:lang w:val="en-US"/>
              </w:rPr>
            </w:pPr>
            <w:r w:rsidRPr="003516DC">
              <w:rPr>
                <w:rFonts w:ascii="Arial" w:eastAsia="Arial Narrow" w:hAnsi="Arial" w:cs="Arial"/>
                <w:b/>
                <w:sz w:val="18"/>
                <w:szCs w:val="18"/>
              </w:rPr>
              <w:t>113%</w:t>
            </w:r>
          </w:p>
        </w:tc>
      </w:tr>
      <w:tr w:rsidR="0092017A" w:rsidRPr="003516DC" w14:paraId="3922FBBF" w14:textId="77777777" w:rsidTr="00B25A26">
        <w:trPr>
          <w:trHeight w:val="315"/>
        </w:trPr>
        <w:tc>
          <w:tcPr>
            <w:tcW w:w="1991" w:type="pct"/>
            <w:shd w:val="clear" w:color="auto" w:fill="auto"/>
            <w:vAlign w:val="center"/>
            <w:hideMark/>
          </w:tcPr>
          <w:p w14:paraId="4531105D"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070" w:type="pct"/>
            <w:shd w:val="clear" w:color="auto" w:fill="auto"/>
            <w:noWrap/>
            <w:vAlign w:val="center"/>
            <w:hideMark/>
          </w:tcPr>
          <w:p w14:paraId="064D9F8C" w14:textId="2CB94423"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12,694,533,231 </w:t>
            </w:r>
          </w:p>
        </w:tc>
        <w:tc>
          <w:tcPr>
            <w:tcW w:w="940" w:type="pct"/>
            <w:shd w:val="clear" w:color="auto" w:fill="auto"/>
            <w:noWrap/>
            <w:vAlign w:val="center"/>
            <w:hideMark/>
          </w:tcPr>
          <w:p w14:paraId="6AEE7694" w14:textId="3F34892D"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26,975,290,227 </w:t>
            </w:r>
          </w:p>
        </w:tc>
        <w:tc>
          <w:tcPr>
            <w:tcW w:w="999" w:type="pct"/>
            <w:shd w:val="clear" w:color="auto" w:fill="auto"/>
            <w:noWrap/>
            <w:vAlign w:val="center"/>
            <w:hideMark/>
          </w:tcPr>
          <w:p w14:paraId="5947F8DC" w14:textId="7774EB25"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112%</w:t>
            </w:r>
          </w:p>
        </w:tc>
      </w:tr>
      <w:tr w:rsidR="0092017A" w:rsidRPr="003516DC" w14:paraId="2BC24C14" w14:textId="77777777" w:rsidTr="00B25A26">
        <w:trPr>
          <w:trHeight w:val="315"/>
        </w:trPr>
        <w:tc>
          <w:tcPr>
            <w:tcW w:w="1991" w:type="pct"/>
            <w:shd w:val="clear" w:color="auto" w:fill="auto"/>
            <w:vAlign w:val="center"/>
            <w:hideMark/>
          </w:tcPr>
          <w:p w14:paraId="0E20907A" w14:textId="77777777" w:rsidR="0092017A" w:rsidRPr="003516DC" w:rsidRDefault="0092017A" w:rsidP="0092017A">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070" w:type="pct"/>
            <w:shd w:val="clear" w:color="auto" w:fill="auto"/>
            <w:noWrap/>
            <w:vAlign w:val="center"/>
            <w:hideMark/>
          </w:tcPr>
          <w:p w14:paraId="125353BE" w14:textId="217C5CF3"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39,258,954 </w:t>
            </w:r>
          </w:p>
        </w:tc>
        <w:tc>
          <w:tcPr>
            <w:tcW w:w="940" w:type="pct"/>
            <w:shd w:val="clear" w:color="auto" w:fill="auto"/>
            <w:noWrap/>
            <w:vAlign w:val="center"/>
            <w:hideMark/>
          </w:tcPr>
          <w:p w14:paraId="21C05513" w14:textId="09BC2ACA" w:rsidR="0092017A" w:rsidRPr="003516DC" w:rsidRDefault="0092017A" w:rsidP="0092017A">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119,506,364 </w:t>
            </w:r>
          </w:p>
        </w:tc>
        <w:tc>
          <w:tcPr>
            <w:tcW w:w="999" w:type="pct"/>
            <w:shd w:val="clear" w:color="auto" w:fill="auto"/>
            <w:noWrap/>
            <w:vAlign w:val="center"/>
            <w:hideMark/>
          </w:tcPr>
          <w:p w14:paraId="6A8C8474" w14:textId="43135C2B" w:rsidR="0092017A" w:rsidRPr="003516DC" w:rsidRDefault="0092017A" w:rsidP="0092017A">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204%</w:t>
            </w:r>
          </w:p>
        </w:tc>
      </w:tr>
    </w:tbl>
    <w:p w14:paraId="5F5DD236" w14:textId="7327BA07" w:rsidR="00E068C0" w:rsidRDefault="0092017A" w:rsidP="0092017A">
      <w:pPr>
        <w:rPr>
          <w:rFonts w:ascii="Arial" w:hAnsi="Arial" w:cs="Arial"/>
          <w:i/>
          <w:color w:val="1155CC"/>
          <w:sz w:val="16"/>
          <w:szCs w:val="16"/>
          <w:u w:val="single"/>
        </w:rPr>
      </w:pPr>
      <w:r w:rsidRPr="003516DC">
        <w:rPr>
          <w:rFonts w:ascii="Arial" w:hAnsi="Arial" w:cs="Arial"/>
          <w:i/>
          <w:sz w:val="16"/>
          <w:szCs w:val="16"/>
        </w:rPr>
        <w:t>Source: processing of N</w:t>
      </w:r>
      <w:r w:rsidR="006536F5" w:rsidRPr="003516DC">
        <w:rPr>
          <w:rFonts w:ascii="Arial" w:hAnsi="Arial" w:cs="Arial"/>
          <w:i/>
          <w:sz w:val="16"/>
          <w:szCs w:val="16"/>
        </w:rPr>
        <w:t>ational Trade Register Office</w:t>
      </w:r>
      <w:r w:rsidRPr="003516DC">
        <w:rPr>
          <w:rFonts w:ascii="Arial" w:hAnsi="Arial" w:cs="Arial"/>
          <w:i/>
          <w:sz w:val="16"/>
          <w:szCs w:val="16"/>
        </w:rPr>
        <w:t xml:space="preserve"> data, based on EC KIS classification of NACE codes</w:t>
      </w:r>
      <w:hyperlink r:id="rId162">
        <w:r w:rsidRPr="003516DC">
          <w:rPr>
            <w:rFonts w:ascii="Arial" w:hAnsi="Arial" w:cs="Arial"/>
            <w:i/>
            <w:sz w:val="16"/>
            <w:szCs w:val="16"/>
          </w:rPr>
          <w:t xml:space="preserve"> </w:t>
        </w:r>
      </w:hyperlink>
      <w:hyperlink r:id="rId163">
        <w:r w:rsidRPr="003516DC">
          <w:rPr>
            <w:rFonts w:ascii="Arial" w:hAnsi="Arial" w:cs="Arial"/>
            <w:i/>
            <w:color w:val="1155CC"/>
            <w:sz w:val="16"/>
            <w:szCs w:val="16"/>
            <w:u w:val="single"/>
          </w:rPr>
          <w:t>https://ec.europa.eu/eurostat/statistics-explained/index.php/Glossary:Knowledge-intensive_services_(KIS)</w:t>
        </w:r>
      </w:hyperlink>
    </w:p>
    <w:p w14:paraId="67D52DC0" w14:textId="0EB696B0" w:rsidR="00931AF2" w:rsidRPr="001E152C" w:rsidRDefault="00931AF2" w:rsidP="00E42342">
      <w:pPr>
        <w:pStyle w:val="ListParagraph"/>
        <w:numPr>
          <w:ilvl w:val="0"/>
          <w:numId w:val="292"/>
        </w:numPr>
        <w:spacing w:before="120" w:after="120" w:line="240" w:lineRule="auto"/>
        <w:jc w:val="both"/>
        <w:rPr>
          <w:color w:val="4F81BD" w:themeColor="accent1"/>
          <w:sz w:val="20"/>
          <w:szCs w:val="20"/>
        </w:rPr>
      </w:pPr>
      <w:r>
        <w:rPr>
          <w:color w:val="4F81BD" w:themeColor="accent1"/>
          <w:sz w:val="20"/>
          <w:szCs w:val="20"/>
        </w:rPr>
        <w:t>Renewable energy production</w:t>
      </w:r>
    </w:p>
    <w:p w14:paraId="3E578DD7" w14:textId="76279FE1" w:rsidR="00285FBB" w:rsidRDefault="00E909F2" w:rsidP="00A2362B">
      <w:pPr>
        <w:spacing w:after="120"/>
        <w:jc w:val="both"/>
        <w:rPr>
          <w:rFonts w:ascii="Arial" w:hAnsi="Arial" w:cs="Arial"/>
          <w:sz w:val="20"/>
          <w:szCs w:val="20"/>
        </w:rPr>
      </w:pPr>
      <w:r w:rsidRPr="00143135">
        <w:rPr>
          <w:rFonts w:ascii="Arial" w:hAnsi="Arial" w:cs="Arial"/>
          <w:sz w:val="20"/>
          <w:szCs w:val="20"/>
        </w:rPr>
        <w:t xml:space="preserve">In terms of </w:t>
      </w:r>
      <w:r w:rsidRPr="00143135">
        <w:rPr>
          <w:rFonts w:ascii="Arial" w:hAnsi="Arial" w:cs="Arial"/>
          <w:b/>
          <w:bCs/>
          <w:sz w:val="20"/>
          <w:szCs w:val="20"/>
        </w:rPr>
        <w:t>renewable energy production</w:t>
      </w:r>
      <w:r w:rsidRPr="00143135">
        <w:rPr>
          <w:rFonts w:ascii="Arial" w:hAnsi="Arial" w:cs="Arial"/>
          <w:sz w:val="20"/>
          <w:szCs w:val="20"/>
        </w:rPr>
        <w:t xml:space="preserve">, </w:t>
      </w:r>
      <w:r w:rsidRPr="00402580">
        <w:rPr>
          <w:rFonts w:ascii="Arial" w:hAnsi="Arial" w:cs="Arial"/>
          <w:sz w:val="20"/>
          <w:szCs w:val="20"/>
        </w:rPr>
        <w:t xml:space="preserve">Prahova </w:t>
      </w:r>
      <w:r w:rsidR="00143135">
        <w:rPr>
          <w:rFonts w:ascii="Arial" w:hAnsi="Arial" w:cs="Arial"/>
          <w:sz w:val="20"/>
          <w:szCs w:val="20"/>
        </w:rPr>
        <w:t>C</w:t>
      </w:r>
      <w:r w:rsidRPr="00402580">
        <w:rPr>
          <w:rFonts w:ascii="Arial" w:hAnsi="Arial" w:cs="Arial"/>
          <w:sz w:val="20"/>
          <w:szCs w:val="20"/>
        </w:rPr>
        <w:t>ounty can develop a significant share of cost competitive projects. A total of 400 MW of solar PV projects can be developed at very low prices. In total</w:t>
      </w:r>
      <w:r w:rsidR="003173A1">
        <w:rPr>
          <w:rFonts w:ascii="Arial" w:hAnsi="Arial" w:cs="Arial"/>
          <w:sz w:val="20"/>
          <w:szCs w:val="20"/>
        </w:rPr>
        <w:t>,</w:t>
      </w:r>
      <w:r w:rsidRPr="00402580">
        <w:rPr>
          <w:rFonts w:ascii="Arial" w:hAnsi="Arial" w:cs="Arial"/>
          <w:sz w:val="20"/>
          <w:szCs w:val="20"/>
        </w:rPr>
        <w:t xml:space="preserve"> the county requires below 400 ha of land to develop the estimated 400 MW of utility scale PV assigned under the analysis. This represents a fraction of available land for development in Prahova compared to available agricultural land.</w:t>
      </w:r>
    </w:p>
    <w:p w14:paraId="0DEF829D" w14:textId="632D1D85" w:rsidR="00F273CC" w:rsidRPr="00402580" w:rsidRDefault="00D9753D" w:rsidP="00F273CC">
      <w:pPr>
        <w:jc w:val="both"/>
        <w:rPr>
          <w:rFonts w:ascii="Arial" w:hAnsi="Arial" w:cs="Arial"/>
          <w:sz w:val="20"/>
          <w:szCs w:val="20"/>
        </w:rPr>
      </w:pPr>
      <w:bookmarkStart w:id="257" w:name="_Hlk85565209"/>
      <w:r>
        <w:rPr>
          <w:rFonts w:ascii="Arial" w:hAnsi="Arial" w:cs="Arial"/>
          <w:sz w:val="20"/>
          <w:szCs w:val="20"/>
        </w:rPr>
        <w:t>F</w:t>
      </w:r>
      <w:r w:rsidR="00F273CC">
        <w:rPr>
          <w:rFonts w:ascii="Arial" w:hAnsi="Arial" w:cs="Arial"/>
          <w:sz w:val="20"/>
          <w:szCs w:val="20"/>
        </w:rPr>
        <w:t xml:space="preserve">ollowing consultations during the regional workshop, various ideas such as </w:t>
      </w:r>
      <w:r w:rsidR="00F273CC" w:rsidRPr="00D14DC5">
        <w:rPr>
          <w:rFonts w:ascii="Arial" w:hAnsi="Arial" w:cs="Arial"/>
          <w:sz w:val="20"/>
          <w:szCs w:val="20"/>
        </w:rPr>
        <w:t>hydrogen production investments</w:t>
      </w:r>
      <w:r w:rsidR="00F273CC">
        <w:rPr>
          <w:rFonts w:ascii="Arial" w:hAnsi="Arial" w:cs="Arial"/>
          <w:sz w:val="20"/>
          <w:szCs w:val="20"/>
        </w:rPr>
        <w:t xml:space="preserve"> and/or green hydrogen emerged, </w:t>
      </w:r>
      <w:r>
        <w:rPr>
          <w:rFonts w:ascii="Arial" w:hAnsi="Arial" w:cs="Arial"/>
          <w:sz w:val="20"/>
          <w:szCs w:val="20"/>
        </w:rPr>
        <w:t>which</w:t>
      </w:r>
      <w:r w:rsidR="00F273CC">
        <w:rPr>
          <w:rFonts w:ascii="Arial" w:hAnsi="Arial" w:cs="Arial"/>
          <w:sz w:val="20"/>
          <w:szCs w:val="20"/>
        </w:rPr>
        <w:t xml:space="preserve"> could potentially address additional renewable energy production opportunities in Prahova County.</w:t>
      </w:r>
    </w:p>
    <w:bookmarkEnd w:id="257"/>
    <w:p w14:paraId="692D67AF" w14:textId="77777777" w:rsidR="00F273CC" w:rsidRDefault="00F273CC" w:rsidP="00A2362B">
      <w:pPr>
        <w:spacing w:after="120"/>
        <w:jc w:val="both"/>
        <w:rPr>
          <w:rFonts w:ascii="Arial" w:hAnsi="Arial" w:cs="Arial"/>
          <w:sz w:val="20"/>
          <w:szCs w:val="20"/>
        </w:rPr>
      </w:pPr>
    </w:p>
    <w:p w14:paraId="7230DAA3" w14:textId="26B44092" w:rsidR="00931AF2" w:rsidRPr="001E152C" w:rsidRDefault="00931AF2" w:rsidP="00E42342">
      <w:pPr>
        <w:pStyle w:val="ListParagraph"/>
        <w:numPr>
          <w:ilvl w:val="0"/>
          <w:numId w:val="293"/>
        </w:numPr>
        <w:spacing w:before="120" w:after="120" w:line="240" w:lineRule="auto"/>
        <w:jc w:val="both"/>
        <w:rPr>
          <w:color w:val="4F81BD" w:themeColor="accent1"/>
          <w:sz w:val="20"/>
          <w:szCs w:val="20"/>
        </w:rPr>
      </w:pPr>
      <w:r>
        <w:rPr>
          <w:color w:val="4F81BD" w:themeColor="accent1"/>
          <w:sz w:val="20"/>
          <w:szCs w:val="20"/>
        </w:rPr>
        <w:lastRenderedPageBreak/>
        <w:t>ETS support potential</w:t>
      </w:r>
    </w:p>
    <w:p w14:paraId="7285A7C0" w14:textId="69365D09" w:rsidR="00285FBB" w:rsidRDefault="00285FBB" w:rsidP="00A2362B">
      <w:pPr>
        <w:spacing w:after="120"/>
        <w:jc w:val="both"/>
        <w:rPr>
          <w:rFonts w:ascii="Arial" w:hAnsi="Arial" w:cs="Arial"/>
          <w:sz w:val="20"/>
          <w:szCs w:val="20"/>
        </w:rPr>
      </w:pPr>
      <w:r w:rsidRPr="00402580">
        <w:rPr>
          <w:rFonts w:ascii="Arial" w:hAnsi="Arial" w:cs="Arial"/>
          <w:sz w:val="20"/>
          <w:szCs w:val="20"/>
        </w:rPr>
        <w:t xml:space="preserve">When it comes to </w:t>
      </w:r>
      <w:r w:rsidRPr="00402580">
        <w:rPr>
          <w:rFonts w:ascii="Arial" w:hAnsi="Arial" w:cs="Arial"/>
          <w:b/>
          <w:bCs/>
          <w:sz w:val="20"/>
          <w:szCs w:val="20"/>
        </w:rPr>
        <w:t xml:space="preserve">ETS support potential, </w:t>
      </w:r>
      <w:r w:rsidRPr="00402580">
        <w:rPr>
          <w:rFonts w:ascii="Arial" w:hAnsi="Arial" w:cs="Arial"/>
          <w:sz w:val="20"/>
          <w:szCs w:val="20"/>
        </w:rPr>
        <w:t>87% of verified emissions occur in three places</w:t>
      </w:r>
      <w:r w:rsidR="003173A1" w:rsidRPr="003173A1">
        <w:rPr>
          <w:rFonts w:ascii="Arial" w:hAnsi="Arial" w:cs="Arial"/>
          <w:sz w:val="20"/>
          <w:szCs w:val="20"/>
        </w:rPr>
        <w:t xml:space="preserve"> </w:t>
      </w:r>
      <w:r w:rsidR="003173A1" w:rsidRPr="006F1AC6">
        <w:rPr>
          <w:rFonts w:ascii="Arial" w:hAnsi="Arial" w:cs="Arial"/>
          <w:sz w:val="20"/>
          <w:szCs w:val="20"/>
        </w:rPr>
        <w:t>in Prahova</w:t>
      </w:r>
      <w:r w:rsidR="003173A1">
        <w:rPr>
          <w:rFonts w:ascii="Arial" w:hAnsi="Arial" w:cs="Arial"/>
          <w:sz w:val="20"/>
          <w:szCs w:val="20"/>
        </w:rPr>
        <w:t>:</w:t>
      </w:r>
      <w:r w:rsidRPr="00402580">
        <w:rPr>
          <w:rFonts w:ascii="Arial" w:hAnsi="Arial" w:cs="Arial"/>
          <w:sz w:val="20"/>
          <w:szCs w:val="20"/>
        </w:rPr>
        <w:t xml:space="preserve"> a gas fired power plant in Brazi owned by Petrom and </w:t>
      </w:r>
      <w:r w:rsidR="003173A1">
        <w:rPr>
          <w:rFonts w:ascii="Arial" w:hAnsi="Arial" w:cs="Arial"/>
          <w:sz w:val="20"/>
          <w:szCs w:val="20"/>
        </w:rPr>
        <w:t>two</w:t>
      </w:r>
      <w:r w:rsidRPr="00402580">
        <w:rPr>
          <w:rFonts w:ascii="Arial" w:hAnsi="Arial" w:cs="Arial"/>
          <w:sz w:val="20"/>
          <w:szCs w:val="20"/>
        </w:rPr>
        <w:t xml:space="preserve"> refiner</w:t>
      </w:r>
      <w:r w:rsidR="003173A1">
        <w:rPr>
          <w:rFonts w:ascii="Arial" w:hAnsi="Arial" w:cs="Arial"/>
          <w:sz w:val="20"/>
          <w:szCs w:val="20"/>
        </w:rPr>
        <w:t>ies</w:t>
      </w:r>
      <w:r w:rsidRPr="00402580">
        <w:rPr>
          <w:rFonts w:ascii="Arial" w:hAnsi="Arial" w:cs="Arial"/>
          <w:sz w:val="20"/>
          <w:szCs w:val="20"/>
        </w:rPr>
        <w:t xml:space="preserve"> – Petrobrazi and Petrotel. </w:t>
      </w:r>
      <w:r w:rsidR="003173A1">
        <w:rPr>
          <w:rFonts w:ascii="Arial" w:hAnsi="Arial" w:cs="Arial"/>
          <w:sz w:val="20"/>
          <w:szCs w:val="20"/>
        </w:rPr>
        <w:t>I</w:t>
      </w:r>
      <w:r w:rsidRPr="00402580">
        <w:rPr>
          <w:rFonts w:ascii="Arial" w:hAnsi="Arial" w:cs="Arial"/>
          <w:sz w:val="20"/>
          <w:szCs w:val="20"/>
        </w:rPr>
        <w:t>n terms of magnitude of the</w:t>
      </w:r>
      <w:r w:rsidR="003173A1">
        <w:rPr>
          <w:rFonts w:ascii="Arial" w:hAnsi="Arial" w:cs="Arial"/>
          <w:sz w:val="20"/>
          <w:szCs w:val="20"/>
        </w:rPr>
        <w:t xml:space="preserve"> emissions</w:t>
      </w:r>
      <w:r w:rsidRPr="00402580">
        <w:rPr>
          <w:rFonts w:ascii="Arial" w:hAnsi="Arial" w:cs="Arial"/>
          <w:sz w:val="20"/>
          <w:szCs w:val="20"/>
        </w:rPr>
        <w:t xml:space="preserve"> gap</w:t>
      </w:r>
      <w:r w:rsidR="003173A1">
        <w:rPr>
          <w:rFonts w:ascii="Arial" w:hAnsi="Arial" w:cs="Arial"/>
          <w:sz w:val="20"/>
          <w:szCs w:val="20"/>
        </w:rPr>
        <w:t>,</w:t>
      </w:r>
      <w:r w:rsidRPr="00402580">
        <w:rPr>
          <w:rFonts w:ascii="Arial" w:hAnsi="Arial" w:cs="Arial"/>
          <w:sz w:val="20"/>
          <w:szCs w:val="20"/>
        </w:rPr>
        <w:t xml:space="preserve"> only 20% of verified emissions are covered by free allowances</w:t>
      </w:r>
      <w:r w:rsidR="003173A1">
        <w:rPr>
          <w:rFonts w:ascii="Arial" w:hAnsi="Arial" w:cs="Arial"/>
          <w:sz w:val="20"/>
          <w:szCs w:val="20"/>
        </w:rPr>
        <w:t xml:space="preserve"> in Prahova</w:t>
      </w:r>
      <w:r w:rsidRPr="00402580">
        <w:rPr>
          <w:rFonts w:ascii="Arial" w:hAnsi="Arial" w:cs="Arial"/>
          <w:sz w:val="20"/>
          <w:szCs w:val="20"/>
        </w:rPr>
        <w:t xml:space="preserve">, translating </w:t>
      </w:r>
      <w:r w:rsidR="003173A1">
        <w:rPr>
          <w:rFonts w:ascii="Arial" w:hAnsi="Arial" w:cs="Arial"/>
          <w:sz w:val="20"/>
          <w:szCs w:val="20"/>
        </w:rPr>
        <w:t>to about EUR</w:t>
      </w:r>
      <w:r w:rsidRPr="00402580">
        <w:rPr>
          <w:rFonts w:ascii="Arial" w:hAnsi="Arial" w:cs="Arial"/>
          <w:sz w:val="20"/>
          <w:szCs w:val="20"/>
        </w:rPr>
        <w:t xml:space="preserve"> 60 </w:t>
      </w:r>
      <w:r w:rsidR="003173A1">
        <w:rPr>
          <w:rFonts w:ascii="Arial" w:hAnsi="Arial" w:cs="Arial"/>
          <w:sz w:val="20"/>
          <w:szCs w:val="20"/>
        </w:rPr>
        <w:t>million</w:t>
      </w:r>
      <w:r w:rsidRPr="00402580">
        <w:rPr>
          <w:rFonts w:ascii="Arial" w:hAnsi="Arial" w:cs="Arial"/>
          <w:sz w:val="20"/>
          <w:szCs w:val="20"/>
        </w:rPr>
        <w:t>.</w:t>
      </w:r>
    </w:p>
    <w:p w14:paraId="31C0CF2F" w14:textId="0326A16C" w:rsidR="00906BD2" w:rsidRDefault="00906BD2" w:rsidP="00906BD2">
      <w:pPr>
        <w:spacing w:after="120"/>
        <w:jc w:val="both"/>
        <w:rPr>
          <w:rFonts w:ascii="Arial" w:hAnsi="Arial" w:cs="Arial"/>
          <w:i/>
          <w:iCs/>
          <w:color w:val="4F81BD" w:themeColor="accent1"/>
          <w:sz w:val="20"/>
          <w:szCs w:val="20"/>
        </w:rPr>
      </w:pPr>
      <w:bookmarkStart w:id="258" w:name="_Hlk85565214"/>
      <w:r w:rsidRPr="0009621B">
        <w:rPr>
          <w:rFonts w:ascii="Arial" w:hAnsi="Arial" w:cs="Arial"/>
          <w:i/>
          <w:iCs/>
          <w:color w:val="4F81BD" w:themeColor="accent1"/>
          <w:sz w:val="20"/>
          <w:szCs w:val="20"/>
        </w:rPr>
        <w:t>Assessment of the proposed emission reductions by installation owner</w:t>
      </w:r>
      <w:r w:rsidR="00D9753D">
        <w:rPr>
          <w:rFonts w:ascii="Arial" w:hAnsi="Arial" w:cs="Arial"/>
          <w:i/>
          <w:iCs/>
          <w:color w:val="4F81BD" w:themeColor="accent1"/>
          <w:sz w:val="20"/>
          <w:szCs w:val="20"/>
        </w:rPr>
        <w:t>s</w:t>
      </w:r>
      <w:r w:rsidRPr="0009621B">
        <w:rPr>
          <w:rFonts w:ascii="Arial" w:hAnsi="Arial" w:cs="Arial"/>
          <w:i/>
          <w:iCs/>
          <w:color w:val="4F81BD" w:themeColor="accent1"/>
          <w:sz w:val="20"/>
          <w:szCs w:val="20"/>
        </w:rPr>
        <w:t xml:space="preserve"> in </w:t>
      </w:r>
      <w:r>
        <w:rPr>
          <w:rFonts w:ascii="Arial" w:hAnsi="Arial" w:cs="Arial"/>
          <w:i/>
          <w:iCs/>
          <w:color w:val="4F81BD" w:themeColor="accent1"/>
          <w:sz w:val="20"/>
          <w:szCs w:val="20"/>
        </w:rPr>
        <w:t>Prahova</w:t>
      </w:r>
      <w:r w:rsidRPr="0009621B">
        <w:rPr>
          <w:rFonts w:ascii="Arial" w:hAnsi="Arial" w:cs="Arial"/>
          <w:i/>
          <w:iCs/>
          <w:color w:val="4F81BD" w:themeColor="accent1"/>
          <w:sz w:val="20"/>
          <w:szCs w:val="20"/>
        </w:rPr>
        <w:t xml:space="preserve"> by </w:t>
      </w:r>
      <w:r w:rsidR="00D9753D">
        <w:rPr>
          <w:rFonts w:ascii="Arial" w:hAnsi="Arial" w:cs="Arial"/>
          <w:i/>
          <w:iCs/>
          <w:color w:val="4F81BD" w:themeColor="accent1"/>
          <w:sz w:val="20"/>
          <w:szCs w:val="20"/>
        </w:rPr>
        <w:t>examining</w:t>
      </w:r>
      <w:r w:rsidRPr="0009621B">
        <w:rPr>
          <w:rFonts w:ascii="Arial" w:hAnsi="Arial" w:cs="Arial"/>
          <w:i/>
          <w:iCs/>
          <w:color w:val="4F81BD" w:themeColor="accent1"/>
          <w:sz w:val="20"/>
          <w:szCs w:val="20"/>
        </w:rPr>
        <w:t xml:space="preserve"> the decarbonisation plans of </w:t>
      </w:r>
      <w:r>
        <w:rPr>
          <w:rFonts w:ascii="Arial" w:hAnsi="Arial" w:cs="Arial"/>
          <w:i/>
          <w:iCs/>
          <w:color w:val="4F81BD" w:themeColor="accent1"/>
          <w:sz w:val="20"/>
          <w:szCs w:val="20"/>
        </w:rPr>
        <w:t xml:space="preserve">one of </w:t>
      </w:r>
      <w:r w:rsidRPr="0009621B">
        <w:rPr>
          <w:rFonts w:ascii="Arial" w:hAnsi="Arial" w:cs="Arial"/>
          <w:i/>
          <w:iCs/>
          <w:color w:val="4F81BD" w:themeColor="accent1"/>
          <w:sz w:val="20"/>
          <w:szCs w:val="20"/>
        </w:rPr>
        <w:t>the largest emitter</w:t>
      </w:r>
      <w:r>
        <w:rPr>
          <w:rFonts w:ascii="Arial" w:hAnsi="Arial" w:cs="Arial"/>
          <w:i/>
          <w:iCs/>
          <w:color w:val="4F81BD" w:themeColor="accent1"/>
          <w:sz w:val="20"/>
          <w:szCs w:val="20"/>
        </w:rPr>
        <w:t>s</w:t>
      </w:r>
    </w:p>
    <w:p w14:paraId="5BB3DEDC" w14:textId="3DE37D0D" w:rsidR="00906BD2" w:rsidRPr="006E7A76" w:rsidRDefault="00906BD2" w:rsidP="00906BD2">
      <w:pPr>
        <w:spacing w:after="120"/>
        <w:jc w:val="both"/>
        <w:rPr>
          <w:rFonts w:ascii="Arial" w:hAnsi="Arial" w:cs="Arial"/>
          <w:sz w:val="20"/>
          <w:szCs w:val="20"/>
        </w:rPr>
      </w:pPr>
      <w:r w:rsidRPr="006E7A76">
        <w:rPr>
          <w:rFonts w:ascii="Arial" w:hAnsi="Arial" w:cs="Arial"/>
          <w:sz w:val="20"/>
          <w:szCs w:val="20"/>
        </w:rPr>
        <w:t xml:space="preserve">Prahova is a county deeply entrenched in its fossil fuel </w:t>
      </w:r>
      <w:r w:rsidR="00D9753D" w:rsidRPr="006E7A76">
        <w:rPr>
          <w:rFonts w:ascii="Arial" w:hAnsi="Arial" w:cs="Arial"/>
          <w:sz w:val="20"/>
          <w:szCs w:val="20"/>
        </w:rPr>
        <w:t>heritage</w:t>
      </w:r>
      <w:r w:rsidRPr="006E7A76">
        <w:rPr>
          <w:rFonts w:ascii="Arial" w:hAnsi="Arial" w:cs="Arial"/>
          <w:sz w:val="20"/>
          <w:szCs w:val="20"/>
        </w:rPr>
        <w:t xml:space="preserve"> which continues to provide for lucrative business and significant revenues for local budgets. However, the</w:t>
      </w:r>
      <w:r w:rsidR="00D9753D" w:rsidRPr="006E7A76">
        <w:rPr>
          <w:rFonts w:ascii="Arial" w:hAnsi="Arial" w:cs="Arial"/>
          <w:sz w:val="20"/>
          <w:szCs w:val="20"/>
        </w:rPr>
        <w:t xml:space="preserve"> region</w:t>
      </w:r>
      <w:r w:rsidRPr="006E7A76">
        <w:rPr>
          <w:rFonts w:ascii="Arial" w:hAnsi="Arial" w:cs="Arial"/>
          <w:sz w:val="20"/>
          <w:szCs w:val="20"/>
        </w:rPr>
        <w:t xml:space="preserve"> understand</w:t>
      </w:r>
      <w:r w:rsidR="00D9753D" w:rsidRPr="006E7A76">
        <w:rPr>
          <w:rFonts w:ascii="Arial" w:hAnsi="Arial" w:cs="Arial"/>
          <w:sz w:val="20"/>
          <w:szCs w:val="20"/>
        </w:rPr>
        <w:t>s</w:t>
      </w:r>
      <w:r w:rsidRPr="006E7A76">
        <w:rPr>
          <w:rFonts w:ascii="Arial" w:hAnsi="Arial" w:cs="Arial"/>
          <w:sz w:val="20"/>
          <w:szCs w:val="20"/>
        </w:rPr>
        <w:t xml:space="preserve"> that carbon exposure is a real risk and keep</w:t>
      </w:r>
      <w:r w:rsidR="00D9753D" w:rsidRPr="006E7A76">
        <w:rPr>
          <w:rFonts w:ascii="Arial" w:hAnsi="Arial" w:cs="Arial"/>
          <w:sz w:val="20"/>
          <w:szCs w:val="20"/>
        </w:rPr>
        <w:t>s</w:t>
      </w:r>
      <w:r w:rsidRPr="006E7A76">
        <w:rPr>
          <w:rFonts w:ascii="Arial" w:hAnsi="Arial" w:cs="Arial"/>
          <w:sz w:val="20"/>
          <w:szCs w:val="20"/>
        </w:rPr>
        <w:t xml:space="preserve"> an eye on technologies to reduce their carbon exposure. </w:t>
      </w:r>
    </w:p>
    <w:p w14:paraId="1E7993B6" w14:textId="6F4EEB61" w:rsidR="00906BD2" w:rsidRPr="006E7A76" w:rsidRDefault="00906BD2" w:rsidP="00906BD2">
      <w:pPr>
        <w:spacing w:after="120"/>
        <w:jc w:val="both"/>
        <w:rPr>
          <w:rFonts w:ascii="Arial" w:hAnsi="Arial" w:cs="Arial"/>
          <w:sz w:val="20"/>
          <w:szCs w:val="20"/>
        </w:rPr>
      </w:pPr>
      <w:r w:rsidRPr="006E7A76">
        <w:rPr>
          <w:rFonts w:ascii="Arial" w:hAnsi="Arial" w:cs="Arial"/>
          <w:sz w:val="20"/>
          <w:szCs w:val="20"/>
        </w:rPr>
        <w:t xml:space="preserve">From our discussion with </w:t>
      </w:r>
      <w:r w:rsidR="001F0479" w:rsidRPr="006E7A76">
        <w:rPr>
          <w:rFonts w:ascii="Arial" w:hAnsi="Arial" w:cs="Arial"/>
          <w:sz w:val="20"/>
          <w:szCs w:val="20"/>
        </w:rPr>
        <w:t>Petrotel-Lukoil SA, one</w:t>
      </w:r>
      <w:r w:rsidRPr="006E7A76">
        <w:rPr>
          <w:rFonts w:ascii="Arial" w:hAnsi="Arial" w:cs="Arial"/>
          <w:sz w:val="20"/>
          <w:szCs w:val="20"/>
        </w:rPr>
        <w:t xml:space="preserve"> of </w:t>
      </w:r>
      <w:r w:rsidR="001F0479" w:rsidRPr="006E7A76">
        <w:rPr>
          <w:rFonts w:ascii="Arial" w:hAnsi="Arial" w:cs="Arial"/>
          <w:sz w:val="20"/>
          <w:szCs w:val="20"/>
        </w:rPr>
        <w:t>largest</w:t>
      </w:r>
      <w:r w:rsidRPr="006E7A76">
        <w:rPr>
          <w:rFonts w:ascii="Arial" w:hAnsi="Arial" w:cs="Arial"/>
          <w:sz w:val="20"/>
          <w:szCs w:val="20"/>
        </w:rPr>
        <w:t xml:space="preserve"> refiners</w:t>
      </w:r>
      <w:r w:rsidR="001F0479" w:rsidRPr="006E7A76">
        <w:rPr>
          <w:rFonts w:ascii="Arial" w:hAnsi="Arial" w:cs="Arial"/>
          <w:sz w:val="20"/>
          <w:szCs w:val="20"/>
        </w:rPr>
        <w:t xml:space="preserve"> in Prahova County</w:t>
      </w:r>
      <w:r w:rsidRPr="006E7A76">
        <w:rPr>
          <w:rFonts w:ascii="Arial" w:hAnsi="Arial" w:cs="Arial"/>
          <w:sz w:val="20"/>
          <w:szCs w:val="20"/>
        </w:rPr>
        <w:t xml:space="preserve">, we </w:t>
      </w:r>
      <w:r w:rsidR="00D9753D" w:rsidRPr="006E7A76">
        <w:rPr>
          <w:rFonts w:ascii="Arial" w:hAnsi="Arial" w:cs="Arial"/>
          <w:sz w:val="20"/>
          <w:szCs w:val="20"/>
        </w:rPr>
        <w:t>observed</w:t>
      </w:r>
      <w:r w:rsidRPr="006E7A76">
        <w:rPr>
          <w:rFonts w:ascii="Arial" w:hAnsi="Arial" w:cs="Arial"/>
          <w:sz w:val="20"/>
          <w:szCs w:val="20"/>
        </w:rPr>
        <w:t xml:space="preserve"> the following issues</w:t>
      </w:r>
      <w:r w:rsidR="00D9753D" w:rsidRPr="006E7A76">
        <w:rPr>
          <w:rFonts w:ascii="Arial" w:hAnsi="Arial" w:cs="Arial"/>
          <w:sz w:val="20"/>
          <w:szCs w:val="20"/>
        </w:rPr>
        <w:t>:</w:t>
      </w:r>
      <w:r w:rsidRPr="006E7A76">
        <w:rPr>
          <w:rFonts w:ascii="Arial" w:hAnsi="Arial" w:cs="Arial"/>
          <w:sz w:val="20"/>
          <w:szCs w:val="20"/>
        </w:rPr>
        <w:t xml:space="preserve"> </w:t>
      </w:r>
    </w:p>
    <w:p w14:paraId="39247546" w14:textId="05D92099" w:rsidR="00906BD2" w:rsidRPr="006E7A76" w:rsidRDefault="00D9753D" w:rsidP="00906BD2">
      <w:pPr>
        <w:pStyle w:val="ListParagraph"/>
        <w:numPr>
          <w:ilvl w:val="0"/>
          <w:numId w:val="348"/>
        </w:numPr>
        <w:spacing w:after="120"/>
        <w:jc w:val="both"/>
        <w:rPr>
          <w:sz w:val="20"/>
          <w:szCs w:val="20"/>
        </w:rPr>
      </w:pPr>
      <w:r w:rsidRPr="006E7A76">
        <w:rPr>
          <w:sz w:val="20"/>
          <w:szCs w:val="20"/>
        </w:rPr>
        <w:t>N</w:t>
      </w:r>
      <w:r w:rsidR="00906BD2" w:rsidRPr="006E7A76">
        <w:rPr>
          <w:sz w:val="20"/>
          <w:szCs w:val="20"/>
        </w:rPr>
        <w:t>ew investments that reach the board for analysis have to achieve a minimum of 15% IRR (internal rate of return)</w:t>
      </w:r>
    </w:p>
    <w:p w14:paraId="46B3D532" w14:textId="04A1D265" w:rsidR="00906BD2" w:rsidRPr="006E7A76" w:rsidRDefault="00906BD2" w:rsidP="00906BD2">
      <w:pPr>
        <w:pStyle w:val="ListParagraph"/>
        <w:numPr>
          <w:ilvl w:val="0"/>
          <w:numId w:val="348"/>
        </w:numPr>
        <w:spacing w:after="120"/>
        <w:jc w:val="both"/>
        <w:rPr>
          <w:sz w:val="20"/>
          <w:szCs w:val="20"/>
        </w:rPr>
      </w:pPr>
      <w:r w:rsidRPr="006E7A76">
        <w:rPr>
          <w:sz w:val="20"/>
          <w:szCs w:val="20"/>
        </w:rPr>
        <w:t xml:space="preserve">Biorefineries are currently in a conceptual stage and significant resources for analysis and research are not </w:t>
      </w:r>
      <w:r w:rsidR="00D9753D" w:rsidRPr="006E7A76">
        <w:rPr>
          <w:sz w:val="20"/>
          <w:szCs w:val="20"/>
        </w:rPr>
        <w:t xml:space="preserve">currently </w:t>
      </w:r>
      <w:r w:rsidRPr="006E7A76">
        <w:rPr>
          <w:sz w:val="20"/>
          <w:szCs w:val="20"/>
        </w:rPr>
        <w:t xml:space="preserve">on the table </w:t>
      </w:r>
      <w:r w:rsidR="00D9753D" w:rsidRPr="006E7A76">
        <w:rPr>
          <w:sz w:val="20"/>
          <w:szCs w:val="20"/>
        </w:rPr>
        <w:t>since</w:t>
      </w:r>
      <w:r w:rsidRPr="006E7A76">
        <w:rPr>
          <w:sz w:val="20"/>
          <w:szCs w:val="20"/>
        </w:rPr>
        <w:t xml:space="preserve"> a funding source is not clearly visible</w:t>
      </w:r>
    </w:p>
    <w:p w14:paraId="7C06C60A" w14:textId="1CFE1D15" w:rsidR="00906BD2" w:rsidRPr="006E7A76" w:rsidRDefault="00906BD2" w:rsidP="00906BD2">
      <w:pPr>
        <w:pStyle w:val="ListParagraph"/>
        <w:numPr>
          <w:ilvl w:val="0"/>
          <w:numId w:val="348"/>
        </w:numPr>
        <w:spacing w:after="120"/>
        <w:jc w:val="both"/>
        <w:rPr>
          <w:sz w:val="20"/>
          <w:szCs w:val="20"/>
        </w:rPr>
      </w:pPr>
      <w:r w:rsidRPr="006E7A76">
        <w:rPr>
          <w:sz w:val="20"/>
          <w:szCs w:val="20"/>
        </w:rPr>
        <w:t>Clari</w:t>
      </w:r>
      <w:r w:rsidR="00D9753D" w:rsidRPr="006E7A76">
        <w:rPr>
          <w:sz w:val="20"/>
          <w:szCs w:val="20"/>
        </w:rPr>
        <w:t>fication of</w:t>
      </w:r>
      <w:r w:rsidRPr="006E7A76">
        <w:rPr>
          <w:sz w:val="20"/>
          <w:szCs w:val="20"/>
        </w:rPr>
        <w:t xml:space="preserve"> </w:t>
      </w:r>
      <w:r w:rsidR="00D9753D" w:rsidRPr="006E7A76">
        <w:rPr>
          <w:sz w:val="20"/>
          <w:szCs w:val="20"/>
        </w:rPr>
        <w:t>JTF</w:t>
      </w:r>
      <w:r w:rsidRPr="006E7A76">
        <w:rPr>
          <w:sz w:val="20"/>
          <w:szCs w:val="20"/>
        </w:rPr>
        <w:t xml:space="preserve"> criteria will </w:t>
      </w:r>
      <w:r w:rsidR="00D9753D" w:rsidRPr="006E7A76">
        <w:rPr>
          <w:sz w:val="20"/>
          <w:szCs w:val="20"/>
        </w:rPr>
        <w:t>encourage</w:t>
      </w:r>
      <w:r w:rsidRPr="006E7A76">
        <w:rPr>
          <w:sz w:val="20"/>
          <w:szCs w:val="20"/>
        </w:rPr>
        <w:t xml:space="preserve"> companies </w:t>
      </w:r>
      <w:r w:rsidR="00D9753D" w:rsidRPr="006E7A76">
        <w:rPr>
          <w:sz w:val="20"/>
          <w:szCs w:val="20"/>
        </w:rPr>
        <w:t xml:space="preserve">to </w:t>
      </w:r>
      <w:r w:rsidRPr="006E7A76">
        <w:rPr>
          <w:sz w:val="20"/>
          <w:szCs w:val="20"/>
        </w:rPr>
        <w:t xml:space="preserve">invest in </w:t>
      </w:r>
      <w:r w:rsidR="00D9753D" w:rsidRPr="006E7A76">
        <w:rPr>
          <w:sz w:val="20"/>
          <w:szCs w:val="20"/>
        </w:rPr>
        <w:t>developing</w:t>
      </w:r>
      <w:r w:rsidRPr="006E7A76">
        <w:rPr>
          <w:sz w:val="20"/>
          <w:szCs w:val="20"/>
        </w:rPr>
        <w:t xml:space="preserve"> projects to qualify for funding</w:t>
      </w:r>
    </w:p>
    <w:p w14:paraId="2AE85689" w14:textId="21279B5E" w:rsidR="00906BD2" w:rsidRPr="006E7A76" w:rsidRDefault="00906BD2" w:rsidP="00906BD2">
      <w:pPr>
        <w:pStyle w:val="ListParagraph"/>
        <w:numPr>
          <w:ilvl w:val="0"/>
          <w:numId w:val="348"/>
        </w:numPr>
        <w:spacing w:after="120"/>
        <w:jc w:val="both"/>
        <w:rPr>
          <w:sz w:val="20"/>
          <w:szCs w:val="20"/>
        </w:rPr>
      </w:pPr>
      <w:r w:rsidRPr="006E7A76">
        <w:rPr>
          <w:sz w:val="20"/>
          <w:szCs w:val="20"/>
        </w:rPr>
        <w:t xml:space="preserve">Projects that have commercial value on their own without public funding are given the resources to advance </w:t>
      </w:r>
      <w:r w:rsidR="00D9753D" w:rsidRPr="006E7A76">
        <w:rPr>
          <w:sz w:val="20"/>
          <w:szCs w:val="20"/>
        </w:rPr>
        <w:t xml:space="preserve">them </w:t>
      </w:r>
      <w:r w:rsidRPr="006E7A76">
        <w:rPr>
          <w:sz w:val="20"/>
          <w:szCs w:val="20"/>
        </w:rPr>
        <w:t>from concept to reality</w:t>
      </w:r>
    </w:p>
    <w:p w14:paraId="2E4C84A3" w14:textId="5EEF98F6" w:rsidR="00906BD2" w:rsidRPr="006E7A76" w:rsidRDefault="00906BD2" w:rsidP="00906BD2">
      <w:pPr>
        <w:spacing w:after="120"/>
        <w:jc w:val="both"/>
        <w:rPr>
          <w:rFonts w:ascii="Arial" w:hAnsi="Arial" w:cs="Arial"/>
          <w:sz w:val="20"/>
          <w:szCs w:val="20"/>
        </w:rPr>
      </w:pPr>
      <w:r w:rsidRPr="006E7A76">
        <w:rPr>
          <w:rFonts w:ascii="Arial" w:hAnsi="Arial" w:cs="Arial"/>
          <w:sz w:val="20"/>
          <w:szCs w:val="20"/>
        </w:rPr>
        <w:t xml:space="preserve">Generally, biorefineries are an interesting conceptual topic for local refiners </w:t>
      </w:r>
      <w:r w:rsidR="002A3576" w:rsidRPr="006E7A76">
        <w:rPr>
          <w:rFonts w:ascii="Arial" w:hAnsi="Arial" w:cs="Arial"/>
          <w:sz w:val="20"/>
          <w:szCs w:val="20"/>
        </w:rPr>
        <w:t>since</w:t>
      </w:r>
      <w:r w:rsidRPr="006E7A76">
        <w:rPr>
          <w:rFonts w:ascii="Arial" w:hAnsi="Arial" w:cs="Arial"/>
          <w:sz w:val="20"/>
          <w:szCs w:val="20"/>
        </w:rPr>
        <w:t xml:space="preserve"> countries </w:t>
      </w:r>
      <w:r w:rsidR="002A3576" w:rsidRPr="006E7A76">
        <w:rPr>
          <w:rFonts w:ascii="Arial" w:hAnsi="Arial" w:cs="Arial"/>
          <w:sz w:val="20"/>
          <w:szCs w:val="20"/>
        </w:rPr>
        <w:t>like the</w:t>
      </w:r>
      <w:r w:rsidRPr="006E7A76">
        <w:rPr>
          <w:rFonts w:ascii="Arial" w:hAnsi="Arial" w:cs="Arial"/>
          <w:sz w:val="20"/>
          <w:szCs w:val="20"/>
        </w:rPr>
        <w:t xml:space="preserve"> Netherlands or Italy </w:t>
      </w:r>
      <w:r w:rsidR="002A3576" w:rsidRPr="006E7A76">
        <w:rPr>
          <w:rFonts w:ascii="Arial" w:hAnsi="Arial" w:cs="Arial"/>
          <w:sz w:val="20"/>
          <w:szCs w:val="20"/>
        </w:rPr>
        <w:t xml:space="preserve">have shown </w:t>
      </w:r>
      <w:r w:rsidRPr="006E7A76">
        <w:rPr>
          <w:rFonts w:ascii="Arial" w:hAnsi="Arial" w:cs="Arial"/>
          <w:sz w:val="20"/>
          <w:szCs w:val="20"/>
        </w:rPr>
        <w:t>how they can come to fruition</w:t>
      </w:r>
      <w:r w:rsidR="002A3576" w:rsidRPr="006E7A76">
        <w:rPr>
          <w:rFonts w:ascii="Arial" w:hAnsi="Arial" w:cs="Arial"/>
          <w:sz w:val="20"/>
          <w:szCs w:val="20"/>
        </w:rPr>
        <w:t>.</w:t>
      </w:r>
      <w:r w:rsidRPr="006E7A76">
        <w:rPr>
          <w:rFonts w:ascii="Arial" w:hAnsi="Arial" w:cs="Arial"/>
          <w:sz w:val="20"/>
          <w:szCs w:val="20"/>
        </w:rPr>
        <w:t xml:space="preserve"> </w:t>
      </w:r>
      <w:r w:rsidR="002A3576" w:rsidRPr="006E7A76">
        <w:rPr>
          <w:rFonts w:ascii="Arial" w:hAnsi="Arial" w:cs="Arial"/>
          <w:sz w:val="20"/>
          <w:szCs w:val="20"/>
        </w:rPr>
        <w:t>However,</w:t>
      </w:r>
      <w:r w:rsidRPr="006E7A76">
        <w:rPr>
          <w:rFonts w:ascii="Arial" w:hAnsi="Arial" w:cs="Arial"/>
          <w:sz w:val="20"/>
          <w:szCs w:val="20"/>
        </w:rPr>
        <w:t xml:space="preserve"> they are a costly investment, up to </w:t>
      </w:r>
      <w:r w:rsidR="001F0479" w:rsidRPr="006E7A76">
        <w:rPr>
          <w:rFonts w:ascii="Arial" w:hAnsi="Arial" w:cs="Arial"/>
          <w:sz w:val="20"/>
          <w:szCs w:val="20"/>
        </w:rPr>
        <w:t xml:space="preserve">EUR </w:t>
      </w:r>
      <w:r w:rsidRPr="006E7A76">
        <w:rPr>
          <w:rFonts w:ascii="Arial" w:hAnsi="Arial" w:cs="Arial"/>
          <w:sz w:val="20"/>
          <w:szCs w:val="20"/>
        </w:rPr>
        <w:t xml:space="preserve">500 </w:t>
      </w:r>
      <w:r w:rsidR="001F0479" w:rsidRPr="006E7A76">
        <w:rPr>
          <w:rFonts w:ascii="Arial" w:hAnsi="Arial" w:cs="Arial"/>
          <w:sz w:val="20"/>
          <w:szCs w:val="20"/>
        </w:rPr>
        <w:t xml:space="preserve">million </w:t>
      </w:r>
      <w:r w:rsidRPr="006E7A76">
        <w:rPr>
          <w:rFonts w:ascii="Arial" w:hAnsi="Arial" w:cs="Arial"/>
          <w:sz w:val="20"/>
          <w:szCs w:val="20"/>
        </w:rPr>
        <w:t xml:space="preserve">and require significant capital for more advanced studies. </w:t>
      </w:r>
      <w:r w:rsidR="002A3576" w:rsidRPr="006E7A76">
        <w:rPr>
          <w:rFonts w:ascii="Arial" w:hAnsi="Arial" w:cs="Arial"/>
          <w:sz w:val="20"/>
          <w:szCs w:val="20"/>
        </w:rPr>
        <w:t>B</w:t>
      </w:r>
      <w:r w:rsidRPr="006E7A76">
        <w:rPr>
          <w:rFonts w:ascii="Arial" w:hAnsi="Arial" w:cs="Arial"/>
          <w:sz w:val="20"/>
          <w:szCs w:val="20"/>
        </w:rPr>
        <w:t xml:space="preserve">iorefineries </w:t>
      </w:r>
      <w:r w:rsidR="002A3576" w:rsidRPr="006E7A76">
        <w:rPr>
          <w:rFonts w:ascii="Arial" w:hAnsi="Arial" w:cs="Arial"/>
          <w:sz w:val="20"/>
          <w:szCs w:val="20"/>
        </w:rPr>
        <w:t>also</w:t>
      </w:r>
      <w:r w:rsidRPr="006E7A76">
        <w:rPr>
          <w:rFonts w:ascii="Arial" w:hAnsi="Arial" w:cs="Arial"/>
          <w:sz w:val="20"/>
          <w:szCs w:val="20"/>
        </w:rPr>
        <w:t xml:space="preserve"> require stable supplies of feedstock</w:t>
      </w:r>
      <w:r w:rsidR="002A3576" w:rsidRPr="006E7A76">
        <w:rPr>
          <w:rFonts w:ascii="Arial" w:hAnsi="Arial" w:cs="Arial"/>
          <w:sz w:val="20"/>
          <w:szCs w:val="20"/>
        </w:rPr>
        <w:t>,</w:t>
      </w:r>
      <w:r w:rsidRPr="006E7A76">
        <w:rPr>
          <w:rFonts w:ascii="Arial" w:hAnsi="Arial" w:cs="Arial"/>
          <w:sz w:val="20"/>
          <w:szCs w:val="20"/>
        </w:rPr>
        <w:t xml:space="preserve"> which are not necessarily easy to organi</w:t>
      </w:r>
      <w:r w:rsidR="002A3576" w:rsidRPr="006E7A76">
        <w:rPr>
          <w:rFonts w:ascii="Arial" w:hAnsi="Arial" w:cs="Arial"/>
          <w:sz w:val="20"/>
          <w:szCs w:val="20"/>
        </w:rPr>
        <w:t>s</w:t>
      </w:r>
      <w:r w:rsidRPr="006E7A76">
        <w:rPr>
          <w:rFonts w:ascii="Arial" w:hAnsi="Arial" w:cs="Arial"/>
          <w:sz w:val="20"/>
          <w:szCs w:val="20"/>
        </w:rPr>
        <w:t xml:space="preserve">e and maintain. </w:t>
      </w:r>
    </w:p>
    <w:p w14:paraId="659C2192" w14:textId="3257106C" w:rsidR="00906BD2" w:rsidRPr="006E7A76" w:rsidRDefault="00906BD2" w:rsidP="00A2362B">
      <w:pPr>
        <w:spacing w:after="120"/>
        <w:jc w:val="both"/>
        <w:rPr>
          <w:rFonts w:ascii="Arial" w:hAnsi="Arial" w:cs="Arial"/>
          <w:sz w:val="20"/>
          <w:szCs w:val="20"/>
        </w:rPr>
      </w:pPr>
      <w:r w:rsidRPr="006E7A76">
        <w:rPr>
          <w:rFonts w:ascii="Arial" w:hAnsi="Arial" w:cs="Arial"/>
          <w:sz w:val="20"/>
          <w:szCs w:val="20"/>
        </w:rPr>
        <w:t>While a significant number of projects that we reviewed for this analysis are close to statements of intention without solid research and analysis behind them, projects in Prahova related to biorefineries are less advanced than those in Gala</w:t>
      </w:r>
      <w:r w:rsidR="001F0479" w:rsidRPr="006E7A76">
        <w:rPr>
          <w:rFonts w:ascii="Arial" w:hAnsi="Arial" w:cs="Arial"/>
          <w:sz w:val="20"/>
          <w:szCs w:val="20"/>
        </w:rPr>
        <w:t>ț</w:t>
      </w:r>
      <w:r w:rsidRPr="006E7A76">
        <w:rPr>
          <w:rFonts w:ascii="Arial" w:hAnsi="Arial" w:cs="Arial"/>
          <w:sz w:val="20"/>
          <w:szCs w:val="20"/>
        </w:rPr>
        <w:t>i and Mure</w:t>
      </w:r>
      <w:r w:rsidR="001F0479" w:rsidRPr="006E7A76">
        <w:rPr>
          <w:rFonts w:ascii="Arial" w:hAnsi="Arial" w:cs="Arial"/>
          <w:sz w:val="20"/>
          <w:szCs w:val="20"/>
        </w:rPr>
        <w:t>ș</w:t>
      </w:r>
      <w:r w:rsidRPr="006E7A76">
        <w:rPr>
          <w:rFonts w:ascii="Arial" w:hAnsi="Arial" w:cs="Arial"/>
          <w:sz w:val="20"/>
          <w:szCs w:val="20"/>
        </w:rPr>
        <w:t>.</w:t>
      </w:r>
    </w:p>
    <w:bookmarkEnd w:id="258"/>
    <w:p w14:paraId="5AA41607" w14:textId="6F54E4AE" w:rsidR="00931AF2" w:rsidRPr="001E152C" w:rsidRDefault="00931AF2" w:rsidP="00E42342">
      <w:pPr>
        <w:pStyle w:val="ListParagraph"/>
        <w:numPr>
          <w:ilvl w:val="0"/>
          <w:numId w:val="294"/>
        </w:numPr>
        <w:spacing w:before="120" w:after="120" w:line="240" w:lineRule="auto"/>
        <w:ind w:left="810" w:hanging="810"/>
        <w:jc w:val="both"/>
        <w:rPr>
          <w:color w:val="4F81BD" w:themeColor="accent1"/>
          <w:sz w:val="20"/>
          <w:szCs w:val="20"/>
        </w:rPr>
      </w:pPr>
      <w:r>
        <w:rPr>
          <w:color w:val="4F81BD" w:themeColor="accent1"/>
          <w:sz w:val="20"/>
          <w:szCs w:val="20"/>
        </w:rPr>
        <w:t>Energy poverty and district heating</w:t>
      </w:r>
    </w:p>
    <w:p w14:paraId="379F9A6A" w14:textId="4F58CCBF" w:rsidR="00DE2577" w:rsidRDefault="00DE2577" w:rsidP="00A2362B">
      <w:pPr>
        <w:pStyle w:val="NormalWeb"/>
        <w:spacing w:before="0" w:beforeAutospacing="0" w:after="120" w:afterAutospacing="0"/>
        <w:jc w:val="both"/>
        <w:rPr>
          <w:rFonts w:ascii="Arial" w:hAnsi="Arial" w:cs="Arial"/>
          <w:color w:val="000000"/>
          <w:sz w:val="20"/>
          <w:szCs w:val="20"/>
        </w:rPr>
      </w:pPr>
      <w:r w:rsidRPr="00402580">
        <w:rPr>
          <w:rFonts w:ascii="Arial" w:hAnsi="Arial" w:cs="Arial"/>
          <w:sz w:val="20"/>
          <w:szCs w:val="20"/>
        </w:rPr>
        <w:t xml:space="preserve">In terms of </w:t>
      </w:r>
      <w:r w:rsidRPr="00402580">
        <w:rPr>
          <w:rFonts w:ascii="Arial" w:hAnsi="Arial" w:cs="Arial"/>
          <w:b/>
          <w:bCs/>
          <w:sz w:val="20"/>
          <w:szCs w:val="20"/>
        </w:rPr>
        <w:t>energy poverty</w:t>
      </w:r>
      <w:r w:rsidRPr="00402580">
        <w:rPr>
          <w:rFonts w:ascii="Arial" w:hAnsi="Arial" w:cs="Arial"/>
          <w:sz w:val="20"/>
          <w:szCs w:val="20"/>
        </w:rPr>
        <w:t xml:space="preserve">, Prahova has a population of 789,935 in 285,175 households, an average population of 2.77 per </w:t>
      </w:r>
      <w:r w:rsidRPr="003516DC">
        <w:rPr>
          <w:rFonts w:ascii="Arial" w:hAnsi="Arial" w:cs="Arial"/>
          <w:color w:val="000000"/>
          <w:sz w:val="20"/>
          <w:szCs w:val="20"/>
        </w:rPr>
        <w:t xml:space="preserve">household. 49% of the population lives in rural areas, 51% in urban areas. It has a fairly good level of connectivity to the gas grid, with </w:t>
      </w:r>
      <w:r w:rsidR="003173A1">
        <w:rPr>
          <w:rFonts w:ascii="Arial" w:hAnsi="Arial" w:cs="Arial"/>
          <w:color w:val="000000"/>
          <w:sz w:val="20"/>
          <w:szCs w:val="20"/>
        </w:rPr>
        <w:t xml:space="preserve">only </w:t>
      </w:r>
      <w:r w:rsidRPr="003516DC">
        <w:rPr>
          <w:rFonts w:ascii="Arial" w:hAnsi="Arial" w:cs="Arial"/>
          <w:color w:val="000000"/>
          <w:sz w:val="20"/>
          <w:szCs w:val="20"/>
        </w:rPr>
        <w:t>41% of rural households not connected. Prahova has the highest GDP per capita</w:t>
      </w:r>
      <w:r w:rsidR="003173A1">
        <w:rPr>
          <w:rFonts w:ascii="Arial" w:hAnsi="Arial" w:cs="Arial"/>
          <w:color w:val="000000"/>
          <w:sz w:val="20"/>
          <w:szCs w:val="20"/>
        </w:rPr>
        <w:t xml:space="preserve"> of the six target regions</w:t>
      </w:r>
      <w:r w:rsidRPr="003516DC">
        <w:rPr>
          <w:rFonts w:ascii="Arial" w:hAnsi="Arial" w:cs="Arial"/>
          <w:color w:val="000000"/>
          <w:sz w:val="20"/>
          <w:szCs w:val="20"/>
        </w:rPr>
        <w:t xml:space="preserve">, </w:t>
      </w:r>
      <w:r w:rsidR="003173A1">
        <w:rPr>
          <w:rFonts w:ascii="Arial" w:hAnsi="Arial" w:cs="Arial"/>
          <w:color w:val="000000"/>
          <w:sz w:val="20"/>
          <w:szCs w:val="20"/>
        </w:rPr>
        <w:t xml:space="preserve">EUR </w:t>
      </w:r>
      <w:r w:rsidRPr="003516DC">
        <w:rPr>
          <w:rFonts w:ascii="Arial" w:hAnsi="Arial" w:cs="Arial"/>
          <w:color w:val="000000"/>
          <w:sz w:val="20"/>
          <w:szCs w:val="20"/>
        </w:rPr>
        <w:t>12</w:t>
      </w:r>
      <w:r w:rsidR="003173A1">
        <w:rPr>
          <w:rFonts w:ascii="Arial" w:hAnsi="Arial" w:cs="Arial"/>
          <w:color w:val="000000"/>
          <w:sz w:val="20"/>
          <w:szCs w:val="20"/>
        </w:rPr>
        <w:t>,</w:t>
      </w:r>
      <w:r w:rsidRPr="003516DC">
        <w:rPr>
          <w:rFonts w:ascii="Arial" w:hAnsi="Arial" w:cs="Arial"/>
          <w:color w:val="000000"/>
          <w:sz w:val="20"/>
          <w:szCs w:val="20"/>
        </w:rPr>
        <w:t>609</w:t>
      </w:r>
      <w:r w:rsidR="003173A1">
        <w:rPr>
          <w:rFonts w:ascii="Arial" w:hAnsi="Arial" w:cs="Arial"/>
          <w:color w:val="000000"/>
          <w:sz w:val="20"/>
          <w:szCs w:val="20"/>
        </w:rPr>
        <w:t>.</w:t>
      </w:r>
      <w:r w:rsidRPr="003516DC">
        <w:rPr>
          <w:rFonts w:ascii="Arial" w:hAnsi="Arial" w:cs="Arial"/>
          <w:color w:val="000000"/>
          <w:sz w:val="20"/>
          <w:szCs w:val="20"/>
        </w:rPr>
        <w:t xml:space="preserve"> </w:t>
      </w:r>
      <w:r w:rsidR="003173A1">
        <w:rPr>
          <w:rFonts w:ascii="Arial" w:hAnsi="Arial" w:cs="Arial"/>
          <w:color w:val="000000"/>
          <w:sz w:val="20"/>
          <w:szCs w:val="20"/>
        </w:rPr>
        <w:t xml:space="preserve">It is </w:t>
      </w:r>
      <w:r w:rsidRPr="003516DC">
        <w:rPr>
          <w:rFonts w:ascii="Arial" w:hAnsi="Arial" w:cs="Arial"/>
          <w:color w:val="000000"/>
          <w:sz w:val="20"/>
          <w:szCs w:val="20"/>
        </w:rPr>
        <w:t xml:space="preserve">the only </w:t>
      </w:r>
      <w:r w:rsidR="003173A1">
        <w:rPr>
          <w:rFonts w:ascii="Arial" w:hAnsi="Arial" w:cs="Arial"/>
          <w:color w:val="000000"/>
          <w:sz w:val="20"/>
          <w:szCs w:val="20"/>
        </w:rPr>
        <w:t xml:space="preserve">county </w:t>
      </w:r>
      <w:r w:rsidRPr="003516DC">
        <w:rPr>
          <w:rFonts w:ascii="Arial" w:hAnsi="Arial" w:cs="Arial"/>
          <w:color w:val="000000"/>
          <w:sz w:val="20"/>
          <w:szCs w:val="20"/>
        </w:rPr>
        <w:t>above the national average</w:t>
      </w:r>
      <w:r w:rsidR="003173A1">
        <w:rPr>
          <w:rFonts w:ascii="Arial" w:hAnsi="Arial" w:cs="Arial"/>
          <w:color w:val="000000"/>
          <w:sz w:val="20"/>
          <w:szCs w:val="20"/>
        </w:rPr>
        <w:t xml:space="preserve"> as it</w:t>
      </w:r>
      <w:r w:rsidRPr="003516DC">
        <w:rPr>
          <w:rFonts w:ascii="Arial" w:hAnsi="Arial" w:cs="Arial"/>
          <w:color w:val="000000"/>
          <w:sz w:val="20"/>
          <w:szCs w:val="20"/>
        </w:rPr>
        <w:t xml:space="preserve"> benefi</w:t>
      </w:r>
      <w:r w:rsidR="003173A1">
        <w:rPr>
          <w:rFonts w:ascii="Arial" w:hAnsi="Arial" w:cs="Arial"/>
          <w:color w:val="000000"/>
          <w:sz w:val="20"/>
          <w:szCs w:val="20"/>
        </w:rPr>
        <w:t>ts</w:t>
      </w:r>
      <w:r w:rsidRPr="003516DC">
        <w:rPr>
          <w:rFonts w:ascii="Arial" w:hAnsi="Arial" w:cs="Arial"/>
          <w:color w:val="000000"/>
          <w:sz w:val="20"/>
          <w:szCs w:val="20"/>
        </w:rPr>
        <w:t xml:space="preserve"> from proximity to Bucharest</w:t>
      </w:r>
      <w:r w:rsidR="003173A1">
        <w:rPr>
          <w:rFonts w:ascii="Arial" w:hAnsi="Arial" w:cs="Arial"/>
          <w:color w:val="000000"/>
          <w:sz w:val="20"/>
          <w:szCs w:val="20"/>
        </w:rPr>
        <w:t xml:space="preserve"> </w:t>
      </w:r>
      <w:r w:rsidRPr="003516DC">
        <w:rPr>
          <w:rFonts w:ascii="Arial" w:hAnsi="Arial" w:cs="Arial"/>
          <w:color w:val="000000"/>
          <w:sz w:val="20"/>
          <w:szCs w:val="20"/>
        </w:rPr>
        <w:t xml:space="preserve">and </w:t>
      </w:r>
      <w:r w:rsidR="003173A1">
        <w:rPr>
          <w:rFonts w:ascii="Arial" w:hAnsi="Arial" w:cs="Arial"/>
          <w:color w:val="000000"/>
          <w:sz w:val="20"/>
          <w:szCs w:val="20"/>
        </w:rPr>
        <w:t xml:space="preserve">has </w:t>
      </w:r>
      <w:r w:rsidRPr="003516DC">
        <w:rPr>
          <w:rFonts w:ascii="Arial" w:hAnsi="Arial" w:cs="Arial"/>
          <w:color w:val="000000"/>
          <w:sz w:val="20"/>
          <w:szCs w:val="20"/>
        </w:rPr>
        <w:t xml:space="preserve">a low unemployment rate </w:t>
      </w:r>
      <w:r w:rsidR="003173A1">
        <w:rPr>
          <w:rFonts w:ascii="Arial" w:hAnsi="Arial" w:cs="Arial"/>
          <w:color w:val="000000"/>
          <w:sz w:val="20"/>
          <w:szCs w:val="20"/>
        </w:rPr>
        <w:t>of</w:t>
      </w:r>
      <w:r w:rsidRPr="003516DC">
        <w:rPr>
          <w:rFonts w:ascii="Arial" w:hAnsi="Arial" w:cs="Arial"/>
          <w:color w:val="000000"/>
          <w:sz w:val="20"/>
          <w:szCs w:val="20"/>
        </w:rPr>
        <w:t xml:space="preserve"> 2</w:t>
      </w:r>
      <w:r w:rsidR="003173A1">
        <w:rPr>
          <w:rFonts w:ascii="Arial" w:hAnsi="Arial" w:cs="Arial"/>
          <w:color w:val="000000"/>
          <w:sz w:val="20"/>
          <w:szCs w:val="20"/>
        </w:rPr>
        <w:t>.</w:t>
      </w:r>
      <w:r w:rsidRPr="003516DC">
        <w:rPr>
          <w:rFonts w:ascii="Arial" w:hAnsi="Arial" w:cs="Arial"/>
          <w:color w:val="000000"/>
          <w:sz w:val="20"/>
          <w:szCs w:val="20"/>
        </w:rPr>
        <w:t xml:space="preserve">7%. The higher quality of life compared to the other counties is also reflected </w:t>
      </w:r>
      <w:r w:rsidR="003173A1">
        <w:rPr>
          <w:rFonts w:ascii="Arial" w:hAnsi="Arial" w:cs="Arial"/>
          <w:color w:val="000000"/>
          <w:sz w:val="20"/>
          <w:szCs w:val="20"/>
        </w:rPr>
        <w:t>by</w:t>
      </w:r>
      <w:r w:rsidRPr="003516DC">
        <w:rPr>
          <w:rFonts w:ascii="Arial" w:hAnsi="Arial" w:cs="Arial"/>
          <w:color w:val="000000"/>
          <w:sz w:val="20"/>
          <w:szCs w:val="20"/>
        </w:rPr>
        <w:t xml:space="preserve"> lower energy poverty rates, with about a third of households estimated to be energy poor </w:t>
      </w:r>
      <w:r w:rsidR="003173A1">
        <w:rPr>
          <w:rFonts w:ascii="Arial" w:hAnsi="Arial" w:cs="Arial"/>
          <w:color w:val="000000"/>
          <w:sz w:val="20"/>
          <w:szCs w:val="20"/>
        </w:rPr>
        <w:t>(</w:t>
      </w:r>
      <w:r w:rsidRPr="003516DC">
        <w:rPr>
          <w:rFonts w:ascii="Arial" w:hAnsi="Arial" w:cs="Arial"/>
          <w:color w:val="000000"/>
          <w:sz w:val="20"/>
          <w:szCs w:val="20"/>
        </w:rPr>
        <w:t xml:space="preserve">with lower </w:t>
      </w:r>
      <w:r w:rsidR="003173A1">
        <w:rPr>
          <w:rFonts w:ascii="Arial" w:hAnsi="Arial" w:cs="Arial"/>
          <w:color w:val="000000"/>
          <w:sz w:val="20"/>
          <w:szCs w:val="20"/>
        </w:rPr>
        <w:t xml:space="preserve">relative </w:t>
      </w:r>
      <w:r w:rsidRPr="003516DC">
        <w:rPr>
          <w:rFonts w:ascii="Arial" w:hAnsi="Arial" w:cs="Arial"/>
          <w:color w:val="000000"/>
          <w:sz w:val="20"/>
          <w:szCs w:val="20"/>
        </w:rPr>
        <w:t>increases during winter</w:t>
      </w:r>
      <w:r w:rsidR="003173A1">
        <w:rPr>
          <w:rFonts w:ascii="Arial" w:hAnsi="Arial" w:cs="Arial"/>
          <w:color w:val="000000"/>
          <w:sz w:val="20"/>
          <w:szCs w:val="20"/>
        </w:rPr>
        <w:t>)</w:t>
      </w:r>
      <w:r w:rsidRPr="003516DC">
        <w:rPr>
          <w:rFonts w:ascii="Arial" w:hAnsi="Arial" w:cs="Arial"/>
          <w:color w:val="000000"/>
          <w:sz w:val="20"/>
          <w:szCs w:val="20"/>
        </w:rPr>
        <w:t>. </w:t>
      </w:r>
    </w:p>
    <w:p w14:paraId="567E478B" w14:textId="3B20E482" w:rsidR="00DE2577" w:rsidRDefault="003173A1" w:rsidP="00931AF2">
      <w:pPr>
        <w:spacing w:after="120"/>
        <w:jc w:val="both"/>
        <w:rPr>
          <w:rFonts w:ascii="Arial" w:hAnsi="Arial" w:cs="Arial"/>
          <w:sz w:val="20"/>
          <w:szCs w:val="20"/>
        </w:rPr>
      </w:pPr>
      <w:r>
        <w:rPr>
          <w:rFonts w:ascii="Arial" w:hAnsi="Arial" w:cs="Arial"/>
          <w:sz w:val="20"/>
          <w:szCs w:val="20"/>
        </w:rPr>
        <w:t>F</w:t>
      </w:r>
      <w:r w:rsidR="00DE2577" w:rsidRPr="003516DC">
        <w:rPr>
          <w:rFonts w:ascii="Arial" w:hAnsi="Arial" w:cs="Arial"/>
          <w:sz w:val="20"/>
          <w:szCs w:val="20"/>
        </w:rPr>
        <w:t xml:space="preserve">igure </w:t>
      </w:r>
      <w:r w:rsidR="00931AF2">
        <w:rPr>
          <w:rFonts w:ascii="Arial" w:hAnsi="Arial" w:cs="Arial"/>
          <w:sz w:val="20"/>
          <w:szCs w:val="20"/>
        </w:rPr>
        <w:t>20</w:t>
      </w:r>
      <w:r>
        <w:rPr>
          <w:rFonts w:ascii="Arial" w:hAnsi="Arial" w:cs="Arial"/>
          <w:sz w:val="20"/>
          <w:szCs w:val="20"/>
        </w:rPr>
        <w:t xml:space="preserve"> </w:t>
      </w:r>
      <w:r w:rsidR="00DE2577" w:rsidRPr="003516DC">
        <w:rPr>
          <w:rFonts w:ascii="Arial" w:hAnsi="Arial" w:cs="Arial"/>
          <w:sz w:val="20"/>
          <w:szCs w:val="20"/>
        </w:rPr>
        <w:t>show</w:t>
      </w:r>
      <w:r w:rsidR="00DE2577">
        <w:rPr>
          <w:rFonts w:ascii="Arial" w:hAnsi="Arial" w:cs="Arial"/>
          <w:sz w:val="20"/>
          <w:szCs w:val="20"/>
        </w:rPr>
        <w:t>s</w:t>
      </w:r>
      <w:r w:rsidR="00DE2577" w:rsidRPr="003516DC">
        <w:rPr>
          <w:rFonts w:ascii="Arial" w:hAnsi="Arial" w:cs="Arial"/>
          <w:sz w:val="20"/>
          <w:szCs w:val="20"/>
        </w:rPr>
        <w:t xml:space="preserve"> the intensity of gas consumption in</w:t>
      </w:r>
      <w:r w:rsidR="00DE2577">
        <w:rPr>
          <w:rFonts w:ascii="Arial" w:hAnsi="Arial" w:cs="Arial"/>
          <w:sz w:val="20"/>
          <w:szCs w:val="20"/>
        </w:rPr>
        <w:t xml:space="preserve"> Prahova </w:t>
      </w:r>
      <w:r>
        <w:rPr>
          <w:rFonts w:ascii="Arial" w:hAnsi="Arial" w:cs="Arial"/>
          <w:sz w:val="20"/>
          <w:szCs w:val="20"/>
        </w:rPr>
        <w:t>C</w:t>
      </w:r>
      <w:r w:rsidR="00DE2577">
        <w:rPr>
          <w:rFonts w:ascii="Arial" w:hAnsi="Arial" w:cs="Arial"/>
          <w:sz w:val="20"/>
          <w:szCs w:val="20"/>
        </w:rPr>
        <w:t>ounty</w:t>
      </w:r>
      <w:r w:rsidR="00DE2577" w:rsidRPr="003516DC">
        <w:rPr>
          <w:rFonts w:ascii="Arial" w:hAnsi="Arial" w:cs="Arial"/>
          <w:sz w:val="20"/>
          <w:szCs w:val="20"/>
        </w:rPr>
        <w:t>. Th</w:t>
      </w:r>
      <w:r>
        <w:rPr>
          <w:rFonts w:ascii="Arial" w:hAnsi="Arial" w:cs="Arial"/>
          <w:sz w:val="20"/>
          <w:szCs w:val="20"/>
        </w:rPr>
        <w:t>e figure</w:t>
      </w:r>
      <w:r w:rsidR="00DE2577" w:rsidRPr="003516DC">
        <w:rPr>
          <w:rFonts w:ascii="Arial" w:hAnsi="Arial" w:cs="Arial"/>
          <w:sz w:val="20"/>
          <w:szCs w:val="20"/>
        </w:rPr>
        <w:t xml:space="preserve"> illustrate</w:t>
      </w:r>
      <w:r w:rsidR="00DE2577">
        <w:rPr>
          <w:rFonts w:ascii="Arial" w:hAnsi="Arial" w:cs="Arial"/>
          <w:sz w:val="20"/>
          <w:szCs w:val="20"/>
        </w:rPr>
        <w:t>s</w:t>
      </w:r>
      <w:r w:rsidR="00DE2577" w:rsidRPr="003516DC">
        <w:rPr>
          <w:rFonts w:ascii="Arial" w:hAnsi="Arial" w:cs="Arial"/>
          <w:sz w:val="20"/>
          <w:szCs w:val="20"/>
        </w:rPr>
        <w:t xml:space="preserve"> why, despite connections to the gas grid, many households restrict their natural gas consumption, presumably due to energy poverty</w:t>
      </w:r>
      <w:r w:rsidR="00DE2577">
        <w:rPr>
          <w:rFonts w:ascii="Arial" w:hAnsi="Arial" w:cs="Arial"/>
          <w:sz w:val="20"/>
          <w:szCs w:val="20"/>
        </w:rPr>
        <w:t>.</w:t>
      </w:r>
    </w:p>
    <w:p w14:paraId="5E5121DF" w14:textId="3E3708F6" w:rsidR="00DE2577" w:rsidRPr="003516DC" w:rsidRDefault="00DE2577" w:rsidP="00931AF2">
      <w:pPr>
        <w:pStyle w:val="Caption"/>
        <w:spacing w:before="0"/>
        <w:ind w:left="1138" w:hanging="1138"/>
      </w:pPr>
      <w:bookmarkStart w:id="259" w:name="_Toc90725947"/>
      <w:r w:rsidRPr="003516DC">
        <w:lastRenderedPageBreak/>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20</w:t>
      </w:r>
      <w:r w:rsidRPr="003516DC">
        <w:rPr>
          <w:noProof/>
        </w:rPr>
        <w:fldChar w:fldCharType="end"/>
      </w:r>
      <w:r w:rsidRPr="003516DC">
        <w:t xml:space="preserve">: Residential gas consumption per UAT in Prahova </w:t>
      </w:r>
      <w:r w:rsidR="00931AF2">
        <w:t>C</w:t>
      </w:r>
      <w:r w:rsidRPr="003516DC">
        <w:t>ounty (thousand cubic meters)</w:t>
      </w:r>
      <w:bookmarkEnd w:id="259"/>
    </w:p>
    <w:p w14:paraId="698D4359" w14:textId="77777777" w:rsidR="00DE2577" w:rsidRPr="003516DC" w:rsidRDefault="00DE2577" w:rsidP="00DE2577">
      <w:pPr>
        <w:rPr>
          <w:rFonts w:ascii="Arial" w:hAnsi="Arial" w:cs="Arial"/>
        </w:rPr>
      </w:pPr>
      <w:r w:rsidRPr="00402580">
        <w:rPr>
          <w:rFonts w:ascii="Arial" w:hAnsi="Arial" w:cs="Arial"/>
          <w:noProof/>
          <w:lang w:val="en-US" w:eastAsia="en-US"/>
        </w:rPr>
        <w:drawing>
          <wp:inline distT="0" distB="0" distL="0" distR="0" wp14:anchorId="008178DB" wp14:editId="020618FE">
            <wp:extent cx="5678424" cy="4114800"/>
            <wp:effectExtent l="0" t="0" r="0" b="0"/>
            <wp:docPr id="2087055728" name="Picture 2087055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64">
                      <a:extLst>
                        <a:ext uri="{28A0092B-C50C-407E-A947-70E740481C1C}">
                          <a14:useLocalDpi xmlns:a14="http://schemas.microsoft.com/office/drawing/2010/main" val="0"/>
                        </a:ext>
                      </a:extLst>
                    </a:blip>
                    <a:stretch>
                      <a:fillRect/>
                    </a:stretch>
                  </pic:blipFill>
                  <pic:spPr>
                    <a:xfrm>
                      <a:off x="0" y="0"/>
                      <a:ext cx="5678424" cy="4114800"/>
                    </a:xfrm>
                    <a:prstGeom prst="rect">
                      <a:avLst/>
                    </a:prstGeom>
                  </pic:spPr>
                </pic:pic>
              </a:graphicData>
            </a:graphic>
          </wp:inline>
        </w:drawing>
      </w:r>
    </w:p>
    <w:p w14:paraId="6B5D9747" w14:textId="77777777" w:rsidR="00DE2577" w:rsidRPr="003516DC" w:rsidRDefault="00DE2577" w:rsidP="00DE2577">
      <w:pPr>
        <w:rPr>
          <w:rFonts w:ascii="Arial" w:hAnsi="Arial" w:cs="Arial"/>
          <w:i/>
          <w:iCs/>
          <w:sz w:val="16"/>
          <w:szCs w:val="16"/>
        </w:rPr>
      </w:pPr>
      <w:r w:rsidRPr="003516DC">
        <w:rPr>
          <w:rFonts w:ascii="Arial" w:hAnsi="Arial" w:cs="Arial"/>
          <w:i/>
          <w:iCs/>
          <w:sz w:val="16"/>
          <w:szCs w:val="16"/>
        </w:rPr>
        <w:t>Source: Figure processed based on NIS data, 2020</w:t>
      </w:r>
    </w:p>
    <w:p w14:paraId="67C273E8" w14:textId="26F408BA" w:rsidR="00E909F2" w:rsidRPr="003516DC" w:rsidRDefault="00E909F2" w:rsidP="0092017A">
      <w:pPr>
        <w:rPr>
          <w:rFonts w:ascii="Arial" w:hAnsi="Arial" w:cs="Arial"/>
          <w:i/>
          <w:color w:val="1155CC"/>
          <w:sz w:val="16"/>
          <w:szCs w:val="16"/>
          <w:u w:val="single"/>
        </w:rPr>
      </w:pPr>
    </w:p>
    <w:p w14:paraId="4D2EF776" w14:textId="6F984B84" w:rsidR="00E068C0" w:rsidRPr="003516DC" w:rsidRDefault="00E068C0" w:rsidP="00E42342">
      <w:pPr>
        <w:pStyle w:val="Heading3"/>
        <w:numPr>
          <w:ilvl w:val="0"/>
          <w:numId w:val="142"/>
        </w:numPr>
        <w:spacing w:before="120" w:after="120" w:line="240" w:lineRule="auto"/>
        <w:rPr>
          <w:b w:val="0"/>
        </w:rPr>
      </w:pPr>
      <w:r w:rsidRPr="003516DC">
        <w:rPr>
          <w:b w:val="0"/>
        </w:rPr>
        <w:t>Challenges</w:t>
      </w:r>
      <w:r w:rsidR="00F0070A" w:rsidRPr="003516DC">
        <w:rPr>
          <w:b w:val="0"/>
        </w:rPr>
        <w:t xml:space="preserve"> in Prahova </w:t>
      </w:r>
      <w:r w:rsidR="00931AF2">
        <w:rPr>
          <w:b w:val="0"/>
        </w:rPr>
        <w:t>C</w:t>
      </w:r>
      <w:r w:rsidR="00F0070A" w:rsidRPr="003516DC">
        <w:rPr>
          <w:b w:val="0"/>
        </w:rPr>
        <w:t>ounty</w:t>
      </w:r>
    </w:p>
    <w:p w14:paraId="763B6B34" w14:textId="3515594E" w:rsidR="00E068C0" w:rsidRPr="003516DC" w:rsidRDefault="00E068C0" w:rsidP="00E068C0">
      <w:pPr>
        <w:jc w:val="both"/>
        <w:rPr>
          <w:rFonts w:ascii="Arial" w:hAnsi="Arial" w:cs="Arial"/>
          <w:sz w:val="20"/>
          <w:szCs w:val="20"/>
        </w:rPr>
      </w:pPr>
      <w:r w:rsidRPr="003516DC">
        <w:rPr>
          <w:rFonts w:ascii="Arial" w:hAnsi="Arial" w:cs="Arial"/>
          <w:sz w:val="20"/>
          <w:szCs w:val="20"/>
        </w:rPr>
        <w:t>Th</w:t>
      </w:r>
      <w:r w:rsidR="007D5ECC" w:rsidRPr="003516DC">
        <w:rPr>
          <w:rFonts w:ascii="Arial" w:hAnsi="Arial" w:cs="Arial"/>
          <w:sz w:val="20"/>
          <w:szCs w:val="20"/>
        </w:rPr>
        <w:t>is</w:t>
      </w:r>
      <w:r w:rsidRPr="003516DC">
        <w:rPr>
          <w:rFonts w:ascii="Arial" w:hAnsi="Arial" w:cs="Arial"/>
          <w:sz w:val="20"/>
          <w:szCs w:val="20"/>
        </w:rPr>
        <w:t xml:space="preserve"> analysis, along with stakeholder consultations, </w:t>
      </w:r>
      <w:r w:rsidR="00F13AD9" w:rsidRPr="003516DC">
        <w:rPr>
          <w:rFonts w:ascii="Arial" w:hAnsi="Arial" w:cs="Arial"/>
          <w:sz w:val="20"/>
          <w:szCs w:val="20"/>
        </w:rPr>
        <w:t>revealed</w:t>
      </w:r>
      <w:r w:rsidRPr="003516DC">
        <w:rPr>
          <w:rFonts w:ascii="Arial" w:hAnsi="Arial" w:cs="Arial"/>
          <w:sz w:val="20"/>
          <w:szCs w:val="20"/>
        </w:rPr>
        <w:t xml:space="preserve"> the most promine</w:t>
      </w:r>
      <w:r w:rsidR="00350AA9" w:rsidRPr="003516DC">
        <w:rPr>
          <w:rFonts w:ascii="Arial" w:hAnsi="Arial" w:cs="Arial"/>
          <w:sz w:val="20"/>
          <w:szCs w:val="20"/>
        </w:rPr>
        <w:t xml:space="preserve">nt challenges faced by Prahova </w:t>
      </w:r>
      <w:r w:rsidR="00931AF2">
        <w:rPr>
          <w:rFonts w:ascii="Arial" w:hAnsi="Arial" w:cs="Arial"/>
          <w:sz w:val="20"/>
          <w:szCs w:val="20"/>
        </w:rPr>
        <w:t>C</w:t>
      </w:r>
      <w:r w:rsidRPr="003516DC">
        <w:rPr>
          <w:rFonts w:ascii="Arial" w:hAnsi="Arial" w:cs="Arial"/>
          <w:sz w:val="20"/>
          <w:szCs w:val="20"/>
        </w:rPr>
        <w:t>ounty</w:t>
      </w:r>
      <w:r w:rsidR="0029316E" w:rsidRPr="003516DC">
        <w:rPr>
          <w:rFonts w:ascii="Arial" w:hAnsi="Arial" w:cs="Arial"/>
          <w:sz w:val="20"/>
          <w:szCs w:val="20"/>
        </w:rPr>
        <w:t>, which are</w:t>
      </w:r>
      <w:r w:rsidRPr="003516DC">
        <w:rPr>
          <w:rFonts w:ascii="Arial" w:hAnsi="Arial" w:cs="Arial"/>
          <w:sz w:val="20"/>
          <w:szCs w:val="20"/>
        </w:rPr>
        <w:t xml:space="preserve"> listed below: </w:t>
      </w:r>
    </w:p>
    <w:p w14:paraId="6B69208E" w14:textId="77777777" w:rsidR="00E068C0" w:rsidRPr="003516DC" w:rsidRDefault="00E068C0" w:rsidP="00E068C0">
      <w:pPr>
        <w:jc w:val="both"/>
        <w:rPr>
          <w:rFonts w:ascii="Arial" w:hAnsi="Arial" w:cs="Arial"/>
          <w:sz w:val="8"/>
          <w:szCs w:val="8"/>
        </w:rPr>
      </w:pPr>
    </w:p>
    <w:p w14:paraId="608CAB24" w14:textId="1E990AC0" w:rsidR="00E068C0" w:rsidRPr="003516DC" w:rsidRDefault="00E068C0" w:rsidP="00597139">
      <w:pPr>
        <w:pStyle w:val="ListParagraph"/>
        <w:numPr>
          <w:ilvl w:val="0"/>
          <w:numId w:val="7"/>
        </w:numPr>
        <w:spacing w:line="240" w:lineRule="auto"/>
        <w:ind w:left="360"/>
        <w:jc w:val="both"/>
        <w:rPr>
          <w:sz w:val="20"/>
          <w:szCs w:val="20"/>
        </w:rPr>
      </w:pPr>
      <w:r w:rsidRPr="003516DC">
        <w:rPr>
          <w:sz w:val="20"/>
          <w:szCs w:val="20"/>
        </w:rPr>
        <w:t>The oil industry, both extraction and processing, is a key economic activity in th</w:t>
      </w:r>
      <w:r w:rsidR="007355E7" w:rsidRPr="003516DC">
        <w:rPr>
          <w:sz w:val="20"/>
          <w:szCs w:val="20"/>
        </w:rPr>
        <w:t>e</w:t>
      </w:r>
      <w:r w:rsidRPr="003516DC">
        <w:rPr>
          <w:sz w:val="20"/>
          <w:szCs w:val="20"/>
        </w:rPr>
        <w:t xml:space="preserve"> county and will most probably continue as long as there </w:t>
      </w:r>
      <w:r w:rsidR="002948F2" w:rsidRPr="003516DC">
        <w:rPr>
          <w:sz w:val="20"/>
          <w:szCs w:val="20"/>
        </w:rPr>
        <w:t xml:space="preserve">is </w:t>
      </w:r>
      <w:r w:rsidRPr="003516DC">
        <w:rPr>
          <w:sz w:val="20"/>
          <w:szCs w:val="20"/>
        </w:rPr>
        <w:t>a market demand for oil products.  Interviews with key companies active in the field revealed a modest engagement and project pipeline to switching to other business models</w:t>
      </w:r>
      <w:r w:rsidR="002948F2" w:rsidRPr="003516DC">
        <w:rPr>
          <w:sz w:val="20"/>
          <w:szCs w:val="20"/>
        </w:rPr>
        <w:t xml:space="preserve"> with</w:t>
      </w:r>
      <w:r w:rsidRPr="003516DC">
        <w:rPr>
          <w:sz w:val="20"/>
          <w:szCs w:val="20"/>
        </w:rPr>
        <w:t xml:space="preserve"> less intensive in </w:t>
      </w:r>
      <w:r w:rsidR="005F14EF" w:rsidRPr="003516DC">
        <w:rPr>
          <w:rFonts w:eastAsia="Calibri"/>
          <w:sz w:val="18"/>
          <w:szCs w:val="18"/>
        </w:rPr>
        <w:t>CO</w:t>
      </w:r>
      <w:r w:rsidR="005F14EF" w:rsidRPr="001C148D">
        <w:rPr>
          <w:rFonts w:eastAsia="Calibri"/>
          <w:sz w:val="18"/>
          <w:szCs w:val="18"/>
          <w:vertAlign w:val="subscript"/>
        </w:rPr>
        <w:t>2</w:t>
      </w:r>
      <w:r w:rsidR="005F14EF">
        <w:rPr>
          <w:rFonts w:eastAsia="Calibri"/>
          <w:sz w:val="18"/>
          <w:szCs w:val="18"/>
          <w:vertAlign w:val="subscript"/>
        </w:rPr>
        <w:t xml:space="preserve"> </w:t>
      </w:r>
      <w:r w:rsidRPr="003516DC">
        <w:rPr>
          <w:sz w:val="20"/>
          <w:szCs w:val="20"/>
        </w:rPr>
        <w:t xml:space="preserve">emissions. </w:t>
      </w:r>
    </w:p>
    <w:p w14:paraId="5AC3F6A2" w14:textId="77777777" w:rsidR="00E068C0" w:rsidRPr="003516DC" w:rsidRDefault="00E068C0" w:rsidP="00597139">
      <w:pPr>
        <w:jc w:val="both"/>
        <w:rPr>
          <w:rFonts w:ascii="Arial" w:hAnsi="Arial" w:cs="Arial"/>
          <w:sz w:val="8"/>
          <w:szCs w:val="8"/>
        </w:rPr>
      </w:pPr>
    </w:p>
    <w:p w14:paraId="0F8E6AA9" w14:textId="4B9BC2CA" w:rsidR="00E068C0" w:rsidRPr="003516DC" w:rsidRDefault="00E068C0" w:rsidP="00597139">
      <w:pPr>
        <w:pStyle w:val="ListParagraph"/>
        <w:numPr>
          <w:ilvl w:val="0"/>
          <w:numId w:val="7"/>
        </w:numPr>
        <w:spacing w:line="240" w:lineRule="auto"/>
        <w:ind w:left="360"/>
        <w:jc w:val="both"/>
        <w:rPr>
          <w:sz w:val="20"/>
          <w:szCs w:val="20"/>
        </w:rPr>
      </w:pPr>
      <w:r w:rsidRPr="003516DC">
        <w:rPr>
          <w:sz w:val="20"/>
          <w:szCs w:val="20"/>
        </w:rPr>
        <w:t xml:space="preserve">Given the longstanding history of oil extraction and processing in Prahova, the county features a long list of sites affected by contamination and latent land reserves. Decontamination is challenged by the historical character of pollution and the shifting property regimes across the decades/century or mores of exploitation.  </w:t>
      </w:r>
    </w:p>
    <w:p w14:paraId="795ECA1C" w14:textId="77777777" w:rsidR="00E068C0" w:rsidRPr="003516DC" w:rsidRDefault="00E068C0" w:rsidP="00597139">
      <w:pPr>
        <w:jc w:val="both"/>
        <w:rPr>
          <w:rFonts w:ascii="Arial" w:hAnsi="Arial" w:cs="Arial"/>
          <w:sz w:val="8"/>
          <w:szCs w:val="8"/>
        </w:rPr>
      </w:pPr>
    </w:p>
    <w:p w14:paraId="659E7C0E" w14:textId="17B8C99E" w:rsidR="00E068C0" w:rsidRPr="003516DC" w:rsidRDefault="00E068C0" w:rsidP="00597139">
      <w:pPr>
        <w:pStyle w:val="ListParagraph"/>
        <w:numPr>
          <w:ilvl w:val="0"/>
          <w:numId w:val="7"/>
        </w:numPr>
        <w:spacing w:line="240" w:lineRule="auto"/>
        <w:ind w:left="360"/>
        <w:jc w:val="both"/>
        <w:rPr>
          <w:sz w:val="20"/>
          <w:szCs w:val="20"/>
        </w:rPr>
      </w:pPr>
      <w:r w:rsidRPr="003516DC">
        <w:rPr>
          <w:sz w:val="20"/>
          <w:szCs w:val="20"/>
        </w:rPr>
        <w:t xml:space="preserve">Inertia in local higher education: Prahova is home to Romania’s only university </w:t>
      </w:r>
      <w:r w:rsidR="002948F2" w:rsidRPr="003516DC">
        <w:rPr>
          <w:sz w:val="20"/>
          <w:szCs w:val="20"/>
        </w:rPr>
        <w:t>centre</w:t>
      </w:r>
      <w:r w:rsidRPr="003516DC">
        <w:rPr>
          <w:sz w:val="20"/>
          <w:szCs w:val="20"/>
        </w:rPr>
        <w:t xml:space="preserve"> speciali</w:t>
      </w:r>
      <w:r w:rsidR="002948F2" w:rsidRPr="003516DC">
        <w:rPr>
          <w:sz w:val="20"/>
          <w:szCs w:val="20"/>
        </w:rPr>
        <w:t>s</w:t>
      </w:r>
      <w:r w:rsidRPr="003516DC">
        <w:rPr>
          <w:sz w:val="20"/>
          <w:szCs w:val="20"/>
        </w:rPr>
        <w:t>ed in oil and gas research and education. Consultations reveal a drive to continue this theme, wi</w:t>
      </w:r>
      <w:r w:rsidR="002948F2" w:rsidRPr="003516DC">
        <w:rPr>
          <w:sz w:val="20"/>
          <w:szCs w:val="20"/>
        </w:rPr>
        <w:t>th</w:t>
      </w:r>
      <w:r w:rsidRPr="003516DC">
        <w:rPr>
          <w:sz w:val="20"/>
          <w:szCs w:val="20"/>
        </w:rPr>
        <w:t xml:space="preserve"> </w:t>
      </w:r>
      <w:r w:rsidR="002948F2" w:rsidRPr="003516DC">
        <w:rPr>
          <w:sz w:val="20"/>
          <w:szCs w:val="20"/>
        </w:rPr>
        <w:t xml:space="preserve">few </w:t>
      </w:r>
      <w:r w:rsidRPr="003516DC">
        <w:rPr>
          <w:sz w:val="20"/>
          <w:szCs w:val="20"/>
        </w:rPr>
        <w:t>resources and interest in shifting research capacit</w:t>
      </w:r>
      <w:r w:rsidR="00A746B6" w:rsidRPr="003516DC">
        <w:rPr>
          <w:sz w:val="20"/>
          <w:szCs w:val="20"/>
        </w:rPr>
        <w:t>y</w:t>
      </w:r>
      <w:r w:rsidRPr="003516DC">
        <w:rPr>
          <w:sz w:val="20"/>
          <w:szCs w:val="20"/>
        </w:rPr>
        <w:t xml:space="preserve"> to other energy fields.</w:t>
      </w:r>
    </w:p>
    <w:p w14:paraId="3164A9B5" w14:textId="77777777" w:rsidR="00E068C0" w:rsidRPr="003516DC" w:rsidRDefault="00E068C0" w:rsidP="00597139">
      <w:pPr>
        <w:pStyle w:val="ListParagraph"/>
        <w:spacing w:line="240" w:lineRule="auto"/>
        <w:ind w:left="360"/>
        <w:jc w:val="both"/>
        <w:rPr>
          <w:sz w:val="8"/>
          <w:szCs w:val="8"/>
        </w:rPr>
      </w:pPr>
    </w:p>
    <w:p w14:paraId="0C0A1ACD" w14:textId="58A36269" w:rsidR="00E068C0" w:rsidRPr="003516DC" w:rsidRDefault="00E068C0" w:rsidP="00597139">
      <w:pPr>
        <w:pStyle w:val="ListParagraph"/>
        <w:numPr>
          <w:ilvl w:val="0"/>
          <w:numId w:val="7"/>
        </w:numPr>
        <w:spacing w:line="240" w:lineRule="auto"/>
        <w:ind w:left="360"/>
        <w:jc w:val="both"/>
        <w:rPr>
          <w:sz w:val="20"/>
          <w:szCs w:val="20"/>
        </w:rPr>
      </w:pPr>
      <w:r w:rsidRPr="003516DC">
        <w:rPr>
          <w:sz w:val="20"/>
          <w:szCs w:val="20"/>
        </w:rPr>
        <w:t>Labour force shortage and skills mismatch: Prahova does feature, however, a</w:t>
      </w:r>
      <w:r w:rsidR="00426383" w:rsidRPr="003516DC">
        <w:rPr>
          <w:sz w:val="20"/>
          <w:szCs w:val="20"/>
        </w:rPr>
        <w:t>n increasingly</w:t>
      </w:r>
      <w:r w:rsidRPr="003516DC">
        <w:rPr>
          <w:sz w:val="20"/>
          <w:szCs w:val="20"/>
        </w:rPr>
        <w:t xml:space="preserve"> diverse local economy, helped by its </w:t>
      </w:r>
      <w:r w:rsidR="00426383" w:rsidRPr="003516DC">
        <w:rPr>
          <w:sz w:val="20"/>
          <w:szCs w:val="20"/>
        </w:rPr>
        <w:t xml:space="preserve">geographic </w:t>
      </w:r>
      <w:r w:rsidRPr="003516DC">
        <w:rPr>
          <w:sz w:val="20"/>
          <w:szCs w:val="20"/>
        </w:rPr>
        <w:t>position</w:t>
      </w:r>
      <w:r w:rsidR="00426383" w:rsidRPr="003516DC">
        <w:rPr>
          <w:sz w:val="20"/>
          <w:szCs w:val="20"/>
        </w:rPr>
        <w:t>.</w:t>
      </w:r>
      <w:r w:rsidRPr="003516DC">
        <w:rPr>
          <w:sz w:val="20"/>
          <w:szCs w:val="20"/>
        </w:rPr>
        <w:t xml:space="preserve"> </w:t>
      </w:r>
      <w:r w:rsidR="00426383" w:rsidRPr="003516DC">
        <w:rPr>
          <w:sz w:val="20"/>
          <w:szCs w:val="20"/>
        </w:rPr>
        <w:t>H</w:t>
      </w:r>
      <w:r w:rsidRPr="003516DC">
        <w:rPr>
          <w:sz w:val="20"/>
          <w:szCs w:val="20"/>
        </w:rPr>
        <w:t>owever</w:t>
      </w:r>
      <w:r w:rsidR="00426383" w:rsidRPr="003516DC">
        <w:rPr>
          <w:sz w:val="20"/>
          <w:szCs w:val="20"/>
        </w:rPr>
        <w:t>,</w:t>
      </w:r>
      <w:r w:rsidRPr="003516DC">
        <w:rPr>
          <w:sz w:val="20"/>
          <w:szCs w:val="20"/>
        </w:rPr>
        <w:t xml:space="preserve"> the demographic decline poses challenges for the growth potential of</w:t>
      </w:r>
      <w:r w:rsidR="00426383" w:rsidRPr="003516DC">
        <w:rPr>
          <w:sz w:val="20"/>
          <w:szCs w:val="20"/>
        </w:rPr>
        <w:t xml:space="preserve"> the</w:t>
      </w:r>
      <w:r w:rsidRPr="003516DC">
        <w:rPr>
          <w:sz w:val="20"/>
          <w:szCs w:val="20"/>
        </w:rPr>
        <w:t xml:space="preserve"> local business environment. The workforce currently employed by the oil industry does have good prospects to be integrated into other economic activity provided that reskilling p</w:t>
      </w:r>
      <w:r w:rsidR="00D206E5">
        <w:rPr>
          <w:sz w:val="20"/>
          <w:szCs w:val="20"/>
        </w:rPr>
        <w:t>rogrammes</w:t>
      </w:r>
      <w:r w:rsidRPr="003516DC">
        <w:rPr>
          <w:sz w:val="20"/>
          <w:szCs w:val="20"/>
        </w:rPr>
        <w:t xml:space="preserve"> are in place. </w:t>
      </w:r>
    </w:p>
    <w:p w14:paraId="101DF6AF" w14:textId="77777777" w:rsidR="00E068C0" w:rsidRPr="003516DC" w:rsidRDefault="00E068C0" w:rsidP="00597139">
      <w:pPr>
        <w:pStyle w:val="ListParagraph"/>
        <w:spacing w:line="240" w:lineRule="auto"/>
        <w:ind w:left="360"/>
        <w:jc w:val="both"/>
        <w:rPr>
          <w:sz w:val="8"/>
          <w:szCs w:val="8"/>
        </w:rPr>
      </w:pPr>
    </w:p>
    <w:p w14:paraId="7AB2EBA8" w14:textId="4A082974" w:rsidR="00E068C0" w:rsidRPr="003516DC" w:rsidRDefault="00426383" w:rsidP="00597139">
      <w:pPr>
        <w:pStyle w:val="ListParagraph"/>
        <w:numPr>
          <w:ilvl w:val="0"/>
          <w:numId w:val="7"/>
        </w:numPr>
        <w:spacing w:line="240" w:lineRule="auto"/>
        <w:ind w:left="360"/>
        <w:jc w:val="both"/>
        <w:rPr>
          <w:sz w:val="20"/>
          <w:szCs w:val="20"/>
        </w:rPr>
      </w:pPr>
      <w:r w:rsidRPr="003516DC">
        <w:rPr>
          <w:sz w:val="20"/>
          <w:szCs w:val="20"/>
        </w:rPr>
        <w:t xml:space="preserve">Residents </w:t>
      </w:r>
      <w:r w:rsidR="00E068C0" w:rsidRPr="003516DC">
        <w:rPr>
          <w:sz w:val="20"/>
          <w:szCs w:val="20"/>
        </w:rPr>
        <w:t xml:space="preserve">outside the labour market are most difficult to integrate, given </w:t>
      </w:r>
      <w:r w:rsidRPr="003516DC">
        <w:rPr>
          <w:sz w:val="20"/>
          <w:szCs w:val="20"/>
        </w:rPr>
        <w:t xml:space="preserve">the </w:t>
      </w:r>
      <w:r w:rsidR="00E068C0" w:rsidRPr="003516DC">
        <w:rPr>
          <w:sz w:val="20"/>
          <w:szCs w:val="20"/>
        </w:rPr>
        <w:t xml:space="preserve">low educational levels </w:t>
      </w:r>
      <w:r w:rsidRPr="003516DC">
        <w:rPr>
          <w:sz w:val="20"/>
          <w:szCs w:val="20"/>
        </w:rPr>
        <w:t>because of</w:t>
      </w:r>
      <w:r w:rsidR="00E068C0" w:rsidRPr="003516DC">
        <w:rPr>
          <w:sz w:val="20"/>
          <w:szCs w:val="20"/>
        </w:rPr>
        <w:t xml:space="preserve"> early school dropout rates, marginali</w:t>
      </w:r>
      <w:r w:rsidRPr="003516DC">
        <w:rPr>
          <w:sz w:val="20"/>
          <w:szCs w:val="20"/>
        </w:rPr>
        <w:t>s</w:t>
      </w:r>
      <w:r w:rsidR="00E068C0" w:rsidRPr="003516DC">
        <w:rPr>
          <w:sz w:val="20"/>
          <w:szCs w:val="20"/>
        </w:rPr>
        <w:t>ation and poverty</w:t>
      </w:r>
      <w:r w:rsidRPr="003516DC">
        <w:rPr>
          <w:sz w:val="20"/>
          <w:szCs w:val="20"/>
        </w:rPr>
        <w:t>.</w:t>
      </w:r>
      <w:r w:rsidR="00E068C0" w:rsidRPr="003516DC">
        <w:rPr>
          <w:sz w:val="20"/>
          <w:szCs w:val="20"/>
        </w:rPr>
        <w:t xml:space="preserve"> </w:t>
      </w:r>
      <w:r w:rsidR="00BA4D0D" w:rsidRPr="003516DC">
        <w:rPr>
          <w:sz w:val="20"/>
          <w:szCs w:val="20"/>
        </w:rPr>
        <w:t xml:space="preserve">Implementing measures to ensure mobility and accessibility (by regular public transport) to urban areas where schools and jobs are located would encourage the integration of many vulnerable people into the labour market. </w:t>
      </w:r>
      <w:r w:rsidRPr="003516DC">
        <w:rPr>
          <w:sz w:val="20"/>
          <w:szCs w:val="20"/>
        </w:rPr>
        <w:t xml:space="preserve">This </w:t>
      </w:r>
      <w:r w:rsidR="00E068C0" w:rsidRPr="003516DC">
        <w:rPr>
          <w:sz w:val="20"/>
          <w:szCs w:val="20"/>
        </w:rPr>
        <w:t>require</w:t>
      </w:r>
      <w:r w:rsidRPr="003516DC">
        <w:rPr>
          <w:sz w:val="20"/>
          <w:szCs w:val="20"/>
        </w:rPr>
        <w:t>s</w:t>
      </w:r>
      <w:r w:rsidR="00E068C0" w:rsidRPr="003516DC">
        <w:rPr>
          <w:sz w:val="20"/>
          <w:szCs w:val="20"/>
        </w:rPr>
        <w:t xml:space="preserve"> long term social-educational measures, along with other complementary measures (e.g., housing, investments combating spatial segregation and access to basic public </w:t>
      </w:r>
      <w:r w:rsidR="00E068C0" w:rsidRPr="003516DC">
        <w:rPr>
          <w:sz w:val="20"/>
          <w:szCs w:val="20"/>
        </w:rPr>
        <w:lastRenderedPageBreak/>
        <w:t>services/utilities</w:t>
      </w:r>
      <w:r w:rsidRPr="003516DC">
        <w:rPr>
          <w:sz w:val="20"/>
          <w:szCs w:val="20"/>
        </w:rPr>
        <w:t>,</w:t>
      </w:r>
      <w:r w:rsidR="00E068C0" w:rsidRPr="003516DC">
        <w:rPr>
          <w:sz w:val="20"/>
          <w:szCs w:val="20"/>
        </w:rPr>
        <w:t xml:space="preserve"> etc).</w:t>
      </w:r>
      <w:r w:rsidR="00BA4D0D" w:rsidRPr="003516DC">
        <w:rPr>
          <w:sz w:val="20"/>
          <w:szCs w:val="20"/>
        </w:rPr>
        <w:t xml:space="preserve"> Thus, supporting integrated measures to improve living conditions in marginali</w:t>
      </w:r>
      <w:r w:rsidR="003173A1">
        <w:rPr>
          <w:sz w:val="20"/>
          <w:szCs w:val="20"/>
        </w:rPr>
        <w:t>s</w:t>
      </w:r>
      <w:r w:rsidR="00BA4D0D" w:rsidRPr="003516DC">
        <w:rPr>
          <w:sz w:val="20"/>
          <w:szCs w:val="20"/>
        </w:rPr>
        <w:t>ed areas would lead to their desegregation and integration.</w:t>
      </w:r>
      <w:r w:rsidR="00E068C0" w:rsidRPr="003516DC">
        <w:rPr>
          <w:sz w:val="20"/>
          <w:szCs w:val="20"/>
        </w:rPr>
        <w:t xml:space="preserve">  </w:t>
      </w:r>
    </w:p>
    <w:p w14:paraId="12E37324" w14:textId="77777777" w:rsidR="00E068C0" w:rsidRPr="003516DC" w:rsidRDefault="00E068C0" w:rsidP="00597139">
      <w:pPr>
        <w:pStyle w:val="ListParagraph"/>
        <w:spacing w:line="240" w:lineRule="auto"/>
        <w:ind w:left="360"/>
        <w:jc w:val="both"/>
        <w:rPr>
          <w:sz w:val="8"/>
          <w:szCs w:val="8"/>
        </w:rPr>
      </w:pPr>
    </w:p>
    <w:p w14:paraId="0033C4D8" w14:textId="4270C126" w:rsidR="00E068C0" w:rsidRPr="003516DC" w:rsidRDefault="00E068C0" w:rsidP="00597139">
      <w:pPr>
        <w:pStyle w:val="ListParagraph"/>
        <w:numPr>
          <w:ilvl w:val="0"/>
          <w:numId w:val="7"/>
        </w:numPr>
        <w:spacing w:line="240" w:lineRule="auto"/>
        <w:ind w:left="360"/>
        <w:jc w:val="both"/>
        <w:rPr>
          <w:sz w:val="20"/>
          <w:szCs w:val="20"/>
        </w:rPr>
      </w:pPr>
      <w:r w:rsidRPr="003516DC">
        <w:rPr>
          <w:sz w:val="20"/>
          <w:szCs w:val="20"/>
        </w:rPr>
        <w:t xml:space="preserve">Low development of knowledge and technology intensive economic activities, especially in the services sector. </w:t>
      </w:r>
      <w:r w:rsidR="00426383" w:rsidRPr="003516DC">
        <w:rPr>
          <w:sz w:val="20"/>
          <w:szCs w:val="20"/>
        </w:rPr>
        <w:t>I</w:t>
      </w:r>
      <w:r w:rsidRPr="003516DC">
        <w:rPr>
          <w:sz w:val="20"/>
          <w:szCs w:val="20"/>
        </w:rPr>
        <w:t xml:space="preserve">nvestments </w:t>
      </w:r>
      <w:r w:rsidR="00426383" w:rsidRPr="003516DC">
        <w:rPr>
          <w:sz w:val="20"/>
          <w:szCs w:val="20"/>
        </w:rPr>
        <w:t xml:space="preserve">that enhance </w:t>
      </w:r>
      <w:r w:rsidRPr="003516DC">
        <w:rPr>
          <w:sz w:val="20"/>
          <w:szCs w:val="20"/>
        </w:rPr>
        <w:t xml:space="preserve">quality of life, </w:t>
      </w:r>
      <w:r w:rsidR="00426383" w:rsidRPr="003516DC">
        <w:rPr>
          <w:sz w:val="20"/>
          <w:szCs w:val="20"/>
        </w:rPr>
        <w:t>particularly</w:t>
      </w:r>
      <w:r w:rsidRPr="003516DC">
        <w:rPr>
          <w:sz w:val="20"/>
          <w:szCs w:val="20"/>
        </w:rPr>
        <w:t xml:space="preserve"> in Prahova’s main urban </w:t>
      </w:r>
      <w:r w:rsidR="00426383" w:rsidRPr="003516DC">
        <w:rPr>
          <w:sz w:val="20"/>
          <w:szCs w:val="20"/>
        </w:rPr>
        <w:t>centres</w:t>
      </w:r>
      <w:r w:rsidRPr="003516DC">
        <w:rPr>
          <w:sz w:val="20"/>
          <w:szCs w:val="20"/>
        </w:rPr>
        <w:t xml:space="preserve">, might help attract and retain </w:t>
      </w:r>
      <w:r w:rsidR="00426383" w:rsidRPr="003516DC">
        <w:rPr>
          <w:sz w:val="20"/>
          <w:szCs w:val="20"/>
        </w:rPr>
        <w:t xml:space="preserve">a </w:t>
      </w:r>
      <w:r w:rsidRPr="003516DC">
        <w:rPr>
          <w:sz w:val="20"/>
          <w:szCs w:val="20"/>
        </w:rPr>
        <w:t>more qualified workforce, along with business support schemes targeting high knowledge intensive services and technology intensive industries.</w:t>
      </w:r>
    </w:p>
    <w:p w14:paraId="39A17A39" w14:textId="77777777" w:rsidR="00E068C0" w:rsidRPr="003516DC" w:rsidRDefault="00E068C0" w:rsidP="00E068C0">
      <w:pPr>
        <w:pStyle w:val="ListParagraph"/>
        <w:spacing w:line="240" w:lineRule="auto"/>
        <w:jc w:val="both"/>
        <w:rPr>
          <w:sz w:val="20"/>
          <w:szCs w:val="20"/>
        </w:rPr>
      </w:pPr>
    </w:p>
    <w:p w14:paraId="1BFB9A9A" w14:textId="5538EB50" w:rsidR="00E068C0" w:rsidRPr="003516DC" w:rsidRDefault="00E068C0" w:rsidP="00E42342">
      <w:pPr>
        <w:pStyle w:val="Heading3"/>
        <w:numPr>
          <w:ilvl w:val="0"/>
          <w:numId w:val="143"/>
        </w:numPr>
        <w:spacing w:before="120" w:after="120" w:line="240" w:lineRule="auto"/>
        <w:rPr>
          <w:b w:val="0"/>
        </w:rPr>
      </w:pPr>
      <w:r w:rsidRPr="003516DC">
        <w:rPr>
          <w:b w:val="0"/>
        </w:rPr>
        <w:t>Opportunities</w:t>
      </w:r>
      <w:r w:rsidR="00F0070A" w:rsidRPr="003516DC">
        <w:rPr>
          <w:b w:val="0"/>
        </w:rPr>
        <w:t xml:space="preserve"> in Prahova </w:t>
      </w:r>
      <w:r w:rsidR="00931AF2">
        <w:rPr>
          <w:b w:val="0"/>
        </w:rPr>
        <w:t>C</w:t>
      </w:r>
      <w:r w:rsidR="00F0070A" w:rsidRPr="003516DC">
        <w:rPr>
          <w:b w:val="0"/>
        </w:rPr>
        <w:t>ounty</w:t>
      </w:r>
    </w:p>
    <w:p w14:paraId="7F62BCAC" w14:textId="215BE1E3" w:rsidR="007C4748" w:rsidRPr="003516DC" w:rsidRDefault="00E068C0" w:rsidP="00E068C0">
      <w:pPr>
        <w:jc w:val="both"/>
        <w:rPr>
          <w:rFonts w:ascii="Arial" w:hAnsi="Arial" w:cs="Arial"/>
          <w:sz w:val="20"/>
          <w:szCs w:val="20"/>
        </w:rPr>
      </w:pPr>
      <w:r w:rsidRPr="003516DC">
        <w:rPr>
          <w:rFonts w:ascii="Arial" w:hAnsi="Arial" w:cs="Arial"/>
          <w:sz w:val="20"/>
          <w:szCs w:val="20"/>
        </w:rPr>
        <w:t>Despite the</w:t>
      </w:r>
      <w:r w:rsidR="007C4748" w:rsidRPr="003516DC">
        <w:rPr>
          <w:rFonts w:ascii="Arial" w:hAnsi="Arial" w:cs="Arial"/>
          <w:sz w:val="20"/>
          <w:szCs w:val="20"/>
        </w:rPr>
        <w:t>se</w:t>
      </w:r>
      <w:r w:rsidRPr="003516DC">
        <w:rPr>
          <w:rFonts w:ascii="Arial" w:hAnsi="Arial" w:cs="Arial"/>
          <w:sz w:val="20"/>
          <w:szCs w:val="20"/>
        </w:rPr>
        <w:t xml:space="preserve"> challenges, Prahova is well positioned to capitali</w:t>
      </w:r>
      <w:r w:rsidR="007C4748" w:rsidRPr="003516DC">
        <w:rPr>
          <w:rFonts w:ascii="Arial" w:hAnsi="Arial" w:cs="Arial"/>
          <w:sz w:val="20"/>
          <w:szCs w:val="20"/>
        </w:rPr>
        <w:t>s</w:t>
      </w:r>
      <w:r w:rsidRPr="003516DC">
        <w:rPr>
          <w:rFonts w:ascii="Arial" w:hAnsi="Arial" w:cs="Arial"/>
          <w:sz w:val="20"/>
          <w:szCs w:val="20"/>
        </w:rPr>
        <w:t xml:space="preserve">e on a number of opportunities stemming from the just transition process: </w:t>
      </w:r>
    </w:p>
    <w:p w14:paraId="088F067D" w14:textId="77777777" w:rsidR="00E068C0" w:rsidRPr="003516DC" w:rsidRDefault="00E068C0" w:rsidP="00E068C0">
      <w:pPr>
        <w:jc w:val="both"/>
        <w:rPr>
          <w:rFonts w:ascii="Arial" w:hAnsi="Arial" w:cs="Arial"/>
          <w:sz w:val="8"/>
          <w:szCs w:val="8"/>
        </w:rPr>
      </w:pPr>
    </w:p>
    <w:p w14:paraId="0DF0013F" w14:textId="5B3F1EE0" w:rsidR="00E068C0" w:rsidRPr="003516DC" w:rsidRDefault="00E068C0" w:rsidP="00597139">
      <w:pPr>
        <w:pStyle w:val="ListParagraph"/>
        <w:numPr>
          <w:ilvl w:val="0"/>
          <w:numId w:val="8"/>
        </w:numPr>
        <w:spacing w:line="240" w:lineRule="auto"/>
        <w:ind w:left="360"/>
        <w:jc w:val="both"/>
        <w:rPr>
          <w:sz w:val="20"/>
          <w:szCs w:val="20"/>
        </w:rPr>
      </w:pPr>
      <w:r w:rsidRPr="003516DC">
        <w:rPr>
          <w:sz w:val="20"/>
          <w:szCs w:val="20"/>
        </w:rPr>
        <w:t xml:space="preserve">National and EU level targets will generate pressure </w:t>
      </w:r>
      <w:r w:rsidR="007C4748" w:rsidRPr="003516DC">
        <w:rPr>
          <w:sz w:val="20"/>
          <w:szCs w:val="20"/>
        </w:rPr>
        <w:t xml:space="preserve">to </w:t>
      </w:r>
      <w:r w:rsidRPr="003516DC">
        <w:rPr>
          <w:sz w:val="20"/>
          <w:szCs w:val="20"/>
        </w:rPr>
        <w:t>reduc</w:t>
      </w:r>
      <w:r w:rsidR="007C4748" w:rsidRPr="003516DC">
        <w:rPr>
          <w:sz w:val="20"/>
          <w:szCs w:val="20"/>
        </w:rPr>
        <w:t>e</w:t>
      </w:r>
      <w:r w:rsidRPr="003516DC">
        <w:rPr>
          <w:sz w:val="20"/>
          <w:szCs w:val="20"/>
        </w:rPr>
        <w:t xml:space="preserve"> air pollution, a </w:t>
      </w:r>
      <w:r w:rsidR="007C4748" w:rsidRPr="003516DC">
        <w:rPr>
          <w:sz w:val="20"/>
          <w:szCs w:val="20"/>
        </w:rPr>
        <w:t xml:space="preserve">well-reported </w:t>
      </w:r>
      <w:r w:rsidRPr="003516DC">
        <w:rPr>
          <w:sz w:val="20"/>
          <w:szCs w:val="20"/>
        </w:rPr>
        <w:t xml:space="preserve">menace </w:t>
      </w:r>
      <w:r w:rsidR="007C4748" w:rsidRPr="003516DC">
        <w:rPr>
          <w:sz w:val="20"/>
          <w:szCs w:val="20"/>
        </w:rPr>
        <w:t>to</w:t>
      </w:r>
      <w:r w:rsidRPr="003516DC">
        <w:rPr>
          <w:sz w:val="20"/>
          <w:szCs w:val="20"/>
        </w:rPr>
        <w:t xml:space="preserve"> the local community.</w:t>
      </w:r>
    </w:p>
    <w:p w14:paraId="6D3E2CB2" w14:textId="77777777" w:rsidR="00E068C0" w:rsidRPr="003516DC" w:rsidRDefault="00E068C0" w:rsidP="00597139">
      <w:pPr>
        <w:pStyle w:val="ListParagraph"/>
        <w:spacing w:line="240" w:lineRule="auto"/>
        <w:ind w:left="360"/>
        <w:jc w:val="both"/>
        <w:rPr>
          <w:sz w:val="8"/>
          <w:szCs w:val="8"/>
        </w:rPr>
      </w:pPr>
    </w:p>
    <w:p w14:paraId="4B6C8D47" w14:textId="6C14B9EE" w:rsidR="00E068C0" w:rsidRPr="003516DC" w:rsidRDefault="00E068C0" w:rsidP="00597139">
      <w:pPr>
        <w:pStyle w:val="ListParagraph"/>
        <w:numPr>
          <w:ilvl w:val="0"/>
          <w:numId w:val="8"/>
        </w:numPr>
        <w:spacing w:line="240" w:lineRule="auto"/>
        <w:ind w:left="360"/>
        <w:jc w:val="both"/>
        <w:rPr>
          <w:sz w:val="20"/>
          <w:szCs w:val="20"/>
        </w:rPr>
      </w:pPr>
      <w:r w:rsidRPr="003516DC">
        <w:rPr>
          <w:sz w:val="20"/>
          <w:szCs w:val="20"/>
        </w:rPr>
        <w:t xml:space="preserve">Prahova has good prospects for economic diversification and competitiveness, in particular </w:t>
      </w:r>
      <w:r w:rsidR="00B74949" w:rsidRPr="003516DC">
        <w:rPr>
          <w:sz w:val="20"/>
          <w:szCs w:val="20"/>
        </w:rPr>
        <w:t xml:space="preserve">for </w:t>
      </w:r>
      <w:r w:rsidRPr="003516DC">
        <w:rPr>
          <w:sz w:val="20"/>
          <w:szCs w:val="20"/>
        </w:rPr>
        <w:t>manufacturing, logistics and HORECA sectors. This need</w:t>
      </w:r>
      <w:r w:rsidR="00B74949" w:rsidRPr="003516DC">
        <w:rPr>
          <w:sz w:val="20"/>
          <w:szCs w:val="20"/>
        </w:rPr>
        <w:t>s</w:t>
      </w:r>
      <w:r w:rsidRPr="003516DC">
        <w:rPr>
          <w:sz w:val="20"/>
          <w:szCs w:val="20"/>
        </w:rPr>
        <w:t xml:space="preserve"> to be </w:t>
      </w:r>
      <w:r w:rsidR="00B74949" w:rsidRPr="003516DC">
        <w:rPr>
          <w:sz w:val="20"/>
          <w:szCs w:val="20"/>
        </w:rPr>
        <w:t xml:space="preserve">facilitated </w:t>
      </w:r>
      <w:r w:rsidRPr="003516DC">
        <w:rPr>
          <w:sz w:val="20"/>
          <w:szCs w:val="20"/>
        </w:rPr>
        <w:t>with SME support program</w:t>
      </w:r>
      <w:r w:rsidR="00B74949" w:rsidRPr="003516DC">
        <w:rPr>
          <w:sz w:val="20"/>
          <w:szCs w:val="20"/>
        </w:rPr>
        <w:t>me</w:t>
      </w:r>
      <w:r w:rsidRPr="003516DC">
        <w:rPr>
          <w:sz w:val="20"/>
          <w:szCs w:val="20"/>
        </w:rPr>
        <w:t xml:space="preserve">s to increase technological competitiveness, access to markets and consolidate business models of local companies. </w:t>
      </w:r>
    </w:p>
    <w:p w14:paraId="5824EFBE" w14:textId="77777777" w:rsidR="00E068C0" w:rsidRPr="003516DC" w:rsidRDefault="00E068C0" w:rsidP="00597139">
      <w:pPr>
        <w:pStyle w:val="ListParagraph"/>
        <w:spacing w:line="240" w:lineRule="auto"/>
        <w:ind w:left="360"/>
        <w:jc w:val="both"/>
        <w:rPr>
          <w:sz w:val="8"/>
          <w:szCs w:val="8"/>
        </w:rPr>
      </w:pPr>
    </w:p>
    <w:p w14:paraId="1E74A9E6" w14:textId="722DC417" w:rsidR="00E068C0" w:rsidRPr="003516DC" w:rsidRDefault="00E068C0" w:rsidP="00597139">
      <w:pPr>
        <w:pStyle w:val="ListParagraph"/>
        <w:numPr>
          <w:ilvl w:val="0"/>
          <w:numId w:val="8"/>
        </w:numPr>
        <w:spacing w:line="240" w:lineRule="auto"/>
        <w:ind w:left="360"/>
        <w:jc w:val="both"/>
        <w:rPr>
          <w:sz w:val="20"/>
          <w:szCs w:val="20"/>
        </w:rPr>
      </w:pPr>
      <w:r w:rsidRPr="003516DC">
        <w:rPr>
          <w:sz w:val="20"/>
          <w:szCs w:val="20"/>
        </w:rPr>
        <w:t xml:space="preserve">The existing network of professional schools and local universities represent a good starting point for skills training in industry, including the energy sector, </w:t>
      </w:r>
      <w:r w:rsidR="00B74949" w:rsidRPr="003516DC">
        <w:rPr>
          <w:sz w:val="20"/>
          <w:szCs w:val="20"/>
        </w:rPr>
        <w:t>if</w:t>
      </w:r>
      <w:r w:rsidRPr="003516DC">
        <w:rPr>
          <w:sz w:val="20"/>
          <w:szCs w:val="20"/>
        </w:rPr>
        <w:t xml:space="preserve"> they are supported to integrate and adapt to new polices.</w:t>
      </w:r>
    </w:p>
    <w:p w14:paraId="4F1570F7" w14:textId="77777777" w:rsidR="00E068C0" w:rsidRPr="003516DC" w:rsidRDefault="00E068C0" w:rsidP="00597139">
      <w:pPr>
        <w:pStyle w:val="ListParagraph"/>
        <w:spacing w:line="240" w:lineRule="auto"/>
        <w:ind w:left="360"/>
        <w:jc w:val="both"/>
        <w:rPr>
          <w:sz w:val="8"/>
          <w:szCs w:val="8"/>
        </w:rPr>
      </w:pPr>
    </w:p>
    <w:p w14:paraId="7CA68C81" w14:textId="39ADFB9B" w:rsidR="00E068C0" w:rsidRPr="003516DC" w:rsidRDefault="00E068C0" w:rsidP="00597139">
      <w:pPr>
        <w:pStyle w:val="ListParagraph"/>
        <w:numPr>
          <w:ilvl w:val="0"/>
          <w:numId w:val="8"/>
        </w:numPr>
        <w:spacing w:line="240" w:lineRule="auto"/>
        <w:ind w:left="360"/>
        <w:jc w:val="both"/>
        <w:rPr>
          <w:sz w:val="20"/>
          <w:szCs w:val="20"/>
        </w:rPr>
      </w:pPr>
      <w:r w:rsidRPr="003516DC">
        <w:rPr>
          <w:sz w:val="20"/>
          <w:szCs w:val="20"/>
        </w:rPr>
        <w:t xml:space="preserve">The energy transition process can be a valuable opportunity to bring in public debate and </w:t>
      </w:r>
      <w:r w:rsidR="00FD1F0C" w:rsidRPr="003516DC">
        <w:rPr>
          <w:sz w:val="20"/>
          <w:szCs w:val="20"/>
        </w:rPr>
        <w:t>prioritise</w:t>
      </w:r>
      <w:r w:rsidRPr="003516DC">
        <w:rPr>
          <w:sz w:val="20"/>
          <w:szCs w:val="20"/>
        </w:rPr>
        <w:t xml:space="preserve"> investments </w:t>
      </w:r>
      <w:r w:rsidR="00FD1F0C" w:rsidRPr="003516DC">
        <w:rPr>
          <w:sz w:val="20"/>
          <w:szCs w:val="20"/>
        </w:rPr>
        <w:t xml:space="preserve">for </w:t>
      </w:r>
      <w:r w:rsidRPr="003516DC">
        <w:rPr>
          <w:sz w:val="20"/>
          <w:szCs w:val="20"/>
        </w:rPr>
        <w:t>the long and painful restructuring process of the local oil industry and find solutions for its legacy: ambitious land restoration and urban regeneration processes, initiatives celebrating of more than a century of industrial heritage</w:t>
      </w:r>
      <w:r w:rsidR="00FD1F0C" w:rsidRPr="003516DC">
        <w:rPr>
          <w:sz w:val="20"/>
          <w:szCs w:val="20"/>
        </w:rPr>
        <w:t>,</w:t>
      </w:r>
      <w:r w:rsidRPr="003516DC">
        <w:rPr>
          <w:sz w:val="20"/>
          <w:szCs w:val="20"/>
        </w:rPr>
        <w:t xml:space="preserve"> etc. </w:t>
      </w:r>
    </w:p>
    <w:p w14:paraId="53FBF707" w14:textId="77777777" w:rsidR="007A4C40" w:rsidRPr="003516DC" w:rsidRDefault="007A4C40" w:rsidP="00597139">
      <w:pPr>
        <w:jc w:val="both"/>
        <w:rPr>
          <w:rFonts w:ascii="Arial" w:hAnsi="Arial" w:cs="Arial"/>
          <w:sz w:val="8"/>
          <w:szCs w:val="8"/>
        </w:rPr>
      </w:pPr>
    </w:p>
    <w:p w14:paraId="3422F0ED" w14:textId="1C68500F" w:rsidR="00542C72" w:rsidRPr="00542C72" w:rsidRDefault="007A4C40" w:rsidP="00597139">
      <w:pPr>
        <w:pStyle w:val="ListParagraph"/>
        <w:numPr>
          <w:ilvl w:val="0"/>
          <w:numId w:val="8"/>
        </w:numPr>
        <w:spacing w:line="240" w:lineRule="auto"/>
        <w:ind w:left="360"/>
        <w:jc w:val="both"/>
        <w:rPr>
          <w:sz w:val="20"/>
          <w:szCs w:val="20"/>
        </w:rPr>
      </w:pPr>
      <w:r w:rsidRPr="003516DC">
        <w:rPr>
          <w:sz w:val="20"/>
          <w:szCs w:val="20"/>
        </w:rPr>
        <w:t>Some of the local oil</w:t>
      </w:r>
      <w:r w:rsidR="00B74949" w:rsidRPr="003516DC">
        <w:rPr>
          <w:sz w:val="20"/>
          <w:szCs w:val="20"/>
        </w:rPr>
        <w:t xml:space="preserve"> and </w:t>
      </w:r>
      <w:r w:rsidRPr="003516DC">
        <w:rPr>
          <w:sz w:val="20"/>
          <w:szCs w:val="20"/>
        </w:rPr>
        <w:t>gas companies/refineries, despite not having clear transition plans, have mature ideas on business diversification (e.g.</w:t>
      </w:r>
      <w:r w:rsidR="00B74949" w:rsidRPr="003516DC">
        <w:rPr>
          <w:sz w:val="20"/>
          <w:szCs w:val="20"/>
        </w:rPr>
        <w:t>,</w:t>
      </w:r>
      <w:r w:rsidRPr="003516DC">
        <w:rPr>
          <w:sz w:val="20"/>
          <w:szCs w:val="20"/>
        </w:rPr>
        <w:t xml:space="preserve"> </w:t>
      </w:r>
      <w:r w:rsidR="007237DD" w:rsidRPr="003516DC">
        <w:rPr>
          <w:sz w:val="20"/>
          <w:szCs w:val="20"/>
        </w:rPr>
        <w:t>biorefineries</w:t>
      </w:r>
      <w:r w:rsidRPr="003516DC">
        <w:rPr>
          <w:sz w:val="20"/>
          <w:szCs w:val="20"/>
        </w:rPr>
        <w:t>, hydrogen R&amp;D, solar PV)</w:t>
      </w:r>
      <w:r w:rsidR="00C30D04" w:rsidRPr="003516DC">
        <w:rPr>
          <w:sz w:val="20"/>
          <w:szCs w:val="20"/>
        </w:rPr>
        <w:t>,</w:t>
      </w:r>
      <w:r w:rsidRPr="003516DC">
        <w:rPr>
          <w:sz w:val="20"/>
          <w:szCs w:val="20"/>
        </w:rPr>
        <w:t xml:space="preserve"> for which they are interested in JTF support</w:t>
      </w:r>
      <w:r w:rsidR="007237DD" w:rsidRPr="003516DC">
        <w:rPr>
          <w:sz w:val="20"/>
          <w:szCs w:val="20"/>
        </w:rPr>
        <w:t>.</w:t>
      </w:r>
    </w:p>
    <w:p w14:paraId="0EE333FF" w14:textId="69FA3020" w:rsidR="00542C72" w:rsidRPr="009118F7" w:rsidRDefault="00542C72" w:rsidP="00E42342">
      <w:pPr>
        <w:pStyle w:val="Heading3"/>
        <w:numPr>
          <w:ilvl w:val="0"/>
          <w:numId w:val="144"/>
        </w:numPr>
        <w:rPr>
          <w:b w:val="0"/>
          <w:bCs/>
        </w:rPr>
      </w:pPr>
      <w:r>
        <w:rPr>
          <w:b w:val="0"/>
          <w:bCs/>
        </w:rPr>
        <w:t xml:space="preserve">Transition pathway in Prahova </w:t>
      </w:r>
      <w:r w:rsidR="00931AF2">
        <w:rPr>
          <w:b w:val="0"/>
          <w:bCs/>
        </w:rPr>
        <w:t>C</w:t>
      </w:r>
      <w:r>
        <w:rPr>
          <w:b w:val="0"/>
          <w:bCs/>
        </w:rPr>
        <w:t>ounty</w:t>
      </w:r>
    </w:p>
    <w:p w14:paraId="5A900C66" w14:textId="232B4416" w:rsidR="00542C72" w:rsidRDefault="00C606EE" w:rsidP="00542C72">
      <w:pPr>
        <w:jc w:val="both"/>
        <w:rPr>
          <w:rFonts w:ascii="Arial" w:hAnsi="Arial" w:cs="Arial"/>
          <w:sz w:val="20"/>
          <w:szCs w:val="20"/>
        </w:rPr>
      </w:pPr>
      <w:r>
        <w:rPr>
          <w:rFonts w:ascii="Arial" w:hAnsi="Arial" w:cs="Arial"/>
          <w:sz w:val="20"/>
          <w:szCs w:val="20"/>
        </w:rPr>
        <w:t xml:space="preserve">Prahova remains the hot spot of Romania’s oil </w:t>
      </w:r>
      <w:r w:rsidR="003173A1">
        <w:rPr>
          <w:rFonts w:ascii="Arial" w:hAnsi="Arial" w:cs="Arial"/>
          <w:sz w:val="20"/>
          <w:szCs w:val="20"/>
        </w:rPr>
        <w:t>and</w:t>
      </w:r>
      <w:r>
        <w:rPr>
          <w:rFonts w:ascii="Arial" w:hAnsi="Arial" w:cs="Arial"/>
          <w:sz w:val="20"/>
          <w:szCs w:val="20"/>
        </w:rPr>
        <w:t xml:space="preserve"> gas industry, with the majority of refineries concentrated in th</w:t>
      </w:r>
      <w:r w:rsidR="003173A1">
        <w:rPr>
          <w:rFonts w:ascii="Arial" w:hAnsi="Arial" w:cs="Arial"/>
          <w:sz w:val="20"/>
          <w:szCs w:val="20"/>
        </w:rPr>
        <w:t xml:space="preserve">e region; </w:t>
      </w:r>
      <w:r>
        <w:rPr>
          <w:rFonts w:ascii="Arial" w:hAnsi="Arial" w:cs="Arial"/>
          <w:sz w:val="20"/>
          <w:szCs w:val="20"/>
        </w:rPr>
        <w:t xml:space="preserve">oil </w:t>
      </w:r>
      <w:r w:rsidR="003173A1">
        <w:rPr>
          <w:rFonts w:ascii="Arial" w:hAnsi="Arial" w:cs="Arial"/>
          <w:sz w:val="20"/>
          <w:szCs w:val="20"/>
        </w:rPr>
        <w:t>and</w:t>
      </w:r>
      <w:r>
        <w:rPr>
          <w:rFonts w:ascii="Arial" w:hAnsi="Arial" w:cs="Arial"/>
          <w:sz w:val="20"/>
          <w:szCs w:val="20"/>
        </w:rPr>
        <w:t xml:space="preserve"> gas exploration and production also tak</w:t>
      </w:r>
      <w:r w:rsidR="003173A1">
        <w:rPr>
          <w:rFonts w:ascii="Arial" w:hAnsi="Arial" w:cs="Arial"/>
          <w:sz w:val="20"/>
          <w:szCs w:val="20"/>
        </w:rPr>
        <w:t>e</w:t>
      </w:r>
      <w:r>
        <w:rPr>
          <w:rFonts w:ascii="Arial" w:hAnsi="Arial" w:cs="Arial"/>
          <w:sz w:val="20"/>
          <w:szCs w:val="20"/>
        </w:rPr>
        <w:t xml:space="preserve"> place </w:t>
      </w:r>
      <w:r w:rsidR="003173A1">
        <w:rPr>
          <w:rFonts w:ascii="Arial" w:hAnsi="Arial" w:cs="Arial"/>
          <w:sz w:val="20"/>
          <w:szCs w:val="20"/>
        </w:rPr>
        <w:t>i</w:t>
      </w:r>
      <w:r>
        <w:rPr>
          <w:rFonts w:ascii="Arial" w:hAnsi="Arial" w:cs="Arial"/>
          <w:sz w:val="20"/>
          <w:szCs w:val="20"/>
        </w:rPr>
        <w:t xml:space="preserve">n the </w:t>
      </w:r>
      <w:r w:rsidR="003173A1">
        <w:rPr>
          <w:rFonts w:ascii="Arial" w:hAnsi="Arial" w:cs="Arial"/>
          <w:sz w:val="20"/>
          <w:szCs w:val="20"/>
        </w:rPr>
        <w:t>county</w:t>
      </w:r>
      <w:r>
        <w:rPr>
          <w:rFonts w:ascii="Arial" w:hAnsi="Arial" w:cs="Arial"/>
          <w:sz w:val="20"/>
          <w:szCs w:val="20"/>
        </w:rPr>
        <w:t>. Furthermore, the headquarters of the national oil transmission operator</w:t>
      </w:r>
      <w:r w:rsidR="003173A1">
        <w:rPr>
          <w:rFonts w:ascii="Arial" w:hAnsi="Arial" w:cs="Arial"/>
          <w:sz w:val="20"/>
          <w:szCs w:val="20"/>
        </w:rPr>
        <w:t>,</w:t>
      </w:r>
      <w:r>
        <w:rPr>
          <w:rFonts w:ascii="Arial" w:hAnsi="Arial" w:cs="Arial"/>
          <w:sz w:val="20"/>
          <w:szCs w:val="20"/>
        </w:rPr>
        <w:t xml:space="preserve"> Conpet</w:t>
      </w:r>
      <w:r w:rsidR="003173A1">
        <w:rPr>
          <w:rFonts w:ascii="Arial" w:hAnsi="Arial" w:cs="Arial"/>
          <w:sz w:val="20"/>
          <w:szCs w:val="20"/>
        </w:rPr>
        <w:t>,</w:t>
      </w:r>
      <w:r>
        <w:rPr>
          <w:rFonts w:ascii="Arial" w:hAnsi="Arial" w:cs="Arial"/>
          <w:sz w:val="20"/>
          <w:szCs w:val="20"/>
        </w:rPr>
        <w:t xml:space="preserve"> is also located in the country. None of the local refineries, nor their </w:t>
      </w:r>
      <w:r w:rsidR="003173A1">
        <w:rPr>
          <w:rFonts w:ascii="Arial" w:hAnsi="Arial" w:cs="Arial"/>
          <w:sz w:val="20"/>
          <w:szCs w:val="20"/>
        </w:rPr>
        <w:t>parent</w:t>
      </w:r>
      <w:r>
        <w:rPr>
          <w:rFonts w:ascii="Arial" w:hAnsi="Arial" w:cs="Arial"/>
          <w:sz w:val="20"/>
          <w:szCs w:val="20"/>
        </w:rPr>
        <w:t xml:space="preserve"> companies have a clear pathway to climate neutrality in their current business plans, but they are all aware of the need to </w:t>
      </w:r>
      <w:r w:rsidR="003173A1">
        <w:rPr>
          <w:rFonts w:ascii="Arial" w:hAnsi="Arial" w:cs="Arial"/>
          <w:sz w:val="20"/>
          <w:szCs w:val="20"/>
        </w:rPr>
        <w:t xml:space="preserve">quickly </w:t>
      </w:r>
      <w:r>
        <w:rPr>
          <w:rFonts w:ascii="Arial" w:hAnsi="Arial" w:cs="Arial"/>
          <w:sz w:val="20"/>
          <w:szCs w:val="20"/>
        </w:rPr>
        <w:t>reduce emissions and some have clear short to medium-term targets (e.g.</w:t>
      </w:r>
      <w:r w:rsidR="003173A1">
        <w:rPr>
          <w:rFonts w:ascii="Arial" w:hAnsi="Arial" w:cs="Arial"/>
          <w:sz w:val="20"/>
          <w:szCs w:val="20"/>
        </w:rPr>
        <w:t>,</w:t>
      </w:r>
      <w:r>
        <w:rPr>
          <w:rFonts w:ascii="Arial" w:hAnsi="Arial" w:cs="Arial"/>
          <w:sz w:val="20"/>
          <w:szCs w:val="20"/>
        </w:rPr>
        <w:t xml:space="preserve"> OMV Petrom plans to reduce its emissions by 27% in 2025 (compared to 2010). It is not clear how much of these targets will be met by emissions reductions in the refining industry. The stakeholders we interviewed were rather reserved to support ambitious decarbonisation targets at </w:t>
      </w:r>
      <w:r w:rsidR="003173A1">
        <w:rPr>
          <w:rFonts w:ascii="Arial" w:hAnsi="Arial" w:cs="Arial"/>
          <w:sz w:val="20"/>
          <w:szCs w:val="20"/>
        </w:rPr>
        <w:t xml:space="preserve">the </w:t>
      </w:r>
      <w:r>
        <w:rPr>
          <w:rFonts w:ascii="Arial" w:hAnsi="Arial" w:cs="Arial"/>
          <w:sz w:val="20"/>
          <w:szCs w:val="20"/>
        </w:rPr>
        <w:t xml:space="preserve">local level, as the technical and economic conditions for an accelerated decarbonisation were not considered to be in place. </w:t>
      </w:r>
      <w:r w:rsidR="003173A1">
        <w:rPr>
          <w:rFonts w:ascii="Arial" w:hAnsi="Arial" w:cs="Arial"/>
          <w:sz w:val="20"/>
          <w:szCs w:val="20"/>
        </w:rPr>
        <w:t>Nevertheless, o</w:t>
      </w:r>
      <w:r>
        <w:rPr>
          <w:rFonts w:ascii="Arial" w:hAnsi="Arial" w:cs="Arial"/>
          <w:sz w:val="20"/>
          <w:szCs w:val="20"/>
        </w:rPr>
        <w:t xml:space="preserve">ur modelling results show that if Romania is to embrace on a Green Deal pathway at </w:t>
      </w:r>
      <w:r w:rsidR="003173A1">
        <w:rPr>
          <w:rFonts w:ascii="Arial" w:hAnsi="Arial" w:cs="Arial"/>
          <w:sz w:val="20"/>
          <w:szCs w:val="20"/>
        </w:rPr>
        <w:t xml:space="preserve">the </w:t>
      </w:r>
      <w:r>
        <w:rPr>
          <w:rFonts w:ascii="Arial" w:hAnsi="Arial" w:cs="Arial"/>
          <w:sz w:val="20"/>
          <w:szCs w:val="20"/>
        </w:rPr>
        <w:t xml:space="preserve">national level, with gas being significantly reduced in the energy mix and with the electrification and decarbonisation of transport making progress, Prahova will be faced with a steep transition trajectory, having to significantly reduce its refining activity. </w:t>
      </w:r>
      <w:r w:rsidR="003173A1">
        <w:rPr>
          <w:rFonts w:ascii="Arial" w:hAnsi="Arial" w:cs="Arial"/>
          <w:sz w:val="20"/>
          <w:szCs w:val="20"/>
        </w:rPr>
        <w:t>Finally</w:t>
      </w:r>
      <w:r>
        <w:rPr>
          <w:rFonts w:ascii="Arial" w:hAnsi="Arial" w:cs="Arial"/>
          <w:sz w:val="20"/>
          <w:szCs w:val="20"/>
        </w:rPr>
        <w:t xml:space="preserve">, the local manufacturing is also exposed to decarbonisation risks, as some of it is related to the automotive industries. </w:t>
      </w:r>
    </w:p>
    <w:p w14:paraId="775FA4E2" w14:textId="77777777" w:rsidR="00542C72" w:rsidRPr="003516DC" w:rsidRDefault="00542C72" w:rsidP="00E42342">
      <w:pPr>
        <w:pStyle w:val="Heading2"/>
        <w:numPr>
          <w:ilvl w:val="0"/>
          <w:numId w:val="173"/>
        </w:numPr>
        <w:spacing w:before="240" w:line="240" w:lineRule="auto"/>
      </w:pPr>
      <w:bookmarkStart w:id="260" w:name="_Toc90725886"/>
      <w:r w:rsidRPr="003516DC">
        <w:t>SWOT analysis and strategic outlook</w:t>
      </w:r>
      <w:bookmarkEnd w:id="260"/>
    </w:p>
    <w:p w14:paraId="4CD80BAF" w14:textId="77777777" w:rsidR="00542C72" w:rsidRPr="003516DC" w:rsidRDefault="00542C72" w:rsidP="00931AF2">
      <w:pPr>
        <w:spacing w:after="120"/>
        <w:jc w:val="both"/>
        <w:rPr>
          <w:rFonts w:ascii="Arial" w:hAnsi="Arial" w:cs="Arial"/>
          <w:sz w:val="20"/>
          <w:szCs w:val="20"/>
        </w:rPr>
      </w:pPr>
      <w:r w:rsidRPr="003516DC">
        <w:rPr>
          <w:rFonts w:ascii="Arial" w:hAnsi="Arial" w:cs="Arial"/>
          <w:sz w:val="20"/>
          <w:szCs w:val="20"/>
        </w:rPr>
        <w:t xml:space="preserve">The analysis </w:t>
      </w:r>
      <w:r w:rsidRPr="003516DC">
        <w:rPr>
          <w:rFonts w:ascii="Arial" w:eastAsia="Calibri" w:hAnsi="Arial" w:cs="Arial"/>
          <w:sz w:val="20"/>
          <w:szCs w:val="20"/>
        </w:rPr>
        <w:t>conducted</w:t>
      </w:r>
      <w:r w:rsidRPr="003516DC">
        <w:rPr>
          <w:rFonts w:ascii="Arial" w:hAnsi="Arial" w:cs="Arial"/>
          <w:sz w:val="20"/>
          <w:szCs w:val="20"/>
        </w:rPr>
        <w:t xml:space="preserve"> over the chapters of this report, as well as part of the previous deliverables under this assignment, is summarised in the SWOT analysis below.</w:t>
      </w:r>
    </w:p>
    <w:p w14:paraId="174524C6" w14:textId="6FBE73CC" w:rsidR="00542C72" w:rsidRPr="003516DC" w:rsidRDefault="00542C72" w:rsidP="00931AF2">
      <w:pPr>
        <w:pStyle w:val="Caption"/>
        <w:spacing w:before="0"/>
        <w:ind w:left="1138" w:hanging="1138"/>
      </w:pPr>
      <w:bookmarkStart w:id="261" w:name="_Toc90726011"/>
      <w:bookmarkStart w:id="262" w:name="_Toc9072730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57</w:t>
      </w:r>
      <w:r w:rsidRPr="003516DC">
        <w:rPr>
          <w:noProof/>
        </w:rPr>
        <w:fldChar w:fldCharType="end"/>
      </w:r>
      <w:r w:rsidRPr="003516DC">
        <w:t xml:space="preserve">: SWOT analysis for Prahova </w:t>
      </w:r>
      <w:r w:rsidR="00931AF2">
        <w:t>C</w:t>
      </w:r>
      <w:r w:rsidRPr="003516DC">
        <w:t>ounty</w:t>
      </w:r>
      <w:bookmarkEnd w:id="261"/>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441"/>
        <w:gridCol w:w="4488"/>
      </w:tblGrid>
      <w:tr w:rsidR="00542C72" w:rsidRPr="003516DC" w14:paraId="0E50295A" w14:textId="77777777" w:rsidTr="00931AF2">
        <w:trPr>
          <w:trHeight w:val="101"/>
        </w:trPr>
        <w:tc>
          <w:tcPr>
            <w:tcW w:w="2487" w:type="pct"/>
            <w:shd w:val="clear" w:color="auto" w:fill="002060"/>
            <w:tcMar>
              <w:top w:w="100" w:type="dxa"/>
              <w:left w:w="100" w:type="dxa"/>
              <w:bottom w:w="100" w:type="dxa"/>
              <w:right w:w="100" w:type="dxa"/>
            </w:tcMar>
            <w:vAlign w:val="center"/>
          </w:tcPr>
          <w:p w14:paraId="52A07E7E" w14:textId="77777777" w:rsidR="00542C72" w:rsidRPr="003516DC" w:rsidRDefault="00542C72" w:rsidP="00964831">
            <w:pPr>
              <w:jc w:val="center"/>
              <w:rPr>
                <w:rFonts w:ascii="Arial" w:hAnsi="Arial" w:cs="Arial"/>
                <w:b/>
                <w:sz w:val="18"/>
                <w:szCs w:val="18"/>
              </w:rPr>
            </w:pPr>
            <w:r w:rsidRPr="003516DC">
              <w:rPr>
                <w:rFonts w:ascii="Arial" w:hAnsi="Arial" w:cs="Arial"/>
                <w:b/>
                <w:sz w:val="18"/>
                <w:szCs w:val="18"/>
              </w:rPr>
              <w:t>Strengths</w:t>
            </w:r>
          </w:p>
        </w:tc>
        <w:tc>
          <w:tcPr>
            <w:tcW w:w="2513" w:type="pct"/>
            <w:shd w:val="clear" w:color="auto" w:fill="002060"/>
            <w:tcMar>
              <w:top w:w="100" w:type="dxa"/>
              <w:left w:w="100" w:type="dxa"/>
              <w:bottom w:w="100" w:type="dxa"/>
              <w:right w:w="100" w:type="dxa"/>
            </w:tcMar>
            <w:vAlign w:val="center"/>
          </w:tcPr>
          <w:p w14:paraId="72219B4F" w14:textId="77777777" w:rsidR="00542C72" w:rsidRPr="003516DC" w:rsidRDefault="00542C72" w:rsidP="00964831">
            <w:pPr>
              <w:jc w:val="center"/>
              <w:rPr>
                <w:rFonts w:ascii="Arial" w:hAnsi="Arial" w:cs="Arial"/>
                <w:b/>
                <w:sz w:val="18"/>
                <w:szCs w:val="18"/>
              </w:rPr>
            </w:pPr>
            <w:r w:rsidRPr="003516DC">
              <w:rPr>
                <w:rFonts w:ascii="Arial" w:hAnsi="Arial" w:cs="Arial"/>
                <w:b/>
                <w:sz w:val="18"/>
                <w:szCs w:val="18"/>
              </w:rPr>
              <w:t>Weaknesses</w:t>
            </w:r>
          </w:p>
        </w:tc>
      </w:tr>
      <w:tr w:rsidR="00542C72" w:rsidRPr="003516DC" w14:paraId="59C0C116"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344F1AB7"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542C72" w:rsidRPr="003516DC" w14:paraId="5B9635D0" w14:textId="77777777" w:rsidTr="00964831">
        <w:trPr>
          <w:trHeight w:val="316"/>
        </w:trPr>
        <w:tc>
          <w:tcPr>
            <w:tcW w:w="2487" w:type="pct"/>
            <w:shd w:val="clear" w:color="auto" w:fill="auto"/>
            <w:tcMar>
              <w:top w:w="100" w:type="dxa"/>
              <w:left w:w="100" w:type="dxa"/>
              <w:bottom w:w="100" w:type="dxa"/>
              <w:right w:w="100" w:type="dxa"/>
            </w:tcMar>
          </w:tcPr>
          <w:p w14:paraId="52BC4454" w14:textId="77777777" w:rsidR="00542C72" w:rsidRPr="003516DC" w:rsidRDefault="00542C72" w:rsidP="00542C72">
            <w:pPr>
              <w:pStyle w:val="ListParagraph"/>
              <w:numPr>
                <w:ilvl w:val="0"/>
                <w:numId w:val="44"/>
              </w:numPr>
              <w:spacing w:line="240" w:lineRule="auto"/>
              <w:rPr>
                <w:sz w:val="18"/>
                <w:szCs w:val="18"/>
              </w:rPr>
            </w:pPr>
            <w:r w:rsidRPr="003516DC">
              <w:rPr>
                <w:sz w:val="18"/>
                <w:szCs w:val="18"/>
              </w:rPr>
              <w:lastRenderedPageBreak/>
              <w:t>Both Prahova County Council and Ploiești Municipality benefit from consistent local budgets and revenues (compared to other JTP target territories), which allows for increased implementation capacity.</w:t>
            </w:r>
          </w:p>
        </w:tc>
        <w:tc>
          <w:tcPr>
            <w:tcW w:w="2513" w:type="pct"/>
            <w:shd w:val="clear" w:color="auto" w:fill="auto"/>
            <w:tcMar>
              <w:top w:w="100" w:type="dxa"/>
              <w:left w:w="100" w:type="dxa"/>
              <w:bottom w:w="100" w:type="dxa"/>
              <w:right w:w="100" w:type="dxa"/>
            </w:tcMar>
          </w:tcPr>
          <w:p w14:paraId="1B963477" w14:textId="77777777" w:rsidR="00542C72" w:rsidRPr="003516DC" w:rsidRDefault="00542C72" w:rsidP="00542C72">
            <w:pPr>
              <w:pStyle w:val="ListParagraph"/>
              <w:numPr>
                <w:ilvl w:val="0"/>
                <w:numId w:val="44"/>
              </w:numPr>
              <w:spacing w:line="240" w:lineRule="auto"/>
              <w:rPr>
                <w:sz w:val="18"/>
                <w:szCs w:val="18"/>
              </w:rPr>
            </w:pPr>
            <w:r w:rsidRPr="003516DC">
              <w:rPr>
                <w:sz w:val="18"/>
                <w:szCs w:val="18"/>
              </w:rPr>
              <w:t>Overall low experience with integrating climate change mitigation objectives into local strategies and investment pipeline.</w:t>
            </w:r>
          </w:p>
          <w:p w14:paraId="6C678CEC" w14:textId="77777777" w:rsidR="00542C72" w:rsidRPr="003516DC" w:rsidRDefault="00542C72" w:rsidP="00542C72">
            <w:pPr>
              <w:pStyle w:val="ListParagraph"/>
              <w:numPr>
                <w:ilvl w:val="0"/>
                <w:numId w:val="44"/>
              </w:numPr>
              <w:spacing w:line="240" w:lineRule="auto"/>
              <w:rPr>
                <w:sz w:val="18"/>
                <w:szCs w:val="18"/>
              </w:rPr>
            </w:pPr>
            <w:r w:rsidRPr="003516DC">
              <w:rPr>
                <w:sz w:val="18"/>
                <w:szCs w:val="18"/>
              </w:rPr>
              <w:t>Low trust in the local public authority given a cumulated legacy of corruption and abuse of power trials involving local political leaders and deception of failed public-private initiatives (such as the “Ploiești Green Protocol”).</w:t>
            </w:r>
          </w:p>
        </w:tc>
      </w:tr>
      <w:tr w:rsidR="00542C72" w:rsidRPr="003516DC" w14:paraId="607D7A53"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2C9B64F9"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Economic &amp; Environmental</w:t>
            </w:r>
          </w:p>
        </w:tc>
      </w:tr>
      <w:tr w:rsidR="00542C72" w:rsidRPr="003516DC" w14:paraId="444F7C68" w14:textId="77777777" w:rsidTr="00964831">
        <w:trPr>
          <w:trHeight w:val="2593"/>
        </w:trPr>
        <w:tc>
          <w:tcPr>
            <w:tcW w:w="2487" w:type="pct"/>
            <w:shd w:val="clear" w:color="auto" w:fill="auto"/>
            <w:tcMar>
              <w:top w:w="100" w:type="dxa"/>
              <w:left w:w="100" w:type="dxa"/>
              <w:bottom w:w="100" w:type="dxa"/>
              <w:right w:w="100" w:type="dxa"/>
            </w:tcMar>
          </w:tcPr>
          <w:p w14:paraId="48CAA223"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High population density and economic vitality generate positive agglomeration economies.</w:t>
            </w:r>
          </w:p>
          <w:p w14:paraId="20BAE658"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Proximity to Bucharest, which allows easy access to markets, high knowledge intensive services and suppliers.</w:t>
            </w:r>
          </w:p>
          <w:p w14:paraId="3D237857"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 xml:space="preserve">Connectivity and access to transport routes: highways, international airport within 1h drive of Ploiești, etc.   </w:t>
            </w:r>
          </w:p>
          <w:p w14:paraId="14CC6831"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Environmental resources to serve tourism and leisure services consumption of the capital city (approximately 2 m people).</w:t>
            </w:r>
          </w:p>
          <w:p w14:paraId="00C5D754"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 xml:space="preserve">Abundant untapped urban land reserves made latent by industrial restructuring.  </w:t>
            </w:r>
          </w:p>
        </w:tc>
        <w:tc>
          <w:tcPr>
            <w:tcW w:w="2513" w:type="pct"/>
            <w:shd w:val="clear" w:color="auto" w:fill="auto"/>
            <w:tcMar>
              <w:top w:w="100" w:type="dxa"/>
              <w:left w:w="100" w:type="dxa"/>
              <w:bottom w:w="100" w:type="dxa"/>
              <w:right w:w="100" w:type="dxa"/>
            </w:tcMar>
          </w:tcPr>
          <w:p w14:paraId="40E2557B"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Significant air pollution from (though not exclusively) the local oil industry, which affects Ploiești and its outskirts.</w:t>
            </w:r>
          </w:p>
          <w:p w14:paraId="45F630B8"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 xml:space="preserve">Environmental degradation from oil industry plants. </w:t>
            </w:r>
          </w:p>
          <w:p w14:paraId="10B7CA67"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Insufficient market conditions to make a business case for decontamination.</w:t>
            </w:r>
          </w:p>
          <w:p w14:paraId="75DC96CC" w14:textId="77777777" w:rsidR="00542C72" w:rsidRPr="003516DC" w:rsidRDefault="00542C72" w:rsidP="00542C72">
            <w:pPr>
              <w:pStyle w:val="ListParagraph"/>
              <w:numPr>
                <w:ilvl w:val="0"/>
                <w:numId w:val="45"/>
              </w:numPr>
              <w:spacing w:line="240" w:lineRule="auto"/>
              <w:rPr>
                <w:sz w:val="18"/>
                <w:szCs w:val="18"/>
              </w:rPr>
            </w:pPr>
            <w:r w:rsidRPr="003516DC">
              <w:rPr>
                <w:sz w:val="18"/>
                <w:szCs w:val="18"/>
              </w:rPr>
              <w:t>Business environment shadowed by Bucharest – better remunerated high intensive services favour Bucharest, while locating cost-based production facilities in Prahova/Ploiești.</w:t>
            </w:r>
          </w:p>
          <w:p w14:paraId="2A9217F5"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p w14:paraId="41ADD19E"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tc>
      </w:tr>
      <w:tr w:rsidR="00542C72" w:rsidRPr="003516DC" w14:paraId="7F85EFD9"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38646BBC"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Social &amp; Cultural</w:t>
            </w:r>
          </w:p>
        </w:tc>
      </w:tr>
      <w:tr w:rsidR="00542C72" w:rsidRPr="003516DC" w14:paraId="0449A131" w14:textId="77777777" w:rsidTr="00964831">
        <w:trPr>
          <w:trHeight w:val="1200"/>
        </w:trPr>
        <w:tc>
          <w:tcPr>
            <w:tcW w:w="2487" w:type="pct"/>
            <w:shd w:val="clear" w:color="auto" w:fill="auto"/>
            <w:tcMar>
              <w:top w:w="100" w:type="dxa"/>
              <w:left w:w="100" w:type="dxa"/>
              <w:bottom w:w="100" w:type="dxa"/>
              <w:right w:w="100" w:type="dxa"/>
            </w:tcMar>
          </w:tcPr>
          <w:p w14:paraId="504F4EE4" w14:textId="77777777" w:rsidR="00542C72" w:rsidRPr="003516DC" w:rsidRDefault="00542C72" w:rsidP="00542C72">
            <w:pPr>
              <w:pStyle w:val="ListParagraph"/>
              <w:numPr>
                <w:ilvl w:val="0"/>
                <w:numId w:val="46"/>
              </w:numPr>
              <w:spacing w:line="240" w:lineRule="auto"/>
              <w:rPr>
                <w:sz w:val="18"/>
                <w:szCs w:val="18"/>
              </w:rPr>
            </w:pPr>
            <w:r w:rsidRPr="003516DC">
              <w:rPr>
                <w:sz w:val="18"/>
                <w:szCs w:val="18"/>
              </w:rPr>
              <w:t xml:space="preserve">Demographics: well populated county and county seat city, providing a good context for a diverse social and cultural life.  </w:t>
            </w:r>
          </w:p>
          <w:p w14:paraId="0D9272CC"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p w14:paraId="464ABA26"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tc>
        <w:tc>
          <w:tcPr>
            <w:tcW w:w="2513" w:type="pct"/>
            <w:shd w:val="clear" w:color="auto" w:fill="auto"/>
            <w:tcMar>
              <w:top w:w="100" w:type="dxa"/>
              <w:left w:w="100" w:type="dxa"/>
              <w:bottom w:w="100" w:type="dxa"/>
              <w:right w:w="100" w:type="dxa"/>
            </w:tcMar>
          </w:tcPr>
          <w:p w14:paraId="3BD42CEE" w14:textId="69D78081" w:rsidR="00542C72" w:rsidRPr="00A2362B" w:rsidRDefault="00542C72" w:rsidP="00542C72">
            <w:pPr>
              <w:pStyle w:val="ListParagraph"/>
              <w:numPr>
                <w:ilvl w:val="0"/>
                <w:numId w:val="46"/>
              </w:numPr>
              <w:spacing w:line="240" w:lineRule="auto"/>
              <w:rPr>
                <w:sz w:val="18"/>
                <w:szCs w:val="18"/>
              </w:rPr>
            </w:pPr>
            <w:r w:rsidRPr="00A2362B">
              <w:rPr>
                <w:sz w:val="18"/>
                <w:szCs w:val="18"/>
              </w:rPr>
              <w:t xml:space="preserve">Significant impact of layoffs and </w:t>
            </w:r>
            <w:r w:rsidR="00BD068B" w:rsidRPr="00A2362B">
              <w:rPr>
                <w:sz w:val="18"/>
                <w:szCs w:val="18"/>
              </w:rPr>
              <w:t xml:space="preserve">internal </w:t>
            </w:r>
            <w:r w:rsidRPr="00A2362B">
              <w:rPr>
                <w:sz w:val="18"/>
                <w:szCs w:val="18"/>
              </w:rPr>
              <w:t>migration</w:t>
            </w:r>
            <w:r w:rsidR="00BD068B" w:rsidRPr="00A2362B">
              <w:rPr>
                <w:sz w:val="18"/>
                <w:szCs w:val="18"/>
              </w:rPr>
              <w:t>, in the context of Bucharest proximity</w:t>
            </w:r>
            <w:r w:rsidRPr="00A2362B">
              <w:rPr>
                <w:sz w:val="18"/>
                <w:szCs w:val="18"/>
              </w:rPr>
              <w:t>.</w:t>
            </w:r>
          </w:p>
          <w:p w14:paraId="55CC7A3B" w14:textId="77777777" w:rsidR="00542C72" w:rsidRPr="00A2362B" w:rsidRDefault="00542C72" w:rsidP="00542C72">
            <w:pPr>
              <w:pStyle w:val="ListParagraph"/>
              <w:numPr>
                <w:ilvl w:val="0"/>
                <w:numId w:val="46"/>
              </w:numPr>
              <w:spacing w:line="240" w:lineRule="auto"/>
              <w:rPr>
                <w:sz w:val="18"/>
                <w:szCs w:val="18"/>
              </w:rPr>
            </w:pPr>
            <w:r w:rsidRPr="00A2362B">
              <w:rPr>
                <w:sz w:val="18"/>
                <w:szCs w:val="18"/>
              </w:rPr>
              <w:t>Low quality of life: deficit of green/leisure space, insufficient cultural facilities etc in county seat city.</w:t>
            </w:r>
          </w:p>
          <w:p w14:paraId="207A061F" w14:textId="77777777" w:rsidR="00542C72" w:rsidRPr="003516DC" w:rsidRDefault="00542C72" w:rsidP="00542C72">
            <w:pPr>
              <w:pStyle w:val="ListParagraph"/>
              <w:numPr>
                <w:ilvl w:val="0"/>
                <w:numId w:val="46"/>
              </w:numPr>
              <w:spacing w:line="240" w:lineRule="auto"/>
              <w:rPr>
                <w:sz w:val="18"/>
                <w:szCs w:val="18"/>
              </w:rPr>
            </w:pPr>
            <w:r w:rsidRPr="00A2362B">
              <w:rPr>
                <w:sz w:val="18"/>
                <w:szCs w:val="18"/>
              </w:rPr>
              <w:t>Poverty pockets, some associated with former industrial sites.</w:t>
            </w:r>
          </w:p>
        </w:tc>
      </w:tr>
      <w:tr w:rsidR="00542C72" w:rsidRPr="003516DC" w14:paraId="4323E3AC"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17B984AF"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Technological</w:t>
            </w:r>
          </w:p>
        </w:tc>
      </w:tr>
      <w:tr w:rsidR="00542C72" w:rsidRPr="003516DC" w14:paraId="08A9FFC5" w14:textId="77777777" w:rsidTr="00964831">
        <w:trPr>
          <w:trHeight w:val="1145"/>
        </w:trPr>
        <w:tc>
          <w:tcPr>
            <w:tcW w:w="2487" w:type="pct"/>
            <w:shd w:val="clear" w:color="auto" w:fill="auto"/>
            <w:tcMar>
              <w:top w:w="100" w:type="dxa"/>
              <w:left w:w="100" w:type="dxa"/>
              <w:bottom w:w="100" w:type="dxa"/>
              <w:right w:w="100" w:type="dxa"/>
            </w:tcMar>
          </w:tcPr>
          <w:p w14:paraId="52E21CDE" w14:textId="77777777" w:rsidR="00542C72" w:rsidRPr="003516DC" w:rsidRDefault="00542C72" w:rsidP="00542C72">
            <w:pPr>
              <w:pStyle w:val="ListParagraph"/>
              <w:numPr>
                <w:ilvl w:val="0"/>
                <w:numId w:val="47"/>
              </w:numPr>
              <w:spacing w:line="240" w:lineRule="auto"/>
              <w:rPr>
                <w:sz w:val="18"/>
                <w:szCs w:val="18"/>
              </w:rPr>
            </w:pPr>
            <w:r w:rsidRPr="003516DC">
              <w:rPr>
                <w:sz w:val="18"/>
                <w:szCs w:val="18"/>
              </w:rPr>
              <w:t>A legacy of engineering and technical design in the energy industry that could be steered towards RES.</w:t>
            </w:r>
          </w:p>
          <w:p w14:paraId="477A5341" w14:textId="77777777" w:rsidR="00542C72" w:rsidRPr="003516DC" w:rsidRDefault="00542C72" w:rsidP="00542C72">
            <w:pPr>
              <w:pStyle w:val="ListParagraph"/>
              <w:numPr>
                <w:ilvl w:val="0"/>
                <w:numId w:val="47"/>
              </w:numPr>
              <w:spacing w:line="240" w:lineRule="auto"/>
              <w:rPr>
                <w:sz w:val="18"/>
                <w:szCs w:val="18"/>
              </w:rPr>
            </w:pPr>
            <w:r w:rsidRPr="003516DC">
              <w:rPr>
                <w:sz w:val="18"/>
                <w:szCs w:val="18"/>
              </w:rPr>
              <w:t>A legacy of technical and professional schools as well as higher education in the engineering field.</w:t>
            </w:r>
          </w:p>
        </w:tc>
        <w:tc>
          <w:tcPr>
            <w:tcW w:w="2513" w:type="pct"/>
            <w:shd w:val="clear" w:color="auto" w:fill="auto"/>
            <w:tcMar>
              <w:top w:w="100" w:type="dxa"/>
              <w:left w:w="100" w:type="dxa"/>
              <w:bottom w:w="100" w:type="dxa"/>
              <w:right w:w="100" w:type="dxa"/>
            </w:tcMar>
          </w:tcPr>
          <w:p w14:paraId="3AD8BFF4" w14:textId="77777777" w:rsidR="00542C72" w:rsidRPr="003516DC" w:rsidRDefault="00542C72" w:rsidP="00542C72">
            <w:pPr>
              <w:pStyle w:val="ListParagraph"/>
              <w:numPr>
                <w:ilvl w:val="0"/>
                <w:numId w:val="47"/>
              </w:numPr>
              <w:spacing w:line="240" w:lineRule="auto"/>
              <w:rPr>
                <w:sz w:val="18"/>
                <w:szCs w:val="18"/>
              </w:rPr>
            </w:pPr>
            <w:r w:rsidRPr="003516DC">
              <w:rPr>
                <w:sz w:val="18"/>
                <w:szCs w:val="18"/>
              </w:rPr>
              <w:t>Local manufacturing not technology intensive.</w:t>
            </w:r>
          </w:p>
          <w:p w14:paraId="2848B73A" w14:textId="77777777" w:rsidR="00542C72" w:rsidRPr="003516DC" w:rsidRDefault="00542C72" w:rsidP="00542C72">
            <w:pPr>
              <w:pStyle w:val="ListParagraph"/>
              <w:numPr>
                <w:ilvl w:val="0"/>
                <w:numId w:val="47"/>
              </w:numPr>
              <w:spacing w:line="240" w:lineRule="auto"/>
              <w:rPr>
                <w:sz w:val="18"/>
                <w:szCs w:val="18"/>
              </w:rPr>
            </w:pPr>
            <w:r w:rsidRPr="003516DC">
              <w:rPr>
                <w:sz w:val="18"/>
                <w:szCs w:val="18"/>
              </w:rPr>
              <w:t>Outdated curriculums and material base in professional educational and higher education facilities.</w:t>
            </w:r>
          </w:p>
        </w:tc>
      </w:tr>
      <w:tr w:rsidR="00542C72" w:rsidRPr="003516DC" w14:paraId="12B6B09A" w14:textId="77777777" w:rsidTr="00931AF2">
        <w:trPr>
          <w:trHeight w:val="101"/>
        </w:trPr>
        <w:tc>
          <w:tcPr>
            <w:tcW w:w="2487" w:type="pct"/>
            <w:shd w:val="clear" w:color="auto" w:fill="002060"/>
            <w:tcMar>
              <w:top w:w="100" w:type="dxa"/>
              <w:left w:w="100" w:type="dxa"/>
              <w:bottom w:w="100" w:type="dxa"/>
              <w:right w:w="100" w:type="dxa"/>
            </w:tcMar>
            <w:vAlign w:val="center"/>
          </w:tcPr>
          <w:p w14:paraId="7CC5D7EB" w14:textId="77777777" w:rsidR="00542C72" w:rsidRPr="003516DC" w:rsidRDefault="00542C72" w:rsidP="00964831">
            <w:pPr>
              <w:jc w:val="center"/>
              <w:rPr>
                <w:rFonts w:ascii="Arial" w:hAnsi="Arial" w:cs="Arial"/>
                <w:b/>
                <w:sz w:val="18"/>
                <w:szCs w:val="18"/>
              </w:rPr>
            </w:pPr>
            <w:r w:rsidRPr="003516DC">
              <w:rPr>
                <w:rFonts w:ascii="Arial" w:hAnsi="Arial" w:cs="Arial"/>
                <w:b/>
                <w:sz w:val="18"/>
                <w:szCs w:val="18"/>
              </w:rPr>
              <w:t>Opportunities</w:t>
            </w:r>
          </w:p>
        </w:tc>
        <w:tc>
          <w:tcPr>
            <w:tcW w:w="2513" w:type="pct"/>
            <w:shd w:val="clear" w:color="auto" w:fill="002060"/>
            <w:tcMar>
              <w:top w:w="100" w:type="dxa"/>
              <w:left w:w="100" w:type="dxa"/>
              <w:bottom w:w="100" w:type="dxa"/>
              <w:right w:w="100" w:type="dxa"/>
            </w:tcMar>
            <w:vAlign w:val="center"/>
          </w:tcPr>
          <w:p w14:paraId="4CF94AC8" w14:textId="77777777" w:rsidR="00542C72" w:rsidRPr="003516DC" w:rsidRDefault="00542C72" w:rsidP="00964831">
            <w:pPr>
              <w:jc w:val="center"/>
              <w:rPr>
                <w:rFonts w:ascii="Arial" w:hAnsi="Arial" w:cs="Arial"/>
                <w:b/>
                <w:sz w:val="18"/>
                <w:szCs w:val="18"/>
              </w:rPr>
            </w:pPr>
            <w:r w:rsidRPr="003516DC">
              <w:rPr>
                <w:rFonts w:ascii="Arial" w:hAnsi="Arial" w:cs="Arial"/>
                <w:b/>
                <w:sz w:val="18"/>
                <w:szCs w:val="18"/>
              </w:rPr>
              <w:t>Threats</w:t>
            </w:r>
          </w:p>
        </w:tc>
      </w:tr>
      <w:tr w:rsidR="00542C72" w:rsidRPr="003516DC" w14:paraId="29FD8547"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05A1C48A"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542C72" w:rsidRPr="003516DC" w14:paraId="2B8E7868" w14:textId="77777777" w:rsidTr="00964831">
        <w:trPr>
          <w:trHeight w:val="15"/>
        </w:trPr>
        <w:tc>
          <w:tcPr>
            <w:tcW w:w="2487" w:type="pct"/>
            <w:shd w:val="clear" w:color="auto" w:fill="auto"/>
            <w:tcMar>
              <w:top w:w="100" w:type="dxa"/>
              <w:left w:w="100" w:type="dxa"/>
              <w:bottom w:w="100" w:type="dxa"/>
              <w:right w:w="100" w:type="dxa"/>
            </w:tcMar>
          </w:tcPr>
          <w:p w14:paraId="7DEEAF89" w14:textId="77777777" w:rsidR="00542C72" w:rsidRPr="003516DC" w:rsidRDefault="00542C72" w:rsidP="00542C72">
            <w:pPr>
              <w:pStyle w:val="ListParagraph"/>
              <w:numPr>
                <w:ilvl w:val="0"/>
                <w:numId w:val="48"/>
              </w:numPr>
              <w:spacing w:line="240" w:lineRule="auto"/>
              <w:ind w:left="360"/>
              <w:rPr>
                <w:sz w:val="18"/>
                <w:szCs w:val="18"/>
              </w:rPr>
            </w:pPr>
            <w:r w:rsidRPr="003516DC">
              <w:rPr>
                <w:sz w:val="18"/>
                <w:szCs w:val="18"/>
              </w:rPr>
              <w:t>Favourable national and EU context to push for energy transition objectives and funding.</w:t>
            </w:r>
          </w:p>
          <w:p w14:paraId="48D10432" w14:textId="21144D03" w:rsidR="00542C72" w:rsidRPr="003516DC" w:rsidRDefault="00542C72" w:rsidP="00542C72">
            <w:pPr>
              <w:pStyle w:val="ListParagraph"/>
              <w:numPr>
                <w:ilvl w:val="0"/>
                <w:numId w:val="48"/>
              </w:numPr>
              <w:spacing w:line="240" w:lineRule="auto"/>
              <w:ind w:left="360"/>
              <w:rPr>
                <w:sz w:val="18"/>
                <w:szCs w:val="18"/>
              </w:rPr>
            </w:pPr>
            <w:r w:rsidRPr="003516DC">
              <w:rPr>
                <w:sz w:val="18"/>
                <w:szCs w:val="18"/>
              </w:rPr>
              <w:t>Beneficial spill overs and cross fertili</w:t>
            </w:r>
            <w:r w:rsidR="004E7B64">
              <w:rPr>
                <w:sz w:val="18"/>
                <w:szCs w:val="18"/>
              </w:rPr>
              <w:t>sation</w:t>
            </w:r>
            <w:r w:rsidRPr="003516DC">
              <w:rPr>
                <w:sz w:val="18"/>
                <w:szCs w:val="18"/>
              </w:rPr>
              <w:t xml:space="preserve"> with EU and national funded investments.</w:t>
            </w:r>
          </w:p>
          <w:p w14:paraId="159ABB86" w14:textId="77777777" w:rsidR="00542C72" w:rsidRPr="003516DC" w:rsidRDefault="00542C72" w:rsidP="00542C72">
            <w:pPr>
              <w:pStyle w:val="ListParagraph"/>
              <w:numPr>
                <w:ilvl w:val="0"/>
                <w:numId w:val="48"/>
              </w:numPr>
              <w:spacing w:line="240" w:lineRule="auto"/>
              <w:ind w:left="360"/>
              <w:rPr>
                <w:sz w:val="18"/>
                <w:szCs w:val="18"/>
              </w:rPr>
            </w:pPr>
            <w:r w:rsidRPr="003516DC">
              <w:rPr>
                <w:sz w:val="18"/>
                <w:szCs w:val="18"/>
              </w:rPr>
              <w:t>Planned investments further increase the favourable economic context of PH, such as the extensions of the airport and highway that connect Ploiești to East Romania and towards commercial routes to Central Europe; in this respect, PH will further consolidate its position as best connected among the JTP regions.</w:t>
            </w:r>
          </w:p>
        </w:tc>
        <w:tc>
          <w:tcPr>
            <w:tcW w:w="2513" w:type="pct"/>
            <w:shd w:val="clear" w:color="auto" w:fill="auto"/>
            <w:tcMar>
              <w:top w:w="100" w:type="dxa"/>
              <w:left w:w="100" w:type="dxa"/>
              <w:bottom w:w="100" w:type="dxa"/>
              <w:right w:w="100" w:type="dxa"/>
            </w:tcMar>
          </w:tcPr>
          <w:p w14:paraId="6C18B07C" w14:textId="77777777" w:rsidR="00542C72" w:rsidRPr="003516DC" w:rsidRDefault="00542C72" w:rsidP="00542C72">
            <w:pPr>
              <w:pStyle w:val="ListParagraph"/>
              <w:numPr>
                <w:ilvl w:val="0"/>
                <w:numId w:val="48"/>
              </w:numPr>
              <w:spacing w:line="240" w:lineRule="auto"/>
              <w:ind w:left="316" w:hanging="270"/>
              <w:rPr>
                <w:sz w:val="18"/>
                <w:szCs w:val="18"/>
              </w:rPr>
            </w:pPr>
            <w:r w:rsidRPr="003516DC">
              <w:rPr>
                <w:sz w:val="18"/>
                <w:szCs w:val="18"/>
              </w:rPr>
              <w:t>Competition on labour force posed by other cities (e.g., outmigration to Bucharest and abroad).</w:t>
            </w:r>
          </w:p>
          <w:p w14:paraId="0A3776B7" w14:textId="77777777" w:rsidR="00542C72" w:rsidRPr="003516DC" w:rsidRDefault="00542C72" w:rsidP="00542C72">
            <w:pPr>
              <w:pStyle w:val="ListParagraph"/>
              <w:numPr>
                <w:ilvl w:val="0"/>
                <w:numId w:val="48"/>
              </w:numPr>
              <w:spacing w:line="240" w:lineRule="auto"/>
              <w:ind w:left="316" w:hanging="270"/>
              <w:rPr>
                <w:sz w:val="18"/>
                <w:szCs w:val="18"/>
              </w:rPr>
            </w:pPr>
            <w:r w:rsidRPr="003516DC">
              <w:rPr>
                <w:sz w:val="18"/>
                <w:szCs w:val="18"/>
              </w:rPr>
              <w:t>Slow adaptation of local players in the educational field (such as higher education and research) to new tendencies.</w:t>
            </w:r>
          </w:p>
          <w:p w14:paraId="0CD21317" w14:textId="77777777" w:rsidR="00542C72" w:rsidRPr="003516DC" w:rsidRDefault="00542C72" w:rsidP="00542C72">
            <w:pPr>
              <w:pStyle w:val="ListParagraph"/>
              <w:numPr>
                <w:ilvl w:val="0"/>
                <w:numId w:val="48"/>
              </w:numPr>
              <w:spacing w:line="240" w:lineRule="auto"/>
              <w:ind w:left="316" w:hanging="270"/>
              <w:rPr>
                <w:sz w:val="18"/>
                <w:szCs w:val="18"/>
              </w:rPr>
            </w:pPr>
            <w:r w:rsidRPr="003516DC">
              <w:rPr>
                <w:sz w:val="18"/>
                <w:szCs w:val="18"/>
              </w:rPr>
              <w:t>Exacerbation of poverty and exclusion, unless long-term, sustained efforts to combat them are employed.</w:t>
            </w:r>
          </w:p>
          <w:p w14:paraId="72330D34"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tc>
      </w:tr>
      <w:tr w:rsidR="00542C72" w:rsidRPr="003516DC" w14:paraId="134254A6"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13ADF2A5"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Economic &amp; Environmental</w:t>
            </w:r>
          </w:p>
        </w:tc>
      </w:tr>
      <w:tr w:rsidR="00542C72" w:rsidRPr="003516DC" w14:paraId="08EBCB87" w14:textId="77777777" w:rsidTr="00964831">
        <w:trPr>
          <w:trHeight w:val="1450"/>
        </w:trPr>
        <w:tc>
          <w:tcPr>
            <w:tcW w:w="2487" w:type="pct"/>
            <w:shd w:val="clear" w:color="auto" w:fill="auto"/>
            <w:tcMar>
              <w:top w:w="100" w:type="dxa"/>
              <w:left w:w="100" w:type="dxa"/>
              <w:bottom w:w="100" w:type="dxa"/>
              <w:right w:w="100" w:type="dxa"/>
            </w:tcMar>
          </w:tcPr>
          <w:p w14:paraId="72B61A53" w14:textId="77777777" w:rsidR="00542C72" w:rsidRPr="003516DC" w:rsidRDefault="00542C72" w:rsidP="00542C72">
            <w:pPr>
              <w:pStyle w:val="ListParagraph"/>
              <w:numPr>
                <w:ilvl w:val="0"/>
                <w:numId w:val="49"/>
              </w:numPr>
              <w:spacing w:line="240" w:lineRule="auto"/>
              <w:rPr>
                <w:sz w:val="18"/>
                <w:szCs w:val="18"/>
              </w:rPr>
            </w:pPr>
            <w:r w:rsidRPr="003516DC">
              <w:rPr>
                <w:sz w:val="18"/>
                <w:szCs w:val="18"/>
              </w:rPr>
              <w:lastRenderedPageBreak/>
              <w:t>Overall economic growth and income drives demand for economic activities that have good prospects in PH, e.g., wine production and tourism in south Prahova, etc.</w:t>
            </w:r>
          </w:p>
          <w:p w14:paraId="4F1CE0EE" w14:textId="77777777" w:rsidR="00542C72" w:rsidRPr="003516DC" w:rsidRDefault="00542C72" w:rsidP="00964831">
            <w:pPr>
              <w:jc w:val="both"/>
              <w:rPr>
                <w:rFonts w:ascii="Arial" w:hAnsi="Arial" w:cs="Arial"/>
                <w:sz w:val="18"/>
                <w:szCs w:val="18"/>
              </w:rPr>
            </w:pPr>
            <w:r w:rsidRPr="003516DC">
              <w:rPr>
                <w:rFonts w:ascii="Arial" w:hAnsi="Arial" w:cs="Arial"/>
                <w:sz w:val="18"/>
                <w:szCs w:val="18"/>
              </w:rPr>
              <w:t xml:space="preserve"> </w:t>
            </w:r>
          </w:p>
        </w:tc>
        <w:tc>
          <w:tcPr>
            <w:tcW w:w="2513" w:type="pct"/>
            <w:shd w:val="clear" w:color="auto" w:fill="auto"/>
            <w:tcMar>
              <w:top w:w="100" w:type="dxa"/>
              <w:left w:w="100" w:type="dxa"/>
              <w:bottom w:w="100" w:type="dxa"/>
              <w:right w:w="100" w:type="dxa"/>
            </w:tcMar>
          </w:tcPr>
          <w:p w14:paraId="21EDF131" w14:textId="77777777" w:rsidR="00542C72" w:rsidRPr="003516DC" w:rsidRDefault="00542C72" w:rsidP="00542C72">
            <w:pPr>
              <w:pStyle w:val="ListParagraph"/>
              <w:numPr>
                <w:ilvl w:val="0"/>
                <w:numId w:val="49"/>
              </w:numPr>
              <w:spacing w:line="240" w:lineRule="auto"/>
              <w:rPr>
                <w:sz w:val="18"/>
                <w:szCs w:val="18"/>
              </w:rPr>
            </w:pPr>
            <w:r w:rsidRPr="003516DC">
              <w:rPr>
                <w:sz w:val="18"/>
                <w:szCs w:val="18"/>
              </w:rPr>
              <w:t>Environmental targets put additional pressure on businesses to adapt/reorganise business models.</w:t>
            </w:r>
          </w:p>
          <w:p w14:paraId="404A9967" w14:textId="77777777" w:rsidR="00542C72" w:rsidRPr="003516DC" w:rsidRDefault="00542C72" w:rsidP="00542C72">
            <w:pPr>
              <w:pStyle w:val="ListParagraph"/>
              <w:numPr>
                <w:ilvl w:val="0"/>
                <w:numId w:val="49"/>
              </w:numPr>
              <w:spacing w:line="240" w:lineRule="auto"/>
              <w:rPr>
                <w:sz w:val="18"/>
                <w:szCs w:val="18"/>
              </w:rPr>
            </w:pPr>
            <w:r w:rsidRPr="003516DC">
              <w:rPr>
                <w:sz w:val="18"/>
                <w:szCs w:val="18"/>
              </w:rPr>
              <w:t>Low technology and knowledge intensive manufacturing and services (e.g., lohn garments industry) are sensitive to shifts in the minimum wage, etc..</w:t>
            </w:r>
          </w:p>
        </w:tc>
      </w:tr>
      <w:tr w:rsidR="00542C72" w:rsidRPr="003516DC" w14:paraId="66976007"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58EBBBFB"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Social &amp; Cultural</w:t>
            </w:r>
          </w:p>
        </w:tc>
      </w:tr>
      <w:tr w:rsidR="00542C72" w:rsidRPr="003516DC" w14:paraId="4490E81E" w14:textId="77777777" w:rsidTr="00964831">
        <w:trPr>
          <w:trHeight w:val="774"/>
        </w:trPr>
        <w:tc>
          <w:tcPr>
            <w:tcW w:w="2487" w:type="pct"/>
            <w:shd w:val="clear" w:color="auto" w:fill="auto"/>
            <w:tcMar>
              <w:top w:w="100" w:type="dxa"/>
              <w:left w:w="100" w:type="dxa"/>
              <w:bottom w:w="100" w:type="dxa"/>
              <w:right w:w="100" w:type="dxa"/>
            </w:tcMar>
          </w:tcPr>
          <w:p w14:paraId="584BD032" w14:textId="77777777" w:rsidR="00542C72" w:rsidRPr="003516DC" w:rsidRDefault="00542C72" w:rsidP="00542C72">
            <w:pPr>
              <w:pStyle w:val="ListParagraph"/>
              <w:numPr>
                <w:ilvl w:val="0"/>
                <w:numId w:val="50"/>
              </w:numPr>
              <w:pBdr>
                <w:top w:val="nil"/>
                <w:left w:val="nil"/>
                <w:bottom w:val="nil"/>
                <w:right w:val="nil"/>
                <w:between w:val="nil"/>
              </w:pBdr>
              <w:spacing w:line="240" w:lineRule="auto"/>
              <w:rPr>
                <w:sz w:val="18"/>
                <w:szCs w:val="18"/>
              </w:rPr>
            </w:pPr>
            <w:r w:rsidRPr="003516DC">
              <w:rPr>
                <w:sz w:val="18"/>
                <w:szCs w:val="18"/>
              </w:rPr>
              <w:t xml:space="preserve">Growing civil society and engagement in environmental issues </w:t>
            </w:r>
          </w:p>
          <w:p w14:paraId="6F7EFE54" w14:textId="77777777" w:rsidR="00542C72" w:rsidRPr="003516DC" w:rsidRDefault="00542C72" w:rsidP="00964831">
            <w:pPr>
              <w:pBdr>
                <w:top w:val="nil"/>
                <w:left w:val="nil"/>
                <w:bottom w:val="nil"/>
                <w:right w:val="nil"/>
                <w:between w:val="nil"/>
              </w:pBdr>
              <w:jc w:val="both"/>
              <w:rPr>
                <w:rFonts w:ascii="Arial" w:hAnsi="Arial" w:cs="Arial"/>
                <w:sz w:val="18"/>
                <w:szCs w:val="18"/>
              </w:rPr>
            </w:pPr>
            <w:r w:rsidRPr="003516DC">
              <w:rPr>
                <w:rFonts w:ascii="Arial" w:hAnsi="Arial" w:cs="Arial"/>
                <w:sz w:val="18"/>
                <w:szCs w:val="18"/>
              </w:rPr>
              <w:t xml:space="preserve"> </w:t>
            </w:r>
          </w:p>
          <w:p w14:paraId="75EFD97E" w14:textId="77777777" w:rsidR="00542C72" w:rsidRPr="003516DC" w:rsidRDefault="00542C72" w:rsidP="00964831">
            <w:pPr>
              <w:pBdr>
                <w:top w:val="nil"/>
                <w:left w:val="nil"/>
                <w:bottom w:val="nil"/>
                <w:right w:val="nil"/>
                <w:between w:val="nil"/>
              </w:pBdr>
              <w:jc w:val="both"/>
              <w:rPr>
                <w:rFonts w:ascii="Arial" w:hAnsi="Arial" w:cs="Arial"/>
                <w:sz w:val="18"/>
                <w:szCs w:val="18"/>
              </w:rPr>
            </w:pPr>
            <w:r w:rsidRPr="003516DC">
              <w:rPr>
                <w:rFonts w:ascii="Arial" w:hAnsi="Arial" w:cs="Arial"/>
                <w:sz w:val="18"/>
                <w:szCs w:val="18"/>
              </w:rPr>
              <w:t xml:space="preserve"> </w:t>
            </w:r>
          </w:p>
        </w:tc>
        <w:tc>
          <w:tcPr>
            <w:tcW w:w="2513" w:type="pct"/>
            <w:shd w:val="clear" w:color="auto" w:fill="auto"/>
            <w:tcMar>
              <w:top w:w="100" w:type="dxa"/>
              <w:left w:w="100" w:type="dxa"/>
              <w:bottom w:w="100" w:type="dxa"/>
              <w:right w:w="100" w:type="dxa"/>
            </w:tcMar>
          </w:tcPr>
          <w:p w14:paraId="0D77B614" w14:textId="77777777" w:rsidR="00542C72" w:rsidRPr="003516DC" w:rsidRDefault="00542C72" w:rsidP="00542C72">
            <w:pPr>
              <w:pStyle w:val="ListParagraph"/>
              <w:numPr>
                <w:ilvl w:val="0"/>
                <w:numId w:val="50"/>
              </w:numPr>
              <w:pBdr>
                <w:top w:val="nil"/>
                <w:left w:val="nil"/>
                <w:bottom w:val="nil"/>
                <w:right w:val="nil"/>
                <w:between w:val="nil"/>
              </w:pBdr>
              <w:spacing w:line="240" w:lineRule="auto"/>
              <w:rPr>
                <w:sz w:val="18"/>
                <w:szCs w:val="18"/>
              </w:rPr>
            </w:pPr>
            <w:r w:rsidRPr="003516DC">
              <w:rPr>
                <w:sz w:val="18"/>
                <w:szCs w:val="18"/>
              </w:rPr>
              <w:t>Outmigration continues to be an issue; nearby competition from cities/countries providing better quality of life, professional opportunities and wage levels.</w:t>
            </w:r>
          </w:p>
        </w:tc>
      </w:tr>
      <w:tr w:rsidR="00542C72" w:rsidRPr="003516DC" w14:paraId="6F37C5F0" w14:textId="77777777" w:rsidTr="00931AF2">
        <w:trPr>
          <w:trHeight w:val="101"/>
        </w:trPr>
        <w:tc>
          <w:tcPr>
            <w:tcW w:w="5000" w:type="pct"/>
            <w:gridSpan w:val="2"/>
            <w:shd w:val="clear" w:color="auto" w:fill="E7E6E6"/>
            <w:tcMar>
              <w:top w:w="100" w:type="dxa"/>
              <w:left w:w="100" w:type="dxa"/>
              <w:bottom w:w="100" w:type="dxa"/>
              <w:right w:w="100" w:type="dxa"/>
            </w:tcMar>
            <w:vAlign w:val="center"/>
          </w:tcPr>
          <w:p w14:paraId="0625B259" w14:textId="77777777" w:rsidR="00542C72" w:rsidRPr="003516DC" w:rsidRDefault="00542C72" w:rsidP="00964831">
            <w:pPr>
              <w:jc w:val="center"/>
              <w:rPr>
                <w:rFonts w:ascii="Arial" w:hAnsi="Arial" w:cs="Arial"/>
                <w:b/>
                <w:bCs/>
                <w:sz w:val="18"/>
                <w:szCs w:val="18"/>
              </w:rPr>
            </w:pPr>
            <w:r w:rsidRPr="003516DC">
              <w:rPr>
                <w:rFonts w:ascii="Arial" w:hAnsi="Arial" w:cs="Arial"/>
                <w:b/>
                <w:bCs/>
                <w:sz w:val="18"/>
                <w:szCs w:val="18"/>
              </w:rPr>
              <w:t>Technological</w:t>
            </w:r>
          </w:p>
        </w:tc>
      </w:tr>
      <w:tr w:rsidR="00542C72" w:rsidRPr="003516DC" w14:paraId="0C7E47B7" w14:textId="77777777" w:rsidTr="00964831">
        <w:trPr>
          <w:trHeight w:val="628"/>
        </w:trPr>
        <w:tc>
          <w:tcPr>
            <w:tcW w:w="2487" w:type="pct"/>
            <w:shd w:val="clear" w:color="auto" w:fill="auto"/>
            <w:tcMar>
              <w:top w:w="100" w:type="dxa"/>
              <w:left w:w="100" w:type="dxa"/>
              <w:bottom w:w="100" w:type="dxa"/>
              <w:right w:w="100" w:type="dxa"/>
            </w:tcMar>
          </w:tcPr>
          <w:p w14:paraId="49B17E93" w14:textId="77777777" w:rsidR="00542C72" w:rsidRPr="003516DC" w:rsidRDefault="00542C72" w:rsidP="00542C72">
            <w:pPr>
              <w:pStyle w:val="ListParagraph"/>
              <w:numPr>
                <w:ilvl w:val="0"/>
                <w:numId w:val="51"/>
              </w:numPr>
              <w:spacing w:line="240" w:lineRule="auto"/>
              <w:rPr>
                <w:sz w:val="18"/>
                <w:szCs w:val="18"/>
              </w:rPr>
            </w:pPr>
            <w:r w:rsidRPr="003516DC">
              <w:rPr>
                <w:sz w:val="18"/>
                <w:szCs w:val="18"/>
              </w:rPr>
              <w:t>Public financing prospects for technological and digitisation upgrades</w:t>
            </w:r>
          </w:p>
        </w:tc>
        <w:tc>
          <w:tcPr>
            <w:tcW w:w="2513" w:type="pct"/>
            <w:shd w:val="clear" w:color="auto" w:fill="auto"/>
            <w:tcMar>
              <w:top w:w="100" w:type="dxa"/>
              <w:left w:w="100" w:type="dxa"/>
              <w:bottom w:w="100" w:type="dxa"/>
              <w:right w:w="100" w:type="dxa"/>
            </w:tcMar>
          </w:tcPr>
          <w:p w14:paraId="3951A6F1" w14:textId="77777777" w:rsidR="00542C72" w:rsidRPr="003516DC" w:rsidRDefault="00542C72" w:rsidP="00542C72">
            <w:pPr>
              <w:pStyle w:val="ListParagraph"/>
              <w:numPr>
                <w:ilvl w:val="0"/>
                <w:numId w:val="51"/>
              </w:numPr>
              <w:spacing w:line="240" w:lineRule="auto"/>
              <w:rPr>
                <w:sz w:val="18"/>
                <w:szCs w:val="18"/>
              </w:rPr>
            </w:pPr>
            <w:r w:rsidRPr="003516DC">
              <w:rPr>
                <w:sz w:val="18"/>
                <w:szCs w:val="18"/>
              </w:rPr>
              <w:t>Increased technological competition by businesses in other locations, favoured by increasingly connected markets.</w:t>
            </w:r>
          </w:p>
        </w:tc>
      </w:tr>
    </w:tbl>
    <w:p w14:paraId="7256AEFF" w14:textId="77777777" w:rsidR="00542C72" w:rsidRPr="003516DC" w:rsidRDefault="00542C72" w:rsidP="00931AF2">
      <w:pPr>
        <w:spacing w:before="120" w:after="120"/>
        <w:rPr>
          <w:rFonts w:ascii="Arial" w:hAnsi="Arial" w:cs="Arial"/>
          <w:bCs/>
          <w:i/>
          <w:iCs/>
          <w:color w:val="0070C0"/>
          <w:sz w:val="20"/>
          <w:szCs w:val="20"/>
        </w:rPr>
      </w:pPr>
      <w:r w:rsidRPr="003516DC">
        <w:rPr>
          <w:rFonts w:ascii="Arial" w:hAnsi="Arial" w:cs="Arial"/>
          <w:bCs/>
          <w:i/>
          <w:iCs/>
          <w:color w:val="0070C0"/>
          <w:sz w:val="20"/>
          <w:szCs w:val="20"/>
        </w:rPr>
        <w:t>Strategic outlook</w:t>
      </w:r>
    </w:p>
    <w:p w14:paraId="2D5045DB" w14:textId="77777777" w:rsidR="00542C72" w:rsidRPr="003516DC" w:rsidRDefault="00542C72" w:rsidP="00931AF2">
      <w:pPr>
        <w:spacing w:after="120"/>
        <w:jc w:val="both"/>
        <w:rPr>
          <w:rFonts w:ascii="Arial" w:hAnsi="Arial" w:cs="Arial"/>
          <w:sz w:val="20"/>
          <w:szCs w:val="20"/>
        </w:rPr>
      </w:pPr>
      <w:r w:rsidRPr="003516DC">
        <w:rPr>
          <w:rFonts w:ascii="Arial" w:hAnsi="Arial" w:cs="Arial"/>
          <w:sz w:val="20"/>
          <w:szCs w:val="20"/>
        </w:rPr>
        <w:t xml:space="preserve">Prahova has been and still is the hotspot of oil industry in Romania, a legacy dating back more than a century and a half ago. The oil industry developed initially with heavy foreign investments and technology (German, British, Dutch, American capital). Prahova was Europe’s main source of oil during World War II, which was also a reason why the county – and Ploiești in particular – was heavily bombed. The communist era that followed meant a nationalisation of the industry and significant expansion, given the ambitious centrally planned industrialisation policy of the country. Post-communism and the transition to a market economy has severely impacted the oil industry and its value chain, which used to be very strong in Prahova: oil extraction machinery much valued on global markets, petro-chemical industry, research and engineering, higher education institutions, with the peak of business closures and lay-offs during 2000s.   </w:t>
      </w:r>
    </w:p>
    <w:p w14:paraId="7B949C8D" w14:textId="77777777" w:rsidR="00542C72" w:rsidRPr="003516DC" w:rsidRDefault="00542C72" w:rsidP="00931AF2">
      <w:pPr>
        <w:spacing w:after="120"/>
        <w:jc w:val="both"/>
        <w:rPr>
          <w:rFonts w:ascii="Arial" w:hAnsi="Arial" w:cs="Arial"/>
          <w:sz w:val="20"/>
          <w:szCs w:val="20"/>
        </w:rPr>
      </w:pPr>
      <w:r w:rsidRPr="003516DC">
        <w:rPr>
          <w:rFonts w:ascii="Arial" w:hAnsi="Arial" w:cs="Arial"/>
          <w:sz w:val="20"/>
          <w:szCs w:val="20"/>
        </w:rPr>
        <w:t>The most competitive components of the oil industry managed to survive and flourish in the decades since the difficult economic transition to a market economy and opening to global markets, to the satisfaction and encouragement of a community otherwise hit hard by a painful restructuring. This is a legacy that needs to be considered as Prahova is now facing a new transition challenge to phase out fossil energy sources. This is essentially a death sentence for what used to be and still is the backbone, identity and pride of Prahova, and its main urban centres of Ploiești and Câmpina.</w:t>
      </w:r>
    </w:p>
    <w:p w14:paraId="0F46D4B2" w14:textId="77777777" w:rsidR="00542C72" w:rsidRPr="003516DC" w:rsidRDefault="00542C72" w:rsidP="00542C72">
      <w:pPr>
        <w:spacing w:after="80"/>
        <w:jc w:val="both"/>
        <w:rPr>
          <w:rFonts w:ascii="Arial" w:hAnsi="Arial" w:cs="Arial"/>
          <w:sz w:val="20"/>
          <w:szCs w:val="20"/>
        </w:rPr>
      </w:pPr>
      <w:r w:rsidRPr="003516DC">
        <w:rPr>
          <w:rFonts w:ascii="Arial" w:hAnsi="Arial" w:cs="Arial"/>
          <w:sz w:val="20"/>
          <w:szCs w:val="20"/>
        </w:rPr>
        <w:t>Nevertheless, a “just transition” for Prahova should consider:</w:t>
      </w:r>
    </w:p>
    <w:p w14:paraId="2B5A73BA" w14:textId="77777777" w:rsidR="00542C72" w:rsidRPr="003516DC" w:rsidRDefault="00542C72" w:rsidP="00542C72">
      <w:pPr>
        <w:pStyle w:val="ListParagraph"/>
        <w:numPr>
          <w:ilvl w:val="0"/>
          <w:numId w:val="52"/>
        </w:numPr>
        <w:spacing w:after="240" w:line="240" w:lineRule="auto"/>
        <w:jc w:val="both"/>
        <w:rPr>
          <w:sz w:val="20"/>
          <w:szCs w:val="20"/>
        </w:rPr>
      </w:pPr>
      <w:r w:rsidRPr="003516DC">
        <w:rPr>
          <w:sz w:val="20"/>
          <w:szCs w:val="20"/>
        </w:rPr>
        <w:t>An acknowledgment of Prahova’s contribution to the national and European economy, based on thoughtful investments in oil industry heritage acknowledgement and celebration. This could encompass several industrial reconversion and regeneration initiatives of key former sites with symbolic value into quality of life enhancing infrastructures and celebration monuments. Business closures, demolishment and decontamination of sites alone will lead to further discontent and fractures between national/EU ambitions and local values.</w:t>
      </w:r>
    </w:p>
    <w:p w14:paraId="48166FDA" w14:textId="77777777" w:rsidR="00542C72" w:rsidRPr="003516DC" w:rsidRDefault="00542C72" w:rsidP="00542C72">
      <w:pPr>
        <w:pStyle w:val="ListParagraph"/>
        <w:spacing w:after="240" w:line="240" w:lineRule="auto"/>
        <w:ind w:left="360"/>
        <w:jc w:val="both"/>
        <w:rPr>
          <w:sz w:val="8"/>
          <w:szCs w:val="8"/>
        </w:rPr>
      </w:pPr>
    </w:p>
    <w:p w14:paraId="1FCDCA66" w14:textId="77777777" w:rsidR="00542C72" w:rsidRPr="003516DC" w:rsidRDefault="00542C72" w:rsidP="00542C72">
      <w:pPr>
        <w:pStyle w:val="ListParagraph"/>
        <w:numPr>
          <w:ilvl w:val="0"/>
          <w:numId w:val="52"/>
        </w:numPr>
        <w:spacing w:after="240" w:line="240" w:lineRule="auto"/>
        <w:jc w:val="both"/>
        <w:rPr>
          <w:sz w:val="20"/>
          <w:szCs w:val="20"/>
        </w:rPr>
      </w:pPr>
      <w:r w:rsidRPr="003516DC">
        <w:rPr>
          <w:sz w:val="20"/>
          <w:szCs w:val="20"/>
        </w:rPr>
        <w:t>Education and awareness on climate change, the rationale and benefits of the Green Deal policies can help local communities accept and engage the energy transition.</w:t>
      </w:r>
    </w:p>
    <w:p w14:paraId="34DA7A7B" w14:textId="77777777" w:rsidR="00542C72" w:rsidRPr="003516DC" w:rsidRDefault="00542C72" w:rsidP="00542C72">
      <w:pPr>
        <w:pStyle w:val="ListParagraph"/>
        <w:spacing w:after="240" w:line="240" w:lineRule="auto"/>
        <w:ind w:left="360"/>
        <w:jc w:val="both"/>
        <w:rPr>
          <w:sz w:val="8"/>
          <w:szCs w:val="8"/>
        </w:rPr>
      </w:pPr>
    </w:p>
    <w:p w14:paraId="3C9988D7" w14:textId="77777777" w:rsidR="00542C72" w:rsidRPr="003516DC" w:rsidRDefault="00542C72" w:rsidP="00542C72">
      <w:pPr>
        <w:pStyle w:val="ListParagraph"/>
        <w:numPr>
          <w:ilvl w:val="0"/>
          <w:numId w:val="52"/>
        </w:numPr>
        <w:spacing w:after="240" w:line="240" w:lineRule="auto"/>
        <w:jc w:val="both"/>
        <w:rPr>
          <w:sz w:val="20"/>
          <w:szCs w:val="20"/>
        </w:rPr>
      </w:pPr>
      <w:r w:rsidRPr="003516DC">
        <w:rPr>
          <w:sz w:val="20"/>
          <w:szCs w:val="20"/>
        </w:rPr>
        <w:t>A good understanding and capitalisation on direct benefits of the energy transition for the local community. Reducing air pollution generated by oil refining, which is a problem identified in consultations with civil society, is one such direct benefit.</w:t>
      </w:r>
    </w:p>
    <w:p w14:paraId="692376DF" w14:textId="77777777" w:rsidR="00542C72" w:rsidRPr="003516DC" w:rsidRDefault="00542C72" w:rsidP="00542C72">
      <w:pPr>
        <w:pStyle w:val="ListParagraph"/>
        <w:spacing w:after="240" w:line="240" w:lineRule="auto"/>
        <w:ind w:left="360"/>
        <w:jc w:val="both"/>
        <w:rPr>
          <w:sz w:val="8"/>
          <w:szCs w:val="8"/>
        </w:rPr>
      </w:pPr>
    </w:p>
    <w:p w14:paraId="10942FE4" w14:textId="77777777" w:rsidR="00542C72" w:rsidRPr="003516DC" w:rsidRDefault="00542C72" w:rsidP="00542C72">
      <w:pPr>
        <w:pStyle w:val="ListParagraph"/>
        <w:numPr>
          <w:ilvl w:val="0"/>
          <w:numId w:val="52"/>
        </w:numPr>
        <w:spacing w:after="240" w:line="240" w:lineRule="auto"/>
        <w:jc w:val="both"/>
        <w:rPr>
          <w:sz w:val="20"/>
          <w:szCs w:val="20"/>
        </w:rPr>
      </w:pPr>
      <w:r w:rsidRPr="003516DC">
        <w:rPr>
          <w:sz w:val="20"/>
          <w:szCs w:val="20"/>
        </w:rPr>
        <w:t xml:space="preserve">Investing in technology to upgrade and foster business development to help create cleaner, better paid jobs in Prahova. In this respect, Prahova has an encouraging baseline to start from in the manufacturing sector, but less so in the services sector. </w:t>
      </w:r>
    </w:p>
    <w:p w14:paraId="1FFE005E" w14:textId="239F14AA" w:rsidR="00542C72" w:rsidRPr="003516DC" w:rsidRDefault="00542C72" w:rsidP="00542C72">
      <w:pPr>
        <w:pStyle w:val="ListParagraph"/>
        <w:spacing w:after="240" w:line="240" w:lineRule="auto"/>
        <w:ind w:left="360"/>
        <w:jc w:val="both"/>
        <w:rPr>
          <w:sz w:val="8"/>
          <w:szCs w:val="8"/>
        </w:rPr>
      </w:pPr>
    </w:p>
    <w:p w14:paraId="6E60D503" w14:textId="77777777" w:rsidR="00542C72" w:rsidRPr="003516DC" w:rsidRDefault="00542C72" w:rsidP="00542C72">
      <w:pPr>
        <w:pStyle w:val="ListParagraph"/>
        <w:numPr>
          <w:ilvl w:val="0"/>
          <w:numId w:val="52"/>
        </w:numPr>
        <w:spacing w:after="240" w:line="240" w:lineRule="auto"/>
        <w:jc w:val="both"/>
        <w:rPr>
          <w:sz w:val="20"/>
          <w:szCs w:val="20"/>
        </w:rPr>
      </w:pPr>
      <w:r w:rsidRPr="003516DC">
        <w:rPr>
          <w:sz w:val="20"/>
          <w:szCs w:val="20"/>
        </w:rPr>
        <w:t>Creating a more inclusive labour market that acknowledges and tackles the structural, long term challenges that abandons many Prahova inhabitants:</w:t>
      </w:r>
    </w:p>
    <w:p w14:paraId="13D8BD24" w14:textId="77777777" w:rsidR="00542C72" w:rsidRPr="003516DC" w:rsidRDefault="00542C72" w:rsidP="00542C72">
      <w:pPr>
        <w:pStyle w:val="ListParagraph"/>
        <w:spacing w:after="240" w:line="240" w:lineRule="auto"/>
        <w:ind w:left="360"/>
        <w:jc w:val="both"/>
        <w:rPr>
          <w:sz w:val="4"/>
          <w:szCs w:val="4"/>
        </w:rPr>
      </w:pPr>
    </w:p>
    <w:p w14:paraId="7CDCDB07" w14:textId="77777777" w:rsidR="00542C72" w:rsidRPr="003516DC" w:rsidRDefault="00542C72" w:rsidP="00542C72">
      <w:pPr>
        <w:pStyle w:val="ListParagraph"/>
        <w:numPr>
          <w:ilvl w:val="0"/>
          <w:numId w:val="53"/>
        </w:numPr>
        <w:spacing w:after="240" w:line="240" w:lineRule="auto"/>
        <w:jc w:val="both"/>
        <w:rPr>
          <w:sz w:val="20"/>
          <w:szCs w:val="20"/>
        </w:rPr>
      </w:pPr>
      <w:r w:rsidRPr="003516DC">
        <w:rPr>
          <w:sz w:val="20"/>
          <w:szCs w:val="20"/>
        </w:rPr>
        <w:t xml:space="preserve">addressing early school dropout rates to make sure that all youth complete a minimum basic education to qualify for jobs; </w:t>
      </w:r>
    </w:p>
    <w:p w14:paraId="3FCB8A4A" w14:textId="77777777" w:rsidR="00542C72" w:rsidRPr="003516DC" w:rsidRDefault="00542C72" w:rsidP="00542C72">
      <w:pPr>
        <w:pStyle w:val="ListParagraph"/>
        <w:spacing w:after="240" w:line="240" w:lineRule="auto"/>
        <w:ind w:left="1080"/>
        <w:jc w:val="both"/>
        <w:rPr>
          <w:sz w:val="4"/>
          <w:szCs w:val="4"/>
        </w:rPr>
      </w:pPr>
    </w:p>
    <w:p w14:paraId="7E84FE56" w14:textId="77777777" w:rsidR="00542C72" w:rsidRPr="003516DC" w:rsidRDefault="00542C72" w:rsidP="00542C72">
      <w:pPr>
        <w:pStyle w:val="ListParagraph"/>
        <w:numPr>
          <w:ilvl w:val="0"/>
          <w:numId w:val="53"/>
        </w:numPr>
        <w:spacing w:after="240" w:line="240" w:lineRule="auto"/>
        <w:jc w:val="both"/>
        <w:rPr>
          <w:sz w:val="20"/>
          <w:szCs w:val="20"/>
        </w:rPr>
      </w:pPr>
      <w:r w:rsidRPr="003516DC">
        <w:rPr>
          <w:sz w:val="20"/>
          <w:szCs w:val="20"/>
        </w:rPr>
        <w:lastRenderedPageBreak/>
        <w:t>a more competitive and attractive vocational school system, better equipped and adapted to market needs and trends and working in close engagement with local businesses; and,</w:t>
      </w:r>
    </w:p>
    <w:p w14:paraId="4F1E380E" w14:textId="77777777" w:rsidR="00542C72" w:rsidRPr="003516DC" w:rsidRDefault="00542C72" w:rsidP="00542C72">
      <w:pPr>
        <w:pStyle w:val="ListParagraph"/>
        <w:spacing w:after="240" w:line="240" w:lineRule="auto"/>
        <w:ind w:left="1080"/>
        <w:jc w:val="both"/>
        <w:rPr>
          <w:sz w:val="4"/>
          <w:szCs w:val="4"/>
        </w:rPr>
      </w:pPr>
    </w:p>
    <w:p w14:paraId="144DDBE5" w14:textId="3DE312AF" w:rsidR="00542C72" w:rsidRDefault="00542C72" w:rsidP="00542C72">
      <w:pPr>
        <w:pStyle w:val="ListParagraph"/>
        <w:numPr>
          <w:ilvl w:val="0"/>
          <w:numId w:val="53"/>
        </w:numPr>
        <w:spacing w:after="240" w:line="240" w:lineRule="auto"/>
        <w:jc w:val="both"/>
        <w:rPr>
          <w:sz w:val="20"/>
          <w:szCs w:val="20"/>
        </w:rPr>
      </w:pPr>
      <w:r w:rsidRPr="003516DC">
        <w:rPr>
          <w:sz w:val="20"/>
          <w:szCs w:val="20"/>
        </w:rPr>
        <w:t xml:space="preserve">mainstreamed monitoring and impact evaluation to showcase what works and what does not, to help learn from and advance what has been described as a rather inefficient, short term project-based approach to job qualifications.  </w:t>
      </w:r>
    </w:p>
    <w:p w14:paraId="646184F9" w14:textId="315B3FAF" w:rsidR="00542C72" w:rsidRDefault="00542C72" w:rsidP="00E42342">
      <w:pPr>
        <w:pStyle w:val="Heading2"/>
        <w:numPr>
          <w:ilvl w:val="0"/>
          <w:numId w:val="163"/>
        </w:numPr>
        <w:spacing w:before="240" w:line="240" w:lineRule="auto"/>
        <w:ind w:left="432" w:hanging="432"/>
      </w:pPr>
      <w:bookmarkStart w:id="263" w:name="_Toc90725887"/>
      <w:r w:rsidRPr="00345CF4">
        <w:t xml:space="preserve">Results of occupational mismatch analysis in </w:t>
      </w:r>
      <w:r>
        <w:t xml:space="preserve">Prahova </w:t>
      </w:r>
      <w:r w:rsidR="00931AF2">
        <w:t>C</w:t>
      </w:r>
      <w:r>
        <w:t>ounty</w:t>
      </w:r>
      <w:bookmarkEnd w:id="263"/>
    </w:p>
    <w:p w14:paraId="0C298D66" w14:textId="4E815C87" w:rsidR="00542C72" w:rsidRPr="00A2362B" w:rsidRDefault="00542C72" w:rsidP="00A2362B">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0958297A" w14:textId="49C67C30" w:rsidR="00542C72" w:rsidRPr="003516DC" w:rsidRDefault="00542C72" w:rsidP="00931AF2">
      <w:pPr>
        <w:spacing w:after="120"/>
        <w:jc w:val="both"/>
        <w:rPr>
          <w:rFonts w:ascii="Arial" w:hAnsi="Arial" w:cs="Arial"/>
          <w:sz w:val="20"/>
          <w:szCs w:val="20"/>
        </w:rPr>
      </w:pPr>
      <w:r w:rsidRPr="003516DC">
        <w:rPr>
          <w:rFonts w:ascii="Arial" w:hAnsi="Arial" w:cs="Arial"/>
          <w:sz w:val="20"/>
          <w:szCs w:val="20"/>
        </w:rPr>
        <w:t xml:space="preserve">Graph </w:t>
      </w:r>
      <w:r w:rsidR="00F140B0">
        <w:rPr>
          <w:rFonts w:ascii="Arial" w:hAnsi="Arial" w:cs="Arial"/>
          <w:sz w:val="20"/>
          <w:szCs w:val="20"/>
        </w:rPr>
        <w:t>41</w:t>
      </w:r>
      <w:r w:rsidRPr="003516DC">
        <w:rPr>
          <w:rFonts w:ascii="Arial" w:hAnsi="Arial" w:cs="Arial"/>
          <w:sz w:val="20"/>
          <w:szCs w:val="20"/>
        </w:rPr>
        <w:t xml:space="preserve"> shows the changes in the baseline from 2018 values in Prahova. Overall trends are similar to other regions, as they largely follow national trends. This means that employment in manufacturing, construction and agriculture drops in the long-term, while other services and retail and transport increase. The right panel of the same </w:t>
      </w:r>
      <w:r w:rsidR="002E605D">
        <w:rPr>
          <w:rFonts w:ascii="Arial" w:hAnsi="Arial" w:cs="Arial"/>
          <w:sz w:val="20"/>
          <w:szCs w:val="20"/>
        </w:rPr>
        <w:t>graph</w:t>
      </w:r>
      <w:r w:rsidRPr="003516DC">
        <w:rPr>
          <w:rFonts w:ascii="Arial" w:hAnsi="Arial" w:cs="Arial"/>
          <w:sz w:val="20"/>
          <w:szCs w:val="20"/>
        </w:rPr>
        <w:t xml:space="preserve"> shows changes in occupational structure. This follows a similar structure, common to other regions as well. The occupational groups of trades workers and farm and related workers decrease substantially in the long-term, while the categories of service and sales workers and professionals gain. Effects are increasing with time and are much stronger in the long-term.</w:t>
      </w:r>
    </w:p>
    <w:p w14:paraId="163BE7B1" w14:textId="006B720C" w:rsidR="00542C72" w:rsidRPr="003516DC" w:rsidRDefault="00542C72" w:rsidP="00931AF2">
      <w:pPr>
        <w:pStyle w:val="Caption"/>
        <w:spacing w:before="0"/>
        <w:ind w:left="1282" w:hanging="1282"/>
        <w:jc w:val="both"/>
      </w:pPr>
      <w:bookmarkStart w:id="264" w:name="_Toc90727377"/>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41</w:t>
      </w:r>
      <w:r w:rsidRPr="003516DC">
        <w:rPr>
          <w:noProof/>
        </w:rPr>
        <w:fldChar w:fldCharType="end"/>
      </w:r>
      <w:r w:rsidRPr="003516DC">
        <w:t xml:space="preserve">: Changes in employment from 2018 in baseline projections in Prahova; </w:t>
      </w:r>
      <w:r w:rsidRPr="003516DC">
        <w:br/>
        <w:t xml:space="preserve">left panel </w:t>
      </w:r>
      <w:r w:rsidR="00FF34FD">
        <w:t>–</w:t>
      </w:r>
      <w:r w:rsidRPr="003516DC">
        <w:t xml:space="preserve"> changes by sector; right panel – changes by occupation</w:t>
      </w:r>
      <w:bookmarkEnd w:id="264"/>
    </w:p>
    <w:p w14:paraId="133437E3" w14:textId="78D0F1C7" w:rsidR="00542C72" w:rsidRPr="003516DC" w:rsidRDefault="00542C72" w:rsidP="00542C72">
      <w:pPr>
        <w:rPr>
          <w:rFonts w:ascii="Arial" w:hAnsi="Arial" w:cs="Arial"/>
        </w:rPr>
      </w:pPr>
      <w:r w:rsidRPr="00402580">
        <w:rPr>
          <w:rFonts w:ascii="Arial" w:hAnsi="Arial" w:cs="Arial"/>
          <w:noProof/>
          <w:lang w:val="en-US" w:eastAsia="en-US"/>
        </w:rPr>
        <w:drawing>
          <wp:inline distT="0" distB="0" distL="0" distR="0" wp14:anchorId="5F3CEE06" wp14:editId="2E6BAB36">
            <wp:extent cx="5678424" cy="3081528"/>
            <wp:effectExtent l="0" t="0" r="0" b="5080"/>
            <wp:docPr id="2087055792" name="Graphic 2087055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Graphic 25"/>
                    <pic:cNvPicPr/>
                  </pic:nvPicPr>
                  <pic:blipFill>
                    <a:blip r:embed="rId16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66"/>
                        </a:ext>
                      </a:extLst>
                    </a:blip>
                    <a:stretch>
                      <a:fillRect/>
                    </a:stretch>
                  </pic:blipFill>
                  <pic:spPr>
                    <a:xfrm>
                      <a:off x="0" y="0"/>
                      <a:ext cx="5678424" cy="3081528"/>
                    </a:xfrm>
                    <a:prstGeom prst="rect">
                      <a:avLst/>
                    </a:prstGeom>
                  </pic:spPr>
                </pic:pic>
              </a:graphicData>
            </a:graphic>
          </wp:inline>
        </w:drawing>
      </w:r>
    </w:p>
    <w:p w14:paraId="5550B6FC" w14:textId="422D5894" w:rsidR="00542C72" w:rsidRDefault="00542C72" w:rsidP="00931AF2">
      <w:pPr>
        <w:spacing w:after="120"/>
        <w:jc w:val="both"/>
        <w:rPr>
          <w:rFonts w:ascii="Arial" w:hAnsi="Arial" w:cs="Arial"/>
          <w:sz w:val="20"/>
          <w:szCs w:val="20"/>
        </w:rPr>
      </w:pPr>
      <w:r w:rsidRPr="003516DC">
        <w:rPr>
          <w:rFonts w:ascii="Arial" w:hAnsi="Arial" w:cs="Arial"/>
          <w:sz w:val="20"/>
          <w:szCs w:val="20"/>
        </w:rPr>
        <w:t xml:space="preserve">Nonetheless, when we </w:t>
      </w:r>
      <w:r w:rsidR="003173A1">
        <w:rPr>
          <w:rFonts w:ascii="Arial" w:hAnsi="Arial" w:cs="Arial"/>
          <w:sz w:val="20"/>
          <w:szCs w:val="20"/>
        </w:rPr>
        <w:t>examine</w:t>
      </w:r>
      <w:r w:rsidRPr="003516DC">
        <w:rPr>
          <w:rFonts w:ascii="Arial" w:hAnsi="Arial" w:cs="Arial"/>
          <w:sz w:val="20"/>
          <w:szCs w:val="20"/>
        </w:rPr>
        <w:t xml:space="preserve"> the sector/occupation (left panel of Graph </w:t>
      </w:r>
      <w:r w:rsidR="00F140B0">
        <w:rPr>
          <w:rFonts w:ascii="Arial" w:hAnsi="Arial" w:cs="Arial"/>
          <w:sz w:val="20"/>
          <w:szCs w:val="20"/>
        </w:rPr>
        <w:t>41</w:t>
      </w:r>
      <w:r w:rsidRPr="003516DC">
        <w:rPr>
          <w:rFonts w:ascii="Arial" w:hAnsi="Arial" w:cs="Arial"/>
          <w:sz w:val="20"/>
          <w:szCs w:val="20"/>
        </w:rPr>
        <w:t>)</w:t>
      </w:r>
      <w:r w:rsidR="003173A1">
        <w:rPr>
          <w:rFonts w:ascii="Arial" w:hAnsi="Arial" w:cs="Arial"/>
          <w:sz w:val="20"/>
          <w:szCs w:val="20"/>
        </w:rPr>
        <w:t>,</w:t>
      </w:r>
      <w:r w:rsidRPr="003516DC">
        <w:rPr>
          <w:rFonts w:ascii="Arial" w:hAnsi="Arial" w:cs="Arial"/>
          <w:sz w:val="20"/>
          <w:szCs w:val="20"/>
        </w:rPr>
        <w:t xml:space="preserve"> results differ somewhat in Prahova </w:t>
      </w:r>
      <w:r w:rsidR="003173A1">
        <w:rPr>
          <w:rFonts w:ascii="Arial" w:hAnsi="Arial" w:cs="Arial"/>
          <w:sz w:val="20"/>
          <w:szCs w:val="20"/>
        </w:rPr>
        <w:t>compared to</w:t>
      </w:r>
      <w:r w:rsidR="003173A1" w:rsidRPr="003516DC">
        <w:rPr>
          <w:rFonts w:ascii="Arial" w:hAnsi="Arial" w:cs="Arial"/>
          <w:sz w:val="20"/>
          <w:szCs w:val="20"/>
        </w:rPr>
        <w:t xml:space="preserve"> </w:t>
      </w:r>
      <w:r w:rsidRPr="003516DC">
        <w:rPr>
          <w:rFonts w:ascii="Arial" w:hAnsi="Arial" w:cs="Arial"/>
          <w:sz w:val="20"/>
          <w:szCs w:val="20"/>
        </w:rPr>
        <w:t xml:space="preserve">Mureș and Galați. Importantly, the </w:t>
      </w:r>
      <w:r w:rsidR="003173A1">
        <w:rPr>
          <w:rFonts w:ascii="Arial" w:hAnsi="Arial" w:cs="Arial"/>
          <w:sz w:val="20"/>
          <w:szCs w:val="20"/>
        </w:rPr>
        <w:t>magnitudes</w:t>
      </w:r>
      <w:r w:rsidR="003173A1" w:rsidRPr="003516DC">
        <w:rPr>
          <w:rFonts w:ascii="Arial" w:hAnsi="Arial" w:cs="Arial"/>
          <w:sz w:val="20"/>
          <w:szCs w:val="20"/>
        </w:rPr>
        <w:t xml:space="preserve"> </w:t>
      </w:r>
      <w:r w:rsidRPr="003516DC">
        <w:rPr>
          <w:rFonts w:ascii="Arial" w:hAnsi="Arial" w:cs="Arial"/>
          <w:sz w:val="20"/>
          <w:szCs w:val="20"/>
        </w:rPr>
        <w:t>of losses and gains are both higher. While they are in the range of -3</w:t>
      </w:r>
      <w:r w:rsidR="003173A1">
        <w:rPr>
          <w:rFonts w:ascii="Arial" w:hAnsi="Arial" w:cs="Arial"/>
          <w:sz w:val="20"/>
          <w:szCs w:val="20"/>
        </w:rPr>
        <w:t>,000</w:t>
      </w:r>
      <w:r w:rsidRPr="003516DC">
        <w:rPr>
          <w:rFonts w:ascii="Arial" w:hAnsi="Arial" w:cs="Arial"/>
          <w:sz w:val="20"/>
          <w:szCs w:val="20"/>
        </w:rPr>
        <w:t xml:space="preserve"> to about +3</w:t>
      </w:r>
      <w:r w:rsidR="003173A1">
        <w:rPr>
          <w:rFonts w:ascii="Arial" w:hAnsi="Arial" w:cs="Arial"/>
          <w:sz w:val="20"/>
          <w:szCs w:val="20"/>
        </w:rPr>
        <w:t>,000</w:t>
      </w:r>
      <w:r w:rsidRPr="003516DC">
        <w:rPr>
          <w:rFonts w:ascii="Arial" w:hAnsi="Arial" w:cs="Arial"/>
          <w:sz w:val="20"/>
          <w:szCs w:val="20"/>
        </w:rPr>
        <w:t xml:space="preserve"> in the other counties, they are in the range of -6</w:t>
      </w:r>
      <w:r w:rsidR="003173A1">
        <w:rPr>
          <w:rFonts w:ascii="Arial" w:hAnsi="Arial" w:cs="Arial"/>
          <w:sz w:val="20"/>
          <w:szCs w:val="20"/>
        </w:rPr>
        <w:t>,000</w:t>
      </w:r>
      <w:r w:rsidRPr="003516DC">
        <w:rPr>
          <w:rFonts w:ascii="Arial" w:hAnsi="Arial" w:cs="Arial"/>
          <w:sz w:val="20"/>
          <w:szCs w:val="20"/>
        </w:rPr>
        <w:t xml:space="preserve"> to about </w:t>
      </w:r>
      <w:r w:rsidR="003173A1">
        <w:rPr>
          <w:rFonts w:ascii="Arial" w:hAnsi="Arial" w:cs="Arial"/>
          <w:sz w:val="20"/>
          <w:szCs w:val="20"/>
        </w:rPr>
        <w:t>+</w:t>
      </w:r>
      <w:r w:rsidRPr="003516DC">
        <w:rPr>
          <w:rFonts w:ascii="Arial" w:hAnsi="Arial" w:cs="Arial"/>
          <w:sz w:val="20"/>
          <w:szCs w:val="20"/>
        </w:rPr>
        <w:t>5</w:t>
      </w:r>
      <w:r w:rsidR="003173A1">
        <w:rPr>
          <w:rFonts w:ascii="Arial" w:hAnsi="Arial" w:cs="Arial"/>
          <w:sz w:val="20"/>
          <w:szCs w:val="20"/>
        </w:rPr>
        <w:t>,000</w:t>
      </w:r>
      <w:r w:rsidRPr="003516DC">
        <w:rPr>
          <w:rFonts w:ascii="Arial" w:hAnsi="Arial" w:cs="Arial"/>
          <w:sz w:val="20"/>
          <w:szCs w:val="20"/>
        </w:rPr>
        <w:t xml:space="preserve"> jobs</w:t>
      </w:r>
      <w:r w:rsidR="003173A1">
        <w:rPr>
          <w:rFonts w:ascii="Arial" w:hAnsi="Arial" w:cs="Arial"/>
          <w:sz w:val="20"/>
          <w:szCs w:val="20"/>
        </w:rPr>
        <w:t xml:space="preserve"> in Prahova</w:t>
      </w:r>
      <w:r w:rsidRPr="003516DC">
        <w:rPr>
          <w:rFonts w:ascii="Arial" w:hAnsi="Arial" w:cs="Arial"/>
          <w:sz w:val="20"/>
          <w:szCs w:val="20"/>
        </w:rPr>
        <w:t xml:space="preserve">. This can be explained by the relatively </w:t>
      </w:r>
      <w:r w:rsidR="003173A1">
        <w:rPr>
          <w:rFonts w:ascii="Arial" w:hAnsi="Arial" w:cs="Arial"/>
          <w:sz w:val="20"/>
          <w:szCs w:val="20"/>
        </w:rPr>
        <w:t>larger</w:t>
      </w:r>
      <w:r w:rsidR="003173A1" w:rsidRPr="003516DC">
        <w:rPr>
          <w:rFonts w:ascii="Arial" w:hAnsi="Arial" w:cs="Arial"/>
          <w:sz w:val="20"/>
          <w:szCs w:val="20"/>
        </w:rPr>
        <w:t xml:space="preserve"> </w:t>
      </w:r>
      <w:r w:rsidRPr="003516DC">
        <w:rPr>
          <w:rFonts w:ascii="Arial" w:hAnsi="Arial" w:cs="Arial"/>
          <w:sz w:val="20"/>
          <w:szCs w:val="20"/>
        </w:rPr>
        <w:t xml:space="preserve">size of Prahova both in terms of population and economy compared to Mureș and </w:t>
      </w:r>
      <w:r w:rsidR="003751DC">
        <w:rPr>
          <w:rFonts w:ascii="Arial" w:hAnsi="Arial" w:cs="Arial"/>
          <w:sz w:val="20"/>
          <w:szCs w:val="20"/>
        </w:rPr>
        <w:t>Galați</w:t>
      </w:r>
      <w:r w:rsidRPr="003516DC">
        <w:rPr>
          <w:rFonts w:ascii="Arial" w:hAnsi="Arial" w:cs="Arial"/>
          <w:sz w:val="20"/>
          <w:szCs w:val="20"/>
        </w:rPr>
        <w:t xml:space="preserve">. </w:t>
      </w:r>
      <w:r w:rsidR="003173A1">
        <w:rPr>
          <w:rFonts w:ascii="Arial" w:hAnsi="Arial" w:cs="Arial"/>
          <w:sz w:val="20"/>
          <w:szCs w:val="20"/>
        </w:rPr>
        <w:t>G</w:t>
      </w:r>
      <w:r w:rsidRPr="003516DC">
        <w:rPr>
          <w:rFonts w:ascii="Arial" w:hAnsi="Arial" w:cs="Arial"/>
          <w:sz w:val="20"/>
          <w:szCs w:val="20"/>
        </w:rPr>
        <w:t>ains in the region are higher in the service</w:t>
      </w:r>
      <w:r w:rsidR="003173A1">
        <w:rPr>
          <w:rFonts w:ascii="Arial" w:hAnsi="Arial" w:cs="Arial"/>
          <w:sz w:val="20"/>
          <w:szCs w:val="20"/>
        </w:rPr>
        <w:t>s</w:t>
      </w:r>
      <w:r w:rsidRPr="003516DC">
        <w:rPr>
          <w:rFonts w:ascii="Arial" w:hAnsi="Arial" w:cs="Arial"/>
          <w:sz w:val="20"/>
          <w:szCs w:val="20"/>
        </w:rPr>
        <w:t xml:space="preserve"> and sales workers occupational group (driven by growth in the retail sector).</w:t>
      </w:r>
    </w:p>
    <w:p w14:paraId="5C26974D" w14:textId="71BCD238" w:rsidR="006E7A76" w:rsidRDefault="006E7A76" w:rsidP="00931AF2">
      <w:pPr>
        <w:spacing w:after="120"/>
        <w:jc w:val="both"/>
        <w:rPr>
          <w:rFonts w:ascii="Arial" w:hAnsi="Arial" w:cs="Arial"/>
          <w:sz w:val="20"/>
          <w:szCs w:val="20"/>
        </w:rPr>
      </w:pPr>
    </w:p>
    <w:p w14:paraId="73D9B344" w14:textId="438674C3" w:rsidR="006E7A76" w:rsidRDefault="006E7A76" w:rsidP="00931AF2">
      <w:pPr>
        <w:spacing w:after="120"/>
        <w:jc w:val="both"/>
        <w:rPr>
          <w:rFonts w:ascii="Arial" w:hAnsi="Arial" w:cs="Arial"/>
          <w:sz w:val="20"/>
          <w:szCs w:val="20"/>
        </w:rPr>
      </w:pPr>
    </w:p>
    <w:p w14:paraId="183A448B" w14:textId="65983282" w:rsidR="006E7A76" w:rsidRDefault="006E7A76" w:rsidP="00931AF2">
      <w:pPr>
        <w:spacing w:after="120"/>
        <w:jc w:val="both"/>
        <w:rPr>
          <w:rFonts w:ascii="Arial" w:hAnsi="Arial" w:cs="Arial"/>
          <w:sz w:val="20"/>
          <w:szCs w:val="20"/>
        </w:rPr>
      </w:pPr>
    </w:p>
    <w:p w14:paraId="1AD69805" w14:textId="40EA5274" w:rsidR="006E7A76" w:rsidRDefault="006E7A76" w:rsidP="00931AF2">
      <w:pPr>
        <w:spacing w:after="120"/>
        <w:jc w:val="both"/>
        <w:rPr>
          <w:rFonts w:ascii="Arial" w:hAnsi="Arial" w:cs="Arial"/>
          <w:sz w:val="20"/>
          <w:szCs w:val="20"/>
        </w:rPr>
      </w:pPr>
    </w:p>
    <w:p w14:paraId="786A0873" w14:textId="23A5A811" w:rsidR="006E7A76" w:rsidRDefault="006E7A76" w:rsidP="00931AF2">
      <w:pPr>
        <w:spacing w:after="120"/>
        <w:jc w:val="both"/>
        <w:rPr>
          <w:rFonts w:ascii="Arial" w:hAnsi="Arial" w:cs="Arial"/>
          <w:sz w:val="20"/>
          <w:szCs w:val="20"/>
        </w:rPr>
      </w:pPr>
    </w:p>
    <w:p w14:paraId="252D5AAF" w14:textId="1866AD5E" w:rsidR="006E7A76" w:rsidRDefault="006E7A76" w:rsidP="00931AF2">
      <w:pPr>
        <w:spacing w:after="120"/>
        <w:jc w:val="both"/>
        <w:rPr>
          <w:rFonts w:ascii="Arial" w:hAnsi="Arial" w:cs="Arial"/>
          <w:sz w:val="20"/>
          <w:szCs w:val="20"/>
        </w:rPr>
      </w:pPr>
    </w:p>
    <w:p w14:paraId="3615AEC3" w14:textId="77777777" w:rsidR="006E7A76" w:rsidRPr="003516DC" w:rsidRDefault="006E7A76" w:rsidP="00931AF2">
      <w:pPr>
        <w:spacing w:after="120"/>
        <w:jc w:val="both"/>
        <w:rPr>
          <w:rFonts w:ascii="Arial" w:hAnsi="Arial" w:cs="Arial"/>
          <w:sz w:val="20"/>
          <w:szCs w:val="20"/>
        </w:rPr>
      </w:pPr>
    </w:p>
    <w:p w14:paraId="1488D23E" w14:textId="6FFC7021" w:rsidR="00542C72" w:rsidRPr="003516DC" w:rsidRDefault="00542C72" w:rsidP="00931AF2">
      <w:pPr>
        <w:pStyle w:val="Caption"/>
        <w:spacing w:before="0"/>
        <w:ind w:left="1282" w:hanging="1282"/>
        <w:jc w:val="both"/>
      </w:pPr>
      <w:bookmarkStart w:id="265" w:name="_Toc90727378"/>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42</w:t>
      </w:r>
      <w:r w:rsidRPr="003516DC">
        <w:rPr>
          <w:noProof/>
        </w:rPr>
        <w:fldChar w:fldCharType="end"/>
      </w:r>
      <w:r w:rsidRPr="003516DC">
        <w:t xml:space="preserve">: </w:t>
      </w:r>
      <w:r w:rsidRPr="003516DC">
        <w:tab/>
        <w:t>Changes in employment from 2018 in baseline projections and in the Green Deal scenario in Prahova; left panel – changes by sector and occupation in baseline; right panel – changes by sector and occupation in the Green Deal scenario compared to the baseline</w:t>
      </w:r>
      <w:bookmarkEnd w:id="265"/>
    </w:p>
    <w:p w14:paraId="5FF64F31" w14:textId="341E3D1E" w:rsidR="00542C72" w:rsidRPr="003516DC" w:rsidRDefault="00542C72" w:rsidP="00542C72">
      <w:pPr>
        <w:rPr>
          <w:rFonts w:ascii="Arial" w:hAnsi="Arial" w:cs="Arial"/>
        </w:rPr>
      </w:pPr>
      <w:r w:rsidRPr="00402580">
        <w:rPr>
          <w:rFonts w:ascii="Arial" w:hAnsi="Arial" w:cs="Arial"/>
          <w:noProof/>
          <w:lang w:val="en-US" w:eastAsia="en-US"/>
        </w:rPr>
        <w:drawing>
          <wp:inline distT="0" distB="0" distL="0" distR="0" wp14:anchorId="2401B9CF" wp14:editId="125615FB">
            <wp:extent cx="5678424" cy="3081528"/>
            <wp:effectExtent l="0" t="0" r="0" b="5080"/>
            <wp:docPr id="2087055793" name="Graphic 2087055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Graphic 26"/>
                    <pic:cNvPicPr/>
                  </pic:nvPicPr>
                  <pic:blipFill>
                    <a:blip r:embed="rId16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68"/>
                        </a:ext>
                      </a:extLst>
                    </a:blip>
                    <a:stretch>
                      <a:fillRect/>
                    </a:stretch>
                  </pic:blipFill>
                  <pic:spPr>
                    <a:xfrm>
                      <a:off x="0" y="0"/>
                      <a:ext cx="5678424" cy="3081528"/>
                    </a:xfrm>
                    <a:prstGeom prst="rect">
                      <a:avLst/>
                    </a:prstGeom>
                  </pic:spPr>
                </pic:pic>
              </a:graphicData>
            </a:graphic>
          </wp:inline>
        </w:drawing>
      </w:r>
    </w:p>
    <w:p w14:paraId="6BFBEE4D" w14:textId="77777777" w:rsidR="00A2362B" w:rsidRDefault="00542C72" w:rsidP="00931AF2">
      <w:pPr>
        <w:spacing w:before="120" w:after="120"/>
        <w:jc w:val="both"/>
        <w:rPr>
          <w:rFonts w:ascii="Arial" w:hAnsi="Arial" w:cs="Arial"/>
        </w:rPr>
      </w:pPr>
      <w:r w:rsidRPr="003516DC">
        <w:rPr>
          <w:rFonts w:ascii="Arial" w:hAnsi="Arial" w:cs="Arial"/>
          <w:b/>
          <w:bCs/>
          <w:color w:val="4F81BD" w:themeColor="accent1"/>
          <w:sz w:val="20"/>
          <w:szCs w:val="20"/>
        </w:rPr>
        <w:t>Green Deal impacts</w:t>
      </w:r>
    </w:p>
    <w:p w14:paraId="0BADDA20" w14:textId="3F3AC8D9" w:rsidR="00542C72" w:rsidRPr="00A2362B" w:rsidRDefault="00542C72" w:rsidP="00A2362B">
      <w:pPr>
        <w:spacing w:after="240"/>
        <w:jc w:val="both"/>
        <w:rPr>
          <w:rFonts w:ascii="Arial" w:hAnsi="Arial" w:cs="Arial"/>
        </w:rPr>
      </w:pPr>
      <w:r w:rsidRPr="003516DC">
        <w:rPr>
          <w:rFonts w:ascii="Arial" w:hAnsi="Arial" w:cs="Arial"/>
          <w:sz w:val="20"/>
          <w:szCs w:val="20"/>
        </w:rPr>
        <w:t xml:space="preserve">The right panel of Graph </w:t>
      </w:r>
      <w:r w:rsidR="0064139C">
        <w:rPr>
          <w:rFonts w:ascii="Arial" w:hAnsi="Arial" w:cs="Arial"/>
          <w:sz w:val="20"/>
          <w:szCs w:val="20"/>
        </w:rPr>
        <w:t>4</w:t>
      </w:r>
      <w:r w:rsidR="00F140B0">
        <w:rPr>
          <w:rFonts w:ascii="Arial" w:hAnsi="Arial" w:cs="Arial"/>
          <w:sz w:val="20"/>
          <w:szCs w:val="20"/>
        </w:rPr>
        <w:t>2</w:t>
      </w:r>
      <w:r w:rsidRPr="003516DC">
        <w:rPr>
          <w:rFonts w:ascii="Arial" w:hAnsi="Arial" w:cs="Arial"/>
          <w:sz w:val="20"/>
          <w:szCs w:val="20"/>
        </w:rPr>
        <w:t xml:space="preserve"> shows employment impacts of the Green Deal scenario compared to the baseline. As in other regions we see a growth in construction, which offsets losses seen in the baseline (and provides job opportunities for low-skilled workers). However, the Green Deal in Prahova also shows substantial negative impacts for the energy &amp; utilities sectors, therefore causing some further job losses in the elementary workers, operators and assemblers, professionals and trades workers occupational groups.</w:t>
      </w:r>
    </w:p>
    <w:p w14:paraId="7A0D894B" w14:textId="18865AC4" w:rsidR="00542C72" w:rsidRPr="00542C72" w:rsidRDefault="00542C72" w:rsidP="00E42342">
      <w:pPr>
        <w:pStyle w:val="Heading2"/>
        <w:numPr>
          <w:ilvl w:val="0"/>
          <w:numId w:val="164"/>
        </w:numPr>
        <w:spacing w:before="240" w:line="240" w:lineRule="auto"/>
        <w:ind w:left="432" w:hanging="432"/>
      </w:pPr>
      <w:bookmarkStart w:id="266" w:name="_Toc90725888"/>
      <w:r w:rsidRPr="003516DC">
        <w:t>Employment and GVA impact by illustrative action</w:t>
      </w:r>
      <w:r>
        <w:t xml:space="preserve"> in Prahova </w:t>
      </w:r>
      <w:r w:rsidR="00931AF2">
        <w:t>C</w:t>
      </w:r>
      <w:r>
        <w:t>ounty</w:t>
      </w:r>
      <w:bookmarkEnd w:id="266"/>
    </w:p>
    <w:p w14:paraId="688FBEB1" w14:textId="77777777" w:rsidR="00542C72" w:rsidRPr="003516DC" w:rsidRDefault="00542C72" w:rsidP="00542C72">
      <w:pPr>
        <w:jc w:val="both"/>
        <w:rPr>
          <w:rFonts w:ascii="Arial" w:hAnsi="Arial" w:cs="Arial"/>
          <w:sz w:val="20"/>
          <w:szCs w:val="20"/>
        </w:rPr>
      </w:pPr>
      <w:r w:rsidRPr="003516DC">
        <w:rPr>
          <w:rFonts w:ascii="Arial" w:hAnsi="Arial" w:cs="Arial"/>
          <w:sz w:val="20"/>
          <w:szCs w:val="20"/>
        </w:rPr>
        <w:t>SME investments are estimated to have largest positive impact in Prahova County with respect to GVA. Nevertheless, the employment impact is the highest in the case of R&amp;D investments. Interestingly, the Circular case results in job gains higher than the other two cases, but due to the high share of manufacturing in the region losses offset these gains.</w:t>
      </w:r>
    </w:p>
    <w:p w14:paraId="6D937D4A" w14:textId="657A3894" w:rsidR="00542C72" w:rsidRPr="003516DC" w:rsidRDefault="00542C72" w:rsidP="00542C72">
      <w:pPr>
        <w:pStyle w:val="Caption"/>
        <w:ind w:left="993" w:hanging="993"/>
        <w:rPr>
          <w:b w:val="0"/>
          <w:iCs w:val="0"/>
          <w:noProof/>
        </w:rPr>
      </w:pPr>
      <w:bookmarkStart w:id="267" w:name="_Toc90727379"/>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43</w:t>
      </w:r>
      <w:r w:rsidRPr="003516DC">
        <w:rPr>
          <w:noProof/>
        </w:rPr>
        <w:fldChar w:fldCharType="end"/>
      </w:r>
      <w:r w:rsidRPr="003516DC">
        <w:rPr>
          <w:noProof/>
        </w:rPr>
        <w:t>: GVA impact in Prahova County (RO316) in 2030 by sectors, resulting from a total of EUR 100 million investment over the years 2021-2027 under the three illustrative action categories, EUR million (current prices)</w:t>
      </w:r>
      <w:bookmarkEnd w:id="267"/>
    </w:p>
    <w:p w14:paraId="4E3A7CCA" w14:textId="3284C342" w:rsidR="00542C72" w:rsidRPr="003516DC" w:rsidRDefault="00542C72" w:rsidP="00542C72">
      <w:pPr>
        <w:rPr>
          <w:rFonts w:ascii="Arial" w:hAnsi="Arial" w:cs="Arial"/>
        </w:rPr>
      </w:pPr>
      <w:r w:rsidRPr="00402580">
        <w:rPr>
          <w:rFonts w:ascii="Arial" w:hAnsi="Arial" w:cs="Arial"/>
          <w:noProof/>
          <w:lang w:val="en-US" w:eastAsia="en-US"/>
        </w:rPr>
        <w:drawing>
          <wp:inline distT="0" distB="0" distL="0" distR="0" wp14:anchorId="7AF2D106" wp14:editId="6447B789">
            <wp:extent cx="5678424" cy="3081528"/>
            <wp:effectExtent l="0" t="0" r="0" b="5080"/>
            <wp:docPr id="2087055794" name="Graphic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70"/>
                        </a:ext>
                      </a:extLst>
                    </a:blip>
                    <a:stretch>
                      <a:fillRect/>
                    </a:stretch>
                  </pic:blipFill>
                  <pic:spPr>
                    <a:xfrm>
                      <a:off x="0" y="0"/>
                      <a:ext cx="5678424" cy="3081528"/>
                    </a:xfrm>
                    <a:prstGeom prst="rect">
                      <a:avLst/>
                    </a:prstGeom>
                  </pic:spPr>
                </pic:pic>
              </a:graphicData>
            </a:graphic>
          </wp:inline>
        </w:drawing>
      </w:r>
    </w:p>
    <w:p w14:paraId="34D2236E" w14:textId="77777777" w:rsidR="00542C72" w:rsidRPr="003516DC" w:rsidRDefault="00542C72" w:rsidP="00542C72">
      <w:pPr>
        <w:rPr>
          <w:rFonts w:ascii="Arial" w:hAnsi="Arial" w:cs="Arial"/>
          <w:i/>
          <w:sz w:val="16"/>
          <w:szCs w:val="16"/>
        </w:rPr>
      </w:pPr>
      <w:r w:rsidRPr="003516DC">
        <w:rPr>
          <w:rFonts w:ascii="Arial" w:hAnsi="Arial" w:cs="Arial"/>
          <w:i/>
          <w:sz w:val="16"/>
          <w:szCs w:val="16"/>
        </w:rPr>
        <w:t>Source: E3ME modelling</w:t>
      </w:r>
    </w:p>
    <w:p w14:paraId="7CA608D3" w14:textId="4AD25EF3" w:rsidR="00542C72" w:rsidRPr="003516DC" w:rsidRDefault="00542C72" w:rsidP="00542C72">
      <w:pPr>
        <w:pStyle w:val="Caption"/>
        <w:ind w:left="993" w:hanging="993"/>
        <w:rPr>
          <w:b w:val="0"/>
          <w:iCs w:val="0"/>
          <w:noProof/>
        </w:rPr>
      </w:pPr>
      <w:bookmarkStart w:id="268" w:name="_Toc90727380"/>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44</w:t>
      </w:r>
      <w:r w:rsidRPr="003516DC">
        <w:rPr>
          <w:noProof/>
        </w:rPr>
        <w:fldChar w:fldCharType="end"/>
      </w:r>
      <w:r w:rsidRPr="003516DC">
        <w:rPr>
          <w:noProof/>
        </w:rPr>
        <w:t xml:space="preserve">: Employment impact in Prahova County (RO316) in 2030 by sectors, resulting from a total of EUR 100 million investment over the years 2021-2027 under the three illustrative action categories, </w:t>
      </w:r>
      <w:r w:rsidR="00FF34FD">
        <w:rPr>
          <w:noProof/>
        </w:rPr>
        <w:t>‘</w:t>
      </w:r>
      <w:r w:rsidRPr="003516DC">
        <w:rPr>
          <w:noProof/>
        </w:rPr>
        <w:t>000 jobs</w:t>
      </w:r>
      <w:bookmarkEnd w:id="268"/>
    </w:p>
    <w:p w14:paraId="08AD8D01" w14:textId="335C4E45" w:rsidR="00542C72" w:rsidRPr="003516DC" w:rsidRDefault="00542C72" w:rsidP="00542C72">
      <w:pPr>
        <w:rPr>
          <w:rFonts w:ascii="Arial" w:hAnsi="Arial" w:cs="Arial"/>
        </w:rPr>
      </w:pPr>
      <w:r w:rsidRPr="00402580">
        <w:rPr>
          <w:rFonts w:ascii="Arial" w:hAnsi="Arial" w:cs="Arial"/>
          <w:noProof/>
          <w:lang w:val="en-US" w:eastAsia="en-US"/>
        </w:rPr>
        <w:drawing>
          <wp:inline distT="0" distB="0" distL="0" distR="0" wp14:anchorId="451D35F6" wp14:editId="75A1E6A1">
            <wp:extent cx="5678424" cy="3081528"/>
            <wp:effectExtent l="0" t="0" r="0" b="5080"/>
            <wp:docPr id="2087055795" name="Graphic 2087055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Graphic 56"/>
                    <pic:cNvPicPr/>
                  </pic:nvPicPr>
                  <pic:blipFill>
                    <a:blip r:embed="rId17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72"/>
                        </a:ext>
                      </a:extLst>
                    </a:blip>
                    <a:stretch>
                      <a:fillRect/>
                    </a:stretch>
                  </pic:blipFill>
                  <pic:spPr>
                    <a:xfrm>
                      <a:off x="0" y="0"/>
                      <a:ext cx="5678424" cy="3081528"/>
                    </a:xfrm>
                    <a:prstGeom prst="rect">
                      <a:avLst/>
                    </a:prstGeom>
                  </pic:spPr>
                </pic:pic>
              </a:graphicData>
            </a:graphic>
          </wp:inline>
        </w:drawing>
      </w:r>
    </w:p>
    <w:p w14:paraId="050706B4" w14:textId="77777777" w:rsidR="00542C72" w:rsidRPr="003516DC" w:rsidRDefault="00542C72" w:rsidP="00542C72">
      <w:pPr>
        <w:rPr>
          <w:rFonts w:ascii="Arial" w:hAnsi="Arial" w:cs="Arial"/>
          <w:i/>
          <w:sz w:val="16"/>
          <w:szCs w:val="16"/>
        </w:rPr>
      </w:pPr>
      <w:r w:rsidRPr="003516DC">
        <w:rPr>
          <w:rFonts w:ascii="Arial" w:hAnsi="Arial" w:cs="Arial"/>
          <w:i/>
          <w:sz w:val="16"/>
          <w:szCs w:val="16"/>
        </w:rPr>
        <w:t>Source: E3ME modelling</w:t>
      </w:r>
    </w:p>
    <w:p w14:paraId="7181F601" w14:textId="38DDE52D" w:rsidR="00542C72" w:rsidRDefault="00542C72" w:rsidP="00542C72">
      <w:pPr>
        <w:spacing w:after="240"/>
        <w:jc w:val="both"/>
        <w:rPr>
          <w:sz w:val="20"/>
          <w:szCs w:val="20"/>
        </w:rPr>
      </w:pPr>
    </w:p>
    <w:p w14:paraId="30EE70E6" w14:textId="77777777" w:rsidR="00542C72" w:rsidRDefault="00542C72" w:rsidP="00E42342">
      <w:pPr>
        <w:pStyle w:val="Heading2"/>
        <w:numPr>
          <w:ilvl w:val="0"/>
          <w:numId w:val="165"/>
        </w:numPr>
        <w:spacing w:before="240" w:line="240" w:lineRule="auto"/>
        <w:ind w:left="432" w:hanging="432"/>
        <w:sectPr w:rsidR="00542C72" w:rsidSect="00A2362B">
          <w:headerReference w:type="default" r:id="rId173"/>
          <w:pgSz w:w="11909" w:h="16834"/>
          <w:pgMar w:top="1440" w:right="1440" w:bottom="1440" w:left="1530" w:header="720" w:footer="720" w:gutter="0"/>
          <w:cols w:space="720"/>
          <w:docGrid w:linePitch="326"/>
        </w:sectPr>
      </w:pPr>
    </w:p>
    <w:p w14:paraId="6AAEB243" w14:textId="411A1FAE" w:rsidR="00542C72" w:rsidRPr="003516DC" w:rsidRDefault="00542C72" w:rsidP="00E42342">
      <w:pPr>
        <w:pStyle w:val="Heading2"/>
        <w:numPr>
          <w:ilvl w:val="0"/>
          <w:numId w:val="165"/>
        </w:numPr>
        <w:spacing w:before="240" w:line="240" w:lineRule="auto"/>
        <w:ind w:left="432" w:hanging="432"/>
      </w:pPr>
      <w:bookmarkStart w:id="269" w:name="_Toc90725889"/>
      <w:r w:rsidRPr="003516DC">
        <w:lastRenderedPageBreak/>
        <w:t>Type of operations needed</w:t>
      </w:r>
      <w:r w:rsidR="00355050">
        <w:t xml:space="preserve"> in Prahova </w:t>
      </w:r>
      <w:r w:rsidR="00A2362B">
        <w:t>C</w:t>
      </w:r>
      <w:r w:rsidR="00355050">
        <w:t>ounty</w:t>
      </w:r>
      <w:bookmarkEnd w:id="269"/>
    </w:p>
    <w:p w14:paraId="1E4449BE" w14:textId="18D5DFC9" w:rsidR="00542C72" w:rsidRPr="00320B4A" w:rsidRDefault="00320B4A" w:rsidP="0011265F">
      <w:pPr>
        <w:spacing w:after="120"/>
        <w:jc w:val="both"/>
        <w:rPr>
          <w:rFonts w:ascii="Arial" w:hAnsi="Arial" w:cs="Arial"/>
          <w:sz w:val="20"/>
          <w:szCs w:val="20"/>
        </w:rPr>
      </w:pPr>
      <w:r w:rsidRPr="00320B4A">
        <w:rPr>
          <w:rFonts w:ascii="Arial" w:hAnsi="Arial" w:cs="Arial"/>
          <w:sz w:val="20"/>
          <w:szCs w:val="20"/>
        </w:rPr>
        <w:t xml:space="preserve">Based on trends and statistical analysis, an analysis of the draft TJTPs </w:t>
      </w:r>
      <w:r w:rsidR="003173A1">
        <w:rPr>
          <w:rFonts w:ascii="Arial" w:hAnsi="Arial" w:cs="Arial"/>
          <w:sz w:val="20"/>
          <w:szCs w:val="20"/>
        </w:rPr>
        <w:t xml:space="preserve">is </w:t>
      </w:r>
      <w:r w:rsidRPr="00320B4A">
        <w:rPr>
          <w:rFonts w:ascii="Arial" w:hAnsi="Arial" w:cs="Arial"/>
          <w:sz w:val="20"/>
          <w:szCs w:val="20"/>
        </w:rPr>
        <w:t xml:space="preserve">still being elaborated by the County Councils, as well as stakeholder interviews, the </w:t>
      </w:r>
      <w:r w:rsidR="003173A1">
        <w:rPr>
          <w:rFonts w:ascii="Arial" w:hAnsi="Arial" w:cs="Arial"/>
          <w:sz w:val="20"/>
          <w:szCs w:val="20"/>
        </w:rPr>
        <w:t xml:space="preserve">TA </w:t>
      </w:r>
      <w:r w:rsidRPr="00320B4A">
        <w:rPr>
          <w:rFonts w:ascii="Arial" w:hAnsi="Arial" w:cs="Arial"/>
          <w:sz w:val="20"/>
          <w:szCs w:val="20"/>
        </w:rPr>
        <w:t>team propos</w:t>
      </w:r>
      <w:r w:rsidR="003173A1">
        <w:rPr>
          <w:rFonts w:ascii="Arial" w:hAnsi="Arial" w:cs="Arial"/>
          <w:sz w:val="20"/>
          <w:szCs w:val="20"/>
        </w:rPr>
        <w:t>es</w:t>
      </w:r>
      <w:r w:rsidRPr="00320B4A">
        <w:rPr>
          <w:rFonts w:ascii="Arial" w:hAnsi="Arial" w:cs="Arial"/>
          <w:sz w:val="20"/>
          <w:szCs w:val="20"/>
        </w:rPr>
        <w:t xml:space="preserve"> the following draft priority investment needs</w:t>
      </w:r>
    </w:p>
    <w:p w14:paraId="39FB5ECA" w14:textId="6C883474" w:rsidR="00875B85" w:rsidRDefault="00320B4A" w:rsidP="0011265F">
      <w:pPr>
        <w:pStyle w:val="Caption"/>
        <w:spacing w:before="0"/>
        <w:ind w:left="1138" w:hanging="1138"/>
      </w:pPr>
      <w:bookmarkStart w:id="270" w:name="_Toc90726012"/>
      <w:bookmarkStart w:id="271" w:name="_Toc90727309"/>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58</w:t>
      </w:r>
      <w:r w:rsidR="000B273D">
        <w:rPr>
          <w:noProof/>
        </w:rPr>
        <w:fldChar w:fldCharType="end"/>
      </w:r>
      <w:r>
        <w:t xml:space="preserve">: Justification for proposed JTF operation in Prahova </w:t>
      </w:r>
      <w:r w:rsidR="003173A1">
        <w:t>C</w:t>
      </w:r>
      <w:r>
        <w:t>ounty</w:t>
      </w:r>
      <w:bookmarkEnd w:id="270"/>
      <w:bookmarkEnd w:id="271"/>
    </w:p>
    <w:tbl>
      <w:tblPr>
        <w:tblW w:w="51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4786"/>
      </w:tblGrid>
      <w:tr w:rsidR="00875B85" w:rsidRPr="00A2362B" w14:paraId="1C2258A2" w14:textId="77777777" w:rsidTr="00987D50">
        <w:trPr>
          <w:trHeight w:val="20"/>
          <w:tblHeader/>
        </w:trPr>
        <w:tc>
          <w:tcPr>
            <w:tcW w:w="5000" w:type="pct"/>
            <w:gridSpan w:val="2"/>
            <w:shd w:val="clear" w:color="auto" w:fill="002060"/>
            <w:tcMar>
              <w:top w:w="100" w:type="dxa"/>
              <w:left w:w="100" w:type="dxa"/>
              <w:bottom w:w="100" w:type="dxa"/>
              <w:right w:w="100" w:type="dxa"/>
            </w:tcMar>
            <w:vAlign w:val="center"/>
          </w:tcPr>
          <w:p w14:paraId="7B703EB3" w14:textId="77777777" w:rsidR="00875B85" w:rsidRPr="00A2362B" w:rsidRDefault="00875B85" w:rsidP="00964831">
            <w:pPr>
              <w:jc w:val="center"/>
              <w:rPr>
                <w:rFonts w:ascii="Arial" w:hAnsi="Arial" w:cs="Arial"/>
                <w:b/>
                <w:bCs/>
                <w:sz w:val="18"/>
                <w:szCs w:val="18"/>
                <w:highlight w:val="white"/>
              </w:rPr>
            </w:pPr>
          </w:p>
        </w:tc>
      </w:tr>
      <w:tr w:rsidR="00875B85" w:rsidRPr="00A2362B" w14:paraId="5C13FA2B" w14:textId="77777777" w:rsidTr="00987D50">
        <w:trPr>
          <w:trHeight w:val="20"/>
          <w:tblHeader/>
        </w:trPr>
        <w:tc>
          <w:tcPr>
            <w:tcW w:w="2411" w:type="pct"/>
            <w:shd w:val="clear" w:color="auto" w:fill="C6D9F1" w:themeFill="text2" w:themeFillTint="33"/>
            <w:tcMar>
              <w:top w:w="100" w:type="dxa"/>
              <w:left w:w="100" w:type="dxa"/>
              <w:bottom w:w="100" w:type="dxa"/>
              <w:right w:w="100" w:type="dxa"/>
            </w:tcMar>
            <w:vAlign w:val="center"/>
          </w:tcPr>
          <w:p w14:paraId="6CAEFF36" w14:textId="68A2ABE9" w:rsidR="00875B85" w:rsidRPr="00A2362B" w:rsidRDefault="00875B85" w:rsidP="00964831">
            <w:pPr>
              <w:jc w:val="both"/>
              <w:rPr>
                <w:rFonts w:ascii="Arial" w:hAnsi="Arial" w:cs="Arial"/>
                <w:b/>
                <w:bCs/>
                <w:sz w:val="18"/>
                <w:szCs w:val="18"/>
              </w:rPr>
            </w:pPr>
            <w:r w:rsidRPr="00A2362B">
              <w:rPr>
                <w:rFonts w:ascii="Arial" w:hAnsi="Arial" w:cs="Arial"/>
                <w:b/>
                <w:bCs/>
                <w:sz w:val="18"/>
                <w:szCs w:val="18"/>
                <w:lang w:val="en-US"/>
              </w:rPr>
              <w:t>Based on local challenges analysis</w:t>
            </w:r>
            <w:r w:rsidR="000C7185">
              <w:rPr>
                <w:rStyle w:val="FootnoteReference"/>
                <w:rFonts w:ascii="Arial" w:hAnsi="Arial" w:cs="Arial"/>
                <w:b/>
                <w:bCs/>
                <w:sz w:val="18"/>
                <w:szCs w:val="18"/>
                <w:lang w:val="en-US"/>
              </w:rPr>
              <w:footnoteReference w:id="118"/>
            </w:r>
          </w:p>
        </w:tc>
        <w:tc>
          <w:tcPr>
            <w:tcW w:w="2589" w:type="pct"/>
            <w:shd w:val="clear" w:color="auto" w:fill="C6D9F1" w:themeFill="text2" w:themeFillTint="33"/>
            <w:tcMar>
              <w:top w:w="100" w:type="dxa"/>
              <w:left w:w="100" w:type="dxa"/>
              <w:bottom w:w="100" w:type="dxa"/>
              <w:right w:w="100" w:type="dxa"/>
            </w:tcMar>
            <w:vAlign w:val="center"/>
          </w:tcPr>
          <w:p w14:paraId="1081BBF2" w14:textId="3326D529" w:rsidR="00875B85" w:rsidRPr="00A2362B" w:rsidRDefault="00875B85" w:rsidP="00964831">
            <w:pPr>
              <w:jc w:val="both"/>
              <w:rPr>
                <w:rFonts w:ascii="Arial" w:hAnsi="Arial" w:cs="Arial"/>
                <w:b/>
                <w:bCs/>
                <w:sz w:val="18"/>
                <w:szCs w:val="18"/>
                <w:lang w:val="en-US"/>
              </w:rPr>
            </w:pPr>
            <w:r w:rsidRPr="00A2362B">
              <w:rPr>
                <w:rFonts w:ascii="Arial" w:hAnsi="Arial" w:cs="Arial"/>
                <w:b/>
                <w:bCs/>
                <w:sz w:val="18"/>
                <w:szCs w:val="18"/>
              </w:rPr>
              <w:t xml:space="preserve">Identified as priority to address the impact of the transition by the stakeholders and from the trends analysis and </w:t>
            </w:r>
            <w:r w:rsidR="00E32FE2">
              <w:rPr>
                <w:rFonts w:ascii="Arial" w:hAnsi="Arial" w:cs="Arial"/>
                <w:b/>
                <w:bCs/>
                <w:sz w:val="18"/>
                <w:szCs w:val="18"/>
              </w:rPr>
              <w:t xml:space="preserve">potentially </w:t>
            </w:r>
            <w:r w:rsidRPr="00A2362B">
              <w:rPr>
                <w:rFonts w:ascii="Arial" w:hAnsi="Arial" w:cs="Arial"/>
                <w:b/>
                <w:bCs/>
                <w:sz w:val="18"/>
                <w:szCs w:val="18"/>
              </w:rPr>
              <w:t>in scope of the JTF Regulation</w:t>
            </w:r>
          </w:p>
        </w:tc>
      </w:tr>
      <w:tr w:rsidR="00875B85" w:rsidRPr="00A2362B" w14:paraId="02A3BBC2" w14:textId="77777777" w:rsidTr="00A2362B">
        <w:trPr>
          <w:trHeight w:val="20"/>
        </w:trPr>
        <w:tc>
          <w:tcPr>
            <w:tcW w:w="2411" w:type="pct"/>
            <w:shd w:val="clear" w:color="auto" w:fill="auto"/>
            <w:tcMar>
              <w:top w:w="100" w:type="dxa"/>
              <w:left w:w="100" w:type="dxa"/>
              <w:bottom w:w="100" w:type="dxa"/>
              <w:right w:w="100" w:type="dxa"/>
            </w:tcMar>
          </w:tcPr>
          <w:p w14:paraId="742F032B" w14:textId="6067CA07" w:rsidR="00875B85" w:rsidRPr="00A2362B" w:rsidRDefault="00875B85" w:rsidP="00E42342">
            <w:pPr>
              <w:pStyle w:val="ListParagraph"/>
              <w:numPr>
                <w:ilvl w:val="0"/>
                <w:numId w:val="196"/>
              </w:numPr>
              <w:spacing w:line="240" w:lineRule="auto"/>
              <w:rPr>
                <w:sz w:val="18"/>
                <w:szCs w:val="18"/>
                <w:lang w:val="en-US"/>
              </w:rPr>
            </w:pPr>
            <w:r w:rsidRPr="00A2362B">
              <w:rPr>
                <w:sz w:val="18"/>
                <w:szCs w:val="18"/>
                <w:lang w:val="en-US"/>
              </w:rPr>
              <w:t>Local entrepreneurship culture depending on the proximity of Bucharest</w:t>
            </w:r>
          </w:p>
          <w:p w14:paraId="4A99836E" w14:textId="08BE586C" w:rsidR="00875B85" w:rsidRPr="00A2362B" w:rsidRDefault="00875B85" w:rsidP="00E42342">
            <w:pPr>
              <w:pStyle w:val="ListParagraph"/>
              <w:numPr>
                <w:ilvl w:val="0"/>
                <w:numId w:val="196"/>
              </w:numPr>
              <w:spacing w:line="240" w:lineRule="auto"/>
              <w:rPr>
                <w:sz w:val="18"/>
                <w:szCs w:val="18"/>
                <w:lang w:val="en-US"/>
              </w:rPr>
            </w:pPr>
            <w:r w:rsidRPr="00A2362B">
              <w:rPr>
                <w:sz w:val="18"/>
                <w:szCs w:val="18"/>
                <w:lang w:val="en-US"/>
              </w:rPr>
              <w:t>Agglomeration of biggest national oil companies with non-RES related activities</w:t>
            </w:r>
          </w:p>
          <w:p w14:paraId="7E53E1B5" w14:textId="0F1E524A" w:rsidR="00875B85" w:rsidRPr="00A2362B" w:rsidRDefault="00875B85" w:rsidP="00E42342">
            <w:pPr>
              <w:pStyle w:val="ListParagraph"/>
              <w:numPr>
                <w:ilvl w:val="0"/>
                <w:numId w:val="196"/>
              </w:numPr>
              <w:spacing w:line="240" w:lineRule="auto"/>
              <w:rPr>
                <w:sz w:val="18"/>
                <w:szCs w:val="18"/>
                <w:lang w:val="en-US"/>
              </w:rPr>
            </w:pPr>
            <w:r w:rsidRPr="00A2362B">
              <w:rPr>
                <w:sz w:val="18"/>
                <w:szCs w:val="18"/>
                <w:lang w:val="en-US"/>
              </w:rPr>
              <w:t>Projected 2030 sectoral losses in employment for energy-utilities, manufacturing and construction</w:t>
            </w:r>
          </w:p>
          <w:p w14:paraId="057139DD" w14:textId="77777777" w:rsidR="00875B85" w:rsidRPr="00A2362B" w:rsidRDefault="00875B85" w:rsidP="00964831">
            <w:pPr>
              <w:rPr>
                <w:sz w:val="18"/>
                <w:szCs w:val="18"/>
              </w:rPr>
            </w:pPr>
          </w:p>
        </w:tc>
        <w:tc>
          <w:tcPr>
            <w:tcW w:w="2589" w:type="pct"/>
            <w:shd w:val="clear" w:color="auto" w:fill="auto"/>
            <w:tcMar>
              <w:top w:w="100" w:type="dxa"/>
              <w:left w:w="100" w:type="dxa"/>
              <w:bottom w:w="100" w:type="dxa"/>
              <w:right w:w="100" w:type="dxa"/>
            </w:tcMar>
          </w:tcPr>
          <w:p w14:paraId="06DD0D66" w14:textId="33823536" w:rsidR="00875B85" w:rsidRPr="00A2362B" w:rsidRDefault="00875B85" w:rsidP="00875B85">
            <w:pPr>
              <w:spacing w:line="276" w:lineRule="auto"/>
              <w:rPr>
                <w:rFonts w:ascii="Arial" w:hAnsi="Arial" w:cs="Arial"/>
                <w:sz w:val="18"/>
                <w:szCs w:val="18"/>
              </w:rPr>
            </w:pPr>
            <w:r w:rsidRPr="00A2362B">
              <w:rPr>
                <w:rFonts w:ascii="Arial" w:hAnsi="Arial" w:cs="Arial"/>
                <w:b/>
                <w:sz w:val="18"/>
                <w:szCs w:val="18"/>
              </w:rPr>
              <w:t>Type 1:</w:t>
            </w:r>
            <w:r w:rsidRPr="00A2362B">
              <w:rPr>
                <w:rFonts w:ascii="Arial" w:hAnsi="Arial" w:cs="Arial"/>
                <w:sz w:val="18"/>
                <w:szCs w:val="18"/>
              </w:rPr>
              <w:t xml:space="preserve"> Increasing competitiveness and economic diversification, research, innovation and digitalisation</w:t>
            </w:r>
          </w:p>
          <w:p w14:paraId="25403920" w14:textId="77777777" w:rsidR="00875B85" w:rsidRPr="00A2362B" w:rsidRDefault="00875B85" w:rsidP="00875B85">
            <w:pPr>
              <w:spacing w:line="276" w:lineRule="auto"/>
              <w:rPr>
                <w:rFonts w:ascii="Arial" w:hAnsi="Arial" w:cs="Arial"/>
                <w:sz w:val="18"/>
                <w:szCs w:val="18"/>
              </w:rPr>
            </w:pPr>
          </w:p>
          <w:p w14:paraId="6957ADBC" w14:textId="0BB5E14C" w:rsidR="00875B85" w:rsidRPr="00A2362B" w:rsidRDefault="00875B85" w:rsidP="00875B85">
            <w:pPr>
              <w:pStyle w:val="ListParagraph"/>
              <w:numPr>
                <w:ilvl w:val="0"/>
                <w:numId w:val="72"/>
              </w:numPr>
              <w:spacing w:line="240" w:lineRule="auto"/>
              <w:rPr>
                <w:sz w:val="18"/>
                <w:szCs w:val="18"/>
              </w:rPr>
            </w:pPr>
            <w:r w:rsidRPr="00A2362B">
              <w:rPr>
                <w:sz w:val="18"/>
                <w:szCs w:val="18"/>
              </w:rPr>
              <w:t>Financing and acceleration p</w:t>
            </w:r>
            <w:r w:rsidR="00D206E5">
              <w:rPr>
                <w:sz w:val="18"/>
                <w:szCs w:val="18"/>
              </w:rPr>
              <w:t>rogrammes</w:t>
            </w:r>
            <w:r w:rsidRPr="00A2362B">
              <w:rPr>
                <w:sz w:val="18"/>
                <w:szCs w:val="18"/>
              </w:rPr>
              <w:t xml:space="preserve"> (support for internationalisation/access to new markets, business model development, refurbishment/ digiti</w:t>
            </w:r>
            <w:r w:rsidR="003173A1" w:rsidRPr="00A2362B">
              <w:rPr>
                <w:sz w:val="18"/>
                <w:szCs w:val="18"/>
              </w:rPr>
              <w:t>s</w:t>
            </w:r>
            <w:r w:rsidRPr="00A2362B">
              <w:rPr>
                <w:sz w:val="18"/>
                <w:szCs w:val="18"/>
              </w:rPr>
              <w:t>ation, etc.) for the SME sector</w:t>
            </w:r>
          </w:p>
          <w:p w14:paraId="63B10187" w14:textId="77777777" w:rsidR="00875B85" w:rsidRPr="00A2362B" w:rsidRDefault="00875B85" w:rsidP="00875B85">
            <w:pPr>
              <w:pStyle w:val="ListParagraph"/>
              <w:numPr>
                <w:ilvl w:val="0"/>
                <w:numId w:val="72"/>
              </w:numPr>
              <w:spacing w:line="240" w:lineRule="auto"/>
              <w:rPr>
                <w:sz w:val="18"/>
                <w:szCs w:val="18"/>
              </w:rPr>
            </w:pPr>
            <w:r w:rsidRPr="00A2362B">
              <w:rPr>
                <w:sz w:val="18"/>
                <w:szCs w:val="18"/>
              </w:rPr>
              <w:t>Developing/diversifying the activities of the existing SMEs in innovative, creative and sustainable sectors oriented towards, innovative new technologies, energy</w:t>
            </w:r>
          </w:p>
          <w:p w14:paraId="1951B0CE" w14:textId="77777777" w:rsidR="00875B85" w:rsidRPr="00A2362B" w:rsidRDefault="00875B85" w:rsidP="00875B85">
            <w:pPr>
              <w:pStyle w:val="ListParagraph"/>
              <w:numPr>
                <w:ilvl w:val="0"/>
                <w:numId w:val="73"/>
              </w:numPr>
              <w:spacing w:line="240" w:lineRule="auto"/>
              <w:rPr>
                <w:sz w:val="18"/>
                <w:szCs w:val="18"/>
              </w:rPr>
            </w:pPr>
            <w:r w:rsidRPr="00A2362B">
              <w:rPr>
                <w:sz w:val="18"/>
                <w:szCs w:val="18"/>
              </w:rPr>
              <w:t>Increasing competitiveness and adopting new areas of research and qualification of higher education</w:t>
            </w:r>
          </w:p>
          <w:p w14:paraId="29AD9116" w14:textId="0082144E" w:rsidR="00875B85" w:rsidRPr="00A2362B" w:rsidRDefault="00875B85" w:rsidP="00875B85">
            <w:pPr>
              <w:pStyle w:val="ListParagraph"/>
              <w:numPr>
                <w:ilvl w:val="0"/>
                <w:numId w:val="73"/>
              </w:numPr>
              <w:spacing w:line="240" w:lineRule="auto"/>
              <w:rPr>
                <w:sz w:val="18"/>
                <w:szCs w:val="18"/>
              </w:rPr>
            </w:pPr>
            <w:r w:rsidRPr="00A2362B">
              <w:rPr>
                <w:sz w:val="18"/>
                <w:szCs w:val="18"/>
              </w:rPr>
              <w:t>Business support infrastructure, in particular for knowledge intensive services</w:t>
            </w:r>
          </w:p>
        </w:tc>
      </w:tr>
      <w:tr w:rsidR="00875B85" w:rsidRPr="00A2362B" w14:paraId="29D55A50" w14:textId="77777777" w:rsidTr="00A2362B">
        <w:trPr>
          <w:trHeight w:val="20"/>
        </w:trPr>
        <w:tc>
          <w:tcPr>
            <w:tcW w:w="2411" w:type="pct"/>
            <w:shd w:val="clear" w:color="auto" w:fill="auto"/>
            <w:tcMar>
              <w:top w:w="100" w:type="dxa"/>
              <w:left w:w="100" w:type="dxa"/>
              <w:bottom w:w="100" w:type="dxa"/>
              <w:right w:w="100" w:type="dxa"/>
            </w:tcMar>
          </w:tcPr>
          <w:p w14:paraId="7E3BF20C" w14:textId="46392517" w:rsidR="00875B85" w:rsidRPr="00A2362B" w:rsidRDefault="00875B85" w:rsidP="00E42342">
            <w:pPr>
              <w:pStyle w:val="ListParagraph"/>
              <w:numPr>
                <w:ilvl w:val="0"/>
                <w:numId w:val="197"/>
              </w:numPr>
              <w:spacing w:line="240" w:lineRule="auto"/>
              <w:rPr>
                <w:rFonts w:eastAsia="Arial Narrow"/>
                <w:sz w:val="18"/>
                <w:szCs w:val="18"/>
              </w:rPr>
            </w:pPr>
            <w:r w:rsidRPr="00A2362B">
              <w:rPr>
                <w:rFonts w:eastAsia="Arial Narrow"/>
                <w:sz w:val="18"/>
                <w:szCs w:val="18"/>
              </w:rPr>
              <w:t>High number of plots susceptible as polluted and owners’ requests (both public and private owners) for financial support</w:t>
            </w:r>
          </w:p>
          <w:p w14:paraId="5CC1A76D" w14:textId="54F43CB1" w:rsidR="00875B85" w:rsidRPr="00A2362B" w:rsidRDefault="00875B85" w:rsidP="00E42342">
            <w:pPr>
              <w:pStyle w:val="ListParagraph"/>
              <w:numPr>
                <w:ilvl w:val="0"/>
                <w:numId w:val="197"/>
              </w:numPr>
              <w:spacing w:line="240" w:lineRule="auto"/>
              <w:rPr>
                <w:rFonts w:eastAsia="Arial Narrow"/>
                <w:sz w:val="18"/>
                <w:szCs w:val="18"/>
              </w:rPr>
            </w:pPr>
            <w:r w:rsidRPr="00A2362B">
              <w:rPr>
                <w:rFonts w:eastAsia="Arial Narrow"/>
                <w:sz w:val="18"/>
                <w:szCs w:val="18"/>
              </w:rPr>
              <w:t>Air quality monitoring solutions are not adapted/calibrated for all in site existent pollutants (</w:t>
            </w:r>
            <w:r w:rsidR="005B2421" w:rsidRPr="00A2362B">
              <w:rPr>
                <w:rFonts w:eastAsia="Arial Narrow"/>
                <w:sz w:val="18"/>
                <w:szCs w:val="18"/>
              </w:rPr>
              <w:t>e.g.,</w:t>
            </w:r>
            <w:r w:rsidRPr="00A2362B">
              <w:rPr>
                <w:rFonts w:eastAsia="Arial Narrow"/>
                <w:sz w:val="18"/>
                <w:szCs w:val="18"/>
              </w:rPr>
              <w:t xml:space="preserve"> Benzene)</w:t>
            </w:r>
          </w:p>
          <w:p w14:paraId="0C40DE30" w14:textId="4C28D9CC" w:rsidR="00875B85" w:rsidRPr="00A2362B" w:rsidRDefault="00875B85" w:rsidP="00E42342">
            <w:pPr>
              <w:pStyle w:val="ListParagraph"/>
              <w:numPr>
                <w:ilvl w:val="0"/>
                <w:numId w:val="197"/>
              </w:numPr>
              <w:spacing w:line="240" w:lineRule="auto"/>
              <w:rPr>
                <w:rFonts w:eastAsia="Arial Narrow"/>
                <w:sz w:val="18"/>
                <w:szCs w:val="18"/>
              </w:rPr>
            </w:pPr>
            <w:r w:rsidRPr="00A2362B">
              <w:rPr>
                <w:rFonts w:eastAsia="Arial Narrow"/>
                <w:sz w:val="18"/>
                <w:szCs w:val="18"/>
              </w:rPr>
              <w:t>The local environmental state of play is dominated by air pollution issues, soil quality problems</w:t>
            </w:r>
          </w:p>
          <w:p w14:paraId="2F9885E5" w14:textId="563848E4" w:rsidR="00875B85" w:rsidRPr="00A2362B" w:rsidRDefault="00875B85" w:rsidP="00E42342">
            <w:pPr>
              <w:pStyle w:val="ListParagraph"/>
              <w:numPr>
                <w:ilvl w:val="0"/>
                <w:numId w:val="197"/>
              </w:numPr>
              <w:rPr>
                <w:sz w:val="18"/>
                <w:szCs w:val="18"/>
              </w:rPr>
            </w:pPr>
            <w:r w:rsidRPr="00A2362B">
              <w:rPr>
                <w:sz w:val="18"/>
                <w:szCs w:val="18"/>
              </w:rPr>
              <w:t>Interviews with key companies active in the field revealed a modest engagement and project pipeline to switching to other business models with less intensive in CO</w:t>
            </w:r>
            <w:r w:rsidRPr="00A2362B">
              <w:rPr>
                <w:sz w:val="18"/>
                <w:szCs w:val="18"/>
                <w:vertAlign w:val="subscript"/>
              </w:rPr>
              <w:t>2</w:t>
            </w:r>
            <w:r w:rsidRPr="00A2362B">
              <w:rPr>
                <w:sz w:val="18"/>
                <w:szCs w:val="18"/>
              </w:rPr>
              <w:t xml:space="preserve"> emissions. </w:t>
            </w:r>
          </w:p>
          <w:p w14:paraId="5E66AEE2" w14:textId="77777777" w:rsidR="00875B85" w:rsidRPr="00A2362B" w:rsidRDefault="00875B85" w:rsidP="00875B85">
            <w:pPr>
              <w:rPr>
                <w:sz w:val="18"/>
                <w:szCs w:val="18"/>
              </w:rPr>
            </w:pPr>
          </w:p>
        </w:tc>
        <w:tc>
          <w:tcPr>
            <w:tcW w:w="2589" w:type="pct"/>
            <w:shd w:val="clear" w:color="auto" w:fill="auto"/>
            <w:tcMar>
              <w:top w:w="100" w:type="dxa"/>
              <w:left w:w="100" w:type="dxa"/>
              <w:bottom w:w="100" w:type="dxa"/>
              <w:right w:w="100" w:type="dxa"/>
            </w:tcMar>
          </w:tcPr>
          <w:p w14:paraId="5337ACC4" w14:textId="6CB8BC68" w:rsidR="00875B85" w:rsidRPr="00A2362B" w:rsidRDefault="00875B85" w:rsidP="00875B85">
            <w:pPr>
              <w:spacing w:line="276" w:lineRule="auto"/>
              <w:rPr>
                <w:rFonts w:ascii="Arial" w:hAnsi="Arial" w:cs="Arial"/>
                <w:sz w:val="18"/>
                <w:szCs w:val="18"/>
              </w:rPr>
            </w:pPr>
            <w:r w:rsidRPr="00A2362B">
              <w:rPr>
                <w:rFonts w:ascii="Arial" w:hAnsi="Arial" w:cs="Arial"/>
                <w:b/>
                <w:sz w:val="18"/>
                <w:szCs w:val="18"/>
              </w:rPr>
              <w:t>Type 2</w:t>
            </w:r>
            <w:r w:rsidRPr="00A2362B">
              <w:rPr>
                <w:rFonts w:ascii="Arial" w:hAnsi="Arial" w:cs="Arial"/>
                <w:sz w:val="18"/>
                <w:szCs w:val="18"/>
              </w:rPr>
              <w:t>: Supporting investments in energy infrastructure and clean energy technology</w:t>
            </w:r>
          </w:p>
          <w:p w14:paraId="0620CDC2" w14:textId="77777777" w:rsidR="00875B85" w:rsidRPr="00A2362B" w:rsidRDefault="00875B85" w:rsidP="00875B85">
            <w:pPr>
              <w:spacing w:line="276" w:lineRule="auto"/>
              <w:rPr>
                <w:rFonts w:ascii="Arial" w:hAnsi="Arial" w:cs="Arial"/>
                <w:sz w:val="18"/>
                <w:szCs w:val="18"/>
              </w:rPr>
            </w:pPr>
          </w:p>
          <w:p w14:paraId="19EBC3E1" w14:textId="77777777" w:rsidR="00875B85" w:rsidRPr="00A2362B" w:rsidRDefault="00875B85" w:rsidP="00875B85">
            <w:pPr>
              <w:pStyle w:val="ListParagraph"/>
              <w:numPr>
                <w:ilvl w:val="0"/>
                <w:numId w:val="79"/>
              </w:numPr>
              <w:spacing w:line="240" w:lineRule="auto"/>
              <w:rPr>
                <w:rFonts w:eastAsia="Arial Narrow"/>
                <w:sz w:val="18"/>
                <w:szCs w:val="18"/>
              </w:rPr>
            </w:pPr>
            <w:r w:rsidRPr="00A2362B">
              <w:rPr>
                <w:rFonts w:eastAsia="Arial Narrow"/>
                <w:sz w:val="18"/>
                <w:szCs w:val="18"/>
              </w:rPr>
              <w:t>Decontamination and functional reconversion of polluted and decommissioned sites through integrated urban regeneration projects</w:t>
            </w:r>
          </w:p>
          <w:p w14:paraId="04C65F11" w14:textId="77777777" w:rsidR="00875B85" w:rsidRPr="00A2362B" w:rsidRDefault="00875B85" w:rsidP="00875B85">
            <w:pPr>
              <w:pStyle w:val="ListParagraph"/>
              <w:numPr>
                <w:ilvl w:val="0"/>
                <w:numId w:val="79"/>
              </w:numPr>
              <w:spacing w:line="240" w:lineRule="auto"/>
              <w:rPr>
                <w:sz w:val="18"/>
                <w:szCs w:val="18"/>
                <w:lang w:val="en-US"/>
              </w:rPr>
            </w:pPr>
            <w:r w:rsidRPr="00A2362B">
              <w:rPr>
                <w:rFonts w:eastAsia="Arial Narrow"/>
                <w:sz w:val="18"/>
                <w:szCs w:val="18"/>
              </w:rPr>
              <w:t>Technological upgrading to reduce pollution and carbon emissions (large enterprises and SMEs)</w:t>
            </w:r>
          </w:p>
          <w:p w14:paraId="4939B7DD" w14:textId="492851E5" w:rsidR="00875B85" w:rsidRPr="00A2362B" w:rsidRDefault="00875B85" w:rsidP="00875B85">
            <w:pPr>
              <w:pStyle w:val="ListParagraph"/>
              <w:numPr>
                <w:ilvl w:val="0"/>
                <w:numId w:val="79"/>
              </w:numPr>
              <w:spacing w:line="240" w:lineRule="auto"/>
              <w:rPr>
                <w:sz w:val="18"/>
                <w:szCs w:val="18"/>
                <w:lang w:val="en-US"/>
              </w:rPr>
            </w:pPr>
            <w:r w:rsidRPr="00A2362B">
              <w:rPr>
                <w:rFonts w:eastAsia="Arial Narrow"/>
                <w:sz w:val="18"/>
                <w:szCs w:val="18"/>
              </w:rPr>
              <w:t>Diversification of the output of an establishment into products not previously produced in the establishment or for a fundamental change in the overall production process of the product(s) concerned by the investment in the establishment (for large enterprises)</w:t>
            </w:r>
            <w:r w:rsidRPr="00A2362B">
              <w:rPr>
                <w:sz w:val="18"/>
                <w:szCs w:val="18"/>
              </w:rPr>
              <w:t xml:space="preserve"> </w:t>
            </w:r>
            <w:r w:rsidRPr="00A2362B">
              <w:rPr>
                <w:rFonts w:eastAsia="Arial Narrow"/>
                <w:sz w:val="18"/>
                <w:szCs w:val="18"/>
              </w:rPr>
              <w:t>(i.e., an installation processing residual oils, sustainable vegetable oils/energy crops etc.)</w:t>
            </w:r>
          </w:p>
          <w:p w14:paraId="464F64F6" w14:textId="77777777" w:rsidR="00875B85" w:rsidRPr="00A2362B" w:rsidRDefault="00875B85" w:rsidP="00875B85">
            <w:pPr>
              <w:pStyle w:val="ListParagraph"/>
              <w:numPr>
                <w:ilvl w:val="0"/>
                <w:numId w:val="79"/>
              </w:numPr>
              <w:spacing w:line="240" w:lineRule="auto"/>
              <w:rPr>
                <w:rFonts w:eastAsia="Arial Narrow"/>
                <w:sz w:val="18"/>
                <w:szCs w:val="18"/>
              </w:rPr>
            </w:pPr>
            <w:r w:rsidRPr="00A2362B">
              <w:rPr>
                <w:rFonts w:eastAsia="Arial Narrow"/>
                <w:sz w:val="18"/>
                <w:szCs w:val="18"/>
              </w:rPr>
              <w:t>Promoting sustainable urban mobility solutions: green public transport, infrastructure to promote pedestrian and cycling mobility, stimulating green logistics solutions</w:t>
            </w:r>
          </w:p>
          <w:p w14:paraId="6EE11CBD" w14:textId="77777777" w:rsidR="00875B85" w:rsidRPr="00A2362B" w:rsidRDefault="00875B85" w:rsidP="00875B85">
            <w:pPr>
              <w:pStyle w:val="ListParagraph"/>
              <w:numPr>
                <w:ilvl w:val="0"/>
                <w:numId w:val="79"/>
              </w:numPr>
              <w:spacing w:line="240" w:lineRule="auto"/>
              <w:rPr>
                <w:sz w:val="18"/>
                <w:szCs w:val="18"/>
              </w:rPr>
            </w:pPr>
            <w:r w:rsidRPr="00A2362B">
              <w:rPr>
                <w:rFonts w:eastAsia="Arial Narrow"/>
                <w:sz w:val="18"/>
                <w:szCs w:val="18"/>
              </w:rPr>
              <w:t>Energy efficiency of public buildings (including public housing stock)</w:t>
            </w:r>
          </w:p>
          <w:p w14:paraId="6D8C8CE9" w14:textId="5C28588E" w:rsidR="00875B85" w:rsidRPr="00A2362B" w:rsidRDefault="00875B85" w:rsidP="00875B85">
            <w:pPr>
              <w:pStyle w:val="ListParagraph"/>
              <w:numPr>
                <w:ilvl w:val="0"/>
                <w:numId w:val="79"/>
              </w:numPr>
              <w:spacing w:line="240" w:lineRule="auto"/>
              <w:rPr>
                <w:sz w:val="18"/>
                <w:szCs w:val="18"/>
              </w:rPr>
            </w:pPr>
            <w:r w:rsidRPr="00A2362B">
              <w:rPr>
                <w:rFonts w:eastAsia="Arial Narrow"/>
                <w:sz w:val="18"/>
                <w:szCs w:val="18"/>
              </w:rPr>
              <w:t>Financial and technical support p</w:t>
            </w:r>
            <w:r w:rsidR="00D206E5">
              <w:rPr>
                <w:rFonts w:eastAsia="Arial Narrow"/>
                <w:sz w:val="18"/>
                <w:szCs w:val="18"/>
              </w:rPr>
              <w:t>rogrammes</w:t>
            </w:r>
            <w:r w:rsidRPr="00A2362B">
              <w:rPr>
                <w:rFonts w:eastAsia="Arial Narrow"/>
                <w:sz w:val="18"/>
                <w:szCs w:val="18"/>
              </w:rPr>
              <w:t xml:space="preserve"> to support the transition of enterprises to RES (including the development of RES production capacities and energy efficiency)</w:t>
            </w:r>
          </w:p>
          <w:p w14:paraId="244FF0CB" w14:textId="4BE93128" w:rsidR="00875B85" w:rsidRPr="00A2362B" w:rsidRDefault="00875B85" w:rsidP="00875B85">
            <w:pPr>
              <w:pStyle w:val="ListParagraph"/>
              <w:numPr>
                <w:ilvl w:val="0"/>
                <w:numId w:val="79"/>
              </w:numPr>
              <w:spacing w:line="240" w:lineRule="auto"/>
              <w:rPr>
                <w:sz w:val="18"/>
                <w:szCs w:val="18"/>
              </w:rPr>
            </w:pPr>
            <w:r w:rsidRPr="00A2362B">
              <w:rPr>
                <w:sz w:val="18"/>
                <w:szCs w:val="18"/>
              </w:rPr>
              <w:t>Digiti</w:t>
            </w:r>
            <w:r w:rsidR="003173A1" w:rsidRPr="00A2362B">
              <w:rPr>
                <w:sz w:val="18"/>
                <w:szCs w:val="18"/>
              </w:rPr>
              <w:t>s</w:t>
            </w:r>
            <w:r w:rsidRPr="00A2362B">
              <w:rPr>
                <w:sz w:val="18"/>
                <w:szCs w:val="18"/>
              </w:rPr>
              <w:t>ation and technological upgrade</w:t>
            </w:r>
          </w:p>
        </w:tc>
      </w:tr>
      <w:tr w:rsidR="00875B85" w:rsidRPr="00A2362B" w14:paraId="2D55ADCD" w14:textId="77777777" w:rsidTr="00A2362B">
        <w:trPr>
          <w:trHeight w:val="20"/>
        </w:trPr>
        <w:tc>
          <w:tcPr>
            <w:tcW w:w="2411" w:type="pct"/>
            <w:shd w:val="clear" w:color="auto" w:fill="auto"/>
            <w:tcMar>
              <w:top w:w="100" w:type="dxa"/>
              <w:left w:w="100" w:type="dxa"/>
              <w:bottom w:w="100" w:type="dxa"/>
              <w:right w:w="100" w:type="dxa"/>
            </w:tcMar>
          </w:tcPr>
          <w:p w14:paraId="45B8191F" w14:textId="4C0FAE23" w:rsidR="00875B85" w:rsidRPr="00A2362B" w:rsidRDefault="00875B85" w:rsidP="00E42342">
            <w:pPr>
              <w:pStyle w:val="ListParagraph"/>
              <w:numPr>
                <w:ilvl w:val="0"/>
                <w:numId w:val="198"/>
              </w:numPr>
              <w:spacing w:line="240" w:lineRule="auto"/>
              <w:rPr>
                <w:sz w:val="18"/>
                <w:szCs w:val="18"/>
                <w:lang w:val="en-US"/>
              </w:rPr>
            </w:pPr>
            <w:r w:rsidRPr="00A2362B">
              <w:rPr>
                <w:sz w:val="18"/>
                <w:szCs w:val="18"/>
                <w:lang w:val="en-US"/>
              </w:rPr>
              <w:t>Percentage of the population employed in industry above the national average, although</w:t>
            </w:r>
            <w:r w:rsidR="003173A1" w:rsidRPr="00A2362B">
              <w:rPr>
                <w:sz w:val="18"/>
                <w:szCs w:val="18"/>
                <w:lang w:val="en-US"/>
              </w:rPr>
              <w:t>,</w:t>
            </w:r>
            <w:r w:rsidRPr="00A2362B">
              <w:rPr>
                <w:sz w:val="18"/>
                <w:szCs w:val="18"/>
                <w:lang w:val="en-US"/>
              </w:rPr>
              <w:t xml:space="preserve"> </w:t>
            </w:r>
            <w:r w:rsidRPr="00A2362B">
              <w:rPr>
                <w:sz w:val="18"/>
                <w:szCs w:val="18"/>
                <w:lang w:val="en-US"/>
              </w:rPr>
              <w:lastRenderedPageBreak/>
              <w:t>within approx</w:t>
            </w:r>
            <w:r w:rsidR="003173A1" w:rsidRPr="00A2362B">
              <w:rPr>
                <w:sz w:val="18"/>
                <w:szCs w:val="18"/>
                <w:lang w:val="en-US"/>
              </w:rPr>
              <w:t>imately</w:t>
            </w:r>
            <w:r w:rsidRPr="00A2362B">
              <w:rPr>
                <w:sz w:val="18"/>
                <w:szCs w:val="18"/>
                <w:lang w:val="en-US"/>
              </w:rPr>
              <w:t xml:space="preserve"> 10 years</w:t>
            </w:r>
            <w:r w:rsidR="003173A1" w:rsidRPr="00A2362B">
              <w:rPr>
                <w:sz w:val="18"/>
                <w:szCs w:val="18"/>
                <w:lang w:val="en-US"/>
              </w:rPr>
              <w:t>,</w:t>
            </w:r>
            <w:r w:rsidRPr="00A2362B">
              <w:rPr>
                <w:sz w:val="18"/>
                <w:szCs w:val="18"/>
                <w:lang w:val="en-US"/>
              </w:rPr>
              <w:t xml:space="preserve"> the population employed in industry decreased by about 10,000 people</w:t>
            </w:r>
          </w:p>
          <w:p w14:paraId="78F67C3C" w14:textId="54111C24" w:rsidR="00875B85" w:rsidRPr="00A2362B" w:rsidRDefault="00875B85" w:rsidP="00E42342">
            <w:pPr>
              <w:pStyle w:val="ListParagraph"/>
              <w:numPr>
                <w:ilvl w:val="0"/>
                <w:numId w:val="198"/>
              </w:numPr>
              <w:spacing w:line="240" w:lineRule="auto"/>
              <w:rPr>
                <w:sz w:val="18"/>
                <w:szCs w:val="18"/>
              </w:rPr>
            </w:pPr>
            <w:r w:rsidRPr="00A2362B">
              <w:rPr>
                <w:sz w:val="18"/>
                <w:szCs w:val="18"/>
                <w:lang w:val="en-US"/>
              </w:rPr>
              <w:t>Labor force shortage and skills mismatch: due to employed concentration by the oil industry does have good prospects to be integrated into other economic activity provided that reskilling p</w:t>
            </w:r>
            <w:r w:rsidR="00D206E5">
              <w:rPr>
                <w:sz w:val="18"/>
                <w:szCs w:val="18"/>
                <w:lang w:val="en-US"/>
              </w:rPr>
              <w:t>rogrammes</w:t>
            </w:r>
            <w:r w:rsidRPr="00A2362B">
              <w:rPr>
                <w:sz w:val="18"/>
                <w:szCs w:val="18"/>
                <w:lang w:val="en-US"/>
              </w:rPr>
              <w:t xml:space="preserve"> are in place.</w:t>
            </w:r>
          </w:p>
        </w:tc>
        <w:tc>
          <w:tcPr>
            <w:tcW w:w="2589" w:type="pct"/>
            <w:shd w:val="clear" w:color="auto" w:fill="auto"/>
            <w:tcMar>
              <w:top w:w="100" w:type="dxa"/>
              <w:left w:w="100" w:type="dxa"/>
              <w:bottom w:w="100" w:type="dxa"/>
              <w:right w:w="100" w:type="dxa"/>
            </w:tcMar>
          </w:tcPr>
          <w:p w14:paraId="7D68B9F7" w14:textId="2BDC58AB" w:rsidR="00875B85" w:rsidRPr="00A2362B" w:rsidRDefault="00875B85" w:rsidP="00875B85">
            <w:pPr>
              <w:spacing w:line="276" w:lineRule="auto"/>
              <w:jc w:val="both"/>
              <w:rPr>
                <w:rFonts w:ascii="Arial" w:hAnsi="Arial" w:cs="Arial"/>
                <w:sz w:val="18"/>
                <w:szCs w:val="18"/>
              </w:rPr>
            </w:pPr>
            <w:r w:rsidRPr="00A2362B">
              <w:rPr>
                <w:rFonts w:ascii="Arial" w:hAnsi="Arial" w:cs="Arial"/>
                <w:b/>
                <w:sz w:val="18"/>
                <w:szCs w:val="18"/>
              </w:rPr>
              <w:lastRenderedPageBreak/>
              <w:t xml:space="preserve">Type 3: </w:t>
            </w:r>
            <w:r w:rsidRPr="00A2362B">
              <w:rPr>
                <w:rFonts w:ascii="Arial" w:hAnsi="Arial" w:cs="Arial"/>
                <w:sz w:val="18"/>
                <w:szCs w:val="18"/>
              </w:rPr>
              <w:t>Increasing the level of employment:</w:t>
            </w:r>
          </w:p>
          <w:p w14:paraId="3F425C02" w14:textId="77777777" w:rsidR="00875B85" w:rsidRPr="00A2362B" w:rsidRDefault="00875B85" w:rsidP="00875B85">
            <w:pPr>
              <w:spacing w:line="276" w:lineRule="auto"/>
              <w:jc w:val="both"/>
              <w:rPr>
                <w:rFonts w:ascii="Arial" w:hAnsi="Arial" w:cs="Arial"/>
                <w:sz w:val="18"/>
                <w:szCs w:val="18"/>
              </w:rPr>
            </w:pPr>
          </w:p>
          <w:p w14:paraId="35B33231" w14:textId="77777777" w:rsidR="00875B85" w:rsidRPr="00A2362B" w:rsidRDefault="00875B85" w:rsidP="00875B85">
            <w:pPr>
              <w:pStyle w:val="ListParagraph"/>
              <w:numPr>
                <w:ilvl w:val="0"/>
                <w:numId w:val="84"/>
              </w:numPr>
              <w:spacing w:line="240" w:lineRule="auto"/>
              <w:jc w:val="both"/>
              <w:rPr>
                <w:rFonts w:eastAsia="Arial Narrow"/>
                <w:sz w:val="18"/>
                <w:szCs w:val="18"/>
              </w:rPr>
            </w:pPr>
            <w:r w:rsidRPr="00A2362B">
              <w:rPr>
                <w:rFonts w:eastAsia="Arial Narrow"/>
                <w:sz w:val="18"/>
                <w:szCs w:val="18"/>
              </w:rPr>
              <w:t>Investments in the development of the material base and vocational and technical education curriculum</w:t>
            </w:r>
          </w:p>
          <w:p w14:paraId="676CF834" w14:textId="77777777" w:rsidR="00875B85" w:rsidRPr="00A2362B" w:rsidRDefault="00875B85" w:rsidP="00875B85">
            <w:pPr>
              <w:pStyle w:val="ListParagraph"/>
              <w:numPr>
                <w:ilvl w:val="0"/>
                <w:numId w:val="84"/>
              </w:numPr>
              <w:spacing w:line="240" w:lineRule="auto"/>
              <w:jc w:val="both"/>
              <w:rPr>
                <w:rFonts w:eastAsia="Arial Narrow"/>
                <w:sz w:val="18"/>
                <w:szCs w:val="18"/>
              </w:rPr>
            </w:pPr>
            <w:r w:rsidRPr="00A2362B">
              <w:rPr>
                <w:rFonts w:eastAsia="Arial Narrow"/>
                <w:sz w:val="18"/>
                <w:szCs w:val="18"/>
              </w:rPr>
              <w:t>Development of dual school programmes</w:t>
            </w:r>
          </w:p>
          <w:p w14:paraId="3920ABB8" w14:textId="77777777" w:rsidR="00875B85" w:rsidRDefault="00875B85" w:rsidP="00875B85">
            <w:pPr>
              <w:pStyle w:val="ListParagraph"/>
              <w:numPr>
                <w:ilvl w:val="0"/>
                <w:numId w:val="84"/>
              </w:numPr>
              <w:spacing w:line="240" w:lineRule="auto"/>
              <w:jc w:val="both"/>
              <w:rPr>
                <w:rFonts w:eastAsia="Arial Narrow"/>
                <w:sz w:val="18"/>
                <w:szCs w:val="18"/>
              </w:rPr>
            </w:pPr>
            <w:r w:rsidRPr="00A2362B">
              <w:rPr>
                <w:rFonts w:eastAsia="Arial Narrow"/>
                <w:sz w:val="18"/>
                <w:szCs w:val="18"/>
              </w:rPr>
              <w:t>Innovative solutions for the labour market to insert those coming from disadvantaged backgrounds: e.g., qualification p</w:t>
            </w:r>
            <w:r w:rsidR="00D206E5">
              <w:rPr>
                <w:rFonts w:eastAsia="Arial Narrow"/>
                <w:sz w:val="18"/>
                <w:szCs w:val="18"/>
              </w:rPr>
              <w:t>rogrammes</w:t>
            </w:r>
            <w:r w:rsidRPr="00A2362B">
              <w:rPr>
                <w:rFonts w:eastAsia="Arial Narrow"/>
                <w:sz w:val="18"/>
                <w:szCs w:val="18"/>
              </w:rPr>
              <w:t xml:space="preserve"> implemented in tandem with public investments in energy efficiency and reduction of energy poverty of those living in precarious conditions</w:t>
            </w:r>
          </w:p>
          <w:p w14:paraId="23090D73" w14:textId="6CD9607B" w:rsidR="00010488" w:rsidRPr="00A2362B" w:rsidRDefault="00010488" w:rsidP="00875B85">
            <w:pPr>
              <w:pStyle w:val="ListParagraph"/>
              <w:numPr>
                <w:ilvl w:val="0"/>
                <w:numId w:val="84"/>
              </w:numPr>
              <w:spacing w:line="240" w:lineRule="auto"/>
              <w:jc w:val="both"/>
              <w:rPr>
                <w:rFonts w:eastAsia="Arial Narrow"/>
                <w:sz w:val="18"/>
                <w:szCs w:val="18"/>
              </w:rPr>
            </w:pPr>
            <w:r>
              <w:rPr>
                <w:rFonts w:eastAsia="Arial Narrow"/>
                <w:sz w:val="18"/>
                <w:szCs w:val="18"/>
              </w:rPr>
              <w:t>Upskilling and reskilling of laid-off personnel and jobseeker assistance</w:t>
            </w:r>
          </w:p>
        </w:tc>
      </w:tr>
    </w:tbl>
    <w:p w14:paraId="2CB65DAB" w14:textId="3CCDB090" w:rsidR="00875B85" w:rsidRDefault="00875B85" w:rsidP="00542C72">
      <w:pPr>
        <w:spacing w:after="240"/>
        <w:jc w:val="both"/>
        <w:rPr>
          <w:sz w:val="20"/>
          <w:szCs w:val="20"/>
        </w:rPr>
        <w:sectPr w:rsidR="00875B85" w:rsidSect="00BE7F81">
          <w:pgSz w:w="11909" w:h="16834"/>
          <w:pgMar w:top="1440" w:right="1440" w:bottom="1440" w:left="1530" w:header="720" w:footer="720" w:gutter="0"/>
          <w:cols w:space="720"/>
          <w:docGrid w:linePitch="326"/>
        </w:sectPr>
      </w:pPr>
    </w:p>
    <w:p w14:paraId="2C1B371E" w14:textId="77200B73" w:rsidR="00542C72" w:rsidRPr="003516DC" w:rsidRDefault="00542C72" w:rsidP="00542C72">
      <w:pPr>
        <w:pStyle w:val="Caption"/>
      </w:pPr>
      <w:bookmarkStart w:id="272" w:name="_Toc90726013"/>
      <w:bookmarkStart w:id="273" w:name="_Toc90727310"/>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59</w:t>
      </w:r>
      <w:r w:rsidRPr="003516DC">
        <w:rPr>
          <w:noProof/>
        </w:rPr>
        <w:fldChar w:fldCharType="end"/>
      </w:r>
      <w:r w:rsidRPr="003516DC">
        <w:t>: Types of operations needed for Prahova County</w:t>
      </w:r>
      <w:bookmarkEnd w:id="272"/>
      <w:bookmarkEnd w:id="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542C72" w:rsidRPr="00A2362B" w14:paraId="42B94B47" w14:textId="77777777" w:rsidTr="00A2362B">
        <w:trPr>
          <w:tblHeader/>
        </w:trPr>
        <w:tc>
          <w:tcPr>
            <w:tcW w:w="5000" w:type="pct"/>
            <w:gridSpan w:val="4"/>
            <w:shd w:val="clear" w:color="auto" w:fill="002060"/>
            <w:tcMar>
              <w:top w:w="100" w:type="dxa"/>
              <w:left w:w="100" w:type="dxa"/>
              <w:bottom w:w="100" w:type="dxa"/>
              <w:right w:w="100" w:type="dxa"/>
            </w:tcMar>
            <w:vAlign w:val="center"/>
          </w:tcPr>
          <w:p w14:paraId="2B1E413B" w14:textId="77777777" w:rsidR="00542C72" w:rsidRPr="00A2362B" w:rsidRDefault="00542C72" w:rsidP="00964831">
            <w:pPr>
              <w:jc w:val="center"/>
              <w:rPr>
                <w:rFonts w:ascii="Arial" w:hAnsi="Arial" w:cs="Arial"/>
                <w:b/>
                <w:bCs/>
                <w:sz w:val="18"/>
                <w:szCs w:val="18"/>
                <w:highlight w:val="white"/>
              </w:rPr>
            </w:pPr>
            <w:r w:rsidRPr="00A2362B">
              <w:rPr>
                <w:rFonts w:ascii="Arial" w:hAnsi="Arial" w:cs="Arial"/>
                <w:b/>
                <w:bCs/>
                <w:sz w:val="18"/>
                <w:szCs w:val="18"/>
              </w:rPr>
              <w:t>TYPES OF OPERATIONS NEEDED FOR PRAHOVA COUNTY</w:t>
            </w:r>
          </w:p>
        </w:tc>
      </w:tr>
      <w:tr w:rsidR="00542C72" w:rsidRPr="00A2362B" w14:paraId="61FE5F8D" w14:textId="77777777" w:rsidTr="00A2362B">
        <w:trPr>
          <w:trHeight w:val="737"/>
          <w:tblHeader/>
        </w:trPr>
        <w:tc>
          <w:tcPr>
            <w:tcW w:w="479" w:type="pct"/>
            <w:shd w:val="clear" w:color="auto" w:fill="C6D9F1" w:themeFill="text2" w:themeFillTint="33"/>
            <w:tcMar>
              <w:top w:w="100" w:type="dxa"/>
              <w:left w:w="100" w:type="dxa"/>
              <w:bottom w:w="100" w:type="dxa"/>
              <w:right w:w="100" w:type="dxa"/>
            </w:tcMar>
            <w:vAlign w:val="center"/>
          </w:tcPr>
          <w:p w14:paraId="5989AA46" w14:textId="77777777" w:rsidR="00542C72" w:rsidRPr="00A2362B" w:rsidRDefault="00542C72" w:rsidP="00964831">
            <w:pPr>
              <w:rPr>
                <w:rFonts w:ascii="Arial" w:hAnsi="Arial" w:cs="Arial"/>
                <w:b/>
                <w:bCs/>
                <w:sz w:val="18"/>
                <w:szCs w:val="18"/>
              </w:rPr>
            </w:pPr>
            <w:r w:rsidRPr="00A2362B">
              <w:rPr>
                <w:rFonts w:ascii="Arial" w:hAnsi="Arial" w:cs="Arial"/>
                <w:b/>
                <w:bCs/>
                <w:sz w:val="18"/>
                <w:szCs w:val="18"/>
              </w:rPr>
              <w:t>Degree of priority</w:t>
            </w:r>
          </w:p>
        </w:tc>
        <w:tc>
          <w:tcPr>
            <w:tcW w:w="1875" w:type="pct"/>
            <w:shd w:val="clear" w:color="auto" w:fill="C6D9F1" w:themeFill="text2" w:themeFillTint="33"/>
            <w:tcMar>
              <w:top w:w="100" w:type="dxa"/>
              <w:left w:w="100" w:type="dxa"/>
              <w:bottom w:w="100" w:type="dxa"/>
              <w:right w:w="100" w:type="dxa"/>
            </w:tcMar>
            <w:vAlign w:val="center"/>
          </w:tcPr>
          <w:p w14:paraId="11562436" w14:textId="51D954F7" w:rsidR="00542C72" w:rsidRPr="00A2362B" w:rsidRDefault="00542C72" w:rsidP="00964831">
            <w:pPr>
              <w:jc w:val="both"/>
              <w:rPr>
                <w:rFonts w:ascii="Arial" w:hAnsi="Arial" w:cs="Arial"/>
                <w:b/>
                <w:bCs/>
                <w:sz w:val="18"/>
                <w:szCs w:val="18"/>
              </w:rPr>
            </w:pPr>
            <w:r w:rsidRPr="00A2362B">
              <w:rPr>
                <w:rFonts w:ascii="Arial" w:hAnsi="Arial" w:cs="Arial"/>
                <w:b/>
                <w:bCs/>
                <w:sz w:val="18"/>
                <w:szCs w:val="18"/>
              </w:rPr>
              <w:t xml:space="preserve">Identified as priority to address the impact of the transition by the stakeholders and from the trends analysis and </w:t>
            </w:r>
            <w:r w:rsidR="00E32FE2">
              <w:rPr>
                <w:rFonts w:ascii="Arial" w:hAnsi="Arial" w:cs="Arial"/>
                <w:b/>
                <w:bCs/>
                <w:sz w:val="18"/>
                <w:szCs w:val="18"/>
              </w:rPr>
              <w:t>potentially</w:t>
            </w:r>
            <w:r w:rsidR="00E32FE2" w:rsidRPr="00A2362B">
              <w:rPr>
                <w:rFonts w:ascii="Arial" w:hAnsi="Arial" w:cs="Arial"/>
                <w:b/>
                <w:bCs/>
                <w:sz w:val="18"/>
                <w:szCs w:val="18"/>
              </w:rPr>
              <w:t xml:space="preserve"> </w:t>
            </w:r>
            <w:r w:rsidRPr="00A2362B">
              <w:rPr>
                <w:rFonts w:ascii="Arial" w:hAnsi="Arial" w:cs="Arial"/>
                <w:b/>
                <w:bCs/>
                <w:sz w:val="18"/>
                <w:szCs w:val="18"/>
              </w:rPr>
              <w:t>in scope of the JTF Regulation</w:t>
            </w:r>
          </w:p>
        </w:tc>
        <w:tc>
          <w:tcPr>
            <w:tcW w:w="1549" w:type="pct"/>
            <w:shd w:val="clear" w:color="auto" w:fill="C6D9F1" w:themeFill="text2" w:themeFillTint="33"/>
            <w:tcMar>
              <w:top w:w="100" w:type="dxa"/>
              <w:left w:w="100" w:type="dxa"/>
              <w:bottom w:w="100" w:type="dxa"/>
              <w:right w:w="100" w:type="dxa"/>
            </w:tcMar>
            <w:vAlign w:val="center"/>
          </w:tcPr>
          <w:p w14:paraId="30B7EADC" w14:textId="3D8649B2" w:rsidR="00542C72" w:rsidRPr="00A2362B" w:rsidRDefault="00542C72" w:rsidP="00964831">
            <w:pPr>
              <w:jc w:val="both"/>
              <w:rPr>
                <w:rFonts w:ascii="Arial" w:hAnsi="Arial" w:cs="Arial"/>
                <w:b/>
                <w:bCs/>
                <w:sz w:val="18"/>
                <w:szCs w:val="18"/>
              </w:rPr>
            </w:pPr>
            <w:r w:rsidRPr="00A2362B">
              <w:rPr>
                <w:rFonts w:ascii="Arial" w:hAnsi="Arial" w:cs="Arial"/>
                <w:b/>
                <w:bCs/>
                <w:sz w:val="18"/>
                <w:szCs w:val="18"/>
              </w:rPr>
              <w:t xml:space="preserve">Identified as priority to address the impact of the transition by the stakeholders and from the trends analysis, </w:t>
            </w:r>
            <w:r w:rsidRPr="00190BA4">
              <w:rPr>
                <w:rFonts w:ascii="Arial" w:hAnsi="Arial" w:cs="Arial"/>
                <w:b/>
                <w:bCs/>
                <w:sz w:val="18"/>
                <w:szCs w:val="18"/>
                <w:u w:val="single"/>
              </w:rPr>
              <w:t>not</w:t>
            </w:r>
            <w:r w:rsidRPr="00A2362B">
              <w:rPr>
                <w:rFonts w:ascii="Arial" w:hAnsi="Arial" w:cs="Arial"/>
                <w:b/>
                <w:bCs/>
                <w:sz w:val="18"/>
                <w:szCs w:val="18"/>
              </w:rPr>
              <w:t xml:space="preserve"> in scope of the JTF Regulation</w:t>
            </w:r>
            <w:r w:rsidR="00176E38">
              <w:rPr>
                <w:rFonts w:ascii="Arial" w:hAnsi="Arial" w:cs="Arial"/>
                <w:b/>
                <w:bCs/>
                <w:sz w:val="18"/>
                <w:szCs w:val="18"/>
              </w:rPr>
              <w:t xml:space="preserve"> </w:t>
            </w:r>
            <w:r w:rsidR="00176E38" w:rsidRPr="005C2CA2">
              <w:rPr>
                <w:rFonts w:ascii="Arial" w:hAnsi="Arial" w:cs="Arial"/>
                <w:b/>
                <w:bCs/>
                <w:sz w:val="18"/>
                <w:szCs w:val="18"/>
              </w:rPr>
              <w:t>(</w:t>
            </w:r>
            <w:r w:rsidR="00176E38" w:rsidRPr="003422BA">
              <w:rPr>
                <w:rFonts w:ascii="Arial" w:hAnsi="Arial" w:cs="Arial"/>
                <w:b/>
                <w:bCs/>
                <w:sz w:val="18"/>
                <w:szCs w:val="18"/>
                <w:u w:val="single"/>
              </w:rPr>
              <w:t>therefore to be considered for other funding sources)</w:t>
            </w:r>
          </w:p>
        </w:tc>
        <w:tc>
          <w:tcPr>
            <w:tcW w:w="1097" w:type="pct"/>
            <w:shd w:val="clear" w:color="auto" w:fill="C6D9F1" w:themeFill="text2" w:themeFillTint="33"/>
            <w:tcMar>
              <w:top w:w="100" w:type="dxa"/>
              <w:left w:w="100" w:type="dxa"/>
              <w:bottom w:w="100" w:type="dxa"/>
              <w:right w:w="100" w:type="dxa"/>
            </w:tcMar>
            <w:vAlign w:val="center"/>
          </w:tcPr>
          <w:p w14:paraId="1AB9B917" w14:textId="77777777" w:rsidR="00542C72" w:rsidRPr="00A2362B" w:rsidRDefault="00542C72" w:rsidP="00964831">
            <w:pPr>
              <w:jc w:val="both"/>
              <w:rPr>
                <w:rFonts w:ascii="Arial" w:hAnsi="Arial" w:cs="Arial"/>
                <w:b/>
                <w:bCs/>
                <w:sz w:val="18"/>
                <w:szCs w:val="18"/>
              </w:rPr>
            </w:pPr>
            <w:r w:rsidRPr="00A2362B">
              <w:rPr>
                <w:rFonts w:ascii="Arial" w:hAnsi="Arial" w:cs="Arial"/>
                <w:b/>
                <w:bCs/>
                <w:sz w:val="18"/>
                <w:szCs w:val="18"/>
              </w:rPr>
              <w:t>Consistency of the type of operation with different national, regional, territorial strategies and plans</w:t>
            </w:r>
          </w:p>
        </w:tc>
      </w:tr>
      <w:tr w:rsidR="00542C72" w:rsidRPr="00A2362B" w14:paraId="543D78A1" w14:textId="77777777" w:rsidTr="00A2362B">
        <w:trPr>
          <w:trHeight w:val="20"/>
        </w:trPr>
        <w:tc>
          <w:tcPr>
            <w:tcW w:w="479" w:type="pct"/>
            <w:shd w:val="clear" w:color="auto" w:fill="C6D9F1" w:themeFill="text2" w:themeFillTint="33"/>
            <w:tcMar>
              <w:top w:w="100" w:type="dxa"/>
              <w:left w:w="100" w:type="dxa"/>
              <w:bottom w:w="100" w:type="dxa"/>
              <w:right w:w="100" w:type="dxa"/>
            </w:tcMar>
          </w:tcPr>
          <w:p w14:paraId="76A486E6" w14:textId="77777777" w:rsidR="00542C72" w:rsidRPr="00A2362B" w:rsidRDefault="00542C72" w:rsidP="00964831">
            <w:pPr>
              <w:jc w:val="both"/>
              <w:rPr>
                <w:rFonts w:ascii="Arial" w:hAnsi="Arial" w:cs="Arial"/>
                <w:sz w:val="18"/>
                <w:szCs w:val="18"/>
                <w:highlight w:val="white"/>
              </w:rPr>
            </w:pPr>
            <w:r w:rsidRPr="00A2362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20D82E3A" w14:textId="77777777" w:rsidR="00542C72" w:rsidRPr="002A3576" w:rsidRDefault="00542C72" w:rsidP="00964831">
            <w:pPr>
              <w:rPr>
                <w:rFonts w:ascii="Arial" w:eastAsia="Arial Narrow" w:hAnsi="Arial" w:cs="Arial"/>
                <w:b/>
                <w:sz w:val="18"/>
                <w:szCs w:val="18"/>
              </w:rPr>
            </w:pPr>
            <w:r w:rsidRPr="002A3576">
              <w:rPr>
                <w:rFonts w:ascii="Arial" w:eastAsia="Arial Narrow" w:hAnsi="Arial" w:cs="Arial"/>
                <w:b/>
                <w:sz w:val="18"/>
                <w:szCs w:val="18"/>
              </w:rPr>
              <w:t>Type 1: Increasing competitiveness and economic diversification, research, innovation and digitalisation</w:t>
            </w:r>
          </w:p>
          <w:p w14:paraId="20722689" w14:textId="77777777" w:rsidR="00542C72" w:rsidRPr="00A2362B" w:rsidRDefault="00542C72" w:rsidP="00964831">
            <w:pPr>
              <w:rPr>
                <w:rFonts w:ascii="Arial" w:eastAsia="Arial Narrow" w:hAnsi="Arial" w:cs="Arial"/>
                <w:sz w:val="18"/>
                <w:szCs w:val="18"/>
                <w:highlight w:val="white"/>
              </w:rPr>
            </w:pPr>
          </w:p>
          <w:p w14:paraId="563D29D7" w14:textId="396DCDD2" w:rsidR="00542C72" w:rsidRPr="00A2362B" w:rsidRDefault="00542C72" w:rsidP="00542C72">
            <w:pPr>
              <w:pStyle w:val="ListParagraph"/>
              <w:numPr>
                <w:ilvl w:val="0"/>
                <w:numId w:val="81"/>
              </w:numPr>
              <w:spacing w:line="240" w:lineRule="auto"/>
              <w:ind w:left="360"/>
              <w:jc w:val="both"/>
              <w:rPr>
                <w:rFonts w:eastAsia="Arial Narrow"/>
                <w:sz w:val="18"/>
                <w:szCs w:val="18"/>
              </w:rPr>
            </w:pPr>
            <w:r w:rsidRPr="00A2362B">
              <w:rPr>
                <w:rFonts w:eastAsia="Arial Narrow"/>
                <w:sz w:val="18"/>
                <w:szCs w:val="18"/>
              </w:rPr>
              <w:t>Financing and acceleration p</w:t>
            </w:r>
            <w:r w:rsidR="00D206E5">
              <w:rPr>
                <w:rFonts w:eastAsia="Arial Narrow"/>
                <w:sz w:val="18"/>
                <w:szCs w:val="18"/>
              </w:rPr>
              <w:t>rogrammes</w:t>
            </w:r>
            <w:r w:rsidRPr="00A2362B">
              <w:rPr>
                <w:rFonts w:eastAsia="Arial Narrow"/>
                <w:sz w:val="18"/>
                <w:szCs w:val="18"/>
              </w:rPr>
              <w:t xml:space="preserve"> (support for internationalisation/access to new markets, business model development, refurbishment / digiti</w:t>
            </w:r>
            <w:r w:rsidR="003173A1" w:rsidRPr="00A2362B">
              <w:rPr>
                <w:rFonts w:eastAsia="Arial Narrow"/>
                <w:sz w:val="18"/>
                <w:szCs w:val="18"/>
              </w:rPr>
              <w:t>s</w:t>
            </w:r>
            <w:r w:rsidRPr="00A2362B">
              <w:rPr>
                <w:rFonts w:eastAsia="Arial Narrow"/>
                <w:sz w:val="18"/>
                <w:szCs w:val="18"/>
              </w:rPr>
              <w:t>ation, etc.) for the SME sector</w:t>
            </w:r>
          </w:p>
          <w:p w14:paraId="037AEF4E" w14:textId="77777777" w:rsidR="00542C72" w:rsidRPr="00A2362B" w:rsidRDefault="00542C72" w:rsidP="00542C72">
            <w:pPr>
              <w:pStyle w:val="ListParagraph"/>
              <w:numPr>
                <w:ilvl w:val="0"/>
                <w:numId w:val="81"/>
              </w:numPr>
              <w:spacing w:line="240" w:lineRule="auto"/>
              <w:jc w:val="both"/>
              <w:rPr>
                <w:rFonts w:eastAsia="Arial Narrow"/>
                <w:sz w:val="18"/>
                <w:szCs w:val="18"/>
              </w:rPr>
            </w:pPr>
            <w:r w:rsidRPr="00A2362B">
              <w:rPr>
                <w:rFonts w:eastAsia="Arial Narrow"/>
                <w:sz w:val="18"/>
                <w:szCs w:val="18"/>
              </w:rPr>
              <w:t>developing/diversifying the activities of the existing SMEs in innovative, creative and sustainable sectors oriented towards, innovative new technologies, energy</w:t>
            </w:r>
          </w:p>
          <w:p w14:paraId="1E3B40C8" w14:textId="77777777" w:rsidR="00542C72" w:rsidRPr="00A2362B" w:rsidRDefault="00542C72" w:rsidP="00542C72">
            <w:pPr>
              <w:pStyle w:val="ListParagraph"/>
              <w:numPr>
                <w:ilvl w:val="0"/>
                <w:numId w:val="81"/>
              </w:numPr>
              <w:spacing w:line="240" w:lineRule="auto"/>
              <w:ind w:left="360"/>
              <w:jc w:val="both"/>
              <w:rPr>
                <w:rFonts w:eastAsia="Arial Narrow"/>
                <w:sz w:val="18"/>
                <w:szCs w:val="18"/>
              </w:rPr>
            </w:pPr>
            <w:r w:rsidRPr="00A2362B">
              <w:rPr>
                <w:rFonts w:eastAsia="Arial Narrow"/>
                <w:sz w:val="18"/>
                <w:szCs w:val="18"/>
              </w:rPr>
              <w:t>Increasing competitiveness and adopting new areas of research and qualification of higher education</w:t>
            </w:r>
          </w:p>
        </w:tc>
        <w:tc>
          <w:tcPr>
            <w:tcW w:w="1549" w:type="pct"/>
            <w:shd w:val="clear" w:color="auto" w:fill="D9D9D9" w:themeFill="background1" w:themeFillShade="D9"/>
            <w:tcMar>
              <w:top w:w="100" w:type="dxa"/>
              <w:left w:w="100" w:type="dxa"/>
              <w:bottom w:w="100" w:type="dxa"/>
              <w:right w:w="100" w:type="dxa"/>
            </w:tcMar>
          </w:tcPr>
          <w:p w14:paraId="6230EA08" w14:textId="77777777" w:rsidR="00542C72" w:rsidRPr="00A2362B" w:rsidRDefault="00542C72" w:rsidP="00964831">
            <w:pPr>
              <w:pStyle w:val="ListParagraph"/>
              <w:spacing w:line="240" w:lineRule="auto"/>
              <w:ind w:left="360"/>
              <w:rPr>
                <w:sz w:val="18"/>
                <w:szCs w:val="18"/>
                <w:highlight w:val="white"/>
              </w:rPr>
            </w:pPr>
          </w:p>
        </w:tc>
        <w:tc>
          <w:tcPr>
            <w:tcW w:w="1097" w:type="pct"/>
            <w:shd w:val="clear" w:color="auto" w:fill="D9D9D9" w:themeFill="background1" w:themeFillShade="D9"/>
            <w:tcMar>
              <w:top w:w="100" w:type="dxa"/>
              <w:left w:w="100" w:type="dxa"/>
              <w:bottom w:w="100" w:type="dxa"/>
              <w:right w:w="100" w:type="dxa"/>
            </w:tcMar>
          </w:tcPr>
          <w:p w14:paraId="098F29A6" w14:textId="77777777" w:rsidR="00542C72" w:rsidRPr="00A2362B" w:rsidRDefault="00542C72" w:rsidP="00964831">
            <w:pPr>
              <w:pStyle w:val="ListParagraph"/>
              <w:spacing w:line="240" w:lineRule="auto"/>
              <w:ind w:left="360"/>
              <w:rPr>
                <w:sz w:val="18"/>
                <w:szCs w:val="18"/>
                <w:highlight w:val="white"/>
              </w:rPr>
            </w:pPr>
          </w:p>
        </w:tc>
      </w:tr>
      <w:tr w:rsidR="00542C72" w:rsidRPr="00A2362B" w14:paraId="4E1B2059"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5549A296"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04EF3621" w14:textId="77777777" w:rsidR="00542C72" w:rsidRPr="00A2362B" w:rsidRDefault="00542C72" w:rsidP="00542C72">
            <w:pPr>
              <w:pStyle w:val="ListParagraph"/>
              <w:numPr>
                <w:ilvl w:val="0"/>
                <w:numId w:val="78"/>
              </w:numPr>
              <w:spacing w:line="240" w:lineRule="auto"/>
              <w:rPr>
                <w:b/>
                <w:sz w:val="18"/>
                <w:szCs w:val="18"/>
              </w:rPr>
            </w:pPr>
            <w:r w:rsidRPr="00A2362B">
              <w:rPr>
                <w:rFonts w:eastAsia="Arial Narrow"/>
                <w:sz w:val="18"/>
                <w:szCs w:val="18"/>
              </w:rPr>
              <w:t>Business support infrastructure, in particular for knowledge intensive services</w:t>
            </w:r>
          </w:p>
        </w:tc>
        <w:tc>
          <w:tcPr>
            <w:tcW w:w="1549" w:type="pct"/>
            <w:shd w:val="clear" w:color="auto" w:fill="D9D9D9" w:themeFill="background1" w:themeFillShade="D9"/>
            <w:tcMar>
              <w:top w:w="100" w:type="dxa"/>
              <w:left w:w="100" w:type="dxa"/>
              <w:bottom w:w="100" w:type="dxa"/>
              <w:right w:w="100" w:type="dxa"/>
            </w:tcMar>
          </w:tcPr>
          <w:p w14:paraId="67FC3719" w14:textId="77777777" w:rsidR="00542C72" w:rsidRPr="00A2362B" w:rsidRDefault="00542C72" w:rsidP="00964831">
            <w:pPr>
              <w:pStyle w:val="ListParagraph"/>
              <w:spacing w:before="240" w:after="60"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51DAB33E" w14:textId="77777777" w:rsidR="00542C72" w:rsidRPr="00A2362B" w:rsidRDefault="00542C72" w:rsidP="00964831">
            <w:pPr>
              <w:pStyle w:val="ListParagraph"/>
              <w:spacing w:line="240" w:lineRule="auto"/>
              <w:ind w:left="360"/>
              <w:rPr>
                <w:sz w:val="18"/>
                <w:szCs w:val="18"/>
              </w:rPr>
            </w:pPr>
          </w:p>
        </w:tc>
      </w:tr>
      <w:tr w:rsidR="00542C72" w:rsidRPr="00A2362B" w14:paraId="274B7327"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01B4D379"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112173F8" w14:textId="77777777" w:rsidR="00542C72" w:rsidRPr="00A2362B" w:rsidRDefault="00542C72" w:rsidP="00542C72">
            <w:pPr>
              <w:pStyle w:val="ListParagraph"/>
              <w:numPr>
                <w:ilvl w:val="0"/>
                <w:numId w:val="82"/>
              </w:numPr>
              <w:spacing w:line="240" w:lineRule="auto"/>
              <w:rPr>
                <w:sz w:val="18"/>
                <w:szCs w:val="18"/>
              </w:rPr>
            </w:pPr>
            <w:r w:rsidRPr="00A2362B">
              <w:rPr>
                <w:rFonts w:eastAsia="Arial Narrow"/>
                <w:sz w:val="18"/>
                <w:szCs w:val="18"/>
              </w:rPr>
              <w:t>Digitisation for the public sector</w:t>
            </w:r>
          </w:p>
        </w:tc>
        <w:tc>
          <w:tcPr>
            <w:tcW w:w="1549" w:type="pct"/>
            <w:shd w:val="clear" w:color="auto" w:fill="D9D9D9" w:themeFill="background1" w:themeFillShade="D9"/>
            <w:tcMar>
              <w:top w:w="100" w:type="dxa"/>
              <w:left w:w="100" w:type="dxa"/>
              <w:bottom w:w="100" w:type="dxa"/>
              <w:right w:w="100" w:type="dxa"/>
            </w:tcMar>
          </w:tcPr>
          <w:p w14:paraId="4B6AAE9D" w14:textId="77777777" w:rsidR="00542C72" w:rsidRPr="00A2362B" w:rsidRDefault="00542C72"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56B98C62" w14:textId="77777777" w:rsidR="00542C72" w:rsidRPr="00A2362B" w:rsidRDefault="00542C72" w:rsidP="00964831">
            <w:pPr>
              <w:rPr>
                <w:rFonts w:ascii="Arial" w:hAnsi="Arial" w:cs="Arial"/>
                <w:sz w:val="18"/>
                <w:szCs w:val="18"/>
              </w:rPr>
            </w:pPr>
          </w:p>
        </w:tc>
      </w:tr>
      <w:tr w:rsidR="00542C72" w:rsidRPr="00A2362B" w14:paraId="5F9D47E1"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148D7A0F"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12905197" w14:textId="77777777" w:rsidR="00542C72" w:rsidRPr="002A3576" w:rsidRDefault="00542C72" w:rsidP="00964831">
            <w:pPr>
              <w:rPr>
                <w:rFonts w:ascii="Arial" w:eastAsia="Arial Narrow" w:hAnsi="Arial" w:cs="Arial"/>
                <w:b/>
                <w:sz w:val="18"/>
                <w:szCs w:val="18"/>
              </w:rPr>
            </w:pPr>
            <w:r w:rsidRPr="002A3576">
              <w:rPr>
                <w:rFonts w:ascii="Arial" w:eastAsia="Arial Narrow" w:hAnsi="Arial" w:cs="Arial"/>
                <w:b/>
                <w:sz w:val="18"/>
                <w:szCs w:val="18"/>
              </w:rPr>
              <w:t>Type 2: Supporting investments in energy infrastructure and clean energy technology</w:t>
            </w:r>
          </w:p>
          <w:p w14:paraId="4596D3EA" w14:textId="77777777" w:rsidR="00542C72" w:rsidRPr="00A2362B" w:rsidRDefault="00542C72" w:rsidP="00964831">
            <w:pPr>
              <w:rPr>
                <w:rFonts w:ascii="Arial" w:eastAsia="Arial Narrow" w:hAnsi="Arial" w:cs="Arial"/>
                <w:b/>
                <w:sz w:val="18"/>
                <w:szCs w:val="18"/>
              </w:rPr>
            </w:pPr>
          </w:p>
          <w:p w14:paraId="464C8B7A" w14:textId="77777777" w:rsidR="00542C72" w:rsidRPr="00A2362B" w:rsidRDefault="00542C72" w:rsidP="00542C72">
            <w:pPr>
              <w:pStyle w:val="ListParagraph"/>
              <w:numPr>
                <w:ilvl w:val="0"/>
                <w:numId w:val="79"/>
              </w:numPr>
              <w:spacing w:line="240" w:lineRule="auto"/>
              <w:rPr>
                <w:rFonts w:eastAsia="Arial Narrow"/>
                <w:sz w:val="18"/>
                <w:szCs w:val="18"/>
              </w:rPr>
            </w:pPr>
            <w:r w:rsidRPr="00A2362B">
              <w:rPr>
                <w:rFonts w:eastAsia="Arial Narrow"/>
                <w:sz w:val="18"/>
                <w:szCs w:val="18"/>
              </w:rPr>
              <w:t>Decontamination and functional reconversion of polluted and decommissioned sites through integrated urban regeneration projects</w:t>
            </w:r>
          </w:p>
          <w:p w14:paraId="018FAE80" w14:textId="77777777" w:rsidR="00542C72" w:rsidRPr="00A2362B" w:rsidRDefault="00542C72" w:rsidP="00542C72">
            <w:pPr>
              <w:pStyle w:val="ListParagraph"/>
              <w:numPr>
                <w:ilvl w:val="0"/>
                <w:numId w:val="79"/>
              </w:numPr>
              <w:spacing w:line="240" w:lineRule="auto"/>
              <w:rPr>
                <w:rFonts w:eastAsia="Arial Narrow"/>
                <w:sz w:val="18"/>
                <w:szCs w:val="18"/>
              </w:rPr>
            </w:pPr>
            <w:r w:rsidRPr="00A2362B">
              <w:rPr>
                <w:rFonts w:eastAsia="Arial Narrow"/>
                <w:sz w:val="18"/>
                <w:szCs w:val="18"/>
              </w:rPr>
              <w:t>Technological upgrading to reduce pollution and carbon emissions (large enterprises and SMEs)</w:t>
            </w:r>
          </w:p>
          <w:p w14:paraId="00261C8D" w14:textId="4EDB562E" w:rsidR="00542C72" w:rsidRPr="00A2362B" w:rsidRDefault="00542C72" w:rsidP="00542C72">
            <w:pPr>
              <w:pStyle w:val="ListParagraph"/>
              <w:numPr>
                <w:ilvl w:val="0"/>
                <w:numId w:val="79"/>
              </w:numPr>
              <w:spacing w:line="240" w:lineRule="auto"/>
              <w:rPr>
                <w:rFonts w:eastAsia="Arial Narrow"/>
                <w:sz w:val="18"/>
                <w:szCs w:val="18"/>
              </w:rPr>
            </w:pPr>
            <w:r w:rsidRPr="00A2362B">
              <w:rPr>
                <w:rFonts w:eastAsia="Arial Narrow"/>
                <w:sz w:val="18"/>
                <w:szCs w:val="18"/>
              </w:rPr>
              <w:t>Diversification of the output of an establishment into products not previously produced in the establishment or for a fundamental change in the overall production process of the product(s) concerned by the investment in the establishment (for large enterprises)</w:t>
            </w:r>
            <w:r w:rsidRPr="00A2362B">
              <w:rPr>
                <w:sz w:val="18"/>
                <w:szCs w:val="18"/>
              </w:rPr>
              <w:t xml:space="preserve"> </w:t>
            </w:r>
            <w:r w:rsidRPr="00A2362B">
              <w:rPr>
                <w:rFonts w:eastAsia="Arial Narrow"/>
                <w:sz w:val="18"/>
                <w:szCs w:val="18"/>
              </w:rPr>
              <w:t xml:space="preserve">(i.e. an </w:t>
            </w:r>
            <w:r w:rsidRPr="00A2362B">
              <w:rPr>
                <w:rFonts w:eastAsia="Arial Narrow"/>
                <w:sz w:val="18"/>
                <w:szCs w:val="18"/>
              </w:rPr>
              <w:lastRenderedPageBreak/>
              <w:t>installation processing residual oils, sustainable vegetable oils/energy crops etc.),</w:t>
            </w:r>
          </w:p>
        </w:tc>
        <w:tc>
          <w:tcPr>
            <w:tcW w:w="1549" w:type="pct"/>
            <w:shd w:val="clear" w:color="auto" w:fill="D9D9D9" w:themeFill="background1" w:themeFillShade="D9"/>
            <w:tcMar>
              <w:top w:w="100" w:type="dxa"/>
              <w:left w:w="100" w:type="dxa"/>
              <w:bottom w:w="100" w:type="dxa"/>
              <w:right w:w="100" w:type="dxa"/>
            </w:tcMar>
          </w:tcPr>
          <w:p w14:paraId="5121FB9B" w14:textId="77777777" w:rsidR="00542C72" w:rsidRPr="00A2362B" w:rsidRDefault="00542C72" w:rsidP="00964831">
            <w:pPr>
              <w:rPr>
                <w:rFonts w:ascii="Arial" w:hAnsi="Arial" w:cs="Arial"/>
                <w:sz w:val="18"/>
                <w:szCs w:val="18"/>
              </w:rPr>
            </w:pPr>
          </w:p>
        </w:tc>
        <w:tc>
          <w:tcPr>
            <w:tcW w:w="1097" w:type="pct"/>
            <w:shd w:val="clear" w:color="auto" w:fill="auto"/>
            <w:tcMar>
              <w:top w:w="100" w:type="dxa"/>
              <w:left w:w="100" w:type="dxa"/>
              <w:bottom w:w="100" w:type="dxa"/>
              <w:right w:w="100" w:type="dxa"/>
            </w:tcMar>
          </w:tcPr>
          <w:p w14:paraId="1FBE38FF" w14:textId="77777777" w:rsidR="00542C72" w:rsidRPr="00A2362B" w:rsidRDefault="00542C72" w:rsidP="00542C72">
            <w:pPr>
              <w:pStyle w:val="ListParagraph"/>
              <w:numPr>
                <w:ilvl w:val="0"/>
                <w:numId w:val="79"/>
              </w:numPr>
              <w:spacing w:line="240" w:lineRule="auto"/>
              <w:rPr>
                <w:sz w:val="18"/>
                <w:szCs w:val="18"/>
              </w:rPr>
            </w:pPr>
            <w:r w:rsidRPr="00A2362B">
              <w:rPr>
                <w:rFonts w:eastAsia="Arial Narrow"/>
                <w:sz w:val="18"/>
                <w:szCs w:val="18"/>
                <w:highlight w:val="white"/>
              </w:rPr>
              <w:t>SDOP Priority 3. Environmental protection through biodiversity conservation, air quality assurance and remediation of contaminated sites / Categories of interventions 3.3 Preliminary and detailed investigation of contaminated sites, assessment environmental risks and remediation of sites</w:t>
            </w:r>
          </w:p>
        </w:tc>
      </w:tr>
      <w:tr w:rsidR="00542C72" w:rsidRPr="00A2362B" w14:paraId="4234D90C"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2FDB7A40"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11EDB83A" w14:textId="77777777" w:rsidR="00542C72" w:rsidRPr="00A2362B" w:rsidRDefault="00542C72" w:rsidP="00542C72">
            <w:pPr>
              <w:pStyle w:val="ListParagraph"/>
              <w:numPr>
                <w:ilvl w:val="0"/>
                <w:numId w:val="83"/>
              </w:numPr>
              <w:spacing w:line="240" w:lineRule="auto"/>
              <w:rPr>
                <w:rFonts w:eastAsia="Arial Narrow"/>
                <w:sz w:val="18"/>
                <w:szCs w:val="18"/>
              </w:rPr>
            </w:pPr>
            <w:r w:rsidRPr="00A2362B">
              <w:rPr>
                <w:rFonts w:eastAsia="Arial Narrow"/>
                <w:sz w:val="18"/>
                <w:szCs w:val="18"/>
              </w:rPr>
              <w:t>Promoting sustainable urban mobility solutions: green public transport, infrastructure to promote pedestrian and cycling mobility, stimulating green logistics solutions</w:t>
            </w:r>
          </w:p>
          <w:p w14:paraId="67C14DC7" w14:textId="77777777" w:rsidR="00542C72" w:rsidRPr="00A2362B" w:rsidRDefault="00542C72" w:rsidP="00542C72">
            <w:pPr>
              <w:pStyle w:val="ListParagraph"/>
              <w:numPr>
                <w:ilvl w:val="0"/>
                <w:numId w:val="83"/>
              </w:numPr>
              <w:spacing w:line="240" w:lineRule="auto"/>
              <w:rPr>
                <w:rFonts w:eastAsia="Arial Narrow"/>
                <w:b/>
                <w:sz w:val="18"/>
                <w:szCs w:val="18"/>
              </w:rPr>
            </w:pPr>
            <w:r w:rsidRPr="00A2362B">
              <w:rPr>
                <w:rFonts w:eastAsia="Arial Narrow"/>
                <w:sz w:val="18"/>
                <w:szCs w:val="18"/>
              </w:rPr>
              <w:t>Energy efficiency of public buildings (including public housing stock)</w:t>
            </w:r>
          </w:p>
        </w:tc>
        <w:tc>
          <w:tcPr>
            <w:tcW w:w="1549" w:type="pct"/>
            <w:shd w:val="clear" w:color="auto" w:fill="auto"/>
            <w:tcMar>
              <w:top w:w="100" w:type="dxa"/>
              <w:left w:w="100" w:type="dxa"/>
              <w:bottom w:w="100" w:type="dxa"/>
              <w:right w:w="100" w:type="dxa"/>
            </w:tcMar>
          </w:tcPr>
          <w:p w14:paraId="7DD1BAC8" w14:textId="2A3C9346" w:rsidR="00542C72" w:rsidRPr="00A2362B" w:rsidRDefault="00542C72" w:rsidP="00542C72">
            <w:pPr>
              <w:pStyle w:val="ListParagraph"/>
              <w:numPr>
                <w:ilvl w:val="0"/>
                <w:numId w:val="83"/>
              </w:numPr>
              <w:spacing w:line="240" w:lineRule="auto"/>
              <w:rPr>
                <w:sz w:val="18"/>
                <w:szCs w:val="18"/>
              </w:rPr>
            </w:pPr>
            <w:r w:rsidRPr="00A2362B">
              <w:rPr>
                <w:rFonts w:eastAsia="Arial Narrow"/>
                <w:sz w:val="18"/>
                <w:szCs w:val="18"/>
              </w:rPr>
              <w:t>Air quality monitoring solutions, prevention p</w:t>
            </w:r>
            <w:r w:rsidR="00D206E5">
              <w:rPr>
                <w:rFonts w:eastAsia="Arial Narrow"/>
                <w:sz w:val="18"/>
                <w:szCs w:val="18"/>
              </w:rPr>
              <w:t>rogrammes</w:t>
            </w:r>
            <w:r w:rsidRPr="00A2362B">
              <w:rPr>
                <w:rFonts w:eastAsia="Arial Narrow"/>
                <w:sz w:val="18"/>
                <w:szCs w:val="18"/>
              </w:rPr>
              <w:t>, reconstruction of ecosystems to mitigate air pollution</w:t>
            </w:r>
          </w:p>
        </w:tc>
        <w:tc>
          <w:tcPr>
            <w:tcW w:w="1097" w:type="pct"/>
            <w:shd w:val="clear" w:color="auto" w:fill="D9D9D9" w:themeFill="background1" w:themeFillShade="D9"/>
            <w:tcMar>
              <w:top w:w="100" w:type="dxa"/>
              <w:left w:w="100" w:type="dxa"/>
              <w:bottom w:w="100" w:type="dxa"/>
              <w:right w:w="100" w:type="dxa"/>
            </w:tcMar>
          </w:tcPr>
          <w:p w14:paraId="71F795A5" w14:textId="77777777" w:rsidR="00542C72" w:rsidRPr="00A2362B" w:rsidRDefault="00542C72" w:rsidP="00964831">
            <w:pPr>
              <w:pStyle w:val="ListParagraph"/>
              <w:spacing w:line="240" w:lineRule="auto"/>
              <w:ind w:left="360"/>
              <w:rPr>
                <w:rFonts w:eastAsia="Arial Narrow"/>
                <w:sz w:val="18"/>
                <w:szCs w:val="18"/>
                <w:highlight w:val="white"/>
              </w:rPr>
            </w:pPr>
          </w:p>
        </w:tc>
      </w:tr>
      <w:tr w:rsidR="00542C72" w:rsidRPr="00A2362B" w14:paraId="0FB8B877"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00776FD0"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010938DC" w14:textId="7400435F" w:rsidR="00542C72" w:rsidRPr="00A2362B" w:rsidRDefault="00542C72" w:rsidP="00542C72">
            <w:pPr>
              <w:pStyle w:val="ListParagraph"/>
              <w:numPr>
                <w:ilvl w:val="0"/>
                <w:numId w:val="83"/>
              </w:numPr>
              <w:spacing w:line="240" w:lineRule="auto"/>
              <w:rPr>
                <w:rFonts w:eastAsia="Arial Narrow"/>
                <w:sz w:val="18"/>
                <w:szCs w:val="18"/>
              </w:rPr>
            </w:pPr>
            <w:r w:rsidRPr="00A2362B">
              <w:rPr>
                <w:rFonts w:eastAsia="Arial Narrow"/>
                <w:sz w:val="18"/>
                <w:szCs w:val="18"/>
              </w:rPr>
              <w:t>Financial and technical support p</w:t>
            </w:r>
            <w:r w:rsidR="00D206E5">
              <w:rPr>
                <w:rFonts w:eastAsia="Arial Narrow"/>
                <w:sz w:val="18"/>
                <w:szCs w:val="18"/>
              </w:rPr>
              <w:t>rogrammes</w:t>
            </w:r>
            <w:r w:rsidRPr="00A2362B">
              <w:rPr>
                <w:rFonts w:eastAsia="Arial Narrow"/>
                <w:sz w:val="18"/>
                <w:szCs w:val="18"/>
              </w:rPr>
              <w:t xml:space="preserve"> to support the transition of enterprises to RES (including the development of RES production capacities and energy efficiency)</w:t>
            </w:r>
          </w:p>
        </w:tc>
        <w:tc>
          <w:tcPr>
            <w:tcW w:w="1549" w:type="pct"/>
            <w:shd w:val="clear" w:color="auto" w:fill="D9D9D9" w:themeFill="background1" w:themeFillShade="D9"/>
            <w:tcMar>
              <w:top w:w="100" w:type="dxa"/>
              <w:left w:w="100" w:type="dxa"/>
              <w:bottom w:w="100" w:type="dxa"/>
              <w:right w:w="100" w:type="dxa"/>
            </w:tcMar>
          </w:tcPr>
          <w:p w14:paraId="59D70F89" w14:textId="77777777" w:rsidR="00542C72" w:rsidRPr="00A2362B" w:rsidRDefault="00542C72" w:rsidP="00964831">
            <w:pPr>
              <w:pStyle w:val="ListParagraph"/>
              <w:spacing w:line="240" w:lineRule="auto"/>
              <w:ind w:left="360"/>
              <w:rPr>
                <w:sz w:val="18"/>
                <w:szCs w:val="18"/>
              </w:rPr>
            </w:pPr>
          </w:p>
        </w:tc>
        <w:tc>
          <w:tcPr>
            <w:tcW w:w="1097" w:type="pct"/>
            <w:shd w:val="clear" w:color="auto" w:fill="auto"/>
            <w:tcMar>
              <w:top w:w="100" w:type="dxa"/>
              <w:left w:w="100" w:type="dxa"/>
              <w:bottom w:w="100" w:type="dxa"/>
              <w:right w:w="100" w:type="dxa"/>
            </w:tcMar>
          </w:tcPr>
          <w:p w14:paraId="2A7BE847" w14:textId="3D4EF8B6" w:rsidR="00542C72" w:rsidRPr="00A2362B" w:rsidRDefault="00542C72" w:rsidP="00542C72">
            <w:pPr>
              <w:pStyle w:val="ListParagraph"/>
              <w:numPr>
                <w:ilvl w:val="0"/>
                <w:numId w:val="79"/>
              </w:numPr>
              <w:spacing w:line="240" w:lineRule="auto"/>
              <w:rPr>
                <w:rFonts w:eastAsia="Arial Narrow"/>
                <w:sz w:val="18"/>
                <w:szCs w:val="18"/>
                <w:highlight w:val="white"/>
              </w:rPr>
            </w:pPr>
            <w:r w:rsidRPr="00A2362B">
              <w:rPr>
                <w:rFonts w:eastAsia="Arial Narrow"/>
                <w:sz w:val="18"/>
                <w:szCs w:val="18"/>
                <w:highlight w:val="white"/>
              </w:rPr>
              <w:t xml:space="preserve">SDOP </w:t>
            </w:r>
            <w:r w:rsidR="00FF34FD" w:rsidRPr="00A2362B">
              <w:rPr>
                <w:rFonts w:eastAsia="Arial Narrow"/>
                <w:sz w:val="18"/>
                <w:szCs w:val="18"/>
                <w:highlight w:val="white"/>
              </w:rPr>
              <w:t>–</w:t>
            </w:r>
            <w:r w:rsidRPr="00A2362B">
              <w:rPr>
                <w:rFonts w:eastAsia="Arial Narrow"/>
                <w:sz w:val="18"/>
                <w:szCs w:val="18"/>
                <w:highlight w:val="white"/>
              </w:rPr>
              <w:t xml:space="preserve"> Priority 1- Promoting energy efficiency, systems and networks smart energy and storage solutions / Investment categories:</w:t>
            </w:r>
          </w:p>
          <w:p w14:paraId="6E8AAD6D" w14:textId="77777777" w:rsidR="00542C72" w:rsidRPr="00A2362B" w:rsidRDefault="00542C72" w:rsidP="00964831">
            <w:pPr>
              <w:rPr>
                <w:rFonts w:ascii="Arial" w:eastAsia="Arial Narrow" w:hAnsi="Arial" w:cs="Arial"/>
                <w:sz w:val="18"/>
                <w:szCs w:val="18"/>
                <w:highlight w:val="white"/>
              </w:rPr>
            </w:pPr>
          </w:p>
          <w:p w14:paraId="592C334B" w14:textId="77777777" w:rsidR="00542C72" w:rsidRPr="00A2362B" w:rsidRDefault="00542C72" w:rsidP="00964831">
            <w:pPr>
              <w:rPr>
                <w:rFonts w:ascii="Arial" w:eastAsia="Arial Narrow" w:hAnsi="Arial" w:cs="Arial"/>
                <w:sz w:val="18"/>
                <w:szCs w:val="18"/>
                <w:highlight w:val="white"/>
              </w:rPr>
            </w:pPr>
            <w:r w:rsidRPr="00A2362B">
              <w:rPr>
                <w:rFonts w:ascii="Arial" w:eastAsia="Arial Narrow" w:hAnsi="Arial" w:cs="Arial"/>
                <w:sz w:val="18"/>
                <w:szCs w:val="18"/>
                <w:highlight w:val="white"/>
              </w:rPr>
              <w:t>1.1 Improving the energy efficiency of SMEs and large businesses</w:t>
            </w:r>
            <w:r w:rsidRPr="00A2362B">
              <w:rPr>
                <w:rStyle w:val="FootnoteReference"/>
                <w:rFonts w:ascii="Arial" w:eastAsia="Arial Narrow" w:hAnsi="Arial" w:cs="Arial"/>
                <w:sz w:val="18"/>
                <w:szCs w:val="18"/>
                <w:highlight w:val="white"/>
              </w:rPr>
              <w:footnoteReference w:id="119"/>
            </w:r>
          </w:p>
        </w:tc>
      </w:tr>
      <w:tr w:rsidR="00542C72" w:rsidRPr="00A2362B" w14:paraId="14EE7671"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3C895624" w14:textId="77777777" w:rsidR="00542C72" w:rsidRPr="00A2362B" w:rsidRDefault="00542C72" w:rsidP="00964831">
            <w:pPr>
              <w:jc w:val="both"/>
              <w:rPr>
                <w:rFonts w:ascii="Arial" w:hAnsi="Arial" w:cs="Arial"/>
                <w:sz w:val="18"/>
                <w:szCs w:val="18"/>
              </w:rPr>
            </w:pPr>
          </w:p>
        </w:tc>
        <w:tc>
          <w:tcPr>
            <w:tcW w:w="1875" w:type="pct"/>
            <w:shd w:val="clear" w:color="auto" w:fill="D9D9D9" w:themeFill="background1" w:themeFillShade="D9"/>
            <w:tcMar>
              <w:top w:w="100" w:type="dxa"/>
              <w:left w:w="100" w:type="dxa"/>
              <w:bottom w:w="100" w:type="dxa"/>
              <w:right w:w="100" w:type="dxa"/>
            </w:tcMar>
          </w:tcPr>
          <w:p w14:paraId="7BBA83A8" w14:textId="77777777" w:rsidR="00542C72" w:rsidRPr="00A2362B" w:rsidRDefault="00542C72" w:rsidP="00964831">
            <w:pPr>
              <w:pStyle w:val="ListParagraph"/>
              <w:spacing w:line="240" w:lineRule="auto"/>
              <w:ind w:left="360"/>
              <w:rPr>
                <w:rFonts w:eastAsia="Arial Narrow"/>
                <w:sz w:val="18"/>
                <w:szCs w:val="18"/>
              </w:rPr>
            </w:pPr>
          </w:p>
        </w:tc>
        <w:tc>
          <w:tcPr>
            <w:tcW w:w="1549" w:type="pct"/>
            <w:shd w:val="clear" w:color="auto" w:fill="D9D9D9" w:themeFill="background1" w:themeFillShade="D9"/>
            <w:tcMar>
              <w:top w:w="100" w:type="dxa"/>
              <w:left w:w="100" w:type="dxa"/>
              <w:bottom w:w="100" w:type="dxa"/>
              <w:right w:w="100" w:type="dxa"/>
            </w:tcMar>
          </w:tcPr>
          <w:p w14:paraId="3D59C967" w14:textId="77777777" w:rsidR="00542C72" w:rsidRPr="00A2362B" w:rsidRDefault="00542C72" w:rsidP="00A2362B">
            <w:pPr>
              <w:pStyle w:val="ListParagraph"/>
              <w:spacing w:line="240" w:lineRule="auto"/>
              <w:ind w:left="360"/>
              <w:rPr>
                <w:sz w:val="18"/>
                <w:szCs w:val="18"/>
              </w:rPr>
            </w:pPr>
          </w:p>
        </w:tc>
        <w:tc>
          <w:tcPr>
            <w:tcW w:w="1097" w:type="pct"/>
            <w:shd w:val="clear" w:color="auto" w:fill="auto"/>
            <w:tcMar>
              <w:top w:w="100" w:type="dxa"/>
              <w:left w:w="100" w:type="dxa"/>
              <w:bottom w:w="100" w:type="dxa"/>
              <w:right w:w="100" w:type="dxa"/>
            </w:tcMar>
          </w:tcPr>
          <w:p w14:paraId="38905A8C" w14:textId="19A83988" w:rsidR="00542C72" w:rsidRPr="00A2362B" w:rsidRDefault="00542C72" w:rsidP="00542C72">
            <w:pPr>
              <w:pStyle w:val="ListParagraph"/>
              <w:numPr>
                <w:ilvl w:val="0"/>
                <w:numId w:val="79"/>
              </w:numPr>
              <w:spacing w:line="240" w:lineRule="auto"/>
              <w:rPr>
                <w:rFonts w:eastAsia="Arial Narrow"/>
                <w:sz w:val="18"/>
                <w:szCs w:val="18"/>
                <w:highlight w:val="white"/>
              </w:rPr>
            </w:pPr>
            <w:r w:rsidRPr="00A2362B">
              <w:rPr>
                <w:rFonts w:eastAsia="Arial Narrow"/>
                <w:sz w:val="18"/>
                <w:szCs w:val="18"/>
                <w:highlight w:val="white"/>
              </w:rPr>
              <w:t xml:space="preserve">SDOP </w:t>
            </w:r>
            <w:r w:rsidR="00FF34FD" w:rsidRPr="00A2362B">
              <w:rPr>
                <w:rFonts w:eastAsia="Arial Narrow"/>
                <w:sz w:val="18"/>
                <w:szCs w:val="18"/>
                <w:highlight w:val="white"/>
              </w:rPr>
              <w:t>–</w:t>
            </w:r>
            <w:r w:rsidRPr="00A2362B">
              <w:rPr>
                <w:rFonts w:eastAsia="Arial Narrow"/>
                <w:sz w:val="18"/>
                <w:szCs w:val="18"/>
                <w:highlight w:val="white"/>
              </w:rPr>
              <w:t xml:space="preserve"> Priority 3. Environmental protection through biodiversity conservation, air quality assurance and remediation of contaminated sites / Categories of interventions 3.2 Improving air quality monitoring for compliance monitoring and emission reduction requirements</w:t>
            </w:r>
          </w:p>
        </w:tc>
      </w:tr>
      <w:tr w:rsidR="00542C72" w:rsidRPr="00A2362B" w14:paraId="4C310EEA" w14:textId="77777777" w:rsidTr="00A2362B">
        <w:trPr>
          <w:trHeight w:val="367"/>
        </w:trPr>
        <w:tc>
          <w:tcPr>
            <w:tcW w:w="479" w:type="pct"/>
            <w:shd w:val="clear" w:color="auto" w:fill="C6D9F1" w:themeFill="text2" w:themeFillTint="33"/>
            <w:tcMar>
              <w:top w:w="100" w:type="dxa"/>
              <w:left w:w="100" w:type="dxa"/>
              <w:bottom w:w="100" w:type="dxa"/>
              <w:right w:w="100" w:type="dxa"/>
            </w:tcMar>
          </w:tcPr>
          <w:p w14:paraId="1B428EC4" w14:textId="77777777" w:rsidR="00542C72" w:rsidRPr="00A2362B" w:rsidRDefault="00542C72" w:rsidP="00964831">
            <w:pPr>
              <w:jc w:val="both"/>
              <w:rPr>
                <w:rFonts w:ascii="Arial" w:hAnsi="Arial" w:cs="Arial"/>
                <w:sz w:val="18"/>
                <w:szCs w:val="18"/>
              </w:rPr>
            </w:pPr>
            <w:r w:rsidRPr="00A2362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636BB424" w14:textId="77777777" w:rsidR="00542C72" w:rsidRPr="002A3576" w:rsidRDefault="00542C72" w:rsidP="00964831">
            <w:pPr>
              <w:rPr>
                <w:rFonts w:ascii="Arial" w:eastAsia="Arial Narrow" w:hAnsi="Arial" w:cs="Arial"/>
                <w:b/>
                <w:sz w:val="18"/>
                <w:szCs w:val="18"/>
              </w:rPr>
            </w:pPr>
            <w:r w:rsidRPr="002A3576">
              <w:rPr>
                <w:rFonts w:ascii="Arial" w:eastAsia="Arial Narrow" w:hAnsi="Arial" w:cs="Arial"/>
                <w:b/>
                <w:sz w:val="18"/>
                <w:szCs w:val="18"/>
              </w:rPr>
              <w:t>Type 3: Increasing the level of employment</w:t>
            </w:r>
          </w:p>
          <w:p w14:paraId="35EAB919" w14:textId="77777777" w:rsidR="00542C72" w:rsidRPr="00A2362B" w:rsidRDefault="00542C72" w:rsidP="00964831">
            <w:pPr>
              <w:rPr>
                <w:rFonts w:ascii="Arial" w:eastAsia="Arial Narrow" w:hAnsi="Arial" w:cs="Arial"/>
                <w:b/>
                <w:sz w:val="18"/>
                <w:szCs w:val="18"/>
              </w:rPr>
            </w:pPr>
          </w:p>
          <w:p w14:paraId="08CBBCC4" w14:textId="77777777" w:rsidR="00542C72" w:rsidRPr="00A2362B" w:rsidRDefault="00542C72" w:rsidP="00542C72">
            <w:pPr>
              <w:pStyle w:val="ListParagraph"/>
              <w:numPr>
                <w:ilvl w:val="0"/>
                <w:numId w:val="84"/>
              </w:numPr>
              <w:spacing w:line="240" w:lineRule="auto"/>
              <w:jc w:val="both"/>
              <w:rPr>
                <w:rFonts w:eastAsia="Arial Narrow"/>
                <w:sz w:val="18"/>
                <w:szCs w:val="18"/>
              </w:rPr>
            </w:pPr>
            <w:r w:rsidRPr="00A2362B">
              <w:rPr>
                <w:rFonts w:eastAsia="Arial Narrow"/>
                <w:sz w:val="18"/>
                <w:szCs w:val="18"/>
              </w:rPr>
              <w:t>Investments in the development of the material base and vocational and technical education curriculum</w:t>
            </w:r>
          </w:p>
          <w:p w14:paraId="0B156607" w14:textId="77777777" w:rsidR="00542C72" w:rsidRPr="00A2362B" w:rsidRDefault="00542C72" w:rsidP="00542C72">
            <w:pPr>
              <w:pStyle w:val="ListParagraph"/>
              <w:numPr>
                <w:ilvl w:val="0"/>
                <w:numId w:val="84"/>
              </w:numPr>
              <w:spacing w:line="240" w:lineRule="auto"/>
              <w:jc w:val="both"/>
              <w:rPr>
                <w:rFonts w:eastAsia="Arial Narrow"/>
                <w:sz w:val="18"/>
                <w:szCs w:val="18"/>
              </w:rPr>
            </w:pPr>
            <w:r w:rsidRPr="00A2362B">
              <w:rPr>
                <w:rFonts w:eastAsia="Arial Narrow"/>
                <w:sz w:val="18"/>
                <w:szCs w:val="18"/>
              </w:rPr>
              <w:t>Development of dual school programmes</w:t>
            </w:r>
          </w:p>
          <w:p w14:paraId="1F52EC8B" w14:textId="77777777" w:rsidR="00542C72" w:rsidRDefault="00542C72" w:rsidP="00542C72">
            <w:pPr>
              <w:pStyle w:val="ListParagraph"/>
              <w:numPr>
                <w:ilvl w:val="0"/>
                <w:numId w:val="84"/>
              </w:numPr>
              <w:spacing w:line="240" w:lineRule="auto"/>
              <w:rPr>
                <w:rFonts w:eastAsia="Arial Narrow"/>
                <w:sz w:val="18"/>
                <w:szCs w:val="18"/>
              </w:rPr>
            </w:pPr>
            <w:r w:rsidRPr="00A2362B">
              <w:rPr>
                <w:rFonts w:eastAsia="Arial Narrow"/>
                <w:sz w:val="18"/>
                <w:szCs w:val="18"/>
              </w:rPr>
              <w:t>Innovative solutions for the labour market to insert those coming from disadvantaged backgrounds: e.g., qualification p</w:t>
            </w:r>
            <w:r w:rsidR="00D206E5">
              <w:rPr>
                <w:rFonts w:eastAsia="Arial Narrow"/>
                <w:sz w:val="18"/>
                <w:szCs w:val="18"/>
              </w:rPr>
              <w:t>rogrammes</w:t>
            </w:r>
            <w:r w:rsidRPr="00A2362B">
              <w:rPr>
                <w:rFonts w:eastAsia="Arial Narrow"/>
                <w:sz w:val="18"/>
                <w:szCs w:val="18"/>
              </w:rPr>
              <w:t xml:space="preserve"> implemented in tandem with public investments in energy efficiency and reduction of energy poverty of those living in precarious conditions</w:t>
            </w:r>
          </w:p>
          <w:p w14:paraId="4EF7BE35" w14:textId="4B494EE9" w:rsidR="00010488" w:rsidRPr="00A2362B" w:rsidRDefault="00010488" w:rsidP="00542C72">
            <w:pPr>
              <w:pStyle w:val="ListParagraph"/>
              <w:numPr>
                <w:ilvl w:val="0"/>
                <w:numId w:val="84"/>
              </w:numPr>
              <w:spacing w:line="240" w:lineRule="auto"/>
              <w:rPr>
                <w:rFonts w:eastAsia="Arial Narrow"/>
                <w:sz w:val="18"/>
                <w:szCs w:val="18"/>
              </w:rPr>
            </w:pPr>
            <w:r>
              <w:rPr>
                <w:rFonts w:eastAsia="Arial Narrow"/>
                <w:sz w:val="18"/>
                <w:szCs w:val="18"/>
              </w:rPr>
              <w:t>Upskilling and reskilling of laid-off personnel and jobseeker assistance</w:t>
            </w:r>
          </w:p>
        </w:tc>
        <w:tc>
          <w:tcPr>
            <w:tcW w:w="1549" w:type="pct"/>
            <w:shd w:val="clear" w:color="auto" w:fill="D9D9D9" w:themeFill="background1" w:themeFillShade="D9"/>
            <w:tcMar>
              <w:top w:w="100" w:type="dxa"/>
              <w:left w:w="100" w:type="dxa"/>
              <w:bottom w:w="100" w:type="dxa"/>
              <w:right w:w="100" w:type="dxa"/>
            </w:tcMar>
          </w:tcPr>
          <w:p w14:paraId="1148E2C7" w14:textId="77777777" w:rsidR="00542C72" w:rsidRPr="00A2362B" w:rsidRDefault="00542C72" w:rsidP="00964831">
            <w:pPr>
              <w:pStyle w:val="ListParagraph"/>
              <w:spacing w:line="240" w:lineRule="auto"/>
              <w:ind w:left="360"/>
              <w:rPr>
                <w:rFonts w:eastAsia="Arial Narrow"/>
                <w:sz w:val="18"/>
                <w:szCs w:val="18"/>
              </w:rPr>
            </w:pPr>
          </w:p>
        </w:tc>
        <w:tc>
          <w:tcPr>
            <w:tcW w:w="1097" w:type="pct"/>
            <w:shd w:val="clear" w:color="auto" w:fill="D9D9D9" w:themeFill="background1" w:themeFillShade="D9"/>
            <w:tcMar>
              <w:top w:w="100" w:type="dxa"/>
              <w:left w:w="100" w:type="dxa"/>
              <w:bottom w:w="100" w:type="dxa"/>
              <w:right w:w="100" w:type="dxa"/>
            </w:tcMar>
          </w:tcPr>
          <w:p w14:paraId="3430B8DF" w14:textId="77777777" w:rsidR="00542C72" w:rsidRPr="00A2362B" w:rsidRDefault="00542C72" w:rsidP="00964831">
            <w:pPr>
              <w:pStyle w:val="ListParagraph"/>
              <w:spacing w:line="240" w:lineRule="auto"/>
              <w:ind w:left="360"/>
              <w:rPr>
                <w:rFonts w:eastAsia="Arial Narrow"/>
                <w:sz w:val="18"/>
                <w:szCs w:val="18"/>
                <w:highlight w:val="white"/>
              </w:rPr>
            </w:pPr>
          </w:p>
        </w:tc>
      </w:tr>
    </w:tbl>
    <w:p w14:paraId="111600ED" w14:textId="77777777" w:rsidR="00542C72" w:rsidRPr="003516DC" w:rsidRDefault="00542C72" w:rsidP="00542C72">
      <w:pPr>
        <w:jc w:val="both"/>
        <w:rPr>
          <w:rFonts w:ascii="Arial" w:hAnsi="Arial" w:cs="Arial"/>
          <w:b/>
          <w:sz w:val="20"/>
          <w:szCs w:val="20"/>
        </w:rPr>
      </w:pPr>
    </w:p>
    <w:p w14:paraId="142E3661" w14:textId="77777777" w:rsidR="00542C72" w:rsidRPr="003516DC" w:rsidRDefault="00542C72" w:rsidP="00542C72">
      <w:pPr>
        <w:rPr>
          <w:rFonts w:ascii="Arial" w:hAnsi="Arial" w:cs="Arial"/>
          <w:i/>
          <w:iCs/>
          <w:color w:val="0070C0"/>
          <w:sz w:val="20"/>
          <w:szCs w:val="20"/>
        </w:rPr>
      </w:pPr>
      <w:r w:rsidRPr="003516DC">
        <w:rPr>
          <w:rFonts w:ascii="Arial" w:hAnsi="Arial" w:cs="Arial"/>
          <w:i/>
          <w:iCs/>
          <w:color w:val="0070C0"/>
          <w:sz w:val="20"/>
          <w:szCs w:val="20"/>
        </w:rPr>
        <w:br w:type="page"/>
      </w:r>
    </w:p>
    <w:p w14:paraId="646555F0" w14:textId="77777777" w:rsidR="00542C72" w:rsidRDefault="00542C72" w:rsidP="00542C72">
      <w:pPr>
        <w:spacing w:after="240"/>
        <w:jc w:val="both"/>
        <w:rPr>
          <w:sz w:val="20"/>
          <w:szCs w:val="20"/>
        </w:rPr>
        <w:sectPr w:rsidR="00542C72" w:rsidSect="00BE7F81">
          <w:headerReference w:type="default" r:id="rId174"/>
          <w:pgSz w:w="16834" w:h="11909" w:orient="landscape"/>
          <w:pgMar w:top="1530" w:right="1440" w:bottom="1440" w:left="1440" w:header="720" w:footer="720" w:gutter="0"/>
          <w:cols w:space="720"/>
          <w:docGrid w:linePitch="326"/>
        </w:sectPr>
      </w:pPr>
    </w:p>
    <w:p w14:paraId="33ADBABA" w14:textId="4CD92FB4" w:rsidR="00542C72" w:rsidRPr="00542C72" w:rsidRDefault="00542C72" w:rsidP="00E42342">
      <w:pPr>
        <w:pStyle w:val="Heading2"/>
        <w:numPr>
          <w:ilvl w:val="0"/>
          <w:numId w:val="232"/>
        </w:numPr>
        <w:spacing w:before="240" w:line="240" w:lineRule="auto"/>
      </w:pPr>
      <w:bookmarkStart w:id="274" w:name="_Toc90725890"/>
      <w:r w:rsidRPr="003516DC">
        <w:lastRenderedPageBreak/>
        <w:t>Synergies/complementarities/consistency with other programmes</w:t>
      </w:r>
      <w:bookmarkEnd w:id="274"/>
    </w:p>
    <w:p w14:paraId="19F3243F" w14:textId="54101BE0" w:rsidR="00BC0F67" w:rsidRPr="003173A1" w:rsidRDefault="00BC0F67" w:rsidP="003173A1">
      <w:pPr>
        <w:jc w:val="both"/>
        <w:rPr>
          <w:rFonts w:ascii="Arial" w:hAnsi="Arial" w:cs="Arial"/>
          <w:color w:val="202124"/>
          <w:sz w:val="20"/>
          <w:szCs w:val="20"/>
        </w:rPr>
      </w:pPr>
      <w:r w:rsidRPr="003173A1">
        <w:rPr>
          <w:rFonts w:ascii="Arial" w:hAnsi="Arial" w:cs="Arial"/>
          <w:color w:val="202124"/>
          <w:sz w:val="20"/>
          <w:szCs w:val="20"/>
        </w:rPr>
        <w:t>Different European funding sources are adopted or at</w:t>
      </w:r>
      <w:r w:rsidR="003173A1">
        <w:rPr>
          <w:rFonts w:ascii="Arial" w:hAnsi="Arial" w:cs="Arial"/>
          <w:color w:val="202124"/>
          <w:sz w:val="20"/>
          <w:szCs w:val="20"/>
        </w:rPr>
        <w:t xml:space="preserve"> an</w:t>
      </w:r>
      <w:r w:rsidRPr="003173A1">
        <w:rPr>
          <w:rFonts w:ascii="Arial" w:hAnsi="Arial" w:cs="Arial"/>
          <w:color w:val="202124"/>
          <w:sz w:val="20"/>
          <w:szCs w:val="20"/>
        </w:rPr>
        <w:t xml:space="preserve"> interim level for mitigating the socio-economic costs of the transition to a green economy that are complementary to the financial resources provided by the </w:t>
      </w:r>
      <w:r w:rsidR="00A65C75">
        <w:rPr>
          <w:rFonts w:ascii="Arial" w:hAnsi="Arial" w:cs="Arial"/>
          <w:color w:val="202124"/>
          <w:sz w:val="20"/>
          <w:szCs w:val="20"/>
        </w:rPr>
        <w:t>JTF</w:t>
      </w:r>
      <w:r w:rsidRPr="003173A1">
        <w:rPr>
          <w:rFonts w:ascii="Arial" w:hAnsi="Arial" w:cs="Arial"/>
          <w:color w:val="202124"/>
          <w:sz w:val="20"/>
          <w:szCs w:val="20"/>
        </w:rPr>
        <w:t xml:space="preserve"> through the Prahova Territorial Just Transition </w:t>
      </w:r>
      <w:r w:rsidR="00A65C75" w:rsidRPr="003173A1">
        <w:rPr>
          <w:rFonts w:ascii="Arial" w:hAnsi="Arial" w:cs="Arial"/>
          <w:color w:val="202124"/>
          <w:sz w:val="20"/>
          <w:szCs w:val="20"/>
        </w:rPr>
        <w:t>P</w:t>
      </w:r>
      <w:r w:rsidR="00A65C75">
        <w:rPr>
          <w:rFonts w:ascii="Arial" w:hAnsi="Arial" w:cs="Arial"/>
          <w:color w:val="202124"/>
          <w:sz w:val="20"/>
          <w:szCs w:val="20"/>
        </w:rPr>
        <w:t>lan</w:t>
      </w:r>
      <w:r w:rsidR="00A65C75" w:rsidRPr="003173A1">
        <w:rPr>
          <w:rFonts w:ascii="Arial" w:hAnsi="Arial" w:cs="Arial"/>
          <w:color w:val="202124"/>
          <w:sz w:val="20"/>
          <w:szCs w:val="20"/>
        </w:rPr>
        <w:t xml:space="preserve"> </w:t>
      </w:r>
      <w:r w:rsidRPr="003173A1">
        <w:rPr>
          <w:rFonts w:ascii="Arial" w:hAnsi="Arial" w:cs="Arial"/>
          <w:color w:val="202124"/>
          <w:sz w:val="20"/>
          <w:szCs w:val="20"/>
        </w:rPr>
        <w:t xml:space="preserve">(TJTP Prahova), </w:t>
      </w:r>
      <w:r w:rsidR="003173A1">
        <w:rPr>
          <w:rFonts w:ascii="Arial" w:hAnsi="Arial" w:cs="Arial"/>
          <w:color w:val="202124"/>
          <w:sz w:val="20"/>
          <w:szCs w:val="20"/>
        </w:rPr>
        <w:t>including</w:t>
      </w:r>
      <w:r w:rsidRPr="003173A1">
        <w:rPr>
          <w:rFonts w:ascii="Arial" w:hAnsi="Arial" w:cs="Arial"/>
          <w:color w:val="202124"/>
          <w:sz w:val="20"/>
          <w:szCs w:val="20"/>
        </w:rPr>
        <w:t>:</w:t>
      </w:r>
    </w:p>
    <w:p w14:paraId="1FC24840" w14:textId="77777777" w:rsidR="00BC0F67" w:rsidRPr="003173A1" w:rsidRDefault="00BC0F67" w:rsidP="003173A1">
      <w:pPr>
        <w:jc w:val="both"/>
        <w:rPr>
          <w:rFonts w:ascii="Arial" w:hAnsi="Arial" w:cs="Arial"/>
          <w:color w:val="202124"/>
          <w:sz w:val="8"/>
          <w:szCs w:val="8"/>
        </w:rPr>
      </w:pPr>
    </w:p>
    <w:p w14:paraId="7B5A7E09" w14:textId="433F7229" w:rsidR="00BC0F67" w:rsidRPr="003173A1" w:rsidRDefault="00BC0F67" w:rsidP="001D4049">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3173A1">
        <w:rPr>
          <w:rFonts w:eastAsia="Times New Roman"/>
          <w:color w:val="202124"/>
          <w:sz w:val="20"/>
          <w:szCs w:val="20"/>
          <w:lang w:val="en"/>
        </w:rPr>
        <w:t xml:space="preserve">National </w:t>
      </w:r>
      <w:r w:rsidR="00A65C75">
        <w:rPr>
          <w:rFonts w:eastAsia="Times New Roman"/>
          <w:color w:val="202124"/>
          <w:sz w:val="20"/>
          <w:szCs w:val="20"/>
          <w:lang w:val="en"/>
        </w:rPr>
        <w:t>R</w:t>
      </w:r>
      <w:r w:rsidR="0023500C">
        <w:rPr>
          <w:rFonts w:eastAsia="Times New Roman"/>
          <w:color w:val="202124"/>
          <w:sz w:val="20"/>
          <w:szCs w:val="20"/>
          <w:lang w:val="en"/>
        </w:rPr>
        <w:t>e</w:t>
      </w:r>
      <w:r w:rsidR="00A65C75">
        <w:rPr>
          <w:rFonts w:eastAsia="Times New Roman"/>
          <w:color w:val="202124"/>
          <w:sz w:val="20"/>
          <w:szCs w:val="20"/>
          <w:lang w:val="en"/>
        </w:rPr>
        <w:t>covery and Resilience Plan</w:t>
      </w:r>
      <w:r w:rsidRPr="003173A1">
        <w:rPr>
          <w:rFonts w:eastAsia="Times New Roman"/>
          <w:color w:val="202124"/>
          <w:sz w:val="20"/>
          <w:szCs w:val="20"/>
          <w:lang w:val="en"/>
        </w:rPr>
        <w:t xml:space="preserve"> - </w:t>
      </w:r>
      <w:r w:rsidR="00A65C75">
        <w:rPr>
          <w:rFonts w:eastAsia="Times New Roman"/>
          <w:color w:val="202124"/>
          <w:sz w:val="20"/>
          <w:szCs w:val="20"/>
          <w:lang w:val="en"/>
        </w:rPr>
        <w:t>RRP</w:t>
      </w:r>
    </w:p>
    <w:p w14:paraId="59A227B6" w14:textId="6568C60F" w:rsidR="00BC0F67" w:rsidRPr="003173A1" w:rsidRDefault="00BC0F67" w:rsidP="001D4049">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3173A1">
        <w:rPr>
          <w:rFonts w:eastAsia="Times New Roman"/>
          <w:color w:val="202124"/>
          <w:sz w:val="20"/>
          <w:szCs w:val="20"/>
          <w:lang w:val="en"/>
        </w:rPr>
        <w:t>Moderni</w:t>
      </w:r>
      <w:r w:rsidR="003173A1">
        <w:rPr>
          <w:rFonts w:eastAsia="Times New Roman"/>
          <w:color w:val="202124"/>
          <w:sz w:val="20"/>
          <w:szCs w:val="20"/>
          <w:lang w:val="en"/>
        </w:rPr>
        <w:t>s</w:t>
      </w:r>
      <w:r w:rsidRPr="003173A1">
        <w:rPr>
          <w:rFonts w:eastAsia="Times New Roman"/>
          <w:color w:val="202124"/>
          <w:sz w:val="20"/>
          <w:szCs w:val="20"/>
          <w:lang w:val="en"/>
        </w:rPr>
        <w:t>ation Fund – MF</w:t>
      </w:r>
    </w:p>
    <w:p w14:paraId="3CDA687A" w14:textId="3F6BC771" w:rsidR="00BC0F67" w:rsidRPr="003173A1" w:rsidRDefault="00BC0F67" w:rsidP="001D4049">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3173A1">
        <w:rPr>
          <w:rFonts w:eastAsia="Times New Roman"/>
          <w:color w:val="202124"/>
          <w:sz w:val="20"/>
          <w:szCs w:val="20"/>
          <w:lang w:val="en"/>
        </w:rPr>
        <w:t>Sustainable Development Operational P</w:t>
      </w:r>
      <w:r w:rsidR="00D206E5">
        <w:rPr>
          <w:rFonts w:eastAsia="Times New Roman"/>
          <w:color w:val="202124"/>
          <w:sz w:val="20"/>
          <w:szCs w:val="20"/>
          <w:lang w:val="en"/>
        </w:rPr>
        <w:t xml:space="preserve">rogramme </w:t>
      </w:r>
      <w:r w:rsidRPr="003173A1">
        <w:rPr>
          <w:rFonts w:eastAsia="Times New Roman"/>
          <w:color w:val="202124"/>
          <w:sz w:val="20"/>
          <w:szCs w:val="20"/>
          <w:lang w:val="en"/>
        </w:rPr>
        <w:t>- SDOP</w:t>
      </w:r>
    </w:p>
    <w:p w14:paraId="21E6F7B9" w14:textId="0C527925" w:rsidR="00BC0F67" w:rsidRPr="003173A1" w:rsidRDefault="00BC0F67" w:rsidP="001D4049">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3173A1">
        <w:rPr>
          <w:rFonts w:eastAsia="Times New Roman"/>
          <w:color w:val="202124"/>
          <w:sz w:val="20"/>
          <w:szCs w:val="20"/>
          <w:lang w:val="en"/>
        </w:rPr>
        <w:t>Regional Operational Program</w:t>
      </w:r>
      <w:r w:rsidR="00A65C75">
        <w:rPr>
          <w:rFonts w:eastAsia="Times New Roman"/>
          <w:color w:val="202124"/>
          <w:sz w:val="20"/>
          <w:szCs w:val="20"/>
          <w:lang w:val="en"/>
        </w:rPr>
        <w:t>me</w:t>
      </w:r>
      <w:r w:rsidRPr="003173A1">
        <w:rPr>
          <w:rFonts w:eastAsia="Times New Roman"/>
          <w:color w:val="202124"/>
          <w:sz w:val="20"/>
          <w:szCs w:val="20"/>
          <w:lang w:val="en"/>
        </w:rPr>
        <w:t xml:space="preserve"> South Muntenia Region – ROP South Muntenia</w:t>
      </w:r>
    </w:p>
    <w:p w14:paraId="34BA4129" w14:textId="7BB8FFF2" w:rsidR="00BC0F67" w:rsidRPr="00402580" w:rsidRDefault="00BC0F67" w:rsidP="001D4049">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rPr>
      </w:pPr>
      <w:r w:rsidRPr="003173A1">
        <w:rPr>
          <w:sz w:val="20"/>
          <w:szCs w:val="20"/>
          <w:shd w:val="clear" w:color="auto" w:fill="FFFFFF"/>
        </w:rPr>
        <w:t>Energy Program</w:t>
      </w:r>
      <w:r w:rsidR="00A65C75">
        <w:rPr>
          <w:sz w:val="20"/>
          <w:szCs w:val="20"/>
          <w:shd w:val="clear" w:color="auto" w:fill="FFFFFF"/>
        </w:rPr>
        <w:t>me</w:t>
      </w:r>
      <w:r w:rsidRPr="003173A1">
        <w:rPr>
          <w:sz w:val="20"/>
          <w:szCs w:val="20"/>
          <w:shd w:val="clear" w:color="auto" w:fill="FFFFFF"/>
        </w:rPr>
        <w:t xml:space="preserve"> in Romania under EEA and Norwegian grants (</w:t>
      </w:r>
      <w:r w:rsidRPr="003173A1">
        <w:rPr>
          <w:i/>
          <w:iCs/>
          <w:sz w:val="20"/>
          <w:szCs w:val="20"/>
          <w:shd w:val="clear" w:color="auto" w:fill="FFFFFF"/>
        </w:rPr>
        <w:t>in negotiation)</w:t>
      </w:r>
    </w:p>
    <w:p w14:paraId="68628A46" w14:textId="4B2BB14A" w:rsidR="00BC0F67" w:rsidRPr="00402580" w:rsidRDefault="00BC0F67" w:rsidP="00FD4DD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rPr>
      </w:pPr>
      <w:r w:rsidRPr="003173A1">
        <w:rPr>
          <w:rFonts w:eastAsia="Times New Roman"/>
          <w:color w:val="202124"/>
          <w:sz w:val="20"/>
          <w:szCs w:val="20"/>
          <w:lang w:val="en"/>
        </w:rPr>
        <w:t>Intelligent Growth, Digiti</w:t>
      </w:r>
      <w:r w:rsidR="004E7B64">
        <w:rPr>
          <w:rFonts w:eastAsia="Times New Roman"/>
          <w:color w:val="202124"/>
          <w:sz w:val="20"/>
          <w:szCs w:val="20"/>
          <w:lang w:val="en"/>
        </w:rPr>
        <w:t>sation</w:t>
      </w:r>
      <w:r w:rsidRPr="003173A1">
        <w:rPr>
          <w:rFonts w:eastAsia="Times New Roman"/>
          <w:color w:val="202124"/>
          <w:sz w:val="20"/>
          <w:szCs w:val="20"/>
          <w:lang w:val="en"/>
        </w:rPr>
        <w:t xml:space="preserve"> and Financial Instruments Operational P</w:t>
      </w:r>
      <w:r w:rsidR="00D206E5">
        <w:rPr>
          <w:rFonts w:eastAsia="Times New Roman"/>
          <w:color w:val="202124"/>
          <w:sz w:val="20"/>
          <w:szCs w:val="20"/>
          <w:lang w:val="en"/>
        </w:rPr>
        <w:t xml:space="preserve">rogramme </w:t>
      </w:r>
      <w:r w:rsidRPr="003173A1">
        <w:rPr>
          <w:rFonts w:eastAsia="Times New Roman"/>
          <w:color w:val="202124"/>
          <w:sz w:val="20"/>
          <w:szCs w:val="20"/>
          <w:lang w:val="en"/>
        </w:rPr>
        <w:t>– IGDFIOP</w:t>
      </w:r>
    </w:p>
    <w:p w14:paraId="17683EF6" w14:textId="033FEED7" w:rsidR="00BC0F67" w:rsidRPr="003173A1" w:rsidRDefault="00BC0F67" w:rsidP="0011265F">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sz w:val="24"/>
          <w:szCs w:val="24"/>
        </w:rPr>
      </w:pPr>
      <w:r w:rsidRPr="003173A1">
        <w:rPr>
          <w:bCs/>
          <w:sz w:val="20"/>
          <w:szCs w:val="20"/>
          <w:lang w:val="ro-RO"/>
        </w:rPr>
        <w:t>Education and Employment Operational Programme -</w:t>
      </w:r>
      <w:r w:rsidR="00A65C75">
        <w:rPr>
          <w:bCs/>
          <w:sz w:val="20"/>
          <w:szCs w:val="20"/>
          <w:lang w:val="ro-RO"/>
        </w:rPr>
        <w:t xml:space="preserve"> </w:t>
      </w:r>
      <w:r w:rsidRPr="003173A1">
        <w:rPr>
          <w:bCs/>
          <w:sz w:val="20"/>
          <w:szCs w:val="20"/>
          <w:lang w:val="ro-RO"/>
        </w:rPr>
        <w:t>EEOP</w:t>
      </w:r>
    </w:p>
    <w:p w14:paraId="729A1234" w14:textId="6036F308" w:rsidR="00BC0F67" w:rsidRPr="001D4049" w:rsidRDefault="00BC0F67" w:rsidP="0011265F">
      <w:pPr>
        <w:spacing w:after="120"/>
        <w:jc w:val="both"/>
        <w:rPr>
          <w:rFonts w:ascii="Arial" w:hAnsi="Arial" w:cs="Arial"/>
          <w:sz w:val="20"/>
          <w:szCs w:val="20"/>
        </w:rPr>
      </w:pPr>
      <w:r w:rsidRPr="003173A1">
        <w:rPr>
          <w:rFonts w:ascii="Arial" w:hAnsi="Arial" w:cs="Arial"/>
          <w:sz w:val="20"/>
          <w:szCs w:val="20"/>
        </w:rPr>
        <w:t>The key actions of Just Transition Fund can be complemented by the European program</w:t>
      </w:r>
      <w:r w:rsidR="003173A1">
        <w:rPr>
          <w:rFonts w:ascii="Arial" w:hAnsi="Arial" w:cs="Arial"/>
          <w:sz w:val="20"/>
          <w:szCs w:val="20"/>
        </w:rPr>
        <w:t>me</w:t>
      </w:r>
      <w:r w:rsidRPr="003173A1">
        <w:rPr>
          <w:rFonts w:ascii="Arial" w:hAnsi="Arial" w:cs="Arial"/>
          <w:sz w:val="20"/>
          <w:szCs w:val="20"/>
        </w:rPr>
        <w:t>s listed below.</w:t>
      </w:r>
    </w:p>
    <w:p w14:paraId="1BB94CDA" w14:textId="63C610BF" w:rsidR="00BC0F67" w:rsidRPr="001D4049" w:rsidRDefault="001D4049" w:rsidP="0011265F">
      <w:pPr>
        <w:pStyle w:val="Caption"/>
        <w:spacing w:before="0"/>
        <w:ind w:left="1138" w:hanging="1138"/>
      </w:pPr>
      <w:bookmarkStart w:id="275" w:name="_Toc90726014"/>
      <w:bookmarkStart w:id="276" w:name="_Toc90727311"/>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60</w:t>
      </w:r>
      <w:r w:rsidR="000B273D">
        <w:rPr>
          <w:noProof/>
        </w:rPr>
        <w:fldChar w:fldCharType="end"/>
      </w:r>
      <w:r>
        <w:t>:</w:t>
      </w:r>
      <w:r w:rsidR="00BC0F67" w:rsidRPr="003173A1">
        <w:t xml:space="preserve"> Complementarities with other programmes (and proposed allocations)</w:t>
      </w:r>
      <w:bookmarkEnd w:id="275"/>
      <w:bookmarkEnd w:id="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6838"/>
      </w:tblGrid>
      <w:tr w:rsidR="00BC0F67" w:rsidRPr="00A65C75" w14:paraId="33E09397" w14:textId="77777777" w:rsidTr="00964831">
        <w:trPr>
          <w:trHeight w:val="1925"/>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2152FE5" w14:textId="77777777" w:rsidR="00BC0F67" w:rsidRPr="00A65C75" w:rsidRDefault="00BC0F67" w:rsidP="003173A1">
            <w:pPr>
              <w:spacing w:line="276" w:lineRule="auto"/>
              <w:rPr>
                <w:rFonts w:ascii="Arial" w:eastAsia="Calibri" w:hAnsi="Arial" w:cs="Arial"/>
                <w:i/>
                <w:iCs/>
                <w:sz w:val="18"/>
                <w:szCs w:val="18"/>
              </w:rPr>
            </w:pPr>
          </w:p>
          <w:p w14:paraId="31DB67C4" w14:textId="0F5B38F5" w:rsidR="00BC0F67" w:rsidRPr="00A65C75" w:rsidRDefault="00A65C75" w:rsidP="001D40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Times New Roman" w:hAnsi="Arial" w:cs="Arial"/>
                <w:color w:val="202124"/>
                <w:sz w:val="18"/>
                <w:szCs w:val="18"/>
              </w:rPr>
            </w:pPr>
            <w:r w:rsidRPr="00A65C75">
              <w:rPr>
                <w:rFonts w:ascii="Arial" w:eastAsia="Times New Roman" w:hAnsi="Arial" w:cs="Arial"/>
                <w:color w:val="202124"/>
                <w:sz w:val="18"/>
                <w:szCs w:val="18"/>
              </w:rPr>
              <w:t xml:space="preserve">Type </w:t>
            </w:r>
            <w:r w:rsidR="00BC0F67" w:rsidRPr="00A65C75">
              <w:rPr>
                <w:rFonts w:ascii="Arial" w:eastAsia="Times New Roman" w:hAnsi="Arial" w:cs="Arial"/>
                <w:color w:val="202124"/>
                <w:sz w:val="18"/>
                <w:szCs w:val="18"/>
              </w:rPr>
              <w:t xml:space="preserve">1 </w:t>
            </w:r>
          </w:p>
          <w:p w14:paraId="4928A28B" w14:textId="54286E64" w:rsidR="00BC0F67" w:rsidRPr="00A65C75" w:rsidRDefault="00BC0F67" w:rsidP="001D4049">
            <w:pPr>
              <w:pStyle w:val="ListParagraph"/>
              <w:spacing w:line="240" w:lineRule="auto"/>
              <w:ind w:left="0" w:right="58"/>
              <w:rPr>
                <w:sz w:val="18"/>
                <w:szCs w:val="18"/>
              </w:rPr>
            </w:pPr>
            <w:r w:rsidRPr="00A65C75">
              <w:rPr>
                <w:sz w:val="18"/>
                <w:szCs w:val="18"/>
              </w:rPr>
              <w:t>Economic diversification and sustainable entrepreneurship support as well as increasing access to research, innovation and digiti</w:t>
            </w:r>
            <w:r w:rsidR="004E7B64">
              <w:rPr>
                <w:sz w:val="18"/>
                <w:szCs w:val="18"/>
              </w:rPr>
              <w:t>sation</w:t>
            </w:r>
          </w:p>
          <w:p w14:paraId="36F08E41" w14:textId="77777777" w:rsidR="00BC0F67" w:rsidRPr="00A65C75" w:rsidRDefault="00BC0F67" w:rsidP="003173A1">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58E32B3" w14:textId="7A189D02" w:rsidR="00BC0F67" w:rsidRPr="00A65C75" w:rsidRDefault="00BC0F67" w:rsidP="003173A1">
            <w:pPr>
              <w:spacing w:line="276" w:lineRule="auto"/>
              <w:rPr>
                <w:rFonts w:ascii="Arial" w:eastAsia="Times New Roman" w:hAnsi="Arial" w:cs="Arial"/>
                <w:sz w:val="18"/>
                <w:szCs w:val="18"/>
                <w:lang w:val="en-US"/>
              </w:rPr>
            </w:pPr>
            <w:r w:rsidRPr="00A65C75">
              <w:rPr>
                <w:rFonts w:ascii="Arial" w:hAnsi="Arial" w:cs="Arial"/>
                <w:i/>
                <w:sz w:val="18"/>
                <w:szCs w:val="18"/>
              </w:rPr>
              <w:t>“Regional Operational Program</w:t>
            </w:r>
            <w:r w:rsidR="00A65C75">
              <w:rPr>
                <w:rFonts w:ascii="Arial" w:hAnsi="Arial" w:cs="Arial"/>
                <w:i/>
                <w:sz w:val="18"/>
                <w:szCs w:val="18"/>
              </w:rPr>
              <w:t>me</w:t>
            </w:r>
            <w:r w:rsidRPr="00A65C75">
              <w:rPr>
                <w:rFonts w:ascii="Arial" w:hAnsi="Arial" w:cs="Arial"/>
                <w:i/>
                <w:sz w:val="18"/>
                <w:szCs w:val="18"/>
              </w:rPr>
              <w:t xml:space="preserve"> South Muntenia” (ROP)</w:t>
            </w:r>
          </w:p>
          <w:p w14:paraId="7B3BC3C2" w14:textId="6E529B29" w:rsidR="00BC0F67" w:rsidRPr="00A65C75" w:rsidRDefault="00BC0F67" w:rsidP="003173A1">
            <w:pPr>
              <w:spacing w:line="276" w:lineRule="auto"/>
              <w:rPr>
                <w:rFonts w:ascii="Arial" w:hAnsi="Arial" w:cs="Arial"/>
                <w:iCs/>
                <w:sz w:val="18"/>
                <w:szCs w:val="18"/>
                <w:lang w:val="en-US"/>
              </w:rPr>
            </w:pPr>
            <w:r w:rsidRPr="00A65C75">
              <w:rPr>
                <w:rFonts w:ascii="Arial" w:hAnsi="Arial" w:cs="Arial"/>
                <w:i/>
                <w:sz w:val="18"/>
                <w:szCs w:val="18"/>
                <w:u w:val="single"/>
              </w:rPr>
              <w:t xml:space="preserve">Priority Axis 1 </w:t>
            </w:r>
            <w:r w:rsidRPr="00A65C75">
              <w:rPr>
                <w:rFonts w:ascii="Arial" w:hAnsi="Arial" w:cs="Arial"/>
                <w:iCs/>
                <w:sz w:val="18"/>
                <w:szCs w:val="18"/>
                <w:u w:val="single"/>
              </w:rPr>
              <w:t>A competitive region through innovation, digitalisation and dynamic enterprises</w:t>
            </w:r>
            <w:r w:rsidRPr="00A65C75">
              <w:rPr>
                <w:rFonts w:ascii="Arial" w:hAnsi="Arial" w:cs="Arial"/>
                <w:iCs/>
                <w:sz w:val="18"/>
                <w:szCs w:val="18"/>
              </w:rPr>
              <w:t xml:space="preserve">, </w:t>
            </w:r>
            <w:r w:rsidRPr="00A65C75">
              <w:rPr>
                <w:rFonts w:ascii="Arial" w:hAnsi="Arial" w:cs="Arial"/>
                <w:iCs/>
                <w:sz w:val="18"/>
                <w:szCs w:val="18"/>
                <w:lang w:val="en-US"/>
              </w:rPr>
              <w:t>EUR 394</w:t>
            </w:r>
            <w:r w:rsidR="007722E7" w:rsidRPr="00A65C75">
              <w:rPr>
                <w:rFonts w:ascii="Arial" w:hAnsi="Arial" w:cs="Arial"/>
                <w:iCs/>
                <w:sz w:val="18"/>
                <w:szCs w:val="18"/>
                <w:lang w:val="en-US"/>
              </w:rPr>
              <w:t>,</w:t>
            </w:r>
            <w:r w:rsidRPr="00A65C75">
              <w:rPr>
                <w:rFonts w:ascii="Arial" w:hAnsi="Arial" w:cs="Arial"/>
                <w:iCs/>
                <w:sz w:val="18"/>
                <w:szCs w:val="18"/>
                <w:lang w:val="en-US"/>
              </w:rPr>
              <w:t>494</w:t>
            </w:r>
            <w:r w:rsidR="007722E7" w:rsidRPr="00A65C75">
              <w:rPr>
                <w:rFonts w:ascii="Arial" w:hAnsi="Arial" w:cs="Arial"/>
                <w:iCs/>
                <w:sz w:val="18"/>
                <w:szCs w:val="18"/>
                <w:lang w:val="en-US"/>
              </w:rPr>
              <w:t>,</w:t>
            </w:r>
            <w:r w:rsidRPr="00A65C75">
              <w:rPr>
                <w:rFonts w:ascii="Arial" w:hAnsi="Arial" w:cs="Arial"/>
                <w:iCs/>
                <w:sz w:val="18"/>
                <w:szCs w:val="18"/>
                <w:lang w:val="en-US"/>
              </w:rPr>
              <w:t xml:space="preserve">000   </w:t>
            </w:r>
          </w:p>
          <w:p w14:paraId="3ED1D54C" w14:textId="77777777" w:rsidR="00BC0F67" w:rsidRPr="00A65C75" w:rsidRDefault="00BC0F67" w:rsidP="003173A1">
            <w:pPr>
              <w:spacing w:line="276" w:lineRule="auto"/>
              <w:rPr>
                <w:rFonts w:ascii="Arial" w:hAnsi="Arial" w:cs="Arial"/>
                <w:iCs/>
                <w:sz w:val="18"/>
                <w:szCs w:val="18"/>
                <w:lang w:val="en-US"/>
              </w:rPr>
            </w:pPr>
            <w:r w:rsidRPr="00A65C75">
              <w:rPr>
                <w:rFonts w:ascii="Arial" w:hAnsi="Arial" w:cs="Arial"/>
                <w:iCs/>
                <w:sz w:val="18"/>
                <w:szCs w:val="18"/>
              </w:rPr>
              <w:t>OP1/OS1.1 Development of research and innovation capacities and adoption of advanced technologies, EUR</w:t>
            </w:r>
            <w:r w:rsidRPr="00A65C75">
              <w:rPr>
                <w:rFonts w:ascii="Arial" w:hAnsi="Arial" w:cs="Arial"/>
                <w:iCs/>
                <w:sz w:val="18"/>
                <w:szCs w:val="18"/>
                <w:lang w:val="en-US"/>
              </w:rPr>
              <w:t xml:space="preserve"> </w:t>
            </w:r>
            <w:r w:rsidRPr="00A65C75">
              <w:rPr>
                <w:rFonts w:ascii="Arial" w:hAnsi="Arial" w:cs="Arial"/>
                <w:i/>
                <w:sz w:val="18"/>
                <w:szCs w:val="18"/>
              </w:rPr>
              <w:t>breakdown unavailable</w:t>
            </w:r>
            <w:r w:rsidRPr="00A65C75">
              <w:rPr>
                <w:rFonts w:ascii="Arial" w:hAnsi="Arial" w:cs="Arial"/>
                <w:iCs/>
                <w:sz w:val="18"/>
                <w:szCs w:val="18"/>
                <w:lang w:val="en-US"/>
              </w:rPr>
              <w:t xml:space="preserve">, </w:t>
            </w:r>
          </w:p>
          <w:p w14:paraId="12F0AD23" w14:textId="72176376" w:rsidR="00BC0F67" w:rsidRPr="00A65C75" w:rsidRDefault="00BC0F67" w:rsidP="003173A1">
            <w:pPr>
              <w:spacing w:line="276" w:lineRule="auto"/>
              <w:rPr>
                <w:rFonts w:ascii="Arial" w:hAnsi="Arial" w:cs="Arial"/>
                <w:iCs/>
                <w:sz w:val="18"/>
                <w:szCs w:val="18"/>
                <w:lang w:val="en-US"/>
              </w:rPr>
            </w:pPr>
            <w:r w:rsidRPr="00A65C75">
              <w:rPr>
                <w:rFonts w:ascii="Arial" w:hAnsi="Arial" w:cs="Arial"/>
                <w:iCs/>
                <w:sz w:val="18"/>
                <w:szCs w:val="18"/>
              </w:rPr>
              <w:t>OP1/OS2.1 Harnessing the benefits of digiti</w:t>
            </w:r>
            <w:r w:rsidR="007722E7" w:rsidRPr="00A65C75">
              <w:rPr>
                <w:rFonts w:ascii="Arial" w:hAnsi="Arial" w:cs="Arial"/>
                <w:iCs/>
                <w:sz w:val="18"/>
                <w:szCs w:val="18"/>
              </w:rPr>
              <w:t>s</w:t>
            </w:r>
            <w:r w:rsidRPr="00A65C75">
              <w:rPr>
                <w:rFonts w:ascii="Arial" w:hAnsi="Arial" w:cs="Arial"/>
                <w:iCs/>
                <w:sz w:val="18"/>
                <w:szCs w:val="18"/>
              </w:rPr>
              <w:t>ation for the benefit of citizens of companies and governments</w:t>
            </w:r>
            <w:r w:rsidRPr="00A65C75">
              <w:rPr>
                <w:rFonts w:ascii="Arial" w:hAnsi="Arial" w:cs="Arial"/>
                <w:iCs/>
                <w:sz w:val="18"/>
                <w:szCs w:val="18"/>
                <w:lang w:val="en-US"/>
              </w:rPr>
              <w:t xml:space="preserve">, EUR </w:t>
            </w:r>
            <w:r w:rsidRPr="00A65C75">
              <w:rPr>
                <w:rFonts w:ascii="Arial" w:hAnsi="Arial" w:cs="Arial"/>
                <w:i/>
                <w:sz w:val="18"/>
                <w:szCs w:val="18"/>
              </w:rPr>
              <w:t>breakdown unavailable</w:t>
            </w:r>
          </w:p>
          <w:p w14:paraId="362EDA1A" w14:textId="77777777" w:rsidR="00BC0F67" w:rsidRPr="00A65C75" w:rsidRDefault="00BC0F67" w:rsidP="003173A1">
            <w:pPr>
              <w:spacing w:line="276" w:lineRule="auto"/>
              <w:rPr>
                <w:rFonts w:ascii="Arial" w:hAnsi="Arial" w:cs="Arial"/>
                <w:sz w:val="18"/>
                <w:szCs w:val="18"/>
              </w:rPr>
            </w:pPr>
            <w:r w:rsidRPr="00A65C75">
              <w:rPr>
                <w:rFonts w:ascii="Arial" w:hAnsi="Arial" w:cs="Arial"/>
                <w:iCs/>
                <w:sz w:val="18"/>
                <w:szCs w:val="18"/>
              </w:rPr>
              <w:t>OP1/OS3 Boosting the growth and competitiveness of SMEs</w:t>
            </w:r>
            <w:r w:rsidRPr="00A65C75">
              <w:rPr>
                <w:rFonts w:ascii="Arial" w:hAnsi="Arial" w:cs="Arial"/>
                <w:iCs/>
                <w:sz w:val="18"/>
                <w:szCs w:val="18"/>
                <w:lang w:val="en-US"/>
              </w:rPr>
              <w:t xml:space="preserve">, EUR </w:t>
            </w:r>
            <w:r w:rsidRPr="00A65C75">
              <w:rPr>
                <w:rFonts w:ascii="Arial" w:hAnsi="Arial" w:cs="Arial"/>
                <w:i/>
                <w:sz w:val="18"/>
                <w:szCs w:val="18"/>
              </w:rPr>
              <w:t>breakdown unavailable</w:t>
            </w:r>
          </w:p>
          <w:p w14:paraId="3E71EEBD" w14:textId="064F918B" w:rsidR="00BC0F67" w:rsidRPr="00A65C75" w:rsidRDefault="00BC0F67" w:rsidP="003173A1">
            <w:pPr>
              <w:spacing w:line="276" w:lineRule="auto"/>
              <w:rPr>
                <w:rFonts w:ascii="Arial" w:hAnsi="Arial" w:cs="Arial"/>
                <w:sz w:val="18"/>
                <w:szCs w:val="18"/>
              </w:rPr>
            </w:pPr>
            <w:r w:rsidRPr="00A65C75">
              <w:rPr>
                <w:rFonts w:ascii="Arial" w:hAnsi="Arial" w:cs="Arial"/>
                <w:iCs/>
                <w:sz w:val="18"/>
                <w:szCs w:val="18"/>
              </w:rPr>
              <w:t xml:space="preserve">OP1/OS5 </w:t>
            </w:r>
            <w:r w:rsidRPr="00A65C75">
              <w:rPr>
                <w:rFonts w:ascii="Arial" w:hAnsi="Arial" w:cs="Arial"/>
                <w:sz w:val="18"/>
                <w:szCs w:val="18"/>
              </w:rPr>
              <w:t>- Skills development for smart speciali</w:t>
            </w:r>
            <w:r w:rsidR="007722E7" w:rsidRPr="00A65C75">
              <w:rPr>
                <w:rFonts w:ascii="Arial" w:hAnsi="Arial" w:cs="Arial"/>
                <w:sz w:val="18"/>
                <w:szCs w:val="18"/>
              </w:rPr>
              <w:t>s</w:t>
            </w:r>
            <w:r w:rsidRPr="00A65C75">
              <w:rPr>
                <w:rFonts w:ascii="Arial" w:hAnsi="Arial" w:cs="Arial"/>
                <w:sz w:val="18"/>
                <w:szCs w:val="18"/>
              </w:rPr>
              <w:t xml:space="preserve">ation, industrial transition and entrepreneurship </w:t>
            </w:r>
            <w:r w:rsidRPr="00A65C75">
              <w:rPr>
                <w:rFonts w:ascii="Arial" w:hAnsi="Arial" w:cs="Arial"/>
                <w:iCs/>
                <w:sz w:val="18"/>
                <w:szCs w:val="18"/>
                <w:lang w:val="en-US"/>
              </w:rPr>
              <w:t xml:space="preserve">EUR </w:t>
            </w:r>
            <w:r w:rsidRPr="00A65C75">
              <w:rPr>
                <w:rFonts w:ascii="Arial" w:hAnsi="Arial" w:cs="Arial"/>
                <w:i/>
                <w:sz w:val="18"/>
                <w:szCs w:val="18"/>
              </w:rPr>
              <w:t>breakdown unavailable</w:t>
            </w:r>
          </w:p>
        </w:tc>
      </w:tr>
      <w:tr w:rsidR="00BC0F67" w:rsidRPr="00A65C75" w14:paraId="072D42FF" w14:textId="77777777" w:rsidTr="00964831">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AD3E8" w14:textId="77777777" w:rsidR="00BC0F67" w:rsidRPr="00A65C75" w:rsidRDefault="00BC0F67">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6DF05321" w14:textId="00867D34" w:rsidR="00BC0F67" w:rsidRPr="00A65C75" w:rsidRDefault="00BC0F67">
            <w:pPr>
              <w:tabs>
                <w:tab w:val="left" w:pos="10076"/>
                <w:tab w:val="left" w:pos="10992"/>
                <w:tab w:val="left" w:pos="11908"/>
                <w:tab w:val="left" w:pos="12824"/>
                <w:tab w:val="left" w:pos="13740"/>
                <w:tab w:val="left" w:pos="14656"/>
              </w:tabs>
              <w:spacing w:line="276" w:lineRule="auto"/>
              <w:jc w:val="both"/>
              <w:rPr>
                <w:rFonts w:ascii="Arial" w:hAnsi="Arial" w:cs="Arial"/>
                <w:i/>
                <w:sz w:val="18"/>
                <w:szCs w:val="18"/>
              </w:rPr>
            </w:pPr>
            <w:r w:rsidRPr="00A65C75">
              <w:rPr>
                <w:rFonts w:ascii="Arial" w:hAnsi="Arial" w:cs="Arial"/>
                <w:i/>
                <w:sz w:val="18"/>
                <w:szCs w:val="18"/>
              </w:rPr>
              <w:t xml:space="preserve">“National </w:t>
            </w:r>
            <w:r w:rsidR="00A65C75">
              <w:rPr>
                <w:rFonts w:ascii="Arial" w:hAnsi="Arial" w:cs="Arial"/>
                <w:i/>
                <w:sz w:val="18"/>
                <w:szCs w:val="18"/>
              </w:rPr>
              <w:t>REcovery and Resilience Plan”</w:t>
            </w:r>
            <w:r w:rsidRPr="00A65C75">
              <w:rPr>
                <w:rFonts w:ascii="Arial" w:hAnsi="Arial" w:cs="Arial"/>
                <w:i/>
                <w:sz w:val="18"/>
                <w:szCs w:val="18"/>
              </w:rPr>
              <w:t xml:space="preserve"> (</w:t>
            </w:r>
            <w:r w:rsidR="00A65C75">
              <w:rPr>
                <w:rFonts w:ascii="Arial" w:hAnsi="Arial" w:cs="Arial"/>
                <w:i/>
                <w:sz w:val="18"/>
                <w:szCs w:val="18"/>
              </w:rPr>
              <w:t>RRP</w:t>
            </w:r>
            <w:r w:rsidRPr="00A65C75">
              <w:rPr>
                <w:rFonts w:ascii="Arial" w:hAnsi="Arial" w:cs="Arial"/>
                <w:i/>
                <w:sz w:val="18"/>
                <w:szCs w:val="18"/>
              </w:rPr>
              <w:t>)</w:t>
            </w:r>
          </w:p>
          <w:p w14:paraId="37B20FC0" w14:textId="520CC4D6" w:rsidR="00BC0F67" w:rsidRPr="00A65C75" w:rsidRDefault="00BC0F67">
            <w:pPr>
              <w:tabs>
                <w:tab w:val="left" w:pos="10076"/>
                <w:tab w:val="left" w:pos="10992"/>
                <w:tab w:val="left" w:pos="11908"/>
                <w:tab w:val="left" w:pos="12824"/>
                <w:tab w:val="left" w:pos="13740"/>
                <w:tab w:val="left" w:pos="14656"/>
              </w:tabs>
              <w:spacing w:line="276" w:lineRule="auto"/>
              <w:jc w:val="both"/>
              <w:rPr>
                <w:rFonts w:ascii="Arial" w:hAnsi="Arial" w:cs="Arial"/>
                <w:sz w:val="18"/>
                <w:szCs w:val="18"/>
              </w:rPr>
            </w:pPr>
            <w:r w:rsidRPr="00A65C75">
              <w:rPr>
                <w:rFonts w:ascii="Arial" w:hAnsi="Arial" w:cs="Arial"/>
                <w:i/>
                <w:sz w:val="18"/>
                <w:szCs w:val="18"/>
                <w:u w:val="single"/>
              </w:rPr>
              <w:t>Pillar II Digital transformation</w:t>
            </w:r>
            <w:r w:rsidRPr="00A65C75">
              <w:rPr>
                <w:rFonts w:ascii="Arial" w:hAnsi="Arial" w:cs="Arial"/>
                <w:i/>
                <w:sz w:val="18"/>
                <w:szCs w:val="18"/>
              </w:rPr>
              <w:t>,</w:t>
            </w:r>
            <w:r w:rsidRPr="00A65C75">
              <w:rPr>
                <w:rFonts w:ascii="Arial" w:hAnsi="Arial" w:cs="Arial"/>
                <w:sz w:val="18"/>
                <w:szCs w:val="18"/>
              </w:rPr>
              <w:t xml:space="preserve"> Component 1 II.1 Government cloud and interconnected digital systems in public administration, signature and electronic identity, promotion of high value-added investments in IC</w:t>
            </w:r>
            <w:r w:rsidRPr="00A65C75">
              <w:rPr>
                <w:rFonts w:ascii="Arial" w:hAnsi="Arial" w:cs="Arial"/>
                <w:sz w:val="18"/>
                <w:szCs w:val="18"/>
                <w:lang w:val="en-US"/>
              </w:rPr>
              <w:t xml:space="preserve">, EUR </w:t>
            </w:r>
            <w:r w:rsidRPr="00A65C75">
              <w:rPr>
                <w:rFonts w:ascii="Arial" w:hAnsi="Arial" w:cs="Arial"/>
                <w:sz w:val="18"/>
                <w:szCs w:val="18"/>
              </w:rPr>
              <w:t>1</w:t>
            </w:r>
            <w:r w:rsidR="007722E7" w:rsidRPr="00A65C75">
              <w:rPr>
                <w:rFonts w:ascii="Arial" w:hAnsi="Arial" w:cs="Arial"/>
                <w:sz w:val="18"/>
                <w:szCs w:val="18"/>
              </w:rPr>
              <w:t>.</w:t>
            </w:r>
            <w:r w:rsidRPr="00A65C75">
              <w:rPr>
                <w:rFonts w:ascii="Arial" w:hAnsi="Arial" w:cs="Arial"/>
                <w:sz w:val="18"/>
                <w:szCs w:val="18"/>
              </w:rPr>
              <w:t>89</w:t>
            </w:r>
            <w:r w:rsidR="007722E7" w:rsidRPr="00A65C75">
              <w:rPr>
                <w:rFonts w:ascii="Arial" w:hAnsi="Arial" w:cs="Arial"/>
                <w:sz w:val="18"/>
                <w:szCs w:val="18"/>
              </w:rPr>
              <w:t xml:space="preserve"> billion</w:t>
            </w:r>
          </w:p>
          <w:p w14:paraId="45130ED8" w14:textId="427DF4DB" w:rsidR="00BC0F67" w:rsidRPr="00A65C75" w:rsidRDefault="00BC0F67">
            <w:pPr>
              <w:spacing w:line="276" w:lineRule="auto"/>
              <w:rPr>
                <w:rFonts w:ascii="Arial" w:hAnsi="Arial" w:cs="Arial"/>
                <w:sz w:val="18"/>
                <w:szCs w:val="18"/>
              </w:rPr>
            </w:pPr>
            <w:r w:rsidRPr="00A65C75">
              <w:rPr>
                <w:rFonts w:ascii="Arial" w:hAnsi="Arial" w:cs="Arial"/>
                <w:i/>
                <w:sz w:val="18"/>
                <w:szCs w:val="18"/>
                <w:u w:val="single"/>
              </w:rPr>
              <w:t>Pillar III Smart, sustainable and inclusive growth</w:t>
            </w:r>
            <w:r w:rsidRPr="00A65C75">
              <w:rPr>
                <w:rFonts w:ascii="Arial" w:hAnsi="Arial" w:cs="Arial"/>
                <w:sz w:val="18"/>
                <w:szCs w:val="18"/>
              </w:rPr>
              <w:t>, Component 9.</w:t>
            </w:r>
            <w:r w:rsidRPr="00A65C75">
              <w:rPr>
                <w:rFonts w:ascii="Arial" w:hAnsi="Arial" w:cs="Arial"/>
                <w:sz w:val="18"/>
                <w:szCs w:val="18"/>
                <w:lang w:val="en-US"/>
              </w:rPr>
              <w:t xml:space="preserve"> EUR </w:t>
            </w:r>
            <w:r w:rsidRPr="00A65C75">
              <w:rPr>
                <w:rFonts w:ascii="Arial" w:hAnsi="Arial" w:cs="Arial"/>
                <w:sz w:val="18"/>
                <w:szCs w:val="18"/>
              </w:rPr>
              <w:t>2</w:t>
            </w:r>
            <w:r w:rsidR="007722E7" w:rsidRPr="00A65C75">
              <w:rPr>
                <w:rFonts w:ascii="Arial" w:hAnsi="Arial" w:cs="Arial"/>
                <w:sz w:val="18"/>
                <w:szCs w:val="18"/>
              </w:rPr>
              <w:t>.</w:t>
            </w:r>
            <w:r w:rsidRPr="00A65C75">
              <w:rPr>
                <w:rFonts w:ascii="Arial" w:hAnsi="Arial" w:cs="Arial"/>
                <w:sz w:val="18"/>
                <w:szCs w:val="18"/>
              </w:rPr>
              <w:t>36</w:t>
            </w:r>
            <w:r w:rsidR="001D4049" w:rsidRPr="00A65C75">
              <w:rPr>
                <w:rFonts w:ascii="Arial" w:hAnsi="Arial" w:cs="Arial"/>
                <w:sz w:val="18"/>
                <w:szCs w:val="18"/>
              </w:rPr>
              <w:t xml:space="preserve"> b</w:t>
            </w:r>
            <w:r w:rsidR="007722E7" w:rsidRPr="00A65C75">
              <w:rPr>
                <w:rFonts w:ascii="Arial" w:hAnsi="Arial" w:cs="Arial"/>
                <w:sz w:val="18"/>
                <w:szCs w:val="18"/>
              </w:rPr>
              <w:t>illion</w:t>
            </w:r>
          </w:p>
        </w:tc>
      </w:tr>
      <w:tr w:rsidR="00BC0F67" w:rsidRPr="00A65C75" w14:paraId="68FA0EC2" w14:textId="77777777" w:rsidTr="00964831">
        <w:trPr>
          <w:trHeight w:val="913"/>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6FF1E6" w14:textId="75273B8A" w:rsidR="00BC0F67" w:rsidRPr="00A65C75" w:rsidRDefault="00A65C75" w:rsidP="001D4049">
            <w:pPr>
              <w:tabs>
                <w:tab w:val="left" w:pos="1620"/>
              </w:tabs>
              <w:spacing w:line="276" w:lineRule="auto"/>
              <w:rPr>
                <w:rFonts w:ascii="Arial" w:hAnsi="Arial" w:cs="Arial"/>
                <w:bCs/>
                <w:sz w:val="18"/>
                <w:szCs w:val="18"/>
                <w:lang w:val="en-US"/>
              </w:rPr>
            </w:pPr>
            <w:r w:rsidRPr="00A65C75">
              <w:rPr>
                <w:rFonts w:ascii="Arial" w:hAnsi="Arial" w:cs="Arial"/>
                <w:bCs/>
                <w:sz w:val="18"/>
                <w:szCs w:val="18"/>
                <w:lang w:val="en-US"/>
              </w:rPr>
              <w:t xml:space="preserve">Type </w:t>
            </w:r>
            <w:r w:rsidR="00BC0F67" w:rsidRPr="00A65C75">
              <w:rPr>
                <w:rFonts w:ascii="Arial" w:hAnsi="Arial" w:cs="Arial"/>
                <w:bCs/>
                <w:sz w:val="18"/>
                <w:szCs w:val="18"/>
                <w:lang w:val="en-US"/>
              </w:rPr>
              <w:t>2</w:t>
            </w:r>
          </w:p>
          <w:p w14:paraId="579FE669" w14:textId="74FECFE5" w:rsidR="00BC0F67" w:rsidRPr="00A65C75" w:rsidRDefault="00BC0F67" w:rsidP="001D4049">
            <w:pPr>
              <w:tabs>
                <w:tab w:val="left" w:pos="1620"/>
              </w:tabs>
              <w:spacing w:line="276" w:lineRule="auto"/>
              <w:rPr>
                <w:rFonts w:ascii="Arial" w:hAnsi="Arial" w:cs="Arial"/>
                <w:bCs/>
                <w:sz w:val="18"/>
                <w:szCs w:val="18"/>
                <w:lang w:val="ro-RO"/>
              </w:rPr>
            </w:pPr>
            <w:r w:rsidRPr="00A65C75">
              <w:rPr>
                <w:rFonts w:ascii="Arial" w:hAnsi="Arial" w:cs="Arial"/>
                <w:bCs/>
                <w:sz w:val="18"/>
                <w:szCs w:val="18"/>
              </w:rPr>
              <w:t>The opportunities for investing in new technologies and infrastructure for green energy, pollution reduction and circular economy</w:t>
            </w:r>
          </w:p>
          <w:p w14:paraId="2C572CAD" w14:textId="77777777" w:rsidR="00BC0F67" w:rsidRPr="00A65C75" w:rsidRDefault="00BC0F67" w:rsidP="001D4049">
            <w:pPr>
              <w:spacing w:line="276" w:lineRule="auto"/>
              <w:ind w:left="1627"/>
              <w:rPr>
                <w:rFonts w:ascii="Arial" w:hAnsi="Arial" w:cs="Arial"/>
                <w:i/>
                <w:iCs/>
                <w:sz w:val="18"/>
                <w:szCs w:val="18"/>
              </w:rPr>
            </w:pPr>
            <w:r w:rsidRPr="00A65C75">
              <w:rPr>
                <w:rFonts w:ascii="Arial" w:hAnsi="Arial" w:cs="Arial"/>
                <w:i/>
                <w:iCs/>
                <w:color w:val="000000"/>
                <w:sz w:val="18"/>
                <w:szCs w:val="18"/>
                <w:lang w:val="ro-RO"/>
              </w:rPr>
              <w:t xml:space="preserve"> </w:t>
            </w:r>
          </w:p>
          <w:p w14:paraId="2759BD38" w14:textId="77777777" w:rsidR="00BC0F67" w:rsidRPr="00A65C75" w:rsidRDefault="00BC0F67" w:rsidP="001D4049">
            <w:pPr>
              <w:tabs>
                <w:tab w:val="left" w:pos="10076"/>
                <w:tab w:val="left" w:pos="10992"/>
                <w:tab w:val="left" w:pos="11908"/>
                <w:tab w:val="left" w:pos="12824"/>
                <w:tab w:val="left" w:pos="13740"/>
                <w:tab w:val="left" w:pos="14656"/>
              </w:tabs>
              <w:spacing w:line="276" w:lineRule="auto"/>
              <w:ind w:left="1440" w:hanging="1440"/>
              <w:rPr>
                <w:rFonts w:ascii="Arial" w:hAnsi="Arial" w:cs="Arial"/>
                <w:i/>
                <w:iCs/>
                <w:sz w:val="18"/>
                <w:szCs w:val="18"/>
              </w:rPr>
            </w:pPr>
            <w:r w:rsidRPr="00A65C75">
              <w:rPr>
                <w:rFonts w:ascii="Arial" w:hAnsi="Arial" w:cs="Arial"/>
                <w:i/>
                <w:iCs/>
                <w:sz w:val="18"/>
                <w:szCs w:val="18"/>
              </w:rPr>
              <w:t xml:space="preserve">                         </w:t>
            </w:r>
          </w:p>
          <w:p w14:paraId="38BCD50D" w14:textId="77777777" w:rsidR="00BC0F67" w:rsidRPr="00A65C75" w:rsidRDefault="00BC0F67" w:rsidP="001D4049">
            <w:pPr>
              <w:spacing w:line="276" w:lineRule="auto"/>
              <w:rPr>
                <w:rFonts w:ascii="Arial" w:hAnsi="Arial" w:cs="Arial"/>
                <w:i/>
                <w:iCs/>
                <w:sz w:val="18"/>
                <w:szCs w:val="18"/>
              </w:rPr>
            </w:pPr>
          </w:p>
          <w:p w14:paraId="3F46270B" w14:textId="77777777" w:rsidR="00BC0F67" w:rsidRPr="00A65C75" w:rsidRDefault="00BC0F67" w:rsidP="00FD4DD7">
            <w:pPr>
              <w:pStyle w:val="ListParagraph"/>
              <w:tabs>
                <w:tab w:val="left" w:pos="10076"/>
                <w:tab w:val="left" w:pos="10992"/>
                <w:tab w:val="left" w:pos="11908"/>
                <w:tab w:val="left" w:pos="12824"/>
                <w:tab w:val="left" w:pos="13740"/>
                <w:tab w:val="left" w:pos="14656"/>
              </w:tabs>
              <w:spacing w:line="240" w:lineRule="auto"/>
              <w:ind w:left="0"/>
              <w:rPr>
                <w:i/>
                <w:iCs/>
                <w:color w:val="000000"/>
                <w:sz w:val="18"/>
                <w:szCs w:val="18"/>
              </w:rPr>
            </w:pPr>
          </w:p>
          <w:p w14:paraId="0154AA3D" w14:textId="77777777" w:rsidR="00BC0F67" w:rsidRPr="00A65C75" w:rsidRDefault="00BC0F67" w:rsidP="00402580">
            <w:pPr>
              <w:spacing w:line="276" w:lineRule="auto"/>
              <w:rPr>
                <w:rFonts w:ascii="Arial" w:eastAsia="Calibri" w:hAnsi="Arial" w:cs="Arial"/>
                <w:i/>
                <w:iCs/>
                <w:sz w:val="18"/>
                <w:szCs w:val="18"/>
              </w:rPr>
            </w:pPr>
            <w:r w:rsidRPr="00A65C75">
              <w:rPr>
                <w:rFonts w:ascii="Arial" w:eastAsia="Calibri" w:hAnsi="Arial" w:cs="Arial"/>
                <w:i/>
                <w:iCs/>
                <w:sz w:val="18"/>
                <w:szCs w:val="18"/>
              </w:rPr>
              <w:t xml:space="preserve"> </w:t>
            </w:r>
          </w:p>
          <w:p w14:paraId="2813A673" w14:textId="77777777" w:rsidR="00BC0F67" w:rsidRPr="00A65C75" w:rsidRDefault="00BC0F67" w:rsidP="00402580">
            <w:pPr>
              <w:spacing w:line="276" w:lineRule="auto"/>
              <w:rPr>
                <w:rFonts w:ascii="Arial" w:eastAsia="Calibri" w:hAnsi="Arial" w:cs="Arial"/>
                <w:i/>
                <w:iCs/>
                <w:sz w:val="18"/>
                <w:szCs w:val="18"/>
              </w:rPr>
            </w:pPr>
            <w:r w:rsidRPr="00A65C75">
              <w:rPr>
                <w:rFonts w:ascii="Arial" w:eastAsia="Calibri" w:hAnsi="Arial" w:cs="Arial"/>
                <w:i/>
                <w:iCs/>
                <w:sz w:val="18"/>
                <w:szCs w:val="18"/>
              </w:rPr>
              <w:t xml:space="preserve"> </w:t>
            </w: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14E55DC7" w14:textId="7D241B75" w:rsidR="00BC0F67" w:rsidRPr="00A65C75" w:rsidRDefault="00BC0F67" w:rsidP="001D4049">
            <w:pPr>
              <w:spacing w:line="276" w:lineRule="auto"/>
              <w:ind w:right="51"/>
              <w:jc w:val="both"/>
              <w:rPr>
                <w:rFonts w:ascii="Arial" w:hAnsi="Arial" w:cs="Arial"/>
                <w:sz w:val="18"/>
                <w:szCs w:val="18"/>
              </w:rPr>
            </w:pPr>
            <w:r w:rsidRPr="00A65C75">
              <w:rPr>
                <w:rFonts w:ascii="Arial" w:hAnsi="Arial" w:cs="Arial"/>
                <w:i/>
                <w:sz w:val="18"/>
                <w:szCs w:val="18"/>
              </w:rPr>
              <w:t>“Regional Operational Program</w:t>
            </w:r>
            <w:r w:rsidR="00A65C75">
              <w:rPr>
                <w:rFonts w:ascii="Arial" w:hAnsi="Arial" w:cs="Arial"/>
                <w:i/>
                <w:sz w:val="18"/>
                <w:szCs w:val="18"/>
              </w:rPr>
              <w:t>me</w:t>
            </w:r>
            <w:r w:rsidRPr="00A65C75">
              <w:rPr>
                <w:rFonts w:ascii="Arial" w:hAnsi="Arial" w:cs="Arial"/>
                <w:i/>
                <w:sz w:val="18"/>
                <w:szCs w:val="18"/>
              </w:rPr>
              <w:t xml:space="preserve"> South Muntenia” (ROP)</w:t>
            </w:r>
          </w:p>
          <w:p w14:paraId="3E4B4BA9" w14:textId="2C137897" w:rsidR="00BC0F67" w:rsidRPr="00A65C75" w:rsidRDefault="00BC0F67" w:rsidP="001D4049">
            <w:pPr>
              <w:spacing w:line="276" w:lineRule="auto"/>
              <w:ind w:right="51"/>
              <w:jc w:val="both"/>
              <w:rPr>
                <w:rFonts w:ascii="Arial" w:hAnsi="Arial" w:cs="Arial"/>
                <w:sz w:val="18"/>
                <w:szCs w:val="18"/>
              </w:rPr>
            </w:pPr>
            <w:r w:rsidRPr="00A65C75">
              <w:rPr>
                <w:rFonts w:ascii="Arial" w:hAnsi="Arial" w:cs="Arial"/>
                <w:i/>
                <w:sz w:val="18"/>
                <w:szCs w:val="18"/>
                <w:u w:val="single"/>
              </w:rPr>
              <w:t>Priority Axis 2 A region with environmentally friendly cities</w:t>
            </w:r>
            <w:r w:rsidRPr="00A65C75">
              <w:rPr>
                <w:rFonts w:ascii="Arial" w:hAnsi="Arial" w:cs="Arial"/>
                <w:sz w:val="18"/>
                <w:szCs w:val="18"/>
              </w:rPr>
              <w:t>,</w:t>
            </w:r>
            <w:r w:rsidRPr="00A65C75">
              <w:rPr>
                <w:rFonts w:ascii="Arial" w:hAnsi="Arial" w:cs="Arial"/>
                <w:sz w:val="18"/>
                <w:szCs w:val="18"/>
                <w:lang w:val="en-US"/>
              </w:rPr>
              <w:t xml:space="preserve"> EUR </w:t>
            </w:r>
            <w:r w:rsidRPr="00A65C75">
              <w:rPr>
                <w:rFonts w:ascii="Arial" w:hAnsi="Arial" w:cs="Arial"/>
                <w:sz w:val="18"/>
                <w:szCs w:val="18"/>
              </w:rPr>
              <w:t>514</w:t>
            </w:r>
            <w:r w:rsidR="007722E7" w:rsidRPr="00A65C75">
              <w:rPr>
                <w:rFonts w:ascii="Arial" w:hAnsi="Arial" w:cs="Arial"/>
                <w:sz w:val="18"/>
                <w:szCs w:val="18"/>
              </w:rPr>
              <w:t>,</w:t>
            </w:r>
            <w:r w:rsidRPr="00A65C75">
              <w:rPr>
                <w:rFonts w:ascii="Arial" w:hAnsi="Arial" w:cs="Arial"/>
                <w:sz w:val="18"/>
                <w:szCs w:val="18"/>
              </w:rPr>
              <w:t>267</w:t>
            </w:r>
            <w:r w:rsidR="007722E7" w:rsidRPr="00A65C75">
              <w:rPr>
                <w:rFonts w:ascii="Arial" w:hAnsi="Arial" w:cs="Arial"/>
                <w:sz w:val="18"/>
                <w:szCs w:val="18"/>
              </w:rPr>
              <w:t>,</w:t>
            </w:r>
            <w:r w:rsidRPr="00A65C75">
              <w:rPr>
                <w:rFonts w:ascii="Arial" w:hAnsi="Arial" w:cs="Arial"/>
                <w:sz w:val="18"/>
                <w:szCs w:val="18"/>
              </w:rPr>
              <w:t>000</w:t>
            </w:r>
            <w:r w:rsidRPr="00A65C75">
              <w:rPr>
                <w:rFonts w:ascii="Arial" w:hAnsi="Arial" w:cs="Arial"/>
                <w:sz w:val="18"/>
                <w:szCs w:val="18"/>
                <w:lang w:val="en-US"/>
              </w:rPr>
              <w:t>,</w:t>
            </w:r>
            <w:r w:rsidRPr="00A65C75">
              <w:rPr>
                <w:rFonts w:ascii="Arial" w:hAnsi="Arial" w:cs="Arial"/>
                <w:sz w:val="18"/>
                <w:szCs w:val="18"/>
              </w:rPr>
              <w:t xml:space="preserve"> </w:t>
            </w:r>
          </w:p>
          <w:p w14:paraId="69A2629A" w14:textId="77777777" w:rsidR="00BC0F67" w:rsidRPr="00A65C75" w:rsidRDefault="00BC0F67" w:rsidP="001D4049">
            <w:pPr>
              <w:spacing w:line="276" w:lineRule="auto"/>
              <w:ind w:right="51"/>
              <w:jc w:val="both"/>
              <w:rPr>
                <w:rFonts w:ascii="Arial" w:hAnsi="Arial" w:cs="Arial"/>
                <w:sz w:val="18"/>
                <w:szCs w:val="18"/>
              </w:rPr>
            </w:pPr>
            <w:r w:rsidRPr="00A65C75">
              <w:rPr>
                <w:rFonts w:ascii="Arial" w:hAnsi="Arial" w:cs="Arial"/>
                <w:sz w:val="18"/>
                <w:szCs w:val="18"/>
              </w:rPr>
              <w:t>OP2/OS2.1 Promoting energy efficiency and reducing greenhouse gas emissions</w:t>
            </w:r>
            <w:r w:rsidRPr="00A65C75">
              <w:rPr>
                <w:rFonts w:ascii="Arial" w:hAnsi="Arial" w:cs="Arial"/>
                <w:sz w:val="18"/>
                <w:szCs w:val="18"/>
                <w:lang w:val="en-US"/>
              </w:rPr>
              <w:t xml:space="preserve">, EUR </w:t>
            </w:r>
            <w:r w:rsidRPr="00A65C75">
              <w:rPr>
                <w:rFonts w:ascii="Arial" w:hAnsi="Arial" w:cs="Arial"/>
                <w:i/>
                <w:sz w:val="18"/>
                <w:szCs w:val="18"/>
              </w:rPr>
              <w:t>breakdown unavailable</w:t>
            </w:r>
            <w:r w:rsidRPr="00A65C75">
              <w:rPr>
                <w:rFonts w:ascii="Arial" w:hAnsi="Arial" w:cs="Arial"/>
                <w:sz w:val="18"/>
                <w:szCs w:val="18"/>
                <w:lang w:val="en-US"/>
              </w:rPr>
              <w:t>,</w:t>
            </w:r>
            <w:r w:rsidRPr="00A65C75">
              <w:rPr>
                <w:rFonts w:ascii="Arial" w:hAnsi="Arial" w:cs="Arial"/>
                <w:sz w:val="18"/>
                <w:szCs w:val="18"/>
              </w:rPr>
              <w:t xml:space="preserve"> </w:t>
            </w:r>
          </w:p>
          <w:p w14:paraId="15ADAC21" w14:textId="77777777" w:rsidR="00BC0F67" w:rsidRPr="00A65C75" w:rsidRDefault="00BC0F67" w:rsidP="001D4049">
            <w:pPr>
              <w:spacing w:line="276" w:lineRule="auto"/>
              <w:ind w:right="51"/>
              <w:jc w:val="both"/>
              <w:rPr>
                <w:rFonts w:ascii="Arial" w:hAnsi="Arial" w:cs="Arial"/>
                <w:sz w:val="18"/>
                <w:szCs w:val="18"/>
              </w:rPr>
            </w:pPr>
            <w:r w:rsidRPr="00A65C75">
              <w:rPr>
                <w:rFonts w:ascii="Arial" w:hAnsi="Arial" w:cs="Arial"/>
                <w:sz w:val="18"/>
                <w:szCs w:val="18"/>
              </w:rPr>
              <w:t>OP2/OS2.7 Improving the nature and biodiversity protection, green infrastructure especially in urban areas, pollution reducing</w:t>
            </w:r>
            <w:r w:rsidRPr="00A65C75">
              <w:rPr>
                <w:rFonts w:ascii="Arial" w:hAnsi="Arial" w:cs="Arial"/>
                <w:sz w:val="18"/>
                <w:szCs w:val="18"/>
                <w:lang w:val="en-US"/>
              </w:rPr>
              <w:t xml:space="preserve">, EUR </w:t>
            </w:r>
            <w:r w:rsidRPr="00A65C75">
              <w:rPr>
                <w:rFonts w:ascii="Arial" w:hAnsi="Arial" w:cs="Arial"/>
                <w:i/>
                <w:sz w:val="18"/>
                <w:szCs w:val="18"/>
              </w:rPr>
              <w:t>breakdown unavailable</w:t>
            </w:r>
          </w:p>
          <w:p w14:paraId="42B11CF8" w14:textId="77777777" w:rsidR="00BC0F67" w:rsidRPr="00A65C75" w:rsidRDefault="00BC0F67" w:rsidP="001D4049">
            <w:pPr>
              <w:spacing w:line="276" w:lineRule="auto"/>
              <w:ind w:right="51"/>
              <w:jc w:val="both"/>
              <w:rPr>
                <w:rFonts w:ascii="Arial" w:hAnsi="Arial" w:cs="Arial"/>
                <w:sz w:val="18"/>
                <w:szCs w:val="18"/>
              </w:rPr>
            </w:pPr>
            <w:r w:rsidRPr="00A65C75">
              <w:rPr>
                <w:rFonts w:ascii="Arial" w:hAnsi="Arial" w:cs="Arial"/>
                <w:sz w:val="18"/>
                <w:szCs w:val="18"/>
              </w:rPr>
              <w:t>OP2/OS2.8 Promoting sustainable multimodal urban mobility</w:t>
            </w:r>
            <w:r w:rsidRPr="00A65C75">
              <w:rPr>
                <w:rFonts w:ascii="Arial" w:hAnsi="Arial" w:cs="Arial"/>
                <w:sz w:val="18"/>
                <w:szCs w:val="18"/>
                <w:lang w:val="en-US"/>
              </w:rPr>
              <w:t xml:space="preserve">, </w:t>
            </w:r>
            <w:r w:rsidRPr="00A65C75">
              <w:rPr>
                <w:rFonts w:ascii="Arial" w:hAnsi="Arial" w:cs="Arial"/>
                <w:i/>
                <w:sz w:val="18"/>
                <w:szCs w:val="18"/>
              </w:rPr>
              <w:t>breakdown unavailable</w:t>
            </w:r>
          </w:p>
          <w:p w14:paraId="1FB12BAA" w14:textId="3C251E10" w:rsidR="00BC0F67" w:rsidRPr="00A65C75" w:rsidRDefault="00BC0F67" w:rsidP="00FD4DD7">
            <w:pPr>
              <w:spacing w:line="276" w:lineRule="auto"/>
              <w:ind w:right="51"/>
              <w:jc w:val="both"/>
              <w:rPr>
                <w:rFonts w:ascii="Arial" w:hAnsi="Arial" w:cs="Arial"/>
                <w:sz w:val="18"/>
                <w:szCs w:val="18"/>
              </w:rPr>
            </w:pPr>
            <w:r w:rsidRPr="00A65C75">
              <w:rPr>
                <w:rFonts w:ascii="Arial" w:hAnsi="Arial" w:cs="Arial"/>
                <w:i/>
                <w:sz w:val="18"/>
                <w:szCs w:val="18"/>
                <w:u w:val="single"/>
              </w:rPr>
              <w:t xml:space="preserve">Priority Axis 3 An accessible region </w:t>
            </w:r>
            <w:r w:rsidRPr="00A65C75">
              <w:rPr>
                <w:rFonts w:ascii="Arial" w:hAnsi="Arial" w:cs="Arial"/>
                <w:sz w:val="18"/>
                <w:szCs w:val="18"/>
                <w:lang w:val="en-US"/>
              </w:rPr>
              <w:t xml:space="preserve">EUR </w:t>
            </w:r>
            <w:r w:rsidRPr="00A65C75">
              <w:rPr>
                <w:rFonts w:ascii="Arial" w:hAnsi="Arial" w:cs="Arial"/>
                <w:sz w:val="18"/>
                <w:szCs w:val="18"/>
              </w:rPr>
              <w:t>191</w:t>
            </w:r>
            <w:r w:rsidR="007722E7" w:rsidRPr="00A65C75">
              <w:rPr>
                <w:rFonts w:ascii="Arial" w:hAnsi="Arial" w:cs="Arial"/>
                <w:sz w:val="18"/>
                <w:szCs w:val="18"/>
              </w:rPr>
              <w:t>,</w:t>
            </w:r>
            <w:r w:rsidRPr="00A65C75">
              <w:rPr>
                <w:rFonts w:ascii="Arial" w:hAnsi="Arial" w:cs="Arial"/>
                <w:sz w:val="18"/>
                <w:szCs w:val="18"/>
              </w:rPr>
              <w:t>375</w:t>
            </w:r>
            <w:r w:rsidR="007722E7" w:rsidRPr="00A65C75">
              <w:rPr>
                <w:rFonts w:ascii="Arial" w:hAnsi="Arial" w:cs="Arial"/>
                <w:sz w:val="18"/>
                <w:szCs w:val="18"/>
              </w:rPr>
              <w:t>,</w:t>
            </w:r>
            <w:r w:rsidRPr="00A65C75">
              <w:rPr>
                <w:rFonts w:ascii="Arial" w:hAnsi="Arial" w:cs="Arial"/>
                <w:sz w:val="18"/>
                <w:szCs w:val="18"/>
              </w:rPr>
              <w:t>000</w:t>
            </w:r>
          </w:p>
          <w:p w14:paraId="6AE4DCDE" w14:textId="77777777" w:rsidR="00BC0F67" w:rsidRPr="00A65C75" w:rsidRDefault="00BC0F67" w:rsidP="00FD4DD7">
            <w:pPr>
              <w:spacing w:line="276" w:lineRule="auto"/>
              <w:ind w:right="51"/>
              <w:jc w:val="both"/>
              <w:rPr>
                <w:rFonts w:ascii="Arial" w:hAnsi="Arial" w:cs="Arial"/>
                <w:iCs/>
                <w:sz w:val="18"/>
                <w:szCs w:val="18"/>
              </w:rPr>
            </w:pPr>
            <w:r w:rsidRPr="00A65C75">
              <w:rPr>
                <w:rFonts w:ascii="Arial" w:hAnsi="Arial" w:cs="Arial"/>
                <w:sz w:val="18"/>
                <w:szCs w:val="18"/>
              </w:rPr>
              <w:t xml:space="preserve">OP3/OS3.3 </w:t>
            </w:r>
            <w:r w:rsidRPr="00A65C75">
              <w:rPr>
                <w:rFonts w:ascii="Arial" w:hAnsi="Arial" w:cs="Arial"/>
                <w:iCs/>
                <w:sz w:val="18"/>
                <w:szCs w:val="18"/>
              </w:rPr>
              <w:t xml:space="preserve">Developing sustainable national, regional and local mobility, resilient to climate change, smart and intermodal, including improving access to TEN-T and cross-border mobility EUR </w:t>
            </w:r>
            <w:r w:rsidRPr="00A65C75">
              <w:rPr>
                <w:rFonts w:ascii="Arial" w:hAnsi="Arial" w:cs="Arial"/>
                <w:i/>
                <w:sz w:val="18"/>
                <w:szCs w:val="18"/>
              </w:rPr>
              <w:t>breakdown unavailable</w:t>
            </w:r>
          </w:p>
        </w:tc>
      </w:tr>
      <w:tr w:rsidR="00BC0F67" w:rsidRPr="00A65C75" w14:paraId="29465C65" w14:textId="77777777" w:rsidTr="00964831">
        <w:trPr>
          <w:trHeight w:val="9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507B6" w14:textId="77777777" w:rsidR="00BC0F67" w:rsidRPr="00A65C75" w:rsidRDefault="00BC0F67">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2DD5A5CA" w14:textId="14F6BEA6" w:rsidR="00BC0F67" w:rsidRPr="00A65C75" w:rsidRDefault="00BC0F67">
            <w:pPr>
              <w:spacing w:line="276" w:lineRule="auto"/>
              <w:jc w:val="both"/>
              <w:rPr>
                <w:rFonts w:ascii="Arial" w:hAnsi="Arial" w:cs="Arial"/>
                <w:iCs/>
                <w:sz w:val="18"/>
                <w:szCs w:val="18"/>
              </w:rPr>
            </w:pPr>
            <w:r w:rsidRPr="00A65C75">
              <w:rPr>
                <w:rFonts w:ascii="Arial" w:hAnsi="Arial" w:cs="Arial"/>
                <w:i/>
                <w:iCs/>
                <w:sz w:val="18"/>
                <w:szCs w:val="18"/>
              </w:rPr>
              <w:t>“Moderni</w:t>
            </w:r>
            <w:r w:rsidR="004E7B64">
              <w:rPr>
                <w:rFonts w:ascii="Arial" w:hAnsi="Arial" w:cs="Arial"/>
                <w:i/>
                <w:iCs/>
                <w:sz w:val="18"/>
                <w:szCs w:val="18"/>
              </w:rPr>
              <w:t>sation</w:t>
            </w:r>
            <w:r w:rsidRPr="00A65C75">
              <w:rPr>
                <w:rFonts w:ascii="Arial" w:hAnsi="Arial" w:cs="Arial"/>
                <w:i/>
                <w:iCs/>
                <w:sz w:val="18"/>
                <w:szCs w:val="18"/>
              </w:rPr>
              <w:t xml:space="preserve"> Fund” (MF)</w:t>
            </w:r>
          </w:p>
          <w:p w14:paraId="7845F399" w14:textId="77777777" w:rsidR="00BC0F67" w:rsidRPr="00A65C75" w:rsidRDefault="00BC0F67">
            <w:pPr>
              <w:spacing w:line="276" w:lineRule="auto"/>
              <w:jc w:val="both"/>
              <w:rPr>
                <w:rFonts w:ascii="Arial" w:hAnsi="Arial" w:cs="Arial"/>
                <w:sz w:val="18"/>
                <w:szCs w:val="18"/>
                <w:lang w:val="en"/>
              </w:rPr>
            </w:pPr>
            <w:r w:rsidRPr="00A65C75">
              <w:rPr>
                <w:rFonts w:ascii="Arial" w:hAnsi="Arial" w:cs="Arial"/>
                <w:i/>
                <w:iCs/>
                <w:sz w:val="18"/>
                <w:szCs w:val="18"/>
                <w:u w:val="single"/>
              </w:rPr>
              <w:t xml:space="preserve">Priority </w:t>
            </w:r>
            <w:r w:rsidRPr="00A65C75">
              <w:rPr>
                <w:rFonts w:ascii="Arial" w:hAnsi="Arial" w:cs="Arial"/>
                <w:i/>
                <w:sz w:val="18"/>
                <w:szCs w:val="18"/>
                <w:u w:val="single"/>
                <w:lang w:val="en"/>
              </w:rPr>
              <w:t>Axis 1</w:t>
            </w:r>
            <w:r w:rsidRPr="00A65C75">
              <w:rPr>
                <w:rFonts w:ascii="Arial" w:hAnsi="Arial" w:cs="Arial"/>
                <w:sz w:val="18"/>
                <w:szCs w:val="18"/>
                <w:lang w:val="en"/>
              </w:rPr>
              <w:t xml:space="preserve"> Investments in capacities renewable production, in storage in electricity, gas and district heating networks, efficiency power. </w:t>
            </w:r>
          </w:p>
          <w:p w14:paraId="2E9F1DC8" w14:textId="77777777" w:rsidR="00BC0F67" w:rsidRPr="00A65C75" w:rsidRDefault="00BC0F67">
            <w:pPr>
              <w:spacing w:line="276" w:lineRule="auto"/>
              <w:jc w:val="both"/>
              <w:rPr>
                <w:rFonts w:ascii="Arial" w:eastAsia="Calibri" w:hAnsi="Arial" w:cs="Arial"/>
                <w:sz w:val="18"/>
                <w:szCs w:val="18"/>
              </w:rPr>
            </w:pPr>
            <w:r w:rsidRPr="00A65C75">
              <w:rPr>
                <w:rFonts w:ascii="Arial" w:hAnsi="Arial" w:cs="Arial"/>
                <w:i/>
                <w:sz w:val="18"/>
                <w:szCs w:val="18"/>
                <w:u w:val="single"/>
                <w:lang w:val="en"/>
              </w:rPr>
              <w:t>Priority Axis 2</w:t>
            </w:r>
            <w:r w:rsidRPr="00A65C75">
              <w:rPr>
                <w:rFonts w:ascii="Arial" w:hAnsi="Arial" w:cs="Arial"/>
                <w:sz w:val="18"/>
                <w:szCs w:val="18"/>
                <w:lang w:val="en"/>
              </w:rPr>
              <w:t xml:space="preserve"> Investments in production capacities based on gas</w:t>
            </w:r>
          </w:p>
        </w:tc>
      </w:tr>
      <w:tr w:rsidR="00BC0F67" w:rsidRPr="00A65C75" w14:paraId="12CD1076" w14:textId="77777777" w:rsidTr="000A7086">
        <w:trPr>
          <w:trHeight w:val="5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536743" w14:textId="77777777" w:rsidR="00BC0F67" w:rsidRPr="00A65C75" w:rsidRDefault="00BC0F67">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19AD1D47" w14:textId="3BEC1A2E" w:rsidR="00BC0F67" w:rsidRPr="00A65C75" w:rsidRDefault="00BC0F67">
            <w:pPr>
              <w:spacing w:line="276" w:lineRule="auto"/>
              <w:jc w:val="both"/>
              <w:rPr>
                <w:rFonts w:ascii="Arial" w:hAnsi="Arial" w:cs="Arial"/>
                <w:iCs/>
                <w:sz w:val="18"/>
                <w:szCs w:val="18"/>
              </w:rPr>
            </w:pPr>
            <w:r w:rsidRPr="00A65C75">
              <w:rPr>
                <w:rFonts w:ascii="Arial" w:hAnsi="Arial" w:cs="Arial"/>
                <w:i/>
                <w:sz w:val="18"/>
                <w:szCs w:val="18"/>
              </w:rPr>
              <w:t>“</w:t>
            </w:r>
            <w:r w:rsidRPr="00A65C75">
              <w:rPr>
                <w:rFonts w:ascii="Arial" w:hAnsi="Arial" w:cs="Arial"/>
                <w:i/>
                <w:iCs/>
                <w:sz w:val="18"/>
                <w:szCs w:val="18"/>
              </w:rPr>
              <w:t>Sustainable Development Operational Program</w:t>
            </w:r>
            <w:r w:rsidR="00A65C75">
              <w:rPr>
                <w:rFonts w:ascii="Arial" w:hAnsi="Arial" w:cs="Arial"/>
                <w:i/>
                <w:iCs/>
                <w:sz w:val="18"/>
                <w:szCs w:val="18"/>
              </w:rPr>
              <w:t>me</w:t>
            </w:r>
            <w:r w:rsidRPr="00A65C75">
              <w:rPr>
                <w:rFonts w:ascii="Arial" w:hAnsi="Arial" w:cs="Arial"/>
                <w:i/>
                <w:iCs/>
                <w:sz w:val="18"/>
                <w:szCs w:val="18"/>
              </w:rPr>
              <w:t>”</w:t>
            </w:r>
            <w:r w:rsidRPr="00A65C75">
              <w:rPr>
                <w:rFonts w:ascii="Arial" w:hAnsi="Arial" w:cs="Arial"/>
                <w:iCs/>
                <w:sz w:val="18"/>
                <w:szCs w:val="18"/>
              </w:rPr>
              <w:t xml:space="preserve"> (SDOP)</w:t>
            </w:r>
          </w:p>
          <w:p w14:paraId="2148FF84" w14:textId="7319BF68" w:rsidR="00BC0F67" w:rsidRPr="00A65C75" w:rsidRDefault="00BC0F67">
            <w:pPr>
              <w:spacing w:line="276" w:lineRule="auto"/>
              <w:jc w:val="both"/>
              <w:rPr>
                <w:rFonts w:ascii="Arial" w:hAnsi="Arial" w:cs="Arial"/>
                <w:iCs/>
                <w:sz w:val="18"/>
                <w:szCs w:val="18"/>
              </w:rPr>
            </w:pPr>
            <w:r w:rsidRPr="00A65C75">
              <w:rPr>
                <w:rFonts w:ascii="Arial" w:hAnsi="Arial" w:cs="Arial"/>
                <w:i/>
                <w:iCs/>
                <w:sz w:val="18"/>
                <w:szCs w:val="18"/>
                <w:u w:val="single"/>
              </w:rPr>
              <w:t>Priority 1</w:t>
            </w:r>
            <w:r w:rsidRPr="00A65C75">
              <w:rPr>
                <w:rFonts w:ascii="Arial" w:hAnsi="Arial" w:cs="Arial"/>
                <w:iCs/>
                <w:sz w:val="18"/>
                <w:szCs w:val="18"/>
              </w:rPr>
              <w:t xml:space="preserve"> Promoting energy efficiency, smart energy systems and networks, storage solutions and reducing greenhouse gas emissions</w:t>
            </w:r>
            <w:r w:rsidRPr="00A65C75">
              <w:rPr>
                <w:rFonts w:ascii="Arial" w:hAnsi="Arial" w:cs="Arial"/>
                <w:iCs/>
                <w:sz w:val="18"/>
                <w:szCs w:val="18"/>
                <w:lang w:val="en-US"/>
              </w:rPr>
              <w:t xml:space="preserve">, EUR- </w:t>
            </w:r>
            <w:r w:rsidRPr="00A65C75">
              <w:rPr>
                <w:rFonts w:ascii="Arial" w:hAnsi="Arial" w:cs="Arial"/>
                <w:sz w:val="18"/>
                <w:szCs w:val="18"/>
              </w:rPr>
              <w:t xml:space="preserve">FEDR </w:t>
            </w:r>
            <w:r w:rsidR="007722E7" w:rsidRPr="00A65C75">
              <w:rPr>
                <w:rFonts w:ascii="Arial" w:hAnsi="Arial" w:cs="Arial"/>
                <w:sz w:val="18"/>
                <w:szCs w:val="18"/>
              </w:rPr>
              <w:t>–</w:t>
            </w:r>
            <w:r w:rsidRPr="00A65C75">
              <w:rPr>
                <w:rFonts w:ascii="Arial" w:eastAsia="Times New Roman" w:hAnsi="Arial" w:cs="Arial"/>
                <w:bCs/>
                <w:sz w:val="18"/>
                <w:szCs w:val="18"/>
              </w:rPr>
              <w:t xml:space="preserve"> </w:t>
            </w:r>
            <w:r w:rsidRPr="00A65C75">
              <w:rPr>
                <w:rFonts w:ascii="Arial" w:hAnsi="Arial" w:cs="Arial"/>
                <w:iCs/>
                <w:sz w:val="18"/>
                <w:szCs w:val="18"/>
              </w:rPr>
              <w:t>400</w:t>
            </w:r>
            <w:r w:rsidR="007722E7" w:rsidRPr="00A65C75">
              <w:rPr>
                <w:rFonts w:ascii="Arial" w:hAnsi="Arial" w:cs="Arial"/>
                <w:iCs/>
                <w:sz w:val="18"/>
                <w:szCs w:val="18"/>
              </w:rPr>
              <w:t>,</w:t>
            </w:r>
            <w:r w:rsidRPr="00A65C75">
              <w:rPr>
                <w:rFonts w:ascii="Arial" w:hAnsi="Arial" w:cs="Arial"/>
                <w:iCs/>
                <w:sz w:val="18"/>
                <w:szCs w:val="18"/>
              </w:rPr>
              <w:t>000</w:t>
            </w:r>
            <w:r w:rsidR="007722E7" w:rsidRPr="00A65C75">
              <w:rPr>
                <w:rFonts w:ascii="Arial" w:hAnsi="Arial" w:cs="Arial"/>
                <w:iCs/>
                <w:sz w:val="18"/>
                <w:szCs w:val="18"/>
              </w:rPr>
              <w:t>,</w:t>
            </w:r>
            <w:r w:rsidRPr="00A65C75">
              <w:rPr>
                <w:rFonts w:ascii="Arial" w:hAnsi="Arial" w:cs="Arial"/>
                <w:iCs/>
                <w:sz w:val="18"/>
                <w:szCs w:val="18"/>
              </w:rPr>
              <w:t xml:space="preserve">000 + FC </w:t>
            </w:r>
            <w:r w:rsidR="007722E7" w:rsidRPr="00A65C75">
              <w:rPr>
                <w:rFonts w:ascii="Arial" w:hAnsi="Arial" w:cs="Arial"/>
                <w:iCs/>
                <w:sz w:val="18"/>
                <w:szCs w:val="18"/>
              </w:rPr>
              <w:t>–</w:t>
            </w:r>
            <w:r w:rsidRPr="00A65C75">
              <w:rPr>
                <w:rFonts w:ascii="Arial" w:hAnsi="Arial" w:cs="Arial"/>
                <w:iCs/>
                <w:sz w:val="18"/>
                <w:szCs w:val="18"/>
              </w:rPr>
              <w:t xml:space="preserve"> 200</w:t>
            </w:r>
            <w:r w:rsidR="007722E7" w:rsidRPr="00A65C75">
              <w:rPr>
                <w:rFonts w:ascii="Arial" w:hAnsi="Arial" w:cs="Arial"/>
                <w:iCs/>
                <w:sz w:val="18"/>
                <w:szCs w:val="18"/>
              </w:rPr>
              <w:t>,</w:t>
            </w:r>
            <w:r w:rsidRPr="00A65C75">
              <w:rPr>
                <w:rFonts w:ascii="Arial" w:hAnsi="Arial" w:cs="Arial"/>
                <w:iCs/>
                <w:sz w:val="18"/>
                <w:szCs w:val="18"/>
              </w:rPr>
              <w:t>000</w:t>
            </w:r>
            <w:r w:rsidR="007722E7" w:rsidRPr="00A65C75">
              <w:rPr>
                <w:rFonts w:ascii="Arial" w:hAnsi="Arial" w:cs="Arial"/>
                <w:iCs/>
                <w:sz w:val="18"/>
                <w:szCs w:val="18"/>
              </w:rPr>
              <w:t>,</w:t>
            </w:r>
            <w:r w:rsidRPr="00A65C75">
              <w:rPr>
                <w:rFonts w:ascii="Arial" w:hAnsi="Arial" w:cs="Arial"/>
                <w:iCs/>
                <w:sz w:val="18"/>
                <w:szCs w:val="18"/>
              </w:rPr>
              <w:t>000</w:t>
            </w:r>
          </w:p>
          <w:p w14:paraId="087F32D0" w14:textId="155FA820" w:rsidR="00BC0F67" w:rsidRPr="00A65C75" w:rsidRDefault="00BC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Times New Roman" w:hAnsi="Arial" w:cs="Arial"/>
                <w:sz w:val="18"/>
                <w:szCs w:val="18"/>
                <w:lang w:val="en-US"/>
              </w:rPr>
            </w:pPr>
            <w:r w:rsidRPr="00A65C75">
              <w:rPr>
                <w:rFonts w:ascii="Arial" w:hAnsi="Arial" w:cs="Arial"/>
                <w:i/>
                <w:iCs/>
                <w:sz w:val="18"/>
                <w:szCs w:val="18"/>
                <w:u w:val="single"/>
              </w:rPr>
              <w:t xml:space="preserve">Priority </w:t>
            </w:r>
            <w:r w:rsidRPr="00A65C75">
              <w:rPr>
                <w:rFonts w:ascii="Arial" w:hAnsi="Arial" w:cs="Arial"/>
                <w:i/>
                <w:iCs/>
                <w:sz w:val="18"/>
                <w:szCs w:val="18"/>
                <w:u w:val="single"/>
                <w:lang w:val="en-US"/>
              </w:rPr>
              <w:t>2</w:t>
            </w:r>
            <w:r w:rsidRPr="00A65C75">
              <w:rPr>
                <w:rFonts w:ascii="Arial" w:hAnsi="Arial" w:cs="Arial"/>
                <w:iCs/>
                <w:sz w:val="18"/>
                <w:szCs w:val="18"/>
              </w:rPr>
              <w:t xml:space="preserve"> </w:t>
            </w:r>
            <w:r w:rsidRPr="00A65C75">
              <w:rPr>
                <w:rFonts w:ascii="Arial" w:eastAsia="Times New Roman" w:hAnsi="Arial" w:cs="Arial"/>
                <w:sz w:val="18"/>
                <w:szCs w:val="18"/>
                <w:lang w:val="en"/>
              </w:rPr>
              <w:t>Development of water and wastewater infrastructure and the transition to a circular economy</w:t>
            </w:r>
            <w:r w:rsidRPr="00A65C75">
              <w:rPr>
                <w:rFonts w:ascii="Arial" w:hAnsi="Arial" w:cs="Arial"/>
                <w:iCs/>
                <w:sz w:val="18"/>
                <w:szCs w:val="18"/>
                <w:lang w:val="en-US"/>
              </w:rPr>
              <w:t xml:space="preserve">, EUR- </w:t>
            </w:r>
            <w:r w:rsidRPr="00A65C75">
              <w:rPr>
                <w:rFonts w:ascii="Arial" w:hAnsi="Arial" w:cs="Arial"/>
                <w:sz w:val="18"/>
                <w:szCs w:val="18"/>
              </w:rPr>
              <w:t xml:space="preserve">FEDR </w:t>
            </w:r>
            <w:r w:rsidRPr="00A65C75">
              <w:rPr>
                <w:rFonts w:ascii="Arial" w:eastAsia="Times New Roman" w:hAnsi="Arial" w:cs="Arial"/>
                <w:bCs/>
                <w:sz w:val="18"/>
                <w:szCs w:val="18"/>
              </w:rPr>
              <w:t>2.13</w:t>
            </w:r>
            <w:r w:rsidR="007722E7" w:rsidRPr="00A65C75">
              <w:rPr>
                <w:rFonts w:ascii="Arial" w:eastAsia="Times New Roman" w:hAnsi="Arial" w:cs="Arial"/>
                <w:bCs/>
                <w:sz w:val="18"/>
                <w:szCs w:val="18"/>
              </w:rPr>
              <w:t xml:space="preserve"> billion</w:t>
            </w:r>
            <w:r w:rsidRPr="00A65C75">
              <w:rPr>
                <w:rFonts w:ascii="Arial" w:hAnsi="Arial" w:cs="Arial"/>
                <w:iCs/>
                <w:sz w:val="18"/>
                <w:szCs w:val="18"/>
              </w:rPr>
              <w:t xml:space="preserve"> + FC 637</w:t>
            </w:r>
            <w:r w:rsidR="007722E7" w:rsidRPr="00A65C75">
              <w:rPr>
                <w:rFonts w:ascii="Arial" w:hAnsi="Arial" w:cs="Arial"/>
                <w:iCs/>
                <w:sz w:val="18"/>
                <w:szCs w:val="18"/>
              </w:rPr>
              <w:t>,</w:t>
            </w:r>
            <w:r w:rsidRPr="00A65C75">
              <w:rPr>
                <w:rFonts w:ascii="Arial" w:hAnsi="Arial" w:cs="Arial"/>
                <w:iCs/>
                <w:sz w:val="18"/>
                <w:szCs w:val="18"/>
              </w:rPr>
              <w:t>800</w:t>
            </w:r>
          </w:p>
        </w:tc>
      </w:tr>
      <w:tr w:rsidR="00BC0F67" w:rsidRPr="00A65C75" w14:paraId="5C695983" w14:textId="77777777" w:rsidTr="00964831">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D2980" w14:textId="77777777" w:rsidR="00BC0F67" w:rsidRPr="00A65C75" w:rsidRDefault="00BC0F67">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0E2DFAE8" w14:textId="70A225CA" w:rsidR="00BC0F67" w:rsidRPr="00A65C75" w:rsidRDefault="00BC0F67">
            <w:pPr>
              <w:tabs>
                <w:tab w:val="left" w:pos="10076"/>
                <w:tab w:val="left" w:pos="10992"/>
                <w:tab w:val="left" w:pos="11908"/>
                <w:tab w:val="left" w:pos="12824"/>
                <w:tab w:val="left" w:pos="13740"/>
                <w:tab w:val="left" w:pos="14656"/>
              </w:tabs>
              <w:spacing w:line="276" w:lineRule="auto"/>
              <w:jc w:val="both"/>
              <w:rPr>
                <w:rFonts w:ascii="Arial" w:hAnsi="Arial" w:cs="Arial"/>
                <w:sz w:val="18"/>
                <w:szCs w:val="18"/>
              </w:rPr>
            </w:pPr>
            <w:r w:rsidRPr="00A65C75">
              <w:rPr>
                <w:rFonts w:ascii="Arial" w:hAnsi="Arial" w:cs="Arial"/>
                <w:i/>
                <w:sz w:val="18"/>
                <w:szCs w:val="18"/>
              </w:rPr>
              <w:t xml:space="preserve">“National </w:t>
            </w:r>
            <w:r w:rsidR="00A65C75">
              <w:rPr>
                <w:rFonts w:ascii="Arial" w:hAnsi="Arial" w:cs="Arial"/>
                <w:i/>
                <w:sz w:val="18"/>
                <w:szCs w:val="18"/>
              </w:rPr>
              <w:t>Recovery and Resilience Plan</w:t>
            </w:r>
            <w:r w:rsidRPr="00A65C75">
              <w:rPr>
                <w:rFonts w:ascii="Arial" w:hAnsi="Arial" w:cs="Arial"/>
                <w:i/>
                <w:sz w:val="18"/>
                <w:szCs w:val="18"/>
              </w:rPr>
              <w:t>” (</w:t>
            </w:r>
            <w:r w:rsidR="00A65C75">
              <w:rPr>
                <w:rFonts w:ascii="Arial" w:hAnsi="Arial" w:cs="Arial"/>
                <w:i/>
                <w:sz w:val="18"/>
                <w:szCs w:val="18"/>
              </w:rPr>
              <w:t>RRP</w:t>
            </w:r>
            <w:r w:rsidRPr="00A65C75">
              <w:rPr>
                <w:rFonts w:ascii="Arial" w:hAnsi="Arial" w:cs="Arial"/>
                <w:i/>
                <w:sz w:val="18"/>
                <w:szCs w:val="18"/>
              </w:rPr>
              <w:t>)</w:t>
            </w:r>
            <w:r w:rsidRPr="00A65C75">
              <w:rPr>
                <w:rFonts w:ascii="Arial" w:hAnsi="Arial" w:cs="Arial"/>
                <w:i/>
                <w:sz w:val="18"/>
                <w:szCs w:val="18"/>
                <w:u w:val="single"/>
              </w:rPr>
              <w:t>.</w:t>
            </w:r>
            <w:r w:rsidRPr="00A65C75">
              <w:rPr>
                <w:rFonts w:ascii="Arial" w:hAnsi="Arial" w:cs="Arial"/>
                <w:sz w:val="18"/>
                <w:szCs w:val="18"/>
              </w:rPr>
              <w:t xml:space="preserve">  </w:t>
            </w:r>
          </w:p>
          <w:p w14:paraId="14FF3CDF" w14:textId="2E186204" w:rsidR="00BC0F67" w:rsidRPr="00A65C75" w:rsidRDefault="00BC0F67">
            <w:pPr>
              <w:spacing w:line="276" w:lineRule="auto"/>
              <w:rPr>
                <w:rFonts w:ascii="Arial" w:hAnsi="Arial" w:cs="Arial"/>
                <w:sz w:val="18"/>
                <w:szCs w:val="18"/>
              </w:rPr>
            </w:pPr>
            <w:r w:rsidRPr="00A65C75">
              <w:rPr>
                <w:rFonts w:ascii="Arial" w:hAnsi="Arial" w:cs="Arial"/>
                <w:i/>
                <w:iCs/>
                <w:sz w:val="18"/>
                <w:szCs w:val="18"/>
                <w:u w:val="single"/>
              </w:rPr>
              <w:lastRenderedPageBreak/>
              <w:t>Pillar I Green Transition</w:t>
            </w:r>
            <w:r w:rsidRPr="00A65C75">
              <w:rPr>
                <w:rFonts w:ascii="Arial" w:hAnsi="Arial" w:cs="Arial"/>
                <w:i/>
                <w:iCs/>
                <w:sz w:val="18"/>
                <w:szCs w:val="18"/>
              </w:rPr>
              <w:t xml:space="preserve">, Component 2 We afforest Romania and protect biodiversity. </w:t>
            </w:r>
            <w:r w:rsidRPr="00A65C75">
              <w:rPr>
                <w:rFonts w:ascii="Arial" w:hAnsi="Arial" w:cs="Arial"/>
                <w:i/>
                <w:iCs/>
                <w:sz w:val="18"/>
                <w:szCs w:val="18"/>
                <w:lang w:val="en-US"/>
              </w:rPr>
              <w:t xml:space="preserve">EUR </w:t>
            </w:r>
            <w:r w:rsidRPr="00A65C75">
              <w:rPr>
                <w:rFonts w:ascii="Arial" w:hAnsi="Arial" w:cs="Arial"/>
                <w:sz w:val="18"/>
                <w:szCs w:val="18"/>
              </w:rPr>
              <w:t>1.37 b</w:t>
            </w:r>
            <w:r w:rsidR="007722E7" w:rsidRPr="00A65C75">
              <w:rPr>
                <w:rFonts w:ascii="Arial" w:hAnsi="Arial" w:cs="Arial"/>
                <w:sz w:val="18"/>
                <w:szCs w:val="18"/>
              </w:rPr>
              <w:t>n</w:t>
            </w:r>
            <w:r w:rsidRPr="00A65C75">
              <w:rPr>
                <w:rFonts w:ascii="Arial" w:hAnsi="Arial" w:cs="Arial"/>
                <w:sz w:val="18"/>
                <w:szCs w:val="18"/>
                <w:lang w:val="en-US"/>
              </w:rPr>
              <w:t xml:space="preserve">, </w:t>
            </w:r>
            <w:r w:rsidRPr="00A65C75">
              <w:rPr>
                <w:rFonts w:ascii="Arial" w:hAnsi="Arial" w:cs="Arial"/>
                <w:i/>
                <w:iCs/>
                <w:sz w:val="18"/>
                <w:szCs w:val="18"/>
              </w:rPr>
              <w:t xml:space="preserve">Component 3 Waste management. </w:t>
            </w:r>
            <w:r w:rsidRPr="00A65C75">
              <w:rPr>
                <w:rFonts w:ascii="Arial" w:hAnsi="Arial" w:cs="Arial"/>
                <w:i/>
                <w:iCs/>
                <w:sz w:val="18"/>
                <w:szCs w:val="18"/>
                <w:lang w:val="en-US"/>
              </w:rPr>
              <w:t xml:space="preserve">EUR </w:t>
            </w:r>
            <w:r w:rsidRPr="00A65C75">
              <w:rPr>
                <w:rFonts w:ascii="Arial" w:hAnsi="Arial" w:cs="Arial"/>
                <w:sz w:val="18"/>
                <w:szCs w:val="18"/>
              </w:rPr>
              <w:t>1.2</w:t>
            </w:r>
            <w:r w:rsidR="001D4049" w:rsidRPr="00A65C75">
              <w:rPr>
                <w:rFonts w:ascii="Arial" w:hAnsi="Arial" w:cs="Arial"/>
                <w:sz w:val="18"/>
                <w:szCs w:val="18"/>
              </w:rPr>
              <w:t xml:space="preserve"> bn</w:t>
            </w:r>
            <w:r w:rsidRPr="00A65C75">
              <w:rPr>
                <w:rFonts w:ascii="Arial" w:hAnsi="Arial" w:cs="Arial"/>
                <w:iCs/>
                <w:sz w:val="18"/>
                <w:szCs w:val="18"/>
                <w:lang w:val="en-US"/>
              </w:rPr>
              <w:t xml:space="preserve">, </w:t>
            </w:r>
            <w:r w:rsidRPr="00A65C75">
              <w:rPr>
                <w:rFonts w:ascii="Arial" w:hAnsi="Arial" w:cs="Arial"/>
                <w:i/>
                <w:iCs/>
                <w:sz w:val="18"/>
                <w:szCs w:val="18"/>
              </w:rPr>
              <w:t>Component 4 Rail transport and urban mobility</w:t>
            </w:r>
            <w:r w:rsidRPr="00A65C75">
              <w:rPr>
                <w:rFonts w:ascii="Arial" w:hAnsi="Arial" w:cs="Arial"/>
                <w:iCs/>
                <w:sz w:val="18"/>
                <w:szCs w:val="18"/>
                <w:lang w:val="en-US"/>
              </w:rPr>
              <w:t xml:space="preserve">, </w:t>
            </w:r>
            <w:r w:rsidRPr="00A65C75">
              <w:rPr>
                <w:rFonts w:ascii="Arial" w:hAnsi="Arial" w:cs="Arial"/>
                <w:i/>
                <w:iCs/>
                <w:sz w:val="18"/>
                <w:szCs w:val="18"/>
              </w:rPr>
              <w:t>Component 5 I.5 Renovation wave, fund for green and seismic rehabilitation</w:t>
            </w:r>
            <w:r w:rsidRPr="00A65C75">
              <w:rPr>
                <w:rFonts w:ascii="Arial" w:hAnsi="Arial" w:cs="Arial"/>
                <w:i/>
                <w:iCs/>
                <w:sz w:val="18"/>
                <w:szCs w:val="18"/>
                <w:lang w:val="en-US"/>
              </w:rPr>
              <w:t xml:space="preserve">, EUR </w:t>
            </w:r>
            <w:r w:rsidRPr="00A65C75">
              <w:rPr>
                <w:rFonts w:ascii="Arial" w:hAnsi="Arial" w:cs="Arial"/>
                <w:sz w:val="18"/>
                <w:szCs w:val="18"/>
              </w:rPr>
              <w:t>2.2</w:t>
            </w:r>
            <w:r w:rsidR="007722E7" w:rsidRPr="00A65C75">
              <w:rPr>
                <w:rFonts w:ascii="Arial" w:hAnsi="Arial" w:cs="Arial"/>
                <w:i/>
                <w:iCs/>
                <w:sz w:val="18"/>
                <w:szCs w:val="18"/>
              </w:rPr>
              <w:t xml:space="preserve"> bn</w:t>
            </w:r>
            <w:r w:rsidRPr="00A65C75">
              <w:rPr>
                <w:rFonts w:ascii="Arial" w:hAnsi="Arial" w:cs="Arial"/>
                <w:i/>
                <w:iCs/>
                <w:sz w:val="18"/>
                <w:szCs w:val="18"/>
              </w:rPr>
              <w:t xml:space="preserve"> Component 6 Energy.</w:t>
            </w:r>
            <w:r w:rsidRPr="00A65C75">
              <w:rPr>
                <w:rFonts w:ascii="Arial" w:hAnsi="Arial" w:cs="Arial"/>
                <w:i/>
                <w:iCs/>
                <w:sz w:val="18"/>
                <w:szCs w:val="18"/>
                <w:lang w:val="en-US"/>
              </w:rPr>
              <w:t xml:space="preserve"> EUR </w:t>
            </w:r>
            <w:r w:rsidRPr="00A65C75">
              <w:rPr>
                <w:rFonts w:ascii="Arial" w:hAnsi="Arial" w:cs="Arial"/>
                <w:sz w:val="18"/>
                <w:szCs w:val="18"/>
              </w:rPr>
              <w:t>1</w:t>
            </w:r>
            <w:r w:rsidR="007722E7" w:rsidRPr="00A65C75">
              <w:rPr>
                <w:rFonts w:ascii="Arial" w:hAnsi="Arial" w:cs="Arial"/>
                <w:sz w:val="18"/>
                <w:szCs w:val="18"/>
              </w:rPr>
              <w:t>.</w:t>
            </w:r>
            <w:r w:rsidRPr="00A65C75">
              <w:rPr>
                <w:rFonts w:ascii="Arial" w:hAnsi="Arial" w:cs="Arial"/>
                <w:sz w:val="18"/>
                <w:szCs w:val="18"/>
              </w:rPr>
              <w:t>62</w:t>
            </w:r>
            <w:r w:rsidR="001D4049" w:rsidRPr="00A65C75">
              <w:rPr>
                <w:rFonts w:ascii="Arial" w:hAnsi="Arial" w:cs="Arial"/>
                <w:sz w:val="18"/>
                <w:szCs w:val="18"/>
              </w:rPr>
              <w:t xml:space="preserve"> bn</w:t>
            </w:r>
            <w:r w:rsidRPr="00A65C75">
              <w:rPr>
                <w:rFonts w:ascii="Arial" w:hAnsi="Arial" w:cs="Arial"/>
                <w:sz w:val="18"/>
                <w:szCs w:val="18"/>
              </w:rPr>
              <w:t xml:space="preserve"> </w:t>
            </w:r>
          </w:p>
          <w:p w14:paraId="1ECEFF65" w14:textId="77777777" w:rsidR="00BC0F67" w:rsidRPr="00A65C75" w:rsidRDefault="00BC0F67">
            <w:pPr>
              <w:tabs>
                <w:tab w:val="left" w:pos="10076"/>
                <w:tab w:val="left" w:pos="10992"/>
                <w:tab w:val="left" w:pos="11908"/>
                <w:tab w:val="left" w:pos="12824"/>
                <w:tab w:val="left" w:pos="13740"/>
                <w:tab w:val="left" w:pos="14656"/>
              </w:tabs>
              <w:spacing w:line="276" w:lineRule="auto"/>
              <w:jc w:val="both"/>
              <w:rPr>
                <w:rFonts w:ascii="Arial" w:hAnsi="Arial" w:cs="Arial"/>
                <w:sz w:val="18"/>
                <w:szCs w:val="18"/>
                <w:lang w:val="en-US"/>
              </w:rPr>
            </w:pPr>
            <w:r w:rsidRPr="00A65C75">
              <w:rPr>
                <w:rFonts w:ascii="Arial" w:hAnsi="Arial" w:cs="Arial"/>
                <w:i/>
                <w:iCs/>
                <w:sz w:val="18"/>
                <w:szCs w:val="18"/>
                <w:u w:val="single"/>
              </w:rPr>
              <w:t>Pillar III Smart, sustainable and inclusive growth</w:t>
            </w:r>
          </w:p>
          <w:p w14:paraId="06288B01" w14:textId="77777777" w:rsidR="00BC0F67" w:rsidRPr="00A65C75" w:rsidRDefault="00BC0F67">
            <w:pPr>
              <w:tabs>
                <w:tab w:val="left" w:pos="10076"/>
                <w:tab w:val="left" w:pos="10992"/>
                <w:tab w:val="left" w:pos="11908"/>
                <w:tab w:val="left" w:pos="12824"/>
                <w:tab w:val="left" w:pos="13740"/>
                <w:tab w:val="left" w:pos="14656"/>
              </w:tabs>
              <w:spacing w:line="276" w:lineRule="auto"/>
              <w:jc w:val="both"/>
              <w:rPr>
                <w:rFonts w:ascii="Arial" w:eastAsia="Calibri" w:hAnsi="Arial" w:cs="Arial"/>
                <w:sz w:val="18"/>
                <w:szCs w:val="18"/>
                <w:lang w:val="en-US"/>
              </w:rPr>
            </w:pPr>
            <w:r w:rsidRPr="00A65C75">
              <w:rPr>
                <w:rFonts w:ascii="Arial" w:hAnsi="Arial" w:cs="Arial"/>
                <w:i/>
                <w:iCs/>
                <w:sz w:val="18"/>
                <w:szCs w:val="18"/>
                <w:u w:val="single"/>
              </w:rPr>
              <w:t>Pillar IV Social and territorial cohesion</w:t>
            </w:r>
            <w:r w:rsidRPr="00A65C75">
              <w:rPr>
                <w:rFonts w:ascii="Arial" w:hAnsi="Arial" w:cs="Arial"/>
                <w:i/>
                <w:iCs/>
                <w:sz w:val="18"/>
                <w:szCs w:val="18"/>
              </w:rPr>
              <w:t xml:space="preserve">. </w:t>
            </w:r>
          </w:p>
        </w:tc>
      </w:tr>
      <w:tr w:rsidR="00BC0F67" w:rsidRPr="00A65C75" w14:paraId="6F0BE459" w14:textId="77777777" w:rsidTr="00402580">
        <w:trPr>
          <w:trHeight w:val="880"/>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9BE09D" w14:textId="1790AF2C" w:rsidR="00BC0F67" w:rsidRPr="00A65C75" w:rsidRDefault="00A65C75" w:rsidP="001D4049">
            <w:pPr>
              <w:pStyle w:val="ListParagraph"/>
              <w:spacing w:line="240" w:lineRule="auto"/>
              <w:ind w:left="0" w:right="85"/>
              <w:rPr>
                <w:iCs/>
                <w:color w:val="000000"/>
                <w:sz w:val="18"/>
                <w:szCs w:val="18"/>
                <w:lang w:val="en-US"/>
              </w:rPr>
            </w:pPr>
            <w:r w:rsidRPr="00A65C75">
              <w:rPr>
                <w:iCs/>
                <w:color w:val="000000"/>
                <w:sz w:val="18"/>
                <w:szCs w:val="18"/>
                <w:lang w:val="en-US"/>
              </w:rPr>
              <w:lastRenderedPageBreak/>
              <w:t xml:space="preserve">Type </w:t>
            </w:r>
            <w:r w:rsidR="00BC0F67" w:rsidRPr="00A65C75">
              <w:rPr>
                <w:iCs/>
                <w:color w:val="000000"/>
                <w:sz w:val="18"/>
                <w:szCs w:val="18"/>
                <w:lang w:val="en-US"/>
              </w:rPr>
              <w:t>3</w:t>
            </w:r>
          </w:p>
          <w:p w14:paraId="0704C1B4" w14:textId="703C6174" w:rsidR="00BC0F67" w:rsidRPr="00A65C75" w:rsidRDefault="00BC0F67" w:rsidP="001D4049">
            <w:pPr>
              <w:pStyle w:val="ListParagraph"/>
              <w:spacing w:line="240" w:lineRule="auto"/>
              <w:ind w:left="0" w:right="85"/>
              <w:rPr>
                <w:iCs/>
                <w:sz w:val="18"/>
                <w:szCs w:val="18"/>
                <w:lang w:val="en-US"/>
              </w:rPr>
            </w:pPr>
            <w:r w:rsidRPr="00A65C75">
              <w:rPr>
                <w:iCs/>
                <w:sz w:val="18"/>
                <w:szCs w:val="18"/>
                <w:lang w:val="en-US"/>
              </w:rPr>
              <w:t>I</w:t>
            </w:r>
            <w:r w:rsidRPr="00A65C75">
              <w:rPr>
                <w:iCs/>
                <w:sz w:val="18"/>
                <w:szCs w:val="18"/>
              </w:rPr>
              <w:t>mproving the employment situation in the county through upskilling/ reskilling p</w:t>
            </w:r>
            <w:r w:rsidR="00D206E5">
              <w:rPr>
                <w:iCs/>
                <w:sz w:val="18"/>
                <w:szCs w:val="18"/>
              </w:rPr>
              <w:t>rogrammes</w:t>
            </w:r>
            <w:r w:rsidRPr="00A65C75">
              <w:rPr>
                <w:iCs/>
                <w:sz w:val="18"/>
                <w:szCs w:val="18"/>
              </w:rPr>
              <w:t>, digiti</w:t>
            </w:r>
            <w:r w:rsidR="004E7B64">
              <w:rPr>
                <w:iCs/>
                <w:sz w:val="18"/>
                <w:szCs w:val="18"/>
              </w:rPr>
              <w:t>sation</w:t>
            </w:r>
            <w:r w:rsidRPr="00A65C75">
              <w:rPr>
                <w:iCs/>
                <w:sz w:val="18"/>
                <w:szCs w:val="18"/>
              </w:rPr>
              <w:t xml:space="preserve"> of the workforce services</w:t>
            </w:r>
          </w:p>
          <w:p w14:paraId="5C87C19F" w14:textId="77777777" w:rsidR="00BC0F67" w:rsidRPr="00A65C75" w:rsidRDefault="00BC0F67" w:rsidP="001D4049">
            <w:pPr>
              <w:pStyle w:val="ListParagraph"/>
              <w:tabs>
                <w:tab w:val="left" w:pos="10076"/>
                <w:tab w:val="left" w:pos="10992"/>
                <w:tab w:val="left" w:pos="11908"/>
                <w:tab w:val="left" w:pos="12824"/>
                <w:tab w:val="left" w:pos="13740"/>
                <w:tab w:val="left" w:pos="14656"/>
              </w:tabs>
              <w:spacing w:line="240" w:lineRule="auto"/>
              <w:ind w:left="0"/>
              <w:rPr>
                <w:i/>
                <w:sz w:val="18"/>
                <w:szCs w:val="18"/>
              </w:rPr>
            </w:pPr>
          </w:p>
          <w:p w14:paraId="5F1BE98B" w14:textId="77777777" w:rsidR="00BC0F67" w:rsidRPr="00A65C75" w:rsidRDefault="00BC0F67" w:rsidP="00402580">
            <w:pPr>
              <w:spacing w:line="276" w:lineRule="auto"/>
              <w:jc w:val="both"/>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CDB7235" w14:textId="2FEFB379" w:rsidR="00BC0F67" w:rsidRPr="00A65C75" w:rsidRDefault="00BC0F67" w:rsidP="00402580">
            <w:pPr>
              <w:spacing w:line="276" w:lineRule="auto"/>
              <w:rPr>
                <w:rFonts w:ascii="Arial" w:hAnsi="Arial" w:cs="Arial"/>
                <w:i/>
                <w:sz w:val="18"/>
                <w:szCs w:val="18"/>
              </w:rPr>
            </w:pPr>
            <w:r w:rsidRPr="00A65C75">
              <w:rPr>
                <w:rFonts w:ascii="Arial" w:hAnsi="Arial" w:cs="Arial"/>
                <w:i/>
                <w:sz w:val="18"/>
                <w:szCs w:val="18"/>
              </w:rPr>
              <w:t xml:space="preserve">“National </w:t>
            </w:r>
            <w:r w:rsidR="00A65C75">
              <w:rPr>
                <w:rFonts w:ascii="Arial" w:hAnsi="Arial" w:cs="Arial"/>
                <w:i/>
                <w:sz w:val="18"/>
                <w:szCs w:val="18"/>
              </w:rPr>
              <w:t>Recovery and Resilience Plan”</w:t>
            </w:r>
            <w:r w:rsidRPr="00A65C75">
              <w:rPr>
                <w:rFonts w:ascii="Arial" w:hAnsi="Arial" w:cs="Arial"/>
                <w:i/>
                <w:sz w:val="18"/>
                <w:szCs w:val="18"/>
              </w:rPr>
              <w:t xml:space="preserve"> (</w:t>
            </w:r>
            <w:r w:rsidR="00A65C75">
              <w:rPr>
                <w:rFonts w:ascii="Arial" w:hAnsi="Arial" w:cs="Arial"/>
                <w:i/>
                <w:sz w:val="18"/>
                <w:szCs w:val="18"/>
              </w:rPr>
              <w:t>RRP</w:t>
            </w:r>
            <w:r w:rsidRPr="00A65C75">
              <w:rPr>
                <w:rFonts w:ascii="Arial" w:hAnsi="Arial" w:cs="Arial"/>
                <w:i/>
                <w:sz w:val="18"/>
                <w:szCs w:val="18"/>
              </w:rPr>
              <w:t xml:space="preserve">). </w:t>
            </w:r>
          </w:p>
          <w:p w14:paraId="19B926A2" w14:textId="7BD6880A" w:rsidR="00BC0F67" w:rsidRPr="00A65C75" w:rsidRDefault="00BC0F67" w:rsidP="00402580">
            <w:pPr>
              <w:spacing w:line="276" w:lineRule="auto"/>
              <w:rPr>
                <w:rFonts w:ascii="Arial" w:eastAsia="Calibri" w:hAnsi="Arial" w:cs="Arial"/>
                <w:sz w:val="18"/>
                <w:szCs w:val="18"/>
                <w:lang w:val="en-US"/>
              </w:rPr>
            </w:pPr>
            <w:r w:rsidRPr="00A65C75">
              <w:rPr>
                <w:rFonts w:ascii="Arial" w:hAnsi="Arial" w:cs="Arial"/>
                <w:i/>
                <w:iCs/>
                <w:sz w:val="18"/>
                <w:szCs w:val="18"/>
                <w:u w:val="single"/>
              </w:rPr>
              <w:t>Pillar VI Policies for the Next Generation, Children and Youth</w:t>
            </w:r>
            <w:r w:rsidRPr="00A65C75">
              <w:rPr>
                <w:rFonts w:ascii="Arial" w:hAnsi="Arial" w:cs="Arial"/>
                <w:i/>
                <w:iCs/>
                <w:sz w:val="18"/>
                <w:szCs w:val="18"/>
              </w:rPr>
              <w:t xml:space="preserve"> Component 15 Educated Romania - National Nursery Program.</w:t>
            </w:r>
            <w:r w:rsidRPr="00A65C75">
              <w:rPr>
                <w:rFonts w:ascii="Arial" w:hAnsi="Arial" w:cs="Arial"/>
                <w:i/>
                <w:iCs/>
                <w:sz w:val="18"/>
                <w:szCs w:val="18"/>
                <w:lang w:val="en-US"/>
              </w:rPr>
              <w:t xml:space="preserve">EUR </w:t>
            </w:r>
            <w:r w:rsidRPr="00A65C75">
              <w:rPr>
                <w:rFonts w:ascii="Arial" w:hAnsi="Arial" w:cs="Arial"/>
                <w:i/>
                <w:iCs/>
                <w:sz w:val="18"/>
                <w:szCs w:val="18"/>
              </w:rPr>
              <w:t>3.6</w:t>
            </w:r>
            <w:r w:rsidR="001D4049" w:rsidRPr="00A65C75">
              <w:rPr>
                <w:rFonts w:ascii="Arial" w:hAnsi="Arial" w:cs="Arial"/>
                <w:i/>
                <w:iCs/>
                <w:sz w:val="18"/>
                <w:szCs w:val="18"/>
              </w:rPr>
              <w:t xml:space="preserve"> bn</w:t>
            </w:r>
          </w:p>
        </w:tc>
      </w:tr>
      <w:tr w:rsidR="00BC0F67" w:rsidRPr="00A65C75" w14:paraId="14E59986" w14:textId="77777777" w:rsidTr="000A7086">
        <w:trPr>
          <w:trHeight w:val="91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41FD2" w14:textId="77777777" w:rsidR="00BC0F67" w:rsidRPr="00A65C75" w:rsidRDefault="00BC0F67">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6E858DEF" w14:textId="5C22412C" w:rsidR="00BC0F67" w:rsidRPr="00A65C75" w:rsidRDefault="00BC0F67">
            <w:pPr>
              <w:pStyle w:val="ListParagraph"/>
              <w:spacing w:line="240" w:lineRule="auto"/>
              <w:ind w:left="0" w:right="85"/>
              <w:jc w:val="both"/>
              <w:rPr>
                <w:i/>
                <w:sz w:val="18"/>
                <w:szCs w:val="18"/>
                <w:lang w:val="en-US"/>
              </w:rPr>
            </w:pPr>
            <w:r w:rsidRPr="00A65C75">
              <w:rPr>
                <w:i/>
                <w:sz w:val="18"/>
                <w:szCs w:val="18"/>
              </w:rPr>
              <w:t>“Regional Operational Program</w:t>
            </w:r>
            <w:r w:rsidR="00A65C75">
              <w:rPr>
                <w:i/>
                <w:sz w:val="18"/>
                <w:szCs w:val="18"/>
              </w:rPr>
              <w:t>me</w:t>
            </w:r>
            <w:r w:rsidRPr="00A65C75">
              <w:rPr>
                <w:i/>
                <w:sz w:val="18"/>
                <w:szCs w:val="18"/>
              </w:rPr>
              <w:t xml:space="preserve"> South Muntenia” (ROP). </w:t>
            </w:r>
          </w:p>
          <w:p w14:paraId="14A2F114" w14:textId="3C01F9A3" w:rsidR="00BC0F67" w:rsidRPr="00A65C75" w:rsidRDefault="00BC0F67">
            <w:pPr>
              <w:pStyle w:val="ListParagraph"/>
              <w:spacing w:line="240" w:lineRule="auto"/>
              <w:ind w:left="0" w:right="85"/>
              <w:jc w:val="both"/>
              <w:rPr>
                <w:sz w:val="18"/>
                <w:szCs w:val="18"/>
              </w:rPr>
            </w:pPr>
            <w:r w:rsidRPr="00A65C75">
              <w:rPr>
                <w:i/>
                <w:sz w:val="18"/>
                <w:szCs w:val="18"/>
                <w:u w:val="single"/>
              </w:rPr>
              <w:t>Priority Axis 4 An educated region,</w:t>
            </w:r>
            <w:r w:rsidRPr="00A65C75">
              <w:rPr>
                <w:sz w:val="18"/>
                <w:szCs w:val="18"/>
              </w:rPr>
              <w:t xml:space="preserve"> EUR 64</w:t>
            </w:r>
            <w:r w:rsidR="007722E7" w:rsidRPr="00A65C75">
              <w:rPr>
                <w:sz w:val="18"/>
                <w:szCs w:val="18"/>
              </w:rPr>
              <w:t>,</w:t>
            </w:r>
            <w:r w:rsidRPr="00A65C75">
              <w:rPr>
                <w:sz w:val="18"/>
                <w:szCs w:val="18"/>
              </w:rPr>
              <w:t>654</w:t>
            </w:r>
            <w:r w:rsidR="007722E7" w:rsidRPr="00A65C75">
              <w:rPr>
                <w:sz w:val="18"/>
                <w:szCs w:val="18"/>
              </w:rPr>
              <w:t>,</w:t>
            </w:r>
            <w:r w:rsidRPr="00A65C75">
              <w:rPr>
                <w:sz w:val="18"/>
                <w:szCs w:val="18"/>
              </w:rPr>
              <w:t>000</w:t>
            </w:r>
          </w:p>
          <w:p w14:paraId="4A074B6E" w14:textId="77777777" w:rsidR="00BC0F67" w:rsidRPr="00A65C75" w:rsidRDefault="00BC0F67">
            <w:pPr>
              <w:pStyle w:val="ListParagraph"/>
              <w:spacing w:line="240" w:lineRule="auto"/>
              <w:ind w:left="0" w:right="85"/>
              <w:jc w:val="both"/>
              <w:rPr>
                <w:rFonts w:eastAsia="Calibri"/>
                <w:sz w:val="18"/>
                <w:szCs w:val="18"/>
                <w:lang w:val="en-US"/>
              </w:rPr>
            </w:pPr>
            <w:r w:rsidRPr="00A65C75">
              <w:rPr>
                <w:sz w:val="18"/>
                <w:szCs w:val="18"/>
              </w:rPr>
              <w:t>OP4/OS4.2 Improving access to quality and inclusive services in education, training and lifelong learning through infrastructure development,</w:t>
            </w:r>
            <w:r w:rsidRPr="00A65C75">
              <w:rPr>
                <w:w w:val="101"/>
                <w:sz w:val="18"/>
                <w:szCs w:val="18"/>
              </w:rPr>
              <w:t xml:space="preserve"> </w:t>
            </w:r>
            <w:r w:rsidRPr="00A65C75">
              <w:rPr>
                <w:i/>
                <w:sz w:val="18"/>
                <w:szCs w:val="18"/>
              </w:rPr>
              <w:t>breakdown unavailable</w:t>
            </w:r>
          </w:p>
        </w:tc>
      </w:tr>
      <w:tr w:rsidR="00BC0F67" w:rsidRPr="00A65C75" w14:paraId="6566D14E" w14:textId="77777777" w:rsidTr="000A7086">
        <w:trPr>
          <w:trHeight w:val="33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F65FF" w14:textId="77777777" w:rsidR="00BC0F67" w:rsidRPr="00A65C75" w:rsidRDefault="00BC0F67">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6638C9F1" w14:textId="77777777" w:rsidR="00BC0F67" w:rsidRPr="00A65C75" w:rsidRDefault="00BC0F67" w:rsidP="00402580">
            <w:pPr>
              <w:spacing w:line="276" w:lineRule="auto"/>
              <w:jc w:val="both"/>
              <w:rPr>
                <w:rFonts w:ascii="Arial" w:hAnsi="Arial" w:cs="Arial"/>
                <w:bCs/>
                <w:sz w:val="18"/>
                <w:szCs w:val="18"/>
                <w:lang w:val="ro-RO"/>
              </w:rPr>
            </w:pPr>
            <w:r w:rsidRPr="00A65C75">
              <w:rPr>
                <w:rFonts w:ascii="Arial" w:hAnsi="Arial" w:cs="Arial"/>
                <w:bCs/>
                <w:i/>
                <w:sz w:val="18"/>
                <w:szCs w:val="18"/>
                <w:lang w:val="ro-RO"/>
              </w:rPr>
              <w:t>„Education and Employment Operational Programme” (EEOP).</w:t>
            </w:r>
            <w:r w:rsidRPr="00A65C75">
              <w:rPr>
                <w:rFonts w:ascii="Arial" w:hAnsi="Arial" w:cs="Arial"/>
                <w:bCs/>
                <w:sz w:val="18"/>
                <w:szCs w:val="18"/>
                <w:lang w:val="ro-RO"/>
              </w:rPr>
              <w:t xml:space="preserve"> </w:t>
            </w:r>
          </w:p>
          <w:p w14:paraId="3BA9404F" w14:textId="77777777" w:rsidR="00495512"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1</w:t>
            </w:r>
            <w:r w:rsidRPr="00A65C75">
              <w:rPr>
                <w:rFonts w:ascii="Arial" w:hAnsi="Arial" w:cs="Arial"/>
                <w:sz w:val="18"/>
                <w:szCs w:val="18"/>
              </w:rPr>
              <w:t xml:space="preserve"> Unlocking the potential of young people in the labor market. </w:t>
            </w:r>
          </w:p>
          <w:p w14:paraId="2BA80861" w14:textId="6F7020DA"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2</w:t>
            </w:r>
            <w:r w:rsidRPr="00A65C75">
              <w:rPr>
                <w:rFonts w:ascii="Arial" w:hAnsi="Arial" w:cs="Arial"/>
                <w:sz w:val="18"/>
                <w:szCs w:val="18"/>
              </w:rPr>
              <w:t xml:space="preserve"> Prevent early school leaving and increase access to and participation of disadvantaged groups in education and training. </w:t>
            </w:r>
          </w:p>
          <w:p w14:paraId="6856454E" w14:textId="77777777"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3</w:t>
            </w:r>
            <w:r w:rsidRPr="00A65C75">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50ADB9E5" w14:textId="77777777"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4</w:t>
            </w:r>
            <w:r w:rsidRPr="00A65C75">
              <w:rPr>
                <w:rFonts w:ascii="Arial" w:hAnsi="Arial" w:cs="Arial"/>
                <w:sz w:val="18"/>
                <w:szCs w:val="18"/>
              </w:rPr>
              <w:t xml:space="preserve"> Increasing the accessibility, attractiveness and quality of vocational and technical education. </w:t>
            </w:r>
          </w:p>
          <w:p w14:paraId="33C169FF" w14:textId="77777777"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5</w:t>
            </w:r>
            <w:r w:rsidRPr="00A65C75">
              <w:rPr>
                <w:rFonts w:ascii="Arial" w:hAnsi="Arial" w:cs="Arial"/>
                <w:sz w:val="18"/>
                <w:szCs w:val="18"/>
              </w:rPr>
              <w:t xml:space="preserve"> Increasing access to the labor market for all. </w:t>
            </w:r>
          </w:p>
          <w:p w14:paraId="1E0C3361" w14:textId="77777777"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6</w:t>
            </w:r>
            <w:r w:rsidRPr="00A65C75">
              <w:rPr>
                <w:rFonts w:ascii="Arial" w:hAnsi="Arial" w:cs="Arial"/>
                <w:sz w:val="18"/>
                <w:szCs w:val="18"/>
              </w:rPr>
              <w:t xml:space="preserve"> Entrepreneurship and the social economy. </w:t>
            </w:r>
          </w:p>
          <w:p w14:paraId="551BDE9D" w14:textId="77777777" w:rsidR="00BC0F67" w:rsidRPr="00A65C75" w:rsidRDefault="00BC0F67" w:rsidP="00402580">
            <w:pPr>
              <w:spacing w:line="276" w:lineRule="auto"/>
              <w:jc w:val="both"/>
              <w:rPr>
                <w:rFonts w:ascii="Arial" w:hAnsi="Arial" w:cs="Arial"/>
                <w:sz w:val="18"/>
                <w:szCs w:val="18"/>
              </w:rPr>
            </w:pPr>
            <w:r w:rsidRPr="00A65C75">
              <w:rPr>
                <w:rFonts w:ascii="Arial" w:hAnsi="Arial" w:cs="Arial"/>
                <w:i/>
                <w:sz w:val="18"/>
                <w:szCs w:val="18"/>
                <w:u w:val="single"/>
              </w:rPr>
              <w:t>Priority 7</w:t>
            </w:r>
            <w:r w:rsidRPr="00A65C75">
              <w:rPr>
                <w:rFonts w:ascii="Arial" w:hAnsi="Arial" w:cs="Arial"/>
                <w:sz w:val="18"/>
                <w:szCs w:val="18"/>
              </w:rPr>
              <w:t xml:space="preserve"> Supporting labor market reforms in line with labor market dynamics. </w:t>
            </w:r>
          </w:p>
          <w:p w14:paraId="293806BA" w14:textId="61F3ED8A" w:rsidR="00BC0F67" w:rsidRPr="00A65C75" w:rsidRDefault="00BC0F67" w:rsidP="00402580">
            <w:pPr>
              <w:spacing w:line="276" w:lineRule="auto"/>
              <w:jc w:val="both"/>
              <w:rPr>
                <w:rFonts w:ascii="Arial" w:eastAsia="Calibri" w:hAnsi="Arial" w:cs="Arial"/>
                <w:sz w:val="18"/>
                <w:szCs w:val="18"/>
                <w:lang w:val="en-US"/>
              </w:rPr>
            </w:pPr>
            <w:r w:rsidRPr="00A65C75">
              <w:rPr>
                <w:rFonts w:ascii="Arial" w:hAnsi="Arial" w:cs="Arial"/>
                <w:i/>
                <w:sz w:val="18"/>
                <w:szCs w:val="18"/>
                <w:u w:val="single"/>
              </w:rPr>
              <w:t>Priority 8</w:t>
            </w:r>
            <w:r w:rsidRPr="00A65C75">
              <w:rPr>
                <w:rFonts w:ascii="Arial" w:hAnsi="Arial" w:cs="Arial"/>
                <w:sz w:val="18"/>
                <w:szCs w:val="18"/>
              </w:rPr>
              <w:t xml:space="preserve"> Strengthen population participation in lifelong learning to facilitate transitions and labor market mobility.</w:t>
            </w:r>
            <w:r w:rsidRPr="00A65C75">
              <w:rPr>
                <w:rFonts w:ascii="Arial" w:hAnsi="Arial" w:cs="Arial"/>
                <w:sz w:val="18"/>
                <w:szCs w:val="18"/>
                <w:lang w:val="en-US"/>
              </w:rPr>
              <w:t xml:space="preserve"> EUR</w:t>
            </w:r>
            <w:r w:rsidR="001D4049" w:rsidRPr="00A65C75">
              <w:rPr>
                <w:rFonts w:ascii="Arial" w:hAnsi="Arial" w:cs="Arial"/>
                <w:sz w:val="18"/>
                <w:szCs w:val="18"/>
                <w:lang w:val="en-US"/>
              </w:rPr>
              <w:t xml:space="preserve"> </w:t>
            </w:r>
            <w:r w:rsidRPr="00A65C75">
              <w:rPr>
                <w:rFonts w:ascii="Arial" w:hAnsi="Arial" w:cs="Arial"/>
                <w:sz w:val="18"/>
                <w:szCs w:val="18"/>
              </w:rPr>
              <w:t>3.</w:t>
            </w:r>
            <w:r w:rsidR="001D4049" w:rsidRPr="00A65C75">
              <w:rPr>
                <w:rFonts w:ascii="Arial" w:hAnsi="Arial" w:cs="Arial"/>
                <w:sz w:val="18"/>
                <w:szCs w:val="18"/>
              </w:rPr>
              <w:t>86 bn</w:t>
            </w:r>
          </w:p>
        </w:tc>
      </w:tr>
      <w:tr w:rsidR="00BC0F67" w:rsidRPr="00A65C75" w14:paraId="59BE0AB3" w14:textId="77777777" w:rsidTr="00964831">
        <w:trPr>
          <w:trHeight w:val="16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787EF8" w14:textId="77777777" w:rsidR="00BC0F67" w:rsidRPr="00A65C75" w:rsidRDefault="00BC0F67">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0DABBD93" w14:textId="04F4DB59" w:rsidR="00BC0F67" w:rsidRPr="00A65C75" w:rsidRDefault="00BC0F67" w:rsidP="00402580">
            <w:pPr>
              <w:pStyle w:val="ListParagraph"/>
              <w:spacing w:line="240" w:lineRule="auto"/>
              <w:ind w:left="0"/>
              <w:rPr>
                <w:rFonts w:eastAsia="Times New Roman"/>
                <w:i/>
                <w:sz w:val="18"/>
                <w:szCs w:val="18"/>
                <w:lang w:val="en"/>
              </w:rPr>
            </w:pPr>
            <w:r w:rsidRPr="00A65C75">
              <w:rPr>
                <w:rFonts w:eastAsia="Times New Roman"/>
                <w:i/>
                <w:sz w:val="18"/>
                <w:szCs w:val="18"/>
                <w:lang w:val="en"/>
              </w:rPr>
              <w:t>“Intelligent Growth, Digiti</w:t>
            </w:r>
            <w:r w:rsidR="004E7B64">
              <w:rPr>
                <w:rFonts w:eastAsia="Times New Roman"/>
                <w:i/>
                <w:sz w:val="18"/>
                <w:szCs w:val="18"/>
                <w:lang w:val="en"/>
              </w:rPr>
              <w:t>sation</w:t>
            </w:r>
            <w:r w:rsidRPr="00A65C75">
              <w:rPr>
                <w:rFonts w:eastAsia="Times New Roman"/>
                <w:i/>
                <w:sz w:val="18"/>
                <w:szCs w:val="18"/>
                <w:lang w:val="en"/>
              </w:rPr>
              <w:t xml:space="preserve"> and Financial Instruments Operational Program</w:t>
            </w:r>
            <w:r w:rsidR="00A65C75">
              <w:rPr>
                <w:rFonts w:eastAsia="Times New Roman"/>
                <w:i/>
                <w:sz w:val="18"/>
                <w:szCs w:val="18"/>
                <w:lang w:val="en"/>
              </w:rPr>
              <w:t>me</w:t>
            </w:r>
            <w:r w:rsidRPr="00A65C75">
              <w:rPr>
                <w:rFonts w:eastAsia="Times New Roman"/>
                <w:i/>
                <w:sz w:val="18"/>
                <w:szCs w:val="18"/>
                <w:lang w:val="en"/>
              </w:rPr>
              <w:t xml:space="preserve">” (IGDFIOP). </w:t>
            </w:r>
          </w:p>
          <w:p w14:paraId="10945CD7" w14:textId="77777777" w:rsidR="00BC0F67" w:rsidRPr="00A65C75" w:rsidRDefault="00BC0F67" w:rsidP="00402580">
            <w:pPr>
              <w:pStyle w:val="ListParagraph"/>
              <w:spacing w:line="240" w:lineRule="auto"/>
              <w:ind w:left="0"/>
              <w:rPr>
                <w:sz w:val="18"/>
                <w:szCs w:val="18"/>
                <w:lang w:val="en"/>
              </w:rPr>
            </w:pPr>
            <w:r w:rsidRPr="00A65C75">
              <w:rPr>
                <w:i/>
                <w:sz w:val="18"/>
                <w:szCs w:val="18"/>
                <w:u w:val="single"/>
                <w:lang w:val="en"/>
              </w:rPr>
              <w:t>Priority Axis 1 Integration of the RDI national ecosystem into the European and international Research Area.</w:t>
            </w:r>
            <w:r w:rsidRPr="00A65C75">
              <w:rPr>
                <w:sz w:val="18"/>
                <w:szCs w:val="18"/>
                <w:lang w:val="en"/>
              </w:rPr>
              <w:t xml:space="preserve">  </w:t>
            </w:r>
          </w:p>
          <w:p w14:paraId="26BA4C92" w14:textId="77777777" w:rsidR="00BC0F67" w:rsidRPr="00A65C75" w:rsidRDefault="00BC0F67" w:rsidP="00402580">
            <w:pPr>
              <w:pStyle w:val="ListParagraph"/>
              <w:spacing w:line="240" w:lineRule="auto"/>
              <w:ind w:left="0"/>
              <w:rPr>
                <w:sz w:val="18"/>
                <w:szCs w:val="18"/>
                <w:lang w:val="en"/>
              </w:rPr>
            </w:pPr>
            <w:r w:rsidRPr="00A65C75">
              <w:rPr>
                <w:i/>
                <w:iCs/>
                <w:sz w:val="18"/>
                <w:szCs w:val="18"/>
                <w:u w:val="single"/>
                <w:lang w:val="en"/>
              </w:rPr>
              <w:t xml:space="preserve">Priority 2 </w:t>
            </w:r>
            <w:r w:rsidRPr="00A65C75">
              <w:rPr>
                <w:sz w:val="18"/>
                <w:szCs w:val="18"/>
                <w:lang w:val="en"/>
              </w:rPr>
              <w:t xml:space="preserve">Creating and promoting an attractive system of innovation in the economy for all types of innovation. </w:t>
            </w:r>
          </w:p>
          <w:p w14:paraId="541833D0" w14:textId="77777777" w:rsidR="00BC0F67" w:rsidRPr="00A65C75" w:rsidRDefault="00BC0F67" w:rsidP="00402580">
            <w:pPr>
              <w:pStyle w:val="ListParagraph"/>
              <w:spacing w:line="240" w:lineRule="auto"/>
              <w:ind w:left="0"/>
              <w:rPr>
                <w:sz w:val="18"/>
                <w:szCs w:val="18"/>
                <w:lang w:val="en"/>
              </w:rPr>
            </w:pPr>
            <w:r w:rsidRPr="00A65C75">
              <w:rPr>
                <w:i/>
                <w:iCs/>
                <w:sz w:val="18"/>
                <w:szCs w:val="18"/>
                <w:u w:val="single"/>
                <w:lang w:val="en"/>
              </w:rPr>
              <w:t>Priority 5</w:t>
            </w:r>
            <w:r w:rsidRPr="00A65C75">
              <w:rPr>
                <w:sz w:val="18"/>
                <w:szCs w:val="18"/>
                <w:lang w:val="en"/>
              </w:rPr>
              <w:t xml:space="preserve"> Developing the RDI capacity of large enterprises.  </w:t>
            </w:r>
          </w:p>
          <w:p w14:paraId="3F8883EF" w14:textId="77777777" w:rsidR="00BC0F67" w:rsidRPr="00A65C75" w:rsidRDefault="00BC0F67" w:rsidP="00402580">
            <w:pPr>
              <w:pStyle w:val="ListParagraph"/>
              <w:spacing w:line="240" w:lineRule="auto"/>
              <w:ind w:left="0"/>
              <w:rPr>
                <w:sz w:val="18"/>
                <w:szCs w:val="18"/>
                <w:lang w:val="en"/>
              </w:rPr>
            </w:pPr>
            <w:r w:rsidRPr="00A65C75">
              <w:rPr>
                <w:i/>
                <w:iCs/>
                <w:sz w:val="18"/>
                <w:szCs w:val="18"/>
                <w:u w:val="single"/>
                <w:lang w:val="en"/>
              </w:rPr>
              <w:t>Priority 6</w:t>
            </w:r>
            <w:r w:rsidRPr="00A65C75">
              <w:rPr>
                <w:sz w:val="18"/>
                <w:szCs w:val="18"/>
                <w:lang w:val="en"/>
              </w:rPr>
              <w:t xml:space="preserve"> Development of RDI strategic projects. </w:t>
            </w:r>
          </w:p>
          <w:p w14:paraId="733A4BB3" w14:textId="77777777" w:rsidR="00BC0F67" w:rsidRPr="00A65C75" w:rsidRDefault="00BC0F67" w:rsidP="00402580">
            <w:pPr>
              <w:pStyle w:val="ListParagraph"/>
              <w:spacing w:line="240" w:lineRule="auto"/>
              <w:ind w:left="0"/>
              <w:rPr>
                <w:sz w:val="18"/>
                <w:szCs w:val="18"/>
                <w:lang w:val="en"/>
              </w:rPr>
            </w:pPr>
            <w:r w:rsidRPr="00A65C75">
              <w:rPr>
                <w:i/>
                <w:iCs/>
                <w:sz w:val="18"/>
                <w:szCs w:val="18"/>
                <w:u w:val="single"/>
                <w:lang w:val="en"/>
              </w:rPr>
              <w:t>Priority 10</w:t>
            </w:r>
            <w:r w:rsidRPr="00A65C75">
              <w:rPr>
                <w:sz w:val="18"/>
                <w:szCs w:val="18"/>
                <w:lang w:val="en"/>
              </w:rPr>
              <w:t xml:space="preserve"> Stimulating access to finance for SMEs by means of Financial Instruments.</w:t>
            </w:r>
          </w:p>
          <w:p w14:paraId="1E77171A" w14:textId="57D60A28" w:rsidR="00BC0F67" w:rsidRPr="00A65C75" w:rsidRDefault="00BC0F67" w:rsidP="00402580">
            <w:pPr>
              <w:pStyle w:val="ListParagraph"/>
              <w:spacing w:line="240" w:lineRule="auto"/>
              <w:ind w:left="0"/>
              <w:rPr>
                <w:sz w:val="18"/>
                <w:szCs w:val="18"/>
                <w:lang w:val="en-US"/>
              </w:rPr>
            </w:pPr>
            <w:r w:rsidRPr="00A65C75">
              <w:rPr>
                <w:sz w:val="18"/>
                <w:szCs w:val="18"/>
                <w:lang w:val="en-US"/>
              </w:rPr>
              <w:t xml:space="preserve">RON </w:t>
            </w:r>
            <w:r w:rsidRPr="00A65C75">
              <w:rPr>
                <w:color w:val="202124"/>
                <w:sz w:val="18"/>
                <w:szCs w:val="18"/>
                <w:lang w:val="en"/>
              </w:rPr>
              <w:t>945</w:t>
            </w:r>
            <w:r w:rsidR="007722E7" w:rsidRPr="00A65C75">
              <w:rPr>
                <w:color w:val="202124"/>
                <w:sz w:val="18"/>
                <w:szCs w:val="18"/>
                <w:lang w:val="en"/>
              </w:rPr>
              <w:t>,</w:t>
            </w:r>
            <w:r w:rsidRPr="00A65C75">
              <w:rPr>
                <w:color w:val="202124"/>
                <w:sz w:val="18"/>
                <w:szCs w:val="18"/>
                <w:lang w:val="en"/>
              </w:rPr>
              <w:t>000</w:t>
            </w:r>
            <w:r w:rsidR="007722E7" w:rsidRPr="00A65C75">
              <w:rPr>
                <w:color w:val="202124"/>
                <w:sz w:val="18"/>
                <w:szCs w:val="18"/>
                <w:lang w:val="en"/>
              </w:rPr>
              <w:t>,</w:t>
            </w:r>
            <w:r w:rsidRPr="00A65C75">
              <w:rPr>
                <w:color w:val="202124"/>
                <w:sz w:val="18"/>
                <w:szCs w:val="18"/>
                <w:lang w:val="en"/>
              </w:rPr>
              <w:t>000</w:t>
            </w:r>
          </w:p>
        </w:tc>
      </w:tr>
    </w:tbl>
    <w:p w14:paraId="0EC5D262" w14:textId="1BAEEB3C" w:rsidR="00D6091A" w:rsidRPr="001D4049" w:rsidRDefault="00D6091A" w:rsidP="001D4049">
      <w:pPr>
        <w:jc w:val="both"/>
        <w:rPr>
          <w:sz w:val="20"/>
          <w:szCs w:val="20"/>
        </w:rPr>
      </w:pPr>
    </w:p>
    <w:p w14:paraId="63F0C71A" w14:textId="77777777" w:rsidR="00BC0F67" w:rsidRPr="007722E7" w:rsidRDefault="00BC0F67" w:rsidP="001D4049">
      <w:pPr>
        <w:jc w:val="both"/>
        <w:rPr>
          <w:rFonts w:ascii="Arial" w:hAnsi="Arial" w:cs="Arial"/>
          <w:sz w:val="20"/>
          <w:szCs w:val="20"/>
        </w:rPr>
      </w:pPr>
      <w:r w:rsidRPr="007722E7">
        <w:rPr>
          <w:rFonts w:ascii="Arial" w:hAnsi="Arial" w:cs="Arial"/>
          <w:sz w:val="20"/>
          <w:szCs w:val="20"/>
        </w:rPr>
        <w:t>The synergies and complementarities listed above are to be also partially supported by:</w:t>
      </w:r>
    </w:p>
    <w:p w14:paraId="27131C7E" w14:textId="77777777" w:rsidR="00BC0F67" w:rsidRPr="007722E7" w:rsidRDefault="00BC0F67" w:rsidP="007722E7">
      <w:pPr>
        <w:spacing w:before="240"/>
        <w:jc w:val="both"/>
        <w:rPr>
          <w:rFonts w:ascii="Arial" w:hAnsi="Arial" w:cs="Arial"/>
          <w:b/>
          <w:sz w:val="20"/>
          <w:szCs w:val="20"/>
        </w:rPr>
      </w:pPr>
      <w:r w:rsidRPr="007722E7">
        <w:rPr>
          <w:rFonts w:ascii="Arial" w:hAnsi="Arial" w:cs="Arial"/>
          <w:b/>
          <w:sz w:val="20"/>
          <w:szCs w:val="20"/>
        </w:rPr>
        <w:t>EU programmes:</w:t>
      </w:r>
    </w:p>
    <w:p w14:paraId="2338E4C4" w14:textId="77777777" w:rsidR="00BC0F67" w:rsidRPr="007722E7" w:rsidRDefault="00BC0F67" w:rsidP="007722E7">
      <w:pPr>
        <w:jc w:val="both"/>
        <w:rPr>
          <w:rFonts w:ascii="Arial" w:hAnsi="Arial" w:cs="Arial"/>
          <w:b/>
          <w:sz w:val="8"/>
          <w:szCs w:val="8"/>
        </w:rPr>
      </w:pPr>
    </w:p>
    <w:p w14:paraId="58AD089F" w14:textId="77777777" w:rsidR="00BC0F67" w:rsidRPr="007722E7" w:rsidRDefault="00BC0F67" w:rsidP="00E42342">
      <w:pPr>
        <w:pStyle w:val="ListParagraph"/>
        <w:numPr>
          <w:ilvl w:val="0"/>
          <w:numId w:val="89"/>
        </w:numPr>
        <w:spacing w:line="240" w:lineRule="auto"/>
        <w:jc w:val="both"/>
        <w:rPr>
          <w:sz w:val="20"/>
          <w:szCs w:val="20"/>
        </w:rPr>
      </w:pPr>
      <w:r w:rsidRPr="007722E7">
        <w:rPr>
          <w:sz w:val="20"/>
          <w:szCs w:val="20"/>
        </w:rPr>
        <w:t>Investments in decontamination and functional reconversion of polluted and decommissioned sites through integrated urban regeneration projects are partially supported via SDOP</w:t>
      </w:r>
      <w:r w:rsidRPr="007722E7">
        <w:rPr>
          <w:rStyle w:val="FootnoteReference"/>
          <w:sz w:val="20"/>
          <w:szCs w:val="20"/>
        </w:rPr>
        <w:footnoteReference w:id="120"/>
      </w:r>
      <w:r w:rsidRPr="007722E7">
        <w:rPr>
          <w:sz w:val="20"/>
          <w:szCs w:val="20"/>
        </w:rPr>
        <w:t xml:space="preserve"> Priority 3. “Environmental protection through biodiversity conservation, air quality assurance and remediation of contaminated sites/Investment category 3.3 Preliminary and detailed investigation of contaminated sites, assessment environmental risks and remediation of sites”. However, this funding line is expected to finance assessment and remediation, excluding follow up reconversion and regeneration initiatives.</w:t>
      </w:r>
    </w:p>
    <w:p w14:paraId="0130984D" w14:textId="77777777" w:rsidR="00BC0F67" w:rsidRPr="007722E7" w:rsidRDefault="00BC0F67" w:rsidP="007722E7">
      <w:pPr>
        <w:pStyle w:val="ListParagraph"/>
        <w:spacing w:line="240" w:lineRule="auto"/>
        <w:ind w:left="360"/>
        <w:jc w:val="both"/>
        <w:rPr>
          <w:sz w:val="8"/>
          <w:szCs w:val="8"/>
        </w:rPr>
      </w:pPr>
    </w:p>
    <w:p w14:paraId="404F81F6" w14:textId="368442A4" w:rsidR="00BC0F67" w:rsidRPr="007722E7" w:rsidRDefault="00BC0F67" w:rsidP="00E42342">
      <w:pPr>
        <w:pStyle w:val="ListParagraph"/>
        <w:numPr>
          <w:ilvl w:val="0"/>
          <w:numId w:val="89"/>
        </w:numPr>
        <w:spacing w:before="240" w:after="240" w:line="240" w:lineRule="auto"/>
        <w:jc w:val="both"/>
        <w:rPr>
          <w:sz w:val="20"/>
          <w:szCs w:val="20"/>
        </w:rPr>
      </w:pPr>
      <w:r w:rsidRPr="007722E7">
        <w:rPr>
          <w:sz w:val="20"/>
          <w:szCs w:val="20"/>
        </w:rPr>
        <w:t xml:space="preserve">Investments needed in Prahova </w:t>
      </w:r>
      <w:r w:rsidR="007019B8">
        <w:rPr>
          <w:sz w:val="20"/>
          <w:szCs w:val="20"/>
        </w:rPr>
        <w:t>for</w:t>
      </w:r>
      <w:r w:rsidRPr="007722E7">
        <w:rPr>
          <w:sz w:val="20"/>
          <w:szCs w:val="20"/>
        </w:rPr>
        <w:t xml:space="preserve"> improved air quality monitoring solutions and prevention p</w:t>
      </w:r>
      <w:r w:rsidR="00D206E5">
        <w:rPr>
          <w:sz w:val="20"/>
          <w:szCs w:val="20"/>
        </w:rPr>
        <w:t>rogrammes</w:t>
      </w:r>
      <w:r w:rsidRPr="007722E7">
        <w:rPr>
          <w:sz w:val="20"/>
          <w:szCs w:val="20"/>
        </w:rPr>
        <w:t xml:space="preserve"> can also potentially be covered via SDOP-Priority 3. “Environmental protection through biodiversity conservation, air quality assurance and remediation of contaminated sites/Investment category 3.2 Improving air quality monitoring for compliance monitoring and emission reduction requirements.”</w:t>
      </w:r>
    </w:p>
    <w:p w14:paraId="453998DA" w14:textId="77777777" w:rsidR="00BC0F67" w:rsidRPr="007722E7" w:rsidRDefault="00BC0F67" w:rsidP="007722E7">
      <w:pPr>
        <w:pStyle w:val="ListParagraph"/>
        <w:spacing w:before="240" w:after="240" w:line="240" w:lineRule="auto"/>
        <w:ind w:left="360"/>
        <w:jc w:val="both"/>
        <w:rPr>
          <w:sz w:val="8"/>
          <w:szCs w:val="8"/>
        </w:rPr>
      </w:pPr>
    </w:p>
    <w:p w14:paraId="4DA9CA5F" w14:textId="331F8BF4" w:rsidR="00BC0F67" w:rsidRPr="007722E7" w:rsidRDefault="00BC0F67" w:rsidP="00E42342">
      <w:pPr>
        <w:pStyle w:val="ListParagraph"/>
        <w:numPr>
          <w:ilvl w:val="0"/>
          <w:numId w:val="89"/>
        </w:numPr>
        <w:spacing w:before="240" w:after="240" w:line="240" w:lineRule="auto"/>
        <w:jc w:val="both"/>
        <w:rPr>
          <w:sz w:val="20"/>
          <w:szCs w:val="20"/>
        </w:rPr>
      </w:pPr>
      <w:r w:rsidRPr="007722E7">
        <w:rPr>
          <w:sz w:val="20"/>
          <w:szCs w:val="20"/>
        </w:rPr>
        <w:lastRenderedPageBreak/>
        <w:t>Proposed investments in technological upgrading to reduce pollution and carbon emissions (large enterprises and SMEs) as well as financial and technical support p</w:t>
      </w:r>
      <w:r w:rsidR="00D206E5">
        <w:rPr>
          <w:sz w:val="20"/>
          <w:szCs w:val="20"/>
        </w:rPr>
        <w:t>rogrammes</w:t>
      </w:r>
      <w:r w:rsidRPr="007722E7">
        <w:rPr>
          <w:sz w:val="20"/>
          <w:szCs w:val="20"/>
        </w:rPr>
        <w:t xml:space="preserve"> to support the transition of enterprises to RES (including the development of RES production capacities and energy efficiency) are complementary with SDOP – Priority 1- Promoting energy efficiency, systems and networks smart energy and storage solutions/Investment category: 1.1 Improving the energy efficiency of SMEs and large businesses, but support for energy efficiency for enterprises is a large need in Prahova, which must be covered from multiple sources.</w:t>
      </w:r>
    </w:p>
    <w:p w14:paraId="05C57CED" w14:textId="77777777" w:rsidR="00BC0F67" w:rsidRPr="007722E7" w:rsidRDefault="00BC0F67" w:rsidP="007722E7">
      <w:pPr>
        <w:pStyle w:val="ListParagraph"/>
        <w:spacing w:before="240" w:after="240" w:line="240" w:lineRule="auto"/>
        <w:ind w:left="360"/>
        <w:jc w:val="both"/>
        <w:rPr>
          <w:sz w:val="8"/>
          <w:szCs w:val="8"/>
        </w:rPr>
      </w:pPr>
    </w:p>
    <w:p w14:paraId="04563E7B" w14:textId="7FAE338D" w:rsidR="00BC0F67" w:rsidRPr="007722E7" w:rsidRDefault="00BC0F67" w:rsidP="00E42342">
      <w:pPr>
        <w:pStyle w:val="ListParagraph"/>
        <w:numPr>
          <w:ilvl w:val="0"/>
          <w:numId w:val="89"/>
        </w:numPr>
        <w:spacing w:before="240" w:after="240" w:line="240" w:lineRule="auto"/>
        <w:jc w:val="both"/>
        <w:rPr>
          <w:sz w:val="20"/>
          <w:szCs w:val="20"/>
        </w:rPr>
      </w:pPr>
      <w:r w:rsidRPr="007722E7">
        <w:rPr>
          <w:sz w:val="20"/>
          <w:szCs w:val="20"/>
        </w:rPr>
        <w:t>Additional potential investments in circular economy are complementary with SDOP Priority 2. Water and wastewater infrastructure development and transition to a circular economy/Investment category – 2.2 Efficient waste management to accelerate the transition to the circular economy to meet the requirements of environmental directives.</w:t>
      </w:r>
    </w:p>
    <w:p w14:paraId="7BA7B8DD" w14:textId="7393CC77" w:rsidR="00BC0F67" w:rsidRPr="007722E7" w:rsidRDefault="00BC0F67" w:rsidP="007722E7">
      <w:pPr>
        <w:spacing w:before="240"/>
        <w:jc w:val="both"/>
        <w:rPr>
          <w:rFonts w:ascii="Arial" w:hAnsi="Arial" w:cs="Arial"/>
          <w:b/>
          <w:sz w:val="20"/>
          <w:szCs w:val="20"/>
        </w:rPr>
      </w:pPr>
      <w:r w:rsidRPr="007722E7">
        <w:rPr>
          <w:rFonts w:ascii="Arial" w:hAnsi="Arial" w:cs="Arial"/>
          <w:b/>
          <w:sz w:val="20"/>
          <w:szCs w:val="20"/>
        </w:rPr>
        <w:t>Regional p</w:t>
      </w:r>
      <w:r w:rsidR="00D206E5">
        <w:rPr>
          <w:rFonts w:ascii="Arial" w:hAnsi="Arial" w:cs="Arial"/>
          <w:b/>
          <w:sz w:val="20"/>
          <w:szCs w:val="20"/>
        </w:rPr>
        <w:t>rogrammes</w:t>
      </w:r>
      <w:r w:rsidRPr="007722E7">
        <w:rPr>
          <w:rFonts w:ascii="Arial" w:hAnsi="Arial" w:cs="Arial"/>
          <w:b/>
          <w:sz w:val="20"/>
          <w:szCs w:val="20"/>
        </w:rPr>
        <w:t xml:space="preserve"> and local plans:</w:t>
      </w:r>
    </w:p>
    <w:p w14:paraId="6C6C01B9" w14:textId="77777777" w:rsidR="00BC0F67" w:rsidRPr="007019B8" w:rsidRDefault="00BC0F67" w:rsidP="007722E7">
      <w:pPr>
        <w:jc w:val="both"/>
        <w:rPr>
          <w:rFonts w:ascii="Arial" w:hAnsi="Arial" w:cs="Arial"/>
          <w:sz w:val="8"/>
          <w:szCs w:val="8"/>
        </w:rPr>
      </w:pPr>
    </w:p>
    <w:p w14:paraId="068B17C3" w14:textId="09029D07" w:rsidR="00BC0F67" w:rsidRPr="007722E7" w:rsidRDefault="00BC0F67" w:rsidP="00E42342">
      <w:pPr>
        <w:pStyle w:val="ListParagraph"/>
        <w:numPr>
          <w:ilvl w:val="0"/>
          <w:numId w:val="90"/>
        </w:numPr>
        <w:spacing w:line="240" w:lineRule="auto"/>
        <w:jc w:val="both"/>
        <w:rPr>
          <w:sz w:val="20"/>
          <w:szCs w:val="20"/>
        </w:rPr>
      </w:pPr>
      <w:r w:rsidRPr="007722E7">
        <w:rPr>
          <w:sz w:val="20"/>
          <w:szCs w:val="20"/>
        </w:rPr>
        <w:t>The Smart Speciali</w:t>
      </w:r>
      <w:r w:rsidR="007019B8">
        <w:rPr>
          <w:sz w:val="20"/>
          <w:szCs w:val="20"/>
        </w:rPr>
        <w:t>s</w:t>
      </w:r>
      <w:r w:rsidRPr="007722E7">
        <w:rPr>
          <w:sz w:val="20"/>
          <w:szCs w:val="20"/>
        </w:rPr>
        <w:t>ation Strategy of South Muntenia</w:t>
      </w:r>
      <w:r w:rsidR="004E2DCB">
        <w:rPr>
          <w:rStyle w:val="FootnoteReference"/>
          <w:sz w:val="20"/>
          <w:szCs w:val="20"/>
        </w:rPr>
        <w:footnoteReference w:id="121"/>
      </w:r>
      <w:r w:rsidRPr="007722E7">
        <w:rPr>
          <w:sz w:val="20"/>
          <w:szCs w:val="20"/>
        </w:rPr>
        <w:t xml:space="preserve"> Region mentions </w:t>
      </w:r>
      <w:r w:rsidR="007019B8">
        <w:rPr>
          <w:sz w:val="20"/>
          <w:szCs w:val="20"/>
        </w:rPr>
        <w:t>eight</w:t>
      </w:r>
      <w:r w:rsidRPr="007722E7">
        <w:rPr>
          <w:sz w:val="20"/>
          <w:szCs w:val="20"/>
        </w:rPr>
        <w:t xml:space="preserve"> fields of smart speciali</w:t>
      </w:r>
      <w:r w:rsidR="007019B8">
        <w:rPr>
          <w:sz w:val="20"/>
          <w:szCs w:val="20"/>
        </w:rPr>
        <w:t>s</w:t>
      </w:r>
      <w:r w:rsidRPr="007722E7">
        <w:rPr>
          <w:sz w:val="20"/>
          <w:szCs w:val="20"/>
        </w:rPr>
        <w:t>ation for the South Muntenia Region, which</w:t>
      </w:r>
      <w:r w:rsidR="007019B8">
        <w:rPr>
          <w:sz w:val="20"/>
          <w:szCs w:val="20"/>
        </w:rPr>
        <w:t xml:space="preserve"> includes</w:t>
      </w:r>
      <w:r w:rsidRPr="007722E7">
        <w:rPr>
          <w:sz w:val="20"/>
          <w:szCs w:val="20"/>
        </w:rPr>
        <w:t xml:space="preserve"> Prahova</w:t>
      </w:r>
      <w:r w:rsidR="007019B8">
        <w:rPr>
          <w:sz w:val="20"/>
          <w:szCs w:val="20"/>
        </w:rPr>
        <w:t xml:space="preserve"> County</w:t>
      </w:r>
      <w:r w:rsidRPr="007722E7">
        <w:rPr>
          <w:sz w:val="20"/>
          <w:szCs w:val="20"/>
        </w:rPr>
        <w:t xml:space="preserve">. </w:t>
      </w:r>
      <w:r w:rsidR="007019B8">
        <w:rPr>
          <w:sz w:val="20"/>
          <w:szCs w:val="20"/>
        </w:rPr>
        <w:t>In</w:t>
      </w:r>
      <w:r w:rsidRPr="007722E7">
        <w:rPr>
          <w:sz w:val="20"/>
          <w:szCs w:val="20"/>
        </w:rPr>
        <w:t xml:space="preserve"> particular</w:t>
      </w:r>
      <w:r w:rsidR="007019B8">
        <w:rPr>
          <w:sz w:val="20"/>
          <w:szCs w:val="20"/>
        </w:rPr>
        <w:t>,</w:t>
      </w:r>
      <w:r w:rsidRPr="007722E7">
        <w:rPr>
          <w:sz w:val="20"/>
          <w:szCs w:val="20"/>
        </w:rPr>
        <w:t xml:space="preserve"> complementarity with the findings highlighted under this report </w:t>
      </w:r>
      <w:r w:rsidR="007019B8">
        <w:rPr>
          <w:sz w:val="20"/>
          <w:szCs w:val="20"/>
        </w:rPr>
        <w:t>include</w:t>
      </w:r>
      <w:r w:rsidRPr="007722E7">
        <w:rPr>
          <w:sz w:val="20"/>
          <w:szCs w:val="20"/>
        </w:rPr>
        <w:t xml:space="preserve">: biotech as </w:t>
      </w:r>
      <w:r w:rsidR="007019B8">
        <w:rPr>
          <w:sz w:val="20"/>
          <w:szCs w:val="20"/>
        </w:rPr>
        <w:t xml:space="preserve">a </w:t>
      </w:r>
      <w:r w:rsidRPr="007722E7">
        <w:rPr>
          <w:sz w:val="20"/>
          <w:szCs w:val="20"/>
        </w:rPr>
        <w:t>smart speciali</w:t>
      </w:r>
      <w:r w:rsidR="007019B8">
        <w:rPr>
          <w:sz w:val="20"/>
          <w:szCs w:val="20"/>
        </w:rPr>
        <w:t>s</w:t>
      </w:r>
      <w:r w:rsidRPr="007722E7">
        <w:rPr>
          <w:sz w:val="20"/>
          <w:szCs w:val="20"/>
        </w:rPr>
        <w:t xml:space="preserve">ation field to be developed with applications in agriculture/food industry, as well as environmental protection, reduction of pollution and waste recovery; support for high tech research in industry </w:t>
      </w:r>
      <w:r w:rsidR="007019B8">
        <w:rPr>
          <w:sz w:val="20"/>
          <w:szCs w:val="20"/>
        </w:rPr>
        <w:t>and</w:t>
      </w:r>
      <w:r w:rsidRPr="007722E7">
        <w:rPr>
          <w:sz w:val="20"/>
          <w:szCs w:val="20"/>
        </w:rPr>
        <w:t xml:space="preserve"> a focus on the need for digiti</w:t>
      </w:r>
      <w:r w:rsidR="007019B8">
        <w:rPr>
          <w:sz w:val="20"/>
          <w:szCs w:val="20"/>
        </w:rPr>
        <w:t>s</w:t>
      </w:r>
      <w:r w:rsidRPr="007722E7">
        <w:rPr>
          <w:sz w:val="20"/>
          <w:szCs w:val="20"/>
        </w:rPr>
        <w:t>ation; boosting of innovation and integrated services in the tourism field. Smart cities are also mentioned as a priority track, as the SSS promotes the adoption of environmental technologies for green, smart cities, including energy efficiency and further use of renewable energies.</w:t>
      </w:r>
    </w:p>
    <w:p w14:paraId="211B4991" w14:textId="77777777" w:rsidR="00BC0F67" w:rsidRPr="007722E7" w:rsidRDefault="00BC0F67" w:rsidP="007722E7">
      <w:pPr>
        <w:pStyle w:val="ListParagraph"/>
        <w:spacing w:line="240" w:lineRule="auto"/>
        <w:ind w:left="360"/>
        <w:jc w:val="both"/>
        <w:rPr>
          <w:sz w:val="8"/>
          <w:szCs w:val="8"/>
        </w:rPr>
      </w:pPr>
    </w:p>
    <w:p w14:paraId="2EE1FC38" w14:textId="60299689" w:rsidR="00BC0F67" w:rsidRPr="007722E7" w:rsidRDefault="00BC0F67" w:rsidP="00E42342">
      <w:pPr>
        <w:pStyle w:val="ListParagraph"/>
        <w:numPr>
          <w:ilvl w:val="0"/>
          <w:numId w:val="90"/>
        </w:numPr>
        <w:spacing w:line="240" w:lineRule="auto"/>
        <w:jc w:val="both"/>
        <w:rPr>
          <w:sz w:val="20"/>
          <w:szCs w:val="20"/>
        </w:rPr>
      </w:pPr>
      <w:r w:rsidRPr="007722E7">
        <w:rPr>
          <w:sz w:val="20"/>
          <w:szCs w:val="20"/>
        </w:rPr>
        <w:t>The Regional Operational P</w:t>
      </w:r>
      <w:r w:rsidR="00D206E5">
        <w:rPr>
          <w:sz w:val="20"/>
          <w:szCs w:val="20"/>
        </w:rPr>
        <w:t xml:space="preserve">rogramme </w:t>
      </w:r>
      <w:r w:rsidRPr="007722E7">
        <w:rPr>
          <w:sz w:val="20"/>
          <w:szCs w:val="20"/>
        </w:rPr>
        <w:t xml:space="preserve">for the South Muntenia Region has two strategic objectives (SO) </w:t>
      </w:r>
      <w:r w:rsidR="007019B8">
        <w:rPr>
          <w:sz w:val="20"/>
          <w:szCs w:val="20"/>
        </w:rPr>
        <w:t>that</w:t>
      </w:r>
      <w:r w:rsidRPr="007722E7">
        <w:rPr>
          <w:sz w:val="20"/>
          <w:szCs w:val="20"/>
        </w:rPr>
        <w:t xml:space="preserve"> are</w:t>
      </w:r>
      <w:r w:rsidR="007019B8">
        <w:rPr>
          <w:sz w:val="20"/>
          <w:szCs w:val="20"/>
        </w:rPr>
        <w:t xml:space="preserve"> </w:t>
      </w:r>
      <w:r w:rsidRPr="007722E7">
        <w:rPr>
          <w:sz w:val="20"/>
          <w:szCs w:val="20"/>
        </w:rPr>
        <w:t xml:space="preserve">relevant and complementary to the JTP for Prahova: SO 1 </w:t>
      </w:r>
      <w:r w:rsidRPr="007722E7">
        <w:rPr>
          <w:i/>
          <w:sz w:val="20"/>
          <w:szCs w:val="20"/>
        </w:rPr>
        <w:t>Stimulating the smart and sustainable development of the region, based on innovation, digitalisation and the development of the entrepreneurial ecosystem</w:t>
      </w:r>
      <w:r w:rsidRPr="007722E7">
        <w:rPr>
          <w:sz w:val="20"/>
          <w:szCs w:val="20"/>
        </w:rPr>
        <w:t xml:space="preserve"> and SO 2 </w:t>
      </w:r>
      <w:r w:rsidRPr="007722E7">
        <w:rPr>
          <w:i/>
          <w:sz w:val="20"/>
          <w:szCs w:val="20"/>
        </w:rPr>
        <w:t>Stimulating the region’s transition to a zero-emission economy by increasing energy efficiency, improving environmental protection and increasing urban mobility</w:t>
      </w:r>
      <w:r w:rsidRPr="007722E7">
        <w:rPr>
          <w:sz w:val="20"/>
          <w:szCs w:val="20"/>
        </w:rPr>
        <w:t xml:space="preserve">. The ROP SMR argues the need to increase the innovation capacity, technology base and product competitiveness of companies in the region, in particular </w:t>
      </w:r>
      <w:r w:rsidR="007019B8">
        <w:rPr>
          <w:sz w:val="20"/>
          <w:szCs w:val="20"/>
        </w:rPr>
        <w:t>for</w:t>
      </w:r>
      <w:r w:rsidRPr="007722E7">
        <w:rPr>
          <w:sz w:val="20"/>
          <w:szCs w:val="20"/>
        </w:rPr>
        <w:t xml:space="preserve"> SMEs. Digiti</w:t>
      </w:r>
      <w:r w:rsidR="007019B8">
        <w:rPr>
          <w:sz w:val="20"/>
          <w:szCs w:val="20"/>
        </w:rPr>
        <w:t>s</w:t>
      </w:r>
      <w:r w:rsidRPr="007722E7">
        <w:rPr>
          <w:sz w:val="20"/>
          <w:szCs w:val="20"/>
        </w:rPr>
        <w:t>ation of public services is mentioned as a stringent need, both to increase the cost-efficiency and transparency of public services, as well as to diminish the administrative/bureaucratic burden on the business sector. The ROP SMR also highlights that the region is confronted with underinvestment in public goods – such as green spaces, air quality etc</w:t>
      </w:r>
      <w:r w:rsidR="00D20DF8">
        <w:rPr>
          <w:sz w:val="20"/>
          <w:szCs w:val="20"/>
        </w:rPr>
        <w:t>.</w:t>
      </w:r>
      <w:r w:rsidRPr="007722E7">
        <w:rPr>
          <w:sz w:val="20"/>
          <w:szCs w:val="20"/>
        </w:rPr>
        <w:t xml:space="preserve">, and an untapped potential for land restoration and reconversion of inner-city brownfield sites. Additionally, as part of the SO 4 – </w:t>
      </w:r>
      <w:r w:rsidRPr="007722E7">
        <w:rPr>
          <w:i/>
          <w:sz w:val="20"/>
          <w:szCs w:val="20"/>
        </w:rPr>
        <w:t>Increasing access to quality and inclusive services in education, training and lifelong learning through the development of educational infrastructure</w:t>
      </w:r>
      <w:r w:rsidRPr="007722E7">
        <w:rPr>
          <w:sz w:val="20"/>
          <w:szCs w:val="20"/>
        </w:rPr>
        <w:t xml:space="preserve">, it is argued that the current educational system is dysfunctional, calling for priority investments in rehabilitation and upgrading of the material base of schools.  </w:t>
      </w:r>
    </w:p>
    <w:p w14:paraId="2E95C131" w14:textId="77777777" w:rsidR="00BC0F67" w:rsidRPr="007722E7" w:rsidRDefault="00BC0F67" w:rsidP="007722E7">
      <w:pPr>
        <w:pStyle w:val="ListParagraph"/>
        <w:spacing w:line="240" w:lineRule="auto"/>
        <w:ind w:left="360"/>
        <w:jc w:val="both"/>
        <w:rPr>
          <w:sz w:val="8"/>
          <w:szCs w:val="8"/>
        </w:rPr>
      </w:pPr>
    </w:p>
    <w:p w14:paraId="42214E44" w14:textId="77777777" w:rsidR="00BC0F67" w:rsidRPr="007722E7" w:rsidRDefault="00BC0F67" w:rsidP="00E42342">
      <w:pPr>
        <w:pStyle w:val="ListParagraph"/>
        <w:numPr>
          <w:ilvl w:val="0"/>
          <w:numId w:val="90"/>
        </w:numPr>
        <w:spacing w:line="240" w:lineRule="auto"/>
        <w:jc w:val="both"/>
        <w:rPr>
          <w:sz w:val="20"/>
          <w:szCs w:val="20"/>
        </w:rPr>
      </w:pPr>
      <w:r w:rsidRPr="007722E7">
        <w:rPr>
          <w:sz w:val="20"/>
          <w:szCs w:val="20"/>
        </w:rPr>
        <w:t>The Sustainable Development Strategy for Prahova County for 2021-2027</w:t>
      </w:r>
      <w:r w:rsidRPr="007722E7">
        <w:rPr>
          <w:rStyle w:val="FootnoteReference"/>
          <w:sz w:val="20"/>
          <w:szCs w:val="20"/>
        </w:rPr>
        <w:footnoteReference w:id="122"/>
      </w:r>
      <w:r w:rsidRPr="007722E7">
        <w:rPr>
          <w:sz w:val="20"/>
          <w:szCs w:val="20"/>
        </w:rPr>
        <w:t>: operations mentioned above are in line with the SDS of PH County, as follows:</w:t>
      </w:r>
    </w:p>
    <w:p w14:paraId="12C45BE6" w14:textId="77777777" w:rsidR="00BC0F67" w:rsidRPr="007722E7" w:rsidRDefault="00BC0F67" w:rsidP="007722E7">
      <w:pPr>
        <w:pStyle w:val="ListParagraph"/>
        <w:spacing w:line="240" w:lineRule="auto"/>
        <w:ind w:left="360"/>
        <w:jc w:val="both"/>
        <w:rPr>
          <w:sz w:val="8"/>
          <w:szCs w:val="8"/>
        </w:rPr>
      </w:pPr>
    </w:p>
    <w:p w14:paraId="12064E30" w14:textId="0A378AE3" w:rsidR="00BC0F67" w:rsidRPr="007722E7" w:rsidRDefault="00BC0F67" w:rsidP="00E42342">
      <w:pPr>
        <w:pStyle w:val="ListParagraph"/>
        <w:numPr>
          <w:ilvl w:val="0"/>
          <w:numId w:val="91"/>
        </w:numPr>
        <w:spacing w:before="240" w:after="240" w:line="240" w:lineRule="auto"/>
        <w:jc w:val="both"/>
        <w:rPr>
          <w:sz w:val="20"/>
          <w:szCs w:val="20"/>
        </w:rPr>
      </w:pPr>
      <w:r w:rsidRPr="007722E7">
        <w:rPr>
          <w:sz w:val="20"/>
          <w:szCs w:val="20"/>
        </w:rPr>
        <w:t xml:space="preserve">The strategy assumes, as part of General Objective (GO) 1 – Developing Prahova’s human capital, the need to develop the professional qualifications system, with a focus on professional schools as well as the expansion of the dual school systems. </w:t>
      </w:r>
      <w:r w:rsidR="00D20DF8">
        <w:rPr>
          <w:sz w:val="20"/>
          <w:szCs w:val="20"/>
        </w:rPr>
        <w:t>E</w:t>
      </w:r>
      <w:r w:rsidRPr="007722E7">
        <w:rPr>
          <w:sz w:val="20"/>
          <w:szCs w:val="20"/>
        </w:rPr>
        <w:t>arly education is acknowledged as highly important to make sure that youth reach professional education, without dropping out at early ages.</w:t>
      </w:r>
    </w:p>
    <w:p w14:paraId="16F253CB" w14:textId="77777777" w:rsidR="00BC0F67" w:rsidRPr="007722E7" w:rsidRDefault="00BC0F67" w:rsidP="007722E7">
      <w:pPr>
        <w:pStyle w:val="ListParagraph"/>
        <w:spacing w:before="240" w:after="240" w:line="240" w:lineRule="auto"/>
        <w:jc w:val="both"/>
        <w:rPr>
          <w:sz w:val="4"/>
          <w:szCs w:val="4"/>
        </w:rPr>
      </w:pPr>
    </w:p>
    <w:p w14:paraId="698549BE" w14:textId="0FD7EC3A" w:rsidR="00BC0F67" w:rsidRPr="007722E7" w:rsidRDefault="00BC0F67" w:rsidP="00E42342">
      <w:pPr>
        <w:pStyle w:val="ListParagraph"/>
        <w:numPr>
          <w:ilvl w:val="0"/>
          <w:numId w:val="91"/>
        </w:numPr>
        <w:spacing w:before="240" w:after="240" w:line="240" w:lineRule="auto"/>
        <w:jc w:val="both"/>
        <w:rPr>
          <w:sz w:val="20"/>
          <w:szCs w:val="20"/>
        </w:rPr>
      </w:pPr>
      <w:r w:rsidRPr="007722E7">
        <w:rPr>
          <w:sz w:val="20"/>
          <w:szCs w:val="20"/>
        </w:rPr>
        <w:t>The GO 2 focuses on the need to support the local business sector, acknowledging the need for smart investments in technological upgrading and adaptation to environmental norms. Digiti</w:t>
      </w:r>
      <w:r w:rsidR="00D20DF8">
        <w:rPr>
          <w:sz w:val="20"/>
          <w:szCs w:val="20"/>
        </w:rPr>
        <w:t>s</w:t>
      </w:r>
      <w:r w:rsidRPr="007722E7">
        <w:rPr>
          <w:sz w:val="20"/>
          <w:szCs w:val="20"/>
        </w:rPr>
        <w:t>ation is both perceived as important for local companies as well as for the institutions, so as to ease reporting and bureaucratic burdens on the private sector.</w:t>
      </w:r>
    </w:p>
    <w:p w14:paraId="396AE44D" w14:textId="77777777" w:rsidR="00BC0F67" w:rsidRPr="007722E7" w:rsidRDefault="00BC0F67" w:rsidP="007722E7">
      <w:pPr>
        <w:pStyle w:val="ListParagraph"/>
        <w:spacing w:before="240" w:after="240" w:line="240" w:lineRule="auto"/>
        <w:jc w:val="both"/>
        <w:rPr>
          <w:sz w:val="4"/>
          <w:szCs w:val="4"/>
        </w:rPr>
      </w:pPr>
    </w:p>
    <w:p w14:paraId="208330B8" w14:textId="70541519" w:rsidR="00BC0F67" w:rsidRPr="007722E7" w:rsidRDefault="00BC0F67" w:rsidP="00E42342">
      <w:pPr>
        <w:pStyle w:val="ListParagraph"/>
        <w:numPr>
          <w:ilvl w:val="0"/>
          <w:numId w:val="91"/>
        </w:numPr>
        <w:spacing w:after="120" w:line="240" w:lineRule="auto"/>
        <w:jc w:val="both"/>
        <w:rPr>
          <w:sz w:val="20"/>
          <w:szCs w:val="20"/>
        </w:rPr>
      </w:pPr>
      <w:r w:rsidRPr="007722E7">
        <w:rPr>
          <w:sz w:val="20"/>
          <w:szCs w:val="20"/>
        </w:rPr>
        <w:t>The GO 3 looks at a just contribution of Prahova to Romania’s decarbon</w:t>
      </w:r>
      <w:r w:rsidR="00D20DF8">
        <w:rPr>
          <w:sz w:val="20"/>
          <w:szCs w:val="20"/>
        </w:rPr>
        <w:t>is</w:t>
      </w:r>
      <w:r w:rsidRPr="007722E7">
        <w:rPr>
          <w:sz w:val="20"/>
          <w:szCs w:val="20"/>
        </w:rPr>
        <w:t>ation targets and is transposed into a set of specific objectives and actions encompassing energy efficiency of both built private residential and public infrastructures, as well as local businesses, regeneration and conversion of contaminated sites, promotion of circular economy.</w:t>
      </w:r>
    </w:p>
    <w:p w14:paraId="4AD085FC" w14:textId="1A6BA0FB" w:rsidR="00BC0F67" w:rsidRPr="0011265F" w:rsidRDefault="00BC0F67" w:rsidP="004E2DCB">
      <w:pPr>
        <w:keepNext/>
        <w:widowControl w:val="0"/>
        <w:autoSpaceDE w:val="0"/>
        <w:autoSpaceDN w:val="0"/>
        <w:adjustRightInd w:val="0"/>
        <w:spacing w:after="120"/>
        <w:rPr>
          <w:rFonts w:ascii="Arial" w:hAnsi="Arial" w:cs="Arial"/>
          <w:b/>
          <w:color w:val="4F81BD" w:themeColor="accent1"/>
          <w:sz w:val="20"/>
          <w:szCs w:val="20"/>
          <w:highlight w:val="white"/>
        </w:rPr>
      </w:pPr>
      <w:r w:rsidRPr="0011265F">
        <w:rPr>
          <w:rFonts w:ascii="Arial" w:hAnsi="Arial" w:cs="Arial"/>
          <w:b/>
          <w:color w:val="4F81BD" w:themeColor="accent1"/>
          <w:sz w:val="20"/>
          <w:szCs w:val="20"/>
          <w:highlight w:val="white"/>
        </w:rPr>
        <w:lastRenderedPageBreak/>
        <w:t>Key Takeaways Prahova</w:t>
      </w:r>
      <w:r w:rsidR="00D20DF8" w:rsidRPr="0011265F">
        <w:rPr>
          <w:rFonts w:ascii="Arial" w:hAnsi="Arial" w:cs="Arial"/>
          <w:b/>
          <w:color w:val="4F81BD" w:themeColor="accent1"/>
          <w:sz w:val="20"/>
          <w:szCs w:val="20"/>
          <w:highlight w:val="white"/>
        </w:rPr>
        <w:t xml:space="preserve"> County</w:t>
      </w:r>
    </w:p>
    <w:p w14:paraId="2C086856" w14:textId="082A797E" w:rsidR="001D4049" w:rsidRDefault="001A6B62" w:rsidP="00BC0F67">
      <w:pPr>
        <w:jc w:val="both"/>
        <w:rPr>
          <w:rFonts w:ascii="Arial" w:hAnsi="Arial" w:cs="Arial"/>
          <w:sz w:val="20"/>
          <w:szCs w:val="20"/>
        </w:rPr>
      </w:pPr>
      <w:r w:rsidRPr="007722E7">
        <w:rPr>
          <w:rFonts w:ascii="Arial" w:hAnsi="Arial" w:cs="Arial"/>
          <w:sz w:val="20"/>
          <w:szCs w:val="20"/>
        </w:rPr>
        <w:t xml:space="preserve">The county of Prahova needs to make use </w:t>
      </w:r>
      <w:r w:rsidR="00D20DF8">
        <w:rPr>
          <w:rFonts w:ascii="Arial" w:hAnsi="Arial" w:cs="Arial"/>
          <w:sz w:val="20"/>
          <w:szCs w:val="20"/>
        </w:rPr>
        <w:t xml:space="preserve">of </w:t>
      </w:r>
      <w:r w:rsidRPr="007722E7">
        <w:rPr>
          <w:rFonts w:ascii="Arial" w:hAnsi="Arial" w:cs="Arial"/>
          <w:sz w:val="20"/>
          <w:szCs w:val="20"/>
        </w:rPr>
        <w:t>JTF funds for actions related to energy efficiency in industry (the funding currently available is much lower than potential transformative projects in the local refining industry)</w:t>
      </w:r>
      <w:r w:rsidR="00F31656">
        <w:rPr>
          <w:rFonts w:ascii="Arial" w:hAnsi="Arial" w:cs="Arial"/>
          <w:sz w:val="20"/>
          <w:szCs w:val="20"/>
        </w:rPr>
        <w:t xml:space="preserve"> but this is problematic from a JTF regulation perspective</w:t>
      </w:r>
      <w:r w:rsidRPr="007722E7">
        <w:rPr>
          <w:rFonts w:ascii="Arial" w:hAnsi="Arial" w:cs="Arial"/>
          <w:sz w:val="20"/>
          <w:szCs w:val="20"/>
        </w:rPr>
        <w:t>, site decontamination and repurposing (though here only the JTF can support certain types of complex intervention, which Prahova badly needs due to its long track-record of industrial development) and</w:t>
      </w:r>
      <w:r w:rsidR="00D20DF8">
        <w:rPr>
          <w:rFonts w:ascii="Arial" w:hAnsi="Arial" w:cs="Arial"/>
          <w:sz w:val="20"/>
          <w:szCs w:val="20"/>
        </w:rPr>
        <w:t xml:space="preserve"> the promotion of</w:t>
      </w:r>
      <w:r w:rsidRPr="007722E7">
        <w:rPr>
          <w:rFonts w:ascii="Arial" w:hAnsi="Arial" w:cs="Arial"/>
          <w:sz w:val="20"/>
          <w:szCs w:val="20"/>
        </w:rPr>
        <w:t xml:space="preserve"> entrepreneurship.</w:t>
      </w:r>
    </w:p>
    <w:p w14:paraId="228B0622" w14:textId="77777777" w:rsidR="001D4049" w:rsidRDefault="001D4049" w:rsidP="00E42342">
      <w:pPr>
        <w:pStyle w:val="Heading2"/>
        <w:numPr>
          <w:ilvl w:val="0"/>
          <w:numId w:val="214"/>
        </w:numPr>
        <w:spacing w:before="240" w:line="240" w:lineRule="auto"/>
        <w:ind w:left="432" w:hanging="432"/>
      </w:pPr>
      <w:bookmarkStart w:id="277" w:name="_Toc90725891"/>
      <w:r>
        <w:t>Potential solutions and opportunities identified during the engagement process</w:t>
      </w:r>
      <w:bookmarkEnd w:id="277"/>
    </w:p>
    <w:p w14:paraId="3C8D4125" w14:textId="310233AA" w:rsidR="001D4049" w:rsidRDefault="001D4049" w:rsidP="00402580">
      <w:pPr>
        <w:jc w:val="both"/>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 xml:space="preserve">intervention </w:t>
      </w:r>
      <w:r w:rsidR="007722E7">
        <w:rPr>
          <w:rFonts w:ascii="Arial" w:hAnsi="Arial" w:cs="Arial"/>
          <w:sz w:val="20"/>
          <w:szCs w:val="20"/>
          <w:lang w:eastAsia="en-US"/>
        </w:rPr>
        <w:t>were</w:t>
      </w:r>
      <w:r>
        <w:rPr>
          <w:rFonts w:ascii="Arial" w:hAnsi="Arial" w:cs="Arial"/>
          <w:sz w:val="20"/>
          <w:szCs w:val="20"/>
          <w:lang w:eastAsia="en-US"/>
        </w:rPr>
        <w:t xml:space="preserve"> open to discussion during the regional workshop organi</w:t>
      </w:r>
      <w:r w:rsidR="007722E7">
        <w:rPr>
          <w:rFonts w:ascii="Arial" w:hAnsi="Arial" w:cs="Arial"/>
          <w:sz w:val="20"/>
          <w:szCs w:val="20"/>
          <w:lang w:eastAsia="en-US"/>
        </w:rPr>
        <w:t>s</w:t>
      </w:r>
      <w:r>
        <w:rPr>
          <w:rFonts w:ascii="Arial" w:hAnsi="Arial" w:cs="Arial"/>
          <w:sz w:val="20"/>
          <w:szCs w:val="20"/>
          <w:lang w:eastAsia="en-US"/>
        </w:rPr>
        <w:t xml:space="preserve">ed on 6 May 2021, </w:t>
      </w:r>
      <w:r w:rsidR="007722E7">
        <w:rPr>
          <w:rFonts w:ascii="Arial" w:hAnsi="Arial" w:cs="Arial"/>
          <w:sz w:val="20"/>
          <w:szCs w:val="20"/>
          <w:lang w:eastAsia="en-US"/>
        </w:rPr>
        <w:t>including</w:t>
      </w:r>
      <w:r>
        <w:rPr>
          <w:rFonts w:ascii="Arial" w:hAnsi="Arial" w:cs="Arial"/>
          <w:sz w:val="20"/>
          <w:szCs w:val="20"/>
          <w:lang w:eastAsia="en-US"/>
        </w:rPr>
        <w:t>:</w:t>
      </w:r>
    </w:p>
    <w:p w14:paraId="1208FB51" w14:textId="77777777" w:rsidR="001D4049" w:rsidRPr="007722E7" w:rsidRDefault="001D4049" w:rsidP="001D4049">
      <w:pPr>
        <w:rPr>
          <w:rFonts w:ascii="Arial" w:hAnsi="Arial" w:cs="Arial"/>
          <w:sz w:val="8"/>
          <w:szCs w:val="8"/>
          <w:lang w:eastAsia="en-US"/>
        </w:rPr>
      </w:pPr>
    </w:p>
    <w:p w14:paraId="7D9E01DA" w14:textId="77777777" w:rsidR="001D4049" w:rsidRDefault="001D4049" w:rsidP="00E42342">
      <w:pPr>
        <w:pStyle w:val="ListParagraph"/>
        <w:numPr>
          <w:ilvl w:val="0"/>
          <w:numId w:val="215"/>
        </w:numPr>
        <w:rPr>
          <w:sz w:val="20"/>
          <w:szCs w:val="20"/>
        </w:rPr>
      </w:pPr>
      <w:r w:rsidRPr="00644AF6">
        <w:rPr>
          <w:sz w:val="20"/>
          <w:szCs w:val="20"/>
        </w:rPr>
        <w:t>The future of decarbonisation in the region for large companies</w:t>
      </w:r>
    </w:p>
    <w:p w14:paraId="31BA0793" w14:textId="77777777" w:rsidR="001D4049" w:rsidRDefault="001D4049" w:rsidP="00E42342">
      <w:pPr>
        <w:pStyle w:val="ListParagraph"/>
        <w:numPr>
          <w:ilvl w:val="0"/>
          <w:numId w:val="215"/>
        </w:numPr>
        <w:rPr>
          <w:sz w:val="20"/>
          <w:szCs w:val="20"/>
        </w:rPr>
      </w:pPr>
      <w:r>
        <w:rPr>
          <w:sz w:val="20"/>
          <w:szCs w:val="20"/>
        </w:rPr>
        <w:t>Employment and attracting human capital</w:t>
      </w:r>
    </w:p>
    <w:p w14:paraId="48C16426" w14:textId="77777777" w:rsidR="001D4049" w:rsidRDefault="001D4049" w:rsidP="00E42342">
      <w:pPr>
        <w:pStyle w:val="ListParagraph"/>
        <w:numPr>
          <w:ilvl w:val="0"/>
          <w:numId w:val="215"/>
        </w:numPr>
        <w:rPr>
          <w:sz w:val="20"/>
          <w:szCs w:val="20"/>
        </w:rPr>
      </w:pPr>
      <w:r>
        <w:rPr>
          <w:sz w:val="20"/>
          <w:szCs w:val="20"/>
        </w:rPr>
        <w:t>Environmental challenges and opportunities</w:t>
      </w:r>
    </w:p>
    <w:p w14:paraId="3E2BE62A" w14:textId="77777777" w:rsidR="001D4049" w:rsidRDefault="001D4049" w:rsidP="00E42342">
      <w:pPr>
        <w:pStyle w:val="ListParagraph"/>
        <w:numPr>
          <w:ilvl w:val="0"/>
          <w:numId w:val="215"/>
        </w:numPr>
        <w:rPr>
          <w:sz w:val="20"/>
          <w:szCs w:val="20"/>
        </w:rPr>
      </w:pPr>
      <w:r>
        <w:rPr>
          <w:sz w:val="20"/>
          <w:szCs w:val="20"/>
        </w:rPr>
        <w:t>SMEs and entrepreneurship as vectors of regional development</w:t>
      </w:r>
    </w:p>
    <w:p w14:paraId="3529A35D" w14:textId="77777777" w:rsidR="001D4049" w:rsidRDefault="001D4049" w:rsidP="001D4049">
      <w:pPr>
        <w:rPr>
          <w:sz w:val="20"/>
          <w:szCs w:val="20"/>
        </w:rPr>
      </w:pPr>
    </w:p>
    <w:p w14:paraId="196CF2EA" w14:textId="58B08A11" w:rsidR="001D4049" w:rsidRDefault="001D4049" w:rsidP="001D4049">
      <w:pPr>
        <w:jc w:val="both"/>
        <w:rPr>
          <w:rFonts w:ascii="Arial" w:hAnsi="Arial" w:cs="Arial"/>
          <w:sz w:val="20"/>
          <w:szCs w:val="20"/>
        </w:rPr>
      </w:pPr>
      <w:r w:rsidRPr="00355188">
        <w:rPr>
          <w:rFonts w:ascii="Arial" w:hAnsi="Arial" w:cs="Arial"/>
          <w:sz w:val="20"/>
          <w:szCs w:val="20"/>
        </w:rPr>
        <w:t xml:space="preserve">Participants were invited to actively participate in the discussions (based on the world-café methodology) and bring forward project ideas and solutions, as well as address opportunities, related to the four main topics. Subsequently, participant ideas </w:t>
      </w:r>
      <w:r w:rsidR="007722E7">
        <w:rPr>
          <w:rFonts w:ascii="Arial" w:hAnsi="Arial" w:cs="Arial"/>
          <w:sz w:val="20"/>
          <w:szCs w:val="20"/>
        </w:rPr>
        <w:t>were</w:t>
      </w:r>
      <w:r w:rsidRPr="00355188">
        <w:rPr>
          <w:rFonts w:ascii="Arial" w:hAnsi="Arial" w:cs="Arial"/>
          <w:sz w:val="20"/>
          <w:szCs w:val="20"/>
        </w:rPr>
        <w:t xml:space="preserve"> </w:t>
      </w:r>
      <w:r w:rsidR="007722E7">
        <w:rPr>
          <w:rFonts w:ascii="Arial" w:hAnsi="Arial" w:cs="Arial"/>
          <w:sz w:val="20"/>
          <w:szCs w:val="20"/>
        </w:rPr>
        <w:t>collected</w:t>
      </w:r>
      <w:r w:rsidRPr="00355188">
        <w:rPr>
          <w:rFonts w:ascii="Arial" w:hAnsi="Arial" w:cs="Arial"/>
          <w:sz w:val="20"/>
          <w:szCs w:val="20"/>
        </w:rPr>
        <w:t xml:space="preserve"> and further assessed by the </w:t>
      </w:r>
      <w:r w:rsidR="007722E7">
        <w:rPr>
          <w:rFonts w:ascii="Arial" w:hAnsi="Arial" w:cs="Arial"/>
          <w:sz w:val="20"/>
          <w:szCs w:val="20"/>
        </w:rPr>
        <w:t>TA</w:t>
      </w:r>
      <w:r w:rsidRPr="00355188">
        <w:rPr>
          <w:rFonts w:ascii="Arial" w:hAnsi="Arial" w:cs="Arial"/>
          <w:sz w:val="20"/>
          <w:szCs w:val="20"/>
        </w:rPr>
        <w:t xml:space="preserve"> team. The main takeaways are presented in this section for </w:t>
      </w:r>
      <w:r>
        <w:rPr>
          <w:rFonts w:ascii="Arial" w:hAnsi="Arial" w:cs="Arial"/>
          <w:sz w:val="20"/>
          <w:szCs w:val="20"/>
        </w:rPr>
        <w:t>Prahova</w:t>
      </w:r>
      <w:r w:rsidRPr="00355188">
        <w:rPr>
          <w:rFonts w:ascii="Arial" w:hAnsi="Arial" w:cs="Arial"/>
          <w:sz w:val="20"/>
          <w:szCs w:val="20"/>
        </w:rPr>
        <w:t xml:space="preserve"> </w:t>
      </w:r>
      <w:r w:rsidR="007722E7">
        <w:rPr>
          <w:rFonts w:ascii="Arial" w:hAnsi="Arial" w:cs="Arial"/>
          <w:sz w:val="20"/>
          <w:szCs w:val="20"/>
        </w:rPr>
        <w:t>C</w:t>
      </w:r>
      <w:r w:rsidRPr="00355188">
        <w:rPr>
          <w:rFonts w:ascii="Arial" w:hAnsi="Arial" w:cs="Arial"/>
          <w:sz w:val="20"/>
          <w:szCs w:val="20"/>
        </w:rPr>
        <w:t>ounty.</w:t>
      </w:r>
    </w:p>
    <w:p w14:paraId="21E9FB55" w14:textId="77777777" w:rsidR="00FD4DD7" w:rsidRDefault="00FD4DD7" w:rsidP="00BC0F67">
      <w:pPr>
        <w:jc w:val="both"/>
        <w:rPr>
          <w:rFonts w:ascii="Arial" w:hAnsi="Arial" w:cs="Arial"/>
          <w:sz w:val="20"/>
          <w:szCs w:val="20"/>
        </w:rPr>
        <w:sectPr w:rsidR="00FD4DD7" w:rsidSect="00BE7F81">
          <w:pgSz w:w="11909" w:h="16834"/>
          <w:pgMar w:top="1440" w:right="1440" w:bottom="1440" w:left="1530" w:header="720" w:footer="720" w:gutter="0"/>
          <w:cols w:space="720"/>
          <w:docGrid w:linePitch="326"/>
        </w:sectPr>
      </w:pPr>
    </w:p>
    <w:p w14:paraId="6EDB3BF1" w14:textId="2D13C825" w:rsidR="00FD4DD7" w:rsidRDefault="00FD4DD7" w:rsidP="00D20DF8">
      <w:pPr>
        <w:pStyle w:val="Caption"/>
      </w:pPr>
      <w:bookmarkStart w:id="278" w:name="_Toc90726015"/>
      <w:bookmarkStart w:id="279" w:name="_Toc90727312"/>
      <w:r>
        <w:lastRenderedPageBreak/>
        <w:t xml:space="preserve">Table </w:t>
      </w:r>
      <w:r w:rsidR="000B273D">
        <w:rPr>
          <w:noProof/>
        </w:rPr>
        <w:fldChar w:fldCharType="begin"/>
      </w:r>
      <w:r w:rsidR="000B273D">
        <w:rPr>
          <w:noProof/>
        </w:rPr>
        <w:instrText xml:space="preserve"> SEQ Table \</w:instrText>
      </w:r>
      <w:r w:rsidR="000B273D">
        <w:rPr>
          <w:noProof/>
        </w:rPr>
        <w:instrText xml:space="preserve">* ARABIC </w:instrText>
      </w:r>
      <w:r w:rsidR="000B273D">
        <w:rPr>
          <w:noProof/>
        </w:rPr>
        <w:fldChar w:fldCharType="separate"/>
      </w:r>
      <w:r w:rsidR="004E2DCB">
        <w:rPr>
          <w:noProof/>
        </w:rPr>
        <w:t>61</w:t>
      </w:r>
      <w:r w:rsidR="000B273D">
        <w:rPr>
          <w:noProof/>
        </w:rPr>
        <w:fldChar w:fldCharType="end"/>
      </w:r>
      <w:r>
        <w:t xml:space="preserve">: Regional workshop harvesting for Prahova </w:t>
      </w:r>
      <w:r w:rsidR="007722E7">
        <w:t>C</w:t>
      </w:r>
      <w:r>
        <w:t>ounty</w:t>
      </w:r>
      <w:bookmarkEnd w:id="278"/>
      <w:bookmarkEnd w:id="279"/>
    </w:p>
    <w:tbl>
      <w:tblPr>
        <w:tblW w:w="1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7"/>
        <w:gridCol w:w="1398"/>
        <w:gridCol w:w="5802"/>
        <w:gridCol w:w="1286"/>
      </w:tblGrid>
      <w:tr w:rsidR="00FD4DD7" w:rsidRPr="00FD4DD7" w14:paraId="15AF3FF6" w14:textId="77777777" w:rsidTr="00EE02DE">
        <w:tc>
          <w:tcPr>
            <w:tcW w:w="14173" w:type="dxa"/>
            <w:gridSpan w:val="4"/>
            <w:shd w:val="clear" w:color="auto" w:fill="93C47D"/>
          </w:tcPr>
          <w:p w14:paraId="558FF04D" w14:textId="19C4F875" w:rsidR="00FD4DD7" w:rsidRPr="00D20DF8" w:rsidRDefault="00FD4DD7" w:rsidP="00EE02DE">
            <w:pPr>
              <w:spacing w:before="240" w:after="240"/>
              <w:ind w:hanging="2"/>
              <w:rPr>
                <w:rFonts w:ascii="Arial" w:hAnsi="Arial" w:cs="Arial"/>
                <w:sz w:val="18"/>
                <w:szCs w:val="18"/>
              </w:rPr>
            </w:pPr>
            <w:r w:rsidRPr="00D20DF8">
              <w:rPr>
                <w:rFonts w:ascii="Arial" w:hAnsi="Arial" w:cs="Arial"/>
                <w:b/>
                <w:sz w:val="18"/>
                <w:szCs w:val="18"/>
              </w:rPr>
              <w:t xml:space="preserve">Ideas and solutions in the just transition process, Prahova </w:t>
            </w:r>
            <w:r w:rsidR="00D20DF8">
              <w:rPr>
                <w:rFonts w:ascii="Arial" w:hAnsi="Arial" w:cs="Arial"/>
                <w:b/>
                <w:sz w:val="18"/>
                <w:szCs w:val="18"/>
              </w:rPr>
              <w:t>C</w:t>
            </w:r>
            <w:r w:rsidRPr="00D20DF8">
              <w:rPr>
                <w:rFonts w:ascii="Arial" w:hAnsi="Arial" w:cs="Arial"/>
                <w:b/>
                <w:sz w:val="18"/>
                <w:szCs w:val="18"/>
              </w:rPr>
              <w:t xml:space="preserve">ounty, May 2021 </w:t>
            </w:r>
          </w:p>
          <w:p w14:paraId="0E029F8B" w14:textId="77777777" w:rsidR="00FD4DD7" w:rsidRPr="00D20DF8" w:rsidRDefault="00FD4DD7" w:rsidP="00EE02DE">
            <w:pPr>
              <w:ind w:hanging="2"/>
              <w:rPr>
                <w:rFonts w:ascii="Arial" w:hAnsi="Arial" w:cs="Arial"/>
                <w:sz w:val="18"/>
                <w:szCs w:val="18"/>
              </w:rPr>
            </w:pPr>
          </w:p>
        </w:tc>
      </w:tr>
      <w:tr w:rsidR="00FD4DD7" w:rsidRPr="00FD4DD7" w14:paraId="23C5A210" w14:textId="77777777" w:rsidTr="00EE02DE">
        <w:tc>
          <w:tcPr>
            <w:tcW w:w="5687" w:type="dxa"/>
          </w:tcPr>
          <w:p w14:paraId="7F357723" w14:textId="77777777" w:rsidR="00FD4DD7" w:rsidRPr="00FD4DD7" w:rsidRDefault="00FD4DD7" w:rsidP="00EE02DE">
            <w:pPr>
              <w:ind w:hanging="2"/>
              <w:rPr>
                <w:rFonts w:ascii="Arial" w:hAnsi="Arial" w:cs="Arial"/>
                <w:sz w:val="18"/>
                <w:szCs w:val="18"/>
              </w:rPr>
            </w:pPr>
            <w:r w:rsidRPr="00FD4DD7">
              <w:rPr>
                <w:rFonts w:ascii="Arial" w:hAnsi="Arial" w:cs="Arial"/>
                <w:b/>
                <w:sz w:val="18"/>
                <w:szCs w:val="18"/>
              </w:rPr>
              <w:t xml:space="preserve">The future of decarbonisation in the region for large companies (also focusing on areas/industries with growth potential in the region) </w:t>
            </w:r>
            <w:r w:rsidRPr="00FD4DD7">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1398" w:type="dxa"/>
          </w:tcPr>
          <w:p w14:paraId="41287173" w14:textId="77777777" w:rsidR="00FD4DD7" w:rsidRPr="00FD4DD7" w:rsidRDefault="00FD4DD7" w:rsidP="00EE02DE">
            <w:pPr>
              <w:ind w:hanging="2"/>
              <w:rPr>
                <w:rFonts w:ascii="Arial" w:hAnsi="Arial" w:cs="Arial"/>
                <w:sz w:val="18"/>
                <w:szCs w:val="18"/>
              </w:rPr>
            </w:pPr>
            <w:r w:rsidRPr="00FD4DD7">
              <w:rPr>
                <w:rFonts w:ascii="Arial" w:hAnsi="Arial" w:cs="Arial"/>
                <w:noProof/>
                <w:sz w:val="18"/>
                <w:szCs w:val="18"/>
                <w:lang w:val="en-US" w:eastAsia="en-US"/>
              </w:rPr>
              <w:drawing>
                <wp:inline distT="114300" distB="114300" distL="114300" distR="114300" wp14:anchorId="23826D6E" wp14:editId="5DACDE64">
                  <wp:extent cx="752475" cy="812800"/>
                  <wp:effectExtent l="0" t="0" r="0" b="0"/>
                  <wp:docPr id="2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75"/>
                          <a:srcRect/>
                          <a:stretch>
                            <a:fillRect/>
                          </a:stretch>
                        </pic:blipFill>
                        <pic:spPr>
                          <a:xfrm>
                            <a:off x="0" y="0"/>
                            <a:ext cx="752475" cy="812800"/>
                          </a:xfrm>
                          <a:prstGeom prst="rect">
                            <a:avLst/>
                          </a:prstGeom>
                          <a:ln/>
                        </pic:spPr>
                      </pic:pic>
                    </a:graphicData>
                  </a:graphic>
                </wp:inline>
              </w:drawing>
            </w:r>
          </w:p>
        </w:tc>
        <w:tc>
          <w:tcPr>
            <w:tcW w:w="5802" w:type="dxa"/>
          </w:tcPr>
          <w:p w14:paraId="47952CCE" w14:textId="77777777" w:rsidR="00FD4DD7" w:rsidRPr="002E65CB" w:rsidRDefault="00FD4DD7" w:rsidP="00EE02DE">
            <w:pPr>
              <w:spacing w:after="240"/>
              <w:ind w:hanging="2"/>
              <w:rPr>
                <w:rFonts w:ascii="Arial" w:hAnsi="Arial" w:cs="Arial"/>
                <w:sz w:val="18"/>
                <w:szCs w:val="18"/>
              </w:rPr>
            </w:pPr>
            <w:r w:rsidRPr="00FD4DD7">
              <w:rPr>
                <w:rFonts w:ascii="Arial" w:hAnsi="Arial" w:cs="Arial"/>
                <w:b/>
                <w:sz w:val="18"/>
                <w:szCs w:val="18"/>
              </w:rPr>
              <w:t>Employability and attracting human capital (including retraining and further qualification)</w:t>
            </w:r>
            <w:r w:rsidRPr="00FD4DD7">
              <w:rPr>
                <w:rFonts w:ascii="Arial" w:hAnsi="Arial" w:cs="Arial"/>
                <w:b/>
                <w:i/>
                <w:sz w:val="18"/>
                <w:szCs w:val="18"/>
              </w:rPr>
              <w:t xml:space="preserve"> </w:t>
            </w:r>
            <w:r w:rsidRPr="00FD4DD7">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w:t>
            </w:r>
            <w:r w:rsidRPr="002E65CB">
              <w:rPr>
                <w:rFonts w:ascii="Arial" w:hAnsi="Arial" w:cs="Arial"/>
                <w:i/>
                <w:sz w:val="18"/>
                <w:szCs w:val="18"/>
              </w:rPr>
              <w:t>sier?</w:t>
            </w:r>
          </w:p>
        </w:tc>
        <w:tc>
          <w:tcPr>
            <w:tcW w:w="1286" w:type="dxa"/>
          </w:tcPr>
          <w:p w14:paraId="40E4C77B" w14:textId="77777777" w:rsidR="00FD4DD7" w:rsidRPr="00D20DF8" w:rsidRDefault="00FD4DD7" w:rsidP="00EE02DE">
            <w:pPr>
              <w:ind w:hanging="2"/>
              <w:rPr>
                <w:rFonts w:ascii="Arial" w:hAnsi="Arial" w:cs="Arial"/>
                <w:sz w:val="18"/>
                <w:szCs w:val="18"/>
              </w:rPr>
            </w:pPr>
            <w:r w:rsidRPr="00D20DF8">
              <w:rPr>
                <w:rFonts w:ascii="Arial" w:hAnsi="Arial" w:cs="Arial"/>
                <w:noProof/>
                <w:sz w:val="18"/>
                <w:szCs w:val="18"/>
                <w:lang w:val="en-US" w:eastAsia="en-US"/>
              </w:rPr>
              <w:drawing>
                <wp:inline distT="114300" distB="114300" distL="114300" distR="114300" wp14:anchorId="4BDC7C77" wp14:editId="649FCEC6">
                  <wp:extent cx="685800" cy="736600"/>
                  <wp:effectExtent l="0" t="0" r="0" b="0"/>
                  <wp:docPr id="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76"/>
                          <a:srcRect/>
                          <a:stretch>
                            <a:fillRect/>
                          </a:stretch>
                        </pic:blipFill>
                        <pic:spPr>
                          <a:xfrm>
                            <a:off x="0" y="0"/>
                            <a:ext cx="685800" cy="736600"/>
                          </a:xfrm>
                          <a:prstGeom prst="rect">
                            <a:avLst/>
                          </a:prstGeom>
                          <a:ln/>
                        </pic:spPr>
                      </pic:pic>
                    </a:graphicData>
                  </a:graphic>
                </wp:inline>
              </w:drawing>
            </w:r>
          </w:p>
        </w:tc>
      </w:tr>
      <w:tr w:rsidR="00FD4DD7" w:rsidRPr="00FD4DD7" w14:paraId="4A15F8D5" w14:textId="77777777" w:rsidTr="00EE02DE">
        <w:trPr>
          <w:trHeight w:val="200"/>
        </w:trPr>
        <w:tc>
          <w:tcPr>
            <w:tcW w:w="7085" w:type="dxa"/>
            <w:gridSpan w:val="2"/>
          </w:tcPr>
          <w:p w14:paraId="6FE6F442" w14:textId="77777777" w:rsidR="00FD4DD7" w:rsidRPr="00D20DF8" w:rsidRDefault="00FD4DD7" w:rsidP="00EE02DE">
            <w:pPr>
              <w:spacing w:before="240" w:after="240"/>
              <w:ind w:hanging="2"/>
              <w:rPr>
                <w:rFonts w:ascii="Arial" w:hAnsi="Arial" w:cs="Arial"/>
                <w:b/>
                <w:sz w:val="18"/>
                <w:szCs w:val="18"/>
              </w:rPr>
            </w:pPr>
            <w:r w:rsidRPr="00D20DF8">
              <w:rPr>
                <w:rFonts w:ascii="Arial" w:hAnsi="Arial" w:cs="Arial"/>
                <w:b/>
                <w:sz w:val="18"/>
                <w:szCs w:val="18"/>
              </w:rPr>
              <w:t>Ideas, solutions, projects, opportunities:</w:t>
            </w:r>
          </w:p>
          <w:p w14:paraId="0A358DE1" w14:textId="77777777" w:rsidR="00FD4DD7" w:rsidRPr="009E2A70" w:rsidRDefault="00FD4DD7" w:rsidP="00E42342">
            <w:pPr>
              <w:pStyle w:val="Briefingtext"/>
              <w:numPr>
                <w:ilvl w:val="0"/>
                <w:numId w:val="321"/>
              </w:numPr>
              <w:spacing w:after="0"/>
              <w:rPr>
                <w:sz w:val="18"/>
                <w:szCs w:val="20"/>
              </w:rPr>
            </w:pPr>
            <w:r w:rsidRPr="009E2A70">
              <w:rPr>
                <w:sz w:val="18"/>
                <w:szCs w:val="20"/>
              </w:rPr>
              <w:t>Development opportunity for mechanical industry, welding qualified personnel - mechanics in Mizil and Brazi</w:t>
            </w:r>
          </w:p>
          <w:p w14:paraId="439094A1"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Food &amp; beverage industry - including soft drinks</w:t>
            </w:r>
          </w:p>
          <w:p w14:paraId="1CA2BE8E" w14:textId="77777777" w:rsidR="00FD4DD7" w:rsidRPr="009E2A70" w:rsidRDefault="00FD4DD7" w:rsidP="00E42342">
            <w:pPr>
              <w:pStyle w:val="Briefingtext"/>
              <w:numPr>
                <w:ilvl w:val="0"/>
                <w:numId w:val="322"/>
              </w:numPr>
              <w:spacing w:after="0"/>
              <w:textDirection w:val="btLr"/>
              <w:rPr>
                <w:sz w:val="18"/>
                <w:szCs w:val="20"/>
              </w:rPr>
            </w:pPr>
            <w:r w:rsidRPr="009E2A70">
              <w:rPr>
                <w:sz w:val="18"/>
                <w:szCs w:val="20"/>
              </w:rPr>
              <w:t>Viticulture, winemaking (wine road)</w:t>
            </w:r>
          </w:p>
          <w:p w14:paraId="2A750DCD" w14:textId="77777777" w:rsidR="00FD4DD7" w:rsidRPr="009E2A70" w:rsidRDefault="00FD4DD7" w:rsidP="00E42342">
            <w:pPr>
              <w:pStyle w:val="Briefingtext"/>
              <w:numPr>
                <w:ilvl w:val="0"/>
                <w:numId w:val="322"/>
              </w:numPr>
              <w:spacing w:after="0"/>
              <w:textDirection w:val="btLr"/>
              <w:rPr>
                <w:sz w:val="18"/>
                <w:szCs w:val="20"/>
              </w:rPr>
            </w:pPr>
            <w:r w:rsidRPr="009E2A70">
              <w:rPr>
                <w:sz w:val="18"/>
                <w:szCs w:val="20"/>
              </w:rPr>
              <w:t>Beverage industry</w:t>
            </w:r>
          </w:p>
          <w:p w14:paraId="679F3E7F" w14:textId="32A34C1C" w:rsidR="00FD4DD7" w:rsidRPr="009E2A70" w:rsidRDefault="00F31656" w:rsidP="00E42342">
            <w:pPr>
              <w:pStyle w:val="Briefingtext"/>
              <w:numPr>
                <w:ilvl w:val="0"/>
                <w:numId w:val="322"/>
              </w:numPr>
              <w:spacing w:after="0"/>
              <w:textDirection w:val="btLr"/>
              <w:rPr>
                <w:sz w:val="18"/>
                <w:szCs w:val="20"/>
              </w:rPr>
            </w:pPr>
            <w:r w:rsidRPr="009E2A70">
              <w:rPr>
                <w:sz w:val="18"/>
                <w:szCs w:val="20"/>
              </w:rPr>
              <w:t>F</w:t>
            </w:r>
            <w:r w:rsidR="00FD4DD7" w:rsidRPr="009E2A70">
              <w:rPr>
                <w:sz w:val="18"/>
                <w:szCs w:val="20"/>
              </w:rPr>
              <w:t>ruit producers</w:t>
            </w:r>
          </w:p>
          <w:p w14:paraId="632D83D9" w14:textId="77777777" w:rsidR="00FD4DD7" w:rsidRPr="009E2A70" w:rsidRDefault="00FD4DD7" w:rsidP="00E42342">
            <w:pPr>
              <w:pStyle w:val="Briefingtext"/>
              <w:numPr>
                <w:ilvl w:val="0"/>
                <w:numId w:val="322"/>
              </w:numPr>
              <w:spacing w:after="0"/>
              <w:textDirection w:val="btLr"/>
              <w:rPr>
                <w:sz w:val="18"/>
                <w:szCs w:val="20"/>
              </w:rPr>
            </w:pPr>
            <w:r w:rsidRPr="009E2A70">
              <w:rPr>
                <w:sz w:val="18"/>
                <w:szCs w:val="20"/>
              </w:rPr>
              <w:t>Salt industry - high demand</w:t>
            </w:r>
          </w:p>
          <w:p w14:paraId="64280362" w14:textId="77777777" w:rsidR="00FD4DD7" w:rsidRPr="009E2A70" w:rsidRDefault="00FD4DD7" w:rsidP="00E42342">
            <w:pPr>
              <w:pStyle w:val="Briefingtext"/>
              <w:numPr>
                <w:ilvl w:val="0"/>
                <w:numId w:val="322"/>
              </w:numPr>
              <w:spacing w:after="0"/>
              <w:textDirection w:val="btLr"/>
              <w:rPr>
                <w:sz w:val="18"/>
                <w:szCs w:val="20"/>
              </w:rPr>
            </w:pPr>
            <w:r w:rsidRPr="009E2A70">
              <w:rPr>
                <w:sz w:val="18"/>
                <w:szCs w:val="20"/>
              </w:rPr>
              <w:t>Agriculture, lavender plantation &amp; oil production</w:t>
            </w:r>
          </w:p>
          <w:p w14:paraId="6E16A17D" w14:textId="77777777" w:rsidR="00FD4DD7" w:rsidRPr="009E2A70" w:rsidRDefault="00FD4DD7" w:rsidP="00E42342">
            <w:pPr>
              <w:pStyle w:val="Briefingtext"/>
              <w:numPr>
                <w:ilvl w:val="0"/>
                <w:numId w:val="322"/>
              </w:numPr>
              <w:spacing w:after="0"/>
              <w:textDirection w:val="btLr"/>
              <w:rPr>
                <w:sz w:val="18"/>
                <w:szCs w:val="20"/>
              </w:rPr>
            </w:pPr>
            <w:r w:rsidRPr="009E2A70">
              <w:rPr>
                <w:sz w:val="18"/>
                <w:szCs w:val="20"/>
              </w:rPr>
              <w:t>Fruit processing, beetroot</w:t>
            </w:r>
          </w:p>
          <w:p w14:paraId="753E1EE9"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Organic transport</w:t>
            </w:r>
          </w:p>
          <w:p w14:paraId="6B34BD10"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Tourism and HORECA</w:t>
            </w:r>
          </w:p>
          <w:p w14:paraId="614608B8"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Furniture and textile industry</w:t>
            </w:r>
          </w:p>
          <w:p w14:paraId="56C96910"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Solar panels - large enterprises</w:t>
            </w:r>
          </w:p>
          <w:p w14:paraId="07D06C13"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Electronic components</w:t>
            </w:r>
          </w:p>
          <w:p w14:paraId="61CEBF89"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Transformation of the Automotive industry (cables, chassis components, electronics)</w:t>
            </w:r>
          </w:p>
          <w:p w14:paraId="5396D22B"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Vertical industry related to refineries (IT, transport, design</w:t>
            </w:r>
          </w:p>
          <w:p w14:paraId="5C09AEEF"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Mechanical processing industry  </w:t>
            </w:r>
          </w:p>
          <w:p w14:paraId="7A88F591"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Electrical processing industry</w:t>
            </w:r>
          </w:p>
          <w:p w14:paraId="7341A758"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Robotics, industrial robot factory (1 May)</w:t>
            </w:r>
          </w:p>
          <w:p w14:paraId="38BDDBEC"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Batteries factory</w:t>
            </w:r>
          </w:p>
          <w:p w14:paraId="66AAB770"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Material recovery &amp; PET recycling networks, PET recovery</w:t>
            </w:r>
          </w:p>
          <w:p w14:paraId="3E4C2133" w14:textId="6B8269B4" w:rsidR="00FD4DD7" w:rsidRPr="00D20DF8" w:rsidRDefault="00FD4DD7" w:rsidP="00EE02DE">
            <w:pPr>
              <w:spacing w:before="240" w:after="240"/>
              <w:ind w:hanging="2"/>
              <w:rPr>
                <w:rFonts w:ascii="Arial" w:hAnsi="Arial" w:cs="Arial"/>
                <w:sz w:val="18"/>
                <w:szCs w:val="18"/>
              </w:rPr>
            </w:pPr>
            <w:r w:rsidRPr="00D20DF8">
              <w:rPr>
                <w:rFonts w:ascii="Arial" w:hAnsi="Arial" w:cs="Arial"/>
                <w:sz w:val="18"/>
                <w:szCs w:val="18"/>
              </w:rPr>
              <w:lastRenderedPageBreak/>
              <w:t>Important general aspects</w:t>
            </w:r>
            <w:r w:rsidR="00F31656">
              <w:rPr>
                <w:rFonts w:ascii="Arial" w:hAnsi="Arial" w:cs="Arial"/>
                <w:sz w:val="18"/>
                <w:szCs w:val="18"/>
              </w:rPr>
              <w:t xml:space="preserve"> stressed by the attendants</w:t>
            </w:r>
          </w:p>
          <w:p w14:paraId="09A26F62"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Converting oil and gas pipelines to carry clean energy sources</w:t>
            </w:r>
          </w:p>
          <w:p w14:paraId="3797AB83"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Gas must be transitional fuel</w:t>
            </w:r>
          </w:p>
          <w:p w14:paraId="509BA12C" w14:textId="0E8844DA"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Lack of regulation </w:t>
            </w:r>
            <w:r w:rsidR="00F31656" w:rsidRPr="009E2A70">
              <w:rPr>
                <w:sz w:val="18"/>
                <w:szCs w:val="20"/>
              </w:rPr>
              <w:t xml:space="preserve">on future of gas </w:t>
            </w:r>
            <w:r w:rsidRPr="009E2A70">
              <w:rPr>
                <w:sz w:val="18"/>
                <w:szCs w:val="20"/>
              </w:rPr>
              <w:t>at European level</w:t>
            </w:r>
          </w:p>
          <w:p w14:paraId="7D82F3FD"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There are many employees with higher education in oil &amp; gas -&gt; what do we do with them?</w:t>
            </w:r>
          </w:p>
          <w:p w14:paraId="23D73D67"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Reducing emissions from refining could go reach max 5% from process optimisation (and there is no European support for this)</w:t>
            </w:r>
          </w:p>
          <w:p w14:paraId="33CE3B95" w14:textId="347C6FA1"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Gas </w:t>
            </w:r>
            <w:r w:rsidR="00F31656" w:rsidRPr="009E2A70">
              <w:rPr>
                <w:sz w:val="18"/>
                <w:szCs w:val="20"/>
              </w:rPr>
              <w:t xml:space="preserve">hopefully will be </w:t>
            </w:r>
            <w:r w:rsidRPr="009E2A70">
              <w:rPr>
                <w:sz w:val="18"/>
                <w:szCs w:val="20"/>
              </w:rPr>
              <w:t xml:space="preserve">e supported by </w:t>
            </w:r>
            <w:r w:rsidR="00A65C75" w:rsidRPr="009E2A70">
              <w:rPr>
                <w:sz w:val="18"/>
                <w:szCs w:val="20"/>
              </w:rPr>
              <w:t>RRP</w:t>
            </w:r>
          </w:p>
          <w:p w14:paraId="09D0A451" w14:textId="71F283A3" w:rsidR="00FD4DD7" w:rsidRPr="009E2A70" w:rsidRDefault="00F31656" w:rsidP="00E42342">
            <w:pPr>
              <w:pStyle w:val="Briefingtext"/>
              <w:numPr>
                <w:ilvl w:val="0"/>
                <w:numId w:val="321"/>
              </w:numPr>
              <w:spacing w:after="0"/>
              <w:textDirection w:val="btLr"/>
              <w:rPr>
                <w:sz w:val="18"/>
                <w:szCs w:val="20"/>
              </w:rPr>
            </w:pPr>
            <w:r w:rsidRPr="009E2A70">
              <w:rPr>
                <w:sz w:val="18"/>
                <w:szCs w:val="20"/>
              </w:rPr>
              <w:t>M</w:t>
            </w:r>
            <w:r w:rsidR="00FD4DD7" w:rsidRPr="009E2A70">
              <w:rPr>
                <w:sz w:val="18"/>
                <w:szCs w:val="20"/>
              </w:rPr>
              <w:t xml:space="preserve">easuring the amount of </w:t>
            </w:r>
            <w:r w:rsidR="00CD5FFC" w:rsidRPr="003516DC">
              <w:rPr>
                <w:rFonts w:eastAsia="Calibri"/>
                <w:sz w:val="18"/>
                <w:szCs w:val="18"/>
              </w:rPr>
              <w:t>CO</w:t>
            </w:r>
            <w:r w:rsidR="00CD5FFC" w:rsidRPr="001C148D">
              <w:rPr>
                <w:rFonts w:eastAsia="Calibri"/>
                <w:sz w:val="18"/>
                <w:szCs w:val="18"/>
                <w:vertAlign w:val="subscript"/>
              </w:rPr>
              <w:t>2</w:t>
            </w:r>
            <w:r w:rsidR="00CD5FFC">
              <w:rPr>
                <w:rFonts w:eastAsia="Calibri"/>
                <w:sz w:val="18"/>
                <w:szCs w:val="18"/>
                <w:vertAlign w:val="subscript"/>
              </w:rPr>
              <w:t xml:space="preserve"> </w:t>
            </w:r>
            <w:r w:rsidR="00FD4DD7" w:rsidRPr="009E2A70">
              <w:rPr>
                <w:sz w:val="18"/>
                <w:szCs w:val="20"/>
              </w:rPr>
              <w:t xml:space="preserve">is/could be absorbed within the </w:t>
            </w:r>
            <w:r w:rsidRPr="009E2A70">
              <w:rPr>
                <w:sz w:val="18"/>
                <w:szCs w:val="20"/>
              </w:rPr>
              <w:t>count is needed</w:t>
            </w:r>
            <w:r w:rsidR="00FD4DD7" w:rsidRPr="009E2A70">
              <w:rPr>
                <w:sz w:val="18"/>
                <w:szCs w:val="20"/>
              </w:rPr>
              <w:t xml:space="preserve"> </w:t>
            </w:r>
          </w:p>
          <w:p w14:paraId="3A7F6CE1" w14:textId="07C5449E" w:rsidR="00FD4DD7" w:rsidRPr="009E2A70" w:rsidRDefault="00F31656" w:rsidP="00E42342">
            <w:pPr>
              <w:pStyle w:val="Briefingtext"/>
              <w:numPr>
                <w:ilvl w:val="0"/>
                <w:numId w:val="321"/>
              </w:numPr>
              <w:spacing w:after="0"/>
              <w:textDirection w:val="btLr"/>
              <w:rPr>
                <w:sz w:val="18"/>
                <w:szCs w:val="20"/>
              </w:rPr>
            </w:pPr>
            <w:r w:rsidRPr="009E2A70">
              <w:rPr>
                <w:sz w:val="18"/>
                <w:szCs w:val="20"/>
              </w:rPr>
              <w:t>Stakeholders fear that the r</w:t>
            </w:r>
            <w:r w:rsidR="00FD4DD7" w:rsidRPr="009E2A70">
              <w:rPr>
                <w:sz w:val="18"/>
                <w:szCs w:val="20"/>
              </w:rPr>
              <w:t xml:space="preserve">esult of transition = death of OIL &amp; GAS (not going to happen in next 10 years) </w:t>
            </w:r>
          </w:p>
          <w:p w14:paraId="4580C051"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CCS technologies</w:t>
            </w:r>
          </w:p>
          <w:p w14:paraId="775EAF53" w14:textId="7FB0EDEF" w:rsidR="00FD4DD7" w:rsidRPr="009E2A70" w:rsidRDefault="00CD5FFC" w:rsidP="00E42342">
            <w:pPr>
              <w:pStyle w:val="Briefingtext"/>
              <w:numPr>
                <w:ilvl w:val="0"/>
                <w:numId w:val="321"/>
              </w:numPr>
              <w:spacing w:after="0"/>
              <w:textDirection w:val="btLr"/>
              <w:rPr>
                <w:sz w:val="18"/>
                <w:szCs w:val="20"/>
              </w:rPr>
            </w:pPr>
            <w:r w:rsidRPr="003516DC">
              <w:rPr>
                <w:rFonts w:eastAsia="Calibri"/>
                <w:sz w:val="18"/>
                <w:szCs w:val="18"/>
              </w:rPr>
              <w:t>CO</w:t>
            </w:r>
            <w:r w:rsidRPr="001C148D">
              <w:rPr>
                <w:rFonts w:eastAsia="Calibri"/>
                <w:sz w:val="18"/>
                <w:szCs w:val="18"/>
                <w:vertAlign w:val="subscript"/>
              </w:rPr>
              <w:t>2</w:t>
            </w:r>
            <w:r>
              <w:rPr>
                <w:sz w:val="18"/>
                <w:szCs w:val="20"/>
              </w:rPr>
              <w:t xml:space="preserve"> </w:t>
            </w:r>
            <w:r w:rsidR="00FD4DD7" w:rsidRPr="009E2A70">
              <w:rPr>
                <w:sz w:val="18"/>
                <w:szCs w:val="20"/>
              </w:rPr>
              <w:t>- methanol conversion etc.</w:t>
            </w:r>
          </w:p>
          <w:p w14:paraId="0679036F"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Green hydrogen - we need water - potential pb.</w:t>
            </w:r>
          </w:p>
          <w:p w14:paraId="6B856B99"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Circular economy </w:t>
            </w:r>
          </w:p>
          <w:p w14:paraId="787DC836"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Biomass (hay, cobs)</w:t>
            </w:r>
          </w:p>
          <w:p w14:paraId="0C76B4BC"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Biogas (agricultural waste, zoo)  </w:t>
            </w:r>
          </w:p>
          <w:p w14:paraId="4100402D" w14:textId="77777777" w:rsidR="00FD4DD7" w:rsidRPr="00D20DF8" w:rsidRDefault="00FD4DD7" w:rsidP="00EE02DE">
            <w:pPr>
              <w:ind w:hanging="2"/>
              <w:rPr>
                <w:rFonts w:ascii="Arial" w:hAnsi="Arial" w:cs="Arial"/>
                <w:sz w:val="18"/>
                <w:szCs w:val="18"/>
              </w:rPr>
            </w:pPr>
          </w:p>
        </w:tc>
        <w:tc>
          <w:tcPr>
            <w:tcW w:w="7088" w:type="dxa"/>
            <w:gridSpan w:val="2"/>
          </w:tcPr>
          <w:p w14:paraId="41AADACF" w14:textId="77777777" w:rsidR="00FD4DD7" w:rsidRPr="00D20DF8" w:rsidRDefault="00FD4DD7" w:rsidP="00EE02DE">
            <w:pPr>
              <w:spacing w:before="240" w:after="240"/>
              <w:ind w:hanging="2"/>
              <w:rPr>
                <w:rFonts w:ascii="Arial" w:hAnsi="Arial" w:cs="Arial"/>
                <w:sz w:val="18"/>
                <w:szCs w:val="18"/>
              </w:rPr>
            </w:pPr>
            <w:r w:rsidRPr="00D20DF8">
              <w:rPr>
                <w:rFonts w:ascii="Arial" w:hAnsi="Arial" w:cs="Arial"/>
                <w:b/>
                <w:sz w:val="18"/>
                <w:szCs w:val="18"/>
              </w:rPr>
              <w:lastRenderedPageBreak/>
              <w:t>Ideas, solutions, projects, opportunities:</w:t>
            </w:r>
          </w:p>
          <w:p w14:paraId="52991695"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Dual education should be developed - qualifications for students in line with the profile and needs of local companies; qualifications are identified at the initiative of the Ministry of Education - link with the Employer - School - LPA contract</w:t>
            </w:r>
          </w:p>
          <w:p w14:paraId="560434BC"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Need for continuous qualification activities - qualified vocational training companies can provide training courses on 3 levels, but they respond only to those training demands for which they are qualified; there is no clear correlation between the offer of qualifications/training that these companies certified by the Ministry of Labour are offering and the needs of "future" trades.</w:t>
            </w:r>
          </w:p>
          <w:p w14:paraId="7A67EBA2"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Pertinence for conducting a county level analysis on the need for human resources</w:t>
            </w:r>
          </w:p>
          <w:p w14:paraId="7FC78FCC"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Non-formal education providers need to be brought into the process; partnerships should be created between companies (especially companies affected by just transition) - Chamber of Commerce and Industry - vocational training providers - and the coordinator could be AJOFM. Specialised workforce should be analysed by AJOFM.</w:t>
            </w:r>
          </w:p>
          <w:p w14:paraId="25E47F52" w14:textId="1620414E" w:rsidR="00FD4DD7" w:rsidRPr="009E2A70" w:rsidRDefault="00FD4DD7" w:rsidP="00E42342">
            <w:pPr>
              <w:pStyle w:val="Briefingtext"/>
              <w:numPr>
                <w:ilvl w:val="0"/>
                <w:numId w:val="321"/>
              </w:numPr>
              <w:spacing w:after="0"/>
              <w:textDirection w:val="btLr"/>
              <w:rPr>
                <w:sz w:val="18"/>
                <w:szCs w:val="20"/>
              </w:rPr>
            </w:pPr>
            <w:r w:rsidRPr="009E2A70">
              <w:rPr>
                <w:sz w:val="18"/>
                <w:szCs w:val="20"/>
              </w:rPr>
              <w:t xml:space="preserve">At county level there is a clear tendency to direct students towards higher education; however, in Prahova </w:t>
            </w:r>
            <w:r w:rsidR="00A65C75" w:rsidRPr="009E2A70">
              <w:rPr>
                <w:sz w:val="18"/>
                <w:szCs w:val="20"/>
              </w:rPr>
              <w:t>C</w:t>
            </w:r>
            <w:r w:rsidRPr="009E2A70">
              <w:rPr>
                <w:sz w:val="18"/>
                <w:szCs w:val="20"/>
              </w:rPr>
              <w:t xml:space="preserve">ounty there are few qualifications that appeal to/use experts with higher education. </w:t>
            </w:r>
          </w:p>
          <w:p w14:paraId="49F52A28"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Qualifications need to be developed and promoted for those with higher education, not just the middle or low-skilled.</w:t>
            </w:r>
          </w:p>
          <w:p w14:paraId="5D5F114D" w14:textId="5568764E" w:rsidR="00FD4DD7" w:rsidRPr="009E2A70" w:rsidRDefault="00FD4DD7" w:rsidP="00E42342">
            <w:pPr>
              <w:pStyle w:val="Briefingtext"/>
              <w:numPr>
                <w:ilvl w:val="0"/>
                <w:numId w:val="321"/>
              </w:numPr>
              <w:spacing w:after="0"/>
              <w:textDirection w:val="btLr"/>
              <w:rPr>
                <w:sz w:val="18"/>
                <w:szCs w:val="20"/>
              </w:rPr>
            </w:pPr>
            <w:r w:rsidRPr="009E2A70">
              <w:rPr>
                <w:sz w:val="18"/>
                <w:szCs w:val="20"/>
              </w:rPr>
              <w:t>Higher education profile needs to be diversified to make the county attractive to them (there is a shortage of specialists; there is a shortage of many qualifications, and in areas other than Ploiesti attracting them is even more problematic).</w:t>
            </w:r>
          </w:p>
          <w:p w14:paraId="2327AFD6" w14:textId="65CDCB7F" w:rsidR="00FD4DD7" w:rsidRPr="009E2A70" w:rsidRDefault="00FD4DD7" w:rsidP="00E42342">
            <w:pPr>
              <w:pStyle w:val="Briefingtext"/>
              <w:numPr>
                <w:ilvl w:val="0"/>
                <w:numId w:val="321"/>
              </w:numPr>
              <w:spacing w:after="0"/>
              <w:textDirection w:val="btLr"/>
              <w:rPr>
                <w:sz w:val="18"/>
                <w:szCs w:val="20"/>
              </w:rPr>
            </w:pPr>
            <w:r w:rsidRPr="009E2A70">
              <w:rPr>
                <w:sz w:val="18"/>
                <w:szCs w:val="20"/>
              </w:rPr>
              <w:lastRenderedPageBreak/>
              <w:t>Policies to attract qualified people (to keep qualified people from going to Bucharest).</w:t>
            </w:r>
            <w:r w:rsidR="00D20DF8" w:rsidRPr="009E2A70">
              <w:rPr>
                <w:sz w:val="18"/>
                <w:szCs w:val="20"/>
              </w:rPr>
              <w:t xml:space="preserve"> </w:t>
            </w:r>
            <w:r w:rsidRPr="009E2A70">
              <w:rPr>
                <w:sz w:val="18"/>
                <w:szCs w:val="20"/>
              </w:rPr>
              <w:t>Companies do not come to Prahova if they do not have specialists to recruit locally.</w:t>
            </w:r>
          </w:p>
          <w:p w14:paraId="449157B2"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Prahova is lagging behind in the development of new technologies &amp; creative industries</w:t>
            </w:r>
          </w:p>
          <w:p w14:paraId="16DE0EEC"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Diagnostic analyses at county level would be useful: available labour force and employers profile (both for secondary and higher education)</w:t>
            </w:r>
          </w:p>
          <w:p w14:paraId="5FEF439B" w14:textId="77777777" w:rsidR="00FD4DD7" w:rsidRPr="009E2A70" w:rsidRDefault="00FD4DD7" w:rsidP="00E42342">
            <w:pPr>
              <w:pStyle w:val="Briefingtext"/>
              <w:numPr>
                <w:ilvl w:val="0"/>
                <w:numId w:val="321"/>
              </w:numPr>
              <w:spacing w:after="0"/>
              <w:textDirection w:val="btLr"/>
              <w:rPr>
                <w:sz w:val="18"/>
                <w:szCs w:val="20"/>
              </w:rPr>
            </w:pPr>
            <w:r w:rsidRPr="009E2A70">
              <w:rPr>
                <w:sz w:val="18"/>
                <w:szCs w:val="20"/>
              </w:rPr>
              <w:t>The relationship between the connection/accessibility of disadvantaged villages/areas with areas where there are employment opportunities (regular public transportation etc.) should be analysed and remedied</w:t>
            </w:r>
          </w:p>
          <w:p w14:paraId="79018345" w14:textId="77777777" w:rsidR="00FD4DD7" w:rsidRPr="00D20DF8" w:rsidRDefault="00FD4DD7" w:rsidP="00EE02DE">
            <w:pPr>
              <w:shd w:val="clear" w:color="auto" w:fill="FFFFFF"/>
              <w:spacing w:line="254" w:lineRule="auto"/>
              <w:ind w:hanging="2"/>
              <w:rPr>
                <w:rFonts w:ascii="Arial" w:hAnsi="Arial" w:cs="Arial"/>
                <w:color w:val="222222"/>
                <w:sz w:val="18"/>
                <w:szCs w:val="18"/>
              </w:rPr>
            </w:pPr>
          </w:p>
        </w:tc>
      </w:tr>
      <w:tr w:rsidR="00FD4DD7" w:rsidRPr="00FD4DD7" w14:paraId="39692218" w14:textId="77777777" w:rsidTr="00EE02DE">
        <w:tc>
          <w:tcPr>
            <w:tcW w:w="5687" w:type="dxa"/>
          </w:tcPr>
          <w:p w14:paraId="47F7EC81" w14:textId="238F81A7" w:rsidR="00FD4DD7" w:rsidRPr="00D20DF8" w:rsidRDefault="00FD4DD7" w:rsidP="00EE02DE">
            <w:pPr>
              <w:spacing w:after="240"/>
              <w:ind w:hanging="2"/>
              <w:rPr>
                <w:rFonts w:ascii="Arial" w:hAnsi="Arial" w:cs="Arial"/>
                <w:b/>
                <w:sz w:val="18"/>
                <w:szCs w:val="18"/>
              </w:rPr>
            </w:pPr>
            <w:r w:rsidRPr="00D20DF8">
              <w:rPr>
                <w:rFonts w:ascii="Arial" w:hAnsi="Arial" w:cs="Arial"/>
                <w:b/>
                <w:sz w:val="18"/>
                <w:szCs w:val="18"/>
              </w:rPr>
              <w:lastRenderedPageBreak/>
              <w:t>Environmental challenges and opportunities (including recapitali</w:t>
            </w:r>
            <w:r w:rsidR="00D20DF8">
              <w:rPr>
                <w:rFonts w:ascii="Arial" w:hAnsi="Arial" w:cs="Arial"/>
                <w:b/>
                <w:sz w:val="18"/>
                <w:szCs w:val="18"/>
              </w:rPr>
              <w:t>s</w:t>
            </w:r>
            <w:r w:rsidRPr="00D20DF8">
              <w:rPr>
                <w:rFonts w:ascii="Arial" w:hAnsi="Arial" w:cs="Arial"/>
                <w:b/>
                <w:sz w:val="18"/>
                <w:szCs w:val="18"/>
              </w:rPr>
              <w:t>ation of “brownfield”</w:t>
            </w:r>
            <w:r w:rsidR="00D20DF8">
              <w:rPr>
                <w:rFonts w:ascii="Arial" w:hAnsi="Arial" w:cs="Arial"/>
                <w:b/>
                <w:sz w:val="18"/>
                <w:szCs w:val="18"/>
              </w:rPr>
              <w:t xml:space="preserve"> </w:t>
            </w:r>
            <w:r w:rsidRPr="00D20DF8">
              <w:rPr>
                <w:rFonts w:ascii="Arial" w:hAnsi="Arial" w:cs="Arial"/>
                <w:b/>
                <w:sz w:val="18"/>
                <w:szCs w:val="18"/>
              </w:rPr>
              <w:t xml:space="preserve">areas) </w:t>
            </w:r>
          </w:p>
          <w:p w14:paraId="0D38E4A3" w14:textId="536DAC0C" w:rsidR="00FD4DD7" w:rsidRPr="00D20DF8" w:rsidRDefault="00FD4DD7" w:rsidP="00EE02DE">
            <w:pPr>
              <w:spacing w:after="240"/>
              <w:ind w:hanging="2"/>
              <w:rPr>
                <w:rFonts w:ascii="Arial" w:hAnsi="Arial" w:cs="Arial"/>
                <w:b/>
                <w:sz w:val="18"/>
                <w:szCs w:val="18"/>
              </w:rPr>
            </w:pPr>
            <w:r w:rsidRPr="00D20DF8">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(abandoned/poorly used)” as resources for our region/county?</w:t>
            </w:r>
          </w:p>
        </w:tc>
        <w:tc>
          <w:tcPr>
            <w:tcW w:w="1398" w:type="dxa"/>
          </w:tcPr>
          <w:p w14:paraId="5AA7F789" w14:textId="77777777" w:rsidR="00FD4DD7" w:rsidRPr="00D20DF8" w:rsidRDefault="00FD4DD7" w:rsidP="00EE02DE">
            <w:pPr>
              <w:ind w:hanging="2"/>
              <w:rPr>
                <w:rFonts w:ascii="Arial" w:hAnsi="Arial" w:cs="Arial"/>
                <w:sz w:val="18"/>
                <w:szCs w:val="18"/>
              </w:rPr>
            </w:pPr>
            <w:r w:rsidRPr="00D20DF8">
              <w:rPr>
                <w:rFonts w:ascii="Arial" w:hAnsi="Arial" w:cs="Arial"/>
                <w:noProof/>
                <w:sz w:val="18"/>
                <w:szCs w:val="18"/>
                <w:lang w:val="en-US" w:eastAsia="en-US"/>
              </w:rPr>
              <w:drawing>
                <wp:inline distT="114300" distB="114300" distL="114300" distR="114300" wp14:anchorId="61CC7132" wp14:editId="7B1F813F">
                  <wp:extent cx="752475" cy="774700"/>
                  <wp:effectExtent l="0" t="0" r="0" b="0"/>
                  <wp:docPr id="2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77"/>
                          <a:srcRect/>
                          <a:stretch>
                            <a:fillRect/>
                          </a:stretch>
                        </pic:blipFill>
                        <pic:spPr>
                          <a:xfrm>
                            <a:off x="0" y="0"/>
                            <a:ext cx="752475" cy="774700"/>
                          </a:xfrm>
                          <a:prstGeom prst="rect">
                            <a:avLst/>
                          </a:prstGeom>
                          <a:ln/>
                        </pic:spPr>
                      </pic:pic>
                    </a:graphicData>
                  </a:graphic>
                </wp:inline>
              </w:drawing>
            </w:r>
          </w:p>
        </w:tc>
        <w:tc>
          <w:tcPr>
            <w:tcW w:w="5802" w:type="dxa"/>
          </w:tcPr>
          <w:p w14:paraId="78D0370E" w14:textId="77777777" w:rsidR="00FD4DD7" w:rsidRPr="00D20DF8" w:rsidRDefault="00FD4DD7" w:rsidP="00EE02DE">
            <w:pPr>
              <w:spacing w:before="100"/>
              <w:ind w:hanging="2"/>
              <w:rPr>
                <w:rFonts w:ascii="Arial" w:hAnsi="Arial" w:cs="Arial"/>
                <w:b/>
                <w:sz w:val="18"/>
                <w:szCs w:val="18"/>
              </w:rPr>
            </w:pPr>
            <w:r w:rsidRPr="00D20DF8">
              <w:rPr>
                <w:rFonts w:ascii="Arial" w:hAnsi="Arial" w:cs="Arial"/>
                <w:b/>
                <w:sz w:val="18"/>
                <w:szCs w:val="18"/>
              </w:rPr>
              <w:t>SME and entrepreneurship - vectors of regional development</w:t>
            </w:r>
          </w:p>
          <w:p w14:paraId="66DD10B1" w14:textId="77777777" w:rsidR="00FD4DD7" w:rsidRPr="00D20DF8" w:rsidRDefault="00FD4DD7" w:rsidP="00EE02DE">
            <w:pPr>
              <w:spacing w:before="240"/>
              <w:ind w:hanging="2"/>
              <w:rPr>
                <w:rFonts w:ascii="Arial" w:hAnsi="Arial" w:cs="Arial"/>
                <w:b/>
                <w:sz w:val="18"/>
                <w:szCs w:val="18"/>
              </w:rPr>
            </w:pPr>
            <w:r w:rsidRPr="00D20DF8">
              <w:rPr>
                <w:rFonts w:ascii="Arial" w:hAnsi="Arial" w:cs="Arial"/>
                <w:i/>
                <w:sz w:val="18"/>
                <w:szCs w:val="18"/>
              </w:rPr>
              <w:t>What are the priority areas where SMEs can generate accelerated development in the region/county? How can we support the accelerated development of SMEs in our region/county? What makes our county unique? (from a SME perspective)</w:t>
            </w:r>
          </w:p>
        </w:tc>
        <w:tc>
          <w:tcPr>
            <w:tcW w:w="1286" w:type="dxa"/>
          </w:tcPr>
          <w:p w14:paraId="49D632D6" w14:textId="77777777" w:rsidR="00FD4DD7" w:rsidRPr="00D20DF8" w:rsidRDefault="00FD4DD7" w:rsidP="00EE02DE">
            <w:pPr>
              <w:ind w:hanging="2"/>
              <w:rPr>
                <w:rFonts w:ascii="Arial" w:hAnsi="Arial" w:cs="Arial"/>
                <w:sz w:val="18"/>
                <w:szCs w:val="18"/>
              </w:rPr>
            </w:pPr>
            <w:r w:rsidRPr="00D20DF8">
              <w:rPr>
                <w:rFonts w:ascii="Arial" w:hAnsi="Arial" w:cs="Arial"/>
                <w:noProof/>
                <w:sz w:val="18"/>
                <w:szCs w:val="18"/>
                <w:lang w:val="en-US" w:eastAsia="en-US"/>
              </w:rPr>
              <w:drawing>
                <wp:inline distT="114300" distB="114300" distL="114300" distR="114300" wp14:anchorId="02AE5849" wp14:editId="757D8883">
                  <wp:extent cx="685800" cy="660400"/>
                  <wp:effectExtent l="0" t="0" r="0" b="0"/>
                  <wp:docPr id="2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8"/>
                          <a:srcRect/>
                          <a:stretch>
                            <a:fillRect/>
                          </a:stretch>
                        </pic:blipFill>
                        <pic:spPr>
                          <a:xfrm>
                            <a:off x="0" y="0"/>
                            <a:ext cx="685800" cy="660400"/>
                          </a:xfrm>
                          <a:prstGeom prst="rect">
                            <a:avLst/>
                          </a:prstGeom>
                          <a:ln/>
                        </pic:spPr>
                      </pic:pic>
                    </a:graphicData>
                  </a:graphic>
                </wp:inline>
              </w:drawing>
            </w:r>
          </w:p>
        </w:tc>
      </w:tr>
      <w:tr w:rsidR="00FD4DD7" w:rsidRPr="00FD4DD7" w14:paraId="16ABAD83" w14:textId="77777777" w:rsidTr="00EE02DE">
        <w:trPr>
          <w:trHeight w:val="200"/>
        </w:trPr>
        <w:tc>
          <w:tcPr>
            <w:tcW w:w="7085" w:type="dxa"/>
            <w:gridSpan w:val="2"/>
          </w:tcPr>
          <w:p w14:paraId="114DD135" w14:textId="46C8AAC7" w:rsidR="00FD4DD7" w:rsidRPr="00D20DF8" w:rsidRDefault="00FD4DD7" w:rsidP="00EE02DE">
            <w:pPr>
              <w:spacing w:before="240"/>
              <w:ind w:hanging="2"/>
              <w:rPr>
                <w:rFonts w:ascii="Arial" w:hAnsi="Arial" w:cs="Arial"/>
                <w:sz w:val="18"/>
                <w:szCs w:val="18"/>
              </w:rPr>
            </w:pPr>
            <w:r w:rsidRPr="00D20DF8">
              <w:rPr>
                <w:rFonts w:ascii="Arial" w:hAnsi="Arial" w:cs="Arial"/>
                <w:sz w:val="18"/>
                <w:szCs w:val="18"/>
              </w:rPr>
              <w:t xml:space="preserve">The main ideas discussed in the working group are based on project ideas already reported on the </w:t>
            </w:r>
            <w:r w:rsidR="009E2A70">
              <w:rPr>
                <w:rFonts w:ascii="Arial" w:hAnsi="Arial" w:cs="Arial"/>
                <w:sz w:val="18"/>
                <w:szCs w:val="18"/>
              </w:rPr>
              <w:t>County Council’s</w:t>
            </w:r>
            <w:r w:rsidRPr="00D20DF8">
              <w:rPr>
                <w:rFonts w:ascii="Arial" w:hAnsi="Arial" w:cs="Arial"/>
                <w:sz w:val="18"/>
                <w:szCs w:val="18"/>
              </w:rPr>
              <w:t xml:space="preserve"> website containing detailed info.</w:t>
            </w:r>
          </w:p>
          <w:p w14:paraId="715F939A" w14:textId="77777777" w:rsidR="00FD4DD7" w:rsidRPr="00D20DF8" w:rsidRDefault="00FD4DD7" w:rsidP="009E2A70">
            <w:pPr>
              <w:spacing w:before="240" w:after="120"/>
              <w:rPr>
                <w:rFonts w:ascii="Arial" w:hAnsi="Arial" w:cs="Arial"/>
                <w:b/>
                <w:sz w:val="18"/>
                <w:szCs w:val="18"/>
              </w:rPr>
            </w:pPr>
            <w:r w:rsidRPr="00D20DF8">
              <w:rPr>
                <w:rFonts w:ascii="Arial" w:hAnsi="Arial" w:cs="Arial"/>
                <w:b/>
                <w:sz w:val="18"/>
                <w:szCs w:val="18"/>
              </w:rPr>
              <w:t>Challenges:</w:t>
            </w:r>
          </w:p>
          <w:p w14:paraId="7AAE615E" w14:textId="77777777" w:rsidR="00FD4DD7" w:rsidRPr="00A65C75" w:rsidRDefault="00FD4DD7" w:rsidP="00E42342">
            <w:pPr>
              <w:pStyle w:val="Briefingtext"/>
              <w:numPr>
                <w:ilvl w:val="0"/>
                <w:numId w:val="321"/>
              </w:numPr>
              <w:spacing w:after="0"/>
              <w:jc w:val="left"/>
              <w:textDirection w:val="btLr"/>
              <w:rPr>
                <w:sz w:val="18"/>
                <w:szCs w:val="18"/>
              </w:rPr>
            </w:pPr>
            <w:r w:rsidRPr="009E2A70">
              <w:rPr>
                <w:sz w:val="18"/>
                <w:szCs w:val="20"/>
              </w:rPr>
              <w:t>Explaining and classifying ownership</w:t>
            </w:r>
            <w:r w:rsidRPr="00A65C75">
              <w:rPr>
                <w:sz w:val="18"/>
                <w:szCs w:val="18"/>
              </w:rPr>
              <w:t xml:space="preserve"> </w:t>
            </w:r>
            <w:r w:rsidRPr="00A65C75">
              <w:rPr>
                <w:sz w:val="18"/>
                <w:szCs w:val="18"/>
              </w:rPr>
              <w:br/>
            </w:r>
          </w:p>
          <w:p w14:paraId="4AAECFAF" w14:textId="24D34623" w:rsidR="00A65C75" w:rsidRPr="009E2A70" w:rsidRDefault="00FD4DD7" w:rsidP="00E42342">
            <w:pPr>
              <w:pStyle w:val="Briefingtext"/>
              <w:numPr>
                <w:ilvl w:val="0"/>
                <w:numId w:val="323"/>
              </w:numPr>
              <w:spacing w:after="0"/>
              <w:jc w:val="left"/>
              <w:textDirection w:val="btLr"/>
              <w:rPr>
                <w:sz w:val="18"/>
                <w:szCs w:val="20"/>
              </w:rPr>
            </w:pPr>
            <w:r w:rsidRPr="009E2A70">
              <w:rPr>
                <w:sz w:val="18"/>
                <w:szCs w:val="20"/>
              </w:rPr>
              <w:t xml:space="preserve">Lands without an administrator/ownership – South </w:t>
            </w:r>
            <w:r w:rsidR="00A65C75" w:rsidRPr="009E2A70">
              <w:rPr>
                <w:sz w:val="18"/>
                <w:szCs w:val="20"/>
              </w:rPr>
              <w:t xml:space="preserve">of </w:t>
            </w:r>
            <w:r w:rsidRPr="009E2A70">
              <w:rPr>
                <w:sz w:val="18"/>
                <w:szCs w:val="20"/>
              </w:rPr>
              <w:t>Ploiesti + Valea Călugărească</w:t>
            </w:r>
          </w:p>
          <w:p w14:paraId="28D78894" w14:textId="58366D9A" w:rsidR="00A65C75" w:rsidRDefault="00FD4DD7" w:rsidP="00E42342">
            <w:pPr>
              <w:pStyle w:val="Briefingtext"/>
              <w:numPr>
                <w:ilvl w:val="0"/>
                <w:numId w:val="323"/>
              </w:numPr>
              <w:spacing w:after="0"/>
              <w:jc w:val="left"/>
              <w:textDirection w:val="btLr"/>
              <w:rPr>
                <w:sz w:val="18"/>
                <w:szCs w:val="18"/>
              </w:rPr>
            </w:pPr>
            <w:r w:rsidRPr="009E2A70">
              <w:rPr>
                <w:sz w:val="18"/>
                <w:szCs w:val="20"/>
              </w:rPr>
              <w:lastRenderedPageBreak/>
              <w:t xml:space="preserve">Lands administered/owned by </w:t>
            </w:r>
            <w:r w:rsidR="00A65C75" w:rsidRPr="009E2A70">
              <w:rPr>
                <w:sz w:val="18"/>
                <w:szCs w:val="20"/>
              </w:rPr>
              <w:t>LPAs</w:t>
            </w:r>
            <w:r w:rsidRPr="00A65C75">
              <w:rPr>
                <w:sz w:val="18"/>
                <w:szCs w:val="18"/>
              </w:rPr>
              <w:br/>
            </w:r>
          </w:p>
          <w:p w14:paraId="53DAD75A" w14:textId="69778288"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The need to substantiate investments by carrying out environmental studies (which must include drilling, coring, laboratory tests, etc.) and the need to estimate the real costs of the investment forecast</w:t>
            </w:r>
          </w:p>
          <w:p w14:paraId="0D8475E2" w14:textId="77777777" w:rsidR="00FD4DD7" w:rsidRPr="00D20DF8" w:rsidRDefault="00FD4DD7" w:rsidP="00EE02DE">
            <w:pPr>
              <w:spacing w:before="240" w:after="240"/>
              <w:ind w:hanging="2"/>
              <w:rPr>
                <w:rFonts w:ascii="Arial" w:hAnsi="Arial" w:cs="Arial"/>
                <w:sz w:val="18"/>
                <w:szCs w:val="18"/>
              </w:rPr>
            </w:pPr>
            <w:r w:rsidRPr="00D20DF8">
              <w:rPr>
                <w:rFonts w:ascii="Arial" w:hAnsi="Arial" w:cs="Arial"/>
                <w:b/>
                <w:sz w:val="18"/>
                <w:szCs w:val="18"/>
              </w:rPr>
              <w:t>Ideas, solutions, projects, opportunities:</w:t>
            </w:r>
          </w:p>
          <w:p w14:paraId="2DAB1EF1" w14:textId="22CA47AD"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Preservation of installations and buildings with industrial heritage potential and their capitali</w:t>
            </w:r>
            <w:r w:rsidR="00D20DF8" w:rsidRPr="009E2A70">
              <w:rPr>
                <w:sz w:val="18"/>
                <w:szCs w:val="20"/>
              </w:rPr>
              <w:t>s</w:t>
            </w:r>
            <w:r w:rsidRPr="009E2A70">
              <w:rPr>
                <w:sz w:val="18"/>
                <w:szCs w:val="20"/>
              </w:rPr>
              <w:t>ation through socio-cultural uses (</w:t>
            </w:r>
            <w:r w:rsidR="00BE7F81" w:rsidRPr="009E2A70">
              <w:rPr>
                <w:sz w:val="18"/>
                <w:szCs w:val="20"/>
              </w:rPr>
              <w:t>e.g.,</w:t>
            </w:r>
            <w:r w:rsidRPr="009E2A70">
              <w:rPr>
                <w:sz w:val="18"/>
                <w:szCs w:val="20"/>
              </w:rPr>
              <w:t xml:space="preserve"> museums)</w:t>
            </w:r>
          </w:p>
          <w:p w14:paraId="18CED41A" w14:textId="41A4F56A"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Preliminary studies for </w:t>
            </w:r>
            <w:r w:rsidR="00CD5FFC" w:rsidRPr="003516DC">
              <w:rPr>
                <w:rFonts w:eastAsia="Calibri"/>
                <w:sz w:val="18"/>
                <w:szCs w:val="18"/>
              </w:rPr>
              <w:t>CO</w:t>
            </w:r>
            <w:r w:rsidR="00CD5FFC" w:rsidRPr="001C148D">
              <w:rPr>
                <w:rFonts w:eastAsia="Calibri"/>
                <w:sz w:val="18"/>
                <w:szCs w:val="18"/>
                <w:vertAlign w:val="subscript"/>
              </w:rPr>
              <w:t>2</w:t>
            </w:r>
            <w:r w:rsidR="00CD5FFC">
              <w:rPr>
                <w:sz w:val="18"/>
                <w:szCs w:val="20"/>
              </w:rPr>
              <w:t xml:space="preserve"> </w:t>
            </w:r>
            <w:r w:rsidRPr="009E2A70">
              <w:rPr>
                <w:sz w:val="18"/>
                <w:szCs w:val="20"/>
              </w:rPr>
              <w:t xml:space="preserve">intake/vegetation type </w:t>
            </w:r>
            <w:r w:rsidRPr="009E2A70">
              <w:rPr>
                <w:sz w:val="18"/>
                <w:szCs w:val="20"/>
              </w:rPr>
              <w:tab/>
            </w:r>
          </w:p>
          <w:p w14:paraId="51ABA709" w14:textId="7067CCA1"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Development of facilities and implementation of </w:t>
            </w:r>
            <w:r w:rsidR="00CD5FFC" w:rsidRPr="003516DC">
              <w:rPr>
                <w:rFonts w:eastAsia="Calibri"/>
                <w:sz w:val="18"/>
                <w:szCs w:val="18"/>
              </w:rPr>
              <w:t>CO</w:t>
            </w:r>
            <w:r w:rsidR="00CD5FFC" w:rsidRPr="001C148D">
              <w:rPr>
                <w:rFonts w:eastAsia="Calibri"/>
                <w:sz w:val="18"/>
                <w:szCs w:val="18"/>
                <w:vertAlign w:val="subscript"/>
              </w:rPr>
              <w:t>2</w:t>
            </w:r>
            <w:r w:rsidR="00CD5FFC">
              <w:rPr>
                <w:sz w:val="18"/>
                <w:szCs w:val="20"/>
              </w:rPr>
              <w:t xml:space="preserve"> </w:t>
            </w:r>
            <w:r w:rsidRPr="009E2A70">
              <w:rPr>
                <w:sz w:val="18"/>
                <w:szCs w:val="20"/>
              </w:rPr>
              <w:t>intake pilot projects</w:t>
            </w:r>
          </w:p>
          <w:p w14:paraId="4133E9F3" w14:textId="5922369F"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Implementation of </w:t>
            </w:r>
            <w:r w:rsidR="00CD5FFC" w:rsidRPr="003516DC">
              <w:rPr>
                <w:rFonts w:eastAsia="Calibri"/>
                <w:sz w:val="18"/>
                <w:szCs w:val="18"/>
              </w:rPr>
              <w:t>CO</w:t>
            </w:r>
            <w:r w:rsidR="00CD5FFC" w:rsidRPr="001C148D">
              <w:rPr>
                <w:rFonts w:eastAsia="Calibri"/>
                <w:sz w:val="18"/>
                <w:szCs w:val="18"/>
                <w:vertAlign w:val="subscript"/>
              </w:rPr>
              <w:t>2</w:t>
            </w:r>
            <w:r w:rsidR="00CD5FFC">
              <w:rPr>
                <w:sz w:val="18"/>
                <w:szCs w:val="20"/>
              </w:rPr>
              <w:t xml:space="preserve"> </w:t>
            </w:r>
            <w:r w:rsidRPr="009E2A70">
              <w:rPr>
                <w:sz w:val="18"/>
                <w:szCs w:val="20"/>
              </w:rPr>
              <w:t>intake, conversion and storage technologies</w:t>
            </w:r>
          </w:p>
          <w:p w14:paraId="7FA2D568"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Decontamination of contaminated land and platforms</w:t>
            </w:r>
          </w:p>
          <w:p w14:paraId="0BE3F243" w14:textId="5F081ACF" w:rsidR="00FD4DD7" w:rsidRPr="00BE7F81" w:rsidRDefault="00FD4DD7" w:rsidP="00E42342">
            <w:pPr>
              <w:pStyle w:val="Briefingtext"/>
              <w:numPr>
                <w:ilvl w:val="0"/>
                <w:numId w:val="321"/>
              </w:numPr>
              <w:spacing w:after="0"/>
              <w:jc w:val="left"/>
              <w:textDirection w:val="btLr"/>
              <w:rPr>
                <w:sz w:val="18"/>
                <w:szCs w:val="18"/>
              </w:rPr>
            </w:pPr>
            <w:r w:rsidRPr="009E2A70">
              <w:rPr>
                <w:sz w:val="18"/>
                <w:szCs w:val="20"/>
              </w:rPr>
              <w:t>Local PPP standardisation</w:t>
            </w:r>
            <w:r w:rsidRPr="00BE7F81">
              <w:rPr>
                <w:sz w:val="18"/>
                <w:szCs w:val="18"/>
              </w:rPr>
              <w:br/>
            </w:r>
          </w:p>
          <w:p w14:paraId="42D1B3BB" w14:textId="77777777" w:rsidR="00FD4DD7" w:rsidRPr="009E2A70" w:rsidRDefault="00FD4DD7" w:rsidP="00E42342">
            <w:pPr>
              <w:pStyle w:val="Briefingtext"/>
              <w:numPr>
                <w:ilvl w:val="0"/>
                <w:numId w:val="324"/>
              </w:numPr>
              <w:spacing w:after="0"/>
              <w:jc w:val="left"/>
              <w:textDirection w:val="btLr"/>
              <w:rPr>
                <w:sz w:val="18"/>
                <w:szCs w:val="20"/>
              </w:rPr>
            </w:pPr>
            <w:r w:rsidRPr="009E2A70">
              <w:rPr>
                <w:sz w:val="18"/>
                <w:szCs w:val="20"/>
              </w:rPr>
              <w:t>Inclusion of elements of partial risk taking for the proposed investment (see Steaua Română)</w:t>
            </w:r>
          </w:p>
          <w:p w14:paraId="01E8DA0A" w14:textId="77777777" w:rsidR="00FD4DD7" w:rsidRPr="009E2A70" w:rsidRDefault="00FD4DD7" w:rsidP="00E42342">
            <w:pPr>
              <w:pStyle w:val="Briefingtext"/>
              <w:numPr>
                <w:ilvl w:val="0"/>
                <w:numId w:val="324"/>
              </w:numPr>
              <w:spacing w:after="0"/>
              <w:jc w:val="left"/>
              <w:textDirection w:val="btLr"/>
              <w:rPr>
                <w:sz w:val="18"/>
                <w:szCs w:val="20"/>
              </w:rPr>
            </w:pPr>
            <w:r w:rsidRPr="009E2A70">
              <w:rPr>
                <w:sz w:val="18"/>
                <w:szCs w:val="20"/>
              </w:rPr>
              <w:t xml:space="preserve">Local legislation on differentiated taxation of poorly used, contaminated sites/platforms, etc. </w:t>
            </w:r>
            <w:r w:rsidRPr="009E2A70">
              <w:rPr>
                <w:sz w:val="18"/>
                <w:szCs w:val="20"/>
              </w:rPr>
              <w:tab/>
            </w:r>
          </w:p>
          <w:p w14:paraId="5D016196" w14:textId="77777777" w:rsidR="00FD4DD7" w:rsidRPr="00D20DF8" w:rsidRDefault="00FD4DD7" w:rsidP="00EE02DE">
            <w:pPr>
              <w:ind w:hanging="2"/>
              <w:rPr>
                <w:rFonts w:ascii="Arial" w:hAnsi="Arial" w:cs="Arial"/>
                <w:sz w:val="18"/>
                <w:szCs w:val="18"/>
              </w:rPr>
            </w:pPr>
          </w:p>
          <w:p w14:paraId="19099AED" w14:textId="12C76553"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Clear methodology for prioritisation of intervention areas in relation to the estimated value of the total budget via POTJ but also POR, PO</w:t>
            </w:r>
            <w:r w:rsidR="00BE7F81" w:rsidRPr="009E2A70">
              <w:rPr>
                <w:sz w:val="18"/>
                <w:szCs w:val="20"/>
              </w:rPr>
              <w:t xml:space="preserve"> </w:t>
            </w:r>
            <w:r w:rsidRPr="009E2A70">
              <w:rPr>
                <w:sz w:val="18"/>
                <w:szCs w:val="20"/>
              </w:rPr>
              <w:t>Education and Training, PO Inclusion and social dignity etc.</w:t>
            </w:r>
            <w:r w:rsidRPr="009E2A70">
              <w:rPr>
                <w:sz w:val="18"/>
                <w:szCs w:val="20"/>
              </w:rPr>
              <w:tab/>
            </w:r>
          </w:p>
          <w:p w14:paraId="20894201"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Greening project followed by restoration operations or vegetation planting for the purpose of wood production</w:t>
            </w:r>
          </w:p>
          <w:p w14:paraId="4CB5D3EA"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Afforestation project of degraded land (not necessarily polluted)</w:t>
            </w:r>
          </w:p>
          <w:p w14:paraId="768F90A5"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Development of photovoltaic parks (note: the participants have filled them in with details in the CJ form)</w:t>
            </w:r>
          </w:p>
          <w:p w14:paraId="7CAD0592"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Infrastructure development in the Prahova Valley - investments in decarbonisation of local transport and waste management projects on waste reuse and recycling</w:t>
            </w:r>
          </w:p>
          <w:p w14:paraId="14BBA728" w14:textId="77777777" w:rsidR="00FD4DD7" w:rsidRPr="00D20DF8" w:rsidRDefault="00FD4DD7" w:rsidP="00EE02DE">
            <w:pPr>
              <w:ind w:hanging="2"/>
              <w:rPr>
                <w:rFonts w:ascii="Arial" w:hAnsi="Arial" w:cs="Arial"/>
                <w:sz w:val="18"/>
                <w:szCs w:val="18"/>
              </w:rPr>
            </w:pPr>
          </w:p>
          <w:p w14:paraId="7E085968" w14:textId="77777777" w:rsidR="00FD4DD7" w:rsidRPr="00D20DF8" w:rsidRDefault="00FD4DD7" w:rsidP="00EE02DE">
            <w:pPr>
              <w:ind w:hanging="2"/>
              <w:rPr>
                <w:rFonts w:ascii="Arial" w:hAnsi="Arial" w:cs="Arial"/>
                <w:sz w:val="18"/>
                <w:szCs w:val="18"/>
              </w:rPr>
            </w:pPr>
            <w:r w:rsidRPr="00D20DF8">
              <w:rPr>
                <w:rFonts w:ascii="Arial" w:hAnsi="Arial" w:cs="Arial"/>
                <w:sz w:val="18"/>
                <w:szCs w:val="18"/>
              </w:rPr>
              <w:t>Data collection and digitisation projects:</w:t>
            </w:r>
          </w:p>
          <w:p w14:paraId="215AED9C" w14:textId="77777777" w:rsidR="00FD4DD7" w:rsidRPr="00D20DF8" w:rsidRDefault="00FD4DD7" w:rsidP="00EE02DE">
            <w:pPr>
              <w:ind w:hanging="2"/>
              <w:rPr>
                <w:rFonts w:ascii="Arial" w:hAnsi="Arial" w:cs="Arial"/>
                <w:sz w:val="8"/>
                <w:szCs w:val="8"/>
              </w:rPr>
            </w:pPr>
          </w:p>
          <w:p w14:paraId="385A32D8" w14:textId="77777777" w:rsidR="00FD4DD7" w:rsidRPr="009E2A70" w:rsidRDefault="00FD4DD7" w:rsidP="00E42342">
            <w:pPr>
              <w:pStyle w:val="Briefingtext"/>
              <w:numPr>
                <w:ilvl w:val="0"/>
                <w:numId w:val="325"/>
              </w:numPr>
              <w:spacing w:after="0"/>
              <w:jc w:val="left"/>
              <w:textDirection w:val="btLr"/>
              <w:rPr>
                <w:sz w:val="18"/>
                <w:szCs w:val="20"/>
              </w:rPr>
            </w:pPr>
            <w:r w:rsidRPr="009E2A70">
              <w:rPr>
                <w:sz w:val="18"/>
                <w:szCs w:val="20"/>
              </w:rPr>
              <w:t>Air, water and soil quality measuring stations (with explicit mention on measuring benzene concentrations, not collected by APM stations).</w:t>
            </w:r>
          </w:p>
          <w:p w14:paraId="775D52A5" w14:textId="77777777" w:rsidR="00FD4DD7" w:rsidRPr="009E2A70" w:rsidRDefault="00FD4DD7" w:rsidP="00E42342">
            <w:pPr>
              <w:pStyle w:val="Briefingtext"/>
              <w:numPr>
                <w:ilvl w:val="0"/>
                <w:numId w:val="325"/>
              </w:numPr>
              <w:spacing w:after="0"/>
              <w:jc w:val="left"/>
              <w:textDirection w:val="btLr"/>
              <w:rPr>
                <w:sz w:val="18"/>
                <w:szCs w:val="20"/>
              </w:rPr>
            </w:pPr>
            <w:r w:rsidRPr="009E2A70">
              <w:rPr>
                <w:sz w:val="18"/>
                <w:szCs w:val="20"/>
              </w:rPr>
              <w:t>Management of databases with substantiated information</w:t>
            </w:r>
          </w:p>
          <w:p w14:paraId="52387D66" w14:textId="77777777" w:rsidR="00FD4DD7" w:rsidRPr="009E2A70" w:rsidRDefault="00FD4DD7" w:rsidP="00E42342">
            <w:pPr>
              <w:pStyle w:val="Briefingtext"/>
              <w:numPr>
                <w:ilvl w:val="0"/>
                <w:numId w:val="325"/>
              </w:numPr>
              <w:spacing w:after="0"/>
              <w:jc w:val="left"/>
              <w:textDirection w:val="btLr"/>
              <w:rPr>
                <w:sz w:val="18"/>
                <w:szCs w:val="20"/>
              </w:rPr>
            </w:pPr>
            <w:r w:rsidRPr="009E2A70">
              <w:rPr>
                <w:sz w:val="18"/>
                <w:szCs w:val="20"/>
              </w:rPr>
              <w:t>Independent modelling of greenhouse gas emissions, including in the area of refineries</w:t>
            </w:r>
          </w:p>
          <w:p w14:paraId="5C2F9CD3" w14:textId="10964E9A" w:rsidR="00FD4DD7" w:rsidRPr="009E2A70" w:rsidRDefault="00CD5FFC" w:rsidP="00E42342">
            <w:pPr>
              <w:pStyle w:val="Briefingtext"/>
              <w:numPr>
                <w:ilvl w:val="0"/>
                <w:numId w:val="321"/>
              </w:numPr>
              <w:spacing w:after="0"/>
              <w:jc w:val="left"/>
              <w:textDirection w:val="btLr"/>
              <w:rPr>
                <w:sz w:val="18"/>
                <w:szCs w:val="20"/>
              </w:rPr>
            </w:pPr>
            <w:r w:rsidRPr="003516DC">
              <w:rPr>
                <w:rFonts w:eastAsia="Calibri"/>
                <w:sz w:val="18"/>
                <w:szCs w:val="18"/>
              </w:rPr>
              <w:t>CO</w:t>
            </w:r>
            <w:r w:rsidRPr="001C148D">
              <w:rPr>
                <w:rFonts w:eastAsia="Calibri"/>
                <w:sz w:val="18"/>
                <w:szCs w:val="18"/>
                <w:vertAlign w:val="subscript"/>
              </w:rPr>
              <w:t>2</w:t>
            </w:r>
            <w:r>
              <w:rPr>
                <w:sz w:val="18"/>
                <w:szCs w:val="20"/>
              </w:rPr>
              <w:t xml:space="preserve"> </w:t>
            </w:r>
            <w:r w:rsidR="00FD4DD7" w:rsidRPr="009E2A70">
              <w:rPr>
                <w:sz w:val="18"/>
                <w:szCs w:val="20"/>
              </w:rPr>
              <w:t>intake strategy</w:t>
            </w:r>
          </w:p>
          <w:p w14:paraId="29A044A3" w14:textId="71521F71"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Internal </w:t>
            </w:r>
            <w:r w:rsidR="00CD5FFC" w:rsidRPr="003516DC">
              <w:rPr>
                <w:rFonts w:eastAsia="Calibri"/>
                <w:sz w:val="18"/>
                <w:szCs w:val="18"/>
              </w:rPr>
              <w:t>CO</w:t>
            </w:r>
            <w:r w:rsidR="00CD5FFC" w:rsidRPr="001C148D">
              <w:rPr>
                <w:rFonts w:eastAsia="Calibri"/>
                <w:sz w:val="18"/>
                <w:szCs w:val="18"/>
                <w:vertAlign w:val="subscript"/>
              </w:rPr>
              <w:t>2</w:t>
            </w:r>
            <w:r w:rsidR="00CD5FFC">
              <w:rPr>
                <w:sz w:val="18"/>
                <w:szCs w:val="20"/>
              </w:rPr>
              <w:t xml:space="preserve"> </w:t>
            </w:r>
            <w:r w:rsidRPr="009E2A70">
              <w:rPr>
                <w:sz w:val="18"/>
                <w:szCs w:val="20"/>
              </w:rPr>
              <w:t>circuit strategy - industrial facilities</w:t>
            </w:r>
          </w:p>
          <w:p w14:paraId="0475EFF8" w14:textId="768D2669" w:rsidR="00FD4DD7" w:rsidRPr="009E2A70" w:rsidRDefault="00CD5FFC" w:rsidP="00E42342">
            <w:pPr>
              <w:pStyle w:val="Briefingtext"/>
              <w:numPr>
                <w:ilvl w:val="0"/>
                <w:numId w:val="322"/>
              </w:numPr>
              <w:spacing w:after="0"/>
              <w:textDirection w:val="btLr"/>
              <w:rPr>
                <w:sz w:val="18"/>
                <w:szCs w:val="20"/>
              </w:rPr>
            </w:pPr>
            <w:r w:rsidRPr="003516DC">
              <w:rPr>
                <w:rFonts w:eastAsia="Calibri"/>
                <w:sz w:val="18"/>
                <w:szCs w:val="18"/>
              </w:rPr>
              <w:lastRenderedPageBreak/>
              <w:t>CO</w:t>
            </w:r>
            <w:r w:rsidRPr="001C148D">
              <w:rPr>
                <w:rFonts w:eastAsia="Calibri"/>
                <w:sz w:val="18"/>
                <w:szCs w:val="18"/>
                <w:vertAlign w:val="subscript"/>
              </w:rPr>
              <w:t>2</w:t>
            </w:r>
            <w:r>
              <w:rPr>
                <w:sz w:val="18"/>
                <w:szCs w:val="20"/>
              </w:rPr>
              <w:t xml:space="preserve"> </w:t>
            </w:r>
            <w:r w:rsidR="00FD4DD7" w:rsidRPr="009E2A70">
              <w:rPr>
                <w:sz w:val="18"/>
                <w:szCs w:val="20"/>
              </w:rPr>
              <w:t>transport strategy, H</w:t>
            </w:r>
          </w:p>
          <w:p w14:paraId="3B83ACE6"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Research project/investment substantiation, intake stations, projects, transport ect</w:t>
            </w:r>
          </w:p>
          <w:p w14:paraId="458CC90C"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Research centre - H production (including renewables)</w:t>
            </w:r>
          </w:p>
          <w:p w14:paraId="4509B4DD" w14:textId="20078DCC" w:rsidR="00FD4DD7" w:rsidRPr="009E2A70" w:rsidRDefault="00CD5FFC" w:rsidP="00E42342">
            <w:pPr>
              <w:pStyle w:val="Briefingtext"/>
              <w:numPr>
                <w:ilvl w:val="0"/>
                <w:numId w:val="321"/>
              </w:numPr>
              <w:spacing w:after="0"/>
              <w:jc w:val="left"/>
              <w:textDirection w:val="btLr"/>
              <w:rPr>
                <w:sz w:val="18"/>
                <w:szCs w:val="20"/>
              </w:rPr>
            </w:pPr>
            <w:r w:rsidRPr="003516DC">
              <w:rPr>
                <w:rFonts w:eastAsia="Calibri"/>
                <w:sz w:val="18"/>
                <w:szCs w:val="18"/>
              </w:rPr>
              <w:t>CO</w:t>
            </w:r>
            <w:r w:rsidRPr="001C148D">
              <w:rPr>
                <w:rFonts w:eastAsia="Calibri"/>
                <w:sz w:val="18"/>
                <w:szCs w:val="18"/>
                <w:vertAlign w:val="subscript"/>
              </w:rPr>
              <w:t>2</w:t>
            </w:r>
            <w:r>
              <w:rPr>
                <w:sz w:val="18"/>
                <w:szCs w:val="20"/>
              </w:rPr>
              <w:t xml:space="preserve"> </w:t>
            </w:r>
            <w:r w:rsidR="00FD4DD7" w:rsidRPr="009E2A70">
              <w:rPr>
                <w:sz w:val="18"/>
                <w:szCs w:val="20"/>
              </w:rPr>
              <w:t>intake and transport</w:t>
            </w:r>
          </w:p>
          <w:p w14:paraId="206C6485"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Technology transfer centre set up on brownfield sites towards the SME and MI industry</w:t>
            </w:r>
          </w:p>
          <w:p w14:paraId="7958FACF"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Exchange of best practices at European level </w:t>
            </w:r>
            <w:r w:rsidRPr="009E2A70">
              <w:rPr>
                <w:sz w:val="18"/>
                <w:szCs w:val="20"/>
              </w:rPr>
              <w:tab/>
            </w:r>
          </w:p>
          <w:p w14:paraId="659AD5C0"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Updated curricula in universities on decontamination projects, pollutant reuse and active dissemination</w:t>
            </w:r>
          </w:p>
          <w:p w14:paraId="00071F04"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Circular economy project (component of waste management system) to avoid (unintentional) contamination with household, industrial (including construction) waste</w:t>
            </w:r>
          </w:p>
          <w:p w14:paraId="2C3D7E06" w14:textId="77777777" w:rsidR="00FD4DD7" w:rsidRPr="00BE7F81" w:rsidRDefault="00FD4DD7" w:rsidP="00E42342">
            <w:pPr>
              <w:pStyle w:val="Briefingtext"/>
              <w:numPr>
                <w:ilvl w:val="0"/>
                <w:numId w:val="321"/>
              </w:numPr>
              <w:spacing w:after="0"/>
              <w:jc w:val="left"/>
              <w:textDirection w:val="btLr"/>
              <w:rPr>
                <w:sz w:val="18"/>
                <w:szCs w:val="18"/>
              </w:rPr>
            </w:pPr>
            <w:r w:rsidRPr="009E2A70">
              <w:rPr>
                <w:sz w:val="18"/>
                <w:szCs w:val="20"/>
              </w:rPr>
              <w:t>Decontamination and green infrastructure development projects not only in Ploiesti but also in Câmpina and the north of the county</w:t>
            </w:r>
            <w:r w:rsidRPr="00BE7F81">
              <w:rPr>
                <w:sz w:val="18"/>
                <w:szCs w:val="18"/>
              </w:rPr>
              <w:t xml:space="preserve"> </w:t>
            </w:r>
          </w:p>
        </w:tc>
        <w:tc>
          <w:tcPr>
            <w:tcW w:w="7088" w:type="dxa"/>
            <w:gridSpan w:val="2"/>
          </w:tcPr>
          <w:p w14:paraId="4E186E0B" w14:textId="77777777" w:rsidR="00FD4DD7" w:rsidRPr="00D20DF8" w:rsidRDefault="00FD4DD7" w:rsidP="00EE02DE">
            <w:pPr>
              <w:spacing w:before="240" w:after="240"/>
              <w:ind w:hanging="2"/>
              <w:rPr>
                <w:rFonts w:ascii="Arial" w:hAnsi="Arial" w:cs="Arial"/>
                <w:sz w:val="18"/>
                <w:szCs w:val="18"/>
              </w:rPr>
            </w:pPr>
            <w:r w:rsidRPr="00D20DF8">
              <w:rPr>
                <w:rFonts w:ascii="Arial" w:hAnsi="Arial" w:cs="Arial"/>
                <w:b/>
                <w:sz w:val="18"/>
                <w:szCs w:val="18"/>
              </w:rPr>
              <w:lastRenderedPageBreak/>
              <w:t>Ideas, solutions, projects, opportunities:</w:t>
            </w:r>
          </w:p>
          <w:p w14:paraId="1A427683" w14:textId="3B74A242" w:rsidR="00FD4DD7" w:rsidRPr="00D20DF8" w:rsidRDefault="00FD4DD7" w:rsidP="00EE02DE">
            <w:pPr>
              <w:spacing w:before="240" w:after="240"/>
              <w:ind w:hanging="2"/>
              <w:rPr>
                <w:rFonts w:ascii="Arial" w:hAnsi="Arial" w:cs="Arial"/>
                <w:b/>
                <w:sz w:val="18"/>
                <w:szCs w:val="18"/>
              </w:rPr>
            </w:pPr>
            <w:r w:rsidRPr="00D20DF8">
              <w:rPr>
                <w:rFonts w:ascii="Arial" w:hAnsi="Arial" w:cs="Arial"/>
                <w:b/>
                <w:sz w:val="18"/>
                <w:szCs w:val="18"/>
              </w:rPr>
              <w:t>Development opportunities for Câmpina</w:t>
            </w:r>
          </w:p>
          <w:p w14:paraId="02C94341"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Weekend tourism - air, water, nature as strengths and proximity to Bucharest </w:t>
            </w:r>
          </w:p>
          <w:p w14:paraId="7E25C8E9" w14:textId="53AB8183"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Horizontal development - oil/gas related industries (</w:t>
            </w:r>
            <w:r w:rsidR="00BE7F81" w:rsidRPr="009E2A70">
              <w:rPr>
                <w:sz w:val="18"/>
                <w:szCs w:val="20"/>
              </w:rPr>
              <w:t>e.g.,</w:t>
            </w:r>
            <w:r w:rsidRPr="009E2A70">
              <w:rPr>
                <w:sz w:val="18"/>
                <w:szCs w:val="20"/>
              </w:rPr>
              <w:t xml:space="preserve"> Cameron metal casting) but retrofitted, new technologies</w:t>
            </w:r>
          </w:p>
          <w:p w14:paraId="0A998A9C"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Trade- chain stores</w:t>
            </w:r>
          </w:p>
          <w:p w14:paraId="3F6745BC"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lastRenderedPageBreak/>
              <w:t>Investment fund - SME mentoring programmes and micro-grants on entrepreneurship - reconversion of space at the Youth House in Campina into a Rubik's HUB (Piatra Neamt)</w:t>
            </w:r>
          </w:p>
          <w:p w14:paraId="77EB0693"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Social infrastructure</w:t>
            </w:r>
          </w:p>
          <w:p w14:paraId="0E6827F9"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Development of the educational environment - international partnerships - research/innovation</w:t>
            </w:r>
          </w:p>
          <w:p w14:paraId="4CD22498" w14:textId="2BC5F1BF"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IT/software and hardware development and environment - investment/acceleration/incubation priorities</w:t>
            </w:r>
          </w:p>
          <w:p w14:paraId="34D2AA58" w14:textId="54A81A9E" w:rsidR="00FD4DD7" w:rsidRPr="00D20DF8" w:rsidRDefault="00FD4DD7" w:rsidP="00BE7F81">
            <w:pPr>
              <w:spacing w:after="120"/>
              <w:rPr>
                <w:rFonts w:ascii="Arial" w:hAnsi="Arial" w:cs="Arial"/>
                <w:sz w:val="18"/>
                <w:szCs w:val="18"/>
              </w:rPr>
            </w:pPr>
            <w:r w:rsidRPr="00D20DF8">
              <w:rPr>
                <w:rFonts w:ascii="Arial" w:hAnsi="Arial" w:cs="Arial"/>
                <w:sz w:val="18"/>
                <w:szCs w:val="18"/>
              </w:rPr>
              <w:t xml:space="preserve">Mobility and urban connections </w:t>
            </w:r>
          </w:p>
          <w:p w14:paraId="10DDC49E"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Connections with the Railway station </w:t>
            </w:r>
          </w:p>
          <w:p w14:paraId="26CCA24A"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Connecting industrial sites</w:t>
            </w:r>
          </w:p>
          <w:p w14:paraId="137AAFE7"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Quick connections</w:t>
            </w:r>
          </w:p>
          <w:p w14:paraId="5CE3A2B7" w14:textId="77777777" w:rsidR="00BE7F81" w:rsidRDefault="00FD4DD7" w:rsidP="009E2A70">
            <w:pPr>
              <w:spacing w:before="120" w:after="120"/>
              <w:rPr>
                <w:rFonts w:ascii="Arial" w:hAnsi="Arial" w:cs="Arial"/>
                <w:sz w:val="18"/>
                <w:szCs w:val="18"/>
              </w:rPr>
            </w:pPr>
            <w:r w:rsidRPr="00D20DF8">
              <w:rPr>
                <w:rFonts w:ascii="Arial" w:hAnsi="Arial" w:cs="Arial"/>
                <w:sz w:val="18"/>
                <w:szCs w:val="18"/>
              </w:rPr>
              <w:t xml:space="preserve">Negative migration increment. What kind of people will/ do we wish to see living in Campina in 2030? </w:t>
            </w:r>
          </w:p>
          <w:p w14:paraId="6F773845" w14:textId="32861515" w:rsidR="00FD4DD7" w:rsidRPr="009E2A70" w:rsidRDefault="00FD4DD7" w:rsidP="00E42342">
            <w:pPr>
              <w:pStyle w:val="Briefingtext"/>
              <w:numPr>
                <w:ilvl w:val="0"/>
                <w:numId w:val="321"/>
              </w:numPr>
              <w:spacing w:after="0"/>
              <w:jc w:val="left"/>
              <w:rPr>
                <w:sz w:val="18"/>
                <w:szCs w:val="20"/>
              </w:rPr>
            </w:pPr>
            <w:r w:rsidRPr="009E2A70">
              <w:rPr>
                <w:sz w:val="18"/>
                <w:szCs w:val="20"/>
              </w:rPr>
              <w:t xml:space="preserve">Possibility for remote/digital work in IT/development, creative industries </w:t>
            </w:r>
          </w:p>
          <w:p w14:paraId="4BB6909F" w14:textId="77777777" w:rsidR="00FD4DD7" w:rsidRPr="00D20DF8" w:rsidRDefault="00FD4DD7" w:rsidP="00EE02DE">
            <w:pPr>
              <w:spacing w:before="240" w:after="240"/>
              <w:ind w:hanging="2"/>
              <w:rPr>
                <w:rFonts w:ascii="Arial" w:hAnsi="Arial" w:cs="Arial"/>
                <w:sz w:val="18"/>
                <w:szCs w:val="18"/>
              </w:rPr>
            </w:pPr>
            <w:r w:rsidRPr="00D20DF8">
              <w:rPr>
                <w:rFonts w:ascii="Arial" w:hAnsi="Arial" w:cs="Arial"/>
                <w:sz w:val="18"/>
                <w:szCs w:val="18"/>
              </w:rPr>
              <w:t xml:space="preserve"> </w:t>
            </w:r>
          </w:p>
          <w:p w14:paraId="35D710C9" w14:textId="77777777" w:rsidR="00FD4DD7" w:rsidRPr="00D20DF8" w:rsidRDefault="00FD4DD7" w:rsidP="00EE02DE">
            <w:pPr>
              <w:spacing w:after="240"/>
              <w:ind w:hanging="2"/>
              <w:rPr>
                <w:rFonts w:ascii="Arial" w:hAnsi="Arial" w:cs="Arial"/>
                <w:sz w:val="18"/>
                <w:szCs w:val="18"/>
              </w:rPr>
            </w:pPr>
          </w:p>
        </w:tc>
      </w:tr>
      <w:tr w:rsidR="00FD4DD7" w:rsidRPr="00FD4DD7" w14:paraId="63BEB384" w14:textId="77777777" w:rsidTr="00EE02DE">
        <w:tc>
          <w:tcPr>
            <w:tcW w:w="14173" w:type="dxa"/>
            <w:gridSpan w:val="4"/>
            <w:shd w:val="clear" w:color="auto" w:fill="B6D7A8"/>
          </w:tcPr>
          <w:p w14:paraId="532C40CC" w14:textId="657B0D9C" w:rsidR="00FD4DD7" w:rsidRPr="00D20DF8" w:rsidRDefault="00FD4DD7" w:rsidP="00EE02DE">
            <w:pPr>
              <w:ind w:hanging="2"/>
              <w:rPr>
                <w:rFonts w:ascii="Arial" w:hAnsi="Arial" w:cs="Arial"/>
                <w:b/>
                <w:sz w:val="18"/>
                <w:szCs w:val="18"/>
              </w:rPr>
            </w:pPr>
            <w:r w:rsidRPr="00D20DF8">
              <w:rPr>
                <w:rFonts w:ascii="Arial" w:hAnsi="Arial" w:cs="Arial"/>
                <w:b/>
                <w:sz w:val="18"/>
                <w:szCs w:val="18"/>
              </w:rPr>
              <w:lastRenderedPageBreak/>
              <w:t>Ideas, need</w:t>
            </w:r>
            <w:r w:rsidR="00BE7F81">
              <w:rPr>
                <w:rFonts w:ascii="Arial" w:hAnsi="Arial" w:cs="Arial"/>
                <w:b/>
                <w:sz w:val="18"/>
                <w:szCs w:val="18"/>
              </w:rPr>
              <w:t>s</w:t>
            </w:r>
            <w:r w:rsidRPr="00D20DF8">
              <w:rPr>
                <w:rFonts w:ascii="Arial" w:hAnsi="Arial" w:cs="Arial"/>
                <w:b/>
                <w:sz w:val="18"/>
                <w:szCs w:val="18"/>
              </w:rPr>
              <w:t xml:space="preserve">, important cross-sector elements </w:t>
            </w:r>
          </w:p>
        </w:tc>
      </w:tr>
      <w:tr w:rsidR="00FD4DD7" w:rsidRPr="00FD4DD7" w14:paraId="29A113D4" w14:textId="77777777" w:rsidTr="00EE02DE">
        <w:tc>
          <w:tcPr>
            <w:tcW w:w="14173" w:type="dxa"/>
            <w:gridSpan w:val="4"/>
          </w:tcPr>
          <w:p w14:paraId="25F9ADE4" w14:textId="77777777" w:rsidR="00FD4DD7" w:rsidRPr="009E2A70" w:rsidRDefault="00FD4DD7" w:rsidP="00E42342">
            <w:pPr>
              <w:pStyle w:val="Briefingtext"/>
              <w:numPr>
                <w:ilvl w:val="0"/>
                <w:numId w:val="321"/>
              </w:numPr>
              <w:spacing w:after="0"/>
              <w:jc w:val="left"/>
              <w:textDirection w:val="btLr"/>
              <w:rPr>
                <w:sz w:val="18"/>
                <w:szCs w:val="20"/>
              </w:rPr>
            </w:pPr>
            <w:r w:rsidRPr="009E2A70">
              <w:rPr>
                <w:sz w:val="18"/>
                <w:szCs w:val="20"/>
              </w:rPr>
              <w:t xml:space="preserve">Cooperation between the business sector, academia, public authorities through joint projects </w:t>
            </w:r>
          </w:p>
          <w:p w14:paraId="7690BC9F" w14:textId="0C315779" w:rsidR="00FD4DD7" w:rsidRPr="00BE7F81" w:rsidRDefault="00FD4DD7" w:rsidP="00E42342">
            <w:pPr>
              <w:pStyle w:val="Briefingtext"/>
              <w:numPr>
                <w:ilvl w:val="0"/>
                <w:numId w:val="321"/>
              </w:numPr>
              <w:spacing w:after="0"/>
              <w:jc w:val="left"/>
              <w:textDirection w:val="btLr"/>
              <w:rPr>
                <w:sz w:val="18"/>
                <w:szCs w:val="18"/>
              </w:rPr>
            </w:pPr>
            <w:r w:rsidRPr="009E2A70">
              <w:rPr>
                <w:sz w:val="18"/>
                <w:szCs w:val="20"/>
              </w:rPr>
              <w:t>A need for public-private partnerships in organi</w:t>
            </w:r>
            <w:r w:rsidR="00D20DF8" w:rsidRPr="009E2A70">
              <w:rPr>
                <w:sz w:val="18"/>
                <w:szCs w:val="20"/>
              </w:rPr>
              <w:t>s</w:t>
            </w:r>
            <w:r w:rsidRPr="009E2A70">
              <w:rPr>
                <w:sz w:val="18"/>
                <w:szCs w:val="20"/>
              </w:rPr>
              <w:t>ing training courses requested on the labour market</w:t>
            </w:r>
            <w:r w:rsidRPr="00BE7F81">
              <w:rPr>
                <w:sz w:val="18"/>
                <w:szCs w:val="18"/>
              </w:rPr>
              <w:t xml:space="preserve"> </w:t>
            </w:r>
          </w:p>
        </w:tc>
      </w:tr>
    </w:tbl>
    <w:p w14:paraId="5E2B35A9" w14:textId="77777777" w:rsidR="00FD4DD7" w:rsidRDefault="00FD4DD7" w:rsidP="00BC0F67">
      <w:pPr>
        <w:jc w:val="both"/>
        <w:rPr>
          <w:rFonts w:ascii="Arial" w:hAnsi="Arial" w:cs="Arial"/>
          <w:sz w:val="20"/>
          <w:szCs w:val="20"/>
        </w:rPr>
        <w:sectPr w:rsidR="00FD4DD7" w:rsidSect="00BE7F81">
          <w:pgSz w:w="16834" w:h="11909" w:orient="landscape"/>
          <w:pgMar w:top="1530" w:right="1440" w:bottom="1440" w:left="1440" w:header="720" w:footer="720" w:gutter="0"/>
          <w:cols w:space="720"/>
          <w:docGrid w:linePitch="326"/>
        </w:sectPr>
      </w:pPr>
    </w:p>
    <w:p w14:paraId="0194409A" w14:textId="77777777" w:rsidR="00BE7F81" w:rsidRDefault="00BE7F81" w:rsidP="00BE7F81">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3129D079" w14:textId="77777777" w:rsidR="00BE7F81" w:rsidRDefault="00BE7F81" w:rsidP="00BE7F81">
      <w:pPr>
        <w:spacing w:after="120"/>
        <w:jc w:val="both"/>
        <w:rPr>
          <w:rFonts w:ascii="Arial" w:hAnsi="Arial" w:cs="Arial"/>
          <w:b/>
          <w:sz w:val="20"/>
          <w:szCs w:val="20"/>
        </w:rPr>
      </w:pPr>
      <w:r w:rsidRPr="00BB716C">
        <w:rPr>
          <w:rFonts w:ascii="Arial" w:hAnsi="Arial" w:cs="Arial"/>
          <w:b/>
          <w:sz w:val="20"/>
          <w:szCs w:val="20"/>
        </w:rPr>
        <w:t>Previously emphasized points in the context of the Working Groups and now resumed in the context of the regional workshop</w:t>
      </w:r>
    </w:p>
    <w:p w14:paraId="32A349B0" w14:textId="3D4EB2A3" w:rsidR="00FD4DD7" w:rsidRPr="00D20DF8" w:rsidRDefault="00FD4DD7" w:rsidP="00FD4DD7">
      <w:pPr>
        <w:jc w:val="both"/>
        <w:rPr>
          <w:rFonts w:ascii="Arial" w:hAnsi="Arial" w:cs="Arial"/>
          <w:b/>
          <w:sz w:val="8"/>
          <w:szCs w:val="8"/>
        </w:rPr>
      </w:pPr>
    </w:p>
    <w:p w14:paraId="3535FF23" w14:textId="4A0A091D" w:rsidR="00FD4DD7" w:rsidRDefault="00FD4DD7" w:rsidP="00E42342">
      <w:pPr>
        <w:numPr>
          <w:ilvl w:val="0"/>
          <w:numId w:val="233"/>
        </w:numPr>
        <w:spacing w:after="80"/>
        <w:ind w:left="357" w:hanging="357"/>
        <w:jc w:val="both"/>
        <w:rPr>
          <w:rFonts w:ascii="Arial" w:hAnsi="Arial" w:cs="Arial"/>
          <w:sz w:val="20"/>
          <w:szCs w:val="20"/>
          <w:lang w:eastAsia="en-US"/>
        </w:rPr>
      </w:pPr>
      <w:r>
        <w:rPr>
          <w:rFonts w:ascii="Arial" w:hAnsi="Arial" w:cs="Arial"/>
          <w:sz w:val="20"/>
          <w:szCs w:val="20"/>
        </w:rPr>
        <w:t>Material recovery &amp; PET recycling networks, PET recovery</w:t>
      </w:r>
      <w:r w:rsidR="00D20DF8">
        <w:rPr>
          <w:rFonts w:ascii="Arial" w:hAnsi="Arial" w:cs="Arial"/>
          <w:sz w:val="20"/>
          <w:szCs w:val="20"/>
        </w:rPr>
        <w:t>;</w:t>
      </w:r>
    </w:p>
    <w:p w14:paraId="7389B901" w14:textId="0668C4CB" w:rsidR="00FD4DD7" w:rsidRDefault="00FD4DD7" w:rsidP="00E42342">
      <w:pPr>
        <w:numPr>
          <w:ilvl w:val="0"/>
          <w:numId w:val="233"/>
        </w:numPr>
        <w:spacing w:after="80"/>
        <w:ind w:left="357" w:hanging="357"/>
        <w:jc w:val="both"/>
        <w:rPr>
          <w:rFonts w:ascii="Arial" w:hAnsi="Arial" w:cs="Arial"/>
          <w:sz w:val="20"/>
          <w:szCs w:val="20"/>
        </w:rPr>
      </w:pPr>
      <w:r>
        <w:rPr>
          <w:rFonts w:ascii="Arial" w:hAnsi="Arial" w:cs="Arial"/>
          <w:sz w:val="20"/>
          <w:szCs w:val="20"/>
        </w:rPr>
        <w:t>Dual education needs to be developed - necessary qualifications for students in line with the profile and needs of local firms; qualifications are identified at the initiative of the Ministry of Education - link with Employer - School - LPA contract</w:t>
      </w:r>
      <w:r w:rsidR="00D20DF8">
        <w:rPr>
          <w:rFonts w:ascii="Arial" w:hAnsi="Arial" w:cs="Arial"/>
          <w:sz w:val="20"/>
          <w:szCs w:val="20"/>
        </w:rPr>
        <w:t>;</w:t>
      </w:r>
    </w:p>
    <w:p w14:paraId="058B4CA9" w14:textId="708873C5" w:rsidR="00FD4DD7" w:rsidRDefault="00FD4DD7" w:rsidP="00E42342">
      <w:pPr>
        <w:numPr>
          <w:ilvl w:val="0"/>
          <w:numId w:val="233"/>
        </w:numPr>
        <w:spacing w:after="80"/>
        <w:ind w:left="357" w:hanging="357"/>
        <w:jc w:val="both"/>
        <w:rPr>
          <w:rFonts w:ascii="Arial" w:hAnsi="Arial" w:cs="Arial"/>
          <w:sz w:val="20"/>
          <w:szCs w:val="20"/>
        </w:rPr>
      </w:pPr>
      <w:r>
        <w:rPr>
          <w:rFonts w:ascii="Arial" w:hAnsi="Arial" w:cs="Arial"/>
          <w:sz w:val="20"/>
          <w:szCs w:val="20"/>
        </w:rPr>
        <w:t xml:space="preserve">Need for continuous qualification activities - qualified vocational training firms can provide training courses on </w:t>
      </w:r>
      <w:r w:rsidR="00D20DF8">
        <w:rPr>
          <w:rFonts w:ascii="Arial" w:hAnsi="Arial" w:cs="Arial"/>
          <w:sz w:val="20"/>
          <w:szCs w:val="20"/>
        </w:rPr>
        <w:t>three</w:t>
      </w:r>
      <w:r>
        <w:rPr>
          <w:rFonts w:ascii="Arial" w:hAnsi="Arial" w:cs="Arial"/>
          <w:sz w:val="20"/>
          <w:szCs w:val="20"/>
        </w:rPr>
        <w:t xml:space="preserve"> levels, but they respond only to those training demands for which they are qualified; there is no clear correlation between the offer of qualifications/training that these firms certified by the Ministry of Labour and the needs of "future" trades</w:t>
      </w:r>
      <w:r w:rsidR="00D20DF8">
        <w:rPr>
          <w:rFonts w:ascii="Arial" w:hAnsi="Arial" w:cs="Arial"/>
          <w:sz w:val="20"/>
          <w:szCs w:val="20"/>
        </w:rPr>
        <w:t>;</w:t>
      </w:r>
    </w:p>
    <w:p w14:paraId="4C089515" w14:textId="2817ED72" w:rsidR="00FD4DD7" w:rsidRDefault="00FD4DD7" w:rsidP="00E42342">
      <w:pPr>
        <w:numPr>
          <w:ilvl w:val="0"/>
          <w:numId w:val="233"/>
        </w:numPr>
        <w:spacing w:after="80"/>
        <w:ind w:left="357" w:hanging="357"/>
        <w:jc w:val="both"/>
        <w:rPr>
          <w:rFonts w:ascii="Arial" w:hAnsi="Arial" w:cs="Arial"/>
          <w:sz w:val="20"/>
          <w:szCs w:val="20"/>
        </w:rPr>
      </w:pPr>
      <w:r>
        <w:rPr>
          <w:rFonts w:ascii="Arial" w:hAnsi="Arial" w:cs="Arial"/>
          <w:sz w:val="20"/>
          <w:szCs w:val="20"/>
        </w:rPr>
        <w:t>Need to substantiate investments by carrying out environmental studies (which must include drilling, coring, laboratory testing, etc.) and need to estimate the real costs of the investment</w:t>
      </w:r>
      <w:r w:rsidR="00BE7F81">
        <w:rPr>
          <w:rFonts w:ascii="Arial" w:hAnsi="Arial" w:cs="Arial"/>
          <w:sz w:val="20"/>
          <w:szCs w:val="20"/>
        </w:rPr>
        <w:t>s</w:t>
      </w:r>
      <w:r w:rsidR="00D20DF8">
        <w:rPr>
          <w:rFonts w:ascii="Arial" w:hAnsi="Arial" w:cs="Arial"/>
          <w:sz w:val="20"/>
          <w:szCs w:val="20"/>
        </w:rPr>
        <w:t>;</w:t>
      </w:r>
    </w:p>
    <w:p w14:paraId="004C2E7C" w14:textId="31B54186" w:rsidR="00FD4DD7" w:rsidRDefault="00FD4DD7" w:rsidP="00E42342">
      <w:pPr>
        <w:numPr>
          <w:ilvl w:val="0"/>
          <w:numId w:val="233"/>
        </w:numPr>
        <w:spacing w:after="80"/>
        <w:ind w:left="357" w:hanging="357"/>
        <w:jc w:val="both"/>
        <w:rPr>
          <w:rFonts w:ascii="Arial" w:hAnsi="Arial" w:cs="Arial"/>
          <w:sz w:val="20"/>
          <w:szCs w:val="20"/>
        </w:rPr>
      </w:pPr>
      <w:r>
        <w:rPr>
          <w:rFonts w:ascii="Arial" w:hAnsi="Arial" w:cs="Arial"/>
          <w:sz w:val="20"/>
          <w:szCs w:val="20"/>
        </w:rPr>
        <w:t>Implementation of CO</w:t>
      </w:r>
      <w:r w:rsidRPr="00402580">
        <w:rPr>
          <w:rFonts w:ascii="Arial" w:hAnsi="Arial" w:cs="Arial"/>
          <w:sz w:val="20"/>
          <w:szCs w:val="20"/>
          <w:vertAlign w:val="subscript"/>
        </w:rPr>
        <w:t>2</w:t>
      </w:r>
      <w:r>
        <w:rPr>
          <w:rFonts w:ascii="Arial" w:hAnsi="Arial" w:cs="Arial"/>
          <w:sz w:val="20"/>
          <w:szCs w:val="20"/>
        </w:rPr>
        <w:t xml:space="preserve"> capture, conversion and storage technologies</w:t>
      </w:r>
      <w:r w:rsidR="00D20DF8">
        <w:rPr>
          <w:rFonts w:ascii="Arial" w:hAnsi="Arial" w:cs="Arial"/>
          <w:sz w:val="20"/>
          <w:szCs w:val="20"/>
        </w:rPr>
        <w:t>;</w:t>
      </w:r>
    </w:p>
    <w:p w14:paraId="059FF516" w14:textId="4912DEC5" w:rsidR="00FD4DD7" w:rsidRDefault="00FD4DD7" w:rsidP="00E42342">
      <w:pPr>
        <w:numPr>
          <w:ilvl w:val="0"/>
          <w:numId w:val="233"/>
        </w:numPr>
        <w:spacing w:after="80"/>
        <w:ind w:left="357" w:hanging="357"/>
        <w:jc w:val="both"/>
        <w:rPr>
          <w:rFonts w:ascii="Arial" w:hAnsi="Arial" w:cs="Arial"/>
          <w:sz w:val="20"/>
          <w:szCs w:val="20"/>
        </w:rPr>
      </w:pPr>
      <w:r>
        <w:rPr>
          <w:rFonts w:ascii="Arial" w:hAnsi="Arial" w:cs="Arial"/>
          <w:sz w:val="20"/>
          <w:szCs w:val="20"/>
        </w:rPr>
        <w:t>Decontamination of contaminated land and platforms</w:t>
      </w:r>
      <w:r w:rsidR="00D20DF8">
        <w:rPr>
          <w:rFonts w:ascii="Arial" w:hAnsi="Arial" w:cs="Arial"/>
          <w:sz w:val="20"/>
          <w:szCs w:val="20"/>
        </w:rPr>
        <w:t>; and,</w:t>
      </w:r>
    </w:p>
    <w:p w14:paraId="0F27FEEB" w14:textId="4BBAC125" w:rsidR="00FD4DD7" w:rsidRPr="00D20DF8" w:rsidRDefault="00FD4DD7" w:rsidP="00E42342">
      <w:pPr>
        <w:pStyle w:val="ListParagraph"/>
        <w:numPr>
          <w:ilvl w:val="0"/>
          <w:numId w:val="233"/>
        </w:numPr>
        <w:spacing w:after="80" w:line="240" w:lineRule="auto"/>
        <w:ind w:left="357" w:hanging="357"/>
        <w:jc w:val="both"/>
        <w:rPr>
          <w:b/>
          <w:sz w:val="20"/>
          <w:szCs w:val="20"/>
        </w:rPr>
      </w:pPr>
      <w:r w:rsidRPr="00D20DF8">
        <w:rPr>
          <w:sz w:val="20"/>
          <w:szCs w:val="20"/>
        </w:rPr>
        <w:t>Inclusion of elements of partial risk taking for the proposed investment (see Steaua Română)</w:t>
      </w:r>
      <w:r w:rsidR="00D20DF8">
        <w:rPr>
          <w:sz w:val="20"/>
          <w:szCs w:val="20"/>
        </w:rPr>
        <w:t>.</w:t>
      </w:r>
    </w:p>
    <w:p w14:paraId="30818977" w14:textId="77777777" w:rsidR="00BE7F81" w:rsidRDefault="00BE7F81" w:rsidP="00BE7F81">
      <w:pPr>
        <w:spacing w:after="120"/>
        <w:jc w:val="both"/>
        <w:rPr>
          <w:rFonts w:ascii="Arial" w:hAnsi="Arial" w:cs="Arial"/>
          <w:sz w:val="20"/>
          <w:szCs w:val="20"/>
        </w:rPr>
      </w:pPr>
      <w:r w:rsidRPr="00BB716C">
        <w:rPr>
          <w:rFonts w:ascii="Arial" w:hAnsi="Arial" w:cs="Arial"/>
          <w:b/>
          <w:sz w:val="20"/>
          <w:szCs w:val="20"/>
        </w:rPr>
        <w:t>New points that have emerged during the regional workshop</w:t>
      </w:r>
    </w:p>
    <w:p w14:paraId="3B990452" w14:textId="09286449" w:rsidR="00FD4DD7" w:rsidRPr="00D20DF8" w:rsidRDefault="00FD4DD7" w:rsidP="00FD4DD7">
      <w:pPr>
        <w:jc w:val="both"/>
        <w:rPr>
          <w:b/>
          <w:sz w:val="8"/>
          <w:szCs w:val="8"/>
        </w:rPr>
      </w:pPr>
    </w:p>
    <w:p w14:paraId="775401DB" w14:textId="3C004180" w:rsidR="00FD4DD7" w:rsidRDefault="00FD4DD7" w:rsidP="00E42342">
      <w:pPr>
        <w:numPr>
          <w:ilvl w:val="0"/>
          <w:numId w:val="234"/>
        </w:numPr>
        <w:spacing w:after="80"/>
        <w:ind w:left="357" w:hanging="357"/>
        <w:jc w:val="both"/>
        <w:rPr>
          <w:rFonts w:ascii="Arial" w:hAnsi="Arial" w:cs="Arial"/>
          <w:sz w:val="20"/>
          <w:szCs w:val="20"/>
          <w:lang w:eastAsia="en-US"/>
        </w:rPr>
      </w:pPr>
      <w:r>
        <w:rPr>
          <w:rFonts w:ascii="Arial" w:hAnsi="Arial" w:cs="Arial"/>
          <w:sz w:val="20"/>
          <w:szCs w:val="20"/>
        </w:rPr>
        <w:t>Gas as transition fuel</w:t>
      </w:r>
      <w:r w:rsidR="00D20DF8">
        <w:rPr>
          <w:rFonts w:ascii="Arial" w:hAnsi="Arial" w:cs="Arial"/>
          <w:sz w:val="20"/>
          <w:szCs w:val="20"/>
        </w:rPr>
        <w:t>;</w:t>
      </w:r>
    </w:p>
    <w:p w14:paraId="6CD81369" w14:textId="3DCE505E"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Diversification of the profile of higher education is needed to make the county attractive to them (many specialists are missing; many qualifications are lacking, and in areas other than Ploiesti their attractiveness is even more problematic)</w:t>
      </w:r>
      <w:r w:rsidR="00D20DF8">
        <w:rPr>
          <w:rFonts w:ascii="Arial" w:hAnsi="Arial" w:cs="Arial"/>
          <w:sz w:val="20"/>
          <w:szCs w:val="20"/>
        </w:rPr>
        <w:t>;</w:t>
      </w:r>
    </w:p>
    <w:p w14:paraId="386D8FDE" w14:textId="2EEDED1B"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Policies to attract qualified people (to keep qualified people from going to Bucharest). Companies do not come to Prahova if they do not have specialists to recruit locally</w:t>
      </w:r>
      <w:r w:rsidR="003636E1">
        <w:rPr>
          <w:rFonts w:ascii="Arial" w:hAnsi="Arial" w:cs="Arial"/>
          <w:sz w:val="20"/>
          <w:szCs w:val="20"/>
        </w:rPr>
        <w:t>;</w:t>
      </w:r>
    </w:p>
    <w:p w14:paraId="5E3500B4" w14:textId="78ADFF2B"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 xml:space="preserve">Prahova is lagging behind in the development of new technologies </w:t>
      </w:r>
      <w:r w:rsidR="003636E1">
        <w:rPr>
          <w:rFonts w:ascii="Arial" w:hAnsi="Arial" w:cs="Arial"/>
          <w:sz w:val="20"/>
          <w:szCs w:val="20"/>
        </w:rPr>
        <w:t>and</w:t>
      </w:r>
      <w:r>
        <w:rPr>
          <w:rFonts w:ascii="Arial" w:hAnsi="Arial" w:cs="Arial"/>
          <w:sz w:val="20"/>
          <w:szCs w:val="20"/>
        </w:rPr>
        <w:t xml:space="preserve"> creative industries</w:t>
      </w:r>
      <w:r w:rsidR="003636E1">
        <w:rPr>
          <w:rFonts w:ascii="Arial" w:hAnsi="Arial" w:cs="Arial"/>
          <w:sz w:val="20"/>
          <w:szCs w:val="20"/>
        </w:rPr>
        <w:t>;</w:t>
      </w:r>
    </w:p>
    <w:p w14:paraId="3268D70D" w14:textId="46231712"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Preservation of installations and buildings with industrial heritage potential and their capitali</w:t>
      </w:r>
      <w:r w:rsidR="003636E1">
        <w:rPr>
          <w:rFonts w:ascii="Arial" w:hAnsi="Arial" w:cs="Arial"/>
          <w:sz w:val="20"/>
          <w:szCs w:val="20"/>
        </w:rPr>
        <w:t>s</w:t>
      </w:r>
      <w:r>
        <w:rPr>
          <w:rFonts w:ascii="Arial" w:hAnsi="Arial" w:cs="Arial"/>
          <w:sz w:val="20"/>
          <w:szCs w:val="20"/>
        </w:rPr>
        <w:t>ation through socio-cultural destinations (e.g., museums)</w:t>
      </w:r>
      <w:r w:rsidR="003636E1">
        <w:rPr>
          <w:rFonts w:ascii="Arial" w:hAnsi="Arial" w:cs="Arial"/>
          <w:sz w:val="20"/>
          <w:szCs w:val="20"/>
        </w:rPr>
        <w:t>;</w:t>
      </w:r>
    </w:p>
    <w:p w14:paraId="7B0EE982" w14:textId="4B38F085"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Infrastructure development in the Prahova Valley - investments in decarbonisation of local transport and waste management projects on reuse and recycling</w:t>
      </w:r>
      <w:r w:rsidR="003636E1">
        <w:rPr>
          <w:rFonts w:ascii="Arial" w:hAnsi="Arial" w:cs="Arial"/>
          <w:sz w:val="20"/>
          <w:szCs w:val="20"/>
        </w:rPr>
        <w:t>;</w:t>
      </w:r>
    </w:p>
    <w:p w14:paraId="06210DA0" w14:textId="7C7A392D"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Updated curricula in universities on decontamination projects, reuse of polluting material and active dissemination</w:t>
      </w:r>
      <w:r w:rsidR="003636E1">
        <w:rPr>
          <w:rFonts w:ascii="Arial" w:hAnsi="Arial" w:cs="Arial"/>
          <w:sz w:val="20"/>
          <w:szCs w:val="20"/>
        </w:rPr>
        <w:t>;</w:t>
      </w:r>
    </w:p>
    <w:p w14:paraId="3D146E18" w14:textId="2480A3D0"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Circular economy project (component of waste management system) to avoid (unintentional) contamination with household, industrial (including construction) waste</w:t>
      </w:r>
      <w:r w:rsidR="003636E1">
        <w:rPr>
          <w:rFonts w:ascii="Arial" w:hAnsi="Arial" w:cs="Arial"/>
          <w:sz w:val="20"/>
          <w:szCs w:val="20"/>
        </w:rPr>
        <w:t>;</w:t>
      </w:r>
    </w:p>
    <w:p w14:paraId="53D066AF" w14:textId="586E87D9"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Decontamination and green infrastructure development projects not only in Ploiesti but also in Câmpina and the north of the county</w:t>
      </w:r>
      <w:r w:rsidR="003636E1">
        <w:rPr>
          <w:rFonts w:ascii="Arial" w:hAnsi="Arial" w:cs="Arial"/>
          <w:sz w:val="20"/>
          <w:szCs w:val="20"/>
        </w:rPr>
        <w:t>;</w:t>
      </w:r>
    </w:p>
    <w:p w14:paraId="7D002ADA" w14:textId="7C424BB1" w:rsidR="00FD4DD7" w:rsidRDefault="00FD4DD7" w:rsidP="00E42342">
      <w:pPr>
        <w:numPr>
          <w:ilvl w:val="0"/>
          <w:numId w:val="234"/>
        </w:numPr>
        <w:spacing w:after="80"/>
        <w:ind w:left="357" w:hanging="357"/>
        <w:jc w:val="both"/>
        <w:rPr>
          <w:rFonts w:ascii="Arial" w:hAnsi="Arial" w:cs="Arial"/>
          <w:sz w:val="20"/>
          <w:szCs w:val="20"/>
        </w:rPr>
      </w:pPr>
      <w:r>
        <w:rPr>
          <w:rFonts w:ascii="Arial" w:hAnsi="Arial" w:cs="Arial"/>
          <w:sz w:val="20"/>
          <w:szCs w:val="20"/>
        </w:rPr>
        <w:t>Development of educational environment - international partnerships - research/innovation</w:t>
      </w:r>
      <w:r w:rsidR="003636E1">
        <w:rPr>
          <w:rFonts w:ascii="Arial" w:hAnsi="Arial" w:cs="Arial"/>
          <w:sz w:val="20"/>
          <w:szCs w:val="20"/>
        </w:rPr>
        <w:t>; and,</w:t>
      </w:r>
    </w:p>
    <w:p w14:paraId="6D9C07E1" w14:textId="39CE92DB" w:rsidR="00FD4DD7" w:rsidRPr="00D20DF8" w:rsidRDefault="00FD4DD7" w:rsidP="00E42342">
      <w:pPr>
        <w:pStyle w:val="ListParagraph"/>
        <w:numPr>
          <w:ilvl w:val="0"/>
          <w:numId w:val="234"/>
        </w:numPr>
        <w:spacing w:after="80" w:line="240" w:lineRule="auto"/>
        <w:ind w:left="357" w:hanging="357"/>
        <w:contextualSpacing w:val="0"/>
        <w:jc w:val="both"/>
        <w:rPr>
          <w:b/>
          <w:sz w:val="20"/>
          <w:szCs w:val="20"/>
        </w:rPr>
      </w:pPr>
      <w:r w:rsidRPr="00D20DF8">
        <w:rPr>
          <w:sz w:val="20"/>
          <w:szCs w:val="20"/>
        </w:rPr>
        <w:t>IT/software and hardware development and environment - investment/acceleration/incubation priorities</w:t>
      </w:r>
      <w:r w:rsidR="003636E1">
        <w:rPr>
          <w:sz w:val="20"/>
          <w:szCs w:val="20"/>
        </w:rPr>
        <w:t>.</w:t>
      </w:r>
    </w:p>
    <w:p w14:paraId="29B64C16" w14:textId="6BD6165E" w:rsidR="00BE7F81" w:rsidRDefault="00BE7F81" w:rsidP="00BE7F81">
      <w:pPr>
        <w:spacing w:after="120"/>
        <w:jc w:val="both"/>
        <w:rPr>
          <w:sz w:val="20"/>
          <w:szCs w:val="20"/>
        </w:rPr>
      </w:pPr>
      <w:r w:rsidRPr="00BB716C">
        <w:rPr>
          <w:rFonts w:ascii="Arial" w:hAnsi="Arial" w:cs="Arial"/>
          <w:b/>
          <w:sz w:val="20"/>
          <w:szCs w:val="20"/>
        </w:rPr>
        <w:t>Assessment on the pertinence of the ideas put forward / Rationale based on the data collected and the JTF framework</w:t>
      </w:r>
    </w:p>
    <w:p w14:paraId="53C9076A" w14:textId="77777777" w:rsidR="00FD4DD7" w:rsidRPr="003636E1" w:rsidRDefault="00FD4DD7" w:rsidP="00FD4DD7">
      <w:pPr>
        <w:jc w:val="both"/>
        <w:rPr>
          <w:rFonts w:ascii="Arial" w:hAnsi="Arial" w:cs="Arial"/>
          <w:b/>
          <w:sz w:val="8"/>
          <w:szCs w:val="8"/>
        </w:rPr>
      </w:pPr>
    </w:p>
    <w:p w14:paraId="54F186B4" w14:textId="4635D758" w:rsidR="00FD4DD7" w:rsidRPr="00D20DF8" w:rsidRDefault="00FD4DD7" w:rsidP="00E42342">
      <w:pPr>
        <w:pStyle w:val="ListParagraph"/>
        <w:numPr>
          <w:ilvl w:val="0"/>
          <w:numId w:val="235"/>
        </w:numPr>
        <w:spacing w:after="80" w:line="240" w:lineRule="auto"/>
        <w:ind w:left="357" w:hanging="357"/>
        <w:jc w:val="both"/>
        <w:rPr>
          <w:sz w:val="20"/>
          <w:szCs w:val="20"/>
        </w:rPr>
      </w:pPr>
      <w:r w:rsidRPr="00D20DF8">
        <w:rPr>
          <w:sz w:val="20"/>
          <w:szCs w:val="20"/>
        </w:rPr>
        <w:t xml:space="preserve">The need to diversify economic activities capable of exploiting the skilled human resources made available from the oil </w:t>
      </w:r>
      <w:r w:rsidR="003636E1">
        <w:rPr>
          <w:sz w:val="20"/>
          <w:szCs w:val="20"/>
        </w:rPr>
        <w:t>and</w:t>
      </w:r>
      <w:r w:rsidRPr="00D20DF8">
        <w:rPr>
          <w:sz w:val="20"/>
          <w:szCs w:val="20"/>
        </w:rPr>
        <w:t xml:space="preserve"> gas industry</w:t>
      </w:r>
      <w:r w:rsidR="003636E1">
        <w:rPr>
          <w:sz w:val="20"/>
          <w:szCs w:val="20"/>
        </w:rPr>
        <w:t>;</w:t>
      </w:r>
    </w:p>
    <w:p w14:paraId="50C99562" w14:textId="1A932064" w:rsidR="00FD4DD7" w:rsidRPr="00D20DF8" w:rsidRDefault="00FD4DD7" w:rsidP="00E42342">
      <w:pPr>
        <w:pStyle w:val="ListParagraph"/>
        <w:numPr>
          <w:ilvl w:val="0"/>
          <w:numId w:val="235"/>
        </w:numPr>
        <w:spacing w:after="80" w:line="240" w:lineRule="auto"/>
        <w:ind w:left="357" w:hanging="357"/>
        <w:jc w:val="both"/>
        <w:rPr>
          <w:sz w:val="20"/>
          <w:szCs w:val="20"/>
        </w:rPr>
      </w:pPr>
      <w:r w:rsidRPr="00D20DF8">
        <w:rPr>
          <w:sz w:val="20"/>
          <w:szCs w:val="20"/>
        </w:rPr>
        <w:t>The need to diversify the professional profile (secondary and higher education) adapted to the trades and industries of the post-transition future</w:t>
      </w:r>
      <w:r w:rsidR="003636E1">
        <w:rPr>
          <w:sz w:val="20"/>
          <w:szCs w:val="20"/>
        </w:rPr>
        <w:t>;</w:t>
      </w:r>
    </w:p>
    <w:p w14:paraId="6074C351" w14:textId="689301FF" w:rsidR="00FD4DD7" w:rsidRPr="00D20DF8" w:rsidRDefault="00FD4DD7" w:rsidP="00E42342">
      <w:pPr>
        <w:pStyle w:val="ListParagraph"/>
        <w:numPr>
          <w:ilvl w:val="0"/>
          <w:numId w:val="235"/>
        </w:numPr>
        <w:spacing w:after="80" w:line="240" w:lineRule="auto"/>
        <w:ind w:left="357" w:hanging="357"/>
        <w:jc w:val="both"/>
        <w:rPr>
          <w:sz w:val="20"/>
          <w:szCs w:val="20"/>
        </w:rPr>
      </w:pPr>
      <w:r w:rsidRPr="00D20DF8">
        <w:rPr>
          <w:sz w:val="20"/>
          <w:szCs w:val="20"/>
        </w:rPr>
        <w:t xml:space="preserve">Coordination in the territorial location of enterprises/investments to ensure accessibility </w:t>
      </w:r>
      <w:r w:rsidR="003636E1">
        <w:rPr>
          <w:sz w:val="20"/>
          <w:szCs w:val="20"/>
        </w:rPr>
        <w:t>and</w:t>
      </w:r>
      <w:r w:rsidRPr="00D20DF8">
        <w:rPr>
          <w:sz w:val="20"/>
          <w:szCs w:val="20"/>
        </w:rPr>
        <w:t xml:space="preserve"> valorisation of available human resources (isolated in the absence of regular public transport means)</w:t>
      </w:r>
      <w:r w:rsidR="003636E1">
        <w:rPr>
          <w:sz w:val="20"/>
          <w:szCs w:val="20"/>
        </w:rPr>
        <w:t>;</w:t>
      </w:r>
    </w:p>
    <w:p w14:paraId="7A75D7C8" w14:textId="7622F13C" w:rsidR="00FD4DD7" w:rsidRPr="00D20DF8" w:rsidRDefault="00FD4DD7" w:rsidP="00E42342">
      <w:pPr>
        <w:pStyle w:val="ListParagraph"/>
        <w:numPr>
          <w:ilvl w:val="0"/>
          <w:numId w:val="235"/>
        </w:numPr>
        <w:spacing w:after="80" w:line="240" w:lineRule="auto"/>
        <w:ind w:left="357" w:hanging="357"/>
        <w:jc w:val="both"/>
        <w:rPr>
          <w:sz w:val="20"/>
          <w:szCs w:val="20"/>
        </w:rPr>
      </w:pPr>
      <w:r w:rsidRPr="00D20DF8">
        <w:rPr>
          <w:sz w:val="20"/>
          <w:szCs w:val="20"/>
        </w:rPr>
        <w:t xml:space="preserve">Clarification </w:t>
      </w:r>
      <w:r w:rsidR="003636E1">
        <w:rPr>
          <w:sz w:val="20"/>
          <w:szCs w:val="20"/>
        </w:rPr>
        <w:t>and</w:t>
      </w:r>
      <w:r w:rsidRPr="00D20DF8">
        <w:rPr>
          <w:sz w:val="20"/>
          <w:szCs w:val="20"/>
        </w:rPr>
        <w:t xml:space="preserve"> partnerships between LPAs and investors/owners of brownfield land to develop projects for the future</w:t>
      </w:r>
      <w:r w:rsidR="003636E1">
        <w:rPr>
          <w:sz w:val="20"/>
          <w:szCs w:val="20"/>
        </w:rPr>
        <w:t>; and,</w:t>
      </w:r>
    </w:p>
    <w:p w14:paraId="75B7EF96" w14:textId="460B03D9" w:rsidR="00FD4DD7" w:rsidRDefault="00FD4DD7" w:rsidP="00E42342">
      <w:pPr>
        <w:pStyle w:val="ListParagraph"/>
        <w:numPr>
          <w:ilvl w:val="0"/>
          <w:numId w:val="235"/>
        </w:numPr>
        <w:spacing w:after="80" w:line="240" w:lineRule="auto"/>
        <w:ind w:left="357" w:hanging="357"/>
        <w:jc w:val="both"/>
        <w:rPr>
          <w:sz w:val="20"/>
          <w:szCs w:val="20"/>
        </w:rPr>
      </w:pPr>
      <w:r w:rsidRPr="00D20DF8">
        <w:rPr>
          <w:sz w:val="20"/>
          <w:szCs w:val="20"/>
        </w:rPr>
        <w:t>General assessment for all counties - implementation of integrated projects with post-funding operation/utili</w:t>
      </w:r>
      <w:r w:rsidR="003636E1">
        <w:rPr>
          <w:sz w:val="20"/>
          <w:szCs w:val="20"/>
        </w:rPr>
        <w:t>s</w:t>
      </w:r>
      <w:r w:rsidRPr="00D20DF8">
        <w:rPr>
          <w:sz w:val="20"/>
          <w:szCs w:val="20"/>
        </w:rPr>
        <w:t xml:space="preserve">ation duration is needed beyond the obligation to keep the investment objective/operation imposed by </w:t>
      </w:r>
      <w:r w:rsidR="00BE7F81">
        <w:rPr>
          <w:sz w:val="20"/>
          <w:szCs w:val="20"/>
        </w:rPr>
        <w:t>OPJT</w:t>
      </w:r>
      <w:r w:rsidR="00BE7F81" w:rsidRPr="00D20DF8">
        <w:rPr>
          <w:sz w:val="20"/>
          <w:szCs w:val="20"/>
        </w:rPr>
        <w:t xml:space="preserve"> </w:t>
      </w:r>
      <w:r w:rsidRPr="00D20DF8">
        <w:rPr>
          <w:sz w:val="20"/>
          <w:szCs w:val="20"/>
        </w:rPr>
        <w:t>through future general and specific guidelines.</w:t>
      </w:r>
    </w:p>
    <w:p w14:paraId="25908634" w14:textId="77777777" w:rsidR="00FD4DD7" w:rsidRPr="00FD4DD7" w:rsidRDefault="00FD4DD7" w:rsidP="003636E1">
      <w:pPr>
        <w:pStyle w:val="ListParagraph"/>
        <w:ind w:left="360"/>
        <w:jc w:val="both"/>
        <w:rPr>
          <w:sz w:val="20"/>
          <w:szCs w:val="20"/>
        </w:rPr>
      </w:pPr>
    </w:p>
    <w:p w14:paraId="064F4BAA" w14:textId="29DC256F" w:rsidR="00D6091A" w:rsidRPr="00792049" w:rsidRDefault="00D6091A" w:rsidP="00E42342">
      <w:pPr>
        <w:pStyle w:val="Heading1"/>
        <w:numPr>
          <w:ilvl w:val="0"/>
          <w:numId w:val="110"/>
        </w:numPr>
        <w:ind w:left="567" w:hanging="567"/>
        <w:rPr>
          <w:color w:val="4F81BD" w:themeColor="accent1"/>
        </w:rPr>
      </w:pPr>
      <w:bookmarkStart w:id="280" w:name="_Toc90725892"/>
      <w:r w:rsidRPr="00792049">
        <w:rPr>
          <w:color w:val="4F81BD" w:themeColor="accent1"/>
        </w:rPr>
        <w:t>Just Transition Assessment</w:t>
      </w:r>
      <w:r w:rsidR="00FF34FD" w:rsidRPr="00792049">
        <w:rPr>
          <w:color w:val="4F81BD" w:themeColor="accent1"/>
        </w:rPr>
        <w:t>, Actions and Investment Needs</w:t>
      </w:r>
      <w:r w:rsidRPr="00792049">
        <w:rPr>
          <w:color w:val="4F81BD" w:themeColor="accent1"/>
        </w:rPr>
        <w:t xml:space="preserve"> for Mure</w:t>
      </w:r>
      <w:r w:rsidR="00C76AFA" w:rsidRPr="00792049">
        <w:rPr>
          <w:color w:val="4F81BD" w:themeColor="accent1"/>
        </w:rPr>
        <w:t>ș</w:t>
      </w:r>
      <w:r w:rsidRPr="00792049">
        <w:rPr>
          <w:color w:val="4F81BD" w:themeColor="accent1"/>
        </w:rPr>
        <w:t xml:space="preserve"> County</w:t>
      </w:r>
      <w:bookmarkEnd w:id="280"/>
    </w:p>
    <w:p w14:paraId="0CBC7DA7" w14:textId="77777777" w:rsidR="00355050" w:rsidRDefault="00355050" w:rsidP="00D6091A">
      <w:pPr>
        <w:jc w:val="both"/>
        <w:rPr>
          <w:rFonts w:ascii="Arial" w:hAnsi="Arial" w:cs="Arial"/>
          <w:sz w:val="20"/>
          <w:szCs w:val="20"/>
        </w:rPr>
      </w:pPr>
    </w:p>
    <w:p w14:paraId="6CEBF929" w14:textId="29E2B51F" w:rsidR="00CC5C90" w:rsidRDefault="00355050" w:rsidP="00CC5C90">
      <w:pPr>
        <w:pStyle w:val="FootnoteText"/>
        <w:jc w:val="both"/>
        <w:rPr>
          <w:sz w:val="20"/>
          <w:szCs w:val="20"/>
        </w:rPr>
      </w:pPr>
      <w:r w:rsidRPr="00355050">
        <w:rPr>
          <w:sz w:val="20"/>
          <w:szCs w:val="20"/>
        </w:rPr>
        <w:t xml:space="preserve">In </w:t>
      </w:r>
      <w:r w:rsidR="00CC5C90">
        <w:rPr>
          <w:sz w:val="20"/>
          <w:szCs w:val="20"/>
        </w:rPr>
        <w:t xml:space="preserve">this </w:t>
      </w:r>
      <w:r w:rsidR="00091FE3">
        <w:rPr>
          <w:sz w:val="20"/>
          <w:szCs w:val="20"/>
        </w:rPr>
        <w:t>chapter</w:t>
      </w:r>
      <w:r w:rsidR="00CC5C90">
        <w:rPr>
          <w:sz w:val="20"/>
          <w:szCs w:val="20"/>
        </w:rPr>
        <w:t>, we first present the logic of the intervention as an overarching high-level picture and then go into the details concerning the context, challenges, opportunities, SWOT analysis, and recommended investment needs.</w:t>
      </w:r>
    </w:p>
    <w:p w14:paraId="4F862FB8" w14:textId="4F5F0711" w:rsidR="00542C72" w:rsidRDefault="00542C72" w:rsidP="00E42342">
      <w:pPr>
        <w:pStyle w:val="Heading2"/>
        <w:numPr>
          <w:ilvl w:val="0"/>
          <w:numId w:val="169"/>
        </w:numPr>
        <w:spacing w:before="240" w:line="240" w:lineRule="auto"/>
        <w:ind w:left="432" w:hanging="432"/>
      </w:pPr>
      <w:bookmarkStart w:id="281" w:name="_Toc90725893"/>
      <w:r>
        <w:t>Logic of the intervention for Mure</w:t>
      </w:r>
      <w:r w:rsidR="00C76AFA">
        <w:t>ș</w:t>
      </w:r>
      <w:r>
        <w:t xml:space="preserve"> </w:t>
      </w:r>
      <w:r w:rsidR="003636E1">
        <w:t>C</w:t>
      </w:r>
      <w:r>
        <w:t>ounty</w:t>
      </w:r>
      <w:bookmarkEnd w:id="281"/>
    </w:p>
    <w:p w14:paraId="29D2FADA" w14:textId="41ABF284" w:rsidR="00542C72" w:rsidRPr="004050B9" w:rsidRDefault="00542C72" w:rsidP="004050B9">
      <w:pPr>
        <w:jc w:val="both"/>
        <w:rPr>
          <w:rFonts w:ascii="Arial" w:hAnsi="Arial" w:cs="Arial"/>
          <w:sz w:val="20"/>
          <w:szCs w:val="20"/>
          <w:lang w:eastAsia="en-US"/>
        </w:rPr>
        <w:sectPr w:rsidR="00542C72" w:rsidRPr="004050B9" w:rsidSect="00BE7F81">
          <w:headerReference w:type="default" r:id="rId179"/>
          <w:pgSz w:w="11909" w:h="16834"/>
          <w:pgMar w:top="1440" w:right="1440" w:bottom="1440" w:left="1530" w:header="720" w:footer="720" w:gutter="0"/>
          <w:cols w:space="720"/>
          <w:docGrid w:linePitch="326"/>
        </w:sectPr>
      </w:pPr>
      <w:r w:rsidRPr="009118F7">
        <w:rPr>
          <w:rFonts w:ascii="Arial" w:hAnsi="Arial" w:cs="Arial"/>
          <w:sz w:val="20"/>
          <w:szCs w:val="20"/>
          <w:lang w:eastAsia="en-US"/>
        </w:rPr>
        <w:t xml:space="preserve">The logic of the intervention is summarised in </w:t>
      </w:r>
      <w:r w:rsidR="003636E1">
        <w:rPr>
          <w:rFonts w:ascii="Arial" w:hAnsi="Arial" w:cs="Arial"/>
          <w:sz w:val="20"/>
          <w:szCs w:val="20"/>
          <w:lang w:eastAsia="en-US"/>
        </w:rPr>
        <w:t>Fi</w:t>
      </w:r>
      <w:r w:rsidRPr="009118F7">
        <w:rPr>
          <w:rFonts w:ascii="Arial" w:hAnsi="Arial" w:cs="Arial"/>
          <w:sz w:val="20"/>
          <w:szCs w:val="20"/>
          <w:lang w:eastAsia="en-US"/>
        </w:rPr>
        <w:t xml:space="preserve">gure </w:t>
      </w:r>
      <w:r w:rsidR="0011265F">
        <w:rPr>
          <w:rFonts w:ascii="Arial" w:hAnsi="Arial" w:cs="Arial"/>
          <w:sz w:val="20"/>
          <w:szCs w:val="20"/>
          <w:lang w:eastAsia="en-US"/>
        </w:rPr>
        <w:t>21</w:t>
      </w:r>
      <w:r w:rsidR="003636E1">
        <w:rPr>
          <w:rFonts w:ascii="Arial" w:hAnsi="Arial" w:cs="Arial"/>
          <w:sz w:val="20"/>
          <w:szCs w:val="20"/>
          <w:lang w:eastAsia="en-US"/>
        </w:rPr>
        <w:t xml:space="preserve"> </w:t>
      </w:r>
      <w:r>
        <w:rPr>
          <w:rFonts w:ascii="Arial" w:hAnsi="Arial" w:cs="Arial"/>
          <w:sz w:val="20"/>
          <w:szCs w:val="20"/>
          <w:lang w:eastAsia="en-US"/>
        </w:rPr>
        <w:t xml:space="preserve">and </w:t>
      </w:r>
      <w:r w:rsidR="003636E1">
        <w:rPr>
          <w:rFonts w:ascii="Arial" w:hAnsi="Arial" w:cs="Arial"/>
          <w:sz w:val="20"/>
          <w:szCs w:val="20"/>
          <w:lang w:eastAsia="en-US"/>
        </w:rPr>
        <w:t xml:space="preserve">ties </w:t>
      </w:r>
      <w:r>
        <w:rPr>
          <w:rFonts w:ascii="Arial" w:hAnsi="Arial" w:cs="Arial"/>
          <w:sz w:val="20"/>
          <w:szCs w:val="20"/>
          <w:lang w:eastAsia="en-US"/>
        </w:rPr>
        <w:t xml:space="preserve">together </w:t>
      </w:r>
      <w:r w:rsidR="003636E1">
        <w:rPr>
          <w:rFonts w:ascii="Arial" w:hAnsi="Arial" w:cs="Arial"/>
          <w:sz w:val="20"/>
          <w:szCs w:val="20"/>
          <w:lang w:eastAsia="en-US"/>
        </w:rPr>
        <w:t xml:space="preserve">the </w:t>
      </w:r>
      <w:r>
        <w:rPr>
          <w:rFonts w:ascii="Arial" w:hAnsi="Arial" w:cs="Arial"/>
          <w:sz w:val="20"/>
          <w:szCs w:val="20"/>
          <w:lang w:eastAsia="en-US"/>
        </w:rPr>
        <w:t xml:space="preserve">elements analysed in this </w:t>
      </w:r>
      <w:r w:rsidR="00091FE3">
        <w:rPr>
          <w:rFonts w:ascii="Arial" w:hAnsi="Arial" w:cs="Arial"/>
          <w:sz w:val="20"/>
          <w:szCs w:val="20"/>
          <w:lang w:eastAsia="en-US"/>
        </w:rPr>
        <w:t>chapter</w:t>
      </w:r>
      <w:r>
        <w:rPr>
          <w:rFonts w:ascii="Arial" w:hAnsi="Arial" w:cs="Arial"/>
          <w:sz w:val="20"/>
          <w:szCs w:val="20"/>
          <w:lang w:eastAsia="en-US"/>
        </w:rPr>
        <w:t>.</w:t>
      </w:r>
    </w:p>
    <w:p w14:paraId="2CFF0B18" w14:textId="2954548E" w:rsidR="00542C72" w:rsidRDefault="004050B9" w:rsidP="00D306CB">
      <w:pPr>
        <w:pStyle w:val="Caption"/>
        <w:spacing w:before="0"/>
        <w:ind w:left="1137" w:hanging="950"/>
        <w:sectPr w:rsidR="00542C72" w:rsidSect="00DC1D4D">
          <w:headerReference w:type="default" r:id="rId180"/>
          <w:footerReference w:type="default" r:id="rId181"/>
          <w:pgSz w:w="16834" w:h="11909" w:orient="landscape"/>
          <w:pgMar w:top="1530" w:right="1440" w:bottom="1440" w:left="1440" w:header="720" w:footer="720" w:gutter="0"/>
          <w:cols w:space="720"/>
          <w:docGrid w:linePitch="326"/>
        </w:sectPr>
      </w:pPr>
      <w:bookmarkStart w:id="282" w:name="_Toc90725948"/>
      <w:r>
        <w:rPr>
          <w:noProof/>
          <w:lang w:val="en-US"/>
        </w:rPr>
        <w:lastRenderedPageBreak/>
        <w:drawing>
          <wp:anchor distT="0" distB="0" distL="114300" distR="114300" simplePos="0" relativeHeight="251657215" behindDoc="1" locked="0" layoutInCell="1" allowOverlap="1" wp14:anchorId="7F80541A" wp14:editId="79BEAF73">
            <wp:simplePos x="0" y="0"/>
            <wp:positionH relativeFrom="margin">
              <wp:posOffset>0</wp:posOffset>
            </wp:positionH>
            <wp:positionV relativeFrom="paragraph">
              <wp:posOffset>146050</wp:posOffset>
            </wp:positionV>
            <wp:extent cx="8839200" cy="6353175"/>
            <wp:effectExtent l="0" t="0" r="0" b="9525"/>
            <wp:wrapNone/>
            <wp:docPr id="2087055598" name="Picture 2087055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28A0092B-C50C-407E-A947-70E740481C1C}">
                          <a14:useLocalDpi xmlns:a14="http://schemas.microsoft.com/office/drawing/2010/main" val="0"/>
                        </a:ext>
                      </a:extLst>
                    </a:blip>
                    <a:stretch>
                      <a:fillRect/>
                    </a:stretch>
                  </pic:blipFill>
                  <pic:spPr>
                    <a:xfrm>
                      <a:off x="0" y="0"/>
                      <a:ext cx="8839200" cy="6353175"/>
                    </a:xfrm>
                    <a:prstGeom prst="rect">
                      <a:avLst/>
                    </a:prstGeom>
                  </pic:spPr>
                </pic:pic>
              </a:graphicData>
            </a:graphic>
            <wp14:sizeRelH relativeFrom="margin">
              <wp14:pctWidth>0</wp14:pctWidth>
            </wp14:sizeRelH>
            <wp14:sizeRelV relativeFrom="margin">
              <wp14:pctHeight>0</wp14:pctHeight>
            </wp14:sizeRelV>
          </wp:anchor>
        </w:drawing>
      </w:r>
      <w:r>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21</w:t>
      </w:r>
      <w:r w:rsidR="000B273D">
        <w:rPr>
          <w:noProof/>
        </w:rPr>
        <w:fldChar w:fldCharType="end"/>
      </w:r>
      <w:r>
        <w:t>: Logic of the intervention for Mureș County</w:t>
      </w:r>
      <w:bookmarkEnd w:id="282"/>
    </w:p>
    <w:p w14:paraId="70FC32BE" w14:textId="4608C9CA" w:rsidR="00542C72" w:rsidRPr="00542C72" w:rsidRDefault="00542C72" w:rsidP="00E42342">
      <w:pPr>
        <w:pStyle w:val="Heading2"/>
        <w:numPr>
          <w:ilvl w:val="0"/>
          <w:numId w:val="174"/>
        </w:numPr>
        <w:spacing w:before="240" w:line="240" w:lineRule="auto"/>
      </w:pPr>
      <w:bookmarkStart w:id="283" w:name="_Toc90725894"/>
      <w:r w:rsidRPr="003516DC">
        <w:lastRenderedPageBreak/>
        <w:t>Assessment of the transition challenges at the political-administrative, economic and employment, environmental, socio-cultural and digital/ technological levels</w:t>
      </w:r>
      <w:bookmarkEnd w:id="283"/>
    </w:p>
    <w:p w14:paraId="33C8AEA0" w14:textId="31B1AE12" w:rsidR="00337F75" w:rsidRDefault="00337F75" w:rsidP="00E42342">
      <w:pPr>
        <w:pStyle w:val="Heading3"/>
        <w:numPr>
          <w:ilvl w:val="0"/>
          <w:numId w:val="145"/>
        </w:numPr>
        <w:spacing w:before="120" w:after="120" w:line="240" w:lineRule="auto"/>
        <w:rPr>
          <w:b w:val="0"/>
        </w:rPr>
      </w:pPr>
      <w:r w:rsidRPr="003516DC">
        <w:rPr>
          <w:b w:val="0"/>
        </w:rPr>
        <w:t>State of play</w:t>
      </w:r>
      <w:r w:rsidR="00F0070A" w:rsidRPr="003516DC">
        <w:rPr>
          <w:b w:val="0"/>
        </w:rPr>
        <w:t xml:space="preserve"> in Mureș </w:t>
      </w:r>
      <w:r w:rsidR="003636E1">
        <w:rPr>
          <w:b w:val="0"/>
        </w:rPr>
        <w:t>C</w:t>
      </w:r>
      <w:r w:rsidR="00F0070A" w:rsidRPr="003516DC">
        <w:rPr>
          <w:b w:val="0"/>
        </w:rPr>
        <w:t>ounty</w:t>
      </w:r>
    </w:p>
    <w:p w14:paraId="43894903" w14:textId="77777777" w:rsidR="009F0B40" w:rsidRPr="009F0B40" w:rsidRDefault="009F0B40" w:rsidP="00E42342">
      <w:pPr>
        <w:pStyle w:val="ListParagraph"/>
        <w:numPr>
          <w:ilvl w:val="0"/>
          <w:numId w:val="295"/>
        </w:numPr>
        <w:spacing w:after="120"/>
        <w:jc w:val="both"/>
        <w:rPr>
          <w:color w:val="4F81BD" w:themeColor="accent1"/>
          <w:sz w:val="20"/>
          <w:szCs w:val="20"/>
        </w:rPr>
      </w:pPr>
      <w:r w:rsidRPr="009F0B40">
        <w:rPr>
          <w:color w:val="4F81BD" w:themeColor="accent1"/>
          <w:sz w:val="20"/>
          <w:szCs w:val="20"/>
        </w:rPr>
        <w:t>Political-administrative level</w:t>
      </w:r>
    </w:p>
    <w:p w14:paraId="78A0D614" w14:textId="3207D731" w:rsidR="00337F75" w:rsidRPr="003516DC" w:rsidRDefault="00350AA9" w:rsidP="00BE7F81">
      <w:pPr>
        <w:spacing w:after="120"/>
        <w:jc w:val="both"/>
        <w:rPr>
          <w:rFonts w:ascii="Arial" w:hAnsi="Arial" w:cs="Arial"/>
          <w:sz w:val="20"/>
          <w:szCs w:val="20"/>
        </w:rPr>
      </w:pPr>
      <w:r w:rsidRPr="003516DC">
        <w:rPr>
          <w:rFonts w:ascii="Arial" w:hAnsi="Arial" w:cs="Arial"/>
          <w:sz w:val="20"/>
          <w:szCs w:val="20"/>
        </w:rPr>
        <w:t xml:space="preserve">Mureș </w:t>
      </w:r>
      <w:r w:rsidR="003636E1">
        <w:rPr>
          <w:rFonts w:ascii="Arial" w:hAnsi="Arial" w:cs="Arial"/>
          <w:sz w:val="20"/>
          <w:szCs w:val="20"/>
        </w:rPr>
        <w:t>C</w:t>
      </w:r>
      <w:r w:rsidR="00337F75" w:rsidRPr="003516DC">
        <w:rPr>
          <w:rFonts w:ascii="Arial" w:hAnsi="Arial" w:cs="Arial"/>
          <w:sz w:val="20"/>
          <w:szCs w:val="20"/>
        </w:rPr>
        <w:t xml:space="preserve">ounty is </w:t>
      </w:r>
      <w:r w:rsidR="000D7043" w:rsidRPr="003516DC">
        <w:rPr>
          <w:rFonts w:ascii="Arial" w:hAnsi="Arial" w:cs="Arial"/>
          <w:sz w:val="20"/>
          <w:szCs w:val="20"/>
        </w:rPr>
        <w:t>average</w:t>
      </w:r>
      <w:r w:rsidR="00337F75" w:rsidRPr="003516DC">
        <w:rPr>
          <w:rFonts w:ascii="Arial" w:hAnsi="Arial" w:cs="Arial"/>
          <w:sz w:val="20"/>
          <w:szCs w:val="20"/>
        </w:rPr>
        <w:t xml:space="preserve"> among JTP target territories in terms of local budgets. Local authorities (</w:t>
      </w:r>
      <w:r w:rsidR="000D7043" w:rsidRPr="003516DC">
        <w:rPr>
          <w:rFonts w:ascii="Arial" w:hAnsi="Arial" w:cs="Arial"/>
          <w:sz w:val="20"/>
          <w:szCs w:val="20"/>
        </w:rPr>
        <w:t xml:space="preserve">municipalities </w:t>
      </w:r>
      <w:r w:rsidR="00337F75" w:rsidRPr="003516DC">
        <w:rPr>
          <w:rFonts w:ascii="Arial" w:hAnsi="Arial" w:cs="Arial"/>
          <w:sz w:val="20"/>
          <w:szCs w:val="20"/>
        </w:rPr>
        <w:t xml:space="preserve">and county council) </w:t>
      </w:r>
      <w:r w:rsidR="000D7043" w:rsidRPr="003516DC">
        <w:rPr>
          <w:rFonts w:ascii="Arial" w:hAnsi="Arial" w:cs="Arial"/>
          <w:sz w:val="20"/>
          <w:szCs w:val="20"/>
        </w:rPr>
        <w:t xml:space="preserve">recorded </w:t>
      </w:r>
      <w:r w:rsidR="00337F75" w:rsidRPr="003516DC">
        <w:rPr>
          <w:rFonts w:ascii="Arial" w:hAnsi="Arial" w:cs="Arial"/>
          <w:sz w:val="20"/>
          <w:szCs w:val="20"/>
        </w:rPr>
        <w:t xml:space="preserve">total local revenues of </w:t>
      </w:r>
      <w:r w:rsidR="000D7043" w:rsidRPr="003516DC">
        <w:rPr>
          <w:rFonts w:ascii="Arial" w:hAnsi="Arial" w:cs="Arial"/>
          <w:sz w:val="20"/>
          <w:szCs w:val="20"/>
        </w:rPr>
        <w:t xml:space="preserve">RON </w:t>
      </w:r>
      <w:r w:rsidR="00337F75" w:rsidRPr="003516DC">
        <w:rPr>
          <w:rFonts w:ascii="Arial" w:hAnsi="Arial" w:cs="Arial"/>
          <w:sz w:val="20"/>
          <w:szCs w:val="20"/>
        </w:rPr>
        <w:t xml:space="preserve">1.53 bn </w:t>
      </w:r>
      <w:r w:rsidR="000D7043" w:rsidRPr="003516DC">
        <w:rPr>
          <w:rFonts w:ascii="Arial" w:hAnsi="Arial" w:cs="Arial"/>
          <w:sz w:val="20"/>
          <w:szCs w:val="20"/>
        </w:rPr>
        <w:t xml:space="preserve">in 2019 </w:t>
      </w:r>
      <w:r w:rsidR="00337F75" w:rsidRPr="003516DC">
        <w:rPr>
          <w:rStyle w:val="FootnoteReference"/>
          <w:rFonts w:ascii="Arial" w:hAnsi="Arial" w:cs="Arial"/>
          <w:sz w:val="20"/>
          <w:szCs w:val="20"/>
        </w:rPr>
        <w:footnoteReference w:id="123"/>
      </w:r>
      <w:r w:rsidR="00337F75" w:rsidRPr="003516DC">
        <w:rPr>
          <w:rFonts w:ascii="Arial" w:hAnsi="Arial" w:cs="Arial"/>
          <w:sz w:val="20"/>
          <w:szCs w:val="20"/>
        </w:rPr>
        <w:t xml:space="preserve">, similar to Galați </w:t>
      </w:r>
      <w:r w:rsidRPr="003516DC">
        <w:rPr>
          <w:rFonts w:ascii="Arial" w:hAnsi="Arial" w:cs="Arial"/>
          <w:sz w:val="20"/>
          <w:szCs w:val="20"/>
        </w:rPr>
        <w:t>c</w:t>
      </w:r>
      <w:r w:rsidR="00337F75" w:rsidRPr="003516DC">
        <w:rPr>
          <w:rFonts w:ascii="Arial" w:hAnsi="Arial" w:cs="Arial"/>
          <w:sz w:val="20"/>
          <w:szCs w:val="20"/>
        </w:rPr>
        <w:t xml:space="preserve">ounty, </w:t>
      </w:r>
      <w:r w:rsidR="000D7043" w:rsidRPr="003516DC">
        <w:rPr>
          <w:rFonts w:ascii="Arial" w:hAnsi="Arial" w:cs="Arial"/>
          <w:sz w:val="20"/>
          <w:szCs w:val="20"/>
        </w:rPr>
        <w:t>al</w:t>
      </w:r>
      <w:r w:rsidR="00337F75" w:rsidRPr="003516DC">
        <w:rPr>
          <w:rFonts w:ascii="Arial" w:hAnsi="Arial" w:cs="Arial"/>
          <w:sz w:val="20"/>
          <w:szCs w:val="20"/>
        </w:rPr>
        <w:t xml:space="preserve">though </w:t>
      </w:r>
      <w:r w:rsidR="000D7043" w:rsidRPr="003516DC">
        <w:rPr>
          <w:rFonts w:ascii="Arial" w:hAnsi="Arial" w:cs="Arial"/>
          <w:sz w:val="20"/>
          <w:szCs w:val="20"/>
        </w:rPr>
        <w:t xml:space="preserve">Mureș </w:t>
      </w:r>
      <w:r w:rsidR="00337F75" w:rsidRPr="003516DC">
        <w:rPr>
          <w:rFonts w:ascii="Arial" w:hAnsi="Arial" w:cs="Arial"/>
          <w:sz w:val="20"/>
          <w:szCs w:val="20"/>
        </w:rPr>
        <w:t xml:space="preserve">companies </w:t>
      </w:r>
      <w:r w:rsidR="000D7043" w:rsidRPr="003516DC">
        <w:rPr>
          <w:rFonts w:ascii="Arial" w:hAnsi="Arial" w:cs="Arial"/>
          <w:sz w:val="20"/>
          <w:szCs w:val="20"/>
        </w:rPr>
        <w:t xml:space="preserve">had more </w:t>
      </w:r>
      <w:r w:rsidR="00337F75" w:rsidRPr="003516DC">
        <w:rPr>
          <w:rFonts w:ascii="Arial" w:hAnsi="Arial" w:cs="Arial"/>
          <w:sz w:val="20"/>
          <w:szCs w:val="20"/>
        </w:rPr>
        <w:t xml:space="preserve">turnover of </w:t>
      </w:r>
      <w:r w:rsidR="000D7043" w:rsidRPr="003516DC">
        <w:rPr>
          <w:rFonts w:ascii="Arial" w:hAnsi="Arial" w:cs="Arial"/>
          <w:sz w:val="20"/>
          <w:szCs w:val="20"/>
        </w:rPr>
        <w:t xml:space="preserve">(RON </w:t>
      </w:r>
      <w:r w:rsidR="00337F75" w:rsidRPr="003516DC">
        <w:rPr>
          <w:rFonts w:ascii="Arial" w:hAnsi="Arial" w:cs="Arial"/>
          <w:sz w:val="20"/>
          <w:szCs w:val="20"/>
        </w:rPr>
        <w:t>35 bn vs</w:t>
      </w:r>
      <w:r w:rsidR="000D7043" w:rsidRPr="003516DC">
        <w:rPr>
          <w:rFonts w:ascii="Arial" w:hAnsi="Arial" w:cs="Arial"/>
          <w:sz w:val="20"/>
          <w:szCs w:val="20"/>
        </w:rPr>
        <w:t>.</w:t>
      </w:r>
      <w:r w:rsidR="00337F75" w:rsidRPr="003516DC">
        <w:rPr>
          <w:rFonts w:ascii="Arial" w:hAnsi="Arial" w:cs="Arial"/>
          <w:sz w:val="20"/>
          <w:szCs w:val="20"/>
        </w:rPr>
        <w:t xml:space="preserve"> </w:t>
      </w:r>
      <w:r w:rsidR="000D7043" w:rsidRPr="003516DC">
        <w:rPr>
          <w:rFonts w:ascii="Arial" w:hAnsi="Arial" w:cs="Arial"/>
          <w:sz w:val="20"/>
          <w:szCs w:val="20"/>
        </w:rPr>
        <w:t xml:space="preserve">RON </w:t>
      </w:r>
      <w:r w:rsidR="00337F75" w:rsidRPr="003516DC">
        <w:rPr>
          <w:rFonts w:ascii="Arial" w:hAnsi="Arial" w:cs="Arial"/>
          <w:sz w:val="20"/>
          <w:szCs w:val="20"/>
        </w:rPr>
        <w:t xml:space="preserve">26 bn in Galați). </w:t>
      </w:r>
    </w:p>
    <w:p w14:paraId="099A5121" w14:textId="0685C596" w:rsidR="00337F75" w:rsidRPr="003516DC" w:rsidRDefault="00337F75" w:rsidP="00BE7F81">
      <w:pPr>
        <w:spacing w:after="120"/>
        <w:jc w:val="both"/>
        <w:rPr>
          <w:rFonts w:ascii="Arial" w:hAnsi="Arial" w:cs="Arial"/>
          <w:sz w:val="20"/>
          <w:szCs w:val="20"/>
        </w:rPr>
      </w:pPr>
      <w:r w:rsidRPr="003516DC">
        <w:rPr>
          <w:rFonts w:ascii="Arial" w:hAnsi="Arial" w:cs="Arial"/>
          <w:sz w:val="20"/>
          <w:szCs w:val="20"/>
        </w:rPr>
        <w:t xml:space="preserve">Local authorities in Mureș (county councils and </w:t>
      </w:r>
      <w:r w:rsidR="004B451E" w:rsidRPr="003516DC">
        <w:rPr>
          <w:rFonts w:ascii="Arial" w:hAnsi="Arial" w:cs="Arial"/>
          <w:sz w:val="20"/>
          <w:szCs w:val="20"/>
        </w:rPr>
        <w:t>municipalities</w:t>
      </w:r>
      <w:r w:rsidRPr="003516DC">
        <w:rPr>
          <w:rFonts w:ascii="Arial" w:hAnsi="Arial" w:cs="Arial"/>
          <w:sz w:val="20"/>
          <w:szCs w:val="20"/>
        </w:rPr>
        <w:t xml:space="preserve">) accessed </w:t>
      </w:r>
      <w:r w:rsidR="0090185D" w:rsidRPr="003516DC">
        <w:rPr>
          <w:rFonts w:ascii="Arial" w:hAnsi="Arial" w:cs="Arial"/>
          <w:sz w:val="20"/>
          <w:szCs w:val="20"/>
        </w:rPr>
        <w:t xml:space="preserve">RON </w:t>
      </w:r>
      <w:r w:rsidRPr="003516DC">
        <w:rPr>
          <w:rFonts w:ascii="Arial" w:hAnsi="Arial" w:cs="Arial"/>
          <w:sz w:val="20"/>
          <w:szCs w:val="20"/>
        </w:rPr>
        <w:t xml:space="preserve">245 m of EU and other donor funds 2016-2019, representing 8.85% of their local revenues. Mureș County Council has </w:t>
      </w:r>
      <w:r w:rsidR="00826356" w:rsidRPr="003516DC">
        <w:rPr>
          <w:rFonts w:ascii="Arial" w:hAnsi="Arial" w:cs="Arial"/>
          <w:sz w:val="20"/>
          <w:szCs w:val="20"/>
        </w:rPr>
        <w:t>underperformed</w:t>
      </w:r>
      <w:r w:rsidRPr="003516DC">
        <w:rPr>
          <w:rFonts w:ascii="Arial" w:hAnsi="Arial" w:cs="Arial"/>
          <w:sz w:val="20"/>
          <w:szCs w:val="20"/>
        </w:rPr>
        <w:t xml:space="preserve"> in this respect, having accessed </w:t>
      </w:r>
      <w:r w:rsidR="00B774ED" w:rsidRPr="003516DC">
        <w:rPr>
          <w:rFonts w:ascii="Arial" w:hAnsi="Arial" w:cs="Arial"/>
          <w:sz w:val="20"/>
          <w:szCs w:val="20"/>
        </w:rPr>
        <w:t xml:space="preserve">RON </w:t>
      </w:r>
      <w:r w:rsidRPr="003516DC">
        <w:rPr>
          <w:rFonts w:ascii="Arial" w:hAnsi="Arial" w:cs="Arial"/>
          <w:sz w:val="20"/>
          <w:szCs w:val="20"/>
        </w:rPr>
        <w:t xml:space="preserve">8.3 m </w:t>
      </w:r>
      <w:r w:rsidR="004C6BE7" w:rsidRPr="003516DC">
        <w:rPr>
          <w:rFonts w:ascii="Arial" w:hAnsi="Arial" w:cs="Arial"/>
          <w:sz w:val="20"/>
          <w:szCs w:val="20"/>
        </w:rPr>
        <w:t>or</w:t>
      </w:r>
      <w:r w:rsidRPr="003516DC">
        <w:rPr>
          <w:rFonts w:ascii="Arial" w:hAnsi="Arial" w:cs="Arial"/>
          <w:sz w:val="20"/>
          <w:szCs w:val="20"/>
        </w:rPr>
        <w:t xml:space="preserve"> 1.94% of local revenues</w:t>
      </w:r>
      <w:r w:rsidR="00BD7D72">
        <w:rPr>
          <w:rStyle w:val="FootnoteReference"/>
          <w:rFonts w:ascii="Arial" w:hAnsi="Arial" w:cs="Arial"/>
          <w:sz w:val="20"/>
          <w:szCs w:val="20"/>
        </w:rPr>
        <w:footnoteReference w:id="124"/>
      </w:r>
      <w:r w:rsidR="00884BE5" w:rsidRPr="003516DC">
        <w:rPr>
          <w:rFonts w:ascii="Arial" w:hAnsi="Arial" w:cs="Arial"/>
          <w:sz w:val="20"/>
          <w:szCs w:val="20"/>
        </w:rPr>
        <w:t>. This is</w:t>
      </w:r>
      <w:r w:rsidRPr="003516DC">
        <w:rPr>
          <w:rFonts w:ascii="Arial" w:hAnsi="Arial" w:cs="Arial"/>
          <w:sz w:val="20"/>
          <w:szCs w:val="20"/>
        </w:rPr>
        <w:t xml:space="preserve"> significantly lower than the C</w:t>
      </w:r>
      <w:r w:rsidR="00FC3ABA" w:rsidRPr="003516DC">
        <w:rPr>
          <w:rFonts w:ascii="Arial" w:hAnsi="Arial" w:cs="Arial"/>
          <w:sz w:val="20"/>
          <w:szCs w:val="20"/>
        </w:rPr>
        <w:t xml:space="preserve">ounty </w:t>
      </w:r>
      <w:r w:rsidRPr="003516DC">
        <w:rPr>
          <w:rFonts w:ascii="Arial" w:hAnsi="Arial" w:cs="Arial"/>
          <w:sz w:val="20"/>
          <w:szCs w:val="20"/>
        </w:rPr>
        <w:t>C</w:t>
      </w:r>
      <w:r w:rsidR="00FC3ABA" w:rsidRPr="003516DC">
        <w:rPr>
          <w:rFonts w:ascii="Arial" w:hAnsi="Arial" w:cs="Arial"/>
          <w:sz w:val="20"/>
          <w:szCs w:val="20"/>
        </w:rPr>
        <w:t>ouncil</w:t>
      </w:r>
      <w:r w:rsidRPr="003516DC">
        <w:rPr>
          <w:rFonts w:ascii="Arial" w:hAnsi="Arial" w:cs="Arial"/>
          <w:sz w:val="20"/>
          <w:szCs w:val="20"/>
        </w:rPr>
        <w:t xml:space="preserve"> of Dolj (32.3%) or </w:t>
      </w:r>
      <w:r w:rsidR="003751DC">
        <w:rPr>
          <w:rFonts w:ascii="Arial" w:hAnsi="Arial" w:cs="Arial"/>
          <w:sz w:val="20"/>
          <w:szCs w:val="20"/>
        </w:rPr>
        <w:t>Galați</w:t>
      </w:r>
      <w:r w:rsidRPr="003516DC">
        <w:rPr>
          <w:rFonts w:ascii="Arial" w:hAnsi="Arial" w:cs="Arial"/>
          <w:sz w:val="20"/>
          <w:szCs w:val="20"/>
        </w:rPr>
        <w:t xml:space="preserve"> (29.1%). See </w:t>
      </w:r>
      <w:r w:rsidR="006536F5" w:rsidRPr="003516DC">
        <w:rPr>
          <w:rFonts w:ascii="Arial" w:hAnsi="Arial" w:cs="Arial"/>
          <w:sz w:val="20"/>
          <w:szCs w:val="20"/>
        </w:rPr>
        <w:t xml:space="preserve">Annex </w:t>
      </w:r>
      <w:r w:rsidR="002B75CD" w:rsidRPr="003516DC">
        <w:rPr>
          <w:rFonts w:ascii="Arial" w:hAnsi="Arial" w:cs="Arial"/>
          <w:sz w:val="20"/>
          <w:szCs w:val="20"/>
        </w:rPr>
        <w:t>1.</w:t>
      </w:r>
    </w:p>
    <w:p w14:paraId="6FF0C2CF" w14:textId="1221024E" w:rsidR="009F0B40" w:rsidRPr="009F0B40" w:rsidRDefault="009F0B40" w:rsidP="00E42342">
      <w:pPr>
        <w:pStyle w:val="ListParagraph"/>
        <w:numPr>
          <w:ilvl w:val="0"/>
          <w:numId w:val="296"/>
        </w:numPr>
        <w:spacing w:after="120"/>
        <w:jc w:val="both"/>
        <w:rPr>
          <w:color w:val="4F81BD" w:themeColor="accent1"/>
          <w:sz w:val="20"/>
          <w:szCs w:val="20"/>
        </w:rPr>
      </w:pPr>
      <w:r>
        <w:rPr>
          <w:color w:val="4F81BD" w:themeColor="accent1"/>
          <w:sz w:val="20"/>
          <w:szCs w:val="20"/>
        </w:rPr>
        <w:t>Economic development</w:t>
      </w:r>
    </w:p>
    <w:p w14:paraId="21D11F7A" w14:textId="46272F2D" w:rsidR="00337F75" w:rsidRPr="003516DC" w:rsidRDefault="00337F75" w:rsidP="00BE7F81">
      <w:pPr>
        <w:spacing w:after="120"/>
        <w:jc w:val="both"/>
        <w:rPr>
          <w:rFonts w:ascii="Arial" w:hAnsi="Arial" w:cs="Arial"/>
          <w:sz w:val="20"/>
          <w:szCs w:val="20"/>
        </w:rPr>
      </w:pPr>
      <w:r w:rsidRPr="003516DC">
        <w:rPr>
          <w:rFonts w:ascii="Arial" w:hAnsi="Arial" w:cs="Arial"/>
          <w:b/>
          <w:bCs/>
          <w:sz w:val="20"/>
          <w:szCs w:val="20"/>
        </w:rPr>
        <w:t>Economic and employment</w:t>
      </w:r>
      <w:r w:rsidRPr="003516DC">
        <w:rPr>
          <w:rFonts w:ascii="Arial" w:hAnsi="Arial" w:cs="Arial"/>
          <w:sz w:val="20"/>
          <w:szCs w:val="20"/>
        </w:rPr>
        <w:t xml:space="preserve"> data on Mureș show a county hit</w:t>
      </w:r>
      <w:r w:rsidR="008A7922" w:rsidRPr="003516DC">
        <w:rPr>
          <w:rFonts w:ascii="Arial" w:hAnsi="Arial" w:cs="Arial"/>
          <w:sz w:val="20"/>
          <w:szCs w:val="20"/>
        </w:rPr>
        <w:t xml:space="preserve"> less</w:t>
      </w:r>
      <w:r w:rsidRPr="003516DC">
        <w:rPr>
          <w:rFonts w:ascii="Arial" w:hAnsi="Arial" w:cs="Arial"/>
          <w:sz w:val="20"/>
          <w:szCs w:val="20"/>
        </w:rPr>
        <w:t xml:space="preserve"> by </w:t>
      </w:r>
      <w:r w:rsidR="00EE6C33" w:rsidRPr="003516DC">
        <w:rPr>
          <w:rFonts w:ascii="Arial" w:hAnsi="Arial" w:cs="Arial"/>
          <w:sz w:val="20"/>
          <w:szCs w:val="20"/>
        </w:rPr>
        <w:t xml:space="preserve">the </w:t>
      </w:r>
      <w:r w:rsidRPr="003516DC">
        <w:rPr>
          <w:rFonts w:ascii="Arial" w:hAnsi="Arial" w:cs="Arial"/>
          <w:sz w:val="20"/>
          <w:szCs w:val="20"/>
        </w:rPr>
        <w:t xml:space="preserve">employment decline </w:t>
      </w:r>
      <w:r w:rsidR="002E32CD" w:rsidRPr="003516DC">
        <w:rPr>
          <w:rFonts w:ascii="Arial" w:hAnsi="Arial" w:cs="Arial"/>
          <w:sz w:val="20"/>
          <w:szCs w:val="20"/>
        </w:rPr>
        <w:t>observed in other</w:t>
      </w:r>
      <w:r w:rsidRPr="003516DC">
        <w:rPr>
          <w:rFonts w:ascii="Arial" w:hAnsi="Arial" w:cs="Arial"/>
          <w:sz w:val="20"/>
          <w:szCs w:val="20"/>
        </w:rPr>
        <w:t xml:space="preserve"> JTP counties. Employment decreased by 3.2% during 2008-2019, with the sharpest decline in agriculture (28.1%)</w:t>
      </w:r>
      <w:r w:rsidR="007D6663" w:rsidRPr="003516DC">
        <w:rPr>
          <w:rFonts w:ascii="Arial" w:hAnsi="Arial" w:cs="Arial"/>
          <w:sz w:val="20"/>
          <w:szCs w:val="20"/>
        </w:rPr>
        <w:t>. This</w:t>
      </w:r>
      <w:r w:rsidRPr="003516DC">
        <w:rPr>
          <w:rFonts w:ascii="Arial" w:hAnsi="Arial" w:cs="Arial"/>
          <w:sz w:val="20"/>
          <w:szCs w:val="20"/>
        </w:rPr>
        <w:t xml:space="preserve"> reflect</w:t>
      </w:r>
      <w:r w:rsidR="007D6663" w:rsidRPr="003516DC">
        <w:rPr>
          <w:rFonts w:ascii="Arial" w:hAnsi="Arial" w:cs="Arial"/>
          <w:sz w:val="20"/>
          <w:szCs w:val="20"/>
        </w:rPr>
        <w:t>s</w:t>
      </w:r>
      <w:r w:rsidRPr="003516DC">
        <w:rPr>
          <w:rFonts w:ascii="Arial" w:hAnsi="Arial" w:cs="Arial"/>
          <w:sz w:val="20"/>
          <w:szCs w:val="20"/>
        </w:rPr>
        <w:t xml:space="preserve"> the overall national trends given the technological upgrading of the sector (see Annex </w:t>
      </w:r>
      <w:r w:rsidR="002B75CD" w:rsidRPr="003516DC">
        <w:rPr>
          <w:rFonts w:ascii="Arial" w:hAnsi="Arial" w:cs="Arial"/>
          <w:sz w:val="20"/>
          <w:szCs w:val="20"/>
        </w:rPr>
        <w:t>2</w:t>
      </w:r>
      <w:r w:rsidRPr="003516DC">
        <w:rPr>
          <w:rFonts w:ascii="Arial" w:hAnsi="Arial" w:cs="Arial"/>
          <w:sz w:val="20"/>
          <w:szCs w:val="20"/>
        </w:rPr>
        <w:t xml:space="preserve">). Employment in construction grew by 7.6% (higher than the national growth </w:t>
      </w:r>
      <w:r w:rsidR="00A748EB" w:rsidRPr="003516DC">
        <w:rPr>
          <w:rFonts w:ascii="Arial" w:hAnsi="Arial" w:cs="Arial"/>
          <w:sz w:val="20"/>
          <w:szCs w:val="20"/>
        </w:rPr>
        <w:t>of</w:t>
      </w:r>
      <w:r w:rsidRPr="003516DC">
        <w:rPr>
          <w:rFonts w:ascii="Arial" w:hAnsi="Arial" w:cs="Arial"/>
          <w:sz w:val="20"/>
          <w:szCs w:val="20"/>
        </w:rPr>
        <w:t xml:space="preserve"> 4.5%) and </w:t>
      </w:r>
      <w:r w:rsidR="00D63F33" w:rsidRPr="003516DC">
        <w:rPr>
          <w:rFonts w:ascii="Arial" w:hAnsi="Arial" w:cs="Arial"/>
          <w:sz w:val="20"/>
          <w:szCs w:val="20"/>
        </w:rPr>
        <w:t xml:space="preserve">by 14.3% in </w:t>
      </w:r>
      <w:r w:rsidRPr="003516DC">
        <w:rPr>
          <w:rFonts w:ascii="Arial" w:hAnsi="Arial" w:cs="Arial"/>
          <w:sz w:val="20"/>
          <w:szCs w:val="20"/>
        </w:rPr>
        <w:t xml:space="preserve">services </w:t>
      </w:r>
      <w:r w:rsidR="002C5B80" w:rsidRPr="003516DC">
        <w:rPr>
          <w:rFonts w:ascii="Arial" w:hAnsi="Arial" w:cs="Arial"/>
          <w:sz w:val="20"/>
          <w:szCs w:val="20"/>
        </w:rPr>
        <w:t xml:space="preserve">(also </w:t>
      </w:r>
      <w:r w:rsidRPr="003516DC">
        <w:rPr>
          <w:rFonts w:ascii="Arial" w:hAnsi="Arial" w:cs="Arial"/>
          <w:sz w:val="20"/>
          <w:szCs w:val="20"/>
        </w:rPr>
        <w:t xml:space="preserve">higher than the national </w:t>
      </w:r>
      <w:r w:rsidR="00DB2C83" w:rsidRPr="003516DC">
        <w:rPr>
          <w:rFonts w:ascii="Arial" w:hAnsi="Arial" w:cs="Arial"/>
          <w:sz w:val="20"/>
          <w:szCs w:val="20"/>
        </w:rPr>
        <w:t xml:space="preserve">average </w:t>
      </w:r>
      <w:r w:rsidRPr="003516DC">
        <w:rPr>
          <w:rFonts w:ascii="Arial" w:hAnsi="Arial" w:cs="Arial"/>
          <w:sz w:val="20"/>
          <w:szCs w:val="20"/>
        </w:rPr>
        <w:t>of 12.5%</w:t>
      </w:r>
      <w:r w:rsidR="00461347" w:rsidRPr="003516DC">
        <w:rPr>
          <w:rFonts w:ascii="Arial" w:hAnsi="Arial" w:cs="Arial"/>
          <w:sz w:val="20"/>
          <w:szCs w:val="20"/>
        </w:rPr>
        <w:t>)</w:t>
      </w:r>
      <w:r w:rsidRPr="003516DC">
        <w:rPr>
          <w:rFonts w:ascii="Arial" w:hAnsi="Arial" w:cs="Arial"/>
          <w:sz w:val="20"/>
          <w:szCs w:val="20"/>
        </w:rPr>
        <w:t xml:space="preserve">. Industry employment shrank by 4.1% </w:t>
      </w:r>
      <w:r w:rsidR="008B1A61" w:rsidRPr="003516DC">
        <w:rPr>
          <w:rFonts w:ascii="Arial" w:hAnsi="Arial" w:cs="Arial"/>
          <w:sz w:val="20"/>
          <w:szCs w:val="20"/>
        </w:rPr>
        <w:t>(</w:t>
      </w:r>
      <w:r w:rsidRPr="003516DC">
        <w:rPr>
          <w:rFonts w:ascii="Arial" w:hAnsi="Arial" w:cs="Arial"/>
          <w:sz w:val="20"/>
          <w:szCs w:val="20"/>
        </w:rPr>
        <w:t xml:space="preserve">similar to the national </w:t>
      </w:r>
      <w:r w:rsidR="008B1A61" w:rsidRPr="003516DC">
        <w:rPr>
          <w:rFonts w:ascii="Arial" w:hAnsi="Arial" w:cs="Arial"/>
          <w:sz w:val="20"/>
          <w:szCs w:val="20"/>
        </w:rPr>
        <w:t>level of</w:t>
      </w:r>
      <w:r w:rsidRPr="003516DC">
        <w:rPr>
          <w:rFonts w:ascii="Arial" w:hAnsi="Arial" w:cs="Arial"/>
          <w:sz w:val="20"/>
          <w:szCs w:val="20"/>
        </w:rPr>
        <w:t xml:space="preserve"> -4.3%</w:t>
      </w:r>
      <w:r w:rsidR="00FE24D3" w:rsidRPr="003516DC">
        <w:rPr>
          <w:rFonts w:ascii="Arial" w:hAnsi="Arial" w:cs="Arial"/>
          <w:sz w:val="20"/>
          <w:szCs w:val="20"/>
        </w:rPr>
        <w:t>)</w:t>
      </w:r>
      <w:r w:rsidRPr="003516DC">
        <w:rPr>
          <w:rFonts w:ascii="Arial" w:hAnsi="Arial" w:cs="Arial"/>
          <w:sz w:val="20"/>
          <w:szCs w:val="20"/>
        </w:rPr>
        <w:t xml:space="preserve">, but significantly lower than other JTP counties. </w:t>
      </w:r>
    </w:p>
    <w:p w14:paraId="21B1960D" w14:textId="0248583A" w:rsidR="00337F75" w:rsidRPr="003516DC" w:rsidRDefault="00D4667B" w:rsidP="00BE7F81">
      <w:pPr>
        <w:spacing w:after="120"/>
        <w:jc w:val="both"/>
        <w:rPr>
          <w:rFonts w:ascii="Arial" w:hAnsi="Arial" w:cs="Arial"/>
          <w:sz w:val="20"/>
          <w:szCs w:val="20"/>
        </w:rPr>
      </w:pPr>
      <w:r w:rsidRPr="003516DC">
        <w:rPr>
          <w:rFonts w:ascii="Arial" w:hAnsi="Arial" w:cs="Arial"/>
          <w:sz w:val="20"/>
          <w:szCs w:val="20"/>
        </w:rPr>
        <w:t>The</w:t>
      </w:r>
      <w:r w:rsidR="00337F75" w:rsidRPr="003516DC">
        <w:rPr>
          <w:rFonts w:ascii="Arial" w:hAnsi="Arial" w:cs="Arial"/>
          <w:sz w:val="20"/>
          <w:szCs w:val="20"/>
        </w:rPr>
        <w:t xml:space="preserve"> economic </w:t>
      </w:r>
      <w:r w:rsidRPr="003516DC">
        <w:rPr>
          <w:rFonts w:ascii="Arial" w:hAnsi="Arial" w:cs="Arial"/>
          <w:sz w:val="20"/>
          <w:szCs w:val="20"/>
        </w:rPr>
        <w:t xml:space="preserve">sectors </w:t>
      </w:r>
      <w:r w:rsidR="00337F75" w:rsidRPr="003516DC">
        <w:rPr>
          <w:rFonts w:ascii="Arial" w:hAnsi="Arial" w:cs="Arial"/>
          <w:sz w:val="20"/>
          <w:szCs w:val="20"/>
        </w:rPr>
        <w:t>that lost</w:t>
      </w:r>
      <w:r w:rsidR="008A7922" w:rsidRPr="003516DC">
        <w:rPr>
          <w:rFonts w:ascii="Arial" w:hAnsi="Arial" w:cs="Arial"/>
          <w:sz w:val="20"/>
          <w:szCs w:val="20"/>
        </w:rPr>
        <w:t xml:space="preserve"> the</w:t>
      </w:r>
      <w:r w:rsidR="00337F75" w:rsidRPr="003516DC">
        <w:rPr>
          <w:rFonts w:ascii="Arial" w:hAnsi="Arial" w:cs="Arial"/>
          <w:sz w:val="20"/>
          <w:szCs w:val="20"/>
        </w:rPr>
        <w:t xml:space="preserve"> most employees</w:t>
      </w:r>
      <w:r w:rsidRPr="003516DC">
        <w:rPr>
          <w:rFonts w:ascii="Arial" w:hAnsi="Arial" w:cs="Arial"/>
          <w:sz w:val="20"/>
          <w:szCs w:val="20"/>
        </w:rPr>
        <w:t xml:space="preserve"> aside</w:t>
      </w:r>
      <w:r w:rsidR="00337F75" w:rsidRPr="003516DC">
        <w:rPr>
          <w:rFonts w:ascii="Arial" w:hAnsi="Arial" w:cs="Arial"/>
          <w:sz w:val="20"/>
          <w:szCs w:val="20"/>
        </w:rPr>
        <w:t xml:space="preserve"> </w:t>
      </w:r>
      <w:r w:rsidRPr="003516DC">
        <w:rPr>
          <w:rFonts w:ascii="Arial" w:hAnsi="Arial" w:cs="Arial"/>
          <w:sz w:val="20"/>
          <w:szCs w:val="20"/>
        </w:rPr>
        <w:t xml:space="preserve">from </w:t>
      </w:r>
      <w:r w:rsidR="00337F75" w:rsidRPr="003516DC">
        <w:rPr>
          <w:rFonts w:ascii="Arial" w:hAnsi="Arial" w:cs="Arial"/>
          <w:sz w:val="20"/>
          <w:szCs w:val="20"/>
        </w:rPr>
        <w:t xml:space="preserve">agriculture were mining and quarrying (-20%), electricity </w:t>
      </w:r>
      <w:r w:rsidR="008A7922" w:rsidRPr="003516DC">
        <w:rPr>
          <w:rFonts w:ascii="Arial" w:hAnsi="Arial" w:cs="Arial"/>
          <w:sz w:val="20"/>
          <w:szCs w:val="20"/>
        </w:rPr>
        <w:t>and</w:t>
      </w:r>
      <w:r w:rsidR="00337F75" w:rsidRPr="003516DC">
        <w:rPr>
          <w:rFonts w:ascii="Arial" w:hAnsi="Arial" w:cs="Arial"/>
          <w:sz w:val="20"/>
          <w:szCs w:val="20"/>
        </w:rPr>
        <w:t xml:space="preserve"> gas (-17.4%) and financial services (-46.2%)</w:t>
      </w:r>
      <w:r w:rsidR="008A7922" w:rsidRPr="003516DC">
        <w:rPr>
          <w:rFonts w:ascii="Arial" w:hAnsi="Arial" w:cs="Arial"/>
          <w:sz w:val="20"/>
          <w:szCs w:val="20"/>
        </w:rPr>
        <w:t>.</w:t>
      </w:r>
      <w:r w:rsidR="00337F75" w:rsidRPr="003516DC">
        <w:rPr>
          <w:rFonts w:ascii="Arial" w:hAnsi="Arial" w:cs="Arial"/>
          <w:sz w:val="20"/>
          <w:szCs w:val="20"/>
        </w:rPr>
        <w:t xml:space="preserve"> </w:t>
      </w:r>
      <w:r w:rsidR="008A7922" w:rsidRPr="003516DC">
        <w:rPr>
          <w:rFonts w:ascii="Arial" w:hAnsi="Arial" w:cs="Arial"/>
          <w:sz w:val="20"/>
          <w:szCs w:val="20"/>
        </w:rPr>
        <w:t>H</w:t>
      </w:r>
      <w:r w:rsidR="00337F75" w:rsidRPr="003516DC">
        <w:rPr>
          <w:rFonts w:ascii="Arial" w:hAnsi="Arial" w:cs="Arial"/>
          <w:sz w:val="20"/>
          <w:szCs w:val="20"/>
        </w:rPr>
        <w:t>owever</w:t>
      </w:r>
      <w:r w:rsidR="008A7922" w:rsidRPr="003516DC">
        <w:rPr>
          <w:rFonts w:ascii="Arial" w:hAnsi="Arial" w:cs="Arial"/>
          <w:sz w:val="20"/>
          <w:szCs w:val="20"/>
        </w:rPr>
        <w:t>,</w:t>
      </w:r>
      <w:r w:rsidR="00337F75" w:rsidRPr="003516DC">
        <w:rPr>
          <w:rFonts w:ascii="Arial" w:hAnsi="Arial" w:cs="Arial"/>
          <w:sz w:val="20"/>
          <w:szCs w:val="20"/>
        </w:rPr>
        <w:t xml:space="preserve"> the </w:t>
      </w:r>
      <w:r w:rsidR="008A7922" w:rsidRPr="003516DC">
        <w:rPr>
          <w:rFonts w:ascii="Arial" w:hAnsi="Arial" w:cs="Arial"/>
          <w:sz w:val="20"/>
          <w:szCs w:val="20"/>
        </w:rPr>
        <w:t>decline in finance</w:t>
      </w:r>
      <w:r w:rsidR="00337F75" w:rsidRPr="003516DC">
        <w:rPr>
          <w:rFonts w:ascii="Arial" w:hAnsi="Arial" w:cs="Arial"/>
          <w:sz w:val="20"/>
          <w:szCs w:val="20"/>
        </w:rPr>
        <w:t xml:space="preserve"> is mainly attributable to bank mergers </w:t>
      </w:r>
      <w:r w:rsidR="00381BF9" w:rsidRPr="003516DC">
        <w:rPr>
          <w:rFonts w:ascii="Arial" w:hAnsi="Arial" w:cs="Arial"/>
          <w:sz w:val="20"/>
          <w:szCs w:val="20"/>
        </w:rPr>
        <w:t xml:space="preserve">that </w:t>
      </w:r>
      <w:r w:rsidR="00337F75" w:rsidRPr="003516DC">
        <w:rPr>
          <w:rFonts w:ascii="Arial" w:hAnsi="Arial" w:cs="Arial"/>
          <w:sz w:val="20"/>
          <w:szCs w:val="20"/>
        </w:rPr>
        <w:t>mov</w:t>
      </w:r>
      <w:r w:rsidR="00381BF9" w:rsidRPr="003516DC">
        <w:rPr>
          <w:rFonts w:ascii="Arial" w:hAnsi="Arial" w:cs="Arial"/>
          <w:sz w:val="20"/>
          <w:szCs w:val="20"/>
        </w:rPr>
        <w:t>ed</w:t>
      </w:r>
      <w:r w:rsidR="00337F75" w:rsidRPr="003516DC">
        <w:rPr>
          <w:rFonts w:ascii="Arial" w:hAnsi="Arial" w:cs="Arial"/>
          <w:sz w:val="20"/>
          <w:szCs w:val="20"/>
        </w:rPr>
        <w:t xml:space="preserve"> </w:t>
      </w:r>
      <w:r w:rsidR="00381BF9" w:rsidRPr="003516DC">
        <w:rPr>
          <w:rFonts w:ascii="Arial" w:hAnsi="Arial" w:cs="Arial"/>
          <w:sz w:val="20"/>
          <w:szCs w:val="20"/>
        </w:rPr>
        <w:t xml:space="preserve">the </w:t>
      </w:r>
      <w:r w:rsidR="00337F75" w:rsidRPr="003516DC">
        <w:rPr>
          <w:rFonts w:ascii="Arial" w:hAnsi="Arial" w:cs="Arial"/>
          <w:sz w:val="20"/>
          <w:szCs w:val="20"/>
        </w:rPr>
        <w:t>regist</w:t>
      </w:r>
      <w:r w:rsidR="00381BF9" w:rsidRPr="003516DC">
        <w:rPr>
          <w:rFonts w:ascii="Arial" w:hAnsi="Arial" w:cs="Arial"/>
          <w:sz w:val="20"/>
          <w:szCs w:val="20"/>
        </w:rPr>
        <w:t>ered</w:t>
      </w:r>
      <w:r w:rsidR="00337F75" w:rsidRPr="003516DC">
        <w:rPr>
          <w:rFonts w:ascii="Arial" w:hAnsi="Arial" w:cs="Arial"/>
          <w:sz w:val="20"/>
          <w:szCs w:val="20"/>
        </w:rPr>
        <w:t xml:space="preserve"> headquarters from Târgu-Mureș to Bucharest. </w:t>
      </w:r>
    </w:p>
    <w:p w14:paraId="4A15F613" w14:textId="2C6D6C0F" w:rsidR="00B25A26" w:rsidRPr="003516DC" w:rsidRDefault="00337F75" w:rsidP="00BE7F81">
      <w:pPr>
        <w:spacing w:after="120"/>
        <w:jc w:val="both"/>
        <w:rPr>
          <w:rFonts w:ascii="Arial" w:hAnsi="Arial" w:cs="Arial"/>
          <w:sz w:val="20"/>
          <w:szCs w:val="20"/>
        </w:rPr>
      </w:pPr>
      <w:r w:rsidRPr="003516DC">
        <w:rPr>
          <w:rFonts w:ascii="Arial" w:hAnsi="Arial" w:cs="Arial"/>
          <w:sz w:val="20"/>
          <w:szCs w:val="20"/>
        </w:rPr>
        <w:t xml:space="preserve">A look at the services sector illustrates employment increases in several fields. </w:t>
      </w:r>
    </w:p>
    <w:p w14:paraId="1B05D2DA" w14:textId="7E64C872" w:rsidR="00337F75" w:rsidRPr="00BE7F81" w:rsidRDefault="00337F75" w:rsidP="00E42342">
      <w:pPr>
        <w:pStyle w:val="ListParagraph"/>
        <w:numPr>
          <w:ilvl w:val="0"/>
          <w:numId w:val="116"/>
        </w:numPr>
        <w:spacing w:after="120" w:line="240" w:lineRule="auto"/>
        <w:ind w:left="360"/>
        <w:contextualSpacing w:val="0"/>
        <w:jc w:val="both"/>
        <w:rPr>
          <w:sz w:val="20"/>
          <w:szCs w:val="20"/>
        </w:rPr>
      </w:pPr>
      <w:r w:rsidRPr="003516DC">
        <w:rPr>
          <w:sz w:val="20"/>
          <w:szCs w:val="20"/>
        </w:rPr>
        <w:t xml:space="preserve">Wholesale and retail trade employment grew by 17.6% </w:t>
      </w:r>
      <w:r w:rsidR="00B71E47" w:rsidRPr="003516DC">
        <w:rPr>
          <w:sz w:val="20"/>
          <w:szCs w:val="20"/>
        </w:rPr>
        <w:t>(</w:t>
      </w:r>
      <w:r w:rsidRPr="003516DC">
        <w:rPr>
          <w:sz w:val="20"/>
          <w:szCs w:val="20"/>
        </w:rPr>
        <w:t xml:space="preserve">double the national level of 8.5%). This sector is expected to continue to grow </w:t>
      </w:r>
      <w:r w:rsidR="00024FE3" w:rsidRPr="003516DC">
        <w:rPr>
          <w:sz w:val="20"/>
          <w:szCs w:val="20"/>
        </w:rPr>
        <w:t xml:space="preserve">with the </w:t>
      </w:r>
      <w:r w:rsidRPr="003516DC">
        <w:rPr>
          <w:sz w:val="20"/>
          <w:szCs w:val="20"/>
        </w:rPr>
        <w:t xml:space="preserve">expected completion of the Transylvania highway </w:t>
      </w:r>
      <w:r w:rsidR="00FE196E" w:rsidRPr="003516DC">
        <w:rPr>
          <w:sz w:val="20"/>
          <w:szCs w:val="20"/>
        </w:rPr>
        <w:t>and</w:t>
      </w:r>
      <w:r w:rsidRPr="003516DC">
        <w:rPr>
          <w:sz w:val="20"/>
          <w:szCs w:val="20"/>
        </w:rPr>
        <w:t xml:space="preserve"> the planned highway to </w:t>
      </w:r>
      <w:r w:rsidR="00FE196E" w:rsidRPr="003516DC">
        <w:rPr>
          <w:sz w:val="20"/>
          <w:szCs w:val="20"/>
        </w:rPr>
        <w:t xml:space="preserve">link </w:t>
      </w:r>
      <w:r w:rsidRPr="003516DC">
        <w:rPr>
          <w:sz w:val="20"/>
          <w:szCs w:val="20"/>
        </w:rPr>
        <w:t xml:space="preserve">Eastern Romania, which will increase the connectedness of Targu-Mureș as </w:t>
      </w:r>
      <w:r w:rsidR="00A35C21" w:rsidRPr="003516DC">
        <w:rPr>
          <w:sz w:val="20"/>
          <w:szCs w:val="20"/>
        </w:rPr>
        <w:t xml:space="preserve">a </w:t>
      </w:r>
      <w:r w:rsidRPr="003516DC">
        <w:rPr>
          <w:sz w:val="20"/>
          <w:szCs w:val="20"/>
        </w:rPr>
        <w:t xml:space="preserve">key highway node. This has been presented </w:t>
      </w:r>
      <w:r w:rsidR="00A35C21" w:rsidRPr="003516DC">
        <w:rPr>
          <w:sz w:val="20"/>
          <w:szCs w:val="20"/>
        </w:rPr>
        <w:t xml:space="preserve">in consultations </w:t>
      </w:r>
      <w:r w:rsidRPr="003516DC">
        <w:rPr>
          <w:sz w:val="20"/>
          <w:szCs w:val="20"/>
        </w:rPr>
        <w:t>as an opportunity to further capitali</w:t>
      </w:r>
      <w:r w:rsidR="00A35C21" w:rsidRPr="003516DC">
        <w:rPr>
          <w:sz w:val="20"/>
          <w:szCs w:val="20"/>
        </w:rPr>
        <w:t>s</w:t>
      </w:r>
      <w:r w:rsidRPr="003516DC">
        <w:rPr>
          <w:sz w:val="20"/>
          <w:szCs w:val="20"/>
        </w:rPr>
        <w:t xml:space="preserve">e on by planning public investments in improved logistics facilities and transit/mobility connections around the county seat city. </w:t>
      </w:r>
    </w:p>
    <w:p w14:paraId="32190899" w14:textId="171A6125" w:rsidR="00337F75" w:rsidRPr="00BE7F81" w:rsidRDefault="00337F75" w:rsidP="00E42342">
      <w:pPr>
        <w:pStyle w:val="ListParagraph"/>
        <w:numPr>
          <w:ilvl w:val="0"/>
          <w:numId w:val="116"/>
        </w:numPr>
        <w:spacing w:after="120" w:line="240" w:lineRule="auto"/>
        <w:ind w:left="360"/>
        <w:contextualSpacing w:val="0"/>
        <w:jc w:val="both"/>
        <w:rPr>
          <w:sz w:val="20"/>
          <w:szCs w:val="20"/>
        </w:rPr>
      </w:pPr>
      <w:r w:rsidRPr="003516DC">
        <w:rPr>
          <w:sz w:val="20"/>
          <w:szCs w:val="20"/>
        </w:rPr>
        <w:t xml:space="preserve">Service sectors </w:t>
      </w:r>
      <w:r w:rsidR="00B501C2" w:rsidRPr="003516DC">
        <w:rPr>
          <w:sz w:val="20"/>
          <w:szCs w:val="20"/>
        </w:rPr>
        <w:t xml:space="preserve">that </w:t>
      </w:r>
      <w:r w:rsidRPr="003516DC">
        <w:rPr>
          <w:sz w:val="20"/>
          <w:szCs w:val="20"/>
        </w:rPr>
        <w:t xml:space="preserve">doubled </w:t>
      </w:r>
      <w:r w:rsidR="00B501C2" w:rsidRPr="003516DC">
        <w:rPr>
          <w:sz w:val="20"/>
          <w:szCs w:val="20"/>
        </w:rPr>
        <w:t>(or more)</w:t>
      </w:r>
      <w:r w:rsidR="00B501C2" w:rsidRPr="003516DC">
        <w:t xml:space="preserve"> </w:t>
      </w:r>
      <w:r w:rsidRPr="003516DC">
        <w:rPr>
          <w:sz w:val="20"/>
          <w:szCs w:val="20"/>
        </w:rPr>
        <w:t xml:space="preserve">in employment </w:t>
      </w:r>
      <w:r w:rsidR="002E69AC" w:rsidRPr="003516DC">
        <w:rPr>
          <w:sz w:val="20"/>
          <w:szCs w:val="20"/>
        </w:rPr>
        <w:t xml:space="preserve">include </w:t>
      </w:r>
      <w:r w:rsidRPr="003516DC">
        <w:rPr>
          <w:sz w:val="20"/>
          <w:szCs w:val="20"/>
        </w:rPr>
        <w:t>ITC, real estate and administrative and support services.</w:t>
      </w:r>
    </w:p>
    <w:p w14:paraId="0C10B81F" w14:textId="177C1299" w:rsidR="00337F75" w:rsidRPr="00BE7F81" w:rsidRDefault="00337F75" w:rsidP="00E42342">
      <w:pPr>
        <w:pStyle w:val="ListParagraph"/>
        <w:numPr>
          <w:ilvl w:val="0"/>
          <w:numId w:val="116"/>
        </w:numPr>
        <w:spacing w:after="120" w:line="240" w:lineRule="auto"/>
        <w:ind w:left="360"/>
        <w:contextualSpacing w:val="0"/>
        <w:jc w:val="both"/>
        <w:rPr>
          <w:sz w:val="20"/>
          <w:szCs w:val="20"/>
        </w:rPr>
      </w:pPr>
      <w:r w:rsidRPr="003516DC">
        <w:rPr>
          <w:sz w:val="20"/>
          <w:szCs w:val="20"/>
        </w:rPr>
        <w:t>Human health and social work employment grew by 12.6% (approx</w:t>
      </w:r>
      <w:r w:rsidR="008618AD" w:rsidRPr="003516DC">
        <w:rPr>
          <w:sz w:val="20"/>
          <w:szCs w:val="20"/>
        </w:rPr>
        <w:t>imately</w:t>
      </w:r>
      <w:r w:rsidRPr="003516DC">
        <w:rPr>
          <w:sz w:val="20"/>
          <w:szCs w:val="20"/>
        </w:rPr>
        <w:t xml:space="preserve"> 1</w:t>
      </w:r>
      <w:r w:rsidR="008618AD" w:rsidRPr="003516DC">
        <w:rPr>
          <w:sz w:val="20"/>
          <w:szCs w:val="20"/>
        </w:rPr>
        <w:t>,</w:t>
      </w:r>
      <w:r w:rsidRPr="003516DC">
        <w:rPr>
          <w:sz w:val="20"/>
          <w:szCs w:val="20"/>
        </w:rPr>
        <w:t>6</w:t>
      </w:r>
      <w:r w:rsidR="008618AD" w:rsidRPr="003516DC">
        <w:rPr>
          <w:sz w:val="20"/>
          <w:szCs w:val="20"/>
        </w:rPr>
        <w:t>00</w:t>
      </w:r>
      <w:r w:rsidRPr="003516DC">
        <w:rPr>
          <w:sz w:val="20"/>
          <w:szCs w:val="20"/>
        </w:rPr>
        <w:t xml:space="preserve"> jobs), </w:t>
      </w:r>
      <w:r w:rsidR="00664C68" w:rsidRPr="003516DC">
        <w:rPr>
          <w:sz w:val="20"/>
          <w:szCs w:val="20"/>
        </w:rPr>
        <w:t xml:space="preserve">which is </w:t>
      </w:r>
      <w:r w:rsidRPr="003516DC">
        <w:rPr>
          <w:sz w:val="20"/>
          <w:szCs w:val="20"/>
        </w:rPr>
        <w:t xml:space="preserve">above the national average of 9.2%. This </w:t>
      </w:r>
      <w:r w:rsidR="00C26C05" w:rsidRPr="003516DC">
        <w:rPr>
          <w:sz w:val="20"/>
          <w:szCs w:val="20"/>
        </w:rPr>
        <w:t>reflects</w:t>
      </w:r>
      <w:r w:rsidRPr="003516DC">
        <w:rPr>
          <w:sz w:val="20"/>
          <w:szCs w:val="20"/>
        </w:rPr>
        <w:t xml:space="preserve"> a distinctive feature of Mureș</w:t>
      </w:r>
      <w:r w:rsidR="00536AB4" w:rsidRPr="003516DC">
        <w:rPr>
          <w:sz w:val="20"/>
          <w:szCs w:val="20"/>
        </w:rPr>
        <w:t>,</w:t>
      </w:r>
      <w:r w:rsidRPr="003516DC">
        <w:rPr>
          <w:sz w:val="20"/>
          <w:szCs w:val="20"/>
        </w:rPr>
        <w:t xml:space="preserve"> </w:t>
      </w:r>
      <w:r w:rsidR="00514ACD" w:rsidRPr="003516DC">
        <w:rPr>
          <w:sz w:val="20"/>
          <w:szCs w:val="20"/>
        </w:rPr>
        <w:t xml:space="preserve">well reputed </w:t>
      </w:r>
      <w:r w:rsidRPr="003516DC">
        <w:rPr>
          <w:sz w:val="20"/>
          <w:szCs w:val="20"/>
        </w:rPr>
        <w:t xml:space="preserve">higher education in the field of medical and pharmaceutical studies. Târgu Mureș features </w:t>
      </w:r>
      <w:r w:rsidR="00BD068B">
        <w:rPr>
          <w:sz w:val="20"/>
          <w:szCs w:val="20"/>
        </w:rPr>
        <w:t>two</w:t>
      </w:r>
      <w:r w:rsidR="00BD068B">
        <w:rPr>
          <w:rStyle w:val="FootnoteReference"/>
          <w:sz w:val="20"/>
          <w:szCs w:val="20"/>
        </w:rPr>
        <w:footnoteReference w:id="125"/>
      </w:r>
      <w:r w:rsidR="00BD068B" w:rsidRPr="008E0CEB">
        <w:rPr>
          <w:sz w:val="20"/>
          <w:szCs w:val="20"/>
        </w:rPr>
        <w:t xml:space="preserve"> </w:t>
      </w:r>
      <w:r w:rsidRPr="003516DC">
        <w:rPr>
          <w:sz w:val="20"/>
          <w:szCs w:val="20"/>
        </w:rPr>
        <w:t xml:space="preserve"> public and </w:t>
      </w:r>
      <w:r w:rsidR="006B3EF6" w:rsidRPr="003516DC">
        <w:rPr>
          <w:sz w:val="20"/>
          <w:szCs w:val="20"/>
        </w:rPr>
        <w:t>seven</w:t>
      </w:r>
      <w:r w:rsidRPr="003516DC">
        <w:rPr>
          <w:sz w:val="20"/>
          <w:szCs w:val="20"/>
        </w:rPr>
        <w:t xml:space="preserve"> private hospitals</w:t>
      </w:r>
      <w:r w:rsidRPr="003516DC">
        <w:rPr>
          <w:vertAlign w:val="superscript"/>
        </w:rPr>
        <w:footnoteReference w:id="126"/>
      </w:r>
      <w:r w:rsidRPr="003516DC">
        <w:rPr>
          <w:sz w:val="20"/>
          <w:szCs w:val="20"/>
        </w:rPr>
        <w:t>, compar</w:t>
      </w:r>
      <w:r w:rsidR="00675851" w:rsidRPr="003516DC">
        <w:rPr>
          <w:sz w:val="20"/>
          <w:szCs w:val="20"/>
        </w:rPr>
        <w:t>able</w:t>
      </w:r>
      <w:r w:rsidRPr="003516DC">
        <w:rPr>
          <w:sz w:val="20"/>
          <w:szCs w:val="20"/>
        </w:rPr>
        <w:t xml:space="preserve"> with Ploiești (county seat of Prahova), a city with a much higher population. </w:t>
      </w:r>
    </w:p>
    <w:p w14:paraId="0AB7B4D6" w14:textId="51C25027" w:rsidR="00C66559" w:rsidRPr="00BE7F81" w:rsidRDefault="00C80C6C" w:rsidP="00E42342">
      <w:pPr>
        <w:pStyle w:val="ListParagraph"/>
        <w:numPr>
          <w:ilvl w:val="0"/>
          <w:numId w:val="116"/>
        </w:numPr>
        <w:spacing w:after="120" w:line="240" w:lineRule="auto"/>
        <w:ind w:left="360"/>
        <w:contextualSpacing w:val="0"/>
        <w:jc w:val="both"/>
        <w:rPr>
          <w:sz w:val="20"/>
          <w:szCs w:val="20"/>
        </w:rPr>
      </w:pPr>
      <w:r w:rsidRPr="003516DC">
        <w:rPr>
          <w:sz w:val="20"/>
          <w:szCs w:val="20"/>
        </w:rPr>
        <w:t xml:space="preserve">The </w:t>
      </w:r>
      <w:r w:rsidR="00C66559" w:rsidRPr="003516DC">
        <w:rPr>
          <w:sz w:val="20"/>
          <w:szCs w:val="20"/>
        </w:rPr>
        <w:t xml:space="preserve">National Registry of Commerce data show </w:t>
      </w:r>
      <w:r w:rsidR="00824982" w:rsidRPr="003516DC">
        <w:rPr>
          <w:sz w:val="20"/>
          <w:szCs w:val="20"/>
        </w:rPr>
        <w:t>that</w:t>
      </w:r>
      <w:r w:rsidR="00C66559" w:rsidRPr="003516DC">
        <w:rPr>
          <w:sz w:val="20"/>
          <w:szCs w:val="20"/>
        </w:rPr>
        <w:t xml:space="preserve"> manufacturing turnover </w:t>
      </w:r>
      <w:r w:rsidR="00824982" w:rsidRPr="003516DC">
        <w:rPr>
          <w:sz w:val="20"/>
          <w:szCs w:val="20"/>
        </w:rPr>
        <w:t xml:space="preserve">doubled from </w:t>
      </w:r>
      <w:r w:rsidR="00C66559" w:rsidRPr="003516DC">
        <w:rPr>
          <w:sz w:val="20"/>
          <w:szCs w:val="20"/>
        </w:rPr>
        <w:t>2010</w:t>
      </w:r>
      <w:r w:rsidR="00824982" w:rsidRPr="003516DC">
        <w:rPr>
          <w:sz w:val="20"/>
          <w:szCs w:val="20"/>
        </w:rPr>
        <w:t xml:space="preserve"> to </w:t>
      </w:r>
      <w:r w:rsidR="00C66559" w:rsidRPr="003516DC">
        <w:rPr>
          <w:sz w:val="20"/>
          <w:szCs w:val="20"/>
        </w:rPr>
        <w:t xml:space="preserve">2019, despite </w:t>
      </w:r>
      <w:r w:rsidR="000D6235" w:rsidRPr="003516DC">
        <w:rPr>
          <w:sz w:val="20"/>
          <w:szCs w:val="20"/>
        </w:rPr>
        <w:t xml:space="preserve">an </w:t>
      </w:r>
      <w:r w:rsidR="00C66559" w:rsidRPr="003516DC">
        <w:rPr>
          <w:sz w:val="20"/>
          <w:szCs w:val="20"/>
        </w:rPr>
        <w:t xml:space="preserve">overall decrease in manufacturing employment </w:t>
      </w:r>
      <w:r w:rsidR="000D6235" w:rsidRPr="003516DC">
        <w:rPr>
          <w:sz w:val="20"/>
          <w:szCs w:val="20"/>
        </w:rPr>
        <w:t>of</w:t>
      </w:r>
      <w:r w:rsidR="00C66559" w:rsidRPr="003516DC">
        <w:rPr>
          <w:sz w:val="20"/>
          <w:szCs w:val="20"/>
        </w:rPr>
        <w:t xml:space="preserve"> 2.8% during 2008-2019</w:t>
      </w:r>
      <w:r w:rsidR="00C328CD" w:rsidRPr="003516DC">
        <w:rPr>
          <w:rStyle w:val="FootnoteReference"/>
          <w:sz w:val="20"/>
          <w:szCs w:val="20"/>
        </w:rPr>
        <w:footnoteReference w:id="127"/>
      </w:r>
      <w:r w:rsidR="00C66559" w:rsidRPr="003516DC">
        <w:rPr>
          <w:sz w:val="20"/>
          <w:szCs w:val="20"/>
        </w:rPr>
        <w:t xml:space="preserve"> . Mureș registered the lowest employment decrease in manufacturing of all JTP counties.</w:t>
      </w:r>
    </w:p>
    <w:p w14:paraId="3932815E" w14:textId="5373D70A" w:rsidR="00826AB0" w:rsidRPr="00BE7F81" w:rsidRDefault="00826AB0" w:rsidP="00E42342">
      <w:pPr>
        <w:pStyle w:val="ListParagraph"/>
        <w:numPr>
          <w:ilvl w:val="0"/>
          <w:numId w:val="116"/>
        </w:numPr>
        <w:spacing w:after="120" w:line="240" w:lineRule="auto"/>
        <w:ind w:left="360"/>
        <w:contextualSpacing w:val="0"/>
        <w:jc w:val="both"/>
        <w:rPr>
          <w:sz w:val="20"/>
          <w:szCs w:val="20"/>
        </w:rPr>
      </w:pPr>
      <w:r w:rsidRPr="003516DC">
        <w:rPr>
          <w:sz w:val="20"/>
          <w:szCs w:val="20"/>
        </w:rPr>
        <w:t xml:space="preserve">The highest manufacturing turnover registered in Mureș comes from the chemical industry (21% of manufacturing turnover), followed by food and drinks. The chemical industry grew 50% in turnover but lost almost half of its employees over the past decade, </w:t>
      </w:r>
      <w:r w:rsidR="0060152F" w:rsidRPr="003516DC">
        <w:rPr>
          <w:sz w:val="20"/>
          <w:szCs w:val="20"/>
        </w:rPr>
        <w:t xml:space="preserve">falling </w:t>
      </w:r>
      <w:r w:rsidRPr="003516DC">
        <w:rPr>
          <w:sz w:val="20"/>
          <w:szCs w:val="20"/>
        </w:rPr>
        <w:t xml:space="preserve">to 1,828 </w:t>
      </w:r>
      <w:r w:rsidR="00791E0F" w:rsidRPr="003516DC">
        <w:rPr>
          <w:sz w:val="20"/>
          <w:szCs w:val="20"/>
        </w:rPr>
        <w:t xml:space="preserve">employees </w:t>
      </w:r>
      <w:r w:rsidRPr="003516DC">
        <w:rPr>
          <w:sz w:val="20"/>
          <w:szCs w:val="20"/>
        </w:rPr>
        <w:t xml:space="preserve">in </w:t>
      </w:r>
      <w:r w:rsidRPr="003516DC">
        <w:rPr>
          <w:sz w:val="20"/>
          <w:szCs w:val="20"/>
        </w:rPr>
        <w:lastRenderedPageBreak/>
        <w:t>2019. The dominant company in this sector is</w:t>
      </w:r>
      <w:r w:rsidR="00557CCE" w:rsidRPr="003516DC">
        <w:rPr>
          <w:sz w:val="20"/>
          <w:szCs w:val="20"/>
        </w:rPr>
        <w:t xml:space="preserve"> </w:t>
      </w:r>
      <w:r w:rsidRPr="003516DC">
        <w:rPr>
          <w:sz w:val="20"/>
          <w:szCs w:val="20"/>
        </w:rPr>
        <w:t>Azo</w:t>
      </w:r>
      <w:r w:rsidR="006C793F" w:rsidRPr="003516DC">
        <w:rPr>
          <w:sz w:val="20"/>
          <w:szCs w:val="20"/>
        </w:rPr>
        <w:t>Mureș</w:t>
      </w:r>
      <w:r w:rsidRPr="003516DC">
        <w:rPr>
          <w:sz w:val="20"/>
          <w:szCs w:val="20"/>
        </w:rPr>
        <w:t xml:space="preserve"> SA (it generates 79% of turnover and hires 61% of employees in this field). However, there are other players producing other ranges of chemical products such as paints and oils, polyurethane foam, cleaning products and cosmetics</w:t>
      </w:r>
      <w:r w:rsidR="00557CCE" w:rsidRPr="003516DC">
        <w:rPr>
          <w:sz w:val="20"/>
          <w:szCs w:val="20"/>
        </w:rPr>
        <w:t>.</w:t>
      </w:r>
      <w:r w:rsidRPr="003516DC">
        <w:rPr>
          <w:sz w:val="20"/>
          <w:szCs w:val="20"/>
        </w:rPr>
        <w:t xml:space="preserve"> </w:t>
      </w:r>
      <w:r w:rsidR="00557CCE" w:rsidRPr="003516DC">
        <w:rPr>
          <w:sz w:val="20"/>
          <w:szCs w:val="20"/>
        </w:rPr>
        <w:t>O</w:t>
      </w:r>
      <w:r w:rsidRPr="003516DC">
        <w:rPr>
          <w:sz w:val="20"/>
          <w:szCs w:val="20"/>
        </w:rPr>
        <w:t>f these</w:t>
      </w:r>
      <w:r w:rsidR="00557CCE" w:rsidRPr="003516DC">
        <w:rPr>
          <w:sz w:val="20"/>
          <w:szCs w:val="20"/>
        </w:rPr>
        <w:t>,</w:t>
      </w:r>
      <w:r w:rsidRPr="003516DC">
        <w:rPr>
          <w:sz w:val="20"/>
          <w:szCs w:val="20"/>
        </w:rPr>
        <w:t xml:space="preserve"> Daw Bența and Vitafoam are the most significant in terms of employees (</w:t>
      </w:r>
      <w:r w:rsidR="0061269E" w:rsidRPr="003516DC">
        <w:rPr>
          <w:sz w:val="20"/>
          <w:szCs w:val="20"/>
        </w:rPr>
        <w:t xml:space="preserve">both with more than </w:t>
      </w:r>
      <w:r w:rsidRPr="003516DC">
        <w:rPr>
          <w:sz w:val="20"/>
          <w:szCs w:val="20"/>
        </w:rPr>
        <w:t xml:space="preserve">500 </w:t>
      </w:r>
      <w:r w:rsidR="0061269E" w:rsidRPr="003516DC">
        <w:rPr>
          <w:sz w:val="20"/>
          <w:szCs w:val="20"/>
        </w:rPr>
        <w:t>workers</w:t>
      </w:r>
      <w:r w:rsidRPr="003516DC">
        <w:rPr>
          <w:sz w:val="20"/>
          <w:szCs w:val="20"/>
        </w:rPr>
        <w:t>).</w:t>
      </w:r>
    </w:p>
    <w:p w14:paraId="30D1E167" w14:textId="08C15F91" w:rsidR="00826AB0" w:rsidRPr="00BE7F81" w:rsidRDefault="00826AB0" w:rsidP="00E42342">
      <w:pPr>
        <w:pStyle w:val="ListParagraph"/>
        <w:numPr>
          <w:ilvl w:val="0"/>
          <w:numId w:val="116"/>
        </w:numPr>
        <w:spacing w:after="120" w:line="240" w:lineRule="auto"/>
        <w:ind w:left="360"/>
        <w:contextualSpacing w:val="0"/>
        <w:jc w:val="both"/>
        <w:rPr>
          <w:sz w:val="20"/>
          <w:szCs w:val="20"/>
        </w:rPr>
      </w:pPr>
      <w:r w:rsidRPr="003516DC">
        <w:rPr>
          <w:sz w:val="20"/>
          <w:szCs w:val="20"/>
        </w:rPr>
        <w:t xml:space="preserve">Textiles and garments remain the most significant manufacturing employment field, though companies with activity in this field lost 15% of their employees over the past decade. </w:t>
      </w:r>
      <w:r w:rsidR="00A24CAD" w:rsidRPr="003516DC">
        <w:rPr>
          <w:sz w:val="20"/>
          <w:szCs w:val="20"/>
        </w:rPr>
        <w:t>However, t</w:t>
      </w:r>
      <w:r w:rsidRPr="003516DC">
        <w:rPr>
          <w:sz w:val="20"/>
          <w:szCs w:val="20"/>
        </w:rPr>
        <w:t>he turnover of this sector more than doubled (</w:t>
      </w:r>
      <w:r w:rsidR="00F763EA" w:rsidRPr="003516DC">
        <w:rPr>
          <w:sz w:val="20"/>
          <w:szCs w:val="20"/>
        </w:rPr>
        <w:t>+</w:t>
      </w:r>
      <w:r w:rsidRPr="003516DC">
        <w:rPr>
          <w:sz w:val="20"/>
          <w:szCs w:val="20"/>
        </w:rPr>
        <w:t xml:space="preserve">138%), which indicates an improvement in business models and value added. </w:t>
      </w:r>
    </w:p>
    <w:p w14:paraId="4E4501B5" w14:textId="4671C267" w:rsidR="00826AB0" w:rsidRPr="00BE7F81" w:rsidRDefault="00826AB0" w:rsidP="00E42342">
      <w:pPr>
        <w:pStyle w:val="ListParagraph"/>
        <w:numPr>
          <w:ilvl w:val="0"/>
          <w:numId w:val="116"/>
        </w:numPr>
        <w:spacing w:after="120" w:line="240" w:lineRule="auto"/>
        <w:ind w:left="360"/>
        <w:contextualSpacing w:val="0"/>
        <w:jc w:val="both"/>
        <w:rPr>
          <w:sz w:val="20"/>
          <w:szCs w:val="20"/>
        </w:rPr>
      </w:pPr>
      <w:r w:rsidRPr="003516DC">
        <w:rPr>
          <w:sz w:val="20"/>
          <w:szCs w:val="20"/>
        </w:rPr>
        <w:t>An interesting area of potential in Mureș is wood and furniture manufacturing. Wood</w:t>
      </w:r>
      <w:r w:rsidR="00CA2B40" w:rsidRPr="003516DC">
        <w:rPr>
          <w:sz w:val="20"/>
          <w:szCs w:val="20"/>
        </w:rPr>
        <w:t>,</w:t>
      </w:r>
      <w:r w:rsidRPr="003516DC">
        <w:rPr>
          <w:sz w:val="20"/>
          <w:szCs w:val="20"/>
        </w:rPr>
        <w:t xml:space="preserve"> </w:t>
      </w:r>
      <w:r w:rsidR="009C56F0" w:rsidRPr="003516DC">
        <w:rPr>
          <w:sz w:val="20"/>
          <w:szCs w:val="20"/>
        </w:rPr>
        <w:t>wood</w:t>
      </w:r>
      <w:r w:rsidRPr="003516DC">
        <w:rPr>
          <w:sz w:val="20"/>
          <w:szCs w:val="20"/>
        </w:rPr>
        <w:t xml:space="preserve"> products and furniture manufacturing</w:t>
      </w:r>
      <w:r w:rsidR="00CA2B40" w:rsidRPr="003516DC">
        <w:rPr>
          <w:sz w:val="20"/>
          <w:szCs w:val="20"/>
        </w:rPr>
        <w:t xml:space="preserve"> </w:t>
      </w:r>
      <w:r w:rsidRPr="003516DC">
        <w:rPr>
          <w:sz w:val="20"/>
          <w:szCs w:val="20"/>
        </w:rPr>
        <w:t>registered similar turnovers</w:t>
      </w:r>
      <w:r w:rsidR="005D7BA3" w:rsidRPr="003516DC">
        <w:rPr>
          <w:sz w:val="20"/>
          <w:szCs w:val="20"/>
        </w:rPr>
        <w:t xml:space="preserve"> in 2010</w:t>
      </w:r>
      <w:r w:rsidRPr="003516DC">
        <w:rPr>
          <w:sz w:val="20"/>
          <w:szCs w:val="20"/>
        </w:rPr>
        <w:t xml:space="preserve">, </w:t>
      </w:r>
      <w:r w:rsidR="00265741" w:rsidRPr="003516DC">
        <w:rPr>
          <w:sz w:val="20"/>
          <w:szCs w:val="20"/>
        </w:rPr>
        <w:t xml:space="preserve">although </w:t>
      </w:r>
      <w:r w:rsidRPr="003516DC">
        <w:rPr>
          <w:sz w:val="20"/>
          <w:szCs w:val="20"/>
        </w:rPr>
        <w:t xml:space="preserve">furniture manufacturing employed </w:t>
      </w:r>
      <w:r w:rsidR="00265741" w:rsidRPr="003516DC">
        <w:rPr>
          <w:sz w:val="20"/>
          <w:szCs w:val="20"/>
        </w:rPr>
        <w:t xml:space="preserve">roughly twice as many </w:t>
      </w:r>
      <w:r w:rsidRPr="003516DC">
        <w:rPr>
          <w:sz w:val="20"/>
          <w:szCs w:val="20"/>
        </w:rPr>
        <w:t>employees (4</w:t>
      </w:r>
      <w:r w:rsidR="009E0F2B" w:rsidRPr="003516DC">
        <w:rPr>
          <w:sz w:val="20"/>
          <w:szCs w:val="20"/>
        </w:rPr>
        <w:t>,</w:t>
      </w:r>
      <w:r w:rsidRPr="003516DC">
        <w:rPr>
          <w:sz w:val="20"/>
          <w:szCs w:val="20"/>
        </w:rPr>
        <w:t>629 vs 2</w:t>
      </w:r>
      <w:r w:rsidR="009E0F2B" w:rsidRPr="003516DC">
        <w:rPr>
          <w:sz w:val="20"/>
          <w:szCs w:val="20"/>
        </w:rPr>
        <w:t>,</w:t>
      </w:r>
      <w:r w:rsidRPr="003516DC">
        <w:rPr>
          <w:sz w:val="20"/>
          <w:szCs w:val="20"/>
        </w:rPr>
        <w:t>309 people). By 2019, the wood and wood products industry increased</w:t>
      </w:r>
      <w:r w:rsidR="00F574E5" w:rsidRPr="003516DC">
        <w:rPr>
          <w:sz w:val="20"/>
          <w:szCs w:val="20"/>
        </w:rPr>
        <w:t xml:space="preserve"> by</w:t>
      </w:r>
      <w:r w:rsidRPr="003516DC">
        <w:rPr>
          <w:sz w:val="20"/>
          <w:szCs w:val="20"/>
        </w:rPr>
        <w:t xml:space="preserve"> 176%, a significantly faster pace than the furniture industry (77%). Additionally, </w:t>
      </w:r>
      <w:r w:rsidR="00F574E5" w:rsidRPr="003516DC">
        <w:rPr>
          <w:sz w:val="20"/>
          <w:szCs w:val="20"/>
        </w:rPr>
        <w:t>the furniture industry</w:t>
      </w:r>
      <w:r w:rsidRPr="003516DC">
        <w:rPr>
          <w:sz w:val="20"/>
          <w:szCs w:val="20"/>
        </w:rPr>
        <w:t xml:space="preserve"> lost 14% of its employees, while the </w:t>
      </w:r>
      <w:r w:rsidR="00CC51FC" w:rsidRPr="003516DC">
        <w:rPr>
          <w:sz w:val="20"/>
          <w:szCs w:val="20"/>
        </w:rPr>
        <w:t xml:space="preserve">wood industry </w:t>
      </w:r>
      <w:r w:rsidRPr="003516DC">
        <w:rPr>
          <w:sz w:val="20"/>
          <w:szCs w:val="20"/>
        </w:rPr>
        <w:t xml:space="preserve">increased employment by 7%. This </w:t>
      </w:r>
      <w:r w:rsidR="00A75570" w:rsidRPr="003516DC">
        <w:rPr>
          <w:sz w:val="20"/>
          <w:szCs w:val="20"/>
        </w:rPr>
        <w:t xml:space="preserve">illustrates </w:t>
      </w:r>
      <w:r w:rsidRPr="003516DC">
        <w:rPr>
          <w:sz w:val="20"/>
          <w:szCs w:val="20"/>
        </w:rPr>
        <w:t xml:space="preserve">a failed opportunity of Mureș to exploit its rich forest reserves in a way that maximizes value added to local workforce and community. </w:t>
      </w:r>
    </w:p>
    <w:p w14:paraId="56F624C5" w14:textId="0B6AE9EB" w:rsidR="005702CA" w:rsidRPr="003516DC" w:rsidRDefault="00826AB0" w:rsidP="00E42342">
      <w:pPr>
        <w:pStyle w:val="ListParagraph"/>
        <w:numPr>
          <w:ilvl w:val="0"/>
          <w:numId w:val="116"/>
        </w:numPr>
        <w:spacing w:after="120" w:line="240" w:lineRule="auto"/>
        <w:ind w:left="360"/>
        <w:contextualSpacing w:val="0"/>
        <w:jc w:val="both"/>
        <w:rPr>
          <w:sz w:val="20"/>
          <w:szCs w:val="20"/>
        </w:rPr>
      </w:pPr>
      <w:r w:rsidRPr="003516DC">
        <w:rPr>
          <w:sz w:val="20"/>
          <w:szCs w:val="20"/>
        </w:rPr>
        <w:t>Overall, in terms of manufacturing, it is important to highlight that Mureș is less dependent on a narrow list of manufacturing activities compared to other JTP counties. The top three manufacturing activities generate 45% of manufacturing turnover</w:t>
      </w:r>
      <w:r w:rsidR="005266C1" w:rsidRPr="003516DC">
        <w:rPr>
          <w:sz w:val="20"/>
          <w:szCs w:val="20"/>
        </w:rPr>
        <w:t>;</w:t>
      </w:r>
      <w:r w:rsidRPr="003516DC">
        <w:rPr>
          <w:sz w:val="20"/>
          <w:szCs w:val="20"/>
        </w:rPr>
        <w:t xml:space="preserve"> in Dolj and </w:t>
      </w:r>
      <w:r w:rsidR="003751DC">
        <w:rPr>
          <w:sz w:val="20"/>
          <w:szCs w:val="20"/>
        </w:rPr>
        <w:t>Galați</w:t>
      </w:r>
      <w:r w:rsidRPr="003516DC">
        <w:rPr>
          <w:sz w:val="20"/>
          <w:szCs w:val="20"/>
        </w:rPr>
        <w:t xml:space="preserve"> this </w:t>
      </w:r>
      <w:r w:rsidR="00DC1825" w:rsidRPr="003516DC">
        <w:rPr>
          <w:sz w:val="20"/>
          <w:szCs w:val="20"/>
        </w:rPr>
        <w:t xml:space="preserve">indicator </w:t>
      </w:r>
      <w:r w:rsidR="008C126E" w:rsidRPr="003516DC">
        <w:rPr>
          <w:sz w:val="20"/>
          <w:szCs w:val="20"/>
        </w:rPr>
        <w:t>exceeds</w:t>
      </w:r>
      <w:r w:rsidRPr="003516DC">
        <w:rPr>
          <w:sz w:val="20"/>
          <w:szCs w:val="20"/>
        </w:rPr>
        <w:t xml:space="preserve"> 80%.</w:t>
      </w:r>
    </w:p>
    <w:p w14:paraId="2356A194" w14:textId="48BE611C" w:rsidR="005702CA" w:rsidRPr="003516DC" w:rsidRDefault="005702CA" w:rsidP="005702CA">
      <w:pPr>
        <w:pStyle w:val="Caption"/>
      </w:pPr>
      <w:bookmarkStart w:id="284" w:name="_Toc90726016"/>
      <w:bookmarkStart w:id="285" w:name="_Toc90727313"/>
      <w:r w:rsidRPr="003516DC">
        <w:t xml:space="preserve">Table </w:t>
      </w:r>
      <w:r w:rsidR="00481651" w:rsidRPr="003516DC">
        <w:rPr>
          <w:noProof/>
        </w:rPr>
        <w:fldChar w:fldCharType="begin"/>
      </w:r>
      <w:r w:rsidR="00481651" w:rsidRPr="003516DC">
        <w:rPr>
          <w:noProof/>
        </w:rPr>
        <w:instrText xml:space="preserve"> SEQ Table \* ARABIC </w:instrText>
      </w:r>
      <w:r w:rsidR="00481651" w:rsidRPr="003516DC">
        <w:rPr>
          <w:noProof/>
        </w:rPr>
        <w:fldChar w:fldCharType="separate"/>
      </w:r>
      <w:r w:rsidR="004E2DCB">
        <w:rPr>
          <w:noProof/>
        </w:rPr>
        <w:t>62</w:t>
      </w:r>
      <w:r w:rsidR="00481651" w:rsidRPr="003516DC">
        <w:rPr>
          <w:noProof/>
        </w:rPr>
        <w:fldChar w:fldCharType="end"/>
      </w:r>
      <w:r w:rsidRPr="003516DC">
        <w:t xml:space="preserve">: Economic sector trends during 2010-2019: </w:t>
      </w:r>
      <w:r w:rsidRPr="003516DC">
        <w:rPr>
          <w:iCs w:val="0"/>
        </w:rPr>
        <w:t>Mureș</w:t>
      </w:r>
      <w:r w:rsidR="00350AA9" w:rsidRPr="003516DC">
        <w:t xml:space="preserve"> </w:t>
      </w:r>
      <w:r w:rsidR="009F0B40">
        <w:t>C</w:t>
      </w:r>
      <w:r w:rsidRPr="003516DC">
        <w:t>ounty</w:t>
      </w:r>
      <w:bookmarkEnd w:id="284"/>
      <w:bookmarkEnd w:id="285"/>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2689"/>
        <w:gridCol w:w="1412"/>
        <w:gridCol w:w="1639"/>
        <w:gridCol w:w="1532"/>
        <w:gridCol w:w="1657"/>
      </w:tblGrid>
      <w:tr w:rsidR="00486C40" w:rsidRPr="003516DC" w14:paraId="3201A274" w14:textId="77777777" w:rsidTr="003636E1">
        <w:trPr>
          <w:trHeight w:val="495"/>
          <w:tblHeader/>
        </w:trPr>
        <w:tc>
          <w:tcPr>
            <w:tcW w:w="1505" w:type="pct"/>
            <w:shd w:val="clear" w:color="000000" w:fill="002060"/>
            <w:vAlign w:val="center"/>
            <w:hideMark/>
          </w:tcPr>
          <w:p w14:paraId="6E6F6D8A" w14:textId="77777777" w:rsidR="00486C40" w:rsidRPr="003516DC" w:rsidRDefault="00486C40"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Economic sector</w:t>
            </w:r>
          </w:p>
        </w:tc>
        <w:tc>
          <w:tcPr>
            <w:tcW w:w="790" w:type="pct"/>
            <w:shd w:val="clear" w:color="000000" w:fill="002060"/>
            <w:vAlign w:val="center"/>
            <w:hideMark/>
          </w:tcPr>
          <w:p w14:paraId="43CA37C0" w14:textId="77777777" w:rsidR="00486C40" w:rsidRPr="003516DC" w:rsidRDefault="00486C40"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MS County Turnover in 2019</w:t>
            </w:r>
          </w:p>
        </w:tc>
        <w:tc>
          <w:tcPr>
            <w:tcW w:w="918" w:type="pct"/>
            <w:shd w:val="clear" w:color="000000" w:fill="002060"/>
            <w:vAlign w:val="center"/>
            <w:hideMark/>
          </w:tcPr>
          <w:p w14:paraId="3FC99AE4" w14:textId="77777777" w:rsidR="00486C40" w:rsidRPr="003516DC" w:rsidRDefault="00486C40"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turnover 2019-2010</w:t>
            </w:r>
          </w:p>
        </w:tc>
        <w:tc>
          <w:tcPr>
            <w:tcW w:w="858" w:type="pct"/>
            <w:shd w:val="clear" w:color="000000" w:fill="002060"/>
            <w:vAlign w:val="center"/>
            <w:hideMark/>
          </w:tcPr>
          <w:p w14:paraId="3447E403" w14:textId="77777777" w:rsidR="00486C40" w:rsidRPr="003516DC" w:rsidRDefault="00486C40"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MS County Employment in 2019</w:t>
            </w:r>
          </w:p>
        </w:tc>
        <w:tc>
          <w:tcPr>
            <w:tcW w:w="928" w:type="pct"/>
            <w:shd w:val="clear" w:color="000000" w:fill="002060"/>
            <w:vAlign w:val="center"/>
            <w:hideMark/>
          </w:tcPr>
          <w:p w14:paraId="45030FFF" w14:textId="77777777" w:rsidR="00486C40" w:rsidRPr="003516DC" w:rsidRDefault="00486C40"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employment 2019-2010</w:t>
            </w:r>
          </w:p>
        </w:tc>
      </w:tr>
      <w:tr w:rsidR="00486C40" w:rsidRPr="003516DC" w14:paraId="1D289F56" w14:textId="77777777" w:rsidTr="003636E1">
        <w:trPr>
          <w:trHeight w:val="465"/>
          <w:tblHeader/>
        </w:trPr>
        <w:tc>
          <w:tcPr>
            <w:tcW w:w="1505" w:type="pct"/>
            <w:shd w:val="clear" w:color="000000" w:fill="FFFFFF"/>
            <w:noWrap/>
            <w:vAlign w:val="center"/>
            <w:hideMark/>
          </w:tcPr>
          <w:p w14:paraId="03C2026D"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790" w:type="pct"/>
            <w:shd w:val="clear" w:color="auto" w:fill="D9D9D9" w:themeFill="background1" w:themeFillShade="D9"/>
            <w:noWrap/>
            <w:vAlign w:val="center"/>
            <w:hideMark/>
          </w:tcPr>
          <w:p w14:paraId="44E3D19C"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1.96%</w:t>
            </w:r>
          </w:p>
        </w:tc>
        <w:tc>
          <w:tcPr>
            <w:tcW w:w="918" w:type="pct"/>
            <w:shd w:val="clear" w:color="auto" w:fill="D9D9D9" w:themeFill="background1" w:themeFillShade="D9"/>
            <w:vAlign w:val="center"/>
            <w:hideMark/>
          </w:tcPr>
          <w:p w14:paraId="72ED287B"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130.92%</w:t>
            </w:r>
          </w:p>
        </w:tc>
        <w:tc>
          <w:tcPr>
            <w:tcW w:w="858" w:type="pct"/>
            <w:shd w:val="clear" w:color="auto" w:fill="D9D9D9" w:themeFill="background1" w:themeFillShade="D9"/>
            <w:vAlign w:val="center"/>
            <w:hideMark/>
          </w:tcPr>
          <w:p w14:paraId="0F36FC95"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2.86%</w:t>
            </w:r>
          </w:p>
        </w:tc>
        <w:tc>
          <w:tcPr>
            <w:tcW w:w="928" w:type="pct"/>
            <w:shd w:val="clear" w:color="auto" w:fill="D9D9D9" w:themeFill="background1" w:themeFillShade="D9"/>
            <w:vAlign w:val="center"/>
            <w:hideMark/>
          </w:tcPr>
          <w:p w14:paraId="4B84AA6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-52.67%</w:t>
            </w:r>
          </w:p>
        </w:tc>
      </w:tr>
      <w:tr w:rsidR="00486C40" w:rsidRPr="003516DC" w14:paraId="696A3FE2" w14:textId="77777777" w:rsidTr="003636E1">
        <w:trPr>
          <w:trHeight w:val="495"/>
          <w:tblHeader/>
        </w:trPr>
        <w:tc>
          <w:tcPr>
            <w:tcW w:w="1505" w:type="pct"/>
            <w:shd w:val="clear" w:color="000000" w:fill="FFFFFF"/>
            <w:vAlign w:val="center"/>
            <w:hideMark/>
          </w:tcPr>
          <w:p w14:paraId="3A757345"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Mining Energy production &amp;Distribution</w:t>
            </w:r>
          </w:p>
        </w:tc>
        <w:tc>
          <w:tcPr>
            <w:tcW w:w="790" w:type="pct"/>
            <w:shd w:val="clear" w:color="auto" w:fill="C2D69B" w:themeFill="accent3" w:themeFillTint="99"/>
            <w:noWrap/>
            <w:vAlign w:val="center"/>
            <w:hideMark/>
          </w:tcPr>
          <w:p w14:paraId="46D3ED6A"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22.18%</w:t>
            </w:r>
          </w:p>
        </w:tc>
        <w:tc>
          <w:tcPr>
            <w:tcW w:w="918" w:type="pct"/>
            <w:shd w:val="clear" w:color="auto" w:fill="C2D69B" w:themeFill="accent3" w:themeFillTint="99"/>
            <w:vAlign w:val="center"/>
            <w:hideMark/>
          </w:tcPr>
          <w:p w14:paraId="4B47E30F"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106.12%</w:t>
            </w:r>
          </w:p>
        </w:tc>
        <w:tc>
          <w:tcPr>
            <w:tcW w:w="858" w:type="pct"/>
            <w:shd w:val="clear" w:color="auto" w:fill="C2D69B" w:themeFill="accent3" w:themeFillTint="99"/>
            <w:vAlign w:val="center"/>
            <w:hideMark/>
          </w:tcPr>
          <w:p w14:paraId="1FDE9157"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7.95%</w:t>
            </w:r>
          </w:p>
        </w:tc>
        <w:tc>
          <w:tcPr>
            <w:tcW w:w="928" w:type="pct"/>
            <w:shd w:val="clear" w:color="auto" w:fill="C2D69B" w:themeFill="accent3" w:themeFillTint="99"/>
            <w:vAlign w:val="center"/>
            <w:hideMark/>
          </w:tcPr>
          <w:p w14:paraId="387A76BF"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2.92%</w:t>
            </w:r>
          </w:p>
        </w:tc>
      </w:tr>
      <w:tr w:rsidR="00486C40" w:rsidRPr="003516DC" w14:paraId="68A19546" w14:textId="77777777" w:rsidTr="003636E1">
        <w:trPr>
          <w:trHeight w:val="465"/>
          <w:tblHeader/>
        </w:trPr>
        <w:tc>
          <w:tcPr>
            <w:tcW w:w="1505" w:type="pct"/>
            <w:shd w:val="clear" w:color="000000" w:fill="FFFFFF"/>
            <w:noWrap/>
            <w:vAlign w:val="center"/>
            <w:hideMark/>
          </w:tcPr>
          <w:p w14:paraId="2C21A848"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790" w:type="pct"/>
            <w:shd w:val="clear" w:color="auto" w:fill="D9D9D9" w:themeFill="background1" w:themeFillShade="D9"/>
            <w:noWrap/>
            <w:vAlign w:val="center"/>
            <w:hideMark/>
          </w:tcPr>
          <w:p w14:paraId="22418A34"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28.00%</w:t>
            </w:r>
          </w:p>
        </w:tc>
        <w:tc>
          <w:tcPr>
            <w:tcW w:w="918" w:type="pct"/>
            <w:shd w:val="clear" w:color="auto" w:fill="D9D9D9" w:themeFill="background1" w:themeFillShade="D9"/>
            <w:vAlign w:val="center"/>
            <w:hideMark/>
          </w:tcPr>
          <w:p w14:paraId="475FC1A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93.54%</w:t>
            </w:r>
          </w:p>
        </w:tc>
        <w:tc>
          <w:tcPr>
            <w:tcW w:w="858" w:type="pct"/>
            <w:shd w:val="clear" w:color="auto" w:fill="D9D9D9" w:themeFill="background1" w:themeFillShade="D9"/>
            <w:vAlign w:val="center"/>
            <w:hideMark/>
          </w:tcPr>
          <w:p w14:paraId="3F944E66"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32.64%</w:t>
            </w:r>
          </w:p>
        </w:tc>
        <w:tc>
          <w:tcPr>
            <w:tcW w:w="928" w:type="pct"/>
            <w:shd w:val="clear" w:color="auto" w:fill="D9D9D9" w:themeFill="background1" w:themeFillShade="D9"/>
            <w:vAlign w:val="center"/>
            <w:hideMark/>
          </w:tcPr>
          <w:p w14:paraId="3790842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-6.64%</w:t>
            </w:r>
          </w:p>
        </w:tc>
      </w:tr>
      <w:tr w:rsidR="00486C40" w:rsidRPr="003516DC" w14:paraId="74D223CD" w14:textId="77777777" w:rsidTr="003636E1">
        <w:trPr>
          <w:trHeight w:val="465"/>
          <w:tblHeader/>
        </w:trPr>
        <w:tc>
          <w:tcPr>
            <w:tcW w:w="1505" w:type="pct"/>
            <w:shd w:val="clear" w:color="000000" w:fill="FFFFFF"/>
            <w:noWrap/>
            <w:vAlign w:val="center"/>
            <w:hideMark/>
          </w:tcPr>
          <w:p w14:paraId="19E87E7E"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790" w:type="pct"/>
            <w:shd w:val="clear" w:color="auto" w:fill="D9D9D9" w:themeFill="background1" w:themeFillShade="D9"/>
            <w:noWrap/>
            <w:vAlign w:val="center"/>
            <w:hideMark/>
          </w:tcPr>
          <w:p w14:paraId="0749560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5.70%</w:t>
            </w:r>
          </w:p>
        </w:tc>
        <w:tc>
          <w:tcPr>
            <w:tcW w:w="918" w:type="pct"/>
            <w:shd w:val="clear" w:color="auto" w:fill="D9D9D9" w:themeFill="background1" w:themeFillShade="D9"/>
            <w:vAlign w:val="center"/>
            <w:hideMark/>
          </w:tcPr>
          <w:p w14:paraId="237540FA"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82.10%</w:t>
            </w:r>
          </w:p>
        </w:tc>
        <w:tc>
          <w:tcPr>
            <w:tcW w:w="858" w:type="pct"/>
            <w:shd w:val="clear" w:color="auto" w:fill="D9D9D9" w:themeFill="background1" w:themeFillShade="D9"/>
            <w:vAlign w:val="center"/>
            <w:hideMark/>
          </w:tcPr>
          <w:p w14:paraId="644A7DC7"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8.75%</w:t>
            </w:r>
          </w:p>
        </w:tc>
        <w:tc>
          <w:tcPr>
            <w:tcW w:w="928" w:type="pct"/>
            <w:shd w:val="clear" w:color="auto" w:fill="D9D9D9" w:themeFill="background1" w:themeFillShade="D9"/>
            <w:vAlign w:val="center"/>
            <w:hideMark/>
          </w:tcPr>
          <w:p w14:paraId="18C815A9"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-6.48%</w:t>
            </w:r>
          </w:p>
        </w:tc>
      </w:tr>
      <w:tr w:rsidR="00486C40" w:rsidRPr="003516DC" w14:paraId="325450EB" w14:textId="77777777" w:rsidTr="003636E1">
        <w:trPr>
          <w:trHeight w:val="465"/>
          <w:tblHeader/>
        </w:trPr>
        <w:tc>
          <w:tcPr>
            <w:tcW w:w="1505" w:type="pct"/>
            <w:shd w:val="clear" w:color="000000" w:fill="FFFFFF"/>
            <w:noWrap/>
            <w:vAlign w:val="center"/>
            <w:hideMark/>
          </w:tcPr>
          <w:p w14:paraId="3CB466AF"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790" w:type="pct"/>
            <w:shd w:val="clear" w:color="auto" w:fill="C2D69B" w:themeFill="accent3" w:themeFillTint="99"/>
            <w:noWrap/>
            <w:vAlign w:val="center"/>
            <w:hideMark/>
          </w:tcPr>
          <w:p w14:paraId="6FD4211C"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34.80%</w:t>
            </w:r>
          </w:p>
        </w:tc>
        <w:tc>
          <w:tcPr>
            <w:tcW w:w="918" w:type="pct"/>
            <w:shd w:val="clear" w:color="auto" w:fill="C2D69B" w:themeFill="accent3" w:themeFillTint="99"/>
            <w:vAlign w:val="center"/>
            <w:hideMark/>
          </w:tcPr>
          <w:p w14:paraId="380731B3"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133.87%</w:t>
            </w:r>
          </w:p>
        </w:tc>
        <w:tc>
          <w:tcPr>
            <w:tcW w:w="858" w:type="pct"/>
            <w:shd w:val="clear" w:color="auto" w:fill="C2D69B" w:themeFill="accent3" w:themeFillTint="99"/>
            <w:vAlign w:val="center"/>
            <w:hideMark/>
          </w:tcPr>
          <w:p w14:paraId="070A63B1"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30.57%</w:t>
            </w:r>
          </w:p>
        </w:tc>
        <w:tc>
          <w:tcPr>
            <w:tcW w:w="928" w:type="pct"/>
            <w:shd w:val="clear" w:color="auto" w:fill="C2D69B" w:themeFill="accent3" w:themeFillTint="99"/>
            <w:vAlign w:val="center"/>
            <w:hideMark/>
          </w:tcPr>
          <w:p w14:paraId="349F319A"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13.72%</w:t>
            </w:r>
          </w:p>
        </w:tc>
      </w:tr>
      <w:tr w:rsidR="00486C40" w:rsidRPr="003516DC" w14:paraId="6C0E1712" w14:textId="77777777" w:rsidTr="003636E1">
        <w:trPr>
          <w:trHeight w:val="465"/>
          <w:tblHeader/>
        </w:trPr>
        <w:tc>
          <w:tcPr>
            <w:tcW w:w="1505" w:type="pct"/>
            <w:shd w:val="clear" w:color="000000" w:fill="FFFFFF"/>
            <w:noWrap/>
            <w:vAlign w:val="center"/>
            <w:hideMark/>
          </w:tcPr>
          <w:p w14:paraId="67B119B7"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790" w:type="pct"/>
            <w:shd w:val="clear" w:color="auto" w:fill="C2D69B" w:themeFill="accent3" w:themeFillTint="99"/>
            <w:noWrap/>
            <w:vAlign w:val="center"/>
            <w:hideMark/>
          </w:tcPr>
          <w:p w14:paraId="1034733A"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1.18%</w:t>
            </w:r>
          </w:p>
        </w:tc>
        <w:tc>
          <w:tcPr>
            <w:tcW w:w="918" w:type="pct"/>
            <w:shd w:val="clear" w:color="auto" w:fill="C2D69B" w:themeFill="accent3" w:themeFillTint="99"/>
            <w:vAlign w:val="center"/>
            <w:hideMark/>
          </w:tcPr>
          <w:p w14:paraId="47352135"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244.08%</w:t>
            </w:r>
          </w:p>
        </w:tc>
        <w:tc>
          <w:tcPr>
            <w:tcW w:w="858" w:type="pct"/>
            <w:shd w:val="clear" w:color="auto" w:fill="C2D69B" w:themeFill="accent3" w:themeFillTint="99"/>
            <w:vAlign w:val="center"/>
            <w:hideMark/>
          </w:tcPr>
          <w:p w14:paraId="5C47BD60"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2.52%</w:t>
            </w:r>
          </w:p>
        </w:tc>
        <w:tc>
          <w:tcPr>
            <w:tcW w:w="928" w:type="pct"/>
            <w:shd w:val="clear" w:color="auto" w:fill="C2D69B" w:themeFill="accent3" w:themeFillTint="99"/>
            <w:vAlign w:val="center"/>
            <w:hideMark/>
          </w:tcPr>
          <w:p w14:paraId="473904E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85.41%</w:t>
            </w:r>
          </w:p>
        </w:tc>
      </w:tr>
      <w:tr w:rsidR="00486C40" w:rsidRPr="003516DC" w14:paraId="33B3271B" w14:textId="77777777" w:rsidTr="003636E1">
        <w:trPr>
          <w:trHeight w:val="465"/>
          <w:tblHeader/>
        </w:trPr>
        <w:tc>
          <w:tcPr>
            <w:tcW w:w="1505" w:type="pct"/>
            <w:shd w:val="clear" w:color="000000" w:fill="FFFFFF"/>
            <w:noWrap/>
            <w:vAlign w:val="center"/>
            <w:hideMark/>
          </w:tcPr>
          <w:p w14:paraId="73980499"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790" w:type="pct"/>
            <w:shd w:val="clear" w:color="auto" w:fill="FF7575"/>
            <w:noWrap/>
            <w:vAlign w:val="center"/>
            <w:hideMark/>
          </w:tcPr>
          <w:p w14:paraId="29F5538D"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0.22%</w:t>
            </w:r>
          </w:p>
        </w:tc>
        <w:tc>
          <w:tcPr>
            <w:tcW w:w="918" w:type="pct"/>
            <w:shd w:val="clear" w:color="auto" w:fill="FF7575"/>
            <w:vAlign w:val="center"/>
            <w:hideMark/>
          </w:tcPr>
          <w:p w14:paraId="43930657"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-91.44%</w:t>
            </w:r>
          </w:p>
        </w:tc>
        <w:tc>
          <w:tcPr>
            <w:tcW w:w="858" w:type="pct"/>
            <w:shd w:val="clear" w:color="auto" w:fill="FF7575"/>
            <w:vAlign w:val="center"/>
            <w:hideMark/>
          </w:tcPr>
          <w:p w14:paraId="7A670155"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0.57%</w:t>
            </w:r>
          </w:p>
        </w:tc>
        <w:tc>
          <w:tcPr>
            <w:tcW w:w="928" w:type="pct"/>
            <w:shd w:val="clear" w:color="auto" w:fill="FF7575"/>
            <w:vAlign w:val="center"/>
            <w:hideMark/>
          </w:tcPr>
          <w:p w14:paraId="5CAB0FE4"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-47.86%</w:t>
            </w:r>
          </w:p>
        </w:tc>
      </w:tr>
      <w:tr w:rsidR="00486C40" w:rsidRPr="003516DC" w14:paraId="48F581B9" w14:textId="77777777" w:rsidTr="003636E1">
        <w:trPr>
          <w:trHeight w:val="465"/>
          <w:tblHeader/>
        </w:trPr>
        <w:tc>
          <w:tcPr>
            <w:tcW w:w="1505" w:type="pct"/>
            <w:shd w:val="clear" w:color="000000" w:fill="FFFFFF"/>
            <w:noWrap/>
            <w:vAlign w:val="center"/>
            <w:hideMark/>
          </w:tcPr>
          <w:p w14:paraId="7AEFF452"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790" w:type="pct"/>
            <w:shd w:val="clear" w:color="auto" w:fill="C2D69B" w:themeFill="accent3" w:themeFillTint="99"/>
            <w:noWrap/>
            <w:vAlign w:val="center"/>
            <w:hideMark/>
          </w:tcPr>
          <w:p w14:paraId="627CF2DC"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0.45%</w:t>
            </w:r>
          </w:p>
        </w:tc>
        <w:tc>
          <w:tcPr>
            <w:tcW w:w="918" w:type="pct"/>
            <w:shd w:val="clear" w:color="auto" w:fill="C2D69B" w:themeFill="accent3" w:themeFillTint="99"/>
            <w:vAlign w:val="center"/>
            <w:hideMark/>
          </w:tcPr>
          <w:p w14:paraId="6E7DD289"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159.16%</w:t>
            </w:r>
          </w:p>
        </w:tc>
        <w:tc>
          <w:tcPr>
            <w:tcW w:w="858" w:type="pct"/>
            <w:shd w:val="clear" w:color="auto" w:fill="C2D69B" w:themeFill="accent3" w:themeFillTint="99"/>
            <w:vAlign w:val="center"/>
            <w:hideMark/>
          </w:tcPr>
          <w:p w14:paraId="6C02D23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0.94%</w:t>
            </w:r>
          </w:p>
        </w:tc>
        <w:tc>
          <w:tcPr>
            <w:tcW w:w="928" w:type="pct"/>
            <w:shd w:val="clear" w:color="auto" w:fill="C2D69B" w:themeFill="accent3" w:themeFillTint="99"/>
            <w:vAlign w:val="center"/>
            <w:hideMark/>
          </w:tcPr>
          <w:p w14:paraId="4346AEE4"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80.12%</w:t>
            </w:r>
          </w:p>
        </w:tc>
      </w:tr>
      <w:tr w:rsidR="00486C40" w:rsidRPr="003516DC" w14:paraId="57A14EBB" w14:textId="77777777" w:rsidTr="003636E1">
        <w:trPr>
          <w:trHeight w:val="465"/>
          <w:tblHeader/>
        </w:trPr>
        <w:tc>
          <w:tcPr>
            <w:tcW w:w="1505" w:type="pct"/>
            <w:shd w:val="clear" w:color="000000" w:fill="FFFFFF"/>
            <w:noWrap/>
            <w:vAlign w:val="center"/>
            <w:hideMark/>
          </w:tcPr>
          <w:p w14:paraId="0D7E7A64"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790" w:type="pct"/>
            <w:shd w:val="clear" w:color="auto" w:fill="C2D69B" w:themeFill="accent3" w:themeFillTint="99"/>
            <w:noWrap/>
            <w:vAlign w:val="center"/>
            <w:hideMark/>
          </w:tcPr>
          <w:p w14:paraId="4829FC2F"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3.34%</w:t>
            </w:r>
          </w:p>
        </w:tc>
        <w:tc>
          <w:tcPr>
            <w:tcW w:w="918" w:type="pct"/>
            <w:shd w:val="clear" w:color="auto" w:fill="C2D69B" w:themeFill="accent3" w:themeFillTint="99"/>
            <w:vAlign w:val="center"/>
            <w:hideMark/>
          </w:tcPr>
          <w:p w14:paraId="0DBC7736"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124.79%</w:t>
            </w:r>
          </w:p>
        </w:tc>
        <w:tc>
          <w:tcPr>
            <w:tcW w:w="858" w:type="pct"/>
            <w:shd w:val="clear" w:color="auto" w:fill="C2D69B" w:themeFill="accent3" w:themeFillTint="99"/>
            <w:vAlign w:val="center"/>
            <w:hideMark/>
          </w:tcPr>
          <w:p w14:paraId="123607D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8.78%</w:t>
            </w:r>
          </w:p>
        </w:tc>
        <w:tc>
          <w:tcPr>
            <w:tcW w:w="928" w:type="pct"/>
            <w:shd w:val="clear" w:color="auto" w:fill="C2D69B" w:themeFill="accent3" w:themeFillTint="99"/>
            <w:vAlign w:val="center"/>
            <w:hideMark/>
          </w:tcPr>
          <w:p w14:paraId="3DD6B56B"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53.59%</w:t>
            </w:r>
          </w:p>
        </w:tc>
      </w:tr>
      <w:tr w:rsidR="00486C40" w:rsidRPr="003516DC" w14:paraId="638651F9" w14:textId="77777777" w:rsidTr="003636E1">
        <w:trPr>
          <w:trHeight w:val="465"/>
          <w:tblHeader/>
        </w:trPr>
        <w:tc>
          <w:tcPr>
            <w:tcW w:w="1505" w:type="pct"/>
            <w:shd w:val="clear" w:color="000000" w:fill="FFFFFF"/>
            <w:noWrap/>
            <w:vAlign w:val="center"/>
            <w:hideMark/>
          </w:tcPr>
          <w:p w14:paraId="625649DA" w14:textId="77777777" w:rsidR="00486C40" w:rsidRPr="003516DC" w:rsidRDefault="00486C40"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790" w:type="pct"/>
            <w:shd w:val="clear" w:color="auto" w:fill="C2D69B" w:themeFill="accent3" w:themeFillTint="99"/>
            <w:noWrap/>
            <w:vAlign w:val="center"/>
            <w:hideMark/>
          </w:tcPr>
          <w:p w14:paraId="235C1BF2"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2.18%</w:t>
            </w:r>
          </w:p>
        </w:tc>
        <w:tc>
          <w:tcPr>
            <w:tcW w:w="918" w:type="pct"/>
            <w:shd w:val="clear" w:color="auto" w:fill="C2D69B" w:themeFill="accent3" w:themeFillTint="99"/>
            <w:vAlign w:val="center"/>
            <w:hideMark/>
          </w:tcPr>
          <w:p w14:paraId="1FA8CE09"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127.72%</w:t>
            </w:r>
          </w:p>
        </w:tc>
        <w:tc>
          <w:tcPr>
            <w:tcW w:w="858" w:type="pct"/>
            <w:shd w:val="clear" w:color="auto" w:fill="C2D69B" w:themeFill="accent3" w:themeFillTint="99"/>
            <w:vAlign w:val="center"/>
            <w:hideMark/>
          </w:tcPr>
          <w:p w14:paraId="29F4EECF"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4.42%</w:t>
            </w:r>
          </w:p>
        </w:tc>
        <w:tc>
          <w:tcPr>
            <w:tcW w:w="928" w:type="pct"/>
            <w:shd w:val="clear" w:color="auto" w:fill="C2D69B" w:themeFill="accent3" w:themeFillTint="99"/>
            <w:vAlign w:val="center"/>
            <w:hideMark/>
          </w:tcPr>
          <w:p w14:paraId="347A563D" w14:textId="77777777" w:rsidR="00486C40" w:rsidRPr="003516DC" w:rsidRDefault="00486C40"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53.58%</w:t>
            </w:r>
          </w:p>
        </w:tc>
      </w:tr>
    </w:tbl>
    <w:p w14:paraId="7664F52F" w14:textId="40F90E7A" w:rsidR="00826AB0" w:rsidRDefault="005702CA" w:rsidP="00826AB0">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2D3CB3F7" w14:textId="77777777" w:rsidR="00F77450" w:rsidRDefault="00F77450" w:rsidP="00F77450">
      <w:pPr>
        <w:jc w:val="both"/>
        <w:rPr>
          <w:rFonts w:ascii="Arial" w:hAnsi="Arial" w:cs="Arial"/>
          <w:i/>
          <w:iCs/>
          <w:sz w:val="16"/>
          <w:szCs w:val="16"/>
        </w:rPr>
      </w:pPr>
      <w:r>
        <w:rPr>
          <w:rFonts w:ascii="Arial" w:hAnsi="Arial" w:cs="Arial"/>
          <w:i/>
          <w:iCs/>
          <w:sz w:val="16"/>
          <w:szCs w:val="16"/>
        </w:rPr>
        <w:t>*Legend: economic sectors highlighted in green registered growth in terms turnover and employment; economic sectors highlighted in red registered decreases in terms of both turnover and employment; economic sectors highlighted in grey registered diverging evolutions in terms of turnover and employment, e.g., growth in turnover and decrease in employment.</w:t>
      </w:r>
    </w:p>
    <w:p w14:paraId="65CC2FA9" w14:textId="77777777" w:rsidR="00794E77" w:rsidRPr="003516DC" w:rsidRDefault="00794E77" w:rsidP="00DA40E6">
      <w:pPr>
        <w:jc w:val="both"/>
        <w:rPr>
          <w:rFonts w:ascii="Arial" w:hAnsi="Arial" w:cs="Arial"/>
          <w:b/>
          <w:bCs/>
          <w:iCs/>
          <w:sz w:val="20"/>
          <w:szCs w:val="20"/>
        </w:rPr>
      </w:pPr>
    </w:p>
    <w:p w14:paraId="23E747AC" w14:textId="1F92C38E" w:rsidR="00EE2BB0" w:rsidRPr="005166AE" w:rsidRDefault="003636E1" w:rsidP="00EE2BB0">
      <w:pPr>
        <w:jc w:val="both"/>
        <w:rPr>
          <w:rFonts w:ascii="Arial" w:hAnsi="Arial" w:cs="Arial"/>
          <w:sz w:val="20"/>
          <w:szCs w:val="20"/>
        </w:rPr>
      </w:pPr>
      <w:r>
        <w:rPr>
          <w:rFonts w:ascii="Arial" w:hAnsi="Arial" w:cs="Arial"/>
          <w:sz w:val="20"/>
          <w:szCs w:val="20"/>
        </w:rPr>
        <w:t>T</w:t>
      </w:r>
      <w:r w:rsidR="00EE2BB0" w:rsidRPr="005166AE">
        <w:rPr>
          <w:rFonts w:ascii="Arial" w:hAnsi="Arial" w:cs="Arial"/>
          <w:sz w:val="20"/>
          <w:szCs w:val="20"/>
        </w:rPr>
        <w:t xml:space="preserve">able </w:t>
      </w:r>
      <w:r w:rsidR="004E2DCB">
        <w:rPr>
          <w:rFonts w:ascii="Arial" w:hAnsi="Arial" w:cs="Arial"/>
          <w:sz w:val="20"/>
          <w:szCs w:val="20"/>
        </w:rPr>
        <w:t>63</w:t>
      </w:r>
      <w:r w:rsidR="004E2DCB" w:rsidRPr="005166AE">
        <w:rPr>
          <w:rFonts w:ascii="Arial" w:hAnsi="Arial" w:cs="Arial"/>
          <w:sz w:val="20"/>
          <w:szCs w:val="20"/>
        </w:rPr>
        <w:t xml:space="preserve"> </w:t>
      </w:r>
      <w:r w:rsidR="00383E48">
        <w:rPr>
          <w:rFonts w:ascii="Arial" w:hAnsi="Arial" w:cs="Arial"/>
          <w:sz w:val="20"/>
          <w:szCs w:val="20"/>
        </w:rPr>
        <w:t>lists</w:t>
      </w:r>
      <w:r w:rsidR="00EE2BB0" w:rsidRPr="005166AE">
        <w:rPr>
          <w:rFonts w:ascii="Arial" w:hAnsi="Arial" w:cs="Arial"/>
          <w:sz w:val="20"/>
          <w:szCs w:val="20"/>
        </w:rPr>
        <w:t xml:space="preserve"> </w:t>
      </w:r>
      <w:r w:rsidR="00383E48">
        <w:rPr>
          <w:rFonts w:ascii="Arial" w:hAnsi="Arial" w:cs="Arial"/>
          <w:sz w:val="20"/>
          <w:szCs w:val="20"/>
        </w:rPr>
        <w:t xml:space="preserve">the </w:t>
      </w:r>
      <w:r w:rsidR="00EE2BB0" w:rsidRPr="005166AE">
        <w:rPr>
          <w:rFonts w:ascii="Arial" w:hAnsi="Arial" w:cs="Arial"/>
          <w:sz w:val="20"/>
          <w:szCs w:val="20"/>
        </w:rPr>
        <w:t xml:space="preserve">top 10 companies in </w:t>
      </w:r>
      <w:r w:rsidR="004F70E0">
        <w:rPr>
          <w:rFonts w:ascii="Arial" w:hAnsi="Arial" w:cs="Arial"/>
          <w:sz w:val="20"/>
          <w:szCs w:val="20"/>
        </w:rPr>
        <w:t>Mureș</w:t>
      </w:r>
      <w:r w:rsidR="00EE2BB0">
        <w:rPr>
          <w:rFonts w:ascii="Arial" w:hAnsi="Arial" w:cs="Arial"/>
          <w:sz w:val="20"/>
          <w:szCs w:val="20"/>
        </w:rPr>
        <w:t xml:space="preserve"> </w:t>
      </w:r>
      <w:r w:rsidR="00383E48">
        <w:rPr>
          <w:rFonts w:ascii="Arial" w:hAnsi="Arial" w:cs="Arial"/>
          <w:sz w:val="20"/>
          <w:szCs w:val="20"/>
        </w:rPr>
        <w:t>C</w:t>
      </w:r>
      <w:r w:rsidR="00EE2BB0" w:rsidRPr="005166AE">
        <w:rPr>
          <w:rFonts w:ascii="Arial" w:hAnsi="Arial" w:cs="Arial"/>
          <w:sz w:val="20"/>
          <w:szCs w:val="20"/>
        </w:rPr>
        <w:t xml:space="preserve">ounty in terms of turnover and number of employees. The </w:t>
      </w:r>
      <w:r w:rsidR="00383E48">
        <w:rPr>
          <w:rFonts w:ascii="Arial" w:hAnsi="Arial" w:cs="Arial"/>
          <w:sz w:val="20"/>
          <w:szCs w:val="20"/>
        </w:rPr>
        <w:t>table</w:t>
      </w:r>
      <w:r w:rsidR="00EE2BB0" w:rsidRPr="005166AE">
        <w:rPr>
          <w:rFonts w:ascii="Arial" w:hAnsi="Arial" w:cs="Arial"/>
          <w:sz w:val="20"/>
          <w:szCs w:val="20"/>
        </w:rPr>
        <w:t xml:space="preserve"> </w:t>
      </w:r>
      <w:r w:rsidR="00383E48">
        <w:rPr>
          <w:rFonts w:ascii="Arial" w:hAnsi="Arial" w:cs="Arial"/>
          <w:sz w:val="20"/>
          <w:szCs w:val="20"/>
        </w:rPr>
        <w:t>identifies</w:t>
      </w:r>
      <w:r w:rsidR="00EE2BB0" w:rsidRPr="005166AE">
        <w:rPr>
          <w:rFonts w:ascii="Arial" w:hAnsi="Arial" w:cs="Arial"/>
          <w:sz w:val="20"/>
          <w:szCs w:val="20"/>
        </w:rPr>
        <w:t xml:space="preserve"> the share of energy intensive companies, main economic sector, whether they are part of the European Union Emissions Trading Systems and whether they are affected by the transition. At </w:t>
      </w:r>
      <w:r w:rsidR="00383E48">
        <w:rPr>
          <w:rFonts w:ascii="Arial" w:hAnsi="Arial" w:cs="Arial"/>
          <w:sz w:val="20"/>
          <w:szCs w:val="20"/>
        </w:rPr>
        <w:t xml:space="preserve">the </w:t>
      </w:r>
      <w:r w:rsidR="00EE2BB0" w:rsidRPr="005166AE">
        <w:rPr>
          <w:rFonts w:ascii="Arial" w:hAnsi="Arial" w:cs="Arial"/>
          <w:sz w:val="20"/>
          <w:szCs w:val="20"/>
        </w:rPr>
        <w:t xml:space="preserve">county level, there are </w:t>
      </w:r>
      <w:r w:rsidR="00383E48">
        <w:rPr>
          <w:rFonts w:ascii="Arial" w:hAnsi="Arial" w:cs="Arial"/>
          <w:sz w:val="20"/>
          <w:szCs w:val="20"/>
        </w:rPr>
        <w:t>a total of six</w:t>
      </w:r>
      <w:r w:rsidR="00EE2BB0" w:rsidRPr="005166AE">
        <w:rPr>
          <w:rFonts w:ascii="Arial" w:hAnsi="Arial" w:cs="Arial"/>
          <w:sz w:val="20"/>
          <w:szCs w:val="20"/>
        </w:rPr>
        <w:t xml:space="preserve"> EU-ETS installations</w:t>
      </w:r>
      <w:r w:rsidR="00EE2BB0">
        <w:rPr>
          <w:rFonts w:ascii="Arial" w:hAnsi="Arial" w:cs="Arial"/>
          <w:sz w:val="20"/>
          <w:szCs w:val="20"/>
        </w:rPr>
        <w:t>,</w:t>
      </w:r>
      <w:r w:rsidR="00EE2BB0" w:rsidRPr="005166AE">
        <w:rPr>
          <w:rFonts w:ascii="Arial" w:hAnsi="Arial" w:cs="Arial"/>
          <w:sz w:val="20"/>
          <w:szCs w:val="20"/>
        </w:rPr>
        <w:t xml:space="preserve"> of which </w:t>
      </w:r>
      <w:r w:rsidR="00EE2BB0">
        <w:rPr>
          <w:rFonts w:ascii="Arial" w:hAnsi="Arial" w:cs="Arial"/>
          <w:sz w:val="20"/>
          <w:szCs w:val="20"/>
        </w:rPr>
        <w:t>two are</w:t>
      </w:r>
      <w:r w:rsidR="00EE2BB0" w:rsidRPr="005166AE">
        <w:rPr>
          <w:rFonts w:ascii="Arial" w:hAnsi="Arial" w:cs="Arial"/>
          <w:sz w:val="20"/>
          <w:szCs w:val="20"/>
        </w:rPr>
        <w:t xml:space="preserve"> listed below</w:t>
      </w:r>
      <w:r w:rsidR="00EE2BB0">
        <w:rPr>
          <w:rFonts w:ascii="Arial" w:hAnsi="Arial" w:cs="Arial"/>
          <w:sz w:val="20"/>
          <w:szCs w:val="20"/>
        </w:rPr>
        <w:t xml:space="preserve">. </w:t>
      </w:r>
    </w:p>
    <w:p w14:paraId="322F92E9" w14:textId="6E458E35" w:rsidR="00EE2BB0" w:rsidRDefault="00EE2BB0" w:rsidP="00EE2BB0">
      <w:pPr>
        <w:pStyle w:val="Caption"/>
        <w:sectPr w:rsidR="00EE2BB0" w:rsidSect="00BE7F81">
          <w:headerReference w:type="default" r:id="rId183"/>
          <w:footerReference w:type="default" r:id="rId184"/>
          <w:pgSz w:w="11909" w:h="16834"/>
          <w:pgMar w:top="1440" w:right="1440" w:bottom="1440" w:left="1530" w:header="720" w:footer="720" w:gutter="0"/>
          <w:cols w:space="720"/>
        </w:sectPr>
      </w:pPr>
    </w:p>
    <w:tbl>
      <w:tblPr>
        <w:tblStyle w:val="TableGrid"/>
        <w:tblpPr w:leftFromText="180" w:rightFromText="180" w:horzAnchor="margin" w:tblpY="330"/>
        <w:tblW w:w="5000" w:type="pct"/>
        <w:tblLook w:val="04A0" w:firstRow="1" w:lastRow="0" w:firstColumn="1" w:lastColumn="0" w:noHBand="0" w:noVBand="1"/>
      </w:tblPr>
      <w:tblGrid>
        <w:gridCol w:w="2465"/>
        <w:gridCol w:w="3059"/>
        <w:gridCol w:w="1336"/>
        <w:gridCol w:w="937"/>
        <w:gridCol w:w="1188"/>
        <w:gridCol w:w="1088"/>
        <w:gridCol w:w="1305"/>
        <w:gridCol w:w="2566"/>
      </w:tblGrid>
      <w:tr w:rsidR="00EE2BB0" w:rsidRPr="00EE2BB0" w14:paraId="6FBC0D70" w14:textId="77777777" w:rsidTr="00DE2D4D">
        <w:trPr>
          <w:tblHeader/>
        </w:trPr>
        <w:tc>
          <w:tcPr>
            <w:tcW w:w="884" w:type="pct"/>
            <w:shd w:val="clear" w:color="auto" w:fill="002060"/>
          </w:tcPr>
          <w:p w14:paraId="04CB2A96"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lastRenderedPageBreak/>
              <w:t>Company</w:t>
            </w:r>
          </w:p>
        </w:tc>
        <w:tc>
          <w:tcPr>
            <w:tcW w:w="1097" w:type="pct"/>
            <w:shd w:val="clear" w:color="auto" w:fill="002060"/>
          </w:tcPr>
          <w:p w14:paraId="012D7691"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Main NACE class</w:t>
            </w:r>
          </w:p>
        </w:tc>
        <w:tc>
          <w:tcPr>
            <w:tcW w:w="479" w:type="pct"/>
            <w:shd w:val="clear" w:color="auto" w:fill="002060"/>
          </w:tcPr>
          <w:p w14:paraId="482A4362"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Employees (no.)</w:t>
            </w:r>
          </w:p>
        </w:tc>
        <w:tc>
          <w:tcPr>
            <w:tcW w:w="336" w:type="pct"/>
            <w:shd w:val="clear" w:color="auto" w:fill="002060"/>
          </w:tcPr>
          <w:p w14:paraId="1867F4FA"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Turnover (RON million)</w:t>
            </w:r>
          </w:p>
        </w:tc>
        <w:tc>
          <w:tcPr>
            <w:tcW w:w="426" w:type="pct"/>
            <w:shd w:val="clear" w:color="auto" w:fill="002060"/>
          </w:tcPr>
          <w:p w14:paraId="672DC8C0"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EU ETS participation</w:t>
            </w:r>
          </w:p>
        </w:tc>
        <w:tc>
          <w:tcPr>
            <w:tcW w:w="390" w:type="pct"/>
            <w:shd w:val="clear" w:color="auto" w:fill="002060"/>
          </w:tcPr>
          <w:p w14:paraId="627B54D9"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Affected by the transition</w:t>
            </w:r>
          </w:p>
        </w:tc>
        <w:tc>
          <w:tcPr>
            <w:tcW w:w="468" w:type="pct"/>
            <w:shd w:val="clear" w:color="auto" w:fill="002060"/>
          </w:tcPr>
          <w:p w14:paraId="307306A3"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Engaged during the TA</w:t>
            </w:r>
          </w:p>
        </w:tc>
        <w:tc>
          <w:tcPr>
            <w:tcW w:w="920" w:type="pct"/>
            <w:shd w:val="clear" w:color="auto" w:fill="002060"/>
          </w:tcPr>
          <w:p w14:paraId="47D27414" w14:textId="77777777" w:rsidR="00EE2BB0" w:rsidRPr="00EE2BB0" w:rsidRDefault="00EE2BB0" w:rsidP="00DE2D4D">
            <w:pPr>
              <w:rPr>
                <w:rFonts w:ascii="Arial" w:hAnsi="Arial" w:cs="Arial"/>
                <w:color w:val="FFFFFF" w:themeColor="background1"/>
                <w:sz w:val="18"/>
                <w:szCs w:val="18"/>
                <w:lang w:val="ro-RO"/>
              </w:rPr>
            </w:pPr>
            <w:r w:rsidRPr="00EE2BB0">
              <w:rPr>
                <w:rFonts w:ascii="Arial" w:hAnsi="Arial" w:cs="Arial"/>
                <w:color w:val="FFFFFF" w:themeColor="background1"/>
                <w:sz w:val="18"/>
                <w:szCs w:val="18"/>
                <w:lang w:val="ro-RO"/>
              </w:rPr>
              <w:t>Observations</w:t>
            </w:r>
          </w:p>
        </w:tc>
      </w:tr>
      <w:tr w:rsidR="00EE2BB0" w:rsidRPr="00EE2BB0" w14:paraId="1BC61280" w14:textId="77777777" w:rsidTr="00DE2D4D">
        <w:tc>
          <w:tcPr>
            <w:tcW w:w="884" w:type="pct"/>
          </w:tcPr>
          <w:p w14:paraId="1C5C6A4A"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DELGAZ GRID SA</w:t>
            </w:r>
          </w:p>
        </w:tc>
        <w:tc>
          <w:tcPr>
            <w:tcW w:w="1097" w:type="pct"/>
          </w:tcPr>
          <w:p w14:paraId="2066623D" w14:textId="43183734"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 ELECTRICITY, GAS, STEAM AND AIR CONDITIONING SUPPLY</w:t>
            </w:r>
            <w:r w:rsidR="009F0B40">
              <w:rPr>
                <w:rFonts w:ascii="Arial" w:hAnsi="Arial" w:cs="Arial"/>
                <w:sz w:val="18"/>
                <w:szCs w:val="18"/>
                <w:lang w:val="ro-RO"/>
              </w:rPr>
              <w:t xml:space="preserve"> (energy distribution)</w:t>
            </w:r>
          </w:p>
        </w:tc>
        <w:tc>
          <w:tcPr>
            <w:tcW w:w="479" w:type="pct"/>
          </w:tcPr>
          <w:p w14:paraId="12D39155"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4,839</w:t>
            </w:r>
          </w:p>
        </w:tc>
        <w:tc>
          <w:tcPr>
            <w:tcW w:w="336" w:type="pct"/>
          </w:tcPr>
          <w:p w14:paraId="597B352E"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1,443</w:t>
            </w:r>
          </w:p>
        </w:tc>
        <w:tc>
          <w:tcPr>
            <w:tcW w:w="426" w:type="pct"/>
          </w:tcPr>
          <w:p w14:paraId="66B4149A"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2587518E" w14:textId="77777777" w:rsidR="00EE2BB0" w:rsidRPr="00EE2BB0" w:rsidRDefault="00EE2BB0" w:rsidP="00DE2D4D">
            <w:pPr>
              <w:rPr>
                <w:rFonts w:ascii="Arial" w:hAnsi="Arial" w:cs="Arial"/>
                <w:sz w:val="18"/>
                <w:szCs w:val="18"/>
              </w:rPr>
            </w:pPr>
            <w:r w:rsidRPr="00EE2BB0">
              <w:rPr>
                <w:rFonts w:ascii="Arial" w:hAnsi="Arial" w:cs="Arial"/>
                <w:sz w:val="18"/>
                <w:szCs w:val="18"/>
              </w:rPr>
              <w:t>YES</w:t>
            </w:r>
          </w:p>
        </w:tc>
        <w:tc>
          <w:tcPr>
            <w:tcW w:w="468" w:type="pct"/>
          </w:tcPr>
          <w:p w14:paraId="535086D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53526A55" w14:textId="420D8665"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Directly affected by decarboni</w:t>
            </w:r>
            <w:r w:rsidR="00383E48">
              <w:rPr>
                <w:rFonts w:ascii="Arial" w:hAnsi="Arial" w:cs="Arial"/>
                <w:sz w:val="18"/>
                <w:szCs w:val="18"/>
                <w:lang w:val="ro-RO"/>
              </w:rPr>
              <w:t>s</w:t>
            </w:r>
            <w:r w:rsidRPr="00EE2BB0">
              <w:rPr>
                <w:rFonts w:ascii="Arial" w:hAnsi="Arial" w:cs="Arial"/>
                <w:sz w:val="18"/>
                <w:szCs w:val="18"/>
                <w:lang w:val="ro-RO"/>
              </w:rPr>
              <w:t>ation as regional gas transmission operator</w:t>
            </w:r>
          </w:p>
        </w:tc>
      </w:tr>
      <w:tr w:rsidR="00EE2BB0" w:rsidRPr="00EE2BB0" w14:paraId="4E2A5B0F" w14:textId="77777777" w:rsidTr="00DE2D4D">
        <w:tc>
          <w:tcPr>
            <w:tcW w:w="884" w:type="pct"/>
          </w:tcPr>
          <w:p w14:paraId="18C0874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GST AUTOMOTIVE SAFETY RO SRL</w:t>
            </w:r>
          </w:p>
        </w:tc>
        <w:tc>
          <w:tcPr>
            <w:tcW w:w="1097" w:type="pct"/>
          </w:tcPr>
          <w:p w14:paraId="3DBCCFFC" w14:textId="77777777" w:rsidR="009F0B40"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9F0B40">
              <w:rPr>
                <w:rFonts w:ascii="Arial" w:hAnsi="Arial" w:cs="Arial"/>
                <w:sz w:val="18"/>
                <w:szCs w:val="18"/>
                <w:lang w:val="ro-RO"/>
              </w:rPr>
              <w:t xml:space="preserve"> </w:t>
            </w:r>
          </w:p>
          <w:p w14:paraId="2D11786B" w14:textId="374719FD" w:rsidR="00EE2BB0" w:rsidRPr="00EE2BB0" w:rsidRDefault="009F0B40" w:rsidP="00DE2D4D">
            <w:pPr>
              <w:rPr>
                <w:rFonts w:ascii="Arial" w:hAnsi="Arial" w:cs="Arial"/>
                <w:sz w:val="18"/>
                <w:szCs w:val="18"/>
                <w:lang w:val="ro-RO"/>
              </w:rPr>
            </w:pPr>
            <w:r>
              <w:rPr>
                <w:rFonts w:ascii="Arial" w:hAnsi="Arial" w:cs="Arial"/>
                <w:sz w:val="18"/>
                <w:szCs w:val="18"/>
                <w:lang w:val="ro-RO"/>
              </w:rPr>
              <w:t>(of airbags)</w:t>
            </w:r>
          </w:p>
        </w:tc>
        <w:tc>
          <w:tcPr>
            <w:tcW w:w="479" w:type="pct"/>
          </w:tcPr>
          <w:p w14:paraId="1245765E"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1,205</w:t>
            </w:r>
          </w:p>
        </w:tc>
        <w:tc>
          <w:tcPr>
            <w:tcW w:w="336" w:type="pct"/>
          </w:tcPr>
          <w:p w14:paraId="0DDAB14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101</w:t>
            </w:r>
          </w:p>
        </w:tc>
        <w:tc>
          <w:tcPr>
            <w:tcW w:w="426" w:type="pct"/>
          </w:tcPr>
          <w:p w14:paraId="19D0461E"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661EA564"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40BBEBE2"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04550EED"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Auto industry value chain / International market / second employer at county level after Delgaz Grid</w:t>
            </w:r>
          </w:p>
        </w:tc>
      </w:tr>
      <w:tr w:rsidR="00EE2BB0" w:rsidRPr="00EE2BB0" w14:paraId="6BF24319" w14:textId="77777777" w:rsidTr="00DE2D4D">
        <w:tc>
          <w:tcPr>
            <w:tcW w:w="884" w:type="pct"/>
          </w:tcPr>
          <w:p w14:paraId="49F43ACC" w14:textId="2EA28DB5"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AZO</w:t>
            </w:r>
            <w:r w:rsidR="004F70E0">
              <w:rPr>
                <w:rFonts w:ascii="Arial" w:hAnsi="Arial" w:cs="Arial"/>
                <w:sz w:val="18"/>
                <w:szCs w:val="18"/>
                <w:lang w:val="ro-RO"/>
              </w:rPr>
              <w:t>MUREȘ</w:t>
            </w:r>
            <w:r w:rsidRPr="00EE2BB0">
              <w:rPr>
                <w:rFonts w:ascii="Arial" w:hAnsi="Arial" w:cs="Arial"/>
                <w:sz w:val="18"/>
                <w:szCs w:val="18"/>
                <w:lang w:val="ro-RO"/>
              </w:rPr>
              <w:t xml:space="preserve"> SA</w:t>
            </w:r>
          </w:p>
        </w:tc>
        <w:tc>
          <w:tcPr>
            <w:tcW w:w="1097" w:type="pct"/>
          </w:tcPr>
          <w:p w14:paraId="4C32166A" w14:textId="77777777" w:rsidR="009F0B40"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9F0B40">
              <w:rPr>
                <w:rFonts w:ascii="Arial" w:hAnsi="Arial" w:cs="Arial"/>
                <w:sz w:val="18"/>
                <w:szCs w:val="18"/>
                <w:lang w:val="ro-RO"/>
              </w:rPr>
              <w:t xml:space="preserve"> </w:t>
            </w:r>
          </w:p>
          <w:p w14:paraId="3980709D" w14:textId="0F83BE8E" w:rsidR="00EE2BB0" w:rsidRPr="00EE2BB0" w:rsidRDefault="009F0B40" w:rsidP="00DE2D4D">
            <w:pPr>
              <w:rPr>
                <w:rFonts w:ascii="Arial" w:hAnsi="Arial" w:cs="Arial"/>
                <w:sz w:val="18"/>
                <w:szCs w:val="18"/>
                <w:lang w:val="ro-RO"/>
              </w:rPr>
            </w:pPr>
            <w:r>
              <w:rPr>
                <w:rFonts w:ascii="Arial" w:hAnsi="Arial" w:cs="Arial"/>
                <w:sz w:val="18"/>
                <w:szCs w:val="18"/>
                <w:lang w:val="ro-RO"/>
              </w:rPr>
              <w:t>(of fertilizers)</w:t>
            </w:r>
          </w:p>
        </w:tc>
        <w:tc>
          <w:tcPr>
            <w:tcW w:w="479" w:type="pct"/>
          </w:tcPr>
          <w:p w14:paraId="0F6CFBF9"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1,120</w:t>
            </w:r>
          </w:p>
        </w:tc>
        <w:tc>
          <w:tcPr>
            <w:tcW w:w="336" w:type="pct"/>
          </w:tcPr>
          <w:p w14:paraId="630B3720"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1,633</w:t>
            </w:r>
          </w:p>
        </w:tc>
        <w:tc>
          <w:tcPr>
            <w:tcW w:w="426" w:type="pct"/>
          </w:tcPr>
          <w:p w14:paraId="404EC54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390" w:type="pct"/>
          </w:tcPr>
          <w:p w14:paraId="28F22768"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6CDE7D9F"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2E86297C" w14:textId="1BE99A0C"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Directly affected by decarboni</w:t>
            </w:r>
            <w:r w:rsidR="00383E48">
              <w:rPr>
                <w:rFonts w:ascii="Arial" w:hAnsi="Arial" w:cs="Arial"/>
                <w:sz w:val="18"/>
                <w:szCs w:val="18"/>
                <w:lang w:val="ro-RO"/>
              </w:rPr>
              <w:t>s</w:t>
            </w:r>
            <w:r w:rsidRPr="00EE2BB0">
              <w:rPr>
                <w:rFonts w:ascii="Arial" w:hAnsi="Arial" w:cs="Arial"/>
                <w:sz w:val="18"/>
                <w:szCs w:val="18"/>
                <w:lang w:val="ro-RO"/>
              </w:rPr>
              <w:t>ation</w:t>
            </w:r>
          </w:p>
        </w:tc>
      </w:tr>
      <w:tr w:rsidR="00EE2BB0" w:rsidRPr="00EE2BB0" w14:paraId="0B13419D" w14:textId="77777777" w:rsidTr="00DE2D4D">
        <w:tc>
          <w:tcPr>
            <w:tcW w:w="884" w:type="pct"/>
          </w:tcPr>
          <w:p w14:paraId="48051A1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HIRSCHMANN AUTOMOTIVE TM SRL</w:t>
            </w:r>
          </w:p>
        </w:tc>
        <w:tc>
          <w:tcPr>
            <w:tcW w:w="1097" w:type="pct"/>
          </w:tcPr>
          <w:p w14:paraId="56FCE761" w14:textId="77777777" w:rsidR="00B57724"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9F0B40">
              <w:rPr>
                <w:rFonts w:ascii="Arial" w:hAnsi="Arial" w:cs="Arial"/>
                <w:sz w:val="18"/>
                <w:szCs w:val="18"/>
                <w:lang w:val="ro-RO"/>
              </w:rPr>
              <w:t xml:space="preserve"> </w:t>
            </w:r>
          </w:p>
          <w:p w14:paraId="06C759C0" w14:textId="47A66EFE" w:rsidR="00EE2BB0" w:rsidRPr="00EE2BB0" w:rsidRDefault="009F0B40" w:rsidP="00DE2D4D">
            <w:pPr>
              <w:rPr>
                <w:rFonts w:ascii="Arial" w:hAnsi="Arial" w:cs="Arial"/>
                <w:sz w:val="18"/>
                <w:szCs w:val="18"/>
                <w:lang w:val="ro-RO"/>
              </w:rPr>
            </w:pPr>
            <w:r>
              <w:rPr>
                <w:rFonts w:ascii="Arial" w:hAnsi="Arial" w:cs="Arial"/>
                <w:sz w:val="18"/>
                <w:szCs w:val="18"/>
                <w:lang w:val="ro-RO"/>
              </w:rPr>
              <w:t>(of electronic equipment)</w:t>
            </w:r>
          </w:p>
        </w:tc>
        <w:tc>
          <w:tcPr>
            <w:tcW w:w="479" w:type="pct"/>
          </w:tcPr>
          <w:p w14:paraId="28CAC95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1,004</w:t>
            </w:r>
          </w:p>
        </w:tc>
        <w:tc>
          <w:tcPr>
            <w:tcW w:w="336" w:type="pct"/>
          </w:tcPr>
          <w:p w14:paraId="069B8127"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378</w:t>
            </w:r>
          </w:p>
        </w:tc>
        <w:tc>
          <w:tcPr>
            <w:tcW w:w="426" w:type="pct"/>
          </w:tcPr>
          <w:p w14:paraId="16B66786"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6EAE358D"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2C49531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14047BEF"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Auto industry value chain / International market</w:t>
            </w:r>
          </w:p>
        </w:tc>
      </w:tr>
      <w:tr w:rsidR="00EE2BB0" w:rsidRPr="00EE2BB0" w14:paraId="1100A814" w14:textId="77777777" w:rsidTr="00DE2D4D">
        <w:tc>
          <w:tcPr>
            <w:tcW w:w="884" w:type="pct"/>
          </w:tcPr>
          <w:p w14:paraId="7CC8E9F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SNGN ROMGAZ SA</w:t>
            </w:r>
          </w:p>
        </w:tc>
        <w:tc>
          <w:tcPr>
            <w:tcW w:w="1097" w:type="pct"/>
          </w:tcPr>
          <w:p w14:paraId="42C3AE73" w14:textId="4445410B"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 ELECTRICITY, GAS, STEAM AND AIR CONDITIONING SUPPLY</w:t>
            </w:r>
            <w:r w:rsidR="00B57724">
              <w:rPr>
                <w:rFonts w:ascii="Arial" w:hAnsi="Arial" w:cs="Arial"/>
                <w:sz w:val="18"/>
                <w:szCs w:val="18"/>
                <w:lang w:val="ro-RO"/>
              </w:rPr>
              <w:t xml:space="preserve"> (gas production and distribution)</w:t>
            </w:r>
          </w:p>
        </w:tc>
        <w:tc>
          <w:tcPr>
            <w:tcW w:w="479" w:type="pct"/>
          </w:tcPr>
          <w:p w14:paraId="68083AD5"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6,251</w:t>
            </w:r>
          </w:p>
        </w:tc>
        <w:tc>
          <w:tcPr>
            <w:tcW w:w="336" w:type="pct"/>
          </w:tcPr>
          <w:p w14:paraId="1EC5DB0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5,080</w:t>
            </w:r>
          </w:p>
        </w:tc>
        <w:tc>
          <w:tcPr>
            <w:tcW w:w="426" w:type="pct"/>
          </w:tcPr>
          <w:p w14:paraId="2770EA6C"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390" w:type="pct"/>
          </w:tcPr>
          <w:p w14:paraId="31DDF845"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2B8A2A09"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6E7B733C" w14:textId="6BC7918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Directly affected by decarboni</w:t>
            </w:r>
            <w:r w:rsidR="00383E48">
              <w:rPr>
                <w:rFonts w:ascii="Arial" w:hAnsi="Arial" w:cs="Arial"/>
                <w:sz w:val="18"/>
                <w:szCs w:val="18"/>
                <w:lang w:val="ro-RO"/>
              </w:rPr>
              <w:t>s</w:t>
            </w:r>
            <w:r w:rsidRPr="00EE2BB0">
              <w:rPr>
                <w:rFonts w:ascii="Arial" w:hAnsi="Arial" w:cs="Arial"/>
                <w:sz w:val="18"/>
                <w:szCs w:val="18"/>
                <w:lang w:val="ro-RO"/>
              </w:rPr>
              <w:t>ation</w:t>
            </w:r>
          </w:p>
        </w:tc>
      </w:tr>
      <w:tr w:rsidR="00EE2BB0" w:rsidRPr="000041A4" w14:paraId="6BB14909" w14:textId="77777777" w:rsidTr="00DE2D4D">
        <w:tc>
          <w:tcPr>
            <w:tcW w:w="884" w:type="pct"/>
          </w:tcPr>
          <w:p w14:paraId="613CD4AA"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CESIRO SA</w:t>
            </w:r>
          </w:p>
        </w:tc>
        <w:tc>
          <w:tcPr>
            <w:tcW w:w="1097" w:type="pct"/>
          </w:tcPr>
          <w:p w14:paraId="4CC549A0" w14:textId="77777777" w:rsidR="00B57724" w:rsidRDefault="00EE2BB0" w:rsidP="00DE2D4D">
            <w:pPr>
              <w:rPr>
                <w:rFonts w:ascii="Arial" w:hAnsi="Arial" w:cs="Arial"/>
                <w:sz w:val="18"/>
                <w:szCs w:val="18"/>
                <w:lang w:val="ro-RO"/>
              </w:rPr>
            </w:pPr>
            <w:r w:rsidRPr="00EE2BB0">
              <w:rPr>
                <w:rFonts w:ascii="Arial" w:hAnsi="Arial" w:cs="Arial"/>
                <w:sz w:val="18"/>
                <w:szCs w:val="18"/>
                <w:lang w:val="ro-RO"/>
              </w:rPr>
              <w:t>C MANUFACTURING</w:t>
            </w:r>
          </w:p>
          <w:p w14:paraId="75B76FF2" w14:textId="7088D7A2" w:rsidR="00EE2BB0" w:rsidRPr="00EE2BB0" w:rsidRDefault="00B57724" w:rsidP="00DE2D4D">
            <w:pPr>
              <w:rPr>
                <w:rFonts w:ascii="Arial" w:hAnsi="Arial" w:cs="Arial"/>
                <w:sz w:val="18"/>
                <w:szCs w:val="18"/>
                <w:lang w:val="ro-RO"/>
              </w:rPr>
            </w:pPr>
            <w:r>
              <w:rPr>
                <w:rFonts w:ascii="Arial" w:hAnsi="Arial" w:cs="Arial"/>
                <w:sz w:val="18"/>
                <w:szCs w:val="18"/>
                <w:lang w:val="ro-RO"/>
              </w:rPr>
              <w:t xml:space="preserve"> (of ceramic articles)</w:t>
            </w:r>
          </w:p>
        </w:tc>
        <w:tc>
          <w:tcPr>
            <w:tcW w:w="479" w:type="pct"/>
          </w:tcPr>
          <w:p w14:paraId="194E903A"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894</w:t>
            </w:r>
          </w:p>
        </w:tc>
        <w:tc>
          <w:tcPr>
            <w:tcW w:w="336" w:type="pct"/>
          </w:tcPr>
          <w:p w14:paraId="75FFB78A"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54</w:t>
            </w:r>
          </w:p>
        </w:tc>
        <w:tc>
          <w:tcPr>
            <w:tcW w:w="426" w:type="pct"/>
          </w:tcPr>
          <w:p w14:paraId="6E312B5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6F593692"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468" w:type="pct"/>
          </w:tcPr>
          <w:p w14:paraId="4C8F6A43" w14:textId="77777777" w:rsidR="00EE2BB0" w:rsidRPr="00383E48" w:rsidRDefault="00EE2BB0" w:rsidP="00DE2D4D">
            <w:pPr>
              <w:rPr>
                <w:rFonts w:ascii="Arial" w:hAnsi="Arial" w:cs="Arial"/>
                <w:sz w:val="18"/>
                <w:szCs w:val="18"/>
                <w:lang w:val="ro-RO"/>
              </w:rPr>
            </w:pPr>
            <w:r w:rsidRPr="00383E48">
              <w:rPr>
                <w:rFonts w:ascii="Arial" w:hAnsi="Arial" w:cs="Arial"/>
                <w:sz w:val="18"/>
                <w:szCs w:val="18"/>
                <w:lang w:val="ro-RO"/>
              </w:rPr>
              <w:t>NO</w:t>
            </w:r>
          </w:p>
        </w:tc>
        <w:tc>
          <w:tcPr>
            <w:tcW w:w="920" w:type="pct"/>
          </w:tcPr>
          <w:p w14:paraId="34EC637C" w14:textId="11A06E1C" w:rsidR="00EE2BB0" w:rsidRPr="00383E48" w:rsidRDefault="00B57724" w:rsidP="00DE2D4D">
            <w:pPr>
              <w:rPr>
                <w:rFonts w:ascii="Arial" w:hAnsi="Arial" w:cs="Arial"/>
                <w:sz w:val="18"/>
                <w:szCs w:val="18"/>
                <w:lang w:val="ro-RO"/>
              </w:rPr>
            </w:pPr>
            <w:r>
              <w:rPr>
                <w:rFonts w:ascii="Arial" w:hAnsi="Arial" w:cs="Arial"/>
                <w:sz w:val="18"/>
                <w:szCs w:val="18"/>
                <w:lang w:val="ro-RO"/>
              </w:rPr>
              <w:t>Not affected by the transition from a business model perspective; International market</w:t>
            </w:r>
          </w:p>
        </w:tc>
      </w:tr>
      <w:tr w:rsidR="00EE2BB0" w:rsidRPr="000041A4" w14:paraId="4BBE0668" w14:textId="77777777" w:rsidTr="00DE2D4D">
        <w:tc>
          <w:tcPr>
            <w:tcW w:w="884" w:type="pct"/>
          </w:tcPr>
          <w:p w14:paraId="0B4BD8EE"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KASTAMONU ROMANIA SA</w:t>
            </w:r>
          </w:p>
        </w:tc>
        <w:tc>
          <w:tcPr>
            <w:tcW w:w="1097" w:type="pct"/>
          </w:tcPr>
          <w:p w14:paraId="24439A17" w14:textId="77777777" w:rsidR="00B57724"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B57724">
              <w:rPr>
                <w:rFonts w:ascii="Arial" w:hAnsi="Arial" w:cs="Arial"/>
                <w:sz w:val="18"/>
                <w:szCs w:val="18"/>
                <w:lang w:val="ro-RO"/>
              </w:rPr>
              <w:t xml:space="preserve"> </w:t>
            </w:r>
          </w:p>
          <w:p w14:paraId="77CDE345" w14:textId="57BDB7DE" w:rsidR="00EE2BB0" w:rsidRPr="00EE2BB0" w:rsidRDefault="00B57724" w:rsidP="00DE2D4D">
            <w:pPr>
              <w:rPr>
                <w:rFonts w:ascii="Arial" w:hAnsi="Arial" w:cs="Arial"/>
                <w:sz w:val="18"/>
                <w:szCs w:val="18"/>
                <w:lang w:val="ro-RO"/>
              </w:rPr>
            </w:pPr>
            <w:r>
              <w:rPr>
                <w:rFonts w:ascii="Arial" w:hAnsi="Arial" w:cs="Arial"/>
                <w:sz w:val="18"/>
                <w:szCs w:val="18"/>
                <w:lang w:val="ro-RO"/>
              </w:rPr>
              <w:t>(of woodworks)</w:t>
            </w:r>
          </w:p>
        </w:tc>
        <w:tc>
          <w:tcPr>
            <w:tcW w:w="479" w:type="pct"/>
          </w:tcPr>
          <w:p w14:paraId="3094D2D7"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863</w:t>
            </w:r>
          </w:p>
        </w:tc>
        <w:tc>
          <w:tcPr>
            <w:tcW w:w="336" w:type="pct"/>
          </w:tcPr>
          <w:p w14:paraId="586956D9"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605</w:t>
            </w:r>
          </w:p>
        </w:tc>
        <w:tc>
          <w:tcPr>
            <w:tcW w:w="426" w:type="pct"/>
          </w:tcPr>
          <w:p w14:paraId="5C35AD6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12494752"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2041C98A" w14:textId="2874410E" w:rsidR="00EE2BB0" w:rsidRPr="00383E48" w:rsidRDefault="00EE2BB0" w:rsidP="00DE2D4D">
            <w:pPr>
              <w:rPr>
                <w:rFonts w:ascii="Arial" w:hAnsi="Arial" w:cs="Arial"/>
                <w:sz w:val="18"/>
                <w:szCs w:val="18"/>
                <w:lang w:val="ro-RO"/>
              </w:rPr>
            </w:pPr>
            <w:r w:rsidRPr="00383E48">
              <w:rPr>
                <w:rFonts w:ascii="Arial" w:hAnsi="Arial" w:cs="Arial"/>
                <w:sz w:val="18"/>
                <w:szCs w:val="18"/>
                <w:lang w:val="ro-RO"/>
              </w:rPr>
              <w:t>NO</w:t>
            </w:r>
            <w:r w:rsidR="00B57724">
              <w:rPr>
                <w:rStyle w:val="FootnoteReference"/>
                <w:rFonts w:ascii="Arial" w:hAnsi="Arial" w:cs="Arial"/>
                <w:sz w:val="18"/>
                <w:szCs w:val="18"/>
                <w:lang w:val="ro-RO"/>
              </w:rPr>
              <w:footnoteReference w:id="128"/>
            </w:r>
          </w:p>
        </w:tc>
        <w:tc>
          <w:tcPr>
            <w:tcW w:w="920" w:type="pct"/>
          </w:tcPr>
          <w:p w14:paraId="16DD882E" w14:textId="75DCB043" w:rsidR="00EE2BB0" w:rsidRPr="00383E48" w:rsidRDefault="00EE2BB0" w:rsidP="00DE2D4D">
            <w:pPr>
              <w:rPr>
                <w:rFonts w:ascii="Arial" w:hAnsi="Arial" w:cs="Arial"/>
                <w:sz w:val="18"/>
                <w:szCs w:val="18"/>
                <w:lang w:val="ro-RO"/>
              </w:rPr>
            </w:pPr>
          </w:p>
        </w:tc>
      </w:tr>
      <w:tr w:rsidR="00EE2BB0" w:rsidRPr="00EE2BB0" w14:paraId="70543792" w14:textId="77777777" w:rsidTr="00DE2D4D">
        <w:tc>
          <w:tcPr>
            <w:tcW w:w="884" w:type="pct"/>
          </w:tcPr>
          <w:p w14:paraId="54089860"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ARTEMOB INTERNATIONAL SRL</w:t>
            </w:r>
          </w:p>
        </w:tc>
        <w:tc>
          <w:tcPr>
            <w:tcW w:w="1097" w:type="pct"/>
          </w:tcPr>
          <w:p w14:paraId="1EAFA825" w14:textId="77777777" w:rsidR="00B57724"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B57724">
              <w:rPr>
                <w:rFonts w:ascii="Arial" w:hAnsi="Arial" w:cs="Arial"/>
                <w:sz w:val="18"/>
                <w:szCs w:val="18"/>
                <w:lang w:val="ro-RO"/>
              </w:rPr>
              <w:t xml:space="preserve"> </w:t>
            </w:r>
          </w:p>
          <w:p w14:paraId="68CA777C" w14:textId="507B210C" w:rsidR="00EE2BB0" w:rsidRPr="00EE2BB0" w:rsidRDefault="00B57724" w:rsidP="00DE2D4D">
            <w:pPr>
              <w:rPr>
                <w:rFonts w:ascii="Arial" w:hAnsi="Arial" w:cs="Arial"/>
                <w:sz w:val="18"/>
                <w:szCs w:val="18"/>
                <w:lang w:val="ro-RO"/>
              </w:rPr>
            </w:pPr>
            <w:r>
              <w:rPr>
                <w:rFonts w:ascii="Arial" w:hAnsi="Arial" w:cs="Arial"/>
                <w:sz w:val="18"/>
                <w:szCs w:val="18"/>
                <w:lang w:val="ro-RO"/>
              </w:rPr>
              <w:t>(of furniture)</w:t>
            </w:r>
          </w:p>
        </w:tc>
        <w:tc>
          <w:tcPr>
            <w:tcW w:w="479" w:type="pct"/>
          </w:tcPr>
          <w:p w14:paraId="3A56BD5E"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860</w:t>
            </w:r>
          </w:p>
        </w:tc>
        <w:tc>
          <w:tcPr>
            <w:tcW w:w="336" w:type="pct"/>
          </w:tcPr>
          <w:p w14:paraId="2CAB9983"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143</w:t>
            </w:r>
          </w:p>
        </w:tc>
        <w:tc>
          <w:tcPr>
            <w:tcW w:w="426" w:type="pct"/>
          </w:tcPr>
          <w:p w14:paraId="4E2D12AD"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323259C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468" w:type="pct"/>
          </w:tcPr>
          <w:p w14:paraId="50AA11F6" w14:textId="77777777" w:rsidR="00EE2BB0" w:rsidRPr="00383E48" w:rsidRDefault="00EE2BB0" w:rsidP="00DE2D4D">
            <w:pPr>
              <w:rPr>
                <w:rFonts w:ascii="Arial" w:hAnsi="Arial" w:cs="Arial"/>
                <w:sz w:val="18"/>
                <w:szCs w:val="18"/>
                <w:lang w:val="ro-RO"/>
              </w:rPr>
            </w:pPr>
            <w:r w:rsidRPr="00383E48">
              <w:rPr>
                <w:rFonts w:ascii="Arial" w:hAnsi="Arial" w:cs="Arial"/>
                <w:sz w:val="18"/>
                <w:szCs w:val="18"/>
                <w:lang w:val="ro-RO"/>
              </w:rPr>
              <w:t>NO</w:t>
            </w:r>
          </w:p>
        </w:tc>
        <w:tc>
          <w:tcPr>
            <w:tcW w:w="920" w:type="pct"/>
          </w:tcPr>
          <w:p w14:paraId="277FE3D5" w14:textId="52ACEAA2" w:rsidR="00EE2BB0" w:rsidRPr="00383E48" w:rsidRDefault="00B57724" w:rsidP="00DE2D4D">
            <w:pPr>
              <w:rPr>
                <w:rFonts w:ascii="Arial" w:hAnsi="Arial" w:cs="Arial"/>
                <w:sz w:val="18"/>
                <w:szCs w:val="18"/>
                <w:lang w:val="ro-RO"/>
              </w:rPr>
            </w:pPr>
            <w:r>
              <w:rPr>
                <w:rFonts w:ascii="Arial" w:hAnsi="Arial" w:cs="Arial"/>
                <w:sz w:val="18"/>
                <w:szCs w:val="18"/>
                <w:lang w:val="ro-RO"/>
              </w:rPr>
              <w:t>Not affected by the transition from a business model perspective</w:t>
            </w:r>
          </w:p>
        </w:tc>
      </w:tr>
      <w:tr w:rsidR="00EE2BB0" w:rsidRPr="00EE2BB0" w14:paraId="7C42BFF6" w14:textId="77777777" w:rsidTr="00DE2D4D">
        <w:tc>
          <w:tcPr>
            <w:tcW w:w="884" w:type="pct"/>
          </w:tcPr>
          <w:p w14:paraId="69E4CA08"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GEDEON RICHTER ROMANIA SA</w:t>
            </w:r>
          </w:p>
        </w:tc>
        <w:tc>
          <w:tcPr>
            <w:tcW w:w="1097" w:type="pct"/>
          </w:tcPr>
          <w:p w14:paraId="63270C09" w14:textId="77777777" w:rsidR="00B57724" w:rsidRDefault="00EE2BB0" w:rsidP="00DE2D4D">
            <w:pPr>
              <w:rPr>
                <w:rFonts w:ascii="Arial" w:hAnsi="Arial" w:cs="Arial"/>
                <w:sz w:val="18"/>
                <w:szCs w:val="18"/>
                <w:lang w:val="ro-RO"/>
              </w:rPr>
            </w:pPr>
            <w:r w:rsidRPr="00EE2BB0">
              <w:rPr>
                <w:rFonts w:ascii="Arial" w:hAnsi="Arial" w:cs="Arial"/>
                <w:sz w:val="18"/>
                <w:szCs w:val="18"/>
                <w:lang w:val="ro-RO"/>
              </w:rPr>
              <w:t>C MANUFACTURING</w:t>
            </w:r>
            <w:r w:rsidR="00B57724">
              <w:rPr>
                <w:rFonts w:ascii="Arial" w:hAnsi="Arial" w:cs="Arial"/>
                <w:sz w:val="18"/>
                <w:szCs w:val="18"/>
                <w:lang w:val="ro-RO"/>
              </w:rPr>
              <w:t xml:space="preserve"> </w:t>
            </w:r>
          </w:p>
          <w:p w14:paraId="092787A0" w14:textId="3F455DAA" w:rsidR="00EE2BB0" w:rsidRPr="00EE2BB0" w:rsidRDefault="00B57724" w:rsidP="00DE2D4D">
            <w:pPr>
              <w:rPr>
                <w:rFonts w:ascii="Arial" w:hAnsi="Arial" w:cs="Arial"/>
                <w:sz w:val="18"/>
                <w:szCs w:val="18"/>
                <w:lang w:val="ro-RO"/>
              </w:rPr>
            </w:pPr>
            <w:r>
              <w:rPr>
                <w:rFonts w:ascii="Arial" w:hAnsi="Arial" w:cs="Arial"/>
                <w:sz w:val="18"/>
                <w:szCs w:val="18"/>
                <w:lang w:val="ro-RO"/>
              </w:rPr>
              <w:t xml:space="preserve">(of </w:t>
            </w:r>
            <w:r w:rsidRPr="00B57724">
              <w:rPr>
                <w:rFonts w:ascii="Arial" w:hAnsi="Arial" w:cs="Arial"/>
                <w:sz w:val="18"/>
                <w:szCs w:val="18"/>
                <w:lang w:val="ro-RO"/>
              </w:rPr>
              <w:t>pharmaceutical products</w:t>
            </w:r>
            <w:r>
              <w:rPr>
                <w:rFonts w:ascii="Arial" w:hAnsi="Arial" w:cs="Arial"/>
                <w:sz w:val="18"/>
                <w:szCs w:val="18"/>
                <w:lang w:val="ro-RO"/>
              </w:rPr>
              <w:t>)</w:t>
            </w:r>
          </w:p>
        </w:tc>
        <w:tc>
          <w:tcPr>
            <w:tcW w:w="479" w:type="pct"/>
          </w:tcPr>
          <w:p w14:paraId="4C8ABC1F"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586</w:t>
            </w:r>
          </w:p>
        </w:tc>
        <w:tc>
          <w:tcPr>
            <w:tcW w:w="336" w:type="pct"/>
          </w:tcPr>
          <w:p w14:paraId="015FD78B"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185</w:t>
            </w:r>
          </w:p>
        </w:tc>
        <w:tc>
          <w:tcPr>
            <w:tcW w:w="426" w:type="pct"/>
          </w:tcPr>
          <w:p w14:paraId="54DCA0A6"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2F0BE024"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468" w:type="pct"/>
          </w:tcPr>
          <w:p w14:paraId="75A2903A" w14:textId="77777777" w:rsidR="00EE2BB0" w:rsidRPr="00383E48" w:rsidRDefault="00EE2BB0" w:rsidP="00DE2D4D">
            <w:pPr>
              <w:rPr>
                <w:rFonts w:ascii="Arial" w:hAnsi="Arial" w:cs="Arial"/>
                <w:sz w:val="18"/>
                <w:szCs w:val="18"/>
                <w:lang w:val="ro-RO"/>
              </w:rPr>
            </w:pPr>
            <w:r w:rsidRPr="00383E48">
              <w:rPr>
                <w:rFonts w:ascii="Arial" w:hAnsi="Arial" w:cs="Arial"/>
                <w:sz w:val="18"/>
                <w:szCs w:val="18"/>
                <w:lang w:val="ro-RO"/>
              </w:rPr>
              <w:t>NO</w:t>
            </w:r>
          </w:p>
        </w:tc>
        <w:tc>
          <w:tcPr>
            <w:tcW w:w="920" w:type="pct"/>
          </w:tcPr>
          <w:p w14:paraId="78840863" w14:textId="4EB2271C" w:rsidR="00EE2BB0" w:rsidRPr="00383E48" w:rsidRDefault="00B57724" w:rsidP="00DE2D4D">
            <w:pPr>
              <w:rPr>
                <w:rFonts w:ascii="Arial" w:hAnsi="Arial" w:cs="Arial"/>
                <w:sz w:val="18"/>
                <w:szCs w:val="18"/>
                <w:lang w:val="ro-RO"/>
              </w:rPr>
            </w:pPr>
            <w:r>
              <w:rPr>
                <w:rFonts w:ascii="Arial" w:hAnsi="Arial" w:cs="Arial"/>
                <w:sz w:val="18"/>
                <w:szCs w:val="18"/>
                <w:lang w:val="ro-RO"/>
              </w:rPr>
              <w:t>Not affected by the transition from a business model perspective</w:t>
            </w:r>
          </w:p>
        </w:tc>
      </w:tr>
      <w:tr w:rsidR="00EE2BB0" w:rsidRPr="00EE2BB0" w14:paraId="1AC5358C" w14:textId="77777777" w:rsidTr="00DE2D4D">
        <w:tc>
          <w:tcPr>
            <w:tcW w:w="884" w:type="pct"/>
          </w:tcPr>
          <w:p w14:paraId="27CB4644"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E.ON ENERGIE ROMÂNIA SA</w:t>
            </w:r>
          </w:p>
        </w:tc>
        <w:tc>
          <w:tcPr>
            <w:tcW w:w="1097" w:type="pct"/>
          </w:tcPr>
          <w:p w14:paraId="3C5368F5" w14:textId="3F81C5AA"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 ELECTRICITY, GAS, STEAM AND AIR CONDITIONING SUPPLY</w:t>
            </w:r>
            <w:r w:rsidR="00B57724">
              <w:rPr>
                <w:rFonts w:ascii="Arial" w:hAnsi="Arial" w:cs="Arial"/>
                <w:sz w:val="18"/>
                <w:szCs w:val="18"/>
                <w:lang w:val="ro-RO"/>
              </w:rPr>
              <w:t xml:space="preserve"> (energy supply)</w:t>
            </w:r>
          </w:p>
        </w:tc>
        <w:tc>
          <w:tcPr>
            <w:tcW w:w="479" w:type="pct"/>
          </w:tcPr>
          <w:p w14:paraId="66EE5911"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195</w:t>
            </w:r>
          </w:p>
        </w:tc>
        <w:tc>
          <w:tcPr>
            <w:tcW w:w="336" w:type="pct"/>
          </w:tcPr>
          <w:p w14:paraId="60DBC7C0"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4,011</w:t>
            </w:r>
          </w:p>
        </w:tc>
        <w:tc>
          <w:tcPr>
            <w:tcW w:w="426" w:type="pct"/>
          </w:tcPr>
          <w:p w14:paraId="6A8B0423"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NO</w:t>
            </w:r>
          </w:p>
        </w:tc>
        <w:tc>
          <w:tcPr>
            <w:tcW w:w="390" w:type="pct"/>
          </w:tcPr>
          <w:p w14:paraId="722AA86D"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468" w:type="pct"/>
          </w:tcPr>
          <w:p w14:paraId="698C4525" w14:textId="77777777"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YES</w:t>
            </w:r>
          </w:p>
        </w:tc>
        <w:tc>
          <w:tcPr>
            <w:tcW w:w="920" w:type="pct"/>
          </w:tcPr>
          <w:p w14:paraId="45459DD8" w14:textId="625B928C" w:rsidR="00EE2BB0" w:rsidRPr="00EE2BB0" w:rsidRDefault="00EE2BB0" w:rsidP="00DE2D4D">
            <w:pPr>
              <w:rPr>
                <w:rFonts w:ascii="Arial" w:hAnsi="Arial" w:cs="Arial"/>
                <w:sz w:val="18"/>
                <w:szCs w:val="18"/>
                <w:lang w:val="ro-RO"/>
              </w:rPr>
            </w:pPr>
            <w:r w:rsidRPr="00EE2BB0">
              <w:rPr>
                <w:rFonts w:ascii="Arial" w:hAnsi="Arial" w:cs="Arial"/>
                <w:sz w:val="18"/>
                <w:szCs w:val="18"/>
                <w:lang w:val="ro-RO"/>
              </w:rPr>
              <w:t>Directly affected by decarboni</w:t>
            </w:r>
            <w:r w:rsidR="004E7B64">
              <w:rPr>
                <w:rFonts w:ascii="Arial" w:hAnsi="Arial" w:cs="Arial"/>
                <w:sz w:val="18"/>
                <w:szCs w:val="18"/>
                <w:lang w:val="ro-RO"/>
              </w:rPr>
              <w:t>sation</w:t>
            </w:r>
          </w:p>
        </w:tc>
      </w:tr>
    </w:tbl>
    <w:p w14:paraId="380BC223" w14:textId="5C64D2E2" w:rsidR="00EE2BB0" w:rsidRDefault="00DE2D4D" w:rsidP="00DE2D4D">
      <w:pPr>
        <w:pStyle w:val="Caption"/>
        <w:sectPr w:rsidR="00EE2BB0" w:rsidSect="00BE7F81">
          <w:headerReference w:type="default" r:id="rId185"/>
          <w:pgSz w:w="16834" w:h="11909" w:orient="landscape"/>
          <w:pgMar w:top="1530" w:right="1440" w:bottom="1440" w:left="1440" w:header="720" w:footer="720" w:gutter="0"/>
          <w:cols w:space="720"/>
          <w:docGrid w:linePitch="326"/>
        </w:sectPr>
      </w:pPr>
      <w:bookmarkStart w:id="286" w:name="_Toc90726017"/>
      <w:bookmarkStart w:id="287" w:name="_Toc90727314"/>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63</w:t>
      </w:r>
      <w:r w:rsidR="000B273D">
        <w:rPr>
          <w:noProof/>
        </w:rPr>
        <w:fldChar w:fldCharType="end"/>
      </w:r>
      <w:r>
        <w:t>: Large enterprises by turnover and employees, 2019, Mureș County</w:t>
      </w:r>
      <w:bookmarkEnd w:id="286"/>
      <w:bookmarkEnd w:id="287"/>
    </w:p>
    <w:p w14:paraId="48E5CBC7" w14:textId="4BF28E00" w:rsidR="00B57724" w:rsidRDefault="00B57724" w:rsidP="00E42342">
      <w:pPr>
        <w:pStyle w:val="ListParagraph"/>
        <w:numPr>
          <w:ilvl w:val="0"/>
          <w:numId w:val="297"/>
        </w:numPr>
        <w:spacing w:after="120"/>
        <w:jc w:val="both"/>
        <w:rPr>
          <w:color w:val="4F81BD" w:themeColor="accent1"/>
          <w:sz w:val="20"/>
          <w:szCs w:val="20"/>
        </w:rPr>
      </w:pPr>
      <w:r>
        <w:rPr>
          <w:color w:val="4F81BD" w:themeColor="accent1"/>
          <w:sz w:val="20"/>
          <w:szCs w:val="20"/>
        </w:rPr>
        <w:lastRenderedPageBreak/>
        <w:t>Human capital and employment</w:t>
      </w:r>
    </w:p>
    <w:p w14:paraId="563EC6D1" w14:textId="345A47F8" w:rsidR="007E66E3" w:rsidRPr="007E66E3" w:rsidRDefault="00001309" w:rsidP="007E66E3">
      <w:pPr>
        <w:pStyle w:val="CommentText"/>
        <w:spacing w:after="120"/>
        <w:jc w:val="both"/>
      </w:pPr>
      <w:r w:rsidRPr="004025A2">
        <w:t>T</w:t>
      </w:r>
      <w:r w:rsidR="007E66E3" w:rsidRPr="004025A2">
        <w:t xml:space="preserve">he previous </w:t>
      </w:r>
      <w:r w:rsidRPr="004025A2">
        <w:t>section analysed employment trends in various economic sectors in Mure</w:t>
      </w:r>
      <w:r w:rsidRPr="004025A2">
        <w:rPr>
          <w:lang w:val="ro-RO"/>
        </w:rPr>
        <w:t xml:space="preserve">ș. Additionaly, this </w:t>
      </w:r>
      <w:r w:rsidR="007E66E3" w:rsidRPr="004025A2">
        <w:t xml:space="preserve">section </w:t>
      </w:r>
      <w:r w:rsidRPr="004025A2">
        <w:t>makes</w:t>
      </w:r>
      <w:r w:rsidR="007E66E3" w:rsidRPr="004025A2">
        <w:t xml:space="preserve"> an in-depth </w:t>
      </w:r>
      <w:r w:rsidR="007E66E3" w:rsidRPr="007E66E3">
        <w:t>assessment of the unemployment perspective at county level</w:t>
      </w:r>
      <w:r>
        <w:t xml:space="preserve">. We are doing this by using </w:t>
      </w:r>
      <w:r w:rsidR="007E66E3" w:rsidRPr="007E66E3">
        <w:t>an additional indicator</w:t>
      </w:r>
      <w:r>
        <w:t xml:space="preserve">, which </w:t>
      </w:r>
      <w:r w:rsidR="007E66E3" w:rsidRPr="007E66E3">
        <w:t>monitor</w:t>
      </w:r>
      <w:r>
        <w:t>s</w:t>
      </w:r>
      <w:r w:rsidR="007E66E3" w:rsidRPr="007E66E3">
        <w:t xml:space="preserve"> the share of registered unemployment in the total labour resources</w:t>
      </w:r>
      <w:r w:rsidR="007E66E3" w:rsidRPr="007E66E3">
        <w:rPr>
          <w:rStyle w:val="FootnoteReference"/>
        </w:rPr>
        <w:footnoteReference w:id="129"/>
      </w:r>
      <w:r w:rsidR="007E66E3" w:rsidRPr="007E66E3">
        <w:t>. This allows for an outlook on the unemployment situation at local administrative unit level, compared to the unemployment rate indicator</w:t>
      </w:r>
      <w:r w:rsidR="007E66E3" w:rsidRPr="007E66E3">
        <w:rPr>
          <w:rStyle w:val="FootnoteReference"/>
        </w:rPr>
        <w:footnoteReference w:id="130"/>
      </w:r>
      <w:r w:rsidR="007E66E3" w:rsidRPr="007E66E3">
        <w:t xml:space="preserve"> which only allows monitoring at general county level. </w:t>
      </w:r>
    </w:p>
    <w:p w14:paraId="415E2348" w14:textId="40CA7D86" w:rsidR="007E66E3" w:rsidRPr="007E66E3" w:rsidRDefault="008970F1" w:rsidP="007E66E3">
      <w:pPr>
        <w:pStyle w:val="CommentText"/>
        <w:spacing w:after="120"/>
        <w:jc w:val="both"/>
      </w:pPr>
      <w:r>
        <w:t>Using this indicator, the</w:t>
      </w:r>
      <w:r w:rsidR="007E66E3" w:rsidRPr="007E66E3">
        <w:t xml:space="preserve"> graph below shows the evolution of unemployment between 2010 and 2020, while Figure </w:t>
      </w:r>
      <w:r w:rsidR="007E66E3">
        <w:t>2</w:t>
      </w:r>
      <w:r w:rsidR="002E605D">
        <w:t>2</w:t>
      </w:r>
      <w:r w:rsidR="007E66E3" w:rsidRPr="007E66E3">
        <w:t xml:space="preserve"> presents most and least affected localities in Hunedoara County by unemployment. </w:t>
      </w:r>
    </w:p>
    <w:p w14:paraId="5FFEC63B" w14:textId="17CD2965" w:rsidR="007E66E3" w:rsidRPr="003516DC" w:rsidRDefault="007E66E3" w:rsidP="007E66E3">
      <w:pPr>
        <w:pStyle w:val="Caption"/>
        <w:rPr>
          <w:i/>
          <w:color w:val="0070C0"/>
        </w:rPr>
      </w:pPr>
      <w:bookmarkStart w:id="288" w:name="_Toc90727381"/>
      <w:r w:rsidRPr="003516DC">
        <w:t xml:space="preserve">Graph </w:t>
      </w:r>
      <w:r w:rsidR="000B273D">
        <w:rPr>
          <w:noProof/>
        </w:rPr>
        <w:fldChar w:fldCharType="begin"/>
      </w:r>
      <w:r w:rsidR="000B273D">
        <w:rPr>
          <w:noProof/>
        </w:rPr>
        <w:instrText xml:space="preserve"> SEQ Graph</w:instrText>
      </w:r>
      <w:r w:rsidR="000B273D">
        <w:rPr>
          <w:noProof/>
        </w:rPr>
        <w:instrText xml:space="preserve"> \* ARABIC </w:instrText>
      </w:r>
      <w:r w:rsidR="000B273D">
        <w:rPr>
          <w:noProof/>
        </w:rPr>
        <w:fldChar w:fldCharType="separate"/>
      </w:r>
      <w:r w:rsidR="007E5B0B">
        <w:rPr>
          <w:noProof/>
        </w:rPr>
        <w:t>45</w:t>
      </w:r>
      <w:r w:rsidR="000B273D">
        <w:rPr>
          <w:noProof/>
        </w:rPr>
        <w:fldChar w:fldCharType="end"/>
      </w:r>
      <w:r w:rsidRPr="003516DC">
        <w:t xml:space="preserve">: Unemployment evolution, 2010-2020, </w:t>
      </w:r>
      <w:r>
        <w:t>Mureș</w:t>
      </w:r>
      <w:r w:rsidRPr="003516DC">
        <w:t xml:space="preserve"> </w:t>
      </w:r>
      <w:r>
        <w:t>C</w:t>
      </w:r>
      <w:r w:rsidRPr="003516DC">
        <w:t>ounty</w:t>
      </w:r>
      <w:bookmarkEnd w:id="288"/>
    </w:p>
    <w:p w14:paraId="4C07A0D8" w14:textId="77777777" w:rsidR="007E66E3" w:rsidRPr="003516DC" w:rsidRDefault="007E66E3" w:rsidP="007E66E3">
      <w:pPr>
        <w:rPr>
          <w:rFonts w:ascii="Arial" w:hAnsi="Arial" w:cs="Arial"/>
          <w:i/>
          <w:iCs/>
          <w:color w:val="0070C0"/>
          <w:sz w:val="20"/>
          <w:szCs w:val="20"/>
        </w:rPr>
      </w:pPr>
      <w:r w:rsidRPr="00402580">
        <w:rPr>
          <w:rFonts w:ascii="Arial" w:hAnsi="Arial" w:cs="Arial"/>
          <w:noProof/>
          <w:lang w:val="en-US" w:eastAsia="en-US"/>
        </w:rPr>
        <w:drawing>
          <wp:inline distT="0" distB="0" distL="0" distR="0" wp14:anchorId="1AB69C3A" wp14:editId="3BFBB445">
            <wp:extent cx="5678424" cy="2377440"/>
            <wp:effectExtent l="0" t="0" r="0" b="3810"/>
            <wp:docPr id="2087055684" name="Chart 208705568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C9A74A9A-3379-457E-B871-3D345BB2F1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5BB26F62" w14:textId="3870417B" w:rsidR="007E66E3" w:rsidRPr="003516DC" w:rsidRDefault="007E66E3" w:rsidP="007E66E3">
      <w:pPr>
        <w:pStyle w:val="Caption"/>
      </w:pPr>
      <w:bookmarkStart w:id="289" w:name="_Toc90725949"/>
      <w:r w:rsidRPr="003516DC">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22</w:t>
      </w:r>
      <w:r w:rsidR="000B273D">
        <w:rPr>
          <w:noProof/>
        </w:rPr>
        <w:fldChar w:fldCharType="end"/>
      </w:r>
      <w:r w:rsidRPr="003516DC">
        <w:t xml:space="preserve">: Unemployment rate per UAT in </w:t>
      </w:r>
      <w:r>
        <w:t>Mureș</w:t>
      </w:r>
      <w:r w:rsidRPr="003516DC">
        <w:t xml:space="preserve"> </w:t>
      </w:r>
      <w:r>
        <w:t>C</w:t>
      </w:r>
      <w:r w:rsidRPr="003516DC">
        <w:t>ounty, 2020</w:t>
      </w:r>
      <w:bookmarkEnd w:id="289"/>
    </w:p>
    <w:p w14:paraId="6767F889" w14:textId="77777777" w:rsidR="007E66E3" w:rsidRPr="003516DC" w:rsidRDefault="007E66E3" w:rsidP="007E66E3">
      <w:pPr>
        <w:rPr>
          <w:rFonts w:ascii="Arial" w:hAnsi="Arial" w:cs="Arial"/>
        </w:rPr>
      </w:pPr>
      <w:r w:rsidRPr="00402580">
        <w:rPr>
          <w:rFonts w:ascii="Arial" w:hAnsi="Arial" w:cs="Arial"/>
          <w:noProof/>
          <w:lang w:val="en-US" w:eastAsia="en-US"/>
        </w:rPr>
        <w:drawing>
          <wp:inline distT="0" distB="0" distL="0" distR="0" wp14:anchorId="51594DD8" wp14:editId="6A0C3953">
            <wp:extent cx="5676265" cy="2768600"/>
            <wp:effectExtent l="0" t="0" r="635" b="0"/>
            <wp:docPr id="2087055685" name="Picture 2087055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91" name="Picture 2087055591"/>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676265" cy="2768600"/>
                    </a:xfrm>
                    <a:prstGeom prst="rect">
                      <a:avLst/>
                    </a:prstGeom>
                  </pic:spPr>
                </pic:pic>
              </a:graphicData>
            </a:graphic>
          </wp:inline>
        </w:drawing>
      </w:r>
    </w:p>
    <w:p w14:paraId="333E6DAB" w14:textId="537C60EA" w:rsidR="00B57724" w:rsidRPr="00B57724" w:rsidRDefault="00B57724" w:rsidP="00B57724">
      <w:pPr>
        <w:spacing w:after="120"/>
        <w:jc w:val="both"/>
        <w:rPr>
          <w:color w:val="4F81BD" w:themeColor="accent1"/>
          <w:sz w:val="20"/>
          <w:szCs w:val="20"/>
        </w:rPr>
      </w:pPr>
    </w:p>
    <w:p w14:paraId="2B3A5989" w14:textId="77777777" w:rsidR="007E66E3" w:rsidRPr="00402580" w:rsidRDefault="007E66E3" w:rsidP="007E66E3">
      <w:pPr>
        <w:spacing w:after="120"/>
        <w:jc w:val="both"/>
        <w:rPr>
          <w:rFonts w:ascii="Arial" w:hAnsi="Arial" w:cs="Arial"/>
          <w:sz w:val="20"/>
          <w:szCs w:val="20"/>
        </w:rPr>
      </w:pPr>
      <w:r>
        <w:rPr>
          <w:rFonts w:ascii="Arial" w:hAnsi="Arial" w:cs="Arial"/>
          <w:sz w:val="20"/>
          <w:szCs w:val="20"/>
        </w:rPr>
        <w:t>T</w:t>
      </w:r>
      <w:r w:rsidRPr="00402580">
        <w:rPr>
          <w:rFonts w:ascii="Arial" w:hAnsi="Arial" w:cs="Arial"/>
          <w:sz w:val="20"/>
          <w:szCs w:val="20"/>
        </w:rPr>
        <w:t xml:space="preserve">he share of registered unemployed </w:t>
      </w:r>
      <w:r>
        <w:rPr>
          <w:rFonts w:ascii="Arial" w:hAnsi="Arial" w:cs="Arial"/>
          <w:sz w:val="20"/>
          <w:szCs w:val="20"/>
        </w:rPr>
        <w:t>declined from</w:t>
      </w:r>
      <w:r w:rsidRPr="00402580">
        <w:rPr>
          <w:rFonts w:ascii="Arial" w:hAnsi="Arial" w:cs="Arial"/>
          <w:sz w:val="20"/>
          <w:szCs w:val="20"/>
        </w:rPr>
        <w:t xml:space="preserve"> 5.1% </w:t>
      </w:r>
      <w:r>
        <w:rPr>
          <w:rFonts w:ascii="Arial" w:hAnsi="Arial" w:cs="Arial"/>
          <w:sz w:val="20"/>
          <w:szCs w:val="20"/>
        </w:rPr>
        <w:t xml:space="preserve">in 2010 </w:t>
      </w:r>
      <w:r w:rsidRPr="00402580">
        <w:rPr>
          <w:rFonts w:ascii="Arial" w:hAnsi="Arial" w:cs="Arial"/>
          <w:sz w:val="20"/>
          <w:szCs w:val="20"/>
        </w:rPr>
        <w:t xml:space="preserve">to </w:t>
      </w:r>
      <w:r>
        <w:rPr>
          <w:rFonts w:ascii="Arial" w:hAnsi="Arial" w:cs="Arial"/>
          <w:sz w:val="20"/>
          <w:szCs w:val="20"/>
        </w:rPr>
        <w:t xml:space="preserve">1.8% in </w:t>
      </w:r>
      <w:r w:rsidRPr="00402580">
        <w:rPr>
          <w:rFonts w:ascii="Arial" w:hAnsi="Arial" w:cs="Arial"/>
          <w:sz w:val="20"/>
          <w:szCs w:val="20"/>
        </w:rPr>
        <w:t xml:space="preserve">2020. </w:t>
      </w:r>
      <w:r>
        <w:rPr>
          <w:rFonts w:ascii="Arial" w:hAnsi="Arial" w:cs="Arial"/>
          <w:sz w:val="20"/>
          <w:szCs w:val="20"/>
        </w:rPr>
        <w:t>In urban areas</w:t>
      </w:r>
      <w:r w:rsidRPr="00402580">
        <w:rPr>
          <w:rFonts w:ascii="Arial" w:hAnsi="Arial" w:cs="Arial"/>
          <w:sz w:val="20"/>
          <w:szCs w:val="20"/>
        </w:rPr>
        <w:t>, the unemploy</w:t>
      </w:r>
      <w:r>
        <w:rPr>
          <w:rFonts w:ascii="Arial" w:hAnsi="Arial" w:cs="Arial"/>
          <w:sz w:val="20"/>
          <w:szCs w:val="20"/>
        </w:rPr>
        <w:t>ment rate was 4.69%</w:t>
      </w:r>
      <w:r w:rsidRPr="00402580">
        <w:rPr>
          <w:rFonts w:ascii="Arial" w:hAnsi="Arial" w:cs="Arial"/>
          <w:sz w:val="20"/>
          <w:szCs w:val="20"/>
        </w:rPr>
        <w:t xml:space="preserve"> in 2010 and </w:t>
      </w:r>
      <w:r>
        <w:rPr>
          <w:rFonts w:ascii="Arial" w:hAnsi="Arial" w:cs="Arial"/>
          <w:sz w:val="20"/>
          <w:szCs w:val="20"/>
        </w:rPr>
        <w:t xml:space="preserve">1.59% </w:t>
      </w:r>
      <w:r w:rsidRPr="00402580">
        <w:rPr>
          <w:rFonts w:ascii="Arial" w:hAnsi="Arial" w:cs="Arial"/>
          <w:sz w:val="20"/>
          <w:szCs w:val="20"/>
        </w:rPr>
        <w:t>in 2020. In rural areas, the unemployment rate</w:t>
      </w:r>
      <w:r>
        <w:rPr>
          <w:rFonts w:ascii="Arial" w:hAnsi="Arial" w:cs="Arial"/>
          <w:sz w:val="20"/>
          <w:szCs w:val="20"/>
        </w:rPr>
        <w:t xml:space="preserve"> </w:t>
      </w:r>
      <w:r w:rsidRPr="00402580">
        <w:rPr>
          <w:rFonts w:ascii="Arial" w:hAnsi="Arial" w:cs="Arial"/>
          <w:sz w:val="20"/>
          <w:szCs w:val="20"/>
        </w:rPr>
        <w:t xml:space="preserve">was 7.47% </w:t>
      </w:r>
      <w:r>
        <w:rPr>
          <w:rFonts w:ascii="Arial" w:hAnsi="Arial" w:cs="Arial"/>
          <w:sz w:val="20"/>
          <w:szCs w:val="20"/>
        </w:rPr>
        <w:t xml:space="preserve">in 2010 </w:t>
      </w:r>
      <w:r w:rsidRPr="00402580">
        <w:rPr>
          <w:rFonts w:ascii="Arial" w:hAnsi="Arial" w:cs="Arial"/>
          <w:sz w:val="20"/>
          <w:szCs w:val="20"/>
        </w:rPr>
        <w:t>and</w:t>
      </w:r>
      <w:r>
        <w:rPr>
          <w:rFonts w:ascii="Arial" w:hAnsi="Arial" w:cs="Arial"/>
          <w:sz w:val="20"/>
          <w:szCs w:val="20"/>
        </w:rPr>
        <w:t xml:space="preserve"> 2.82%</w:t>
      </w:r>
      <w:r w:rsidRPr="00402580">
        <w:rPr>
          <w:rFonts w:ascii="Arial" w:hAnsi="Arial" w:cs="Arial"/>
          <w:sz w:val="20"/>
          <w:szCs w:val="20"/>
        </w:rPr>
        <w:t xml:space="preserve"> in 2020.</w:t>
      </w:r>
    </w:p>
    <w:p w14:paraId="7889B4A8" w14:textId="77777777" w:rsidR="007E66E3" w:rsidRPr="00402580" w:rsidRDefault="007E66E3" w:rsidP="007E66E3">
      <w:pPr>
        <w:spacing w:after="120"/>
        <w:jc w:val="both"/>
        <w:rPr>
          <w:rFonts w:ascii="Arial" w:hAnsi="Arial" w:cs="Arial"/>
          <w:sz w:val="20"/>
          <w:szCs w:val="20"/>
        </w:rPr>
      </w:pPr>
      <w:r w:rsidRPr="00402580">
        <w:rPr>
          <w:rFonts w:ascii="Arial" w:hAnsi="Arial" w:cs="Arial"/>
          <w:sz w:val="20"/>
          <w:szCs w:val="20"/>
        </w:rPr>
        <w:lastRenderedPageBreak/>
        <w:t xml:space="preserve">The lowest unemployment rate in 2020 in Mureș County </w:t>
      </w:r>
      <w:r>
        <w:rPr>
          <w:rFonts w:ascii="Arial" w:hAnsi="Arial" w:cs="Arial"/>
          <w:sz w:val="20"/>
          <w:szCs w:val="20"/>
        </w:rPr>
        <w:t>was recorded</w:t>
      </w:r>
      <w:r w:rsidRPr="00402580">
        <w:rPr>
          <w:rFonts w:ascii="Arial" w:hAnsi="Arial" w:cs="Arial"/>
          <w:sz w:val="20"/>
          <w:szCs w:val="20"/>
        </w:rPr>
        <w:t xml:space="preserve"> in Coruca (0.40%), Crăiesi (0.60%),</w:t>
      </w:r>
      <w:r>
        <w:rPr>
          <w:rFonts w:ascii="Arial" w:hAnsi="Arial" w:cs="Arial"/>
          <w:sz w:val="20"/>
          <w:szCs w:val="20"/>
        </w:rPr>
        <w:t xml:space="preserve"> and</w:t>
      </w:r>
      <w:r w:rsidRPr="00402580">
        <w:rPr>
          <w:rFonts w:ascii="Arial" w:hAnsi="Arial" w:cs="Arial"/>
          <w:sz w:val="20"/>
          <w:szCs w:val="20"/>
        </w:rPr>
        <w:t xml:space="preserve"> Târgu Mureș (0.80%). </w:t>
      </w:r>
      <w:r>
        <w:rPr>
          <w:rFonts w:ascii="Arial" w:hAnsi="Arial" w:cs="Arial"/>
          <w:sz w:val="20"/>
          <w:szCs w:val="20"/>
        </w:rPr>
        <w:t>In</w:t>
      </w:r>
      <w:r w:rsidRPr="00402580">
        <w:rPr>
          <w:rFonts w:ascii="Arial" w:hAnsi="Arial" w:cs="Arial"/>
          <w:sz w:val="20"/>
          <w:szCs w:val="20"/>
        </w:rPr>
        <w:t xml:space="preserve"> 2010</w:t>
      </w:r>
      <w:r>
        <w:rPr>
          <w:rFonts w:ascii="Arial" w:hAnsi="Arial" w:cs="Arial"/>
          <w:sz w:val="20"/>
          <w:szCs w:val="20"/>
        </w:rPr>
        <w:t>,</w:t>
      </w:r>
      <w:r w:rsidRPr="00402580">
        <w:rPr>
          <w:rFonts w:ascii="Arial" w:hAnsi="Arial" w:cs="Arial"/>
          <w:sz w:val="20"/>
          <w:szCs w:val="20"/>
        </w:rPr>
        <w:t xml:space="preserve"> the lowest unemployment rates were in Sighișoara (1.90%), Cozma (2.30%), </w:t>
      </w:r>
      <w:r>
        <w:rPr>
          <w:rFonts w:ascii="Arial" w:hAnsi="Arial" w:cs="Arial"/>
          <w:sz w:val="20"/>
          <w:szCs w:val="20"/>
        </w:rPr>
        <w:t xml:space="preserve">and </w:t>
      </w:r>
      <w:r w:rsidRPr="00402580">
        <w:rPr>
          <w:rFonts w:ascii="Arial" w:hAnsi="Arial" w:cs="Arial"/>
          <w:sz w:val="20"/>
          <w:szCs w:val="20"/>
        </w:rPr>
        <w:t>Crăciunești (2.40%).</w:t>
      </w:r>
    </w:p>
    <w:p w14:paraId="55E493B5" w14:textId="77777777" w:rsidR="007E66E3" w:rsidRPr="007E66E3" w:rsidRDefault="007E66E3" w:rsidP="007E66E3">
      <w:pPr>
        <w:spacing w:after="120"/>
        <w:jc w:val="both"/>
        <w:rPr>
          <w:rFonts w:ascii="Arial" w:hAnsi="Arial" w:cs="Arial"/>
          <w:iCs/>
          <w:sz w:val="20"/>
          <w:szCs w:val="20"/>
        </w:rPr>
      </w:pPr>
      <w:r w:rsidRPr="007E66E3">
        <w:rPr>
          <w:rFonts w:ascii="Arial" w:hAnsi="Arial" w:cs="Arial"/>
          <w:iCs/>
          <w:sz w:val="20"/>
          <w:szCs w:val="20"/>
        </w:rPr>
        <w:t>By contrast, the highest unemployment rates in 2010 were found in Fărăgău (25.20%), Zagar (25.10%) and Vânători (17.30%). The highest shares of unemployment in 2020 included Zagar (15.40%), Band (11.80%) and Vânători (11.60%).</w:t>
      </w:r>
    </w:p>
    <w:p w14:paraId="46B6A0E4" w14:textId="701F4D5E" w:rsidR="007E66E3" w:rsidRDefault="007E66E3" w:rsidP="00E42342">
      <w:pPr>
        <w:pStyle w:val="ListParagraph"/>
        <w:numPr>
          <w:ilvl w:val="0"/>
          <w:numId w:val="298"/>
        </w:numPr>
        <w:spacing w:after="120"/>
        <w:jc w:val="both"/>
        <w:rPr>
          <w:color w:val="4F81BD" w:themeColor="accent1"/>
          <w:sz w:val="20"/>
          <w:szCs w:val="20"/>
        </w:rPr>
      </w:pPr>
      <w:r>
        <w:rPr>
          <w:color w:val="4F81BD" w:themeColor="accent1"/>
          <w:sz w:val="20"/>
          <w:szCs w:val="20"/>
        </w:rPr>
        <w:t>Social infrastructure</w:t>
      </w:r>
    </w:p>
    <w:p w14:paraId="2C4EB1D0" w14:textId="0BDDD504" w:rsidR="007E66E3" w:rsidRDefault="007E66E3" w:rsidP="007E66E3">
      <w:pPr>
        <w:spacing w:after="120"/>
        <w:jc w:val="both"/>
        <w:rPr>
          <w:rFonts w:ascii="Arial" w:hAnsi="Arial" w:cs="Arial"/>
          <w:sz w:val="20"/>
          <w:szCs w:val="20"/>
        </w:rPr>
      </w:pPr>
      <w:r w:rsidRPr="003516DC">
        <w:rPr>
          <w:rFonts w:ascii="Arial" w:hAnsi="Arial" w:cs="Arial"/>
          <w:sz w:val="20"/>
          <w:szCs w:val="20"/>
        </w:rPr>
        <w:t xml:space="preserve">In Mureș County, the relevant social infrastructure consists of kindergartens, vocational schools, </w:t>
      </w:r>
      <w:r>
        <w:rPr>
          <w:rFonts w:ascii="Arial" w:hAnsi="Arial" w:cs="Arial"/>
          <w:sz w:val="20"/>
          <w:szCs w:val="20"/>
        </w:rPr>
        <w:t xml:space="preserve">and </w:t>
      </w:r>
      <w:r w:rsidRPr="003516DC">
        <w:rPr>
          <w:rFonts w:ascii="Arial" w:hAnsi="Arial" w:cs="Arial"/>
          <w:sz w:val="20"/>
          <w:szCs w:val="20"/>
        </w:rPr>
        <w:t>high schools. According to available official statistics</w:t>
      </w:r>
      <w:r>
        <w:rPr>
          <w:rStyle w:val="FootnoteReference"/>
          <w:rFonts w:ascii="Arial" w:hAnsi="Arial" w:cs="Arial"/>
          <w:sz w:val="20"/>
          <w:szCs w:val="20"/>
        </w:rPr>
        <w:footnoteReference w:id="131"/>
      </w:r>
      <w:r w:rsidRPr="003516DC">
        <w:rPr>
          <w:rFonts w:ascii="Arial" w:hAnsi="Arial" w:cs="Arial"/>
          <w:sz w:val="20"/>
          <w:szCs w:val="20"/>
        </w:rPr>
        <w:t>, there are no nurseries or care centers for the elderly. The substantive analyses of the Regional Operational P</w:t>
      </w:r>
      <w:r w:rsidR="00D206E5">
        <w:rPr>
          <w:rFonts w:ascii="Arial" w:hAnsi="Arial" w:cs="Arial"/>
          <w:sz w:val="20"/>
          <w:szCs w:val="20"/>
        </w:rPr>
        <w:t xml:space="preserve">rogramme </w:t>
      </w:r>
      <w:r w:rsidRPr="003516DC">
        <w:rPr>
          <w:rFonts w:ascii="Arial" w:hAnsi="Arial" w:cs="Arial"/>
          <w:sz w:val="20"/>
          <w:szCs w:val="20"/>
        </w:rPr>
        <w:t xml:space="preserve">2021-2027 for the Central Region (version 1 - Sep 2020) emphasize that the unequal opportunities for access to quality education for all students and inclusive continue to affect especially children in vulnerable communities and groups. Early school </w:t>
      </w:r>
      <w:r>
        <w:rPr>
          <w:rFonts w:ascii="Arial" w:hAnsi="Arial" w:cs="Arial"/>
          <w:sz w:val="20"/>
          <w:szCs w:val="20"/>
        </w:rPr>
        <w:t>dropout</w:t>
      </w:r>
      <w:r w:rsidRPr="003516DC">
        <w:rPr>
          <w:rFonts w:ascii="Arial" w:hAnsi="Arial" w:cs="Arial"/>
          <w:sz w:val="20"/>
          <w:szCs w:val="20"/>
        </w:rPr>
        <w:t xml:space="preserve"> in the Central Region was 18.8% in 2018, compared to a national average of 16.4%</w:t>
      </w:r>
      <w:r>
        <w:rPr>
          <w:rFonts w:ascii="Arial" w:hAnsi="Arial" w:cs="Arial"/>
          <w:sz w:val="20"/>
          <w:szCs w:val="20"/>
        </w:rPr>
        <w:t>;</w:t>
      </w:r>
      <w:r w:rsidRPr="003516DC">
        <w:rPr>
          <w:rFonts w:ascii="Arial" w:hAnsi="Arial" w:cs="Arial"/>
          <w:sz w:val="20"/>
          <w:szCs w:val="20"/>
        </w:rPr>
        <w:t xml:space="preserve"> these values </w:t>
      </w:r>
      <w:r>
        <w:rPr>
          <w:rFonts w:ascii="Arial" w:hAnsi="Arial" w:cs="Arial"/>
          <w:sz w:val="20"/>
          <w:szCs w:val="20"/>
        </w:rPr>
        <w:t>are</w:t>
      </w:r>
      <w:r w:rsidRPr="003516DC">
        <w:rPr>
          <w:rFonts w:ascii="Arial" w:hAnsi="Arial" w:cs="Arial"/>
          <w:sz w:val="20"/>
          <w:szCs w:val="20"/>
        </w:rPr>
        <w:t xml:space="preserve"> </w:t>
      </w:r>
      <w:r>
        <w:rPr>
          <w:rFonts w:ascii="Arial" w:hAnsi="Arial" w:cs="Arial"/>
          <w:sz w:val="20"/>
          <w:szCs w:val="20"/>
        </w:rPr>
        <w:t>nearly</w:t>
      </w:r>
      <w:r w:rsidRPr="003516DC">
        <w:rPr>
          <w:rFonts w:ascii="Arial" w:hAnsi="Arial" w:cs="Arial"/>
          <w:sz w:val="20"/>
          <w:szCs w:val="20"/>
        </w:rPr>
        <w:t xml:space="preserve"> double the EU</w:t>
      </w:r>
      <w:r>
        <w:rPr>
          <w:rFonts w:ascii="Arial" w:hAnsi="Arial" w:cs="Arial"/>
          <w:sz w:val="20"/>
          <w:szCs w:val="20"/>
        </w:rPr>
        <w:t xml:space="preserve"> average</w:t>
      </w:r>
      <w:r w:rsidRPr="003516DC">
        <w:rPr>
          <w:rFonts w:ascii="Arial" w:hAnsi="Arial" w:cs="Arial"/>
          <w:sz w:val="20"/>
          <w:szCs w:val="20"/>
        </w:rPr>
        <w:t xml:space="preserve"> (10.5% in 2018). The 0-17 age group is the segment most affected by the phenomenon of poverty and social exclusion (38.1%). At the same time, there is a gap in terms of access to education between </w:t>
      </w:r>
      <w:r>
        <w:rPr>
          <w:rFonts w:ascii="Arial" w:hAnsi="Arial" w:cs="Arial"/>
          <w:sz w:val="20"/>
          <w:szCs w:val="20"/>
        </w:rPr>
        <w:t xml:space="preserve">residential </w:t>
      </w:r>
      <w:r w:rsidRPr="003516DC">
        <w:rPr>
          <w:rFonts w:ascii="Arial" w:hAnsi="Arial" w:cs="Arial"/>
          <w:sz w:val="20"/>
          <w:szCs w:val="20"/>
        </w:rPr>
        <w:t xml:space="preserve">area and between social categories, determined by the existence and quality of school infrastructure. </w:t>
      </w:r>
    </w:p>
    <w:p w14:paraId="5D1EF9AE" w14:textId="32C3264A" w:rsidR="007E66E3" w:rsidRDefault="007E66E3" w:rsidP="007E66E3">
      <w:pPr>
        <w:spacing w:after="120"/>
        <w:jc w:val="both"/>
        <w:rPr>
          <w:rFonts w:ascii="Arial" w:hAnsi="Arial" w:cs="Arial"/>
          <w:sz w:val="20"/>
          <w:szCs w:val="20"/>
        </w:rPr>
      </w:pPr>
      <w:r>
        <w:rPr>
          <w:rFonts w:ascii="Arial" w:hAnsi="Arial" w:cs="Arial"/>
          <w:sz w:val="20"/>
          <w:szCs w:val="20"/>
        </w:rPr>
        <w:t xml:space="preserve">According to the </w:t>
      </w:r>
      <w:r w:rsidRPr="00E273BF">
        <w:rPr>
          <w:rFonts w:ascii="Arial" w:hAnsi="Arial" w:cs="Arial"/>
          <w:sz w:val="20"/>
          <w:szCs w:val="20"/>
        </w:rPr>
        <w:t>Integrated Information System for Education in Romania</w:t>
      </w:r>
      <w:r>
        <w:rPr>
          <w:rFonts w:ascii="Arial" w:hAnsi="Arial" w:cs="Arial"/>
          <w:sz w:val="20"/>
          <w:szCs w:val="20"/>
        </w:rPr>
        <w:t xml:space="preserve"> (SIIIR), i</w:t>
      </w:r>
      <w:r w:rsidRPr="003516DC">
        <w:rPr>
          <w:rFonts w:ascii="Arial" w:hAnsi="Arial" w:cs="Arial"/>
          <w:sz w:val="20"/>
          <w:szCs w:val="20"/>
        </w:rPr>
        <w:t>n</w:t>
      </w:r>
      <w:r>
        <w:rPr>
          <w:rFonts w:ascii="Arial" w:hAnsi="Arial" w:cs="Arial"/>
          <w:sz w:val="20"/>
          <w:szCs w:val="20"/>
        </w:rPr>
        <w:t xml:space="preserve"> 2020 </w:t>
      </w:r>
      <w:r w:rsidRPr="003516DC">
        <w:rPr>
          <w:rFonts w:ascii="Arial" w:hAnsi="Arial" w:cs="Arial"/>
          <w:sz w:val="20"/>
          <w:szCs w:val="20"/>
        </w:rPr>
        <w:t xml:space="preserve">there </w:t>
      </w:r>
      <w:r>
        <w:rPr>
          <w:rFonts w:ascii="Arial" w:hAnsi="Arial" w:cs="Arial"/>
          <w:sz w:val="20"/>
          <w:szCs w:val="20"/>
        </w:rPr>
        <w:t>were</w:t>
      </w:r>
      <w:r w:rsidRPr="003516DC">
        <w:rPr>
          <w:rFonts w:ascii="Arial" w:hAnsi="Arial" w:cs="Arial"/>
          <w:sz w:val="20"/>
          <w:szCs w:val="20"/>
        </w:rPr>
        <w:t xml:space="preserve"> 141 kindergartens with </w:t>
      </w:r>
      <w:r>
        <w:rPr>
          <w:rFonts w:ascii="Arial" w:hAnsi="Arial" w:cs="Arial"/>
          <w:sz w:val="20"/>
          <w:szCs w:val="20"/>
        </w:rPr>
        <w:t xml:space="preserve">a </w:t>
      </w:r>
      <w:r w:rsidRPr="003516DC">
        <w:rPr>
          <w:rFonts w:ascii="Arial" w:hAnsi="Arial" w:cs="Arial"/>
          <w:sz w:val="20"/>
          <w:szCs w:val="20"/>
        </w:rPr>
        <w:t>normal program</w:t>
      </w:r>
      <w:r>
        <w:rPr>
          <w:rFonts w:ascii="Arial" w:hAnsi="Arial" w:cs="Arial"/>
          <w:sz w:val="20"/>
          <w:szCs w:val="20"/>
        </w:rPr>
        <w:t>me</w:t>
      </w:r>
      <w:r w:rsidRPr="003516DC">
        <w:rPr>
          <w:rFonts w:ascii="Arial" w:hAnsi="Arial" w:cs="Arial"/>
          <w:sz w:val="20"/>
          <w:szCs w:val="20"/>
        </w:rPr>
        <w:t xml:space="preserve">, 48 kindergartens with </w:t>
      </w:r>
      <w:r>
        <w:rPr>
          <w:rFonts w:ascii="Arial" w:hAnsi="Arial" w:cs="Arial"/>
          <w:sz w:val="20"/>
          <w:szCs w:val="20"/>
        </w:rPr>
        <w:t xml:space="preserve">an </w:t>
      </w:r>
      <w:r w:rsidRPr="003516DC">
        <w:rPr>
          <w:rFonts w:ascii="Arial" w:hAnsi="Arial" w:cs="Arial"/>
          <w:sz w:val="20"/>
          <w:szCs w:val="20"/>
        </w:rPr>
        <w:t>extended program</w:t>
      </w:r>
      <w:r>
        <w:rPr>
          <w:rFonts w:ascii="Arial" w:hAnsi="Arial" w:cs="Arial"/>
          <w:sz w:val="20"/>
          <w:szCs w:val="20"/>
        </w:rPr>
        <w:t>me</w:t>
      </w:r>
      <w:r w:rsidRPr="003516DC">
        <w:rPr>
          <w:rFonts w:ascii="Arial" w:hAnsi="Arial" w:cs="Arial"/>
          <w:sz w:val="20"/>
          <w:szCs w:val="20"/>
        </w:rPr>
        <w:t xml:space="preserve"> (all located in cities). Technical and university vocational education must meet the needs of current skills while the education system cannot keep up with the adaptation of teaching equipment to technological evolution. In Mureș County</w:t>
      </w:r>
      <w:r>
        <w:rPr>
          <w:rFonts w:ascii="Arial" w:hAnsi="Arial" w:cs="Arial"/>
          <w:sz w:val="20"/>
          <w:szCs w:val="20"/>
        </w:rPr>
        <w:t>,</w:t>
      </w:r>
      <w:r w:rsidRPr="003516DC">
        <w:rPr>
          <w:rFonts w:ascii="Arial" w:hAnsi="Arial" w:cs="Arial"/>
          <w:sz w:val="20"/>
          <w:szCs w:val="20"/>
        </w:rPr>
        <w:t xml:space="preserve"> there are 24 technological high schools, 4 post-secondary vocational schools and 3 vocational schools. Expenditures on education in Romania are the lowest in the European Union, only 3.2% of GDP compared to an EU average of 4.6% in 2018</w:t>
      </w:r>
      <w:r>
        <w:rPr>
          <w:rFonts w:ascii="Arial" w:hAnsi="Arial" w:cs="Arial"/>
          <w:sz w:val="20"/>
          <w:szCs w:val="20"/>
        </w:rPr>
        <w:t>.</w:t>
      </w:r>
      <w:r w:rsidRPr="003516DC">
        <w:rPr>
          <w:rFonts w:ascii="Arial" w:hAnsi="Arial" w:cs="Arial"/>
          <w:sz w:val="20"/>
          <w:szCs w:val="20"/>
        </w:rPr>
        <w:t xml:space="preserve"> </w:t>
      </w:r>
      <w:r>
        <w:rPr>
          <w:rFonts w:ascii="Arial" w:hAnsi="Arial" w:cs="Arial"/>
          <w:sz w:val="20"/>
          <w:szCs w:val="20"/>
        </w:rPr>
        <w:t>T</w:t>
      </w:r>
      <w:r w:rsidRPr="003516DC">
        <w:rPr>
          <w:rFonts w:ascii="Arial" w:hAnsi="Arial" w:cs="Arial"/>
          <w:sz w:val="20"/>
          <w:szCs w:val="20"/>
        </w:rPr>
        <w:t>his underfunding affect</w:t>
      </w:r>
      <w:r>
        <w:rPr>
          <w:rFonts w:ascii="Arial" w:hAnsi="Arial" w:cs="Arial"/>
          <w:sz w:val="20"/>
          <w:szCs w:val="20"/>
        </w:rPr>
        <w:t>s</w:t>
      </w:r>
      <w:r w:rsidRPr="003516DC">
        <w:rPr>
          <w:rFonts w:ascii="Arial" w:hAnsi="Arial" w:cs="Arial"/>
          <w:sz w:val="20"/>
          <w:szCs w:val="20"/>
        </w:rPr>
        <w:t xml:space="preserve"> both major investments in the education system, the availability of teachers as well as the moderni</w:t>
      </w:r>
      <w:r>
        <w:rPr>
          <w:rFonts w:ascii="Arial" w:hAnsi="Arial" w:cs="Arial"/>
          <w:sz w:val="20"/>
          <w:szCs w:val="20"/>
        </w:rPr>
        <w:t>s</w:t>
      </w:r>
      <w:r w:rsidRPr="003516DC">
        <w:rPr>
          <w:rFonts w:ascii="Arial" w:hAnsi="Arial" w:cs="Arial"/>
          <w:sz w:val="20"/>
          <w:szCs w:val="20"/>
        </w:rPr>
        <w:t>ation of the school infrastructure.</w:t>
      </w:r>
    </w:p>
    <w:p w14:paraId="57A24C95" w14:textId="5BCF1771" w:rsidR="0009621B" w:rsidRPr="00BE7F81" w:rsidRDefault="0009621B" w:rsidP="0009621B">
      <w:pPr>
        <w:spacing w:after="120"/>
        <w:jc w:val="both"/>
        <w:rPr>
          <w:rFonts w:ascii="Arial" w:hAnsi="Arial" w:cs="Arial"/>
          <w:sz w:val="20"/>
          <w:szCs w:val="20"/>
        </w:rPr>
      </w:pPr>
      <w:r w:rsidRPr="00BE7F81">
        <w:rPr>
          <w:rFonts w:ascii="Arial" w:hAnsi="Arial" w:cs="Arial"/>
          <w:sz w:val="20"/>
          <w:szCs w:val="20"/>
        </w:rPr>
        <w:t xml:space="preserve">Graph </w:t>
      </w:r>
      <w:r>
        <w:rPr>
          <w:rFonts w:ascii="Arial" w:hAnsi="Arial" w:cs="Arial"/>
          <w:sz w:val="20"/>
          <w:szCs w:val="20"/>
        </w:rPr>
        <w:t>4</w:t>
      </w:r>
      <w:r w:rsidR="00F140B0">
        <w:rPr>
          <w:rFonts w:ascii="Arial" w:hAnsi="Arial" w:cs="Arial"/>
          <w:sz w:val="20"/>
          <w:szCs w:val="20"/>
        </w:rPr>
        <w:t>6</w:t>
      </w:r>
      <w:r w:rsidRPr="00BE7F81">
        <w:rPr>
          <w:rFonts w:ascii="Arial" w:hAnsi="Arial" w:cs="Arial"/>
          <w:sz w:val="20"/>
          <w:szCs w:val="20"/>
        </w:rPr>
        <w:t xml:space="preserve"> shows that, in contrast to other JTF territories, </w:t>
      </w:r>
      <w:r>
        <w:rPr>
          <w:rFonts w:ascii="Arial" w:hAnsi="Arial" w:cs="Arial"/>
          <w:sz w:val="20"/>
          <w:szCs w:val="20"/>
        </w:rPr>
        <w:t>Mureș</w:t>
      </w:r>
      <w:r w:rsidRPr="00BE7F81">
        <w:rPr>
          <w:rFonts w:ascii="Arial" w:hAnsi="Arial" w:cs="Arial"/>
          <w:sz w:val="20"/>
          <w:szCs w:val="20"/>
        </w:rPr>
        <w:t xml:space="preserve"> has a young population and the elderly population is also below the national average, which offers good development prospects in the coming decade.</w:t>
      </w:r>
    </w:p>
    <w:p w14:paraId="404A5EF2" w14:textId="32D3BB78" w:rsidR="007E66E3" w:rsidRPr="003516DC" w:rsidRDefault="007E66E3" w:rsidP="007E66E3">
      <w:pPr>
        <w:pStyle w:val="Caption"/>
        <w:ind w:left="900" w:hanging="900"/>
      </w:pPr>
      <w:bookmarkStart w:id="290" w:name="_Toc90727382"/>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46</w:t>
      </w:r>
      <w:r w:rsidR="000B273D">
        <w:rPr>
          <w:noProof/>
        </w:rPr>
        <w:fldChar w:fldCharType="end"/>
      </w:r>
      <w:r w:rsidRPr="003516DC">
        <w:t xml:space="preserve">: Representativeness of the target age groups of the social, health and education infrastructure (young and old) in </w:t>
      </w:r>
      <w:r>
        <w:t>Mureș</w:t>
      </w:r>
      <w:r w:rsidRPr="003516DC">
        <w:t xml:space="preserve"> </w:t>
      </w:r>
      <w:r>
        <w:t>C</w:t>
      </w:r>
      <w:r w:rsidRPr="003516DC">
        <w:t>ounty as compared to national level, 2020</w:t>
      </w:r>
      <w:bookmarkEnd w:id="290"/>
    </w:p>
    <w:p w14:paraId="00293A2B" w14:textId="77777777" w:rsidR="007E66E3" w:rsidRPr="003516DC" w:rsidRDefault="007E66E3" w:rsidP="007E66E3">
      <w:pPr>
        <w:jc w:val="both"/>
        <w:rPr>
          <w:rFonts w:ascii="Arial" w:hAnsi="Arial" w:cs="Arial"/>
          <w:sz w:val="20"/>
          <w:szCs w:val="20"/>
        </w:rPr>
      </w:pPr>
      <w:r w:rsidRPr="00402580">
        <w:rPr>
          <w:rFonts w:ascii="Arial" w:hAnsi="Arial" w:cs="Arial"/>
          <w:noProof/>
          <w:lang w:val="en-US" w:eastAsia="en-US"/>
        </w:rPr>
        <w:drawing>
          <wp:inline distT="0" distB="0" distL="0" distR="0" wp14:anchorId="1C0A4A68" wp14:editId="51D54ACD">
            <wp:extent cx="5676265" cy="1751965"/>
            <wp:effectExtent l="0" t="0" r="635" b="635"/>
            <wp:docPr id="2087055686" name="Picture 208705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676265" cy="1751965"/>
                    </a:xfrm>
                    <a:prstGeom prst="rect">
                      <a:avLst/>
                    </a:prstGeom>
                  </pic:spPr>
                </pic:pic>
              </a:graphicData>
            </a:graphic>
          </wp:inline>
        </w:drawing>
      </w:r>
    </w:p>
    <w:p w14:paraId="48A92557" w14:textId="77777777" w:rsidR="007E66E3" w:rsidRPr="003516DC" w:rsidRDefault="007E66E3" w:rsidP="007E66E3">
      <w:pPr>
        <w:jc w:val="both"/>
        <w:rPr>
          <w:rFonts w:ascii="Arial" w:hAnsi="Arial" w:cs="Arial"/>
          <w:sz w:val="20"/>
          <w:szCs w:val="20"/>
        </w:rPr>
      </w:pPr>
    </w:p>
    <w:p w14:paraId="4DF1F02D" w14:textId="0E18733A" w:rsidR="0009621B" w:rsidRDefault="0009621B" w:rsidP="00E42342">
      <w:pPr>
        <w:pStyle w:val="ListParagraph"/>
        <w:numPr>
          <w:ilvl w:val="0"/>
          <w:numId w:val="299"/>
        </w:numPr>
        <w:spacing w:after="120"/>
        <w:jc w:val="both"/>
        <w:rPr>
          <w:color w:val="4F81BD" w:themeColor="accent1"/>
          <w:sz w:val="20"/>
          <w:szCs w:val="20"/>
        </w:rPr>
      </w:pPr>
      <w:r>
        <w:rPr>
          <w:color w:val="4F81BD" w:themeColor="accent1"/>
          <w:sz w:val="20"/>
          <w:szCs w:val="20"/>
        </w:rPr>
        <w:t>Environment</w:t>
      </w:r>
    </w:p>
    <w:p w14:paraId="3027E6BE" w14:textId="281DD076" w:rsidR="00DA40E6" w:rsidRPr="003516DC" w:rsidRDefault="00DA40E6" w:rsidP="00DA40E6">
      <w:pPr>
        <w:jc w:val="both"/>
        <w:rPr>
          <w:rFonts w:ascii="Arial" w:hAnsi="Arial" w:cs="Arial"/>
          <w:iCs/>
          <w:sz w:val="20"/>
          <w:szCs w:val="20"/>
        </w:rPr>
      </w:pPr>
      <w:r w:rsidRPr="003516DC">
        <w:rPr>
          <w:rFonts w:ascii="Arial" w:hAnsi="Arial" w:cs="Arial"/>
          <w:b/>
          <w:bCs/>
          <w:iCs/>
          <w:sz w:val="20"/>
          <w:szCs w:val="20"/>
        </w:rPr>
        <w:t>Anthropic air pollution</w:t>
      </w:r>
      <w:r w:rsidRPr="003516DC">
        <w:rPr>
          <w:rFonts w:ascii="Arial" w:hAnsi="Arial" w:cs="Arial"/>
          <w:iCs/>
          <w:sz w:val="20"/>
          <w:szCs w:val="20"/>
        </w:rPr>
        <w:t xml:space="preserve"> mentioned during stakeholder consultation in Mureș with significant potential </w:t>
      </w:r>
      <w:r w:rsidR="00382650" w:rsidRPr="003516DC">
        <w:rPr>
          <w:rFonts w:ascii="Arial" w:hAnsi="Arial" w:cs="Arial"/>
          <w:iCs/>
          <w:sz w:val="20"/>
          <w:szCs w:val="20"/>
        </w:rPr>
        <w:t>are in</w:t>
      </w:r>
      <w:r w:rsidRPr="003516DC">
        <w:rPr>
          <w:rFonts w:ascii="Arial" w:hAnsi="Arial" w:cs="Arial"/>
          <w:iCs/>
          <w:sz w:val="20"/>
          <w:szCs w:val="20"/>
        </w:rPr>
        <w:t xml:space="preserve"> Târgu Mureş Iernut, Luduş and Târnăveni. For example, Ammonia is a specific </w:t>
      </w:r>
      <w:r w:rsidRPr="003516DC">
        <w:rPr>
          <w:rFonts w:ascii="Arial" w:hAnsi="Arial" w:cs="Arial"/>
          <w:b/>
          <w:bCs/>
          <w:iCs/>
          <w:sz w:val="20"/>
          <w:szCs w:val="20"/>
        </w:rPr>
        <w:t xml:space="preserve">pollutant </w:t>
      </w:r>
      <w:r w:rsidR="00382650" w:rsidRPr="003516DC">
        <w:rPr>
          <w:rFonts w:ascii="Arial" w:hAnsi="Arial" w:cs="Arial"/>
          <w:iCs/>
          <w:sz w:val="20"/>
          <w:szCs w:val="20"/>
        </w:rPr>
        <w:t xml:space="preserve">in the </w:t>
      </w:r>
      <w:r w:rsidRPr="003516DC">
        <w:rPr>
          <w:rFonts w:ascii="Arial" w:hAnsi="Arial" w:cs="Arial"/>
          <w:iCs/>
          <w:sz w:val="20"/>
          <w:szCs w:val="20"/>
        </w:rPr>
        <w:t xml:space="preserve">Tîrgu-Mureş municipality influenced by </w:t>
      </w:r>
      <w:r w:rsidR="00382650" w:rsidRPr="003516DC">
        <w:rPr>
          <w:rFonts w:ascii="Arial" w:hAnsi="Arial" w:cs="Arial"/>
          <w:iCs/>
          <w:sz w:val="20"/>
          <w:szCs w:val="20"/>
        </w:rPr>
        <w:t xml:space="preserve">activities at the </w:t>
      </w:r>
      <w:r w:rsidRPr="003516DC">
        <w:rPr>
          <w:rFonts w:ascii="Arial" w:hAnsi="Arial" w:cs="Arial"/>
          <w:iCs/>
          <w:sz w:val="20"/>
          <w:szCs w:val="20"/>
        </w:rPr>
        <w:t xml:space="preserve">Azomureş Chemical Plant. This negative influence </w:t>
      </w:r>
      <w:r w:rsidR="006C0ECD" w:rsidRPr="003516DC">
        <w:rPr>
          <w:rFonts w:ascii="Arial" w:hAnsi="Arial" w:cs="Arial"/>
          <w:iCs/>
          <w:sz w:val="20"/>
          <w:szCs w:val="20"/>
        </w:rPr>
        <w:t xml:space="preserve">causes </w:t>
      </w:r>
      <w:r w:rsidRPr="003516DC">
        <w:rPr>
          <w:rFonts w:ascii="Arial" w:hAnsi="Arial" w:cs="Arial"/>
          <w:iCs/>
          <w:sz w:val="20"/>
          <w:szCs w:val="20"/>
        </w:rPr>
        <w:t>episodes of ambient air pollution, based on APM Mureș monitoring mechanisms</w:t>
      </w:r>
      <w:r w:rsidRPr="003516DC">
        <w:rPr>
          <w:rStyle w:val="FootnoteReference"/>
          <w:rFonts w:ascii="Arial" w:hAnsi="Arial" w:cs="Arial"/>
          <w:iCs/>
          <w:sz w:val="20"/>
          <w:szCs w:val="20"/>
        </w:rPr>
        <w:footnoteReference w:id="132"/>
      </w:r>
      <w:r w:rsidRPr="003516DC">
        <w:rPr>
          <w:rFonts w:ascii="Arial" w:hAnsi="Arial" w:cs="Arial"/>
          <w:iCs/>
          <w:sz w:val="20"/>
          <w:szCs w:val="20"/>
        </w:rPr>
        <w:t xml:space="preserve">, </w:t>
      </w:r>
      <w:r w:rsidR="006C0ECD" w:rsidRPr="003516DC">
        <w:rPr>
          <w:rFonts w:ascii="Arial" w:hAnsi="Arial" w:cs="Arial"/>
          <w:iCs/>
          <w:sz w:val="20"/>
          <w:szCs w:val="20"/>
        </w:rPr>
        <w:t xml:space="preserve">which </w:t>
      </w:r>
      <w:r w:rsidRPr="003516DC">
        <w:rPr>
          <w:rFonts w:ascii="Arial" w:hAnsi="Arial" w:cs="Arial"/>
          <w:iCs/>
          <w:sz w:val="20"/>
          <w:szCs w:val="20"/>
        </w:rPr>
        <w:t>are recorded during periods of atmospheric calm or fog.</w:t>
      </w:r>
    </w:p>
    <w:p w14:paraId="16C819EE" w14:textId="77777777" w:rsidR="00DA40E6" w:rsidRPr="003516DC" w:rsidRDefault="00DA40E6" w:rsidP="00DA40E6">
      <w:pPr>
        <w:jc w:val="both"/>
        <w:rPr>
          <w:rFonts w:ascii="Arial" w:hAnsi="Arial" w:cs="Arial"/>
          <w:iCs/>
          <w:sz w:val="20"/>
          <w:szCs w:val="20"/>
        </w:rPr>
      </w:pPr>
    </w:p>
    <w:p w14:paraId="180C0053" w14:textId="3D088667" w:rsidR="00FF56AC" w:rsidRDefault="00FF56AC" w:rsidP="0009621B">
      <w:pPr>
        <w:spacing w:after="120"/>
        <w:jc w:val="both"/>
        <w:rPr>
          <w:rFonts w:ascii="Arial" w:hAnsi="Arial" w:cs="Arial"/>
          <w:iCs/>
          <w:sz w:val="20"/>
          <w:szCs w:val="20"/>
        </w:rPr>
      </w:pPr>
      <w:r w:rsidRPr="003516DC">
        <w:rPr>
          <w:rFonts w:ascii="Arial" w:hAnsi="Arial" w:cs="Arial"/>
          <w:iCs/>
          <w:sz w:val="20"/>
          <w:szCs w:val="20"/>
        </w:rPr>
        <w:lastRenderedPageBreak/>
        <w:t xml:space="preserve">However, due to the increase in road traffic, the nitrogen and sulphur concentrations in the air are also </w:t>
      </w:r>
      <w:r w:rsidR="00C279C9" w:rsidRPr="003516DC">
        <w:rPr>
          <w:rFonts w:ascii="Arial" w:hAnsi="Arial" w:cs="Arial"/>
          <w:iCs/>
          <w:sz w:val="20"/>
          <w:szCs w:val="20"/>
        </w:rPr>
        <w:t xml:space="preserve">trending </w:t>
      </w:r>
      <w:r w:rsidRPr="003516DC">
        <w:rPr>
          <w:rFonts w:ascii="Arial" w:hAnsi="Arial" w:cs="Arial"/>
          <w:iCs/>
          <w:sz w:val="20"/>
          <w:szCs w:val="20"/>
        </w:rPr>
        <w:t>upwards</w:t>
      </w:r>
      <w:r w:rsidR="00DA40E6" w:rsidRPr="003516DC">
        <w:rPr>
          <w:rFonts w:ascii="Arial" w:hAnsi="Arial" w:cs="Arial"/>
          <w:iCs/>
          <w:sz w:val="20"/>
          <w:szCs w:val="20"/>
        </w:rPr>
        <w:t>, especially in urban areas where it necessary to moderni</w:t>
      </w:r>
      <w:r w:rsidR="00614D19" w:rsidRPr="003516DC">
        <w:rPr>
          <w:rFonts w:ascii="Arial" w:hAnsi="Arial" w:cs="Arial"/>
          <w:iCs/>
          <w:sz w:val="20"/>
          <w:szCs w:val="20"/>
        </w:rPr>
        <w:t>s</w:t>
      </w:r>
      <w:r w:rsidR="00DA40E6" w:rsidRPr="003516DC">
        <w:rPr>
          <w:rFonts w:ascii="Arial" w:hAnsi="Arial" w:cs="Arial"/>
          <w:iCs/>
          <w:sz w:val="20"/>
          <w:szCs w:val="20"/>
        </w:rPr>
        <w:t xml:space="preserve">e the transport </w:t>
      </w:r>
      <w:r w:rsidR="004A7C96" w:rsidRPr="003516DC">
        <w:rPr>
          <w:rFonts w:ascii="Arial" w:hAnsi="Arial" w:cs="Arial"/>
          <w:iCs/>
          <w:sz w:val="20"/>
          <w:szCs w:val="20"/>
        </w:rPr>
        <w:t>sector to</w:t>
      </w:r>
      <w:r w:rsidR="00DA40E6" w:rsidRPr="003516DC">
        <w:rPr>
          <w:rFonts w:ascii="Arial" w:hAnsi="Arial" w:cs="Arial"/>
          <w:iCs/>
          <w:sz w:val="20"/>
          <w:szCs w:val="20"/>
        </w:rPr>
        <w:t xml:space="preserve"> streamline resource consumption and reduc</w:t>
      </w:r>
      <w:r w:rsidR="009D4CA6" w:rsidRPr="003516DC">
        <w:rPr>
          <w:rFonts w:ascii="Arial" w:hAnsi="Arial" w:cs="Arial"/>
          <w:iCs/>
          <w:sz w:val="20"/>
          <w:szCs w:val="20"/>
        </w:rPr>
        <w:t>e</w:t>
      </w:r>
      <w:r w:rsidR="00DA40E6" w:rsidRPr="003516DC">
        <w:rPr>
          <w:rFonts w:ascii="Arial" w:hAnsi="Arial" w:cs="Arial"/>
          <w:iCs/>
          <w:sz w:val="20"/>
          <w:szCs w:val="20"/>
        </w:rPr>
        <w:t xml:space="preserve"> greenhouse gas emissions for both the public and private sectors.</w:t>
      </w:r>
    </w:p>
    <w:p w14:paraId="596D7E27" w14:textId="03C531CE" w:rsidR="0009621B" w:rsidRDefault="0009621B" w:rsidP="00E42342">
      <w:pPr>
        <w:pStyle w:val="ListParagraph"/>
        <w:numPr>
          <w:ilvl w:val="0"/>
          <w:numId w:val="300"/>
        </w:numPr>
        <w:spacing w:after="120"/>
        <w:jc w:val="both"/>
        <w:rPr>
          <w:color w:val="4F81BD" w:themeColor="accent1"/>
          <w:sz w:val="20"/>
          <w:szCs w:val="20"/>
        </w:rPr>
      </w:pPr>
      <w:r>
        <w:rPr>
          <w:color w:val="4F81BD" w:themeColor="accent1"/>
          <w:sz w:val="20"/>
          <w:szCs w:val="20"/>
        </w:rPr>
        <w:t>Socio-cultural level</w:t>
      </w:r>
    </w:p>
    <w:p w14:paraId="553C663F" w14:textId="41428C0D" w:rsidR="00FF56AC" w:rsidRPr="003516DC" w:rsidRDefault="00FF56AC" w:rsidP="0009621B">
      <w:pPr>
        <w:spacing w:after="120"/>
        <w:jc w:val="both"/>
        <w:rPr>
          <w:rFonts w:ascii="Arial" w:hAnsi="Arial" w:cs="Arial"/>
          <w:sz w:val="20"/>
          <w:szCs w:val="20"/>
          <w:lang w:val="en-US"/>
        </w:rPr>
      </w:pPr>
      <w:r w:rsidRPr="003516DC">
        <w:rPr>
          <w:rFonts w:ascii="Arial" w:hAnsi="Arial" w:cs="Arial"/>
          <w:sz w:val="20"/>
          <w:szCs w:val="20"/>
          <w:lang w:val="en-US"/>
        </w:rPr>
        <w:t xml:space="preserve">At the level of Mureş </w:t>
      </w:r>
      <w:r w:rsidR="00350AA9" w:rsidRPr="003516DC">
        <w:rPr>
          <w:rFonts w:ascii="Arial" w:hAnsi="Arial" w:cs="Arial"/>
          <w:sz w:val="20"/>
          <w:szCs w:val="20"/>
          <w:lang w:val="en-US"/>
        </w:rPr>
        <w:t>c</w:t>
      </w:r>
      <w:r w:rsidRPr="003516DC">
        <w:rPr>
          <w:rFonts w:ascii="Arial" w:hAnsi="Arial" w:cs="Arial"/>
          <w:sz w:val="20"/>
          <w:szCs w:val="20"/>
          <w:lang w:val="en-US"/>
        </w:rPr>
        <w:t xml:space="preserve">ounty, there is a </w:t>
      </w:r>
      <w:r w:rsidRPr="003516DC">
        <w:rPr>
          <w:rFonts w:ascii="Arial" w:hAnsi="Arial" w:cs="Arial"/>
          <w:b/>
          <w:bCs/>
          <w:sz w:val="20"/>
          <w:szCs w:val="20"/>
          <w:lang w:val="en-US"/>
        </w:rPr>
        <w:t>network of urban localities</w:t>
      </w:r>
      <w:r w:rsidRPr="003516DC">
        <w:rPr>
          <w:rFonts w:ascii="Arial" w:hAnsi="Arial" w:cs="Arial"/>
          <w:sz w:val="20"/>
          <w:szCs w:val="20"/>
          <w:lang w:val="en-US"/>
        </w:rPr>
        <w:t xml:space="preserve"> with a structure and relatively balanced distribution in the territory</w:t>
      </w:r>
      <w:r w:rsidRPr="003516DC">
        <w:rPr>
          <w:rStyle w:val="FootnoteReference"/>
          <w:rFonts w:ascii="Arial" w:hAnsi="Arial" w:cs="Arial"/>
          <w:sz w:val="20"/>
          <w:szCs w:val="20"/>
          <w:lang w:val="en-US"/>
        </w:rPr>
        <w:footnoteReference w:id="133"/>
      </w:r>
      <w:r w:rsidRPr="003516DC">
        <w:rPr>
          <w:rFonts w:ascii="Arial" w:hAnsi="Arial" w:cs="Arial"/>
          <w:sz w:val="20"/>
          <w:szCs w:val="20"/>
          <w:lang w:val="en-US"/>
        </w:rPr>
        <w:t>.</w:t>
      </w:r>
      <w:r w:rsidR="00794E77" w:rsidRPr="003516DC">
        <w:rPr>
          <w:rFonts w:ascii="Arial" w:hAnsi="Arial" w:cs="Arial"/>
          <w:sz w:val="20"/>
          <w:szCs w:val="20"/>
          <w:lang w:val="en-US"/>
        </w:rPr>
        <w:t xml:space="preserve"> </w:t>
      </w:r>
      <w:r w:rsidR="00F71F4F" w:rsidRPr="003516DC">
        <w:rPr>
          <w:rFonts w:ascii="Arial" w:hAnsi="Arial" w:cs="Arial"/>
          <w:sz w:val="20"/>
          <w:szCs w:val="20"/>
          <w:lang w:val="en-US"/>
        </w:rPr>
        <w:t>The m</w:t>
      </w:r>
      <w:r w:rsidRPr="003516DC">
        <w:rPr>
          <w:rFonts w:ascii="Arial" w:hAnsi="Arial" w:cs="Arial"/>
          <w:sz w:val="20"/>
          <w:szCs w:val="20"/>
          <w:lang w:val="en-US"/>
        </w:rPr>
        <w:t xml:space="preserve">unicipality of Târgu Mureș, the county seat, is a pole of </w:t>
      </w:r>
      <w:r w:rsidRPr="003516DC">
        <w:rPr>
          <w:rFonts w:ascii="Arial" w:hAnsi="Arial" w:cs="Arial"/>
          <w:b/>
          <w:bCs/>
          <w:sz w:val="20"/>
          <w:szCs w:val="20"/>
          <w:lang w:val="en-US"/>
        </w:rPr>
        <w:t>urban development</w:t>
      </w:r>
      <w:r w:rsidRPr="003516DC">
        <w:rPr>
          <w:rFonts w:ascii="Arial" w:hAnsi="Arial" w:cs="Arial"/>
          <w:sz w:val="20"/>
          <w:szCs w:val="20"/>
          <w:lang w:val="en-US"/>
        </w:rPr>
        <w:t xml:space="preserve"> and has a high degree of development with industrial speciali</w:t>
      </w:r>
      <w:r w:rsidR="004E7B64">
        <w:rPr>
          <w:rFonts w:ascii="Arial" w:hAnsi="Arial" w:cs="Arial"/>
          <w:sz w:val="20"/>
          <w:szCs w:val="20"/>
          <w:lang w:val="en-US"/>
        </w:rPr>
        <w:t>sation</w:t>
      </w:r>
      <w:r w:rsidRPr="003516DC">
        <w:rPr>
          <w:rFonts w:ascii="Arial" w:hAnsi="Arial" w:cs="Arial"/>
          <w:sz w:val="20"/>
          <w:szCs w:val="20"/>
          <w:lang w:val="en-US"/>
        </w:rPr>
        <w:t xml:space="preserve">, attenuated in recent years by the restructuring of secondary activities, whose dominance </w:t>
      </w:r>
      <w:r w:rsidR="00FB07A4" w:rsidRPr="003516DC">
        <w:rPr>
          <w:rFonts w:ascii="Arial" w:hAnsi="Arial" w:cs="Arial"/>
          <w:sz w:val="20"/>
          <w:szCs w:val="20"/>
          <w:lang w:val="en-US"/>
        </w:rPr>
        <w:t xml:space="preserve">has </w:t>
      </w:r>
      <w:r w:rsidRPr="003516DC">
        <w:rPr>
          <w:rFonts w:ascii="Arial" w:hAnsi="Arial" w:cs="Arial"/>
          <w:sz w:val="20"/>
          <w:szCs w:val="20"/>
          <w:lang w:val="en-US"/>
        </w:rPr>
        <w:t xml:space="preserve">taken over by growing trade and services. </w:t>
      </w:r>
      <w:r w:rsidR="00F53BAD" w:rsidRPr="003516DC">
        <w:rPr>
          <w:rFonts w:ascii="Arial" w:hAnsi="Arial" w:cs="Arial"/>
          <w:sz w:val="20"/>
          <w:szCs w:val="20"/>
          <w:lang w:val="en-US"/>
        </w:rPr>
        <w:t>The c</w:t>
      </w:r>
      <w:r w:rsidRPr="003516DC">
        <w:rPr>
          <w:rFonts w:ascii="Arial" w:hAnsi="Arial" w:cs="Arial"/>
          <w:sz w:val="20"/>
          <w:szCs w:val="20"/>
          <w:lang w:val="en-US"/>
        </w:rPr>
        <w:t>hemical industry is dominated by Azo</w:t>
      </w:r>
      <w:r w:rsidR="006C793F" w:rsidRPr="003516DC">
        <w:rPr>
          <w:rFonts w:ascii="Arial" w:hAnsi="Arial" w:cs="Arial"/>
          <w:sz w:val="20"/>
          <w:szCs w:val="20"/>
          <w:lang w:val="en-US"/>
        </w:rPr>
        <w:t>Mureș</w:t>
      </w:r>
      <w:r w:rsidRPr="003516DC">
        <w:rPr>
          <w:rFonts w:ascii="Arial" w:hAnsi="Arial" w:cs="Arial"/>
          <w:sz w:val="20"/>
          <w:szCs w:val="20"/>
          <w:lang w:val="en-US"/>
        </w:rPr>
        <w:t xml:space="preserve"> SA, which is also the largest employer in the manufacturing industry. </w:t>
      </w:r>
      <w:r w:rsidR="00F53BAD" w:rsidRPr="003516DC">
        <w:rPr>
          <w:rFonts w:ascii="Arial" w:hAnsi="Arial" w:cs="Arial"/>
          <w:sz w:val="20"/>
          <w:szCs w:val="20"/>
          <w:lang w:val="en-US"/>
        </w:rPr>
        <w:t>The p</w:t>
      </w:r>
      <w:r w:rsidRPr="003516DC">
        <w:rPr>
          <w:rFonts w:ascii="Arial" w:hAnsi="Arial" w:cs="Arial"/>
          <w:sz w:val="20"/>
          <w:szCs w:val="20"/>
          <w:lang w:val="en-US"/>
        </w:rPr>
        <w:t xml:space="preserve">harmaceutical industry has developed gradually in recent years, becoming a representative branch for Târgu Mureș municipality and </w:t>
      </w:r>
      <w:r w:rsidR="00022699" w:rsidRPr="003516DC">
        <w:rPr>
          <w:rFonts w:ascii="Arial" w:hAnsi="Arial" w:cs="Arial"/>
          <w:sz w:val="20"/>
          <w:szCs w:val="20"/>
          <w:lang w:val="en-US"/>
        </w:rPr>
        <w:t xml:space="preserve">highlighting </w:t>
      </w:r>
      <w:r w:rsidR="00FC3E74" w:rsidRPr="003516DC">
        <w:rPr>
          <w:rFonts w:ascii="Arial" w:hAnsi="Arial" w:cs="Arial"/>
          <w:sz w:val="20"/>
          <w:szCs w:val="20"/>
          <w:lang w:val="en-US"/>
        </w:rPr>
        <w:t>the</w:t>
      </w:r>
      <w:r w:rsidRPr="003516DC">
        <w:rPr>
          <w:rFonts w:ascii="Arial" w:hAnsi="Arial" w:cs="Arial"/>
          <w:sz w:val="20"/>
          <w:szCs w:val="20"/>
          <w:lang w:val="en-US"/>
        </w:rPr>
        <w:t xml:space="preserve"> evolution of trade in pharmaceuticals.</w:t>
      </w:r>
    </w:p>
    <w:p w14:paraId="329719AC" w14:textId="4C667A07" w:rsidR="00FF56AC" w:rsidRPr="003516DC" w:rsidRDefault="00FF56AC" w:rsidP="0009621B">
      <w:pPr>
        <w:spacing w:after="120"/>
        <w:jc w:val="both"/>
        <w:rPr>
          <w:rFonts w:ascii="Arial" w:hAnsi="Arial" w:cs="Arial"/>
          <w:sz w:val="20"/>
          <w:szCs w:val="20"/>
          <w:lang w:val="en-US"/>
        </w:rPr>
      </w:pPr>
      <w:r w:rsidRPr="003516DC">
        <w:rPr>
          <w:rFonts w:ascii="Arial" w:hAnsi="Arial" w:cs="Arial"/>
          <w:sz w:val="20"/>
          <w:szCs w:val="20"/>
          <w:lang w:val="en-US"/>
        </w:rPr>
        <w:t>Municipalities of Târnăveni, Luduș and Iernut experienced an urbani</w:t>
      </w:r>
      <w:r w:rsidR="00A506DF" w:rsidRPr="003516DC">
        <w:rPr>
          <w:rFonts w:ascii="Arial" w:hAnsi="Arial" w:cs="Arial"/>
          <w:sz w:val="20"/>
          <w:szCs w:val="20"/>
          <w:lang w:val="en-US"/>
        </w:rPr>
        <w:t>s</w:t>
      </w:r>
      <w:r w:rsidRPr="003516DC">
        <w:rPr>
          <w:rFonts w:ascii="Arial" w:hAnsi="Arial" w:cs="Arial"/>
          <w:sz w:val="20"/>
          <w:szCs w:val="20"/>
          <w:lang w:val="en-US"/>
        </w:rPr>
        <w:t xml:space="preserve">ation during the development of industrial branches. These localities are currently in decline due to the mono-industrial character and economic restructuring, </w:t>
      </w:r>
      <w:r w:rsidR="00A506DF" w:rsidRPr="003516DC">
        <w:rPr>
          <w:rFonts w:ascii="Arial" w:hAnsi="Arial" w:cs="Arial"/>
          <w:sz w:val="20"/>
          <w:szCs w:val="20"/>
          <w:lang w:val="en-US"/>
        </w:rPr>
        <w:t xml:space="preserve">which is </w:t>
      </w:r>
      <w:r w:rsidRPr="003516DC">
        <w:rPr>
          <w:rFonts w:ascii="Arial" w:hAnsi="Arial" w:cs="Arial"/>
          <w:sz w:val="20"/>
          <w:szCs w:val="20"/>
          <w:lang w:val="en-US"/>
        </w:rPr>
        <w:t>why they do</w:t>
      </w:r>
      <w:r w:rsidR="00A506DF" w:rsidRPr="003516DC">
        <w:rPr>
          <w:rFonts w:ascii="Arial" w:hAnsi="Arial" w:cs="Arial"/>
          <w:sz w:val="20"/>
          <w:szCs w:val="20"/>
          <w:lang w:val="en-US"/>
        </w:rPr>
        <w:t xml:space="preserve"> not</w:t>
      </w:r>
      <w:r w:rsidRPr="003516DC">
        <w:rPr>
          <w:rFonts w:ascii="Arial" w:hAnsi="Arial" w:cs="Arial"/>
          <w:sz w:val="20"/>
          <w:szCs w:val="20"/>
          <w:lang w:val="en-US"/>
        </w:rPr>
        <w:t xml:space="preserve"> have a proper influence on the development of adjacent rural areas. The high dependence of the economy on several economic sectors implies major risks of vulnerability in the future, especially in a difficult economic context.</w:t>
      </w:r>
    </w:p>
    <w:p w14:paraId="4D25C5FB" w14:textId="12643131" w:rsidR="00826AB0" w:rsidRPr="0009621B" w:rsidRDefault="00191224" w:rsidP="0009621B">
      <w:pPr>
        <w:spacing w:after="120"/>
        <w:jc w:val="both"/>
        <w:rPr>
          <w:rFonts w:ascii="Arial" w:hAnsi="Arial" w:cs="Arial"/>
          <w:sz w:val="20"/>
          <w:szCs w:val="20"/>
          <w:lang w:val="en-US"/>
        </w:rPr>
      </w:pPr>
      <w:r w:rsidRPr="003516DC">
        <w:rPr>
          <w:rFonts w:ascii="Arial" w:hAnsi="Arial" w:cs="Arial"/>
          <w:sz w:val="20"/>
          <w:szCs w:val="20"/>
          <w:lang w:val="en-US"/>
        </w:rPr>
        <w:t xml:space="preserve">The </w:t>
      </w:r>
      <w:r w:rsidR="00FF56AC" w:rsidRPr="003516DC">
        <w:rPr>
          <w:rFonts w:ascii="Arial" w:hAnsi="Arial" w:cs="Arial"/>
          <w:sz w:val="20"/>
          <w:szCs w:val="20"/>
          <w:lang w:val="en-US"/>
        </w:rPr>
        <w:t xml:space="preserve">Reghin municipality is a pole of local importance and a subregional pole with companies specialized in </w:t>
      </w:r>
      <w:r w:rsidR="00D302C1" w:rsidRPr="003516DC">
        <w:rPr>
          <w:rFonts w:ascii="Arial" w:hAnsi="Arial" w:cs="Arial"/>
          <w:sz w:val="20"/>
          <w:szCs w:val="20"/>
          <w:lang w:val="en-US"/>
        </w:rPr>
        <w:t xml:space="preserve">the construction of </w:t>
      </w:r>
      <w:r w:rsidR="00FF56AC" w:rsidRPr="003516DC">
        <w:rPr>
          <w:rFonts w:ascii="Arial" w:hAnsi="Arial" w:cs="Arial"/>
          <w:sz w:val="20"/>
          <w:szCs w:val="20"/>
          <w:lang w:val="en-US"/>
        </w:rPr>
        <w:t>musical instruments, wood processing, construction of machines and equipment that determine</w:t>
      </w:r>
      <w:r w:rsidR="007C0773" w:rsidRPr="003516DC">
        <w:rPr>
          <w:rFonts w:ascii="Arial" w:hAnsi="Arial" w:cs="Arial"/>
          <w:sz w:val="20"/>
          <w:szCs w:val="20"/>
          <w:lang w:val="en-US"/>
        </w:rPr>
        <w:t>s</w:t>
      </w:r>
      <w:r w:rsidR="00FF56AC" w:rsidRPr="003516DC">
        <w:rPr>
          <w:rFonts w:ascii="Arial" w:hAnsi="Arial" w:cs="Arial"/>
          <w:sz w:val="20"/>
          <w:szCs w:val="20"/>
          <w:lang w:val="en-US"/>
        </w:rPr>
        <w:t xml:space="preserve"> the industrial profile of the municipality.</w:t>
      </w:r>
    </w:p>
    <w:p w14:paraId="0999AD45" w14:textId="78CC357A" w:rsidR="004648A6" w:rsidRPr="00BE7F81" w:rsidRDefault="0009621B" w:rsidP="0009621B">
      <w:pPr>
        <w:spacing w:after="120"/>
        <w:jc w:val="both"/>
        <w:rPr>
          <w:rFonts w:ascii="Arial" w:hAnsi="Arial" w:cs="Arial"/>
          <w:sz w:val="20"/>
          <w:szCs w:val="20"/>
        </w:rPr>
      </w:pPr>
      <w:r>
        <w:rPr>
          <w:rFonts w:ascii="Arial" w:hAnsi="Arial" w:cs="Arial"/>
          <w:sz w:val="20"/>
          <w:szCs w:val="20"/>
        </w:rPr>
        <w:t xml:space="preserve">However, </w:t>
      </w:r>
      <w:r w:rsidR="00350AA9" w:rsidRPr="003516DC">
        <w:rPr>
          <w:rFonts w:ascii="Arial" w:hAnsi="Arial" w:cs="Arial"/>
          <w:sz w:val="20"/>
          <w:szCs w:val="20"/>
        </w:rPr>
        <w:t xml:space="preserve">Mureș </w:t>
      </w:r>
      <w:r>
        <w:rPr>
          <w:rFonts w:ascii="Arial" w:hAnsi="Arial" w:cs="Arial"/>
          <w:sz w:val="20"/>
          <w:szCs w:val="20"/>
        </w:rPr>
        <w:t>C</w:t>
      </w:r>
      <w:r w:rsidR="00D81A28" w:rsidRPr="003516DC">
        <w:rPr>
          <w:rFonts w:ascii="Arial" w:hAnsi="Arial" w:cs="Arial"/>
          <w:sz w:val="20"/>
          <w:szCs w:val="20"/>
        </w:rPr>
        <w:t xml:space="preserve">ounty has many </w:t>
      </w:r>
      <w:r w:rsidR="00D81A28" w:rsidRPr="003516DC">
        <w:rPr>
          <w:rFonts w:ascii="Arial" w:hAnsi="Arial" w:cs="Arial"/>
          <w:b/>
          <w:bCs/>
          <w:sz w:val="20"/>
          <w:szCs w:val="20"/>
        </w:rPr>
        <w:t>poor communities</w:t>
      </w:r>
      <w:r w:rsidR="00D81A28" w:rsidRPr="003516DC">
        <w:rPr>
          <w:rFonts w:ascii="Arial" w:hAnsi="Arial" w:cs="Arial"/>
          <w:sz w:val="20"/>
          <w:szCs w:val="20"/>
        </w:rPr>
        <w:t xml:space="preserve">: 30 informal settlements </w:t>
      </w:r>
      <w:r w:rsidR="007C0773" w:rsidRPr="003516DC">
        <w:rPr>
          <w:rFonts w:ascii="Arial" w:hAnsi="Arial" w:cs="Arial"/>
          <w:sz w:val="20"/>
          <w:szCs w:val="20"/>
        </w:rPr>
        <w:t>(</w:t>
      </w:r>
      <w:r w:rsidR="006A1565" w:rsidRPr="003516DC">
        <w:rPr>
          <w:rFonts w:ascii="Arial" w:hAnsi="Arial" w:cs="Arial"/>
          <w:sz w:val="20"/>
          <w:szCs w:val="20"/>
        </w:rPr>
        <w:t xml:space="preserve">with </w:t>
      </w:r>
      <w:r w:rsidR="00D81A28" w:rsidRPr="003516DC">
        <w:rPr>
          <w:rFonts w:ascii="Arial" w:hAnsi="Arial" w:cs="Arial"/>
          <w:sz w:val="20"/>
          <w:szCs w:val="20"/>
        </w:rPr>
        <w:t>9,891</w:t>
      </w:r>
      <w:r w:rsidR="007C0773" w:rsidRPr="003516DC">
        <w:rPr>
          <w:rFonts w:ascii="Arial" w:hAnsi="Arial" w:cs="Arial"/>
          <w:sz w:val="20"/>
          <w:szCs w:val="20"/>
        </w:rPr>
        <w:t xml:space="preserve"> inhabitants)</w:t>
      </w:r>
      <w:r w:rsidR="00D81A28" w:rsidRPr="003516DC">
        <w:rPr>
          <w:rFonts w:ascii="Arial" w:hAnsi="Arial" w:cs="Arial"/>
          <w:sz w:val="20"/>
          <w:szCs w:val="20"/>
        </w:rPr>
        <w:t>. The phenomenon of poverty is present both in urban areas (5.85% of the urban population lives in disadvantaged areas) and in rural areas. The deindustriali</w:t>
      </w:r>
      <w:r w:rsidR="00224234" w:rsidRPr="003516DC">
        <w:rPr>
          <w:rFonts w:ascii="Arial" w:hAnsi="Arial" w:cs="Arial"/>
          <w:sz w:val="20"/>
          <w:szCs w:val="20"/>
        </w:rPr>
        <w:t>s</w:t>
      </w:r>
      <w:r w:rsidR="00D81A28" w:rsidRPr="003516DC">
        <w:rPr>
          <w:rFonts w:ascii="Arial" w:hAnsi="Arial" w:cs="Arial"/>
          <w:sz w:val="20"/>
          <w:szCs w:val="20"/>
        </w:rPr>
        <w:t>ation of small towns has led to the impoverishment of a part of the population that has failed to engage in new locally developed jobs. Although</w:t>
      </w:r>
      <w:r w:rsidR="00224234" w:rsidRPr="003516DC">
        <w:rPr>
          <w:rFonts w:ascii="Arial" w:hAnsi="Arial" w:cs="Arial"/>
          <w:sz w:val="20"/>
          <w:szCs w:val="20"/>
        </w:rPr>
        <w:t xml:space="preserve"> there are 1,256 social housing units (of which 603 in T</w:t>
      </w:r>
      <w:r w:rsidR="00794E77" w:rsidRPr="003516DC">
        <w:rPr>
          <w:rFonts w:ascii="Arial" w:hAnsi="Arial" w:cs="Arial"/>
          <w:sz w:val="20"/>
          <w:szCs w:val="20"/>
        </w:rPr>
        <w:t>ărgu</w:t>
      </w:r>
      <w:r w:rsidR="00224234" w:rsidRPr="003516DC">
        <w:rPr>
          <w:rFonts w:ascii="Arial" w:hAnsi="Arial" w:cs="Arial"/>
          <w:sz w:val="20"/>
          <w:szCs w:val="20"/>
        </w:rPr>
        <w:t xml:space="preserve"> Mureș; 474 in Sighișoara; 83 in Iernut)</w:t>
      </w:r>
      <w:r w:rsidR="00350AA9" w:rsidRPr="003516DC">
        <w:rPr>
          <w:rFonts w:ascii="Arial" w:hAnsi="Arial" w:cs="Arial"/>
          <w:sz w:val="20"/>
          <w:szCs w:val="20"/>
        </w:rPr>
        <w:t xml:space="preserve"> in Mureș </w:t>
      </w:r>
      <w:r w:rsidR="003B0569">
        <w:rPr>
          <w:rFonts w:ascii="Arial" w:hAnsi="Arial" w:cs="Arial"/>
          <w:sz w:val="20"/>
          <w:szCs w:val="20"/>
        </w:rPr>
        <w:t>C</w:t>
      </w:r>
      <w:r w:rsidR="00D81A28" w:rsidRPr="003516DC">
        <w:rPr>
          <w:rFonts w:ascii="Arial" w:hAnsi="Arial" w:cs="Arial"/>
          <w:sz w:val="20"/>
          <w:szCs w:val="20"/>
        </w:rPr>
        <w:t>ounty, the number and dynamics of tenants is low to favour access to other active, eligible people</w:t>
      </w:r>
      <w:r w:rsidR="00CE3AAF" w:rsidRPr="003516DC">
        <w:rPr>
          <w:rFonts w:ascii="Arial" w:hAnsi="Arial" w:cs="Arial"/>
          <w:sz w:val="20"/>
          <w:szCs w:val="20"/>
        </w:rPr>
        <w:t xml:space="preserve"> who are</w:t>
      </w:r>
      <w:r w:rsidR="00D81A28" w:rsidRPr="003516DC">
        <w:rPr>
          <w:rFonts w:ascii="Arial" w:hAnsi="Arial" w:cs="Arial"/>
          <w:sz w:val="20"/>
          <w:szCs w:val="20"/>
        </w:rPr>
        <w:t xml:space="preserve"> interested in coming to live and work in cities. In rural areas, the pronounced agricultural character and the absence of employment opportunities do not </w:t>
      </w:r>
      <w:r w:rsidR="00CE3AAF" w:rsidRPr="003516DC">
        <w:rPr>
          <w:rFonts w:ascii="Arial" w:hAnsi="Arial" w:cs="Arial"/>
          <w:sz w:val="20"/>
          <w:szCs w:val="20"/>
        </w:rPr>
        <w:t>favour</w:t>
      </w:r>
      <w:r w:rsidR="00D81A28" w:rsidRPr="003516DC">
        <w:rPr>
          <w:rFonts w:ascii="Arial" w:hAnsi="Arial" w:cs="Arial"/>
          <w:sz w:val="20"/>
          <w:szCs w:val="20"/>
        </w:rPr>
        <w:t xml:space="preserve"> the improvement of the living conditions of the poor. The characteristics of the natural environment and the accessibility </w:t>
      </w:r>
      <w:r w:rsidR="00CE3AAF" w:rsidRPr="003516DC">
        <w:rPr>
          <w:rFonts w:ascii="Arial" w:hAnsi="Arial" w:cs="Arial"/>
          <w:sz w:val="20"/>
          <w:szCs w:val="20"/>
        </w:rPr>
        <w:t>of</w:t>
      </w:r>
      <w:r w:rsidR="00D81A28" w:rsidRPr="003516DC">
        <w:rPr>
          <w:rFonts w:ascii="Arial" w:hAnsi="Arial" w:cs="Arial"/>
          <w:sz w:val="20"/>
          <w:szCs w:val="20"/>
        </w:rPr>
        <w:t xml:space="preserve"> traffic arteries make the urban areas T</w:t>
      </w:r>
      <w:r w:rsidR="00D81A28" w:rsidRPr="003516DC">
        <w:rPr>
          <w:rFonts w:ascii="Arial" w:hAnsi="Arial" w:cs="Arial"/>
          <w:sz w:val="20"/>
          <w:szCs w:val="20"/>
          <w:lang w:val="ro-RO"/>
        </w:rPr>
        <w:t>ârgu</w:t>
      </w:r>
      <w:r w:rsidR="00D81A28" w:rsidRPr="003516DC">
        <w:rPr>
          <w:rFonts w:ascii="Arial" w:hAnsi="Arial" w:cs="Arial"/>
          <w:sz w:val="20"/>
          <w:szCs w:val="20"/>
        </w:rPr>
        <w:t xml:space="preserve">. Mureș, Iernut, Dumbrăveni, Sighișoara more dynamic and attractive, </w:t>
      </w:r>
      <w:r w:rsidR="00CE3AAF" w:rsidRPr="003516DC">
        <w:rPr>
          <w:rFonts w:ascii="Arial" w:hAnsi="Arial" w:cs="Arial"/>
          <w:sz w:val="20"/>
          <w:szCs w:val="20"/>
        </w:rPr>
        <w:t xml:space="preserve">while </w:t>
      </w:r>
      <w:r w:rsidR="00D81A28" w:rsidRPr="003516DC">
        <w:rPr>
          <w:rFonts w:ascii="Arial" w:hAnsi="Arial" w:cs="Arial"/>
          <w:sz w:val="20"/>
          <w:szCs w:val="20"/>
        </w:rPr>
        <w:t xml:space="preserve">the rural areas outside </w:t>
      </w:r>
      <w:r w:rsidR="006955E3" w:rsidRPr="003516DC">
        <w:rPr>
          <w:rFonts w:ascii="Arial" w:hAnsi="Arial" w:cs="Arial"/>
          <w:sz w:val="20"/>
          <w:szCs w:val="20"/>
        </w:rPr>
        <w:t xml:space="preserve">these </w:t>
      </w:r>
      <w:r w:rsidR="00D81A28" w:rsidRPr="003516DC">
        <w:rPr>
          <w:rFonts w:ascii="Arial" w:hAnsi="Arial" w:cs="Arial"/>
          <w:sz w:val="20"/>
          <w:szCs w:val="20"/>
        </w:rPr>
        <w:t xml:space="preserve">areas </w:t>
      </w:r>
      <w:r w:rsidR="006955E3" w:rsidRPr="003516DC">
        <w:rPr>
          <w:rFonts w:ascii="Arial" w:hAnsi="Arial" w:cs="Arial"/>
          <w:sz w:val="20"/>
          <w:szCs w:val="20"/>
        </w:rPr>
        <w:t xml:space="preserve">tend </w:t>
      </w:r>
      <w:r w:rsidR="00D81A28" w:rsidRPr="003516DC">
        <w:rPr>
          <w:rFonts w:ascii="Arial" w:hAnsi="Arial" w:cs="Arial"/>
          <w:sz w:val="20"/>
          <w:szCs w:val="20"/>
        </w:rPr>
        <w:t>to concentrate significant poor communities. However, even within cities</w:t>
      </w:r>
      <w:r w:rsidR="00045C51" w:rsidRPr="003516DC">
        <w:rPr>
          <w:rFonts w:ascii="Arial" w:hAnsi="Arial" w:cs="Arial"/>
          <w:sz w:val="20"/>
          <w:szCs w:val="20"/>
        </w:rPr>
        <w:t>,</w:t>
      </w:r>
      <w:r w:rsidR="00D81A28" w:rsidRPr="003516DC">
        <w:rPr>
          <w:rFonts w:ascii="Arial" w:hAnsi="Arial" w:cs="Arial"/>
          <w:sz w:val="20"/>
          <w:szCs w:val="20"/>
        </w:rPr>
        <w:t xml:space="preserve"> there are concentrations of poor population</w:t>
      </w:r>
      <w:r w:rsidR="00045C51" w:rsidRPr="003516DC">
        <w:rPr>
          <w:rFonts w:ascii="Arial" w:hAnsi="Arial" w:cs="Arial"/>
          <w:sz w:val="20"/>
          <w:szCs w:val="20"/>
        </w:rPr>
        <w:t>s</w:t>
      </w:r>
      <w:r w:rsidR="00D81A28" w:rsidRPr="003516DC">
        <w:rPr>
          <w:rFonts w:ascii="Arial" w:hAnsi="Arial" w:cs="Arial"/>
          <w:sz w:val="20"/>
          <w:szCs w:val="20"/>
        </w:rPr>
        <w:t xml:space="preserve">, located both in informal </w:t>
      </w:r>
      <w:r w:rsidR="00D81A28" w:rsidRPr="00BE7F81">
        <w:rPr>
          <w:rFonts w:ascii="Arial" w:hAnsi="Arial" w:cs="Arial"/>
          <w:sz w:val="20"/>
          <w:szCs w:val="20"/>
        </w:rPr>
        <w:t xml:space="preserve">settlements on the outskirts of cities, e.g., Târgu Mureș - Valea Rece </w:t>
      </w:r>
      <w:r w:rsidR="00045C51" w:rsidRPr="00BE7F81">
        <w:rPr>
          <w:rFonts w:ascii="Arial" w:hAnsi="Arial" w:cs="Arial"/>
          <w:sz w:val="20"/>
          <w:szCs w:val="20"/>
        </w:rPr>
        <w:t>and</w:t>
      </w:r>
      <w:r w:rsidR="00D81A28" w:rsidRPr="00BE7F81">
        <w:rPr>
          <w:rFonts w:ascii="Arial" w:hAnsi="Arial" w:cs="Arial"/>
          <w:sz w:val="20"/>
          <w:szCs w:val="20"/>
        </w:rPr>
        <w:t xml:space="preserve"> areas with degraded blocks.</w:t>
      </w:r>
      <w:r w:rsidR="00BA4D0D" w:rsidRPr="00BE7F81">
        <w:rPr>
          <w:rFonts w:ascii="Arial" w:hAnsi="Arial" w:cs="Arial"/>
          <w:sz w:val="20"/>
          <w:szCs w:val="20"/>
        </w:rPr>
        <w:t xml:space="preserve"> Given the absence of minimal infrastructure in these run-down neighbourhoods and informal settlements developed during the post-communist transition period, the rehabilitation and construction of social infrastructure will facilitate social inclusion for the most vulnerable communities in the county.</w:t>
      </w:r>
    </w:p>
    <w:p w14:paraId="67F989C9" w14:textId="23F9618B" w:rsidR="000105EB" w:rsidRPr="0009621B" w:rsidRDefault="0009621B" w:rsidP="00E42342">
      <w:pPr>
        <w:pStyle w:val="ListParagraph"/>
        <w:numPr>
          <w:ilvl w:val="0"/>
          <w:numId w:val="301"/>
        </w:numPr>
        <w:spacing w:after="120"/>
        <w:jc w:val="both"/>
        <w:rPr>
          <w:color w:val="FF0000"/>
          <w:sz w:val="20"/>
          <w:szCs w:val="20"/>
        </w:rPr>
      </w:pPr>
      <w:r w:rsidRPr="0009621B">
        <w:rPr>
          <w:color w:val="4F81BD" w:themeColor="accent1"/>
          <w:sz w:val="20"/>
          <w:szCs w:val="20"/>
        </w:rPr>
        <w:t>Digitalisation and technology transfer</w:t>
      </w:r>
    </w:p>
    <w:p w14:paraId="6AF8D571" w14:textId="41C277F1" w:rsidR="00E93D73" w:rsidRPr="00402580" w:rsidRDefault="00E93D73" w:rsidP="00AC1903">
      <w:pPr>
        <w:pStyle w:val="Caption"/>
        <w:ind w:left="0" w:firstLine="0"/>
        <w:jc w:val="both"/>
        <w:rPr>
          <w:bCs/>
          <w:color w:val="auto"/>
          <w:lang w:val="ro-RO"/>
        </w:rPr>
      </w:pPr>
      <w:r w:rsidRPr="00402580">
        <w:rPr>
          <w:b w:val="0"/>
          <w:bCs/>
          <w:color w:val="auto"/>
        </w:rPr>
        <w:t xml:space="preserve">R&amp;D expenditures </w:t>
      </w:r>
      <w:r w:rsidR="003E7E68" w:rsidRPr="00402580">
        <w:rPr>
          <w:b w:val="0"/>
          <w:bCs/>
          <w:color w:val="auto"/>
        </w:rPr>
        <w:t>as a percentage of</w:t>
      </w:r>
      <w:r w:rsidRPr="00402580">
        <w:rPr>
          <w:b w:val="0"/>
          <w:bCs/>
          <w:color w:val="auto"/>
        </w:rPr>
        <w:t xml:space="preserve"> GDP decrease</w:t>
      </w:r>
      <w:r w:rsidR="003E7E68" w:rsidRPr="00402580">
        <w:rPr>
          <w:b w:val="0"/>
          <w:bCs/>
          <w:color w:val="auto"/>
        </w:rPr>
        <w:t>d</w:t>
      </w:r>
      <w:r w:rsidRPr="00402580">
        <w:rPr>
          <w:b w:val="0"/>
          <w:bCs/>
          <w:color w:val="auto"/>
        </w:rPr>
        <w:t xml:space="preserve"> </w:t>
      </w:r>
      <w:r w:rsidR="003E7E68" w:rsidRPr="00402580">
        <w:rPr>
          <w:b w:val="0"/>
          <w:bCs/>
          <w:color w:val="auto"/>
        </w:rPr>
        <w:t>between</w:t>
      </w:r>
      <w:r w:rsidRPr="00402580">
        <w:rPr>
          <w:b w:val="0"/>
          <w:bCs/>
          <w:color w:val="auto"/>
        </w:rPr>
        <w:t xml:space="preserve"> 2014-2018</w:t>
      </w:r>
      <w:r w:rsidR="003E7E68" w:rsidRPr="00402580">
        <w:rPr>
          <w:b w:val="0"/>
          <w:bCs/>
          <w:color w:val="auto"/>
        </w:rPr>
        <w:t>.</w:t>
      </w:r>
      <w:r w:rsidRPr="00402580">
        <w:rPr>
          <w:b w:val="0"/>
          <w:bCs/>
          <w:color w:val="auto"/>
        </w:rPr>
        <w:t xml:space="preserve"> Mureș, alongside Prahova</w:t>
      </w:r>
      <w:r w:rsidRPr="00402580">
        <w:rPr>
          <w:b w:val="0"/>
          <w:bCs/>
          <w:color w:val="auto"/>
          <w:lang w:val="ro-RO"/>
        </w:rPr>
        <w:t xml:space="preserve">, </w:t>
      </w:r>
      <w:r w:rsidR="003E7E68" w:rsidRPr="00402580">
        <w:rPr>
          <w:b w:val="0"/>
          <w:bCs/>
          <w:color w:val="auto"/>
          <w:lang w:val="ro-RO"/>
        </w:rPr>
        <w:t xml:space="preserve">is </w:t>
      </w:r>
      <w:r w:rsidRPr="00402580">
        <w:rPr>
          <w:b w:val="0"/>
          <w:bCs/>
          <w:color w:val="auto"/>
          <w:lang w:val="ro-RO"/>
        </w:rPr>
        <w:t xml:space="preserve">one of the two regions that </w:t>
      </w:r>
      <w:r w:rsidR="003E7E68">
        <w:rPr>
          <w:b w:val="0"/>
          <w:bCs/>
          <w:color w:val="auto"/>
          <w:lang w:val="ro-RO"/>
        </w:rPr>
        <w:t>observed</w:t>
      </w:r>
      <w:r w:rsidRPr="00402580">
        <w:rPr>
          <w:b w:val="0"/>
          <w:bCs/>
          <w:color w:val="auto"/>
          <w:lang w:val="ro-RO"/>
        </w:rPr>
        <w:t xml:space="preserve"> a negative evolution of this indicator. </w:t>
      </w:r>
    </w:p>
    <w:p w14:paraId="3780BC06" w14:textId="5882FF34" w:rsidR="00EE7155" w:rsidRPr="003516DC" w:rsidRDefault="005E7D21" w:rsidP="00402580">
      <w:pPr>
        <w:pStyle w:val="Caption"/>
        <w:ind w:left="900" w:hanging="900"/>
      </w:pPr>
      <w:bookmarkStart w:id="291" w:name="_Toc90726018"/>
      <w:bookmarkStart w:id="292" w:name="_Toc90727315"/>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64</w:t>
      </w:r>
      <w:r w:rsidR="000B273D">
        <w:rPr>
          <w:noProof/>
        </w:rPr>
        <w:fldChar w:fldCharType="end"/>
      </w:r>
      <w:r w:rsidR="00EE7155" w:rsidRPr="003516DC">
        <w:t xml:space="preserve">: Share of R&amp;DI in GDP during 2014-2018 for Mureș </w:t>
      </w:r>
      <w:r w:rsidR="004F70E0">
        <w:t>C</w:t>
      </w:r>
      <w:r w:rsidR="00EE7155" w:rsidRPr="003516DC">
        <w:t xml:space="preserve">ounty, </w:t>
      </w:r>
      <w:r w:rsidR="00EE7155" w:rsidRPr="003516DC">
        <w:rPr>
          <w:lang w:val="en-US"/>
        </w:rPr>
        <w:t>Centr</w:t>
      </w:r>
      <w:r w:rsidR="003E7E68">
        <w:rPr>
          <w:lang w:val="en-US"/>
        </w:rPr>
        <w:t>al</w:t>
      </w:r>
      <w:r w:rsidR="00EE7155" w:rsidRPr="003516DC">
        <w:t xml:space="preserve"> Region and Romania</w:t>
      </w:r>
      <w:bookmarkEnd w:id="291"/>
      <w:bookmarkEnd w:id="292"/>
    </w:p>
    <w:tbl>
      <w:tblPr>
        <w:tblW w:w="4829" w:type="pct"/>
        <w:tblLayout w:type="fixed"/>
        <w:tblLook w:val="04A0" w:firstRow="1" w:lastRow="0" w:firstColumn="1" w:lastColumn="0" w:noHBand="0" w:noVBand="1"/>
      </w:tblPr>
      <w:tblGrid>
        <w:gridCol w:w="2964"/>
        <w:gridCol w:w="894"/>
        <w:gridCol w:w="893"/>
        <w:gridCol w:w="893"/>
        <w:gridCol w:w="893"/>
        <w:gridCol w:w="893"/>
        <w:gridCol w:w="1194"/>
      </w:tblGrid>
      <w:tr w:rsidR="00EE7155" w:rsidRPr="003516DC" w14:paraId="2EBB13BC" w14:textId="77777777" w:rsidTr="00AC1903">
        <w:trPr>
          <w:trHeight w:val="300"/>
        </w:trPr>
        <w:tc>
          <w:tcPr>
            <w:tcW w:w="1718" w:type="pct"/>
            <w:tcBorders>
              <w:top w:val="single" w:sz="4" w:space="0" w:color="auto"/>
              <w:left w:val="single" w:sz="4" w:space="0" w:color="auto"/>
              <w:bottom w:val="single" w:sz="4" w:space="0" w:color="auto"/>
              <w:right w:val="single" w:sz="4" w:space="0" w:color="auto"/>
            </w:tcBorders>
            <w:shd w:val="clear" w:color="auto" w:fill="002060"/>
            <w:noWrap/>
            <w:vAlign w:val="center"/>
          </w:tcPr>
          <w:p w14:paraId="76414157" w14:textId="77777777" w:rsidR="00EE7155" w:rsidRPr="003516DC" w:rsidRDefault="00EE7155" w:rsidP="006E60A3">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4074901B"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52C92C0E"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0AAC0389"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04104835"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7FAEDDE2"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93" w:type="pct"/>
            <w:tcBorders>
              <w:top w:val="single" w:sz="4" w:space="0" w:color="auto"/>
              <w:left w:val="nil"/>
              <w:bottom w:val="single" w:sz="4" w:space="0" w:color="auto"/>
              <w:right w:val="single" w:sz="4" w:space="0" w:color="auto"/>
            </w:tcBorders>
            <w:shd w:val="clear" w:color="auto" w:fill="002060"/>
            <w:noWrap/>
            <w:vAlign w:val="center"/>
          </w:tcPr>
          <w:p w14:paraId="728335FD"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2014/20118</w:t>
            </w:r>
          </w:p>
        </w:tc>
      </w:tr>
      <w:tr w:rsidR="00EE7155" w:rsidRPr="003516DC" w14:paraId="580DF5A9" w14:textId="77777777" w:rsidTr="00EE7155">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59F0F1A1" w14:textId="7A5B28D6" w:rsidR="00EE7155" w:rsidRPr="003516DC" w:rsidRDefault="00EE7155" w:rsidP="00EE7155">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MS County</w:t>
            </w:r>
          </w:p>
        </w:tc>
        <w:tc>
          <w:tcPr>
            <w:tcW w:w="518" w:type="pct"/>
            <w:tcBorders>
              <w:top w:val="nil"/>
              <w:left w:val="nil"/>
              <w:bottom w:val="single" w:sz="4" w:space="0" w:color="auto"/>
              <w:right w:val="single" w:sz="4" w:space="0" w:color="auto"/>
            </w:tcBorders>
            <w:shd w:val="clear" w:color="auto" w:fill="auto"/>
            <w:noWrap/>
            <w:vAlign w:val="center"/>
          </w:tcPr>
          <w:p w14:paraId="0B72A1A1" w14:textId="04787352"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0.04%</w:t>
            </w:r>
          </w:p>
        </w:tc>
        <w:tc>
          <w:tcPr>
            <w:tcW w:w="518" w:type="pct"/>
            <w:tcBorders>
              <w:top w:val="nil"/>
              <w:left w:val="nil"/>
              <w:bottom w:val="single" w:sz="4" w:space="0" w:color="auto"/>
              <w:right w:val="single" w:sz="4" w:space="0" w:color="auto"/>
            </w:tcBorders>
            <w:shd w:val="clear" w:color="auto" w:fill="auto"/>
            <w:noWrap/>
            <w:vAlign w:val="center"/>
          </w:tcPr>
          <w:p w14:paraId="47AF65CB" w14:textId="1BECCBFC"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0.03%</w:t>
            </w:r>
          </w:p>
        </w:tc>
        <w:tc>
          <w:tcPr>
            <w:tcW w:w="518" w:type="pct"/>
            <w:tcBorders>
              <w:top w:val="nil"/>
              <w:left w:val="nil"/>
              <w:bottom w:val="single" w:sz="4" w:space="0" w:color="auto"/>
              <w:right w:val="single" w:sz="4" w:space="0" w:color="auto"/>
            </w:tcBorders>
            <w:shd w:val="clear" w:color="auto" w:fill="auto"/>
            <w:noWrap/>
            <w:vAlign w:val="center"/>
          </w:tcPr>
          <w:p w14:paraId="2EE10173" w14:textId="665A490D"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0.02%</w:t>
            </w:r>
          </w:p>
        </w:tc>
        <w:tc>
          <w:tcPr>
            <w:tcW w:w="518" w:type="pct"/>
            <w:tcBorders>
              <w:top w:val="nil"/>
              <w:left w:val="nil"/>
              <w:bottom w:val="single" w:sz="4" w:space="0" w:color="auto"/>
              <w:right w:val="single" w:sz="4" w:space="0" w:color="auto"/>
            </w:tcBorders>
            <w:shd w:val="clear" w:color="auto" w:fill="auto"/>
            <w:noWrap/>
            <w:vAlign w:val="center"/>
          </w:tcPr>
          <w:p w14:paraId="0901776A" w14:textId="30B17501"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0.01%</w:t>
            </w:r>
          </w:p>
        </w:tc>
        <w:tc>
          <w:tcPr>
            <w:tcW w:w="518" w:type="pct"/>
            <w:tcBorders>
              <w:top w:val="nil"/>
              <w:left w:val="nil"/>
              <w:bottom w:val="single" w:sz="4" w:space="0" w:color="auto"/>
              <w:right w:val="single" w:sz="4" w:space="0" w:color="auto"/>
            </w:tcBorders>
            <w:shd w:val="clear" w:color="auto" w:fill="auto"/>
            <w:noWrap/>
            <w:vAlign w:val="center"/>
          </w:tcPr>
          <w:p w14:paraId="184EE0CC" w14:textId="22E275D1"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0.02%</w:t>
            </w:r>
          </w:p>
        </w:tc>
        <w:tc>
          <w:tcPr>
            <w:tcW w:w="693" w:type="pct"/>
            <w:tcBorders>
              <w:top w:val="nil"/>
              <w:left w:val="nil"/>
              <w:bottom w:val="single" w:sz="4" w:space="0" w:color="auto"/>
              <w:right w:val="single" w:sz="4" w:space="0" w:color="auto"/>
            </w:tcBorders>
            <w:shd w:val="clear" w:color="auto" w:fill="auto"/>
            <w:noWrap/>
            <w:vAlign w:val="center"/>
          </w:tcPr>
          <w:p w14:paraId="2512A9EF" w14:textId="64CE8D38"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-0.03%</w:t>
            </w:r>
          </w:p>
        </w:tc>
      </w:tr>
      <w:tr w:rsidR="00EE7155" w:rsidRPr="003516DC" w14:paraId="2E489291" w14:textId="77777777" w:rsidTr="00EE7155">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2A964B4F" w14:textId="7832301A" w:rsidR="00EE7155" w:rsidRPr="002A3576" w:rsidRDefault="00EE7155" w:rsidP="00EE7155">
            <w:pPr>
              <w:rPr>
                <w:rFonts w:ascii="Arial" w:hAnsi="Arial"/>
                <w:color w:val="000000"/>
                <w:sz w:val="18"/>
                <w:lang w:val="it-IT"/>
              </w:rPr>
            </w:pPr>
            <w:r w:rsidRPr="002A3576">
              <w:rPr>
                <w:rFonts w:ascii="Arial" w:hAnsi="Arial"/>
                <w:color w:val="000000"/>
                <w:sz w:val="18"/>
                <w:lang w:val="it-IT"/>
              </w:rPr>
              <w:t>% of R&amp;DI in GDP Centru Region</w:t>
            </w:r>
          </w:p>
        </w:tc>
        <w:tc>
          <w:tcPr>
            <w:tcW w:w="518" w:type="pct"/>
            <w:tcBorders>
              <w:top w:val="nil"/>
              <w:left w:val="nil"/>
              <w:bottom w:val="single" w:sz="4" w:space="0" w:color="auto"/>
              <w:right w:val="single" w:sz="4" w:space="0" w:color="auto"/>
            </w:tcBorders>
            <w:shd w:val="clear" w:color="auto" w:fill="auto"/>
            <w:noWrap/>
            <w:vAlign w:val="center"/>
          </w:tcPr>
          <w:p w14:paraId="62D3D34A" w14:textId="1F428CE1"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0.04%</w:t>
            </w:r>
          </w:p>
        </w:tc>
        <w:tc>
          <w:tcPr>
            <w:tcW w:w="518" w:type="pct"/>
            <w:tcBorders>
              <w:top w:val="nil"/>
              <w:left w:val="nil"/>
              <w:bottom w:val="single" w:sz="4" w:space="0" w:color="auto"/>
              <w:right w:val="single" w:sz="4" w:space="0" w:color="auto"/>
            </w:tcBorders>
            <w:shd w:val="clear" w:color="auto" w:fill="auto"/>
            <w:noWrap/>
            <w:vAlign w:val="center"/>
          </w:tcPr>
          <w:p w14:paraId="735DA38F" w14:textId="57234F4E"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0.04%</w:t>
            </w:r>
          </w:p>
        </w:tc>
        <w:tc>
          <w:tcPr>
            <w:tcW w:w="518" w:type="pct"/>
            <w:tcBorders>
              <w:top w:val="nil"/>
              <w:left w:val="nil"/>
              <w:bottom w:val="single" w:sz="4" w:space="0" w:color="auto"/>
              <w:right w:val="single" w:sz="4" w:space="0" w:color="auto"/>
            </w:tcBorders>
            <w:shd w:val="clear" w:color="auto" w:fill="auto"/>
            <w:noWrap/>
            <w:vAlign w:val="center"/>
          </w:tcPr>
          <w:p w14:paraId="6A589171" w14:textId="00A64CB0"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0.04%</w:t>
            </w:r>
          </w:p>
        </w:tc>
        <w:tc>
          <w:tcPr>
            <w:tcW w:w="518" w:type="pct"/>
            <w:tcBorders>
              <w:top w:val="nil"/>
              <w:left w:val="nil"/>
              <w:bottom w:val="single" w:sz="4" w:space="0" w:color="auto"/>
              <w:right w:val="single" w:sz="4" w:space="0" w:color="auto"/>
            </w:tcBorders>
            <w:shd w:val="clear" w:color="auto" w:fill="auto"/>
            <w:noWrap/>
            <w:vAlign w:val="center"/>
          </w:tcPr>
          <w:p w14:paraId="62D09CDA" w14:textId="06D8BE41"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0.03%</w:t>
            </w:r>
          </w:p>
        </w:tc>
        <w:tc>
          <w:tcPr>
            <w:tcW w:w="518" w:type="pct"/>
            <w:tcBorders>
              <w:top w:val="nil"/>
              <w:left w:val="nil"/>
              <w:bottom w:val="single" w:sz="4" w:space="0" w:color="auto"/>
              <w:right w:val="single" w:sz="4" w:space="0" w:color="auto"/>
            </w:tcBorders>
            <w:shd w:val="clear" w:color="auto" w:fill="auto"/>
            <w:noWrap/>
            <w:vAlign w:val="center"/>
          </w:tcPr>
          <w:p w14:paraId="781E3A3F" w14:textId="44076D93"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0.04%</w:t>
            </w:r>
          </w:p>
        </w:tc>
        <w:tc>
          <w:tcPr>
            <w:tcW w:w="693" w:type="pct"/>
            <w:tcBorders>
              <w:top w:val="nil"/>
              <w:left w:val="nil"/>
              <w:bottom w:val="single" w:sz="4" w:space="0" w:color="auto"/>
              <w:right w:val="single" w:sz="4" w:space="0" w:color="auto"/>
            </w:tcBorders>
            <w:shd w:val="clear" w:color="auto" w:fill="auto"/>
            <w:noWrap/>
            <w:vAlign w:val="center"/>
          </w:tcPr>
          <w:p w14:paraId="3AAD8809" w14:textId="6C037AF3"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0.00%</w:t>
            </w:r>
          </w:p>
        </w:tc>
      </w:tr>
      <w:tr w:rsidR="00EE7155" w:rsidRPr="003516DC" w14:paraId="51334AD2" w14:textId="77777777" w:rsidTr="00EE7155">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312BA197" w14:textId="77777777" w:rsidR="00EE7155" w:rsidRPr="002A3576" w:rsidRDefault="00EE7155" w:rsidP="006E60A3">
            <w:pPr>
              <w:rPr>
                <w:rFonts w:ascii="Arial" w:hAnsi="Arial"/>
                <w:color w:val="000000"/>
                <w:sz w:val="18"/>
                <w:lang w:val="it-IT"/>
              </w:rPr>
            </w:pPr>
            <w:r w:rsidRPr="002A3576">
              <w:rPr>
                <w:rFonts w:ascii="Arial" w:hAnsi="Arial"/>
                <w:color w:val="000000"/>
                <w:sz w:val="18"/>
                <w:lang w:val="it-IT"/>
              </w:rPr>
              <w:t>% of R&amp;DI in GDP Romania</w:t>
            </w:r>
          </w:p>
        </w:tc>
        <w:tc>
          <w:tcPr>
            <w:tcW w:w="518" w:type="pct"/>
            <w:tcBorders>
              <w:top w:val="nil"/>
              <w:left w:val="nil"/>
              <w:bottom w:val="single" w:sz="4" w:space="0" w:color="auto"/>
              <w:right w:val="single" w:sz="4" w:space="0" w:color="auto"/>
            </w:tcBorders>
            <w:shd w:val="clear" w:color="auto" w:fill="auto"/>
            <w:noWrap/>
            <w:vAlign w:val="center"/>
          </w:tcPr>
          <w:p w14:paraId="71E2DA52"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0.38%</w:t>
            </w:r>
          </w:p>
        </w:tc>
        <w:tc>
          <w:tcPr>
            <w:tcW w:w="518" w:type="pct"/>
            <w:tcBorders>
              <w:top w:val="nil"/>
              <w:left w:val="nil"/>
              <w:bottom w:val="single" w:sz="4" w:space="0" w:color="auto"/>
              <w:right w:val="single" w:sz="4" w:space="0" w:color="auto"/>
            </w:tcBorders>
            <w:shd w:val="clear" w:color="auto" w:fill="auto"/>
            <w:noWrap/>
            <w:vAlign w:val="center"/>
          </w:tcPr>
          <w:p w14:paraId="26DE6C09"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0.49%</w:t>
            </w:r>
          </w:p>
        </w:tc>
        <w:tc>
          <w:tcPr>
            <w:tcW w:w="518" w:type="pct"/>
            <w:tcBorders>
              <w:top w:val="nil"/>
              <w:left w:val="nil"/>
              <w:bottom w:val="single" w:sz="4" w:space="0" w:color="auto"/>
              <w:right w:val="single" w:sz="4" w:space="0" w:color="auto"/>
            </w:tcBorders>
            <w:shd w:val="clear" w:color="auto" w:fill="auto"/>
            <w:noWrap/>
            <w:vAlign w:val="center"/>
          </w:tcPr>
          <w:p w14:paraId="3DE34CA4"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0.48%</w:t>
            </w:r>
          </w:p>
        </w:tc>
        <w:tc>
          <w:tcPr>
            <w:tcW w:w="518" w:type="pct"/>
            <w:tcBorders>
              <w:top w:val="nil"/>
              <w:left w:val="nil"/>
              <w:bottom w:val="single" w:sz="4" w:space="0" w:color="auto"/>
              <w:right w:val="single" w:sz="4" w:space="0" w:color="auto"/>
            </w:tcBorders>
            <w:shd w:val="clear" w:color="auto" w:fill="auto"/>
            <w:noWrap/>
            <w:vAlign w:val="center"/>
          </w:tcPr>
          <w:p w14:paraId="54001255"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518" w:type="pct"/>
            <w:tcBorders>
              <w:top w:val="nil"/>
              <w:left w:val="nil"/>
              <w:bottom w:val="single" w:sz="4" w:space="0" w:color="auto"/>
              <w:right w:val="single" w:sz="4" w:space="0" w:color="auto"/>
            </w:tcBorders>
            <w:shd w:val="clear" w:color="auto" w:fill="auto"/>
            <w:noWrap/>
            <w:vAlign w:val="center"/>
          </w:tcPr>
          <w:p w14:paraId="21CC3028"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693" w:type="pct"/>
            <w:tcBorders>
              <w:top w:val="nil"/>
              <w:left w:val="nil"/>
              <w:bottom w:val="single" w:sz="4" w:space="0" w:color="auto"/>
              <w:right w:val="single" w:sz="4" w:space="0" w:color="auto"/>
            </w:tcBorders>
            <w:shd w:val="clear" w:color="auto" w:fill="auto"/>
            <w:noWrap/>
            <w:vAlign w:val="center"/>
          </w:tcPr>
          <w:p w14:paraId="316029E0"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0.12%</w:t>
            </w:r>
          </w:p>
        </w:tc>
      </w:tr>
    </w:tbl>
    <w:p w14:paraId="1E7CB1EC" w14:textId="77777777" w:rsidR="00EE7155" w:rsidRPr="003516DC" w:rsidRDefault="00EE7155" w:rsidP="00EE7155">
      <w:pPr>
        <w:rPr>
          <w:rFonts w:ascii="Arial" w:hAnsi="Arial" w:cs="Arial"/>
          <w:i/>
          <w:sz w:val="16"/>
          <w:szCs w:val="16"/>
        </w:rPr>
      </w:pPr>
      <w:r w:rsidRPr="003516DC">
        <w:rPr>
          <w:rFonts w:ascii="Arial" w:hAnsi="Arial" w:cs="Arial"/>
          <w:i/>
          <w:sz w:val="16"/>
          <w:szCs w:val="16"/>
        </w:rPr>
        <w:t>Source: NIS, Tempo, CDO104B, CON103I</w:t>
      </w:r>
    </w:p>
    <w:p w14:paraId="39110382" w14:textId="3BDB8170" w:rsidR="00826AB0" w:rsidRPr="003516DC" w:rsidRDefault="00826AB0" w:rsidP="0009621B">
      <w:pPr>
        <w:spacing w:before="120" w:after="120"/>
        <w:jc w:val="both"/>
        <w:rPr>
          <w:rFonts w:ascii="Arial" w:hAnsi="Arial" w:cs="Arial"/>
          <w:sz w:val="20"/>
          <w:szCs w:val="20"/>
        </w:rPr>
      </w:pPr>
      <w:r w:rsidRPr="003516DC">
        <w:rPr>
          <w:rFonts w:ascii="Arial" w:hAnsi="Arial" w:cs="Arial"/>
          <w:sz w:val="20"/>
          <w:szCs w:val="20"/>
        </w:rPr>
        <w:t xml:space="preserve">A look at the </w:t>
      </w:r>
      <w:r w:rsidRPr="003516DC">
        <w:rPr>
          <w:rFonts w:ascii="Arial" w:hAnsi="Arial" w:cs="Arial"/>
          <w:b/>
          <w:bCs/>
          <w:sz w:val="20"/>
          <w:szCs w:val="20"/>
        </w:rPr>
        <w:t>knowledge and technology intensiveness</w:t>
      </w:r>
      <w:r w:rsidRPr="003516DC">
        <w:rPr>
          <w:rFonts w:ascii="Arial" w:hAnsi="Arial" w:cs="Arial"/>
          <w:sz w:val="20"/>
          <w:szCs w:val="20"/>
        </w:rPr>
        <w:t xml:space="preserve"> of economic activity in Mureș reflect</w:t>
      </w:r>
      <w:r w:rsidR="003F3605" w:rsidRPr="003516DC">
        <w:rPr>
          <w:rFonts w:ascii="Arial" w:hAnsi="Arial" w:cs="Arial"/>
          <w:sz w:val="20"/>
          <w:szCs w:val="20"/>
        </w:rPr>
        <w:t>s</w:t>
      </w:r>
      <w:r w:rsidRPr="003516DC">
        <w:rPr>
          <w:rFonts w:ascii="Arial" w:hAnsi="Arial" w:cs="Arial"/>
          <w:sz w:val="20"/>
          <w:szCs w:val="20"/>
        </w:rPr>
        <w:t xml:space="preserve"> a county with positive, encouraging trends in terms of</w:t>
      </w:r>
      <w:r w:rsidR="009D6994" w:rsidRPr="003516DC">
        <w:rPr>
          <w:rFonts w:ascii="Arial" w:hAnsi="Arial" w:cs="Arial"/>
          <w:sz w:val="20"/>
          <w:szCs w:val="20"/>
        </w:rPr>
        <w:t xml:space="preserve"> the</w:t>
      </w:r>
      <w:r w:rsidRPr="003516DC">
        <w:rPr>
          <w:rFonts w:ascii="Arial" w:hAnsi="Arial" w:cs="Arial"/>
          <w:sz w:val="20"/>
          <w:szCs w:val="20"/>
        </w:rPr>
        <w:t xml:space="preserve"> knowledge economy.   </w:t>
      </w:r>
    </w:p>
    <w:p w14:paraId="5493534F" w14:textId="0FA7B2B4" w:rsidR="00826AB0" w:rsidRPr="003516DC" w:rsidRDefault="00826AB0" w:rsidP="0009621B">
      <w:pPr>
        <w:spacing w:after="120"/>
        <w:jc w:val="both"/>
        <w:rPr>
          <w:rFonts w:ascii="Arial" w:hAnsi="Arial" w:cs="Arial"/>
          <w:sz w:val="20"/>
          <w:szCs w:val="20"/>
        </w:rPr>
      </w:pPr>
      <w:r w:rsidRPr="003516DC">
        <w:rPr>
          <w:rFonts w:ascii="Arial" w:hAnsi="Arial" w:cs="Arial"/>
          <w:sz w:val="20"/>
          <w:szCs w:val="20"/>
        </w:rPr>
        <w:lastRenderedPageBreak/>
        <w:t>Mureș ha</w:t>
      </w:r>
      <w:r w:rsidR="003F3605" w:rsidRPr="003516DC">
        <w:rPr>
          <w:rFonts w:ascii="Arial" w:hAnsi="Arial" w:cs="Arial"/>
          <w:sz w:val="20"/>
          <w:szCs w:val="20"/>
        </w:rPr>
        <w:t>d</w:t>
      </w:r>
      <w:r w:rsidRPr="003516DC">
        <w:rPr>
          <w:rFonts w:ascii="Arial" w:hAnsi="Arial" w:cs="Arial"/>
          <w:sz w:val="20"/>
          <w:szCs w:val="20"/>
        </w:rPr>
        <w:t xml:space="preserve"> the highest growth of high-tech knowledge intensive services turnover </w:t>
      </w:r>
      <w:r w:rsidR="003F3605" w:rsidRPr="003516DC">
        <w:rPr>
          <w:rFonts w:ascii="Arial" w:hAnsi="Arial" w:cs="Arial"/>
          <w:sz w:val="20"/>
          <w:szCs w:val="20"/>
        </w:rPr>
        <w:t xml:space="preserve">from </w:t>
      </w:r>
      <w:r w:rsidRPr="003516DC">
        <w:rPr>
          <w:rFonts w:ascii="Arial" w:hAnsi="Arial" w:cs="Arial"/>
          <w:sz w:val="20"/>
          <w:szCs w:val="20"/>
        </w:rPr>
        <w:t xml:space="preserve">2010-2019 of all JTP territories (275%), followed by Dolj (232%), as well as the highest </w:t>
      </w:r>
      <w:r w:rsidR="00E445C4" w:rsidRPr="003516DC">
        <w:rPr>
          <w:rFonts w:ascii="Arial" w:hAnsi="Arial" w:cs="Arial"/>
          <w:sz w:val="20"/>
          <w:szCs w:val="20"/>
        </w:rPr>
        <w:t xml:space="preserve">values </w:t>
      </w:r>
      <w:r w:rsidRPr="003516DC">
        <w:rPr>
          <w:rFonts w:ascii="Arial" w:hAnsi="Arial" w:cs="Arial"/>
          <w:sz w:val="20"/>
          <w:szCs w:val="20"/>
        </w:rPr>
        <w:t xml:space="preserve">in absolute numbers. Most of this growth is attributable to the ITC sector. Mureș has the most developed ITC sector of all JTP </w:t>
      </w:r>
      <w:r w:rsidR="00CC4016" w:rsidRPr="003516DC">
        <w:rPr>
          <w:rFonts w:ascii="Arial" w:hAnsi="Arial" w:cs="Arial"/>
          <w:sz w:val="20"/>
          <w:szCs w:val="20"/>
        </w:rPr>
        <w:t xml:space="preserve">counties </w:t>
      </w:r>
      <w:r w:rsidR="00DD23DB" w:rsidRPr="003516DC">
        <w:rPr>
          <w:rFonts w:ascii="Arial" w:hAnsi="Arial" w:cs="Arial"/>
          <w:sz w:val="20"/>
          <w:szCs w:val="20"/>
        </w:rPr>
        <w:t>with a</w:t>
      </w:r>
      <w:r w:rsidRPr="003516DC">
        <w:rPr>
          <w:rFonts w:ascii="Arial" w:hAnsi="Arial" w:cs="Arial"/>
          <w:sz w:val="20"/>
          <w:szCs w:val="20"/>
        </w:rPr>
        <w:t xml:space="preserve"> </w:t>
      </w:r>
      <w:r w:rsidR="00442887" w:rsidRPr="003516DC">
        <w:rPr>
          <w:rFonts w:ascii="Arial" w:hAnsi="Arial" w:cs="Arial"/>
          <w:sz w:val="20"/>
          <w:szCs w:val="20"/>
        </w:rPr>
        <w:t xml:space="preserve">turnover of </w:t>
      </w:r>
      <w:r w:rsidR="00CC4016" w:rsidRPr="003516DC">
        <w:rPr>
          <w:rFonts w:ascii="Arial" w:hAnsi="Arial" w:cs="Arial"/>
          <w:sz w:val="20"/>
          <w:szCs w:val="20"/>
        </w:rPr>
        <w:t xml:space="preserve">RON </w:t>
      </w:r>
      <w:r w:rsidRPr="003516DC">
        <w:rPr>
          <w:rFonts w:ascii="Arial" w:hAnsi="Arial" w:cs="Arial"/>
          <w:sz w:val="20"/>
          <w:szCs w:val="20"/>
        </w:rPr>
        <w:t>370 m in 2019, followed by Dolj (</w:t>
      </w:r>
      <w:r w:rsidR="00677354" w:rsidRPr="003516DC">
        <w:rPr>
          <w:rFonts w:ascii="Arial" w:hAnsi="Arial" w:cs="Arial"/>
          <w:sz w:val="20"/>
          <w:szCs w:val="20"/>
        </w:rPr>
        <w:t xml:space="preserve">RON </w:t>
      </w:r>
      <w:r w:rsidRPr="003516DC">
        <w:rPr>
          <w:rFonts w:ascii="Arial" w:hAnsi="Arial" w:cs="Arial"/>
          <w:sz w:val="20"/>
          <w:szCs w:val="20"/>
        </w:rPr>
        <w:t>317</w:t>
      </w:r>
      <w:r w:rsidR="00677354" w:rsidRPr="003516DC">
        <w:rPr>
          <w:rFonts w:ascii="Arial" w:hAnsi="Arial" w:cs="Arial"/>
          <w:sz w:val="20"/>
          <w:szCs w:val="20"/>
        </w:rPr>
        <w:t xml:space="preserve"> </w:t>
      </w:r>
      <w:r w:rsidRPr="003516DC">
        <w:rPr>
          <w:rFonts w:ascii="Arial" w:hAnsi="Arial" w:cs="Arial"/>
          <w:sz w:val="20"/>
          <w:szCs w:val="20"/>
        </w:rPr>
        <w:t>m) and the fastest growth</w:t>
      </w:r>
      <w:r w:rsidR="00D1020A" w:rsidRPr="003516DC">
        <w:rPr>
          <w:rFonts w:ascii="Arial" w:hAnsi="Arial" w:cs="Arial"/>
          <w:sz w:val="20"/>
          <w:szCs w:val="20"/>
        </w:rPr>
        <w:t>:</w:t>
      </w:r>
      <w:r w:rsidRPr="003516DC">
        <w:rPr>
          <w:rFonts w:ascii="Arial" w:hAnsi="Arial" w:cs="Arial"/>
          <w:sz w:val="20"/>
          <w:szCs w:val="20"/>
        </w:rPr>
        <w:t xml:space="preserve"> it tripled in turnover during 2019-2010 (291%),</w:t>
      </w:r>
      <w:r w:rsidR="00D1020A" w:rsidRPr="003516DC">
        <w:rPr>
          <w:rFonts w:ascii="Arial" w:hAnsi="Arial" w:cs="Arial"/>
          <w:sz w:val="20"/>
          <w:szCs w:val="20"/>
        </w:rPr>
        <w:t xml:space="preserve"> which was</w:t>
      </w:r>
      <w:r w:rsidRPr="003516DC">
        <w:rPr>
          <w:rFonts w:ascii="Arial" w:hAnsi="Arial" w:cs="Arial"/>
          <w:sz w:val="20"/>
          <w:szCs w:val="20"/>
        </w:rPr>
        <w:t xml:space="preserve"> followed by Dolj (273.8%). The number of employees of ITC companies headquartered in Mureș more than doubled over the past decade (116%).  This sector is dominated by SMEs with just one company exceeding 250 employees.</w:t>
      </w:r>
    </w:p>
    <w:p w14:paraId="3A0C4E30" w14:textId="2D849323" w:rsidR="00826AB0" w:rsidRPr="003516DC" w:rsidRDefault="00826AB0" w:rsidP="0009621B">
      <w:pPr>
        <w:pStyle w:val="Caption"/>
        <w:spacing w:before="0"/>
        <w:ind w:left="1138" w:hanging="1138"/>
        <w:rPr>
          <w:lang w:val="en-US"/>
        </w:rPr>
      </w:pPr>
      <w:bookmarkStart w:id="293" w:name="_Toc90726019"/>
      <w:bookmarkStart w:id="294" w:name="_Toc90727316"/>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65</w:t>
      </w:r>
      <w:r w:rsidR="0040363E" w:rsidRPr="003516DC">
        <w:rPr>
          <w:noProof/>
        </w:rPr>
        <w:fldChar w:fldCharType="end"/>
      </w:r>
      <w:r w:rsidRPr="003516DC">
        <w:t>: Evolution of the services sector by knowledge intensiveness in Mure</w:t>
      </w:r>
      <w:r w:rsidRPr="003516DC">
        <w:rPr>
          <w:lang w:val="ro-RO"/>
        </w:rPr>
        <w:t>ș</w:t>
      </w:r>
      <w:r w:rsidRPr="003516DC">
        <w:t xml:space="preserve"> </w:t>
      </w:r>
      <w:r w:rsidR="0009621B">
        <w:t>C</w:t>
      </w:r>
      <w:r w:rsidRPr="003516DC">
        <w:t>ounty</w:t>
      </w:r>
      <w:bookmarkEnd w:id="293"/>
      <w:bookmarkEnd w:id="2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2"/>
        <w:gridCol w:w="2018"/>
        <w:gridCol w:w="2018"/>
        <w:gridCol w:w="1561"/>
      </w:tblGrid>
      <w:tr w:rsidR="00826AB0" w:rsidRPr="003516DC" w14:paraId="59B07C6F" w14:textId="77777777" w:rsidTr="00794E77">
        <w:trPr>
          <w:trHeight w:val="300"/>
          <w:tblHeader/>
        </w:trPr>
        <w:tc>
          <w:tcPr>
            <w:tcW w:w="1866" w:type="pct"/>
            <w:vMerge w:val="restart"/>
            <w:shd w:val="clear" w:color="auto" w:fill="002060"/>
            <w:vAlign w:val="center"/>
            <w:hideMark/>
          </w:tcPr>
          <w:p w14:paraId="453F41EC" w14:textId="77777777" w:rsidR="00826AB0" w:rsidRPr="003516DC" w:rsidRDefault="00826AB0"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260" w:type="pct"/>
            <w:gridSpan w:val="2"/>
            <w:vMerge w:val="restart"/>
            <w:shd w:val="clear" w:color="auto" w:fill="002060"/>
            <w:vAlign w:val="center"/>
            <w:hideMark/>
          </w:tcPr>
          <w:p w14:paraId="26D0DAA5"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874" w:type="pct"/>
            <w:shd w:val="clear" w:color="auto" w:fill="002060"/>
            <w:noWrap/>
            <w:vAlign w:val="center"/>
            <w:hideMark/>
          </w:tcPr>
          <w:p w14:paraId="3560B29A"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826AB0" w:rsidRPr="003516DC" w14:paraId="0F20B13D" w14:textId="77777777" w:rsidTr="00794E77">
        <w:trPr>
          <w:trHeight w:val="317"/>
          <w:tblHeader/>
        </w:trPr>
        <w:tc>
          <w:tcPr>
            <w:tcW w:w="1866" w:type="pct"/>
            <w:vMerge/>
            <w:shd w:val="clear" w:color="auto" w:fill="002060"/>
            <w:vAlign w:val="center"/>
            <w:hideMark/>
          </w:tcPr>
          <w:p w14:paraId="62A29AE5" w14:textId="77777777" w:rsidR="00826AB0" w:rsidRPr="003516DC" w:rsidRDefault="00826AB0" w:rsidP="00133DD1">
            <w:pPr>
              <w:rPr>
                <w:rFonts w:ascii="Arial" w:eastAsia="Times New Roman" w:hAnsi="Arial" w:cs="Arial"/>
                <w:b/>
                <w:bCs/>
                <w:color w:val="FFFFFF" w:themeColor="background1"/>
                <w:sz w:val="18"/>
                <w:szCs w:val="18"/>
                <w:lang w:val="en-US"/>
              </w:rPr>
            </w:pPr>
          </w:p>
        </w:tc>
        <w:tc>
          <w:tcPr>
            <w:tcW w:w="2260" w:type="pct"/>
            <w:gridSpan w:val="2"/>
            <w:vMerge/>
            <w:shd w:val="clear" w:color="auto" w:fill="002060"/>
            <w:vAlign w:val="center"/>
            <w:hideMark/>
          </w:tcPr>
          <w:p w14:paraId="131D249A" w14:textId="77777777" w:rsidR="00826AB0" w:rsidRPr="003516DC" w:rsidRDefault="00826AB0" w:rsidP="00133DD1">
            <w:pPr>
              <w:rPr>
                <w:rFonts w:ascii="Arial" w:eastAsia="Times New Roman" w:hAnsi="Arial" w:cs="Arial"/>
                <w:b/>
                <w:bCs/>
                <w:color w:val="FFFFFF" w:themeColor="background1"/>
                <w:sz w:val="18"/>
                <w:szCs w:val="18"/>
                <w:lang w:val="en-US"/>
              </w:rPr>
            </w:pPr>
          </w:p>
        </w:tc>
        <w:tc>
          <w:tcPr>
            <w:tcW w:w="874" w:type="pct"/>
            <w:vMerge w:val="restart"/>
            <w:shd w:val="clear" w:color="auto" w:fill="002060"/>
            <w:noWrap/>
            <w:vAlign w:val="center"/>
            <w:hideMark/>
          </w:tcPr>
          <w:p w14:paraId="6011E084"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28DF071D"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826AB0" w:rsidRPr="003516DC" w14:paraId="1E8DD9EE" w14:textId="77777777" w:rsidTr="00794E77">
        <w:trPr>
          <w:trHeight w:val="385"/>
          <w:tblHeader/>
        </w:trPr>
        <w:tc>
          <w:tcPr>
            <w:tcW w:w="1866" w:type="pct"/>
            <w:vMerge/>
            <w:vAlign w:val="center"/>
            <w:hideMark/>
          </w:tcPr>
          <w:p w14:paraId="743C327F" w14:textId="77777777" w:rsidR="00826AB0" w:rsidRPr="003516DC" w:rsidRDefault="00826AB0" w:rsidP="00133DD1">
            <w:pPr>
              <w:rPr>
                <w:rFonts w:ascii="Arial" w:eastAsia="Times New Roman" w:hAnsi="Arial" w:cs="Arial"/>
                <w:b/>
                <w:bCs/>
                <w:color w:val="000000"/>
                <w:sz w:val="18"/>
                <w:szCs w:val="18"/>
                <w:lang w:val="en-US"/>
              </w:rPr>
            </w:pPr>
          </w:p>
        </w:tc>
        <w:tc>
          <w:tcPr>
            <w:tcW w:w="1130" w:type="pct"/>
            <w:shd w:val="clear" w:color="auto" w:fill="D9D9D9" w:themeFill="background1" w:themeFillShade="D9"/>
            <w:noWrap/>
            <w:vAlign w:val="center"/>
            <w:hideMark/>
          </w:tcPr>
          <w:p w14:paraId="446A1AF6" w14:textId="77777777" w:rsidR="00826AB0" w:rsidRPr="003516DC" w:rsidRDefault="00826AB0"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1130" w:type="pct"/>
            <w:shd w:val="clear" w:color="auto" w:fill="D9D9D9" w:themeFill="background1" w:themeFillShade="D9"/>
            <w:vAlign w:val="center"/>
            <w:hideMark/>
          </w:tcPr>
          <w:p w14:paraId="35992DB4" w14:textId="77777777" w:rsidR="00826AB0" w:rsidRPr="003516DC" w:rsidRDefault="00826AB0"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874" w:type="pct"/>
            <w:vMerge/>
            <w:shd w:val="clear" w:color="000000" w:fill="FDE9D9"/>
            <w:noWrap/>
            <w:vAlign w:val="center"/>
            <w:hideMark/>
          </w:tcPr>
          <w:p w14:paraId="507B202A" w14:textId="77777777" w:rsidR="00826AB0" w:rsidRPr="003516DC" w:rsidRDefault="00826AB0" w:rsidP="00133DD1">
            <w:pPr>
              <w:jc w:val="center"/>
              <w:rPr>
                <w:rFonts w:ascii="Arial" w:eastAsia="Times New Roman" w:hAnsi="Arial" w:cs="Arial"/>
                <w:b/>
                <w:bCs/>
                <w:color w:val="000000"/>
                <w:sz w:val="18"/>
                <w:szCs w:val="18"/>
                <w:lang w:val="en-US"/>
              </w:rPr>
            </w:pPr>
          </w:p>
        </w:tc>
      </w:tr>
      <w:tr w:rsidR="00826AB0" w:rsidRPr="003516DC" w14:paraId="32647124" w14:textId="77777777" w:rsidTr="00794E77">
        <w:trPr>
          <w:trHeight w:val="315"/>
        </w:trPr>
        <w:tc>
          <w:tcPr>
            <w:tcW w:w="1866" w:type="pct"/>
            <w:shd w:val="clear" w:color="auto" w:fill="auto"/>
            <w:noWrap/>
            <w:vAlign w:val="center"/>
            <w:hideMark/>
          </w:tcPr>
          <w:p w14:paraId="42EE3DCD" w14:textId="77777777" w:rsidR="00826AB0" w:rsidRPr="003516DC" w:rsidRDefault="00826AB0" w:rsidP="00826AB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130" w:type="pct"/>
            <w:shd w:val="clear" w:color="auto" w:fill="auto"/>
            <w:noWrap/>
            <w:vAlign w:val="center"/>
            <w:hideMark/>
          </w:tcPr>
          <w:p w14:paraId="48C5C01B" w14:textId="5C37DDA0"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1,686,351,146 </w:t>
            </w:r>
          </w:p>
        </w:tc>
        <w:tc>
          <w:tcPr>
            <w:tcW w:w="1130" w:type="pct"/>
            <w:shd w:val="clear" w:color="auto" w:fill="auto"/>
            <w:noWrap/>
            <w:vAlign w:val="center"/>
            <w:hideMark/>
          </w:tcPr>
          <w:p w14:paraId="6567B575" w14:textId="7B485A9A"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1,821,592,954 </w:t>
            </w:r>
          </w:p>
        </w:tc>
        <w:tc>
          <w:tcPr>
            <w:tcW w:w="874" w:type="pct"/>
            <w:shd w:val="clear" w:color="auto" w:fill="auto"/>
            <w:noWrap/>
            <w:vAlign w:val="center"/>
            <w:hideMark/>
          </w:tcPr>
          <w:p w14:paraId="56A927B0" w14:textId="2D07C155" w:rsidR="00826AB0" w:rsidRPr="003516DC" w:rsidRDefault="00826AB0" w:rsidP="00826AB0">
            <w:pPr>
              <w:jc w:val="center"/>
              <w:rPr>
                <w:rFonts w:ascii="Arial" w:eastAsia="Times New Roman" w:hAnsi="Arial" w:cs="Arial"/>
                <w:b/>
                <w:bCs/>
                <w:color w:val="000000"/>
                <w:sz w:val="18"/>
                <w:szCs w:val="18"/>
                <w:lang w:val="en-US"/>
              </w:rPr>
            </w:pPr>
            <w:r w:rsidRPr="003516DC">
              <w:rPr>
                <w:rFonts w:ascii="Arial" w:eastAsia="Arial Narrow" w:hAnsi="Arial" w:cs="Arial"/>
                <w:sz w:val="18"/>
                <w:szCs w:val="18"/>
              </w:rPr>
              <w:t>8.0%</w:t>
            </w:r>
          </w:p>
        </w:tc>
      </w:tr>
      <w:tr w:rsidR="00826AB0" w:rsidRPr="003516DC" w14:paraId="6E7A84CC" w14:textId="77777777" w:rsidTr="00794E77">
        <w:trPr>
          <w:trHeight w:val="315"/>
        </w:trPr>
        <w:tc>
          <w:tcPr>
            <w:tcW w:w="1866" w:type="pct"/>
            <w:shd w:val="clear" w:color="auto" w:fill="auto"/>
            <w:vAlign w:val="center"/>
            <w:hideMark/>
          </w:tcPr>
          <w:p w14:paraId="525542A0"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High-tech knowledge-intensive services:</w:t>
            </w:r>
          </w:p>
        </w:tc>
        <w:tc>
          <w:tcPr>
            <w:tcW w:w="1130" w:type="pct"/>
            <w:shd w:val="clear" w:color="auto" w:fill="auto"/>
            <w:noWrap/>
            <w:vAlign w:val="center"/>
            <w:hideMark/>
          </w:tcPr>
          <w:p w14:paraId="2BE9D815" w14:textId="4F20FB7F"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106,337,127 </w:t>
            </w:r>
          </w:p>
        </w:tc>
        <w:tc>
          <w:tcPr>
            <w:tcW w:w="1130" w:type="pct"/>
            <w:shd w:val="clear" w:color="auto" w:fill="auto"/>
            <w:noWrap/>
            <w:vAlign w:val="center"/>
            <w:hideMark/>
          </w:tcPr>
          <w:p w14:paraId="45135CF1" w14:textId="6F7842F7"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399,223,353 </w:t>
            </w:r>
          </w:p>
        </w:tc>
        <w:tc>
          <w:tcPr>
            <w:tcW w:w="874" w:type="pct"/>
            <w:shd w:val="clear" w:color="auto" w:fill="auto"/>
            <w:noWrap/>
            <w:vAlign w:val="center"/>
            <w:hideMark/>
          </w:tcPr>
          <w:p w14:paraId="12E1760D" w14:textId="732A800E"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275.4%</w:t>
            </w:r>
          </w:p>
        </w:tc>
      </w:tr>
      <w:tr w:rsidR="00826AB0" w:rsidRPr="003516DC" w14:paraId="2398EDC5" w14:textId="77777777" w:rsidTr="00794E77">
        <w:trPr>
          <w:trHeight w:val="315"/>
        </w:trPr>
        <w:tc>
          <w:tcPr>
            <w:tcW w:w="1866" w:type="pct"/>
            <w:shd w:val="clear" w:color="auto" w:fill="auto"/>
            <w:vAlign w:val="center"/>
            <w:hideMark/>
          </w:tcPr>
          <w:p w14:paraId="6D45692A"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130" w:type="pct"/>
            <w:shd w:val="clear" w:color="auto" w:fill="auto"/>
            <w:noWrap/>
            <w:vAlign w:val="center"/>
            <w:hideMark/>
          </w:tcPr>
          <w:p w14:paraId="1AE04F32" w14:textId="7A8FF8F8"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2,820,759 </w:t>
            </w:r>
          </w:p>
        </w:tc>
        <w:tc>
          <w:tcPr>
            <w:tcW w:w="1130" w:type="pct"/>
            <w:shd w:val="clear" w:color="auto" w:fill="auto"/>
            <w:noWrap/>
            <w:vAlign w:val="center"/>
            <w:hideMark/>
          </w:tcPr>
          <w:p w14:paraId="2A4AEA09" w14:textId="7D6CBB62"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15,315,239 </w:t>
            </w:r>
          </w:p>
        </w:tc>
        <w:tc>
          <w:tcPr>
            <w:tcW w:w="874" w:type="pct"/>
            <w:shd w:val="clear" w:color="auto" w:fill="auto"/>
            <w:noWrap/>
            <w:vAlign w:val="center"/>
            <w:hideMark/>
          </w:tcPr>
          <w:p w14:paraId="17012FF1" w14:textId="53EA58AE"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442.9%</w:t>
            </w:r>
          </w:p>
        </w:tc>
      </w:tr>
      <w:tr w:rsidR="00826AB0" w:rsidRPr="003516DC" w14:paraId="2111ED24" w14:textId="77777777" w:rsidTr="00794E77">
        <w:trPr>
          <w:trHeight w:val="315"/>
        </w:trPr>
        <w:tc>
          <w:tcPr>
            <w:tcW w:w="1866" w:type="pct"/>
            <w:shd w:val="clear" w:color="auto" w:fill="auto"/>
            <w:vAlign w:val="center"/>
            <w:hideMark/>
          </w:tcPr>
          <w:p w14:paraId="3CE66167"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130" w:type="pct"/>
            <w:shd w:val="clear" w:color="auto" w:fill="auto"/>
            <w:noWrap/>
            <w:vAlign w:val="center"/>
            <w:hideMark/>
          </w:tcPr>
          <w:p w14:paraId="6D338727" w14:textId="4F0FC19B"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8,908,308 </w:t>
            </w:r>
          </w:p>
        </w:tc>
        <w:tc>
          <w:tcPr>
            <w:tcW w:w="1130" w:type="pct"/>
            <w:shd w:val="clear" w:color="auto" w:fill="auto"/>
            <w:noWrap/>
            <w:vAlign w:val="center"/>
            <w:hideMark/>
          </w:tcPr>
          <w:p w14:paraId="6CD4E218" w14:textId="092ECBE2"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13,697,610 </w:t>
            </w:r>
          </w:p>
        </w:tc>
        <w:tc>
          <w:tcPr>
            <w:tcW w:w="874" w:type="pct"/>
            <w:shd w:val="clear" w:color="auto" w:fill="auto"/>
            <w:noWrap/>
            <w:vAlign w:val="center"/>
            <w:hideMark/>
          </w:tcPr>
          <w:p w14:paraId="3DF2A788" w14:textId="18D18ABA"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53.8%</w:t>
            </w:r>
          </w:p>
        </w:tc>
      </w:tr>
      <w:tr w:rsidR="00826AB0" w:rsidRPr="003516DC" w14:paraId="22966CB9" w14:textId="77777777" w:rsidTr="00794E77">
        <w:trPr>
          <w:trHeight w:val="315"/>
        </w:trPr>
        <w:tc>
          <w:tcPr>
            <w:tcW w:w="1866" w:type="pct"/>
            <w:shd w:val="clear" w:color="auto" w:fill="auto"/>
            <w:vAlign w:val="center"/>
            <w:hideMark/>
          </w:tcPr>
          <w:p w14:paraId="47C344A9"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130" w:type="pct"/>
            <w:shd w:val="clear" w:color="auto" w:fill="auto"/>
            <w:noWrap/>
            <w:vAlign w:val="center"/>
            <w:hideMark/>
          </w:tcPr>
          <w:p w14:paraId="292DE548" w14:textId="27C853B5"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94,608,060 </w:t>
            </w:r>
          </w:p>
        </w:tc>
        <w:tc>
          <w:tcPr>
            <w:tcW w:w="1130" w:type="pct"/>
            <w:shd w:val="clear" w:color="auto" w:fill="auto"/>
            <w:noWrap/>
            <w:vAlign w:val="center"/>
            <w:hideMark/>
          </w:tcPr>
          <w:p w14:paraId="60C1C57C" w14:textId="763218C2"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370,210,504 </w:t>
            </w:r>
          </w:p>
        </w:tc>
        <w:tc>
          <w:tcPr>
            <w:tcW w:w="874" w:type="pct"/>
            <w:shd w:val="clear" w:color="auto" w:fill="auto"/>
            <w:noWrap/>
            <w:vAlign w:val="center"/>
            <w:hideMark/>
          </w:tcPr>
          <w:p w14:paraId="04C20715" w14:textId="6878EEEB"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291.3%</w:t>
            </w:r>
          </w:p>
        </w:tc>
      </w:tr>
      <w:tr w:rsidR="00826AB0" w:rsidRPr="003516DC" w14:paraId="3F64843E" w14:textId="77777777" w:rsidTr="00794E77">
        <w:trPr>
          <w:trHeight w:val="315"/>
        </w:trPr>
        <w:tc>
          <w:tcPr>
            <w:tcW w:w="1866" w:type="pct"/>
            <w:shd w:val="clear" w:color="auto" w:fill="auto"/>
            <w:vAlign w:val="center"/>
            <w:hideMark/>
          </w:tcPr>
          <w:p w14:paraId="7FD5C29B"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130" w:type="pct"/>
            <w:shd w:val="clear" w:color="auto" w:fill="auto"/>
            <w:noWrap/>
            <w:vAlign w:val="center"/>
            <w:hideMark/>
          </w:tcPr>
          <w:p w14:paraId="4697A680" w14:textId="03EFB849"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913,881,226 </w:t>
            </w:r>
          </w:p>
        </w:tc>
        <w:tc>
          <w:tcPr>
            <w:tcW w:w="1130" w:type="pct"/>
            <w:shd w:val="clear" w:color="auto" w:fill="auto"/>
            <w:noWrap/>
            <w:vAlign w:val="center"/>
            <w:hideMark/>
          </w:tcPr>
          <w:p w14:paraId="42DB4F72" w14:textId="4FDF84BB"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78,204,489 </w:t>
            </w:r>
          </w:p>
        </w:tc>
        <w:tc>
          <w:tcPr>
            <w:tcW w:w="874" w:type="pct"/>
            <w:shd w:val="clear" w:color="auto" w:fill="auto"/>
            <w:noWrap/>
            <w:vAlign w:val="center"/>
            <w:hideMark/>
          </w:tcPr>
          <w:p w14:paraId="7283A52C" w14:textId="436499CE"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-91.4%*</w:t>
            </w:r>
          </w:p>
        </w:tc>
      </w:tr>
      <w:tr w:rsidR="00826AB0" w:rsidRPr="003516DC" w14:paraId="2D11CDFD" w14:textId="77777777" w:rsidTr="00794E77">
        <w:trPr>
          <w:trHeight w:val="315"/>
        </w:trPr>
        <w:tc>
          <w:tcPr>
            <w:tcW w:w="1866" w:type="pct"/>
            <w:shd w:val="clear" w:color="auto" w:fill="auto"/>
            <w:vAlign w:val="center"/>
            <w:hideMark/>
          </w:tcPr>
          <w:p w14:paraId="0E3210B9"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130" w:type="pct"/>
            <w:shd w:val="clear" w:color="auto" w:fill="auto"/>
            <w:noWrap/>
            <w:vAlign w:val="center"/>
            <w:hideMark/>
          </w:tcPr>
          <w:p w14:paraId="31B846A6" w14:textId="4C13457C"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336,679,127 </w:t>
            </w:r>
          </w:p>
        </w:tc>
        <w:tc>
          <w:tcPr>
            <w:tcW w:w="1130" w:type="pct"/>
            <w:shd w:val="clear" w:color="auto" w:fill="auto"/>
            <w:noWrap/>
            <w:vAlign w:val="center"/>
            <w:hideMark/>
          </w:tcPr>
          <w:p w14:paraId="057B260D" w14:textId="13641215"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606,441,180 </w:t>
            </w:r>
          </w:p>
        </w:tc>
        <w:tc>
          <w:tcPr>
            <w:tcW w:w="874" w:type="pct"/>
            <w:shd w:val="clear" w:color="auto" w:fill="auto"/>
            <w:noWrap/>
            <w:vAlign w:val="center"/>
            <w:hideMark/>
          </w:tcPr>
          <w:p w14:paraId="606F68BC" w14:textId="5609B045"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80.1%</w:t>
            </w:r>
          </w:p>
        </w:tc>
      </w:tr>
      <w:tr w:rsidR="00826AB0" w:rsidRPr="003516DC" w14:paraId="183CB957" w14:textId="77777777" w:rsidTr="00794E77">
        <w:trPr>
          <w:trHeight w:val="315"/>
        </w:trPr>
        <w:tc>
          <w:tcPr>
            <w:tcW w:w="1866" w:type="pct"/>
            <w:shd w:val="clear" w:color="auto" w:fill="auto"/>
            <w:vAlign w:val="center"/>
            <w:hideMark/>
          </w:tcPr>
          <w:p w14:paraId="1F1826A6"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130" w:type="pct"/>
            <w:shd w:val="clear" w:color="auto" w:fill="auto"/>
            <w:noWrap/>
            <w:vAlign w:val="center"/>
            <w:hideMark/>
          </w:tcPr>
          <w:p w14:paraId="7C8F6992" w14:textId="67C3075D"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329,453,666 </w:t>
            </w:r>
          </w:p>
        </w:tc>
        <w:tc>
          <w:tcPr>
            <w:tcW w:w="1130" w:type="pct"/>
            <w:shd w:val="clear" w:color="auto" w:fill="auto"/>
            <w:noWrap/>
            <w:vAlign w:val="center"/>
            <w:hideMark/>
          </w:tcPr>
          <w:p w14:paraId="24D1F9E1" w14:textId="1F260014"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737,723,932 </w:t>
            </w:r>
          </w:p>
        </w:tc>
        <w:tc>
          <w:tcPr>
            <w:tcW w:w="874" w:type="pct"/>
            <w:shd w:val="clear" w:color="auto" w:fill="auto"/>
            <w:noWrap/>
            <w:vAlign w:val="center"/>
            <w:hideMark/>
          </w:tcPr>
          <w:p w14:paraId="266BFFB0" w14:textId="49217D8C"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123.9%</w:t>
            </w:r>
          </w:p>
        </w:tc>
      </w:tr>
      <w:tr w:rsidR="00826AB0" w:rsidRPr="003516DC" w14:paraId="5126DE7D" w14:textId="77777777" w:rsidTr="00794E77">
        <w:trPr>
          <w:trHeight w:val="315"/>
        </w:trPr>
        <w:tc>
          <w:tcPr>
            <w:tcW w:w="1866" w:type="pct"/>
            <w:shd w:val="clear" w:color="auto" w:fill="auto"/>
            <w:noWrap/>
            <w:vAlign w:val="center"/>
            <w:hideMark/>
          </w:tcPr>
          <w:p w14:paraId="6C9EED22" w14:textId="77777777" w:rsidR="00826AB0" w:rsidRPr="003516DC" w:rsidRDefault="00826AB0" w:rsidP="00826AB0">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130" w:type="pct"/>
            <w:shd w:val="clear" w:color="auto" w:fill="auto"/>
            <w:noWrap/>
            <w:vAlign w:val="center"/>
            <w:hideMark/>
          </w:tcPr>
          <w:p w14:paraId="27FC29D7" w14:textId="621C3D9B"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5,487,164,560 </w:t>
            </w:r>
          </w:p>
        </w:tc>
        <w:tc>
          <w:tcPr>
            <w:tcW w:w="1130" w:type="pct"/>
            <w:shd w:val="clear" w:color="auto" w:fill="auto"/>
            <w:noWrap/>
            <w:vAlign w:val="center"/>
            <w:hideMark/>
          </w:tcPr>
          <w:p w14:paraId="0FDDD395" w14:textId="3782BF28"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12,975,337,658 </w:t>
            </w:r>
          </w:p>
        </w:tc>
        <w:tc>
          <w:tcPr>
            <w:tcW w:w="874" w:type="pct"/>
            <w:shd w:val="clear" w:color="auto" w:fill="auto"/>
            <w:noWrap/>
            <w:vAlign w:val="center"/>
            <w:hideMark/>
          </w:tcPr>
          <w:p w14:paraId="4C0AB0A1" w14:textId="5A414219" w:rsidR="00826AB0" w:rsidRPr="003516DC" w:rsidRDefault="00826AB0" w:rsidP="00826AB0">
            <w:pPr>
              <w:jc w:val="center"/>
              <w:rPr>
                <w:rFonts w:ascii="Arial" w:eastAsia="Times New Roman" w:hAnsi="Arial" w:cs="Arial"/>
                <w:b/>
                <w:bCs/>
                <w:color w:val="000000"/>
                <w:sz w:val="18"/>
                <w:szCs w:val="18"/>
                <w:lang w:val="en-US"/>
              </w:rPr>
            </w:pPr>
            <w:r w:rsidRPr="003516DC">
              <w:rPr>
                <w:rFonts w:ascii="Arial" w:eastAsia="Arial Narrow" w:hAnsi="Arial" w:cs="Arial"/>
                <w:sz w:val="18"/>
                <w:szCs w:val="18"/>
              </w:rPr>
              <w:t>136.5%</w:t>
            </w:r>
          </w:p>
        </w:tc>
      </w:tr>
      <w:tr w:rsidR="00826AB0" w:rsidRPr="003516DC" w14:paraId="7C73498D" w14:textId="77777777" w:rsidTr="00794E77">
        <w:trPr>
          <w:trHeight w:val="315"/>
        </w:trPr>
        <w:tc>
          <w:tcPr>
            <w:tcW w:w="1866" w:type="pct"/>
            <w:shd w:val="clear" w:color="auto" w:fill="auto"/>
            <w:vAlign w:val="center"/>
            <w:hideMark/>
          </w:tcPr>
          <w:p w14:paraId="5B323E9F"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130" w:type="pct"/>
            <w:shd w:val="clear" w:color="auto" w:fill="auto"/>
            <w:noWrap/>
            <w:vAlign w:val="center"/>
            <w:hideMark/>
          </w:tcPr>
          <w:p w14:paraId="3199321A" w14:textId="3025B4C0"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5,465,911,803 </w:t>
            </w:r>
          </w:p>
        </w:tc>
        <w:tc>
          <w:tcPr>
            <w:tcW w:w="1130" w:type="pct"/>
            <w:shd w:val="clear" w:color="auto" w:fill="auto"/>
            <w:noWrap/>
            <w:vAlign w:val="center"/>
            <w:hideMark/>
          </w:tcPr>
          <w:p w14:paraId="5D23EF34" w14:textId="170CC183"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12,903,950,778 </w:t>
            </w:r>
          </w:p>
        </w:tc>
        <w:tc>
          <w:tcPr>
            <w:tcW w:w="874" w:type="pct"/>
            <w:shd w:val="clear" w:color="auto" w:fill="auto"/>
            <w:noWrap/>
            <w:vAlign w:val="center"/>
            <w:hideMark/>
          </w:tcPr>
          <w:p w14:paraId="469C7CF9" w14:textId="46CFB21F"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136.1%</w:t>
            </w:r>
          </w:p>
        </w:tc>
      </w:tr>
      <w:tr w:rsidR="00826AB0" w:rsidRPr="003516DC" w14:paraId="03C8EE6B" w14:textId="77777777" w:rsidTr="00794E77">
        <w:trPr>
          <w:trHeight w:val="315"/>
        </w:trPr>
        <w:tc>
          <w:tcPr>
            <w:tcW w:w="1866" w:type="pct"/>
            <w:shd w:val="clear" w:color="auto" w:fill="auto"/>
            <w:vAlign w:val="center"/>
            <w:hideMark/>
          </w:tcPr>
          <w:p w14:paraId="6DD9920B" w14:textId="77777777" w:rsidR="00826AB0" w:rsidRPr="003516DC" w:rsidRDefault="00826AB0" w:rsidP="00826AB0">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130" w:type="pct"/>
            <w:shd w:val="clear" w:color="auto" w:fill="auto"/>
            <w:noWrap/>
            <w:vAlign w:val="center"/>
            <w:hideMark/>
          </w:tcPr>
          <w:p w14:paraId="4EC49885" w14:textId="466C5FFF"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21,252,757 </w:t>
            </w:r>
          </w:p>
        </w:tc>
        <w:tc>
          <w:tcPr>
            <w:tcW w:w="1130" w:type="pct"/>
            <w:shd w:val="clear" w:color="auto" w:fill="auto"/>
            <w:noWrap/>
            <w:vAlign w:val="center"/>
            <w:hideMark/>
          </w:tcPr>
          <w:p w14:paraId="671C0F24" w14:textId="407BF306" w:rsidR="00826AB0" w:rsidRPr="003516DC" w:rsidRDefault="00826AB0" w:rsidP="00826AB0">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71,386,880 </w:t>
            </w:r>
          </w:p>
        </w:tc>
        <w:tc>
          <w:tcPr>
            <w:tcW w:w="874" w:type="pct"/>
            <w:shd w:val="clear" w:color="auto" w:fill="auto"/>
            <w:noWrap/>
            <w:vAlign w:val="center"/>
            <w:hideMark/>
          </w:tcPr>
          <w:p w14:paraId="3A7DB657" w14:textId="6C7E42E1" w:rsidR="00826AB0" w:rsidRPr="003516DC" w:rsidRDefault="00826AB0" w:rsidP="00826AB0">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235.9%</w:t>
            </w:r>
          </w:p>
        </w:tc>
      </w:tr>
    </w:tbl>
    <w:p w14:paraId="5C482612" w14:textId="73F61000" w:rsidR="00826AB0" w:rsidRPr="003516DC" w:rsidRDefault="00826AB0" w:rsidP="00826AB0">
      <w:pPr>
        <w:rPr>
          <w:rFonts w:ascii="Arial" w:hAnsi="Arial" w:cs="Arial"/>
          <w:i/>
          <w:color w:val="1155CC"/>
          <w:sz w:val="16"/>
          <w:szCs w:val="16"/>
          <w:u w:val="single"/>
        </w:rPr>
      </w:pPr>
      <w:r w:rsidRPr="003516DC">
        <w:rPr>
          <w:rFonts w:ascii="Arial" w:hAnsi="Arial" w:cs="Arial"/>
          <w:i/>
          <w:sz w:val="16"/>
          <w:szCs w:val="16"/>
        </w:rPr>
        <w:t xml:space="preserve">Source: processing of </w:t>
      </w:r>
      <w:r w:rsidR="006536F5" w:rsidRPr="003516DC">
        <w:rPr>
          <w:rFonts w:ascii="Arial" w:hAnsi="Arial" w:cs="Arial"/>
          <w:i/>
          <w:sz w:val="16"/>
          <w:szCs w:val="16"/>
        </w:rPr>
        <w:t xml:space="preserve">National Trade Register Office </w:t>
      </w:r>
      <w:r w:rsidRPr="003516DC">
        <w:rPr>
          <w:rFonts w:ascii="Arial" w:hAnsi="Arial" w:cs="Arial"/>
          <w:i/>
          <w:sz w:val="16"/>
          <w:szCs w:val="16"/>
        </w:rPr>
        <w:t>data, based on EC KIS classification of NACE codes</w:t>
      </w:r>
      <w:hyperlink r:id="rId189">
        <w:r w:rsidRPr="003516DC">
          <w:rPr>
            <w:rFonts w:ascii="Arial" w:hAnsi="Arial" w:cs="Arial"/>
            <w:i/>
            <w:sz w:val="16"/>
            <w:szCs w:val="16"/>
          </w:rPr>
          <w:t xml:space="preserve"> </w:t>
        </w:r>
      </w:hyperlink>
      <w:hyperlink r:id="rId190">
        <w:r w:rsidRPr="003516DC">
          <w:rPr>
            <w:rFonts w:ascii="Arial" w:hAnsi="Arial" w:cs="Arial"/>
            <w:i/>
            <w:color w:val="1155CC"/>
            <w:sz w:val="16"/>
            <w:szCs w:val="16"/>
            <w:u w:val="single"/>
          </w:rPr>
          <w:t>https://ec.europa.eu/eurostat/statistics-explained/index.php/Glossary:Knowledge-intensive_services_(KIS)</w:t>
        </w:r>
      </w:hyperlink>
    </w:p>
    <w:p w14:paraId="28F0C70E" w14:textId="16A67DD8" w:rsidR="00826AB0" w:rsidRPr="003516DC" w:rsidRDefault="00826AB0" w:rsidP="00826AB0">
      <w:pPr>
        <w:rPr>
          <w:rFonts w:ascii="Arial" w:hAnsi="Arial" w:cs="Arial"/>
          <w:i/>
          <w:color w:val="333333"/>
          <w:sz w:val="16"/>
          <w:szCs w:val="16"/>
        </w:rPr>
      </w:pPr>
      <w:r w:rsidRPr="003516DC">
        <w:rPr>
          <w:rFonts w:ascii="Arial" w:hAnsi="Arial" w:cs="Arial"/>
          <w:i/>
          <w:sz w:val="16"/>
          <w:szCs w:val="16"/>
        </w:rPr>
        <w:t>*Note</w:t>
      </w:r>
      <w:r w:rsidRPr="003516DC">
        <w:rPr>
          <w:rFonts w:ascii="Arial" w:hAnsi="Arial" w:cs="Arial"/>
          <w:i/>
          <w:sz w:val="16"/>
          <w:szCs w:val="16"/>
          <w:lang w:val="en-US"/>
        </w:rPr>
        <w:t xml:space="preserve">: </w:t>
      </w:r>
      <w:r w:rsidRPr="003516DC">
        <w:rPr>
          <w:rFonts w:ascii="Arial" w:hAnsi="Arial" w:cs="Arial"/>
          <w:i/>
          <w:sz w:val="16"/>
          <w:szCs w:val="16"/>
        </w:rPr>
        <w:t xml:space="preserve">This sharp decline is the result of MKB ROMEXTERRA BANK SA (turnover of 850,960,470 RON in 2010) moving headquarters to Bucharest. Leaving this entity aside, knowledge-intensive financial services in </w:t>
      </w:r>
      <w:r w:rsidR="006C793F" w:rsidRPr="003516DC">
        <w:rPr>
          <w:rFonts w:ascii="Arial" w:hAnsi="Arial" w:cs="Arial"/>
          <w:i/>
          <w:sz w:val="16"/>
          <w:szCs w:val="16"/>
        </w:rPr>
        <w:t>Mureș</w:t>
      </w:r>
      <w:r w:rsidRPr="003516DC">
        <w:rPr>
          <w:rFonts w:ascii="Arial" w:hAnsi="Arial" w:cs="Arial"/>
          <w:i/>
          <w:sz w:val="16"/>
          <w:szCs w:val="16"/>
        </w:rPr>
        <w:t xml:space="preserve"> County grew by 24</w:t>
      </w:r>
      <w:r w:rsidRPr="003516DC">
        <w:rPr>
          <w:rFonts w:ascii="Arial" w:hAnsi="Arial" w:cs="Arial"/>
          <w:i/>
          <w:color w:val="333333"/>
          <w:sz w:val="16"/>
          <w:szCs w:val="16"/>
        </w:rPr>
        <w:t>%.</w:t>
      </w:r>
    </w:p>
    <w:p w14:paraId="77C2965E" w14:textId="7F0F7FAB" w:rsidR="00826AB0" w:rsidRPr="003516DC" w:rsidRDefault="00826AB0" w:rsidP="00826AB0">
      <w:pPr>
        <w:rPr>
          <w:rFonts w:ascii="Arial" w:hAnsi="Arial" w:cs="Arial"/>
          <w:i/>
          <w:color w:val="333333"/>
          <w:sz w:val="16"/>
          <w:szCs w:val="16"/>
        </w:rPr>
      </w:pPr>
    </w:p>
    <w:p w14:paraId="07288960" w14:textId="52DFF9AB" w:rsidR="00826AB0" w:rsidRPr="003516DC" w:rsidRDefault="00826AB0" w:rsidP="004F70E0">
      <w:pPr>
        <w:spacing w:after="120"/>
        <w:jc w:val="both"/>
        <w:rPr>
          <w:rFonts w:ascii="Arial" w:hAnsi="Arial" w:cs="Arial"/>
          <w:iCs/>
          <w:sz w:val="20"/>
          <w:szCs w:val="20"/>
          <w:lang w:val="en-US"/>
        </w:rPr>
      </w:pPr>
      <w:r w:rsidRPr="003516DC">
        <w:rPr>
          <w:rFonts w:ascii="Arial" w:hAnsi="Arial" w:cs="Arial"/>
          <w:iCs/>
          <w:sz w:val="20"/>
          <w:szCs w:val="20"/>
          <w:lang w:val="en-US"/>
        </w:rPr>
        <w:t>The manufacturing sector also features positive trends in terms of technology intensiveness. Mureș has the highest volume of high technology intensive manufacturing turnover (</w:t>
      </w:r>
      <w:r w:rsidR="00CA3B43" w:rsidRPr="003516DC">
        <w:rPr>
          <w:rFonts w:ascii="Arial" w:hAnsi="Arial" w:cs="Arial"/>
          <w:iCs/>
          <w:sz w:val="20"/>
          <w:szCs w:val="20"/>
          <w:lang w:val="en-US"/>
        </w:rPr>
        <w:t xml:space="preserve">RON </w:t>
      </w:r>
      <w:r w:rsidRPr="003516DC">
        <w:rPr>
          <w:rFonts w:ascii="Arial" w:hAnsi="Arial" w:cs="Arial"/>
          <w:iCs/>
          <w:sz w:val="20"/>
          <w:szCs w:val="20"/>
          <w:lang w:val="en-US"/>
        </w:rPr>
        <w:t>639 m in 2019</w:t>
      </w:r>
      <w:r w:rsidR="009A2871" w:rsidRPr="003516DC">
        <w:rPr>
          <w:rFonts w:ascii="Arial" w:hAnsi="Arial" w:cs="Arial"/>
          <w:iCs/>
          <w:sz w:val="20"/>
          <w:szCs w:val="20"/>
          <w:lang w:val="en-US"/>
        </w:rPr>
        <w:t>)</w:t>
      </w:r>
      <w:r w:rsidRPr="003516DC">
        <w:rPr>
          <w:rFonts w:ascii="Arial" w:hAnsi="Arial" w:cs="Arial"/>
          <w:iCs/>
          <w:sz w:val="20"/>
          <w:szCs w:val="20"/>
          <w:lang w:val="en-US"/>
        </w:rPr>
        <w:t xml:space="preserve"> of all JTP counties, followed by </w:t>
      </w:r>
      <w:r w:rsidR="000B3715" w:rsidRPr="003516DC">
        <w:rPr>
          <w:rFonts w:ascii="Arial" w:hAnsi="Arial" w:cs="Arial"/>
          <w:iCs/>
          <w:sz w:val="20"/>
          <w:szCs w:val="20"/>
          <w:lang w:val="en-US"/>
        </w:rPr>
        <w:t xml:space="preserve">Prahova </w:t>
      </w:r>
      <w:r w:rsidRPr="003516DC">
        <w:rPr>
          <w:rFonts w:ascii="Arial" w:hAnsi="Arial" w:cs="Arial"/>
          <w:iCs/>
          <w:sz w:val="20"/>
          <w:szCs w:val="20"/>
          <w:lang w:val="en-US"/>
        </w:rPr>
        <w:t>(</w:t>
      </w:r>
      <w:r w:rsidR="00196C76" w:rsidRPr="003516DC">
        <w:rPr>
          <w:rFonts w:ascii="Arial" w:hAnsi="Arial" w:cs="Arial"/>
          <w:iCs/>
          <w:sz w:val="20"/>
          <w:szCs w:val="20"/>
          <w:lang w:val="en-US"/>
        </w:rPr>
        <w:t xml:space="preserve">RON </w:t>
      </w:r>
      <w:r w:rsidRPr="003516DC">
        <w:rPr>
          <w:rFonts w:ascii="Arial" w:hAnsi="Arial" w:cs="Arial"/>
          <w:iCs/>
          <w:sz w:val="20"/>
          <w:szCs w:val="20"/>
          <w:lang w:val="en-US"/>
        </w:rPr>
        <w:t>352 m)</w:t>
      </w:r>
      <w:r w:rsidR="000B3715" w:rsidRPr="003516DC">
        <w:rPr>
          <w:rFonts w:ascii="Arial" w:hAnsi="Arial" w:cs="Arial"/>
          <w:iCs/>
          <w:sz w:val="20"/>
          <w:szCs w:val="20"/>
          <w:lang w:val="en-US"/>
        </w:rPr>
        <w:t>.</w:t>
      </w:r>
      <w:r w:rsidRPr="003516DC">
        <w:rPr>
          <w:rFonts w:ascii="Arial" w:hAnsi="Arial" w:cs="Arial"/>
          <w:iCs/>
          <w:sz w:val="20"/>
          <w:szCs w:val="20"/>
          <w:lang w:val="en-US"/>
        </w:rPr>
        <w:t xml:space="preserve"> </w:t>
      </w:r>
      <w:r w:rsidR="00416095" w:rsidRPr="003516DC">
        <w:rPr>
          <w:rFonts w:ascii="Arial" w:hAnsi="Arial" w:cs="Arial"/>
          <w:iCs/>
          <w:sz w:val="20"/>
          <w:szCs w:val="20"/>
          <w:lang w:val="en-US"/>
        </w:rPr>
        <w:t>This is significant since</w:t>
      </w:r>
      <w:r w:rsidRPr="003516DC">
        <w:rPr>
          <w:rFonts w:ascii="Arial" w:hAnsi="Arial" w:cs="Arial"/>
          <w:iCs/>
          <w:sz w:val="20"/>
          <w:szCs w:val="20"/>
          <w:lang w:val="en-US"/>
        </w:rPr>
        <w:t xml:space="preserve"> total manufacturing turnover in Prahova is more than double that of Mureș. Almost half of manufacturing turnover is </w:t>
      </w:r>
      <w:r w:rsidR="00844B51" w:rsidRPr="003516DC">
        <w:rPr>
          <w:rFonts w:ascii="Arial" w:hAnsi="Arial" w:cs="Arial"/>
          <w:iCs/>
          <w:sz w:val="20"/>
          <w:szCs w:val="20"/>
          <w:lang w:val="en-US"/>
        </w:rPr>
        <w:t xml:space="preserve">from </w:t>
      </w:r>
      <w:r w:rsidRPr="003516DC">
        <w:rPr>
          <w:rFonts w:ascii="Arial" w:hAnsi="Arial" w:cs="Arial"/>
          <w:iCs/>
          <w:sz w:val="20"/>
          <w:szCs w:val="20"/>
          <w:lang w:val="en-US"/>
        </w:rPr>
        <w:t xml:space="preserve">high and medium high technology (45.7%), between </w:t>
      </w:r>
      <w:r w:rsidR="000A508F" w:rsidRPr="003516DC">
        <w:rPr>
          <w:rFonts w:ascii="Arial" w:hAnsi="Arial" w:cs="Arial"/>
          <w:iCs/>
          <w:sz w:val="20"/>
          <w:szCs w:val="20"/>
          <w:lang w:val="en-US"/>
        </w:rPr>
        <w:t xml:space="preserve">the </w:t>
      </w:r>
      <w:r w:rsidRPr="003516DC">
        <w:rPr>
          <w:rFonts w:ascii="Arial" w:hAnsi="Arial" w:cs="Arial"/>
          <w:iCs/>
          <w:sz w:val="20"/>
          <w:szCs w:val="20"/>
          <w:lang w:val="en-US"/>
        </w:rPr>
        <w:t xml:space="preserve">extremes </w:t>
      </w:r>
      <w:r w:rsidR="0097327F" w:rsidRPr="003516DC">
        <w:rPr>
          <w:rFonts w:ascii="Arial" w:hAnsi="Arial" w:cs="Arial"/>
          <w:iCs/>
          <w:sz w:val="20"/>
          <w:szCs w:val="20"/>
          <w:lang w:val="en-US"/>
        </w:rPr>
        <w:t xml:space="preserve">of </w:t>
      </w:r>
      <w:r w:rsidR="003751DC">
        <w:rPr>
          <w:rFonts w:ascii="Arial" w:hAnsi="Arial" w:cs="Arial"/>
          <w:iCs/>
          <w:sz w:val="20"/>
          <w:szCs w:val="20"/>
          <w:lang w:val="en-US"/>
        </w:rPr>
        <w:t>Galați</w:t>
      </w:r>
      <w:r w:rsidRPr="003516DC">
        <w:rPr>
          <w:rFonts w:ascii="Arial" w:hAnsi="Arial" w:cs="Arial"/>
          <w:iCs/>
          <w:sz w:val="20"/>
          <w:szCs w:val="20"/>
          <w:lang w:val="en-US"/>
        </w:rPr>
        <w:t xml:space="preserve"> (2.2%) and Dolj (83.2%). </w:t>
      </w:r>
    </w:p>
    <w:p w14:paraId="3A67BD4E" w14:textId="44E31301" w:rsidR="00826AB0" w:rsidRPr="003516DC" w:rsidRDefault="00826AB0" w:rsidP="004F70E0">
      <w:pPr>
        <w:spacing w:after="120"/>
        <w:jc w:val="both"/>
        <w:rPr>
          <w:rFonts w:ascii="Arial" w:hAnsi="Arial" w:cs="Arial"/>
          <w:iCs/>
          <w:sz w:val="20"/>
          <w:szCs w:val="20"/>
          <w:lang w:val="en-US"/>
        </w:rPr>
      </w:pPr>
      <w:r w:rsidRPr="003516DC">
        <w:rPr>
          <w:rFonts w:ascii="Arial" w:hAnsi="Arial" w:cs="Arial"/>
          <w:iCs/>
          <w:sz w:val="20"/>
          <w:szCs w:val="20"/>
          <w:lang w:val="en-US"/>
        </w:rPr>
        <w:t>Most</w:t>
      </w:r>
      <w:r w:rsidR="00131789" w:rsidRPr="003516DC">
        <w:rPr>
          <w:rFonts w:ascii="Arial" w:hAnsi="Arial" w:cs="Arial"/>
          <w:iCs/>
          <w:sz w:val="20"/>
          <w:szCs w:val="20"/>
          <w:lang w:val="en-US"/>
        </w:rPr>
        <w:t xml:space="preserve"> </w:t>
      </w:r>
      <w:r w:rsidR="004A7C96" w:rsidRPr="003516DC">
        <w:rPr>
          <w:rFonts w:ascii="Arial" w:hAnsi="Arial" w:cs="Arial"/>
          <w:iCs/>
          <w:sz w:val="20"/>
          <w:szCs w:val="20"/>
          <w:lang w:val="en-US"/>
        </w:rPr>
        <w:t>high-tech</w:t>
      </w:r>
      <w:r w:rsidR="00131789" w:rsidRPr="003516DC">
        <w:rPr>
          <w:rFonts w:ascii="Arial" w:hAnsi="Arial" w:cs="Arial"/>
          <w:iCs/>
          <w:sz w:val="20"/>
          <w:szCs w:val="20"/>
          <w:lang w:val="en-US"/>
        </w:rPr>
        <w:t xml:space="preserve"> manufacturing</w:t>
      </w:r>
      <w:r w:rsidRPr="003516DC">
        <w:rPr>
          <w:rFonts w:ascii="Arial" w:hAnsi="Arial" w:cs="Arial"/>
          <w:iCs/>
          <w:sz w:val="20"/>
          <w:szCs w:val="20"/>
          <w:lang w:val="en-US"/>
        </w:rPr>
        <w:t xml:space="preserve"> </w:t>
      </w:r>
      <w:r w:rsidR="00131789" w:rsidRPr="003516DC">
        <w:rPr>
          <w:rFonts w:ascii="Arial" w:hAnsi="Arial" w:cs="Arial"/>
          <w:iCs/>
          <w:sz w:val="20"/>
          <w:szCs w:val="20"/>
          <w:lang w:val="en-US"/>
        </w:rPr>
        <w:t xml:space="preserve">in </w:t>
      </w:r>
      <w:r w:rsidRPr="003516DC">
        <w:rPr>
          <w:rFonts w:ascii="Arial" w:hAnsi="Arial" w:cs="Arial"/>
          <w:iCs/>
          <w:sz w:val="20"/>
          <w:szCs w:val="20"/>
          <w:lang w:val="en-US"/>
        </w:rPr>
        <w:t xml:space="preserve">Mureș </w:t>
      </w:r>
      <w:r w:rsidR="00FE094C" w:rsidRPr="003516DC">
        <w:rPr>
          <w:rFonts w:ascii="Arial" w:hAnsi="Arial" w:cs="Arial"/>
          <w:iCs/>
          <w:sz w:val="20"/>
          <w:szCs w:val="20"/>
          <w:lang w:val="en-US"/>
        </w:rPr>
        <w:t xml:space="preserve">comes from </w:t>
      </w:r>
      <w:r w:rsidRPr="003516DC">
        <w:rPr>
          <w:rFonts w:ascii="Arial" w:hAnsi="Arial" w:cs="Arial"/>
          <w:iCs/>
          <w:sz w:val="20"/>
          <w:szCs w:val="20"/>
          <w:lang w:val="en-US"/>
        </w:rPr>
        <w:t>the pharmaceutical industry (97% of turnover)</w:t>
      </w:r>
      <w:r w:rsidR="00D52385" w:rsidRPr="003516DC">
        <w:rPr>
          <w:rFonts w:ascii="Arial" w:hAnsi="Arial" w:cs="Arial"/>
          <w:iCs/>
          <w:sz w:val="20"/>
          <w:szCs w:val="20"/>
          <w:lang w:val="en-US"/>
        </w:rPr>
        <w:t>.</w:t>
      </w:r>
      <w:r w:rsidRPr="003516DC">
        <w:rPr>
          <w:rFonts w:ascii="Arial" w:hAnsi="Arial" w:cs="Arial"/>
          <w:iCs/>
          <w:sz w:val="20"/>
          <w:szCs w:val="20"/>
          <w:lang w:val="en-US"/>
        </w:rPr>
        <w:t xml:space="preserve"> </w:t>
      </w:r>
      <w:r w:rsidR="00D52385" w:rsidRPr="003516DC">
        <w:rPr>
          <w:rFonts w:ascii="Arial" w:hAnsi="Arial" w:cs="Arial"/>
          <w:iCs/>
          <w:sz w:val="20"/>
          <w:szCs w:val="20"/>
          <w:lang w:val="en-US"/>
        </w:rPr>
        <w:t>T</w:t>
      </w:r>
      <w:r w:rsidRPr="003516DC">
        <w:rPr>
          <w:rFonts w:ascii="Arial" w:hAnsi="Arial" w:cs="Arial"/>
          <w:iCs/>
          <w:sz w:val="20"/>
          <w:szCs w:val="20"/>
          <w:lang w:val="en-US"/>
        </w:rPr>
        <w:t>he rest com</w:t>
      </w:r>
      <w:r w:rsidR="00D52385" w:rsidRPr="003516DC">
        <w:rPr>
          <w:rFonts w:ascii="Arial" w:hAnsi="Arial" w:cs="Arial"/>
          <w:iCs/>
          <w:sz w:val="20"/>
          <w:szCs w:val="20"/>
          <w:lang w:val="en-US"/>
        </w:rPr>
        <w:t>es</w:t>
      </w:r>
      <w:r w:rsidRPr="003516DC">
        <w:rPr>
          <w:rFonts w:ascii="Arial" w:hAnsi="Arial" w:cs="Arial"/>
          <w:iCs/>
          <w:sz w:val="20"/>
          <w:szCs w:val="20"/>
          <w:lang w:val="en-US"/>
        </w:rPr>
        <w:t xml:space="preserve"> from computers, electronics, optics</w:t>
      </w:r>
      <w:r w:rsidR="009320BC" w:rsidRPr="003516DC">
        <w:rPr>
          <w:rFonts w:ascii="Arial" w:hAnsi="Arial" w:cs="Arial"/>
          <w:iCs/>
          <w:sz w:val="20"/>
          <w:szCs w:val="20"/>
          <w:lang w:val="en-US"/>
        </w:rPr>
        <w:t>, etc.</w:t>
      </w:r>
      <w:r w:rsidRPr="003516DC">
        <w:rPr>
          <w:rFonts w:ascii="Arial" w:hAnsi="Arial" w:cs="Arial"/>
          <w:iCs/>
          <w:sz w:val="20"/>
          <w:szCs w:val="20"/>
          <w:lang w:val="en-US"/>
        </w:rPr>
        <w:t xml:space="preserve"> Unlike the ITC sector, </w:t>
      </w:r>
      <w:r w:rsidR="00FC57FE" w:rsidRPr="003516DC">
        <w:rPr>
          <w:rFonts w:ascii="Arial" w:hAnsi="Arial" w:cs="Arial"/>
          <w:iCs/>
          <w:sz w:val="20"/>
          <w:szCs w:val="20"/>
          <w:lang w:val="en-US"/>
        </w:rPr>
        <w:t xml:space="preserve">which is </w:t>
      </w:r>
      <w:r w:rsidRPr="003516DC">
        <w:rPr>
          <w:rFonts w:ascii="Arial" w:hAnsi="Arial" w:cs="Arial"/>
          <w:iCs/>
          <w:sz w:val="20"/>
          <w:szCs w:val="20"/>
          <w:lang w:val="en-US"/>
        </w:rPr>
        <w:t xml:space="preserve">represented by </w:t>
      </w:r>
      <w:r w:rsidR="00212706" w:rsidRPr="003516DC">
        <w:rPr>
          <w:rFonts w:ascii="Arial" w:hAnsi="Arial" w:cs="Arial"/>
          <w:iCs/>
          <w:sz w:val="20"/>
          <w:szCs w:val="20"/>
          <w:lang w:val="en-US"/>
        </w:rPr>
        <w:t xml:space="preserve">several </w:t>
      </w:r>
      <w:r w:rsidRPr="003516DC">
        <w:rPr>
          <w:rFonts w:ascii="Arial" w:hAnsi="Arial" w:cs="Arial"/>
          <w:iCs/>
          <w:sz w:val="20"/>
          <w:szCs w:val="20"/>
          <w:lang w:val="en-US"/>
        </w:rPr>
        <w:t xml:space="preserve">small companies, the pharmaceuticals industry </w:t>
      </w:r>
      <w:r w:rsidR="00F84064" w:rsidRPr="003516DC">
        <w:rPr>
          <w:rFonts w:ascii="Arial" w:hAnsi="Arial" w:cs="Arial"/>
          <w:iCs/>
          <w:sz w:val="20"/>
          <w:szCs w:val="20"/>
          <w:lang w:val="en-US"/>
        </w:rPr>
        <w:t>was</w:t>
      </w:r>
      <w:r w:rsidRPr="003516DC">
        <w:rPr>
          <w:rFonts w:ascii="Arial" w:hAnsi="Arial" w:cs="Arial"/>
          <w:iCs/>
          <w:sz w:val="20"/>
          <w:szCs w:val="20"/>
          <w:lang w:val="en-US"/>
        </w:rPr>
        <w:t xml:space="preserve"> </w:t>
      </w:r>
      <w:r w:rsidR="00A06918" w:rsidRPr="003516DC">
        <w:rPr>
          <w:rFonts w:ascii="Arial" w:hAnsi="Arial" w:cs="Arial"/>
          <w:iCs/>
          <w:sz w:val="20"/>
          <w:szCs w:val="20"/>
          <w:lang w:val="en-US"/>
        </w:rPr>
        <w:t xml:space="preserve">represented by </w:t>
      </w:r>
      <w:r w:rsidR="00F84064" w:rsidRPr="003516DC">
        <w:rPr>
          <w:rFonts w:ascii="Arial" w:hAnsi="Arial" w:cs="Arial"/>
          <w:iCs/>
          <w:sz w:val="20"/>
          <w:szCs w:val="20"/>
          <w:lang w:val="en-US"/>
        </w:rPr>
        <w:t xml:space="preserve">just </w:t>
      </w:r>
      <w:r w:rsidR="00137D98" w:rsidRPr="003516DC">
        <w:rPr>
          <w:rFonts w:ascii="Arial" w:hAnsi="Arial" w:cs="Arial"/>
          <w:iCs/>
          <w:sz w:val="20"/>
          <w:szCs w:val="20"/>
          <w:lang w:val="en-US"/>
        </w:rPr>
        <w:t>seven</w:t>
      </w:r>
      <w:r w:rsidRPr="003516DC">
        <w:rPr>
          <w:rFonts w:ascii="Arial" w:hAnsi="Arial" w:cs="Arial"/>
          <w:iCs/>
          <w:sz w:val="20"/>
          <w:szCs w:val="20"/>
          <w:lang w:val="en-US"/>
        </w:rPr>
        <w:t xml:space="preserve"> companies </w:t>
      </w:r>
      <w:r w:rsidR="00F84064" w:rsidRPr="003516DC">
        <w:rPr>
          <w:rFonts w:ascii="Arial" w:hAnsi="Arial" w:cs="Arial"/>
          <w:iCs/>
          <w:sz w:val="20"/>
          <w:szCs w:val="20"/>
          <w:lang w:val="en-US"/>
        </w:rPr>
        <w:t>i</w:t>
      </w:r>
      <w:r w:rsidRPr="003516DC">
        <w:rPr>
          <w:rFonts w:ascii="Arial" w:hAnsi="Arial" w:cs="Arial"/>
          <w:iCs/>
          <w:sz w:val="20"/>
          <w:szCs w:val="20"/>
          <w:lang w:val="en-US"/>
        </w:rPr>
        <w:t>n 2019</w:t>
      </w:r>
      <w:r w:rsidR="00F84064" w:rsidRPr="003516DC">
        <w:rPr>
          <w:rFonts w:ascii="Arial" w:hAnsi="Arial" w:cs="Arial"/>
          <w:iCs/>
          <w:sz w:val="20"/>
          <w:szCs w:val="20"/>
          <w:lang w:val="en-US"/>
        </w:rPr>
        <w:t>:</w:t>
      </w:r>
      <w:r w:rsidR="00CE60B9" w:rsidRPr="003516DC">
        <w:rPr>
          <w:rFonts w:ascii="Arial" w:hAnsi="Arial" w:cs="Arial"/>
          <w:iCs/>
          <w:sz w:val="20"/>
          <w:szCs w:val="20"/>
          <w:lang w:val="en-US"/>
        </w:rPr>
        <w:t xml:space="preserve"> with</w:t>
      </w:r>
      <w:r w:rsidRPr="003516DC">
        <w:rPr>
          <w:rFonts w:ascii="Arial" w:hAnsi="Arial" w:cs="Arial"/>
          <w:iCs/>
          <w:sz w:val="20"/>
          <w:szCs w:val="20"/>
          <w:lang w:val="en-US"/>
        </w:rPr>
        <w:t xml:space="preserve"> </w:t>
      </w:r>
      <w:r w:rsidR="00F84064" w:rsidRPr="003516DC">
        <w:rPr>
          <w:rFonts w:ascii="Arial" w:hAnsi="Arial" w:cs="Arial"/>
          <w:iCs/>
          <w:sz w:val="20"/>
          <w:szCs w:val="20"/>
          <w:lang w:val="en-US"/>
        </w:rPr>
        <w:t>tw</w:t>
      </w:r>
      <w:r w:rsidR="0077460E" w:rsidRPr="003516DC">
        <w:rPr>
          <w:rFonts w:ascii="Arial" w:hAnsi="Arial" w:cs="Arial"/>
          <w:iCs/>
          <w:sz w:val="20"/>
          <w:szCs w:val="20"/>
          <w:lang w:val="en-US"/>
        </w:rPr>
        <w:t>o</w:t>
      </w:r>
      <w:r w:rsidRPr="003516DC">
        <w:rPr>
          <w:rFonts w:ascii="Arial" w:hAnsi="Arial" w:cs="Arial"/>
          <w:iCs/>
          <w:sz w:val="20"/>
          <w:szCs w:val="20"/>
          <w:lang w:val="en-US"/>
        </w:rPr>
        <w:t xml:space="preserve"> dominant </w:t>
      </w:r>
      <w:r w:rsidR="004F2AF0" w:rsidRPr="003516DC">
        <w:rPr>
          <w:rFonts w:ascii="Arial" w:hAnsi="Arial" w:cs="Arial"/>
          <w:iCs/>
          <w:sz w:val="20"/>
          <w:szCs w:val="20"/>
          <w:lang w:val="en-US"/>
        </w:rPr>
        <w:t>companies of</w:t>
      </w:r>
      <w:r w:rsidRPr="003516DC">
        <w:rPr>
          <w:rFonts w:ascii="Arial" w:hAnsi="Arial" w:cs="Arial"/>
          <w:iCs/>
          <w:sz w:val="20"/>
          <w:szCs w:val="20"/>
          <w:lang w:val="en-US"/>
        </w:rPr>
        <w:t xml:space="preserve"> Gedeon Richter Romania SA and Sandoz SRL. This is also a specificity of the industry, however, given the much higher regulations and rigidity in this field. </w:t>
      </w:r>
    </w:p>
    <w:p w14:paraId="36B13ECB" w14:textId="12E9E954" w:rsidR="00826AB0" w:rsidRPr="003516DC" w:rsidRDefault="00826AB0" w:rsidP="004F70E0">
      <w:pPr>
        <w:spacing w:after="120"/>
        <w:jc w:val="both"/>
        <w:rPr>
          <w:rFonts w:ascii="Arial" w:hAnsi="Arial" w:cs="Arial"/>
          <w:iCs/>
          <w:sz w:val="20"/>
          <w:szCs w:val="20"/>
          <w:lang w:val="en-US"/>
        </w:rPr>
      </w:pPr>
      <w:r w:rsidRPr="003516DC">
        <w:rPr>
          <w:rFonts w:ascii="Arial" w:hAnsi="Arial" w:cs="Arial"/>
          <w:iCs/>
          <w:sz w:val="20"/>
          <w:szCs w:val="20"/>
          <w:lang w:val="en-US"/>
        </w:rPr>
        <w:t xml:space="preserve">Employment grew in high-tech </w:t>
      </w:r>
      <w:r w:rsidR="00CE1C25" w:rsidRPr="003516DC">
        <w:rPr>
          <w:rFonts w:ascii="Arial" w:hAnsi="Arial" w:cs="Arial"/>
          <w:iCs/>
          <w:sz w:val="20"/>
          <w:szCs w:val="20"/>
          <w:lang w:val="en-US"/>
        </w:rPr>
        <w:t>and</w:t>
      </w:r>
      <w:r w:rsidRPr="003516DC">
        <w:rPr>
          <w:rFonts w:ascii="Arial" w:hAnsi="Arial" w:cs="Arial"/>
          <w:iCs/>
          <w:sz w:val="20"/>
          <w:szCs w:val="20"/>
          <w:lang w:val="en-US"/>
        </w:rPr>
        <w:t xml:space="preserve"> decreased in </w:t>
      </w:r>
      <w:r w:rsidR="00CE1C25" w:rsidRPr="003516DC">
        <w:rPr>
          <w:rFonts w:ascii="Arial" w:hAnsi="Arial" w:cs="Arial"/>
          <w:iCs/>
          <w:sz w:val="20"/>
          <w:szCs w:val="20"/>
          <w:lang w:val="en-US"/>
        </w:rPr>
        <w:t xml:space="preserve">the </w:t>
      </w:r>
      <w:r w:rsidRPr="003516DC">
        <w:rPr>
          <w:rFonts w:ascii="Arial" w:hAnsi="Arial" w:cs="Arial"/>
          <w:iCs/>
          <w:sz w:val="20"/>
          <w:szCs w:val="20"/>
          <w:lang w:val="en-US"/>
        </w:rPr>
        <w:t xml:space="preserve">other </w:t>
      </w:r>
      <w:r w:rsidR="00CE1C25" w:rsidRPr="003516DC">
        <w:rPr>
          <w:rFonts w:ascii="Arial" w:hAnsi="Arial" w:cs="Arial"/>
          <w:iCs/>
          <w:sz w:val="20"/>
          <w:szCs w:val="20"/>
          <w:lang w:val="en-US"/>
        </w:rPr>
        <w:t>three</w:t>
      </w:r>
      <w:r w:rsidRPr="003516DC">
        <w:rPr>
          <w:rFonts w:ascii="Arial" w:hAnsi="Arial" w:cs="Arial"/>
          <w:iCs/>
          <w:sz w:val="20"/>
          <w:szCs w:val="20"/>
          <w:lang w:val="en-US"/>
        </w:rPr>
        <w:t xml:space="preserve"> categories. This is interesting as turnover increase</w:t>
      </w:r>
      <w:r w:rsidR="002823CE" w:rsidRPr="003516DC">
        <w:rPr>
          <w:rFonts w:ascii="Arial" w:hAnsi="Arial" w:cs="Arial"/>
          <w:iCs/>
          <w:sz w:val="20"/>
          <w:szCs w:val="20"/>
          <w:lang w:val="en-US"/>
        </w:rPr>
        <w:t>d</w:t>
      </w:r>
      <w:r w:rsidRPr="003516DC">
        <w:rPr>
          <w:rFonts w:ascii="Arial" w:hAnsi="Arial" w:cs="Arial"/>
          <w:iCs/>
          <w:sz w:val="20"/>
          <w:szCs w:val="20"/>
          <w:lang w:val="en-US"/>
        </w:rPr>
        <w:t xml:space="preserve"> </w:t>
      </w:r>
      <w:r w:rsidR="002823CE" w:rsidRPr="003516DC">
        <w:rPr>
          <w:rFonts w:ascii="Arial" w:hAnsi="Arial" w:cs="Arial"/>
          <w:iCs/>
          <w:sz w:val="20"/>
          <w:szCs w:val="20"/>
          <w:lang w:val="en-US"/>
        </w:rPr>
        <w:t xml:space="preserve">for </w:t>
      </w:r>
      <w:r w:rsidRPr="003516DC">
        <w:rPr>
          <w:rFonts w:ascii="Arial" w:hAnsi="Arial" w:cs="Arial"/>
          <w:iCs/>
          <w:sz w:val="20"/>
          <w:szCs w:val="20"/>
          <w:lang w:val="en-US"/>
        </w:rPr>
        <w:t>all categories of manufacturing, most prominently in low-tech. However, this combined with the employment decrease indicate</w:t>
      </w:r>
      <w:r w:rsidR="001E6718" w:rsidRPr="003516DC">
        <w:rPr>
          <w:rFonts w:ascii="Arial" w:hAnsi="Arial" w:cs="Arial"/>
          <w:iCs/>
          <w:sz w:val="20"/>
          <w:szCs w:val="20"/>
          <w:lang w:val="en-US"/>
        </w:rPr>
        <w:t>s</w:t>
      </w:r>
      <w:r w:rsidRPr="003516DC">
        <w:rPr>
          <w:rFonts w:ascii="Arial" w:hAnsi="Arial" w:cs="Arial"/>
          <w:iCs/>
          <w:sz w:val="20"/>
          <w:szCs w:val="20"/>
          <w:lang w:val="en-US"/>
        </w:rPr>
        <w:t xml:space="preserve"> increased efficiency and value added.</w:t>
      </w:r>
    </w:p>
    <w:p w14:paraId="74708681" w14:textId="556F594C" w:rsidR="00826AB0" w:rsidRPr="003516DC" w:rsidRDefault="00826AB0" w:rsidP="00826AB0">
      <w:pPr>
        <w:pStyle w:val="Caption"/>
        <w:ind w:left="0" w:firstLine="0"/>
      </w:pPr>
      <w:bookmarkStart w:id="295" w:name="_Toc90726020"/>
      <w:bookmarkStart w:id="296" w:name="_Toc90727317"/>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66</w:t>
      </w:r>
      <w:r w:rsidR="0040363E" w:rsidRPr="003516DC">
        <w:rPr>
          <w:noProof/>
        </w:rPr>
        <w:fldChar w:fldCharType="end"/>
      </w:r>
      <w:r w:rsidRPr="003516DC">
        <w:t>: Evolution of manufacturing industry by technology intensiveness in Mure</w:t>
      </w:r>
      <w:r w:rsidRPr="003516DC">
        <w:rPr>
          <w:lang w:val="ro-RO"/>
        </w:rPr>
        <w:t>ș</w:t>
      </w:r>
      <w:r w:rsidRPr="003516DC">
        <w:t xml:space="preserve"> </w:t>
      </w:r>
      <w:r w:rsidR="004F70E0">
        <w:t>C</w:t>
      </w:r>
      <w:r w:rsidRPr="003516DC">
        <w:t>ounty</w:t>
      </w:r>
      <w:bookmarkEnd w:id="295"/>
      <w:bookmarkEnd w:id="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826AB0" w:rsidRPr="003516DC" w14:paraId="673822D0" w14:textId="77777777" w:rsidTr="0009621B">
        <w:trPr>
          <w:trHeight w:val="315"/>
          <w:tblHeader/>
        </w:trPr>
        <w:tc>
          <w:tcPr>
            <w:tcW w:w="2214" w:type="pct"/>
            <w:vMerge w:val="restart"/>
            <w:shd w:val="clear" w:color="auto" w:fill="002060"/>
            <w:noWrap/>
            <w:vAlign w:val="center"/>
            <w:hideMark/>
          </w:tcPr>
          <w:p w14:paraId="58582723" w14:textId="77777777" w:rsidR="00826AB0" w:rsidRPr="003516DC" w:rsidRDefault="00826AB0"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48E25B3B"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2ED2C764" w14:textId="77777777" w:rsidR="00826AB0" w:rsidRPr="003516DC" w:rsidRDefault="00826AB0"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826AB0" w:rsidRPr="003516DC" w14:paraId="41F867A5" w14:textId="77777777" w:rsidTr="0009621B">
        <w:trPr>
          <w:trHeight w:val="315"/>
          <w:tblHeader/>
        </w:trPr>
        <w:tc>
          <w:tcPr>
            <w:tcW w:w="2214" w:type="pct"/>
            <w:vMerge/>
            <w:shd w:val="clear" w:color="auto" w:fill="002060"/>
            <w:vAlign w:val="center"/>
            <w:hideMark/>
          </w:tcPr>
          <w:p w14:paraId="6F9C7D72" w14:textId="77777777" w:rsidR="00826AB0" w:rsidRPr="003516DC" w:rsidRDefault="00826AB0" w:rsidP="00133DD1">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6185703A" w14:textId="77777777" w:rsidR="00826AB0" w:rsidRPr="003516DC" w:rsidRDefault="00826AB0"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572F5DFA" w14:textId="77777777" w:rsidR="00826AB0" w:rsidRPr="003516DC" w:rsidRDefault="00826AB0"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4F3511CB" w14:textId="77777777" w:rsidR="00826AB0" w:rsidRPr="003516DC" w:rsidRDefault="00826AB0" w:rsidP="00133DD1">
            <w:pPr>
              <w:rPr>
                <w:rFonts w:ascii="Arial" w:eastAsia="Times New Roman" w:hAnsi="Arial" w:cs="Arial"/>
                <w:color w:val="000000"/>
                <w:sz w:val="18"/>
                <w:szCs w:val="18"/>
                <w:lang w:val="en-US"/>
              </w:rPr>
            </w:pPr>
          </w:p>
        </w:tc>
      </w:tr>
      <w:tr w:rsidR="00826AB0" w:rsidRPr="003516DC" w14:paraId="08D5B9FC" w14:textId="77777777" w:rsidTr="00826AB0">
        <w:trPr>
          <w:trHeight w:val="315"/>
        </w:trPr>
        <w:tc>
          <w:tcPr>
            <w:tcW w:w="2214" w:type="pct"/>
            <w:shd w:val="clear" w:color="auto" w:fill="auto"/>
            <w:noWrap/>
            <w:vAlign w:val="center"/>
          </w:tcPr>
          <w:p w14:paraId="69271EBB" w14:textId="38E385B3" w:rsidR="00826AB0" w:rsidRPr="003516DC" w:rsidRDefault="00826AB0" w:rsidP="00826AB0">
            <w:pPr>
              <w:rPr>
                <w:rFonts w:ascii="Arial" w:eastAsia="Times New Roman" w:hAnsi="Arial" w:cs="Arial"/>
                <w:color w:val="000000"/>
                <w:sz w:val="18"/>
                <w:szCs w:val="18"/>
                <w:lang w:val="en-US"/>
              </w:rPr>
            </w:pPr>
            <w:r w:rsidRPr="003516DC">
              <w:rPr>
                <w:rFonts w:ascii="Arial" w:eastAsia="Arial Narrow" w:hAnsi="Arial" w:cs="Arial"/>
                <w:sz w:val="18"/>
                <w:szCs w:val="18"/>
              </w:rPr>
              <w:t>TOTAL Company turnover</w:t>
            </w:r>
          </w:p>
        </w:tc>
        <w:tc>
          <w:tcPr>
            <w:tcW w:w="858" w:type="pct"/>
            <w:shd w:val="clear" w:color="auto" w:fill="auto"/>
            <w:noWrap/>
            <w:vAlign w:val="center"/>
          </w:tcPr>
          <w:p w14:paraId="1CD2E3E5" w14:textId="5ED8E66D" w:rsidR="00826AB0" w:rsidRPr="003516DC" w:rsidRDefault="00826AB0" w:rsidP="00826AB0">
            <w:pPr>
              <w:jc w:val="right"/>
              <w:rPr>
                <w:rFonts w:ascii="Arial" w:hAnsi="Arial" w:cs="Arial"/>
                <w:sz w:val="18"/>
                <w:szCs w:val="18"/>
              </w:rPr>
            </w:pPr>
            <w:r w:rsidRPr="003516DC">
              <w:rPr>
                <w:rFonts w:ascii="Arial" w:eastAsia="Arial Narrow" w:hAnsi="Arial" w:cs="Arial"/>
                <w:sz w:val="18"/>
                <w:szCs w:val="18"/>
              </w:rPr>
              <w:t xml:space="preserve">17,420,211,250 </w:t>
            </w:r>
          </w:p>
        </w:tc>
        <w:tc>
          <w:tcPr>
            <w:tcW w:w="968" w:type="pct"/>
            <w:shd w:val="clear" w:color="auto" w:fill="auto"/>
            <w:noWrap/>
            <w:vAlign w:val="center"/>
          </w:tcPr>
          <w:p w14:paraId="617D9A9C" w14:textId="420CC574" w:rsidR="00826AB0" w:rsidRPr="003516DC" w:rsidRDefault="00826AB0" w:rsidP="00826AB0">
            <w:pPr>
              <w:jc w:val="right"/>
              <w:rPr>
                <w:rFonts w:ascii="Arial" w:hAnsi="Arial" w:cs="Arial"/>
                <w:sz w:val="18"/>
                <w:szCs w:val="18"/>
              </w:rPr>
            </w:pPr>
            <w:r w:rsidRPr="003516DC">
              <w:rPr>
                <w:rFonts w:ascii="Arial" w:eastAsia="Arial Narrow" w:hAnsi="Arial" w:cs="Arial"/>
                <w:sz w:val="18"/>
                <w:szCs w:val="18"/>
              </w:rPr>
              <w:t xml:space="preserve">35,088,782,441 </w:t>
            </w:r>
          </w:p>
        </w:tc>
        <w:tc>
          <w:tcPr>
            <w:tcW w:w="960" w:type="pct"/>
            <w:shd w:val="clear" w:color="auto" w:fill="auto"/>
            <w:noWrap/>
            <w:vAlign w:val="center"/>
          </w:tcPr>
          <w:p w14:paraId="2AA14B62" w14:textId="7EFFD585" w:rsidR="00826AB0" w:rsidRPr="003516DC" w:rsidRDefault="00826AB0" w:rsidP="00826AB0">
            <w:pPr>
              <w:jc w:val="right"/>
              <w:rPr>
                <w:rFonts w:ascii="Arial" w:hAnsi="Arial" w:cs="Arial"/>
                <w:sz w:val="18"/>
                <w:szCs w:val="18"/>
              </w:rPr>
            </w:pPr>
            <w:r w:rsidRPr="003516DC">
              <w:rPr>
                <w:rFonts w:ascii="Arial" w:eastAsia="Arial Narrow" w:hAnsi="Arial" w:cs="Arial"/>
                <w:sz w:val="18"/>
                <w:szCs w:val="18"/>
              </w:rPr>
              <w:t>101.4%</w:t>
            </w:r>
          </w:p>
        </w:tc>
      </w:tr>
      <w:tr w:rsidR="00826AB0" w:rsidRPr="003516DC" w14:paraId="006C736D" w14:textId="77777777" w:rsidTr="00826AB0">
        <w:trPr>
          <w:trHeight w:val="315"/>
        </w:trPr>
        <w:tc>
          <w:tcPr>
            <w:tcW w:w="2214" w:type="pct"/>
            <w:shd w:val="clear" w:color="auto" w:fill="auto"/>
            <w:noWrap/>
            <w:vAlign w:val="center"/>
            <w:hideMark/>
          </w:tcPr>
          <w:p w14:paraId="71AD090B" w14:textId="77777777" w:rsidR="00826AB0" w:rsidRPr="003516DC" w:rsidRDefault="00826AB0" w:rsidP="00826AB0">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TOTAL - Manufacturing</w:t>
            </w:r>
          </w:p>
        </w:tc>
        <w:tc>
          <w:tcPr>
            <w:tcW w:w="858" w:type="pct"/>
            <w:shd w:val="clear" w:color="auto" w:fill="auto"/>
            <w:noWrap/>
            <w:vAlign w:val="center"/>
          </w:tcPr>
          <w:p w14:paraId="1640DE9D" w14:textId="58A1F47C"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5,075,511,606 </w:t>
            </w:r>
          </w:p>
        </w:tc>
        <w:tc>
          <w:tcPr>
            <w:tcW w:w="968" w:type="pct"/>
            <w:shd w:val="clear" w:color="auto" w:fill="auto"/>
            <w:noWrap/>
            <w:vAlign w:val="center"/>
          </w:tcPr>
          <w:p w14:paraId="51A8EB00" w14:textId="53238CAE"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9,823,239,458 </w:t>
            </w:r>
          </w:p>
        </w:tc>
        <w:tc>
          <w:tcPr>
            <w:tcW w:w="960" w:type="pct"/>
            <w:shd w:val="clear" w:color="auto" w:fill="auto"/>
            <w:noWrap/>
            <w:vAlign w:val="center"/>
          </w:tcPr>
          <w:p w14:paraId="584C4128" w14:textId="3AFE8E5E"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93.5%</w:t>
            </w:r>
          </w:p>
        </w:tc>
      </w:tr>
      <w:tr w:rsidR="00826AB0" w:rsidRPr="003516DC" w14:paraId="5B3DBF9A" w14:textId="77777777" w:rsidTr="00826AB0">
        <w:trPr>
          <w:trHeight w:val="315"/>
        </w:trPr>
        <w:tc>
          <w:tcPr>
            <w:tcW w:w="2214" w:type="pct"/>
            <w:shd w:val="clear" w:color="auto" w:fill="auto"/>
            <w:noWrap/>
            <w:vAlign w:val="center"/>
            <w:hideMark/>
          </w:tcPr>
          <w:p w14:paraId="5B94D28B" w14:textId="77777777" w:rsidR="00826AB0" w:rsidRPr="003516DC" w:rsidRDefault="00826AB0" w:rsidP="00826AB0">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tcPr>
          <w:p w14:paraId="775E164E" w14:textId="237FCB3C"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bCs/>
                <w:sz w:val="18"/>
                <w:szCs w:val="18"/>
              </w:rPr>
              <w:t xml:space="preserve">438,213,948 </w:t>
            </w:r>
          </w:p>
        </w:tc>
        <w:tc>
          <w:tcPr>
            <w:tcW w:w="968" w:type="pct"/>
            <w:shd w:val="clear" w:color="auto" w:fill="auto"/>
            <w:noWrap/>
            <w:vAlign w:val="center"/>
          </w:tcPr>
          <w:p w14:paraId="6F8AA4A5" w14:textId="5A06417C" w:rsidR="00826AB0" w:rsidRPr="003516DC" w:rsidRDefault="00826AB0" w:rsidP="00826AB0">
            <w:pPr>
              <w:ind w:firstLineChars="100" w:firstLine="181"/>
              <w:jc w:val="right"/>
              <w:rPr>
                <w:rFonts w:ascii="Arial" w:eastAsia="Times New Roman" w:hAnsi="Arial" w:cs="Arial"/>
                <w:b/>
                <w:bCs/>
                <w:color w:val="000000"/>
                <w:sz w:val="18"/>
                <w:szCs w:val="18"/>
                <w:lang w:val="en-US"/>
              </w:rPr>
            </w:pPr>
            <w:r w:rsidRPr="003516DC">
              <w:rPr>
                <w:rFonts w:ascii="Arial" w:eastAsia="Arial Narrow" w:hAnsi="Arial" w:cs="Arial"/>
                <w:b/>
                <w:bCs/>
                <w:sz w:val="18"/>
                <w:szCs w:val="18"/>
              </w:rPr>
              <w:t xml:space="preserve">639,619,533 </w:t>
            </w:r>
          </w:p>
        </w:tc>
        <w:tc>
          <w:tcPr>
            <w:tcW w:w="960" w:type="pct"/>
            <w:shd w:val="clear" w:color="auto" w:fill="auto"/>
            <w:noWrap/>
            <w:vAlign w:val="center"/>
          </w:tcPr>
          <w:p w14:paraId="34DB46F4" w14:textId="6E12BB45" w:rsidR="00826AB0" w:rsidRPr="003516DC" w:rsidRDefault="00826AB0" w:rsidP="00826AB0">
            <w:pPr>
              <w:jc w:val="right"/>
              <w:rPr>
                <w:rFonts w:ascii="Arial" w:eastAsia="Times New Roman" w:hAnsi="Arial" w:cs="Arial"/>
                <w:b/>
                <w:bCs/>
                <w:color w:val="000000"/>
                <w:sz w:val="18"/>
                <w:szCs w:val="18"/>
                <w:lang w:val="en-US"/>
              </w:rPr>
            </w:pPr>
            <w:r w:rsidRPr="003516DC">
              <w:rPr>
                <w:rFonts w:ascii="Arial" w:eastAsia="Arial Narrow" w:hAnsi="Arial" w:cs="Arial"/>
                <w:b/>
                <w:bCs/>
                <w:sz w:val="18"/>
                <w:szCs w:val="18"/>
              </w:rPr>
              <w:t>46.0%</w:t>
            </w:r>
          </w:p>
        </w:tc>
      </w:tr>
      <w:tr w:rsidR="00826AB0" w:rsidRPr="003516DC" w14:paraId="28D957D4" w14:textId="77777777" w:rsidTr="00826AB0">
        <w:trPr>
          <w:trHeight w:val="315"/>
        </w:trPr>
        <w:tc>
          <w:tcPr>
            <w:tcW w:w="2214" w:type="pct"/>
            <w:shd w:val="clear" w:color="auto" w:fill="auto"/>
            <w:noWrap/>
            <w:vAlign w:val="center"/>
            <w:hideMark/>
          </w:tcPr>
          <w:p w14:paraId="6AEC634A" w14:textId="77777777" w:rsidR="00826AB0" w:rsidRPr="003516DC" w:rsidRDefault="00826AB0" w:rsidP="00826AB0">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Medium-High technology intensive</w:t>
            </w:r>
          </w:p>
        </w:tc>
        <w:tc>
          <w:tcPr>
            <w:tcW w:w="858" w:type="pct"/>
            <w:shd w:val="clear" w:color="auto" w:fill="auto"/>
            <w:noWrap/>
            <w:vAlign w:val="center"/>
          </w:tcPr>
          <w:p w14:paraId="09AA00C0" w14:textId="2C6577AA"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1,909,088,053 </w:t>
            </w:r>
          </w:p>
        </w:tc>
        <w:tc>
          <w:tcPr>
            <w:tcW w:w="968" w:type="pct"/>
            <w:shd w:val="clear" w:color="auto" w:fill="auto"/>
            <w:noWrap/>
            <w:vAlign w:val="center"/>
          </w:tcPr>
          <w:p w14:paraId="59EB8AC2" w14:textId="32C55956" w:rsidR="00826AB0" w:rsidRPr="003516DC" w:rsidRDefault="00826AB0" w:rsidP="00826AB0">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3,844,869,958 </w:t>
            </w:r>
          </w:p>
        </w:tc>
        <w:tc>
          <w:tcPr>
            <w:tcW w:w="960" w:type="pct"/>
            <w:shd w:val="clear" w:color="auto" w:fill="auto"/>
            <w:noWrap/>
            <w:vAlign w:val="center"/>
          </w:tcPr>
          <w:p w14:paraId="3C37197B" w14:textId="3BE32404"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101.4%</w:t>
            </w:r>
          </w:p>
        </w:tc>
      </w:tr>
      <w:tr w:rsidR="00826AB0" w:rsidRPr="003516DC" w14:paraId="67FE152B" w14:textId="77777777" w:rsidTr="00826AB0">
        <w:trPr>
          <w:trHeight w:val="315"/>
        </w:trPr>
        <w:tc>
          <w:tcPr>
            <w:tcW w:w="2214" w:type="pct"/>
            <w:shd w:val="clear" w:color="auto" w:fill="auto"/>
            <w:noWrap/>
            <w:vAlign w:val="center"/>
            <w:hideMark/>
          </w:tcPr>
          <w:p w14:paraId="350B392E" w14:textId="77777777" w:rsidR="00826AB0" w:rsidRPr="003516DC" w:rsidRDefault="00826AB0" w:rsidP="00826AB0">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lastRenderedPageBreak/>
              <w:t>Medium-Low technology intensive</w:t>
            </w:r>
          </w:p>
        </w:tc>
        <w:tc>
          <w:tcPr>
            <w:tcW w:w="858" w:type="pct"/>
            <w:shd w:val="clear" w:color="auto" w:fill="auto"/>
            <w:noWrap/>
            <w:vAlign w:val="center"/>
          </w:tcPr>
          <w:p w14:paraId="0A9D7966" w14:textId="025F69C2"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824,213,014 </w:t>
            </w:r>
          </w:p>
        </w:tc>
        <w:tc>
          <w:tcPr>
            <w:tcW w:w="968" w:type="pct"/>
            <w:shd w:val="clear" w:color="auto" w:fill="auto"/>
            <w:noWrap/>
            <w:vAlign w:val="center"/>
          </w:tcPr>
          <w:p w14:paraId="5646EFCE" w14:textId="4E83A16A" w:rsidR="00826AB0" w:rsidRPr="003516DC" w:rsidRDefault="00826AB0" w:rsidP="00826AB0">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1,375,997,292 </w:t>
            </w:r>
          </w:p>
        </w:tc>
        <w:tc>
          <w:tcPr>
            <w:tcW w:w="960" w:type="pct"/>
            <w:shd w:val="clear" w:color="auto" w:fill="auto"/>
            <w:noWrap/>
            <w:vAlign w:val="center"/>
          </w:tcPr>
          <w:p w14:paraId="7A6AA30D" w14:textId="29446D0B"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66.9%</w:t>
            </w:r>
          </w:p>
        </w:tc>
      </w:tr>
      <w:tr w:rsidR="00826AB0" w:rsidRPr="003516DC" w14:paraId="2D241B12" w14:textId="77777777" w:rsidTr="00826AB0">
        <w:trPr>
          <w:trHeight w:val="315"/>
        </w:trPr>
        <w:tc>
          <w:tcPr>
            <w:tcW w:w="2214" w:type="pct"/>
            <w:shd w:val="clear" w:color="auto" w:fill="auto"/>
            <w:noWrap/>
            <w:vAlign w:val="center"/>
            <w:hideMark/>
          </w:tcPr>
          <w:p w14:paraId="197EFEBF" w14:textId="77777777" w:rsidR="00826AB0" w:rsidRPr="003516DC" w:rsidRDefault="00826AB0" w:rsidP="00826AB0">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tcPr>
          <w:p w14:paraId="37FF9CFC" w14:textId="50840932"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1,903,996,591 </w:t>
            </w:r>
          </w:p>
        </w:tc>
        <w:tc>
          <w:tcPr>
            <w:tcW w:w="968" w:type="pct"/>
            <w:shd w:val="clear" w:color="auto" w:fill="auto"/>
            <w:noWrap/>
            <w:vAlign w:val="center"/>
          </w:tcPr>
          <w:p w14:paraId="643640D8" w14:textId="5FE80000" w:rsidR="00826AB0" w:rsidRPr="003516DC" w:rsidRDefault="00826AB0" w:rsidP="00826AB0">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3,962,752,675 </w:t>
            </w:r>
          </w:p>
        </w:tc>
        <w:tc>
          <w:tcPr>
            <w:tcW w:w="960" w:type="pct"/>
            <w:shd w:val="clear" w:color="auto" w:fill="auto"/>
            <w:noWrap/>
            <w:vAlign w:val="center"/>
          </w:tcPr>
          <w:p w14:paraId="10627B62" w14:textId="6CF955FB" w:rsidR="00826AB0" w:rsidRPr="003516DC" w:rsidRDefault="00826AB0" w:rsidP="00826AB0">
            <w:pPr>
              <w:jc w:val="right"/>
              <w:rPr>
                <w:rFonts w:ascii="Arial" w:eastAsia="Times New Roman" w:hAnsi="Arial" w:cs="Arial"/>
                <w:color w:val="000000"/>
                <w:sz w:val="18"/>
                <w:szCs w:val="18"/>
                <w:lang w:val="en-US"/>
              </w:rPr>
            </w:pPr>
            <w:r w:rsidRPr="003516DC">
              <w:rPr>
                <w:rFonts w:ascii="Arial" w:eastAsia="Arial Narrow" w:hAnsi="Arial" w:cs="Arial"/>
                <w:sz w:val="18"/>
                <w:szCs w:val="18"/>
              </w:rPr>
              <w:t>108.1%</w:t>
            </w:r>
          </w:p>
        </w:tc>
      </w:tr>
      <w:tr w:rsidR="00826AB0" w:rsidRPr="003516DC" w14:paraId="4758B396" w14:textId="77777777" w:rsidTr="00826AB0">
        <w:trPr>
          <w:trHeight w:val="315"/>
        </w:trPr>
        <w:tc>
          <w:tcPr>
            <w:tcW w:w="2214" w:type="pct"/>
            <w:shd w:val="clear" w:color="auto" w:fill="auto"/>
            <w:noWrap/>
            <w:vAlign w:val="center"/>
          </w:tcPr>
          <w:p w14:paraId="2A9A4F0A" w14:textId="58E7B76A" w:rsidR="00826AB0" w:rsidRPr="003516DC" w:rsidRDefault="00826AB0" w:rsidP="00826AB0">
            <w:pPr>
              <w:rPr>
                <w:rFonts w:ascii="Arial" w:eastAsia="Times New Roman" w:hAnsi="Arial" w:cs="Arial"/>
                <w:color w:val="000000"/>
                <w:sz w:val="18"/>
                <w:szCs w:val="18"/>
                <w:lang w:val="en-US"/>
              </w:rPr>
            </w:pPr>
            <w:r w:rsidRPr="003516DC">
              <w:rPr>
                <w:rFonts w:ascii="Arial" w:eastAsia="Arial Narrow" w:hAnsi="Arial" w:cs="Arial"/>
                <w:sz w:val="18"/>
                <w:szCs w:val="18"/>
              </w:rPr>
              <w:t>Other than manufacturing</w:t>
            </w:r>
          </w:p>
        </w:tc>
        <w:tc>
          <w:tcPr>
            <w:tcW w:w="858" w:type="pct"/>
            <w:shd w:val="clear" w:color="auto" w:fill="auto"/>
            <w:noWrap/>
            <w:vAlign w:val="center"/>
          </w:tcPr>
          <w:p w14:paraId="7CD6F577" w14:textId="34647240" w:rsidR="00826AB0" w:rsidRPr="003516DC" w:rsidRDefault="00826AB0" w:rsidP="00826AB0">
            <w:pPr>
              <w:jc w:val="right"/>
              <w:rPr>
                <w:rFonts w:ascii="Arial" w:hAnsi="Arial" w:cs="Arial"/>
                <w:sz w:val="18"/>
                <w:szCs w:val="18"/>
              </w:rPr>
            </w:pPr>
            <w:r w:rsidRPr="003516DC">
              <w:rPr>
                <w:rFonts w:ascii="Arial" w:eastAsia="Arial Narrow" w:hAnsi="Arial" w:cs="Arial"/>
                <w:sz w:val="18"/>
                <w:szCs w:val="18"/>
              </w:rPr>
              <w:t xml:space="preserve">12,344,699,644 </w:t>
            </w:r>
          </w:p>
        </w:tc>
        <w:tc>
          <w:tcPr>
            <w:tcW w:w="968" w:type="pct"/>
            <w:shd w:val="clear" w:color="auto" w:fill="auto"/>
            <w:noWrap/>
            <w:vAlign w:val="center"/>
          </w:tcPr>
          <w:p w14:paraId="5D93D755" w14:textId="0C7FC2AA" w:rsidR="00826AB0" w:rsidRPr="003516DC" w:rsidRDefault="00826AB0" w:rsidP="00826AB0">
            <w:pPr>
              <w:ind w:firstLineChars="100" w:firstLine="180"/>
              <w:jc w:val="right"/>
              <w:rPr>
                <w:rFonts w:ascii="Arial" w:hAnsi="Arial" w:cs="Arial"/>
                <w:sz w:val="18"/>
                <w:szCs w:val="18"/>
              </w:rPr>
            </w:pPr>
            <w:r w:rsidRPr="003516DC">
              <w:rPr>
                <w:rFonts w:ascii="Arial" w:eastAsia="Arial Narrow" w:hAnsi="Arial" w:cs="Arial"/>
                <w:sz w:val="18"/>
                <w:szCs w:val="18"/>
              </w:rPr>
              <w:t xml:space="preserve">25,265,542,983 </w:t>
            </w:r>
          </w:p>
        </w:tc>
        <w:tc>
          <w:tcPr>
            <w:tcW w:w="960" w:type="pct"/>
            <w:shd w:val="clear" w:color="auto" w:fill="auto"/>
            <w:noWrap/>
            <w:vAlign w:val="center"/>
          </w:tcPr>
          <w:p w14:paraId="0BB8B086" w14:textId="1C5BBD31" w:rsidR="00826AB0" w:rsidRPr="003516DC" w:rsidRDefault="00826AB0" w:rsidP="00826AB0">
            <w:pPr>
              <w:jc w:val="right"/>
              <w:rPr>
                <w:rFonts w:ascii="Arial" w:hAnsi="Arial" w:cs="Arial"/>
                <w:sz w:val="18"/>
                <w:szCs w:val="18"/>
              </w:rPr>
            </w:pPr>
            <w:r w:rsidRPr="003516DC">
              <w:rPr>
                <w:rFonts w:ascii="Arial" w:eastAsia="Arial Narrow" w:hAnsi="Arial" w:cs="Arial"/>
                <w:sz w:val="18"/>
                <w:szCs w:val="18"/>
              </w:rPr>
              <w:t>104.7%</w:t>
            </w:r>
          </w:p>
        </w:tc>
      </w:tr>
    </w:tbl>
    <w:p w14:paraId="2D66920F" w14:textId="4775F803" w:rsidR="00350AA9" w:rsidRDefault="00826AB0" w:rsidP="00542C72">
      <w:pPr>
        <w:spacing w:after="240"/>
        <w:rPr>
          <w:rFonts w:ascii="Arial" w:hAnsi="Arial" w:cs="Arial"/>
          <w:i/>
          <w:color w:val="1155CC"/>
          <w:sz w:val="16"/>
          <w:szCs w:val="16"/>
          <w:u w:val="single"/>
        </w:rPr>
      </w:pPr>
      <w:r w:rsidRPr="003516DC">
        <w:rPr>
          <w:rFonts w:ascii="Arial" w:hAnsi="Arial" w:cs="Arial"/>
          <w:i/>
          <w:sz w:val="16"/>
          <w:szCs w:val="16"/>
        </w:rPr>
        <w:t>Source: processing of N</w:t>
      </w:r>
      <w:r w:rsidR="006536F5" w:rsidRPr="003516DC">
        <w:rPr>
          <w:rFonts w:ascii="Arial" w:hAnsi="Arial" w:cs="Arial"/>
          <w:i/>
          <w:sz w:val="16"/>
          <w:szCs w:val="16"/>
        </w:rPr>
        <w:t>ational Trade Register Office</w:t>
      </w:r>
      <w:r w:rsidRPr="003516DC">
        <w:rPr>
          <w:rFonts w:ascii="Arial" w:hAnsi="Arial" w:cs="Arial"/>
          <w:i/>
          <w:sz w:val="16"/>
          <w:szCs w:val="16"/>
        </w:rPr>
        <w:t xml:space="preserve"> data, based on EC high tech classification of NACE codes</w:t>
      </w:r>
      <w:hyperlink r:id="rId191">
        <w:r w:rsidRPr="003516DC">
          <w:rPr>
            <w:rFonts w:ascii="Arial" w:hAnsi="Arial" w:cs="Arial"/>
            <w:i/>
            <w:sz w:val="16"/>
            <w:szCs w:val="16"/>
          </w:rPr>
          <w:t xml:space="preserve"> </w:t>
        </w:r>
      </w:hyperlink>
      <w:hyperlink r:id="rId192">
        <w:r w:rsidRPr="003516DC">
          <w:rPr>
            <w:rFonts w:ascii="Arial" w:hAnsi="Arial" w:cs="Arial"/>
            <w:i/>
            <w:color w:val="1155CC"/>
            <w:sz w:val="16"/>
            <w:szCs w:val="16"/>
            <w:u w:val="single"/>
          </w:rPr>
          <w:t>https://ec.europa.eu/eurostat/statistics-explained/index.php/Glossary:High-tech</w:t>
        </w:r>
      </w:hyperlink>
    </w:p>
    <w:p w14:paraId="0387DBE7" w14:textId="21E3FD88" w:rsidR="0009621B" w:rsidRPr="0009621B" w:rsidRDefault="0009621B" w:rsidP="00E42342">
      <w:pPr>
        <w:pStyle w:val="ListParagraph"/>
        <w:numPr>
          <w:ilvl w:val="0"/>
          <w:numId w:val="302"/>
        </w:numPr>
        <w:spacing w:after="120"/>
        <w:jc w:val="both"/>
        <w:rPr>
          <w:color w:val="FF0000"/>
          <w:sz w:val="20"/>
          <w:szCs w:val="20"/>
        </w:rPr>
      </w:pPr>
      <w:r>
        <w:rPr>
          <w:color w:val="4F81BD" w:themeColor="accent1"/>
          <w:sz w:val="20"/>
          <w:szCs w:val="20"/>
        </w:rPr>
        <w:t>Renewable energy production</w:t>
      </w:r>
    </w:p>
    <w:p w14:paraId="3CB13168" w14:textId="22CA61E4" w:rsidR="00E909F2" w:rsidRDefault="00E909F2" w:rsidP="004F70E0">
      <w:pPr>
        <w:spacing w:after="120"/>
        <w:jc w:val="both"/>
        <w:rPr>
          <w:rFonts w:ascii="Arial" w:hAnsi="Arial" w:cs="Arial"/>
          <w:sz w:val="20"/>
          <w:szCs w:val="20"/>
        </w:rPr>
      </w:pPr>
      <w:r w:rsidRPr="003E7E68">
        <w:rPr>
          <w:rFonts w:ascii="Arial" w:hAnsi="Arial" w:cs="Arial"/>
          <w:sz w:val="20"/>
          <w:szCs w:val="20"/>
        </w:rPr>
        <w:t xml:space="preserve">In terms of </w:t>
      </w:r>
      <w:r w:rsidRPr="003E7E68">
        <w:rPr>
          <w:rFonts w:ascii="Arial" w:hAnsi="Arial" w:cs="Arial"/>
          <w:b/>
          <w:bCs/>
          <w:sz w:val="20"/>
          <w:szCs w:val="20"/>
        </w:rPr>
        <w:t>renewable energy production</w:t>
      </w:r>
      <w:r w:rsidRPr="003E7E68">
        <w:rPr>
          <w:rFonts w:ascii="Arial" w:hAnsi="Arial" w:cs="Arial"/>
          <w:sz w:val="20"/>
          <w:szCs w:val="20"/>
        </w:rPr>
        <w:t xml:space="preserve">, </w:t>
      </w:r>
      <w:r w:rsidR="004F70E0">
        <w:rPr>
          <w:rFonts w:ascii="Arial" w:hAnsi="Arial" w:cs="Arial"/>
          <w:sz w:val="20"/>
          <w:szCs w:val="20"/>
        </w:rPr>
        <w:t>Mureș</w:t>
      </w:r>
      <w:r w:rsidRPr="00402580">
        <w:rPr>
          <w:rFonts w:ascii="Arial" w:hAnsi="Arial" w:cs="Arial"/>
          <w:sz w:val="20"/>
          <w:szCs w:val="20"/>
        </w:rPr>
        <w:t xml:space="preserve"> requires </w:t>
      </w:r>
      <w:r w:rsidR="00471B89">
        <w:rPr>
          <w:rFonts w:ascii="Arial" w:hAnsi="Arial" w:cs="Arial"/>
          <w:sz w:val="20"/>
          <w:szCs w:val="20"/>
        </w:rPr>
        <w:t>less than</w:t>
      </w:r>
      <w:r w:rsidRPr="00402580">
        <w:rPr>
          <w:rFonts w:ascii="Arial" w:hAnsi="Arial" w:cs="Arial"/>
          <w:sz w:val="20"/>
          <w:szCs w:val="20"/>
        </w:rPr>
        <w:t xml:space="preserve"> 400 ha of land to develop an estimated 400 MW of utility</w:t>
      </w:r>
      <w:r w:rsidR="00471B89">
        <w:rPr>
          <w:rFonts w:ascii="Arial" w:hAnsi="Arial" w:cs="Arial"/>
          <w:sz w:val="20"/>
          <w:szCs w:val="20"/>
        </w:rPr>
        <w:t>-</w:t>
      </w:r>
      <w:r w:rsidRPr="00402580">
        <w:rPr>
          <w:rFonts w:ascii="Arial" w:hAnsi="Arial" w:cs="Arial"/>
          <w:sz w:val="20"/>
          <w:szCs w:val="20"/>
        </w:rPr>
        <w:t>scale PV assigned under the analysis. This represents a fraction of available land for development in the county compared to available agricultural land.</w:t>
      </w:r>
    </w:p>
    <w:p w14:paraId="491A3C46" w14:textId="5A7EFEC1" w:rsidR="0009621B" w:rsidRPr="0009621B" w:rsidRDefault="0009621B" w:rsidP="00E42342">
      <w:pPr>
        <w:pStyle w:val="ListParagraph"/>
        <w:numPr>
          <w:ilvl w:val="0"/>
          <w:numId w:val="303"/>
        </w:numPr>
        <w:spacing w:after="120"/>
        <w:jc w:val="both"/>
        <w:rPr>
          <w:sz w:val="20"/>
          <w:szCs w:val="20"/>
        </w:rPr>
      </w:pPr>
      <w:r w:rsidRPr="0009621B">
        <w:rPr>
          <w:color w:val="4F81BD" w:themeColor="accent1"/>
          <w:sz w:val="20"/>
          <w:szCs w:val="20"/>
        </w:rPr>
        <w:t>ETS support potential</w:t>
      </w:r>
    </w:p>
    <w:p w14:paraId="7BABDE2C" w14:textId="7FD4FB3F" w:rsidR="00285FBB" w:rsidRPr="00402580" w:rsidRDefault="00285FBB" w:rsidP="004F70E0">
      <w:pPr>
        <w:spacing w:after="120"/>
        <w:jc w:val="both"/>
        <w:rPr>
          <w:rFonts w:ascii="Arial" w:hAnsi="Arial" w:cs="Arial"/>
          <w:sz w:val="20"/>
          <w:szCs w:val="20"/>
        </w:rPr>
      </w:pPr>
      <w:r w:rsidRPr="00402580">
        <w:rPr>
          <w:rFonts w:ascii="Arial" w:hAnsi="Arial" w:cs="Arial"/>
          <w:sz w:val="20"/>
          <w:szCs w:val="20"/>
        </w:rPr>
        <w:t xml:space="preserve">When it comes to </w:t>
      </w:r>
      <w:r w:rsidRPr="00402580">
        <w:rPr>
          <w:rFonts w:ascii="Arial" w:hAnsi="Arial" w:cs="Arial"/>
          <w:b/>
          <w:bCs/>
          <w:sz w:val="20"/>
          <w:szCs w:val="20"/>
        </w:rPr>
        <w:t xml:space="preserve">ETS support potential </w:t>
      </w:r>
      <w:r w:rsidRPr="00402580">
        <w:rPr>
          <w:rFonts w:ascii="Arial" w:hAnsi="Arial" w:cs="Arial"/>
          <w:bCs/>
          <w:sz w:val="20"/>
          <w:szCs w:val="20"/>
        </w:rPr>
        <w:t>i</w:t>
      </w:r>
      <w:r w:rsidRPr="00402580">
        <w:rPr>
          <w:rFonts w:ascii="Arial" w:hAnsi="Arial" w:cs="Arial"/>
          <w:sz w:val="20"/>
          <w:szCs w:val="20"/>
        </w:rPr>
        <w:t>n Mureș</w:t>
      </w:r>
      <w:r w:rsidR="00471B89">
        <w:rPr>
          <w:rFonts w:ascii="Arial" w:hAnsi="Arial" w:cs="Arial"/>
          <w:sz w:val="20"/>
          <w:szCs w:val="20"/>
        </w:rPr>
        <w:t>,</w:t>
      </w:r>
      <w:r w:rsidRPr="00402580">
        <w:rPr>
          <w:rFonts w:ascii="Arial" w:hAnsi="Arial" w:cs="Arial"/>
          <w:sz w:val="20"/>
          <w:szCs w:val="20"/>
        </w:rPr>
        <w:t xml:space="preserve"> 79% of verified emissions occur at Azo</w:t>
      </w:r>
      <w:r w:rsidR="00CA72BD">
        <w:rPr>
          <w:rFonts w:ascii="Arial" w:hAnsi="Arial" w:cs="Arial"/>
          <w:sz w:val="20"/>
          <w:szCs w:val="20"/>
        </w:rPr>
        <w:t>m</w:t>
      </w:r>
      <w:r w:rsidR="004F70E0">
        <w:rPr>
          <w:rFonts w:ascii="Arial" w:hAnsi="Arial" w:cs="Arial"/>
          <w:sz w:val="20"/>
          <w:szCs w:val="20"/>
        </w:rPr>
        <w:t>ureș</w:t>
      </w:r>
      <w:r w:rsidRPr="00402580">
        <w:rPr>
          <w:rFonts w:ascii="Arial" w:hAnsi="Arial" w:cs="Arial"/>
          <w:sz w:val="20"/>
          <w:szCs w:val="20"/>
        </w:rPr>
        <w:t xml:space="preserve"> followed by 17% at a gas power plant owned by Romgaz.</w:t>
      </w:r>
    </w:p>
    <w:p w14:paraId="70ADB07C" w14:textId="56F7EAF1" w:rsidR="00285FBB" w:rsidRPr="0009621B" w:rsidRDefault="00285FBB" w:rsidP="0009621B">
      <w:pPr>
        <w:spacing w:after="120"/>
        <w:jc w:val="both"/>
        <w:rPr>
          <w:rFonts w:ascii="Arial" w:hAnsi="Arial" w:cs="Arial"/>
          <w:i/>
          <w:iCs/>
          <w:color w:val="4F81BD" w:themeColor="accent1"/>
          <w:sz w:val="20"/>
          <w:szCs w:val="20"/>
        </w:rPr>
      </w:pPr>
      <w:r w:rsidRPr="0009621B">
        <w:rPr>
          <w:rFonts w:ascii="Arial" w:hAnsi="Arial" w:cs="Arial"/>
          <w:i/>
          <w:iCs/>
          <w:color w:val="4F81BD" w:themeColor="accent1"/>
          <w:sz w:val="20"/>
          <w:szCs w:val="20"/>
        </w:rPr>
        <w:t xml:space="preserve">Assessment of the proposed emission reductions by installation owner in Mureș by </w:t>
      </w:r>
      <w:r w:rsidR="000D01C4">
        <w:rPr>
          <w:rFonts w:ascii="Arial" w:hAnsi="Arial" w:cs="Arial"/>
          <w:i/>
          <w:iCs/>
          <w:color w:val="4F81BD" w:themeColor="accent1"/>
          <w:sz w:val="20"/>
          <w:szCs w:val="20"/>
        </w:rPr>
        <w:t>examining</w:t>
      </w:r>
      <w:r w:rsidRPr="0009621B">
        <w:rPr>
          <w:rFonts w:ascii="Arial" w:hAnsi="Arial" w:cs="Arial"/>
          <w:i/>
          <w:iCs/>
          <w:color w:val="4F81BD" w:themeColor="accent1"/>
          <w:sz w:val="20"/>
          <w:szCs w:val="20"/>
        </w:rPr>
        <w:t xml:space="preserve"> the decarbonisation plans of the largest emitter</w:t>
      </w:r>
    </w:p>
    <w:p w14:paraId="54E77B9A" w14:textId="46744B64" w:rsidR="00285FBB" w:rsidRPr="00402580" w:rsidRDefault="00285FBB" w:rsidP="00CA72BD">
      <w:pPr>
        <w:spacing w:after="120"/>
        <w:jc w:val="both"/>
        <w:rPr>
          <w:rFonts w:ascii="Arial" w:hAnsi="Arial" w:cs="Arial"/>
          <w:sz w:val="20"/>
          <w:szCs w:val="20"/>
        </w:rPr>
      </w:pPr>
      <w:r w:rsidRPr="00402580">
        <w:rPr>
          <w:rFonts w:ascii="Arial" w:hAnsi="Arial" w:cs="Arial"/>
          <w:sz w:val="20"/>
          <w:szCs w:val="20"/>
        </w:rPr>
        <w:t>Azo</w:t>
      </w:r>
      <w:r w:rsidR="00CA72BD">
        <w:rPr>
          <w:rFonts w:ascii="Arial" w:hAnsi="Arial" w:cs="Arial"/>
          <w:sz w:val="20"/>
          <w:szCs w:val="20"/>
        </w:rPr>
        <w:t>m</w:t>
      </w:r>
      <w:r w:rsidR="004F70E0">
        <w:rPr>
          <w:rFonts w:ascii="Arial" w:hAnsi="Arial" w:cs="Arial"/>
          <w:sz w:val="20"/>
          <w:szCs w:val="20"/>
        </w:rPr>
        <w:t>ureș</w:t>
      </w:r>
      <w:r w:rsidRPr="00402580">
        <w:rPr>
          <w:rFonts w:ascii="Arial" w:hAnsi="Arial" w:cs="Arial"/>
          <w:sz w:val="20"/>
          <w:szCs w:val="20"/>
        </w:rPr>
        <w:t xml:space="preserve"> is a fertilizer company with around 1,200 employees. Azo</w:t>
      </w:r>
      <w:r w:rsidR="00CA72BD">
        <w:rPr>
          <w:rFonts w:ascii="Arial" w:hAnsi="Arial" w:cs="Arial"/>
          <w:sz w:val="20"/>
          <w:szCs w:val="20"/>
        </w:rPr>
        <w:t>m</w:t>
      </w:r>
      <w:r w:rsidR="004F70E0">
        <w:rPr>
          <w:rFonts w:ascii="Arial" w:hAnsi="Arial" w:cs="Arial"/>
          <w:sz w:val="20"/>
          <w:szCs w:val="20"/>
        </w:rPr>
        <w:t>ureș</w:t>
      </w:r>
      <w:r w:rsidRPr="00402580">
        <w:rPr>
          <w:rFonts w:ascii="Arial" w:hAnsi="Arial" w:cs="Arial"/>
          <w:sz w:val="20"/>
          <w:szCs w:val="20"/>
        </w:rPr>
        <w:t xml:space="preserve"> received 13.3 </w:t>
      </w:r>
      <w:r w:rsidR="00471B89">
        <w:rPr>
          <w:rFonts w:ascii="Arial" w:hAnsi="Arial" w:cs="Arial"/>
          <w:sz w:val="20"/>
          <w:szCs w:val="20"/>
        </w:rPr>
        <w:t>m</w:t>
      </w:r>
      <w:r w:rsidRPr="00402580">
        <w:rPr>
          <w:rFonts w:ascii="Arial" w:hAnsi="Arial" w:cs="Arial"/>
          <w:sz w:val="20"/>
          <w:szCs w:val="20"/>
        </w:rPr>
        <w:t xml:space="preserve"> allowances under EU ETS between 2008 to 2019 and had 18.4 </w:t>
      </w:r>
      <w:r w:rsidR="00471B89">
        <w:rPr>
          <w:rFonts w:ascii="Arial" w:hAnsi="Arial" w:cs="Arial"/>
          <w:sz w:val="20"/>
          <w:szCs w:val="20"/>
        </w:rPr>
        <w:t>m</w:t>
      </w:r>
      <w:r w:rsidRPr="00402580">
        <w:rPr>
          <w:rFonts w:ascii="Arial" w:hAnsi="Arial" w:cs="Arial"/>
          <w:sz w:val="20"/>
          <w:szCs w:val="20"/>
        </w:rPr>
        <w:t xml:space="preserve"> verified emissions</w:t>
      </w:r>
      <w:r w:rsidR="00471B89">
        <w:rPr>
          <w:rFonts w:ascii="Arial" w:hAnsi="Arial" w:cs="Arial"/>
          <w:sz w:val="20"/>
          <w:szCs w:val="20"/>
        </w:rPr>
        <w:t>,</w:t>
      </w:r>
      <w:r w:rsidRPr="00402580">
        <w:rPr>
          <w:rFonts w:ascii="Arial" w:hAnsi="Arial" w:cs="Arial"/>
          <w:sz w:val="20"/>
          <w:szCs w:val="20"/>
        </w:rPr>
        <w:t xml:space="preserve"> which </w:t>
      </w:r>
      <w:r w:rsidR="00471B89">
        <w:rPr>
          <w:rFonts w:ascii="Arial" w:hAnsi="Arial" w:cs="Arial"/>
          <w:sz w:val="20"/>
          <w:szCs w:val="20"/>
        </w:rPr>
        <w:t>means that</w:t>
      </w:r>
      <w:r w:rsidRPr="00402580">
        <w:rPr>
          <w:rFonts w:ascii="Arial" w:hAnsi="Arial" w:cs="Arial"/>
          <w:sz w:val="20"/>
          <w:szCs w:val="20"/>
        </w:rPr>
        <w:t xml:space="preserve"> almost 28% of emissions </w:t>
      </w:r>
      <w:r w:rsidR="00471B89">
        <w:rPr>
          <w:rFonts w:ascii="Arial" w:hAnsi="Arial" w:cs="Arial"/>
          <w:sz w:val="20"/>
          <w:szCs w:val="20"/>
        </w:rPr>
        <w:t xml:space="preserve">are </w:t>
      </w:r>
      <w:r w:rsidRPr="00402580">
        <w:rPr>
          <w:rFonts w:ascii="Arial" w:hAnsi="Arial" w:cs="Arial"/>
          <w:sz w:val="20"/>
          <w:szCs w:val="20"/>
        </w:rPr>
        <w:t xml:space="preserve">not being covered by EU ETS free allowances (see Graph </w:t>
      </w:r>
      <w:r w:rsidR="00CA72BD">
        <w:rPr>
          <w:rFonts w:ascii="Arial" w:hAnsi="Arial" w:cs="Arial"/>
          <w:sz w:val="20"/>
          <w:szCs w:val="20"/>
        </w:rPr>
        <w:t>4</w:t>
      </w:r>
      <w:r w:rsidR="00F140B0">
        <w:rPr>
          <w:rFonts w:ascii="Arial" w:hAnsi="Arial" w:cs="Arial"/>
          <w:sz w:val="20"/>
          <w:szCs w:val="20"/>
        </w:rPr>
        <w:t>7</w:t>
      </w:r>
      <w:r w:rsidRPr="00402580">
        <w:rPr>
          <w:rFonts w:ascii="Arial" w:hAnsi="Arial" w:cs="Arial"/>
          <w:sz w:val="20"/>
          <w:szCs w:val="20"/>
        </w:rPr>
        <w:t>).</w:t>
      </w:r>
      <w:r w:rsidR="00C510BD">
        <w:rPr>
          <w:rFonts w:ascii="Arial" w:hAnsi="Arial" w:cs="Arial"/>
          <w:sz w:val="20"/>
          <w:szCs w:val="20"/>
        </w:rPr>
        <w:t xml:space="preserve"> </w:t>
      </w:r>
      <w:r w:rsidR="00C510BD" w:rsidRPr="00C510BD">
        <w:rPr>
          <w:rFonts w:ascii="Arial" w:hAnsi="Arial" w:cs="Arial"/>
          <w:sz w:val="20"/>
          <w:szCs w:val="20"/>
        </w:rPr>
        <w:t>Azomure</w:t>
      </w:r>
      <w:r w:rsidR="00C510BD">
        <w:rPr>
          <w:rFonts w:ascii="Arial" w:hAnsi="Arial" w:cs="Arial"/>
          <w:sz w:val="20"/>
          <w:szCs w:val="20"/>
          <w:lang w:val="ro-RO"/>
        </w:rPr>
        <w:t>ș</w:t>
      </w:r>
      <w:r w:rsidR="00C510BD" w:rsidRPr="00C510BD">
        <w:rPr>
          <w:rFonts w:ascii="Arial" w:hAnsi="Arial" w:cs="Arial"/>
          <w:sz w:val="20"/>
          <w:szCs w:val="20"/>
        </w:rPr>
        <w:t xml:space="preserve"> has a production capacity exceeding 1.8 </w:t>
      </w:r>
      <w:r w:rsidR="002B0D2A">
        <w:rPr>
          <w:rFonts w:ascii="Arial" w:hAnsi="Arial" w:cs="Arial"/>
          <w:sz w:val="20"/>
          <w:szCs w:val="20"/>
        </w:rPr>
        <w:t>million</w:t>
      </w:r>
      <w:r w:rsidR="00C510BD" w:rsidRPr="00C510BD">
        <w:rPr>
          <w:rFonts w:ascii="Arial" w:hAnsi="Arial" w:cs="Arial"/>
          <w:sz w:val="20"/>
          <w:szCs w:val="20"/>
        </w:rPr>
        <w:t xml:space="preserve"> tonnes of fertili</w:t>
      </w:r>
      <w:r w:rsidR="002A3576">
        <w:rPr>
          <w:rFonts w:ascii="Arial" w:hAnsi="Arial" w:cs="Arial"/>
          <w:sz w:val="20"/>
          <w:szCs w:val="20"/>
        </w:rPr>
        <w:t>s</w:t>
      </w:r>
      <w:r w:rsidR="00C510BD" w:rsidRPr="00C510BD">
        <w:rPr>
          <w:rFonts w:ascii="Arial" w:hAnsi="Arial" w:cs="Arial"/>
          <w:sz w:val="20"/>
          <w:szCs w:val="20"/>
        </w:rPr>
        <w:t>ers per year</w:t>
      </w:r>
      <w:r w:rsidR="00C510BD">
        <w:rPr>
          <w:rStyle w:val="FootnoteReference"/>
          <w:rFonts w:ascii="Arial" w:hAnsi="Arial" w:cs="Arial"/>
          <w:sz w:val="20"/>
          <w:szCs w:val="20"/>
        </w:rPr>
        <w:footnoteReference w:id="134"/>
      </w:r>
      <w:r w:rsidR="00C510BD" w:rsidRPr="00C510BD">
        <w:rPr>
          <w:rFonts w:ascii="Arial" w:hAnsi="Arial" w:cs="Arial"/>
          <w:sz w:val="20"/>
          <w:szCs w:val="20"/>
        </w:rPr>
        <w:t>. Despite this capacity, Azomure</w:t>
      </w:r>
      <w:r w:rsidR="002B0D2A">
        <w:rPr>
          <w:rFonts w:ascii="Arial" w:hAnsi="Arial" w:cs="Arial"/>
          <w:sz w:val="20"/>
          <w:szCs w:val="20"/>
        </w:rPr>
        <w:t>ș</w:t>
      </w:r>
      <w:r w:rsidR="00C510BD" w:rsidRPr="00C510BD">
        <w:rPr>
          <w:rFonts w:ascii="Arial" w:hAnsi="Arial" w:cs="Arial"/>
          <w:sz w:val="20"/>
          <w:szCs w:val="20"/>
        </w:rPr>
        <w:t xml:space="preserve"> </w:t>
      </w:r>
      <w:r w:rsidR="002A3576">
        <w:rPr>
          <w:rFonts w:ascii="Arial" w:hAnsi="Arial" w:cs="Arial"/>
          <w:sz w:val="20"/>
          <w:szCs w:val="20"/>
        </w:rPr>
        <w:t xml:space="preserve">only </w:t>
      </w:r>
      <w:r w:rsidR="00C510BD" w:rsidRPr="00C510BD">
        <w:rPr>
          <w:rFonts w:ascii="Arial" w:hAnsi="Arial" w:cs="Arial"/>
          <w:sz w:val="20"/>
          <w:szCs w:val="20"/>
        </w:rPr>
        <w:t xml:space="preserve">produces approximately 1.6 </w:t>
      </w:r>
      <w:r w:rsidR="002B0D2A">
        <w:rPr>
          <w:rFonts w:ascii="Arial" w:hAnsi="Arial" w:cs="Arial"/>
          <w:sz w:val="20"/>
          <w:szCs w:val="20"/>
        </w:rPr>
        <w:t>million</w:t>
      </w:r>
      <w:r w:rsidR="00C510BD" w:rsidRPr="00C510BD">
        <w:rPr>
          <w:rFonts w:ascii="Arial" w:hAnsi="Arial" w:cs="Arial"/>
          <w:sz w:val="20"/>
          <w:szCs w:val="20"/>
        </w:rPr>
        <w:t xml:space="preserve"> tonnes of fertili</w:t>
      </w:r>
      <w:r w:rsidR="002A3576">
        <w:rPr>
          <w:rFonts w:ascii="Arial" w:hAnsi="Arial" w:cs="Arial"/>
          <w:sz w:val="20"/>
          <w:szCs w:val="20"/>
        </w:rPr>
        <w:t>s</w:t>
      </w:r>
      <w:r w:rsidR="00C510BD" w:rsidRPr="00C510BD">
        <w:rPr>
          <w:rFonts w:ascii="Arial" w:hAnsi="Arial" w:cs="Arial"/>
          <w:sz w:val="20"/>
          <w:szCs w:val="20"/>
        </w:rPr>
        <w:t>ers</w:t>
      </w:r>
      <w:r w:rsidR="002A3576">
        <w:rPr>
          <w:rFonts w:ascii="Arial" w:hAnsi="Arial" w:cs="Arial"/>
          <w:sz w:val="20"/>
          <w:szCs w:val="20"/>
        </w:rPr>
        <w:t xml:space="preserve"> annually</w:t>
      </w:r>
      <w:r w:rsidR="00C510BD" w:rsidRPr="00C510BD">
        <w:rPr>
          <w:rFonts w:ascii="Arial" w:hAnsi="Arial" w:cs="Arial"/>
          <w:sz w:val="20"/>
          <w:szCs w:val="20"/>
        </w:rPr>
        <w:t>.</w:t>
      </w:r>
    </w:p>
    <w:p w14:paraId="4F7D984A" w14:textId="4A2393D3" w:rsidR="00285FBB" w:rsidRPr="003516DC" w:rsidRDefault="00285FBB" w:rsidP="00CA72BD">
      <w:pPr>
        <w:pStyle w:val="Caption"/>
        <w:spacing w:before="0"/>
        <w:ind w:left="1138" w:hanging="1138"/>
      </w:pPr>
      <w:bookmarkStart w:id="297" w:name="_Toc90727383"/>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47</w:t>
      </w:r>
      <w:r w:rsidR="000B273D">
        <w:rPr>
          <w:noProof/>
        </w:rPr>
        <w:fldChar w:fldCharType="end"/>
      </w:r>
      <w:r w:rsidRPr="003516DC">
        <w:t>: Verified emissions vs. allowances under EU ETS</w:t>
      </w:r>
      <w:bookmarkEnd w:id="297"/>
    </w:p>
    <w:p w14:paraId="20482474" w14:textId="77777777" w:rsidR="00285FBB" w:rsidRPr="003516DC" w:rsidRDefault="00285FBB" w:rsidP="00285FBB">
      <w:pPr>
        <w:rPr>
          <w:rFonts w:ascii="Arial" w:hAnsi="Arial" w:cs="Arial"/>
          <w:lang w:eastAsia="en-US"/>
        </w:rPr>
      </w:pPr>
      <w:r w:rsidRPr="00402580">
        <w:rPr>
          <w:rFonts w:ascii="Arial" w:hAnsi="Arial" w:cs="Arial"/>
          <w:noProof/>
          <w:lang w:val="en-US" w:eastAsia="en-US"/>
        </w:rPr>
        <w:drawing>
          <wp:inline distT="0" distB="0" distL="0" distR="0" wp14:anchorId="6AA865C2" wp14:editId="423FA1B8">
            <wp:extent cx="5676265" cy="3017520"/>
            <wp:effectExtent l="0" t="0" r="635" b="11430"/>
            <wp:docPr id="2087055713" name="Chart 20870557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CC0AFC8-8410-4C50-95C9-CCC952446C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AAB3A41" w14:textId="77777777" w:rsidR="00285FBB" w:rsidRPr="003516DC" w:rsidRDefault="00285FBB" w:rsidP="00CA72BD">
      <w:pPr>
        <w:spacing w:after="120"/>
        <w:jc w:val="both"/>
        <w:rPr>
          <w:rFonts w:ascii="Arial" w:hAnsi="Arial" w:cs="Arial"/>
          <w:i/>
          <w:iCs/>
          <w:sz w:val="16"/>
          <w:szCs w:val="16"/>
        </w:rPr>
      </w:pPr>
      <w:r w:rsidRPr="003516DC">
        <w:rPr>
          <w:rFonts w:ascii="Arial" w:hAnsi="Arial" w:cs="Arial"/>
          <w:i/>
          <w:iCs/>
          <w:sz w:val="16"/>
          <w:szCs w:val="16"/>
        </w:rPr>
        <w:t>Source: European Environment Agency</w:t>
      </w:r>
    </w:p>
    <w:p w14:paraId="64A8645C" w14:textId="4DBCC90E" w:rsidR="00C510BD" w:rsidRPr="00C510BD" w:rsidRDefault="00C510BD" w:rsidP="00C510BD">
      <w:pPr>
        <w:spacing w:after="120"/>
        <w:jc w:val="both"/>
        <w:rPr>
          <w:rFonts w:ascii="Arial" w:hAnsi="Arial" w:cs="Arial"/>
          <w:sz w:val="20"/>
          <w:szCs w:val="20"/>
        </w:rPr>
      </w:pPr>
      <w:bookmarkStart w:id="298" w:name="_Hlk85565239"/>
      <w:r w:rsidRPr="00C510BD">
        <w:rPr>
          <w:rFonts w:ascii="Arial" w:hAnsi="Arial" w:cs="Arial"/>
          <w:sz w:val="20"/>
          <w:szCs w:val="20"/>
        </w:rPr>
        <w:t>Azomure</w:t>
      </w:r>
      <w:r>
        <w:rPr>
          <w:rFonts w:ascii="Arial" w:hAnsi="Arial" w:cs="Arial"/>
          <w:sz w:val="20"/>
          <w:szCs w:val="20"/>
        </w:rPr>
        <w:t xml:space="preserve">ș </w:t>
      </w:r>
      <w:r w:rsidRPr="00C510BD">
        <w:rPr>
          <w:rFonts w:ascii="Arial" w:hAnsi="Arial" w:cs="Arial"/>
          <w:sz w:val="20"/>
          <w:szCs w:val="20"/>
        </w:rPr>
        <w:t xml:space="preserve">has </w:t>
      </w:r>
      <w:r w:rsidR="002A3576">
        <w:rPr>
          <w:rFonts w:ascii="Arial" w:hAnsi="Arial" w:cs="Arial"/>
          <w:sz w:val="20"/>
          <w:szCs w:val="20"/>
        </w:rPr>
        <w:t xml:space="preserve">significantly </w:t>
      </w:r>
      <w:r w:rsidRPr="00C510BD">
        <w:rPr>
          <w:rFonts w:ascii="Arial" w:hAnsi="Arial" w:cs="Arial"/>
          <w:sz w:val="20"/>
          <w:szCs w:val="20"/>
        </w:rPr>
        <w:t>reduced the emissions of NOX, NH3 and dust particulate from its operations from their respective peaks (</w:t>
      </w:r>
      <w:r>
        <w:rPr>
          <w:rFonts w:ascii="Arial" w:hAnsi="Arial" w:cs="Arial"/>
          <w:sz w:val="20"/>
          <w:szCs w:val="20"/>
        </w:rPr>
        <w:t>see Graph 48</w:t>
      </w:r>
      <w:r w:rsidRPr="00C510BD">
        <w:rPr>
          <w:rFonts w:ascii="Arial" w:hAnsi="Arial" w:cs="Arial"/>
          <w:sz w:val="20"/>
          <w:szCs w:val="20"/>
        </w:rPr>
        <w:t>). CO</w:t>
      </w:r>
      <w:r w:rsidRPr="00782BFD">
        <w:rPr>
          <w:rFonts w:ascii="Arial" w:hAnsi="Arial" w:cs="Arial"/>
          <w:sz w:val="20"/>
          <w:szCs w:val="20"/>
          <w:vertAlign w:val="subscript"/>
        </w:rPr>
        <w:t>2</w:t>
      </w:r>
      <w:r w:rsidRPr="00C510BD">
        <w:rPr>
          <w:rFonts w:ascii="Arial" w:hAnsi="Arial" w:cs="Arial"/>
          <w:sz w:val="20"/>
          <w:szCs w:val="20"/>
        </w:rPr>
        <w:t xml:space="preserve"> emissions have declined as well, most significantly in 2019 as compared to the peak in 2020. Emissions slightly </w:t>
      </w:r>
      <w:r w:rsidR="002A3576">
        <w:rPr>
          <w:rFonts w:ascii="Arial" w:hAnsi="Arial" w:cs="Arial"/>
          <w:sz w:val="20"/>
          <w:szCs w:val="20"/>
        </w:rPr>
        <w:t>exceeded</w:t>
      </w:r>
      <w:r w:rsidRPr="00C510BD">
        <w:rPr>
          <w:rFonts w:ascii="Arial" w:hAnsi="Arial" w:cs="Arial"/>
          <w:sz w:val="20"/>
          <w:szCs w:val="20"/>
        </w:rPr>
        <w:t xml:space="preserve"> 2 </w:t>
      </w:r>
      <w:r w:rsidR="002B0D2A">
        <w:rPr>
          <w:rFonts w:ascii="Arial" w:hAnsi="Arial" w:cs="Arial"/>
          <w:sz w:val="20"/>
          <w:szCs w:val="20"/>
        </w:rPr>
        <w:t>million</w:t>
      </w:r>
      <w:r w:rsidRPr="00C510BD">
        <w:rPr>
          <w:rFonts w:ascii="Arial" w:hAnsi="Arial" w:cs="Arial"/>
          <w:sz w:val="20"/>
          <w:szCs w:val="20"/>
        </w:rPr>
        <w:t xml:space="preserve"> ton</w:t>
      </w:r>
      <w:r w:rsidR="002A3576">
        <w:rPr>
          <w:rFonts w:ascii="Arial" w:hAnsi="Arial" w:cs="Arial"/>
          <w:sz w:val="20"/>
          <w:szCs w:val="20"/>
        </w:rPr>
        <w:t>ne</w:t>
      </w:r>
      <w:r w:rsidRPr="00C510BD">
        <w:rPr>
          <w:rFonts w:ascii="Arial" w:hAnsi="Arial" w:cs="Arial"/>
          <w:sz w:val="20"/>
          <w:szCs w:val="20"/>
        </w:rPr>
        <w:t xml:space="preserve">s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 xml:space="preserve">in 2018 and declined to 1.58 </w:t>
      </w:r>
      <w:r w:rsidR="002B0D2A">
        <w:rPr>
          <w:rFonts w:ascii="Arial" w:hAnsi="Arial" w:cs="Arial"/>
          <w:sz w:val="20"/>
          <w:szCs w:val="20"/>
        </w:rPr>
        <w:t>million</w:t>
      </w:r>
      <w:r w:rsidRPr="00C510BD">
        <w:rPr>
          <w:rFonts w:ascii="Arial" w:hAnsi="Arial" w:cs="Arial"/>
          <w:sz w:val="20"/>
          <w:szCs w:val="20"/>
        </w:rPr>
        <w:t xml:space="preserve"> in 2019 despite</w:t>
      </w:r>
      <w:r w:rsidR="002A3576">
        <w:rPr>
          <w:rFonts w:ascii="Arial" w:hAnsi="Arial" w:cs="Arial"/>
          <w:sz w:val="20"/>
          <w:szCs w:val="20"/>
        </w:rPr>
        <w:t xml:space="preserve"> only</w:t>
      </w:r>
      <w:r w:rsidRPr="00C510BD">
        <w:rPr>
          <w:rFonts w:ascii="Arial" w:hAnsi="Arial" w:cs="Arial"/>
          <w:sz w:val="20"/>
          <w:szCs w:val="20"/>
        </w:rPr>
        <w:t xml:space="preserve"> a 7% decline in the turnover of the company and </w:t>
      </w:r>
      <w:r w:rsidR="002A3576">
        <w:rPr>
          <w:rFonts w:ascii="Arial" w:hAnsi="Arial" w:cs="Arial"/>
          <w:sz w:val="20"/>
          <w:szCs w:val="20"/>
        </w:rPr>
        <w:t xml:space="preserve">with </w:t>
      </w:r>
      <w:r w:rsidRPr="00C510BD">
        <w:rPr>
          <w:rFonts w:ascii="Arial" w:hAnsi="Arial" w:cs="Arial"/>
          <w:sz w:val="20"/>
          <w:szCs w:val="20"/>
        </w:rPr>
        <w:t xml:space="preserve">production being kept at relatively the same level of 1.6 </w:t>
      </w:r>
      <w:r w:rsidR="002B0D2A">
        <w:rPr>
          <w:rFonts w:ascii="Arial" w:hAnsi="Arial" w:cs="Arial"/>
          <w:sz w:val="20"/>
          <w:szCs w:val="20"/>
        </w:rPr>
        <w:t>million</w:t>
      </w:r>
      <w:r w:rsidRPr="00C510BD">
        <w:rPr>
          <w:rFonts w:ascii="Arial" w:hAnsi="Arial" w:cs="Arial"/>
          <w:sz w:val="20"/>
          <w:szCs w:val="20"/>
        </w:rPr>
        <w:t xml:space="preserve"> ton</w:t>
      </w:r>
      <w:r w:rsidR="002A3576">
        <w:rPr>
          <w:rFonts w:ascii="Arial" w:hAnsi="Arial" w:cs="Arial"/>
          <w:sz w:val="20"/>
          <w:szCs w:val="20"/>
        </w:rPr>
        <w:t>n</w:t>
      </w:r>
      <w:r w:rsidRPr="00C510BD">
        <w:rPr>
          <w:rFonts w:ascii="Arial" w:hAnsi="Arial" w:cs="Arial"/>
          <w:sz w:val="20"/>
          <w:szCs w:val="20"/>
        </w:rPr>
        <w:t>es of fertili</w:t>
      </w:r>
      <w:r w:rsidR="002A3576">
        <w:rPr>
          <w:rFonts w:ascii="Arial" w:hAnsi="Arial" w:cs="Arial"/>
          <w:sz w:val="20"/>
          <w:szCs w:val="20"/>
        </w:rPr>
        <w:t>s</w:t>
      </w:r>
      <w:r w:rsidRPr="00C510BD">
        <w:rPr>
          <w:rFonts w:ascii="Arial" w:hAnsi="Arial" w:cs="Arial"/>
          <w:sz w:val="20"/>
          <w:szCs w:val="20"/>
        </w:rPr>
        <w:t xml:space="preserve">ers annually. </w:t>
      </w:r>
      <w:r w:rsidR="002A3576">
        <w:rPr>
          <w:rFonts w:ascii="Arial" w:hAnsi="Arial" w:cs="Arial"/>
          <w:sz w:val="20"/>
          <w:szCs w:val="20"/>
        </w:rPr>
        <w:t>T</w:t>
      </w:r>
      <w:r w:rsidRPr="00C510BD">
        <w:rPr>
          <w:rFonts w:ascii="Arial" w:hAnsi="Arial" w:cs="Arial"/>
          <w:sz w:val="20"/>
          <w:szCs w:val="20"/>
        </w:rPr>
        <w:t xml:space="preserve">he significant reduction in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 xml:space="preserve">emissions </w:t>
      </w:r>
      <w:r w:rsidR="002A3576">
        <w:rPr>
          <w:rFonts w:ascii="Arial" w:hAnsi="Arial" w:cs="Arial"/>
          <w:sz w:val="20"/>
          <w:szCs w:val="20"/>
        </w:rPr>
        <w:t xml:space="preserve">likely </w:t>
      </w:r>
      <w:r w:rsidRPr="00C510BD">
        <w:rPr>
          <w:rFonts w:ascii="Arial" w:hAnsi="Arial" w:cs="Arial"/>
          <w:sz w:val="20"/>
          <w:szCs w:val="20"/>
        </w:rPr>
        <w:t xml:space="preserve">came from investments in reducing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 xml:space="preserve">exposure. </w:t>
      </w:r>
    </w:p>
    <w:p w14:paraId="70D271EC" w14:textId="5E82280A" w:rsidR="00C510BD" w:rsidRDefault="00C510BD" w:rsidP="00C510BD">
      <w:pPr>
        <w:spacing w:after="120"/>
        <w:jc w:val="both"/>
        <w:rPr>
          <w:rFonts w:ascii="Arial" w:hAnsi="Arial" w:cs="Arial"/>
          <w:sz w:val="20"/>
          <w:szCs w:val="20"/>
        </w:rPr>
      </w:pPr>
      <w:r w:rsidRPr="00C510BD">
        <w:rPr>
          <w:rFonts w:ascii="Arial" w:hAnsi="Arial" w:cs="Arial"/>
          <w:sz w:val="20"/>
          <w:szCs w:val="20"/>
        </w:rPr>
        <w:lastRenderedPageBreak/>
        <w:t xml:space="preserve">According to the data compiled above from various public sources, the estimated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intensity of products at Azomure</w:t>
      </w:r>
      <w:r>
        <w:rPr>
          <w:rFonts w:ascii="Arial" w:hAnsi="Arial" w:cs="Arial"/>
          <w:sz w:val="20"/>
          <w:szCs w:val="20"/>
        </w:rPr>
        <w:t>ș</w:t>
      </w:r>
      <w:r w:rsidRPr="00C510BD">
        <w:rPr>
          <w:rFonts w:ascii="Arial" w:hAnsi="Arial" w:cs="Arial"/>
          <w:sz w:val="20"/>
          <w:szCs w:val="20"/>
        </w:rPr>
        <w:t xml:space="preserve"> varies between 1.38 to 1.56 ton</w:t>
      </w:r>
      <w:r w:rsidR="002A3576">
        <w:rPr>
          <w:rFonts w:ascii="Arial" w:hAnsi="Arial" w:cs="Arial"/>
          <w:sz w:val="20"/>
          <w:szCs w:val="20"/>
        </w:rPr>
        <w:t>ne</w:t>
      </w:r>
      <w:r w:rsidRPr="00C510BD">
        <w:rPr>
          <w:rFonts w:ascii="Arial" w:hAnsi="Arial" w:cs="Arial"/>
          <w:sz w:val="20"/>
          <w:szCs w:val="20"/>
        </w:rPr>
        <w:t xml:space="preserve">s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per ton</w:t>
      </w:r>
      <w:r w:rsidR="002A3576">
        <w:rPr>
          <w:rFonts w:ascii="Arial" w:hAnsi="Arial" w:cs="Arial"/>
          <w:sz w:val="20"/>
          <w:szCs w:val="20"/>
        </w:rPr>
        <w:t>ne</w:t>
      </w:r>
      <w:r w:rsidRPr="00C510BD">
        <w:rPr>
          <w:rFonts w:ascii="Arial" w:hAnsi="Arial" w:cs="Arial"/>
          <w:sz w:val="20"/>
          <w:szCs w:val="20"/>
        </w:rPr>
        <w:t xml:space="preserve"> of fertili</w:t>
      </w:r>
      <w:r w:rsidR="002A3576">
        <w:rPr>
          <w:rFonts w:ascii="Arial" w:hAnsi="Arial" w:cs="Arial"/>
          <w:sz w:val="20"/>
          <w:szCs w:val="20"/>
        </w:rPr>
        <w:t>s</w:t>
      </w:r>
      <w:r w:rsidRPr="00C510BD">
        <w:rPr>
          <w:rFonts w:ascii="Arial" w:hAnsi="Arial" w:cs="Arial"/>
          <w:sz w:val="20"/>
          <w:szCs w:val="20"/>
        </w:rPr>
        <w:t>er</w:t>
      </w:r>
      <w:r w:rsidR="002A3576">
        <w:rPr>
          <w:rFonts w:ascii="Arial" w:hAnsi="Arial" w:cs="Arial"/>
          <w:sz w:val="20"/>
          <w:szCs w:val="20"/>
        </w:rPr>
        <w:t>,</w:t>
      </w:r>
      <w:r w:rsidRPr="00C510BD">
        <w:rPr>
          <w:rFonts w:ascii="Arial" w:hAnsi="Arial" w:cs="Arial"/>
          <w:sz w:val="20"/>
          <w:szCs w:val="20"/>
        </w:rPr>
        <w:t xml:space="preserve"> which is already below or slightly above the benchmark for free allowance for ammonia</w:t>
      </w:r>
      <w:r>
        <w:rPr>
          <w:rFonts w:ascii="Arial" w:hAnsi="Arial" w:cs="Arial"/>
          <w:sz w:val="20"/>
          <w:szCs w:val="20"/>
        </w:rPr>
        <w:t xml:space="preserve"> (see Graph 12)</w:t>
      </w:r>
      <w:r w:rsidRPr="00C510BD">
        <w:rPr>
          <w:rFonts w:ascii="Arial" w:hAnsi="Arial" w:cs="Arial"/>
          <w:sz w:val="20"/>
          <w:szCs w:val="20"/>
        </w:rPr>
        <w:t xml:space="preserve">. The conclusion from this preliminary analysis is that additional projects to remove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 xml:space="preserve">emissions from </w:t>
      </w:r>
      <w:r w:rsidR="002A3576">
        <w:rPr>
          <w:rFonts w:ascii="Arial" w:hAnsi="Arial" w:cs="Arial"/>
          <w:sz w:val="20"/>
          <w:szCs w:val="20"/>
        </w:rPr>
        <w:t xml:space="preserve">the </w:t>
      </w:r>
      <w:r w:rsidRPr="00C510BD">
        <w:rPr>
          <w:rFonts w:ascii="Arial" w:hAnsi="Arial" w:cs="Arial"/>
          <w:sz w:val="20"/>
          <w:szCs w:val="20"/>
        </w:rPr>
        <w:t xml:space="preserve">production process will </w:t>
      </w:r>
      <w:r w:rsidR="002A3576">
        <w:rPr>
          <w:rFonts w:ascii="Arial" w:hAnsi="Arial" w:cs="Arial"/>
          <w:sz w:val="20"/>
          <w:szCs w:val="20"/>
        </w:rPr>
        <w:t>decrease</w:t>
      </w:r>
      <w:r w:rsidRPr="00C510BD">
        <w:rPr>
          <w:rFonts w:ascii="Arial" w:hAnsi="Arial" w:cs="Arial"/>
          <w:sz w:val="20"/>
          <w:szCs w:val="20"/>
        </w:rPr>
        <w:t xml:space="preserve"> overall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510BD">
        <w:rPr>
          <w:rFonts w:ascii="Arial" w:hAnsi="Arial" w:cs="Arial"/>
          <w:sz w:val="20"/>
          <w:szCs w:val="20"/>
        </w:rPr>
        <w:t xml:space="preserve">intensity significantly below the benchmarks. </w:t>
      </w:r>
      <w:r w:rsidR="002A3576">
        <w:rPr>
          <w:rFonts w:ascii="Arial" w:hAnsi="Arial" w:cs="Arial"/>
          <w:sz w:val="20"/>
          <w:szCs w:val="20"/>
        </w:rPr>
        <w:t>However,</w:t>
      </w:r>
      <w:r w:rsidRPr="00C510BD">
        <w:rPr>
          <w:rFonts w:ascii="Arial" w:hAnsi="Arial" w:cs="Arial"/>
          <w:sz w:val="20"/>
          <w:szCs w:val="20"/>
        </w:rPr>
        <w:t xml:space="preserve"> a full analysis cannot be conducted unless data from advanced feasibility studies is provided and</w:t>
      </w:r>
      <w:r w:rsidR="002A3576">
        <w:rPr>
          <w:rFonts w:ascii="Arial" w:hAnsi="Arial" w:cs="Arial"/>
          <w:sz w:val="20"/>
          <w:szCs w:val="20"/>
        </w:rPr>
        <w:t>,</w:t>
      </w:r>
      <w:r w:rsidRPr="00C510BD">
        <w:rPr>
          <w:rFonts w:ascii="Arial" w:hAnsi="Arial" w:cs="Arial"/>
          <w:sz w:val="20"/>
          <w:szCs w:val="20"/>
        </w:rPr>
        <w:t xml:space="preserve"> as most projects at the moment are </w:t>
      </w:r>
      <w:r w:rsidR="002A3576">
        <w:rPr>
          <w:rFonts w:ascii="Arial" w:hAnsi="Arial" w:cs="Arial"/>
          <w:sz w:val="20"/>
          <w:szCs w:val="20"/>
        </w:rPr>
        <w:t>still early</w:t>
      </w:r>
      <w:r w:rsidRPr="00C510BD">
        <w:rPr>
          <w:rFonts w:ascii="Arial" w:hAnsi="Arial" w:cs="Arial"/>
          <w:sz w:val="20"/>
          <w:szCs w:val="20"/>
        </w:rPr>
        <w:t xml:space="preserve"> stage, the conclusions presented here should be viewed as initial estimates.</w:t>
      </w:r>
    </w:p>
    <w:p w14:paraId="46700ABF" w14:textId="6914799B" w:rsidR="00C510BD" w:rsidRDefault="00C510BD" w:rsidP="00C510BD">
      <w:pPr>
        <w:pStyle w:val="Caption"/>
        <w:rPr>
          <w:lang w:val="en-US"/>
        </w:rPr>
      </w:pPr>
      <w:bookmarkStart w:id="299" w:name="_Toc90727384"/>
      <w:bookmarkEnd w:id="298"/>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48</w:t>
      </w:r>
      <w:r w:rsidR="000B273D">
        <w:rPr>
          <w:noProof/>
        </w:rPr>
        <w:fldChar w:fldCharType="end"/>
      </w:r>
      <w:r>
        <w:rPr>
          <w:lang w:val="en-US"/>
        </w:rPr>
        <w:t xml:space="preserve">: </w:t>
      </w:r>
      <w:r w:rsidRPr="00C510BD">
        <w:rPr>
          <w:lang w:val="en-US"/>
        </w:rPr>
        <w:t>Emissions Azomures – 2013=100</w:t>
      </w:r>
      <w:bookmarkEnd w:id="299"/>
    </w:p>
    <w:p w14:paraId="72FFDDE8" w14:textId="05430820" w:rsidR="00C510BD" w:rsidRDefault="002B0D2A" w:rsidP="00C510BD">
      <w:pPr>
        <w:rPr>
          <w:lang w:val="en-US" w:eastAsia="en-US"/>
        </w:rPr>
      </w:pPr>
      <w:r>
        <w:rPr>
          <w:noProof/>
          <w:lang w:val="en-US" w:eastAsia="en-US"/>
        </w:rPr>
        <mc:AlternateContent>
          <mc:Choice Requires="wps">
            <w:drawing>
              <wp:anchor distT="0" distB="0" distL="114300" distR="114300" simplePos="0" relativeHeight="251700224" behindDoc="0" locked="0" layoutInCell="1" allowOverlap="1" wp14:anchorId="779B551D" wp14:editId="38190088">
                <wp:simplePos x="0" y="0"/>
                <wp:positionH relativeFrom="column">
                  <wp:posOffset>2162175</wp:posOffset>
                </wp:positionH>
                <wp:positionV relativeFrom="paragraph">
                  <wp:posOffset>2105025</wp:posOffset>
                </wp:positionV>
                <wp:extent cx="457200" cy="219075"/>
                <wp:effectExtent l="0" t="0" r="0" b="9525"/>
                <wp:wrapNone/>
                <wp:docPr id="2087055782" name="Text Box 2087055782"/>
                <wp:cNvGraphicFramePr/>
                <a:graphic xmlns:a="http://schemas.openxmlformats.org/drawingml/2006/main">
                  <a:graphicData uri="http://schemas.microsoft.com/office/word/2010/wordprocessingShape">
                    <wps:wsp>
                      <wps:cNvSpPr txBox="1"/>
                      <wps:spPr>
                        <a:xfrm>
                          <a:off x="0" y="0"/>
                          <a:ext cx="457200" cy="219075"/>
                        </a:xfrm>
                        <a:prstGeom prst="rect">
                          <a:avLst/>
                        </a:prstGeom>
                        <a:solidFill>
                          <a:schemeClr val="lt1"/>
                        </a:solidFill>
                        <a:ln w="6350">
                          <a:noFill/>
                        </a:ln>
                      </wps:spPr>
                      <wps:txbx>
                        <w:txbxContent>
                          <w:p w14:paraId="2FAB1E30" w14:textId="2C449CA0" w:rsidR="00190BA4" w:rsidRPr="006E7A76" w:rsidRDefault="00190BA4">
                            <w:pPr>
                              <w:rPr>
                                <w:rFonts w:ascii="Arial" w:hAnsi="Arial" w:cs="Arial"/>
                                <w:sz w:val="18"/>
                                <w:szCs w:val="18"/>
                                <w:lang w:val="ro-RO"/>
                              </w:rPr>
                            </w:pPr>
                            <w:r w:rsidRPr="006E7A76">
                              <w:rPr>
                                <w:rFonts w:ascii="Arial" w:hAnsi="Arial" w:cs="Arial"/>
                                <w:sz w:val="18"/>
                                <w:szCs w:val="18"/>
                                <w:lang w:val="ro-RO"/>
                              </w:rPr>
                              <w:t>Dust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9B551D" id="Text Box 2087055782" o:spid="_x0000_s1028" type="#_x0000_t202" style="position:absolute;margin-left:170.25pt;margin-top:165.75pt;width:36pt;height:17.2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" fillcolor="white [3201]" stroked="f" strokeweight=".5pt">
                <v:textbox>
                  <w:txbxContent>
                    <w:p w14:paraId="2FAB1E30" w14:textId="2C449CA0" w:rsidR="00190BA4" w:rsidRPr="006E7A76" w:rsidRDefault="00190BA4">
                      <w:pPr>
                        <w:rPr>
                          <w:rFonts w:ascii="Arial" w:hAnsi="Arial" w:cs="Arial"/>
                          <w:sz w:val="18"/>
                          <w:szCs w:val="18"/>
                          <w:lang w:val="ro-RO"/>
                        </w:rPr>
                      </w:pPr>
                      <w:r w:rsidRPr="006E7A76">
                        <w:rPr>
                          <w:rFonts w:ascii="Arial" w:hAnsi="Arial" w:cs="Arial"/>
                          <w:sz w:val="18"/>
                          <w:szCs w:val="18"/>
                          <w:lang w:val="ro-RO"/>
                        </w:rPr>
                        <w:t>Dust</w:t>
                      </w:r>
                    </w:p>
                  </w:txbxContent>
                </v:textbox>
              </v:shape>
            </w:pict>
          </mc:Fallback>
        </mc:AlternateContent>
      </w:r>
      <w:r w:rsidR="00C510BD">
        <w:rPr>
          <w:noProof/>
          <w:lang w:val="en-US" w:eastAsia="en-US"/>
        </w:rPr>
        <w:drawing>
          <wp:inline distT="0" distB="0" distL="0" distR="0" wp14:anchorId="0B399B7D" wp14:editId="66D86208">
            <wp:extent cx="5678424" cy="2432175"/>
            <wp:effectExtent l="0" t="0" r="0" b="6350"/>
            <wp:docPr id="2087055841" name="Picture 208705584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194"/>
                    <a:stretch>
                      <a:fillRect/>
                    </a:stretch>
                  </pic:blipFill>
                  <pic:spPr>
                    <a:xfrm>
                      <a:off x="0" y="0"/>
                      <a:ext cx="5678424" cy="2432175"/>
                    </a:xfrm>
                    <a:prstGeom prst="rect">
                      <a:avLst/>
                    </a:prstGeom>
                  </pic:spPr>
                </pic:pic>
              </a:graphicData>
            </a:graphic>
          </wp:inline>
        </w:drawing>
      </w:r>
    </w:p>
    <w:p w14:paraId="28F93D9F" w14:textId="1A9E0D83" w:rsidR="00C510BD" w:rsidRPr="00C510BD" w:rsidRDefault="00C510BD" w:rsidP="00C510BD">
      <w:pPr>
        <w:rPr>
          <w:rFonts w:ascii="Arial" w:hAnsi="Arial" w:cs="Arial"/>
          <w:i/>
          <w:iCs/>
          <w:sz w:val="16"/>
          <w:szCs w:val="16"/>
          <w:lang w:val="en-US" w:eastAsia="en-US"/>
        </w:rPr>
      </w:pPr>
      <w:r w:rsidRPr="00C510BD">
        <w:rPr>
          <w:rFonts w:ascii="Arial" w:hAnsi="Arial" w:cs="Arial"/>
          <w:i/>
          <w:iCs/>
          <w:sz w:val="16"/>
          <w:szCs w:val="16"/>
        </w:rPr>
        <w:t xml:space="preserve">Source: </w:t>
      </w:r>
      <w:hyperlink r:id="rId195" w:history="1">
        <w:r w:rsidRPr="002B0D2A">
          <w:rPr>
            <w:rStyle w:val="Hyperlink"/>
            <w:rFonts w:ascii="Arial" w:hAnsi="Arial" w:cs="Arial"/>
            <w:i/>
            <w:iCs/>
            <w:sz w:val="16"/>
            <w:szCs w:val="16"/>
          </w:rPr>
          <w:t>Azomures</w:t>
        </w:r>
      </w:hyperlink>
    </w:p>
    <w:p w14:paraId="75C82F88" w14:textId="66469757" w:rsidR="00C510BD" w:rsidRDefault="00C510BD" w:rsidP="00C510BD">
      <w:pPr>
        <w:spacing w:before="120" w:after="120"/>
        <w:jc w:val="both"/>
        <w:rPr>
          <w:rFonts w:ascii="Arial" w:hAnsi="Arial" w:cs="Arial"/>
          <w:sz w:val="20"/>
          <w:szCs w:val="20"/>
        </w:rPr>
      </w:pPr>
      <w:bookmarkStart w:id="300" w:name="_Hlk85565245"/>
      <w:r w:rsidRPr="00C510BD">
        <w:rPr>
          <w:rFonts w:ascii="Arial" w:hAnsi="Arial" w:cs="Arial"/>
          <w:sz w:val="20"/>
          <w:szCs w:val="20"/>
        </w:rPr>
        <w:t xml:space="preserve">Azomures is a well-managed company that understands its exposure to carbon prices and actively tries to mitigate exposure through investments and additional measures. We are very confident that at least </w:t>
      </w:r>
      <w:r w:rsidR="002A3576">
        <w:rPr>
          <w:rFonts w:ascii="Arial" w:hAnsi="Arial" w:cs="Arial"/>
          <w:sz w:val="20"/>
          <w:szCs w:val="20"/>
        </w:rPr>
        <w:t xml:space="preserve">one </w:t>
      </w:r>
      <w:r w:rsidRPr="00C510BD">
        <w:rPr>
          <w:rFonts w:ascii="Arial" w:hAnsi="Arial" w:cs="Arial"/>
          <w:sz w:val="20"/>
          <w:szCs w:val="20"/>
        </w:rPr>
        <w:t xml:space="preserve">of the projects presented by Azomures for JTF funding </w:t>
      </w:r>
      <w:r w:rsidR="002A3576">
        <w:rPr>
          <w:rFonts w:ascii="Arial" w:hAnsi="Arial" w:cs="Arial"/>
          <w:sz w:val="20"/>
          <w:szCs w:val="20"/>
        </w:rPr>
        <w:t>is</w:t>
      </w:r>
      <w:r w:rsidRPr="00C510BD">
        <w:rPr>
          <w:rFonts w:ascii="Arial" w:hAnsi="Arial" w:cs="Arial"/>
          <w:sz w:val="20"/>
          <w:szCs w:val="20"/>
        </w:rPr>
        <w:t xml:space="preserve"> likely to meet </w:t>
      </w:r>
      <w:r w:rsidR="002A3576">
        <w:rPr>
          <w:rFonts w:ascii="Arial" w:hAnsi="Arial" w:cs="Arial"/>
          <w:sz w:val="20"/>
          <w:szCs w:val="20"/>
        </w:rPr>
        <w:t xml:space="preserve">the </w:t>
      </w:r>
      <w:r w:rsidRPr="00C510BD">
        <w:rPr>
          <w:rFonts w:ascii="Arial" w:hAnsi="Arial" w:cs="Arial"/>
          <w:sz w:val="20"/>
          <w:szCs w:val="20"/>
        </w:rPr>
        <w:t>criteria.</w:t>
      </w:r>
    </w:p>
    <w:bookmarkEnd w:id="300"/>
    <w:p w14:paraId="557008B3" w14:textId="79C781B7" w:rsidR="00285FBB" w:rsidRPr="003516DC" w:rsidRDefault="00285FBB" w:rsidP="002A3576">
      <w:pPr>
        <w:spacing w:before="120" w:after="120"/>
        <w:jc w:val="both"/>
        <w:rPr>
          <w:rFonts w:ascii="Arial" w:hAnsi="Arial" w:cs="Arial"/>
          <w:sz w:val="20"/>
          <w:szCs w:val="20"/>
        </w:rPr>
      </w:pPr>
      <w:r w:rsidRPr="003516DC">
        <w:rPr>
          <w:rFonts w:ascii="Arial" w:hAnsi="Arial" w:cs="Arial"/>
          <w:sz w:val="20"/>
          <w:szCs w:val="20"/>
        </w:rPr>
        <w:t>Azo</w:t>
      </w:r>
      <w:r w:rsidR="00CA72BD">
        <w:rPr>
          <w:rFonts w:ascii="Arial" w:hAnsi="Arial" w:cs="Arial"/>
          <w:sz w:val="20"/>
          <w:szCs w:val="20"/>
        </w:rPr>
        <w:t>m</w:t>
      </w:r>
      <w:r w:rsidR="004F70E0">
        <w:rPr>
          <w:rFonts w:ascii="Arial" w:hAnsi="Arial" w:cs="Arial"/>
          <w:sz w:val="20"/>
          <w:szCs w:val="20"/>
        </w:rPr>
        <w:t>ureș</w:t>
      </w:r>
      <w:r w:rsidRPr="003516DC">
        <w:rPr>
          <w:rFonts w:ascii="Arial" w:hAnsi="Arial" w:cs="Arial"/>
          <w:sz w:val="20"/>
          <w:szCs w:val="20"/>
        </w:rPr>
        <w:t xml:space="preserve"> has proposed 14 projects that are to be considered low carbon projects and significantly reduc</w:t>
      </w:r>
      <w:r w:rsidR="00471B89">
        <w:rPr>
          <w:rFonts w:ascii="Arial" w:hAnsi="Arial" w:cs="Arial"/>
          <w:sz w:val="20"/>
          <w:szCs w:val="20"/>
        </w:rPr>
        <w:t>e</w:t>
      </w:r>
      <w:r w:rsidRPr="003516DC">
        <w:rPr>
          <w:rFonts w:ascii="Arial" w:hAnsi="Arial" w:cs="Arial"/>
          <w:sz w:val="20"/>
          <w:szCs w:val="20"/>
        </w:rPr>
        <w:t xml:space="preserve"> its emissions. The 14 projects have an estimated budget of </w:t>
      </w:r>
      <w:r w:rsidR="00471B89">
        <w:rPr>
          <w:rFonts w:ascii="Arial" w:hAnsi="Arial" w:cs="Arial"/>
          <w:sz w:val="20"/>
          <w:szCs w:val="20"/>
        </w:rPr>
        <w:t xml:space="preserve">EUR </w:t>
      </w:r>
      <w:r w:rsidRPr="003516DC">
        <w:rPr>
          <w:rFonts w:ascii="Arial" w:hAnsi="Arial" w:cs="Arial"/>
          <w:sz w:val="20"/>
          <w:szCs w:val="20"/>
        </w:rPr>
        <w:t xml:space="preserve">402 </w:t>
      </w:r>
      <w:r w:rsidR="00471B89">
        <w:rPr>
          <w:rFonts w:ascii="Arial" w:hAnsi="Arial" w:cs="Arial"/>
          <w:sz w:val="20"/>
          <w:szCs w:val="20"/>
        </w:rPr>
        <w:t>million</w:t>
      </w:r>
      <w:r w:rsidRPr="003516DC">
        <w:rPr>
          <w:rFonts w:ascii="Arial" w:hAnsi="Arial" w:cs="Arial"/>
          <w:sz w:val="20"/>
          <w:szCs w:val="20"/>
        </w:rPr>
        <w:t xml:space="preserve"> and aim to reduce about 961</w:t>
      </w:r>
      <w:r w:rsidR="00471B89">
        <w:rPr>
          <w:rFonts w:ascii="Arial" w:hAnsi="Arial" w:cs="Arial"/>
          <w:sz w:val="20"/>
          <w:szCs w:val="20"/>
        </w:rPr>
        <w:t>,</w:t>
      </w:r>
      <w:r w:rsidRPr="003516DC">
        <w:rPr>
          <w:rFonts w:ascii="Arial" w:hAnsi="Arial" w:cs="Arial"/>
          <w:sz w:val="20"/>
          <w:szCs w:val="20"/>
        </w:rPr>
        <w:t>000 ton</w:t>
      </w:r>
      <w:r w:rsidR="00471B89">
        <w:rPr>
          <w:rFonts w:ascii="Arial" w:hAnsi="Arial" w:cs="Arial"/>
          <w:sz w:val="20"/>
          <w:szCs w:val="20"/>
        </w:rPr>
        <w:t>ne</w:t>
      </w:r>
      <w:r w:rsidRPr="003516DC">
        <w:rPr>
          <w:rFonts w:ascii="Arial" w:hAnsi="Arial" w:cs="Arial"/>
          <w:sz w:val="20"/>
          <w:szCs w:val="20"/>
        </w:rPr>
        <w:t>s of CO</w:t>
      </w:r>
      <w:r w:rsidRPr="00402580">
        <w:rPr>
          <w:rFonts w:ascii="Arial" w:hAnsi="Arial" w:cs="Arial"/>
          <w:sz w:val="20"/>
          <w:szCs w:val="20"/>
          <w:vertAlign w:val="subscript"/>
        </w:rPr>
        <w:t>2</w:t>
      </w:r>
      <w:r w:rsidRPr="003516DC">
        <w:rPr>
          <w:rFonts w:ascii="Arial" w:hAnsi="Arial" w:cs="Arial"/>
          <w:sz w:val="20"/>
          <w:szCs w:val="20"/>
        </w:rPr>
        <w:t xml:space="preserve"> per annum, equal to 60% of its verified emissions in 2019. Azo</w:t>
      </w:r>
      <w:r w:rsidR="00CA72BD">
        <w:rPr>
          <w:rFonts w:ascii="Arial" w:hAnsi="Arial" w:cs="Arial"/>
          <w:sz w:val="20"/>
          <w:szCs w:val="20"/>
        </w:rPr>
        <w:t>m</w:t>
      </w:r>
      <w:r w:rsidR="004F70E0">
        <w:rPr>
          <w:rFonts w:ascii="Arial" w:hAnsi="Arial" w:cs="Arial"/>
          <w:sz w:val="20"/>
          <w:szCs w:val="20"/>
        </w:rPr>
        <w:t>ureș</w:t>
      </w:r>
      <w:r w:rsidRPr="003516DC">
        <w:rPr>
          <w:rFonts w:ascii="Arial" w:hAnsi="Arial" w:cs="Arial"/>
          <w:sz w:val="20"/>
          <w:szCs w:val="20"/>
        </w:rPr>
        <w:t xml:space="preserve"> does not provide the number of new jobs created but states that all projects proposed do not involve personnel reduction. </w:t>
      </w:r>
    </w:p>
    <w:p w14:paraId="20738983" w14:textId="676C6999" w:rsidR="00285FBB" w:rsidRPr="003516DC" w:rsidRDefault="00285FBB" w:rsidP="004F70E0">
      <w:pPr>
        <w:spacing w:after="120"/>
        <w:jc w:val="both"/>
        <w:rPr>
          <w:rFonts w:ascii="Arial" w:hAnsi="Arial" w:cs="Arial"/>
          <w:sz w:val="20"/>
          <w:szCs w:val="20"/>
        </w:rPr>
      </w:pPr>
      <w:r w:rsidRPr="003516DC">
        <w:rPr>
          <w:rFonts w:ascii="Arial" w:hAnsi="Arial" w:cs="Arial"/>
          <w:sz w:val="20"/>
          <w:szCs w:val="20"/>
        </w:rPr>
        <w:t>The largest project presented by Azo</w:t>
      </w:r>
      <w:r w:rsidR="00CA72BD">
        <w:rPr>
          <w:rFonts w:ascii="Arial" w:hAnsi="Arial" w:cs="Arial"/>
          <w:sz w:val="20"/>
          <w:szCs w:val="20"/>
        </w:rPr>
        <w:t>m</w:t>
      </w:r>
      <w:r w:rsidR="004F70E0">
        <w:rPr>
          <w:rFonts w:ascii="Arial" w:hAnsi="Arial" w:cs="Arial"/>
          <w:sz w:val="20"/>
          <w:szCs w:val="20"/>
        </w:rPr>
        <w:t>ureș</w:t>
      </w:r>
      <w:r w:rsidRPr="003516DC">
        <w:rPr>
          <w:rFonts w:ascii="Arial" w:hAnsi="Arial" w:cs="Arial"/>
          <w:sz w:val="20"/>
          <w:szCs w:val="20"/>
        </w:rPr>
        <w:t xml:space="preserve"> is a </w:t>
      </w:r>
      <w:r w:rsidR="00471B89">
        <w:rPr>
          <w:rFonts w:ascii="Arial" w:hAnsi="Arial" w:cs="Arial"/>
          <w:sz w:val="20"/>
          <w:szCs w:val="20"/>
        </w:rPr>
        <w:t xml:space="preserve">EUR </w:t>
      </w:r>
      <w:r w:rsidRPr="003516DC">
        <w:rPr>
          <w:rFonts w:ascii="Arial" w:hAnsi="Arial" w:cs="Arial"/>
          <w:sz w:val="20"/>
          <w:szCs w:val="20"/>
        </w:rPr>
        <w:t xml:space="preserve">200 </w:t>
      </w:r>
      <w:r w:rsidR="00471B89">
        <w:rPr>
          <w:rFonts w:ascii="Arial" w:hAnsi="Arial" w:cs="Arial"/>
          <w:sz w:val="20"/>
          <w:szCs w:val="20"/>
        </w:rPr>
        <w:t>million</w:t>
      </w:r>
      <w:r w:rsidRPr="003516DC">
        <w:rPr>
          <w:rFonts w:ascii="Arial" w:hAnsi="Arial" w:cs="Arial"/>
          <w:sz w:val="20"/>
          <w:szCs w:val="20"/>
        </w:rPr>
        <w:t xml:space="preserve"> investment into a hydrogen production facility based of wind and solar PV power plants. The hydrogen is slated to replace the fossil gas currently used in production processes. While the project would certainly qualify as a zero-carbon project for JTF financing </w:t>
      </w:r>
      <w:r w:rsidR="00471B89">
        <w:rPr>
          <w:rFonts w:ascii="Arial" w:hAnsi="Arial" w:cs="Arial"/>
          <w:sz w:val="20"/>
          <w:szCs w:val="20"/>
        </w:rPr>
        <w:t xml:space="preserve">since </w:t>
      </w:r>
      <w:r w:rsidRPr="003516DC">
        <w:rPr>
          <w:rFonts w:ascii="Arial" w:hAnsi="Arial" w:cs="Arial"/>
          <w:sz w:val="20"/>
          <w:szCs w:val="20"/>
        </w:rPr>
        <w:t>it reduces Azo</w:t>
      </w:r>
      <w:r w:rsidR="00CA72BD">
        <w:rPr>
          <w:rFonts w:ascii="Arial" w:hAnsi="Arial" w:cs="Arial"/>
          <w:sz w:val="20"/>
          <w:szCs w:val="20"/>
        </w:rPr>
        <w:t>m</w:t>
      </w:r>
      <w:r w:rsidR="004F70E0">
        <w:rPr>
          <w:rFonts w:ascii="Arial" w:hAnsi="Arial" w:cs="Arial"/>
          <w:sz w:val="20"/>
          <w:szCs w:val="20"/>
        </w:rPr>
        <w:t>ureș</w:t>
      </w:r>
      <w:r w:rsidRPr="003516DC">
        <w:rPr>
          <w:rFonts w:ascii="Arial" w:hAnsi="Arial" w:cs="Arial"/>
          <w:sz w:val="20"/>
          <w:szCs w:val="20"/>
        </w:rPr>
        <w:t xml:space="preserve"> emissions by 279</w:t>
      </w:r>
      <w:r w:rsidR="00471B89">
        <w:rPr>
          <w:rFonts w:ascii="Arial" w:hAnsi="Arial" w:cs="Arial"/>
          <w:sz w:val="20"/>
          <w:szCs w:val="20"/>
        </w:rPr>
        <w:t>,</w:t>
      </w:r>
      <w:r w:rsidRPr="003516DC">
        <w:rPr>
          <w:rFonts w:ascii="Arial" w:hAnsi="Arial" w:cs="Arial"/>
          <w:sz w:val="20"/>
          <w:szCs w:val="20"/>
        </w:rPr>
        <w:t>000 ton</w:t>
      </w:r>
      <w:r w:rsidR="00471B89">
        <w:rPr>
          <w:rFonts w:ascii="Arial" w:hAnsi="Arial" w:cs="Arial"/>
          <w:sz w:val="20"/>
          <w:szCs w:val="20"/>
        </w:rPr>
        <w:t>ne</w:t>
      </w:r>
      <w:r w:rsidRPr="003516DC">
        <w:rPr>
          <w:rFonts w:ascii="Arial" w:hAnsi="Arial" w:cs="Arial"/>
          <w:sz w:val="20"/>
          <w:szCs w:val="20"/>
        </w:rPr>
        <w:t xml:space="preserve">s per year, it needs further analysis as onshore wind potential is significantly underwhelming in </w:t>
      </w:r>
      <w:r w:rsidR="004F70E0">
        <w:rPr>
          <w:rFonts w:ascii="Arial" w:hAnsi="Arial" w:cs="Arial"/>
          <w:sz w:val="20"/>
          <w:szCs w:val="20"/>
        </w:rPr>
        <w:t>Mureș</w:t>
      </w:r>
      <w:r w:rsidRPr="003516DC">
        <w:rPr>
          <w:rFonts w:ascii="Arial" w:hAnsi="Arial" w:cs="Arial"/>
          <w:sz w:val="20"/>
          <w:szCs w:val="20"/>
        </w:rPr>
        <w:t xml:space="preserve"> </w:t>
      </w:r>
      <w:r w:rsidR="00471B89">
        <w:rPr>
          <w:rFonts w:ascii="Arial" w:hAnsi="Arial" w:cs="Arial"/>
          <w:sz w:val="20"/>
          <w:szCs w:val="20"/>
        </w:rPr>
        <w:t>C</w:t>
      </w:r>
      <w:r w:rsidRPr="003516DC">
        <w:rPr>
          <w:rFonts w:ascii="Arial" w:hAnsi="Arial" w:cs="Arial"/>
          <w:sz w:val="20"/>
          <w:szCs w:val="20"/>
        </w:rPr>
        <w:t>ounty.</w:t>
      </w:r>
    </w:p>
    <w:p w14:paraId="0805B263" w14:textId="00DD0A77" w:rsidR="00505B25" w:rsidRPr="003516DC" w:rsidRDefault="00285FBB" w:rsidP="004F70E0">
      <w:pPr>
        <w:spacing w:after="120"/>
        <w:jc w:val="both"/>
        <w:rPr>
          <w:rFonts w:ascii="Arial" w:hAnsi="Arial" w:cs="Arial"/>
          <w:sz w:val="20"/>
          <w:szCs w:val="20"/>
        </w:rPr>
      </w:pPr>
      <w:r w:rsidRPr="003516DC">
        <w:rPr>
          <w:rFonts w:ascii="Arial" w:hAnsi="Arial" w:cs="Arial"/>
          <w:sz w:val="20"/>
          <w:szCs w:val="20"/>
        </w:rPr>
        <w:t xml:space="preserve">A </w:t>
      </w:r>
      <w:r w:rsidR="00471B89">
        <w:rPr>
          <w:rFonts w:ascii="Arial" w:hAnsi="Arial" w:cs="Arial"/>
          <w:sz w:val="20"/>
          <w:szCs w:val="20"/>
        </w:rPr>
        <w:t xml:space="preserve">EUR </w:t>
      </w:r>
      <w:r w:rsidRPr="003516DC">
        <w:rPr>
          <w:rFonts w:ascii="Arial" w:hAnsi="Arial" w:cs="Arial"/>
          <w:sz w:val="20"/>
          <w:szCs w:val="20"/>
        </w:rPr>
        <w:t xml:space="preserve">25 </w:t>
      </w:r>
      <w:r w:rsidR="00471B89">
        <w:rPr>
          <w:rFonts w:ascii="Arial" w:hAnsi="Arial" w:cs="Arial"/>
          <w:sz w:val="20"/>
          <w:szCs w:val="20"/>
        </w:rPr>
        <w:t>million</w:t>
      </w:r>
      <w:r w:rsidRPr="003516DC">
        <w:rPr>
          <w:rFonts w:ascii="Arial" w:hAnsi="Arial" w:cs="Arial"/>
          <w:sz w:val="20"/>
          <w:szCs w:val="20"/>
        </w:rPr>
        <w:t xml:space="preserve"> project is</w:t>
      </w:r>
      <w:r w:rsidR="00471B89">
        <w:rPr>
          <w:rFonts w:ascii="Arial" w:hAnsi="Arial" w:cs="Arial"/>
          <w:sz w:val="20"/>
          <w:szCs w:val="20"/>
        </w:rPr>
        <w:t xml:space="preserve"> </w:t>
      </w:r>
      <w:r w:rsidRPr="003516DC">
        <w:rPr>
          <w:rFonts w:ascii="Arial" w:hAnsi="Arial" w:cs="Arial"/>
          <w:sz w:val="20"/>
          <w:szCs w:val="20"/>
        </w:rPr>
        <w:t xml:space="preserve">presented </w:t>
      </w:r>
      <w:r w:rsidR="00471B89">
        <w:rPr>
          <w:rFonts w:ascii="Arial" w:hAnsi="Arial" w:cs="Arial"/>
          <w:sz w:val="20"/>
          <w:szCs w:val="20"/>
        </w:rPr>
        <w:t>that</w:t>
      </w:r>
      <w:r w:rsidRPr="003516DC">
        <w:rPr>
          <w:rFonts w:ascii="Arial" w:hAnsi="Arial" w:cs="Arial"/>
          <w:sz w:val="20"/>
          <w:szCs w:val="20"/>
        </w:rPr>
        <w:t xml:space="preserve"> aims to increase the energy efficiency of ammonia production and is slated to reduce emissions by 139</w:t>
      </w:r>
      <w:r w:rsidR="00262CD2">
        <w:rPr>
          <w:rFonts w:ascii="Arial" w:hAnsi="Arial" w:cs="Arial"/>
          <w:sz w:val="20"/>
          <w:szCs w:val="20"/>
        </w:rPr>
        <w:t>,</w:t>
      </w:r>
      <w:r w:rsidRPr="003516DC">
        <w:rPr>
          <w:rFonts w:ascii="Arial" w:hAnsi="Arial" w:cs="Arial"/>
          <w:sz w:val="20"/>
          <w:szCs w:val="20"/>
        </w:rPr>
        <w:t>000 ton</w:t>
      </w:r>
      <w:r w:rsidR="00262CD2">
        <w:rPr>
          <w:rFonts w:ascii="Arial" w:hAnsi="Arial" w:cs="Arial"/>
          <w:sz w:val="20"/>
          <w:szCs w:val="20"/>
        </w:rPr>
        <w:t>ne</w:t>
      </w:r>
      <w:r w:rsidRPr="003516DC">
        <w:rPr>
          <w:rFonts w:ascii="Arial" w:hAnsi="Arial" w:cs="Arial"/>
          <w:sz w:val="20"/>
          <w:szCs w:val="20"/>
        </w:rPr>
        <w:t xml:space="preserve">s per year. While this is an ambitious project that might meet the </w:t>
      </w:r>
      <w:r w:rsidR="00262CD2">
        <w:rPr>
          <w:rFonts w:ascii="Arial" w:hAnsi="Arial" w:cs="Arial"/>
          <w:sz w:val="20"/>
          <w:szCs w:val="20"/>
        </w:rPr>
        <w:t xml:space="preserve">JTF </w:t>
      </w:r>
      <w:r w:rsidRPr="003516DC">
        <w:rPr>
          <w:rFonts w:ascii="Arial" w:hAnsi="Arial" w:cs="Arial"/>
          <w:sz w:val="20"/>
          <w:szCs w:val="20"/>
        </w:rPr>
        <w:t xml:space="preserve">benchmarks, it needs further development and analysis to assess its likelihood of qualification under JTF rules. </w:t>
      </w:r>
      <w:bookmarkStart w:id="301" w:name="_Hlk85565252"/>
      <w:r w:rsidR="00906BD2" w:rsidRPr="00906BD2">
        <w:rPr>
          <w:rFonts w:ascii="Arial" w:hAnsi="Arial" w:cs="Arial"/>
          <w:sz w:val="20"/>
          <w:szCs w:val="20"/>
        </w:rPr>
        <w:t>The project description offered by Azomures did not contain an extensive analysis of how the project fares in terms of the GHG benchmark</w:t>
      </w:r>
      <w:r w:rsidR="002A3576">
        <w:rPr>
          <w:rFonts w:ascii="Arial" w:hAnsi="Arial" w:cs="Arial"/>
          <w:sz w:val="20"/>
          <w:szCs w:val="20"/>
        </w:rPr>
        <w:t>,</w:t>
      </w:r>
      <w:r w:rsidR="00906BD2" w:rsidRPr="00906BD2">
        <w:rPr>
          <w:rFonts w:ascii="Arial" w:hAnsi="Arial" w:cs="Arial"/>
          <w:sz w:val="20"/>
          <w:szCs w:val="20"/>
        </w:rPr>
        <w:t xml:space="preserve"> and performing this type of analysis without having access to commercially sensitive data is not a possibility. In principle, this project is </w:t>
      </w:r>
      <w:r w:rsidR="00B606A8">
        <w:rPr>
          <w:rFonts w:ascii="Arial" w:hAnsi="Arial" w:cs="Arial"/>
          <w:sz w:val="20"/>
          <w:szCs w:val="20"/>
        </w:rPr>
        <w:t xml:space="preserve">potentially </w:t>
      </w:r>
      <w:r w:rsidR="00906BD2" w:rsidRPr="00906BD2">
        <w:rPr>
          <w:rFonts w:ascii="Arial" w:hAnsi="Arial" w:cs="Arial"/>
          <w:sz w:val="20"/>
          <w:szCs w:val="20"/>
        </w:rPr>
        <w:t>eligible under JTF rules</w:t>
      </w:r>
      <w:r w:rsidR="002A3576">
        <w:rPr>
          <w:rFonts w:ascii="Arial" w:hAnsi="Arial" w:cs="Arial"/>
          <w:sz w:val="20"/>
          <w:szCs w:val="20"/>
        </w:rPr>
        <w:t>,</w:t>
      </w:r>
      <w:r w:rsidR="00906BD2" w:rsidRPr="00906BD2">
        <w:rPr>
          <w:rFonts w:ascii="Arial" w:hAnsi="Arial" w:cs="Arial"/>
          <w:sz w:val="20"/>
          <w:szCs w:val="20"/>
        </w:rPr>
        <w:t xml:space="preserve"> and it is highly likely to </w:t>
      </w:r>
      <w:r w:rsidR="002A3576">
        <w:rPr>
          <w:rFonts w:ascii="Arial" w:hAnsi="Arial" w:cs="Arial"/>
          <w:sz w:val="20"/>
          <w:szCs w:val="20"/>
        </w:rPr>
        <w:t>meet</w:t>
      </w:r>
      <w:r w:rsidR="00906BD2" w:rsidRPr="00906BD2">
        <w:rPr>
          <w:rFonts w:ascii="Arial" w:hAnsi="Arial" w:cs="Arial"/>
          <w:sz w:val="20"/>
          <w:szCs w:val="20"/>
        </w:rPr>
        <w:t xml:space="preserve"> GHG benchmarks</w:t>
      </w:r>
      <w:r w:rsidR="002A3576">
        <w:rPr>
          <w:rFonts w:ascii="Arial" w:hAnsi="Arial" w:cs="Arial"/>
          <w:sz w:val="20"/>
          <w:szCs w:val="20"/>
        </w:rPr>
        <w:t>. However,</w:t>
      </w:r>
      <w:r w:rsidR="00906BD2" w:rsidRPr="00906BD2">
        <w:rPr>
          <w:rFonts w:ascii="Arial" w:hAnsi="Arial" w:cs="Arial"/>
          <w:sz w:val="20"/>
          <w:szCs w:val="20"/>
        </w:rPr>
        <w:t xml:space="preserve"> such analysis will only be provided by Azomures when it decides to apply for funding with this project and all commercially sensitive data on emissions per product will </w:t>
      </w:r>
      <w:r w:rsidR="002A3576">
        <w:rPr>
          <w:rFonts w:ascii="Arial" w:hAnsi="Arial" w:cs="Arial"/>
          <w:sz w:val="20"/>
          <w:szCs w:val="20"/>
        </w:rPr>
        <w:t xml:space="preserve">only </w:t>
      </w:r>
      <w:r w:rsidR="00906BD2" w:rsidRPr="00906BD2">
        <w:rPr>
          <w:rFonts w:ascii="Arial" w:hAnsi="Arial" w:cs="Arial"/>
          <w:sz w:val="20"/>
          <w:szCs w:val="20"/>
        </w:rPr>
        <w:t>be made available to the Commission.</w:t>
      </w:r>
    </w:p>
    <w:bookmarkEnd w:id="301"/>
    <w:p w14:paraId="5BAF8601" w14:textId="43711870" w:rsidR="00285FBB" w:rsidRPr="003516DC" w:rsidRDefault="00285FBB" w:rsidP="004F70E0">
      <w:pPr>
        <w:spacing w:after="120"/>
        <w:jc w:val="both"/>
        <w:rPr>
          <w:rFonts w:ascii="Arial" w:hAnsi="Arial" w:cs="Arial"/>
          <w:sz w:val="20"/>
          <w:szCs w:val="20"/>
        </w:rPr>
      </w:pPr>
      <w:r w:rsidRPr="003516DC">
        <w:rPr>
          <w:rFonts w:ascii="Arial" w:hAnsi="Arial" w:cs="Arial"/>
          <w:sz w:val="20"/>
          <w:szCs w:val="20"/>
        </w:rPr>
        <w:t>The last large project, both in terms of budget and emissions reduction</w:t>
      </w:r>
      <w:r w:rsidR="00262CD2">
        <w:rPr>
          <w:rFonts w:ascii="Arial" w:hAnsi="Arial" w:cs="Arial"/>
          <w:sz w:val="20"/>
          <w:szCs w:val="20"/>
        </w:rPr>
        <w:t>s</w:t>
      </w:r>
      <w:r w:rsidRPr="003516DC">
        <w:rPr>
          <w:rFonts w:ascii="Arial" w:hAnsi="Arial" w:cs="Arial"/>
          <w:sz w:val="20"/>
          <w:szCs w:val="20"/>
        </w:rPr>
        <w:t xml:space="preserve"> is a </w:t>
      </w:r>
      <w:r w:rsidR="00262CD2">
        <w:rPr>
          <w:rFonts w:ascii="Arial" w:hAnsi="Arial" w:cs="Arial"/>
          <w:sz w:val="20"/>
          <w:szCs w:val="20"/>
        </w:rPr>
        <w:t xml:space="preserve">EUR </w:t>
      </w:r>
      <w:r w:rsidRPr="003516DC">
        <w:rPr>
          <w:rFonts w:ascii="Arial" w:hAnsi="Arial" w:cs="Arial"/>
          <w:sz w:val="20"/>
          <w:szCs w:val="20"/>
        </w:rPr>
        <w:t xml:space="preserve">45.6 </w:t>
      </w:r>
      <w:r w:rsidR="00262CD2">
        <w:rPr>
          <w:rFonts w:ascii="Arial" w:hAnsi="Arial" w:cs="Arial"/>
          <w:sz w:val="20"/>
          <w:szCs w:val="20"/>
        </w:rPr>
        <w:t>million</w:t>
      </w:r>
      <w:r w:rsidRPr="003516DC">
        <w:rPr>
          <w:rFonts w:ascii="Arial" w:hAnsi="Arial" w:cs="Arial"/>
          <w:sz w:val="20"/>
          <w:szCs w:val="20"/>
        </w:rPr>
        <w:t xml:space="preserve"> project aimed at building a high efficiency cogeneration unit on </w:t>
      </w:r>
      <w:r w:rsidR="00262CD2">
        <w:rPr>
          <w:rFonts w:ascii="Arial" w:hAnsi="Arial" w:cs="Arial"/>
          <w:sz w:val="20"/>
          <w:szCs w:val="20"/>
        </w:rPr>
        <w:t xml:space="preserve">a </w:t>
      </w:r>
      <w:r w:rsidRPr="003516DC">
        <w:rPr>
          <w:rFonts w:ascii="Arial" w:hAnsi="Arial" w:cs="Arial"/>
          <w:sz w:val="20"/>
          <w:szCs w:val="20"/>
        </w:rPr>
        <w:t>Azo</w:t>
      </w:r>
      <w:r w:rsidR="00CA72BD">
        <w:rPr>
          <w:rFonts w:ascii="Arial" w:hAnsi="Arial" w:cs="Arial"/>
          <w:sz w:val="20"/>
          <w:szCs w:val="20"/>
        </w:rPr>
        <w:t>m</w:t>
      </w:r>
      <w:r w:rsidR="004F70E0">
        <w:rPr>
          <w:rFonts w:ascii="Arial" w:hAnsi="Arial" w:cs="Arial"/>
          <w:sz w:val="20"/>
          <w:szCs w:val="20"/>
        </w:rPr>
        <w:t>ureș</w:t>
      </w:r>
      <w:r w:rsidRPr="003516DC">
        <w:rPr>
          <w:rFonts w:ascii="Arial" w:hAnsi="Arial" w:cs="Arial"/>
          <w:sz w:val="20"/>
          <w:szCs w:val="20"/>
        </w:rPr>
        <w:t xml:space="preserve"> platform. The estimated emissions reduction is significant at 61</w:t>
      </w:r>
      <w:r w:rsidR="00262CD2">
        <w:rPr>
          <w:rFonts w:ascii="Arial" w:hAnsi="Arial" w:cs="Arial"/>
          <w:sz w:val="20"/>
          <w:szCs w:val="20"/>
        </w:rPr>
        <w:t>,</w:t>
      </w:r>
      <w:r w:rsidRPr="003516DC">
        <w:rPr>
          <w:rFonts w:ascii="Arial" w:hAnsi="Arial" w:cs="Arial"/>
          <w:sz w:val="20"/>
          <w:szCs w:val="20"/>
        </w:rPr>
        <w:t>000 ton</w:t>
      </w:r>
      <w:r w:rsidR="00262CD2">
        <w:rPr>
          <w:rFonts w:ascii="Arial" w:hAnsi="Arial" w:cs="Arial"/>
          <w:sz w:val="20"/>
          <w:szCs w:val="20"/>
        </w:rPr>
        <w:t>ne</w:t>
      </w:r>
      <w:r w:rsidRPr="003516DC">
        <w:rPr>
          <w:rFonts w:ascii="Arial" w:hAnsi="Arial" w:cs="Arial"/>
          <w:sz w:val="20"/>
          <w:szCs w:val="20"/>
        </w:rPr>
        <w:t xml:space="preserve">s per year but it is highly unlikely that it will meet the criteria for JTF funding due to the technology not being significantly below current benchmarks. </w:t>
      </w:r>
    </w:p>
    <w:p w14:paraId="4AC6906B" w14:textId="56CA7979" w:rsidR="00285FBB" w:rsidRDefault="00285FBB" w:rsidP="004F70E0">
      <w:pPr>
        <w:spacing w:after="120"/>
        <w:jc w:val="both"/>
        <w:rPr>
          <w:rFonts w:ascii="Arial" w:hAnsi="Arial" w:cs="Arial"/>
          <w:sz w:val="20"/>
          <w:szCs w:val="20"/>
        </w:rPr>
      </w:pPr>
      <w:r w:rsidRPr="003516DC">
        <w:rPr>
          <w:rFonts w:ascii="Arial" w:hAnsi="Arial" w:cs="Arial"/>
          <w:sz w:val="20"/>
          <w:szCs w:val="20"/>
        </w:rPr>
        <w:t xml:space="preserve">The rest of projects are smaller in size and scope, either </w:t>
      </w:r>
      <w:r w:rsidR="00262CD2">
        <w:rPr>
          <w:rFonts w:ascii="Arial" w:hAnsi="Arial" w:cs="Arial"/>
          <w:sz w:val="20"/>
          <w:szCs w:val="20"/>
        </w:rPr>
        <w:t xml:space="preserve">by </w:t>
      </w:r>
      <w:r w:rsidRPr="003516DC">
        <w:rPr>
          <w:rFonts w:ascii="Arial" w:hAnsi="Arial" w:cs="Arial"/>
          <w:sz w:val="20"/>
          <w:szCs w:val="20"/>
        </w:rPr>
        <w:t>budget or emissions reductions and mostly pertain to more efficient installations.</w:t>
      </w:r>
    </w:p>
    <w:p w14:paraId="3E0CF7BC" w14:textId="51B3768D" w:rsidR="00DE2577" w:rsidRDefault="00285FBB" w:rsidP="004F70E0">
      <w:pPr>
        <w:spacing w:after="120"/>
        <w:jc w:val="both"/>
        <w:rPr>
          <w:rFonts w:ascii="Arial" w:hAnsi="Arial" w:cs="Arial"/>
          <w:sz w:val="20"/>
          <w:szCs w:val="20"/>
        </w:rPr>
      </w:pPr>
      <w:r w:rsidRPr="00CA72BD">
        <w:rPr>
          <w:rFonts w:ascii="Arial" w:hAnsi="Arial" w:cs="Arial"/>
          <w:b/>
          <w:bCs/>
          <w:sz w:val="20"/>
          <w:szCs w:val="20"/>
        </w:rPr>
        <w:lastRenderedPageBreak/>
        <w:t>The criteria that specific projects need to meet to be eligible for JTF funds are transparent but specific projects require extensive analysis on emissions abated versus targets derived from benchmarks under Directive 2003/87/EC.</w:t>
      </w:r>
      <w:r w:rsidRPr="00402580">
        <w:rPr>
          <w:rFonts w:ascii="Arial" w:hAnsi="Arial" w:cs="Arial"/>
          <w:sz w:val="20"/>
          <w:szCs w:val="20"/>
        </w:rPr>
        <w:t xml:space="preserve"> There is significant room under the criteria “significantly below benchmarks” for projects to be made ineligible for JTF funding. Th</w:t>
      </w:r>
      <w:r w:rsidR="0064033D">
        <w:rPr>
          <w:rFonts w:ascii="Arial" w:hAnsi="Arial" w:cs="Arial"/>
          <w:sz w:val="20"/>
          <w:szCs w:val="20"/>
        </w:rPr>
        <w:t>at</w:t>
      </w:r>
      <w:r w:rsidRPr="00402580">
        <w:rPr>
          <w:rFonts w:ascii="Arial" w:hAnsi="Arial" w:cs="Arial"/>
          <w:sz w:val="20"/>
          <w:szCs w:val="20"/>
        </w:rPr>
        <w:t xml:space="preserve"> said, any zero-carbon project meets the criteria</w:t>
      </w:r>
      <w:r w:rsidR="0064033D">
        <w:rPr>
          <w:rFonts w:ascii="Arial" w:hAnsi="Arial" w:cs="Arial"/>
          <w:sz w:val="20"/>
          <w:szCs w:val="20"/>
        </w:rPr>
        <w:t xml:space="preserve"> from the outset</w:t>
      </w:r>
      <w:r w:rsidRPr="00402580">
        <w:rPr>
          <w:rFonts w:ascii="Arial" w:hAnsi="Arial" w:cs="Arial"/>
          <w:sz w:val="20"/>
          <w:szCs w:val="20"/>
        </w:rPr>
        <w:t>. Azo</w:t>
      </w:r>
      <w:r w:rsidR="00CA72BD">
        <w:rPr>
          <w:rFonts w:ascii="Arial" w:hAnsi="Arial" w:cs="Arial"/>
          <w:sz w:val="20"/>
          <w:szCs w:val="20"/>
        </w:rPr>
        <w:t>m</w:t>
      </w:r>
      <w:r w:rsidR="004F70E0">
        <w:rPr>
          <w:rFonts w:ascii="Arial" w:hAnsi="Arial" w:cs="Arial"/>
          <w:sz w:val="20"/>
          <w:szCs w:val="20"/>
        </w:rPr>
        <w:t>ureș</w:t>
      </w:r>
      <w:r w:rsidRPr="00402580">
        <w:rPr>
          <w:rFonts w:ascii="Arial" w:hAnsi="Arial" w:cs="Arial"/>
          <w:sz w:val="20"/>
          <w:szCs w:val="20"/>
        </w:rPr>
        <w:t xml:space="preserve"> present</w:t>
      </w:r>
      <w:r w:rsidR="00505B25" w:rsidRPr="00402580">
        <w:rPr>
          <w:rFonts w:ascii="Arial" w:hAnsi="Arial" w:cs="Arial"/>
          <w:sz w:val="20"/>
          <w:szCs w:val="20"/>
        </w:rPr>
        <w:t>s</w:t>
      </w:r>
      <w:r w:rsidRPr="00402580">
        <w:rPr>
          <w:rFonts w:ascii="Arial" w:hAnsi="Arial" w:cs="Arial"/>
          <w:sz w:val="20"/>
          <w:szCs w:val="20"/>
        </w:rPr>
        <w:t xml:space="preserve"> zero</w:t>
      </w:r>
      <w:r w:rsidR="0064033D">
        <w:rPr>
          <w:rFonts w:ascii="Arial" w:hAnsi="Arial" w:cs="Arial"/>
          <w:sz w:val="20"/>
          <w:szCs w:val="20"/>
        </w:rPr>
        <w:t>-</w:t>
      </w:r>
      <w:r w:rsidRPr="00402580">
        <w:rPr>
          <w:rFonts w:ascii="Arial" w:hAnsi="Arial" w:cs="Arial"/>
          <w:sz w:val="20"/>
          <w:szCs w:val="20"/>
        </w:rPr>
        <w:t xml:space="preserve">carbon projects based on onshore wind and solar PV technology to generate electricity and green hydrogen to be used in their industrial processes. These projects, if thoroughly prepared, are highly likely to be </w:t>
      </w:r>
      <w:r w:rsidR="00D34894">
        <w:rPr>
          <w:rFonts w:ascii="Arial" w:hAnsi="Arial" w:cs="Arial"/>
          <w:sz w:val="20"/>
          <w:szCs w:val="20"/>
        </w:rPr>
        <w:t xml:space="preserve">potentially </w:t>
      </w:r>
      <w:r w:rsidRPr="00402580">
        <w:rPr>
          <w:rFonts w:ascii="Arial" w:hAnsi="Arial" w:cs="Arial"/>
          <w:sz w:val="20"/>
          <w:szCs w:val="20"/>
        </w:rPr>
        <w:t xml:space="preserve">eligible for JTF funds. </w:t>
      </w:r>
    </w:p>
    <w:p w14:paraId="0735183E" w14:textId="42FAA713" w:rsidR="00CA72BD" w:rsidRPr="0009621B" w:rsidRDefault="00CA72BD" w:rsidP="00E42342">
      <w:pPr>
        <w:pStyle w:val="ListParagraph"/>
        <w:numPr>
          <w:ilvl w:val="0"/>
          <w:numId w:val="304"/>
        </w:numPr>
        <w:spacing w:after="120"/>
        <w:ind w:left="810" w:hanging="810"/>
        <w:jc w:val="both"/>
        <w:rPr>
          <w:sz w:val="20"/>
          <w:szCs w:val="20"/>
        </w:rPr>
      </w:pPr>
      <w:r>
        <w:rPr>
          <w:color w:val="4F81BD" w:themeColor="accent1"/>
          <w:sz w:val="20"/>
          <w:szCs w:val="20"/>
        </w:rPr>
        <w:t>Energy poverty and district heating</w:t>
      </w:r>
    </w:p>
    <w:p w14:paraId="61E2B98E" w14:textId="386A7B85" w:rsidR="00DE2577" w:rsidRPr="003516DC" w:rsidRDefault="00DE2577" w:rsidP="004F70E0">
      <w:pPr>
        <w:spacing w:after="120"/>
        <w:jc w:val="both"/>
        <w:rPr>
          <w:rFonts w:ascii="Arial" w:eastAsia="Times New Roman" w:hAnsi="Arial" w:cs="Arial"/>
          <w:sz w:val="20"/>
          <w:szCs w:val="20"/>
          <w:lang w:val="en-US"/>
        </w:rPr>
      </w:pPr>
      <w:r w:rsidRPr="00402580">
        <w:rPr>
          <w:rFonts w:ascii="Arial" w:hAnsi="Arial" w:cs="Arial"/>
          <w:sz w:val="20"/>
          <w:szCs w:val="20"/>
        </w:rPr>
        <w:t xml:space="preserve">In terms of </w:t>
      </w:r>
      <w:r w:rsidRPr="00402580">
        <w:rPr>
          <w:rFonts w:ascii="Arial" w:hAnsi="Arial" w:cs="Arial"/>
          <w:b/>
          <w:bCs/>
          <w:sz w:val="20"/>
          <w:szCs w:val="20"/>
        </w:rPr>
        <w:t>energy poverty</w:t>
      </w:r>
      <w:r w:rsidRPr="00062BC6">
        <w:rPr>
          <w:rFonts w:ascii="Arial" w:hAnsi="Arial" w:cs="Arial"/>
          <w:sz w:val="20"/>
          <w:szCs w:val="20"/>
        </w:rPr>
        <w:t xml:space="preserve">, </w:t>
      </w:r>
      <w:r w:rsidRPr="00402580">
        <w:rPr>
          <w:rFonts w:ascii="Arial" w:eastAsia="Times New Roman" w:hAnsi="Arial" w:cs="Arial"/>
          <w:sz w:val="20"/>
          <w:szCs w:val="20"/>
          <w:lang w:val="en-US"/>
        </w:rPr>
        <w:t xml:space="preserve">Mureș has a population </w:t>
      </w:r>
      <w:r w:rsidRPr="003516DC">
        <w:rPr>
          <w:rFonts w:ascii="Arial" w:eastAsia="Times New Roman" w:hAnsi="Arial" w:cs="Arial"/>
          <w:color w:val="000000"/>
          <w:sz w:val="20"/>
          <w:szCs w:val="20"/>
          <w:lang w:val="en-US"/>
        </w:rPr>
        <w:t xml:space="preserve">of 590,824 in 218,016 households, an average population of 2.71 per household. 48% of the population lives in rural areas, 52% in urban areas. Mureș stands out as a county with good connectivity to gas, including rural areas. This is reflected in the significantly lower rate of households in energy poverty. It has the highest degree of connectivity to the gas grid, with all urban areas being connected and only 17.58% of rural households </w:t>
      </w:r>
      <w:r w:rsidR="0064033D">
        <w:rPr>
          <w:rFonts w:ascii="Arial" w:eastAsia="Times New Roman" w:hAnsi="Arial" w:cs="Arial"/>
          <w:color w:val="000000"/>
          <w:sz w:val="20"/>
          <w:szCs w:val="20"/>
          <w:lang w:val="en-US"/>
        </w:rPr>
        <w:t>lacking</w:t>
      </w:r>
      <w:r w:rsidRPr="003516DC">
        <w:rPr>
          <w:rFonts w:ascii="Arial" w:eastAsia="Times New Roman" w:hAnsi="Arial" w:cs="Arial"/>
          <w:color w:val="000000"/>
          <w:sz w:val="20"/>
          <w:szCs w:val="20"/>
          <w:lang w:val="en-US"/>
        </w:rPr>
        <w:t xml:space="preserve"> access. </w:t>
      </w:r>
      <w:r w:rsidR="004F70E0">
        <w:rPr>
          <w:rFonts w:ascii="Arial" w:eastAsia="Times New Roman" w:hAnsi="Arial" w:cs="Arial"/>
          <w:color w:val="000000"/>
          <w:sz w:val="20"/>
          <w:szCs w:val="20"/>
          <w:lang w:val="en-US"/>
        </w:rPr>
        <w:t>Mureș</w:t>
      </w:r>
      <w:r w:rsidRPr="003516DC">
        <w:rPr>
          <w:rFonts w:ascii="Arial" w:eastAsia="Times New Roman" w:hAnsi="Arial" w:cs="Arial"/>
          <w:color w:val="000000"/>
          <w:sz w:val="20"/>
          <w:szCs w:val="20"/>
          <w:lang w:val="en-US"/>
        </w:rPr>
        <w:t xml:space="preserve"> has the lowest unemployment rate at 2</w:t>
      </w:r>
      <w:r w:rsidR="0064033D">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3%</w:t>
      </w:r>
      <w:r w:rsidR="0064033D">
        <w:rPr>
          <w:rFonts w:ascii="Arial" w:eastAsia="Times New Roman" w:hAnsi="Arial" w:cs="Arial"/>
          <w:color w:val="000000"/>
          <w:sz w:val="20"/>
          <w:szCs w:val="20"/>
          <w:lang w:val="en-US"/>
        </w:rPr>
        <w:t xml:space="preserve"> and</w:t>
      </w:r>
      <w:r w:rsidRPr="003516DC">
        <w:rPr>
          <w:rFonts w:ascii="Arial" w:eastAsia="Times New Roman" w:hAnsi="Arial" w:cs="Arial"/>
          <w:color w:val="000000"/>
          <w:sz w:val="20"/>
          <w:szCs w:val="20"/>
          <w:lang w:val="en-US"/>
        </w:rPr>
        <w:t xml:space="preserve"> the highest average salary at </w:t>
      </w:r>
      <w:r w:rsidR="0064033D">
        <w:rPr>
          <w:rFonts w:ascii="Arial" w:eastAsia="Times New Roman" w:hAnsi="Arial" w:cs="Arial"/>
          <w:color w:val="000000"/>
          <w:sz w:val="20"/>
          <w:szCs w:val="20"/>
          <w:lang w:val="en-US"/>
        </w:rPr>
        <w:t xml:space="preserve">RON </w:t>
      </w:r>
      <w:r w:rsidRPr="003516DC">
        <w:rPr>
          <w:rFonts w:ascii="Arial" w:eastAsia="Times New Roman" w:hAnsi="Arial" w:cs="Arial"/>
          <w:color w:val="000000"/>
          <w:sz w:val="20"/>
          <w:szCs w:val="20"/>
          <w:lang w:val="en-US"/>
        </w:rPr>
        <w:t>3</w:t>
      </w:r>
      <w:r w:rsidR="0064033D">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148</w:t>
      </w:r>
      <w:r w:rsidR="0064033D">
        <w:rPr>
          <w:rFonts w:ascii="Arial" w:eastAsia="Times New Roman" w:hAnsi="Arial" w:cs="Arial"/>
          <w:color w:val="000000"/>
          <w:sz w:val="20"/>
          <w:szCs w:val="20"/>
          <w:lang w:val="en-US"/>
        </w:rPr>
        <w:t>. Nevertheless,</w:t>
      </w:r>
      <w:r w:rsidRPr="003516DC">
        <w:rPr>
          <w:rFonts w:ascii="Arial" w:eastAsia="Times New Roman" w:hAnsi="Arial" w:cs="Arial"/>
          <w:color w:val="000000"/>
          <w:sz w:val="20"/>
          <w:szCs w:val="20"/>
          <w:lang w:val="en-US"/>
        </w:rPr>
        <w:t xml:space="preserve"> GDP per capita </w:t>
      </w:r>
      <w:r w:rsidR="0064033D">
        <w:rPr>
          <w:rFonts w:ascii="Arial" w:eastAsia="Times New Roman" w:hAnsi="Arial" w:cs="Arial"/>
          <w:color w:val="000000"/>
          <w:sz w:val="20"/>
          <w:szCs w:val="20"/>
          <w:lang w:val="en-US"/>
        </w:rPr>
        <w:t xml:space="preserve">is </w:t>
      </w:r>
      <w:r w:rsidRPr="003516DC">
        <w:rPr>
          <w:rFonts w:ascii="Arial" w:eastAsia="Times New Roman" w:hAnsi="Arial" w:cs="Arial"/>
          <w:color w:val="000000"/>
          <w:sz w:val="20"/>
          <w:szCs w:val="20"/>
          <w:lang w:val="en-US"/>
        </w:rPr>
        <w:t xml:space="preserve">below the national average </w:t>
      </w:r>
      <w:r w:rsidR="00CF20BE">
        <w:rPr>
          <w:rFonts w:ascii="Arial" w:eastAsia="Times New Roman" w:hAnsi="Arial" w:cs="Arial"/>
          <w:color w:val="000000"/>
          <w:sz w:val="20"/>
          <w:szCs w:val="20"/>
          <w:lang w:val="en-US"/>
        </w:rPr>
        <w:t>at</w:t>
      </w:r>
      <w:r w:rsidRPr="003516DC">
        <w:rPr>
          <w:rFonts w:ascii="Arial" w:eastAsia="Times New Roman" w:hAnsi="Arial" w:cs="Arial"/>
          <w:color w:val="000000"/>
          <w:sz w:val="20"/>
          <w:szCs w:val="20"/>
          <w:lang w:val="en-US"/>
        </w:rPr>
        <w:t xml:space="preserve"> </w:t>
      </w:r>
      <w:r w:rsidR="0064033D">
        <w:rPr>
          <w:rFonts w:ascii="Arial" w:eastAsia="Times New Roman" w:hAnsi="Arial" w:cs="Arial"/>
          <w:color w:val="000000"/>
          <w:sz w:val="20"/>
          <w:szCs w:val="20"/>
          <w:lang w:val="en-US"/>
        </w:rPr>
        <w:t xml:space="preserve">EUR </w:t>
      </w:r>
      <w:r w:rsidRPr="003516DC">
        <w:rPr>
          <w:rFonts w:ascii="Arial" w:eastAsia="Times New Roman" w:hAnsi="Arial" w:cs="Arial"/>
          <w:color w:val="000000"/>
          <w:sz w:val="20"/>
          <w:szCs w:val="20"/>
          <w:lang w:val="en-US"/>
        </w:rPr>
        <w:t>9</w:t>
      </w:r>
      <w:r w:rsidR="0064033D">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740. Energy poverty is lower in Mureș, estimated at 21% </w:t>
      </w:r>
      <w:r w:rsidR="0064033D">
        <w:rPr>
          <w:rFonts w:ascii="Arial" w:eastAsia="Times New Roman" w:hAnsi="Arial" w:cs="Arial"/>
          <w:color w:val="000000"/>
          <w:sz w:val="20"/>
          <w:szCs w:val="20"/>
          <w:lang w:val="en-US"/>
        </w:rPr>
        <w:t>(up</w:t>
      </w:r>
      <w:r w:rsidRPr="003516DC">
        <w:rPr>
          <w:rFonts w:ascii="Arial" w:eastAsia="Times New Roman" w:hAnsi="Arial" w:cs="Arial"/>
          <w:color w:val="000000"/>
          <w:sz w:val="20"/>
          <w:szCs w:val="20"/>
          <w:lang w:val="en-US"/>
        </w:rPr>
        <w:t xml:space="preserve"> to 30% during winter</w:t>
      </w:r>
      <w:r w:rsidR="0064033D">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w:t>
      </w:r>
      <w:r w:rsidR="0064033D">
        <w:rPr>
          <w:rFonts w:ascii="Arial" w:eastAsia="Times New Roman" w:hAnsi="Arial" w:cs="Arial"/>
          <w:color w:val="000000"/>
          <w:sz w:val="20"/>
          <w:szCs w:val="20"/>
          <w:lang w:val="en-US"/>
        </w:rPr>
        <w:t>since</w:t>
      </w:r>
      <w:r w:rsidRPr="003516DC">
        <w:rPr>
          <w:rFonts w:ascii="Arial" w:eastAsia="Times New Roman" w:hAnsi="Arial" w:cs="Arial"/>
          <w:color w:val="000000"/>
          <w:sz w:val="20"/>
          <w:szCs w:val="20"/>
          <w:lang w:val="en-US"/>
        </w:rPr>
        <w:t xml:space="preserve"> the county being very well connected to the gas network. This translates to lower energy expenses and explains the lower levels of energy poverty, despite GDP per capita falling below the national average. </w:t>
      </w:r>
    </w:p>
    <w:p w14:paraId="4EB905F9" w14:textId="7893C845" w:rsidR="00DE2577" w:rsidRPr="003516DC" w:rsidRDefault="00DE2577" w:rsidP="004F70E0">
      <w:pPr>
        <w:spacing w:after="120"/>
        <w:jc w:val="both"/>
        <w:rPr>
          <w:rFonts w:ascii="Arial" w:eastAsia="Times New Roman" w:hAnsi="Arial" w:cs="Arial"/>
          <w:sz w:val="20"/>
          <w:szCs w:val="20"/>
          <w:lang w:val="en-US"/>
        </w:rPr>
      </w:pPr>
      <w:r w:rsidRPr="003516DC">
        <w:rPr>
          <w:rFonts w:ascii="Arial" w:eastAsia="Times New Roman" w:hAnsi="Arial" w:cs="Arial"/>
          <w:color w:val="000000"/>
          <w:sz w:val="20"/>
          <w:szCs w:val="20"/>
          <w:lang w:val="en-US"/>
        </w:rPr>
        <w:t xml:space="preserve">In </w:t>
      </w:r>
      <w:r w:rsidR="004F70E0">
        <w:rPr>
          <w:rFonts w:ascii="Arial" w:eastAsia="Times New Roman" w:hAnsi="Arial" w:cs="Arial"/>
          <w:color w:val="000000"/>
          <w:sz w:val="20"/>
          <w:szCs w:val="20"/>
          <w:lang w:val="en-US"/>
        </w:rPr>
        <w:t>Mureș</w:t>
      </w:r>
      <w:r w:rsidRPr="003516DC">
        <w:rPr>
          <w:rFonts w:ascii="Arial" w:eastAsia="Times New Roman" w:hAnsi="Arial" w:cs="Arial"/>
          <w:color w:val="000000"/>
          <w:sz w:val="20"/>
          <w:szCs w:val="20"/>
          <w:lang w:val="en-US"/>
        </w:rPr>
        <w:t xml:space="preserve"> </w:t>
      </w:r>
      <w:r w:rsidR="0064033D">
        <w:rPr>
          <w:rFonts w:ascii="Arial" w:eastAsia="Times New Roman" w:hAnsi="Arial" w:cs="Arial"/>
          <w:color w:val="000000"/>
          <w:sz w:val="20"/>
          <w:szCs w:val="20"/>
          <w:lang w:val="en-US"/>
        </w:rPr>
        <w:t>C</w:t>
      </w:r>
      <w:r w:rsidRPr="003516DC">
        <w:rPr>
          <w:rFonts w:ascii="Arial" w:eastAsia="Times New Roman" w:hAnsi="Arial" w:cs="Arial"/>
          <w:color w:val="000000"/>
          <w:sz w:val="20"/>
          <w:szCs w:val="20"/>
          <w:lang w:val="en-US"/>
        </w:rPr>
        <w:t>ounty, only Sighisoara has a district heating company</w:t>
      </w:r>
      <w:r w:rsidR="0064033D">
        <w:rPr>
          <w:rFonts w:ascii="Arial" w:eastAsia="Times New Roman" w:hAnsi="Arial" w:cs="Arial"/>
          <w:color w:val="000000"/>
          <w:sz w:val="20"/>
          <w:szCs w:val="20"/>
          <w:lang w:val="en-US"/>
        </w:rPr>
        <w:t>,</w:t>
      </w:r>
      <w:r w:rsidRPr="003516DC">
        <w:rPr>
          <w:rFonts w:ascii="Arial" w:eastAsia="Times New Roman" w:hAnsi="Arial" w:cs="Arial"/>
          <w:color w:val="000000"/>
          <w:sz w:val="20"/>
          <w:szCs w:val="20"/>
          <w:lang w:val="en-US"/>
        </w:rPr>
        <w:t xml:space="preserve"> which</w:t>
      </w:r>
      <w:r w:rsidR="0064033D">
        <w:rPr>
          <w:rFonts w:ascii="Arial" w:eastAsia="Times New Roman" w:hAnsi="Arial" w:cs="Arial"/>
          <w:color w:val="000000"/>
          <w:sz w:val="20"/>
          <w:szCs w:val="20"/>
          <w:lang w:val="en-US"/>
        </w:rPr>
        <w:t xml:space="preserve"> also</w:t>
      </w:r>
      <w:r w:rsidRPr="003516DC">
        <w:rPr>
          <w:rFonts w:ascii="Arial" w:eastAsia="Times New Roman" w:hAnsi="Arial" w:cs="Arial"/>
          <w:color w:val="000000"/>
          <w:sz w:val="20"/>
          <w:szCs w:val="20"/>
          <w:lang w:val="en-US"/>
        </w:rPr>
        <w:t xml:space="preserve"> handles public transportation services and the running water network. In 2019, the price of Gcal </w:t>
      </w:r>
      <w:r w:rsidR="0064033D">
        <w:rPr>
          <w:rFonts w:ascii="Arial" w:eastAsia="Times New Roman" w:hAnsi="Arial" w:cs="Arial"/>
          <w:color w:val="000000"/>
          <w:sz w:val="20"/>
          <w:szCs w:val="20"/>
          <w:lang w:val="en-US"/>
        </w:rPr>
        <w:t xml:space="preserve">in </w:t>
      </w:r>
      <w:r w:rsidR="004F70E0">
        <w:rPr>
          <w:rFonts w:ascii="Arial" w:eastAsia="Times New Roman" w:hAnsi="Arial" w:cs="Arial"/>
          <w:color w:val="000000"/>
          <w:sz w:val="20"/>
          <w:szCs w:val="20"/>
          <w:lang w:val="en-US"/>
        </w:rPr>
        <w:t>Mureș</w:t>
      </w:r>
      <w:r w:rsidR="0064033D">
        <w:rPr>
          <w:rFonts w:ascii="Arial" w:eastAsia="Times New Roman" w:hAnsi="Arial" w:cs="Arial"/>
          <w:color w:val="000000"/>
          <w:sz w:val="20"/>
          <w:szCs w:val="20"/>
          <w:lang w:val="en-US"/>
        </w:rPr>
        <w:t xml:space="preserve"> </w:t>
      </w:r>
      <w:r w:rsidRPr="003516DC">
        <w:rPr>
          <w:rFonts w:ascii="Arial" w:eastAsia="Times New Roman" w:hAnsi="Arial" w:cs="Arial"/>
          <w:color w:val="000000"/>
          <w:sz w:val="20"/>
          <w:szCs w:val="20"/>
          <w:lang w:val="en-US"/>
        </w:rPr>
        <w:t>was the third largest at the national level (after</w:t>
      </w:r>
      <w:r w:rsidR="0064033D">
        <w:rPr>
          <w:rFonts w:ascii="Arial" w:eastAsia="Times New Roman" w:hAnsi="Arial" w:cs="Arial"/>
          <w:color w:val="000000"/>
          <w:sz w:val="20"/>
          <w:szCs w:val="20"/>
          <w:lang w:val="en-US"/>
        </w:rPr>
        <w:t xml:space="preserve"> only</w:t>
      </w:r>
      <w:r w:rsidRPr="003516DC">
        <w:rPr>
          <w:rFonts w:ascii="Arial" w:eastAsia="Times New Roman" w:hAnsi="Arial" w:cs="Arial"/>
          <w:color w:val="000000"/>
          <w:sz w:val="20"/>
          <w:szCs w:val="20"/>
          <w:lang w:val="en-US"/>
        </w:rPr>
        <w:t xml:space="preserve"> Lehliu Gara and Constanta).  </w:t>
      </w:r>
    </w:p>
    <w:p w14:paraId="2B5BC70E" w14:textId="5621B081" w:rsidR="00DE2577" w:rsidRDefault="00DE2577" w:rsidP="004F70E0">
      <w:pPr>
        <w:spacing w:after="120"/>
        <w:jc w:val="both"/>
        <w:rPr>
          <w:rFonts w:ascii="Arial" w:eastAsia="Times New Roman" w:hAnsi="Arial" w:cs="Arial"/>
          <w:color w:val="000000"/>
          <w:sz w:val="20"/>
          <w:szCs w:val="20"/>
          <w:lang w:val="en-US"/>
        </w:rPr>
      </w:pPr>
      <w:r w:rsidRPr="003516DC">
        <w:rPr>
          <w:rFonts w:ascii="Arial" w:eastAsia="Times New Roman" w:hAnsi="Arial" w:cs="Arial"/>
          <w:color w:val="000000"/>
          <w:sz w:val="20"/>
          <w:szCs w:val="20"/>
          <w:lang w:val="en-US"/>
        </w:rPr>
        <w:t xml:space="preserve">In Targu </w:t>
      </w:r>
      <w:r w:rsidR="004F70E0">
        <w:rPr>
          <w:rFonts w:ascii="Arial" w:eastAsia="Times New Roman" w:hAnsi="Arial" w:cs="Arial"/>
          <w:color w:val="000000"/>
          <w:sz w:val="20"/>
          <w:szCs w:val="20"/>
          <w:lang w:val="en-US"/>
        </w:rPr>
        <w:t>Mureș</w:t>
      </w:r>
      <w:r w:rsidRPr="003516DC">
        <w:rPr>
          <w:rFonts w:ascii="Arial" w:eastAsia="Times New Roman" w:hAnsi="Arial" w:cs="Arial"/>
          <w:color w:val="000000"/>
          <w:sz w:val="20"/>
          <w:szCs w:val="20"/>
          <w:lang w:val="en-US"/>
        </w:rPr>
        <w:t xml:space="preserve">, the former district heating company, Energomur, went bankrupt about 10 years ago after years of poor management and financial losses. In 2019, a court ordered the Targu </w:t>
      </w:r>
      <w:r w:rsidR="004F70E0">
        <w:rPr>
          <w:rFonts w:ascii="Arial" w:eastAsia="Times New Roman" w:hAnsi="Arial" w:cs="Arial"/>
          <w:color w:val="000000"/>
          <w:sz w:val="20"/>
          <w:szCs w:val="20"/>
          <w:lang w:val="en-US"/>
        </w:rPr>
        <w:t>Mureș</w:t>
      </w:r>
      <w:r w:rsidRPr="003516DC">
        <w:rPr>
          <w:rFonts w:ascii="Arial" w:eastAsia="Times New Roman" w:hAnsi="Arial" w:cs="Arial"/>
          <w:color w:val="000000"/>
          <w:sz w:val="20"/>
          <w:szCs w:val="20"/>
          <w:lang w:val="en-US"/>
        </w:rPr>
        <w:t xml:space="preserve"> municipality to pay</w:t>
      </w:r>
      <w:r w:rsidR="0064033D">
        <w:rPr>
          <w:rFonts w:ascii="Arial" w:eastAsia="Times New Roman" w:hAnsi="Arial" w:cs="Arial"/>
          <w:color w:val="000000"/>
          <w:sz w:val="20"/>
          <w:szCs w:val="20"/>
          <w:lang w:val="en-US"/>
        </w:rPr>
        <w:t xml:space="preserve"> EUR</w:t>
      </w:r>
      <w:r w:rsidRPr="003516DC">
        <w:rPr>
          <w:rFonts w:ascii="Arial" w:eastAsia="Times New Roman" w:hAnsi="Arial" w:cs="Arial"/>
          <w:color w:val="000000"/>
          <w:sz w:val="20"/>
          <w:szCs w:val="20"/>
          <w:lang w:val="en-US"/>
        </w:rPr>
        <w:t xml:space="preserve"> 4 million to Eon </w:t>
      </w:r>
      <w:r w:rsidR="0064033D">
        <w:rPr>
          <w:rFonts w:ascii="Arial" w:eastAsia="Times New Roman" w:hAnsi="Arial" w:cs="Arial"/>
          <w:color w:val="000000"/>
          <w:sz w:val="20"/>
          <w:szCs w:val="20"/>
          <w:lang w:val="en-US"/>
        </w:rPr>
        <w:t>for</w:t>
      </w:r>
      <w:r w:rsidRPr="003516DC">
        <w:rPr>
          <w:rFonts w:ascii="Arial" w:eastAsia="Times New Roman" w:hAnsi="Arial" w:cs="Arial"/>
          <w:color w:val="000000"/>
          <w:sz w:val="20"/>
          <w:szCs w:val="20"/>
          <w:lang w:val="en-US"/>
        </w:rPr>
        <w:t xml:space="preserve"> unpaid gas bills (and subsequent penalties)</w:t>
      </w:r>
      <w:r w:rsidR="0064033D">
        <w:rPr>
          <w:rFonts w:ascii="Arial" w:eastAsia="Times New Roman" w:hAnsi="Arial" w:cs="Arial"/>
          <w:color w:val="000000"/>
          <w:sz w:val="20"/>
          <w:szCs w:val="20"/>
          <w:lang w:val="en-US"/>
        </w:rPr>
        <w:t xml:space="preserve"> that</w:t>
      </w:r>
      <w:r w:rsidRPr="003516DC">
        <w:rPr>
          <w:rFonts w:ascii="Arial" w:eastAsia="Times New Roman" w:hAnsi="Arial" w:cs="Arial"/>
          <w:color w:val="000000"/>
          <w:sz w:val="20"/>
          <w:szCs w:val="20"/>
          <w:lang w:val="en-US"/>
        </w:rPr>
        <w:t xml:space="preserve"> the municipality had contracted from Eon to keep Energomur functioning before it went bankrupt. The fine will be paid from the public budget.</w:t>
      </w:r>
    </w:p>
    <w:p w14:paraId="4838E9B3" w14:textId="7A9EF040" w:rsidR="00DE2577" w:rsidRDefault="0064033D" w:rsidP="004F70E0">
      <w:pPr>
        <w:spacing w:after="120"/>
        <w:jc w:val="both"/>
        <w:rPr>
          <w:rFonts w:ascii="Arial" w:hAnsi="Arial" w:cs="Arial"/>
          <w:sz w:val="20"/>
          <w:szCs w:val="20"/>
        </w:rPr>
      </w:pPr>
      <w:r>
        <w:rPr>
          <w:rFonts w:ascii="Arial" w:hAnsi="Arial" w:cs="Arial"/>
          <w:sz w:val="20"/>
          <w:szCs w:val="20"/>
        </w:rPr>
        <w:t>F</w:t>
      </w:r>
      <w:r w:rsidR="00DE2577" w:rsidRPr="003516DC">
        <w:rPr>
          <w:rFonts w:ascii="Arial" w:hAnsi="Arial" w:cs="Arial"/>
          <w:sz w:val="20"/>
          <w:szCs w:val="20"/>
        </w:rPr>
        <w:t xml:space="preserve">igure </w:t>
      </w:r>
      <w:r w:rsidR="00CA72BD">
        <w:rPr>
          <w:rFonts w:ascii="Arial" w:hAnsi="Arial" w:cs="Arial"/>
          <w:sz w:val="20"/>
          <w:szCs w:val="20"/>
        </w:rPr>
        <w:t>2</w:t>
      </w:r>
      <w:r w:rsidR="002E605D">
        <w:rPr>
          <w:rFonts w:ascii="Arial" w:hAnsi="Arial" w:cs="Arial"/>
          <w:sz w:val="20"/>
          <w:szCs w:val="20"/>
        </w:rPr>
        <w:t>3</w:t>
      </w:r>
      <w:r>
        <w:rPr>
          <w:rFonts w:ascii="Arial" w:hAnsi="Arial" w:cs="Arial"/>
          <w:sz w:val="20"/>
          <w:szCs w:val="20"/>
        </w:rPr>
        <w:t xml:space="preserve"> </w:t>
      </w:r>
      <w:r w:rsidR="00DE2577" w:rsidRPr="003516DC">
        <w:rPr>
          <w:rFonts w:ascii="Arial" w:hAnsi="Arial" w:cs="Arial"/>
          <w:sz w:val="20"/>
          <w:szCs w:val="20"/>
        </w:rPr>
        <w:t>show</w:t>
      </w:r>
      <w:r w:rsidR="00DE2577">
        <w:rPr>
          <w:rFonts w:ascii="Arial" w:hAnsi="Arial" w:cs="Arial"/>
          <w:sz w:val="20"/>
          <w:szCs w:val="20"/>
        </w:rPr>
        <w:t>s</w:t>
      </w:r>
      <w:r w:rsidR="00DE2577" w:rsidRPr="003516DC">
        <w:rPr>
          <w:rFonts w:ascii="Arial" w:hAnsi="Arial" w:cs="Arial"/>
          <w:sz w:val="20"/>
          <w:szCs w:val="20"/>
        </w:rPr>
        <w:t xml:space="preserve"> the intensity of gas consumption in</w:t>
      </w:r>
      <w:r w:rsidR="00DE2577">
        <w:rPr>
          <w:rFonts w:ascii="Arial" w:hAnsi="Arial" w:cs="Arial"/>
          <w:sz w:val="20"/>
          <w:szCs w:val="20"/>
        </w:rPr>
        <w:t xml:space="preserve"> </w:t>
      </w:r>
      <w:r w:rsidR="0011490E">
        <w:rPr>
          <w:rFonts w:ascii="Arial" w:hAnsi="Arial" w:cs="Arial"/>
          <w:sz w:val="20"/>
          <w:szCs w:val="20"/>
        </w:rPr>
        <w:t>Mureș</w:t>
      </w:r>
      <w:r w:rsidR="00DE2577">
        <w:rPr>
          <w:rFonts w:ascii="Arial" w:hAnsi="Arial" w:cs="Arial"/>
          <w:sz w:val="20"/>
          <w:szCs w:val="20"/>
        </w:rPr>
        <w:t xml:space="preserve"> </w:t>
      </w:r>
      <w:r>
        <w:rPr>
          <w:rFonts w:ascii="Arial" w:hAnsi="Arial" w:cs="Arial"/>
          <w:sz w:val="20"/>
          <w:szCs w:val="20"/>
        </w:rPr>
        <w:t>C</w:t>
      </w:r>
      <w:r w:rsidR="00DE2577">
        <w:rPr>
          <w:rFonts w:ascii="Arial" w:hAnsi="Arial" w:cs="Arial"/>
          <w:sz w:val="20"/>
          <w:szCs w:val="20"/>
        </w:rPr>
        <w:t>ounty</w:t>
      </w:r>
      <w:r w:rsidR="00DE2577" w:rsidRPr="003516DC">
        <w:rPr>
          <w:rFonts w:ascii="Arial" w:hAnsi="Arial" w:cs="Arial"/>
          <w:sz w:val="20"/>
          <w:szCs w:val="20"/>
        </w:rPr>
        <w:t>. Th</w:t>
      </w:r>
      <w:r>
        <w:rPr>
          <w:rFonts w:ascii="Arial" w:hAnsi="Arial" w:cs="Arial"/>
          <w:sz w:val="20"/>
          <w:szCs w:val="20"/>
        </w:rPr>
        <w:t>e figure</w:t>
      </w:r>
      <w:r w:rsidR="00DE2577" w:rsidRPr="003516DC">
        <w:rPr>
          <w:rFonts w:ascii="Arial" w:hAnsi="Arial" w:cs="Arial"/>
          <w:sz w:val="20"/>
          <w:szCs w:val="20"/>
        </w:rPr>
        <w:t xml:space="preserve"> illustrate</w:t>
      </w:r>
      <w:r w:rsidR="00DE2577">
        <w:rPr>
          <w:rFonts w:ascii="Arial" w:hAnsi="Arial" w:cs="Arial"/>
          <w:sz w:val="20"/>
          <w:szCs w:val="20"/>
        </w:rPr>
        <w:t>s</w:t>
      </w:r>
      <w:r w:rsidR="00DE2577" w:rsidRPr="003516DC">
        <w:rPr>
          <w:rFonts w:ascii="Arial" w:hAnsi="Arial" w:cs="Arial"/>
          <w:sz w:val="20"/>
          <w:szCs w:val="20"/>
        </w:rPr>
        <w:t xml:space="preserve"> why, despite connections to the gas grid, many households restrict their natural gas consumption, presumably due to energy poverty</w:t>
      </w:r>
      <w:r w:rsidR="0011490E">
        <w:rPr>
          <w:rFonts w:ascii="Arial" w:hAnsi="Arial" w:cs="Arial"/>
          <w:sz w:val="20"/>
          <w:szCs w:val="20"/>
        </w:rPr>
        <w:t>.</w:t>
      </w:r>
    </w:p>
    <w:p w14:paraId="4D361B94" w14:textId="56F942A5" w:rsidR="00DE2577" w:rsidRPr="003516DC" w:rsidRDefault="00DE2577" w:rsidP="006E7A76">
      <w:pPr>
        <w:pStyle w:val="Caption"/>
        <w:spacing w:before="120"/>
        <w:ind w:left="0" w:firstLine="0"/>
      </w:pPr>
      <w:bookmarkStart w:id="302" w:name="_Toc90725950"/>
      <w:r w:rsidRPr="003516DC">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23</w:t>
      </w:r>
      <w:r w:rsidRPr="003516DC">
        <w:rPr>
          <w:noProof/>
        </w:rPr>
        <w:fldChar w:fldCharType="end"/>
      </w:r>
      <w:r w:rsidRPr="003516DC">
        <w:t xml:space="preserve">: Residential gas consumption per UAT in Mureș </w:t>
      </w:r>
      <w:r w:rsidR="0064033D">
        <w:t>C</w:t>
      </w:r>
      <w:r w:rsidRPr="003516DC">
        <w:t>ounty (</w:t>
      </w:r>
      <w:r w:rsidR="0064033D">
        <w:t>‘000</w:t>
      </w:r>
      <w:r w:rsidRPr="003516DC">
        <w:t xml:space="preserve"> cubic meters)</w:t>
      </w:r>
      <w:bookmarkEnd w:id="302"/>
    </w:p>
    <w:p w14:paraId="2FCCE332" w14:textId="77777777" w:rsidR="00DE2577" w:rsidRPr="003516DC" w:rsidRDefault="00DE2577" w:rsidP="00DE2577">
      <w:pPr>
        <w:rPr>
          <w:rFonts w:ascii="Arial" w:hAnsi="Arial" w:cs="Arial"/>
        </w:rPr>
      </w:pPr>
      <w:r w:rsidRPr="00402580">
        <w:rPr>
          <w:rFonts w:ascii="Arial" w:hAnsi="Arial" w:cs="Arial"/>
          <w:noProof/>
          <w:lang w:val="en-US" w:eastAsia="en-US"/>
        </w:rPr>
        <w:drawing>
          <wp:inline distT="0" distB="0" distL="0" distR="0" wp14:anchorId="1AF3F935" wp14:editId="0E1AAEB0">
            <wp:extent cx="5678424" cy="3749040"/>
            <wp:effectExtent l="0" t="0" r="0" b="3810"/>
            <wp:docPr id="2087055733" name="Picture 2087055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96">
                      <a:extLst>
                        <a:ext uri="{28A0092B-C50C-407E-A947-70E740481C1C}">
                          <a14:useLocalDpi xmlns:a14="http://schemas.microsoft.com/office/drawing/2010/main" val="0"/>
                        </a:ext>
                      </a:extLst>
                    </a:blip>
                    <a:stretch>
                      <a:fillRect/>
                    </a:stretch>
                  </pic:blipFill>
                  <pic:spPr>
                    <a:xfrm>
                      <a:off x="0" y="0"/>
                      <a:ext cx="5678424" cy="3749040"/>
                    </a:xfrm>
                    <a:prstGeom prst="rect">
                      <a:avLst/>
                    </a:prstGeom>
                  </pic:spPr>
                </pic:pic>
              </a:graphicData>
            </a:graphic>
          </wp:inline>
        </w:drawing>
      </w:r>
    </w:p>
    <w:p w14:paraId="4E79B988" w14:textId="7D7AE81C" w:rsidR="00DE2577" w:rsidRDefault="00DE2577" w:rsidP="00DE2577">
      <w:pPr>
        <w:rPr>
          <w:rFonts w:ascii="Arial" w:hAnsi="Arial" w:cs="Arial"/>
          <w:i/>
          <w:iCs/>
          <w:sz w:val="16"/>
          <w:szCs w:val="16"/>
        </w:rPr>
      </w:pPr>
      <w:r w:rsidRPr="003516DC">
        <w:rPr>
          <w:rFonts w:ascii="Arial" w:hAnsi="Arial" w:cs="Arial"/>
          <w:i/>
          <w:iCs/>
          <w:sz w:val="16"/>
          <w:szCs w:val="16"/>
        </w:rPr>
        <w:lastRenderedPageBreak/>
        <w:t>Source: Figure processed based on NIS data, 2020</w:t>
      </w:r>
    </w:p>
    <w:p w14:paraId="6F276A43" w14:textId="77777777" w:rsidR="00DE2577" w:rsidRPr="00DE2577" w:rsidRDefault="00DE2577" w:rsidP="00DE2577">
      <w:pPr>
        <w:rPr>
          <w:rFonts w:ascii="Arial" w:hAnsi="Arial" w:cs="Arial"/>
          <w:i/>
          <w:iCs/>
          <w:sz w:val="16"/>
          <w:szCs w:val="16"/>
        </w:rPr>
      </w:pPr>
    </w:p>
    <w:p w14:paraId="66A660DA" w14:textId="26AE79A5" w:rsidR="00826AB0" w:rsidRPr="003516DC" w:rsidRDefault="00826AB0" w:rsidP="00E42342">
      <w:pPr>
        <w:pStyle w:val="Heading3"/>
        <w:numPr>
          <w:ilvl w:val="0"/>
          <w:numId w:val="146"/>
        </w:numPr>
        <w:spacing w:before="120" w:after="120" w:line="240" w:lineRule="auto"/>
        <w:rPr>
          <w:b w:val="0"/>
        </w:rPr>
      </w:pPr>
      <w:r w:rsidRPr="003516DC">
        <w:rPr>
          <w:b w:val="0"/>
        </w:rPr>
        <w:t>Challenges</w:t>
      </w:r>
      <w:r w:rsidR="00F0070A" w:rsidRPr="003516DC">
        <w:rPr>
          <w:b w:val="0"/>
        </w:rPr>
        <w:t xml:space="preserve"> in Mureș </w:t>
      </w:r>
      <w:r w:rsidR="00471B89">
        <w:rPr>
          <w:b w:val="0"/>
        </w:rPr>
        <w:t>C</w:t>
      </w:r>
      <w:r w:rsidR="00F0070A" w:rsidRPr="003516DC">
        <w:rPr>
          <w:b w:val="0"/>
        </w:rPr>
        <w:t>ounty</w:t>
      </w:r>
    </w:p>
    <w:p w14:paraId="703631E7" w14:textId="456F826B" w:rsidR="00826AB0" w:rsidRPr="003516DC" w:rsidRDefault="00826AB0" w:rsidP="004F70E0">
      <w:pPr>
        <w:spacing w:after="120"/>
        <w:jc w:val="both"/>
        <w:rPr>
          <w:rFonts w:ascii="Arial" w:hAnsi="Arial" w:cs="Arial"/>
          <w:sz w:val="20"/>
          <w:szCs w:val="20"/>
        </w:rPr>
      </w:pPr>
      <w:r w:rsidRPr="003516DC">
        <w:rPr>
          <w:rFonts w:ascii="Arial" w:hAnsi="Arial" w:cs="Arial"/>
          <w:sz w:val="20"/>
          <w:szCs w:val="20"/>
        </w:rPr>
        <w:t>Th</w:t>
      </w:r>
      <w:r w:rsidR="00192838" w:rsidRPr="003516DC">
        <w:rPr>
          <w:rFonts w:ascii="Arial" w:hAnsi="Arial" w:cs="Arial"/>
          <w:sz w:val="20"/>
          <w:szCs w:val="20"/>
        </w:rPr>
        <w:t>is</w:t>
      </w:r>
      <w:r w:rsidRPr="003516DC">
        <w:rPr>
          <w:rFonts w:ascii="Arial" w:hAnsi="Arial" w:cs="Arial"/>
          <w:sz w:val="20"/>
          <w:szCs w:val="20"/>
        </w:rPr>
        <w:t xml:space="preserve"> analysis, along with stakeholder consultations, </w:t>
      </w:r>
      <w:r w:rsidR="00192838" w:rsidRPr="003516DC">
        <w:rPr>
          <w:rFonts w:ascii="Arial" w:hAnsi="Arial" w:cs="Arial"/>
          <w:sz w:val="20"/>
          <w:szCs w:val="20"/>
        </w:rPr>
        <w:t xml:space="preserve">revealed </w:t>
      </w:r>
      <w:r w:rsidRPr="003516DC">
        <w:rPr>
          <w:rFonts w:ascii="Arial" w:hAnsi="Arial" w:cs="Arial"/>
          <w:sz w:val="20"/>
          <w:szCs w:val="20"/>
        </w:rPr>
        <w:t xml:space="preserve">prominent challenges </w:t>
      </w:r>
      <w:r w:rsidR="00192838" w:rsidRPr="003516DC">
        <w:rPr>
          <w:rFonts w:ascii="Arial" w:hAnsi="Arial" w:cs="Arial"/>
          <w:sz w:val="20"/>
          <w:szCs w:val="20"/>
        </w:rPr>
        <w:t xml:space="preserve">for </w:t>
      </w:r>
      <w:r w:rsidRPr="003516DC">
        <w:rPr>
          <w:rFonts w:ascii="Arial" w:hAnsi="Arial" w:cs="Arial"/>
          <w:sz w:val="20"/>
          <w:szCs w:val="20"/>
        </w:rPr>
        <w:t>Mureș County</w:t>
      </w:r>
      <w:r w:rsidR="00192838" w:rsidRPr="003516DC">
        <w:rPr>
          <w:rFonts w:ascii="Arial" w:hAnsi="Arial" w:cs="Arial"/>
          <w:sz w:val="20"/>
          <w:szCs w:val="20"/>
        </w:rPr>
        <w:t>, which are</w:t>
      </w:r>
      <w:r w:rsidRPr="003516DC">
        <w:rPr>
          <w:rFonts w:ascii="Arial" w:hAnsi="Arial" w:cs="Arial"/>
          <w:sz w:val="20"/>
          <w:szCs w:val="20"/>
        </w:rPr>
        <w:t xml:space="preserve"> listed below: </w:t>
      </w:r>
    </w:p>
    <w:p w14:paraId="34322A75" w14:textId="563D702B" w:rsidR="00826AB0" w:rsidRPr="003516DC" w:rsidRDefault="00826AB0" w:rsidP="00792049">
      <w:pPr>
        <w:pStyle w:val="ListParagraph"/>
        <w:numPr>
          <w:ilvl w:val="0"/>
          <w:numId w:val="9"/>
        </w:numPr>
        <w:spacing w:line="240" w:lineRule="auto"/>
        <w:ind w:left="360"/>
        <w:jc w:val="both"/>
        <w:rPr>
          <w:sz w:val="20"/>
          <w:szCs w:val="20"/>
        </w:rPr>
      </w:pPr>
      <w:r w:rsidRPr="003516DC">
        <w:rPr>
          <w:sz w:val="20"/>
          <w:szCs w:val="20"/>
        </w:rPr>
        <w:t xml:space="preserve">Natural gas is and most </w:t>
      </w:r>
      <w:r w:rsidR="000D7043" w:rsidRPr="003516DC">
        <w:rPr>
          <w:sz w:val="20"/>
          <w:szCs w:val="20"/>
        </w:rPr>
        <w:t xml:space="preserve">likely </w:t>
      </w:r>
      <w:r w:rsidRPr="003516DC">
        <w:rPr>
          <w:sz w:val="20"/>
          <w:szCs w:val="20"/>
        </w:rPr>
        <w:t>will remain a backbone of Mureș, given the strategic role of gas-fired Iernut power plant in the national energy system.</w:t>
      </w:r>
    </w:p>
    <w:p w14:paraId="4B961DD9" w14:textId="77777777" w:rsidR="00826AB0" w:rsidRPr="003516DC" w:rsidRDefault="00826AB0" w:rsidP="00792049">
      <w:pPr>
        <w:pStyle w:val="ListParagraph"/>
        <w:spacing w:line="240" w:lineRule="auto"/>
        <w:ind w:left="360"/>
        <w:jc w:val="both"/>
        <w:rPr>
          <w:sz w:val="8"/>
          <w:szCs w:val="8"/>
        </w:rPr>
      </w:pPr>
    </w:p>
    <w:p w14:paraId="4B6254F7" w14:textId="2960FAF9" w:rsidR="00826AB0" w:rsidRPr="003516DC" w:rsidRDefault="00826AB0" w:rsidP="00792049">
      <w:pPr>
        <w:pStyle w:val="ListParagraph"/>
        <w:numPr>
          <w:ilvl w:val="0"/>
          <w:numId w:val="9"/>
        </w:numPr>
        <w:spacing w:line="240" w:lineRule="auto"/>
        <w:ind w:left="360"/>
        <w:jc w:val="both"/>
        <w:rPr>
          <w:sz w:val="20"/>
          <w:szCs w:val="20"/>
        </w:rPr>
      </w:pPr>
      <w:r w:rsidRPr="003516DC">
        <w:rPr>
          <w:sz w:val="20"/>
          <w:szCs w:val="20"/>
        </w:rPr>
        <w:t>The fertilizer industry based on gas processing</w:t>
      </w:r>
      <w:r w:rsidR="000D7043" w:rsidRPr="003516DC">
        <w:rPr>
          <w:sz w:val="20"/>
          <w:szCs w:val="20"/>
        </w:rPr>
        <w:t>,</w:t>
      </w:r>
      <w:r w:rsidRPr="003516DC">
        <w:rPr>
          <w:sz w:val="20"/>
          <w:szCs w:val="20"/>
        </w:rPr>
        <w:t xml:space="preserve"> </w:t>
      </w:r>
      <w:r w:rsidR="000D7043" w:rsidRPr="003516DC">
        <w:rPr>
          <w:sz w:val="20"/>
          <w:szCs w:val="20"/>
        </w:rPr>
        <w:t>with significant difficulty</w:t>
      </w:r>
      <w:r w:rsidRPr="003516DC">
        <w:rPr>
          <w:sz w:val="20"/>
          <w:szCs w:val="20"/>
        </w:rPr>
        <w:t xml:space="preserve"> to switch to alternative fuels, is an industry </w:t>
      </w:r>
      <w:r w:rsidR="000D7043" w:rsidRPr="003516DC">
        <w:rPr>
          <w:sz w:val="20"/>
          <w:szCs w:val="20"/>
        </w:rPr>
        <w:t>with</w:t>
      </w:r>
      <w:r w:rsidRPr="003516DC">
        <w:rPr>
          <w:sz w:val="20"/>
          <w:szCs w:val="20"/>
        </w:rPr>
        <w:t xml:space="preserve"> consistent demand, both nationally and internationally.</w:t>
      </w:r>
    </w:p>
    <w:p w14:paraId="0393A505" w14:textId="37EE488F" w:rsidR="00826AB0" w:rsidRPr="003516DC" w:rsidRDefault="00826AB0" w:rsidP="00792049">
      <w:pPr>
        <w:pStyle w:val="ListParagraph"/>
        <w:spacing w:line="240" w:lineRule="auto"/>
        <w:ind w:left="360"/>
        <w:jc w:val="both"/>
        <w:rPr>
          <w:sz w:val="8"/>
          <w:szCs w:val="8"/>
        </w:rPr>
      </w:pPr>
      <w:r w:rsidRPr="003516DC">
        <w:rPr>
          <w:sz w:val="20"/>
          <w:szCs w:val="20"/>
        </w:rPr>
        <w:t xml:space="preserve"> </w:t>
      </w:r>
    </w:p>
    <w:p w14:paraId="3C59BE21" w14:textId="0E7D7A3F" w:rsidR="00471B89" w:rsidRPr="003516DC" w:rsidRDefault="00826AB0" w:rsidP="00792049">
      <w:pPr>
        <w:pStyle w:val="ListParagraph"/>
        <w:numPr>
          <w:ilvl w:val="0"/>
          <w:numId w:val="9"/>
        </w:numPr>
        <w:spacing w:after="240" w:line="240" w:lineRule="auto"/>
        <w:ind w:left="360"/>
        <w:jc w:val="both"/>
        <w:rPr>
          <w:sz w:val="20"/>
          <w:szCs w:val="20"/>
        </w:rPr>
      </w:pPr>
      <w:r w:rsidRPr="003516DC">
        <w:rPr>
          <w:sz w:val="20"/>
          <w:szCs w:val="20"/>
        </w:rPr>
        <w:t>The county seat</w:t>
      </w:r>
      <w:r w:rsidR="000D7043" w:rsidRPr="003516DC">
        <w:rPr>
          <w:sz w:val="20"/>
          <w:szCs w:val="20"/>
        </w:rPr>
        <w:t>,</w:t>
      </w:r>
      <w:r w:rsidRPr="003516DC">
        <w:rPr>
          <w:sz w:val="20"/>
          <w:szCs w:val="20"/>
        </w:rPr>
        <w:t xml:space="preserve"> an urban population with a limited demographic size, </w:t>
      </w:r>
      <w:r w:rsidR="000D7043" w:rsidRPr="003516DC">
        <w:rPr>
          <w:sz w:val="20"/>
          <w:szCs w:val="20"/>
        </w:rPr>
        <w:t xml:space="preserve">is </w:t>
      </w:r>
      <w:r w:rsidRPr="003516DC">
        <w:rPr>
          <w:sz w:val="20"/>
          <w:szCs w:val="20"/>
        </w:rPr>
        <w:t xml:space="preserve">challenged by competition </w:t>
      </w:r>
      <w:r w:rsidR="000D7043" w:rsidRPr="003516DC">
        <w:rPr>
          <w:sz w:val="20"/>
          <w:szCs w:val="20"/>
        </w:rPr>
        <w:t xml:space="preserve">from </w:t>
      </w:r>
      <w:r w:rsidRPr="003516DC">
        <w:rPr>
          <w:sz w:val="20"/>
          <w:szCs w:val="20"/>
        </w:rPr>
        <w:t xml:space="preserve">larger urban areas that can better support quality of life investments </w:t>
      </w:r>
      <w:r w:rsidR="000D7043" w:rsidRPr="003516DC">
        <w:rPr>
          <w:sz w:val="20"/>
          <w:szCs w:val="20"/>
        </w:rPr>
        <w:t xml:space="preserve">and </w:t>
      </w:r>
      <w:r w:rsidRPr="003516DC">
        <w:rPr>
          <w:sz w:val="20"/>
          <w:szCs w:val="20"/>
        </w:rPr>
        <w:t>boost</w:t>
      </w:r>
      <w:r w:rsidR="000D7043" w:rsidRPr="003516DC">
        <w:rPr>
          <w:sz w:val="20"/>
          <w:szCs w:val="20"/>
        </w:rPr>
        <w:t xml:space="preserve"> the</w:t>
      </w:r>
      <w:r w:rsidRPr="003516DC">
        <w:rPr>
          <w:sz w:val="20"/>
          <w:szCs w:val="20"/>
        </w:rPr>
        <w:t xml:space="preserve"> competitiveness of the local business environment; the further growth and speciali</w:t>
      </w:r>
      <w:r w:rsidR="000D7043" w:rsidRPr="003516DC">
        <w:rPr>
          <w:sz w:val="20"/>
          <w:szCs w:val="20"/>
        </w:rPr>
        <w:t>s</w:t>
      </w:r>
      <w:r w:rsidRPr="003516DC">
        <w:rPr>
          <w:sz w:val="20"/>
          <w:szCs w:val="20"/>
        </w:rPr>
        <w:t>ation of the local business environment is and will continue to be limited by the demographic resources of this county, and in particular its main urban area.</w:t>
      </w:r>
    </w:p>
    <w:p w14:paraId="37EC91C7" w14:textId="54EF79BE" w:rsidR="00471B89" w:rsidRPr="00471B89" w:rsidRDefault="00471B89" w:rsidP="00792049">
      <w:pPr>
        <w:pStyle w:val="ListParagraph"/>
        <w:numPr>
          <w:ilvl w:val="0"/>
          <w:numId w:val="9"/>
        </w:numPr>
        <w:spacing w:after="240" w:line="240" w:lineRule="auto"/>
        <w:ind w:left="360"/>
        <w:jc w:val="both"/>
      </w:pPr>
      <w:r>
        <w:rPr>
          <w:sz w:val="20"/>
          <w:szCs w:val="20"/>
        </w:rPr>
        <w:t>There are</w:t>
      </w:r>
      <w:r w:rsidR="00BA4D0D" w:rsidRPr="00471B89">
        <w:rPr>
          <w:sz w:val="20"/>
          <w:szCs w:val="20"/>
        </w:rPr>
        <w:t xml:space="preserve"> a large number of informal settlements, which </w:t>
      </w:r>
      <w:r>
        <w:rPr>
          <w:sz w:val="20"/>
          <w:szCs w:val="20"/>
        </w:rPr>
        <w:t>house</w:t>
      </w:r>
      <w:r w:rsidR="00BA4D0D" w:rsidRPr="00471B89">
        <w:rPr>
          <w:sz w:val="20"/>
          <w:szCs w:val="20"/>
        </w:rPr>
        <w:t xml:space="preserve"> a significant </w:t>
      </w:r>
      <w:r>
        <w:rPr>
          <w:sz w:val="20"/>
          <w:szCs w:val="20"/>
        </w:rPr>
        <w:t>portion</w:t>
      </w:r>
      <w:r w:rsidR="00BA4D0D" w:rsidRPr="00471B89">
        <w:rPr>
          <w:sz w:val="20"/>
          <w:szCs w:val="20"/>
        </w:rPr>
        <w:t xml:space="preserve"> of the population (including many young people and children)</w:t>
      </w:r>
      <w:r>
        <w:rPr>
          <w:sz w:val="20"/>
          <w:szCs w:val="20"/>
        </w:rPr>
        <w:t>. The settlements</w:t>
      </w:r>
      <w:r w:rsidR="00BA4D0D" w:rsidRPr="00471B89">
        <w:rPr>
          <w:sz w:val="20"/>
          <w:szCs w:val="20"/>
        </w:rPr>
        <w:t xml:space="preserve"> </w:t>
      </w:r>
      <w:r>
        <w:rPr>
          <w:sz w:val="20"/>
          <w:szCs w:val="20"/>
        </w:rPr>
        <w:t xml:space="preserve">also </w:t>
      </w:r>
      <w:r w:rsidR="00BA4D0D" w:rsidRPr="00471B89">
        <w:rPr>
          <w:sz w:val="20"/>
          <w:szCs w:val="20"/>
        </w:rPr>
        <w:t>ha</w:t>
      </w:r>
      <w:r>
        <w:rPr>
          <w:sz w:val="20"/>
          <w:szCs w:val="20"/>
        </w:rPr>
        <w:t>ve</w:t>
      </w:r>
      <w:r w:rsidR="00BA4D0D" w:rsidRPr="00471B89">
        <w:rPr>
          <w:sz w:val="20"/>
          <w:szCs w:val="20"/>
        </w:rPr>
        <w:t xml:space="preserve"> a low level of education and training</w:t>
      </w:r>
      <w:r>
        <w:rPr>
          <w:sz w:val="20"/>
          <w:szCs w:val="20"/>
        </w:rPr>
        <w:t xml:space="preserve"> and</w:t>
      </w:r>
      <w:r w:rsidR="00BA4D0D" w:rsidRPr="00471B89">
        <w:rPr>
          <w:sz w:val="20"/>
          <w:szCs w:val="20"/>
        </w:rPr>
        <w:t xml:space="preserve"> most are isolated in the territory and do not have access to regular public transport </w:t>
      </w:r>
      <w:r>
        <w:rPr>
          <w:sz w:val="20"/>
          <w:szCs w:val="20"/>
        </w:rPr>
        <w:t>or</w:t>
      </w:r>
      <w:r w:rsidR="00BA4D0D" w:rsidRPr="00471B89">
        <w:rPr>
          <w:sz w:val="20"/>
          <w:szCs w:val="20"/>
        </w:rPr>
        <w:t xml:space="preserve"> social, health, professional, local infrastructure.</w:t>
      </w:r>
    </w:p>
    <w:p w14:paraId="5EFAC9CB" w14:textId="074A084F" w:rsidR="00826AB0" w:rsidRPr="003516DC" w:rsidRDefault="00826AB0" w:rsidP="00E42342">
      <w:pPr>
        <w:pStyle w:val="Heading3"/>
        <w:numPr>
          <w:ilvl w:val="0"/>
          <w:numId w:val="147"/>
        </w:numPr>
        <w:spacing w:before="120" w:after="120" w:line="240" w:lineRule="auto"/>
        <w:rPr>
          <w:b w:val="0"/>
        </w:rPr>
      </w:pPr>
      <w:r w:rsidRPr="003516DC">
        <w:rPr>
          <w:b w:val="0"/>
        </w:rPr>
        <w:t>Opportunities</w:t>
      </w:r>
      <w:r w:rsidR="00F0070A" w:rsidRPr="003516DC">
        <w:rPr>
          <w:b w:val="0"/>
        </w:rPr>
        <w:t xml:space="preserve"> in Mureș </w:t>
      </w:r>
      <w:r w:rsidR="004F70E0">
        <w:rPr>
          <w:b w:val="0"/>
        </w:rPr>
        <w:t>C</w:t>
      </w:r>
      <w:r w:rsidR="00F0070A" w:rsidRPr="003516DC">
        <w:rPr>
          <w:b w:val="0"/>
        </w:rPr>
        <w:t>ounty</w:t>
      </w:r>
    </w:p>
    <w:p w14:paraId="66E46ABB" w14:textId="525A0348" w:rsidR="00826AB0" w:rsidRPr="003516DC" w:rsidRDefault="00826AB0" w:rsidP="004F70E0">
      <w:pPr>
        <w:spacing w:after="120"/>
        <w:jc w:val="both"/>
        <w:rPr>
          <w:rFonts w:ascii="Arial" w:hAnsi="Arial" w:cs="Arial"/>
          <w:sz w:val="20"/>
          <w:szCs w:val="20"/>
        </w:rPr>
      </w:pPr>
      <w:r w:rsidRPr="003516DC">
        <w:rPr>
          <w:rFonts w:ascii="Arial" w:hAnsi="Arial" w:cs="Arial"/>
          <w:sz w:val="20"/>
          <w:szCs w:val="20"/>
        </w:rPr>
        <w:t xml:space="preserve">Mureș </w:t>
      </w:r>
      <w:r w:rsidR="009D0AFC" w:rsidRPr="003516DC">
        <w:rPr>
          <w:rFonts w:ascii="Arial" w:hAnsi="Arial" w:cs="Arial"/>
          <w:sz w:val="20"/>
          <w:szCs w:val="20"/>
        </w:rPr>
        <w:t xml:space="preserve">has </w:t>
      </w:r>
      <w:r w:rsidRPr="003516DC">
        <w:rPr>
          <w:rFonts w:ascii="Arial" w:hAnsi="Arial" w:cs="Arial"/>
          <w:sz w:val="20"/>
          <w:szCs w:val="20"/>
        </w:rPr>
        <w:t>several opportunities given the trends and policy context mentioned in previous sections</w:t>
      </w:r>
      <w:r w:rsidR="00971B0A" w:rsidRPr="003516DC">
        <w:rPr>
          <w:rFonts w:ascii="Arial" w:hAnsi="Arial" w:cs="Arial"/>
          <w:sz w:val="20"/>
          <w:szCs w:val="20"/>
        </w:rPr>
        <w:t>.</w:t>
      </w:r>
      <w:r w:rsidRPr="003516DC">
        <w:rPr>
          <w:rFonts w:ascii="Arial" w:hAnsi="Arial" w:cs="Arial"/>
          <w:sz w:val="20"/>
          <w:szCs w:val="20"/>
        </w:rPr>
        <w:t xml:space="preserve"> </w:t>
      </w:r>
      <w:r w:rsidR="00971B0A" w:rsidRPr="003516DC">
        <w:rPr>
          <w:rFonts w:ascii="Arial" w:hAnsi="Arial" w:cs="Arial"/>
          <w:sz w:val="20"/>
          <w:szCs w:val="20"/>
        </w:rPr>
        <w:t>T</w:t>
      </w:r>
      <w:r w:rsidRPr="003516DC">
        <w:rPr>
          <w:rFonts w:ascii="Arial" w:hAnsi="Arial" w:cs="Arial"/>
          <w:sz w:val="20"/>
          <w:szCs w:val="20"/>
        </w:rPr>
        <w:t>he most prominent</w:t>
      </w:r>
      <w:r w:rsidR="00971B0A" w:rsidRPr="003516DC">
        <w:rPr>
          <w:rFonts w:ascii="Arial" w:hAnsi="Arial" w:cs="Arial"/>
          <w:sz w:val="20"/>
          <w:szCs w:val="20"/>
        </w:rPr>
        <w:t>ly</w:t>
      </w:r>
      <w:r w:rsidRPr="003516DC">
        <w:rPr>
          <w:rFonts w:ascii="Arial" w:hAnsi="Arial" w:cs="Arial"/>
          <w:sz w:val="20"/>
          <w:szCs w:val="20"/>
        </w:rPr>
        <w:t xml:space="preserve"> identified, with relevance for the energy transition process</w:t>
      </w:r>
      <w:r w:rsidR="00971B0A" w:rsidRPr="003516DC">
        <w:rPr>
          <w:rFonts w:ascii="Arial" w:hAnsi="Arial" w:cs="Arial"/>
          <w:sz w:val="20"/>
          <w:szCs w:val="20"/>
        </w:rPr>
        <w:t xml:space="preserve"> include</w:t>
      </w:r>
      <w:r w:rsidRPr="003516DC">
        <w:rPr>
          <w:rFonts w:ascii="Arial" w:hAnsi="Arial" w:cs="Arial"/>
          <w:sz w:val="20"/>
          <w:szCs w:val="20"/>
        </w:rPr>
        <w:t>:</w:t>
      </w:r>
    </w:p>
    <w:p w14:paraId="63DF813E" w14:textId="7D85BCF8" w:rsidR="00826AB0" w:rsidRPr="003516DC" w:rsidRDefault="00826AB0" w:rsidP="00792049">
      <w:pPr>
        <w:pStyle w:val="ListParagraph"/>
        <w:numPr>
          <w:ilvl w:val="0"/>
          <w:numId w:val="10"/>
        </w:numPr>
        <w:spacing w:line="240" w:lineRule="auto"/>
        <w:ind w:left="360"/>
        <w:jc w:val="both"/>
        <w:rPr>
          <w:sz w:val="20"/>
          <w:szCs w:val="20"/>
        </w:rPr>
      </w:pPr>
      <w:r w:rsidRPr="003516DC">
        <w:rPr>
          <w:sz w:val="20"/>
          <w:szCs w:val="20"/>
        </w:rPr>
        <w:t xml:space="preserve">The EU Green Deal </w:t>
      </w:r>
      <w:r w:rsidR="00971B0A" w:rsidRPr="003516DC">
        <w:rPr>
          <w:sz w:val="20"/>
          <w:szCs w:val="20"/>
        </w:rPr>
        <w:t>and</w:t>
      </w:r>
      <w:r w:rsidRPr="003516DC">
        <w:rPr>
          <w:sz w:val="20"/>
          <w:szCs w:val="20"/>
        </w:rPr>
        <w:t xml:space="preserve"> national policy targets will catalyse investments in </w:t>
      </w:r>
      <w:r w:rsidR="00CD5FFC" w:rsidRPr="00C510BD">
        <w:rPr>
          <w:sz w:val="20"/>
          <w:szCs w:val="20"/>
        </w:rPr>
        <w:t>CO</w:t>
      </w:r>
      <w:r w:rsidR="00CD5FFC" w:rsidRPr="001C148D">
        <w:rPr>
          <w:sz w:val="20"/>
          <w:szCs w:val="20"/>
          <w:vertAlign w:val="subscript"/>
        </w:rPr>
        <w:t>2</w:t>
      </w:r>
      <w:r w:rsidR="00CD5FFC">
        <w:rPr>
          <w:sz w:val="20"/>
          <w:szCs w:val="20"/>
          <w:vertAlign w:val="subscript"/>
        </w:rPr>
        <w:t xml:space="preserve"> </w:t>
      </w:r>
      <w:r w:rsidRPr="003516DC">
        <w:rPr>
          <w:sz w:val="20"/>
          <w:szCs w:val="20"/>
        </w:rPr>
        <w:t xml:space="preserve">and pollution reduction systems for the benefit of local communities; Funding instruments available are expected to help create a market and increase interest </w:t>
      </w:r>
      <w:r w:rsidR="00971B0A" w:rsidRPr="003516DC">
        <w:rPr>
          <w:sz w:val="20"/>
          <w:szCs w:val="20"/>
        </w:rPr>
        <w:t xml:space="preserve">in </w:t>
      </w:r>
      <w:r w:rsidRPr="003516DC">
        <w:rPr>
          <w:sz w:val="20"/>
          <w:szCs w:val="20"/>
        </w:rPr>
        <w:t>switching to sustainable, renewable, energy sources</w:t>
      </w:r>
      <w:r w:rsidR="00074F03" w:rsidRPr="003516DC">
        <w:rPr>
          <w:sz w:val="20"/>
          <w:szCs w:val="20"/>
        </w:rPr>
        <w:t>.</w:t>
      </w:r>
    </w:p>
    <w:p w14:paraId="02B3212A" w14:textId="77777777" w:rsidR="00074F03" w:rsidRPr="003516DC" w:rsidRDefault="00074F03" w:rsidP="00792049">
      <w:pPr>
        <w:pStyle w:val="ListParagraph"/>
        <w:spacing w:line="240" w:lineRule="auto"/>
        <w:ind w:left="360"/>
        <w:jc w:val="both"/>
        <w:rPr>
          <w:sz w:val="8"/>
          <w:szCs w:val="8"/>
        </w:rPr>
      </w:pPr>
    </w:p>
    <w:p w14:paraId="6E277237" w14:textId="59745E7B" w:rsidR="00074F03" w:rsidRPr="003516DC" w:rsidRDefault="00826AB0" w:rsidP="00792049">
      <w:pPr>
        <w:pStyle w:val="ListParagraph"/>
        <w:numPr>
          <w:ilvl w:val="0"/>
          <w:numId w:val="10"/>
        </w:numPr>
        <w:spacing w:line="240" w:lineRule="auto"/>
        <w:ind w:left="360"/>
        <w:jc w:val="both"/>
        <w:rPr>
          <w:sz w:val="20"/>
          <w:szCs w:val="20"/>
        </w:rPr>
      </w:pPr>
      <w:r w:rsidRPr="003516DC">
        <w:rPr>
          <w:sz w:val="20"/>
          <w:szCs w:val="20"/>
        </w:rPr>
        <w:t xml:space="preserve">Mureș registers encouraging, positive trends towards a more knowledge intensive economy. Strategic investments in further diversification, technological upgrading and </w:t>
      </w:r>
      <w:r w:rsidR="00074F03" w:rsidRPr="003516DC">
        <w:rPr>
          <w:sz w:val="20"/>
          <w:szCs w:val="20"/>
        </w:rPr>
        <w:t>digitalisation</w:t>
      </w:r>
      <w:r w:rsidRPr="003516DC">
        <w:rPr>
          <w:sz w:val="20"/>
          <w:szCs w:val="20"/>
        </w:rPr>
        <w:t>, access to new markets</w:t>
      </w:r>
      <w:r w:rsidR="00971B0A" w:rsidRPr="003516DC">
        <w:rPr>
          <w:sz w:val="20"/>
          <w:szCs w:val="20"/>
        </w:rPr>
        <w:t>,</w:t>
      </w:r>
      <w:r w:rsidRPr="003516DC">
        <w:rPr>
          <w:sz w:val="20"/>
          <w:szCs w:val="20"/>
        </w:rPr>
        <w:t xml:space="preserve"> etc</w:t>
      </w:r>
      <w:r w:rsidR="00971B0A" w:rsidRPr="003516DC">
        <w:rPr>
          <w:sz w:val="20"/>
          <w:szCs w:val="20"/>
        </w:rPr>
        <w:t>.</w:t>
      </w:r>
      <w:r w:rsidRPr="003516DC">
        <w:rPr>
          <w:sz w:val="20"/>
          <w:szCs w:val="20"/>
        </w:rPr>
        <w:t xml:space="preserve"> will help </w:t>
      </w:r>
      <w:r w:rsidR="00074F03" w:rsidRPr="003516DC">
        <w:rPr>
          <w:sz w:val="20"/>
          <w:szCs w:val="20"/>
        </w:rPr>
        <w:t>catalyse</w:t>
      </w:r>
      <w:r w:rsidRPr="003516DC">
        <w:rPr>
          <w:sz w:val="20"/>
          <w:szCs w:val="20"/>
        </w:rPr>
        <w:t xml:space="preserve"> and sustain this trend on the longer term</w:t>
      </w:r>
      <w:r w:rsidR="00074F03" w:rsidRPr="003516DC">
        <w:rPr>
          <w:sz w:val="20"/>
          <w:szCs w:val="20"/>
        </w:rPr>
        <w:t>.</w:t>
      </w:r>
    </w:p>
    <w:p w14:paraId="106E044A" w14:textId="343847CE" w:rsidR="00826AB0" w:rsidRPr="003516DC" w:rsidRDefault="00826AB0" w:rsidP="00792049">
      <w:pPr>
        <w:pStyle w:val="ListParagraph"/>
        <w:spacing w:line="240" w:lineRule="auto"/>
        <w:ind w:left="360"/>
        <w:jc w:val="both"/>
        <w:rPr>
          <w:sz w:val="8"/>
          <w:szCs w:val="8"/>
        </w:rPr>
      </w:pPr>
      <w:r w:rsidRPr="003516DC">
        <w:rPr>
          <w:sz w:val="20"/>
          <w:szCs w:val="20"/>
        </w:rPr>
        <w:t xml:space="preserve"> </w:t>
      </w:r>
    </w:p>
    <w:p w14:paraId="67A73969" w14:textId="07DB8351" w:rsidR="00826AB0" w:rsidRPr="003516DC" w:rsidRDefault="00826AB0" w:rsidP="00792049">
      <w:pPr>
        <w:pStyle w:val="ListParagraph"/>
        <w:numPr>
          <w:ilvl w:val="0"/>
          <w:numId w:val="10"/>
        </w:numPr>
        <w:spacing w:line="240" w:lineRule="auto"/>
        <w:ind w:left="360"/>
        <w:jc w:val="both"/>
        <w:rPr>
          <w:sz w:val="20"/>
          <w:szCs w:val="20"/>
        </w:rPr>
      </w:pPr>
      <w:r w:rsidRPr="003516DC">
        <w:rPr>
          <w:sz w:val="20"/>
          <w:szCs w:val="20"/>
        </w:rPr>
        <w:t>The local university is well ranked and forward looking, having already invested in new speciali</w:t>
      </w:r>
      <w:r w:rsidR="00971B0A" w:rsidRPr="003516DC">
        <w:rPr>
          <w:sz w:val="20"/>
          <w:szCs w:val="20"/>
        </w:rPr>
        <w:t>s</w:t>
      </w:r>
      <w:r w:rsidRPr="003516DC">
        <w:rPr>
          <w:sz w:val="20"/>
          <w:szCs w:val="20"/>
        </w:rPr>
        <w:t>ations, anticipating areas of potential to develop in Mureș (</w:t>
      </w:r>
      <w:r w:rsidR="00074F03" w:rsidRPr="003516DC">
        <w:rPr>
          <w:sz w:val="20"/>
          <w:szCs w:val="20"/>
        </w:rPr>
        <w:t>e.g.,</w:t>
      </w:r>
      <w:r w:rsidRPr="003516DC">
        <w:rPr>
          <w:sz w:val="20"/>
          <w:szCs w:val="20"/>
        </w:rPr>
        <w:t xml:space="preserve"> med tech, artificial intelligence, data science linked to medical research</w:t>
      </w:r>
      <w:r w:rsidR="00971B0A" w:rsidRPr="003516DC">
        <w:rPr>
          <w:sz w:val="20"/>
          <w:szCs w:val="20"/>
        </w:rPr>
        <w:t>,</w:t>
      </w:r>
      <w:r w:rsidRPr="003516DC">
        <w:rPr>
          <w:sz w:val="20"/>
          <w:szCs w:val="20"/>
        </w:rPr>
        <w:t xml:space="preserve"> etc)</w:t>
      </w:r>
      <w:r w:rsidR="00074F03" w:rsidRPr="003516DC">
        <w:rPr>
          <w:sz w:val="20"/>
          <w:szCs w:val="20"/>
        </w:rPr>
        <w:t>.</w:t>
      </w:r>
    </w:p>
    <w:p w14:paraId="5D116864" w14:textId="77777777" w:rsidR="00074F03" w:rsidRPr="003516DC" w:rsidRDefault="00074F03" w:rsidP="00792049">
      <w:pPr>
        <w:pStyle w:val="ListParagraph"/>
        <w:spacing w:line="240" w:lineRule="auto"/>
        <w:ind w:left="360"/>
        <w:jc w:val="both"/>
        <w:rPr>
          <w:sz w:val="8"/>
          <w:szCs w:val="8"/>
        </w:rPr>
      </w:pPr>
    </w:p>
    <w:p w14:paraId="0B22FE5D" w14:textId="3C3CD5EC" w:rsidR="00C76AFA" w:rsidRPr="00C76AFA" w:rsidRDefault="00826AB0" w:rsidP="00792049">
      <w:pPr>
        <w:pStyle w:val="ListParagraph"/>
        <w:numPr>
          <w:ilvl w:val="0"/>
          <w:numId w:val="10"/>
        </w:numPr>
        <w:spacing w:line="240" w:lineRule="auto"/>
        <w:ind w:left="360"/>
        <w:jc w:val="both"/>
        <w:rPr>
          <w:sz w:val="20"/>
          <w:szCs w:val="20"/>
        </w:rPr>
      </w:pPr>
      <w:r w:rsidRPr="003516DC">
        <w:rPr>
          <w:sz w:val="20"/>
          <w:szCs w:val="20"/>
        </w:rPr>
        <w:t xml:space="preserve">The foreseen investments in expanding and completing the highway network in Romania is expected to improve the connectedness of this county, essential to economic competitiveness </w:t>
      </w:r>
      <w:r w:rsidR="00971B0A" w:rsidRPr="003516DC">
        <w:rPr>
          <w:sz w:val="20"/>
          <w:szCs w:val="20"/>
        </w:rPr>
        <w:t>i</w:t>
      </w:r>
      <w:r w:rsidRPr="003516DC">
        <w:rPr>
          <w:sz w:val="20"/>
          <w:szCs w:val="20"/>
        </w:rPr>
        <w:t>n the long term</w:t>
      </w:r>
      <w:r w:rsidR="00074F03" w:rsidRPr="003516DC">
        <w:rPr>
          <w:sz w:val="20"/>
          <w:szCs w:val="20"/>
        </w:rPr>
        <w:t>.</w:t>
      </w:r>
      <w:r w:rsidRPr="003516DC">
        <w:rPr>
          <w:sz w:val="20"/>
          <w:szCs w:val="20"/>
        </w:rPr>
        <w:t xml:space="preserve"> </w:t>
      </w:r>
    </w:p>
    <w:p w14:paraId="5E12D34A" w14:textId="50E3E877" w:rsidR="00C76AFA" w:rsidRPr="00C76AFA" w:rsidRDefault="00C76AFA" w:rsidP="00E42342">
      <w:pPr>
        <w:pStyle w:val="Heading3"/>
        <w:numPr>
          <w:ilvl w:val="0"/>
          <w:numId w:val="148"/>
        </w:numPr>
        <w:rPr>
          <w:b w:val="0"/>
          <w:bCs/>
        </w:rPr>
      </w:pPr>
      <w:r>
        <w:rPr>
          <w:b w:val="0"/>
          <w:bCs/>
        </w:rPr>
        <w:t xml:space="preserve">Transition pathway in Mureș </w:t>
      </w:r>
      <w:r w:rsidR="004F70E0">
        <w:rPr>
          <w:b w:val="0"/>
          <w:bCs/>
        </w:rPr>
        <w:t>C</w:t>
      </w:r>
      <w:r>
        <w:rPr>
          <w:b w:val="0"/>
          <w:bCs/>
        </w:rPr>
        <w:t>ounty</w:t>
      </w:r>
    </w:p>
    <w:p w14:paraId="2EF2C10D" w14:textId="3162E62E" w:rsidR="00964831" w:rsidRPr="0064033D" w:rsidRDefault="00964831" w:rsidP="0064033D">
      <w:pPr>
        <w:jc w:val="both"/>
        <w:rPr>
          <w:sz w:val="20"/>
          <w:szCs w:val="20"/>
        </w:rPr>
      </w:pPr>
      <w:r w:rsidRPr="0064033D">
        <w:rPr>
          <w:rFonts w:ascii="Arial" w:hAnsi="Arial" w:cs="Arial"/>
          <w:sz w:val="20"/>
          <w:szCs w:val="20"/>
          <w:lang w:val="en-US"/>
        </w:rPr>
        <w:t>While not renouncing natural gas entirely, the two large</w:t>
      </w:r>
      <w:r w:rsidR="0064033D">
        <w:rPr>
          <w:rFonts w:ascii="Arial" w:hAnsi="Arial" w:cs="Arial"/>
          <w:sz w:val="20"/>
          <w:szCs w:val="20"/>
          <w:lang w:val="en-US"/>
        </w:rPr>
        <w:t>st</w:t>
      </w:r>
      <w:r w:rsidRPr="0064033D">
        <w:rPr>
          <w:rFonts w:ascii="Arial" w:hAnsi="Arial" w:cs="Arial"/>
          <w:sz w:val="20"/>
          <w:szCs w:val="20"/>
          <w:lang w:val="en-US"/>
        </w:rPr>
        <w:t xml:space="preserve"> CO</w:t>
      </w:r>
      <w:r w:rsidRPr="00402580">
        <w:rPr>
          <w:rFonts w:ascii="Arial" w:hAnsi="Arial" w:cs="Arial"/>
          <w:sz w:val="20"/>
          <w:szCs w:val="20"/>
          <w:vertAlign w:val="subscript"/>
          <w:lang w:val="en-US"/>
        </w:rPr>
        <w:t>2</w:t>
      </w:r>
      <w:r w:rsidRPr="0064033D">
        <w:rPr>
          <w:rFonts w:ascii="Arial" w:hAnsi="Arial" w:cs="Arial"/>
          <w:sz w:val="20"/>
          <w:szCs w:val="20"/>
          <w:lang w:val="en-US"/>
        </w:rPr>
        <w:t xml:space="preserve"> emitters in </w:t>
      </w:r>
      <w:r w:rsidR="004F70E0">
        <w:rPr>
          <w:rFonts w:ascii="Arial" w:hAnsi="Arial" w:cs="Arial"/>
          <w:sz w:val="20"/>
          <w:szCs w:val="20"/>
          <w:lang w:val="en-US"/>
        </w:rPr>
        <w:t>Mureș</w:t>
      </w:r>
      <w:r w:rsidRPr="0064033D">
        <w:rPr>
          <w:rFonts w:ascii="Arial" w:hAnsi="Arial" w:cs="Arial"/>
          <w:sz w:val="20"/>
          <w:szCs w:val="20"/>
          <w:lang w:val="en-US"/>
        </w:rPr>
        <w:t xml:space="preserve"> – Azo</w:t>
      </w:r>
      <w:r w:rsidR="00CA72BD">
        <w:rPr>
          <w:rFonts w:ascii="Arial" w:hAnsi="Arial" w:cs="Arial"/>
          <w:sz w:val="20"/>
          <w:szCs w:val="20"/>
          <w:lang w:val="en-US"/>
        </w:rPr>
        <w:t>m</w:t>
      </w:r>
      <w:r w:rsidR="004F70E0">
        <w:rPr>
          <w:rFonts w:ascii="Arial" w:hAnsi="Arial" w:cs="Arial"/>
          <w:sz w:val="20"/>
          <w:szCs w:val="20"/>
          <w:lang w:val="en-US"/>
        </w:rPr>
        <w:t>ureș</w:t>
      </w:r>
      <w:r w:rsidRPr="0064033D">
        <w:rPr>
          <w:rFonts w:ascii="Arial" w:hAnsi="Arial" w:cs="Arial"/>
          <w:sz w:val="20"/>
          <w:szCs w:val="20"/>
          <w:lang w:val="en-US"/>
        </w:rPr>
        <w:t xml:space="preserve"> and Romgaz – can halve their emissions by deploying investments in hydrogen and high-efficiency gas co-generation</w:t>
      </w:r>
      <w:r w:rsidR="00AF62F1" w:rsidRPr="0064033D">
        <w:rPr>
          <w:rFonts w:ascii="Arial" w:hAnsi="Arial" w:cs="Arial"/>
          <w:sz w:val="20"/>
          <w:szCs w:val="20"/>
        </w:rPr>
        <w:t xml:space="preserve">. According to current data, </w:t>
      </w:r>
      <w:r w:rsidRPr="0064033D">
        <w:rPr>
          <w:rFonts w:ascii="Arial" w:hAnsi="Arial" w:cs="Arial"/>
          <w:sz w:val="20"/>
          <w:szCs w:val="20"/>
          <w:lang w:val="en-US"/>
        </w:rPr>
        <w:t>430 MW of high</w:t>
      </w:r>
      <w:r w:rsidR="00F903A3">
        <w:rPr>
          <w:rFonts w:ascii="Arial" w:hAnsi="Arial" w:cs="Arial"/>
          <w:sz w:val="20"/>
          <w:szCs w:val="20"/>
          <w:lang w:val="en-US"/>
        </w:rPr>
        <w:t>ly</w:t>
      </w:r>
      <w:r w:rsidRPr="0064033D">
        <w:rPr>
          <w:rFonts w:ascii="Arial" w:hAnsi="Arial" w:cs="Arial"/>
          <w:sz w:val="20"/>
          <w:szCs w:val="20"/>
          <w:lang w:val="en-US"/>
        </w:rPr>
        <w:t>-efficient gas-fired CCGT (0</w:t>
      </w:r>
      <w:r w:rsidR="00F903A3">
        <w:rPr>
          <w:rFonts w:ascii="Arial" w:hAnsi="Arial" w:cs="Arial"/>
          <w:sz w:val="20"/>
          <w:szCs w:val="20"/>
          <w:lang w:val="en-US"/>
        </w:rPr>
        <w:t>.</w:t>
      </w:r>
      <w:r w:rsidRPr="0064033D">
        <w:rPr>
          <w:rFonts w:ascii="Arial" w:hAnsi="Arial" w:cs="Arial"/>
          <w:sz w:val="20"/>
          <w:szCs w:val="20"/>
          <w:lang w:val="en-US"/>
        </w:rPr>
        <w:t xml:space="preserve">360 </w:t>
      </w:r>
      <w:r w:rsidRPr="0064033D">
        <w:rPr>
          <w:rFonts w:ascii="Arial" w:hAnsi="Arial" w:cs="Arial"/>
          <w:color w:val="262626"/>
          <w:sz w:val="20"/>
          <w:szCs w:val="20"/>
          <w:shd w:val="clear" w:color="auto" w:fill="FFFFFF"/>
        </w:rPr>
        <w:t>tCO</w:t>
      </w:r>
      <w:r w:rsidRPr="00782BFD">
        <w:rPr>
          <w:rFonts w:ascii="Arial" w:hAnsi="Arial" w:cs="Arial"/>
          <w:color w:val="262626"/>
          <w:sz w:val="20"/>
          <w:szCs w:val="20"/>
          <w:shd w:val="clear" w:color="auto" w:fill="FFFFFF"/>
          <w:vertAlign w:val="subscript"/>
        </w:rPr>
        <w:t>2</w:t>
      </w:r>
      <w:r w:rsidRPr="0064033D">
        <w:rPr>
          <w:rFonts w:ascii="Arial" w:hAnsi="Arial" w:cs="Arial"/>
          <w:color w:val="262626"/>
          <w:sz w:val="20"/>
          <w:szCs w:val="20"/>
          <w:shd w:val="clear" w:color="auto" w:fill="FFFFFF"/>
        </w:rPr>
        <w:t>/MWh)</w:t>
      </w:r>
      <w:r w:rsidRPr="0064033D">
        <w:rPr>
          <w:rFonts w:ascii="Arial" w:hAnsi="Arial" w:cs="Arial"/>
          <w:sz w:val="20"/>
          <w:szCs w:val="20"/>
          <w:lang w:val="en-US"/>
        </w:rPr>
        <w:t xml:space="preserve"> will replace the current 600 MW installed in Iernut </w:t>
      </w:r>
      <w:r w:rsidR="00F903A3">
        <w:rPr>
          <w:rFonts w:ascii="Arial" w:hAnsi="Arial" w:cs="Arial"/>
          <w:sz w:val="20"/>
          <w:szCs w:val="20"/>
          <w:lang w:val="en-US"/>
        </w:rPr>
        <w:t>from</w:t>
      </w:r>
      <w:r w:rsidRPr="0064033D">
        <w:rPr>
          <w:rFonts w:ascii="Arial" w:hAnsi="Arial" w:cs="Arial"/>
          <w:sz w:val="20"/>
          <w:szCs w:val="20"/>
          <w:lang w:val="en-US"/>
        </w:rPr>
        <w:t xml:space="preserve"> the </w:t>
      </w:r>
      <w:r w:rsidR="00F903A3">
        <w:rPr>
          <w:rFonts w:ascii="Arial" w:hAnsi="Arial" w:cs="Arial"/>
          <w:sz w:val="20"/>
          <w:szCs w:val="20"/>
          <w:lang w:val="en-US"/>
        </w:rPr>
        <w:t>19</w:t>
      </w:r>
      <w:r w:rsidRPr="0064033D">
        <w:rPr>
          <w:rFonts w:ascii="Arial" w:hAnsi="Arial" w:cs="Arial"/>
          <w:sz w:val="20"/>
          <w:szCs w:val="20"/>
          <w:lang w:val="en-US"/>
        </w:rPr>
        <w:t>60s</w:t>
      </w:r>
      <w:r w:rsidR="00AF62F1" w:rsidRPr="0064033D">
        <w:rPr>
          <w:rFonts w:ascii="Arial" w:hAnsi="Arial" w:cs="Arial"/>
          <w:sz w:val="20"/>
          <w:szCs w:val="20"/>
          <w:lang w:val="en-US"/>
        </w:rPr>
        <w:t>. It is not clear whether this will lead to significant emissions reductions</w:t>
      </w:r>
      <w:r w:rsidR="00F903A3">
        <w:rPr>
          <w:rFonts w:ascii="Arial" w:hAnsi="Arial" w:cs="Arial"/>
          <w:sz w:val="20"/>
          <w:szCs w:val="20"/>
          <w:lang w:val="en-US"/>
        </w:rPr>
        <w:t xml:space="preserve"> </w:t>
      </w:r>
      <w:r w:rsidR="00AF62F1" w:rsidRPr="0064033D">
        <w:rPr>
          <w:rFonts w:ascii="Arial" w:hAnsi="Arial" w:cs="Arial"/>
          <w:sz w:val="20"/>
          <w:szCs w:val="20"/>
          <w:lang w:val="en-US"/>
        </w:rPr>
        <w:t xml:space="preserve">due to the higher installed capacity, despite the more modern technology to be installed. </w:t>
      </w:r>
      <w:r w:rsidR="00AF62F1" w:rsidRPr="0064033D">
        <w:rPr>
          <w:rFonts w:ascii="Arial" w:hAnsi="Arial" w:cs="Arial"/>
          <w:sz w:val="20"/>
          <w:szCs w:val="20"/>
        </w:rPr>
        <w:t>W</w:t>
      </w:r>
      <w:r w:rsidRPr="0064033D">
        <w:rPr>
          <w:rFonts w:ascii="Arial" w:hAnsi="Arial" w:cs="Arial"/>
          <w:sz w:val="20"/>
          <w:szCs w:val="20"/>
        </w:rPr>
        <w:t>ith EUR 400 mi</w:t>
      </w:r>
      <w:r w:rsidR="00F903A3">
        <w:rPr>
          <w:rFonts w:ascii="Arial" w:hAnsi="Arial" w:cs="Arial"/>
          <w:sz w:val="20"/>
          <w:szCs w:val="20"/>
        </w:rPr>
        <w:t>llion in</w:t>
      </w:r>
      <w:r w:rsidRPr="0064033D">
        <w:rPr>
          <w:rFonts w:ascii="Arial" w:hAnsi="Arial" w:cs="Arial"/>
          <w:sz w:val="20"/>
          <w:szCs w:val="20"/>
        </w:rPr>
        <w:t xml:space="preserve"> proposed investments, </w:t>
      </w:r>
      <w:r w:rsidR="00F903A3">
        <w:rPr>
          <w:rFonts w:ascii="Arial" w:hAnsi="Arial" w:cs="Arial"/>
          <w:sz w:val="20"/>
          <w:szCs w:val="20"/>
        </w:rPr>
        <w:t xml:space="preserve">the </w:t>
      </w:r>
      <w:r w:rsidRPr="0064033D">
        <w:rPr>
          <w:rFonts w:ascii="Arial" w:hAnsi="Arial" w:cs="Arial"/>
          <w:sz w:val="20"/>
          <w:szCs w:val="20"/>
        </w:rPr>
        <w:t>fertilizer producer</w:t>
      </w:r>
      <w:r w:rsidR="00F903A3">
        <w:rPr>
          <w:rFonts w:ascii="Arial" w:hAnsi="Arial" w:cs="Arial"/>
          <w:sz w:val="20"/>
          <w:szCs w:val="20"/>
        </w:rPr>
        <w:t>,</w:t>
      </w:r>
      <w:r w:rsidRPr="0064033D">
        <w:rPr>
          <w:rFonts w:ascii="Arial" w:hAnsi="Arial" w:cs="Arial"/>
          <w:sz w:val="20"/>
          <w:szCs w:val="20"/>
        </w:rPr>
        <w:t xml:space="preserve"> Azo</w:t>
      </w:r>
      <w:r w:rsidR="004F70E0">
        <w:rPr>
          <w:rFonts w:ascii="Arial" w:hAnsi="Arial" w:cs="Arial"/>
          <w:sz w:val="20"/>
          <w:szCs w:val="20"/>
        </w:rPr>
        <w:t>Mureș</w:t>
      </w:r>
      <w:r w:rsidRPr="0064033D">
        <w:rPr>
          <w:rFonts w:ascii="Arial" w:hAnsi="Arial" w:cs="Arial"/>
          <w:sz w:val="20"/>
          <w:szCs w:val="20"/>
        </w:rPr>
        <w:t xml:space="preserve">, </w:t>
      </w:r>
      <w:r w:rsidR="00F903A3">
        <w:rPr>
          <w:rFonts w:ascii="Arial" w:hAnsi="Arial" w:cs="Arial"/>
          <w:sz w:val="20"/>
          <w:szCs w:val="20"/>
        </w:rPr>
        <w:t xml:space="preserve">is </w:t>
      </w:r>
      <w:r w:rsidRPr="0064033D">
        <w:rPr>
          <w:rFonts w:ascii="Arial" w:hAnsi="Arial" w:cs="Arial"/>
          <w:sz w:val="20"/>
          <w:szCs w:val="20"/>
        </w:rPr>
        <w:t>currently responsible for 79% of the CO</w:t>
      </w:r>
      <w:r w:rsidRPr="00402580">
        <w:rPr>
          <w:rFonts w:ascii="Arial" w:hAnsi="Arial" w:cs="Arial"/>
          <w:sz w:val="20"/>
          <w:szCs w:val="20"/>
          <w:vertAlign w:val="subscript"/>
        </w:rPr>
        <w:t>2</w:t>
      </w:r>
      <w:r w:rsidRPr="0064033D">
        <w:rPr>
          <w:rFonts w:ascii="Arial" w:hAnsi="Arial" w:cs="Arial"/>
          <w:sz w:val="20"/>
          <w:szCs w:val="20"/>
        </w:rPr>
        <w:t xml:space="preserve"> emissions in </w:t>
      </w:r>
      <w:r w:rsidR="004F70E0">
        <w:rPr>
          <w:rFonts w:ascii="Arial" w:hAnsi="Arial" w:cs="Arial"/>
          <w:sz w:val="20"/>
          <w:szCs w:val="20"/>
        </w:rPr>
        <w:t>Mureș</w:t>
      </w:r>
      <w:r w:rsidR="00F903A3">
        <w:rPr>
          <w:rFonts w:ascii="Arial" w:hAnsi="Arial" w:cs="Arial"/>
          <w:sz w:val="20"/>
          <w:szCs w:val="20"/>
        </w:rPr>
        <w:t xml:space="preserve"> and</w:t>
      </w:r>
      <w:r w:rsidRPr="0064033D">
        <w:rPr>
          <w:rFonts w:ascii="Arial" w:hAnsi="Arial" w:cs="Arial"/>
          <w:sz w:val="20"/>
          <w:szCs w:val="20"/>
        </w:rPr>
        <w:t xml:space="preserve"> can reduce its verified emissions by 60%</w:t>
      </w:r>
      <w:r w:rsidRPr="0064033D">
        <w:rPr>
          <w:rStyle w:val="FootnoteReference"/>
          <w:rFonts w:ascii="Arial" w:hAnsi="Arial" w:cs="Arial"/>
          <w:sz w:val="20"/>
          <w:szCs w:val="20"/>
        </w:rPr>
        <w:footnoteReference w:id="135"/>
      </w:r>
      <w:r w:rsidR="00AF62F1" w:rsidRPr="0064033D">
        <w:rPr>
          <w:rFonts w:ascii="Arial" w:hAnsi="Arial" w:cs="Arial"/>
          <w:sz w:val="20"/>
          <w:szCs w:val="20"/>
        </w:rPr>
        <w:t xml:space="preserve">. </w:t>
      </w:r>
      <w:r w:rsidR="004F70E0">
        <w:rPr>
          <w:rFonts w:ascii="Arial" w:hAnsi="Arial" w:cs="Arial"/>
          <w:sz w:val="20"/>
          <w:szCs w:val="20"/>
        </w:rPr>
        <w:t>Mureș</w:t>
      </w:r>
      <w:r w:rsidR="00AF62F1" w:rsidRPr="0064033D">
        <w:rPr>
          <w:rFonts w:ascii="Arial" w:hAnsi="Arial" w:cs="Arial"/>
          <w:sz w:val="20"/>
          <w:szCs w:val="20"/>
        </w:rPr>
        <w:t xml:space="preserve"> is also the business headquarters of both the natural gas transmission operator and of important gas distribution network operators, so a Green Deal scenario, given the reduction in natural gas it will entail, may lead to the reductions in operations and staffing</w:t>
      </w:r>
      <w:r w:rsidR="00F903A3">
        <w:rPr>
          <w:rFonts w:ascii="Arial" w:hAnsi="Arial" w:cs="Arial"/>
          <w:sz w:val="20"/>
          <w:szCs w:val="20"/>
        </w:rPr>
        <w:t xml:space="preserve"> as well.</w:t>
      </w:r>
      <w:r w:rsidR="00AF62F1" w:rsidRPr="0064033D">
        <w:rPr>
          <w:rFonts w:ascii="Arial" w:hAnsi="Arial" w:cs="Arial"/>
          <w:sz w:val="20"/>
          <w:szCs w:val="20"/>
        </w:rPr>
        <w:t xml:space="preserve"> </w:t>
      </w:r>
      <w:r w:rsidR="00F903A3">
        <w:rPr>
          <w:rFonts w:ascii="Arial" w:hAnsi="Arial" w:cs="Arial"/>
          <w:sz w:val="20"/>
          <w:szCs w:val="20"/>
        </w:rPr>
        <w:t>As a result,</w:t>
      </w:r>
      <w:r w:rsidR="00AF62F1" w:rsidRPr="0064033D">
        <w:rPr>
          <w:rFonts w:ascii="Arial" w:hAnsi="Arial" w:cs="Arial"/>
          <w:sz w:val="20"/>
          <w:szCs w:val="20"/>
        </w:rPr>
        <w:t xml:space="preserve"> the transition pathway for </w:t>
      </w:r>
      <w:r w:rsidR="004F70E0">
        <w:rPr>
          <w:rFonts w:ascii="Arial" w:hAnsi="Arial" w:cs="Arial"/>
          <w:sz w:val="20"/>
          <w:szCs w:val="20"/>
        </w:rPr>
        <w:t>Mureș</w:t>
      </w:r>
      <w:r w:rsidR="00AF62F1" w:rsidRPr="0064033D">
        <w:rPr>
          <w:rFonts w:ascii="Arial" w:hAnsi="Arial" w:cs="Arial"/>
          <w:sz w:val="20"/>
          <w:szCs w:val="20"/>
        </w:rPr>
        <w:t>, despite the fact it is not reliant on coal, is not all smooth.</w:t>
      </w:r>
    </w:p>
    <w:p w14:paraId="344BB1D4" w14:textId="77777777" w:rsidR="00C76AFA" w:rsidRPr="003516DC" w:rsidRDefault="00C76AFA" w:rsidP="00E42342">
      <w:pPr>
        <w:pStyle w:val="Heading2"/>
        <w:numPr>
          <w:ilvl w:val="0"/>
          <w:numId w:val="175"/>
        </w:numPr>
        <w:spacing w:before="240" w:line="240" w:lineRule="auto"/>
      </w:pPr>
      <w:bookmarkStart w:id="303" w:name="_Toc90725895"/>
      <w:r w:rsidRPr="003516DC">
        <w:lastRenderedPageBreak/>
        <w:t>SWOT analysis and strategic outlook</w:t>
      </w:r>
      <w:bookmarkEnd w:id="303"/>
    </w:p>
    <w:p w14:paraId="1C45F4F9" w14:textId="77777777" w:rsidR="00C76AFA" w:rsidRPr="003516DC" w:rsidRDefault="00C76AFA" w:rsidP="00C76AFA">
      <w:pPr>
        <w:rPr>
          <w:rFonts w:ascii="Arial" w:hAnsi="Arial" w:cs="Arial"/>
          <w:sz w:val="20"/>
          <w:szCs w:val="20"/>
        </w:rPr>
      </w:pPr>
      <w:r w:rsidRPr="003516DC">
        <w:rPr>
          <w:rFonts w:ascii="Arial" w:hAnsi="Arial" w:cs="Arial"/>
          <w:sz w:val="20"/>
          <w:szCs w:val="20"/>
        </w:rPr>
        <w:t>The analysis conducted over the chapters of this report, as well as part of the previous deliverables under this assignment, is summarised in the SWOT analysis below.</w:t>
      </w:r>
    </w:p>
    <w:p w14:paraId="42D3A89B" w14:textId="33DFABE9" w:rsidR="00C76AFA" w:rsidRPr="003516DC" w:rsidRDefault="00C76AFA" w:rsidP="00C76AFA">
      <w:pPr>
        <w:pStyle w:val="Caption"/>
      </w:pPr>
      <w:bookmarkStart w:id="304" w:name="_Toc90726021"/>
      <w:bookmarkStart w:id="305" w:name="_Toc90727318"/>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67</w:t>
      </w:r>
      <w:r w:rsidRPr="003516DC">
        <w:rPr>
          <w:noProof/>
        </w:rPr>
        <w:fldChar w:fldCharType="end"/>
      </w:r>
      <w:r w:rsidRPr="003516DC">
        <w:t xml:space="preserve">: SWOT analysis for Mureș </w:t>
      </w:r>
      <w:r w:rsidR="00F903A3">
        <w:t>C</w:t>
      </w:r>
      <w:r w:rsidRPr="003516DC">
        <w:t>ounty</w:t>
      </w:r>
      <w:bookmarkEnd w:id="304"/>
      <w:bookmarkEnd w:id="30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406"/>
        <w:gridCol w:w="4523"/>
      </w:tblGrid>
      <w:tr w:rsidR="00C76AFA" w:rsidRPr="003516DC" w14:paraId="3B2E0D18" w14:textId="77777777" w:rsidTr="00CA72BD">
        <w:trPr>
          <w:trHeight w:val="360"/>
        </w:trPr>
        <w:tc>
          <w:tcPr>
            <w:tcW w:w="2467" w:type="pct"/>
            <w:shd w:val="clear" w:color="auto" w:fill="002060"/>
            <w:vAlign w:val="center"/>
          </w:tcPr>
          <w:p w14:paraId="4CF82C55" w14:textId="77777777" w:rsidR="00C76AFA" w:rsidRPr="003516DC" w:rsidRDefault="00C76AFA" w:rsidP="00964831">
            <w:pPr>
              <w:jc w:val="center"/>
              <w:rPr>
                <w:rFonts w:ascii="Arial" w:hAnsi="Arial" w:cs="Arial"/>
                <w:b/>
                <w:sz w:val="18"/>
                <w:szCs w:val="18"/>
              </w:rPr>
            </w:pPr>
            <w:r w:rsidRPr="003516DC">
              <w:rPr>
                <w:rFonts w:ascii="Arial" w:hAnsi="Arial" w:cs="Arial"/>
                <w:b/>
                <w:sz w:val="18"/>
                <w:szCs w:val="18"/>
              </w:rPr>
              <w:t>Strengths</w:t>
            </w:r>
          </w:p>
        </w:tc>
        <w:tc>
          <w:tcPr>
            <w:tcW w:w="2533" w:type="pct"/>
            <w:shd w:val="clear" w:color="auto" w:fill="002060"/>
            <w:vAlign w:val="center"/>
          </w:tcPr>
          <w:p w14:paraId="67C9938A" w14:textId="77777777" w:rsidR="00C76AFA" w:rsidRPr="003516DC" w:rsidRDefault="00C76AFA" w:rsidP="00964831">
            <w:pPr>
              <w:jc w:val="center"/>
              <w:rPr>
                <w:rFonts w:ascii="Arial" w:hAnsi="Arial" w:cs="Arial"/>
                <w:b/>
                <w:sz w:val="18"/>
                <w:szCs w:val="18"/>
              </w:rPr>
            </w:pPr>
            <w:r w:rsidRPr="003516DC">
              <w:rPr>
                <w:rFonts w:ascii="Arial" w:hAnsi="Arial" w:cs="Arial"/>
                <w:b/>
                <w:sz w:val="18"/>
                <w:szCs w:val="18"/>
              </w:rPr>
              <w:t>Weaknesses</w:t>
            </w:r>
          </w:p>
        </w:tc>
      </w:tr>
      <w:tr w:rsidR="00C76AFA" w:rsidRPr="003516DC" w14:paraId="09AC4B6E" w14:textId="77777777" w:rsidTr="00CA72BD">
        <w:trPr>
          <w:trHeight w:val="360"/>
        </w:trPr>
        <w:tc>
          <w:tcPr>
            <w:tcW w:w="5000" w:type="pct"/>
            <w:gridSpan w:val="2"/>
            <w:shd w:val="clear" w:color="auto" w:fill="E7E6E6"/>
            <w:vAlign w:val="center"/>
          </w:tcPr>
          <w:p w14:paraId="70B92423"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C76AFA" w:rsidRPr="003516DC" w14:paraId="22B8BCDC" w14:textId="77777777" w:rsidTr="00964831">
        <w:trPr>
          <w:trHeight w:val="737"/>
        </w:trPr>
        <w:tc>
          <w:tcPr>
            <w:tcW w:w="2467" w:type="pct"/>
            <w:tcBorders>
              <w:bottom w:val="single" w:sz="4" w:space="0" w:color="000000"/>
            </w:tcBorders>
          </w:tcPr>
          <w:p w14:paraId="31D6600D" w14:textId="77777777" w:rsidR="00C76AFA" w:rsidRPr="003516DC" w:rsidRDefault="00C76AFA" w:rsidP="00C76AFA">
            <w:pPr>
              <w:numPr>
                <w:ilvl w:val="0"/>
                <w:numId w:val="57"/>
              </w:numPr>
              <w:rPr>
                <w:rFonts w:ascii="Arial" w:hAnsi="Arial" w:cs="Arial"/>
                <w:sz w:val="18"/>
                <w:szCs w:val="18"/>
              </w:rPr>
            </w:pPr>
            <w:r w:rsidRPr="003516DC">
              <w:rPr>
                <w:rFonts w:ascii="Arial" w:hAnsi="Arial" w:cs="Arial"/>
                <w:sz w:val="18"/>
                <w:szCs w:val="18"/>
              </w:rPr>
              <w:t xml:space="preserve">Good implementation capacity </w:t>
            </w:r>
          </w:p>
          <w:p w14:paraId="082FA932" w14:textId="77777777" w:rsidR="00C76AFA" w:rsidRPr="003516DC" w:rsidRDefault="00C76AFA" w:rsidP="00C76AFA">
            <w:pPr>
              <w:numPr>
                <w:ilvl w:val="0"/>
                <w:numId w:val="57"/>
              </w:numPr>
              <w:spacing w:after="160"/>
              <w:rPr>
                <w:rFonts w:ascii="Arial" w:hAnsi="Arial" w:cs="Arial"/>
                <w:sz w:val="18"/>
                <w:szCs w:val="18"/>
              </w:rPr>
            </w:pPr>
            <w:r w:rsidRPr="003516DC">
              <w:rPr>
                <w:rFonts w:ascii="Arial" w:hAnsi="Arial" w:cs="Arial"/>
                <w:sz w:val="18"/>
                <w:szCs w:val="18"/>
              </w:rPr>
              <w:t xml:space="preserve">Well engaged local stakeholders, including from the local community and civil society  </w:t>
            </w:r>
          </w:p>
        </w:tc>
        <w:tc>
          <w:tcPr>
            <w:tcW w:w="2533" w:type="pct"/>
            <w:tcBorders>
              <w:bottom w:val="single" w:sz="4" w:space="0" w:color="000000"/>
            </w:tcBorders>
          </w:tcPr>
          <w:p w14:paraId="277A87CE" w14:textId="77777777" w:rsidR="00C76AFA" w:rsidRPr="003516DC" w:rsidRDefault="00C76AFA" w:rsidP="00C76AFA">
            <w:pPr>
              <w:numPr>
                <w:ilvl w:val="0"/>
                <w:numId w:val="57"/>
              </w:numPr>
              <w:spacing w:after="160"/>
              <w:rPr>
                <w:rFonts w:ascii="Arial" w:hAnsi="Arial" w:cs="Arial"/>
                <w:sz w:val="18"/>
                <w:szCs w:val="18"/>
              </w:rPr>
            </w:pPr>
            <w:r w:rsidRPr="003516DC">
              <w:rPr>
                <w:rFonts w:ascii="Arial" w:hAnsi="Arial" w:cs="Arial"/>
                <w:sz w:val="18"/>
                <w:szCs w:val="18"/>
              </w:rPr>
              <w:t>Overall low experience with integrating climate change mitigation objectives into local strategies and investment pipeline</w:t>
            </w:r>
          </w:p>
        </w:tc>
      </w:tr>
      <w:tr w:rsidR="00C76AFA" w:rsidRPr="003516DC" w14:paraId="2D6844A8" w14:textId="77777777" w:rsidTr="00CA72BD">
        <w:trPr>
          <w:trHeight w:val="360"/>
        </w:trPr>
        <w:tc>
          <w:tcPr>
            <w:tcW w:w="5000" w:type="pct"/>
            <w:gridSpan w:val="2"/>
            <w:shd w:val="clear" w:color="auto" w:fill="F2F2F2" w:themeFill="background1" w:themeFillShade="F2"/>
            <w:vAlign w:val="center"/>
          </w:tcPr>
          <w:p w14:paraId="2432014A" w14:textId="77777777" w:rsidR="00C76AFA" w:rsidRPr="003516DC" w:rsidRDefault="00C76AFA" w:rsidP="00964831">
            <w:pPr>
              <w:shd w:val="clear" w:color="auto" w:fill="E7E6E6"/>
              <w:jc w:val="center"/>
              <w:rPr>
                <w:rFonts w:ascii="Arial" w:hAnsi="Arial" w:cs="Arial"/>
                <w:b/>
                <w:bCs/>
                <w:sz w:val="18"/>
                <w:szCs w:val="18"/>
              </w:rPr>
            </w:pPr>
            <w:r w:rsidRPr="003516DC">
              <w:rPr>
                <w:rFonts w:ascii="Arial" w:hAnsi="Arial" w:cs="Arial"/>
                <w:b/>
                <w:bCs/>
                <w:sz w:val="18"/>
                <w:szCs w:val="18"/>
              </w:rPr>
              <w:t>Economic &amp; Environmental</w:t>
            </w:r>
          </w:p>
        </w:tc>
      </w:tr>
      <w:tr w:rsidR="00C76AFA" w:rsidRPr="003516DC" w14:paraId="49CDCB62" w14:textId="77777777" w:rsidTr="00964831">
        <w:tc>
          <w:tcPr>
            <w:tcW w:w="2467" w:type="pct"/>
          </w:tcPr>
          <w:p w14:paraId="141EB388" w14:textId="77777777" w:rsidR="00C76AFA" w:rsidRPr="003516DC" w:rsidRDefault="00C76AFA" w:rsidP="00C76AFA">
            <w:pPr>
              <w:numPr>
                <w:ilvl w:val="0"/>
                <w:numId w:val="58"/>
              </w:numPr>
              <w:rPr>
                <w:rFonts w:ascii="Arial" w:hAnsi="Arial" w:cs="Arial"/>
                <w:sz w:val="18"/>
                <w:szCs w:val="18"/>
              </w:rPr>
            </w:pPr>
            <w:r w:rsidRPr="003516DC">
              <w:rPr>
                <w:rFonts w:ascii="Arial" w:hAnsi="Arial" w:cs="Arial"/>
                <w:sz w:val="18"/>
                <w:szCs w:val="18"/>
              </w:rPr>
              <w:t>Positive trends in terms of economic diversification potential</w:t>
            </w:r>
          </w:p>
          <w:p w14:paraId="78DA1B5B" w14:textId="77777777" w:rsidR="00C76AFA" w:rsidRPr="003516DC" w:rsidRDefault="00C76AFA" w:rsidP="00C76AFA">
            <w:pPr>
              <w:numPr>
                <w:ilvl w:val="0"/>
                <w:numId w:val="58"/>
              </w:numPr>
              <w:rPr>
                <w:rFonts w:ascii="Arial" w:hAnsi="Arial" w:cs="Arial"/>
                <w:sz w:val="18"/>
                <w:szCs w:val="18"/>
              </w:rPr>
            </w:pPr>
            <w:r w:rsidRPr="003516DC">
              <w:rPr>
                <w:rFonts w:ascii="Arial" w:hAnsi="Arial" w:cs="Arial"/>
                <w:sz w:val="18"/>
                <w:szCs w:val="18"/>
              </w:rPr>
              <w:t>Well ranked and forward-looking local universities</w:t>
            </w:r>
          </w:p>
          <w:p w14:paraId="62585FAD" w14:textId="77777777" w:rsidR="00C76AFA" w:rsidRPr="003516DC" w:rsidRDefault="00C76AFA" w:rsidP="00C76AFA">
            <w:pPr>
              <w:numPr>
                <w:ilvl w:val="0"/>
                <w:numId w:val="58"/>
              </w:numPr>
              <w:rPr>
                <w:rFonts w:ascii="Arial" w:hAnsi="Arial" w:cs="Arial"/>
                <w:sz w:val="18"/>
                <w:szCs w:val="18"/>
              </w:rPr>
            </w:pPr>
            <w:r w:rsidRPr="003516DC">
              <w:rPr>
                <w:rFonts w:ascii="Arial" w:hAnsi="Arial" w:cs="Arial"/>
                <w:sz w:val="18"/>
                <w:szCs w:val="18"/>
              </w:rPr>
              <w:t>Potential for solar renewable energy, still to be exploited</w:t>
            </w:r>
          </w:p>
          <w:p w14:paraId="735B6628" w14:textId="77777777" w:rsidR="00C76AFA" w:rsidRPr="003516DC" w:rsidRDefault="00C76AFA" w:rsidP="00C76AFA">
            <w:pPr>
              <w:numPr>
                <w:ilvl w:val="0"/>
                <w:numId w:val="58"/>
              </w:numPr>
              <w:spacing w:after="160"/>
              <w:rPr>
                <w:rFonts w:ascii="Arial" w:hAnsi="Arial" w:cs="Arial"/>
                <w:sz w:val="18"/>
                <w:szCs w:val="18"/>
              </w:rPr>
            </w:pPr>
            <w:r w:rsidRPr="003516DC">
              <w:rPr>
                <w:rFonts w:ascii="Arial" w:hAnsi="Arial" w:cs="Arial"/>
                <w:sz w:val="18"/>
                <w:szCs w:val="18"/>
              </w:rPr>
              <w:t>Existence of knowledge-intensive and innovative local companies (SMEs and large companies) with concrete investment plans in digitalisation, carbon reduction, technology transfer, etc.</w:t>
            </w:r>
          </w:p>
        </w:tc>
        <w:tc>
          <w:tcPr>
            <w:tcW w:w="2533" w:type="pct"/>
          </w:tcPr>
          <w:p w14:paraId="146B0578" w14:textId="77777777" w:rsidR="00C76AFA" w:rsidRPr="003516DC" w:rsidRDefault="00C76AFA" w:rsidP="00C76AFA">
            <w:pPr>
              <w:numPr>
                <w:ilvl w:val="0"/>
                <w:numId w:val="57"/>
              </w:numPr>
              <w:rPr>
                <w:rFonts w:ascii="Arial" w:hAnsi="Arial" w:cs="Arial"/>
                <w:sz w:val="18"/>
                <w:szCs w:val="18"/>
              </w:rPr>
            </w:pPr>
            <w:r w:rsidRPr="003516DC">
              <w:rPr>
                <w:rFonts w:ascii="Arial" w:hAnsi="Arial" w:cs="Arial"/>
                <w:sz w:val="18"/>
                <w:szCs w:val="18"/>
              </w:rPr>
              <w:t xml:space="preserve">Local companies whose activity is tied to gas are difficult to switch to other business models, as gas is both core to their product range as well as demanded on a consistent national and international market </w:t>
            </w:r>
          </w:p>
          <w:p w14:paraId="68BD86A9" w14:textId="77777777" w:rsidR="00C76AFA" w:rsidRPr="003516DC" w:rsidRDefault="00C76AFA" w:rsidP="00C76AFA">
            <w:pPr>
              <w:numPr>
                <w:ilvl w:val="0"/>
                <w:numId w:val="57"/>
              </w:numPr>
              <w:rPr>
                <w:rFonts w:ascii="Arial" w:hAnsi="Arial" w:cs="Arial"/>
                <w:sz w:val="18"/>
                <w:szCs w:val="18"/>
              </w:rPr>
            </w:pPr>
            <w:r w:rsidRPr="003516DC">
              <w:rPr>
                <w:rFonts w:ascii="Arial" w:hAnsi="Arial" w:cs="Arial"/>
                <w:sz w:val="18"/>
                <w:szCs w:val="18"/>
              </w:rPr>
              <w:t>The smaller demographic size of Mureș / Târgu Mureș also implies less sizeable agglomeration economies and imposes a barrier to local business growth.</w:t>
            </w:r>
          </w:p>
          <w:p w14:paraId="49E3F8D4" w14:textId="77777777" w:rsidR="00C76AFA" w:rsidRPr="003516DC" w:rsidRDefault="00C76AFA" w:rsidP="00C76AFA">
            <w:pPr>
              <w:numPr>
                <w:ilvl w:val="0"/>
                <w:numId w:val="57"/>
              </w:numPr>
              <w:spacing w:after="160"/>
              <w:rPr>
                <w:rFonts w:ascii="Arial" w:hAnsi="Arial" w:cs="Arial"/>
                <w:sz w:val="18"/>
                <w:szCs w:val="18"/>
              </w:rPr>
            </w:pPr>
            <w:r w:rsidRPr="003516DC">
              <w:rPr>
                <w:rFonts w:ascii="Arial" w:hAnsi="Arial" w:cs="Arial"/>
                <w:sz w:val="18"/>
                <w:szCs w:val="18"/>
              </w:rPr>
              <w:t>Pollution generated by different processing activities involving gas.</w:t>
            </w:r>
          </w:p>
        </w:tc>
      </w:tr>
      <w:tr w:rsidR="00C76AFA" w:rsidRPr="003516DC" w14:paraId="641B23DD" w14:textId="77777777" w:rsidTr="00CA72BD">
        <w:trPr>
          <w:trHeight w:val="360"/>
        </w:trPr>
        <w:tc>
          <w:tcPr>
            <w:tcW w:w="5000" w:type="pct"/>
            <w:gridSpan w:val="2"/>
            <w:shd w:val="clear" w:color="auto" w:fill="E7E6E6"/>
            <w:vAlign w:val="center"/>
          </w:tcPr>
          <w:p w14:paraId="77005DCB"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Social &amp; Cultural</w:t>
            </w:r>
          </w:p>
        </w:tc>
      </w:tr>
      <w:tr w:rsidR="00C76AFA" w:rsidRPr="003516DC" w14:paraId="12AB1803" w14:textId="77777777" w:rsidTr="00964831">
        <w:tc>
          <w:tcPr>
            <w:tcW w:w="2467" w:type="pct"/>
          </w:tcPr>
          <w:p w14:paraId="003BBD84" w14:textId="77777777" w:rsidR="00C76AFA" w:rsidRPr="003516DC" w:rsidRDefault="00C76AFA" w:rsidP="00C76AFA">
            <w:pPr>
              <w:numPr>
                <w:ilvl w:val="0"/>
                <w:numId w:val="54"/>
              </w:numPr>
              <w:spacing w:after="160"/>
              <w:rPr>
                <w:rFonts w:ascii="Arial" w:hAnsi="Arial" w:cs="Arial"/>
                <w:sz w:val="18"/>
                <w:szCs w:val="18"/>
              </w:rPr>
            </w:pPr>
            <w:r w:rsidRPr="003516DC">
              <w:rPr>
                <w:rFonts w:ascii="Arial" w:hAnsi="Arial" w:cs="Arial"/>
                <w:sz w:val="18"/>
                <w:szCs w:val="18"/>
              </w:rPr>
              <w:t>Târgu Mureș is perceived as increasingly attractive in terms of quality of life.</w:t>
            </w:r>
          </w:p>
        </w:tc>
        <w:tc>
          <w:tcPr>
            <w:tcW w:w="2533" w:type="pct"/>
          </w:tcPr>
          <w:p w14:paraId="0EE21778" w14:textId="77777777" w:rsidR="00C76AFA" w:rsidRPr="003516DC" w:rsidRDefault="00C76AFA" w:rsidP="00C76AFA">
            <w:pPr>
              <w:numPr>
                <w:ilvl w:val="0"/>
                <w:numId w:val="54"/>
              </w:numPr>
              <w:spacing w:after="160"/>
              <w:rPr>
                <w:rFonts w:ascii="Arial" w:hAnsi="Arial" w:cs="Arial"/>
                <w:sz w:val="18"/>
                <w:szCs w:val="18"/>
              </w:rPr>
            </w:pPr>
            <w:r w:rsidRPr="003516DC">
              <w:rPr>
                <w:rFonts w:ascii="Arial" w:hAnsi="Arial" w:cs="Arial"/>
                <w:sz w:val="18"/>
                <w:szCs w:val="18"/>
              </w:rPr>
              <w:t>Poverty and marginalisation still pose a challenge to different groups to access the labour market.</w:t>
            </w:r>
          </w:p>
        </w:tc>
      </w:tr>
      <w:tr w:rsidR="00C76AFA" w:rsidRPr="003516DC" w14:paraId="434CDDDF" w14:textId="77777777" w:rsidTr="00CA72BD">
        <w:trPr>
          <w:trHeight w:val="360"/>
        </w:trPr>
        <w:tc>
          <w:tcPr>
            <w:tcW w:w="5000" w:type="pct"/>
            <w:gridSpan w:val="2"/>
            <w:shd w:val="clear" w:color="auto" w:fill="E7E6E6"/>
            <w:vAlign w:val="center"/>
          </w:tcPr>
          <w:p w14:paraId="48C4DC86"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Technological</w:t>
            </w:r>
          </w:p>
        </w:tc>
      </w:tr>
      <w:tr w:rsidR="00C76AFA" w:rsidRPr="003516DC" w14:paraId="182D07D2" w14:textId="77777777" w:rsidTr="00964831">
        <w:trPr>
          <w:trHeight w:val="673"/>
        </w:trPr>
        <w:tc>
          <w:tcPr>
            <w:tcW w:w="2467" w:type="pct"/>
          </w:tcPr>
          <w:p w14:paraId="76E89437" w14:textId="77777777" w:rsidR="00C76AFA" w:rsidRPr="003516DC" w:rsidRDefault="00C76AFA" w:rsidP="00C76AFA">
            <w:pPr>
              <w:numPr>
                <w:ilvl w:val="0"/>
                <w:numId w:val="58"/>
              </w:numPr>
              <w:spacing w:after="160"/>
              <w:rPr>
                <w:rFonts w:ascii="Arial" w:hAnsi="Arial" w:cs="Arial"/>
                <w:sz w:val="18"/>
                <w:szCs w:val="18"/>
              </w:rPr>
            </w:pPr>
            <w:r w:rsidRPr="003516DC">
              <w:rPr>
                <w:rFonts w:ascii="Arial" w:hAnsi="Arial" w:cs="Arial"/>
                <w:sz w:val="18"/>
                <w:szCs w:val="18"/>
              </w:rPr>
              <w:t>Growth of knowledge and technology intensive sectors (such as ITC, pharmaceuticals etc.).</w:t>
            </w:r>
          </w:p>
        </w:tc>
        <w:tc>
          <w:tcPr>
            <w:tcW w:w="2533" w:type="pct"/>
          </w:tcPr>
          <w:p w14:paraId="538B0AE0" w14:textId="77777777" w:rsidR="00C76AFA" w:rsidRPr="003516DC" w:rsidRDefault="00C76AFA" w:rsidP="00C76AFA">
            <w:pPr>
              <w:numPr>
                <w:ilvl w:val="0"/>
                <w:numId w:val="58"/>
              </w:numPr>
              <w:spacing w:after="160"/>
              <w:rPr>
                <w:rFonts w:ascii="Arial" w:hAnsi="Arial" w:cs="Arial"/>
                <w:sz w:val="18"/>
                <w:szCs w:val="18"/>
              </w:rPr>
            </w:pPr>
            <w:r w:rsidRPr="003516DC">
              <w:rPr>
                <w:rFonts w:ascii="Arial" w:hAnsi="Arial" w:cs="Arial"/>
                <w:sz w:val="18"/>
                <w:szCs w:val="18"/>
              </w:rPr>
              <w:t>The availability of high skilled human resources, capital for technological upgrading and venture funding for high-risk innovation driven economic activities are a consistent barrier to more technology intensive activities.</w:t>
            </w:r>
          </w:p>
        </w:tc>
      </w:tr>
      <w:tr w:rsidR="00C76AFA" w:rsidRPr="003516DC" w14:paraId="0C3FE714" w14:textId="77777777" w:rsidTr="00CA72BD">
        <w:trPr>
          <w:trHeight w:val="360"/>
        </w:trPr>
        <w:tc>
          <w:tcPr>
            <w:tcW w:w="2467" w:type="pct"/>
            <w:shd w:val="clear" w:color="auto" w:fill="002060"/>
            <w:vAlign w:val="center"/>
          </w:tcPr>
          <w:p w14:paraId="1291D1F8" w14:textId="77777777" w:rsidR="00C76AFA" w:rsidRPr="003516DC" w:rsidRDefault="00C76AFA" w:rsidP="00964831">
            <w:pPr>
              <w:jc w:val="center"/>
              <w:rPr>
                <w:rFonts w:ascii="Arial" w:hAnsi="Arial" w:cs="Arial"/>
                <w:b/>
                <w:sz w:val="18"/>
                <w:szCs w:val="18"/>
              </w:rPr>
            </w:pPr>
            <w:r w:rsidRPr="003516DC">
              <w:rPr>
                <w:rFonts w:ascii="Arial" w:hAnsi="Arial" w:cs="Arial"/>
                <w:b/>
                <w:sz w:val="18"/>
                <w:szCs w:val="18"/>
              </w:rPr>
              <w:t>Opportunities</w:t>
            </w:r>
          </w:p>
        </w:tc>
        <w:tc>
          <w:tcPr>
            <w:tcW w:w="2533" w:type="pct"/>
            <w:shd w:val="clear" w:color="auto" w:fill="002060"/>
            <w:vAlign w:val="center"/>
          </w:tcPr>
          <w:p w14:paraId="7F30BFED" w14:textId="77777777" w:rsidR="00C76AFA" w:rsidRPr="003516DC" w:rsidRDefault="00C76AFA" w:rsidP="00964831">
            <w:pPr>
              <w:jc w:val="center"/>
              <w:rPr>
                <w:rFonts w:ascii="Arial" w:hAnsi="Arial" w:cs="Arial"/>
                <w:b/>
                <w:sz w:val="18"/>
                <w:szCs w:val="18"/>
              </w:rPr>
            </w:pPr>
            <w:r w:rsidRPr="003516DC">
              <w:rPr>
                <w:rFonts w:ascii="Arial" w:hAnsi="Arial" w:cs="Arial"/>
                <w:b/>
                <w:sz w:val="18"/>
                <w:szCs w:val="18"/>
              </w:rPr>
              <w:t>Threats</w:t>
            </w:r>
          </w:p>
        </w:tc>
      </w:tr>
      <w:tr w:rsidR="00C76AFA" w:rsidRPr="003516DC" w14:paraId="6A64C3A8" w14:textId="77777777" w:rsidTr="00CA72BD">
        <w:trPr>
          <w:trHeight w:val="360"/>
        </w:trPr>
        <w:tc>
          <w:tcPr>
            <w:tcW w:w="5000" w:type="pct"/>
            <w:gridSpan w:val="2"/>
            <w:shd w:val="clear" w:color="auto" w:fill="E7E6E6"/>
            <w:vAlign w:val="center"/>
          </w:tcPr>
          <w:p w14:paraId="0A90A709"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Political &amp; Administrative</w:t>
            </w:r>
          </w:p>
        </w:tc>
      </w:tr>
      <w:tr w:rsidR="00C76AFA" w:rsidRPr="003516DC" w14:paraId="5FC1EE4D" w14:textId="77777777" w:rsidTr="00964831">
        <w:trPr>
          <w:trHeight w:val="699"/>
        </w:trPr>
        <w:tc>
          <w:tcPr>
            <w:tcW w:w="2467" w:type="pct"/>
          </w:tcPr>
          <w:p w14:paraId="36B2F77F" w14:textId="77777777" w:rsidR="00C76AFA" w:rsidRPr="003516DC" w:rsidRDefault="00C76AFA" w:rsidP="00C76AFA">
            <w:pPr>
              <w:numPr>
                <w:ilvl w:val="0"/>
                <w:numId w:val="55"/>
              </w:numPr>
              <w:rPr>
                <w:rFonts w:ascii="Arial" w:hAnsi="Arial" w:cs="Arial"/>
                <w:sz w:val="18"/>
                <w:szCs w:val="18"/>
              </w:rPr>
            </w:pPr>
            <w:r w:rsidRPr="003516DC">
              <w:rPr>
                <w:rFonts w:ascii="Arial" w:hAnsi="Arial" w:cs="Arial"/>
                <w:sz w:val="18"/>
                <w:szCs w:val="18"/>
              </w:rPr>
              <w:t>Favourable national and EU context for pushing for energy transition objectives and funding.</w:t>
            </w:r>
          </w:p>
          <w:p w14:paraId="0ACD9975" w14:textId="77777777" w:rsidR="00C76AFA" w:rsidRPr="003516DC" w:rsidRDefault="00C76AFA" w:rsidP="00C76AFA">
            <w:pPr>
              <w:numPr>
                <w:ilvl w:val="0"/>
                <w:numId w:val="55"/>
              </w:numPr>
              <w:spacing w:after="160"/>
              <w:rPr>
                <w:rFonts w:ascii="Arial" w:hAnsi="Arial" w:cs="Arial"/>
                <w:sz w:val="18"/>
                <w:szCs w:val="18"/>
              </w:rPr>
            </w:pPr>
            <w:r w:rsidRPr="003516DC">
              <w:rPr>
                <w:rFonts w:ascii="Arial" w:hAnsi="Arial" w:cs="Arial"/>
                <w:sz w:val="18"/>
                <w:szCs w:val="18"/>
              </w:rPr>
              <w:t>Available EU and national funded investment opportunities helping tackle Mureș needs.</w:t>
            </w:r>
          </w:p>
        </w:tc>
        <w:tc>
          <w:tcPr>
            <w:tcW w:w="2533" w:type="pct"/>
          </w:tcPr>
          <w:p w14:paraId="0C84DA93" w14:textId="77777777" w:rsidR="00C76AFA" w:rsidRPr="003516DC" w:rsidRDefault="00C76AFA" w:rsidP="00C76AFA">
            <w:pPr>
              <w:numPr>
                <w:ilvl w:val="0"/>
                <w:numId w:val="55"/>
              </w:numPr>
              <w:spacing w:after="160"/>
              <w:jc w:val="both"/>
              <w:rPr>
                <w:rFonts w:ascii="Arial" w:hAnsi="Arial" w:cs="Arial"/>
                <w:sz w:val="18"/>
                <w:szCs w:val="18"/>
              </w:rPr>
            </w:pPr>
            <w:r w:rsidRPr="003516DC">
              <w:rPr>
                <w:rFonts w:ascii="Arial" w:hAnsi="Arial" w:cs="Arial"/>
                <w:sz w:val="18"/>
                <w:szCs w:val="18"/>
              </w:rPr>
              <w:t>Unclear policies and targets regarding the role and use of gas will influence capacity of local stakeholders to anticipate and adapt to changes.</w:t>
            </w:r>
          </w:p>
        </w:tc>
      </w:tr>
      <w:tr w:rsidR="00C76AFA" w:rsidRPr="003516DC" w14:paraId="01128276" w14:textId="77777777" w:rsidTr="00CA72BD">
        <w:trPr>
          <w:trHeight w:val="360"/>
        </w:trPr>
        <w:tc>
          <w:tcPr>
            <w:tcW w:w="5000" w:type="pct"/>
            <w:gridSpan w:val="2"/>
            <w:shd w:val="clear" w:color="auto" w:fill="E7E6E6"/>
            <w:vAlign w:val="center"/>
          </w:tcPr>
          <w:p w14:paraId="2DDFE2F4"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Economic &amp; Environmental</w:t>
            </w:r>
          </w:p>
        </w:tc>
      </w:tr>
      <w:tr w:rsidR="00C76AFA" w:rsidRPr="003516DC" w14:paraId="6F5E7FFD" w14:textId="77777777" w:rsidTr="00964831">
        <w:trPr>
          <w:trHeight w:val="621"/>
        </w:trPr>
        <w:tc>
          <w:tcPr>
            <w:tcW w:w="2467" w:type="pct"/>
          </w:tcPr>
          <w:p w14:paraId="3E2397D9" w14:textId="77777777" w:rsidR="00C76AFA" w:rsidRPr="003516DC" w:rsidRDefault="00C76AFA" w:rsidP="00C76AFA">
            <w:pPr>
              <w:numPr>
                <w:ilvl w:val="0"/>
                <w:numId w:val="56"/>
              </w:numPr>
              <w:spacing w:after="160"/>
              <w:rPr>
                <w:rFonts w:ascii="Arial" w:hAnsi="Arial" w:cs="Arial"/>
                <w:sz w:val="18"/>
                <w:szCs w:val="18"/>
              </w:rPr>
            </w:pPr>
            <w:r w:rsidRPr="003516DC">
              <w:rPr>
                <w:rFonts w:ascii="Arial" w:hAnsi="Arial" w:cs="Arial"/>
                <w:sz w:val="18"/>
                <w:szCs w:val="18"/>
              </w:rPr>
              <w:t>Planned national investments in the highway system increasing connectedness of Mureș, essential for its sustainable economic competitiveness.</w:t>
            </w:r>
          </w:p>
        </w:tc>
        <w:tc>
          <w:tcPr>
            <w:tcW w:w="2533" w:type="pct"/>
          </w:tcPr>
          <w:p w14:paraId="76853566" w14:textId="77777777" w:rsidR="00C76AFA" w:rsidRPr="003516DC" w:rsidRDefault="00C76AFA" w:rsidP="00C76AFA">
            <w:pPr>
              <w:pStyle w:val="ListParagraph"/>
              <w:numPr>
                <w:ilvl w:val="0"/>
                <w:numId w:val="56"/>
              </w:numPr>
              <w:spacing w:after="160" w:line="240" w:lineRule="auto"/>
              <w:rPr>
                <w:sz w:val="18"/>
                <w:szCs w:val="18"/>
              </w:rPr>
            </w:pPr>
            <w:r w:rsidRPr="003516DC">
              <w:rPr>
                <w:sz w:val="18"/>
                <w:szCs w:val="18"/>
              </w:rPr>
              <w:t>Attractiveness for qualified labour force and high-tech industries in neighbouring counties which offer better quality of life.</w:t>
            </w:r>
          </w:p>
        </w:tc>
      </w:tr>
      <w:tr w:rsidR="00C76AFA" w:rsidRPr="003516DC" w14:paraId="00B6E97E" w14:textId="77777777" w:rsidTr="00CA72BD">
        <w:trPr>
          <w:trHeight w:val="360"/>
        </w:trPr>
        <w:tc>
          <w:tcPr>
            <w:tcW w:w="5000" w:type="pct"/>
            <w:gridSpan w:val="2"/>
            <w:shd w:val="clear" w:color="auto" w:fill="E7E6E6"/>
            <w:vAlign w:val="center"/>
          </w:tcPr>
          <w:p w14:paraId="17610985"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Social &amp; Cultural</w:t>
            </w:r>
          </w:p>
        </w:tc>
      </w:tr>
      <w:tr w:rsidR="00C76AFA" w:rsidRPr="003516DC" w14:paraId="721AA85C" w14:textId="77777777" w:rsidTr="00964831">
        <w:tc>
          <w:tcPr>
            <w:tcW w:w="2467" w:type="pct"/>
          </w:tcPr>
          <w:p w14:paraId="042846C4" w14:textId="77777777" w:rsidR="00C76AFA" w:rsidRPr="003516DC" w:rsidRDefault="00C76AFA" w:rsidP="00E42342">
            <w:pPr>
              <w:pStyle w:val="ListParagraph"/>
              <w:numPr>
                <w:ilvl w:val="0"/>
                <w:numId w:val="104"/>
              </w:numPr>
              <w:spacing w:line="240" w:lineRule="auto"/>
              <w:rPr>
                <w:sz w:val="18"/>
                <w:szCs w:val="18"/>
              </w:rPr>
            </w:pPr>
            <w:r w:rsidRPr="003516DC">
              <w:rPr>
                <w:sz w:val="18"/>
                <w:szCs w:val="18"/>
              </w:rPr>
              <w:t>Slowly growing attractiveness for talent attraction in the county.</w:t>
            </w:r>
          </w:p>
        </w:tc>
        <w:tc>
          <w:tcPr>
            <w:tcW w:w="2533" w:type="pct"/>
          </w:tcPr>
          <w:p w14:paraId="182F8554" w14:textId="77777777" w:rsidR="00C76AFA" w:rsidRPr="003516DC" w:rsidRDefault="00C76AFA" w:rsidP="00C76AFA">
            <w:pPr>
              <w:numPr>
                <w:ilvl w:val="0"/>
                <w:numId w:val="55"/>
              </w:numPr>
              <w:spacing w:after="160"/>
              <w:rPr>
                <w:rFonts w:ascii="Arial" w:hAnsi="Arial" w:cs="Arial"/>
                <w:sz w:val="18"/>
                <w:szCs w:val="18"/>
              </w:rPr>
            </w:pPr>
            <w:r w:rsidRPr="003516DC">
              <w:rPr>
                <w:rFonts w:ascii="Arial" w:hAnsi="Arial" w:cs="Arial"/>
                <w:sz w:val="18"/>
                <w:szCs w:val="18"/>
              </w:rPr>
              <w:t>Exacerbation of poverty and exclusion, in lack of long term, sustained efforts to combat these.</w:t>
            </w:r>
          </w:p>
        </w:tc>
      </w:tr>
      <w:tr w:rsidR="00C76AFA" w:rsidRPr="003516DC" w14:paraId="07DC612F" w14:textId="77777777" w:rsidTr="00CA72BD">
        <w:trPr>
          <w:trHeight w:val="360"/>
        </w:trPr>
        <w:tc>
          <w:tcPr>
            <w:tcW w:w="5000" w:type="pct"/>
            <w:gridSpan w:val="2"/>
            <w:shd w:val="clear" w:color="auto" w:fill="E7E6E6"/>
            <w:vAlign w:val="center"/>
          </w:tcPr>
          <w:p w14:paraId="03B9BEE1" w14:textId="77777777" w:rsidR="00C76AFA" w:rsidRPr="003516DC" w:rsidRDefault="00C76AFA" w:rsidP="00964831">
            <w:pPr>
              <w:jc w:val="center"/>
              <w:rPr>
                <w:rFonts w:ascii="Arial" w:hAnsi="Arial" w:cs="Arial"/>
                <w:b/>
                <w:bCs/>
                <w:sz w:val="18"/>
                <w:szCs w:val="18"/>
              </w:rPr>
            </w:pPr>
            <w:r w:rsidRPr="003516DC">
              <w:rPr>
                <w:rFonts w:ascii="Arial" w:hAnsi="Arial" w:cs="Arial"/>
                <w:b/>
                <w:bCs/>
                <w:sz w:val="18"/>
                <w:szCs w:val="18"/>
              </w:rPr>
              <w:t>Technological</w:t>
            </w:r>
          </w:p>
        </w:tc>
      </w:tr>
      <w:tr w:rsidR="00C76AFA" w:rsidRPr="003516DC" w14:paraId="58785E48" w14:textId="77777777" w:rsidTr="00964831">
        <w:trPr>
          <w:trHeight w:val="827"/>
        </w:trPr>
        <w:tc>
          <w:tcPr>
            <w:tcW w:w="2467" w:type="pct"/>
          </w:tcPr>
          <w:p w14:paraId="2C88F854" w14:textId="77777777" w:rsidR="00C76AFA" w:rsidRPr="003516DC" w:rsidRDefault="00C76AFA" w:rsidP="00C76AFA">
            <w:pPr>
              <w:numPr>
                <w:ilvl w:val="0"/>
                <w:numId w:val="55"/>
              </w:numPr>
              <w:spacing w:after="160"/>
              <w:rPr>
                <w:rFonts w:ascii="Arial" w:hAnsi="Arial" w:cs="Arial"/>
                <w:sz w:val="18"/>
                <w:szCs w:val="18"/>
              </w:rPr>
            </w:pPr>
            <w:r w:rsidRPr="003516DC">
              <w:rPr>
                <w:rFonts w:ascii="Arial" w:hAnsi="Arial" w:cs="Arial"/>
                <w:sz w:val="18"/>
                <w:szCs w:val="18"/>
              </w:rPr>
              <w:t xml:space="preserve">Public financing prospects for technological and digitisation upgrades. </w:t>
            </w:r>
          </w:p>
        </w:tc>
        <w:tc>
          <w:tcPr>
            <w:tcW w:w="2533" w:type="pct"/>
          </w:tcPr>
          <w:p w14:paraId="1DAB8775" w14:textId="77777777" w:rsidR="00C76AFA" w:rsidRPr="003516DC" w:rsidRDefault="00C76AFA" w:rsidP="00C76AFA">
            <w:pPr>
              <w:numPr>
                <w:ilvl w:val="0"/>
                <w:numId w:val="55"/>
              </w:numPr>
              <w:spacing w:after="160"/>
              <w:rPr>
                <w:rFonts w:ascii="Arial" w:hAnsi="Arial" w:cs="Arial"/>
                <w:sz w:val="18"/>
                <w:szCs w:val="18"/>
              </w:rPr>
            </w:pPr>
            <w:r w:rsidRPr="003516DC">
              <w:rPr>
                <w:rFonts w:ascii="Arial" w:hAnsi="Arial" w:cs="Arial"/>
                <w:sz w:val="18"/>
                <w:szCs w:val="18"/>
              </w:rPr>
              <w:t>Increased technological competition by businesses in other locations, favoured by increasingly connected markets and globalisation.</w:t>
            </w:r>
          </w:p>
        </w:tc>
      </w:tr>
    </w:tbl>
    <w:p w14:paraId="4E912590" w14:textId="349957C3" w:rsidR="00C76AFA" w:rsidRPr="003516DC" w:rsidRDefault="00C76AFA" w:rsidP="00CA72BD">
      <w:pPr>
        <w:spacing w:before="120" w:after="120"/>
        <w:rPr>
          <w:rFonts w:ascii="Arial" w:hAnsi="Arial" w:cs="Arial"/>
          <w:bCs/>
          <w:i/>
          <w:iCs/>
          <w:color w:val="0070C0"/>
          <w:sz w:val="20"/>
          <w:szCs w:val="20"/>
        </w:rPr>
      </w:pPr>
      <w:r w:rsidRPr="003516DC">
        <w:rPr>
          <w:rFonts w:ascii="Arial" w:hAnsi="Arial" w:cs="Arial"/>
          <w:bCs/>
          <w:i/>
          <w:iCs/>
          <w:color w:val="0070C0"/>
          <w:sz w:val="20"/>
          <w:szCs w:val="20"/>
        </w:rPr>
        <w:lastRenderedPageBreak/>
        <w:t>Strategic outlook</w:t>
      </w:r>
    </w:p>
    <w:p w14:paraId="06AE2727" w14:textId="3DD65ED1" w:rsidR="00C76AFA" w:rsidRPr="003516DC" w:rsidRDefault="00C76AFA" w:rsidP="00CA72BD">
      <w:pPr>
        <w:spacing w:after="120"/>
        <w:jc w:val="both"/>
        <w:rPr>
          <w:rFonts w:ascii="Arial" w:hAnsi="Arial" w:cs="Arial"/>
          <w:sz w:val="20"/>
          <w:szCs w:val="20"/>
        </w:rPr>
      </w:pPr>
      <w:r w:rsidRPr="003516DC">
        <w:rPr>
          <w:rFonts w:ascii="Arial" w:hAnsi="Arial" w:cs="Arial"/>
          <w:sz w:val="20"/>
          <w:szCs w:val="20"/>
        </w:rPr>
        <w:t>Mureș county is the stronghold of Romanian gas extraction. Pipelines from this county feed households and businesses across the entire country. Natural gas has a distinctive position on the energy transition agenda, as it pollutes less than other fossil fuels and the use of it is still in expansion and on the public investment agenda. In this respect, the energy transition in Mureș is challenging to tackle, as long as gas is still an important energy source nationally and an important production input for large local businesses such as the fertilizers company Azo</w:t>
      </w:r>
      <w:r w:rsidR="00CA72BD">
        <w:rPr>
          <w:rFonts w:ascii="Arial" w:hAnsi="Arial" w:cs="Arial"/>
          <w:sz w:val="20"/>
          <w:szCs w:val="20"/>
        </w:rPr>
        <w:t>m</w:t>
      </w:r>
      <w:r w:rsidRPr="003516DC">
        <w:rPr>
          <w:rFonts w:ascii="Arial" w:hAnsi="Arial" w:cs="Arial"/>
          <w:sz w:val="20"/>
          <w:szCs w:val="20"/>
        </w:rPr>
        <w:t>ureș.</w:t>
      </w:r>
    </w:p>
    <w:p w14:paraId="1D8CD849" w14:textId="64005030" w:rsidR="00C76AFA" w:rsidRPr="003516DC" w:rsidRDefault="00C76AFA" w:rsidP="00CA72BD">
      <w:pPr>
        <w:spacing w:after="120"/>
        <w:jc w:val="both"/>
        <w:rPr>
          <w:rFonts w:ascii="Arial" w:hAnsi="Arial" w:cs="Arial"/>
          <w:sz w:val="20"/>
          <w:szCs w:val="20"/>
        </w:rPr>
      </w:pPr>
      <w:r w:rsidRPr="003516DC">
        <w:rPr>
          <w:rFonts w:ascii="Arial" w:hAnsi="Arial" w:cs="Arial"/>
          <w:sz w:val="20"/>
          <w:szCs w:val="20"/>
        </w:rPr>
        <w:t>The production and distribution of gas is still an important business sector and employer in Mureș, as well as the chemical industry pertaining to gas-derivate products. Mureș has positive trends in business diversification than can be capitalised on, combined with an increasingly competitive university centre and good prospects in terms of planned investments for improved connectivity. In this context, the just transition agenda must feature several key strategic elements listed below:</w:t>
      </w:r>
    </w:p>
    <w:p w14:paraId="3F5232C6" w14:textId="77777777" w:rsidR="00C76AFA" w:rsidRPr="003516DC" w:rsidRDefault="00C76AFA" w:rsidP="00C76AFA">
      <w:pPr>
        <w:pStyle w:val="ListParagraph"/>
        <w:numPr>
          <w:ilvl w:val="0"/>
          <w:numId w:val="59"/>
        </w:numPr>
        <w:spacing w:line="240" w:lineRule="auto"/>
        <w:ind w:left="360"/>
        <w:jc w:val="both"/>
        <w:rPr>
          <w:sz w:val="20"/>
          <w:szCs w:val="20"/>
        </w:rPr>
      </w:pPr>
      <w:r w:rsidRPr="003516DC">
        <w:rPr>
          <w:sz w:val="20"/>
          <w:szCs w:val="20"/>
        </w:rPr>
        <w:t xml:space="preserve">Investments in technology upgrading, business acceleration and accessing of new markets to help diversify the local economy and create cleaner, better paid jobs. In this respect, Mureș has several emerging business sectors than can be further capitalized on: medtech, pharmaceuticals, ITC, health are just a few of them etc. Less technology intensive sectors such as wood processing, the garments and food industry could continue to be significant employers but may become more sustainable and generate better paid jobs provided that business models are helped to switch to higher value-added products. </w:t>
      </w:r>
    </w:p>
    <w:p w14:paraId="4F72AFFE" w14:textId="77777777" w:rsidR="00C76AFA" w:rsidRPr="003516DC" w:rsidRDefault="00C76AFA" w:rsidP="00C76AFA">
      <w:pPr>
        <w:jc w:val="both"/>
        <w:rPr>
          <w:rFonts w:ascii="Arial" w:hAnsi="Arial" w:cs="Arial"/>
          <w:sz w:val="8"/>
        </w:rPr>
      </w:pPr>
    </w:p>
    <w:p w14:paraId="7DD689D9" w14:textId="77777777" w:rsidR="00C76AFA" w:rsidRPr="003516DC" w:rsidRDefault="00C76AFA" w:rsidP="00C76AFA">
      <w:pPr>
        <w:pStyle w:val="ListParagraph"/>
        <w:numPr>
          <w:ilvl w:val="0"/>
          <w:numId w:val="59"/>
        </w:numPr>
        <w:spacing w:line="240" w:lineRule="auto"/>
        <w:ind w:left="360"/>
        <w:jc w:val="both"/>
        <w:rPr>
          <w:sz w:val="20"/>
          <w:szCs w:val="20"/>
        </w:rPr>
      </w:pPr>
      <w:r w:rsidRPr="003516DC">
        <w:rPr>
          <w:sz w:val="20"/>
          <w:szCs w:val="20"/>
        </w:rPr>
        <w:t>Creating a more inclusive labor market that acknowledges and tackles the structural, long term challenges which lead to many of Mureș’s people being left aside – a challenge shared by all JTP counties:</w:t>
      </w:r>
    </w:p>
    <w:p w14:paraId="2A733D39" w14:textId="77777777" w:rsidR="00C76AFA" w:rsidRPr="003516DC" w:rsidRDefault="00C76AFA" w:rsidP="00C76AFA">
      <w:pPr>
        <w:pStyle w:val="ListParagraph"/>
        <w:spacing w:line="240" w:lineRule="auto"/>
        <w:ind w:left="360"/>
        <w:jc w:val="both"/>
        <w:rPr>
          <w:sz w:val="12"/>
        </w:rPr>
      </w:pPr>
    </w:p>
    <w:p w14:paraId="2200830F" w14:textId="77777777" w:rsidR="00C76AFA" w:rsidRPr="003516DC" w:rsidRDefault="00C76AFA" w:rsidP="00C76AFA">
      <w:pPr>
        <w:pStyle w:val="ListParagraph"/>
        <w:numPr>
          <w:ilvl w:val="0"/>
          <w:numId w:val="60"/>
        </w:numPr>
        <w:spacing w:line="240" w:lineRule="auto"/>
        <w:jc w:val="both"/>
        <w:rPr>
          <w:sz w:val="20"/>
          <w:szCs w:val="20"/>
        </w:rPr>
      </w:pPr>
      <w:r w:rsidRPr="003516DC">
        <w:rPr>
          <w:sz w:val="20"/>
          <w:szCs w:val="20"/>
        </w:rPr>
        <w:t>addressing early school dropout rates to make sure that all youth complete a minimum basic education be able to meet job qualifications;</w:t>
      </w:r>
    </w:p>
    <w:p w14:paraId="08B097A4" w14:textId="77777777" w:rsidR="00C76AFA" w:rsidRPr="003516DC" w:rsidRDefault="00C76AFA" w:rsidP="00C76AFA">
      <w:pPr>
        <w:pStyle w:val="ListParagraph"/>
        <w:spacing w:line="240" w:lineRule="auto"/>
        <w:jc w:val="both"/>
        <w:rPr>
          <w:sz w:val="8"/>
        </w:rPr>
      </w:pPr>
    </w:p>
    <w:p w14:paraId="79B6231A" w14:textId="77777777" w:rsidR="00C76AFA" w:rsidRPr="003516DC" w:rsidRDefault="00C76AFA" w:rsidP="00C76AFA">
      <w:pPr>
        <w:pStyle w:val="ListParagraph"/>
        <w:numPr>
          <w:ilvl w:val="0"/>
          <w:numId w:val="60"/>
        </w:numPr>
        <w:spacing w:line="240" w:lineRule="auto"/>
        <w:jc w:val="both"/>
        <w:rPr>
          <w:sz w:val="20"/>
          <w:szCs w:val="20"/>
        </w:rPr>
      </w:pPr>
      <w:r w:rsidRPr="003516DC">
        <w:rPr>
          <w:sz w:val="20"/>
          <w:szCs w:val="20"/>
        </w:rPr>
        <w:t>a more competitive and attractive vocational school system, better adapted to market needs and trends and working in close engagement with local businesses; and,</w:t>
      </w:r>
    </w:p>
    <w:p w14:paraId="5B6D82F2" w14:textId="77777777" w:rsidR="00C76AFA" w:rsidRPr="003516DC" w:rsidRDefault="00C76AFA" w:rsidP="00C76AFA">
      <w:pPr>
        <w:pStyle w:val="ListParagraph"/>
        <w:spacing w:line="240" w:lineRule="auto"/>
        <w:jc w:val="both"/>
        <w:rPr>
          <w:sz w:val="8"/>
        </w:rPr>
      </w:pPr>
    </w:p>
    <w:p w14:paraId="13456A57" w14:textId="77777777" w:rsidR="00C76AFA" w:rsidRPr="003516DC" w:rsidRDefault="00C76AFA" w:rsidP="00C76AFA">
      <w:pPr>
        <w:pStyle w:val="ListParagraph"/>
        <w:numPr>
          <w:ilvl w:val="0"/>
          <w:numId w:val="60"/>
        </w:numPr>
        <w:spacing w:line="240" w:lineRule="auto"/>
        <w:jc w:val="both"/>
        <w:rPr>
          <w:sz w:val="20"/>
          <w:szCs w:val="20"/>
        </w:rPr>
      </w:pPr>
      <w:r w:rsidRPr="003516DC">
        <w:rPr>
          <w:sz w:val="20"/>
          <w:szCs w:val="20"/>
        </w:rPr>
        <w:t xml:space="preserve">mainstreamed monitoring and impact evaluation to better showcase what works, so as to help learn and allow for practice improvements and moving forward what has been described as rather inefficient, short term project-based approach to job qualifications.  </w:t>
      </w:r>
    </w:p>
    <w:p w14:paraId="690D38B6" w14:textId="77777777" w:rsidR="00C76AFA" w:rsidRPr="003516DC" w:rsidRDefault="00C76AFA" w:rsidP="00C76AFA">
      <w:pPr>
        <w:jc w:val="both"/>
        <w:rPr>
          <w:rFonts w:ascii="Arial" w:hAnsi="Arial" w:cs="Arial"/>
          <w:sz w:val="12"/>
        </w:rPr>
      </w:pPr>
    </w:p>
    <w:p w14:paraId="3B45854B" w14:textId="77777777" w:rsidR="00C76AFA" w:rsidRPr="003516DC" w:rsidRDefault="00C76AFA" w:rsidP="00C76AFA">
      <w:pPr>
        <w:pStyle w:val="ListParagraph"/>
        <w:numPr>
          <w:ilvl w:val="0"/>
          <w:numId w:val="59"/>
        </w:numPr>
        <w:spacing w:line="240" w:lineRule="auto"/>
        <w:ind w:left="360"/>
        <w:jc w:val="both"/>
        <w:rPr>
          <w:sz w:val="20"/>
          <w:szCs w:val="20"/>
        </w:rPr>
      </w:pPr>
      <w:r w:rsidRPr="003516DC">
        <w:rPr>
          <w:sz w:val="20"/>
          <w:szCs w:val="20"/>
        </w:rPr>
        <w:t>Education and awareness on climate change, rationales and benefits of the Green Deal policies, for local communities to understand the benefits rather than hardships of the energy transition.</w:t>
      </w:r>
    </w:p>
    <w:p w14:paraId="75176CA7" w14:textId="77777777" w:rsidR="00C76AFA" w:rsidRPr="003516DC" w:rsidRDefault="00C76AFA" w:rsidP="00C76AFA">
      <w:pPr>
        <w:jc w:val="both"/>
        <w:rPr>
          <w:rFonts w:ascii="Arial" w:hAnsi="Arial" w:cs="Arial"/>
          <w:sz w:val="12"/>
        </w:rPr>
      </w:pPr>
    </w:p>
    <w:p w14:paraId="04DDF731" w14:textId="156CBB88" w:rsidR="00C76AFA" w:rsidRPr="00C76AFA" w:rsidRDefault="00C76AFA" w:rsidP="00C76AFA">
      <w:pPr>
        <w:pStyle w:val="ListParagraph"/>
        <w:numPr>
          <w:ilvl w:val="0"/>
          <w:numId w:val="59"/>
        </w:numPr>
        <w:spacing w:line="240" w:lineRule="auto"/>
        <w:ind w:left="360"/>
        <w:jc w:val="both"/>
        <w:rPr>
          <w:sz w:val="20"/>
          <w:szCs w:val="20"/>
        </w:rPr>
      </w:pPr>
      <w:r w:rsidRPr="003516DC">
        <w:rPr>
          <w:sz w:val="20"/>
          <w:szCs w:val="20"/>
        </w:rPr>
        <w:t xml:space="preserve">The energy transition in gas-dependent territories such as Mureș can only be completed provided that national level policies and investments are in place to support alternatives to natural gas. </w:t>
      </w:r>
    </w:p>
    <w:p w14:paraId="562F5B2F" w14:textId="1AF6B840" w:rsidR="00C76AFA" w:rsidRPr="00C76AFA" w:rsidRDefault="00C76AFA" w:rsidP="00E42342">
      <w:pPr>
        <w:pStyle w:val="Heading2"/>
        <w:numPr>
          <w:ilvl w:val="0"/>
          <w:numId w:val="163"/>
        </w:numPr>
        <w:spacing w:before="240" w:line="240" w:lineRule="auto"/>
        <w:ind w:left="432" w:hanging="432"/>
      </w:pPr>
      <w:bookmarkStart w:id="306" w:name="_Toc90725896"/>
      <w:r w:rsidRPr="00345CF4">
        <w:t xml:space="preserve">Results of occupational mismatch analysis in </w:t>
      </w:r>
      <w:r>
        <w:t xml:space="preserve">Mureș </w:t>
      </w:r>
      <w:r w:rsidR="004F70E0">
        <w:t>C</w:t>
      </w:r>
      <w:r>
        <w:t>ounty</w:t>
      </w:r>
      <w:bookmarkEnd w:id="306"/>
    </w:p>
    <w:p w14:paraId="11C03427" w14:textId="060734F0" w:rsidR="00C76AFA" w:rsidRPr="00C76AFA" w:rsidRDefault="00C76AFA" w:rsidP="004F70E0">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0A3D1D25" w14:textId="37B043A6" w:rsidR="00C76AFA" w:rsidRPr="003516DC" w:rsidRDefault="00C76AFA" w:rsidP="00CA72BD">
      <w:pPr>
        <w:spacing w:after="120"/>
        <w:jc w:val="both"/>
        <w:rPr>
          <w:rFonts w:ascii="Arial" w:hAnsi="Arial" w:cs="Arial"/>
          <w:sz w:val="20"/>
          <w:szCs w:val="20"/>
        </w:rPr>
      </w:pPr>
      <w:r w:rsidRPr="003516DC">
        <w:rPr>
          <w:rFonts w:ascii="Arial" w:hAnsi="Arial" w:cs="Arial"/>
          <w:sz w:val="20"/>
          <w:szCs w:val="20"/>
        </w:rPr>
        <w:t xml:space="preserve">Graph </w:t>
      </w:r>
      <w:r w:rsidR="0064139C">
        <w:rPr>
          <w:rFonts w:ascii="Arial" w:hAnsi="Arial" w:cs="Arial"/>
          <w:sz w:val="20"/>
          <w:szCs w:val="20"/>
        </w:rPr>
        <w:t>4</w:t>
      </w:r>
      <w:r w:rsidR="00F140B0">
        <w:rPr>
          <w:rFonts w:ascii="Arial" w:hAnsi="Arial" w:cs="Arial"/>
          <w:sz w:val="20"/>
          <w:szCs w:val="20"/>
        </w:rPr>
        <w:t>9</w:t>
      </w:r>
      <w:r w:rsidRPr="003516DC">
        <w:rPr>
          <w:rFonts w:ascii="Arial" w:hAnsi="Arial" w:cs="Arial"/>
          <w:sz w:val="20"/>
          <w:szCs w:val="20"/>
        </w:rPr>
        <w:t xml:space="preserve"> shows the changes in the baseline projection from 2018 values. The left panel shows changes across sectors, while the right shows changes across occupations. In Mureș the baseline trends show substantial employment decrease in the construction, manufacturing, agriculture and energy &amp; utilities sectors. Gains are realised by 2030 in the retail and professional services sectors. In total these gains do not offset the projected employment losses. In terms of occupational structure, a shift from more manual labour (e.g trade workers) towards service and professional jobs are expected. This also means a substantial challenge for re-skilling and re-training as the professional occupations usually requires a higher skill level.</w:t>
      </w:r>
    </w:p>
    <w:p w14:paraId="6593D51A" w14:textId="1E053059" w:rsidR="00C76AFA" w:rsidRPr="003516DC" w:rsidRDefault="00C76AFA" w:rsidP="00CA72BD">
      <w:pPr>
        <w:pStyle w:val="Caption"/>
        <w:spacing w:before="0"/>
        <w:ind w:left="1282" w:hanging="1282"/>
        <w:jc w:val="both"/>
      </w:pPr>
      <w:bookmarkStart w:id="307" w:name="_Toc90727385"/>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49</w:t>
      </w:r>
      <w:r w:rsidRPr="003516DC">
        <w:rPr>
          <w:noProof/>
        </w:rPr>
        <w:fldChar w:fldCharType="end"/>
      </w:r>
      <w:r w:rsidRPr="003516DC">
        <w:t xml:space="preserve">: Changes in employment from 2018 in baseline projections in Mureș; </w:t>
      </w:r>
      <w:r w:rsidRPr="003516DC">
        <w:br/>
        <w:t>left panel - changes by sector; right panel – changes by occupation</w:t>
      </w:r>
      <w:bookmarkEnd w:id="307"/>
    </w:p>
    <w:p w14:paraId="73633D47" w14:textId="1B4B4FFB" w:rsidR="00C76AFA" w:rsidRDefault="00C76AFA" w:rsidP="00C76AFA">
      <w:pPr>
        <w:jc w:val="center"/>
        <w:rPr>
          <w:rFonts w:ascii="Arial" w:hAnsi="Arial" w:cs="Arial"/>
          <w:sz w:val="20"/>
          <w:szCs w:val="20"/>
        </w:rPr>
      </w:pPr>
      <w:r w:rsidRPr="00402580">
        <w:rPr>
          <w:rFonts w:ascii="Arial" w:hAnsi="Arial" w:cs="Arial"/>
          <w:noProof/>
          <w:lang w:val="en-US" w:eastAsia="en-US"/>
        </w:rPr>
        <w:drawing>
          <wp:inline distT="0" distB="0" distL="0" distR="0" wp14:anchorId="6B0BBE69" wp14:editId="4B5313B2">
            <wp:extent cx="5678424" cy="2834640"/>
            <wp:effectExtent l="0" t="0" r="0" b="3810"/>
            <wp:docPr id="2087055797" name="Graphic 2087055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9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98"/>
                        </a:ext>
                      </a:extLst>
                    </a:blip>
                    <a:stretch>
                      <a:fillRect/>
                    </a:stretch>
                  </pic:blipFill>
                  <pic:spPr>
                    <a:xfrm>
                      <a:off x="0" y="0"/>
                      <a:ext cx="5678424" cy="2834640"/>
                    </a:xfrm>
                    <a:prstGeom prst="rect">
                      <a:avLst/>
                    </a:prstGeom>
                  </pic:spPr>
                </pic:pic>
              </a:graphicData>
            </a:graphic>
          </wp:inline>
        </w:drawing>
      </w:r>
    </w:p>
    <w:p w14:paraId="334822E8" w14:textId="6235B4A9" w:rsidR="00E9544E" w:rsidRPr="00E9544E" w:rsidRDefault="00E9544E" w:rsidP="00E9544E">
      <w:pPr>
        <w:rPr>
          <w:rFonts w:ascii="Arial" w:hAnsi="Arial" w:cs="Arial"/>
          <w:i/>
          <w:sz w:val="16"/>
          <w:szCs w:val="16"/>
        </w:rPr>
      </w:pPr>
      <w:r w:rsidRPr="003516DC">
        <w:rPr>
          <w:rFonts w:ascii="Arial" w:hAnsi="Arial" w:cs="Arial"/>
          <w:i/>
          <w:sz w:val="16"/>
          <w:szCs w:val="16"/>
        </w:rPr>
        <w:t>Source: E3ME modelling</w:t>
      </w:r>
    </w:p>
    <w:p w14:paraId="4132D024" w14:textId="77777777" w:rsidR="00C76AFA" w:rsidRPr="003516DC" w:rsidRDefault="00C76AFA" w:rsidP="00C76AFA">
      <w:pPr>
        <w:jc w:val="both"/>
        <w:rPr>
          <w:rFonts w:ascii="Arial" w:hAnsi="Arial" w:cs="Arial"/>
          <w:sz w:val="20"/>
          <w:szCs w:val="20"/>
        </w:rPr>
      </w:pPr>
    </w:p>
    <w:p w14:paraId="0CE1035F" w14:textId="6619AE53" w:rsidR="00C76AFA" w:rsidRPr="003516DC" w:rsidRDefault="00C76AFA" w:rsidP="00CA72BD">
      <w:pPr>
        <w:spacing w:after="120"/>
        <w:jc w:val="both"/>
        <w:rPr>
          <w:rFonts w:ascii="Arial" w:hAnsi="Arial" w:cs="Arial"/>
          <w:sz w:val="20"/>
          <w:szCs w:val="20"/>
        </w:rPr>
      </w:pPr>
      <w:r w:rsidRPr="003516DC">
        <w:rPr>
          <w:rFonts w:ascii="Arial" w:hAnsi="Arial" w:cs="Arial"/>
          <w:sz w:val="20"/>
          <w:szCs w:val="20"/>
        </w:rPr>
        <w:t xml:space="preserve">These figures uncover between-sector and between-occupation differences but does not show how sectoral employment can change within an occupation. The left panel of Graph </w:t>
      </w:r>
      <w:r w:rsidR="0064139C">
        <w:rPr>
          <w:rFonts w:ascii="Arial" w:hAnsi="Arial" w:cs="Arial"/>
          <w:sz w:val="20"/>
          <w:szCs w:val="20"/>
        </w:rPr>
        <w:t>4</w:t>
      </w:r>
      <w:r w:rsidR="00F140B0">
        <w:rPr>
          <w:rFonts w:ascii="Arial" w:hAnsi="Arial" w:cs="Arial"/>
          <w:sz w:val="20"/>
          <w:szCs w:val="20"/>
        </w:rPr>
        <w:t>9</w:t>
      </w:r>
      <w:r w:rsidRPr="003516DC">
        <w:rPr>
          <w:rFonts w:ascii="Arial" w:hAnsi="Arial" w:cs="Arial"/>
          <w:sz w:val="20"/>
          <w:szCs w:val="20"/>
        </w:rPr>
        <w:t xml:space="preserve"> shows results in this aspect. This view is important, because while the across sector trends can show where re-training is needed, the within occupation changes show where there are possibilities for a less “intensive” re-skilling (i.e., learning to apply the same or similar occupational skills in a different sector). </w:t>
      </w:r>
    </w:p>
    <w:p w14:paraId="007408B0" w14:textId="15CA614A" w:rsidR="00792049" w:rsidRPr="00AE4CCC" w:rsidRDefault="00C76AFA" w:rsidP="00AE4CCC">
      <w:pPr>
        <w:jc w:val="both"/>
        <w:rPr>
          <w:rFonts w:ascii="Arial" w:hAnsi="Arial" w:cs="Arial"/>
          <w:sz w:val="20"/>
          <w:szCs w:val="20"/>
        </w:rPr>
      </w:pPr>
      <w:r w:rsidRPr="003516DC">
        <w:rPr>
          <w:rFonts w:ascii="Arial" w:hAnsi="Arial" w:cs="Arial"/>
          <w:sz w:val="20"/>
          <w:szCs w:val="20"/>
        </w:rPr>
        <w:t>From this viewpoint, in Mureș, we see substantial transformation potential within the professionals occupation category, from energy &amp; utilities, finance and construction mainly to other services (incl. recreational and public services). Elementary workers from the construction and energy sectors can potentially transition to services as well. Nevertheless, as it was highlighted before, trade workers and farm and related workers (usually low-skilled occupational groups) face a challenge as in this structure they would need to transition to professional and or sales and service occupations.</w:t>
      </w:r>
    </w:p>
    <w:p w14:paraId="6C57E994" w14:textId="6FAF491F" w:rsidR="00C76AFA" w:rsidRPr="003516DC" w:rsidRDefault="00C76AFA" w:rsidP="00AE4CCC">
      <w:pPr>
        <w:pStyle w:val="Caption"/>
        <w:spacing w:before="120"/>
        <w:ind w:left="1282" w:hanging="1282"/>
        <w:jc w:val="both"/>
      </w:pPr>
      <w:bookmarkStart w:id="308" w:name="_Toc90727386"/>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50</w:t>
      </w:r>
      <w:r w:rsidRPr="003516DC">
        <w:rPr>
          <w:noProof/>
        </w:rPr>
        <w:fldChar w:fldCharType="end"/>
      </w:r>
      <w:r w:rsidRPr="003516DC">
        <w:t xml:space="preserve">: </w:t>
      </w:r>
      <w:r w:rsidRPr="003516DC">
        <w:tab/>
        <w:t>Changes in employment from 2018 in baseline projections and in the Green Deal scenario in Mureș; left panel – changes by sector and occupation in baseline; right panel – changes by sector and occupation in the Green Deal scenario compared to the baseline</w:t>
      </w:r>
      <w:bookmarkEnd w:id="308"/>
    </w:p>
    <w:p w14:paraId="03A8D286" w14:textId="418EEE76" w:rsidR="00C76AFA" w:rsidRDefault="00C76AFA" w:rsidP="00C76AFA">
      <w:pPr>
        <w:jc w:val="center"/>
        <w:rPr>
          <w:rFonts w:ascii="Arial" w:hAnsi="Arial" w:cs="Arial"/>
        </w:rPr>
      </w:pPr>
      <w:r w:rsidRPr="00402580">
        <w:rPr>
          <w:rFonts w:ascii="Arial" w:hAnsi="Arial" w:cs="Arial"/>
          <w:noProof/>
          <w:lang w:val="en-US" w:eastAsia="en-US"/>
        </w:rPr>
        <w:drawing>
          <wp:inline distT="0" distB="0" distL="0" distR="0" wp14:anchorId="1910FFEA" wp14:editId="18C67185">
            <wp:extent cx="5678424" cy="2834640"/>
            <wp:effectExtent l="0" t="0" r="0" b="3810"/>
            <wp:docPr id="2087055798" name="Graphic 2087055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9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00"/>
                        </a:ext>
                      </a:extLst>
                    </a:blip>
                    <a:stretch>
                      <a:fillRect/>
                    </a:stretch>
                  </pic:blipFill>
                  <pic:spPr>
                    <a:xfrm>
                      <a:off x="0" y="0"/>
                      <a:ext cx="5678424" cy="2834640"/>
                    </a:xfrm>
                    <a:prstGeom prst="rect">
                      <a:avLst/>
                    </a:prstGeom>
                  </pic:spPr>
                </pic:pic>
              </a:graphicData>
            </a:graphic>
          </wp:inline>
        </w:drawing>
      </w:r>
    </w:p>
    <w:p w14:paraId="235EEB3A" w14:textId="1518BFA9" w:rsidR="00E9544E" w:rsidRPr="00E9544E" w:rsidRDefault="00E9544E" w:rsidP="00E9544E">
      <w:pPr>
        <w:rPr>
          <w:rFonts w:ascii="Arial" w:hAnsi="Arial" w:cs="Arial"/>
          <w:i/>
          <w:sz w:val="16"/>
          <w:szCs w:val="16"/>
        </w:rPr>
      </w:pPr>
      <w:r w:rsidRPr="003516DC">
        <w:rPr>
          <w:rFonts w:ascii="Arial" w:hAnsi="Arial" w:cs="Arial"/>
          <w:i/>
          <w:sz w:val="16"/>
          <w:szCs w:val="16"/>
        </w:rPr>
        <w:t>Source: E3ME modelling</w:t>
      </w:r>
    </w:p>
    <w:p w14:paraId="2A2FA31F" w14:textId="4BF4AFEF" w:rsidR="00C76AFA" w:rsidRPr="004F70E0" w:rsidRDefault="00C76AFA" w:rsidP="00CA72BD">
      <w:pPr>
        <w:spacing w:before="120"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lastRenderedPageBreak/>
        <w:t>Green Deal impacts</w:t>
      </w:r>
    </w:p>
    <w:p w14:paraId="654915C4" w14:textId="18BF5478" w:rsidR="00C76AFA" w:rsidRDefault="00C76AFA" w:rsidP="00C76AFA">
      <w:pPr>
        <w:jc w:val="both"/>
        <w:rPr>
          <w:rFonts w:ascii="Arial" w:hAnsi="Arial" w:cs="Arial"/>
          <w:sz w:val="20"/>
          <w:szCs w:val="20"/>
        </w:rPr>
      </w:pPr>
      <w:r w:rsidRPr="003516DC">
        <w:rPr>
          <w:rFonts w:ascii="Arial" w:hAnsi="Arial" w:cs="Arial"/>
          <w:sz w:val="20"/>
          <w:szCs w:val="20"/>
        </w:rPr>
        <w:t xml:space="preserve">Finally, the right panel of </w:t>
      </w:r>
      <w:r w:rsidR="002E605D">
        <w:rPr>
          <w:rFonts w:ascii="Arial" w:hAnsi="Arial" w:cs="Arial"/>
          <w:sz w:val="20"/>
          <w:szCs w:val="20"/>
        </w:rPr>
        <w:t xml:space="preserve">Graph </w:t>
      </w:r>
      <w:r w:rsidR="00F140B0">
        <w:rPr>
          <w:rFonts w:ascii="Arial" w:hAnsi="Arial" w:cs="Arial"/>
          <w:sz w:val="20"/>
          <w:szCs w:val="20"/>
        </w:rPr>
        <w:t>50</w:t>
      </w:r>
      <w:r w:rsidRPr="003516DC">
        <w:rPr>
          <w:rFonts w:ascii="Arial" w:hAnsi="Arial" w:cs="Arial"/>
          <w:sz w:val="20"/>
          <w:szCs w:val="20"/>
        </w:rPr>
        <w:t xml:space="preserve"> shows effects between the baseline scenario and the Green Deal scenario. The Green Deal scenarios contributes to the offsetting of job losses expected because of the baseline trend. It is especially evident in the case of the construction sector: there are estimated new possible opening in low-skilled occupational categories due to the effects of the Green Deal scenario. Nevertheless, the scenario decrease employment gains in occupational groups which are gaining in the baseline, namely professionals and service and sales occupations. However, these losses, even in 2030, are much lower (~ 300 jobs in the professionals occupations group) than the baseline gains (over 3000 jobs).</w:t>
      </w:r>
    </w:p>
    <w:p w14:paraId="3A7DB433" w14:textId="3728F1DD" w:rsidR="00C76AFA" w:rsidRPr="00C76AFA" w:rsidRDefault="00C76AFA" w:rsidP="00E42342">
      <w:pPr>
        <w:pStyle w:val="Heading2"/>
        <w:numPr>
          <w:ilvl w:val="0"/>
          <w:numId w:val="164"/>
        </w:numPr>
        <w:spacing w:before="240" w:line="240" w:lineRule="auto"/>
        <w:ind w:left="432" w:hanging="432"/>
      </w:pPr>
      <w:bookmarkStart w:id="309" w:name="_Toc90725897"/>
      <w:r w:rsidRPr="003516DC">
        <w:t>Employment and GVA impact by illustrative action</w:t>
      </w:r>
      <w:r>
        <w:t xml:space="preserve"> in Mureș </w:t>
      </w:r>
      <w:r w:rsidR="004F70E0">
        <w:t>C</w:t>
      </w:r>
      <w:r>
        <w:t>ounty</w:t>
      </w:r>
      <w:bookmarkEnd w:id="309"/>
    </w:p>
    <w:p w14:paraId="17BE9422" w14:textId="77777777" w:rsidR="00C76AFA" w:rsidRPr="003516DC" w:rsidRDefault="00C76AFA" w:rsidP="00C76AFA">
      <w:pPr>
        <w:jc w:val="both"/>
        <w:rPr>
          <w:rFonts w:ascii="Arial" w:hAnsi="Arial" w:cs="Arial"/>
          <w:sz w:val="20"/>
          <w:szCs w:val="20"/>
        </w:rPr>
      </w:pPr>
      <w:r w:rsidRPr="003516DC">
        <w:rPr>
          <w:rFonts w:ascii="Arial" w:hAnsi="Arial" w:cs="Arial"/>
          <w:sz w:val="20"/>
          <w:szCs w:val="20"/>
        </w:rPr>
        <w:t>Overall, R&amp;D grants / investment is anticipated to yield the largest GVA impact in Mureș County. The employment impact, however, is assumed to be by far the highest in case of the SME investments, with large job creation potential primarily concentrated in the Manufacturing and Construction sectors. Importantly, the Circular economy action also shows a net positive impact in both employment and GVA, while it can also yield substantial environmental benefits. Job creation and GVA impact differences indicate that in the SME case jobs created in the construction sector have a lower GVA-to-employment ratio, then in the manufacturing sector. The same is true for the energy &amp; utilities sector (lower ratio) and the professional services sector (higher ratio) in the Circular case.</w:t>
      </w:r>
    </w:p>
    <w:p w14:paraId="0545A539" w14:textId="24976953" w:rsidR="00C76AFA" w:rsidRPr="003516DC" w:rsidRDefault="00C76AFA" w:rsidP="00C76AFA">
      <w:pPr>
        <w:pStyle w:val="Caption"/>
        <w:ind w:left="993" w:hanging="993"/>
        <w:rPr>
          <w:b w:val="0"/>
          <w:iCs w:val="0"/>
          <w:noProof/>
        </w:rPr>
      </w:pPr>
      <w:bookmarkStart w:id="310" w:name="_Toc90727387"/>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51</w:t>
      </w:r>
      <w:r w:rsidRPr="003516DC">
        <w:rPr>
          <w:noProof/>
        </w:rPr>
        <w:fldChar w:fldCharType="end"/>
      </w:r>
      <w:r w:rsidRPr="003516DC">
        <w:rPr>
          <w:noProof/>
        </w:rPr>
        <w:t xml:space="preserve">: GVA impact in Mureș County (RO125) in 2030 by sectors, resulting from a total of EUR 100 million investment over the </w:t>
      </w:r>
      <w:r w:rsidRPr="003516DC">
        <w:t>y</w:t>
      </w:r>
      <w:r w:rsidRPr="003516DC">
        <w:rPr>
          <w:noProof/>
        </w:rPr>
        <w:t>ears 2021-2027 under the three illustrative action categories, EUR million (current prices)</w:t>
      </w:r>
      <w:bookmarkEnd w:id="310"/>
    </w:p>
    <w:p w14:paraId="5BE034C3" w14:textId="084765A6" w:rsidR="00C76AFA" w:rsidRPr="003516DC" w:rsidRDefault="00C76AFA" w:rsidP="00C76AFA">
      <w:pPr>
        <w:rPr>
          <w:rFonts w:ascii="Arial" w:hAnsi="Arial" w:cs="Arial"/>
        </w:rPr>
      </w:pPr>
      <w:r w:rsidRPr="00402580">
        <w:rPr>
          <w:rFonts w:ascii="Arial" w:hAnsi="Arial" w:cs="Arial"/>
          <w:noProof/>
          <w:lang w:val="en-US" w:eastAsia="en-US"/>
        </w:rPr>
        <w:drawing>
          <wp:inline distT="0" distB="0" distL="0" distR="0" wp14:anchorId="4AC258FF" wp14:editId="03F5B06E">
            <wp:extent cx="5678424" cy="3081528"/>
            <wp:effectExtent l="0" t="0" r="0" b="5080"/>
            <wp:docPr id="2087055799" name="Graphic 2087055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Graphic 45"/>
                    <pic:cNvPicPr/>
                  </pic:nvPicPr>
                  <pic:blipFill>
                    <a:blip r:embed="rId20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02"/>
                        </a:ext>
                      </a:extLst>
                    </a:blip>
                    <a:stretch>
                      <a:fillRect/>
                    </a:stretch>
                  </pic:blipFill>
                  <pic:spPr>
                    <a:xfrm>
                      <a:off x="0" y="0"/>
                      <a:ext cx="5678424" cy="3081528"/>
                    </a:xfrm>
                    <a:prstGeom prst="rect">
                      <a:avLst/>
                    </a:prstGeom>
                  </pic:spPr>
                </pic:pic>
              </a:graphicData>
            </a:graphic>
          </wp:inline>
        </w:drawing>
      </w:r>
    </w:p>
    <w:p w14:paraId="4355161D" w14:textId="77777777" w:rsidR="00C76AFA" w:rsidRPr="003516DC" w:rsidRDefault="00C76AFA" w:rsidP="00C76AFA">
      <w:pPr>
        <w:rPr>
          <w:rFonts w:ascii="Arial" w:hAnsi="Arial" w:cs="Arial"/>
          <w:i/>
          <w:sz w:val="16"/>
          <w:szCs w:val="16"/>
        </w:rPr>
      </w:pPr>
      <w:r w:rsidRPr="003516DC">
        <w:rPr>
          <w:rFonts w:ascii="Arial" w:hAnsi="Arial" w:cs="Arial"/>
          <w:i/>
          <w:sz w:val="16"/>
          <w:szCs w:val="16"/>
        </w:rPr>
        <w:t>Source: E3ME modelling</w:t>
      </w:r>
    </w:p>
    <w:p w14:paraId="323E1CAB" w14:textId="56649274" w:rsidR="00C76AFA" w:rsidRPr="003516DC" w:rsidRDefault="00C76AFA" w:rsidP="00C76AFA">
      <w:pPr>
        <w:pStyle w:val="Caption"/>
        <w:ind w:left="993" w:hanging="993"/>
        <w:rPr>
          <w:b w:val="0"/>
          <w:iCs w:val="0"/>
          <w:noProof/>
        </w:rPr>
      </w:pPr>
      <w:bookmarkStart w:id="311" w:name="_Toc90727388"/>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52</w:t>
      </w:r>
      <w:r w:rsidRPr="003516DC">
        <w:rPr>
          <w:noProof/>
        </w:rPr>
        <w:fldChar w:fldCharType="end"/>
      </w:r>
      <w:r w:rsidRPr="003516DC">
        <w:rPr>
          <w:noProof/>
        </w:rPr>
        <w:t>: Employment impact in Mureș County (RO125) in 2030 by sectors, resulting from a total of EUR 100 million investment over the years 2021-2027 under the three illustrative action categories, '000 jobs</w:t>
      </w:r>
      <w:bookmarkEnd w:id="311"/>
    </w:p>
    <w:p w14:paraId="13DEA690" w14:textId="42E713DC" w:rsidR="00C76AFA" w:rsidRPr="003516DC" w:rsidRDefault="00C76AFA" w:rsidP="00C76AFA">
      <w:pPr>
        <w:rPr>
          <w:rFonts w:ascii="Arial" w:hAnsi="Arial" w:cs="Arial"/>
        </w:rPr>
      </w:pPr>
      <w:r w:rsidRPr="00F903A3">
        <w:rPr>
          <w:rFonts w:ascii="Arial" w:eastAsia="Times New Roman" w:hAnsi="Arial" w:cs="Arial"/>
          <w:b/>
          <w:bCs/>
          <w:i/>
          <w:noProof/>
          <w:color w:val="006398"/>
          <w:szCs w:val="26"/>
          <w:lang w:val="en-US" w:eastAsia="en-US"/>
        </w:rPr>
        <w:drawing>
          <wp:inline distT="0" distB="0" distL="0" distR="0" wp14:anchorId="19E87201" wp14:editId="01529DA9">
            <wp:extent cx="5678424" cy="3081528"/>
            <wp:effectExtent l="0" t="0" r="0" b="5080"/>
            <wp:docPr id="2087055800" name="Graphic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Graphic 46"/>
                    <pic:cNvPicPr/>
                  </pic:nvPicPr>
                  <pic:blipFill>
                    <a:blip r:embed="rId20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04"/>
                        </a:ext>
                      </a:extLst>
                    </a:blip>
                    <a:stretch>
                      <a:fillRect/>
                    </a:stretch>
                  </pic:blipFill>
                  <pic:spPr>
                    <a:xfrm>
                      <a:off x="0" y="0"/>
                      <a:ext cx="5678424" cy="3081528"/>
                    </a:xfrm>
                    <a:prstGeom prst="rect">
                      <a:avLst/>
                    </a:prstGeom>
                  </pic:spPr>
                </pic:pic>
              </a:graphicData>
            </a:graphic>
          </wp:inline>
        </w:drawing>
      </w:r>
    </w:p>
    <w:p w14:paraId="62E8C825" w14:textId="1F5868D3" w:rsidR="00C76AFA" w:rsidRPr="00E9544E" w:rsidRDefault="00C76AFA" w:rsidP="00C76AFA">
      <w:pPr>
        <w:rPr>
          <w:rFonts w:ascii="Arial" w:hAnsi="Arial" w:cs="Arial"/>
          <w:i/>
          <w:sz w:val="16"/>
          <w:szCs w:val="16"/>
        </w:rPr>
      </w:pPr>
      <w:r w:rsidRPr="003516DC">
        <w:rPr>
          <w:rFonts w:ascii="Arial" w:hAnsi="Arial" w:cs="Arial"/>
          <w:i/>
          <w:sz w:val="16"/>
          <w:szCs w:val="16"/>
        </w:rPr>
        <w:t>Source: E3ME modelling</w:t>
      </w:r>
    </w:p>
    <w:p w14:paraId="4A00D9D4" w14:textId="573F2F3C" w:rsidR="00C76AFA" w:rsidRPr="003516DC" w:rsidRDefault="00C76AFA" w:rsidP="00E42342">
      <w:pPr>
        <w:pStyle w:val="Heading2"/>
        <w:numPr>
          <w:ilvl w:val="0"/>
          <w:numId w:val="165"/>
        </w:numPr>
        <w:spacing w:before="240" w:line="240" w:lineRule="auto"/>
        <w:ind w:left="432" w:hanging="432"/>
      </w:pPr>
      <w:bookmarkStart w:id="312" w:name="_Toc90725898"/>
      <w:r w:rsidRPr="003516DC">
        <w:t>Type of operations needed</w:t>
      </w:r>
      <w:r w:rsidR="00355050">
        <w:t xml:space="preserve"> in </w:t>
      </w:r>
      <w:r w:rsidR="004F70E0">
        <w:t>Mureș</w:t>
      </w:r>
      <w:r w:rsidR="00355050">
        <w:t xml:space="preserve"> </w:t>
      </w:r>
      <w:r w:rsidR="004F70E0">
        <w:t>C</w:t>
      </w:r>
      <w:r w:rsidR="00355050">
        <w:t>ounty</w:t>
      </w:r>
      <w:bookmarkEnd w:id="312"/>
    </w:p>
    <w:p w14:paraId="71295C37" w14:textId="6AADF3D7" w:rsidR="00320B4A" w:rsidRPr="00320B4A" w:rsidRDefault="00320B4A" w:rsidP="00320B4A">
      <w:pPr>
        <w:jc w:val="both"/>
        <w:rPr>
          <w:rFonts w:ascii="Arial" w:hAnsi="Arial" w:cs="Arial"/>
          <w:sz w:val="20"/>
          <w:szCs w:val="20"/>
        </w:rPr>
      </w:pPr>
      <w:r w:rsidRPr="00320B4A">
        <w:rPr>
          <w:rFonts w:ascii="Arial" w:hAnsi="Arial" w:cs="Arial"/>
          <w:sz w:val="20"/>
          <w:szCs w:val="20"/>
        </w:rPr>
        <w:t>Based on trends and statistical analysis, an analysis of the draft TJTPs still being elaborated by the County Councils, as well as stakeholder interviews, the</w:t>
      </w:r>
      <w:r w:rsidR="00F903A3">
        <w:rPr>
          <w:rFonts w:ascii="Arial" w:hAnsi="Arial" w:cs="Arial"/>
          <w:sz w:val="20"/>
          <w:szCs w:val="20"/>
        </w:rPr>
        <w:t xml:space="preserve"> TA</w:t>
      </w:r>
      <w:r w:rsidRPr="00320B4A">
        <w:rPr>
          <w:rFonts w:ascii="Arial" w:hAnsi="Arial" w:cs="Arial"/>
          <w:sz w:val="20"/>
          <w:szCs w:val="20"/>
        </w:rPr>
        <w:t xml:space="preserve"> team propos</w:t>
      </w:r>
      <w:r w:rsidR="00F903A3">
        <w:rPr>
          <w:rFonts w:ascii="Arial" w:hAnsi="Arial" w:cs="Arial"/>
          <w:sz w:val="20"/>
          <w:szCs w:val="20"/>
        </w:rPr>
        <w:t>es</w:t>
      </w:r>
      <w:r w:rsidRPr="00320B4A">
        <w:rPr>
          <w:rFonts w:ascii="Arial" w:hAnsi="Arial" w:cs="Arial"/>
          <w:sz w:val="20"/>
          <w:szCs w:val="20"/>
        </w:rPr>
        <w:t xml:space="preserve"> the following draft priority investment needs.</w:t>
      </w:r>
    </w:p>
    <w:p w14:paraId="00244517" w14:textId="5C214EA2" w:rsidR="00C76AFA" w:rsidRDefault="00320B4A" w:rsidP="00320B4A">
      <w:pPr>
        <w:pStyle w:val="Caption"/>
      </w:pPr>
      <w:bookmarkStart w:id="313" w:name="_Toc90726022"/>
      <w:bookmarkStart w:id="314" w:name="_Toc90727319"/>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68</w:t>
      </w:r>
      <w:r w:rsidR="000B273D">
        <w:rPr>
          <w:noProof/>
        </w:rPr>
        <w:fldChar w:fldCharType="end"/>
      </w:r>
      <w:r>
        <w:t xml:space="preserve">: Justification for proposed JTF operation in </w:t>
      </w:r>
      <w:r w:rsidR="004F70E0">
        <w:t>Mureș</w:t>
      </w:r>
      <w:r>
        <w:t xml:space="preserve"> </w:t>
      </w:r>
      <w:r w:rsidR="00F903A3">
        <w:t>C</w:t>
      </w:r>
      <w:r>
        <w:t>ounty</w:t>
      </w:r>
      <w:bookmarkEnd w:id="313"/>
      <w:bookmarkEnd w:id="314"/>
    </w:p>
    <w:tbl>
      <w:tblPr>
        <w:tblW w:w="51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4786"/>
      </w:tblGrid>
      <w:tr w:rsidR="00875B85" w:rsidRPr="004F70E0" w14:paraId="5FB6F3A8" w14:textId="77777777" w:rsidTr="00964831">
        <w:tc>
          <w:tcPr>
            <w:tcW w:w="5000" w:type="pct"/>
            <w:gridSpan w:val="2"/>
            <w:shd w:val="clear" w:color="auto" w:fill="002060"/>
            <w:tcMar>
              <w:top w:w="100" w:type="dxa"/>
              <w:left w:w="100" w:type="dxa"/>
              <w:bottom w:w="100" w:type="dxa"/>
              <w:right w:w="100" w:type="dxa"/>
            </w:tcMar>
            <w:vAlign w:val="center"/>
          </w:tcPr>
          <w:p w14:paraId="164B3EDA" w14:textId="77777777" w:rsidR="00875B85" w:rsidRPr="004F70E0" w:rsidRDefault="00875B85" w:rsidP="00964831">
            <w:pPr>
              <w:jc w:val="center"/>
              <w:rPr>
                <w:rFonts w:ascii="Arial" w:hAnsi="Arial" w:cs="Arial"/>
                <w:b/>
                <w:bCs/>
                <w:sz w:val="18"/>
                <w:szCs w:val="18"/>
                <w:highlight w:val="white"/>
              </w:rPr>
            </w:pPr>
          </w:p>
        </w:tc>
      </w:tr>
      <w:tr w:rsidR="00875B85" w:rsidRPr="004F70E0" w14:paraId="34C8BB84" w14:textId="77777777" w:rsidTr="00964831">
        <w:trPr>
          <w:trHeight w:val="737"/>
        </w:trPr>
        <w:tc>
          <w:tcPr>
            <w:tcW w:w="2411" w:type="pct"/>
            <w:shd w:val="clear" w:color="auto" w:fill="C6D9F1" w:themeFill="text2" w:themeFillTint="33"/>
            <w:tcMar>
              <w:top w:w="100" w:type="dxa"/>
              <w:left w:w="100" w:type="dxa"/>
              <w:bottom w:w="100" w:type="dxa"/>
              <w:right w:w="100" w:type="dxa"/>
            </w:tcMar>
            <w:vAlign w:val="center"/>
          </w:tcPr>
          <w:p w14:paraId="08AE524B" w14:textId="2CA6E780" w:rsidR="00875B85" w:rsidRPr="004F70E0" w:rsidRDefault="00875B85" w:rsidP="00964831">
            <w:pPr>
              <w:jc w:val="both"/>
              <w:rPr>
                <w:rFonts w:ascii="Arial" w:hAnsi="Arial" w:cs="Arial"/>
                <w:b/>
                <w:bCs/>
                <w:sz w:val="18"/>
                <w:szCs w:val="18"/>
              </w:rPr>
            </w:pPr>
            <w:r w:rsidRPr="004F70E0">
              <w:rPr>
                <w:rFonts w:ascii="Arial" w:hAnsi="Arial" w:cs="Arial"/>
                <w:b/>
                <w:bCs/>
                <w:sz w:val="18"/>
                <w:szCs w:val="18"/>
                <w:lang w:val="en-US"/>
              </w:rPr>
              <w:t>Based on local challenges analysis</w:t>
            </w:r>
            <w:r w:rsidR="00861ED1">
              <w:rPr>
                <w:rStyle w:val="FootnoteReference"/>
                <w:rFonts w:ascii="Arial" w:hAnsi="Arial" w:cs="Arial"/>
                <w:b/>
                <w:bCs/>
                <w:sz w:val="18"/>
                <w:szCs w:val="18"/>
                <w:lang w:val="en-US"/>
              </w:rPr>
              <w:footnoteReference w:id="136"/>
            </w:r>
          </w:p>
        </w:tc>
        <w:tc>
          <w:tcPr>
            <w:tcW w:w="2589" w:type="pct"/>
            <w:shd w:val="clear" w:color="auto" w:fill="C6D9F1" w:themeFill="text2" w:themeFillTint="33"/>
            <w:tcMar>
              <w:top w:w="100" w:type="dxa"/>
              <w:left w:w="100" w:type="dxa"/>
              <w:bottom w:w="100" w:type="dxa"/>
              <w:right w:w="100" w:type="dxa"/>
            </w:tcMar>
            <w:vAlign w:val="center"/>
          </w:tcPr>
          <w:p w14:paraId="2297CE0E" w14:textId="7146CD24" w:rsidR="00875B85" w:rsidRPr="004F70E0" w:rsidRDefault="00875B85" w:rsidP="00964831">
            <w:pPr>
              <w:jc w:val="both"/>
              <w:rPr>
                <w:rFonts w:ascii="Arial" w:hAnsi="Arial" w:cs="Arial"/>
                <w:b/>
                <w:bCs/>
                <w:sz w:val="18"/>
                <w:szCs w:val="18"/>
                <w:lang w:val="en-US"/>
              </w:rPr>
            </w:pPr>
            <w:r w:rsidRPr="004F70E0">
              <w:rPr>
                <w:rFonts w:ascii="Arial" w:hAnsi="Arial" w:cs="Arial"/>
                <w:b/>
                <w:bCs/>
                <w:sz w:val="18"/>
                <w:szCs w:val="18"/>
              </w:rPr>
              <w:t xml:space="preserve">Identified as priority to address the impact of the transition by the stakeholders and from the trends analysis and </w:t>
            </w:r>
            <w:r w:rsidR="00E32FE2">
              <w:rPr>
                <w:rFonts w:ascii="Arial" w:hAnsi="Arial" w:cs="Arial"/>
                <w:b/>
                <w:bCs/>
                <w:sz w:val="18"/>
                <w:szCs w:val="18"/>
              </w:rPr>
              <w:t>potentially</w:t>
            </w:r>
            <w:r w:rsidR="00E32FE2" w:rsidRPr="004F70E0">
              <w:rPr>
                <w:rFonts w:ascii="Arial" w:hAnsi="Arial" w:cs="Arial"/>
                <w:b/>
                <w:bCs/>
                <w:sz w:val="18"/>
                <w:szCs w:val="18"/>
              </w:rPr>
              <w:t xml:space="preserve"> </w:t>
            </w:r>
            <w:r w:rsidRPr="004F70E0">
              <w:rPr>
                <w:rFonts w:ascii="Arial" w:hAnsi="Arial" w:cs="Arial"/>
                <w:b/>
                <w:bCs/>
                <w:sz w:val="18"/>
                <w:szCs w:val="18"/>
              </w:rPr>
              <w:t>in scope of the JTF Regulation</w:t>
            </w:r>
          </w:p>
        </w:tc>
      </w:tr>
      <w:tr w:rsidR="00875B85" w:rsidRPr="004F70E0" w14:paraId="79C7B5CF" w14:textId="77777777" w:rsidTr="00964831">
        <w:trPr>
          <w:trHeight w:val="20"/>
        </w:trPr>
        <w:tc>
          <w:tcPr>
            <w:tcW w:w="2411" w:type="pct"/>
            <w:shd w:val="clear" w:color="auto" w:fill="auto"/>
            <w:tcMar>
              <w:top w:w="100" w:type="dxa"/>
              <w:left w:w="100" w:type="dxa"/>
              <w:bottom w:w="100" w:type="dxa"/>
              <w:right w:w="100" w:type="dxa"/>
            </w:tcMar>
          </w:tcPr>
          <w:p w14:paraId="30A919D5" w14:textId="2C4C9152" w:rsidR="00DD30E0" w:rsidRPr="004F70E0" w:rsidRDefault="00DD30E0" w:rsidP="00E42342">
            <w:pPr>
              <w:pStyle w:val="ListParagraph"/>
              <w:numPr>
                <w:ilvl w:val="0"/>
                <w:numId w:val="199"/>
              </w:numPr>
              <w:spacing w:line="240" w:lineRule="auto"/>
              <w:rPr>
                <w:sz w:val="18"/>
                <w:szCs w:val="18"/>
                <w:lang w:val="en-US"/>
              </w:rPr>
            </w:pPr>
            <w:r w:rsidRPr="004F70E0">
              <w:rPr>
                <w:sz w:val="18"/>
                <w:szCs w:val="18"/>
                <w:lang w:val="en-US"/>
              </w:rPr>
              <w:t>Further growth and speciali</w:t>
            </w:r>
            <w:r w:rsidR="00F903A3" w:rsidRPr="004F70E0">
              <w:rPr>
                <w:sz w:val="18"/>
                <w:szCs w:val="18"/>
                <w:lang w:val="en-US"/>
              </w:rPr>
              <w:t>s</w:t>
            </w:r>
            <w:r w:rsidRPr="004F70E0">
              <w:rPr>
                <w:sz w:val="18"/>
                <w:szCs w:val="18"/>
                <w:lang w:val="en-US"/>
              </w:rPr>
              <w:t>ation of the local business environment is and will continue to be limited by the demographic resources of this county, and in particular its main urban area.</w:t>
            </w:r>
          </w:p>
          <w:p w14:paraId="2AC11C36" w14:textId="4409DC60" w:rsidR="00875B85" w:rsidRPr="004F70E0" w:rsidRDefault="00DD30E0" w:rsidP="00E42342">
            <w:pPr>
              <w:pStyle w:val="ListParagraph"/>
              <w:numPr>
                <w:ilvl w:val="0"/>
                <w:numId w:val="199"/>
              </w:numPr>
              <w:spacing w:line="240" w:lineRule="auto"/>
              <w:rPr>
                <w:sz w:val="18"/>
                <w:szCs w:val="18"/>
                <w:lang w:val="en-US"/>
              </w:rPr>
            </w:pPr>
            <w:r w:rsidRPr="004F70E0">
              <w:rPr>
                <w:sz w:val="18"/>
                <w:szCs w:val="18"/>
                <w:lang w:val="en-US"/>
              </w:rPr>
              <w:t>Potential for emerging business sectors than can be further capitalized (</w:t>
            </w:r>
            <w:r w:rsidR="00F903A3" w:rsidRPr="004F70E0">
              <w:rPr>
                <w:sz w:val="18"/>
                <w:szCs w:val="18"/>
                <w:lang w:val="en-US"/>
              </w:rPr>
              <w:t xml:space="preserve">e.g., </w:t>
            </w:r>
            <w:r w:rsidRPr="004F70E0">
              <w:rPr>
                <w:sz w:val="18"/>
                <w:szCs w:val="18"/>
                <w:lang w:val="en-US"/>
              </w:rPr>
              <w:t>medtech, pharmaceuticals, ITC, health etc.)</w:t>
            </w:r>
          </w:p>
        </w:tc>
        <w:tc>
          <w:tcPr>
            <w:tcW w:w="2589" w:type="pct"/>
            <w:shd w:val="clear" w:color="auto" w:fill="auto"/>
            <w:tcMar>
              <w:top w:w="100" w:type="dxa"/>
              <w:left w:w="100" w:type="dxa"/>
              <w:bottom w:w="100" w:type="dxa"/>
              <w:right w:w="100" w:type="dxa"/>
            </w:tcMar>
          </w:tcPr>
          <w:p w14:paraId="34AE9841" w14:textId="60BB1AB1" w:rsidR="00DD30E0" w:rsidRPr="004F70E0" w:rsidRDefault="00DD30E0" w:rsidP="00DD30E0">
            <w:pPr>
              <w:spacing w:line="276" w:lineRule="auto"/>
              <w:rPr>
                <w:rFonts w:ascii="Arial" w:hAnsi="Arial" w:cs="Arial"/>
                <w:sz w:val="18"/>
                <w:szCs w:val="18"/>
              </w:rPr>
            </w:pPr>
            <w:r w:rsidRPr="004F70E0">
              <w:rPr>
                <w:rFonts w:ascii="Arial" w:hAnsi="Arial" w:cs="Arial"/>
                <w:b/>
                <w:sz w:val="18"/>
                <w:szCs w:val="18"/>
              </w:rPr>
              <w:t>Type 1:</w:t>
            </w:r>
            <w:r w:rsidRPr="004F70E0">
              <w:rPr>
                <w:rFonts w:ascii="Arial" w:hAnsi="Arial" w:cs="Arial"/>
                <w:sz w:val="18"/>
                <w:szCs w:val="18"/>
              </w:rPr>
              <w:t xml:space="preserve"> Increasing competitiveness and economic diversification, research, innovation and digitalisation</w:t>
            </w:r>
          </w:p>
          <w:p w14:paraId="3A8FFD2F" w14:textId="77777777" w:rsidR="00DD30E0" w:rsidRPr="004F70E0" w:rsidRDefault="00DD30E0" w:rsidP="00DD30E0">
            <w:pPr>
              <w:spacing w:line="276" w:lineRule="auto"/>
              <w:rPr>
                <w:rFonts w:ascii="Arial" w:hAnsi="Arial" w:cs="Arial"/>
                <w:sz w:val="18"/>
                <w:szCs w:val="18"/>
              </w:rPr>
            </w:pPr>
          </w:p>
          <w:p w14:paraId="2913C2DE" w14:textId="77777777" w:rsidR="00DD30E0" w:rsidRPr="004F70E0" w:rsidRDefault="00DD30E0" w:rsidP="00DD30E0">
            <w:pPr>
              <w:pStyle w:val="ListParagraph"/>
              <w:numPr>
                <w:ilvl w:val="0"/>
                <w:numId w:val="72"/>
              </w:numPr>
              <w:rPr>
                <w:sz w:val="18"/>
                <w:szCs w:val="18"/>
              </w:rPr>
            </w:pPr>
            <w:r w:rsidRPr="004F70E0">
              <w:rPr>
                <w:sz w:val="18"/>
                <w:szCs w:val="18"/>
              </w:rPr>
              <w:t>Financing and acceleration programmes (support for internationalisation/access to new markets, business model development, technological upgrading /digitisation, etc.) for the SME sector</w:t>
            </w:r>
          </w:p>
          <w:p w14:paraId="76277C89" w14:textId="77777777" w:rsidR="00DD30E0" w:rsidRPr="004F70E0" w:rsidRDefault="00DD30E0" w:rsidP="00DD30E0">
            <w:pPr>
              <w:pStyle w:val="ListParagraph"/>
              <w:numPr>
                <w:ilvl w:val="0"/>
                <w:numId w:val="72"/>
              </w:numPr>
              <w:rPr>
                <w:sz w:val="18"/>
                <w:szCs w:val="18"/>
              </w:rPr>
            </w:pPr>
            <w:r w:rsidRPr="004F70E0">
              <w:rPr>
                <w:sz w:val="18"/>
                <w:szCs w:val="18"/>
              </w:rPr>
              <w:t>Development of a science and technology park, with start-up incubation services, to support the knowledge-intensive services sector</w:t>
            </w:r>
          </w:p>
          <w:p w14:paraId="0450D21E" w14:textId="77777777" w:rsidR="00DD30E0" w:rsidRPr="004F70E0" w:rsidRDefault="00DD30E0" w:rsidP="00DD30E0">
            <w:pPr>
              <w:pStyle w:val="ListParagraph"/>
              <w:numPr>
                <w:ilvl w:val="0"/>
                <w:numId w:val="72"/>
              </w:numPr>
              <w:spacing w:line="240" w:lineRule="auto"/>
              <w:rPr>
                <w:sz w:val="18"/>
                <w:szCs w:val="18"/>
              </w:rPr>
            </w:pPr>
            <w:r w:rsidRPr="004F70E0">
              <w:rPr>
                <w:sz w:val="18"/>
                <w:szCs w:val="18"/>
              </w:rPr>
              <w:t>Investments in R&amp;D and technological transfer towards carbon neutrality including for large businesses</w:t>
            </w:r>
          </w:p>
          <w:p w14:paraId="639C2F19" w14:textId="5E051704" w:rsidR="00875B85" w:rsidRPr="004F70E0" w:rsidRDefault="00DD30E0" w:rsidP="00DD30E0">
            <w:pPr>
              <w:pStyle w:val="ListParagraph"/>
              <w:numPr>
                <w:ilvl w:val="0"/>
                <w:numId w:val="72"/>
              </w:numPr>
              <w:spacing w:line="240" w:lineRule="auto"/>
              <w:rPr>
                <w:sz w:val="18"/>
                <w:szCs w:val="18"/>
              </w:rPr>
            </w:pPr>
            <w:r w:rsidRPr="004F70E0">
              <w:rPr>
                <w:sz w:val="18"/>
                <w:szCs w:val="18"/>
              </w:rPr>
              <w:t>Development of new industrial and logistics park facilities in anticipation of the development of the role of motorway junction of Târgu Mureș</w:t>
            </w:r>
          </w:p>
        </w:tc>
      </w:tr>
      <w:tr w:rsidR="00875B85" w:rsidRPr="004F70E0" w14:paraId="0C3FF43C" w14:textId="77777777" w:rsidTr="00964831">
        <w:trPr>
          <w:trHeight w:val="790"/>
        </w:trPr>
        <w:tc>
          <w:tcPr>
            <w:tcW w:w="2411" w:type="pct"/>
            <w:shd w:val="clear" w:color="auto" w:fill="auto"/>
            <w:tcMar>
              <w:top w:w="100" w:type="dxa"/>
              <w:left w:w="100" w:type="dxa"/>
              <w:bottom w:w="100" w:type="dxa"/>
              <w:right w:w="100" w:type="dxa"/>
            </w:tcMar>
          </w:tcPr>
          <w:p w14:paraId="2D141C71" w14:textId="5F4593AF" w:rsidR="00DD30E0" w:rsidRPr="004F70E0" w:rsidRDefault="00DD30E0" w:rsidP="00E42342">
            <w:pPr>
              <w:pStyle w:val="ListParagraph"/>
              <w:numPr>
                <w:ilvl w:val="0"/>
                <w:numId w:val="200"/>
              </w:numPr>
              <w:spacing w:line="240" w:lineRule="auto"/>
              <w:rPr>
                <w:sz w:val="18"/>
                <w:szCs w:val="18"/>
                <w:lang w:val="en-US"/>
              </w:rPr>
            </w:pPr>
            <w:r w:rsidRPr="004F70E0">
              <w:rPr>
                <w:sz w:val="18"/>
                <w:szCs w:val="18"/>
                <w:lang w:val="en-US"/>
              </w:rPr>
              <w:lastRenderedPageBreak/>
              <w:t>The fertilizer industry based on gas processing, have significant difficulty to switch to alternative fuels.</w:t>
            </w:r>
          </w:p>
          <w:p w14:paraId="7793EF91" w14:textId="0B3F8595" w:rsidR="00DD30E0" w:rsidRPr="004F70E0" w:rsidRDefault="00DD30E0" w:rsidP="00E42342">
            <w:pPr>
              <w:pStyle w:val="ListParagraph"/>
              <w:numPr>
                <w:ilvl w:val="0"/>
                <w:numId w:val="200"/>
              </w:numPr>
              <w:spacing w:line="240" w:lineRule="auto"/>
              <w:rPr>
                <w:sz w:val="18"/>
                <w:szCs w:val="18"/>
                <w:lang w:val="en-US"/>
              </w:rPr>
            </w:pPr>
            <w:r w:rsidRPr="004F70E0">
              <w:rPr>
                <w:sz w:val="18"/>
                <w:szCs w:val="18"/>
                <w:lang w:val="en-US"/>
              </w:rPr>
              <w:t>Dependence on natural gas of the main economic actors</w:t>
            </w:r>
          </w:p>
          <w:p w14:paraId="015A89B0" w14:textId="2C3C06D1" w:rsidR="00DD30E0" w:rsidRPr="004F70E0" w:rsidRDefault="00DD30E0" w:rsidP="00E42342">
            <w:pPr>
              <w:pStyle w:val="ListParagraph"/>
              <w:numPr>
                <w:ilvl w:val="0"/>
                <w:numId w:val="200"/>
              </w:numPr>
              <w:spacing w:line="240" w:lineRule="auto"/>
              <w:rPr>
                <w:sz w:val="18"/>
                <w:szCs w:val="18"/>
                <w:lang w:val="en-US"/>
              </w:rPr>
            </w:pPr>
            <w:r w:rsidRPr="004F70E0">
              <w:rPr>
                <w:sz w:val="18"/>
                <w:szCs w:val="18"/>
                <w:lang w:val="en-US"/>
              </w:rPr>
              <w:t xml:space="preserve">Need </w:t>
            </w:r>
            <w:r w:rsidR="00F903A3" w:rsidRPr="004F70E0">
              <w:rPr>
                <w:sz w:val="18"/>
                <w:szCs w:val="18"/>
                <w:lang w:val="en-US"/>
              </w:rPr>
              <w:t>to a</w:t>
            </w:r>
            <w:r w:rsidRPr="004F70E0">
              <w:rPr>
                <w:sz w:val="18"/>
                <w:szCs w:val="18"/>
                <w:lang w:val="en-US"/>
              </w:rPr>
              <w:t>ctivate unused sites due to pollution generated by different processing activities involving gas (e</w:t>
            </w:r>
            <w:r w:rsidR="00F903A3" w:rsidRPr="004F70E0">
              <w:rPr>
                <w:sz w:val="18"/>
                <w:szCs w:val="18"/>
                <w:lang w:val="en-US"/>
              </w:rPr>
              <w:t>.g</w:t>
            </w:r>
            <w:r w:rsidRPr="004F70E0">
              <w:rPr>
                <w:sz w:val="18"/>
                <w:szCs w:val="18"/>
                <w:lang w:val="en-US"/>
              </w:rPr>
              <w:t>. ammonia)</w:t>
            </w:r>
          </w:p>
          <w:p w14:paraId="4D78F86F" w14:textId="77777777" w:rsidR="00875B85" w:rsidRPr="004F70E0" w:rsidRDefault="00875B85" w:rsidP="00964831">
            <w:pPr>
              <w:rPr>
                <w:sz w:val="18"/>
                <w:szCs w:val="18"/>
              </w:rPr>
            </w:pPr>
          </w:p>
        </w:tc>
        <w:tc>
          <w:tcPr>
            <w:tcW w:w="2589" w:type="pct"/>
            <w:shd w:val="clear" w:color="auto" w:fill="auto"/>
            <w:tcMar>
              <w:top w:w="100" w:type="dxa"/>
              <w:left w:w="100" w:type="dxa"/>
              <w:bottom w:w="100" w:type="dxa"/>
              <w:right w:w="100" w:type="dxa"/>
            </w:tcMar>
          </w:tcPr>
          <w:p w14:paraId="55A9DE73" w14:textId="7A53B4CE" w:rsidR="00DD30E0" w:rsidRPr="004F70E0" w:rsidRDefault="00DD30E0" w:rsidP="00DD30E0">
            <w:pPr>
              <w:spacing w:line="276" w:lineRule="auto"/>
              <w:rPr>
                <w:rFonts w:ascii="Arial" w:hAnsi="Arial" w:cs="Arial"/>
                <w:sz w:val="18"/>
                <w:szCs w:val="18"/>
              </w:rPr>
            </w:pPr>
            <w:r w:rsidRPr="004F70E0">
              <w:rPr>
                <w:rFonts w:ascii="Arial" w:hAnsi="Arial" w:cs="Arial"/>
                <w:b/>
                <w:sz w:val="18"/>
                <w:szCs w:val="18"/>
              </w:rPr>
              <w:t>Type 2</w:t>
            </w:r>
            <w:r w:rsidRPr="004F70E0">
              <w:rPr>
                <w:rFonts w:ascii="Arial" w:hAnsi="Arial" w:cs="Arial"/>
                <w:sz w:val="18"/>
                <w:szCs w:val="18"/>
              </w:rPr>
              <w:t>: Supporting investments in energy infrastructure and clean energy technology</w:t>
            </w:r>
          </w:p>
          <w:p w14:paraId="3E7A54F0" w14:textId="77777777" w:rsidR="00DD30E0" w:rsidRPr="004F70E0" w:rsidRDefault="00DD30E0" w:rsidP="00DD30E0">
            <w:pPr>
              <w:spacing w:line="276" w:lineRule="auto"/>
              <w:rPr>
                <w:rFonts w:ascii="Arial" w:hAnsi="Arial" w:cs="Arial"/>
                <w:sz w:val="18"/>
                <w:szCs w:val="18"/>
              </w:rPr>
            </w:pPr>
          </w:p>
          <w:p w14:paraId="70C7C9B3" w14:textId="77777777" w:rsidR="00DD30E0" w:rsidRPr="004F70E0" w:rsidRDefault="00DD30E0" w:rsidP="00DD30E0">
            <w:pPr>
              <w:pStyle w:val="ListParagraph"/>
              <w:numPr>
                <w:ilvl w:val="0"/>
                <w:numId w:val="79"/>
              </w:numPr>
              <w:spacing w:line="240" w:lineRule="auto"/>
              <w:jc w:val="both"/>
              <w:rPr>
                <w:rFonts w:eastAsia="Arial Narrow"/>
                <w:sz w:val="18"/>
                <w:szCs w:val="18"/>
              </w:rPr>
            </w:pPr>
            <w:r w:rsidRPr="004F70E0">
              <w:rPr>
                <w:rFonts w:eastAsia="Arial Narrow"/>
                <w:sz w:val="18"/>
                <w:szCs w:val="18"/>
              </w:rPr>
              <w:t>Financial and technical support programmes to support the transition of enterprises to RES (including the development of RES production capacities and energy efficiency), capitalising on existing entrepreneurial activity</w:t>
            </w:r>
          </w:p>
          <w:p w14:paraId="3B91D5C2" w14:textId="77777777" w:rsidR="00DD30E0" w:rsidRPr="004F70E0" w:rsidRDefault="00DD30E0" w:rsidP="00DD30E0">
            <w:pPr>
              <w:pStyle w:val="ListParagraph"/>
              <w:numPr>
                <w:ilvl w:val="0"/>
                <w:numId w:val="79"/>
              </w:numPr>
              <w:spacing w:line="240" w:lineRule="auto"/>
              <w:rPr>
                <w:sz w:val="18"/>
                <w:szCs w:val="18"/>
              </w:rPr>
            </w:pPr>
            <w:r w:rsidRPr="004F70E0">
              <w:rPr>
                <w:rFonts w:eastAsia="Arial Narrow"/>
                <w:sz w:val="18"/>
                <w:szCs w:val="18"/>
              </w:rPr>
              <w:t>Technological upgrading to reduce pollution and carbon emissions (large enterprises and SMEs</w:t>
            </w:r>
          </w:p>
          <w:p w14:paraId="64C24585" w14:textId="77777777" w:rsidR="00DD30E0" w:rsidRPr="004F70E0" w:rsidRDefault="00DD30E0" w:rsidP="00DD30E0">
            <w:pPr>
              <w:pStyle w:val="ListParagraph"/>
              <w:numPr>
                <w:ilvl w:val="0"/>
                <w:numId w:val="79"/>
              </w:numPr>
              <w:spacing w:line="240" w:lineRule="auto"/>
              <w:jc w:val="both"/>
              <w:rPr>
                <w:rFonts w:eastAsia="Arial Narrow"/>
                <w:sz w:val="18"/>
                <w:szCs w:val="18"/>
              </w:rPr>
            </w:pPr>
            <w:r w:rsidRPr="004F70E0">
              <w:rPr>
                <w:rFonts w:eastAsia="Arial Narrow"/>
                <w:sz w:val="18"/>
                <w:szCs w:val="18"/>
              </w:rPr>
              <w:t>Promoting sustainable urban mobility solutions: green public transport, infrastructure for promoting pedestrian and cycling mobility, stimulating green logistics solutions</w:t>
            </w:r>
          </w:p>
          <w:p w14:paraId="374DC87F" w14:textId="77777777" w:rsidR="00DD30E0" w:rsidRPr="004F70E0" w:rsidRDefault="00DD30E0" w:rsidP="00DD30E0">
            <w:pPr>
              <w:pStyle w:val="ListParagraph"/>
              <w:numPr>
                <w:ilvl w:val="0"/>
                <w:numId w:val="79"/>
              </w:numPr>
              <w:spacing w:line="240" w:lineRule="auto"/>
              <w:rPr>
                <w:sz w:val="18"/>
                <w:szCs w:val="18"/>
              </w:rPr>
            </w:pPr>
            <w:r w:rsidRPr="004F70E0">
              <w:rPr>
                <w:rFonts w:eastAsia="Arial Narrow"/>
                <w:sz w:val="18"/>
                <w:szCs w:val="18"/>
              </w:rPr>
              <w:t>Energy efficiency of public buildings (including public housing stock)</w:t>
            </w:r>
          </w:p>
          <w:p w14:paraId="0BB3D005" w14:textId="65B6F7D0" w:rsidR="00875B85" w:rsidRPr="004F70E0" w:rsidRDefault="00DD30E0" w:rsidP="00DD30E0">
            <w:pPr>
              <w:pStyle w:val="ListParagraph"/>
              <w:numPr>
                <w:ilvl w:val="0"/>
                <w:numId w:val="79"/>
              </w:numPr>
              <w:spacing w:line="240" w:lineRule="auto"/>
              <w:rPr>
                <w:sz w:val="18"/>
                <w:szCs w:val="18"/>
              </w:rPr>
            </w:pPr>
            <w:r w:rsidRPr="004F70E0">
              <w:rPr>
                <w:rFonts w:eastAsia="Arial Narrow"/>
                <w:sz w:val="18"/>
                <w:szCs w:val="18"/>
              </w:rPr>
              <w:t>Decontamination and functional reconversion of polluted and disused sites; reconstruction of ecosystems</w:t>
            </w:r>
          </w:p>
        </w:tc>
      </w:tr>
      <w:tr w:rsidR="00875B85" w:rsidRPr="004F70E0" w14:paraId="3E36B13B" w14:textId="77777777" w:rsidTr="00964831">
        <w:trPr>
          <w:trHeight w:val="232"/>
        </w:trPr>
        <w:tc>
          <w:tcPr>
            <w:tcW w:w="2411" w:type="pct"/>
            <w:shd w:val="clear" w:color="auto" w:fill="auto"/>
            <w:tcMar>
              <w:top w:w="100" w:type="dxa"/>
              <w:left w:w="100" w:type="dxa"/>
              <w:bottom w:w="100" w:type="dxa"/>
              <w:right w:w="100" w:type="dxa"/>
            </w:tcMar>
          </w:tcPr>
          <w:p w14:paraId="5B0DBD00" w14:textId="605ECB59" w:rsidR="00DD30E0" w:rsidRPr="004F70E0" w:rsidRDefault="00DD30E0" w:rsidP="00E42342">
            <w:pPr>
              <w:pStyle w:val="ListParagraph"/>
              <w:numPr>
                <w:ilvl w:val="0"/>
                <w:numId w:val="201"/>
              </w:numPr>
              <w:spacing w:line="240" w:lineRule="auto"/>
              <w:rPr>
                <w:sz w:val="18"/>
                <w:szCs w:val="18"/>
                <w:lang w:val="en-US"/>
              </w:rPr>
            </w:pPr>
            <w:r w:rsidRPr="004F70E0">
              <w:rPr>
                <w:sz w:val="18"/>
                <w:szCs w:val="18"/>
                <w:lang w:val="en-US"/>
              </w:rPr>
              <w:t>The highest manufacturing turnover registered in Mureș comes from the chemical industry (21% of manufacturing turnover), due to Azo</w:t>
            </w:r>
            <w:r w:rsidR="00861ED1">
              <w:rPr>
                <w:sz w:val="18"/>
                <w:szCs w:val="18"/>
                <w:lang w:val="en-US"/>
              </w:rPr>
              <w:t>m</w:t>
            </w:r>
            <w:r w:rsidR="004F70E0" w:rsidRPr="004F70E0">
              <w:rPr>
                <w:sz w:val="18"/>
                <w:szCs w:val="18"/>
                <w:lang w:val="en-US"/>
              </w:rPr>
              <w:t>ureș</w:t>
            </w:r>
            <w:r w:rsidRPr="004F70E0">
              <w:rPr>
                <w:sz w:val="18"/>
                <w:szCs w:val="18"/>
                <w:lang w:val="en-US"/>
              </w:rPr>
              <w:t xml:space="preserve"> dependence, and implicitly a still dependent vocational educational system</w:t>
            </w:r>
          </w:p>
          <w:p w14:paraId="0D315DBE" w14:textId="2974FBDA" w:rsidR="00875B85" w:rsidRPr="004F70E0" w:rsidRDefault="00DD30E0" w:rsidP="00E42342">
            <w:pPr>
              <w:pStyle w:val="ListParagraph"/>
              <w:numPr>
                <w:ilvl w:val="0"/>
                <w:numId w:val="201"/>
              </w:numPr>
              <w:spacing w:line="240" w:lineRule="auto"/>
              <w:rPr>
                <w:sz w:val="18"/>
                <w:szCs w:val="18"/>
              </w:rPr>
            </w:pPr>
            <w:r w:rsidRPr="004F70E0">
              <w:rPr>
                <w:sz w:val="18"/>
                <w:szCs w:val="18"/>
                <w:lang w:val="en-US"/>
              </w:rPr>
              <w:t xml:space="preserve">Need to counteract the attractiveness of neighboring counties in terms </w:t>
            </w:r>
            <w:r w:rsidRPr="004F70E0">
              <w:rPr>
                <w:rFonts w:eastAsia="Arial Narrow"/>
                <w:sz w:val="18"/>
                <w:szCs w:val="18"/>
              </w:rPr>
              <w:t>vocational and technical education</w:t>
            </w:r>
          </w:p>
        </w:tc>
        <w:tc>
          <w:tcPr>
            <w:tcW w:w="2589" w:type="pct"/>
            <w:shd w:val="clear" w:color="auto" w:fill="auto"/>
            <w:tcMar>
              <w:top w:w="100" w:type="dxa"/>
              <w:left w:w="100" w:type="dxa"/>
              <w:bottom w:w="100" w:type="dxa"/>
              <w:right w:w="100" w:type="dxa"/>
            </w:tcMar>
          </w:tcPr>
          <w:p w14:paraId="0CA1F39D" w14:textId="0EDFB2D6" w:rsidR="00DD30E0" w:rsidRPr="004F70E0" w:rsidRDefault="00DD30E0" w:rsidP="00DD30E0">
            <w:pPr>
              <w:spacing w:line="276" w:lineRule="auto"/>
              <w:jc w:val="both"/>
              <w:rPr>
                <w:rFonts w:ascii="Arial" w:hAnsi="Arial" w:cs="Arial"/>
                <w:sz w:val="18"/>
                <w:szCs w:val="18"/>
              </w:rPr>
            </w:pPr>
            <w:r w:rsidRPr="004F70E0">
              <w:rPr>
                <w:rFonts w:ascii="Arial" w:hAnsi="Arial" w:cs="Arial"/>
                <w:b/>
                <w:sz w:val="18"/>
                <w:szCs w:val="18"/>
              </w:rPr>
              <w:t xml:space="preserve">Type 3: </w:t>
            </w:r>
            <w:r w:rsidRPr="004F70E0">
              <w:rPr>
                <w:rFonts w:ascii="Arial" w:hAnsi="Arial" w:cs="Arial"/>
                <w:sz w:val="18"/>
                <w:szCs w:val="18"/>
              </w:rPr>
              <w:t>Increasing the level of employment:</w:t>
            </w:r>
          </w:p>
          <w:p w14:paraId="763A5E7C" w14:textId="77777777" w:rsidR="00DD30E0" w:rsidRPr="004F70E0" w:rsidRDefault="00DD30E0" w:rsidP="00DD30E0">
            <w:pPr>
              <w:spacing w:line="276" w:lineRule="auto"/>
              <w:jc w:val="both"/>
              <w:rPr>
                <w:rFonts w:ascii="Arial" w:hAnsi="Arial" w:cs="Arial"/>
                <w:sz w:val="18"/>
                <w:szCs w:val="18"/>
              </w:rPr>
            </w:pPr>
          </w:p>
          <w:p w14:paraId="3C0B93A5" w14:textId="77777777" w:rsidR="00DD30E0" w:rsidRPr="004F70E0" w:rsidRDefault="00DD30E0" w:rsidP="00DD30E0">
            <w:pPr>
              <w:pStyle w:val="ListParagraph"/>
              <w:numPr>
                <w:ilvl w:val="0"/>
                <w:numId w:val="83"/>
              </w:numPr>
              <w:spacing w:line="240" w:lineRule="auto"/>
              <w:jc w:val="both"/>
              <w:rPr>
                <w:rFonts w:eastAsia="Arial Narrow"/>
                <w:sz w:val="18"/>
                <w:szCs w:val="18"/>
              </w:rPr>
            </w:pPr>
            <w:r w:rsidRPr="004F70E0">
              <w:rPr>
                <w:rFonts w:eastAsia="Arial Narrow"/>
                <w:sz w:val="18"/>
                <w:szCs w:val="18"/>
              </w:rPr>
              <w:t>Development of dual school programmes</w:t>
            </w:r>
          </w:p>
          <w:p w14:paraId="7E915E9E" w14:textId="77777777" w:rsidR="00DD30E0" w:rsidRPr="004F70E0" w:rsidRDefault="00DD30E0" w:rsidP="00DD30E0">
            <w:pPr>
              <w:pStyle w:val="ListParagraph"/>
              <w:numPr>
                <w:ilvl w:val="0"/>
                <w:numId w:val="83"/>
              </w:numPr>
              <w:spacing w:line="240" w:lineRule="auto"/>
              <w:jc w:val="both"/>
              <w:rPr>
                <w:rFonts w:eastAsia="Arial Narrow"/>
                <w:sz w:val="18"/>
                <w:szCs w:val="18"/>
              </w:rPr>
            </w:pPr>
            <w:r w:rsidRPr="004F70E0">
              <w:rPr>
                <w:rFonts w:eastAsia="Arial Narrow"/>
                <w:sz w:val="18"/>
                <w:szCs w:val="18"/>
              </w:rPr>
              <w:t>Investments in the development of the material base and of the vocational and technical education curriculum</w:t>
            </w:r>
          </w:p>
          <w:p w14:paraId="3654109E" w14:textId="77777777" w:rsidR="00875B85" w:rsidRDefault="00DD30E0" w:rsidP="00DD30E0">
            <w:pPr>
              <w:pStyle w:val="ListParagraph"/>
              <w:numPr>
                <w:ilvl w:val="0"/>
                <w:numId w:val="83"/>
              </w:numPr>
              <w:spacing w:line="240" w:lineRule="auto"/>
              <w:jc w:val="both"/>
              <w:rPr>
                <w:rFonts w:eastAsia="Arial Narrow"/>
                <w:sz w:val="18"/>
                <w:szCs w:val="18"/>
              </w:rPr>
            </w:pPr>
            <w:r w:rsidRPr="004F70E0">
              <w:rPr>
                <w:rFonts w:eastAsia="Arial Narrow"/>
                <w:sz w:val="18"/>
                <w:szCs w:val="18"/>
              </w:rPr>
              <w:t>Innovative solutions for the labour market to insert those coming from disadvantaged backgrounds: e.g., qualification programmes in green jobs implemented in tandem with public investments in energy efficiency and reduction of energy poverty of those living in precarious conditions.</w:t>
            </w:r>
          </w:p>
          <w:p w14:paraId="5565D203" w14:textId="520E5FB4" w:rsidR="002F453B" w:rsidRPr="004F70E0" w:rsidRDefault="002F453B" w:rsidP="00DD30E0">
            <w:pPr>
              <w:pStyle w:val="ListParagraph"/>
              <w:numPr>
                <w:ilvl w:val="0"/>
                <w:numId w:val="83"/>
              </w:numPr>
              <w:spacing w:line="240" w:lineRule="auto"/>
              <w:jc w:val="both"/>
              <w:rPr>
                <w:rFonts w:eastAsia="Arial Narrow"/>
                <w:sz w:val="18"/>
                <w:szCs w:val="18"/>
              </w:rPr>
            </w:pPr>
            <w:r>
              <w:rPr>
                <w:rFonts w:eastAsia="Arial Narrow"/>
                <w:sz w:val="18"/>
                <w:szCs w:val="18"/>
              </w:rPr>
              <w:t>Upskilling and reskilling of laid-off personnel and jobseeker assistance</w:t>
            </w:r>
          </w:p>
        </w:tc>
      </w:tr>
    </w:tbl>
    <w:p w14:paraId="21F962E1" w14:textId="77777777" w:rsidR="00C76AFA" w:rsidRDefault="00C76AFA" w:rsidP="00C76AFA">
      <w:pPr>
        <w:jc w:val="both"/>
        <w:rPr>
          <w:rFonts w:ascii="Arial" w:hAnsi="Arial" w:cs="Arial"/>
          <w:sz w:val="20"/>
          <w:szCs w:val="20"/>
        </w:rPr>
        <w:sectPr w:rsidR="00C76AFA" w:rsidSect="00BE7F81">
          <w:headerReference w:type="default" r:id="rId205"/>
          <w:pgSz w:w="11909" w:h="16834"/>
          <w:pgMar w:top="1440" w:right="1440" w:bottom="1440" w:left="1530" w:header="720" w:footer="720" w:gutter="0"/>
          <w:cols w:space="720"/>
          <w:docGrid w:linePitch="326"/>
        </w:sectPr>
      </w:pPr>
    </w:p>
    <w:p w14:paraId="351EBC45" w14:textId="1C242AAC" w:rsidR="00C76AFA" w:rsidRPr="003516DC" w:rsidRDefault="00C76AFA" w:rsidP="00C76AFA">
      <w:pPr>
        <w:pStyle w:val="Caption"/>
      </w:pPr>
      <w:bookmarkStart w:id="316" w:name="_Toc90726023"/>
      <w:bookmarkStart w:id="317" w:name="_Toc90727320"/>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69</w:t>
      </w:r>
      <w:r w:rsidRPr="003516DC">
        <w:rPr>
          <w:noProof/>
        </w:rPr>
        <w:fldChar w:fldCharType="end"/>
      </w:r>
      <w:r w:rsidRPr="003516DC">
        <w:t>: Types of operations needed for Mureș County</w:t>
      </w:r>
      <w:bookmarkEnd w:id="316"/>
      <w:bookmarkEnd w:id="3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C76AFA" w:rsidRPr="004F70E0" w14:paraId="0D2847C7" w14:textId="77777777" w:rsidTr="004F70E0">
        <w:trPr>
          <w:tblHeader/>
        </w:trPr>
        <w:tc>
          <w:tcPr>
            <w:tcW w:w="5000" w:type="pct"/>
            <w:gridSpan w:val="4"/>
            <w:shd w:val="clear" w:color="auto" w:fill="002060"/>
            <w:tcMar>
              <w:top w:w="100" w:type="dxa"/>
              <w:left w:w="100" w:type="dxa"/>
              <w:bottom w:w="100" w:type="dxa"/>
              <w:right w:w="100" w:type="dxa"/>
            </w:tcMar>
            <w:vAlign w:val="center"/>
          </w:tcPr>
          <w:p w14:paraId="77297988" w14:textId="77777777" w:rsidR="00C76AFA" w:rsidRPr="004F70E0" w:rsidRDefault="00C76AFA" w:rsidP="00964831">
            <w:pPr>
              <w:jc w:val="center"/>
              <w:rPr>
                <w:rFonts w:ascii="Arial" w:hAnsi="Arial" w:cs="Arial"/>
                <w:b/>
                <w:bCs/>
                <w:sz w:val="18"/>
                <w:szCs w:val="18"/>
                <w:highlight w:val="white"/>
              </w:rPr>
            </w:pPr>
            <w:r w:rsidRPr="004F70E0">
              <w:rPr>
                <w:rFonts w:ascii="Arial" w:hAnsi="Arial" w:cs="Arial"/>
                <w:b/>
                <w:bCs/>
                <w:sz w:val="18"/>
                <w:szCs w:val="18"/>
              </w:rPr>
              <w:t>TYPES OF OPERATIONS NEEDED FOR MUREȘ COUNTY</w:t>
            </w:r>
          </w:p>
        </w:tc>
      </w:tr>
      <w:tr w:rsidR="00C76AFA" w:rsidRPr="004F70E0" w14:paraId="2CDFCB52" w14:textId="77777777" w:rsidTr="004F70E0">
        <w:trPr>
          <w:trHeight w:val="737"/>
          <w:tblHeader/>
        </w:trPr>
        <w:tc>
          <w:tcPr>
            <w:tcW w:w="479" w:type="pct"/>
            <w:shd w:val="clear" w:color="auto" w:fill="C6D9F1" w:themeFill="text2" w:themeFillTint="33"/>
            <w:tcMar>
              <w:top w:w="100" w:type="dxa"/>
              <w:left w:w="100" w:type="dxa"/>
              <w:bottom w:w="100" w:type="dxa"/>
              <w:right w:w="100" w:type="dxa"/>
            </w:tcMar>
            <w:vAlign w:val="center"/>
          </w:tcPr>
          <w:p w14:paraId="5D564A06" w14:textId="77777777" w:rsidR="00C76AFA" w:rsidRPr="004F70E0" w:rsidRDefault="00C76AFA" w:rsidP="00964831">
            <w:pPr>
              <w:rPr>
                <w:rFonts w:ascii="Arial" w:hAnsi="Arial" w:cs="Arial"/>
                <w:b/>
                <w:bCs/>
                <w:sz w:val="18"/>
                <w:szCs w:val="18"/>
              </w:rPr>
            </w:pPr>
            <w:r w:rsidRPr="004F70E0">
              <w:rPr>
                <w:rFonts w:ascii="Arial" w:hAnsi="Arial" w:cs="Arial"/>
                <w:b/>
                <w:bCs/>
                <w:sz w:val="18"/>
                <w:szCs w:val="18"/>
              </w:rPr>
              <w:t>Degree of priority</w:t>
            </w:r>
          </w:p>
        </w:tc>
        <w:tc>
          <w:tcPr>
            <w:tcW w:w="1875" w:type="pct"/>
            <w:shd w:val="clear" w:color="auto" w:fill="C6D9F1" w:themeFill="text2" w:themeFillTint="33"/>
            <w:tcMar>
              <w:top w:w="100" w:type="dxa"/>
              <w:left w:w="100" w:type="dxa"/>
              <w:bottom w:w="100" w:type="dxa"/>
              <w:right w:w="100" w:type="dxa"/>
            </w:tcMar>
            <w:vAlign w:val="center"/>
          </w:tcPr>
          <w:p w14:paraId="5262B2E0" w14:textId="63F59DBD" w:rsidR="00C76AFA" w:rsidRPr="004F70E0" w:rsidRDefault="00C76AFA" w:rsidP="00964831">
            <w:pPr>
              <w:jc w:val="both"/>
              <w:rPr>
                <w:rFonts w:ascii="Arial" w:hAnsi="Arial" w:cs="Arial"/>
                <w:b/>
                <w:bCs/>
                <w:sz w:val="18"/>
                <w:szCs w:val="18"/>
              </w:rPr>
            </w:pPr>
            <w:r w:rsidRPr="004F70E0">
              <w:rPr>
                <w:rFonts w:ascii="Arial" w:hAnsi="Arial" w:cs="Arial"/>
                <w:b/>
                <w:bCs/>
                <w:sz w:val="18"/>
                <w:szCs w:val="18"/>
              </w:rPr>
              <w:t xml:space="preserve">Identified as priority to address the impact of the transition by the stakeholders and from the trends analysis and </w:t>
            </w:r>
            <w:r w:rsidR="00E32FE2">
              <w:rPr>
                <w:rFonts w:ascii="Arial" w:hAnsi="Arial" w:cs="Arial"/>
                <w:b/>
                <w:bCs/>
                <w:sz w:val="18"/>
                <w:szCs w:val="18"/>
              </w:rPr>
              <w:t>potentially</w:t>
            </w:r>
            <w:r w:rsidR="00E32FE2" w:rsidRPr="004F70E0">
              <w:rPr>
                <w:rFonts w:ascii="Arial" w:hAnsi="Arial" w:cs="Arial"/>
                <w:b/>
                <w:bCs/>
                <w:sz w:val="18"/>
                <w:szCs w:val="18"/>
              </w:rPr>
              <w:t xml:space="preserve"> </w:t>
            </w:r>
            <w:r w:rsidRPr="004F70E0">
              <w:rPr>
                <w:rFonts w:ascii="Arial" w:hAnsi="Arial" w:cs="Arial"/>
                <w:b/>
                <w:bCs/>
                <w:sz w:val="18"/>
                <w:szCs w:val="18"/>
              </w:rPr>
              <w:t>in scope of the JTF Regulation</w:t>
            </w:r>
          </w:p>
        </w:tc>
        <w:tc>
          <w:tcPr>
            <w:tcW w:w="1549" w:type="pct"/>
            <w:shd w:val="clear" w:color="auto" w:fill="C6D9F1" w:themeFill="text2" w:themeFillTint="33"/>
            <w:tcMar>
              <w:top w:w="100" w:type="dxa"/>
              <w:left w:w="100" w:type="dxa"/>
              <w:bottom w:w="100" w:type="dxa"/>
              <w:right w:w="100" w:type="dxa"/>
            </w:tcMar>
            <w:vAlign w:val="center"/>
          </w:tcPr>
          <w:p w14:paraId="2F752E64" w14:textId="765FFB6F" w:rsidR="00C76AFA" w:rsidRPr="004F70E0" w:rsidRDefault="00C76AFA" w:rsidP="00964831">
            <w:pPr>
              <w:jc w:val="both"/>
              <w:rPr>
                <w:rFonts w:ascii="Arial" w:hAnsi="Arial" w:cs="Arial"/>
                <w:b/>
                <w:bCs/>
                <w:sz w:val="18"/>
                <w:szCs w:val="18"/>
              </w:rPr>
            </w:pPr>
            <w:r w:rsidRPr="004F70E0">
              <w:rPr>
                <w:rFonts w:ascii="Arial" w:hAnsi="Arial" w:cs="Arial"/>
                <w:b/>
                <w:bCs/>
                <w:sz w:val="18"/>
                <w:szCs w:val="18"/>
              </w:rPr>
              <w:t xml:space="preserve">Identified as priority to address the impact of the transition by the stakeholders and from the trends analysis, </w:t>
            </w:r>
            <w:r w:rsidRPr="00190BA4">
              <w:rPr>
                <w:rFonts w:ascii="Arial" w:hAnsi="Arial" w:cs="Arial"/>
                <w:b/>
                <w:bCs/>
                <w:sz w:val="18"/>
                <w:szCs w:val="18"/>
                <w:u w:val="single"/>
              </w:rPr>
              <w:t>not</w:t>
            </w:r>
            <w:r w:rsidRPr="004F70E0">
              <w:rPr>
                <w:rFonts w:ascii="Arial" w:hAnsi="Arial" w:cs="Arial"/>
                <w:b/>
                <w:bCs/>
                <w:sz w:val="18"/>
                <w:szCs w:val="18"/>
              </w:rPr>
              <w:t xml:space="preserve"> in scope of the JTF Regulation</w:t>
            </w:r>
            <w:r w:rsidR="00176E38">
              <w:rPr>
                <w:rFonts w:ascii="Arial" w:hAnsi="Arial" w:cs="Arial"/>
                <w:b/>
                <w:bCs/>
                <w:sz w:val="18"/>
                <w:szCs w:val="18"/>
              </w:rPr>
              <w:t xml:space="preserve"> </w:t>
            </w:r>
            <w:r w:rsidR="00176E38" w:rsidRPr="005C2CA2">
              <w:rPr>
                <w:rFonts w:ascii="Arial" w:hAnsi="Arial" w:cs="Arial"/>
                <w:b/>
                <w:bCs/>
                <w:sz w:val="18"/>
                <w:szCs w:val="18"/>
              </w:rPr>
              <w:t>(</w:t>
            </w:r>
            <w:r w:rsidR="00176E38" w:rsidRPr="003422BA">
              <w:rPr>
                <w:rFonts w:ascii="Arial" w:hAnsi="Arial" w:cs="Arial"/>
                <w:b/>
                <w:bCs/>
                <w:sz w:val="18"/>
                <w:szCs w:val="18"/>
                <w:u w:val="single"/>
              </w:rPr>
              <w:t>therefore to be considered for other funding sources)</w:t>
            </w:r>
          </w:p>
        </w:tc>
        <w:tc>
          <w:tcPr>
            <w:tcW w:w="1097" w:type="pct"/>
            <w:shd w:val="clear" w:color="auto" w:fill="C6D9F1" w:themeFill="text2" w:themeFillTint="33"/>
            <w:tcMar>
              <w:top w:w="100" w:type="dxa"/>
              <w:left w:w="100" w:type="dxa"/>
              <w:bottom w:w="100" w:type="dxa"/>
              <w:right w:w="100" w:type="dxa"/>
            </w:tcMar>
            <w:vAlign w:val="center"/>
          </w:tcPr>
          <w:p w14:paraId="3D818533" w14:textId="77777777" w:rsidR="00C76AFA" w:rsidRPr="004F70E0" w:rsidRDefault="00C76AFA" w:rsidP="00964831">
            <w:pPr>
              <w:jc w:val="both"/>
              <w:rPr>
                <w:rFonts w:ascii="Arial" w:hAnsi="Arial" w:cs="Arial"/>
                <w:b/>
                <w:bCs/>
                <w:sz w:val="18"/>
                <w:szCs w:val="18"/>
              </w:rPr>
            </w:pPr>
            <w:r w:rsidRPr="004F70E0">
              <w:rPr>
                <w:rFonts w:ascii="Arial" w:hAnsi="Arial" w:cs="Arial"/>
                <w:b/>
                <w:bCs/>
                <w:sz w:val="18"/>
                <w:szCs w:val="18"/>
              </w:rPr>
              <w:t>Consistency of the type of operation with different national, regional, territorial strategies and plans</w:t>
            </w:r>
          </w:p>
        </w:tc>
      </w:tr>
      <w:tr w:rsidR="00C76AFA" w:rsidRPr="004F70E0" w14:paraId="47B343E7" w14:textId="77777777" w:rsidTr="004F70E0">
        <w:trPr>
          <w:trHeight w:val="20"/>
        </w:trPr>
        <w:tc>
          <w:tcPr>
            <w:tcW w:w="479" w:type="pct"/>
            <w:shd w:val="clear" w:color="auto" w:fill="C6D9F1" w:themeFill="text2" w:themeFillTint="33"/>
            <w:tcMar>
              <w:top w:w="100" w:type="dxa"/>
              <w:left w:w="100" w:type="dxa"/>
              <w:bottom w:w="100" w:type="dxa"/>
              <w:right w:w="100" w:type="dxa"/>
            </w:tcMar>
          </w:tcPr>
          <w:p w14:paraId="2087E1CE" w14:textId="77777777" w:rsidR="00C76AFA" w:rsidRPr="004F70E0" w:rsidRDefault="00C76AFA" w:rsidP="00964831">
            <w:pPr>
              <w:jc w:val="both"/>
              <w:rPr>
                <w:rFonts w:ascii="Arial" w:hAnsi="Arial" w:cs="Arial"/>
                <w:sz w:val="18"/>
                <w:szCs w:val="18"/>
                <w:highlight w:val="white"/>
              </w:rPr>
            </w:pPr>
            <w:r w:rsidRPr="004F70E0">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17EE6D96" w14:textId="77777777" w:rsidR="00C76AFA" w:rsidRPr="004F70E0" w:rsidRDefault="00C76AFA" w:rsidP="00964831">
            <w:pPr>
              <w:rPr>
                <w:rFonts w:ascii="Arial" w:eastAsia="Arial Narrow" w:hAnsi="Arial" w:cs="Arial"/>
                <w:b/>
                <w:sz w:val="18"/>
                <w:szCs w:val="18"/>
              </w:rPr>
            </w:pPr>
            <w:r w:rsidRPr="004F70E0">
              <w:rPr>
                <w:rFonts w:ascii="Arial" w:eastAsia="Arial Narrow" w:hAnsi="Arial" w:cs="Arial"/>
                <w:b/>
                <w:sz w:val="18"/>
                <w:szCs w:val="18"/>
              </w:rPr>
              <w:t>Type 1:</w:t>
            </w:r>
            <w:r w:rsidRPr="004F70E0">
              <w:rPr>
                <w:rFonts w:ascii="Arial" w:eastAsia="Arial Narrow" w:hAnsi="Arial" w:cs="Arial"/>
                <w:sz w:val="18"/>
                <w:szCs w:val="18"/>
              </w:rPr>
              <w:t xml:space="preserve"> </w:t>
            </w:r>
            <w:r w:rsidRPr="004F70E0">
              <w:rPr>
                <w:rFonts w:ascii="Arial" w:eastAsia="Arial Narrow" w:hAnsi="Arial" w:cs="Arial"/>
                <w:b/>
                <w:sz w:val="18"/>
                <w:szCs w:val="18"/>
              </w:rPr>
              <w:t>Increasing competitiveness and economic diversification, research, innovation and digitalisation</w:t>
            </w:r>
          </w:p>
          <w:p w14:paraId="30EECD7D" w14:textId="77777777" w:rsidR="00C76AFA" w:rsidRPr="004F70E0" w:rsidRDefault="00C76AFA" w:rsidP="00964831">
            <w:pPr>
              <w:jc w:val="both"/>
              <w:rPr>
                <w:rFonts w:ascii="Arial" w:eastAsia="Arial Narrow" w:hAnsi="Arial" w:cs="Arial"/>
                <w:sz w:val="18"/>
                <w:szCs w:val="18"/>
              </w:rPr>
            </w:pPr>
          </w:p>
          <w:p w14:paraId="544DFE83" w14:textId="77777777" w:rsidR="00C76AFA" w:rsidRPr="004F70E0" w:rsidRDefault="00C76AFA" w:rsidP="00C76AFA">
            <w:pPr>
              <w:pStyle w:val="ListParagraph"/>
              <w:numPr>
                <w:ilvl w:val="0"/>
                <w:numId w:val="85"/>
              </w:numPr>
              <w:spacing w:line="240" w:lineRule="auto"/>
              <w:rPr>
                <w:rFonts w:eastAsia="Arial Narrow"/>
                <w:sz w:val="18"/>
                <w:szCs w:val="18"/>
              </w:rPr>
            </w:pPr>
            <w:r w:rsidRPr="004F70E0">
              <w:rPr>
                <w:rFonts w:eastAsia="Arial Narrow"/>
                <w:sz w:val="18"/>
                <w:szCs w:val="18"/>
              </w:rPr>
              <w:t>Financing and acceleration programmes (support for internationalisation/access to new markets, business model development, technological upgrading /digitisation, etc.) for the SME sector</w:t>
            </w:r>
          </w:p>
          <w:p w14:paraId="4F29DA14" w14:textId="77777777" w:rsidR="00C76AFA" w:rsidRPr="004F70E0" w:rsidRDefault="00C76AFA" w:rsidP="00C76AFA">
            <w:pPr>
              <w:pStyle w:val="ListParagraph"/>
              <w:numPr>
                <w:ilvl w:val="0"/>
                <w:numId w:val="85"/>
              </w:numPr>
              <w:spacing w:line="240" w:lineRule="auto"/>
              <w:rPr>
                <w:rFonts w:eastAsia="Arial Narrow"/>
                <w:sz w:val="18"/>
                <w:szCs w:val="18"/>
              </w:rPr>
            </w:pPr>
            <w:r w:rsidRPr="004F70E0">
              <w:rPr>
                <w:rFonts w:eastAsia="Arial Narrow"/>
                <w:sz w:val="18"/>
                <w:szCs w:val="18"/>
              </w:rPr>
              <w:t>Development of a science and technology park, with start-up incubation services, to support the knowledge-intensive services sector</w:t>
            </w:r>
          </w:p>
          <w:p w14:paraId="13A02016" w14:textId="77777777" w:rsidR="00C76AFA" w:rsidRPr="004F70E0" w:rsidRDefault="00C76AFA" w:rsidP="00C76AFA">
            <w:pPr>
              <w:pStyle w:val="ListParagraph"/>
              <w:numPr>
                <w:ilvl w:val="0"/>
                <w:numId w:val="85"/>
              </w:numPr>
              <w:spacing w:line="240" w:lineRule="auto"/>
              <w:rPr>
                <w:rFonts w:eastAsia="Arial Narrow"/>
                <w:sz w:val="18"/>
                <w:szCs w:val="18"/>
              </w:rPr>
            </w:pPr>
            <w:r w:rsidRPr="004F70E0">
              <w:rPr>
                <w:rFonts w:eastAsia="Arial Narrow"/>
                <w:sz w:val="18"/>
                <w:szCs w:val="18"/>
              </w:rPr>
              <w:t>Investments in R&amp;D and technological transfer towards carbon neutrality including for large businesses</w:t>
            </w:r>
          </w:p>
        </w:tc>
        <w:tc>
          <w:tcPr>
            <w:tcW w:w="1549" w:type="pct"/>
            <w:shd w:val="clear" w:color="auto" w:fill="D9D9D9" w:themeFill="background1" w:themeFillShade="D9"/>
            <w:tcMar>
              <w:top w:w="100" w:type="dxa"/>
              <w:left w:w="100" w:type="dxa"/>
              <w:bottom w:w="100" w:type="dxa"/>
              <w:right w:w="100" w:type="dxa"/>
            </w:tcMar>
          </w:tcPr>
          <w:p w14:paraId="00FBB846" w14:textId="77777777" w:rsidR="00C76AFA" w:rsidRPr="004F70E0" w:rsidRDefault="00C76AFA" w:rsidP="00964831">
            <w:pPr>
              <w:pStyle w:val="ListParagraph"/>
              <w:spacing w:line="240" w:lineRule="auto"/>
              <w:ind w:left="360"/>
              <w:rPr>
                <w:sz w:val="18"/>
                <w:szCs w:val="18"/>
                <w:highlight w:val="white"/>
              </w:rPr>
            </w:pPr>
          </w:p>
        </w:tc>
        <w:tc>
          <w:tcPr>
            <w:tcW w:w="1097" w:type="pct"/>
            <w:shd w:val="clear" w:color="auto" w:fill="D9D9D9" w:themeFill="background1" w:themeFillShade="D9"/>
            <w:tcMar>
              <w:top w:w="100" w:type="dxa"/>
              <w:left w:w="100" w:type="dxa"/>
              <w:bottom w:w="100" w:type="dxa"/>
              <w:right w:w="100" w:type="dxa"/>
            </w:tcMar>
          </w:tcPr>
          <w:p w14:paraId="53D90575" w14:textId="77777777" w:rsidR="00C76AFA" w:rsidRPr="004F70E0" w:rsidRDefault="00C76AFA" w:rsidP="00964831">
            <w:pPr>
              <w:pStyle w:val="ListParagraph"/>
              <w:spacing w:line="240" w:lineRule="auto"/>
              <w:ind w:left="360"/>
              <w:rPr>
                <w:sz w:val="18"/>
                <w:szCs w:val="18"/>
                <w:highlight w:val="white"/>
              </w:rPr>
            </w:pPr>
          </w:p>
        </w:tc>
      </w:tr>
      <w:tr w:rsidR="00C76AFA" w:rsidRPr="004F70E0" w14:paraId="0C2F9755"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4340D786"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29990B05" w14:textId="77777777" w:rsidR="00C76AFA" w:rsidRPr="004F70E0" w:rsidRDefault="00C76AFA" w:rsidP="00C76AFA">
            <w:pPr>
              <w:pStyle w:val="ListParagraph"/>
              <w:numPr>
                <w:ilvl w:val="0"/>
                <w:numId w:val="78"/>
              </w:numPr>
              <w:spacing w:line="240" w:lineRule="auto"/>
              <w:rPr>
                <w:b/>
                <w:sz w:val="18"/>
                <w:szCs w:val="18"/>
              </w:rPr>
            </w:pPr>
            <w:r w:rsidRPr="004F70E0">
              <w:rPr>
                <w:sz w:val="18"/>
                <w:szCs w:val="18"/>
              </w:rPr>
              <w:t>Development of new industrial and logistics park facilities in anticipation of the development of the role of motorway junction of Târgu Mureș</w:t>
            </w:r>
          </w:p>
        </w:tc>
        <w:tc>
          <w:tcPr>
            <w:tcW w:w="1549" w:type="pct"/>
            <w:shd w:val="clear" w:color="auto" w:fill="D9D9D9" w:themeFill="background1" w:themeFillShade="D9"/>
            <w:tcMar>
              <w:top w:w="100" w:type="dxa"/>
              <w:left w:w="100" w:type="dxa"/>
              <w:bottom w:w="100" w:type="dxa"/>
              <w:right w:w="100" w:type="dxa"/>
            </w:tcMar>
          </w:tcPr>
          <w:p w14:paraId="6F488266" w14:textId="77777777" w:rsidR="00C76AFA" w:rsidRPr="004F70E0" w:rsidRDefault="00C76AFA" w:rsidP="00964831">
            <w:pPr>
              <w:pStyle w:val="ListParagraph"/>
              <w:spacing w:before="240" w:after="60"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4BBF7D1D" w14:textId="77777777" w:rsidR="00C76AFA" w:rsidRPr="004F70E0" w:rsidRDefault="00C76AFA" w:rsidP="00964831">
            <w:pPr>
              <w:pStyle w:val="ListParagraph"/>
              <w:spacing w:line="240" w:lineRule="auto"/>
              <w:ind w:left="360"/>
              <w:rPr>
                <w:sz w:val="18"/>
                <w:szCs w:val="18"/>
              </w:rPr>
            </w:pPr>
          </w:p>
        </w:tc>
      </w:tr>
      <w:tr w:rsidR="00C76AFA" w:rsidRPr="004F70E0" w14:paraId="51372FEE"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18CD4A88"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16B11528" w14:textId="77777777" w:rsidR="00C76AFA" w:rsidRPr="004F70E0" w:rsidRDefault="00C76AFA" w:rsidP="00C76AFA">
            <w:pPr>
              <w:pStyle w:val="ListParagraph"/>
              <w:numPr>
                <w:ilvl w:val="0"/>
                <w:numId w:val="82"/>
              </w:numPr>
              <w:spacing w:line="240" w:lineRule="auto"/>
              <w:rPr>
                <w:sz w:val="18"/>
                <w:szCs w:val="18"/>
              </w:rPr>
            </w:pPr>
            <w:r w:rsidRPr="004F70E0">
              <w:rPr>
                <w:rFonts w:eastAsia="Arial Narrow"/>
                <w:sz w:val="18"/>
                <w:szCs w:val="18"/>
              </w:rPr>
              <w:t>Digitisation of public services</w:t>
            </w:r>
          </w:p>
        </w:tc>
        <w:tc>
          <w:tcPr>
            <w:tcW w:w="1549" w:type="pct"/>
            <w:shd w:val="clear" w:color="auto" w:fill="D9D9D9" w:themeFill="background1" w:themeFillShade="D9"/>
            <w:tcMar>
              <w:top w:w="100" w:type="dxa"/>
              <w:left w:w="100" w:type="dxa"/>
              <w:bottom w:w="100" w:type="dxa"/>
              <w:right w:w="100" w:type="dxa"/>
            </w:tcMar>
          </w:tcPr>
          <w:p w14:paraId="22855987" w14:textId="77777777" w:rsidR="00C76AFA" w:rsidRPr="004F70E0" w:rsidRDefault="00C76AFA"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70C85A25" w14:textId="77777777" w:rsidR="00C76AFA" w:rsidRPr="004F70E0" w:rsidRDefault="00C76AFA" w:rsidP="00964831">
            <w:pPr>
              <w:rPr>
                <w:rFonts w:ascii="Arial" w:hAnsi="Arial" w:cs="Arial"/>
                <w:sz w:val="18"/>
                <w:szCs w:val="18"/>
              </w:rPr>
            </w:pPr>
          </w:p>
        </w:tc>
      </w:tr>
      <w:tr w:rsidR="00C76AFA" w:rsidRPr="004F70E0" w14:paraId="1F69523F"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4D36AC48"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457C126F" w14:textId="77777777" w:rsidR="00C76AFA" w:rsidRPr="004F70E0" w:rsidRDefault="00C76AFA" w:rsidP="00964831">
            <w:pPr>
              <w:rPr>
                <w:rFonts w:ascii="Arial" w:eastAsia="Arial Narrow" w:hAnsi="Arial" w:cs="Arial"/>
                <w:b/>
                <w:sz w:val="18"/>
                <w:szCs w:val="18"/>
              </w:rPr>
            </w:pPr>
            <w:r w:rsidRPr="004F70E0">
              <w:rPr>
                <w:rFonts w:ascii="Arial" w:eastAsia="Arial Narrow" w:hAnsi="Arial" w:cs="Arial"/>
                <w:b/>
                <w:sz w:val="18"/>
                <w:szCs w:val="18"/>
              </w:rPr>
              <w:t>Type 2: Supporting investments in energy infrastructure and clean energy technology</w:t>
            </w:r>
          </w:p>
          <w:p w14:paraId="43DC02B7" w14:textId="77777777" w:rsidR="00C76AFA" w:rsidRPr="004F70E0" w:rsidRDefault="00C76AFA" w:rsidP="00964831">
            <w:pPr>
              <w:rPr>
                <w:rFonts w:ascii="Arial" w:eastAsia="Arial Narrow" w:hAnsi="Arial" w:cs="Arial"/>
                <w:b/>
                <w:sz w:val="18"/>
                <w:szCs w:val="18"/>
              </w:rPr>
            </w:pPr>
          </w:p>
          <w:p w14:paraId="6A6110E0" w14:textId="77777777" w:rsidR="00C76AFA" w:rsidRPr="004F70E0" w:rsidRDefault="00C76AFA" w:rsidP="00C76AFA">
            <w:pPr>
              <w:pStyle w:val="ListParagraph"/>
              <w:numPr>
                <w:ilvl w:val="0"/>
                <w:numId w:val="82"/>
              </w:numPr>
              <w:spacing w:line="240" w:lineRule="auto"/>
              <w:jc w:val="both"/>
              <w:rPr>
                <w:rFonts w:eastAsia="Arial Narrow"/>
                <w:sz w:val="18"/>
                <w:szCs w:val="18"/>
              </w:rPr>
            </w:pPr>
            <w:r w:rsidRPr="004F70E0">
              <w:rPr>
                <w:rFonts w:eastAsia="Arial Narrow"/>
                <w:sz w:val="18"/>
                <w:szCs w:val="18"/>
              </w:rPr>
              <w:t>Financial and technical support programmes to support the transition of enterprises to RES (including the development of RES production capacities and energy efficiency), capitalising on existing entrepreneurial activity</w:t>
            </w:r>
          </w:p>
          <w:p w14:paraId="28D15EE2" w14:textId="77777777" w:rsidR="00C76AFA" w:rsidRPr="004F70E0" w:rsidRDefault="00C76AFA" w:rsidP="00C76AFA">
            <w:pPr>
              <w:pStyle w:val="ListParagraph"/>
              <w:numPr>
                <w:ilvl w:val="0"/>
                <w:numId w:val="82"/>
              </w:numPr>
              <w:spacing w:line="240" w:lineRule="auto"/>
              <w:rPr>
                <w:rFonts w:eastAsia="Arial Narrow"/>
                <w:sz w:val="18"/>
                <w:szCs w:val="18"/>
              </w:rPr>
            </w:pPr>
            <w:r w:rsidRPr="004F70E0">
              <w:rPr>
                <w:rFonts w:eastAsia="Arial Narrow"/>
                <w:sz w:val="18"/>
                <w:szCs w:val="18"/>
              </w:rPr>
              <w:t>Technological upgrading to reduce pollution and carbon emissions (large enterprises and SMEs)</w:t>
            </w:r>
          </w:p>
        </w:tc>
        <w:tc>
          <w:tcPr>
            <w:tcW w:w="1549" w:type="pct"/>
            <w:shd w:val="clear" w:color="auto" w:fill="D9D9D9" w:themeFill="background1" w:themeFillShade="D9"/>
            <w:tcMar>
              <w:top w:w="100" w:type="dxa"/>
              <w:left w:w="100" w:type="dxa"/>
              <w:bottom w:w="100" w:type="dxa"/>
              <w:right w:w="100" w:type="dxa"/>
            </w:tcMar>
          </w:tcPr>
          <w:p w14:paraId="0331C119" w14:textId="77777777" w:rsidR="00C76AFA" w:rsidRPr="004F70E0" w:rsidRDefault="00C76AFA" w:rsidP="00964831">
            <w:pPr>
              <w:rPr>
                <w:rFonts w:ascii="Arial" w:hAnsi="Arial" w:cs="Arial"/>
                <w:sz w:val="18"/>
                <w:szCs w:val="18"/>
              </w:rPr>
            </w:pPr>
          </w:p>
        </w:tc>
        <w:tc>
          <w:tcPr>
            <w:tcW w:w="1097" w:type="pct"/>
            <w:shd w:val="clear" w:color="auto" w:fill="auto"/>
            <w:tcMar>
              <w:top w:w="100" w:type="dxa"/>
              <w:left w:w="100" w:type="dxa"/>
              <w:bottom w:w="100" w:type="dxa"/>
              <w:right w:w="100" w:type="dxa"/>
            </w:tcMar>
          </w:tcPr>
          <w:p w14:paraId="26C98A04" w14:textId="77777777" w:rsidR="00C76AFA" w:rsidRPr="004F70E0" w:rsidRDefault="00C76AFA" w:rsidP="00C76AFA">
            <w:pPr>
              <w:pStyle w:val="ListParagraph"/>
              <w:numPr>
                <w:ilvl w:val="0"/>
                <w:numId w:val="82"/>
              </w:numPr>
              <w:spacing w:line="240" w:lineRule="auto"/>
              <w:rPr>
                <w:rFonts w:eastAsia="Arial Narrow"/>
                <w:sz w:val="18"/>
                <w:szCs w:val="18"/>
                <w:highlight w:val="white"/>
              </w:rPr>
            </w:pPr>
            <w:r w:rsidRPr="004F70E0">
              <w:rPr>
                <w:rFonts w:eastAsia="Arial Narrow"/>
                <w:sz w:val="18"/>
                <w:szCs w:val="18"/>
                <w:highlight w:val="white"/>
              </w:rPr>
              <w:t>SDOP - Priority 1- Promoting energy efficiency, systems and networks smart energy and storage solutions / Investment categories:</w:t>
            </w:r>
          </w:p>
          <w:p w14:paraId="1CC07C32" w14:textId="77777777" w:rsidR="00C76AFA" w:rsidRPr="004F70E0" w:rsidRDefault="00C76AFA" w:rsidP="00964831">
            <w:pPr>
              <w:spacing w:before="240"/>
              <w:rPr>
                <w:rFonts w:ascii="Arial" w:eastAsia="Arial Narrow" w:hAnsi="Arial" w:cs="Arial"/>
                <w:sz w:val="18"/>
                <w:szCs w:val="18"/>
                <w:highlight w:val="white"/>
              </w:rPr>
            </w:pPr>
            <w:r w:rsidRPr="004F70E0">
              <w:rPr>
                <w:rFonts w:ascii="Arial" w:eastAsia="Arial Narrow" w:hAnsi="Arial" w:cs="Arial"/>
                <w:sz w:val="18"/>
                <w:szCs w:val="18"/>
                <w:highlight w:val="white"/>
              </w:rPr>
              <w:t>1.1 Improving the energy efficiency of SMEs and large businesses</w:t>
            </w:r>
            <w:r w:rsidRPr="004F70E0">
              <w:rPr>
                <w:rStyle w:val="FootnoteReference"/>
                <w:rFonts w:ascii="Arial" w:eastAsia="Arial Narrow" w:hAnsi="Arial" w:cs="Arial"/>
                <w:sz w:val="18"/>
                <w:szCs w:val="18"/>
                <w:highlight w:val="white"/>
              </w:rPr>
              <w:footnoteReference w:id="137"/>
            </w:r>
          </w:p>
        </w:tc>
      </w:tr>
      <w:tr w:rsidR="00C76AFA" w:rsidRPr="004F70E0" w14:paraId="2CADB7BD"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26850AB0"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lastRenderedPageBreak/>
              <w:t>Medium priority</w:t>
            </w:r>
          </w:p>
        </w:tc>
        <w:tc>
          <w:tcPr>
            <w:tcW w:w="1875" w:type="pct"/>
            <w:shd w:val="clear" w:color="auto" w:fill="auto"/>
            <w:tcMar>
              <w:top w:w="100" w:type="dxa"/>
              <w:left w:w="100" w:type="dxa"/>
              <w:bottom w:w="100" w:type="dxa"/>
              <w:right w:w="100" w:type="dxa"/>
            </w:tcMar>
          </w:tcPr>
          <w:p w14:paraId="58F7C692" w14:textId="77777777" w:rsidR="00C76AFA" w:rsidRPr="004F70E0" w:rsidRDefault="00C76AFA" w:rsidP="00C76AFA">
            <w:pPr>
              <w:pStyle w:val="ListParagraph"/>
              <w:numPr>
                <w:ilvl w:val="0"/>
                <w:numId w:val="86"/>
              </w:numPr>
              <w:spacing w:line="240" w:lineRule="auto"/>
              <w:jc w:val="both"/>
              <w:rPr>
                <w:rFonts w:eastAsia="Arial Narrow"/>
                <w:sz w:val="18"/>
                <w:szCs w:val="18"/>
              </w:rPr>
            </w:pPr>
            <w:r w:rsidRPr="004F70E0">
              <w:rPr>
                <w:rFonts w:eastAsia="Arial Narrow"/>
                <w:sz w:val="18"/>
                <w:szCs w:val="18"/>
              </w:rPr>
              <w:t>Promoting sustainable urban mobility solutions: green public transport, infrastructure for promoting pedestrian and cycling mobility, stimulating green logistics solutions</w:t>
            </w:r>
          </w:p>
          <w:p w14:paraId="3489B791" w14:textId="77777777" w:rsidR="00C76AFA" w:rsidRPr="004F70E0" w:rsidRDefault="00C76AFA" w:rsidP="00C76AFA">
            <w:pPr>
              <w:pStyle w:val="ListParagraph"/>
              <w:numPr>
                <w:ilvl w:val="0"/>
                <w:numId w:val="86"/>
              </w:numPr>
              <w:spacing w:line="240" w:lineRule="auto"/>
              <w:rPr>
                <w:rFonts w:eastAsia="Arial Narrow"/>
                <w:b/>
                <w:sz w:val="18"/>
                <w:szCs w:val="18"/>
              </w:rPr>
            </w:pPr>
            <w:r w:rsidRPr="004F70E0">
              <w:rPr>
                <w:rFonts w:eastAsia="Arial Narrow"/>
                <w:sz w:val="18"/>
                <w:szCs w:val="18"/>
              </w:rPr>
              <w:t>Energy efficiency of public buildings (including public housing stock)</w:t>
            </w:r>
          </w:p>
        </w:tc>
        <w:tc>
          <w:tcPr>
            <w:tcW w:w="1549" w:type="pct"/>
            <w:shd w:val="clear" w:color="auto" w:fill="D9D9D9" w:themeFill="background1" w:themeFillShade="D9"/>
            <w:tcMar>
              <w:top w:w="100" w:type="dxa"/>
              <w:left w:w="100" w:type="dxa"/>
              <w:bottom w:w="100" w:type="dxa"/>
              <w:right w:w="100" w:type="dxa"/>
            </w:tcMar>
          </w:tcPr>
          <w:p w14:paraId="2253F810" w14:textId="77777777" w:rsidR="00C76AFA" w:rsidRPr="004F70E0" w:rsidRDefault="00C76AFA"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0A60551C" w14:textId="77777777" w:rsidR="00C76AFA" w:rsidRPr="004F70E0" w:rsidRDefault="00C76AFA" w:rsidP="00964831">
            <w:pPr>
              <w:pStyle w:val="ListParagraph"/>
              <w:spacing w:line="240" w:lineRule="auto"/>
              <w:ind w:left="360"/>
              <w:rPr>
                <w:rFonts w:eastAsia="Arial Narrow"/>
                <w:sz w:val="18"/>
                <w:szCs w:val="18"/>
                <w:highlight w:val="white"/>
              </w:rPr>
            </w:pPr>
          </w:p>
        </w:tc>
      </w:tr>
      <w:tr w:rsidR="00C76AFA" w:rsidRPr="004F70E0" w14:paraId="3B77A240"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1F6E99B7"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710BC2F7" w14:textId="77777777" w:rsidR="00C76AFA" w:rsidRPr="004F70E0" w:rsidRDefault="00C76AFA" w:rsidP="00C76AFA">
            <w:pPr>
              <w:pStyle w:val="ListParagraph"/>
              <w:numPr>
                <w:ilvl w:val="0"/>
                <w:numId w:val="83"/>
              </w:numPr>
              <w:spacing w:line="240" w:lineRule="auto"/>
              <w:rPr>
                <w:rFonts w:eastAsia="Arial Narrow"/>
                <w:sz w:val="18"/>
                <w:szCs w:val="18"/>
              </w:rPr>
            </w:pPr>
            <w:r w:rsidRPr="004F70E0">
              <w:rPr>
                <w:rFonts w:eastAsia="Arial Narrow"/>
                <w:sz w:val="18"/>
                <w:szCs w:val="18"/>
              </w:rPr>
              <w:t>Decontamination and functional reconversion of polluted and disused sites; reconstruction of ecosystems</w:t>
            </w:r>
          </w:p>
        </w:tc>
        <w:tc>
          <w:tcPr>
            <w:tcW w:w="1549" w:type="pct"/>
            <w:shd w:val="clear" w:color="auto" w:fill="D9D9D9" w:themeFill="background1" w:themeFillShade="D9"/>
            <w:tcMar>
              <w:top w:w="100" w:type="dxa"/>
              <w:left w:w="100" w:type="dxa"/>
              <w:bottom w:w="100" w:type="dxa"/>
              <w:right w:w="100" w:type="dxa"/>
            </w:tcMar>
          </w:tcPr>
          <w:p w14:paraId="6B43747D" w14:textId="77777777" w:rsidR="00C76AFA" w:rsidRPr="004F70E0" w:rsidRDefault="00C76AFA"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15D8DBDE" w14:textId="77777777" w:rsidR="00C76AFA" w:rsidRPr="004F70E0" w:rsidRDefault="00C76AFA" w:rsidP="00964831">
            <w:pPr>
              <w:rPr>
                <w:rFonts w:ascii="Arial" w:eastAsia="Arial Narrow" w:hAnsi="Arial" w:cs="Arial"/>
                <w:sz w:val="18"/>
                <w:szCs w:val="18"/>
                <w:highlight w:val="white"/>
              </w:rPr>
            </w:pPr>
          </w:p>
        </w:tc>
      </w:tr>
      <w:tr w:rsidR="00C76AFA" w:rsidRPr="004F70E0" w14:paraId="441CF545"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7798397A"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25E2016C" w14:textId="77777777" w:rsidR="00C76AFA" w:rsidRPr="004F70E0" w:rsidRDefault="00C76AFA" w:rsidP="00964831">
            <w:pPr>
              <w:rPr>
                <w:rFonts w:ascii="Arial" w:eastAsia="Arial Narrow" w:hAnsi="Arial" w:cs="Arial"/>
                <w:b/>
                <w:sz w:val="18"/>
                <w:szCs w:val="18"/>
              </w:rPr>
            </w:pPr>
            <w:r w:rsidRPr="004F70E0">
              <w:rPr>
                <w:rFonts w:ascii="Arial" w:eastAsia="Arial Narrow" w:hAnsi="Arial" w:cs="Arial"/>
                <w:b/>
                <w:sz w:val="18"/>
                <w:szCs w:val="18"/>
              </w:rPr>
              <w:t>Type 3: Increasing the level of employment</w:t>
            </w:r>
          </w:p>
          <w:p w14:paraId="6A5D48B3" w14:textId="77777777" w:rsidR="00C76AFA" w:rsidRPr="004F70E0" w:rsidRDefault="00C76AFA" w:rsidP="00964831">
            <w:pPr>
              <w:jc w:val="both"/>
              <w:rPr>
                <w:rFonts w:ascii="Arial" w:eastAsia="Arial Narrow" w:hAnsi="Arial" w:cs="Arial"/>
                <w:sz w:val="18"/>
                <w:szCs w:val="18"/>
              </w:rPr>
            </w:pPr>
          </w:p>
          <w:p w14:paraId="17BAEB46" w14:textId="77777777" w:rsidR="00C76AFA" w:rsidRPr="004F70E0" w:rsidRDefault="00C76AFA" w:rsidP="00C76AFA">
            <w:pPr>
              <w:pStyle w:val="ListParagraph"/>
              <w:numPr>
                <w:ilvl w:val="0"/>
                <w:numId w:val="83"/>
              </w:numPr>
              <w:spacing w:line="240" w:lineRule="auto"/>
              <w:jc w:val="both"/>
              <w:rPr>
                <w:rFonts w:eastAsia="Arial Narrow"/>
                <w:sz w:val="18"/>
                <w:szCs w:val="18"/>
              </w:rPr>
            </w:pPr>
            <w:r w:rsidRPr="004F70E0">
              <w:rPr>
                <w:rFonts w:eastAsia="Arial Narrow"/>
                <w:sz w:val="18"/>
                <w:szCs w:val="18"/>
              </w:rPr>
              <w:t>Development of dual school programmes</w:t>
            </w:r>
          </w:p>
          <w:p w14:paraId="0E422333" w14:textId="77777777" w:rsidR="00C76AFA" w:rsidRDefault="00C76AFA" w:rsidP="00C76AFA">
            <w:pPr>
              <w:pStyle w:val="ListParagraph"/>
              <w:numPr>
                <w:ilvl w:val="0"/>
                <w:numId w:val="83"/>
              </w:numPr>
              <w:spacing w:line="240" w:lineRule="auto"/>
              <w:rPr>
                <w:rFonts w:eastAsia="Arial Narrow"/>
                <w:sz w:val="18"/>
                <w:szCs w:val="18"/>
              </w:rPr>
            </w:pPr>
            <w:r w:rsidRPr="004F70E0">
              <w:rPr>
                <w:rFonts w:eastAsia="Arial Narrow"/>
                <w:sz w:val="18"/>
                <w:szCs w:val="18"/>
              </w:rPr>
              <w:t>Investments in the development of the material base and of the vocational and technical education curriculum</w:t>
            </w:r>
          </w:p>
          <w:p w14:paraId="78E093A6" w14:textId="1A4D0CE8" w:rsidR="002F453B" w:rsidRPr="004F70E0" w:rsidRDefault="002F453B" w:rsidP="00C76AFA">
            <w:pPr>
              <w:pStyle w:val="ListParagraph"/>
              <w:numPr>
                <w:ilvl w:val="0"/>
                <w:numId w:val="83"/>
              </w:numPr>
              <w:spacing w:line="240" w:lineRule="auto"/>
              <w:rPr>
                <w:rFonts w:eastAsia="Arial Narrow"/>
                <w:sz w:val="18"/>
                <w:szCs w:val="18"/>
              </w:rPr>
            </w:pPr>
            <w:r>
              <w:rPr>
                <w:rFonts w:eastAsia="Arial Narrow"/>
                <w:sz w:val="18"/>
                <w:szCs w:val="18"/>
              </w:rPr>
              <w:t>Upskilling and reskilling of laid-off personnel and jobseeker assistance</w:t>
            </w:r>
          </w:p>
        </w:tc>
        <w:tc>
          <w:tcPr>
            <w:tcW w:w="1549" w:type="pct"/>
            <w:shd w:val="clear" w:color="auto" w:fill="D9D9D9" w:themeFill="background1" w:themeFillShade="D9"/>
            <w:tcMar>
              <w:top w:w="100" w:type="dxa"/>
              <w:left w:w="100" w:type="dxa"/>
              <w:bottom w:w="100" w:type="dxa"/>
              <w:right w:w="100" w:type="dxa"/>
            </w:tcMar>
          </w:tcPr>
          <w:p w14:paraId="5A8D427C" w14:textId="77777777" w:rsidR="00C76AFA" w:rsidRPr="004F70E0" w:rsidRDefault="00C76AFA" w:rsidP="00964831">
            <w:pPr>
              <w:pStyle w:val="ListParagraph"/>
              <w:spacing w:line="240" w:lineRule="auto"/>
              <w:ind w:left="360"/>
              <w:rPr>
                <w:rFonts w:eastAsia="Arial Narrow"/>
                <w:sz w:val="18"/>
                <w:szCs w:val="18"/>
              </w:rPr>
            </w:pPr>
          </w:p>
        </w:tc>
        <w:tc>
          <w:tcPr>
            <w:tcW w:w="1097" w:type="pct"/>
            <w:shd w:val="clear" w:color="auto" w:fill="D9D9D9" w:themeFill="background1" w:themeFillShade="D9"/>
            <w:tcMar>
              <w:top w:w="100" w:type="dxa"/>
              <w:left w:w="100" w:type="dxa"/>
              <w:bottom w:w="100" w:type="dxa"/>
              <w:right w:w="100" w:type="dxa"/>
            </w:tcMar>
          </w:tcPr>
          <w:p w14:paraId="783C808F" w14:textId="77777777" w:rsidR="00C76AFA" w:rsidRPr="004F70E0" w:rsidRDefault="00C76AFA" w:rsidP="00964831">
            <w:pPr>
              <w:pStyle w:val="ListParagraph"/>
              <w:spacing w:line="240" w:lineRule="auto"/>
              <w:ind w:left="360"/>
              <w:rPr>
                <w:rFonts w:eastAsia="Arial Narrow"/>
                <w:sz w:val="18"/>
                <w:szCs w:val="18"/>
                <w:highlight w:val="white"/>
              </w:rPr>
            </w:pPr>
          </w:p>
        </w:tc>
      </w:tr>
      <w:tr w:rsidR="00C76AFA" w:rsidRPr="004F70E0" w14:paraId="5BBF95F5" w14:textId="77777777" w:rsidTr="004F70E0">
        <w:trPr>
          <w:trHeight w:val="367"/>
        </w:trPr>
        <w:tc>
          <w:tcPr>
            <w:tcW w:w="479" w:type="pct"/>
            <w:shd w:val="clear" w:color="auto" w:fill="C6D9F1" w:themeFill="text2" w:themeFillTint="33"/>
            <w:tcMar>
              <w:top w:w="100" w:type="dxa"/>
              <w:left w:w="100" w:type="dxa"/>
              <w:bottom w:w="100" w:type="dxa"/>
              <w:right w:w="100" w:type="dxa"/>
            </w:tcMar>
          </w:tcPr>
          <w:p w14:paraId="25FA33B5" w14:textId="77777777" w:rsidR="00C76AFA" w:rsidRPr="004F70E0" w:rsidRDefault="00C76AFA" w:rsidP="00964831">
            <w:pPr>
              <w:jc w:val="both"/>
              <w:rPr>
                <w:rFonts w:ascii="Arial" w:hAnsi="Arial" w:cs="Arial"/>
                <w:sz w:val="18"/>
                <w:szCs w:val="18"/>
              </w:rPr>
            </w:pPr>
            <w:r w:rsidRPr="004F70E0">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0A9E5FDA" w14:textId="77777777" w:rsidR="00C76AFA" w:rsidRPr="004F70E0" w:rsidRDefault="00C76AFA" w:rsidP="00C76AFA">
            <w:pPr>
              <w:pStyle w:val="ListParagraph"/>
              <w:numPr>
                <w:ilvl w:val="0"/>
                <w:numId w:val="84"/>
              </w:numPr>
              <w:spacing w:line="240" w:lineRule="auto"/>
              <w:rPr>
                <w:rFonts w:eastAsia="Arial Narrow"/>
                <w:sz w:val="18"/>
                <w:szCs w:val="18"/>
              </w:rPr>
            </w:pPr>
            <w:r w:rsidRPr="004F70E0">
              <w:rPr>
                <w:rFonts w:eastAsia="Arial Narrow"/>
                <w:sz w:val="18"/>
                <w:szCs w:val="18"/>
              </w:rPr>
              <w:t>Innovative solutions for the labour market to insert those coming from disadvantaged backgrounds: e.g., qualification programmes in green jobs implemented in tandem with public investments in energy efficiency and reduction of energy poverty of those living in precarious conditions.</w:t>
            </w:r>
          </w:p>
        </w:tc>
        <w:tc>
          <w:tcPr>
            <w:tcW w:w="1549" w:type="pct"/>
            <w:shd w:val="clear" w:color="auto" w:fill="D9D9D9" w:themeFill="background1" w:themeFillShade="D9"/>
            <w:tcMar>
              <w:top w:w="100" w:type="dxa"/>
              <w:left w:w="100" w:type="dxa"/>
              <w:bottom w:w="100" w:type="dxa"/>
              <w:right w:w="100" w:type="dxa"/>
            </w:tcMar>
          </w:tcPr>
          <w:p w14:paraId="78CFF167" w14:textId="77777777" w:rsidR="00C76AFA" w:rsidRPr="004F70E0" w:rsidRDefault="00C76AFA" w:rsidP="00964831">
            <w:pPr>
              <w:pStyle w:val="ListParagraph"/>
              <w:spacing w:line="240" w:lineRule="auto"/>
              <w:ind w:left="360"/>
              <w:rPr>
                <w:rFonts w:eastAsia="Arial Narrow"/>
                <w:sz w:val="18"/>
                <w:szCs w:val="18"/>
              </w:rPr>
            </w:pPr>
          </w:p>
        </w:tc>
        <w:tc>
          <w:tcPr>
            <w:tcW w:w="1097" w:type="pct"/>
            <w:shd w:val="clear" w:color="auto" w:fill="D9D9D9" w:themeFill="background1" w:themeFillShade="D9"/>
            <w:tcMar>
              <w:top w:w="100" w:type="dxa"/>
              <w:left w:w="100" w:type="dxa"/>
              <w:bottom w:w="100" w:type="dxa"/>
              <w:right w:w="100" w:type="dxa"/>
            </w:tcMar>
          </w:tcPr>
          <w:p w14:paraId="5C6CF9FF" w14:textId="77777777" w:rsidR="00C76AFA" w:rsidRPr="004F70E0" w:rsidRDefault="00C76AFA" w:rsidP="00964831">
            <w:pPr>
              <w:pStyle w:val="ListParagraph"/>
              <w:spacing w:line="240" w:lineRule="auto"/>
              <w:ind w:left="360"/>
              <w:rPr>
                <w:rFonts w:eastAsia="Arial Narrow"/>
                <w:sz w:val="18"/>
                <w:szCs w:val="18"/>
                <w:highlight w:val="white"/>
              </w:rPr>
            </w:pPr>
          </w:p>
        </w:tc>
      </w:tr>
    </w:tbl>
    <w:p w14:paraId="5FE8CE8A" w14:textId="77777777" w:rsidR="00C76AFA" w:rsidRPr="003516DC" w:rsidRDefault="00C76AFA" w:rsidP="00C76AFA">
      <w:pPr>
        <w:rPr>
          <w:rFonts w:ascii="Arial" w:hAnsi="Arial" w:cs="Arial"/>
        </w:rPr>
      </w:pPr>
    </w:p>
    <w:p w14:paraId="24725587" w14:textId="77777777" w:rsidR="00C76AFA" w:rsidRDefault="00C76AFA" w:rsidP="00C76AFA">
      <w:pPr>
        <w:jc w:val="both"/>
        <w:rPr>
          <w:rFonts w:ascii="Arial" w:hAnsi="Arial" w:cs="Arial"/>
          <w:sz w:val="20"/>
          <w:szCs w:val="20"/>
        </w:rPr>
        <w:sectPr w:rsidR="00C76AFA" w:rsidSect="004F70E0">
          <w:headerReference w:type="default" r:id="rId206"/>
          <w:pgSz w:w="16834" w:h="11909" w:orient="landscape"/>
          <w:pgMar w:top="1530" w:right="1440" w:bottom="1440" w:left="1440" w:header="720" w:footer="720" w:gutter="0"/>
          <w:cols w:space="720"/>
          <w:docGrid w:linePitch="326"/>
        </w:sectPr>
      </w:pPr>
    </w:p>
    <w:p w14:paraId="5C13FDA5" w14:textId="1A801799" w:rsidR="00C76AFA" w:rsidRPr="00C76AFA" w:rsidRDefault="00C76AFA" w:rsidP="00E42342">
      <w:pPr>
        <w:pStyle w:val="Heading2"/>
        <w:numPr>
          <w:ilvl w:val="0"/>
          <w:numId w:val="232"/>
        </w:numPr>
        <w:spacing w:before="240" w:line="240" w:lineRule="auto"/>
        <w:ind w:left="432" w:hanging="432"/>
      </w:pPr>
      <w:bookmarkStart w:id="318" w:name="_Toc90725899"/>
      <w:r w:rsidRPr="003516DC">
        <w:lastRenderedPageBreak/>
        <w:t>Synergies/complementarities/consistency with other programmes</w:t>
      </w:r>
      <w:bookmarkEnd w:id="318"/>
    </w:p>
    <w:p w14:paraId="1045B6CB" w14:textId="01B422A5" w:rsidR="00BC0F67" w:rsidRPr="00F903A3" w:rsidRDefault="00BC0F67" w:rsidP="00BC0F67">
      <w:pPr>
        <w:shd w:val="clear" w:color="auto" w:fill="FFFFFF"/>
        <w:jc w:val="both"/>
        <w:rPr>
          <w:rFonts w:ascii="Arial" w:hAnsi="Arial" w:cs="Arial"/>
          <w:color w:val="202124"/>
          <w:sz w:val="20"/>
          <w:szCs w:val="20"/>
        </w:rPr>
      </w:pPr>
      <w:r w:rsidRPr="00F903A3">
        <w:rPr>
          <w:rFonts w:ascii="Arial" w:hAnsi="Arial" w:cs="Arial"/>
          <w:color w:val="202124"/>
          <w:sz w:val="20"/>
          <w:szCs w:val="20"/>
        </w:rPr>
        <w:t xml:space="preserve">Different European funding sources are adopted or at </w:t>
      </w:r>
      <w:r w:rsidR="00F903A3">
        <w:rPr>
          <w:rFonts w:ascii="Arial" w:hAnsi="Arial" w:cs="Arial"/>
          <w:color w:val="202124"/>
          <w:sz w:val="20"/>
          <w:szCs w:val="20"/>
        </w:rPr>
        <w:t xml:space="preserve">an </w:t>
      </w:r>
      <w:r w:rsidRPr="00F903A3">
        <w:rPr>
          <w:rFonts w:ascii="Arial" w:hAnsi="Arial" w:cs="Arial"/>
          <w:color w:val="202124"/>
          <w:sz w:val="20"/>
          <w:szCs w:val="20"/>
        </w:rPr>
        <w:t xml:space="preserve">interim level for mitigating the socio-economic costs of the transition to a green economy that are complementary to the financial resources provided by the </w:t>
      </w:r>
      <w:r w:rsidR="0088065B">
        <w:rPr>
          <w:rFonts w:ascii="Arial" w:hAnsi="Arial" w:cs="Arial"/>
          <w:color w:val="202124"/>
          <w:sz w:val="20"/>
          <w:szCs w:val="20"/>
        </w:rPr>
        <w:t>JTF</w:t>
      </w:r>
      <w:r w:rsidRPr="00F903A3">
        <w:rPr>
          <w:rFonts w:ascii="Arial" w:hAnsi="Arial" w:cs="Arial"/>
          <w:color w:val="202124"/>
          <w:sz w:val="20"/>
          <w:szCs w:val="20"/>
        </w:rPr>
        <w:t xml:space="preserve"> through the Mureș Territorial Just Transition </w:t>
      </w:r>
      <w:r w:rsidR="0088065B">
        <w:rPr>
          <w:rFonts w:ascii="Arial" w:hAnsi="Arial" w:cs="Arial"/>
          <w:color w:val="202124"/>
          <w:sz w:val="20"/>
          <w:szCs w:val="20"/>
        </w:rPr>
        <w:t>Plan</w:t>
      </w:r>
      <w:r w:rsidR="0088065B" w:rsidRPr="00F903A3">
        <w:rPr>
          <w:rFonts w:ascii="Arial" w:hAnsi="Arial" w:cs="Arial"/>
          <w:color w:val="202124"/>
          <w:sz w:val="20"/>
          <w:szCs w:val="20"/>
        </w:rPr>
        <w:t xml:space="preserve"> </w:t>
      </w:r>
      <w:r w:rsidRPr="00F903A3">
        <w:rPr>
          <w:rFonts w:ascii="Arial" w:hAnsi="Arial" w:cs="Arial"/>
          <w:color w:val="202124"/>
          <w:sz w:val="20"/>
          <w:szCs w:val="20"/>
        </w:rPr>
        <w:t xml:space="preserve">(TJTP Mureș), </w:t>
      </w:r>
      <w:r w:rsidR="00F903A3">
        <w:rPr>
          <w:rFonts w:ascii="Arial" w:hAnsi="Arial" w:cs="Arial"/>
          <w:color w:val="202124"/>
          <w:sz w:val="20"/>
          <w:szCs w:val="20"/>
        </w:rPr>
        <w:t>including</w:t>
      </w:r>
      <w:r w:rsidRPr="00F903A3">
        <w:rPr>
          <w:rFonts w:ascii="Arial" w:hAnsi="Arial" w:cs="Arial"/>
          <w:color w:val="202124"/>
          <w:sz w:val="20"/>
          <w:szCs w:val="20"/>
        </w:rPr>
        <w:t>:</w:t>
      </w:r>
    </w:p>
    <w:p w14:paraId="5D823A26" w14:textId="77777777" w:rsidR="00BC0F67" w:rsidRPr="00F903A3" w:rsidRDefault="00BC0F67" w:rsidP="00BC0F67">
      <w:pPr>
        <w:shd w:val="clear" w:color="auto" w:fill="FFFFFF"/>
        <w:jc w:val="both"/>
        <w:rPr>
          <w:rFonts w:ascii="Arial" w:hAnsi="Arial" w:cs="Arial"/>
          <w:color w:val="202124"/>
          <w:sz w:val="8"/>
          <w:szCs w:val="8"/>
        </w:rPr>
      </w:pPr>
    </w:p>
    <w:p w14:paraId="67FDAAAE" w14:textId="39159268"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F903A3">
        <w:rPr>
          <w:rFonts w:eastAsia="Times New Roman"/>
          <w:color w:val="202124"/>
          <w:sz w:val="20"/>
          <w:szCs w:val="20"/>
        </w:rPr>
        <w:t xml:space="preserve">National </w:t>
      </w:r>
      <w:r w:rsidR="003E1914">
        <w:rPr>
          <w:rFonts w:eastAsia="Times New Roman"/>
          <w:color w:val="202124"/>
          <w:sz w:val="20"/>
          <w:szCs w:val="20"/>
        </w:rPr>
        <w:t>Recovery and Resilience Plan</w:t>
      </w:r>
      <w:r w:rsidRPr="00F903A3">
        <w:rPr>
          <w:rFonts w:eastAsia="Times New Roman"/>
          <w:color w:val="202124"/>
          <w:sz w:val="20"/>
          <w:szCs w:val="20"/>
        </w:rPr>
        <w:t xml:space="preserve"> - </w:t>
      </w:r>
      <w:r w:rsidR="003E1914">
        <w:rPr>
          <w:rFonts w:eastAsia="Times New Roman"/>
          <w:color w:val="202124"/>
          <w:sz w:val="20"/>
          <w:szCs w:val="20"/>
        </w:rPr>
        <w:t>RRP</w:t>
      </w:r>
    </w:p>
    <w:p w14:paraId="0989BE1D" w14:textId="30140180"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F903A3">
        <w:rPr>
          <w:rFonts w:eastAsia="Times New Roman"/>
          <w:color w:val="202124"/>
          <w:sz w:val="20"/>
          <w:szCs w:val="20"/>
        </w:rPr>
        <w:t>Moderni</w:t>
      </w:r>
      <w:r w:rsidR="00F903A3">
        <w:rPr>
          <w:rFonts w:eastAsia="Times New Roman"/>
          <w:color w:val="202124"/>
          <w:sz w:val="20"/>
          <w:szCs w:val="20"/>
        </w:rPr>
        <w:t>s</w:t>
      </w:r>
      <w:r w:rsidRPr="00F903A3">
        <w:rPr>
          <w:rFonts w:eastAsia="Times New Roman"/>
          <w:color w:val="202124"/>
          <w:sz w:val="20"/>
          <w:szCs w:val="20"/>
        </w:rPr>
        <w:t>ation Fund – MF</w:t>
      </w:r>
    </w:p>
    <w:p w14:paraId="044F1D67" w14:textId="51C3786F"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F903A3">
        <w:rPr>
          <w:rFonts w:eastAsia="Times New Roman"/>
          <w:color w:val="202124"/>
          <w:sz w:val="20"/>
          <w:szCs w:val="20"/>
        </w:rPr>
        <w:t>Sustainable Development Operational P</w:t>
      </w:r>
      <w:r w:rsidR="00D206E5">
        <w:rPr>
          <w:rFonts w:eastAsia="Times New Roman"/>
          <w:color w:val="202124"/>
          <w:sz w:val="20"/>
          <w:szCs w:val="20"/>
        </w:rPr>
        <w:t xml:space="preserve">rogramme </w:t>
      </w:r>
      <w:r w:rsidRPr="00F903A3">
        <w:rPr>
          <w:rFonts w:eastAsia="Times New Roman"/>
          <w:color w:val="202124"/>
          <w:sz w:val="20"/>
          <w:szCs w:val="20"/>
        </w:rPr>
        <w:t>- SDOP</w:t>
      </w:r>
    </w:p>
    <w:p w14:paraId="6A27BB1A" w14:textId="59FDA4C9"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F903A3">
        <w:rPr>
          <w:rFonts w:eastAsia="Times New Roman"/>
          <w:color w:val="202124"/>
          <w:sz w:val="20"/>
          <w:szCs w:val="20"/>
        </w:rPr>
        <w:t>Regional Operational Program</w:t>
      </w:r>
      <w:r w:rsidR="003E1914">
        <w:rPr>
          <w:rFonts w:eastAsia="Times New Roman"/>
          <w:color w:val="202124"/>
          <w:sz w:val="20"/>
          <w:szCs w:val="20"/>
        </w:rPr>
        <w:t>me</w:t>
      </w:r>
      <w:r w:rsidRPr="00F903A3">
        <w:rPr>
          <w:rFonts w:eastAsia="Times New Roman"/>
          <w:color w:val="202124"/>
          <w:sz w:val="20"/>
          <w:szCs w:val="20"/>
        </w:rPr>
        <w:t xml:space="preserve"> Center Region – ROP Center</w:t>
      </w:r>
    </w:p>
    <w:p w14:paraId="1141C79D" w14:textId="213B20F1"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F903A3">
        <w:rPr>
          <w:sz w:val="20"/>
          <w:szCs w:val="20"/>
          <w:shd w:val="clear" w:color="auto" w:fill="FFFFFF"/>
        </w:rPr>
        <w:t>Energy Program</w:t>
      </w:r>
      <w:r w:rsidR="003E1914">
        <w:rPr>
          <w:sz w:val="20"/>
          <w:szCs w:val="20"/>
          <w:shd w:val="clear" w:color="auto" w:fill="FFFFFF"/>
        </w:rPr>
        <w:t>me</w:t>
      </w:r>
      <w:r w:rsidRPr="00F903A3">
        <w:rPr>
          <w:sz w:val="20"/>
          <w:szCs w:val="20"/>
          <w:shd w:val="clear" w:color="auto" w:fill="FFFFFF"/>
        </w:rPr>
        <w:t xml:space="preserve"> in Romania under EEA and Norwegian grants (</w:t>
      </w:r>
      <w:r w:rsidRPr="00F903A3">
        <w:rPr>
          <w:i/>
          <w:iCs/>
          <w:sz w:val="20"/>
          <w:szCs w:val="20"/>
          <w:shd w:val="clear" w:color="auto" w:fill="FFFFFF"/>
        </w:rPr>
        <w:t>in negotiation</w:t>
      </w:r>
      <w:r w:rsidRPr="00F903A3">
        <w:rPr>
          <w:sz w:val="20"/>
          <w:szCs w:val="20"/>
          <w:shd w:val="clear" w:color="auto" w:fill="FFFFFF"/>
        </w:rPr>
        <w:t>)</w:t>
      </w:r>
    </w:p>
    <w:p w14:paraId="23938C7B" w14:textId="5993E2F0" w:rsidR="00BC0F67" w:rsidRPr="00F903A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F903A3">
        <w:rPr>
          <w:rFonts w:eastAsia="Times New Roman"/>
          <w:color w:val="202124"/>
          <w:sz w:val="20"/>
          <w:szCs w:val="20"/>
        </w:rPr>
        <w:t>Intelligent Growth, Digiti</w:t>
      </w:r>
      <w:r w:rsidR="00F903A3">
        <w:rPr>
          <w:rFonts w:eastAsia="Times New Roman"/>
          <w:color w:val="202124"/>
          <w:sz w:val="20"/>
          <w:szCs w:val="20"/>
        </w:rPr>
        <w:t>s</w:t>
      </w:r>
      <w:r w:rsidRPr="00F903A3">
        <w:rPr>
          <w:rFonts w:eastAsia="Times New Roman"/>
          <w:color w:val="202124"/>
          <w:sz w:val="20"/>
          <w:szCs w:val="20"/>
        </w:rPr>
        <w:t>ation and Financial Instruments Operational Program</w:t>
      </w:r>
      <w:r w:rsidR="003E1914">
        <w:rPr>
          <w:rFonts w:eastAsia="Times New Roman"/>
          <w:color w:val="202124"/>
          <w:sz w:val="20"/>
          <w:szCs w:val="20"/>
        </w:rPr>
        <w:t>me</w:t>
      </w:r>
      <w:r w:rsidRPr="00F903A3">
        <w:rPr>
          <w:rFonts w:eastAsia="Times New Roman"/>
          <w:color w:val="202124"/>
          <w:sz w:val="20"/>
          <w:szCs w:val="20"/>
        </w:rPr>
        <w:t xml:space="preserve"> – IGDFIOP</w:t>
      </w:r>
    </w:p>
    <w:p w14:paraId="698B8F8F" w14:textId="5F7EDB25" w:rsidR="00BC0F67" w:rsidRPr="004025A2" w:rsidRDefault="00BC0F67" w:rsidP="004025A2">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sz w:val="24"/>
          <w:szCs w:val="24"/>
        </w:rPr>
      </w:pPr>
      <w:r w:rsidRPr="00F903A3">
        <w:rPr>
          <w:bCs/>
          <w:sz w:val="20"/>
          <w:szCs w:val="20"/>
        </w:rPr>
        <w:t>Education and Employment Operational Programme - EEOP</w:t>
      </w:r>
    </w:p>
    <w:p w14:paraId="2A0F522B" w14:textId="16261E87" w:rsidR="00BC0F67" w:rsidRPr="002E65CB" w:rsidRDefault="00BC0F67" w:rsidP="00BC0F67">
      <w:pPr>
        <w:jc w:val="both"/>
        <w:rPr>
          <w:rFonts w:ascii="Arial" w:hAnsi="Arial" w:cs="Arial"/>
          <w:sz w:val="20"/>
          <w:szCs w:val="20"/>
        </w:rPr>
      </w:pPr>
      <w:r w:rsidRPr="00F903A3">
        <w:rPr>
          <w:rFonts w:ascii="Arial" w:hAnsi="Arial" w:cs="Arial"/>
          <w:sz w:val="20"/>
          <w:szCs w:val="20"/>
        </w:rPr>
        <w:t>The key actions of Just Transition Fund can be complemented by these European program</w:t>
      </w:r>
      <w:r w:rsidR="00F903A3">
        <w:rPr>
          <w:rFonts w:ascii="Arial" w:hAnsi="Arial" w:cs="Arial"/>
          <w:sz w:val="20"/>
          <w:szCs w:val="20"/>
        </w:rPr>
        <w:t>me</w:t>
      </w:r>
      <w:r w:rsidRPr="00F903A3">
        <w:rPr>
          <w:rFonts w:ascii="Arial" w:hAnsi="Arial" w:cs="Arial"/>
          <w:sz w:val="20"/>
          <w:szCs w:val="20"/>
        </w:rPr>
        <w:t>s are listed in the table below.</w:t>
      </w:r>
    </w:p>
    <w:p w14:paraId="4EB7E55D" w14:textId="5B3DBD4B" w:rsidR="00BC0F67" w:rsidRPr="002E65CB" w:rsidRDefault="003E1914" w:rsidP="003E1914">
      <w:pPr>
        <w:pStyle w:val="Caption"/>
      </w:pPr>
      <w:bookmarkStart w:id="319" w:name="_Toc90726024"/>
      <w:bookmarkStart w:id="320" w:name="_Toc90727321"/>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70</w:t>
      </w:r>
      <w:r w:rsidR="000B273D">
        <w:rPr>
          <w:noProof/>
        </w:rPr>
        <w:fldChar w:fldCharType="end"/>
      </w:r>
      <w:r w:rsidR="00BC0F67" w:rsidRPr="00F903A3">
        <w:t>: Complementarities with other programmes (and proposed allocations)</w:t>
      </w:r>
      <w:bookmarkEnd w:id="319"/>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6838"/>
      </w:tblGrid>
      <w:tr w:rsidR="00BC0F67" w:rsidRPr="002E65CB" w14:paraId="64547338" w14:textId="77777777" w:rsidTr="00964831">
        <w:trPr>
          <w:trHeight w:val="1925"/>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0C0B7F1" w14:textId="77777777" w:rsidR="00BC0F67" w:rsidRPr="003E1914" w:rsidRDefault="00BC0F67" w:rsidP="00964831">
            <w:pPr>
              <w:shd w:val="clear" w:color="auto" w:fill="FFFFFF"/>
              <w:spacing w:line="276" w:lineRule="auto"/>
              <w:rPr>
                <w:rFonts w:ascii="Arial" w:eastAsia="Calibri" w:hAnsi="Arial" w:cs="Arial"/>
                <w:bCs/>
                <w:sz w:val="18"/>
                <w:szCs w:val="18"/>
              </w:rPr>
            </w:pPr>
          </w:p>
          <w:p w14:paraId="6C5D64AD" w14:textId="0B9E6DC9" w:rsidR="00BC0F67" w:rsidRPr="003E1914" w:rsidRDefault="003E1914" w:rsidP="009648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Times New Roman" w:hAnsi="Arial" w:cs="Arial"/>
                <w:bCs/>
                <w:color w:val="202124"/>
                <w:sz w:val="18"/>
                <w:szCs w:val="18"/>
              </w:rPr>
            </w:pPr>
            <w:r>
              <w:rPr>
                <w:rFonts w:ascii="Arial" w:eastAsia="Times New Roman" w:hAnsi="Arial" w:cs="Arial"/>
                <w:bCs/>
                <w:color w:val="202124"/>
                <w:sz w:val="18"/>
                <w:szCs w:val="18"/>
              </w:rPr>
              <w:t>Type</w:t>
            </w:r>
            <w:r w:rsidRPr="003E1914">
              <w:rPr>
                <w:rFonts w:ascii="Arial" w:eastAsia="Times New Roman" w:hAnsi="Arial" w:cs="Arial"/>
                <w:bCs/>
                <w:color w:val="202124"/>
                <w:sz w:val="18"/>
                <w:szCs w:val="18"/>
              </w:rPr>
              <w:t xml:space="preserve"> </w:t>
            </w:r>
            <w:r w:rsidR="00BC0F67" w:rsidRPr="003E1914">
              <w:rPr>
                <w:rFonts w:ascii="Arial" w:eastAsia="Times New Roman" w:hAnsi="Arial" w:cs="Arial"/>
                <w:bCs/>
                <w:color w:val="202124"/>
                <w:sz w:val="18"/>
                <w:szCs w:val="18"/>
              </w:rPr>
              <w:t xml:space="preserve">1 </w:t>
            </w:r>
          </w:p>
          <w:p w14:paraId="55EC2FAA" w14:textId="7A530CCB" w:rsidR="00BC0F67" w:rsidRPr="003E1914" w:rsidRDefault="00BC0F67" w:rsidP="00964831">
            <w:pPr>
              <w:pStyle w:val="ListParagraph"/>
              <w:spacing w:line="240" w:lineRule="auto"/>
              <w:ind w:left="0" w:right="58"/>
              <w:rPr>
                <w:bCs/>
                <w:sz w:val="18"/>
                <w:szCs w:val="18"/>
              </w:rPr>
            </w:pPr>
            <w:r w:rsidRPr="003E1914">
              <w:rPr>
                <w:bCs/>
                <w:sz w:val="18"/>
                <w:szCs w:val="18"/>
              </w:rPr>
              <w:t>Economic diversification and sustainable entrepreneurship support as well as increasing access to research, innovation and digiti</w:t>
            </w:r>
            <w:r w:rsidR="00493276" w:rsidRPr="003E1914">
              <w:rPr>
                <w:bCs/>
                <w:sz w:val="18"/>
                <w:szCs w:val="18"/>
              </w:rPr>
              <w:t>s</w:t>
            </w:r>
            <w:r w:rsidRPr="003E1914">
              <w:rPr>
                <w:bCs/>
                <w:sz w:val="18"/>
                <w:szCs w:val="18"/>
              </w:rPr>
              <w:t>ation</w:t>
            </w:r>
          </w:p>
          <w:p w14:paraId="60ED7F79" w14:textId="77777777" w:rsidR="00BC0F67" w:rsidRPr="003E1914" w:rsidRDefault="00BC0F67" w:rsidP="00964831">
            <w:pPr>
              <w:shd w:val="clear" w:color="auto" w:fill="FFFFFF"/>
              <w:spacing w:line="276" w:lineRule="auto"/>
              <w:rPr>
                <w:rFonts w:ascii="Arial" w:eastAsia="Calibri" w:hAnsi="Arial" w:cs="Arial"/>
                <w:b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12402252" w14:textId="6BC50559" w:rsidR="00BC0F67" w:rsidRPr="003E1914" w:rsidRDefault="00BC0F67" w:rsidP="00964831">
            <w:pPr>
              <w:shd w:val="clear" w:color="auto" w:fill="FFFFFF"/>
              <w:spacing w:line="276" w:lineRule="auto"/>
              <w:rPr>
                <w:rFonts w:ascii="Arial" w:eastAsia="Times New Roman" w:hAnsi="Arial" w:cs="Arial"/>
                <w:sz w:val="18"/>
                <w:szCs w:val="18"/>
                <w:lang w:val="en-US"/>
              </w:rPr>
            </w:pPr>
            <w:r w:rsidRPr="003E1914">
              <w:rPr>
                <w:rFonts w:ascii="Arial" w:hAnsi="Arial" w:cs="Arial"/>
                <w:i/>
                <w:sz w:val="18"/>
                <w:szCs w:val="18"/>
              </w:rPr>
              <w:t>“Regional Operational Program</w:t>
            </w:r>
            <w:r w:rsidR="003E1914">
              <w:rPr>
                <w:rFonts w:ascii="Arial" w:hAnsi="Arial" w:cs="Arial"/>
                <w:i/>
                <w:sz w:val="18"/>
                <w:szCs w:val="18"/>
              </w:rPr>
              <w:t>me</w:t>
            </w:r>
            <w:r w:rsidRPr="003E1914">
              <w:rPr>
                <w:rFonts w:ascii="Arial" w:hAnsi="Arial" w:cs="Arial"/>
                <w:i/>
                <w:sz w:val="18"/>
                <w:szCs w:val="18"/>
              </w:rPr>
              <w:t xml:space="preserve"> Center” (ROP)</w:t>
            </w:r>
          </w:p>
          <w:p w14:paraId="417163B4" w14:textId="3790ED90" w:rsidR="00BC0F67" w:rsidRPr="003E1914" w:rsidRDefault="00BC0F67" w:rsidP="00964831">
            <w:pPr>
              <w:shd w:val="clear" w:color="auto" w:fill="FFFFFF"/>
              <w:spacing w:line="276" w:lineRule="auto"/>
              <w:rPr>
                <w:rFonts w:ascii="Arial" w:hAnsi="Arial" w:cs="Arial"/>
                <w:iCs/>
                <w:sz w:val="18"/>
                <w:szCs w:val="18"/>
                <w:lang w:val="en-US"/>
              </w:rPr>
            </w:pPr>
            <w:r w:rsidRPr="003E1914">
              <w:rPr>
                <w:rFonts w:ascii="Arial" w:hAnsi="Arial" w:cs="Arial"/>
                <w:i/>
                <w:sz w:val="18"/>
                <w:szCs w:val="18"/>
                <w:u w:val="single"/>
              </w:rPr>
              <w:t xml:space="preserve">Priority Axis 1 </w:t>
            </w:r>
            <w:r w:rsidRPr="003E1914">
              <w:rPr>
                <w:rFonts w:ascii="Arial" w:hAnsi="Arial" w:cs="Arial"/>
                <w:iCs/>
                <w:sz w:val="18"/>
                <w:szCs w:val="18"/>
                <w:u w:val="single"/>
              </w:rPr>
              <w:t>A competitive region through innovation, digitalisation and dynamic enterprises</w:t>
            </w:r>
            <w:r w:rsidRPr="003E1914">
              <w:rPr>
                <w:rFonts w:ascii="Arial" w:hAnsi="Arial" w:cs="Arial"/>
                <w:iCs/>
                <w:sz w:val="18"/>
                <w:szCs w:val="18"/>
              </w:rPr>
              <w:t xml:space="preserve">, </w:t>
            </w:r>
            <w:r w:rsidRPr="003E1914">
              <w:rPr>
                <w:rFonts w:ascii="Arial" w:hAnsi="Arial" w:cs="Arial"/>
                <w:iCs/>
                <w:sz w:val="18"/>
                <w:szCs w:val="18"/>
                <w:lang w:val="en-US"/>
              </w:rPr>
              <w:t>EUR 229</w:t>
            </w:r>
            <w:r w:rsidR="00F903A3" w:rsidRPr="003E1914">
              <w:rPr>
                <w:rFonts w:ascii="Arial" w:hAnsi="Arial" w:cs="Arial"/>
                <w:iCs/>
                <w:sz w:val="18"/>
                <w:szCs w:val="18"/>
                <w:lang w:val="en-US"/>
              </w:rPr>
              <w:t>,</w:t>
            </w:r>
            <w:r w:rsidRPr="003E1914">
              <w:rPr>
                <w:rFonts w:ascii="Arial" w:hAnsi="Arial" w:cs="Arial"/>
                <w:iCs/>
                <w:sz w:val="18"/>
                <w:szCs w:val="18"/>
                <w:lang w:val="en-US"/>
              </w:rPr>
              <w:t>991</w:t>
            </w:r>
            <w:r w:rsidR="00F903A3" w:rsidRPr="003E1914">
              <w:rPr>
                <w:rFonts w:ascii="Arial" w:hAnsi="Arial" w:cs="Arial"/>
                <w:iCs/>
                <w:sz w:val="18"/>
                <w:szCs w:val="18"/>
                <w:lang w:val="en-US"/>
              </w:rPr>
              <w:t>,</w:t>
            </w:r>
            <w:r w:rsidRPr="003E1914">
              <w:rPr>
                <w:rFonts w:ascii="Arial" w:hAnsi="Arial" w:cs="Arial"/>
                <w:iCs/>
                <w:sz w:val="18"/>
                <w:szCs w:val="18"/>
                <w:lang w:val="en-US"/>
              </w:rPr>
              <w:t>307</w:t>
            </w:r>
          </w:p>
          <w:p w14:paraId="360AC7E8" w14:textId="06B708D1" w:rsidR="00BC0F67" w:rsidRPr="003E1914" w:rsidRDefault="00BC0F67" w:rsidP="00964831">
            <w:pPr>
              <w:shd w:val="clear" w:color="auto" w:fill="FFFFFF"/>
              <w:spacing w:line="276" w:lineRule="auto"/>
              <w:rPr>
                <w:rFonts w:ascii="Arial" w:hAnsi="Arial" w:cs="Arial"/>
                <w:iCs/>
                <w:sz w:val="18"/>
                <w:szCs w:val="18"/>
                <w:lang w:val="en-US"/>
              </w:rPr>
            </w:pPr>
            <w:r w:rsidRPr="003E1914">
              <w:rPr>
                <w:rFonts w:ascii="Arial" w:hAnsi="Arial" w:cs="Arial"/>
                <w:iCs/>
                <w:sz w:val="18"/>
                <w:szCs w:val="18"/>
              </w:rPr>
              <w:t>OP1/OS1 Development of research and innovation capacities and adoption of advanced technologies, EUR</w:t>
            </w:r>
            <w:r w:rsidRPr="003E1914">
              <w:rPr>
                <w:rFonts w:ascii="Arial" w:hAnsi="Arial" w:cs="Arial"/>
                <w:iCs/>
                <w:sz w:val="18"/>
                <w:szCs w:val="18"/>
                <w:lang w:val="en-US"/>
              </w:rPr>
              <w:t xml:space="preserve"> </w:t>
            </w:r>
            <w:r w:rsidRPr="003E1914">
              <w:rPr>
                <w:rFonts w:ascii="Arial" w:hAnsi="Arial" w:cs="Arial"/>
                <w:iCs/>
                <w:sz w:val="18"/>
                <w:szCs w:val="18"/>
              </w:rPr>
              <w:t>79</w:t>
            </w:r>
            <w:r w:rsidR="00F903A3" w:rsidRPr="003E1914">
              <w:rPr>
                <w:rFonts w:ascii="Arial" w:hAnsi="Arial" w:cs="Arial"/>
                <w:iCs/>
                <w:sz w:val="18"/>
                <w:szCs w:val="18"/>
              </w:rPr>
              <w:t>,</w:t>
            </w:r>
            <w:r w:rsidRPr="003E1914">
              <w:rPr>
                <w:rFonts w:ascii="Arial" w:hAnsi="Arial" w:cs="Arial"/>
                <w:iCs/>
                <w:sz w:val="18"/>
                <w:szCs w:val="18"/>
              </w:rPr>
              <w:t>665</w:t>
            </w:r>
            <w:r w:rsidR="00F903A3" w:rsidRPr="003E1914">
              <w:rPr>
                <w:rFonts w:ascii="Arial" w:hAnsi="Arial" w:cs="Arial"/>
                <w:iCs/>
                <w:sz w:val="18"/>
                <w:szCs w:val="18"/>
              </w:rPr>
              <w:t>,</w:t>
            </w:r>
            <w:r w:rsidRPr="003E1914">
              <w:rPr>
                <w:rFonts w:ascii="Arial" w:hAnsi="Arial" w:cs="Arial"/>
                <w:iCs/>
                <w:sz w:val="18"/>
                <w:szCs w:val="18"/>
              </w:rPr>
              <w:t>663</w:t>
            </w:r>
            <w:r w:rsidRPr="003E1914">
              <w:rPr>
                <w:rFonts w:ascii="Arial" w:hAnsi="Arial" w:cs="Arial"/>
                <w:iCs/>
                <w:sz w:val="18"/>
                <w:szCs w:val="18"/>
                <w:lang w:val="en-US"/>
              </w:rPr>
              <w:t xml:space="preserve">, </w:t>
            </w:r>
          </w:p>
          <w:p w14:paraId="56A3EF1D" w14:textId="61727A38" w:rsidR="00BC0F67" w:rsidRPr="003E1914" w:rsidRDefault="00BC0F67" w:rsidP="00964831">
            <w:pPr>
              <w:shd w:val="clear" w:color="auto" w:fill="FFFFFF"/>
              <w:spacing w:line="276" w:lineRule="auto"/>
              <w:rPr>
                <w:rFonts w:ascii="Arial" w:hAnsi="Arial" w:cs="Arial"/>
                <w:sz w:val="18"/>
                <w:szCs w:val="18"/>
              </w:rPr>
            </w:pPr>
            <w:r w:rsidRPr="003E1914">
              <w:rPr>
                <w:rFonts w:ascii="Arial" w:hAnsi="Arial" w:cs="Arial"/>
                <w:iCs/>
                <w:sz w:val="18"/>
                <w:szCs w:val="18"/>
              </w:rPr>
              <w:t>OP1/OS3 Boosting the growth and competitiveness of SMEs</w:t>
            </w:r>
            <w:r w:rsidRPr="003E1914">
              <w:rPr>
                <w:rFonts w:ascii="Arial" w:hAnsi="Arial" w:cs="Arial"/>
                <w:iCs/>
                <w:sz w:val="18"/>
                <w:szCs w:val="18"/>
                <w:lang w:val="en-US"/>
              </w:rPr>
              <w:t>,</w:t>
            </w:r>
            <w:r w:rsidRPr="003E1914">
              <w:rPr>
                <w:rFonts w:ascii="Arial" w:hAnsi="Arial" w:cs="Arial"/>
                <w:sz w:val="18"/>
                <w:szCs w:val="18"/>
              </w:rPr>
              <w:t xml:space="preserve"> </w:t>
            </w:r>
            <w:r w:rsidRPr="003E1914">
              <w:rPr>
                <w:rFonts w:ascii="Arial" w:hAnsi="Arial" w:cs="Arial"/>
                <w:iCs/>
                <w:sz w:val="18"/>
                <w:szCs w:val="18"/>
                <w:lang w:val="en-US"/>
              </w:rPr>
              <w:t xml:space="preserve">creating jobs in SMEs, including productive investments, EUR </w:t>
            </w:r>
            <w:r w:rsidRPr="003E1914">
              <w:rPr>
                <w:rFonts w:ascii="Arial" w:hAnsi="Arial" w:cs="Arial"/>
                <w:iCs/>
                <w:sz w:val="18"/>
                <w:szCs w:val="18"/>
              </w:rPr>
              <w:t>138</w:t>
            </w:r>
            <w:r w:rsidR="00F903A3" w:rsidRPr="003E1914">
              <w:rPr>
                <w:rFonts w:ascii="Arial" w:hAnsi="Arial" w:cs="Arial"/>
                <w:iCs/>
                <w:sz w:val="18"/>
                <w:szCs w:val="18"/>
              </w:rPr>
              <w:t>,</w:t>
            </w:r>
            <w:r w:rsidRPr="003E1914">
              <w:rPr>
                <w:rFonts w:ascii="Arial" w:hAnsi="Arial" w:cs="Arial"/>
                <w:iCs/>
                <w:sz w:val="18"/>
                <w:szCs w:val="18"/>
              </w:rPr>
              <w:t>548</w:t>
            </w:r>
            <w:r w:rsidR="00F903A3" w:rsidRPr="003E1914">
              <w:rPr>
                <w:rFonts w:ascii="Arial" w:hAnsi="Arial" w:cs="Arial"/>
                <w:iCs/>
                <w:sz w:val="18"/>
                <w:szCs w:val="18"/>
              </w:rPr>
              <w:t>,</w:t>
            </w:r>
            <w:r w:rsidRPr="003E1914">
              <w:rPr>
                <w:rFonts w:ascii="Arial" w:hAnsi="Arial" w:cs="Arial"/>
                <w:iCs/>
                <w:sz w:val="18"/>
                <w:szCs w:val="18"/>
              </w:rPr>
              <w:t>980</w:t>
            </w:r>
          </w:p>
          <w:p w14:paraId="6A191196" w14:textId="1882B97F" w:rsidR="00BC0F67" w:rsidRPr="003E1914" w:rsidRDefault="00BC0F67" w:rsidP="00964831">
            <w:pPr>
              <w:shd w:val="clear" w:color="auto" w:fill="FFFFFF"/>
              <w:spacing w:line="276" w:lineRule="auto"/>
              <w:rPr>
                <w:rFonts w:ascii="Arial" w:hAnsi="Arial" w:cs="Arial"/>
                <w:iCs/>
                <w:sz w:val="18"/>
                <w:szCs w:val="18"/>
                <w:lang w:val="en-US"/>
              </w:rPr>
            </w:pPr>
            <w:r w:rsidRPr="003E1914">
              <w:rPr>
                <w:rFonts w:ascii="Arial" w:hAnsi="Arial" w:cs="Arial"/>
                <w:iCs/>
                <w:sz w:val="18"/>
                <w:szCs w:val="18"/>
              </w:rPr>
              <w:t xml:space="preserve">OP1/OS4 </w:t>
            </w:r>
            <w:r w:rsidRPr="003E1914">
              <w:rPr>
                <w:rFonts w:ascii="Arial" w:hAnsi="Arial" w:cs="Arial"/>
                <w:sz w:val="18"/>
                <w:szCs w:val="18"/>
              </w:rPr>
              <w:t>- Skills development for smart speciali</w:t>
            </w:r>
            <w:r w:rsidR="00493276" w:rsidRPr="003E1914">
              <w:rPr>
                <w:rFonts w:ascii="Arial" w:hAnsi="Arial" w:cs="Arial"/>
                <w:sz w:val="18"/>
                <w:szCs w:val="18"/>
              </w:rPr>
              <w:t>s</w:t>
            </w:r>
            <w:r w:rsidRPr="003E1914">
              <w:rPr>
                <w:rFonts w:ascii="Arial" w:hAnsi="Arial" w:cs="Arial"/>
                <w:sz w:val="18"/>
                <w:szCs w:val="18"/>
              </w:rPr>
              <w:t xml:space="preserve">ation, industrial transition and entrepreneurship </w:t>
            </w:r>
            <w:r w:rsidRPr="003E1914">
              <w:rPr>
                <w:rFonts w:ascii="Arial" w:hAnsi="Arial" w:cs="Arial"/>
                <w:iCs/>
                <w:sz w:val="18"/>
                <w:szCs w:val="18"/>
                <w:lang w:val="en-US"/>
              </w:rPr>
              <w:t xml:space="preserve">EUR </w:t>
            </w:r>
            <w:r w:rsidRPr="003E1914">
              <w:rPr>
                <w:rFonts w:ascii="Arial" w:hAnsi="Arial" w:cs="Arial"/>
                <w:iCs/>
                <w:sz w:val="18"/>
                <w:szCs w:val="18"/>
              </w:rPr>
              <w:t>11</w:t>
            </w:r>
            <w:r w:rsidR="00F903A3" w:rsidRPr="003E1914">
              <w:rPr>
                <w:rFonts w:ascii="Arial" w:hAnsi="Arial" w:cs="Arial"/>
                <w:iCs/>
                <w:sz w:val="18"/>
                <w:szCs w:val="18"/>
              </w:rPr>
              <w:t>,</w:t>
            </w:r>
            <w:r w:rsidRPr="003E1914">
              <w:rPr>
                <w:rFonts w:ascii="Arial" w:hAnsi="Arial" w:cs="Arial"/>
                <w:iCs/>
                <w:sz w:val="18"/>
                <w:szCs w:val="18"/>
              </w:rPr>
              <w:t>776</w:t>
            </w:r>
            <w:r w:rsidR="00F903A3" w:rsidRPr="003E1914">
              <w:rPr>
                <w:rFonts w:ascii="Arial" w:hAnsi="Arial" w:cs="Arial"/>
                <w:iCs/>
                <w:sz w:val="18"/>
                <w:szCs w:val="18"/>
              </w:rPr>
              <w:t>,</w:t>
            </w:r>
            <w:r w:rsidRPr="003E1914">
              <w:rPr>
                <w:rFonts w:ascii="Arial" w:hAnsi="Arial" w:cs="Arial"/>
                <w:iCs/>
                <w:sz w:val="18"/>
                <w:szCs w:val="18"/>
              </w:rPr>
              <w:t>664</w:t>
            </w:r>
          </w:p>
          <w:p w14:paraId="5EC49077" w14:textId="75B3910A" w:rsidR="00BC0F67" w:rsidRPr="003E1914" w:rsidRDefault="00BC0F67" w:rsidP="00964831">
            <w:pPr>
              <w:shd w:val="clear" w:color="auto" w:fill="FFFFFF"/>
              <w:spacing w:line="276" w:lineRule="auto"/>
              <w:rPr>
                <w:rFonts w:ascii="Arial" w:hAnsi="Arial" w:cs="Arial"/>
                <w:iCs/>
                <w:sz w:val="18"/>
                <w:szCs w:val="18"/>
                <w:lang w:val="en-US"/>
              </w:rPr>
            </w:pPr>
            <w:r w:rsidRPr="003E1914">
              <w:rPr>
                <w:rFonts w:ascii="Arial" w:hAnsi="Arial" w:cs="Arial"/>
                <w:i/>
                <w:sz w:val="18"/>
                <w:szCs w:val="18"/>
                <w:u w:val="single"/>
              </w:rPr>
              <w:t xml:space="preserve">Priority Axis 2 A digital region </w:t>
            </w:r>
            <w:r w:rsidRPr="003E1914">
              <w:rPr>
                <w:rFonts w:ascii="Arial" w:hAnsi="Arial" w:cs="Arial"/>
                <w:iCs/>
                <w:sz w:val="18"/>
                <w:szCs w:val="18"/>
                <w:lang w:val="en-US"/>
              </w:rPr>
              <w:t>EUR 116</w:t>
            </w:r>
            <w:r w:rsidR="00F903A3" w:rsidRPr="003E1914">
              <w:rPr>
                <w:rFonts w:ascii="Arial" w:hAnsi="Arial" w:cs="Arial"/>
                <w:iCs/>
                <w:sz w:val="18"/>
                <w:szCs w:val="18"/>
                <w:lang w:val="en-US"/>
              </w:rPr>
              <w:t>,</w:t>
            </w:r>
            <w:r w:rsidRPr="003E1914">
              <w:rPr>
                <w:rFonts w:ascii="Arial" w:hAnsi="Arial" w:cs="Arial"/>
                <w:iCs/>
                <w:sz w:val="18"/>
                <w:szCs w:val="18"/>
                <w:lang w:val="en-US"/>
              </w:rPr>
              <w:t>381</w:t>
            </w:r>
            <w:r w:rsidR="00F903A3" w:rsidRPr="003E1914">
              <w:rPr>
                <w:rFonts w:ascii="Arial" w:hAnsi="Arial" w:cs="Arial"/>
                <w:iCs/>
                <w:sz w:val="18"/>
                <w:szCs w:val="18"/>
                <w:lang w:val="en-US"/>
              </w:rPr>
              <w:t>,</w:t>
            </w:r>
            <w:r w:rsidRPr="003E1914">
              <w:rPr>
                <w:rFonts w:ascii="Arial" w:hAnsi="Arial" w:cs="Arial"/>
                <w:iCs/>
                <w:sz w:val="18"/>
                <w:szCs w:val="18"/>
                <w:lang w:val="en-US"/>
              </w:rPr>
              <w:t>143</w:t>
            </w:r>
          </w:p>
          <w:p w14:paraId="35E7116E" w14:textId="3D7AEBC6" w:rsidR="00BC0F67" w:rsidRPr="003E1914" w:rsidRDefault="00BC0F67" w:rsidP="00964831">
            <w:pPr>
              <w:shd w:val="clear" w:color="auto" w:fill="FFFFFF"/>
              <w:spacing w:line="276" w:lineRule="auto"/>
              <w:rPr>
                <w:rFonts w:ascii="Arial" w:hAnsi="Arial" w:cs="Arial"/>
                <w:iCs/>
                <w:sz w:val="18"/>
                <w:szCs w:val="18"/>
              </w:rPr>
            </w:pPr>
            <w:r w:rsidRPr="003E1914">
              <w:rPr>
                <w:rFonts w:ascii="Arial" w:hAnsi="Arial" w:cs="Arial"/>
                <w:iCs/>
                <w:sz w:val="18"/>
                <w:szCs w:val="18"/>
              </w:rPr>
              <w:t>OP1/OS2 Harnessing the benefits of digiti</w:t>
            </w:r>
            <w:r w:rsidR="00493276" w:rsidRPr="003E1914">
              <w:rPr>
                <w:rFonts w:ascii="Arial" w:hAnsi="Arial" w:cs="Arial"/>
                <w:iCs/>
                <w:sz w:val="18"/>
                <w:szCs w:val="18"/>
              </w:rPr>
              <w:t>s</w:t>
            </w:r>
            <w:r w:rsidRPr="003E1914">
              <w:rPr>
                <w:rFonts w:ascii="Arial" w:hAnsi="Arial" w:cs="Arial"/>
                <w:iCs/>
                <w:sz w:val="18"/>
                <w:szCs w:val="18"/>
              </w:rPr>
              <w:t>ation for the benefit of citizens, companies research organi</w:t>
            </w:r>
            <w:r w:rsidR="00493276" w:rsidRPr="003E1914">
              <w:rPr>
                <w:rFonts w:ascii="Arial" w:hAnsi="Arial" w:cs="Arial"/>
                <w:iCs/>
                <w:sz w:val="18"/>
                <w:szCs w:val="18"/>
              </w:rPr>
              <w:t>s</w:t>
            </w:r>
            <w:r w:rsidRPr="003E1914">
              <w:rPr>
                <w:rFonts w:ascii="Arial" w:hAnsi="Arial" w:cs="Arial"/>
                <w:iCs/>
                <w:sz w:val="18"/>
                <w:szCs w:val="18"/>
              </w:rPr>
              <w:t>ations and public authorities</w:t>
            </w:r>
            <w:r w:rsidRPr="003E1914">
              <w:rPr>
                <w:rFonts w:ascii="Arial" w:hAnsi="Arial" w:cs="Arial"/>
                <w:iCs/>
                <w:sz w:val="18"/>
                <w:szCs w:val="18"/>
                <w:lang w:val="en-US"/>
              </w:rPr>
              <w:t>, EUR</w:t>
            </w:r>
            <w:r w:rsidRPr="003E1914">
              <w:rPr>
                <w:rFonts w:ascii="Arial" w:hAnsi="Arial" w:cs="Arial"/>
                <w:iCs/>
                <w:sz w:val="18"/>
                <w:szCs w:val="18"/>
              </w:rPr>
              <w:t>114.302.908</w:t>
            </w:r>
          </w:p>
          <w:p w14:paraId="7C946786" w14:textId="049273D9" w:rsidR="00BC0F67" w:rsidRPr="003E1914" w:rsidRDefault="00BC0F67" w:rsidP="00964831">
            <w:pPr>
              <w:shd w:val="clear" w:color="auto" w:fill="FFFFFF"/>
              <w:spacing w:line="276" w:lineRule="auto"/>
              <w:rPr>
                <w:rFonts w:ascii="Arial" w:hAnsi="Arial" w:cs="Arial"/>
                <w:iCs/>
                <w:sz w:val="18"/>
                <w:szCs w:val="18"/>
                <w:lang w:val="en-US"/>
              </w:rPr>
            </w:pPr>
            <w:r w:rsidRPr="003E1914">
              <w:rPr>
                <w:rFonts w:ascii="Arial" w:hAnsi="Arial" w:cs="Arial"/>
                <w:iCs/>
                <w:sz w:val="18"/>
                <w:szCs w:val="18"/>
              </w:rPr>
              <w:t xml:space="preserve">OP1/OS4 </w:t>
            </w:r>
            <w:r w:rsidRPr="003E1914">
              <w:rPr>
                <w:rFonts w:ascii="Arial" w:hAnsi="Arial" w:cs="Arial"/>
                <w:sz w:val="18"/>
                <w:szCs w:val="18"/>
              </w:rPr>
              <w:t>- Skills development for smart speciali</w:t>
            </w:r>
            <w:r w:rsidR="00F903A3" w:rsidRPr="003E1914">
              <w:rPr>
                <w:rFonts w:ascii="Arial" w:hAnsi="Arial" w:cs="Arial"/>
                <w:sz w:val="18"/>
                <w:szCs w:val="18"/>
              </w:rPr>
              <w:t>s</w:t>
            </w:r>
            <w:r w:rsidRPr="003E1914">
              <w:rPr>
                <w:rFonts w:ascii="Arial" w:hAnsi="Arial" w:cs="Arial"/>
                <w:sz w:val="18"/>
                <w:szCs w:val="18"/>
              </w:rPr>
              <w:t xml:space="preserve">ation, industrial transition and entrepreneurship </w:t>
            </w:r>
            <w:r w:rsidRPr="003E1914">
              <w:rPr>
                <w:rFonts w:ascii="Arial" w:hAnsi="Arial" w:cs="Arial"/>
                <w:iCs/>
                <w:sz w:val="18"/>
                <w:szCs w:val="18"/>
                <w:lang w:val="en-US"/>
              </w:rPr>
              <w:t xml:space="preserve">EUR </w:t>
            </w:r>
            <w:r w:rsidRPr="003E1914">
              <w:rPr>
                <w:rFonts w:ascii="Arial" w:hAnsi="Arial" w:cs="Arial"/>
                <w:iCs/>
                <w:sz w:val="18"/>
                <w:szCs w:val="18"/>
              </w:rPr>
              <w:t>2</w:t>
            </w:r>
            <w:r w:rsidR="00F903A3" w:rsidRPr="003E1914">
              <w:rPr>
                <w:rFonts w:ascii="Arial" w:hAnsi="Arial" w:cs="Arial"/>
                <w:iCs/>
                <w:sz w:val="18"/>
                <w:szCs w:val="18"/>
              </w:rPr>
              <w:t>,</w:t>
            </w:r>
            <w:r w:rsidRPr="003E1914">
              <w:rPr>
                <w:rFonts w:ascii="Arial" w:hAnsi="Arial" w:cs="Arial"/>
                <w:iCs/>
                <w:sz w:val="18"/>
                <w:szCs w:val="18"/>
              </w:rPr>
              <w:t>078</w:t>
            </w:r>
            <w:r w:rsidR="00F903A3" w:rsidRPr="003E1914">
              <w:rPr>
                <w:rFonts w:ascii="Arial" w:hAnsi="Arial" w:cs="Arial"/>
                <w:iCs/>
                <w:sz w:val="18"/>
                <w:szCs w:val="18"/>
              </w:rPr>
              <w:t>,</w:t>
            </w:r>
            <w:r w:rsidRPr="003E1914">
              <w:rPr>
                <w:rFonts w:ascii="Arial" w:hAnsi="Arial" w:cs="Arial"/>
                <w:iCs/>
                <w:sz w:val="18"/>
                <w:szCs w:val="18"/>
              </w:rPr>
              <w:t>235</w:t>
            </w:r>
          </w:p>
        </w:tc>
      </w:tr>
      <w:tr w:rsidR="00BC0F67" w:rsidRPr="002E65CB" w14:paraId="5CDBD4C7" w14:textId="77777777" w:rsidTr="00964831">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D508C8" w14:textId="77777777" w:rsidR="00BC0F67" w:rsidRPr="003E1914" w:rsidRDefault="00BC0F67" w:rsidP="00964831">
            <w:pPr>
              <w:spacing w:line="276" w:lineRule="auto"/>
              <w:rPr>
                <w:rFonts w:ascii="Arial" w:eastAsia="Calibri" w:hAnsi="Arial" w:cs="Arial"/>
                <w:b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05BEA78B" w14:textId="3E3812FD" w:rsidR="00BC0F67" w:rsidRPr="003E1914" w:rsidRDefault="00BC0F67" w:rsidP="00964831">
            <w:pPr>
              <w:tabs>
                <w:tab w:val="left" w:pos="10076"/>
                <w:tab w:val="left" w:pos="10992"/>
                <w:tab w:val="left" w:pos="11908"/>
                <w:tab w:val="left" w:pos="12824"/>
                <w:tab w:val="left" w:pos="13740"/>
                <w:tab w:val="left" w:pos="14656"/>
              </w:tabs>
              <w:spacing w:line="276" w:lineRule="auto"/>
              <w:jc w:val="both"/>
              <w:rPr>
                <w:rFonts w:ascii="Arial" w:hAnsi="Arial" w:cs="Arial"/>
                <w:i/>
                <w:sz w:val="18"/>
                <w:szCs w:val="18"/>
              </w:rPr>
            </w:pPr>
            <w:r w:rsidRPr="003E1914">
              <w:rPr>
                <w:rFonts w:ascii="Arial" w:hAnsi="Arial" w:cs="Arial"/>
                <w:i/>
                <w:sz w:val="18"/>
                <w:szCs w:val="18"/>
              </w:rPr>
              <w:t xml:space="preserve">“National </w:t>
            </w:r>
            <w:r w:rsidR="003E1914">
              <w:rPr>
                <w:rFonts w:ascii="Arial" w:hAnsi="Arial" w:cs="Arial"/>
                <w:i/>
                <w:sz w:val="18"/>
                <w:szCs w:val="18"/>
              </w:rPr>
              <w:t>Recovery and Resilience Plan</w:t>
            </w:r>
            <w:r w:rsidR="003E1914">
              <w:rPr>
                <w:rFonts w:ascii="Arial" w:hAnsi="Arial" w:cs="Arial"/>
                <w:i/>
                <w:sz w:val="18"/>
                <w:szCs w:val="18"/>
                <w:lang w:val="en-US"/>
              </w:rPr>
              <w:t>”</w:t>
            </w:r>
            <w:r w:rsidRPr="003E1914">
              <w:rPr>
                <w:rFonts w:ascii="Arial" w:hAnsi="Arial" w:cs="Arial"/>
                <w:i/>
                <w:sz w:val="18"/>
                <w:szCs w:val="18"/>
              </w:rPr>
              <w:t xml:space="preserve"> (</w:t>
            </w:r>
            <w:r w:rsidR="003E1914">
              <w:rPr>
                <w:rFonts w:ascii="Arial" w:hAnsi="Arial" w:cs="Arial"/>
                <w:i/>
                <w:sz w:val="18"/>
                <w:szCs w:val="18"/>
              </w:rPr>
              <w:t>RRP</w:t>
            </w:r>
            <w:r w:rsidRPr="003E1914">
              <w:rPr>
                <w:rFonts w:ascii="Arial" w:hAnsi="Arial" w:cs="Arial"/>
                <w:i/>
                <w:sz w:val="18"/>
                <w:szCs w:val="18"/>
              </w:rPr>
              <w:t>)</w:t>
            </w:r>
          </w:p>
          <w:p w14:paraId="7E2E2C86" w14:textId="7581BD1C" w:rsidR="00BC0F67" w:rsidRPr="003E1914" w:rsidRDefault="00BC0F67" w:rsidP="00964831">
            <w:pPr>
              <w:tabs>
                <w:tab w:val="left" w:pos="10076"/>
                <w:tab w:val="left" w:pos="10992"/>
                <w:tab w:val="left" w:pos="11908"/>
                <w:tab w:val="left" w:pos="12824"/>
                <w:tab w:val="left" w:pos="13740"/>
                <w:tab w:val="left" w:pos="14656"/>
              </w:tabs>
              <w:spacing w:line="276" w:lineRule="auto"/>
              <w:jc w:val="both"/>
              <w:rPr>
                <w:rFonts w:ascii="Arial" w:hAnsi="Arial" w:cs="Arial"/>
                <w:sz w:val="18"/>
                <w:szCs w:val="18"/>
              </w:rPr>
            </w:pPr>
            <w:r w:rsidRPr="003E1914">
              <w:rPr>
                <w:rFonts w:ascii="Arial" w:hAnsi="Arial" w:cs="Arial"/>
                <w:i/>
                <w:sz w:val="18"/>
                <w:szCs w:val="18"/>
                <w:u w:val="single"/>
              </w:rPr>
              <w:t>Pillar II Digital transformation</w:t>
            </w:r>
            <w:r w:rsidRPr="003E1914">
              <w:rPr>
                <w:rFonts w:ascii="Arial" w:hAnsi="Arial" w:cs="Arial"/>
                <w:i/>
                <w:sz w:val="18"/>
                <w:szCs w:val="18"/>
              </w:rPr>
              <w:t>,</w:t>
            </w:r>
            <w:r w:rsidRPr="003E1914">
              <w:rPr>
                <w:rFonts w:ascii="Arial" w:hAnsi="Arial" w:cs="Arial"/>
                <w:sz w:val="18"/>
                <w:szCs w:val="18"/>
              </w:rPr>
              <w:t xml:space="preserve"> Component 1 II.1 Government cloud and interconnected digital systems in public administration, signature and electronic identity, promotion of high value-added investments in IC</w:t>
            </w:r>
            <w:r w:rsidRPr="003E1914">
              <w:rPr>
                <w:rFonts w:ascii="Arial" w:hAnsi="Arial" w:cs="Arial"/>
                <w:sz w:val="18"/>
                <w:szCs w:val="18"/>
                <w:lang w:val="en-US"/>
              </w:rPr>
              <w:t xml:space="preserve">, EUR </w:t>
            </w:r>
            <w:r w:rsidRPr="003E1914">
              <w:rPr>
                <w:rFonts w:ascii="Arial" w:hAnsi="Arial" w:cs="Arial"/>
                <w:sz w:val="18"/>
                <w:szCs w:val="18"/>
              </w:rPr>
              <w:t>1.89</w:t>
            </w:r>
            <w:r w:rsidR="002E65CB" w:rsidRPr="003E1914">
              <w:rPr>
                <w:rFonts w:ascii="Arial" w:hAnsi="Arial" w:cs="Arial"/>
                <w:sz w:val="18"/>
                <w:szCs w:val="18"/>
              </w:rPr>
              <w:t xml:space="preserve"> bn</w:t>
            </w:r>
          </w:p>
          <w:p w14:paraId="4C6F1740" w14:textId="0172FA37" w:rsidR="00BC0F67" w:rsidRPr="003E1914" w:rsidRDefault="00BC0F67" w:rsidP="00964831">
            <w:pPr>
              <w:spacing w:line="276" w:lineRule="auto"/>
              <w:rPr>
                <w:rFonts w:ascii="Arial" w:hAnsi="Arial" w:cs="Arial"/>
                <w:sz w:val="18"/>
                <w:szCs w:val="18"/>
              </w:rPr>
            </w:pPr>
            <w:r w:rsidRPr="003E1914">
              <w:rPr>
                <w:rFonts w:ascii="Arial" w:hAnsi="Arial" w:cs="Arial"/>
                <w:i/>
                <w:sz w:val="18"/>
                <w:szCs w:val="18"/>
                <w:u w:val="single"/>
              </w:rPr>
              <w:t>Pillar III Smart, sustainable and inclusive growth</w:t>
            </w:r>
            <w:r w:rsidRPr="003E1914">
              <w:rPr>
                <w:rFonts w:ascii="Arial" w:hAnsi="Arial" w:cs="Arial"/>
                <w:sz w:val="18"/>
                <w:szCs w:val="18"/>
              </w:rPr>
              <w:t>, Component 9.</w:t>
            </w:r>
            <w:r w:rsidRPr="003E1914">
              <w:rPr>
                <w:rFonts w:ascii="Arial" w:hAnsi="Arial" w:cs="Arial"/>
                <w:sz w:val="18"/>
                <w:szCs w:val="18"/>
                <w:lang w:val="en-US"/>
              </w:rPr>
              <w:t xml:space="preserve"> EUR </w:t>
            </w:r>
            <w:r w:rsidRPr="003E1914">
              <w:rPr>
                <w:rFonts w:ascii="Arial" w:hAnsi="Arial" w:cs="Arial"/>
                <w:sz w:val="18"/>
                <w:szCs w:val="18"/>
              </w:rPr>
              <w:t>2</w:t>
            </w:r>
            <w:r w:rsidR="00F903A3" w:rsidRPr="003E1914">
              <w:rPr>
                <w:rFonts w:ascii="Arial" w:hAnsi="Arial" w:cs="Arial"/>
                <w:sz w:val="18"/>
                <w:szCs w:val="18"/>
              </w:rPr>
              <w:t>.</w:t>
            </w:r>
            <w:r w:rsidRPr="003E1914">
              <w:rPr>
                <w:rFonts w:ascii="Arial" w:hAnsi="Arial" w:cs="Arial"/>
                <w:sz w:val="18"/>
                <w:szCs w:val="18"/>
              </w:rPr>
              <w:t>36</w:t>
            </w:r>
            <w:r w:rsidR="002E65CB" w:rsidRPr="003E1914">
              <w:rPr>
                <w:rFonts w:ascii="Arial" w:hAnsi="Arial" w:cs="Arial"/>
                <w:sz w:val="18"/>
                <w:szCs w:val="18"/>
              </w:rPr>
              <w:t xml:space="preserve"> bn</w:t>
            </w:r>
          </w:p>
        </w:tc>
      </w:tr>
      <w:tr w:rsidR="00BC0F67" w:rsidRPr="002E65CB" w14:paraId="691D77B3" w14:textId="77777777" w:rsidTr="00964831">
        <w:trPr>
          <w:trHeight w:val="913"/>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7ED106" w14:textId="083D53AC" w:rsidR="00BC0F67" w:rsidRPr="003E1914" w:rsidRDefault="003E1914" w:rsidP="00964831">
            <w:pPr>
              <w:tabs>
                <w:tab w:val="left" w:pos="1620"/>
              </w:tabs>
              <w:spacing w:line="276" w:lineRule="auto"/>
              <w:rPr>
                <w:rFonts w:ascii="Arial" w:hAnsi="Arial" w:cs="Arial"/>
                <w:bCs/>
                <w:sz w:val="18"/>
                <w:szCs w:val="18"/>
                <w:lang w:val="en-US"/>
              </w:rPr>
            </w:pPr>
            <w:r>
              <w:rPr>
                <w:rFonts w:ascii="Arial" w:hAnsi="Arial" w:cs="Arial"/>
                <w:bCs/>
                <w:sz w:val="18"/>
                <w:szCs w:val="18"/>
                <w:lang w:val="en-US"/>
              </w:rPr>
              <w:t>Type</w:t>
            </w:r>
            <w:r w:rsidRPr="003E1914">
              <w:rPr>
                <w:rFonts w:ascii="Arial" w:hAnsi="Arial" w:cs="Arial"/>
                <w:bCs/>
                <w:sz w:val="18"/>
                <w:szCs w:val="18"/>
                <w:lang w:val="en-US"/>
              </w:rPr>
              <w:t xml:space="preserve"> </w:t>
            </w:r>
            <w:r w:rsidR="00BC0F67" w:rsidRPr="003E1914">
              <w:rPr>
                <w:rFonts w:ascii="Arial" w:hAnsi="Arial" w:cs="Arial"/>
                <w:bCs/>
                <w:sz w:val="18"/>
                <w:szCs w:val="18"/>
                <w:lang w:val="en-US"/>
              </w:rPr>
              <w:t>2</w:t>
            </w:r>
          </w:p>
          <w:p w14:paraId="3425C140" w14:textId="33BFA635" w:rsidR="00BC0F67" w:rsidRPr="003E1914" w:rsidRDefault="00BC0F67" w:rsidP="00964831">
            <w:pPr>
              <w:tabs>
                <w:tab w:val="left" w:pos="1620"/>
              </w:tabs>
              <w:spacing w:line="276" w:lineRule="auto"/>
              <w:rPr>
                <w:rFonts w:ascii="Arial" w:hAnsi="Arial" w:cs="Arial"/>
                <w:bCs/>
                <w:sz w:val="18"/>
                <w:szCs w:val="18"/>
                <w:lang w:val="ro-RO"/>
              </w:rPr>
            </w:pPr>
            <w:r w:rsidRPr="003E1914">
              <w:rPr>
                <w:rFonts w:ascii="Arial" w:hAnsi="Arial" w:cs="Arial"/>
                <w:bCs/>
                <w:sz w:val="18"/>
                <w:szCs w:val="18"/>
              </w:rPr>
              <w:t>The opportunities for investing in new technologies and infrastructure for green energy, pollution reduction and circular economy</w:t>
            </w:r>
          </w:p>
          <w:p w14:paraId="277387A6" w14:textId="77777777" w:rsidR="00BC0F67" w:rsidRPr="003E1914" w:rsidRDefault="00BC0F67" w:rsidP="00964831">
            <w:pPr>
              <w:spacing w:line="276" w:lineRule="auto"/>
              <w:ind w:left="1627"/>
              <w:rPr>
                <w:rFonts w:ascii="Arial" w:hAnsi="Arial" w:cs="Arial"/>
                <w:bCs/>
                <w:sz w:val="18"/>
                <w:szCs w:val="18"/>
              </w:rPr>
            </w:pPr>
            <w:r w:rsidRPr="003E1914">
              <w:rPr>
                <w:rFonts w:ascii="Arial" w:hAnsi="Arial" w:cs="Arial"/>
                <w:bCs/>
                <w:color w:val="000000"/>
                <w:sz w:val="18"/>
                <w:szCs w:val="18"/>
                <w:lang w:val="ro-RO"/>
              </w:rPr>
              <w:t xml:space="preserve"> </w:t>
            </w:r>
          </w:p>
          <w:p w14:paraId="1627A527" w14:textId="77777777" w:rsidR="00BC0F67" w:rsidRPr="003E1914" w:rsidRDefault="00BC0F67" w:rsidP="00964831">
            <w:pPr>
              <w:tabs>
                <w:tab w:val="left" w:pos="10076"/>
                <w:tab w:val="left" w:pos="10992"/>
                <w:tab w:val="left" w:pos="11908"/>
                <w:tab w:val="left" w:pos="12824"/>
                <w:tab w:val="left" w:pos="13740"/>
                <w:tab w:val="left" w:pos="14656"/>
              </w:tabs>
              <w:spacing w:line="276" w:lineRule="auto"/>
              <w:ind w:left="1440" w:hanging="1440"/>
              <w:rPr>
                <w:rFonts w:ascii="Arial" w:hAnsi="Arial" w:cs="Arial"/>
                <w:bCs/>
                <w:sz w:val="18"/>
                <w:szCs w:val="18"/>
              </w:rPr>
            </w:pPr>
            <w:r w:rsidRPr="003E1914">
              <w:rPr>
                <w:rFonts w:ascii="Arial" w:hAnsi="Arial" w:cs="Arial"/>
                <w:bCs/>
                <w:sz w:val="18"/>
                <w:szCs w:val="18"/>
              </w:rPr>
              <w:t xml:space="preserve">                         </w:t>
            </w:r>
          </w:p>
          <w:p w14:paraId="09F78557" w14:textId="77777777" w:rsidR="00BC0F67" w:rsidRPr="003E1914" w:rsidRDefault="00BC0F67" w:rsidP="00964831">
            <w:pPr>
              <w:spacing w:line="276" w:lineRule="auto"/>
              <w:rPr>
                <w:rFonts w:ascii="Arial" w:hAnsi="Arial" w:cs="Arial"/>
                <w:bCs/>
                <w:sz w:val="18"/>
                <w:szCs w:val="18"/>
              </w:rPr>
            </w:pPr>
          </w:p>
          <w:p w14:paraId="77C3089C" w14:textId="77777777" w:rsidR="00BC0F67" w:rsidRPr="003E1914" w:rsidRDefault="00BC0F67" w:rsidP="00964831">
            <w:pPr>
              <w:pStyle w:val="ListParagraph"/>
              <w:tabs>
                <w:tab w:val="left" w:pos="10076"/>
                <w:tab w:val="left" w:pos="10992"/>
                <w:tab w:val="left" w:pos="11908"/>
                <w:tab w:val="left" w:pos="12824"/>
                <w:tab w:val="left" w:pos="13740"/>
                <w:tab w:val="left" w:pos="14656"/>
              </w:tabs>
              <w:spacing w:line="240" w:lineRule="auto"/>
              <w:ind w:left="0"/>
              <w:rPr>
                <w:bCs/>
                <w:color w:val="000000"/>
                <w:sz w:val="18"/>
                <w:szCs w:val="18"/>
              </w:rPr>
            </w:pPr>
          </w:p>
          <w:p w14:paraId="102E36BF" w14:textId="77777777" w:rsidR="00BC0F67" w:rsidRPr="003E1914" w:rsidRDefault="00BC0F67" w:rsidP="00964831">
            <w:pPr>
              <w:shd w:val="clear" w:color="auto" w:fill="FFFFFF"/>
              <w:spacing w:line="276" w:lineRule="auto"/>
              <w:rPr>
                <w:rFonts w:ascii="Arial" w:eastAsia="Calibri" w:hAnsi="Arial" w:cs="Arial"/>
                <w:bCs/>
                <w:sz w:val="18"/>
                <w:szCs w:val="18"/>
              </w:rPr>
            </w:pPr>
            <w:r w:rsidRPr="003E1914">
              <w:rPr>
                <w:rFonts w:ascii="Arial" w:eastAsia="Calibri" w:hAnsi="Arial" w:cs="Arial"/>
                <w:bCs/>
                <w:sz w:val="18"/>
                <w:szCs w:val="18"/>
              </w:rPr>
              <w:t xml:space="preserve"> </w:t>
            </w:r>
          </w:p>
          <w:p w14:paraId="57F6EA6B" w14:textId="77777777" w:rsidR="00BC0F67" w:rsidRPr="003E1914" w:rsidRDefault="00BC0F67" w:rsidP="00964831">
            <w:pPr>
              <w:shd w:val="clear" w:color="auto" w:fill="FFFFFF"/>
              <w:spacing w:line="276" w:lineRule="auto"/>
              <w:rPr>
                <w:rFonts w:ascii="Arial" w:eastAsia="Calibri" w:hAnsi="Arial" w:cs="Arial"/>
                <w:bCs/>
                <w:sz w:val="18"/>
                <w:szCs w:val="18"/>
              </w:rPr>
            </w:pPr>
            <w:r w:rsidRPr="003E1914">
              <w:rPr>
                <w:rFonts w:ascii="Arial" w:eastAsia="Calibri" w:hAnsi="Arial" w:cs="Arial"/>
                <w:bCs/>
                <w:sz w:val="18"/>
                <w:szCs w:val="18"/>
              </w:rPr>
              <w:t xml:space="preserve"> </w:t>
            </w: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368BEB14" w14:textId="6FE2F9AC" w:rsidR="00BC0F67" w:rsidRPr="003E1914" w:rsidRDefault="00BC0F67" w:rsidP="00964831">
            <w:pPr>
              <w:spacing w:line="276" w:lineRule="auto"/>
              <w:ind w:right="51"/>
              <w:jc w:val="both"/>
              <w:rPr>
                <w:rFonts w:ascii="Arial" w:hAnsi="Arial" w:cs="Arial"/>
                <w:sz w:val="18"/>
                <w:szCs w:val="18"/>
              </w:rPr>
            </w:pPr>
            <w:r w:rsidRPr="003E1914">
              <w:rPr>
                <w:rFonts w:ascii="Arial" w:hAnsi="Arial" w:cs="Arial"/>
                <w:i/>
                <w:sz w:val="18"/>
                <w:szCs w:val="18"/>
              </w:rPr>
              <w:t>“Regional Operational Program</w:t>
            </w:r>
            <w:r w:rsidR="003E1914">
              <w:rPr>
                <w:rFonts w:ascii="Arial" w:hAnsi="Arial" w:cs="Arial"/>
                <w:i/>
                <w:sz w:val="18"/>
                <w:szCs w:val="18"/>
              </w:rPr>
              <w:t>me</w:t>
            </w:r>
            <w:r w:rsidRPr="003E1914">
              <w:rPr>
                <w:rFonts w:ascii="Arial" w:hAnsi="Arial" w:cs="Arial"/>
                <w:i/>
                <w:sz w:val="18"/>
                <w:szCs w:val="18"/>
              </w:rPr>
              <w:t xml:space="preserve"> Center” (ROP)</w:t>
            </w:r>
            <w:r w:rsidRPr="003E1914">
              <w:rPr>
                <w:rFonts w:ascii="Arial" w:hAnsi="Arial" w:cs="Arial"/>
                <w:sz w:val="18"/>
                <w:szCs w:val="18"/>
              </w:rPr>
              <w:t xml:space="preserve">. </w:t>
            </w:r>
          </w:p>
          <w:p w14:paraId="30C640CC" w14:textId="1BD93457" w:rsidR="00BC0F67" w:rsidRPr="003E1914" w:rsidRDefault="00BC0F67" w:rsidP="00964831">
            <w:pPr>
              <w:spacing w:line="276" w:lineRule="auto"/>
              <w:ind w:right="51"/>
              <w:jc w:val="both"/>
              <w:rPr>
                <w:rFonts w:ascii="Arial" w:hAnsi="Arial" w:cs="Arial"/>
                <w:sz w:val="18"/>
                <w:szCs w:val="18"/>
              </w:rPr>
            </w:pPr>
            <w:r w:rsidRPr="003E1914">
              <w:rPr>
                <w:rFonts w:ascii="Arial" w:hAnsi="Arial" w:cs="Arial"/>
                <w:i/>
                <w:sz w:val="18"/>
                <w:szCs w:val="18"/>
                <w:u w:val="single"/>
              </w:rPr>
              <w:t>Priority Axis 3 A region with environmentally friendly cities</w:t>
            </w:r>
            <w:r w:rsidRPr="003E1914">
              <w:rPr>
                <w:rFonts w:ascii="Arial" w:hAnsi="Arial" w:cs="Arial"/>
                <w:sz w:val="18"/>
                <w:szCs w:val="18"/>
              </w:rPr>
              <w:t>,</w:t>
            </w:r>
            <w:r w:rsidRPr="003E1914">
              <w:rPr>
                <w:rFonts w:ascii="Arial" w:hAnsi="Arial" w:cs="Arial"/>
                <w:sz w:val="18"/>
                <w:szCs w:val="18"/>
                <w:lang w:val="en-US"/>
              </w:rPr>
              <w:t xml:space="preserve"> EUR </w:t>
            </w:r>
            <w:r w:rsidRPr="003E1914">
              <w:rPr>
                <w:rFonts w:ascii="Arial" w:hAnsi="Arial" w:cs="Arial"/>
                <w:sz w:val="18"/>
                <w:szCs w:val="18"/>
              </w:rPr>
              <w:t>198</w:t>
            </w:r>
            <w:r w:rsidR="00F903A3" w:rsidRPr="003E1914">
              <w:rPr>
                <w:rFonts w:ascii="Arial" w:hAnsi="Arial" w:cs="Arial"/>
                <w:sz w:val="18"/>
                <w:szCs w:val="18"/>
              </w:rPr>
              <w:t>,</w:t>
            </w:r>
            <w:r w:rsidRPr="003E1914">
              <w:rPr>
                <w:rFonts w:ascii="Arial" w:hAnsi="Arial" w:cs="Arial"/>
                <w:sz w:val="18"/>
                <w:szCs w:val="18"/>
              </w:rPr>
              <w:t>715</w:t>
            </w:r>
            <w:r w:rsidR="00F903A3" w:rsidRPr="003E1914">
              <w:rPr>
                <w:rFonts w:ascii="Arial" w:hAnsi="Arial" w:cs="Arial"/>
                <w:sz w:val="18"/>
                <w:szCs w:val="18"/>
              </w:rPr>
              <w:t>,</w:t>
            </w:r>
            <w:r w:rsidRPr="003E1914">
              <w:rPr>
                <w:rFonts w:ascii="Arial" w:hAnsi="Arial" w:cs="Arial"/>
                <w:sz w:val="18"/>
                <w:szCs w:val="18"/>
              </w:rPr>
              <w:t>250</w:t>
            </w:r>
            <w:r w:rsidRPr="003E1914">
              <w:rPr>
                <w:rFonts w:ascii="Arial" w:hAnsi="Arial" w:cs="Arial"/>
                <w:sz w:val="18"/>
                <w:szCs w:val="18"/>
                <w:lang w:val="en-US"/>
              </w:rPr>
              <w:t>,</w:t>
            </w:r>
            <w:r w:rsidRPr="003E1914">
              <w:rPr>
                <w:rFonts w:ascii="Arial" w:hAnsi="Arial" w:cs="Arial"/>
                <w:sz w:val="18"/>
                <w:szCs w:val="18"/>
              </w:rPr>
              <w:t xml:space="preserve"> </w:t>
            </w:r>
          </w:p>
          <w:p w14:paraId="40B0A67B" w14:textId="4C4F8E40" w:rsidR="00BC0F67" w:rsidRPr="003E1914" w:rsidRDefault="00BC0F67" w:rsidP="00964831">
            <w:pPr>
              <w:spacing w:line="276" w:lineRule="auto"/>
              <w:ind w:right="51"/>
              <w:jc w:val="both"/>
              <w:rPr>
                <w:rFonts w:ascii="Arial" w:hAnsi="Arial" w:cs="Arial"/>
                <w:sz w:val="18"/>
                <w:szCs w:val="18"/>
              </w:rPr>
            </w:pPr>
            <w:r w:rsidRPr="003E1914">
              <w:rPr>
                <w:rFonts w:ascii="Arial" w:hAnsi="Arial" w:cs="Arial"/>
                <w:sz w:val="18"/>
                <w:szCs w:val="18"/>
              </w:rPr>
              <w:t>OP2/OS1 Promoting energy efficiency and reducing greenhouse gas emissions</w:t>
            </w:r>
            <w:r w:rsidRPr="003E1914">
              <w:rPr>
                <w:rFonts w:ascii="Arial" w:hAnsi="Arial" w:cs="Arial"/>
                <w:sz w:val="18"/>
                <w:szCs w:val="18"/>
                <w:lang w:val="en-US"/>
              </w:rPr>
              <w:t xml:space="preserve">, EUR </w:t>
            </w:r>
            <w:r w:rsidRPr="003E1914">
              <w:rPr>
                <w:rFonts w:ascii="Arial" w:hAnsi="Arial" w:cs="Arial"/>
                <w:iCs/>
                <w:sz w:val="18"/>
                <w:szCs w:val="18"/>
              </w:rPr>
              <w:t>101</w:t>
            </w:r>
            <w:r w:rsidR="00F903A3" w:rsidRPr="003E1914">
              <w:rPr>
                <w:rFonts w:ascii="Arial" w:hAnsi="Arial" w:cs="Arial"/>
                <w:iCs/>
                <w:sz w:val="18"/>
                <w:szCs w:val="18"/>
              </w:rPr>
              <w:t>,</w:t>
            </w:r>
            <w:r w:rsidRPr="003E1914">
              <w:rPr>
                <w:rFonts w:ascii="Arial" w:hAnsi="Arial" w:cs="Arial"/>
                <w:iCs/>
                <w:sz w:val="18"/>
                <w:szCs w:val="18"/>
              </w:rPr>
              <w:t>617</w:t>
            </w:r>
            <w:r w:rsidR="00F903A3" w:rsidRPr="003E1914">
              <w:rPr>
                <w:rFonts w:ascii="Arial" w:hAnsi="Arial" w:cs="Arial"/>
                <w:iCs/>
                <w:sz w:val="18"/>
                <w:szCs w:val="18"/>
              </w:rPr>
              <w:t>,</w:t>
            </w:r>
            <w:r w:rsidRPr="003E1914">
              <w:rPr>
                <w:rFonts w:ascii="Arial" w:hAnsi="Arial" w:cs="Arial"/>
                <w:iCs/>
                <w:sz w:val="18"/>
                <w:szCs w:val="18"/>
              </w:rPr>
              <w:t>000</w:t>
            </w:r>
            <w:r w:rsidRPr="003E1914">
              <w:rPr>
                <w:rFonts w:ascii="Arial" w:hAnsi="Arial" w:cs="Arial"/>
                <w:iCs/>
                <w:sz w:val="18"/>
                <w:szCs w:val="18"/>
                <w:lang w:val="en-US"/>
              </w:rPr>
              <w:t>,</w:t>
            </w:r>
            <w:r w:rsidRPr="003E1914">
              <w:rPr>
                <w:rFonts w:ascii="Arial" w:hAnsi="Arial" w:cs="Arial"/>
                <w:sz w:val="18"/>
                <w:szCs w:val="18"/>
              </w:rPr>
              <w:t xml:space="preserve"> </w:t>
            </w:r>
          </w:p>
          <w:p w14:paraId="53EF8464" w14:textId="604C8363" w:rsidR="00BC0F67" w:rsidRPr="003E1914" w:rsidRDefault="00BC0F67" w:rsidP="00964831">
            <w:pPr>
              <w:spacing w:line="276" w:lineRule="auto"/>
              <w:ind w:right="51"/>
              <w:jc w:val="both"/>
              <w:rPr>
                <w:rFonts w:ascii="Arial" w:hAnsi="Arial" w:cs="Arial"/>
                <w:iCs/>
                <w:sz w:val="18"/>
                <w:szCs w:val="18"/>
              </w:rPr>
            </w:pPr>
            <w:r w:rsidRPr="003E1914">
              <w:rPr>
                <w:rFonts w:ascii="Arial" w:hAnsi="Arial" w:cs="Arial"/>
                <w:sz w:val="18"/>
                <w:szCs w:val="18"/>
              </w:rPr>
              <w:t>OP2/OS7 Improving the nature and biodiversity protection, green infrastructure especially in urban areas, pollution reducing</w:t>
            </w:r>
            <w:r w:rsidRPr="003E1914">
              <w:rPr>
                <w:rFonts w:ascii="Arial" w:hAnsi="Arial" w:cs="Arial"/>
                <w:sz w:val="18"/>
                <w:szCs w:val="18"/>
                <w:lang w:val="en-US"/>
              </w:rPr>
              <w:t xml:space="preserve">, EUR </w:t>
            </w:r>
            <w:r w:rsidRPr="003E1914">
              <w:rPr>
                <w:rFonts w:ascii="Arial" w:hAnsi="Arial" w:cs="Arial"/>
                <w:iCs/>
                <w:sz w:val="18"/>
                <w:szCs w:val="18"/>
              </w:rPr>
              <w:t>97</w:t>
            </w:r>
            <w:r w:rsidR="00F903A3" w:rsidRPr="003E1914">
              <w:rPr>
                <w:rFonts w:ascii="Arial" w:hAnsi="Arial" w:cs="Arial"/>
                <w:iCs/>
                <w:sz w:val="18"/>
                <w:szCs w:val="18"/>
              </w:rPr>
              <w:t>,</w:t>
            </w:r>
            <w:r w:rsidRPr="003E1914">
              <w:rPr>
                <w:rFonts w:ascii="Arial" w:hAnsi="Arial" w:cs="Arial"/>
                <w:iCs/>
                <w:sz w:val="18"/>
                <w:szCs w:val="18"/>
              </w:rPr>
              <w:t>098</w:t>
            </w:r>
            <w:r w:rsidR="00F903A3" w:rsidRPr="003E1914">
              <w:rPr>
                <w:rFonts w:ascii="Arial" w:hAnsi="Arial" w:cs="Arial"/>
                <w:iCs/>
                <w:sz w:val="18"/>
                <w:szCs w:val="18"/>
              </w:rPr>
              <w:t>,</w:t>
            </w:r>
            <w:r w:rsidRPr="003E1914">
              <w:rPr>
                <w:rFonts w:ascii="Arial" w:hAnsi="Arial" w:cs="Arial"/>
                <w:iCs/>
                <w:sz w:val="18"/>
                <w:szCs w:val="18"/>
              </w:rPr>
              <w:t>250</w:t>
            </w:r>
          </w:p>
          <w:p w14:paraId="26B6C3A6" w14:textId="130ACB2D" w:rsidR="00BC0F67" w:rsidRPr="003E1914" w:rsidRDefault="00BC0F67" w:rsidP="00964831">
            <w:pPr>
              <w:spacing w:line="276" w:lineRule="auto"/>
              <w:ind w:right="51"/>
              <w:jc w:val="both"/>
              <w:rPr>
                <w:rFonts w:ascii="Arial" w:hAnsi="Arial" w:cs="Arial"/>
                <w:iCs/>
                <w:sz w:val="18"/>
                <w:szCs w:val="18"/>
              </w:rPr>
            </w:pPr>
            <w:r w:rsidRPr="003E1914">
              <w:rPr>
                <w:rFonts w:ascii="Arial" w:hAnsi="Arial" w:cs="Arial"/>
                <w:i/>
                <w:sz w:val="18"/>
                <w:szCs w:val="18"/>
                <w:u w:val="single"/>
              </w:rPr>
              <w:t xml:space="preserve">Priority Axis 4 A region with cities developing sustainable urban mobility </w:t>
            </w:r>
            <w:r w:rsidRPr="003E1914">
              <w:rPr>
                <w:rFonts w:ascii="Arial" w:hAnsi="Arial" w:cs="Arial"/>
                <w:sz w:val="18"/>
                <w:szCs w:val="18"/>
                <w:lang w:val="en-US"/>
              </w:rPr>
              <w:t xml:space="preserve">EUR </w:t>
            </w:r>
            <w:r w:rsidRPr="003E1914">
              <w:rPr>
                <w:rFonts w:ascii="Arial" w:hAnsi="Arial" w:cs="Arial"/>
                <w:iCs/>
                <w:sz w:val="18"/>
                <w:szCs w:val="18"/>
              </w:rPr>
              <w:t>198</w:t>
            </w:r>
            <w:r w:rsidR="00F903A3" w:rsidRPr="003E1914">
              <w:rPr>
                <w:rFonts w:ascii="Arial" w:hAnsi="Arial" w:cs="Arial"/>
                <w:iCs/>
                <w:sz w:val="18"/>
                <w:szCs w:val="18"/>
              </w:rPr>
              <w:t>,</w:t>
            </w:r>
            <w:r w:rsidRPr="003E1914">
              <w:rPr>
                <w:rFonts w:ascii="Arial" w:hAnsi="Arial" w:cs="Arial"/>
                <w:iCs/>
                <w:sz w:val="18"/>
                <w:szCs w:val="18"/>
              </w:rPr>
              <w:t>715</w:t>
            </w:r>
            <w:r w:rsidR="00F903A3" w:rsidRPr="003E1914">
              <w:rPr>
                <w:rFonts w:ascii="Arial" w:hAnsi="Arial" w:cs="Arial"/>
                <w:iCs/>
                <w:sz w:val="18"/>
                <w:szCs w:val="18"/>
              </w:rPr>
              <w:t>,</w:t>
            </w:r>
            <w:r w:rsidRPr="003E1914">
              <w:rPr>
                <w:rFonts w:ascii="Arial" w:hAnsi="Arial" w:cs="Arial"/>
                <w:iCs/>
                <w:sz w:val="18"/>
                <w:szCs w:val="18"/>
              </w:rPr>
              <w:t>250</w:t>
            </w:r>
          </w:p>
          <w:p w14:paraId="4C7C908B" w14:textId="5A5805FC" w:rsidR="00BC0F67" w:rsidRPr="003E1914" w:rsidRDefault="00BC0F67" w:rsidP="00964831">
            <w:pPr>
              <w:spacing w:line="276" w:lineRule="auto"/>
              <w:ind w:right="51"/>
              <w:jc w:val="both"/>
              <w:rPr>
                <w:rFonts w:ascii="Arial" w:hAnsi="Arial" w:cs="Arial"/>
                <w:i/>
                <w:sz w:val="18"/>
                <w:szCs w:val="18"/>
              </w:rPr>
            </w:pPr>
            <w:r w:rsidRPr="003E1914">
              <w:rPr>
                <w:rFonts w:ascii="Arial" w:hAnsi="Arial" w:cs="Arial"/>
                <w:sz w:val="18"/>
                <w:szCs w:val="18"/>
              </w:rPr>
              <w:t>OP2/OS8 Promoting sustainable multimodal urban mobility as part of the transition to a zero</w:t>
            </w:r>
            <w:r w:rsidR="003E1914">
              <w:rPr>
                <w:rFonts w:ascii="Arial" w:hAnsi="Arial" w:cs="Arial"/>
                <w:sz w:val="18"/>
                <w:szCs w:val="18"/>
              </w:rPr>
              <w:t>-</w:t>
            </w:r>
            <w:r w:rsidRPr="003E1914">
              <w:rPr>
                <w:rFonts w:ascii="Arial" w:hAnsi="Arial" w:cs="Arial"/>
                <w:sz w:val="18"/>
                <w:szCs w:val="18"/>
              </w:rPr>
              <w:t>carbon economy</w:t>
            </w:r>
            <w:r w:rsidRPr="003E1914">
              <w:rPr>
                <w:rFonts w:ascii="Arial" w:hAnsi="Arial" w:cs="Arial"/>
                <w:sz w:val="18"/>
                <w:szCs w:val="18"/>
                <w:lang w:val="en-US"/>
              </w:rPr>
              <w:t xml:space="preserve">, EUR </w:t>
            </w:r>
            <w:r w:rsidRPr="003E1914">
              <w:rPr>
                <w:rFonts w:ascii="Arial" w:hAnsi="Arial" w:cs="Arial"/>
                <w:iCs/>
                <w:sz w:val="18"/>
                <w:szCs w:val="18"/>
              </w:rPr>
              <w:t>198</w:t>
            </w:r>
            <w:r w:rsidR="00F903A3" w:rsidRPr="003E1914">
              <w:rPr>
                <w:rFonts w:ascii="Arial" w:hAnsi="Arial" w:cs="Arial"/>
                <w:iCs/>
                <w:sz w:val="18"/>
                <w:szCs w:val="18"/>
              </w:rPr>
              <w:t>,</w:t>
            </w:r>
            <w:r w:rsidRPr="003E1914">
              <w:rPr>
                <w:rFonts w:ascii="Arial" w:hAnsi="Arial" w:cs="Arial"/>
                <w:iCs/>
                <w:sz w:val="18"/>
                <w:szCs w:val="18"/>
              </w:rPr>
              <w:t>715</w:t>
            </w:r>
            <w:r w:rsidR="00F903A3" w:rsidRPr="003E1914">
              <w:rPr>
                <w:rFonts w:ascii="Arial" w:hAnsi="Arial" w:cs="Arial"/>
                <w:iCs/>
                <w:sz w:val="18"/>
                <w:szCs w:val="18"/>
              </w:rPr>
              <w:t>,</w:t>
            </w:r>
            <w:r w:rsidRPr="003E1914">
              <w:rPr>
                <w:rFonts w:ascii="Arial" w:hAnsi="Arial" w:cs="Arial"/>
                <w:iCs/>
                <w:sz w:val="18"/>
                <w:szCs w:val="18"/>
              </w:rPr>
              <w:t>250</w:t>
            </w:r>
          </w:p>
          <w:p w14:paraId="61C20B25" w14:textId="1EA96672" w:rsidR="00BC0F67" w:rsidRPr="003E1914" w:rsidRDefault="00BC0F67" w:rsidP="00964831">
            <w:pPr>
              <w:spacing w:line="276" w:lineRule="auto"/>
              <w:ind w:right="51"/>
              <w:jc w:val="both"/>
              <w:rPr>
                <w:rFonts w:ascii="Arial" w:hAnsi="Arial" w:cs="Arial"/>
                <w:sz w:val="18"/>
                <w:szCs w:val="18"/>
              </w:rPr>
            </w:pPr>
            <w:r w:rsidRPr="003E1914">
              <w:rPr>
                <w:rFonts w:ascii="Arial" w:hAnsi="Arial" w:cs="Arial"/>
                <w:i/>
                <w:sz w:val="18"/>
                <w:szCs w:val="18"/>
                <w:u w:val="single"/>
              </w:rPr>
              <w:t xml:space="preserve">Priority Axis 5 An accessible region </w:t>
            </w:r>
            <w:r w:rsidRPr="003E1914">
              <w:rPr>
                <w:rFonts w:ascii="Arial" w:hAnsi="Arial" w:cs="Arial"/>
                <w:sz w:val="18"/>
                <w:szCs w:val="18"/>
                <w:lang w:val="en-US"/>
              </w:rPr>
              <w:t xml:space="preserve">EUR </w:t>
            </w:r>
            <w:r w:rsidRPr="003E1914">
              <w:rPr>
                <w:rFonts w:ascii="Arial" w:hAnsi="Arial" w:cs="Arial"/>
                <w:sz w:val="18"/>
                <w:szCs w:val="18"/>
              </w:rPr>
              <w:t>168</w:t>
            </w:r>
            <w:r w:rsidR="00F903A3" w:rsidRPr="003E1914">
              <w:rPr>
                <w:rFonts w:ascii="Arial" w:hAnsi="Arial" w:cs="Arial"/>
                <w:sz w:val="18"/>
                <w:szCs w:val="18"/>
              </w:rPr>
              <w:t>,</w:t>
            </w:r>
            <w:r w:rsidRPr="003E1914">
              <w:rPr>
                <w:rFonts w:ascii="Arial" w:hAnsi="Arial" w:cs="Arial"/>
                <w:sz w:val="18"/>
                <w:szCs w:val="18"/>
              </w:rPr>
              <w:t>031</w:t>
            </w:r>
            <w:r w:rsidR="00F903A3" w:rsidRPr="003E1914">
              <w:rPr>
                <w:rFonts w:ascii="Arial" w:hAnsi="Arial" w:cs="Arial"/>
                <w:sz w:val="18"/>
                <w:szCs w:val="18"/>
              </w:rPr>
              <w:t>,</w:t>
            </w:r>
            <w:r w:rsidRPr="003E1914">
              <w:rPr>
                <w:rFonts w:ascii="Arial" w:hAnsi="Arial" w:cs="Arial"/>
                <w:sz w:val="18"/>
                <w:szCs w:val="18"/>
              </w:rPr>
              <w:t>000</w:t>
            </w:r>
          </w:p>
          <w:p w14:paraId="6C3284CC" w14:textId="222FEA43" w:rsidR="00BC0F67" w:rsidRPr="003E1914" w:rsidRDefault="00BC0F67" w:rsidP="00964831">
            <w:pPr>
              <w:spacing w:line="276" w:lineRule="auto"/>
              <w:ind w:right="51"/>
              <w:jc w:val="both"/>
              <w:rPr>
                <w:rFonts w:ascii="Arial" w:hAnsi="Arial" w:cs="Arial"/>
                <w:iCs/>
                <w:sz w:val="18"/>
                <w:szCs w:val="18"/>
              </w:rPr>
            </w:pPr>
            <w:r w:rsidRPr="003E1914">
              <w:rPr>
                <w:rFonts w:ascii="Arial" w:hAnsi="Arial" w:cs="Arial"/>
                <w:sz w:val="18"/>
                <w:szCs w:val="18"/>
              </w:rPr>
              <w:t xml:space="preserve">OP3/OS2 </w:t>
            </w:r>
            <w:r w:rsidRPr="003E1914">
              <w:rPr>
                <w:rFonts w:ascii="Arial" w:hAnsi="Arial" w:cs="Arial"/>
                <w:iCs/>
                <w:sz w:val="18"/>
                <w:szCs w:val="18"/>
              </w:rPr>
              <w:t xml:space="preserve">Developing sustainable national, regional and local mobility, resilient to climate change, smart and intermodal, including improving access to TEN-T and cross-border mobility EUR </w:t>
            </w:r>
            <w:r w:rsidRPr="003E1914">
              <w:rPr>
                <w:rFonts w:ascii="Arial" w:hAnsi="Arial" w:cs="Arial"/>
                <w:i/>
                <w:sz w:val="18"/>
                <w:szCs w:val="18"/>
              </w:rPr>
              <w:t>168</w:t>
            </w:r>
            <w:r w:rsidR="00F903A3" w:rsidRPr="003E1914">
              <w:rPr>
                <w:rFonts w:ascii="Arial" w:hAnsi="Arial" w:cs="Arial"/>
                <w:i/>
                <w:sz w:val="18"/>
                <w:szCs w:val="18"/>
              </w:rPr>
              <w:t>,</w:t>
            </w:r>
            <w:r w:rsidRPr="003E1914">
              <w:rPr>
                <w:rFonts w:ascii="Arial" w:hAnsi="Arial" w:cs="Arial"/>
                <w:i/>
                <w:sz w:val="18"/>
                <w:szCs w:val="18"/>
              </w:rPr>
              <w:t>031</w:t>
            </w:r>
            <w:r w:rsidR="00F903A3" w:rsidRPr="003E1914">
              <w:rPr>
                <w:rFonts w:ascii="Arial" w:hAnsi="Arial" w:cs="Arial"/>
                <w:i/>
                <w:sz w:val="18"/>
                <w:szCs w:val="18"/>
              </w:rPr>
              <w:t>,</w:t>
            </w:r>
            <w:r w:rsidRPr="003E1914">
              <w:rPr>
                <w:rFonts w:ascii="Arial" w:hAnsi="Arial" w:cs="Arial"/>
                <w:i/>
                <w:sz w:val="18"/>
                <w:szCs w:val="18"/>
              </w:rPr>
              <w:t>000</w:t>
            </w:r>
          </w:p>
        </w:tc>
      </w:tr>
      <w:tr w:rsidR="00BC0F67" w:rsidRPr="002E65CB" w14:paraId="50D1F62E" w14:textId="77777777" w:rsidTr="00964831">
        <w:trPr>
          <w:trHeight w:val="9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5F5F4" w14:textId="77777777" w:rsidR="00BC0F67" w:rsidRPr="003E1914" w:rsidRDefault="00BC0F67" w:rsidP="00964831">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70396901" w14:textId="73449583" w:rsidR="00BC0F67" w:rsidRPr="003E1914" w:rsidRDefault="00BC0F67" w:rsidP="00964831">
            <w:pPr>
              <w:spacing w:line="276" w:lineRule="auto"/>
              <w:jc w:val="both"/>
              <w:rPr>
                <w:rFonts w:ascii="Arial" w:hAnsi="Arial" w:cs="Arial"/>
                <w:iCs/>
                <w:sz w:val="18"/>
                <w:szCs w:val="18"/>
              </w:rPr>
            </w:pPr>
            <w:r w:rsidRPr="003E1914">
              <w:rPr>
                <w:rFonts w:ascii="Arial" w:hAnsi="Arial" w:cs="Arial"/>
                <w:i/>
                <w:iCs/>
                <w:sz w:val="18"/>
                <w:szCs w:val="18"/>
              </w:rPr>
              <w:t>“Moderni</w:t>
            </w:r>
            <w:r w:rsidR="00493276" w:rsidRPr="003E1914">
              <w:rPr>
                <w:rFonts w:ascii="Arial" w:hAnsi="Arial" w:cs="Arial"/>
                <w:i/>
                <w:iCs/>
                <w:sz w:val="18"/>
                <w:szCs w:val="18"/>
              </w:rPr>
              <w:t>s</w:t>
            </w:r>
            <w:r w:rsidRPr="003E1914">
              <w:rPr>
                <w:rFonts w:ascii="Arial" w:hAnsi="Arial" w:cs="Arial"/>
                <w:i/>
                <w:iCs/>
                <w:sz w:val="18"/>
                <w:szCs w:val="18"/>
              </w:rPr>
              <w:t>ation Fund” (MF)</w:t>
            </w:r>
          </w:p>
          <w:p w14:paraId="657E439F" w14:textId="77777777" w:rsidR="00BC0F67" w:rsidRPr="003E1914" w:rsidRDefault="00BC0F67" w:rsidP="00964831">
            <w:pPr>
              <w:spacing w:line="276" w:lineRule="auto"/>
              <w:jc w:val="both"/>
              <w:rPr>
                <w:rFonts w:ascii="Arial" w:hAnsi="Arial" w:cs="Arial"/>
                <w:sz w:val="18"/>
                <w:szCs w:val="18"/>
                <w:lang w:val="en"/>
              </w:rPr>
            </w:pPr>
            <w:r w:rsidRPr="003E1914">
              <w:rPr>
                <w:rFonts w:ascii="Arial" w:hAnsi="Arial" w:cs="Arial"/>
                <w:i/>
                <w:iCs/>
                <w:sz w:val="18"/>
                <w:szCs w:val="18"/>
                <w:u w:val="single"/>
              </w:rPr>
              <w:t xml:space="preserve">Priority </w:t>
            </w:r>
            <w:r w:rsidRPr="003E1914">
              <w:rPr>
                <w:rFonts w:ascii="Arial" w:hAnsi="Arial" w:cs="Arial"/>
                <w:i/>
                <w:sz w:val="18"/>
                <w:szCs w:val="18"/>
                <w:u w:val="single"/>
                <w:lang w:val="en"/>
              </w:rPr>
              <w:t>Axis 1</w:t>
            </w:r>
            <w:r w:rsidRPr="003E1914">
              <w:rPr>
                <w:rFonts w:ascii="Arial" w:hAnsi="Arial" w:cs="Arial"/>
                <w:sz w:val="18"/>
                <w:szCs w:val="18"/>
                <w:lang w:val="en"/>
              </w:rPr>
              <w:t xml:space="preserve"> Investments in capacities renewable production, in storage in electricity, gas and district heating networks, efficiency power. </w:t>
            </w:r>
          </w:p>
          <w:p w14:paraId="37F51922" w14:textId="77777777" w:rsidR="00BC0F67" w:rsidRPr="003E1914" w:rsidRDefault="00BC0F67" w:rsidP="00964831">
            <w:pPr>
              <w:spacing w:line="276" w:lineRule="auto"/>
              <w:jc w:val="both"/>
              <w:rPr>
                <w:rFonts w:ascii="Arial" w:eastAsia="Calibri" w:hAnsi="Arial" w:cs="Arial"/>
                <w:sz w:val="18"/>
                <w:szCs w:val="18"/>
              </w:rPr>
            </w:pPr>
            <w:r w:rsidRPr="003E1914">
              <w:rPr>
                <w:rFonts w:ascii="Arial" w:hAnsi="Arial" w:cs="Arial"/>
                <w:i/>
                <w:sz w:val="18"/>
                <w:szCs w:val="18"/>
                <w:u w:val="single"/>
                <w:lang w:val="en"/>
              </w:rPr>
              <w:t>Priority Axis 2</w:t>
            </w:r>
            <w:r w:rsidRPr="003E1914">
              <w:rPr>
                <w:rFonts w:ascii="Arial" w:hAnsi="Arial" w:cs="Arial"/>
                <w:sz w:val="18"/>
                <w:szCs w:val="18"/>
                <w:lang w:val="en"/>
              </w:rPr>
              <w:t xml:space="preserve"> Investments in production capacities based on gas</w:t>
            </w:r>
          </w:p>
        </w:tc>
      </w:tr>
      <w:tr w:rsidR="00BC0F67" w:rsidRPr="002E65CB" w14:paraId="0EB5459C" w14:textId="77777777" w:rsidTr="00964831">
        <w:trPr>
          <w:trHeight w:val="8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E31D5" w14:textId="77777777" w:rsidR="00BC0F67" w:rsidRPr="003E1914" w:rsidRDefault="00BC0F67" w:rsidP="00964831">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642A7A2A" w14:textId="78821EF7" w:rsidR="00BC0F67" w:rsidRPr="003E1914" w:rsidRDefault="00BC0F67" w:rsidP="00964831">
            <w:pPr>
              <w:spacing w:line="276" w:lineRule="auto"/>
              <w:jc w:val="both"/>
              <w:rPr>
                <w:rFonts w:ascii="Arial" w:hAnsi="Arial" w:cs="Arial"/>
                <w:iCs/>
                <w:sz w:val="18"/>
                <w:szCs w:val="18"/>
              </w:rPr>
            </w:pPr>
            <w:r w:rsidRPr="003E1914">
              <w:rPr>
                <w:rFonts w:ascii="Arial" w:hAnsi="Arial" w:cs="Arial"/>
                <w:i/>
                <w:sz w:val="18"/>
                <w:szCs w:val="18"/>
              </w:rPr>
              <w:t>“</w:t>
            </w:r>
            <w:r w:rsidRPr="003E1914">
              <w:rPr>
                <w:rFonts w:ascii="Arial" w:hAnsi="Arial" w:cs="Arial"/>
                <w:i/>
                <w:iCs/>
                <w:sz w:val="18"/>
                <w:szCs w:val="18"/>
              </w:rPr>
              <w:t>Sustainable Development Operational Program</w:t>
            </w:r>
            <w:r w:rsidR="003E1914">
              <w:rPr>
                <w:rFonts w:ascii="Arial" w:hAnsi="Arial" w:cs="Arial"/>
                <w:i/>
                <w:iCs/>
                <w:sz w:val="18"/>
                <w:szCs w:val="18"/>
              </w:rPr>
              <w:t>me</w:t>
            </w:r>
            <w:r w:rsidRPr="003E1914">
              <w:rPr>
                <w:rFonts w:ascii="Arial" w:hAnsi="Arial" w:cs="Arial"/>
                <w:i/>
                <w:iCs/>
                <w:sz w:val="18"/>
                <w:szCs w:val="18"/>
              </w:rPr>
              <w:t>”</w:t>
            </w:r>
            <w:r w:rsidRPr="003E1914">
              <w:rPr>
                <w:rFonts w:ascii="Arial" w:hAnsi="Arial" w:cs="Arial"/>
                <w:iCs/>
                <w:sz w:val="18"/>
                <w:szCs w:val="18"/>
              </w:rPr>
              <w:t xml:space="preserve"> (SDOP)</w:t>
            </w:r>
          </w:p>
          <w:p w14:paraId="4C9D8987" w14:textId="6D72864B" w:rsidR="00BC0F67" w:rsidRPr="003E1914" w:rsidRDefault="00BC0F67" w:rsidP="00964831">
            <w:pPr>
              <w:spacing w:line="276" w:lineRule="auto"/>
              <w:jc w:val="both"/>
              <w:rPr>
                <w:rFonts w:ascii="Arial" w:hAnsi="Arial" w:cs="Arial"/>
                <w:iCs/>
                <w:sz w:val="18"/>
                <w:szCs w:val="18"/>
              </w:rPr>
            </w:pPr>
            <w:r w:rsidRPr="003E1914">
              <w:rPr>
                <w:rFonts w:ascii="Arial" w:hAnsi="Arial" w:cs="Arial"/>
                <w:i/>
                <w:iCs/>
                <w:sz w:val="18"/>
                <w:szCs w:val="18"/>
                <w:u w:val="single"/>
              </w:rPr>
              <w:t>Priority 1</w:t>
            </w:r>
            <w:r w:rsidRPr="003E1914">
              <w:rPr>
                <w:rFonts w:ascii="Arial" w:hAnsi="Arial" w:cs="Arial"/>
                <w:iCs/>
                <w:sz w:val="18"/>
                <w:szCs w:val="18"/>
              </w:rPr>
              <w:t xml:space="preserve"> Promoting energy efficiency, smart energy systems and networks, storage solutions and reducing greenhouse gas emissions</w:t>
            </w:r>
            <w:r w:rsidRPr="003E1914">
              <w:rPr>
                <w:rFonts w:ascii="Arial" w:hAnsi="Arial" w:cs="Arial"/>
                <w:iCs/>
                <w:sz w:val="18"/>
                <w:szCs w:val="18"/>
                <w:lang w:val="en-US"/>
              </w:rPr>
              <w:t xml:space="preserve">, EUR- </w:t>
            </w:r>
            <w:r w:rsidRPr="003E1914">
              <w:rPr>
                <w:rFonts w:ascii="Arial" w:hAnsi="Arial" w:cs="Arial"/>
                <w:sz w:val="18"/>
                <w:szCs w:val="18"/>
              </w:rPr>
              <w:t xml:space="preserve">FEDR </w:t>
            </w:r>
            <w:r w:rsidR="00F903A3" w:rsidRPr="003E1914">
              <w:rPr>
                <w:rFonts w:ascii="Arial" w:hAnsi="Arial" w:cs="Arial"/>
                <w:sz w:val="18"/>
                <w:szCs w:val="18"/>
              </w:rPr>
              <w:t>–</w:t>
            </w:r>
            <w:r w:rsidRPr="003E1914">
              <w:rPr>
                <w:rFonts w:ascii="Arial" w:eastAsia="Times New Roman" w:hAnsi="Arial" w:cs="Arial"/>
                <w:bCs/>
                <w:sz w:val="18"/>
                <w:szCs w:val="18"/>
              </w:rPr>
              <w:t xml:space="preserve"> </w:t>
            </w:r>
            <w:r w:rsidRPr="003E1914">
              <w:rPr>
                <w:rFonts w:ascii="Arial" w:hAnsi="Arial" w:cs="Arial"/>
                <w:iCs/>
                <w:sz w:val="18"/>
                <w:szCs w:val="18"/>
              </w:rPr>
              <w:t>400</w:t>
            </w:r>
            <w:r w:rsidR="00F903A3" w:rsidRPr="003E1914">
              <w:rPr>
                <w:rFonts w:ascii="Arial" w:hAnsi="Arial" w:cs="Arial"/>
                <w:iCs/>
                <w:sz w:val="18"/>
                <w:szCs w:val="18"/>
              </w:rPr>
              <w:t>,</w:t>
            </w:r>
            <w:r w:rsidRPr="003E1914">
              <w:rPr>
                <w:rFonts w:ascii="Arial" w:hAnsi="Arial" w:cs="Arial"/>
                <w:iCs/>
                <w:sz w:val="18"/>
                <w:szCs w:val="18"/>
              </w:rPr>
              <w:t>000</w:t>
            </w:r>
            <w:r w:rsidR="00F903A3" w:rsidRPr="003E1914">
              <w:rPr>
                <w:rFonts w:ascii="Arial" w:hAnsi="Arial" w:cs="Arial"/>
                <w:iCs/>
                <w:sz w:val="18"/>
                <w:szCs w:val="18"/>
              </w:rPr>
              <w:t>,</w:t>
            </w:r>
            <w:r w:rsidRPr="003E1914">
              <w:rPr>
                <w:rFonts w:ascii="Arial" w:hAnsi="Arial" w:cs="Arial"/>
                <w:iCs/>
                <w:sz w:val="18"/>
                <w:szCs w:val="18"/>
              </w:rPr>
              <w:t xml:space="preserve">000 + FC </w:t>
            </w:r>
            <w:r w:rsidR="00F903A3" w:rsidRPr="003E1914">
              <w:rPr>
                <w:rFonts w:ascii="Arial" w:hAnsi="Arial" w:cs="Arial"/>
                <w:iCs/>
                <w:sz w:val="18"/>
                <w:szCs w:val="18"/>
              </w:rPr>
              <w:t>–</w:t>
            </w:r>
            <w:r w:rsidRPr="003E1914">
              <w:rPr>
                <w:rFonts w:ascii="Arial" w:hAnsi="Arial" w:cs="Arial"/>
                <w:iCs/>
                <w:sz w:val="18"/>
                <w:szCs w:val="18"/>
              </w:rPr>
              <w:t xml:space="preserve"> 200</w:t>
            </w:r>
            <w:r w:rsidR="00F903A3" w:rsidRPr="003E1914">
              <w:rPr>
                <w:rFonts w:ascii="Arial" w:hAnsi="Arial" w:cs="Arial"/>
                <w:iCs/>
                <w:sz w:val="18"/>
                <w:szCs w:val="18"/>
              </w:rPr>
              <w:t>,</w:t>
            </w:r>
            <w:r w:rsidRPr="003E1914">
              <w:rPr>
                <w:rFonts w:ascii="Arial" w:hAnsi="Arial" w:cs="Arial"/>
                <w:iCs/>
                <w:sz w:val="18"/>
                <w:szCs w:val="18"/>
              </w:rPr>
              <w:t>000</w:t>
            </w:r>
            <w:r w:rsidR="00F903A3" w:rsidRPr="003E1914">
              <w:rPr>
                <w:rFonts w:ascii="Arial" w:hAnsi="Arial" w:cs="Arial"/>
                <w:iCs/>
                <w:sz w:val="18"/>
                <w:szCs w:val="18"/>
              </w:rPr>
              <w:t>,</w:t>
            </w:r>
            <w:r w:rsidRPr="003E1914">
              <w:rPr>
                <w:rFonts w:ascii="Arial" w:hAnsi="Arial" w:cs="Arial"/>
                <w:iCs/>
                <w:sz w:val="18"/>
                <w:szCs w:val="18"/>
              </w:rPr>
              <w:t>000</w:t>
            </w:r>
          </w:p>
          <w:p w14:paraId="52B1EBF0" w14:textId="1858FF04" w:rsidR="00BC0F67" w:rsidRPr="003E1914" w:rsidRDefault="00BC0F67" w:rsidP="009648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eastAsia="Times New Roman" w:hAnsi="Arial" w:cs="Arial"/>
                <w:sz w:val="18"/>
                <w:szCs w:val="18"/>
                <w:lang w:val="en-US"/>
              </w:rPr>
            </w:pPr>
            <w:r w:rsidRPr="003E1914">
              <w:rPr>
                <w:rFonts w:ascii="Arial" w:hAnsi="Arial" w:cs="Arial"/>
                <w:i/>
                <w:iCs/>
                <w:sz w:val="18"/>
                <w:szCs w:val="18"/>
                <w:u w:val="single"/>
              </w:rPr>
              <w:t xml:space="preserve">Priority </w:t>
            </w:r>
            <w:r w:rsidRPr="003E1914">
              <w:rPr>
                <w:rFonts w:ascii="Arial" w:hAnsi="Arial" w:cs="Arial"/>
                <w:i/>
                <w:iCs/>
                <w:sz w:val="18"/>
                <w:szCs w:val="18"/>
                <w:u w:val="single"/>
                <w:lang w:val="en-US"/>
              </w:rPr>
              <w:t>2</w:t>
            </w:r>
            <w:r w:rsidRPr="003E1914">
              <w:rPr>
                <w:rFonts w:ascii="Arial" w:hAnsi="Arial" w:cs="Arial"/>
                <w:iCs/>
                <w:sz w:val="18"/>
                <w:szCs w:val="18"/>
              </w:rPr>
              <w:t xml:space="preserve"> </w:t>
            </w:r>
            <w:r w:rsidRPr="003E1914">
              <w:rPr>
                <w:rFonts w:ascii="Arial" w:eastAsia="Times New Roman" w:hAnsi="Arial" w:cs="Arial"/>
                <w:sz w:val="18"/>
                <w:szCs w:val="18"/>
                <w:lang w:val="en"/>
              </w:rPr>
              <w:t>Development of water and wastewater infrastructure and the transition to a circular economy</w:t>
            </w:r>
            <w:r w:rsidRPr="003E1914">
              <w:rPr>
                <w:rFonts w:ascii="Arial" w:hAnsi="Arial" w:cs="Arial"/>
                <w:iCs/>
                <w:sz w:val="18"/>
                <w:szCs w:val="18"/>
                <w:lang w:val="en-US"/>
              </w:rPr>
              <w:t xml:space="preserve">, EUR- </w:t>
            </w:r>
            <w:r w:rsidR="0088065B">
              <w:rPr>
                <w:rFonts w:ascii="Arial" w:hAnsi="Arial" w:cs="Arial"/>
                <w:sz w:val="18"/>
                <w:szCs w:val="18"/>
              </w:rPr>
              <w:t xml:space="preserve">ERDF </w:t>
            </w:r>
            <w:r w:rsidRPr="003E1914">
              <w:rPr>
                <w:rFonts w:ascii="Arial" w:eastAsia="Times New Roman" w:hAnsi="Arial" w:cs="Arial"/>
                <w:bCs/>
                <w:sz w:val="18"/>
                <w:szCs w:val="18"/>
              </w:rPr>
              <w:t>2.13</w:t>
            </w:r>
            <w:r w:rsidR="00F903A3" w:rsidRPr="003E1914">
              <w:rPr>
                <w:rFonts w:ascii="Arial" w:eastAsia="Times New Roman" w:hAnsi="Arial" w:cs="Arial"/>
                <w:bCs/>
                <w:sz w:val="18"/>
                <w:szCs w:val="18"/>
              </w:rPr>
              <w:t xml:space="preserve"> bn </w:t>
            </w:r>
            <w:r w:rsidRPr="003E1914">
              <w:rPr>
                <w:rFonts w:ascii="Arial" w:hAnsi="Arial" w:cs="Arial"/>
                <w:iCs/>
                <w:sz w:val="18"/>
                <w:szCs w:val="18"/>
              </w:rPr>
              <w:t xml:space="preserve">+ </w:t>
            </w:r>
            <w:r w:rsidR="0088065B">
              <w:rPr>
                <w:rFonts w:ascii="Arial" w:hAnsi="Arial" w:cs="Arial"/>
                <w:iCs/>
                <w:sz w:val="18"/>
                <w:szCs w:val="18"/>
              </w:rPr>
              <w:t>CF</w:t>
            </w:r>
            <w:r w:rsidR="0088065B" w:rsidRPr="003E1914">
              <w:rPr>
                <w:rFonts w:ascii="Arial" w:hAnsi="Arial" w:cs="Arial"/>
                <w:iCs/>
                <w:sz w:val="18"/>
                <w:szCs w:val="18"/>
              </w:rPr>
              <w:t xml:space="preserve"> </w:t>
            </w:r>
            <w:r w:rsidRPr="003E1914">
              <w:rPr>
                <w:rFonts w:ascii="Arial" w:hAnsi="Arial" w:cs="Arial"/>
                <w:iCs/>
                <w:sz w:val="18"/>
                <w:szCs w:val="18"/>
              </w:rPr>
              <w:t>637</w:t>
            </w:r>
            <w:r w:rsidR="00F903A3" w:rsidRPr="003E1914">
              <w:rPr>
                <w:rFonts w:ascii="Arial" w:hAnsi="Arial" w:cs="Arial"/>
                <w:iCs/>
                <w:sz w:val="18"/>
                <w:szCs w:val="18"/>
              </w:rPr>
              <w:t>,</w:t>
            </w:r>
            <w:r w:rsidRPr="003E1914">
              <w:rPr>
                <w:rFonts w:ascii="Arial" w:hAnsi="Arial" w:cs="Arial"/>
                <w:iCs/>
                <w:sz w:val="18"/>
                <w:szCs w:val="18"/>
              </w:rPr>
              <w:t>800</w:t>
            </w:r>
          </w:p>
        </w:tc>
      </w:tr>
      <w:tr w:rsidR="00BC0F67" w:rsidRPr="002E65CB" w14:paraId="51859569" w14:textId="77777777" w:rsidTr="00964831">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C28F8" w14:textId="77777777" w:rsidR="00BC0F67" w:rsidRPr="003E1914" w:rsidRDefault="00BC0F67" w:rsidP="00964831">
            <w:pPr>
              <w:spacing w:line="276" w:lineRule="auto"/>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2DFC8DE2" w14:textId="7C19E780" w:rsidR="00BC0F67" w:rsidRPr="003E1914" w:rsidRDefault="00BC0F67" w:rsidP="00964831">
            <w:pPr>
              <w:tabs>
                <w:tab w:val="left" w:pos="10076"/>
                <w:tab w:val="left" w:pos="10992"/>
                <w:tab w:val="left" w:pos="11908"/>
                <w:tab w:val="left" w:pos="12824"/>
                <w:tab w:val="left" w:pos="13740"/>
                <w:tab w:val="left" w:pos="14656"/>
              </w:tabs>
              <w:spacing w:line="276" w:lineRule="auto"/>
              <w:jc w:val="both"/>
              <w:rPr>
                <w:rFonts w:ascii="Arial" w:hAnsi="Arial" w:cs="Arial"/>
                <w:sz w:val="18"/>
                <w:szCs w:val="18"/>
              </w:rPr>
            </w:pPr>
            <w:r w:rsidRPr="003E1914">
              <w:rPr>
                <w:rFonts w:ascii="Arial" w:hAnsi="Arial" w:cs="Arial"/>
                <w:i/>
                <w:sz w:val="18"/>
                <w:szCs w:val="18"/>
              </w:rPr>
              <w:t xml:space="preserve">“National </w:t>
            </w:r>
            <w:r w:rsidR="003E1914">
              <w:rPr>
                <w:rFonts w:ascii="Arial" w:hAnsi="Arial" w:cs="Arial"/>
                <w:i/>
                <w:sz w:val="18"/>
                <w:szCs w:val="18"/>
              </w:rPr>
              <w:t>Recovery and Resilience Plan</w:t>
            </w:r>
            <w:r w:rsidRPr="003E1914">
              <w:rPr>
                <w:rFonts w:ascii="Arial" w:hAnsi="Arial" w:cs="Arial"/>
                <w:i/>
                <w:sz w:val="18"/>
                <w:szCs w:val="18"/>
              </w:rPr>
              <w:t>” (</w:t>
            </w:r>
            <w:r w:rsidR="003E1914">
              <w:rPr>
                <w:rFonts w:ascii="Arial" w:hAnsi="Arial" w:cs="Arial"/>
                <w:i/>
                <w:sz w:val="18"/>
                <w:szCs w:val="18"/>
              </w:rPr>
              <w:t>RRP</w:t>
            </w:r>
            <w:r w:rsidRPr="003E1914">
              <w:rPr>
                <w:rFonts w:ascii="Arial" w:hAnsi="Arial" w:cs="Arial"/>
                <w:i/>
                <w:sz w:val="18"/>
                <w:szCs w:val="18"/>
              </w:rPr>
              <w:t>)</w:t>
            </w:r>
            <w:r w:rsidRPr="003E1914">
              <w:rPr>
                <w:rFonts w:ascii="Arial" w:hAnsi="Arial" w:cs="Arial"/>
                <w:i/>
                <w:sz w:val="18"/>
                <w:szCs w:val="18"/>
                <w:u w:val="single"/>
              </w:rPr>
              <w:t>.</w:t>
            </w:r>
            <w:r w:rsidRPr="003E1914">
              <w:rPr>
                <w:rFonts w:ascii="Arial" w:hAnsi="Arial" w:cs="Arial"/>
                <w:sz w:val="18"/>
                <w:szCs w:val="18"/>
              </w:rPr>
              <w:t xml:space="preserve">  </w:t>
            </w:r>
          </w:p>
          <w:p w14:paraId="4CDBDE22" w14:textId="59CE25C2" w:rsidR="00BC0F67" w:rsidRPr="003E1914" w:rsidRDefault="00BC0F67" w:rsidP="00964831">
            <w:pPr>
              <w:spacing w:line="276" w:lineRule="auto"/>
              <w:rPr>
                <w:rFonts w:ascii="Arial" w:hAnsi="Arial" w:cs="Arial"/>
                <w:sz w:val="18"/>
                <w:szCs w:val="18"/>
              </w:rPr>
            </w:pPr>
            <w:r w:rsidRPr="003E1914">
              <w:rPr>
                <w:rFonts w:ascii="Arial" w:hAnsi="Arial" w:cs="Arial"/>
                <w:i/>
                <w:iCs/>
                <w:sz w:val="18"/>
                <w:szCs w:val="18"/>
                <w:u w:val="single"/>
              </w:rPr>
              <w:t>Pillar I Green Transition</w:t>
            </w:r>
            <w:r w:rsidRPr="003E1914">
              <w:rPr>
                <w:rFonts w:ascii="Arial" w:hAnsi="Arial" w:cs="Arial"/>
                <w:i/>
                <w:iCs/>
                <w:sz w:val="18"/>
                <w:szCs w:val="18"/>
              </w:rPr>
              <w:t xml:space="preserve">, Component 2 We afforest Romania and protect biodiversity. </w:t>
            </w:r>
            <w:r w:rsidRPr="003E1914">
              <w:rPr>
                <w:rFonts w:ascii="Arial" w:hAnsi="Arial" w:cs="Arial"/>
                <w:i/>
                <w:iCs/>
                <w:sz w:val="18"/>
                <w:szCs w:val="18"/>
                <w:lang w:val="en-US"/>
              </w:rPr>
              <w:t xml:space="preserve">EUR </w:t>
            </w:r>
            <w:r w:rsidRPr="003E1914">
              <w:rPr>
                <w:rFonts w:ascii="Arial" w:hAnsi="Arial" w:cs="Arial"/>
                <w:sz w:val="18"/>
                <w:szCs w:val="18"/>
              </w:rPr>
              <w:t>1.37 b</w:t>
            </w:r>
            <w:r w:rsidR="00F903A3" w:rsidRPr="003E1914">
              <w:rPr>
                <w:rFonts w:ascii="Arial" w:hAnsi="Arial" w:cs="Arial"/>
                <w:sz w:val="18"/>
                <w:szCs w:val="18"/>
              </w:rPr>
              <w:t>n</w:t>
            </w:r>
            <w:r w:rsidRPr="003E1914">
              <w:rPr>
                <w:rFonts w:ascii="Arial" w:hAnsi="Arial" w:cs="Arial"/>
                <w:sz w:val="18"/>
                <w:szCs w:val="18"/>
                <w:lang w:val="en-US"/>
              </w:rPr>
              <w:t xml:space="preserve">, </w:t>
            </w:r>
            <w:r w:rsidRPr="003E1914">
              <w:rPr>
                <w:rFonts w:ascii="Arial" w:hAnsi="Arial" w:cs="Arial"/>
                <w:i/>
                <w:iCs/>
                <w:sz w:val="18"/>
                <w:szCs w:val="18"/>
              </w:rPr>
              <w:t xml:space="preserve">Component 3 Waste management. </w:t>
            </w:r>
            <w:r w:rsidRPr="003E1914">
              <w:rPr>
                <w:rFonts w:ascii="Arial" w:hAnsi="Arial" w:cs="Arial"/>
                <w:i/>
                <w:iCs/>
                <w:sz w:val="18"/>
                <w:szCs w:val="18"/>
                <w:lang w:val="en-US"/>
              </w:rPr>
              <w:t xml:space="preserve">EUR </w:t>
            </w:r>
            <w:r w:rsidRPr="003E1914">
              <w:rPr>
                <w:rFonts w:ascii="Arial" w:hAnsi="Arial" w:cs="Arial"/>
                <w:sz w:val="18"/>
                <w:szCs w:val="18"/>
              </w:rPr>
              <w:t>1.2</w:t>
            </w:r>
            <w:r w:rsidR="002E65CB" w:rsidRPr="003E1914">
              <w:rPr>
                <w:rFonts w:ascii="Arial" w:hAnsi="Arial" w:cs="Arial"/>
                <w:sz w:val="18"/>
                <w:szCs w:val="18"/>
              </w:rPr>
              <w:t xml:space="preserve"> bn</w:t>
            </w:r>
            <w:r w:rsidRPr="003E1914">
              <w:rPr>
                <w:rFonts w:ascii="Arial" w:hAnsi="Arial" w:cs="Arial"/>
                <w:iCs/>
                <w:sz w:val="18"/>
                <w:szCs w:val="18"/>
                <w:lang w:val="en-US"/>
              </w:rPr>
              <w:t xml:space="preserve">, </w:t>
            </w:r>
            <w:r w:rsidRPr="003E1914">
              <w:rPr>
                <w:rFonts w:ascii="Arial" w:hAnsi="Arial" w:cs="Arial"/>
                <w:i/>
                <w:iCs/>
                <w:sz w:val="18"/>
                <w:szCs w:val="18"/>
              </w:rPr>
              <w:t>Component 4 Rail transport and urban mobility</w:t>
            </w:r>
            <w:r w:rsidRPr="003E1914">
              <w:rPr>
                <w:rFonts w:ascii="Arial" w:hAnsi="Arial" w:cs="Arial"/>
                <w:iCs/>
                <w:sz w:val="18"/>
                <w:szCs w:val="18"/>
                <w:lang w:val="en-US"/>
              </w:rPr>
              <w:t xml:space="preserve">, </w:t>
            </w:r>
            <w:r w:rsidRPr="003E1914">
              <w:rPr>
                <w:rFonts w:ascii="Arial" w:hAnsi="Arial" w:cs="Arial"/>
                <w:i/>
                <w:iCs/>
                <w:sz w:val="18"/>
                <w:szCs w:val="18"/>
              </w:rPr>
              <w:t>Component 5 I.5 Renovation wave, fund for green and seismic rehabilitation</w:t>
            </w:r>
            <w:r w:rsidRPr="003E1914">
              <w:rPr>
                <w:rFonts w:ascii="Arial" w:hAnsi="Arial" w:cs="Arial"/>
                <w:i/>
                <w:iCs/>
                <w:sz w:val="18"/>
                <w:szCs w:val="18"/>
                <w:lang w:val="en-US"/>
              </w:rPr>
              <w:t xml:space="preserve">, EUR </w:t>
            </w:r>
            <w:r w:rsidRPr="003E1914">
              <w:rPr>
                <w:rFonts w:ascii="Arial" w:hAnsi="Arial" w:cs="Arial"/>
                <w:sz w:val="18"/>
                <w:szCs w:val="18"/>
              </w:rPr>
              <w:t>2</w:t>
            </w:r>
            <w:r w:rsidR="00F903A3" w:rsidRPr="003E1914">
              <w:rPr>
                <w:rFonts w:ascii="Arial" w:hAnsi="Arial" w:cs="Arial"/>
                <w:sz w:val="18"/>
                <w:szCs w:val="18"/>
              </w:rPr>
              <w:t>.</w:t>
            </w:r>
            <w:r w:rsidRPr="003E1914">
              <w:rPr>
                <w:rFonts w:ascii="Arial" w:hAnsi="Arial" w:cs="Arial"/>
                <w:sz w:val="18"/>
                <w:szCs w:val="18"/>
              </w:rPr>
              <w:t>2</w:t>
            </w:r>
            <w:r w:rsidR="002E65CB" w:rsidRPr="003E1914">
              <w:rPr>
                <w:rFonts w:ascii="Arial" w:hAnsi="Arial" w:cs="Arial"/>
                <w:sz w:val="18"/>
                <w:szCs w:val="18"/>
              </w:rPr>
              <w:t xml:space="preserve"> bn</w:t>
            </w:r>
            <w:r w:rsidRPr="003E1914">
              <w:rPr>
                <w:rFonts w:ascii="Arial" w:hAnsi="Arial" w:cs="Arial"/>
                <w:i/>
                <w:iCs/>
                <w:sz w:val="18"/>
                <w:szCs w:val="18"/>
              </w:rPr>
              <w:t>. Component 6 Energy.</w:t>
            </w:r>
            <w:r w:rsidRPr="003E1914">
              <w:rPr>
                <w:rFonts w:ascii="Arial" w:hAnsi="Arial" w:cs="Arial"/>
                <w:i/>
                <w:iCs/>
                <w:sz w:val="18"/>
                <w:szCs w:val="18"/>
                <w:lang w:val="en-US"/>
              </w:rPr>
              <w:t xml:space="preserve"> EUR </w:t>
            </w:r>
            <w:r w:rsidRPr="003E1914">
              <w:rPr>
                <w:rFonts w:ascii="Arial" w:hAnsi="Arial" w:cs="Arial"/>
                <w:sz w:val="18"/>
                <w:szCs w:val="18"/>
              </w:rPr>
              <w:t>1</w:t>
            </w:r>
            <w:r w:rsidR="00493276" w:rsidRPr="003E1914">
              <w:rPr>
                <w:rFonts w:ascii="Arial" w:hAnsi="Arial" w:cs="Arial"/>
                <w:sz w:val="18"/>
                <w:szCs w:val="18"/>
              </w:rPr>
              <w:t>.</w:t>
            </w:r>
            <w:r w:rsidRPr="003E1914">
              <w:rPr>
                <w:rFonts w:ascii="Arial" w:hAnsi="Arial" w:cs="Arial"/>
                <w:sz w:val="18"/>
                <w:szCs w:val="18"/>
              </w:rPr>
              <w:t>62</w:t>
            </w:r>
            <w:r w:rsidR="002E65CB" w:rsidRPr="003E1914">
              <w:rPr>
                <w:rFonts w:ascii="Arial" w:hAnsi="Arial" w:cs="Arial"/>
                <w:sz w:val="18"/>
                <w:szCs w:val="18"/>
              </w:rPr>
              <w:t xml:space="preserve"> bn</w:t>
            </w:r>
            <w:r w:rsidRPr="003E1914">
              <w:rPr>
                <w:rFonts w:ascii="Arial" w:hAnsi="Arial" w:cs="Arial"/>
                <w:sz w:val="18"/>
                <w:szCs w:val="18"/>
              </w:rPr>
              <w:t xml:space="preserve"> </w:t>
            </w:r>
          </w:p>
          <w:p w14:paraId="29E59FAF" w14:textId="77777777" w:rsidR="00BC0F67" w:rsidRPr="003E1914" w:rsidRDefault="00BC0F67" w:rsidP="00964831">
            <w:pPr>
              <w:tabs>
                <w:tab w:val="left" w:pos="10076"/>
                <w:tab w:val="left" w:pos="10992"/>
                <w:tab w:val="left" w:pos="11908"/>
                <w:tab w:val="left" w:pos="12824"/>
                <w:tab w:val="left" w:pos="13740"/>
                <w:tab w:val="left" w:pos="14656"/>
              </w:tabs>
              <w:spacing w:line="276" w:lineRule="auto"/>
              <w:jc w:val="both"/>
              <w:rPr>
                <w:rFonts w:ascii="Arial" w:hAnsi="Arial" w:cs="Arial"/>
                <w:sz w:val="18"/>
                <w:szCs w:val="18"/>
                <w:lang w:val="en-US"/>
              </w:rPr>
            </w:pPr>
            <w:r w:rsidRPr="003E1914">
              <w:rPr>
                <w:rFonts w:ascii="Arial" w:hAnsi="Arial" w:cs="Arial"/>
                <w:i/>
                <w:iCs/>
                <w:sz w:val="18"/>
                <w:szCs w:val="18"/>
                <w:u w:val="single"/>
              </w:rPr>
              <w:t>Pillar III Smart, sustainable and inclusive growth</w:t>
            </w:r>
          </w:p>
          <w:p w14:paraId="692BD48A" w14:textId="77777777" w:rsidR="00BC0F67" w:rsidRPr="003E1914" w:rsidRDefault="00BC0F67" w:rsidP="00964831">
            <w:pPr>
              <w:tabs>
                <w:tab w:val="left" w:pos="10076"/>
                <w:tab w:val="left" w:pos="10992"/>
                <w:tab w:val="left" w:pos="11908"/>
                <w:tab w:val="left" w:pos="12824"/>
                <w:tab w:val="left" w:pos="13740"/>
                <w:tab w:val="left" w:pos="14656"/>
              </w:tabs>
              <w:spacing w:line="276" w:lineRule="auto"/>
              <w:jc w:val="both"/>
              <w:rPr>
                <w:rFonts w:ascii="Arial" w:eastAsia="Calibri" w:hAnsi="Arial" w:cs="Arial"/>
                <w:sz w:val="18"/>
                <w:szCs w:val="18"/>
                <w:lang w:val="en-US"/>
              </w:rPr>
            </w:pPr>
            <w:r w:rsidRPr="003E1914">
              <w:rPr>
                <w:rFonts w:ascii="Arial" w:hAnsi="Arial" w:cs="Arial"/>
                <w:i/>
                <w:iCs/>
                <w:sz w:val="18"/>
                <w:szCs w:val="18"/>
                <w:u w:val="single"/>
              </w:rPr>
              <w:t>Pillar IV Social and territorial cohesion</w:t>
            </w:r>
            <w:r w:rsidRPr="003E1914">
              <w:rPr>
                <w:rFonts w:ascii="Arial" w:hAnsi="Arial" w:cs="Arial"/>
                <w:i/>
                <w:iCs/>
                <w:sz w:val="18"/>
                <w:szCs w:val="18"/>
              </w:rPr>
              <w:t xml:space="preserve">. </w:t>
            </w:r>
          </w:p>
        </w:tc>
      </w:tr>
      <w:tr w:rsidR="00BC0F67" w:rsidRPr="002E65CB" w14:paraId="4DBEA40A" w14:textId="77777777" w:rsidTr="00964831">
        <w:trPr>
          <w:trHeight w:val="980"/>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CC1D0D6" w14:textId="08D30C4B" w:rsidR="00BC0F67" w:rsidRPr="003E1914" w:rsidRDefault="003E1914" w:rsidP="00964831">
            <w:pPr>
              <w:pStyle w:val="ListParagraph"/>
              <w:spacing w:line="240" w:lineRule="auto"/>
              <w:ind w:left="0" w:right="85"/>
              <w:rPr>
                <w:iCs/>
                <w:color w:val="000000"/>
                <w:sz w:val="18"/>
                <w:szCs w:val="18"/>
                <w:lang w:val="en-US"/>
              </w:rPr>
            </w:pPr>
            <w:r>
              <w:rPr>
                <w:iCs/>
                <w:color w:val="000000"/>
                <w:sz w:val="18"/>
                <w:szCs w:val="18"/>
                <w:lang w:val="en-US"/>
              </w:rPr>
              <w:t>Type</w:t>
            </w:r>
            <w:r w:rsidRPr="003E1914">
              <w:rPr>
                <w:iCs/>
                <w:color w:val="000000"/>
                <w:sz w:val="18"/>
                <w:szCs w:val="18"/>
                <w:lang w:val="en-US"/>
              </w:rPr>
              <w:t xml:space="preserve"> </w:t>
            </w:r>
            <w:r w:rsidR="00BC0F67" w:rsidRPr="003E1914">
              <w:rPr>
                <w:iCs/>
                <w:color w:val="000000"/>
                <w:sz w:val="18"/>
                <w:szCs w:val="18"/>
                <w:lang w:val="en-US"/>
              </w:rPr>
              <w:t>3</w:t>
            </w:r>
          </w:p>
          <w:p w14:paraId="0275669B" w14:textId="0402A88C" w:rsidR="00BC0F67" w:rsidRPr="003E1914" w:rsidRDefault="00BC0F67" w:rsidP="00964831">
            <w:pPr>
              <w:pStyle w:val="ListParagraph"/>
              <w:spacing w:line="240" w:lineRule="auto"/>
              <w:ind w:left="0" w:right="85"/>
              <w:rPr>
                <w:iCs/>
                <w:sz w:val="18"/>
                <w:szCs w:val="18"/>
                <w:lang w:val="en-US"/>
              </w:rPr>
            </w:pPr>
            <w:r w:rsidRPr="003E1914">
              <w:rPr>
                <w:iCs/>
                <w:sz w:val="18"/>
                <w:szCs w:val="18"/>
                <w:lang w:val="en-US"/>
              </w:rPr>
              <w:t>I</w:t>
            </w:r>
            <w:r w:rsidRPr="003E1914">
              <w:rPr>
                <w:iCs/>
                <w:sz w:val="18"/>
                <w:szCs w:val="18"/>
              </w:rPr>
              <w:t>mproving the employment situation in the county through upskilling/ reskilling p</w:t>
            </w:r>
            <w:r w:rsidR="00D206E5">
              <w:rPr>
                <w:iCs/>
                <w:sz w:val="18"/>
                <w:szCs w:val="18"/>
              </w:rPr>
              <w:t>rogrammes</w:t>
            </w:r>
            <w:r w:rsidRPr="003E1914">
              <w:rPr>
                <w:iCs/>
                <w:sz w:val="18"/>
                <w:szCs w:val="18"/>
              </w:rPr>
              <w:t>, digiti</w:t>
            </w:r>
            <w:r w:rsidR="00493276" w:rsidRPr="003E1914">
              <w:rPr>
                <w:iCs/>
                <w:sz w:val="18"/>
                <w:szCs w:val="18"/>
              </w:rPr>
              <w:t>s</w:t>
            </w:r>
            <w:r w:rsidRPr="003E1914">
              <w:rPr>
                <w:iCs/>
                <w:sz w:val="18"/>
                <w:szCs w:val="18"/>
              </w:rPr>
              <w:t>ation of the workforce services</w:t>
            </w:r>
          </w:p>
          <w:p w14:paraId="6CEDF902" w14:textId="77777777" w:rsidR="00BC0F67" w:rsidRPr="003E1914" w:rsidRDefault="00BC0F67" w:rsidP="00964831">
            <w:pPr>
              <w:pStyle w:val="ListParagraph"/>
              <w:tabs>
                <w:tab w:val="left" w:pos="10076"/>
                <w:tab w:val="left" w:pos="10992"/>
                <w:tab w:val="left" w:pos="11908"/>
                <w:tab w:val="left" w:pos="12824"/>
                <w:tab w:val="left" w:pos="13740"/>
                <w:tab w:val="left" w:pos="14656"/>
              </w:tabs>
              <w:spacing w:line="240" w:lineRule="auto"/>
              <w:ind w:left="0"/>
              <w:rPr>
                <w:iCs/>
                <w:sz w:val="18"/>
                <w:szCs w:val="18"/>
              </w:rPr>
            </w:pPr>
          </w:p>
          <w:p w14:paraId="0076C47C" w14:textId="77777777" w:rsidR="00BC0F67" w:rsidRPr="003E1914" w:rsidRDefault="00BC0F67" w:rsidP="00964831">
            <w:pPr>
              <w:shd w:val="clear" w:color="auto" w:fill="FFFFFF"/>
              <w:spacing w:line="276" w:lineRule="auto"/>
              <w:jc w:val="both"/>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675C6BBD" w14:textId="3F6147D2" w:rsidR="00BC0F67" w:rsidRPr="003E1914" w:rsidRDefault="00BC0F67" w:rsidP="00964831">
            <w:pPr>
              <w:shd w:val="clear" w:color="auto" w:fill="FFFFFF"/>
              <w:spacing w:line="276" w:lineRule="auto"/>
              <w:rPr>
                <w:rFonts w:ascii="Arial" w:hAnsi="Arial" w:cs="Arial"/>
                <w:i/>
                <w:sz w:val="18"/>
                <w:szCs w:val="18"/>
              </w:rPr>
            </w:pPr>
            <w:r w:rsidRPr="003E1914">
              <w:rPr>
                <w:rFonts w:ascii="Arial" w:hAnsi="Arial" w:cs="Arial"/>
                <w:i/>
                <w:sz w:val="18"/>
                <w:szCs w:val="18"/>
              </w:rPr>
              <w:t xml:space="preserve">“National </w:t>
            </w:r>
            <w:r w:rsidR="003E1914">
              <w:rPr>
                <w:rFonts w:ascii="Arial" w:hAnsi="Arial" w:cs="Arial"/>
                <w:i/>
                <w:sz w:val="18"/>
                <w:szCs w:val="18"/>
              </w:rPr>
              <w:t>Recovery and Resilience Plan”</w:t>
            </w:r>
            <w:r w:rsidRPr="003E1914">
              <w:rPr>
                <w:rFonts w:ascii="Arial" w:hAnsi="Arial" w:cs="Arial"/>
                <w:i/>
                <w:sz w:val="18"/>
                <w:szCs w:val="18"/>
              </w:rPr>
              <w:t xml:space="preserve"> (</w:t>
            </w:r>
            <w:r w:rsidR="003E1914">
              <w:rPr>
                <w:rFonts w:ascii="Arial" w:hAnsi="Arial" w:cs="Arial"/>
                <w:i/>
                <w:sz w:val="18"/>
                <w:szCs w:val="18"/>
              </w:rPr>
              <w:t>RRP</w:t>
            </w:r>
            <w:r w:rsidRPr="003E1914">
              <w:rPr>
                <w:rFonts w:ascii="Arial" w:hAnsi="Arial" w:cs="Arial"/>
                <w:i/>
                <w:sz w:val="18"/>
                <w:szCs w:val="18"/>
              </w:rPr>
              <w:t xml:space="preserve">) </w:t>
            </w:r>
          </w:p>
          <w:p w14:paraId="5F9E0F52" w14:textId="5FF38927" w:rsidR="00BC0F67" w:rsidRPr="003E1914" w:rsidRDefault="00BC0F67" w:rsidP="00964831">
            <w:pPr>
              <w:shd w:val="clear" w:color="auto" w:fill="FFFFFF"/>
              <w:spacing w:line="276" w:lineRule="auto"/>
              <w:rPr>
                <w:rFonts w:ascii="Arial" w:eastAsia="Calibri" w:hAnsi="Arial" w:cs="Arial"/>
                <w:sz w:val="18"/>
                <w:szCs w:val="18"/>
                <w:lang w:val="en-US"/>
              </w:rPr>
            </w:pPr>
            <w:r w:rsidRPr="003E1914">
              <w:rPr>
                <w:rFonts w:ascii="Arial" w:hAnsi="Arial" w:cs="Arial"/>
                <w:i/>
                <w:iCs/>
                <w:sz w:val="18"/>
                <w:szCs w:val="18"/>
                <w:u w:val="single"/>
              </w:rPr>
              <w:t>Pillar VI Policies for the Next Generation, Children and Youth</w:t>
            </w:r>
            <w:r w:rsidRPr="003E1914">
              <w:rPr>
                <w:rFonts w:ascii="Arial" w:hAnsi="Arial" w:cs="Arial"/>
                <w:i/>
                <w:iCs/>
                <w:sz w:val="18"/>
                <w:szCs w:val="18"/>
              </w:rPr>
              <w:t xml:space="preserve"> Component 15 Educated Romania - National Nursery Program.</w:t>
            </w:r>
            <w:r w:rsidRPr="003E1914">
              <w:rPr>
                <w:rFonts w:ascii="Arial" w:hAnsi="Arial" w:cs="Arial"/>
                <w:i/>
                <w:iCs/>
                <w:sz w:val="18"/>
                <w:szCs w:val="18"/>
                <w:lang w:val="en-US"/>
              </w:rPr>
              <w:t xml:space="preserve">EUR </w:t>
            </w:r>
            <w:r w:rsidRPr="003E1914">
              <w:rPr>
                <w:rFonts w:ascii="Arial" w:hAnsi="Arial" w:cs="Arial"/>
                <w:i/>
                <w:iCs/>
                <w:sz w:val="18"/>
                <w:szCs w:val="18"/>
              </w:rPr>
              <w:t>3.6</w:t>
            </w:r>
            <w:r w:rsidR="002E65CB" w:rsidRPr="003E1914">
              <w:rPr>
                <w:rFonts w:ascii="Arial" w:hAnsi="Arial" w:cs="Arial"/>
                <w:i/>
                <w:iCs/>
                <w:sz w:val="18"/>
                <w:szCs w:val="18"/>
              </w:rPr>
              <w:t xml:space="preserve"> bn</w:t>
            </w:r>
          </w:p>
        </w:tc>
      </w:tr>
      <w:tr w:rsidR="00BC0F67" w:rsidRPr="002E65CB" w14:paraId="2F5A6C4F" w14:textId="77777777" w:rsidTr="000A7086">
        <w:trPr>
          <w:trHeight w:val="9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A7F903" w14:textId="77777777" w:rsidR="00BC0F67" w:rsidRPr="003E1914" w:rsidRDefault="00BC0F67" w:rsidP="00964831">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3808B8B7" w14:textId="70B798DF" w:rsidR="00BC0F67" w:rsidRPr="003E1914" w:rsidRDefault="00BC0F67" w:rsidP="00964831">
            <w:pPr>
              <w:pStyle w:val="ListParagraph"/>
              <w:spacing w:line="240" w:lineRule="auto"/>
              <w:ind w:left="0" w:right="85"/>
              <w:jc w:val="both"/>
              <w:rPr>
                <w:i/>
                <w:sz w:val="18"/>
                <w:szCs w:val="18"/>
                <w:lang w:val="en-US"/>
              </w:rPr>
            </w:pPr>
            <w:r w:rsidRPr="003E1914">
              <w:rPr>
                <w:i/>
                <w:sz w:val="18"/>
                <w:szCs w:val="18"/>
              </w:rPr>
              <w:t>“Regional Operational Program</w:t>
            </w:r>
            <w:r w:rsidR="003E1914">
              <w:rPr>
                <w:i/>
                <w:sz w:val="18"/>
                <w:szCs w:val="18"/>
              </w:rPr>
              <w:t>me</w:t>
            </w:r>
            <w:r w:rsidRPr="003E1914">
              <w:rPr>
                <w:i/>
                <w:sz w:val="18"/>
                <w:szCs w:val="18"/>
              </w:rPr>
              <w:t xml:space="preserve"> Center” (ROP). </w:t>
            </w:r>
          </w:p>
          <w:p w14:paraId="41A3090A" w14:textId="3AF8DFF4" w:rsidR="00BC0F67" w:rsidRPr="003E1914" w:rsidRDefault="00BC0F67" w:rsidP="00964831">
            <w:pPr>
              <w:pStyle w:val="ListParagraph"/>
              <w:spacing w:line="240" w:lineRule="auto"/>
              <w:ind w:left="0" w:right="85"/>
              <w:jc w:val="both"/>
              <w:rPr>
                <w:sz w:val="18"/>
                <w:szCs w:val="18"/>
              </w:rPr>
            </w:pPr>
            <w:r w:rsidRPr="003E1914">
              <w:rPr>
                <w:i/>
                <w:sz w:val="18"/>
                <w:szCs w:val="18"/>
                <w:u w:val="single"/>
              </w:rPr>
              <w:t>Priority Axis 4 An educated region,</w:t>
            </w:r>
            <w:r w:rsidRPr="003E1914">
              <w:rPr>
                <w:sz w:val="18"/>
                <w:szCs w:val="18"/>
              </w:rPr>
              <w:t xml:space="preserve"> EUR 77</w:t>
            </w:r>
            <w:r w:rsidR="00493276" w:rsidRPr="003E1914">
              <w:rPr>
                <w:sz w:val="18"/>
                <w:szCs w:val="18"/>
              </w:rPr>
              <w:t>,</w:t>
            </w:r>
            <w:r w:rsidRPr="003E1914">
              <w:rPr>
                <w:sz w:val="18"/>
                <w:szCs w:val="18"/>
              </w:rPr>
              <w:t>837</w:t>
            </w:r>
            <w:r w:rsidR="00493276" w:rsidRPr="003E1914">
              <w:rPr>
                <w:sz w:val="18"/>
                <w:szCs w:val="18"/>
              </w:rPr>
              <w:t>,</w:t>
            </w:r>
            <w:r w:rsidRPr="003E1914">
              <w:rPr>
                <w:sz w:val="18"/>
                <w:szCs w:val="18"/>
              </w:rPr>
              <w:t>342</w:t>
            </w:r>
          </w:p>
          <w:p w14:paraId="269EA631" w14:textId="3B40ABB8" w:rsidR="00BC0F67" w:rsidRPr="003E1914" w:rsidRDefault="00BC0F67" w:rsidP="00964831">
            <w:pPr>
              <w:pStyle w:val="ListParagraph"/>
              <w:spacing w:line="240" w:lineRule="auto"/>
              <w:ind w:left="0" w:right="85"/>
              <w:jc w:val="both"/>
              <w:rPr>
                <w:rFonts w:eastAsia="Calibri"/>
                <w:sz w:val="18"/>
                <w:szCs w:val="18"/>
                <w:lang w:val="en-US"/>
              </w:rPr>
            </w:pPr>
            <w:r w:rsidRPr="003E1914">
              <w:rPr>
                <w:sz w:val="18"/>
                <w:szCs w:val="18"/>
              </w:rPr>
              <w:t>OP4/OS4.2 Improving access to quality and inclusive services in education, training and lifelong learning through infrastructure development,</w:t>
            </w:r>
            <w:r w:rsidRPr="003E1914">
              <w:rPr>
                <w:w w:val="101"/>
                <w:sz w:val="18"/>
                <w:szCs w:val="18"/>
              </w:rPr>
              <w:t xml:space="preserve"> EUR </w:t>
            </w:r>
            <w:r w:rsidRPr="003E1914">
              <w:rPr>
                <w:iCs/>
                <w:sz w:val="18"/>
                <w:szCs w:val="18"/>
              </w:rPr>
              <w:t>77</w:t>
            </w:r>
            <w:r w:rsidR="00493276" w:rsidRPr="003E1914">
              <w:rPr>
                <w:iCs/>
                <w:sz w:val="18"/>
                <w:szCs w:val="18"/>
              </w:rPr>
              <w:t>,</w:t>
            </w:r>
            <w:r w:rsidRPr="003E1914">
              <w:rPr>
                <w:iCs/>
                <w:sz w:val="18"/>
                <w:szCs w:val="18"/>
              </w:rPr>
              <w:t>837</w:t>
            </w:r>
            <w:r w:rsidR="00493276" w:rsidRPr="003E1914">
              <w:rPr>
                <w:iCs/>
                <w:sz w:val="18"/>
                <w:szCs w:val="18"/>
              </w:rPr>
              <w:t>,</w:t>
            </w:r>
            <w:r w:rsidRPr="003E1914">
              <w:rPr>
                <w:iCs/>
                <w:sz w:val="18"/>
                <w:szCs w:val="18"/>
              </w:rPr>
              <w:t>342</w:t>
            </w:r>
            <w:r w:rsidRPr="003E1914">
              <w:rPr>
                <w:i/>
                <w:sz w:val="18"/>
                <w:szCs w:val="18"/>
              </w:rPr>
              <w:t xml:space="preserve"> </w:t>
            </w:r>
          </w:p>
        </w:tc>
      </w:tr>
      <w:tr w:rsidR="00BC0F67" w:rsidRPr="002E65CB" w14:paraId="338A9D85" w14:textId="77777777" w:rsidTr="00964831">
        <w:trPr>
          <w:trHeight w:val="35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9E99E" w14:textId="77777777" w:rsidR="00BC0F67" w:rsidRPr="003E1914" w:rsidRDefault="00BC0F67" w:rsidP="00964831">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208420DA" w14:textId="1C822865" w:rsidR="00BC0F67" w:rsidRPr="003E1914" w:rsidRDefault="00BC0F67" w:rsidP="00964831">
            <w:pPr>
              <w:shd w:val="clear" w:color="auto" w:fill="FFFFFF"/>
              <w:spacing w:line="276" w:lineRule="auto"/>
              <w:jc w:val="both"/>
              <w:rPr>
                <w:rFonts w:ascii="Arial" w:hAnsi="Arial" w:cs="Arial"/>
                <w:bCs/>
                <w:sz w:val="18"/>
                <w:szCs w:val="18"/>
                <w:lang w:val="ro-RO"/>
              </w:rPr>
            </w:pPr>
            <w:r w:rsidRPr="003E1914">
              <w:rPr>
                <w:rFonts w:ascii="Arial" w:hAnsi="Arial" w:cs="Arial"/>
                <w:bCs/>
                <w:i/>
                <w:sz w:val="18"/>
                <w:szCs w:val="18"/>
                <w:lang w:val="ro-RO"/>
              </w:rPr>
              <w:t>„Education and Employment Operational Programme” (EEOP)</w:t>
            </w:r>
          </w:p>
          <w:p w14:paraId="439F4434" w14:textId="77777777" w:rsid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1</w:t>
            </w:r>
            <w:r w:rsidRPr="003E1914">
              <w:rPr>
                <w:rFonts w:ascii="Arial" w:hAnsi="Arial" w:cs="Arial"/>
                <w:sz w:val="18"/>
                <w:szCs w:val="18"/>
              </w:rPr>
              <w:t xml:space="preserve"> Unlocking the potential of young people in the labor market. </w:t>
            </w:r>
          </w:p>
          <w:p w14:paraId="07ED057E" w14:textId="0E0A7E63"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2</w:t>
            </w:r>
            <w:r w:rsidRPr="003E1914">
              <w:rPr>
                <w:rFonts w:ascii="Arial" w:hAnsi="Arial" w:cs="Arial"/>
                <w:sz w:val="18"/>
                <w:szCs w:val="18"/>
              </w:rPr>
              <w:t xml:space="preserve"> Prevent early school leaving and increase access to and participation of disadvantaged groups in education and training. </w:t>
            </w:r>
          </w:p>
          <w:p w14:paraId="2AF87264" w14:textId="77777777"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3</w:t>
            </w:r>
            <w:r w:rsidRPr="003E1914">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184921F9" w14:textId="77777777"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4</w:t>
            </w:r>
            <w:r w:rsidRPr="003E1914">
              <w:rPr>
                <w:rFonts w:ascii="Arial" w:hAnsi="Arial" w:cs="Arial"/>
                <w:sz w:val="18"/>
                <w:szCs w:val="18"/>
              </w:rPr>
              <w:t xml:space="preserve"> Increasing the accessibility, attractiveness and quality of vocational and technical education. </w:t>
            </w:r>
          </w:p>
          <w:p w14:paraId="48A91769" w14:textId="77777777"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5</w:t>
            </w:r>
            <w:r w:rsidRPr="003E1914">
              <w:rPr>
                <w:rFonts w:ascii="Arial" w:hAnsi="Arial" w:cs="Arial"/>
                <w:sz w:val="18"/>
                <w:szCs w:val="18"/>
              </w:rPr>
              <w:t xml:space="preserve"> Increasing access to the labor market for all. </w:t>
            </w:r>
          </w:p>
          <w:p w14:paraId="19F3FBB3" w14:textId="77777777"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6</w:t>
            </w:r>
            <w:r w:rsidRPr="003E1914">
              <w:rPr>
                <w:rFonts w:ascii="Arial" w:hAnsi="Arial" w:cs="Arial"/>
                <w:sz w:val="18"/>
                <w:szCs w:val="18"/>
              </w:rPr>
              <w:t xml:space="preserve"> Entrepreneurship and the social economy. </w:t>
            </w:r>
          </w:p>
          <w:p w14:paraId="400BD2BA" w14:textId="77777777" w:rsidR="00BC0F67" w:rsidRPr="003E1914" w:rsidRDefault="00BC0F67" w:rsidP="00964831">
            <w:pPr>
              <w:shd w:val="clear" w:color="auto" w:fill="FFFFFF"/>
              <w:spacing w:line="276" w:lineRule="auto"/>
              <w:jc w:val="both"/>
              <w:rPr>
                <w:rFonts w:ascii="Arial" w:hAnsi="Arial" w:cs="Arial"/>
                <w:sz w:val="18"/>
                <w:szCs w:val="18"/>
              </w:rPr>
            </w:pPr>
            <w:r w:rsidRPr="003E1914">
              <w:rPr>
                <w:rFonts w:ascii="Arial" w:hAnsi="Arial" w:cs="Arial"/>
                <w:i/>
                <w:sz w:val="18"/>
                <w:szCs w:val="18"/>
                <w:u w:val="single"/>
              </w:rPr>
              <w:t>Priority 7</w:t>
            </w:r>
            <w:r w:rsidRPr="003E1914">
              <w:rPr>
                <w:rFonts w:ascii="Arial" w:hAnsi="Arial" w:cs="Arial"/>
                <w:sz w:val="18"/>
                <w:szCs w:val="18"/>
              </w:rPr>
              <w:t xml:space="preserve"> Supporting labor market reforms in line with labor market dynamics. </w:t>
            </w:r>
          </w:p>
          <w:p w14:paraId="209FF51A" w14:textId="01FD0C19" w:rsidR="00BC0F67" w:rsidRPr="003E1914" w:rsidRDefault="00BC0F67" w:rsidP="00964831">
            <w:pPr>
              <w:shd w:val="clear" w:color="auto" w:fill="FFFFFF"/>
              <w:spacing w:line="276" w:lineRule="auto"/>
              <w:jc w:val="both"/>
              <w:rPr>
                <w:rFonts w:ascii="Arial" w:eastAsia="Calibri" w:hAnsi="Arial" w:cs="Arial"/>
                <w:sz w:val="18"/>
                <w:szCs w:val="18"/>
                <w:lang w:val="en-US"/>
              </w:rPr>
            </w:pPr>
            <w:r w:rsidRPr="003E1914">
              <w:rPr>
                <w:rFonts w:ascii="Arial" w:hAnsi="Arial" w:cs="Arial"/>
                <w:i/>
                <w:sz w:val="18"/>
                <w:szCs w:val="18"/>
                <w:u w:val="single"/>
              </w:rPr>
              <w:t>Priority 8</w:t>
            </w:r>
            <w:r w:rsidRPr="003E1914">
              <w:rPr>
                <w:rFonts w:ascii="Arial" w:hAnsi="Arial" w:cs="Arial"/>
                <w:sz w:val="18"/>
                <w:szCs w:val="18"/>
              </w:rPr>
              <w:t xml:space="preserve"> Strengthen population participation in lifelong learning to facilitate transitions and labor market mobility.</w:t>
            </w:r>
            <w:r w:rsidRPr="003E1914">
              <w:rPr>
                <w:rFonts w:ascii="Arial" w:hAnsi="Arial" w:cs="Arial"/>
                <w:sz w:val="18"/>
                <w:szCs w:val="18"/>
                <w:lang w:val="en-US"/>
              </w:rPr>
              <w:t xml:space="preserve"> EUR </w:t>
            </w:r>
            <w:r w:rsidRPr="003E1914">
              <w:rPr>
                <w:rFonts w:ascii="Arial" w:hAnsi="Arial" w:cs="Arial"/>
                <w:sz w:val="18"/>
                <w:szCs w:val="18"/>
              </w:rPr>
              <w:t>3.</w:t>
            </w:r>
            <w:r w:rsidR="002E65CB" w:rsidRPr="003E1914">
              <w:rPr>
                <w:rFonts w:ascii="Arial" w:hAnsi="Arial" w:cs="Arial"/>
                <w:sz w:val="18"/>
                <w:szCs w:val="18"/>
              </w:rPr>
              <w:t>86 bn</w:t>
            </w:r>
          </w:p>
        </w:tc>
      </w:tr>
      <w:tr w:rsidR="00BC0F67" w:rsidRPr="002E65CB" w14:paraId="65D33D7D" w14:textId="77777777" w:rsidTr="00964831">
        <w:trPr>
          <w:trHeight w:val="16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9BE32" w14:textId="77777777" w:rsidR="00BC0F67" w:rsidRPr="003E1914" w:rsidRDefault="00BC0F67" w:rsidP="00964831">
            <w:pPr>
              <w:spacing w:line="276" w:lineRule="auto"/>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1927DEC" w14:textId="689D4DFF" w:rsidR="00BC0F67" w:rsidRPr="003E1914" w:rsidRDefault="00BC0F67" w:rsidP="00964831">
            <w:pPr>
              <w:pStyle w:val="ListParagraph"/>
              <w:shd w:val="clear" w:color="auto" w:fill="FFFFFF"/>
              <w:spacing w:line="240" w:lineRule="auto"/>
              <w:ind w:left="0"/>
              <w:rPr>
                <w:rFonts w:eastAsia="Times New Roman"/>
                <w:i/>
                <w:sz w:val="18"/>
                <w:szCs w:val="18"/>
                <w:lang w:val="en"/>
              </w:rPr>
            </w:pPr>
            <w:r w:rsidRPr="003E1914">
              <w:rPr>
                <w:rFonts w:eastAsia="Times New Roman"/>
                <w:i/>
                <w:sz w:val="18"/>
                <w:szCs w:val="18"/>
                <w:lang w:val="en"/>
              </w:rPr>
              <w:t>“Intelligent Growth, Digiti</w:t>
            </w:r>
            <w:r w:rsidR="00493276" w:rsidRPr="003E1914">
              <w:rPr>
                <w:rFonts w:eastAsia="Times New Roman"/>
                <w:i/>
                <w:sz w:val="18"/>
                <w:szCs w:val="18"/>
                <w:lang w:val="en"/>
              </w:rPr>
              <w:t>s</w:t>
            </w:r>
            <w:r w:rsidRPr="003E1914">
              <w:rPr>
                <w:rFonts w:eastAsia="Times New Roman"/>
                <w:i/>
                <w:sz w:val="18"/>
                <w:szCs w:val="18"/>
                <w:lang w:val="en"/>
              </w:rPr>
              <w:t>ation and Financial Instruments Operational Program</w:t>
            </w:r>
            <w:r w:rsidR="003E1914">
              <w:rPr>
                <w:rFonts w:eastAsia="Times New Roman"/>
                <w:i/>
                <w:sz w:val="18"/>
                <w:szCs w:val="18"/>
                <w:lang w:val="en"/>
              </w:rPr>
              <w:t>me</w:t>
            </w:r>
            <w:r w:rsidRPr="003E1914">
              <w:rPr>
                <w:rFonts w:eastAsia="Times New Roman"/>
                <w:i/>
                <w:sz w:val="18"/>
                <w:szCs w:val="18"/>
                <w:lang w:val="en"/>
              </w:rPr>
              <w:t xml:space="preserve">” (IGDFIOP). </w:t>
            </w:r>
          </w:p>
          <w:p w14:paraId="2BF5A6F2" w14:textId="77777777" w:rsidR="00BC0F67" w:rsidRPr="003E1914" w:rsidRDefault="00BC0F67" w:rsidP="00964831">
            <w:pPr>
              <w:pStyle w:val="ListParagraph"/>
              <w:shd w:val="clear" w:color="auto" w:fill="FFFFFF"/>
              <w:spacing w:line="240" w:lineRule="auto"/>
              <w:ind w:left="0"/>
              <w:rPr>
                <w:sz w:val="18"/>
                <w:szCs w:val="18"/>
                <w:lang w:val="en"/>
              </w:rPr>
            </w:pPr>
            <w:r w:rsidRPr="003E1914">
              <w:rPr>
                <w:i/>
                <w:sz w:val="18"/>
                <w:szCs w:val="18"/>
                <w:u w:val="single"/>
                <w:lang w:val="en"/>
              </w:rPr>
              <w:t>Priority Axis 1 Integration of the RDI national ecosystem into the European and international Research Area.</w:t>
            </w:r>
            <w:r w:rsidRPr="003E1914">
              <w:rPr>
                <w:sz w:val="18"/>
                <w:szCs w:val="18"/>
                <w:lang w:val="en"/>
              </w:rPr>
              <w:t xml:space="preserve">  </w:t>
            </w:r>
          </w:p>
          <w:p w14:paraId="0A124E16" w14:textId="77777777" w:rsidR="00BC0F67" w:rsidRPr="003E1914" w:rsidRDefault="00BC0F67" w:rsidP="00964831">
            <w:pPr>
              <w:pStyle w:val="ListParagraph"/>
              <w:shd w:val="clear" w:color="auto" w:fill="FFFFFF"/>
              <w:spacing w:line="240" w:lineRule="auto"/>
              <w:ind w:left="0"/>
              <w:rPr>
                <w:sz w:val="18"/>
                <w:szCs w:val="18"/>
                <w:lang w:val="en"/>
              </w:rPr>
            </w:pPr>
            <w:r w:rsidRPr="003E1914">
              <w:rPr>
                <w:i/>
                <w:iCs/>
                <w:sz w:val="18"/>
                <w:szCs w:val="18"/>
                <w:u w:val="single"/>
                <w:lang w:val="en"/>
              </w:rPr>
              <w:t xml:space="preserve">Priority 2 </w:t>
            </w:r>
            <w:r w:rsidRPr="003E1914">
              <w:rPr>
                <w:sz w:val="18"/>
                <w:szCs w:val="18"/>
                <w:lang w:val="en"/>
              </w:rPr>
              <w:t xml:space="preserve">Creating and promoting an attractive system of innovation in the economy for all types of innovation. </w:t>
            </w:r>
          </w:p>
          <w:p w14:paraId="7B4A4FFF" w14:textId="77777777" w:rsidR="00BC0F67" w:rsidRPr="003E1914" w:rsidRDefault="00BC0F67" w:rsidP="00964831">
            <w:pPr>
              <w:pStyle w:val="ListParagraph"/>
              <w:shd w:val="clear" w:color="auto" w:fill="FFFFFF"/>
              <w:spacing w:line="240" w:lineRule="auto"/>
              <w:ind w:left="0"/>
              <w:rPr>
                <w:sz w:val="18"/>
                <w:szCs w:val="18"/>
                <w:lang w:val="en"/>
              </w:rPr>
            </w:pPr>
            <w:r w:rsidRPr="003E1914">
              <w:rPr>
                <w:i/>
                <w:iCs/>
                <w:sz w:val="18"/>
                <w:szCs w:val="18"/>
                <w:u w:val="single"/>
                <w:lang w:val="en"/>
              </w:rPr>
              <w:t>Priority 5</w:t>
            </w:r>
            <w:r w:rsidRPr="003E1914">
              <w:rPr>
                <w:sz w:val="18"/>
                <w:szCs w:val="18"/>
                <w:lang w:val="en"/>
              </w:rPr>
              <w:t xml:space="preserve"> Developing the RDI capacity of large enterprises.  </w:t>
            </w:r>
          </w:p>
          <w:p w14:paraId="6CEBD7B4" w14:textId="77777777" w:rsidR="00BC0F67" w:rsidRPr="003E1914" w:rsidRDefault="00BC0F67" w:rsidP="00964831">
            <w:pPr>
              <w:pStyle w:val="ListParagraph"/>
              <w:shd w:val="clear" w:color="auto" w:fill="FFFFFF"/>
              <w:spacing w:line="240" w:lineRule="auto"/>
              <w:ind w:left="0"/>
              <w:rPr>
                <w:sz w:val="18"/>
                <w:szCs w:val="18"/>
                <w:lang w:val="en"/>
              </w:rPr>
            </w:pPr>
            <w:r w:rsidRPr="003E1914">
              <w:rPr>
                <w:i/>
                <w:iCs/>
                <w:sz w:val="18"/>
                <w:szCs w:val="18"/>
                <w:u w:val="single"/>
                <w:lang w:val="en"/>
              </w:rPr>
              <w:t>Priority 6</w:t>
            </w:r>
            <w:r w:rsidRPr="003E1914">
              <w:rPr>
                <w:sz w:val="18"/>
                <w:szCs w:val="18"/>
                <w:lang w:val="en"/>
              </w:rPr>
              <w:t xml:space="preserve"> Development of RDI strategic projects. </w:t>
            </w:r>
          </w:p>
          <w:p w14:paraId="2EBF0E27" w14:textId="77777777" w:rsidR="00BC0F67" w:rsidRPr="003E1914" w:rsidRDefault="00BC0F67" w:rsidP="00964831">
            <w:pPr>
              <w:pStyle w:val="ListParagraph"/>
              <w:shd w:val="clear" w:color="auto" w:fill="FFFFFF"/>
              <w:spacing w:line="240" w:lineRule="auto"/>
              <w:ind w:left="0"/>
              <w:rPr>
                <w:sz w:val="18"/>
                <w:szCs w:val="18"/>
                <w:lang w:val="en"/>
              </w:rPr>
            </w:pPr>
            <w:r w:rsidRPr="003E1914">
              <w:rPr>
                <w:i/>
                <w:iCs/>
                <w:sz w:val="18"/>
                <w:szCs w:val="18"/>
                <w:u w:val="single"/>
                <w:lang w:val="en"/>
              </w:rPr>
              <w:t>Priority 10</w:t>
            </w:r>
            <w:r w:rsidRPr="003E1914">
              <w:rPr>
                <w:sz w:val="18"/>
                <w:szCs w:val="18"/>
                <w:lang w:val="en"/>
              </w:rPr>
              <w:t xml:space="preserve"> Stimulating access to finance for SMEs by means of Financial Instruments.</w:t>
            </w:r>
          </w:p>
          <w:p w14:paraId="728EA816" w14:textId="0B56B6B9" w:rsidR="00BC0F67" w:rsidRPr="003E1914" w:rsidRDefault="00BC0F67" w:rsidP="00964831">
            <w:pPr>
              <w:pStyle w:val="ListParagraph"/>
              <w:shd w:val="clear" w:color="auto" w:fill="FFFFFF"/>
              <w:spacing w:line="240" w:lineRule="auto"/>
              <w:ind w:left="0"/>
              <w:rPr>
                <w:sz w:val="18"/>
                <w:szCs w:val="18"/>
                <w:lang w:val="en-US"/>
              </w:rPr>
            </w:pPr>
            <w:r w:rsidRPr="003E1914">
              <w:rPr>
                <w:sz w:val="18"/>
                <w:szCs w:val="18"/>
                <w:lang w:val="en-US"/>
              </w:rPr>
              <w:t xml:space="preserve">RON </w:t>
            </w:r>
            <w:r w:rsidRPr="003E1914">
              <w:rPr>
                <w:color w:val="202124"/>
                <w:sz w:val="18"/>
                <w:szCs w:val="18"/>
                <w:lang w:val="en"/>
              </w:rPr>
              <w:t>945</w:t>
            </w:r>
            <w:r w:rsidR="00493276" w:rsidRPr="003E1914">
              <w:rPr>
                <w:color w:val="202124"/>
                <w:sz w:val="18"/>
                <w:szCs w:val="18"/>
                <w:lang w:val="en"/>
              </w:rPr>
              <w:t>,</w:t>
            </w:r>
            <w:r w:rsidRPr="003E1914">
              <w:rPr>
                <w:color w:val="202124"/>
                <w:sz w:val="18"/>
                <w:szCs w:val="18"/>
                <w:lang w:val="en"/>
              </w:rPr>
              <w:t>000</w:t>
            </w:r>
            <w:r w:rsidR="00493276" w:rsidRPr="003E1914">
              <w:rPr>
                <w:color w:val="202124"/>
                <w:sz w:val="18"/>
                <w:szCs w:val="18"/>
                <w:lang w:val="en"/>
              </w:rPr>
              <w:t>,</w:t>
            </w:r>
            <w:r w:rsidRPr="003E1914">
              <w:rPr>
                <w:color w:val="202124"/>
                <w:sz w:val="18"/>
                <w:szCs w:val="18"/>
                <w:lang w:val="en"/>
              </w:rPr>
              <w:t>000</w:t>
            </w:r>
          </w:p>
        </w:tc>
      </w:tr>
    </w:tbl>
    <w:p w14:paraId="6EC2446B" w14:textId="2445EEE3" w:rsidR="00C76AFA" w:rsidRPr="002E65CB" w:rsidRDefault="00C76AFA" w:rsidP="00AC2D01">
      <w:pPr>
        <w:jc w:val="both"/>
        <w:rPr>
          <w:sz w:val="20"/>
          <w:szCs w:val="20"/>
        </w:rPr>
      </w:pPr>
    </w:p>
    <w:p w14:paraId="1CE20F52" w14:textId="77777777" w:rsidR="00BC0F67" w:rsidRPr="00493276" w:rsidRDefault="00BC0F67" w:rsidP="00BC0F67">
      <w:pPr>
        <w:jc w:val="both"/>
        <w:rPr>
          <w:rFonts w:ascii="Arial" w:hAnsi="Arial" w:cs="Arial"/>
          <w:sz w:val="20"/>
          <w:szCs w:val="20"/>
        </w:rPr>
      </w:pPr>
      <w:r w:rsidRPr="00493276">
        <w:rPr>
          <w:rFonts w:ascii="Arial" w:hAnsi="Arial" w:cs="Arial"/>
          <w:sz w:val="20"/>
          <w:szCs w:val="20"/>
        </w:rPr>
        <w:t>The synergies and complementarities listed above are to be also partially supported by:</w:t>
      </w:r>
    </w:p>
    <w:p w14:paraId="27728BFD" w14:textId="77777777" w:rsidR="00BC0F67" w:rsidRPr="002E65CB" w:rsidRDefault="00BC0F67" w:rsidP="00BC0F67">
      <w:pPr>
        <w:shd w:val="clear" w:color="auto" w:fill="FFFFFF"/>
        <w:jc w:val="both"/>
        <w:rPr>
          <w:rFonts w:ascii="Arial" w:hAnsi="Arial" w:cs="Arial"/>
          <w:b/>
          <w:sz w:val="20"/>
          <w:szCs w:val="20"/>
        </w:rPr>
      </w:pPr>
    </w:p>
    <w:p w14:paraId="70714286" w14:textId="17A66CEF" w:rsidR="00BC0F67" w:rsidRPr="002E65CB" w:rsidRDefault="00BC0F67" w:rsidP="00BC0F67">
      <w:pPr>
        <w:shd w:val="clear" w:color="auto" w:fill="FFFFFF"/>
        <w:jc w:val="both"/>
        <w:rPr>
          <w:rFonts w:ascii="Arial" w:hAnsi="Arial" w:cs="Arial"/>
          <w:b/>
          <w:sz w:val="20"/>
          <w:szCs w:val="20"/>
        </w:rPr>
      </w:pPr>
      <w:r w:rsidRPr="00493276">
        <w:rPr>
          <w:rFonts w:ascii="Arial" w:hAnsi="Arial" w:cs="Arial"/>
          <w:b/>
          <w:sz w:val="20"/>
          <w:szCs w:val="20"/>
        </w:rPr>
        <w:t>EU program</w:t>
      </w:r>
      <w:r w:rsidR="00493276">
        <w:rPr>
          <w:rFonts w:ascii="Arial" w:hAnsi="Arial" w:cs="Arial"/>
          <w:b/>
          <w:sz w:val="20"/>
          <w:szCs w:val="20"/>
        </w:rPr>
        <w:t>me</w:t>
      </w:r>
      <w:r w:rsidRPr="00493276">
        <w:rPr>
          <w:rFonts w:ascii="Arial" w:hAnsi="Arial" w:cs="Arial"/>
          <w:b/>
          <w:sz w:val="20"/>
          <w:szCs w:val="20"/>
        </w:rPr>
        <w:t>s:</w:t>
      </w:r>
    </w:p>
    <w:p w14:paraId="4411F1CF" w14:textId="77777777" w:rsidR="00BC0F67" w:rsidRPr="00402580" w:rsidRDefault="00BC0F67" w:rsidP="00BC0F67">
      <w:pPr>
        <w:shd w:val="clear" w:color="auto" w:fill="FFFFFF"/>
        <w:jc w:val="both"/>
        <w:rPr>
          <w:rFonts w:ascii="Arial" w:hAnsi="Arial" w:cs="Arial"/>
          <w:b/>
          <w:sz w:val="8"/>
          <w:szCs w:val="8"/>
        </w:rPr>
      </w:pPr>
    </w:p>
    <w:p w14:paraId="7F767806" w14:textId="3C54326A" w:rsidR="00BC0F67" w:rsidRPr="00493276" w:rsidRDefault="00BC0F67" w:rsidP="00E42342">
      <w:pPr>
        <w:pStyle w:val="ListParagraph"/>
        <w:numPr>
          <w:ilvl w:val="0"/>
          <w:numId w:val="94"/>
        </w:numPr>
        <w:shd w:val="clear" w:color="auto" w:fill="FFFFFF"/>
        <w:spacing w:line="240" w:lineRule="auto"/>
        <w:jc w:val="both"/>
        <w:rPr>
          <w:sz w:val="20"/>
          <w:szCs w:val="20"/>
        </w:rPr>
      </w:pPr>
      <w:r w:rsidRPr="00493276">
        <w:rPr>
          <w:sz w:val="20"/>
          <w:szCs w:val="20"/>
        </w:rPr>
        <w:t>Investments in decontamination and functional reconversion of polluted and decommissioned sites through integrated urban regeneration projects are partially supported via SDOP Priority 3. Environmental protection through biodiversity conservation, air quality assurance and remediation of contaminated sites/Investment category 3.3 Preliminary and detailed investigation of contaminated sites, assessment environmental risks and remediation of sites. However, this funding is expected to finance assessment and remediation, excluding follow up reconversion and regeneration initiatives.</w:t>
      </w:r>
    </w:p>
    <w:p w14:paraId="7EE7789C" w14:textId="77777777" w:rsidR="00BC0F67" w:rsidRPr="00493276" w:rsidRDefault="00BC0F67" w:rsidP="00BC0F67">
      <w:pPr>
        <w:pStyle w:val="ListParagraph"/>
        <w:shd w:val="clear" w:color="auto" w:fill="FFFFFF"/>
        <w:spacing w:line="240" w:lineRule="auto"/>
        <w:ind w:left="360"/>
        <w:jc w:val="both"/>
        <w:rPr>
          <w:sz w:val="8"/>
          <w:szCs w:val="8"/>
        </w:rPr>
      </w:pPr>
    </w:p>
    <w:p w14:paraId="110AF162" w14:textId="521C946A" w:rsidR="00BC0F67" w:rsidRPr="00493276" w:rsidRDefault="00BC0F67" w:rsidP="00E42342">
      <w:pPr>
        <w:pStyle w:val="ListParagraph"/>
        <w:numPr>
          <w:ilvl w:val="0"/>
          <w:numId w:val="94"/>
        </w:numPr>
        <w:shd w:val="clear" w:color="auto" w:fill="FFFFFF"/>
        <w:spacing w:before="240" w:after="240" w:line="240" w:lineRule="auto"/>
        <w:jc w:val="both"/>
        <w:rPr>
          <w:sz w:val="20"/>
          <w:szCs w:val="20"/>
        </w:rPr>
      </w:pPr>
      <w:r w:rsidRPr="00493276">
        <w:rPr>
          <w:sz w:val="20"/>
          <w:szCs w:val="20"/>
        </w:rPr>
        <w:lastRenderedPageBreak/>
        <w:t>Investments asked for by the civil society in Mureș in</w:t>
      </w:r>
      <w:r w:rsidR="005829E8">
        <w:rPr>
          <w:sz w:val="20"/>
          <w:szCs w:val="20"/>
        </w:rPr>
        <w:t>clude</w:t>
      </w:r>
      <w:r w:rsidRPr="00493276">
        <w:rPr>
          <w:sz w:val="20"/>
          <w:szCs w:val="20"/>
        </w:rPr>
        <w:t xml:space="preserve"> improved air quality monitoring solutions</w:t>
      </w:r>
      <w:r w:rsidR="005829E8">
        <w:rPr>
          <w:sz w:val="20"/>
          <w:szCs w:val="20"/>
        </w:rPr>
        <w:t xml:space="preserve"> and</w:t>
      </w:r>
      <w:r w:rsidRPr="00493276">
        <w:rPr>
          <w:sz w:val="20"/>
          <w:szCs w:val="20"/>
        </w:rPr>
        <w:t xml:space="preserve"> prevention program</w:t>
      </w:r>
      <w:r w:rsidR="005829E8">
        <w:rPr>
          <w:sz w:val="20"/>
          <w:szCs w:val="20"/>
        </w:rPr>
        <w:t>me</w:t>
      </w:r>
      <w:r w:rsidRPr="00493276">
        <w:rPr>
          <w:sz w:val="20"/>
          <w:szCs w:val="20"/>
        </w:rPr>
        <w:t xml:space="preserve">s </w:t>
      </w:r>
      <w:r w:rsidR="005829E8">
        <w:rPr>
          <w:sz w:val="20"/>
          <w:szCs w:val="20"/>
        </w:rPr>
        <w:t xml:space="preserve">that </w:t>
      </w:r>
      <w:r w:rsidRPr="00493276">
        <w:rPr>
          <w:sz w:val="20"/>
          <w:szCs w:val="20"/>
        </w:rPr>
        <w:t>can potentially be covered via SDOP - Priority 3. Environmental protection through biodiversity conservation, air quality assurance and remediation of contaminated sites/Investment category 3.2 Improving air quality monitoring for compliance monitoring and emission reduction requirements.</w:t>
      </w:r>
    </w:p>
    <w:p w14:paraId="6BDB080D" w14:textId="77777777" w:rsidR="00BC0F67" w:rsidRPr="00493276" w:rsidRDefault="00BC0F67" w:rsidP="00BC0F67">
      <w:pPr>
        <w:pStyle w:val="ListParagraph"/>
        <w:shd w:val="clear" w:color="auto" w:fill="FFFFFF"/>
        <w:spacing w:before="240" w:after="240" w:line="240" w:lineRule="auto"/>
        <w:ind w:left="360"/>
        <w:jc w:val="both"/>
        <w:rPr>
          <w:sz w:val="8"/>
          <w:szCs w:val="8"/>
        </w:rPr>
      </w:pPr>
    </w:p>
    <w:p w14:paraId="4CD0D78E" w14:textId="67DAEED9" w:rsidR="00BC0F67" w:rsidRPr="00493276" w:rsidRDefault="00BC0F67" w:rsidP="00E42342">
      <w:pPr>
        <w:pStyle w:val="ListParagraph"/>
        <w:numPr>
          <w:ilvl w:val="0"/>
          <w:numId w:val="94"/>
        </w:numPr>
        <w:shd w:val="clear" w:color="auto" w:fill="FFFFFF"/>
        <w:spacing w:before="240" w:after="240" w:line="240" w:lineRule="auto"/>
        <w:jc w:val="both"/>
        <w:rPr>
          <w:sz w:val="20"/>
          <w:szCs w:val="20"/>
        </w:rPr>
      </w:pPr>
      <w:r w:rsidRPr="00493276">
        <w:rPr>
          <w:sz w:val="20"/>
          <w:szCs w:val="20"/>
        </w:rPr>
        <w:t>Proposed investments in technological upgrading to reduce pollution and carbon emissions (large enterprises and SMEs) as well as financial and technical support p</w:t>
      </w:r>
      <w:r w:rsidR="00D206E5">
        <w:rPr>
          <w:sz w:val="20"/>
          <w:szCs w:val="20"/>
        </w:rPr>
        <w:t>rogrammes</w:t>
      </w:r>
      <w:r w:rsidRPr="00493276">
        <w:rPr>
          <w:sz w:val="20"/>
          <w:szCs w:val="20"/>
        </w:rPr>
        <w:t xml:space="preserve"> to support the transition of enterprises to RES (including the development of RES production capacities and energy efficiency) are complementary with SDOP - Priority 1- Promoting energy efficiency, systems and networks smart energy and storage solutions / Investment category: 1.1 Improving the energy efficiency of SMEs and large businesses.</w:t>
      </w:r>
    </w:p>
    <w:p w14:paraId="02EA2DBE" w14:textId="77777777" w:rsidR="00BC0F67" w:rsidRPr="00493276" w:rsidRDefault="00BC0F67" w:rsidP="00BC0F67">
      <w:pPr>
        <w:pStyle w:val="ListParagraph"/>
        <w:shd w:val="clear" w:color="auto" w:fill="FFFFFF"/>
        <w:spacing w:before="240" w:after="240" w:line="240" w:lineRule="auto"/>
        <w:ind w:left="360"/>
        <w:jc w:val="both"/>
        <w:rPr>
          <w:sz w:val="8"/>
          <w:szCs w:val="8"/>
        </w:rPr>
      </w:pPr>
    </w:p>
    <w:p w14:paraId="6CE98C9D" w14:textId="3582CF60" w:rsidR="00BC0F67" w:rsidRPr="00493276" w:rsidRDefault="00BC0F67" w:rsidP="00E42342">
      <w:pPr>
        <w:pStyle w:val="ListParagraph"/>
        <w:numPr>
          <w:ilvl w:val="0"/>
          <w:numId w:val="94"/>
        </w:numPr>
        <w:shd w:val="clear" w:color="auto" w:fill="FFFFFF"/>
        <w:spacing w:before="240" w:after="240" w:line="240" w:lineRule="auto"/>
        <w:jc w:val="both"/>
        <w:rPr>
          <w:b/>
          <w:sz w:val="20"/>
          <w:szCs w:val="20"/>
        </w:rPr>
      </w:pPr>
      <w:r w:rsidRPr="00493276">
        <w:rPr>
          <w:sz w:val="20"/>
          <w:szCs w:val="20"/>
        </w:rPr>
        <w:t>Additional potential investments in circular economy are complementary with SDOP Priority 2. Water and wastewater infrastructure development and transition to a circular economy/Investment category - 2.2 Efficient waste management to accelerate the transition to the circular economy to meet the requirements of environmental directives</w:t>
      </w:r>
      <w:r w:rsidR="005829E8">
        <w:rPr>
          <w:sz w:val="20"/>
          <w:szCs w:val="20"/>
        </w:rPr>
        <w:t>.</w:t>
      </w:r>
    </w:p>
    <w:p w14:paraId="56C464E3" w14:textId="77777777" w:rsidR="00BC0F67" w:rsidRPr="00493276" w:rsidRDefault="00BC0F67" w:rsidP="00BC0F67">
      <w:pPr>
        <w:shd w:val="clear" w:color="auto" w:fill="FFFFFF"/>
        <w:jc w:val="both"/>
        <w:rPr>
          <w:rFonts w:ascii="Arial" w:hAnsi="Arial" w:cs="Arial"/>
          <w:b/>
          <w:sz w:val="20"/>
          <w:szCs w:val="20"/>
        </w:rPr>
      </w:pPr>
      <w:r w:rsidRPr="00493276">
        <w:rPr>
          <w:rFonts w:ascii="Arial" w:hAnsi="Arial" w:cs="Arial"/>
          <w:b/>
          <w:sz w:val="20"/>
          <w:szCs w:val="20"/>
        </w:rPr>
        <w:t>Regional and local plans:</w:t>
      </w:r>
    </w:p>
    <w:p w14:paraId="475F40FD" w14:textId="77777777" w:rsidR="00BC0F67" w:rsidRPr="00493276" w:rsidRDefault="00BC0F67" w:rsidP="00BC0F67">
      <w:pPr>
        <w:shd w:val="clear" w:color="auto" w:fill="FFFFFF"/>
        <w:jc w:val="both"/>
        <w:rPr>
          <w:rFonts w:ascii="Arial" w:hAnsi="Arial" w:cs="Arial"/>
          <w:b/>
          <w:sz w:val="20"/>
          <w:szCs w:val="20"/>
        </w:rPr>
      </w:pPr>
    </w:p>
    <w:p w14:paraId="2C4D12A9" w14:textId="072069C9" w:rsidR="00BC0F67" w:rsidRPr="00402580" w:rsidRDefault="00BC0F67" w:rsidP="00E42342">
      <w:pPr>
        <w:pStyle w:val="ListParagraph"/>
        <w:numPr>
          <w:ilvl w:val="0"/>
          <w:numId w:val="94"/>
        </w:numPr>
        <w:shd w:val="clear" w:color="auto" w:fill="FFFFFF"/>
        <w:spacing w:line="240" w:lineRule="auto"/>
        <w:jc w:val="both"/>
        <w:rPr>
          <w:sz w:val="20"/>
          <w:szCs w:val="20"/>
        </w:rPr>
      </w:pPr>
      <w:r w:rsidRPr="00493276">
        <w:rPr>
          <w:sz w:val="20"/>
          <w:szCs w:val="20"/>
        </w:rPr>
        <w:t>ROP for the Central Region</w:t>
      </w:r>
      <w:r w:rsidRPr="00402580">
        <w:rPr>
          <w:rStyle w:val="FootnoteReference"/>
          <w:sz w:val="20"/>
          <w:szCs w:val="20"/>
        </w:rPr>
        <w:footnoteReference w:id="138"/>
      </w:r>
      <w:r w:rsidRPr="00402580">
        <w:rPr>
          <w:sz w:val="20"/>
          <w:szCs w:val="20"/>
        </w:rPr>
        <w:t xml:space="preserve"> includes several complementarities with the operations mentioned above, for the Mureș JTP. Priority Axis 1 – </w:t>
      </w:r>
      <w:r w:rsidRPr="00402580">
        <w:rPr>
          <w:i/>
          <w:sz w:val="20"/>
          <w:szCs w:val="20"/>
        </w:rPr>
        <w:t>A competitive region</w:t>
      </w:r>
      <w:r w:rsidRPr="00402580">
        <w:rPr>
          <w:sz w:val="20"/>
          <w:szCs w:val="20"/>
        </w:rPr>
        <w:t>, includes complementary investments in digiti</w:t>
      </w:r>
      <w:r w:rsidR="005829E8">
        <w:rPr>
          <w:sz w:val="20"/>
          <w:szCs w:val="20"/>
        </w:rPr>
        <w:t>s</w:t>
      </w:r>
      <w:r w:rsidRPr="00402580">
        <w:rPr>
          <w:sz w:val="20"/>
          <w:szCs w:val="20"/>
        </w:rPr>
        <w:t>ation, technological upgrading and incubation/acceleration program</w:t>
      </w:r>
      <w:r w:rsidR="005829E8">
        <w:rPr>
          <w:sz w:val="20"/>
          <w:szCs w:val="20"/>
        </w:rPr>
        <w:t>me</w:t>
      </w:r>
      <w:r w:rsidRPr="00402580">
        <w:rPr>
          <w:sz w:val="20"/>
          <w:szCs w:val="20"/>
        </w:rPr>
        <w:t xml:space="preserve">s for SMEs. Priority Axis 2 – </w:t>
      </w:r>
      <w:r w:rsidRPr="00402580">
        <w:rPr>
          <w:i/>
          <w:sz w:val="20"/>
          <w:szCs w:val="20"/>
        </w:rPr>
        <w:t>A region of Smart Cities</w:t>
      </w:r>
      <w:r w:rsidRPr="00402580">
        <w:rPr>
          <w:sz w:val="20"/>
          <w:szCs w:val="20"/>
        </w:rPr>
        <w:t xml:space="preserve"> - Priority Axis 3 – </w:t>
      </w:r>
      <w:r w:rsidRPr="00402580">
        <w:rPr>
          <w:i/>
          <w:sz w:val="20"/>
          <w:szCs w:val="20"/>
        </w:rPr>
        <w:t>An environmentally friendly region</w:t>
      </w:r>
      <w:r w:rsidRPr="00402580">
        <w:rPr>
          <w:sz w:val="20"/>
          <w:szCs w:val="20"/>
        </w:rPr>
        <w:t xml:space="preserve">, includes energy efficiency investments, support for the use of RES for the residential stock as well as public infrastructure and land reconversion and decontamination and greening of mobility, including public transport. Also, Priority Axis 5 – </w:t>
      </w:r>
      <w:r w:rsidRPr="00402580">
        <w:rPr>
          <w:i/>
          <w:sz w:val="20"/>
          <w:szCs w:val="20"/>
        </w:rPr>
        <w:t>An educated region</w:t>
      </w:r>
      <w:r w:rsidRPr="00402580">
        <w:rPr>
          <w:sz w:val="20"/>
          <w:szCs w:val="20"/>
        </w:rPr>
        <w:t>, includes investments in educational infrastructure, including professional schools and dual school systems.</w:t>
      </w:r>
    </w:p>
    <w:p w14:paraId="23D1B4B0" w14:textId="77777777" w:rsidR="00BC0F67" w:rsidRPr="005829E8" w:rsidRDefault="00BC0F67" w:rsidP="00BC0F67">
      <w:pPr>
        <w:pStyle w:val="ListParagraph"/>
        <w:shd w:val="clear" w:color="auto" w:fill="FFFFFF"/>
        <w:spacing w:line="240" w:lineRule="auto"/>
        <w:ind w:left="360"/>
        <w:jc w:val="both"/>
        <w:rPr>
          <w:sz w:val="8"/>
          <w:szCs w:val="8"/>
        </w:rPr>
      </w:pPr>
    </w:p>
    <w:p w14:paraId="3F0D8EDE" w14:textId="77777777" w:rsidR="00BC0F67" w:rsidRPr="00402580" w:rsidRDefault="00BC0F67" w:rsidP="00E42342">
      <w:pPr>
        <w:pStyle w:val="ListParagraph"/>
        <w:numPr>
          <w:ilvl w:val="0"/>
          <w:numId w:val="94"/>
        </w:numPr>
        <w:shd w:val="clear" w:color="auto" w:fill="FFFFFF"/>
        <w:spacing w:line="240" w:lineRule="auto"/>
        <w:jc w:val="both"/>
        <w:rPr>
          <w:i/>
          <w:sz w:val="20"/>
          <w:szCs w:val="20"/>
        </w:rPr>
      </w:pPr>
      <w:r w:rsidRPr="00402580">
        <w:rPr>
          <w:sz w:val="20"/>
          <w:szCs w:val="20"/>
        </w:rPr>
        <w:t>Ø</w:t>
      </w:r>
      <w:r w:rsidRPr="00402580">
        <w:rPr>
          <w:rFonts w:eastAsia="Times New Roman"/>
          <w:sz w:val="14"/>
          <w:szCs w:val="14"/>
        </w:rPr>
        <w:t xml:space="preserve">  </w:t>
      </w:r>
      <w:r w:rsidRPr="00402580">
        <w:rPr>
          <w:sz w:val="20"/>
          <w:szCs w:val="20"/>
        </w:rPr>
        <w:t xml:space="preserve">County Development Strategy of Mureș – </w:t>
      </w:r>
      <w:r w:rsidRPr="00402580">
        <w:rPr>
          <w:i/>
          <w:sz w:val="20"/>
          <w:szCs w:val="20"/>
        </w:rPr>
        <w:t>not finalized yet.</w:t>
      </w:r>
    </w:p>
    <w:p w14:paraId="062EA6B4" w14:textId="77777777" w:rsidR="00BC0F67" w:rsidRPr="00402580" w:rsidRDefault="00BC0F67" w:rsidP="00BC0F67">
      <w:pPr>
        <w:pStyle w:val="ListParagraph"/>
        <w:shd w:val="clear" w:color="auto" w:fill="FFFFFF"/>
        <w:spacing w:line="240" w:lineRule="auto"/>
        <w:ind w:left="360"/>
        <w:jc w:val="both"/>
        <w:rPr>
          <w:i/>
          <w:sz w:val="8"/>
          <w:szCs w:val="8"/>
        </w:rPr>
      </w:pPr>
    </w:p>
    <w:p w14:paraId="7CA379E7" w14:textId="50EFB5D3" w:rsidR="00BC0F67" w:rsidRPr="00CA72BD" w:rsidRDefault="00BC0F67" w:rsidP="00E42342">
      <w:pPr>
        <w:pStyle w:val="ListParagraph"/>
        <w:numPr>
          <w:ilvl w:val="0"/>
          <w:numId w:val="94"/>
        </w:numPr>
        <w:shd w:val="clear" w:color="auto" w:fill="FFFFFF"/>
        <w:spacing w:line="240" w:lineRule="auto"/>
        <w:jc w:val="both"/>
        <w:rPr>
          <w:i/>
          <w:sz w:val="20"/>
          <w:szCs w:val="20"/>
        </w:rPr>
      </w:pPr>
      <w:r w:rsidRPr="00402580">
        <w:rPr>
          <w:rFonts w:eastAsia="Calibri"/>
          <w:sz w:val="20"/>
          <w:szCs w:val="20"/>
        </w:rPr>
        <w:t>Ø</w:t>
      </w:r>
      <w:r w:rsidRPr="00402580">
        <w:rPr>
          <w:rFonts w:eastAsia="Times New Roman"/>
          <w:sz w:val="14"/>
          <w:szCs w:val="14"/>
        </w:rPr>
        <w:t xml:space="preserve">  </w:t>
      </w:r>
      <w:r w:rsidRPr="00402580">
        <w:rPr>
          <w:sz w:val="20"/>
          <w:szCs w:val="20"/>
        </w:rPr>
        <w:t xml:space="preserve">County Development Strategy of Mureș – </w:t>
      </w:r>
      <w:r w:rsidRPr="00402580">
        <w:rPr>
          <w:i/>
          <w:sz w:val="20"/>
          <w:szCs w:val="20"/>
        </w:rPr>
        <w:t>not finalized yet.</w:t>
      </w:r>
    </w:p>
    <w:p w14:paraId="75813939" w14:textId="6AA32094" w:rsidR="00CE7987" w:rsidRPr="00CA72BD" w:rsidRDefault="00BC0F67" w:rsidP="00CA72BD">
      <w:pPr>
        <w:widowControl w:val="0"/>
        <w:autoSpaceDE w:val="0"/>
        <w:autoSpaceDN w:val="0"/>
        <w:adjustRightInd w:val="0"/>
        <w:spacing w:before="120" w:after="120"/>
        <w:rPr>
          <w:rFonts w:ascii="Arial" w:hAnsi="Arial" w:cs="Arial"/>
          <w:b/>
          <w:color w:val="4F81BD" w:themeColor="accent1"/>
          <w:sz w:val="20"/>
          <w:szCs w:val="20"/>
          <w:highlight w:val="white"/>
        </w:rPr>
      </w:pPr>
      <w:r w:rsidRPr="00CA72BD">
        <w:rPr>
          <w:rFonts w:ascii="Arial" w:hAnsi="Arial" w:cs="Arial"/>
          <w:b/>
          <w:color w:val="4F81BD" w:themeColor="accent1"/>
          <w:sz w:val="20"/>
          <w:szCs w:val="20"/>
          <w:highlight w:val="white"/>
        </w:rPr>
        <w:t xml:space="preserve">Key Takeaways </w:t>
      </w:r>
      <w:r w:rsidR="004F70E0" w:rsidRPr="00CA72BD">
        <w:rPr>
          <w:rFonts w:ascii="Arial" w:hAnsi="Arial" w:cs="Arial"/>
          <w:b/>
          <w:color w:val="4F81BD" w:themeColor="accent1"/>
          <w:sz w:val="20"/>
          <w:szCs w:val="20"/>
          <w:highlight w:val="white"/>
        </w:rPr>
        <w:t>Mureș</w:t>
      </w:r>
    </w:p>
    <w:p w14:paraId="0398263E" w14:textId="7EA1503E" w:rsidR="00BC0F67" w:rsidRPr="00402580" w:rsidRDefault="00CE7987" w:rsidP="00FC5EF9">
      <w:pPr>
        <w:widowControl w:val="0"/>
        <w:autoSpaceDE w:val="0"/>
        <w:autoSpaceDN w:val="0"/>
        <w:adjustRightInd w:val="0"/>
        <w:jc w:val="both"/>
        <w:rPr>
          <w:rFonts w:ascii="Arial" w:hAnsi="Arial" w:cs="Arial"/>
          <w:sz w:val="20"/>
          <w:szCs w:val="20"/>
          <w:highlight w:val="white"/>
        </w:rPr>
      </w:pPr>
      <w:r w:rsidRPr="00402580">
        <w:rPr>
          <w:rFonts w:ascii="Arial" w:hAnsi="Arial" w:cs="Arial"/>
          <w:sz w:val="20"/>
          <w:szCs w:val="20"/>
          <w:highlight w:val="white"/>
        </w:rPr>
        <w:t xml:space="preserve">Although the vast majority of needs </w:t>
      </w:r>
      <w:r w:rsidR="005829E8">
        <w:rPr>
          <w:rFonts w:ascii="Arial" w:hAnsi="Arial" w:cs="Arial"/>
          <w:sz w:val="20"/>
          <w:szCs w:val="20"/>
          <w:highlight w:val="white"/>
        </w:rPr>
        <w:t>in</w:t>
      </w:r>
      <w:r w:rsidRPr="00402580">
        <w:rPr>
          <w:rFonts w:ascii="Arial" w:hAnsi="Arial" w:cs="Arial"/>
          <w:sz w:val="20"/>
          <w:szCs w:val="20"/>
          <w:highlight w:val="white"/>
        </w:rPr>
        <w:t xml:space="preserve"> </w:t>
      </w:r>
      <w:r w:rsidR="004F70E0">
        <w:rPr>
          <w:rFonts w:ascii="Arial" w:hAnsi="Arial" w:cs="Arial"/>
          <w:sz w:val="20"/>
          <w:szCs w:val="20"/>
          <w:highlight w:val="white"/>
        </w:rPr>
        <w:t>Mureș</w:t>
      </w:r>
      <w:r w:rsidRPr="00402580">
        <w:rPr>
          <w:rFonts w:ascii="Arial" w:hAnsi="Arial" w:cs="Arial"/>
          <w:sz w:val="20"/>
          <w:szCs w:val="20"/>
          <w:highlight w:val="white"/>
        </w:rPr>
        <w:t xml:space="preserve"> can be financed through other programmes, key investments in land decontamination, complex integrated projects of R&amp;D and business acceleration, as well as investments for large enterprises in transformational decarbonisation projects, can definitely be targeted best by JTF funding</w:t>
      </w:r>
      <w:r w:rsidR="005829E8">
        <w:rPr>
          <w:rFonts w:ascii="Arial" w:hAnsi="Arial" w:cs="Arial"/>
          <w:sz w:val="20"/>
          <w:szCs w:val="20"/>
          <w:highlight w:val="white"/>
        </w:rPr>
        <w:t>.</w:t>
      </w:r>
    </w:p>
    <w:p w14:paraId="74C1B470" w14:textId="77777777" w:rsidR="002E65CB" w:rsidRDefault="002E65CB" w:rsidP="00E42342">
      <w:pPr>
        <w:pStyle w:val="Heading2"/>
        <w:numPr>
          <w:ilvl w:val="0"/>
          <w:numId w:val="214"/>
        </w:numPr>
        <w:spacing w:before="240" w:line="240" w:lineRule="auto"/>
        <w:ind w:left="432" w:hanging="432"/>
      </w:pPr>
      <w:bookmarkStart w:id="321" w:name="_Toc90725900"/>
      <w:r>
        <w:t>Potential solutions and opportunities identified during the engagement process</w:t>
      </w:r>
      <w:bookmarkEnd w:id="321"/>
    </w:p>
    <w:p w14:paraId="61AE8C8D" w14:textId="774D1523" w:rsidR="002E65CB" w:rsidRDefault="002E65CB" w:rsidP="00402580">
      <w:pPr>
        <w:jc w:val="both"/>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 xml:space="preserve">intervention </w:t>
      </w:r>
      <w:r w:rsidR="005829E8">
        <w:rPr>
          <w:rFonts w:ascii="Arial" w:hAnsi="Arial" w:cs="Arial"/>
          <w:sz w:val="20"/>
          <w:szCs w:val="20"/>
          <w:lang w:eastAsia="en-US"/>
        </w:rPr>
        <w:t>were</w:t>
      </w:r>
      <w:r>
        <w:rPr>
          <w:rFonts w:ascii="Arial" w:hAnsi="Arial" w:cs="Arial"/>
          <w:sz w:val="20"/>
          <w:szCs w:val="20"/>
          <w:lang w:eastAsia="en-US"/>
        </w:rPr>
        <w:t xml:space="preserve"> open </w:t>
      </w:r>
      <w:r w:rsidR="005829E8">
        <w:rPr>
          <w:rFonts w:ascii="Arial" w:hAnsi="Arial" w:cs="Arial"/>
          <w:sz w:val="20"/>
          <w:szCs w:val="20"/>
          <w:lang w:eastAsia="en-US"/>
        </w:rPr>
        <w:t>for</w:t>
      </w:r>
      <w:r>
        <w:rPr>
          <w:rFonts w:ascii="Arial" w:hAnsi="Arial" w:cs="Arial"/>
          <w:sz w:val="20"/>
          <w:szCs w:val="20"/>
          <w:lang w:eastAsia="en-US"/>
        </w:rPr>
        <w:t xml:space="preserve"> discussion during the regional workshop organi</w:t>
      </w:r>
      <w:r w:rsidR="005829E8">
        <w:rPr>
          <w:rFonts w:ascii="Arial" w:hAnsi="Arial" w:cs="Arial"/>
          <w:sz w:val="20"/>
          <w:szCs w:val="20"/>
          <w:lang w:eastAsia="en-US"/>
        </w:rPr>
        <w:t>s</w:t>
      </w:r>
      <w:r>
        <w:rPr>
          <w:rFonts w:ascii="Arial" w:hAnsi="Arial" w:cs="Arial"/>
          <w:sz w:val="20"/>
          <w:szCs w:val="20"/>
          <w:lang w:eastAsia="en-US"/>
        </w:rPr>
        <w:t xml:space="preserve">ed on 7 May 2021, </w:t>
      </w:r>
      <w:r w:rsidR="005829E8">
        <w:rPr>
          <w:rFonts w:ascii="Arial" w:hAnsi="Arial" w:cs="Arial"/>
          <w:sz w:val="20"/>
          <w:szCs w:val="20"/>
          <w:lang w:eastAsia="en-US"/>
        </w:rPr>
        <w:t>including</w:t>
      </w:r>
      <w:r>
        <w:rPr>
          <w:rFonts w:ascii="Arial" w:hAnsi="Arial" w:cs="Arial"/>
          <w:sz w:val="20"/>
          <w:szCs w:val="20"/>
          <w:lang w:eastAsia="en-US"/>
        </w:rPr>
        <w:t>:</w:t>
      </w:r>
    </w:p>
    <w:p w14:paraId="0052E8D3" w14:textId="77777777" w:rsidR="002E65CB" w:rsidRPr="005829E8" w:rsidRDefault="002E65CB" w:rsidP="002E65CB">
      <w:pPr>
        <w:rPr>
          <w:rFonts w:ascii="Arial" w:hAnsi="Arial" w:cs="Arial"/>
          <w:sz w:val="8"/>
          <w:szCs w:val="8"/>
          <w:lang w:eastAsia="en-US"/>
        </w:rPr>
      </w:pPr>
    </w:p>
    <w:p w14:paraId="07BA93D6" w14:textId="77777777" w:rsidR="002E65CB" w:rsidRDefault="002E65CB" w:rsidP="00E42342">
      <w:pPr>
        <w:pStyle w:val="ListParagraph"/>
        <w:numPr>
          <w:ilvl w:val="0"/>
          <w:numId w:val="215"/>
        </w:numPr>
        <w:rPr>
          <w:sz w:val="20"/>
          <w:szCs w:val="20"/>
        </w:rPr>
      </w:pPr>
      <w:r w:rsidRPr="00644AF6">
        <w:rPr>
          <w:sz w:val="20"/>
          <w:szCs w:val="20"/>
        </w:rPr>
        <w:t>The future of decarbonisation in the region for large companies</w:t>
      </w:r>
    </w:p>
    <w:p w14:paraId="1BC64087" w14:textId="77777777" w:rsidR="002E65CB" w:rsidRDefault="002E65CB" w:rsidP="00E42342">
      <w:pPr>
        <w:pStyle w:val="ListParagraph"/>
        <w:numPr>
          <w:ilvl w:val="0"/>
          <w:numId w:val="215"/>
        </w:numPr>
        <w:rPr>
          <w:sz w:val="20"/>
          <w:szCs w:val="20"/>
        </w:rPr>
      </w:pPr>
      <w:r>
        <w:rPr>
          <w:sz w:val="20"/>
          <w:szCs w:val="20"/>
        </w:rPr>
        <w:t>Employment and attracting human capital</w:t>
      </w:r>
    </w:p>
    <w:p w14:paraId="1FA63D59" w14:textId="77777777" w:rsidR="002E65CB" w:rsidRDefault="002E65CB" w:rsidP="00E42342">
      <w:pPr>
        <w:pStyle w:val="ListParagraph"/>
        <w:numPr>
          <w:ilvl w:val="0"/>
          <w:numId w:val="215"/>
        </w:numPr>
        <w:rPr>
          <w:sz w:val="20"/>
          <w:szCs w:val="20"/>
        </w:rPr>
      </w:pPr>
      <w:r>
        <w:rPr>
          <w:sz w:val="20"/>
          <w:szCs w:val="20"/>
        </w:rPr>
        <w:t>Environmental challenges and opportunities</w:t>
      </w:r>
    </w:p>
    <w:p w14:paraId="478C4068" w14:textId="77777777" w:rsidR="002E65CB" w:rsidRDefault="002E65CB" w:rsidP="00E42342">
      <w:pPr>
        <w:pStyle w:val="ListParagraph"/>
        <w:numPr>
          <w:ilvl w:val="0"/>
          <w:numId w:val="215"/>
        </w:numPr>
        <w:rPr>
          <w:sz w:val="20"/>
          <w:szCs w:val="20"/>
        </w:rPr>
      </w:pPr>
      <w:r>
        <w:rPr>
          <w:sz w:val="20"/>
          <w:szCs w:val="20"/>
        </w:rPr>
        <w:t>SMEs and entrepreneurship as vectors of regional development</w:t>
      </w:r>
    </w:p>
    <w:p w14:paraId="6A8FB965" w14:textId="77777777" w:rsidR="002E65CB" w:rsidRDefault="002E65CB" w:rsidP="002E65CB">
      <w:pPr>
        <w:rPr>
          <w:sz w:val="20"/>
          <w:szCs w:val="20"/>
        </w:rPr>
      </w:pPr>
    </w:p>
    <w:p w14:paraId="26C85785" w14:textId="542230C6" w:rsidR="002E65CB" w:rsidRDefault="002E65CB" w:rsidP="002E65CB">
      <w:pPr>
        <w:jc w:val="both"/>
        <w:rPr>
          <w:rFonts w:ascii="Arial" w:hAnsi="Arial" w:cs="Arial"/>
          <w:sz w:val="20"/>
          <w:szCs w:val="20"/>
        </w:rPr>
      </w:pPr>
      <w:r w:rsidRPr="00355188">
        <w:rPr>
          <w:rFonts w:ascii="Arial" w:hAnsi="Arial" w:cs="Arial"/>
          <w:sz w:val="20"/>
          <w:szCs w:val="20"/>
        </w:rPr>
        <w:t xml:space="preserve">Participants were invited to actively participate in the discussions (based on the world-café methodology) and bring forward project ideas and solutions, as well as address opportunities, related to the four main topics. Subsequently, participant ideas </w:t>
      </w:r>
      <w:r w:rsidR="007722E7">
        <w:rPr>
          <w:rFonts w:ascii="Arial" w:hAnsi="Arial" w:cs="Arial"/>
          <w:sz w:val="20"/>
          <w:szCs w:val="20"/>
        </w:rPr>
        <w:t>were</w:t>
      </w:r>
      <w:r w:rsidRPr="00355188">
        <w:rPr>
          <w:rFonts w:ascii="Arial" w:hAnsi="Arial" w:cs="Arial"/>
          <w:sz w:val="20"/>
          <w:szCs w:val="20"/>
        </w:rPr>
        <w:t xml:space="preserve"> </w:t>
      </w:r>
      <w:r w:rsidR="007722E7">
        <w:rPr>
          <w:rFonts w:ascii="Arial" w:hAnsi="Arial" w:cs="Arial"/>
          <w:sz w:val="20"/>
          <w:szCs w:val="20"/>
        </w:rPr>
        <w:t>collected</w:t>
      </w:r>
      <w:r w:rsidRPr="00355188">
        <w:rPr>
          <w:rFonts w:ascii="Arial" w:hAnsi="Arial" w:cs="Arial"/>
          <w:sz w:val="20"/>
          <w:szCs w:val="20"/>
        </w:rPr>
        <w:t xml:space="preserve"> and further assessed by the </w:t>
      </w:r>
      <w:r w:rsidR="007722E7">
        <w:rPr>
          <w:rFonts w:ascii="Arial" w:hAnsi="Arial" w:cs="Arial"/>
          <w:sz w:val="20"/>
          <w:szCs w:val="20"/>
        </w:rPr>
        <w:t>TA</w:t>
      </w:r>
      <w:r w:rsidRPr="00355188">
        <w:rPr>
          <w:rFonts w:ascii="Arial" w:hAnsi="Arial" w:cs="Arial"/>
          <w:sz w:val="20"/>
          <w:szCs w:val="20"/>
        </w:rPr>
        <w:t xml:space="preserve"> team. The main takeaways are presented in this </w:t>
      </w:r>
      <w:r w:rsidR="00091FE3">
        <w:rPr>
          <w:rFonts w:ascii="Arial" w:hAnsi="Arial" w:cs="Arial"/>
          <w:sz w:val="20"/>
          <w:szCs w:val="20"/>
        </w:rPr>
        <w:t>section</w:t>
      </w:r>
      <w:r w:rsidRPr="00355188">
        <w:rPr>
          <w:rFonts w:ascii="Arial" w:hAnsi="Arial" w:cs="Arial"/>
          <w:sz w:val="20"/>
          <w:szCs w:val="20"/>
        </w:rPr>
        <w:t xml:space="preserve"> for </w:t>
      </w:r>
      <w:r w:rsidR="004F70E0">
        <w:rPr>
          <w:rFonts w:ascii="Arial" w:hAnsi="Arial" w:cs="Arial"/>
          <w:sz w:val="20"/>
          <w:szCs w:val="20"/>
        </w:rPr>
        <w:t>Mureș</w:t>
      </w:r>
      <w:r w:rsidRPr="00355188">
        <w:rPr>
          <w:rFonts w:ascii="Arial" w:hAnsi="Arial" w:cs="Arial"/>
          <w:sz w:val="20"/>
          <w:szCs w:val="20"/>
        </w:rPr>
        <w:t xml:space="preserve"> </w:t>
      </w:r>
      <w:r w:rsidR="007722E7">
        <w:rPr>
          <w:rFonts w:ascii="Arial" w:hAnsi="Arial" w:cs="Arial"/>
          <w:sz w:val="20"/>
          <w:szCs w:val="20"/>
        </w:rPr>
        <w:t>C</w:t>
      </w:r>
      <w:r w:rsidRPr="00355188">
        <w:rPr>
          <w:rFonts w:ascii="Arial" w:hAnsi="Arial" w:cs="Arial"/>
          <w:sz w:val="20"/>
          <w:szCs w:val="20"/>
        </w:rPr>
        <w:t>ounty.</w:t>
      </w:r>
    </w:p>
    <w:p w14:paraId="2EDD3FE6" w14:textId="77777777" w:rsidR="002E65CB" w:rsidRDefault="002E65CB" w:rsidP="00AC2D01">
      <w:pPr>
        <w:jc w:val="both"/>
        <w:rPr>
          <w:sz w:val="20"/>
          <w:szCs w:val="20"/>
        </w:rPr>
        <w:sectPr w:rsidR="002E65CB" w:rsidSect="007D4809">
          <w:pgSz w:w="11909" w:h="16834"/>
          <w:pgMar w:top="1440" w:right="1440" w:bottom="1440" w:left="1530" w:header="720" w:footer="720" w:gutter="0"/>
          <w:cols w:space="720"/>
          <w:docGrid w:linePitch="326"/>
        </w:sectPr>
      </w:pPr>
    </w:p>
    <w:p w14:paraId="260BF47B" w14:textId="5A616626" w:rsidR="00E614F2" w:rsidRDefault="00E614F2" w:rsidP="005829E8">
      <w:pPr>
        <w:pStyle w:val="Caption"/>
      </w:pPr>
      <w:bookmarkStart w:id="322" w:name="_Toc90726025"/>
      <w:bookmarkStart w:id="323" w:name="_Toc90727322"/>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71</w:t>
      </w:r>
      <w:r w:rsidR="000B273D">
        <w:rPr>
          <w:noProof/>
        </w:rPr>
        <w:fldChar w:fldCharType="end"/>
      </w:r>
      <w:r>
        <w:t xml:space="preserve">: Regional workshop harvesting for </w:t>
      </w:r>
      <w:r w:rsidR="004F70E0">
        <w:t>Mureș</w:t>
      </w:r>
      <w:r>
        <w:t xml:space="preserve"> </w:t>
      </w:r>
      <w:r w:rsidR="007722E7">
        <w:t>C</w:t>
      </w:r>
      <w:r>
        <w:t>ounty</w:t>
      </w:r>
      <w:bookmarkEnd w:id="322"/>
      <w:bookmarkEnd w:id="32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84"/>
        <w:gridCol w:w="1408"/>
        <w:gridCol w:w="5658"/>
        <w:gridCol w:w="1294"/>
      </w:tblGrid>
      <w:tr w:rsidR="002E65CB" w:rsidRPr="002E65CB" w14:paraId="3F8502DA" w14:textId="77777777" w:rsidTr="000A7086">
        <w:trPr>
          <w:trHeight w:val="575"/>
        </w:trPr>
        <w:tc>
          <w:tcPr>
            <w:tcW w:w="5000" w:type="pct"/>
            <w:gridSpan w:val="4"/>
            <w:shd w:val="clear" w:color="auto" w:fill="93C47D"/>
          </w:tcPr>
          <w:p w14:paraId="070D6707" w14:textId="48546F2D" w:rsidR="002E65CB" w:rsidRPr="005829E8" w:rsidRDefault="002E65CB" w:rsidP="00EE02DE">
            <w:pPr>
              <w:spacing w:before="240" w:after="240"/>
              <w:ind w:hanging="2"/>
              <w:rPr>
                <w:rFonts w:ascii="Arial" w:hAnsi="Arial" w:cs="Arial"/>
                <w:sz w:val="18"/>
                <w:szCs w:val="18"/>
              </w:rPr>
            </w:pPr>
            <w:r w:rsidRPr="005829E8">
              <w:rPr>
                <w:rFonts w:ascii="Arial" w:hAnsi="Arial" w:cs="Arial"/>
                <w:b/>
                <w:sz w:val="18"/>
                <w:szCs w:val="18"/>
              </w:rPr>
              <w:t xml:space="preserve">Ideas and solutions in the </w:t>
            </w:r>
            <w:r w:rsidR="005829E8">
              <w:rPr>
                <w:rFonts w:ascii="Arial" w:hAnsi="Arial" w:cs="Arial"/>
                <w:b/>
                <w:sz w:val="18"/>
                <w:szCs w:val="18"/>
              </w:rPr>
              <w:t>J</w:t>
            </w:r>
            <w:r w:rsidRPr="005829E8">
              <w:rPr>
                <w:rFonts w:ascii="Arial" w:hAnsi="Arial" w:cs="Arial"/>
                <w:b/>
                <w:sz w:val="18"/>
                <w:szCs w:val="18"/>
              </w:rPr>
              <w:t xml:space="preserve">ust </w:t>
            </w:r>
            <w:r w:rsidR="005829E8">
              <w:rPr>
                <w:rFonts w:ascii="Arial" w:hAnsi="Arial" w:cs="Arial"/>
                <w:b/>
                <w:sz w:val="18"/>
                <w:szCs w:val="18"/>
              </w:rPr>
              <w:t>T</w:t>
            </w:r>
            <w:r w:rsidRPr="005829E8">
              <w:rPr>
                <w:rFonts w:ascii="Arial" w:hAnsi="Arial" w:cs="Arial"/>
                <w:b/>
                <w:sz w:val="18"/>
                <w:szCs w:val="18"/>
              </w:rPr>
              <w:t xml:space="preserve">ransition process, Mureș </w:t>
            </w:r>
            <w:r w:rsidR="005829E8">
              <w:rPr>
                <w:rFonts w:ascii="Arial" w:hAnsi="Arial" w:cs="Arial"/>
                <w:b/>
                <w:sz w:val="18"/>
                <w:szCs w:val="18"/>
              </w:rPr>
              <w:t>C</w:t>
            </w:r>
            <w:r w:rsidRPr="005829E8">
              <w:rPr>
                <w:rFonts w:ascii="Arial" w:hAnsi="Arial" w:cs="Arial"/>
                <w:b/>
                <w:sz w:val="18"/>
                <w:szCs w:val="18"/>
              </w:rPr>
              <w:t xml:space="preserve">ounty, May 2021 </w:t>
            </w:r>
          </w:p>
          <w:p w14:paraId="28362061" w14:textId="77777777" w:rsidR="002E65CB" w:rsidRPr="005829E8" w:rsidRDefault="002E65CB" w:rsidP="00EE02DE">
            <w:pPr>
              <w:ind w:hanging="2"/>
              <w:rPr>
                <w:rFonts w:ascii="Arial" w:hAnsi="Arial" w:cs="Arial"/>
                <w:sz w:val="18"/>
                <w:szCs w:val="18"/>
              </w:rPr>
            </w:pPr>
          </w:p>
        </w:tc>
      </w:tr>
      <w:tr w:rsidR="002E65CB" w:rsidRPr="002E65CB" w14:paraId="08B489BC" w14:textId="77777777" w:rsidTr="005829E8">
        <w:tc>
          <w:tcPr>
            <w:tcW w:w="2002" w:type="pct"/>
          </w:tcPr>
          <w:p w14:paraId="5232DB2B" w14:textId="77777777" w:rsidR="00ED18E6" w:rsidRDefault="002E65CB" w:rsidP="00EE02DE">
            <w:pPr>
              <w:ind w:hanging="2"/>
              <w:rPr>
                <w:rFonts w:ascii="Arial" w:hAnsi="Arial" w:cs="Arial"/>
                <w:b/>
                <w:sz w:val="18"/>
                <w:szCs w:val="18"/>
              </w:rPr>
            </w:pPr>
            <w:r w:rsidRPr="002E65CB">
              <w:rPr>
                <w:rFonts w:ascii="Arial" w:hAnsi="Arial" w:cs="Arial"/>
                <w:b/>
                <w:sz w:val="18"/>
                <w:szCs w:val="18"/>
              </w:rPr>
              <w:t xml:space="preserve">The future of decarbonisation in the region for large companies (also focusing on areas/industries with growth potential in the region) </w:t>
            </w:r>
          </w:p>
          <w:p w14:paraId="498C2AC7" w14:textId="77777777" w:rsidR="00ED18E6" w:rsidRDefault="00ED18E6" w:rsidP="00EE02DE">
            <w:pPr>
              <w:ind w:hanging="2"/>
              <w:rPr>
                <w:rFonts w:ascii="Arial" w:hAnsi="Arial" w:cs="Arial"/>
                <w:b/>
                <w:i/>
                <w:sz w:val="18"/>
                <w:szCs w:val="18"/>
              </w:rPr>
            </w:pPr>
          </w:p>
          <w:p w14:paraId="6CCB4853" w14:textId="040EDEF6" w:rsidR="002E65CB" w:rsidRPr="00ED18E6" w:rsidRDefault="002E65CB" w:rsidP="00EE02DE">
            <w:pPr>
              <w:ind w:hanging="2"/>
              <w:rPr>
                <w:rFonts w:ascii="Arial" w:hAnsi="Arial" w:cs="Arial"/>
                <w:sz w:val="18"/>
                <w:szCs w:val="18"/>
              </w:rPr>
            </w:pPr>
            <w:r w:rsidRPr="00ED18E6">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505" w:type="pct"/>
          </w:tcPr>
          <w:p w14:paraId="4DA27DE8" w14:textId="77777777" w:rsidR="002E65CB" w:rsidRPr="002E65CB" w:rsidRDefault="002E65CB" w:rsidP="00EE02DE">
            <w:pPr>
              <w:ind w:hanging="2"/>
              <w:rPr>
                <w:rFonts w:ascii="Arial" w:hAnsi="Arial" w:cs="Arial"/>
                <w:sz w:val="18"/>
                <w:szCs w:val="18"/>
              </w:rPr>
            </w:pPr>
            <w:r w:rsidRPr="002E65CB">
              <w:rPr>
                <w:rFonts w:ascii="Arial" w:hAnsi="Arial" w:cs="Arial"/>
                <w:noProof/>
                <w:sz w:val="18"/>
                <w:szCs w:val="18"/>
                <w:lang w:val="en-US" w:eastAsia="en-US"/>
              </w:rPr>
              <w:drawing>
                <wp:inline distT="114300" distB="114300" distL="114300" distR="114300" wp14:anchorId="6D22ABB1" wp14:editId="66219E62">
                  <wp:extent cx="752475" cy="812800"/>
                  <wp:effectExtent l="0" t="0" r="0" b="0"/>
                  <wp:docPr id="2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2"/>
                          <a:srcRect/>
                          <a:stretch>
                            <a:fillRect/>
                          </a:stretch>
                        </pic:blipFill>
                        <pic:spPr>
                          <a:xfrm>
                            <a:off x="0" y="0"/>
                            <a:ext cx="752475" cy="812800"/>
                          </a:xfrm>
                          <a:prstGeom prst="rect">
                            <a:avLst/>
                          </a:prstGeom>
                          <a:ln/>
                        </pic:spPr>
                      </pic:pic>
                    </a:graphicData>
                  </a:graphic>
                </wp:inline>
              </w:drawing>
            </w:r>
          </w:p>
        </w:tc>
        <w:tc>
          <w:tcPr>
            <w:tcW w:w="2029" w:type="pct"/>
          </w:tcPr>
          <w:p w14:paraId="62487C12" w14:textId="77777777" w:rsidR="00ED18E6" w:rsidRDefault="002E65CB" w:rsidP="00EE02DE">
            <w:pPr>
              <w:spacing w:after="240"/>
              <w:ind w:hanging="2"/>
              <w:rPr>
                <w:rFonts w:ascii="Arial" w:hAnsi="Arial" w:cs="Arial"/>
                <w:b/>
                <w:i/>
                <w:sz w:val="18"/>
                <w:szCs w:val="18"/>
              </w:rPr>
            </w:pPr>
            <w:r w:rsidRPr="00ED18E6">
              <w:rPr>
                <w:rFonts w:ascii="Arial" w:hAnsi="Arial" w:cs="Arial"/>
                <w:b/>
                <w:sz w:val="18"/>
                <w:szCs w:val="18"/>
              </w:rPr>
              <w:t>Employability and attracting human capital (including retraining and further qualification)</w:t>
            </w:r>
            <w:r w:rsidRPr="00ED18E6">
              <w:rPr>
                <w:rFonts w:ascii="Arial" w:hAnsi="Arial" w:cs="Arial"/>
                <w:b/>
                <w:i/>
                <w:sz w:val="18"/>
                <w:szCs w:val="18"/>
              </w:rPr>
              <w:t xml:space="preserve"> </w:t>
            </w:r>
          </w:p>
          <w:p w14:paraId="6DC4FA88" w14:textId="11CC9D2D" w:rsidR="002E65CB" w:rsidRPr="00ED18E6" w:rsidRDefault="002E65CB" w:rsidP="005829E8">
            <w:pPr>
              <w:spacing w:after="240"/>
              <w:rPr>
                <w:rFonts w:ascii="Arial" w:hAnsi="Arial" w:cs="Arial"/>
                <w:sz w:val="18"/>
                <w:szCs w:val="18"/>
              </w:rPr>
            </w:pPr>
            <w:r w:rsidRPr="00ED18E6">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easier?</w:t>
            </w:r>
          </w:p>
        </w:tc>
        <w:tc>
          <w:tcPr>
            <w:tcW w:w="464" w:type="pct"/>
          </w:tcPr>
          <w:p w14:paraId="38CC17A9" w14:textId="77777777" w:rsidR="002E65CB" w:rsidRPr="005829E8" w:rsidRDefault="002E65CB" w:rsidP="00EE02DE">
            <w:pPr>
              <w:ind w:hanging="2"/>
              <w:rPr>
                <w:rFonts w:ascii="Arial" w:hAnsi="Arial" w:cs="Arial"/>
                <w:sz w:val="18"/>
                <w:szCs w:val="18"/>
              </w:rPr>
            </w:pPr>
            <w:r w:rsidRPr="005829E8">
              <w:rPr>
                <w:rFonts w:ascii="Arial" w:hAnsi="Arial" w:cs="Arial"/>
                <w:noProof/>
                <w:sz w:val="18"/>
                <w:szCs w:val="18"/>
                <w:lang w:val="en-US" w:eastAsia="en-US"/>
              </w:rPr>
              <w:drawing>
                <wp:inline distT="114300" distB="114300" distL="114300" distR="114300" wp14:anchorId="32C603D2" wp14:editId="718D708B">
                  <wp:extent cx="685800" cy="736600"/>
                  <wp:effectExtent l="0" t="0" r="0" b="0"/>
                  <wp:docPr id="3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07"/>
                          <a:srcRect/>
                          <a:stretch>
                            <a:fillRect/>
                          </a:stretch>
                        </pic:blipFill>
                        <pic:spPr>
                          <a:xfrm>
                            <a:off x="0" y="0"/>
                            <a:ext cx="685800" cy="736600"/>
                          </a:xfrm>
                          <a:prstGeom prst="rect">
                            <a:avLst/>
                          </a:prstGeom>
                          <a:ln/>
                        </pic:spPr>
                      </pic:pic>
                    </a:graphicData>
                  </a:graphic>
                </wp:inline>
              </w:drawing>
            </w:r>
          </w:p>
        </w:tc>
      </w:tr>
      <w:tr w:rsidR="002E65CB" w:rsidRPr="002E65CB" w14:paraId="174E3A9C" w14:textId="77777777" w:rsidTr="00E934EF">
        <w:trPr>
          <w:trHeight w:val="4670"/>
        </w:trPr>
        <w:tc>
          <w:tcPr>
            <w:tcW w:w="2507" w:type="pct"/>
            <w:gridSpan w:val="2"/>
          </w:tcPr>
          <w:p w14:paraId="1114B4E3" w14:textId="77777777" w:rsidR="002E65CB" w:rsidRPr="005829E8" w:rsidRDefault="002E65CB" w:rsidP="00EE02DE">
            <w:pPr>
              <w:spacing w:before="240" w:after="240"/>
              <w:ind w:hanging="2"/>
              <w:rPr>
                <w:rFonts w:ascii="Arial" w:hAnsi="Arial" w:cs="Arial"/>
                <w:b/>
                <w:sz w:val="18"/>
                <w:szCs w:val="18"/>
              </w:rPr>
            </w:pPr>
            <w:r w:rsidRPr="005829E8">
              <w:rPr>
                <w:rFonts w:ascii="Arial" w:hAnsi="Arial" w:cs="Arial"/>
                <w:b/>
                <w:sz w:val="18"/>
                <w:szCs w:val="18"/>
              </w:rPr>
              <w:t>Ideas, solutions, projects, opportunities:</w:t>
            </w:r>
          </w:p>
          <w:p w14:paraId="626C15CB" w14:textId="6DDA9CB4" w:rsidR="002E65CB" w:rsidRPr="009E2A70" w:rsidRDefault="002E65CB" w:rsidP="00E42342">
            <w:pPr>
              <w:pStyle w:val="Briefingtext"/>
              <w:numPr>
                <w:ilvl w:val="0"/>
                <w:numId w:val="326"/>
              </w:numPr>
              <w:spacing w:after="0"/>
              <w:rPr>
                <w:sz w:val="18"/>
                <w:szCs w:val="20"/>
              </w:rPr>
            </w:pPr>
            <w:r w:rsidRPr="009E2A70">
              <w:rPr>
                <w:sz w:val="18"/>
                <w:szCs w:val="20"/>
              </w:rPr>
              <w:t>Supplying residual</w:t>
            </w:r>
            <w:r w:rsidR="00226806" w:rsidRPr="009E2A70">
              <w:rPr>
                <w:sz w:val="18"/>
                <w:szCs w:val="20"/>
              </w:rPr>
              <w:t xml:space="preserve"> </w:t>
            </w:r>
            <w:r w:rsidRPr="009E2A70">
              <w:rPr>
                <w:sz w:val="18"/>
                <w:szCs w:val="20"/>
              </w:rPr>
              <w:t>steam based thermal energy (greenhouses + domestic) – leading to less pollution</w:t>
            </w:r>
          </w:p>
          <w:p w14:paraId="678D08D3"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Manufacturing (field limitations)</w:t>
            </w:r>
          </w:p>
          <w:p w14:paraId="28987F10"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Salt industry</w:t>
            </w:r>
          </w:p>
          <w:p w14:paraId="68F01931" w14:textId="6DEEB250" w:rsidR="002E65CB" w:rsidRPr="009E2A70" w:rsidRDefault="002E65CB" w:rsidP="00E42342">
            <w:pPr>
              <w:pStyle w:val="Briefingtext"/>
              <w:numPr>
                <w:ilvl w:val="0"/>
                <w:numId w:val="326"/>
              </w:numPr>
              <w:spacing w:after="0"/>
              <w:textDirection w:val="btLr"/>
              <w:rPr>
                <w:sz w:val="18"/>
                <w:szCs w:val="20"/>
              </w:rPr>
            </w:pPr>
            <w:r w:rsidRPr="009E2A70">
              <w:rPr>
                <w:sz w:val="18"/>
                <w:szCs w:val="20"/>
              </w:rPr>
              <w:t>Circular economy (waste)</w:t>
            </w:r>
            <w:r w:rsidR="00226806" w:rsidRPr="009E2A70">
              <w:rPr>
                <w:sz w:val="18"/>
                <w:szCs w:val="20"/>
              </w:rPr>
              <w:t>, especially becase there are no</w:t>
            </w:r>
            <w:r w:rsidRPr="009E2A70">
              <w:rPr>
                <w:sz w:val="18"/>
                <w:szCs w:val="20"/>
              </w:rPr>
              <w:t xml:space="preserve"> sorting operators</w:t>
            </w:r>
          </w:p>
          <w:p w14:paraId="11EE8A0F" w14:textId="729A8731" w:rsidR="00226806"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Tourism</w:t>
            </w:r>
            <w:r w:rsidR="00226806" w:rsidRPr="009E2A70">
              <w:rPr>
                <w:sz w:val="18"/>
                <w:szCs w:val="20"/>
              </w:rPr>
              <w:t>, incl</w:t>
            </w:r>
            <w:r w:rsidR="00DD1EAE" w:rsidRPr="009E2A70">
              <w:rPr>
                <w:sz w:val="18"/>
                <w:szCs w:val="20"/>
              </w:rPr>
              <w:t>uding</w:t>
            </w:r>
            <w:r w:rsidR="00226806" w:rsidRPr="009E2A70">
              <w:rPr>
                <w:sz w:val="18"/>
                <w:szCs w:val="20"/>
              </w:rPr>
              <w:t xml:space="preserve"> wellness tourism</w:t>
            </w:r>
          </w:p>
          <w:p w14:paraId="26EF63C6" w14:textId="4C3B160C" w:rsidR="002E65CB"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T</w:t>
            </w:r>
            <w:r w:rsidR="00E934EF" w:rsidRPr="009E2A70">
              <w:rPr>
                <w:sz w:val="18"/>
                <w:szCs w:val="20"/>
              </w:rPr>
              <w:t>ârgu</w:t>
            </w:r>
            <w:r w:rsidRPr="009E2A70">
              <w:rPr>
                <w:sz w:val="18"/>
                <w:szCs w:val="20"/>
              </w:rPr>
              <w:t xml:space="preserve"> Mureș - Sovata bicycle track (Reconversion of the railway line)</w:t>
            </w:r>
          </w:p>
          <w:p w14:paraId="3563141C" w14:textId="77777777" w:rsidR="00E934EF" w:rsidRPr="009E2A70" w:rsidRDefault="00226806"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 xml:space="preserve">Polarised perspective on the future of </w:t>
            </w:r>
            <w:r w:rsidR="002E65CB" w:rsidRPr="009E2A70">
              <w:rPr>
                <w:sz w:val="18"/>
                <w:szCs w:val="20"/>
              </w:rPr>
              <w:t>Azomureș</w:t>
            </w:r>
            <w:r w:rsidRPr="009E2A70">
              <w:rPr>
                <w:sz w:val="18"/>
                <w:szCs w:val="20"/>
              </w:rPr>
              <w:t xml:space="preserve"> in the county - </w:t>
            </w:r>
            <w:r w:rsidR="002E65CB" w:rsidRPr="009E2A70">
              <w:rPr>
                <w:sz w:val="18"/>
                <w:szCs w:val="20"/>
              </w:rPr>
              <w:t>there are some who believe in the possibility to change Azo</w:t>
            </w:r>
            <w:r w:rsidR="00E934EF" w:rsidRPr="009E2A70">
              <w:rPr>
                <w:sz w:val="18"/>
                <w:szCs w:val="20"/>
              </w:rPr>
              <w:t>m</w:t>
            </w:r>
            <w:r w:rsidR="004F70E0" w:rsidRPr="009E2A70">
              <w:rPr>
                <w:sz w:val="18"/>
                <w:szCs w:val="20"/>
              </w:rPr>
              <w:t>ureș</w:t>
            </w:r>
            <w:r w:rsidR="002E65CB" w:rsidRPr="009E2A70">
              <w:rPr>
                <w:sz w:val="18"/>
                <w:szCs w:val="20"/>
              </w:rPr>
              <w:t xml:space="preserve">, by reducing emissions below European thresholds, </w:t>
            </w:r>
            <w:r w:rsidRPr="009E2A70">
              <w:rPr>
                <w:sz w:val="18"/>
                <w:szCs w:val="20"/>
              </w:rPr>
              <w:t xml:space="preserve">while others don’t and would </w:t>
            </w:r>
            <w:r w:rsidR="00E934EF" w:rsidRPr="009E2A70">
              <w:rPr>
                <w:sz w:val="18"/>
                <w:szCs w:val="20"/>
              </w:rPr>
              <w:t>r</w:t>
            </w:r>
            <w:r w:rsidRPr="009E2A70">
              <w:rPr>
                <w:sz w:val="18"/>
                <w:szCs w:val="20"/>
              </w:rPr>
              <w:t>ather have Azo</w:t>
            </w:r>
            <w:r w:rsidR="00E934EF" w:rsidRPr="009E2A70">
              <w:rPr>
                <w:sz w:val="18"/>
                <w:szCs w:val="20"/>
              </w:rPr>
              <w:t>m</w:t>
            </w:r>
            <w:r w:rsidR="004F70E0" w:rsidRPr="009E2A70">
              <w:rPr>
                <w:sz w:val="18"/>
                <w:szCs w:val="20"/>
              </w:rPr>
              <w:t>ureș</w:t>
            </w:r>
            <w:r w:rsidRPr="009E2A70">
              <w:rPr>
                <w:sz w:val="18"/>
                <w:szCs w:val="20"/>
              </w:rPr>
              <w:t xml:space="preserve"> cease o</w:t>
            </w:r>
            <w:r w:rsidR="00E934EF" w:rsidRPr="009E2A70">
              <w:rPr>
                <w:sz w:val="18"/>
                <w:szCs w:val="20"/>
              </w:rPr>
              <w:t>p</w:t>
            </w:r>
            <w:r w:rsidRPr="009E2A70">
              <w:rPr>
                <w:sz w:val="18"/>
                <w:szCs w:val="20"/>
              </w:rPr>
              <w:t>erations as the relatively resilient local economy would absorb the shock</w:t>
            </w:r>
            <w:r w:rsidR="00E934EF" w:rsidRPr="009E2A70">
              <w:rPr>
                <w:sz w:val="18"/>
                <w:szCs w:val="20"/>
              </w:rPr>
              <w:t>.</w:t>
            </w:r>
          </w:p>
          <w:p w14:paraId="047D2B0B" w14:textId="43CDC845" w:rsidR="002E65CB" w:rsidRPr="009E2A70" w:rsidRDefault="00226806" w:rsidP="00E42342">
            <w:pPr>
              <w:pStyle w:val="Briefingtext"/>
              <w:numPr>
                <w:ilvl w:val="0"/>
                <w:numId w:val="327"/>
              </w:numPr>
              <w:pBdr>
                <w:top w:val="nil"/>
                <w:left w:val="nil"/>
                <w:bottom w:val="nil"/>
                <w:right w:val="nil"/>
                <w:between w:val="nil"/>
              </w:pBdr>
              <w:spacing w:after="0"/>
              <w:textDirection w:val="btLr"/>
              <w:rPr>
                <w:sz w:val="18"/>
                <w:szCs w:val="20"/>
              </w:rPr>
            </w:pPr>
            <w:r w:rsidRPr="009E2A70">
              <w:rPr>
                <w:sz w:val="18"/>
                <w:szCs w:val="20"/>
              </w:rPr>
              <w:t>Solutions for Azo</w:t>
            </w:r>
            <w:r w:rsidR="00E934EF" w:rsidRPr="009E2A70">
              <w:rPr>
                <w:sz w:val="18"/>
                <w:szCs w:val="20"/>
              </w:rPr>
              <w:t>m</w:t>
            </w:r>
            <w:r w:rsidR="004F70E0" w:rsidRPr="009E2A70">
              <w:rPr>
                <w:sz w:val="18"/>
                <w:szCs w:val="20"/>
              </w:rPr>
              <w:t>ureș</w:t>
            </w:r>
            <w:r w:rsidRPr="009E2A70">
              <w:rPr>
                <w:sz w:val="18"/>
                <w:szCs w:val="20"/>
              </w:rPr>
              <w:t xml:space="preserve"> comprise </w:t>
            </w:r>
            <w:r w:rsidR="002E65CB" w:rsidRPr="009E2A70">
              <w:rPr>
                <w:sz w:val="18"/>
                <w:szCs w:val="20"/>
              </w:rPr>
              <w:t xml:space="preserve">PV-based green </w:t>
            </w:r>
            <w:r w:rsidR="00E934EF" w:rsidRPr="009E2A70">
              <w:rPr>
                <w:sz w:val="18"/>
                <w:szCs w:val="20"/>
              </w:rPr>
              <w:t xml:space="preserve">hydrogen </w:t>
            </w:r>
            <w:r w:rsidR="002E65CB" w:rsidRPr="009E2A70">
              <w:rPr>
                <w:sz w:val="18"/>
                <w:szCs w:val="20"/>
              </w:rPr>
              <w:t>– climate neutralit</w:t>
            </w:r>
            <w:r w:rsidR="00E934EF" w:rsidRPr="009E2A70">
              <w:rPr>
                <w:sz w:val="18"/>
                <w:szCs w:val="20"/>
              </w:rPr>
              <w:t>y</w:t>
            </w:r>
            <w:r w:rsidRPr="009E2A70">
              <w:rPr>
                <w:sz w:val="18"/>
                <w:szCs w:val="20"/>
              </w:rPr>
              <w:t xml:space="preserve">, </w:t>
            </w:r>
            <w:r w:rsidR="002E65CB" w:rsidRPr="009E2A70">
              <w:rPr>
                <w:sz w:val="18"/>
                <w:szCs w:val="20"/>
              </w:rPr>
              <w:t xml:space="preserve">partnership with PV </w:t>
            </w:r>
            <w:r w:rsidRPr="009E2A70">
              <w:rPr>
                <w:sz w:val="18"/>
                <w:szCs w:val="20"/>
              </w:rPr>
              <w:t xml:space="preserve">developers, </w:t>
            </w:r>
            <w:r w:rsidR="002E65CB" w:rsidRPr="009E2A70">
              <w:rPr>
                <w:sz w:val="18"/>
                <w:szCs w:val="20"/>
              </w:rPr>
              <w:t>CCS (at 90 EUR/ ton</w:t>
            </w:r>
            <w:r w:rsidR="005829E8" w:rsidRPr="009E2A70">
              <w:rPr>
                <w:sz w:val="18"/>
                <w:szCs w:val="20"/>
              </w:rPr>
              <w:t>n</w:t>
            </w:r>
            <w:r w:rsidR="002E65CB" w:rsidRPr="009E2A70">
              <w:rPr>
                <w:sz w:val="18"/>
                <w:szCs w:val="20"/>
              </w:rPr>
              <w:t xml:space="preserve">e </w:t>
            </w:r>
            <w:r w:rsidR="00CD5FFC" w:rsidRPr="00C510BD">
              <w:rPr>
                <w:sz w:val="20"/>
                <w:szCs w:val="20"/>
              </w:rPr>
              <w:t>CO</w:t>
            </w:r>
            <w:r w:rsidR="00CD5FFC" w:rsidRPr="001C148D">
              <w:rPr>
                <w:sz w:val="20"/>
                <w:szCs w:val="20"/>
                <w:vertAlign w:val="subscript"/>
              </w:rPr>
              <w:t>2</w:t>
            </w:r>
            <w:r w:rsidR="00CD5FFC">
              <w:rPr>
                <w:sz w:val="18"/>
                <w:szCs w:val="20"/>
              </w:rPr>
              <w:t xml:space="preserve"> </w:t>
            </w:r>
            <w:r w:rsidR="002E65CB" w:rsidRPr="009E2A70">
              <w:rPr>
                <w:sz w:val="18"/>
                <w:szCs w:val="20"/>
              </w:rPr>
              <w:t>makes sense from a market p</w:t>
            </w:r>
            <w:r w:rsidR="00E934EF" w:rsidRPr="009E2A70">
              <w:rPr>
                <w:sz w:val="18"/>
                <w:szCs w:val="20"/>
              </w:rPr>
              <w:t>erspective</w:t>
            </w:r>
            <w:r w:rsidR="002E65CB" w:rsidRPr="009E2A70">
              <w:rPr>
                <w:sz w:val="18"/>
                <w:szCs w:val="20"/>
              </w:rPr>
              <w:t>)</w:t>
            </w:r>
          </w:p>
          <w:p w14:paraId="135D7978" w14:textId="20E78061" w:rsidR="002E65CB" w:rsidRPr="009E2A70" w:rsidRDefault="00226806" w:rsidP="00E42342">
            <w:pPr>
              <w:pStyle w:val="Briefingtext"/>
              <w:numPr>
                <w:ilvl w:val="0"/>
                <w:numId w:val="327"/>
              </w:numPr>
              <w:pBdr>
                <w:top w:val="nil"/>
                <w:left w:val="nil"/>
                <w:bottom w:val="nil"/>
                <w:right w:val="nil"/>
                <w:between w:val="nil"/>
              </w:pBdr>
              <w:spacing w:after="0"/>
              <w:textDirection w:val="btLr"/>
              <w:rPr>
                <w:sz w:val="18"/>
                <w:szCs w:val="20"/>
              </w:rPr>
            </w:pPr>
            <w:r w:rsidRPr="009E2A70">
              <w:rPr>
                <w:sz w:val="18"/>
                <w:szCs w:val="20"/>
              </w:rPr>
              <w:t>Those who</w:t>
            </w:r>
            <w:r w:rsidR="002E65CB" w:rsidRPr="009E2A70">
              <w:rPr>
                <w:sz w:val="18"/>
                <w:szCs w:val="20"/>
              </w:rPr>
              <w:t xml:space="preserve"> do not believe in this transformation insist on the transition to organic fertilizers</w:t>
            </w:r>
            <w:r w:rsidRPr="009E2A70">
              <w:rPr>
                <w:sz w:val="18"/>
                <w:szCs w:val="20"/>
              </w:rPr>
              <w:t>, saying t</w:t>
            </w:r>
            <w:r w:rsidR="002E65CB" w:rsidRPr="009E2A70">
              <w:rPr>
                <w:sz w:val="18"/>
                <w:szCs w:val="20"/>
              </w:rPr>
              <w:t xml:space="preserve">here is no future for retrofitting, </w:t>
            </w:r>
            <w:r w:rsidRPr="009E2A70">
              <w:rPr>
                <w:sz w:val="18"/>
                <w:szCs w:val="20"/>
              </w:rPr>
              <w:t>because</w:t>
            </w:r>
            <w:r w:rsidR="002E65CB" w:rsidRPr="009E2A70">
              <w:rPr>
                <w:sz w:val="18"/>
                <w:szCs w:val="20"/>
              </w:rPr>
              <w:t xml:space="preserve"> ammonium nitrate has no future, </w:t>
            </w:r>
            <w:r w:rsidRPr="009E2A70">
              <w:rPr>
                <w:sz w:val="18"/>
                <w:szCs w:val="20"/>
              </w:rPr>
              <w:t>since there will be a gas phaseout, just as there is one now for coal</w:t>
            </w:r>
          </w:p>
          <w:p w14:paraId="0E0959BC" w14:textId="77777777" w:rsidR="00E934EF"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IRUM</w:t>
            </w:r>
            <w:r w:rsidR="00226806" w:rsidRPr="009E2A70">
              <w:rPr>
                <w:sz w:val="18"/>
                <w:szCs w:val="20"/>
              </w:rPr>
              <w:t xml:space="preserve"> - </w:t>
            </w:r>
            <w:r w:rsidR="005829E8" w:rsidRPr="009E2A70">
              <w:rPr>
                <w:sz w:val="18"/>
                <w:szCs w:val="20"/>
              </w:rPr>
              <w:t>R</w:t>
            </w:r>
            <w:r w:rsidRPr="009E2A70">
              <w:rPr>
                <w:sz w:val="18"/>
                <w:szCs w:val="20"/>
              </w:rPr>
              <w:t>eusing scrap</w:t>
            </w:r>
            <w:r w:rsidR="00226806" w:rsidRPr="009E2A70">
              <w:rPr>
                <w:sz w:val="18"/>
                <w:szCs w:val="20"/>
              </w:rPr>
              <w:t xml:space="preserve">, </w:t>
            </w:r>
            <w:r w:rsidR="00E934EF" w:rsidRPr="009E2A70">
              <w:rPr>
                <w:sz w:val="18"/>
                <w:szCs w:val="20"/>
              </w:rPr>
              <w:t>environmentally</w:t>
            </w:r>
            <w:r w:rsidRPr="009E2A70">
              <w:rPr>
                <w:sz w:val="18"/>
                <w:szCs w:val="20"/>
              </w:rPr>
              <w:t xml:space="preserve"> friendly dyeing</w:t>
            </w:r>
            <w:r w:rsidR="00226806" w:rsidRPr="009E2A70">
              <w:rPr>
                <w:sz w:val="18"/>
                <w:szCs w:val="20"/>
              </w:rPr>
              <w:t>, e</w:t>
            </w:r>
            <w:r w:rsidRPr="009E2A70">
              <w:rPr>
                <w:sz w:val="18"/>
                <w:szCs w:val="20"/>
              </w:rPr>
              <w:t>lectrified tractor</w:t>
            </w:r>
          </w:p>
          <w:p w14:paraId="5925A230" w14:textId="77777777" w:rsidR="00E934EF"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Agricultural machinery manufacturing (incl</w:t>
            </w:r>
            <w:r w:rsidR="00E934EF" w:rsidRPr="009E2A70">
              <w:rPr>
                <w:sz w:val="18"/>
                <w:szCs w:val="20"/>
              </w:rPr>
              <w:t>uding</w:t>
            </w:r>
            <w:r w:rsidRPr="009E2A70">
              <w:rPr>
                <w:sz w:val="18"/>
                <w:szCs w:val="20"/>
              </w:rPr>
              <w:t xml:space="preserve"> R&amp;D)</w:t>
            </w:r>
          </w:p>
          <w:p w14:paraId="3C72143B" w14:textId="6C357064" w:rsidR="002E65CB"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Medicine-intended chemistry</w:t>
            </w:r>
          </w:p>
          <w:p w14:paraId="7F7EE8C2" w14:textId="77777777" w:rsidR="002E65CB" w:rsidRPr="009E2A70" w:rsidRDefault="002E65CB" w:rsidP="00E42342">
            <w:pPr>
              <w:pStyle w:val="Briefingtext"/>
              <w:numPr>
                <w:ilvl w:val="0"/>
                <w:numId w:val="327"/>
              </w:numPr>
              <w:pBdr>
                <w:top w:val="nil"/>
                <w:left w:val="nil"/>
                <w:bottom w:val="nil"/>
                <w:right w:val="nil"/>
                <w:between w:val="nil"/>
              </w:pBdr>
              <w:spacing w:after="0"/>
              <w:textDirection w:val="btLr"/>
              <w:rPr>
                <w:sz w:val="18"/>
                <w:szCs w:val="20"/>
              </w:rPr>
            </w:pPr>
            <w:r w:rsidRPr="009E2A70">
              <w:rPr>
                <w:sz w:val="18"/>
                <w:szCs w:val="20"/>
              </w:rPr>
              <w:t>Drug-manufacturing plant</w:t>
            </w:r>
          </w:p>
          <w:p w14:paraId="42B445B3" w14:textId="77777777" w:rsidR="002E65CB" w:rsidRPr="009E2A70" w:rsidRDefault="002E65CB" w:rsidP="00E42342">
            <w:pPr>
              <w:pStyle w:val="Briefingtext"/>
              <w:numPr>
                <w:ilvl w:val="0"/>
                <w:numId w:val="327"/>
              </w:numPr>
              <w:pBdr>
                <w:top w:val="nil"/>
                <w:left w:val="nil"/>
                <w:bottom w:val="nil"/>
                <w:right w:val="nil"/>
                <w:between w:val="nil"/>
              </w:pBdr>
              <w:spacing w:after="0"/>
              <w:textDirection w:val="btLr"/>
              <w:rPr>
                <w:sz w:val="18"/>
                <w:szCs w:val="20"/>
              </w:rPr>
            </w:pPr>
            <w:r w:rsidRPr="009E2A70">
              <w:rPr>
                <w:sz w:val="18"/>
                <w:szCs w:val="20"/>
              </w:rPr>
              <w:t>Medical tourism</w:t>
            </w:r>
          </w:p>
          <w:p w14:paraId="18E2BB2C" w14:textId="5AE6D554" w:rsidR="002E65CB" w:rsidRPr="009E2A70" w:rsidRDefault="002E65CB" w:rsidP="00E42342">
            <w:pPr>
              <w:pStyle w:val="Briefingtext"/>
              <w:numPr>
                <w:ilvl w:val="0"/>
                <w:numId w:val="327"/>
              </w:numPr>
              <w:pBdr>
                <w:top w:val="nil"/>
                <w:left w:val="nil"/>
                <w:bottom w:val="nil"/>
                <w:right w:val="nil"/>
                <w:between w:val="nil"/>
              </w:pBdr>
              <w:spacing w:after="0"/>
              <w:textDirection w:val="btLr"/>
              <w:rPr>
                <w:sz w:val="18"/>
                <w:szCs w:val="20"/>
              </w:rPr>
            </w:pPr>
            <w:r w:rsidRPr="009E2A70">
              <w:rPr>
                <w:sz w:val="18"/>
                <w:szCs w:val="20"/>
              </w:rPr>
              <w:lastRenderedPageBreak/>
              <w:t>M</w:t>
            </w:r>
            <w:r w:rsidR="00E934EF" w:rsidRPr="009E2A70">
              <w:rPr>
                <w:sz w:val="18"/>
                <w:szCs w:val="20"/>
              </w:rPr>
              <w:t>edtech</w:t>
            </w:r>
            <w:r w:rsidRPr="009E2A70">
              <w:rPr>
                <w:sz w:val="18"/>
                <w:szCs w:val="20"/>
              </w:rPr>
              <w:t xml:space="preserve"> IT</w:t>
            </w:r>
          </w:p>
          <w:p w14:paraId="4D3343FA" w14:textId="77777777" w:rsidR="002E65CB" w:rsidRPr="009E2A70"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9E2A70">
              <w:rPr>
                <w:sz w:val="18"/>
                <w:szCs w:val="20"/>
              </w:rPr>
              <w:t>IT business incubator</w:t>
            </w:r>
          </w:p>
          <w:p w14:paraId="42C3A21D"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Medical engineering</w:t>
            </w:r>
          </w:p>
          <w:p w14:paraId="662F19A2"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 xml:space="preserve">Constructions </w:t>
            </w:r>
          </w:p>
          <w:p w14:paraId="27375AE6" w14:textId="19ADC24A" w:rsidR="002E65CB" w:rsidRPr="009E2A70" w:rsidRDefault="002E65CB" w:rsidP="00E42342">
            <w:pPr>
              <w:pStyle w:val="Briefingtext"/>
              <w:numPr>
                <w:ilvl w:val="0"/>
                <w:numId w:val="326"/>
              </w:numPr>
              <w:spacing w:after="0"/>
              <w:textDirection w:val="btLr"/>
              <w:rPr>
                <w:sz w:val="18"/>
                <w:szCs w:val="20"/>
              </w:rPr>
            </w:pPr>
            <w:r w:rsidRPr="009E2A70">
              <w:rPr>
                <w:sz w:val="18"/>
                <w:szCs w:val="20"/>
              </w:rPr>
              <w:t>Logistics</w:t>
            </w:r>
            <w:r w:rsidR="00226806" w:rsidRPr="009E2A70">
              <w:rPr>
                <w:sz w:val="18"/>
                <w:szCs w:val="20"/>
              </w:rPr>
              <w:t xml:space="preserve"> - </w:t>
            </w:r>
            <w:r w:rsidRPr="009E2A70">
              <w:rPr>
                <w:sz w:val="18"/>
                <w:szCs w:val="20"/>
              </w:rPr>
              <w:t>materials’ storage</w:t>
            </w:r>
          </w:p>
          <w:p w14:paraId="11A6ED5E" w14:textId="3D7283C4" w:rsidR="002E65CB" w:rsidRPr="009E2A70" w:rsidRDefault="002E65CB" w:rsidP="00E42342">
            <w:pPr>
              <w:pStyle w:val="Briefingtext"/>
              <w:numPr>
                <w:ilvl w:val="0"/>
                <w:numId w:val="326"/>
              </w:numPr>
              <w:spacing w:after="0"/>
              <w:textDirection w:val="btLr"/>
              <w:rPr>
                <w:sz w:val="18"/>
                <w:szCs w:val="20"/>
              </w:rPr>
            </w:pPr>
            <w:r w:rsidRPr="009E2A70">
              <w:rPr>
                <w:sz w:val="18"/>
                <w:szCs w:val="20"/>
              </w:rPr>
              <w:t>Iernut</w:t>
            </w:r>
            <w:r w:rsidR="00226806" w:rsidRPr="009E2A70">
              <w:rPr>
                <w:sz w:val="18"/>
                <w:szCs w:val="20"/>
              </w:rPr>
              <w:t xml:space="preserve"> – future </w:t>
            </w:r>
            <w:r w:rsidR="006161BD" w:rsidRPr="009E2A70">
              <w:rPr>
                <w:sz w:val="18"/>
                <w:szCs w:val="20"/>
              </w:rPr>
              <w:t>decarbonized plant</w:t>
            </w:r>
          </w:p>
          <w:p w14:paraId="7E702E77" w14:textId="77777777" w:rsidR="00E934EF" w:rsidRPr="009E2A70" w:rsidRDefault="002E65CB" w:rsidP="00E42342">
            <w:pPr>
              <w:pStyle w:val="Briefingtext"/>
              <w:numPr>
                <w:ilvl w:val="0"/>
                <w:numId w:val="326"/>
              </w:numPr>
              <w:spacing w:after="0"/>
              <w:textDirection w:val="btLr"/>
              <w:rPr>
                <w:sz w:val="18"/>
                <w:szCs w:val="20"/>
              </w:rPr>
            </w:pPr>
            <w:r w:rsidRPr="009E2A70">
              <w:rPr>
                <w:sz w:val="18"/>
                <w:szCs w:val="20"/>
              </w:rPr>
              <w:t>1</w:t>
            </w:r>
            <w:r w:rsidR="005829E8" w:rsidRPr="009E2A70">
              <w:rPr>
                <w:sz w:val="18"/>
                <w:szCs w:val="20"/>
              </w:rPr>
              <w:t>,</w:t>
            </w:r>
            <w:r w:rsidRPr="009E2A70">
              <w:rPr>
                <w:sz w:val="18"/>
                <w:szCs w:val="20"/>
              </w:rPr>
              <w:t>000 acre logistics park (public investment) – infrastructure – problem accessing lands (expropriations)</w:t>
            </w:r>
            <w:r w:rsidR="006161BD" w:rsidRPr="009E2A70">
              <w:rPr>
                <w:sz w:val="18"/>
                <w:szCs w:val="20"/>
              </w:rPr>
              <w:t xml:space="preserve">, with EV </w:t>
            </w:r>
            <w:r w:rsidRPr="009E2A70">
              <w:rPr>
                <w:sz w:val="18"/>
                <w:szCs w:val="20"/>
              </w:rPr>
              <w:t>transportation</w:t>
            </w:r>
          </w:p>
          <w:p w14:paraId="67B218F5" w14:textId="0EA581C5" w:rsidR="002E65CB" w:rsidRPr="009E2A70" w:rsidRDefault="002E65CB" w:rsidP="00E42342">
            <w:pPr>
              <w:pStyle w:val="Briefingtext"/>
              <w:numPr>
                <w:ilvl w:val="0"/>
                <w:numId w:val="326"/>
              </w:numPr>
              <w:spacing w:after="0"/>
              <w:textDirection w:val="btLr"/>
              <w:rPr>
                <w:sz w:val="18"/>
                <w:szCs w:val="20"/>
              </w:rPr>
            </w:pPr>
            <w:r w:rsidRPr="009E2A70">
              <w:rPr>
                <w:sz w:val="18"/>
                <w:szCs w:val="20"/>
              </w:rPr>
              <w:t>Furniture manufacturing, auto services, PVC – scattered (a large investor is need</w:t>
            </w:r>
            <w:r w:rsidR="006161BD" w:rsidRPr="009E2A70">
              <w:rPr>
                <w:sz w:val="18"/>
                <w:szCs w:val="20"/>
              </w:rPr>
              <w:t>ed</w:t>
            </w:r>
            <w:r w:rsidRPr="009E2A70">
              <w:rPr>
                <w:sz w:val="18"/>
                <w:szCs w:val="20"/>
              </w:rPr>
              <w:t xml:space="preserve"> to </w:t>
            </w:r>
            <w:r w:rsidR="006161BD" w:rsidRPr="009E2A70">
              <w:rPr>
                <w:sz w:val="18"/>
                <w:szCs w:val="20"/>
              </w:rPr>
              <w:t>drive</w:t>
            </w:r>
            <w:r w:rsidRPr="009E2A70">
              <w:rPr>
                <w:sz w:val="18"/>
                <w:szCs w:val="20"/>
              </w:rPr>
              <w:t xml:space="preserve"> this)</w:t>
            </w:r>
          </w:p>
          <w:p w14:paraId="367460AC"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Large PV park</w:t>
            </w:r>
          </w:p>
          <w:p w14:paraId="29AD6F04"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Agri-food industry</w:t>
            </w:r>
          </w:p>
          <w:p w14:paraId="7D88BFB2"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Qualifications= locksmith</w:t>
            </w:r>
          </w:p>
          <w:p w14:paraId="022F084D"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Dual education (model Sibiu, BV) – financing methods?</w:t>
            </w:r>
          </w:p>
          <w:p w14:paraId="765EE0F6" w14:textId="30B38B82" w:rsidR="002E65CB" w:rsidRPr="009E2A70" w:rsidRDefault="002E65CB" w:rsidP="00E42342">
            <w:pPr>
              <w:pStyle w:val="Briefingtext"/>
              <w:numPr>
                <w:ilvl w:val="0"/>
                <w:numId w:val="326"/>
              </w:numPr>
              <w:spacing w:after="0"/>
              <w:textDirection w:val="btLr"/>
              <w:rPr>
                <w:sz w:val="18"/>
                <w:szCs w:val="20"/>
              </w:rPr>
            </w:pPr>
            <w:r w:rsidRPr="009E2A70">
              <w:rPr>
                <w:sz w:val="18"/>
                <w:szCs w:val="20"/>
              </w:rPr>
              <w:t>Aided employment</w:t>
            </w:r>
          </w:p>
          <w:p w14:paraId="30E9413E"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 xml:space="preserve">Renovating heating systems – materials - energy audit – energy engineering </w:t>
            </w:r>
          </w:p>
          <w:p w14:paraId="7F78B55F" w14:textId="77777777" w:rsidR="002E65CB" w:rsidRPr="009E2A70" w:rsidRDefault="002E65CB" w:rsidP="00E42342">
            <w:pPr>
              <w:pStyle w:val="Briefingtext"/>
              <w:numPr>
                <w:ilvl w:val="0"/>
                <w:numId w:val="326"/>
              </w:numPr>
              <w:spacing w:after="0"/>
              <w:textDirection w:val="btLr"/>
              <w:rPr>
                <w:sz w:val="18"/>
                <w:szCs w:val="20"/>
              </w:rPr>
            </w:pPr>
            <w:r w:rsidRPr="009E2A70">
              <w:rPr>
                <w:sz w:val="18"/>
                <w:szCs w:val="20"/>
              </w:rPr>
              <w:t>Closed energy networks</w:t>
            </w:r>
          </w:p>
          <w:p w14:paraId="54D2F326" w14:textId="77777777" w:rsidR="002E65CB" w:rsidRPr="00E934EF" w:rsidRDefault="002E65CB" w:rsidP="00E42342">
            <w:pPr>
              <w:pStyle w:val="Briefingtext"/>
              <w:numPr>
                <w:ilvl w:val="0"/>
                <w:numId w:val="327"/>
              </w:numPr>
              <w:spacing w:after="0"/>
              <w:textDirection w:val="btLr"/>
              <w:rPr>
                <w:sz w:val="18"/>
                <w:szCs w:val="18"/>
              </w:rPr>
            </w:pPr>
            <w:r w:rsidRPr="001C7238">
              <w:rPr>
                <w:sz w:val="18"/>
                <w:szCs w:val="20"/>
              </w:rPr>
              <w:t>Smart grid – energy services, energy demand response.</w:t>
            </w:r>
            <w:r w:rsidRPr="00E934EF">
              <w:rPr>
                <w:sz w:val="18"/>
                <w:szCs w:val="18"/>
              </w:rPr>
              <w:t xml:space="preserve"> </w:t>
            </w:r>
          </w:p>
        </w:tc>
        <w:tc>
          <w:tcPr>
            <w:tcW w:w="2493" w:type="pct"/>
            <w:gridSpan w:val="2"/>
          </w:tcPr>
          <w:p w14:paraId="3BC6D98A" w14:textId="77777777" w:rsidR="002E65CB" w:rsidRPr="005829E8" w:rsidRDefault="002E65CB" w:rsidP="00EE02DE">
            <w:pPr>
              <w:spacing w:before="240" w:after="240"/>
              <w:ind w:hanging="2"/>
              <w:rPr>
                <w:rFonts w:ascii="Arial" w:hAnsi="Arial" w:cs="Arial"/>
                <w:sz w:val="18"/>
                <w:szCs w:val="18"/>
              </w:rPr>
            </w:pPr>
            <w:r w:rsidRPr="005829E8">
              <w:rPr>
                <w:rFonts w:ascii="Arial" w:hAnsi="Arial" w:cs="Arial"/>
                <w:b/>
                <w:sz w:val="18"/>
                <w:szCs w:val="18"/>
              </w:rPr>
              <w:lastRenderedPageBreak/>
              <w:t>Ideas, solutions, projects, opportunities:</w:t>
            </w:r>
          </w:p>
          <w:p w14:paraId="569449B7" w14:textId="77777777" w:rsidR="002E65CB" w:rsidRPr="005829E8" w:rsidRDefault="002E65CB" w:rsidP="00EE02DE">
            <w:pPr>
              <w:spacing w:after="240"/>
              <w:ind w:hanging="2"/>
              <w:rPr>
                <w:rFonts w:ascii="Arial" w:hAnsi="Arial" w:cs="Arial"/>
                <w:sz w:val="18"/>
                <w:szCs w:val="18"/>
              </w:rPr>
            </w:pPr>
            <w:r w:rsidRPr="005829E8">
              <w:rPr>
                <w:rFonts w:ascii="Arial" w:hAnsi="Arial" w:cs="Arial"/>
                <w:sz w:val="18"/>
                <w:szCs w:val="18"/>
              </w:rPr>
              <w:t xml:space="preserve">Ideas, solutions with regards to training, professional training </w:t>
            </w:r>
          </w:p>
          <w:p w14:paraId="11DCCF5E"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 xml:space="preserve">AJOFM has an annual training Programme: 30% of participants are uneducated (attending the “second chance” programme); the County School Board carries out projects related to Second chance programme </w:t>
            </w:r>
          </w:p>
          <w:p w14:paraId="5F0C137A"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AJOFM provides information and counseling services.</w:t>
            </w:r>
          </w:p>
          <w:p w14:paraId="6D54105A"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Dual Education – in place and ensures the identified/requested training needs of economic agents. The system should be developed, but the current law does not favour enterprises, who have high costs and a high risk, that in the medium term, they are unable to employ a young trained employee.</w:t>
            </w:r>
          </w:p>
          <w:p w14:paraId="4AD06DE1" w14:textId="77777777" w:rsidR="006161BD" w:rsidRPr="001C7238" w:rsidRDefault="002E65CB" w:rsidP="00E42342">
            <w:pPr>
              <w:pStyle w:val="Briefingtext"/>
              <w:numPr>
                <w:ilvl w:val="0"/>
                <w:numId w:val="326"/>
              </w:numPr>
              <w:spacing w:after="0"/>
              <w:textDirection w:val="btLr"/>
              <w:rPr>
                <w:sz w:val="18"/>
                <w:szCs w:val="20"/>
              </w:rPr>
            </w:pPr>
            <w:r w:rsidRPr="001C7238">
              <w:rPr>
                <w:sz w:val="18"/>
                <w:szCs w:val="20"/>
              </w:rPr>
              <w:t xml:space="preserve">There is a need for initial training projects </w:t>
            </w:r>
          </w:p>
          <w:p w14:paraId="4D042F27" w14:textId="0AD5E575" w:rsidR="002E65CB" w:rsidRPr="001C7238" w:rsidRDefault="002E65CB" w:rsidP="00E42342">
            <w:pPr>
              <w:pStyle w:val="Briefingtext"/>
              <w:numPr>
                <w:ilvl w:val="0"/>
                <w:numId w:val="326"/>
              </w:numPr>
              <w:spacing w:after="0"/>
              <w:textDirection w:val="btLr"/>
              <w:rPr>
                <w:sz w:val="18"/>
                <w:szCs w:val="20"/>
              </w:rPr>
            </w:pPr>
            <w:r w:rsidRPr="001C7238">
              <w:rPr>
                <w:sz w:val="18"/>
                <w:szCs w:val="20"/>
              </w:rPr>
              <w:t>Continuous training projects are needed for the uneducated (not sporadically)</w:t>
            </w:r>
          </w:p>
          <w:p w14:paraId="3491B8B8" w14:textId="12BDEF14" w:rsidR="002E65CB" w:rsidRPr="001C7238" w:rsidRDefault="002E65CB" w:rsidP="00E42342">
            <w:pPr>
              <w:pStyle w:val="Briefingtext"/>
              <w:numPr>
                <w:ilvl w:val="0"/>
                <w:numId w:val="326"/>
              </w:numPr>
              <w:spacing w:after="0"/>
              <w:textDirection w:val="btLr"/>
              <w:rPr>
                <w:sz w:val="18"/>
                <w:szCs w:val="20"/>
              </w:rPr>
            </w:pPr>
            <w:r w:rsidRPr="001C7238">
              <w:rPr>
                <w:sz w:val="18"/>
                <w:szCs w:val="20"/>
              </w:rPr>
              <w:t>Integrated projects</w:t>
            </w:r>
            <w:r w:rsidR="005829E8" w:rsidRPr="001C7238">
              <w:rPr>
                <w:sz w:val="18"/>
                <w:szCs w:val="20"/>
              </w:rPr>
              <w:t>:</w:t>
            </w:r>
            <w:r w:rsidRPr="001C7238">
              <w:rPr>
                <w:sz w:val="18"/>
                <w:szCs w:val="20"/>
              </w:rPr>
              <w:t xml:space="preserve"> Education – Professional training – Social to ensure stakeholders’ success and integration. Life-long training programmes must be established, i.e also have the AIDED EMPLOYMENT component.</w:t>
            </w:r>
          </w:p>
          <w:p w14:paraId="5568449B"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Identifying the jobs of the future – the need for an assessment in order to prepare for the future.</w:t>
            </w:r>
          </w:p>
          <w:p w14:paraId="1C1CDF61" w14:textId="77777777" w:rsidR="002E65CB" w:rsidRPr="001C7238"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1C7238">
              <w:rPr>
                <w:sz w:val="18"/>
                <w:szCs w:val="20"/>
              </w:rPr>
              <w:t>Aligning the schooling system to the needs of the labour market</w:t>
            </w:r>
          </w:p>
          <w:p w14:paraId="1AB24363" w14:textId="77777777" w:rsidR="002E65CB" w:rsidRPr="001C7238"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1C7238">
              <w:rPr>
                <w:sz w:val="18"/>
                <w:szCs w:val="20"/>
              </w:rPr>
              <w:t xml:space="preserve">Competition between companies for keeping local workforce </w:t>
            </w:r>
          </w:p>
          <w:p w14:paraId="43CFFAD1" w14:textId="77777777" w:rsidR="002E65CB" w:rsidRPr="005829E8" w:rsidRDefault="002E65CB" w:rsidP="001C7238">
            <w:pPr>
              <w:spacing w:before="120" w:after="120"/>
              <w:rPr>
                <w:rFonts w:ascii="Arial" w:hAnsi="Arial" w:cs="Arial"/>
                <w:sz w:val="18"/>
                <w:szCs w:val="18"/>
              </w:rPr>
            </w:pPr>
            <w:r w:rsidRPr="005829E8">
              <w:rPr>
                <w:rFonts w:ascii="Arial" w:hAnsi="Arial" w:cs="Arial"/>
                <w:sz w:val="18"/>
                <w:szCs w:val="18"/>
              </w:rPr>
              <w:t>Mobility programmes deemed as pertinent (transportation for isolated rural areas)</w:t>
            </w:r>
          </w:p>
          <w:p w14:paraId="1CD5F334" w14:textId="77777777" w:rsidR="002E65CB" w:rsidRPr="005829E8" w:rsidRDefault="002E65CB" w:rsidP="007D4809">
            <w:pPr>
              <w:spacing w:after="120"/>
              <w:rPr>
                <w:rFonts w:ascii="Arial" w:hAnsi="Arial" w:cs="Arial"/>
                <w:sz w:val="18"/>
                <w:szCs w:val="18"/>
              </w:rPr>
            </w:pPr>
            <w:r w:rsidRPr="005829E8">
              <w:rPr>
                <w:rFonts w:ascii="Arial" w:hAnsi="Arial" w:cs="Arial"/>
                <w:sz w:val="18"/>
                <w:szCs w:val="18"/>
              </w:rPr>
              <w:lastRenderedPageBreak/>
              <w:t xml:space="preserve">Need for programmes in entrepreneurship development </w:t>
            </w:r>
          </w:p>
          <w:p w14:paraId="56DFCC1C" w14:textId="77777777" w:rsidR="002E65CB" w:rsidRPr="005829E8" w:rsidRDefault="002E65CB" w:rsidP="007D4809">
            <w:pPr>
              <w:spacing w:after="120"/>
              <w:rPr>
                <w:rFonts w:ascii="Arial" w:hAnsi="Arial" w:cs="Arial"/>
                <w:sz w:val="18"/>
                <w:szCs w:val="18"/>
              </w:rPr>
            </w:pPr>
            <w:r w:rsidRPr="005829E8">
              <w:rPr>
                <w:rFonts w:ascii="Arial" w:hAnsi="Arial" w:cs="Arial"/>
                <w:sz w:val="18"/>
                <w:szCs w:val="18"/>
              </w:rPr>
              <w:t xml:space="preserve">Developing economic activities for the future by following the chain of value of electric cars: new services, new skills etc </w:t>
            </w:r>
          </w:p>
          <w:p w14:paraId="62A62D2E" w14:textId="77777777" w:rsidR="002E65CB" w:rsidRPr="005829E8" w:rsidRDefault="002E65CB" w:rsidP="007D4809">
            <w:pPr>
              <w:spacing w:after="120"/>
              <w:rPr>
                <w:rFonts w:ascii="Arial" w:hAnsi="Arial" w:cs="Arial"/>
                <w:sz w:val="18"/>
                <w:szCs w:val="18"/>
              </w:rPr>
            </w:pPr>
            <w:r w:rsidRPr="005829E8">
              <w:rPr>
                <w:rFonts w:ascii="Arial" w:hAnsi="Arial" w:cs="Arial"/>
                <w:sz w:val="18"/>
                <w:szCs w:val="18"/>
              </w:rPr>
              <w:t xml:space="preserve">Strategic ideas- cooperation: </w:t>
            </w:r>
          </w:p>
          <w:p w14:paraId="1C2023D7" w14:textId="4B416B1D" w:rsidR="002E65CB" w:rsidRPr="001C7238" w:rsidRDefault="002E65CB" w:rsidP="00E42342">
            <w:pPr>
              <w:pStyle w:val="Briefingtext"/>
              <w:numPr>
                <w:ilvl w:val="0"/>
                <w:numId w:val="326"/>
              </w:numPr>
              <w:spacing w:after="0"/>
              <w:textDirection w:val="btLr"/>
              <w:rPr>
                <w:sz w:val="18"/>
                <w:szCs w:val="20"/>
              </w:rPr>
            </w:pPr>
            <w:r w:rsidRPr="001C7238">
              <w:rPr>
                <w:sz w:val="18"/>
                <w:szCs w:val="20"/>
              </w:rPr>
              <w:t xml:space="preserve">Building/designing the county’s professional future (see </w:t>
            </w:r>
            <w:r w:rsidR="007D4809" w:rsidRPr="001C7238">
              <w:rPr>
                <w:sz w:val="18"/>
                <w:szCs w:val="20"/>
              </w:rPr>
              <w:t xml:space="preserve">Urban Innovation Actions </w:t>
            </w:r>
            <w:r w:rsidRPr="001C7238">
              <w:rPr>
                <w:sz w:val="18"/>
                <w:szCs w:val="20"/>
              </w:rPr>
              <w:t>project for Cluj)</w:t>
            </w:r>
          </w:p>
          <w:p w14:paraId="180BB8B0"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 xml:space="preserve">Establishing a local organisation/association for managing human resources (by engaging the public and private sectors) </w:t>
            </w:r>
          </w:p>
          <w:p w14:paraId="14B8F9A7" w14:textId="72478C38" w:rsidR="002E65CB" w:rsidRPr="007D4809" w:rsidRDefault="002E65CB" w:rsidP="00E42342">
            <w:pPr>
              <w:pStyle w:val="Briefingtext"/>
              <w:numPr>
                <w:ilvl w:val="0"/>
                <w:numId w:val="326"/>
              </w:numPr>
              <w:spacing w:after="0"/>
              <w:textDirection w:val="btLr"/>
              <w:rPr>
                <w:sz w:val="18"/>
                <w:szCs w:val="18"/>
              </w:rPr>
            </w:pPr>
            <w:r w:rsidRPr="001C7238">
              <w:rPr>
                <w:sz w:val="18"/>
                <w:szCs w:val="20"/>
              </w:rPr>
              <w:t>Identifying, promoting and reproducing the good practices in the area (Alba Iulia, Brașov)</w:t>
            </w:r>
          </w:p>
        </w:tc>
      </w:tr>
      <w:tr w:rsidR="002E65CB" w:rsidRPr="002E65CB" w14:paraId="3FC4DB2D" w14:textId="77777777" w:rsidTr="005829E8">
        <w:tc>
          <w:tcPr>
            <w:tcW w:w="2002" w:type="pct"/>
          </w:tcPr>
          <w:p w14:paraId="2F2B3C54" w14:textId="1B898C56" w:rsidR="002E65CB" w:rsidRPr="005829E8" w:rsidRDefault="002E65CB" w:rsidP="00EE02DE">
            <w:pPr>
              <w:spacing w:after="240"/>
              <w:ind w:hanging="2"/>
              <w:rPr>
                <w:rFonts w:ascii="Arial" w:hAnsi="Arial" w:cs="Arial"/>
                <w:b/>
                <w:sz w:val="18"/>
                <w:szCs w:val="18"/>
              </w:rPr>
            </w:pPr>
            <w:r w:rsidRPr="005829E8">
              <w:rPr>
                <w:rFonts w:ascii="Arial" w:hAnsi="Arial" w:cs="Arial"/>
                <w:b/>
                <w:sz w:val="18"/>
                <w:szCs w:val="18"/>
              </w:rPr>
              <w:lastRenderedPageBreak/>
              <w:t>Environmental challenges and opportunities (including recapitali</w:t>
            </w:r>
            <w:r w:rsidR="005829E8">
              <w:rPr>
                <w:rFonts w:ascii="Arial" w:hAnsi="Arial" w:cs="Arial"/>
                <w:b/>
                <w:sz w:val="18"/>
                <w:szCs w:val="18"/>
              </w:rPr>
              <w:t>s</w:t>
            </w:r>
            <w:r w:rsidRPr="005829E8">
              <w:rPr>
                <w:rFonts w:ascii="Arial" w:hAnsi="Arial" w:cs="Arial"/>
                <w:b/>
                <w:sz w:val="18"/>
                <w:szCs w:val="18"/>
              </w:rPr>
              <w:t>ation of “brownfield”</w:t>
            </w:r>
            <w:r w:rsidR="005829E8">
              <w:rPr>
                <w:rFonts w:ascii="Arial" w:hAnsi="Arial" w:cs="Arial"/>
                <w:b/>
                <w:sz w:val="18"/>
                <w:szCs w:val="18"/>
              </w:rPr>
              <w:t xml:space="preserve"> </w:t>
            </w:r>
            <w:r w:rsidRPr="005829E8">
              <w:rPr>
                <w:rFonts w:ascii="Arial" w:hAnsi="Arial" w:cs="Arial"/>
                <w:b/>
                <w:sz w:val="18"/>
                <w:szCs w:val="18"/>
              </w:rPr>
              <w:t xml:space="preserve">areas) </w:t>
            </w:r>
          </w:p>
          <w:p w14:paraId="28B62B33" w14:textId="06D99052" w:rsidR="002E65CB" w:rsidRPr="005829E8" w:rsidRDefault="002E65CB" w:rsidP="00EE02DE">
            <w:pPr>
              <w:spacing w:after="240"/>
              <w:ind w:hanging="2"/>
              <w:rPr>
                <w:rFonts w:ascii="Arial" w:hAnsi="Arial" w:cs="Arial"/>
                <w:sz w:val="18"/>
                <w:szCs w:val="18"/>
              </w:rPr>
            </w:pPr>
            <w:r w:rsidRPr="005829E8">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(abandoned/poorly used)” as resources for our region/county?</w:t>
            </w:r>
          </w:p>
        </w:tc>
        <w:tc>
          <w:tcPr>
            <w:tcW w:w="505" w:type="pct"/>
          </w:tcPr>
          <w:p w14:paraId="6FA3FE58" w14:textId="77777777" w:rsidR="002E65CB" w:rsidRPr="005829E8" w:rsidRDefault="002E65CB" w:rsidP="00EE02DE">
            <w:pPr>
              <w:ind w:hanging="2"/>
              <w:rPr>
                <w:rFonts w:ascii="Arial" w:hAnsi="Arial" w:cs="Arial"/>
                <w:sz w:val="18"/>
                <w:szCs w:val="18"/>
              </w:rPr>
            </w:pPr>
            <w:r w:rsidRPr="005829E8">
              <w:rPr>
                <w:rFonts w:ascii="Arial" w:hAnsi="Arial" w:cs="Arial"/>
                <w:noProof/>
                <w:sz w:val="18"/>
                <w:szCs w:val="18"/>
                <w:lang w:val="en-US" w:eastAsia="en-US"/>
              </w:rPr>
              <w:drawing>
                <wp:inline distT="114300" distB="114300" distL="114300" distR="114300" wp14:anchorId="5A237BDB" wp14:editId="1E536809">
                  <wp:extent cx="752475" cy="774700"/>
                  <wp:effectExtent l="0" t="0" r="0" b="0"/>
                  <wp:docPr id="3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8"/>
                          <a:srcRect/>
                          <a:stretch>
                            <a:fillRect/>
                          </a:stretch>
                        </pic:blipFill>
                        <pic:spPr>
                          <a:xfrm>
                            <a:off x="0" y="0"/>
                            <a:ext cx="752475" cy="774700"/>
                          </a:xfrm>
                          <a:prstGeom prst="rect">
                            <a:avLst/>
                          </a:prstGeom>
                          <a:ln/>
                        </pic:spPr>
                      </pic:pic>
                    </a:graphicData>
                  </a:graphic>
                </wp:inline>
              </w:drawing>
            </w:r>
          </w:p>
        </w:tc>
        <w:tc>
          <w:tcPr>
            <w:tcW w:w="2029" w:type="pct"/>
          </w:tcPr>
          <w:p w14:paraId="0161665E" w14:textId="77777777" w:rsidR="002E65CB" w:rsidRPr="005829E8" w:rsidRDefault="002E65CB" w:rsidP="00EE02DE">
            <w:pPr>
              <w:spacing w:before="100"/>
              <w:ind w:hanging="2"/>
              <w:rPr>
                <w:rFonts w:ascii="Arial" w:hAnsi="Arial" w:cs="Arial"/>
                <w:b/>
                <w:sz w:val="18"/>
                <w:szCs w:val="18"/>
              </w:rPr>
            </w:pPr>
            <w:r w:rsidRPr="005829E8">
              <w:rPr>
                <w:rFonts w:ascii="Arial" w:hAnsi="Arial" w:cs="Arial"/>
                <w:b/>
                <w:sz w:val="18"/>
                <w:szCs w:val="18"/>
              </w:rPr>
              <w:t>SME and entrepreneurship - vectors of regional development</w:t>
            </w:r>
          </w:p>
          <w:p w14:paraId="10A0C2F2" w14:textId="77777777" w:rsidR="002E65CB" w:rsidRPr="005829E8" w:rsidRDefault="002E65CB" w:rsidP="00EE02DE">
            <w:pPr>
              <w:spacing w:before="240"/>
              <w:ind w:hanging="2"/>
              <w:rPr>
                <w:rFonts w:ascii="Arial" w:hAnsi="Arial" w:cs="Arial"/>
                <w:b/>
                <w:sz w:val="18"/>
                <w:szCs w:val="18"/>
              </w:rPr>
            </w:pPr>
            <w:r w:rsidRPr="005829E8">
              <w:rPr>
                <w:rFonts w:ascii="Arial" w:hAnsi="Arial" w:cs="Arial"/>
                <w:i/>
                <w:sz w:val="18"/>
                <w:szCs w:val="18"/>
              </w:rPr>
              <w:t xml:space="preserve">What are the priority areas where SMEs can generate accelerated development in the region/county? How can we support the accelerated development of SMEs in our region/county? What makes our county unique? (from a SME perspective) </w:t>
            </w:r>
          </w:p>
        </w:tc>
        <w:tc>
          <w:tcPr>
            <w:tcW w:w="464" w:type="pct"/>
          </w:tcPr>
          <w:p w14:paraId="02638A7F" w14:textId="77777777" w:rsidR="002E65CB" w:rsidRPr="005829E8" w:rsidRDefault="002E65CB" w:rsidP="00EE02DE">
            <w:pPr>
              <w:ind w:hanging="2"/>
              <w:rPr>
                <w:rFonts w:ascii="Arial" w:hAnsi="Arial" w:cs="Arial"/>
                <w:sz w:val="18"/>
                <w:szCs w:val="18"/>
              </w:rPr>
            </w:pPr>
            <w:r w:rsidRPr="005829E8">
              <w:rPr>
                <w:rFonts w:ascii="Arial" w:hAnsi="Arial" w:cs="Arial"/>
                <w:noProof/>
                <w:sz w:val="18"/>
                <w:szCs w:val="18"/>
                <w:lang w:val="en-US" w:eastAsia="en-US"/>
              </w:rPr>
              <w:drawing>
                <wp:inline distT="114300" distB="114300" distL="114300" distR="114300" wp14:anchorId="00CAF532" wp14:editId="052D1D10">
                  <wp:extent cx="685800" cy="660400"/>
                  <wp:effectExtent l="0" t="0" r="0" b="0"/>
                  <wp:docPr id="3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09"/>
                          <a:srcRect/>
                          <a:stretch>
                            <a:fillRect/>
                          </a:stretch>
                        </pic:blipFill>
                        <pic:spPr>
                          <a:xfrm>
                            <a:off x="0" y="0"/>
                            <a:ext cx="685800" cy="660400"/>
                          </a:xfrm>
                          <a:prstGeom prst="rect">
                            <a:avLst/>
                          </a:prstGeom>
                          <a:ln/>
                        </pic:spPr>
                      </pic:pic>
                    </a:graphicData>
                  </a:graphic>
                </wp:inline>
              </w:drawing>
            </w:r>
          </w:p>
        </w:tc>
      </w:tr>
      <w:tr w:rsidR="002E65CB" w:rsidRPr="002E65CB" w14:paraId="0F0489D9" w14:textId="77777777" w:rsidTr="000A7086">
        <w:trPr>
          <w:trHeight w:val="70"/>
        </w:trPr>
        <w:tc>
          <w:tcPr>
            <w:tcW w:w="2507" w:type="pct"/>
            <w:gridSpan w:val="2"/>
          </w:tcPr>
          <w:p w14:paraId="7E1935E9" w14:textId="654F6C5A" w:rsidR="002E65CB" w:rsidRPr="005829E8" w:rsidRDefault="002E65CB" w:rsidP="007D4809">
            <w:pPr>
              <w:spacing w:before="240" w:after="120"/>
              <w:rPr>
                <w:rFonts w:ascii="Arial" w:hAnsi="Arial" w:cs="Arial"/>
                <w:sz w:val="18"/>
                <w:szCs w:val="18"/>
              </w:rPr>
            </w:pPr>
            <w:r w:rsidRPr="005829E8">
              <w:rPr>
                <w:rFonts w:ascii="Arial" w:hAnsi="Arial" w:cs="Arial"/>
                <w:sz w:val="18"/>
                <w:szCs w:val="18"/>
              </w:rPr>
              <w:t>The main ideas discussed in the working group are based on project ideas already reported on the C</w:t>
            </w:r>
            <w:r w:rsidR="001C7238">
              <w:rPr>
                <w:rFonts w:ascii="Arial" w:hAnsi="Arial" w:cs="Arial"/>
                <w:sz w:val="18"/>
                <w:szCs w:val="18"/>
              </w:rPr>
              <w:t>ounty Council’s</w:t>
            </w:r>
            <w:r w:rsidRPr="005829E8">
              <w:rPr>
                <w:rFonts w:ascii="Arial" w:hAnsi="Arial" w:cs="Arial"/>
                <w:sz w:val="18"/>
                <w:szCs w:val="18"/>
              </w:rPr>
              <w:t xml:space="preserve"> website containing detailed info.</w:t>
            </w:r>
          </w:p>
          <w:p w14:paraId="28361BAA" w14:textId="77777777" w:rsidR="002E65CB" w:rsidRPr="005829E8" w:rsidRDefault="002E65CB" w:rsidP="007D4809">
            <w:pPr>
              <w:spacing w:after="120"/>
              <w:rPr>
                <w:rFonts w:ascii="Arial" w:hAnsi="Arial" w:cs="Arial"/>
                <w:b/>
                <w:sz w:val="18"/>
                <w:szCs w:val="18"/>
              </w:rPr>
            </w:pPr>
            <w:r w:rsidRPr="005829E8">
              <w:rPr>
                <w:rFonts w:ascii="Arial" w:hAnsi="Arial" w:cs="Arial"/>
                <w:b/>
                <w:sz w:val="18"/>
                <w:szCs w:val="18"/>
              </w:rPr>
              <w:t>Challenges:</w:t>
            </w:r>
          </w:p>
          <w:p w14:paraId="3ED01183" w14:textId="39AC09AA" w:rsidR="002E65CB" w:rsidRPr="001C7238" w:rsidRDefault="002E65CB" w:rsidP="00E42342">
            <w:pPr>
              <w:pStyle w:val="Briefingtext"/>
              <w:numPr>
                <w:ilvl w:val="0"/>
                <w:numId w:val="326"/>
              </w:numPr>
              <w:spacing w:after="0"/>
              <w:textDirection w:val="btLr"/>
              <w:rPr>
                <w:sz w:val="18"/>
                <w:szCs w:val="20"/>
              </w:rPr>
            </w:pPr>
            <w:r w:rsidRPr="001C7238">
              <w:rPr>
                <w:sz w:val="18"/>
                <w:szCs w:val="20"/>
              </w:rPr>
              <w:t>Current with regards to degraded lands but also future with a 10 years potential given the future (uncertain) limitation of activity via Azo</w:t>
            </w:r>
            <w:r w:rsidR="001C7238">
              <w:rPr>
                <w:sz w:val="18"/>
                <w:szCs w:val="20"/>
              </w:rPr>
              <w:t>mu</w:t>
            </w:r>
            <w:r w:rsidRPr="001C7238">
              <w:rPr>
                <w:sz w:val="18"/>
                <w:szCs w:val="20"/>
              </w:rPr>
              <w:t>reș</w:t>
            </w:r>
          </w:p>
          <w:p w14:paraId="4F3CB6BD" w14:textId="65840862" w:rsidR="002E65CB" w:rsidRPr="001C7238" w:rsidRDefault="00EC2D6A" w:rsidP="00E42342">
            <w:pPr>
              <w:pStyle w:val="Briefingtext"/>
              <w:numPr>
                <w:ilvl w:val="0"/>
                <w:numId w:val="326"/>
              </w:numPr>
              <w:spacing w:after="0"/>
              <w:textDirection w:val="btLr"/>
              <w:rPr>
                <w:sz w:val="18"/>
                <w:szCs w:val="20"/>
              </w:rPr>
            </w:pPr>
            <w:r w:rsidRPr="001C7238">
              <w:rPr>
                <w:sz w:val="18"/>
                <w:szCs w:val="20"/>
              </w:rPr>
              <w:t>L</w:t>
            </w:r>
            <w:r w:rsidR="002E65CB" w:rsidRPr="001C7238">
              <w:rPr>
                <w:sz w:val="18"/>
                <w:szCs w:val="20"/>
              </w:rPr>
              <w:t xml:space="preserve">ack of a consolidated inventory on degraded lands, pollutant concentrations or first polluant entity </w:t>
            </w:r>
            <w:r w:rsidR="002E65CB" w:rsidRPr="001C7238">
              <w:rPr>
                <w:sz w:val="18"/>
                <w:szCs w:val="20"/>
              </w:rPr>
              <w:tab/>
            </w:r>
          </w:p>
          <w:p w14:paraId="673B5CEE" w14:textId="6A39EBEF" w:rsidR="002E65CB" w:rsidRPr="001C7238" w:rsidRDefault="002E65CB" w:rsidP="00E42342">
            <w:pPr>
              <w:pStyle w:val="Briefingtext"/>
              <w:numPr>
                <w:ilvl w:val="0"/>
                <w:numId w:val="326"/>
              </w:numPr>
              <w:spacing w:after="0"/>
              <w:textDirection w:val="btLr"/>
              <w:rPr>
                <w:sz w:val="18"/>
                <w:szCs w:val="20"/>
              </w:rPr>
            </w:pPr>
            <w:r w:rsidRPr="001C7238">
              <w:rPr>
                <w:sz w:val="18"/>
                <w:szCs w:val="20"/>
              </w:rPr>
              <w:t xml:space="preserve">Environmental with regards to forestry (partial overlapping with </w:t>
            </w:r>
            <w:r w:rsidR="007D4809" w:rsidRPr="001C7238">
              <w:rPr>
                <w:sz w:val="18"/>
                <w:szCs w:val="20"/>
              </w:rPr>
              <w:t>RRP</w:t>
            </w:r>
            <w:r w:rsidRPr="001C7238">
              <w:rPr>
                <w:sz w:val="18"/>
                <w:szCs w:val="20"/>
              </w:rPr>
              <w:t xml:space="preserve">interventions)  </w:t>
            </w:r>
          </w:p>
          <w:p w14:paraId="6B69025B" w14:textId="77777777" w:rsidR="002E65CB" w:rsidRPr="005829E8" w:rsidRDefault="002E65CB" w:rsidP="00EE02DE">
            <w:pPr>
              <w:spacing w:before="240" w:after="240"/>
              <w:ind w:hanging="2"/>
              <w:rPr>
                <w:rFonts w:ascii="Arial" w:hAnsi="Arial" w:cs="Arial"/>
                <w:b/>
                <w:sz w:val="18"/>
                <w:szCs w:val="18"/>
              </w:rPr>
            </w:pPr>
            <w:r w:rsidRPr="005829E8">
              <w:rPr>
                <w:rFonts w:ascii="Arial" w:hAnsi="Arial" w:cs="Arial"/>
                <w:b/>
                <w:sz w:val="18"/>
                <w:szCs w:val="18"/>
              </w:rPr>
              <w:lastRenderedPageBreak/>
              <w:t>Ideas, solutions, projects, opportunities:</w:t>
            </w:r>
          </w:p>
          <w:p w14:paraId="368C4C7A" w14:textId="6B8D68ED" w:rsidR="002E65CB" w:rsidRPr="001C7238" w:rsidRDefault="002E65CB" w:rsidP="00E42342">
            <w:pPr>
              <w:pStyle w:val="Briefingtext"/>
              <w:numPr>
                <w:ilvl w:val="0"/>
                <w:numId w:val="326"/>
              </w:numPr>
              <w:spacing w:before="120" w:after="0"/>
              <w:jc w:val="left"/>
              <w:textDirection w:val="btLr"/>
              <w:rPr>
                <w:sz w:val="18"/>
                <w:szCs w:val="20"/>
              </w:rPr>
            </w:pPr>
            <w:r w:rsidRPr="001C7238">
              <w:rPr>
                <w:sz w:val="18"/>
                <w:szCs w:val="20"/>
              </w:rPr>
              <w:t>Greening projects in the area of Brațul Târnavei (private property) and introducing a new functionality (</w:t>
            </w:r>
            <w:r w:rsidR="007D4809" w:rsidRPr="001C7238">
              <w:rPr>
                <w:sz w:val="18"/>
                <w:szCs w:val="20"/>
              </w:rPr>
              <w:t>e.g.,</w:t>
            </w:r>
            <w:r w:rsidRPr="001C7238">
              <w:rPr>
                <w:sz w:val="18"/>
                <w:szCs w:val="20"/>
              </w:rPr>
              <w:t xml:space="preserve"> housing)</w:t>
            </w:r>
          </w:p>
          <w:p w14:paraId="3F5EC20E" w14:textId="25BEC49E"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Development of technological and scientific parks</w:t>
            </w:r>
          </w:p>
          <w:p w14:paraId="314775D8"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Applied “greentech” pilot project</w:t>
            </w:r>
          </w:p>
          <w:p w14:paraId="1D80A262"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Emission monitoring system (including pollutants) (water, air, soil) / automated data collection system connected to a traffic management project</w:t>
            </w:r>
          </w:p>
          <w:p w14:paraId="6AE244F1" w14:textId="5DF8A1A2"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Project for restoring Batal Azo</w:t>
            </w:r>
            <w:r w:rsidR="004F70E0" w:rsidRPr="001C7238">
              <w:rPr>
                <w:sz w:val="18"/>
                <w:szCs w:val="20"/>
              </w:rPr>
              <w:t>Mureș</w:t>
            </w:r>
            <w:r w:rsidRPr="001C7238">
              <w:rPr>
                <w:sz w:val="18"/>
                <w:szCs w:val="20"/>
              </w:rPr>
              <w:t xml:space="preserve"> land (official name) by greening a 30acre area and construction on a green area and a photovoltaic park – Propriety of Tg.</w:t>
            </w:r>
            <w:r w:rsidR="005829E8" w:rsidRPr="001C7238">
              <w:rPr>
                <w:sz w:val="18"/>
                <w:szCs w:val="20"/>
              </w:rPr>
              <w:t xml:space="preserve"> </w:t>
            </w:r>
            <w:r w:rsidR="004F70E0" w:rsidRPr="001C7238">
              <w:rPr>
                <w:sz w:val="18"/>
                <w:szCs w:val="20"/>
              </w:rPr>
              <w:t>Mureș</w:t>
            </w:r>
            <w:r w:rsidRPr="001C7238">
              <w:rPr>
                <w:sz w:val="18"/>
                <w:szCs w:val="20"/>
              </w:rPr>
              <w:t xml:space="preserve"> Town Hall</w:t>
            </w:r>
          </w:p>
          <w:p w14:paraId="057BCC5D"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Substantiation studies and an opportunity of investment study (proving that not all ideas reported on the platform are deemed to be matured in the ministry’s view) </w:t>
            </w:r>
          </w:p>
          <w:p w14:paraId="795BB42B"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Project - area of the Former Brick Factory Pit for waste reuse </w:t>
            </w:r>
          </w:p>
          <w:p w14:paraId="4E1BD227"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Turning former quarries and gravel pits into meadow forests (rewilding project) </w:t>
            </w:r>
          </w:p>
          <w:p w14:paraId="1C59F7D0" w14:textId="1F4CF5A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Bucla Mureșului area, a non-capitalized area, to be included in the leisure circuit by activating the banks on </w:t>
            </w:r>
            <w:r w:rsidR="004F70E0" w:rsidRPr="001C7238">
              <w:rPr>
                <w:sz w:val="18"/>
                <w:szCs w:val="20"/>
              </w:rPr>
              <w:t>Mureș</w:t>
            </w:r>
            <w:r w:rsidRPr="001C7238">
              <w:rPr>
                <w:sz w:val="18"/>
                <w:szCs w:val="20"/>
              </w:rPr>
              <w:t xml:space="preserve"> </w:t>
            </w:r>
            <w:r w:rsidR="007D4809" w:rsidRPr="001C7238">
              <w:rPr>
                <w:sz w:val="18"/>
                <w:szCs w:val="20"/>
              </w:rPr>
              <w:t>R</w:t>
            </w:r>
            <w:r w:rsidRPr="001C7238">
              <w:rPr>
                <w:sz w:val="18"/>
                <w:szCs w:val="20"/>
              </w:rPr>
              <w:t xml:space="preserve">iver </w:t>
            </w:r>
          </w:p>
          <w:p w14:paraId="4284B1A4" w14:textId="4888D1B6"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Valea Nirajului area and Târnava - project for sustainable mobility and reducing </w:t>
            </w:r>
            <w:r w:rsidR="00CD5FFC" w:rsidRPr="00C510BD">
              <w:rPr>
                <w:sz w:val="20"/>
                <w:szCs w:val="20"/>
              </w:rPr>
              <w:t>CO</w:t>
            </w:r>
            <w:r w:rsidR="00CD5FFC" w:rsidRPr="001C148D">
              <w:rPr>
                <w:sz w:val="20"/>
                <w:szCs w:val="20"/>
                <w:vertAlign w:val="subscript"/>
              </w:rPr>
              <w:t>2</w:t>
            </w:r>
            <w:r w:rsidR="00CD5FFC">
              <w:rPr>
                <w:sz w:val="18"/>
                <w:szCs w:val="20"/>
              </w:rPr>
              <w:t xml:space="preserve"> </w:t>
            </w:r>
            <w:r w:rsidRPr="001C7238">
              <w:rPr>
                <w:sz w:val="18"/>
                <w:szCs w:val="20"/>
              </w:rPr>
              <w:t xml:space="preserve">emissions resulted from motorised transportation </w:t>
            </w:r>
          </w:p>
          <w:p w14:paraId="779FBA90" w14:textId="3CD21068"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SME start-up project + Industrial park in the area of Az</w:t>
            </w:r>
            <w:r w:rsidR="007D4809" w:rsidRPr="001C7238">
              <w:rPr>
                <w:sz w:val="18"/>
                <w:szCs w:val="20"/>
              </w:rPr>
              <w:t>om</w:t>
            </w:r>
            <w:r w:rsidR="004F70E0" w:rsidRPr="001C7238">
              <w:rPr>
                <w:sz w:val="18"/>
                <w:szCs w:val="20"/>
              </w:rPr>
              <w:t>ureș</w:t>
            </w:r>
            <w:r w:rsidRPr="001C7238">
              <w:rPr>
                <w:sz w:val="18"/>
                <w:szCs w:val="20"/>
              </w:rPr>
              <w:t xml:space="preserve"> industrial site, currently in expansion </w:t>
            </w:r>
          </w:p>
          <w:p w14:paraId="45C52C49" w14:textId="43E21A5E"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Technology transfer project focusing on eliminating </w:t>
            </w:r>
            <w:r w:rsidR="00CD5FFC" w:rsidRPr="00C510BD">
              <w:rPr>
                <w:sz w:val="20"/>
                <w:szCs w:val="20"/>
              </w:rPr>
              <w:t>CO</w:t>
            </w:r>
            <w:r w:rsidR="00CD5FFC" w:rsidRPr="001C148D">
              <w:rPr>
                <w:sz w:val="20"/>
                <w:szCs w:val="20"/>
                <w:vertAlign w:val="subscript"/>
              </w:rPr>
              <w:t>2</w:t>
            </w:r>
            <w:r w:rsidR="00CD5FFC">
              <w:rPr>
                <w:sz w:val="18"/>
                <w:szCs w:val="20"/>
              </w:rPr>
              <w:t xml:space="preserve"> </w:t>
            </w:r>
            <w:r w:rsidRPr="001C7238">
              <w:rPr>
                <w:sz w:val="18"/>
                <w:szCs w:val="20"/>
              </w:rPr>
              <w:t>+ N (azot</w:t>
            </w:r>
            <w:r w:rsidR="007D4809" w:rsidRPr="001C7238">
              <w:rPr>
                <w:sz w:val="18"/>
                <w:szCs w:val="20"/>
              </w:rPr>
              <w:t>e</w:t>
            </w:r>
            <w:r w:rsidRPr="001C7238">
              <w:rPr>
                <w:sz w:val="18"/>
                <w:szCs w:val="20"/>
              </w:rPr>
              <w:t>)</w:t>
            </w:r>
          </w:p>
          <w:p w14:paraId="3840BDAB"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Increasing the capacity of existing private actors in decontamination, greening processes, including electricity production via photovoltaic/wind farms</w:t>
            </w:r>
          </w:p>
          <w:p w14:paraId="26B91819"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Waste management project (neutralisation and processing/recycling component)</w:t>
            </w:r>
          </w:p>
          <w:p w14:paraId="25DE3BCB" w14:textId="43484E3D"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Project for managing surface waters- </w:t>
            </w:r>
            <w:r w:rsidR="004F70E0" w:rsidRPr="001C7238">
              <w:rPr>
                <w:sz w:val="18"/>
                <w:szCs w:val="20"/>
              </w:rPr>
              <w:t>Mureș</w:t>
            </w:r>
            <w:r w:rsidRPr="001C7238">
              <w:rPr>
                <w:sz w:val="18"/>
                <w:szCs w:val="20"/>
              </w:rPr>
              <w:t xml:space="preserve"> </w:t>
            </w:r>
            <w:r w:rsidR="007D4809" w:rsidRPr="001C7238">
              <w:rPr>
                <w:sz w:val="18"/>
                <w:szCs w:val="20"/>
              </w:rPr>
              <w:t>R</w:t>
            </w:r>
            <w:r w:rsidRPr="001C7238">
              <w:rPr>
                <w:sz w:val="18"/>
                <w:szCs w:val="20"/>
              </w:rPr>
              <w:t xml:space="preserve">iver and its tributaries </w:t>
            </w:r>
          </w:p>
          <w:p w14:paraId="59A8A3E0" w14:textId="06292FB5"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Investments in mobility - not just urban but also an expansion into the Tg. </w:t>
            </w:r>
            <w:r w:rsidR="004F70E0" w:rsidRPr="001C7238">
              <w:rPr>
                <w:sz w:val="18"/>
                <w:szCs w:val="20"/>
              </w:rPr>
              <w:t>Mureș</w:t>
            </w:r>
            <w:r w:rsidRPr="001C7238">
              <w:rPr>
                <w:sz w:val="18"/>
                <w:szCs w:val="20"/>
              </w:rPr>
              <w:t xml:space="preserve"> Metropolitan Area (electrical/hybrid transportation, environmental friendly, bicycles and railroads) </w:t>
            </w:r>
          </w:p>
          <w:p w14:paraId="35A3AD01" w14:textId="2FF9A1D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Project with integrated regional impact, originating in the Tg. </w:t>
            </w:r>
            <w:r w:rsidR="004F70E0" w:rsidRPr="001C7238">
              <w:rPr>
                <w:sz w:val="18"/>
                <w:szCs w:val="20"/>
              </w:rPr>
              <w:t>Mureș</w:t>
            </w:r>
            <w:r w:rsidRPr="001C7238">
              <w:rPr>
                <w:sz w:val="18"/>
                <w:szCs w:val="20"/>
              </w:rPr>
              <w:t xml:space="preserve"> MA, on hydrogen capitali</w:t>
            </w:r>
            <w:r w:rsidR="00EC2D6A" w:rsidRPr="001C7238">
              <w:rPr>
                <w:sz w:val="18"/>
                <w:szCs w:val="20"/>
              </w:rPr>
              <w:t>s</w:t>
            </w:r>
            <w:r w:rsidRPr="001C7238">
              <w:rPr>
                <w:sz w:val="18"/>
                <w:szCs w:val="20"/>
              </w:rPr>
              <w:t xml:space="preserve">ation and its use in public transportation </w:t>
            </w:r>
          </w:p>
          <w:p w14:paraId="6330D707" w14:textId="77777777" w:rsidR="002E65CB" w:rsidRPr="001C7238" w:rsidRDefault="002E65CB" w:rsidP="00E42342">
            <w:pPr>
              <w:pStyle w:val="Briefingtext"/>
              <w:numPr>
                <w:ilvl w:val="0"/>
                <w:numId w:val="326"/>
              </w:numPr>
              <w:spacing w:after="0"/>
              <w:jc w:val="left"/>
              <w:textDirection w:val="btLr"/>
              <w:rPr>
                <w:sz w:val="18"/>
                <w:szCs w:val="20"/>
              </w:rPr>
            </w:pPr>
            <w:r w:rsidRPr="001C7238">
              <w:rPr>
                <w:sz w:val="18"/>
                <w:szCs w:val="20"/>
              </w:rPr>
              <w:t xml:space="preserve">Mobility project &amp; pilot project (joint effort of CC, town halls, transportation operators, waste collectors, hydrogen manufacturers and replacement of the car fleet)  </w:t>
            </w:r>
          </w:p>
          <w:p w14:paraId="060903BD" w14:textId="14E8A4AB" w:rsidR="002E65CB" w:rsidRPr="00792049" w:rsidRDefault="002E65CB" w:rsidP="00792049">
            <w:pPr>
              <w:pStyle w:val="Briefingtext"/>
              <w:numPr>
                <w:ilvl w:val="0"/>
                <w:numId w:val="326"/>
              </w:numPr>
              <w:spacing w:after="0"/>
              <w:jc w:val="left"/>
              <w:textDirection w:val="btLr"/>
              <w:rPr>
                <w:sz w:val="18"/>
                <w:szCs w:val="18"/>
              </w:rPr>
            </w:pPr>
            <w:r w:rsidRPr="001C7238">
              <w:rPr>
                <w:sz w:val="18"/>
                <w:szCs w:val="20"/>
              </w:rPr>
              <w:t xml:space="preserve">Projects for </w:t>
            </w:r>
            <w:r w:rsidR="00CD5FFC" w:rsidRPr="00C510BD">
              <w:rPr>
                <w:sz w:val="20"/>
                <w:szCs w:val="20"/>
              </w:rPr>
              <w:t>CO</w:t>
            </w:r>
            <w:r w:rsidR="00CD5FFC" w:rsidRPr="001C148D">
              <w:rPr>
                <w:sz w:val="20"/>
                <w:szCs w:val="20"/>
                <w:vertAlign w:val="subscript"/>
              </w:rPr>
              <w:t>2</w:t>
            </w:r>
            <w:r w:rsidR="00CD5FFC">
              <w:rPr>
                <w:sz w:val="18"/>
                <w:szCs w:val="20"/>
              </w:rPr>
              <w:t xml:space="preserve"> </w:t>
            </w:r>
            <w:r w:rsidRPr="001C7238">
              <w:rPr>
                <w:sz w:val="18"/>
                <w:szCs w:val="20"/>
              </w:rPr>
              <w:t xml:space="preserve">trappings, </w:t>
            </w:r>
            <w:r w:rsidR="00CD5FFC" w:rsidRPr="00C510BD">
              <w:rPr>
                <w:sz w:val="20"/>
                <w:szCs w:val="20"/>
              </w:rPr>
              <w:t>CO</w:t>
            </w:r>
            <w:r w:rsidR="00CD5FFC" w:rsidRPr="001C148D">
              <w:rPr>
                <w:sz w:val="20"/>
                <w:szCs w:val="20"/>
                <w:vertAlign w:val="subscript"/>
              </w:rPr>
              <w:t>2</w:t>
            </w:r>
            <w:r w:rsidR="00CD5FFC">
              <w:rPr>
                <w:sz w:val="18"/>
                <w:szCs w:val="20"/>
              </w:rPr>
              <w:t xml:space="preserve"> </w:t>
            </w:r>
            <w:r w:rsidRPr="001C7238">
              <w:rPr>
                <w:sz w:val="18"/>
                <w:szCs w:val="20"/>
              </w:rPr>
              <w:t>liquefaction and injection in underground gas bags, on degraded sites</w:t>
            </w:r>
          </w:p>
        </w:tc>
        <w:tc>
          <w:tcPr>
            <w:tcW w:w="2493" w:type="pct"/>
            <w:gridSpan w:val="2"/>
          </w:tcPr>
          <w:p w14:paraId="22E12874" w14:textId="77777777" w:rsidR="002E65CB" w:rsidRPr="005829E8" w:rsidRDefault="002E65CB" w:rsidP="00EE02DE">
            <w:pPr>
              <w:spacing w:before="240" w:after="240"/>
              <w:ind w:hanging="2"/>
              <w:rPr>
                <w:rFonts w:ascii="Arial" w:hAnsi="Arial" w:cs="Arial"/>
                <w:sz w:val="18"/>
                <w:szCs w:val="18"/>
              </w:rPr>
            </w:pPr>
            <w:r w:rsidRPr="005829E8">
              <w:rPr>
                <w:rFonts w:ascii="Arial" w:hAnsi="Arial" w:cs="Arial"/>
                <w:b/>
                <w:sz w:val="18"/>
                <w:szCs w:val="18"/>
              </w:rPr>
              <w:lastRenderedPageBreak/>
              <w:t>Ideas, solutions, projects, opportunities:</w:t>
            </w:r>
          </w:p>
          <w:p w14:paraId="32D9A5DC"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Developing, attracting automotive manufacturing industry (high value added) especially electric car, battery value chain</w:t>
            </w:r>
          </w:p>
          <w:p w14:paraId="62BCB9D8"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Supporting the IT and software industry</w:t>
            </w:r>
          </w:p>
          <w:p w14:paraId="7D3273E6"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Pharmaceutical and medical equipment + medical tech industry</w:t>
            </w:r>
          </w:p>
          <w:p w14:paraId="139535FE"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Circular economy</w:t>
            </w:r>
          </w:p>
          <w:p w14:paraId="5E45196E"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Dual education</w:t>
            </w:r>
          </w:p>
          <w:p w14:paraId="1BED67BB"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“Green tech”</w:t>
            </w:r>
          </w:p>
          <w:p w14:paraId="7DB13172"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lastRenderedPageBreak/>
              <w:t>“Green” energy</w:t>
            </w:r>
          </w:p>
          <w:p w14:paraId="11C2CB51"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t>Mobility</w:t>
            </w:r>
          </w:p>
          <w:p w14:paraId="78FEA14A"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t>Circular economy / sustainable agriculture</w:t>
            </w:r>
          </w:p>
          <w:p w14:paraId="5B7E7CEE"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t>Smart city</w:t>
            </w:r>
          </w:p>
          <w:p w14:paraId="1E8BA9C7"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Creative industries</w:t>
            </w:r>
          </w:p>
          <w:p w14:paraId="6EFCFFAC"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t>Research, architecture</w:t>
            </w:r>
          </w:p>
          <w:p w14:paraId="7AE95527" w14:textId="77777777" w:rsidR="002E65CB" w:rsidRPr="001C7238" w:rsidRDefault="002E65CB" w:rsidP="00E42342">
            <w:pPr>
              <w:pStyle w:val="Briefingtext"/>
              <w:numPr>
                <w:ilvl w:val="0"/>
                <w:numId w:val="327"/>
              </w:numPr>
              <w:spacing w:after="0"/>
              <w:textDirection w:val="btLr"/>
              <w:rPr>
                <w:sz w:val="18"/>
                <w:szCs w:val="20"/>
              </w:rPr>
            </w:pPr>
            <w:r w:rsidRPr="001C7238">
              <w:rPr>
                <w:sz w:val="18"/>
                <w:szCs w:val="20"/>
              </w:rPr>
              <w:t>Musical works</w:t>
            </w:r>
          </w:p>
          <w:p w14:paraId="6474BA1E" w14:textId="77777777" w:rsidR="002E65CB" w:rsidRPr="001C7238" w:rsidRDefault="002E65CB" w:rsidP="00E42342">
            <w:pPr>
              <w:pStyle w:val="Briefingtext"/>
              <w:numPr>
                <w:ilvl w:val="0"/>
                <w:numId w:val="326"/>
              </w:numPr>
              <w:pBdr>
                <w:top w:val="nil"/>
                <w:left w:val="nil"/>
                <w:bottom w:val="nil"/>
                <w:right w:val="nil"/>
                <w:between w:val="nil"/>
              </w:pBdr>
              <w:spacing w:after="0"/>
              <w:textDirection w:val="btLr"/>
              <w:rPr>
                <w:sz w:val="18"/>
                <w:szCs w:val="20"/>
              </w:rPr>
            </w:pPr>
            <w:r w:rsidRPr="001C7238">
              <w:rPr>
                <w:sz w:val="18"/>
                <w:szCs w:val="20"/>
              </w:rPr>
              <w:t xml:space="preserve">Take over/transfer/development of advanced technologies/retrofitting </w:t>
            </w:r>
          </w:p>
          <w:p w14:paraId="6D1501F6"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Acquiring equipment/new technologies</w:t>
            </w:r>
          </w:p>
          <w:p w14:paraId="59F93E3D"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Research and development of new technologies - joint projects academia and the private sector for research/innovation of new technologies</w:t>
            </w:r>
          </w:p>
          <w:p w14:paraId="49D59E60"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Staff training/retraining for new technologies</w:t>
            </w:r>
          </w:p>
          <w:p w14:paraId="23299827"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Accelerators/incubators for entrepreneurs and SMEs – start-up scale-up and investments.</w:t>
            </w:r>
          </w:p>
          <w:p w14:paraId="0DBECA64" w14:textId="3780C878" w:rsidR="002E65CB" w:rsidRPr="001C7238" w:rsidRDefault="002E65CB" w:rsidP="00E42342">
            <w:pPr>
              <w:pStyle w:val="Briefingtext"/>
              <w:numPr>
                <w:ilvl w:val="0"/>
                <w:numId w:val="327"/>
              </w:numPr>
              <w:spacing w:after="0"/>
              <w:textDirection w:val="btLr"/>
              <w:rPr>
                <w:sz w:val="18"/>
                <w:szCs w:val="20"/>
              </w:rPr>
            </w:pPr>
            <w:r w:rsidRPr="001C7238">
              <w:rPr>
                <w:sz w:val="18"/>
                <w:szCs w:val="20"/>
              </w:rPr>
              <w:t xml:space="preserve">Including greentech programmes for all 6 counties </w:t>
            </w:r>
          </w:p>
          <w:p w14:paraId="6B6716F9"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Technological maturation</w:t>
            </w:r>
          </w:p>
          <w:p w14:paraId="6CE93495"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Dual education system – connecting schools and companies.</w:t>
            </w:r>
          </w:p>
          <w:p w14:paraId="49932825"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New business models implemented within SMEs.</w:t>
            </w:r>
          </w:p>
          <w:p w14:paraId="2D780290" w14:textId="47EE5AAB" w:rsidR="002E65CB" w:rsidRPr="001C7238" w:rsidRDefault="002E65CB" w:rsidP="00E42342">
            <w:pPr>
              <w:pStyle w:val="Briefingtext"/>
              <w:numPr>
                <w:ilvl w:val="0"/>
                <w:numId w:val="326"/>
              </w:numPr>
              <w:spacing w:after="0"/>
              <w:textDirection w:val="btLr"/>
              <w:rPr>
                <w:sz w:val="18"/>
                <w:szCs w:val="20"/>
              </w:rPr>
            </w:pPr>
            <w:r w:rsidRPr="001C7238">
              <w:rPr>
                <w:sz w:val="18"/>
                <w:szCs w:val="20"/>
              </w:rPr>
              <w:t>SME mentoring programmes - students, apprenticeship, traineeship students, but also on trades</w:t>
            </w:r>
          </w:p>
          <w:p w14:paraId="70071019"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Supporting SMEs with organic products for agriculture as an alternative to classical products (accelerator, investment, mentoring, financing, etc).</w:t>
            </w:r>
          </w:p>
          <w:p w14:paraId="5A017B5A" w14:textId="76500F38" w:rsidR="002E65CB" w:rsidRPr="001C7238" w:rsidRDefault="002E65CB" w:rsidP="00E42342">
            <w:pPr>
              <w:pStyle w:val="Briefingtext"/>
              <w:numPr>
                <w:ilvl w:val="0"/>
                <w:numId w:val="326"/>
              </w:numPr>
              <w:spacing w:after="0"/>
              <w:textDirection w:val="btLr"/>
              <w:rPr>
                <w:sz w:val="18"/>
                <w:szCs w:val="20"/>
              </w:rPr>
            </w:pPr>
            <w:r w:rsidRPr="001C7238">
              <w:rPr>
                <w:sz w:val="18"/>
                <w:szCs w:val="20"/>
              </w:rPr>
              <w:t>Opportunity for the Chamber of Commerce to develop programmes connecting the educational sector to the business sector /employers/industry. P</w:t>
            </w:r>
            <w:r w:rsidR="00D206E5">
              <w:rPr>
                <w:sz w:val="18"/>
                <w:szCs w:val="20"/>
              </w:rPr>
              <w:t>rogrammes</w:t>
            </w:r>
            <w:r w:rsidRPr="001C7238">
              <w:rPr>
                <w:sz w:val="18"/>
                <w:szCs w:val="20"/>
              </w:rPr>
              <w:t xml:space="preserve"> with recurring meetings, information campaigns, legal framework etc.</w:t>
            </w:r>
          </w:p>
          <w:p w14:paraId="05E617AC"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Informing/motivating entrepreneurs/SMEs about funding opportunities and partnerships</w:t>
            </w:r>
          </w:p>
          <w:p w14:paraId="6726CB24"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 xml:space="preserve">Awareness campaigns on the transition towards a low emission economy and modernisation/the future </w:t>
            </w:r>
          </w:p>
          <w:p w14:paraId="564C23FB" w14:textId="77777777" w:rsidR="002E65CB" w:rsidRPr="001C7238" w:rsidRDefault="002E65CB" w:rsidP="00E42342">
            <w:pPr>
              <w:pStyle w:val="Briefingtext"/>
              <w:numPr>
                <w:ilvl w:val="0"/>
                <w:numId w:val="326"/>
              </w:numPr>
              <w:spacing w:after="0"/>
              <w:textDirection w:val="btLr"/>
              <w:rPr>
                <w:sz w:val="18"/>
                <w:szCs w:val="20"/>
              </w:rPr>
            </w:pPr>
            <w:r w:rsidRPr="001C7238">
              <w:rPr>
                <w:sz w:val="18"/>
                <w:szCs w:val="20"/>
              </w:rPr>
              <w:t>Programmes aimed at developing/encouraging career transfer from high emission economies/industries/employers to trades/jobs in the area of SMEs/entrepreneurship</w:t>
            </w:r>
          </w:p>
          <w:p w14:paraId="420D3058" w14:textId="71B48D05" w:rsidR="002E65CB" w:rsidRPr="007D4809" w:rsidRDefault="002E65CB" w:rsidP="00E42342">
            <w:pPr>
              <w:pStyle w:val="Briefingtext"/>
              <w:numPr>
                <w:ilvl w:val="0"/>
                <w:numId w:val="326"/>
              </w:numPr>
              <w:spacing w:after="0"/>
              <w:textDirection w:val="btLr"/>
              <w:rPr>
                <w:sz w:val="18"/>
                <w:szCs w:val="18"/>
              </w:rPr>
            </w:pPr>
            <w:r w:rsidRPr="001C7238">
              <w:rPr>
                <w:sz w:val="18"/>
                <w:szCs w:val="20"/>
              </w:rPr>
              <w:t>Programmes aimed at developing skills/intelligent speciali</w:t>
            </w:r>
            <w:r w:rsidR="004E7B64">
              <w:rPr>
                <w:sz w:val="18"/>
                <w:szCs w:val="20"/>
              </w:rPr>
              <w:t>sation</w:t>
            </w:r>
            <w:r w:rsidRPr="001C7238">
              <w:rPr>
                <w:sz w:val="18"/>
                <w:szCs w:val="20"/>
              </w:rPr>
              <w:t xml:space="preserve"> for entrepreneurs/SME and for employees/future employees</w:t>
            </w:r>
          </w:p>
        </w:tc>
      </w:tr>
      <w:tr w:rsidR="002E65CB" w:rsidRPr="002E65CB" w14:paraId="09938802" w14:textId="77777777" w:rsidTr="005829E8">
        <w:tc>
          <w:tcPr>
            <w:tcW w:w="5000" w:type="pct"/>
            <w:gridSpan w:val="4"/>
            <w:shd w:val="clear" w:color="auto" w:fill="B6D7A8"/>
          </w:tcPr>
          <w:p w14:paraId="3C28F032" w14:textId="1070083F" w:rsidR="002E65CB" w:rsidRPr="00402580" w:rsidRDefault="002E65CB" w:rsidP="00EE02DE">
            <w:pPr>
              <w:ind w:hanging="2"/>
              <w:rPr>
                <w:rFonts w:ascii="Arial" w:hAnsi="Arial" w:cs="Arial"/>
                <w:b/>
                <w:sz w:val="18"/>
                <w:szCs w:val="18"/>
              </w:rPr>
            </w:pPr>
            <w:r w:rsidRPr="00402580">
              <w:rPr>
                <w:rFonts w:ascii="Arial" w:hAnsi="Arial" w:cs="Arial"/>
                <w:b/>
                <w:sz w:val="18"/>
                <w:szCs w:val="18"/>
              </w:rPr>
              <w:lastRenderedPageBreak/>
              <w:t>Ideas, need</w:t>
            </w:r>
            <w:r w:rsidR="007D4809">
              <w:rPr>
                <w:rFonts w:ascii="Arial" w:hAnsi="Arial" w:cs="Arial"/>
                <w:b/>
                <w:sz w:val="18"/>
                <w:szCs w:val="18"/>
              </w:rPr>
              <w:t>s</w:t>
            </w:r>
            <w:r w:rsidRPr="00402580">
              <w:rPr>
                <w:rFonts w:ascii="Arial" w:hAnsi="Arial" w:cs="Arial"/>
                <w:b/>
                <w:sz w:val="18"/>
                <w:szCs w:val="18"/>
              </w:rPr>
              <w:t>, important cross-sector elements</w:t>
            </w:r>
          </w:p>
        </w:tc>
      </w:tr>
      <w:tr w:rsidR="002E65CB" w:rsidRPr="002E65CB" w14:paraId="43D212A9" w14:textId="77777777" w:rsidTr="005829E8">
        <w:tc>
          <w:tcPr>
            <w:tcW w:w="5000" w:type="pct"/>
            <w:gridSpan w:val="4"/>
          </w:tcPr>
          <w:p w14:paraId="7BD56008" w14:textId="77777777" w:rsidR="002E65CB" w:rsidRPr="007D4809" w:rsidRDefault="002E65CB" w:rsidP="00E42342">
            <w:pPr>
              <w:pStyle w:val="Briefingtext"/>
              <w:numPr>
                <w:ilvl w:val="0"/>
                <w:numId w:val="326"/>
              </w:numPr>
              <w:spacing w:after="0"/>
              <w:jc w:val="left"/>
              <w:textDirection w:val="btLr"/>
              <w:rPr>
                <w:sz w:val="18"/>
                <w:szCs w:val="18"/>
              </w:rPr>
            </w:pPr>
            <w:r w:rsidRPr="001C7238">
              <w:rPr>
                <w:sz w:val="18"/>
                <w:szCs w:val="20"/>
              </w:rPr>
              <w:t>Cooperation between the public and private sector, academia, public institutions and the business sector</w:t>
            </w:r>
          </w:p>
        </w:tc>
      </w:tr>
    </w:tbl>
    <w:p w14:paraId="26550F50" w14:textId="77777777" w:rsidR="002E65CB" w:rsidRDefault="002E65CB" w:rsidP="00AC2D01">
      <w:pPr>
        <w:jc w:val="both"/>
        <w:rPr>
          <w:sz w:val="20"/>
          <w:szCs w:val="20"/>
        </w:rPr>
        <w:sectPr w:rsidR="002E65CB" w:rsidSect="007D4809">
          <w:headerReference w:type="default" r:id="rId210"/>
          <w:pgSz w:w="16834" w:h="11909" w:orient="landscape"/>
          <w:pgMar w:top="1530" w:right="1440" w:bottom="1440" w:left="1440" w:header="720" w:footer="720" w:gutter="0"/>
          <w:cols w:space="720"/>
          <w:docGrid w:linePitch="326"/>
        </w:sectPr>
      </w:pPr>
    </w:p>
    <w:p w14:paraId="4005987B" w14:textId="77777777" w:rsidR="007D4809" w:rsidRDefault="007D4809" w:rsidP="007D4809">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5B04CDCF" w14:textId="77777777" w:rsidR="007D4809" w:rsidRDefault="007D4809" w:rsidP="00792049">
      <w:pPr>
        <w:jc w:val="both"/>
        <w:rPr>
          <w:rFonts w:ascii="Arial" w:hAnsi="Arial" w:cs="Arial"/>
          <w:b/>
          <w:sz w:val="20"/>
          <w:szCs w:val="20"/>
        </w:rPr>
      </w:pPr>
      <w:r w:rsidRPr="00BB716C">
        <w:rPr>
          <w:rFonts w:ascii="Arial" w:hAnsi="Arial" w:cs="Arial"/>
          <w:b/>
          <w:sz w:val="20"/>
          <w:szCs w:val="20"/>
        </w:rPr>
        <w:t>Previously emphasized points in the context of the Working Groups and now resumed in the context of the regional workshop</w:t>
      </w:r>
    </w:p>
    <w:p w14:paraId="0FD216B0" w14:textId="751518F4" w:rsidR="00ED18E6" w:rsidRPr="00EC2D6A" w:rsidRDefault="00ED18E6" w:rsidP="00ED18E6">
      <w:pPr>
        <w:jc w:val="both"/>
        <w:rPr>
          <w:sz w:val="12"/>
          <w:szCs w:val="12"/>
        </w:rPr>
      </w:pPr>
    </w:p>
    <w:p w14:paraId="5563C345" w14:textId="1FEB32E7" w:rsidR="00ED18E6" w:rsidRDefault="00ED18E6" w:rsidP="00E42342">
      <w:pPr>
        <w:numPr>
          <w:ilvl w:val="0"/>
          <w:numId w:val="236"/>
        </w:numPr>
        <w:spacing w:after="40"/>
        <w:ind w:left="357" w:hanging="357"/>
        <w:jc w:val="both"/>
        <w:rPr>
          <w:rFonts w:ascii="Arial" w:hAnsi="Arial" w:cs="Arial"/>
          <w:sz w:val="20"/>
          <w:szCs w:val="20"/>
          <w:lang w:eastAsia="en-US"/>
        </w:rPr>
      </w:pPr>
      <w:r>
        <w:rPr>
          <w:rFonts w:ascii="Arial" w:hAnsi="Arial" w:cs="Arial"/>
          <w:sz w:val="20"/>
          <w:szCs w:val="20"/>
        </w:rPr>
        <w:t>Supplying residual steam thermal energy (greenhouses + domestic)</w:t>
      </w:r>
      <w:r w:rsidR="00EC2D6A">
        <w:rPr>
          <w:rFonts w:ascii="Arial" w:hAnsi="Arial" w:cs="Arial"/>
          <w:sz w:val="20"/>
          <w:szCs w:val="20"/>
        </w:rPr>
        <w:t>,</w:t>
      </w:r>
      <w:r>
        <w:rPr>
          <w:rFonts w:ascii="Arial" w:hAnsi="Arial" w:cs="Arial"/>
          <w:sz w:val="20"/>
          <w:szCs w:val="20"/>
        </w:rPr>
        <w:t xml:space="preserve"> leading to less pollution</w:t>
      </w:r>
      <w:r w:rsidR="00EC2D6A">
        <w:rPr>
          <w:rFonts w:ascii="Arial" w:hAnsi="Arial" w:cs="Arial"/>
          <w:sz w:val="20"/>
          <w:szCs w:val="20"/>
        </w:rPr>
        <w:t>:</w:t>
      </w:r>
      <w:r>
        <w:rPr>
          <w:rFonts w:ascii="Arial" w:hAnsi="Arial" w:cs="Arial"/>
          <w:sz w:val="20"/>
          <w:szCs w:val="20"/>
        </w:rPr>
        <w:t xml:space="preserve"> </w:t>
      </w:r>
    </w:p>
    <w:p w14:paraId="6F470847" w14:textId="05ACA36C" w:rsidR="00ED18E6" w:rsidRDefault="00ED18E6" w:rsidP="00E42342">
      <w:pPr>
        <w:numPr>
          <w:ilvl w:val="1"/>
          <w:numId w:val="236"/>
        </w:numPr>
        <w:spacing w:after="40"/>
        <w:ind w:left="1077" w:hanging="357"/>
        <w:jc w:val="both"/>
        <w:rPr>
          <w:rFonts w:ascii="Arial" w:hAnsi="Arial" w:cs="Arial"/>
          <w:sz w:val="20"/>
          <w:szCs w:val="20"/>
        </w:rPr>
      </w:pPr>
      <w:r>
        <w:rPr>
          <w:rFonts w:ascii="Arial" w:hAnsi="Arial" w:cs="Arial"/>
          <w:sz w:val="20"/>
          <w:szCs w:val="20"/>
        </w:rPr>
        <w:t>Circular economy (waste), but there are no sorting operators</w:t>
      </w:r>
      <w:r w:rsidR="00EC2D6A">
        <w:rPr>
          <w:rFonts w:ascii="Arial" w:hAnsi="Arial" w:cs="Arial"/>
          <w:sz w:val="20"/>
          <w:szCs w:val="20"/>
        </w:rPr>
        <w:t>; and,</w:t>
      </w:r>
    </w:p>
    <w:p w14:paraId="1315804F" w14:textId="4068B1CB" w:rsidR="00ED18E6" w:rsidRDefault="00EC2D6A" w:rsidP="00E42342">
      <w:pPr>
        <w:numPr>
          <w:ilvl w:val="1"/>
          <w:numId w:val="236"/>
        </w:numPr>
        <w:spacing w:after="80"/>
        <w:ind w:left="1077" w:hanging="357"/>
        <w:jc w:val="both"/>
        <w:rPr>
          <w:rFonts w:ascii="Arial" w:hAnsi="Arial" w:cs="Arial"/>
          <w:sz w:val="20"/>
          <w:szCs w:val="20"/>
        </w:rPr>
      </w:pPr>
      <w:r>
        <w:rPr>
          <w:rFonts w:ascii="Arial" w:hAnsi="Arial" w:cs="Arial"/>
          <w:sz w:val="20"/>
          <w:szCs w:val="20"/>
        </w:rPr>
        <w:t>T</w:t>
      </w:r>
      <w:r w:rsidR="00ED18E6">
        <w:rPr>
          <w:rFonts w:ascii="Arial" w:hAnsi="Arial" w:cs="Arial"/>
          <w:sz w:val="20"/>
          <w:szCs w:val="20"/>
        </w:rPr>
        <w:t>here are some who believe in the possibility to change Azo</w:t>
      </w:r>
      <w:r w:rsidR="004F70E0">
        <w:rPr>
          <w:rFonts w:ascii="Arial" w:hAnsi="Arial" w:cs="Arial"/>
          <w:sz w:val="20"/>
          <w:szCs w:val="20"/>
        </w:rPr>
        <w:t>Mureș</w:t>
      </w:r>
      <w:r w:rsidR="00ED18E6">
        <w:rPr>
          <w:rFonts w:ascii="Arial" w:hAnsi="Arial" w:cs="Arial"/>
          <w:sz w:val="20"/>
          <w:szCs w:val="20"/>
        </w:rPr>
        <w:t xml:space="preserve"> by reducing emissions below European thresholds</w:t>
      </w:r>
      <w:r>
        <w:rPr>
          <w:rFonts w:ascii="Arial" w:hAnsi="Arial" w:cs="Arial"/>
          <w:sz w:val="20"/>
          <w:szCs w:val="20"/>
        </w:rPr>
        <w:t>.</w:t>
      </w:r>
      <w:r w:rsidR="00ED18E6">
        <w:rPr>
          <w:rFonts w:ascii="Arial" w:hAnsi="Arial" w:cs="Arial"/>
          <w:sz w:val="20"/>
          <w:szCs w:val="20"/>
        </w:rPr>
        <w:t xml:space="preserve"> </w:t>
      </w:r>
      <w:r>
        <w:rPr>
          <w:rFonts w:ascii="Arial" w:hAnsi="Arial" w:cs="Arial"/>
          <w:sz w:val="20"/>
          <w:szCs w:val="20"/>
        </w:rPr>
        <w:t>O</w:t>
      </w:r>
      <w:r w:rsidR="00ED18E6">
        <w:rPr>
          <w:rFonts w:ascii="Arial" w:hAnsi="Arial" w:cs="Arial"/>
          <w:sz w:val="20"/>
          <w:szCs w:val="20"/>
        </w:rPr>
        <w:t>ther</w:t>
      </w:r>
      <w:r>
        <w:rPr>
          <w:rFonts w:ascii="Arial" w:hAnsi="Arial" w:cs="Arial"/>
          <w:sz w:val="20"/>
          <w:szCs w:val="20"/>
        </w:rPr>
        <w:t>s</w:t>
      </w:r>
      <w:r w:rsidR="00ED18E6">
        <w:rPr>
          <w:rFonts w:ascii="Arial" w:hAnsi="Arial" w:cs="Arial"/>
          <w:sz w:val="20"/>
          <w:szCs w:val="20"/>
        </w:rPr>
        <w:t xml:space="preserve"> do not believe in this transformation and insist on the transition to organic fertilizers</w:t>
      </w:r>
      <w:r>
        <w:rPr>
          <w:rFonts w:ascii="Arial" w:hAnsi="Arial" w:cs="Arial"/>
          <w:sz w:val="20"/>
          <w:szCs w:val="20"/>
        </w:rPr>
        <w:t>.</w:t>
      </w:r>
      <w:r w:rsidR="00ED18E6">
        <w:rPr>
          <w:rFonts w:ascii="Arial" w:hAnsi="Arial" w:cs="Arial"/>
          <w:sz w:val="20"/>
          <w:szCs w:val="20"/>
        </w:rPr>
        <w:t xml:space="preserve"> </w:t>
      </w:r>
    </w:p>
    <w:p w14:paraId="350D622F" w14:textId="5DC04F15" w:rsidR="00EC2D6A" w:rsidRDefault="00ED18E6" w:rsidP="00E42342">
      <w:pPr>
        <w:numPr>
          <w:ilvl w:val="0"/>
          <w:numId w:val="236"/>
        </w:numPr>
        <w:spacing w:after="80"/>
        <w:ind w:left="357" w:hanging="357"/>
        <w:jc w:val="both"/>
        <w:rPr>
          <w:rFonts w:ascii="Arial" w:hAnsi="Arial" w:cs="Arial"/>
          <w:sz w:val="20"/>
          <w:szCs w:val="20"/>
        </w:rPr>
      </w:pPr>
      <w:r>
        <w:rPr>
          <w:rFonts w:ascii="Arial" w:hAnsi="Arial" w:cs="Arial"/>
          <w:sz w:val="20"/>
          <w:szCs w:val="20"/>
        </w:rPr>
        <w:t>Dual Education</w:t>
      </w:r>
      <w:r w:rsidR="00EC2D6A">
        <w:rPr>
          <w:rFonts w:ascii="Arial" w:hAnsi="Arial" w:cs="Arial"/>
          <w:sz w:val="20"/>
          <w:szCs w:val="20"/>
        </w:rPr>
        <w:t>:</w:t>
      </w:r>
      <w:r>
        <w:rPr>
          <w:rFonts w:ascii="Arial" w:hAnsi="Arial" w:cs="Arial"/>
          <w:sz w:val="20"/>
          <w:szCs w:val="20"/>
        </w:rPr>
        <w:t xml:space="preserve"> in place and ensures the identified/requested training needs of economic agents. The system should be developed, but the current law does not favour enterprises, who have high costs and risk</w:t>
      </w:r>
      <w:r w:rsidR="00EC2D6A">
        <w:rPr>
          <w:rFonts w:ascii="Arial" w:hAnsi="Arial" w:cs="Arial"/>
          <w:sz w:val="20"/>
          <w:szCs w:val="20"/>
        </w:rPr>
        <w:t>s</w:t>
      </w:r>
      <w:r>
        <w:rPr>
          <w:rFonts w:ascii="Arial" w:hAnsi="Arial" w:cs="Arial"/>
          <w:sz w:val="20"/>
          <w:szCs w:val="20"/>
        </w:rPr>
        <w:t>, that in the medium term, they are unable to employ a young trained employee.</w:t>
      </w:r>
    </w:p>
    <w:p w14:paraId="2C498B38" w14:textId="35A6B64A" w:rsidR="00EC2D6A" w:rsidRPr="00EC2D6A" w:rsidRDefault="00ED18E6" w:rsidP="00E42342">
      <w:pPr>
        <w:numPr>
          <w:ilvl w:val="0"/>
          <w:numId w:val="236"/>
        </w:numPr>
        <w:spacing w:after="80"/>
        <w:ind w:left="357" w:hanging="357"/>
        <w:jc w:val="both"/>
        <w:rPr>
          <w:rFonts w:ascii="Arial" w:hAnsi="Arial" w:cs="Arial"/>
          <w:sz w:val="20"/>
          <w:szCs w:val="20"/>
        </w:rPr>
      </w:pPr>
      <w:r w:rsidRPr="00EC2D6A">
        <w:rPr>
          <w:rFonts w:ascii="Arial" w:hAnsi="Arial" w:cs="Arial"/>
          <w:sz w:val="20"/>
          <w:szCs w:val="20"/>
        </w:rPr>
        <w:t>There is a need for initial training projects</w:t>
      </w:r>
      <w:r w:rsidR="00EC2D6A" w:rsidRPr="00EC2D6A">
        <w:rPr>
          <w:rFonts w:ascii="Arial" w:hAnsi="Arial" w:cs="Arial"/>
          <w:sz w:val="20"/>
          <w:szCs w:val="20"/>
        </w:rPr>
        <w:t>.</w:t>
      </w:r>
      <w:r w:rsidRPr="00EC2D6A">
        <w:rPr>
          <w:rFonts w:ascii="Arial" w:hAnsi="Arial" w:cs="Arial"/>
          <w:sz w:val="20"/>
          <w:szCs w:val="20"/>
        </w:rPr>
        <w:t xml:space="preserve"> Continuous training projects are needed for the uneducated (not sporadically)</w:t>
      </w:r>
      <w:r w:rsidR="00EC2D6A" w:rsidRPr="00EC2D6A">
        <w:rPr>
          <w:rFonts w:ascii="Arial" w:hAnsi="Arial" w:cs="Arial"/>
          <w:sz w:val="20"/>
          <w:szCs w:val="20"/>
        </w:rPr>
        <w:t>.</w:t>
      </w:r>
    </w:p>
    <w:p w14:paraId="71483F21" w14:textId="3246870D" w:rsidR="00EC2D6A" w:rsidRDefault="00ED18E6" w:rsidP="00E42342">
      <w:pPr>
        <w:numPr>
          <w:ilvl w:val="0"/>
          <w:numId w:val="236"/>
        </w:numPr>
        <w:spacing w:after="80"/>
        <w:ind w:left="357" w:hanging="357"/>
        <w:jc w:val="both"/>
        <w:rPr>
          <w:rFonts w:ascii="Arial" w:hAnsi="Arial" w:cs="Arial"/>
          <w:sz w:val="20"/>
          <w:szCs w:val="20"/>
        </w:rPr>
      </w:pPr>
      <w:r w:rsidRPr="00EC2D6A">
        <w:rPr>
          <w:rFonts w:ascii="Arial" w:hAnsi="Arial" w:cs="Arial"/>
          <w:sz w:val="20"/>
          <w:szCs w:val="20"/>
        </w:rPr>
        <w:t>Mobility programmes are deemed as pertinent (transportation for isolated rural areas)</w:t>
      </w:r>
      <w:r w:rsidR="00EC2D6A">
        <w:rPr>
          <w:rFonts w:ascii="Arial" w:hAnsi="Arial" w:cs="Arial"/>
          <w:sz w:val="20"/>
          <w:szCs w:val="20"/>
        </w:rPr>
        <w:t>.</w:t>
      </w:r>
    </w:p>
    <w:p w14:paraId="73DD8B47" w14:textId="4298DCE7" w:rsidR="00ED18E6" w:rsidRPr="004025A2" w:rsidRDefault="00ED18E6" w:rsidP="00E42342">
      <w:pPr>
        <w:numPr>
          <w:ilvl w:val="0"/>
          <w:numId w:val="236"/>
        </w:numPr>
        <w:spacing w:after="80"/>
        <w:jc w:val="both"/>
        <w:rPr>
          <w:rFonts w:ascii="Arial" w:hAnsi="Arial" w:cs="Arial"/>
          <w:sz w:val="20"/>
          <w:szCs w:val="20"/>
        </w:rPr>
      </w:pPr>
      <w:r w:rsidRPr="00EC2D6A">
        <w:rPr>
          <w:rFonts w:ascii="Arial" w:hAnsi="Arial" w:cs="Arial"/>
          <w:sz w:val="20"/>
          <w:szCs w:val="20"/>
        </w:rPr>
        <w:t>Lack of a consolidated inventory on degraded lands, pollutant concentrations and first polluant entity.</w:t>
      </w:r>
    </w:p>
    <w:p w14:paraId="3485524C" w14:textId="77777777" w:rsidR="007D4809" w:rsidRDefault="007D4809" w:rsidP="00792049">
      <w:pPr>
        <w:jc w:val="both"/>
        <w:rPr>
          <w:rFonts w:ascii="Arial" w:hAnsi="Arial" w:cs="Arial"/>
          <w:sz w:val="20"/>
          <w:szCs w:val="20"/>
        </w:rPr>
      </w:pPr>
      <w:r w:rsidRPr="00BB716C">
        <w:rPr>
          <w:rFonts w:ascii="Arial" w:hAnsi="Arial" w:cs="Arial"/>
          <w:b/>
          <w:sz w:val="20"/>
          <w:szCs w:val="20"/>
        </w:rPr>
        <w:t>New points that have emerged during the regional workshop</w:t>
      </w:r>
    </w:p>
    <w:p w14:paraId="0531FD42" w14:textId="77777777" w:rsidR="00ED18E6" w:rsidRPr="00402580" w:rsidRDefault="00ED18E6" w:rsidP="00ED18E6">
      <w:pPr>
        <w:jc w:val="both"/>
        <w:rPr>
          <w:rFonts w:ascii="Arial" w:hAnsi="Arial" w:cs="Arial"/>
          <w:sz w:val="12"/>
          <w:szCs w:val="12"/>
          <w:highlight w:val="white"/>
        </w:rPr>
      </w:pPr>
    </w:p>
    <w:p w14:paraId="172CAB30" w14:textId="7EF87248" w:rsidR="00ED18E6" w:rsidRDefault="00ED18E6" w:rsidP="00E42342">
      <w:pPr>
        <w:numPr>
          <w:ilvl w:val="0"/>
          <w:numId w:val="237"/>
        </w:numPr>
        <w:spacing w:after="80"/>
        <w:ind w:left="360"/>
        <w:jc w:val="both"/>
        <w:rPr>
          <w:rFonts w:ascii="Arial" w:hAnsi="Arial" w:cs="Arial"/>
          <w:sz w:val="20"/>
          <w:szCs w:val="20"/>
          <w:lang w:eastAsia="en-US"/>
        </w:rPr>
      </w:pPr>
      <w:r>
        <w:rPr>
          <w:rFonts w:ascii="Arial" w:hAnsi="Arial" w:cs="Arial"/>
          <w:sz w:val="20"/>
          <w:szCs w:val="20"/>
        </w:rPr>
        <w:t>Integrated projects</w:t>
      </w:r>
      <w:r w:rsidR="00EC2D6A">
        <w:rPr>
          <w:rFonts w:ascii="Arial" w:hAnsi="Arial" w:cs="Arial"/>
          <w:sz w:val="20"/>
          <w:szCs w:val="20"/>
        </w:rPr>
        <w:t>:</w:t>
      </w:r>
      <w:r>
        <w:rPr>
          <w:rFonts w:ascii="Arial" w:hAnsi="Arial" w:cs="Arial"/>
          <w:sz w:val="20"/>
          <w:szCs w:val="20"/>
        </w:rPr>
        <w:t xml:space="preserve"> Education – Professional training – Social to ensure stakeholders’ success and integration. Life-long training programmes must be established, i.e</w:t>
      </w:r>
      <w:r w:rsidR="00EC2D6A">
        <w:rPr>
          <w:rFonts w:ascii="Arial" w:hAnsi="Arial" w:cs="Arial"/>
          <w:sz w:val="20"/>
          <w:szCs w:val="20"/>
        </w:rPr>
        <w:t>.,</w:t>
      </w:r>
      <w:r>
        <w:rPr>
          <w:rFonts w:ascii="Arial" w:hAnsi="Arial" w:cs="Arial"/>
          <w:sz w:val="20"/>
          <w:szCs w:val="20"/>
        </w:rPr>
        <w:t xml:space="preserve"> also have the AIDED EMPLOYMENT component.</w:t>
      </w:r>
    </w:p>
    <w:p w14:paraId="27B00291" w14:textId="77777777"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Identifying the jobs of the future – the need for an assessment in order to prepare for the future.</w:t>
      </w:r>
    </w:p>
    <w:p w14:paraId="265F3C02" w14:textId="12C103AC"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Applied “greentech”</w:t>
      </w:r>
      <w:r w:rsidR="00EC2D6A">
        <w:rPr>
          <w:rFonts w:ascii="Arial" w:hAnsi="Arial" w:cs="Arial"/>
          <w:sz w:val="20"/>
          <w:szCs w:val="20"/>
        </w:rPr>
        <w:t xml:space="preserve"> </w:t>
      </w:r>
      <w:r>
        <w:rPr>
          <w:rFonts w:ascii="Arial" w:hAnsi="Arial" w:cs="Arial"/>
          <w:sz w:val="20"/>
          <w:szCs w:val="20"/>
        </w:rPr>
        <w:t>pilot project</w:t>
      </w:r>
      <w:r w:rsidR="00EC2D6A">
        <w:rPr>
          <w:rFonts w:ascii="Arial" w:hAnsi="Arial" w:cs="Arial"/>
          <w:sz w:val="20"/>
          <w:szCs w:val="20"/>
        </w:rPr>
        <w:t>.</w:t>
      </w:r>
      <w:r>
        <w:rPr>
          <w:rFonts w:ascii="Arial" w:hAnsi="Arial" w:cs="Arial"/>
          <w:sz w:val="20"/>
          <w:szCs w:val="20"/>
        </w:rPr>
        <w:t xml:space="preserve"> </w:t>
      </w:r>
    </w:p>
    <w:p w14:paraId="2E8DEF92" w14:textId="25B18246"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Emission monitoring system (including pollutants) (water, air, soil)/automated data collection system connected to a traffic management project</w:t>
      </w:r>
      <w:r w:rsidR="00EC2D6A">
        <w:rPr>
          <w:rFonts w:ascii="Arial" w:hAnsi="Arial" w:cs="Arial"/>
          <w:sz w:val="20"/>
          <w:szCs w:val="20"/>
        </w:rPr>
        <w:t>.</w:t>
      </w:r>
      <w:r>
        <w:rPr>
          <w:rFonts w:ascii="Arial" w:hAnsi="Arial" w:cs="Arial"/>
          <w:sz w:val="20"/>
          <w:szCs w:val="20"/>
        </w:rPr>
        <w:t xml:space="preserve"> </w:t>
      </w:r>
    </w:p>
    <w:p w14:paraId="162C7B86" w14:textId="2C5ADCE5"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Technology transfer project focused on eliminating CO</w:t>
      </w:r>
      <w:r>
        <w:rPr>
          <w:rFonts w:ascii="Arial" w:hAnsi="Arial" w:cs="Arial"/>
          <w:sz w:val="20"/>
          <w:szCs w:val="20"/>
          <w:vertAlign w:val="subscript"/>
        </w:rPr>
        <w:t>2</w:t>
      </w:r>
      <w:r>
        <w:rPr>
          <w:rFonts w:ascii="Arial" w:hAnsi="Arial" w:cs="Arial"/>
          <w:sz w:val="20"/>
          <w:szCs w:val="20"/>
        </w:rPr>
        <w:t>+ N (nitrogen)</w:t>
      </w:r>
      <w:r w:rsidR="00EC2D6A">
        <w:rPr>
          <w:rFonts w:ascii="Arial" w:hAnsi="Arial" w:cs="Arial"/>
          <w:sz w:val="20"/>
          <w:szCs w:val="20"/>
        </w:rPr>
        <w:t>.</w:t>
      </w:r>
    </w:p>
    <w:p w14:paraId="438B8218" w14:textId="6B9C5FC7"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Increasing the capacity of existing private actors in decontamination, greening processes, including electricity production via photovoltaic/wind farms</w:t>
      </w:r>
      <w:r w:rsidR="00EC2D6A">
        <w:rPr>
          <w:rFonts w:ascii="Arial" w:hAnsi="Arial" w:cs="Arial"/>
          <w:sz w:val="20"/>
          <w:szCs w:val="20"/>
        </w:rPr>
        <w:t>.</w:t>
      </w:r>
    </w:p>
    <w:p w14:paraId="5A0AB852" w14:textId="045FCCCF"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Waste management project (neutralisation and processing/recycling component)</w:t>
      </w:r>
      <w:r w:rsidR="00EC2D6A">
        <w:rPr>
          <w:rFonts w:ascii="Arial" w:hAnsi="Arial" w:cs="Arial"/>
          <w:sz w:val="20"/>
          <w:szCs w:val="20"/>
        </w:rPr>
        <w:t>.</w:t>
      </w:r>
    </w:p>
    <w:p w14:paraId="684E0751" w14:textId="292B78AE"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Development, attracting the automotive manufacturing industry (high added value) especially electric car, battery value chain</w:t>
      </w:r>
      <w:r w:rsidR="00EC2D6A">
        <w:rPr>
          <w:rFonts w:ascii="Arial" w:hAnsi="Arial" w:cs="Arial"/>
          <w:sz w:val="20"/>
          <w:szCs w:val="20"/>
        </w:rPr>
        <w:t>.</w:t>
      </w:r>
    </w:p>
    <w:p w14:paraId="147B8CFD" w14:textId="7E42D019"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Support the IT and software industry</w:t>
      </w:r>
      <w:r w:rsidR="00EC2D6A">
        <w:rPr>
          <w:rFonts w:ascii="Arial" w:hAnsi="Arial" w:cs="Arial"/>
          <w:sz w:val="20"/>
          <w:szCs w:val="20"/>
        </w:rPr>
        <w:t>.</w:t>
      </w:r>
    </w:p>
    <w:p w14:paraId="62DC823A" w14:textId="2DDF03E5"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Pharmaceutical and medical equipment + medical tech industry</w:t>
      </w:r>
      <w:r w:rsidR="00EC2D6A">
        <w:rPr>
          <w:rFonts w:ascii="Arial" w:hAnsi="Arial" w:cs="Arial"/>
          <w:sz w:val="20"/>
          <w:szCs w:val="20"/>
        </w:rPr>
        <w:t>.</w:t>
      </w:r>
    </w:p>
    <w:p w14:paraId="407CCD60" w14:textId="77777777"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Circular economy</w:t>
      </w:r>
    </w:p>
    <w:p w14:paraId="0EDFC1B5" w14:textId="77777777"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Qualification/ retraining of personnel for new technologies</w:t>
      </w:r>
    </w:p>
    <w:p w14:paraId="5009E09E" w14:textId="25DF879B" w:rsidR="00ED18E6" w:rsidRPr="00EC2D6A"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Accelerators/incubators for entrepreneurs and SMEs - start-up and scale-up and investment.</w:t>
      </w:r>
    </w:p>
    <w:p w14:paraId="25FAE524" w14:textId="39A01E7A"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Opportunity for the Chamber of Commerce to create programmes acting as links between education and businesses/employers/industry. Programmes with recurring meetings, information campaigns legal framework</w:t>
      </w:r>
      <w:r w:rsidR="00EC2D6A">
        <w:rPr>
          <w:rFonts w:ascii="Arial" w:hAnsi="Arial" w:cs="Arial"/>
          <w:sz w:val="20"/>
          <w:szCs w:val="20"/>
        </w:rPr>
        <w:t>,</w:t>
      </w:r>
      <w:r>
        <w:rPr>
          <w:rFonts w:ascii="Arial" w:hAnsi="Arial" w:cs="Arial"/>
          <w:sz w:val="20"/>
          <w:szCs w:val="20"/>
        </w:rPr>
        <w:t xml:space="preserve"> etc</w:t>
      </w:r>
      <w:r w:rsidR="00EC2D6A">
        <w:rPr>
          <w:rFonts w:ascii="Arial" w:hAnsi="Arial" w:cs="Arial"/>
          <w:sz w:val="20"/>
          <w:szCs w:val="20"/>
        </w:rPr>
        <w:t>.</w:t>
      </w:r>
      <w:r>
        <w:rPr>
          <w:rFonts w:ascii="Arial" w:hAnsi="Arial" w:cs="Arial"/>
          <w:sz w:val="20"/>
          <w:szCs w:val="20"/>
        </w:rPr>
        <w:t xml:space="preserve">  </w:t>
      </w:r>
    </w:p>
    <w:p w14:paraId="25356475" w14:textId="0B62066D"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Informarming/motivating entrepreneurs/ SMEs on financing and partnerships opportunities</w:t>
      </w:r>
      <w:r w:rsidR="00EC2D6A">
        <w:rPr>
          <w:rFonts w:ascii="Arial" w:hAnsi="Arial" w:cs="Arial"/>
          <w:sz w:val="20"/>
          <w:szCs w:val="20"/>
        </w:rPr>
        <w:t>.</w:t>
      </w:r>
    </w:p>
    <w:p w14:paraId="0C5B8FD5" w14:textId="4A9D3127"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Information campaigns for increasing awareness on the transition to the low-emissions economy and moderni</w:t>
      </w:r>
      <w:r w:rsidR="00EC2D6A">
        <w:rPr>
          <w:rFonts w:ascii="Arial" w:hAnsi="Arial" w:cs="Arial"/>
          <w:sz w:val="20"/>
          <w:szCs w:val="20"/>
        </w:rPr>
        <w:t>s</w:t>
      </w:r>
      <w:r>
        <w:rPr>
          <w:rFonts w:ascii="Arial" w:hAnsi="Arial" w:cs="Arial"/>
          <w:sz w:val="20"/>
          <w:szCs w:val="20"/>
        </w:rPr>
        <w:t>ation/the future</w:t>
      </w:r>
      <w:r w:rsidR="00EC2D6A">
        <w:rPr>
          <w:rFonts w:ascii="Arial" w:hAnsi="Arial" w:cs="Arial"/>
          <w:sz w:val="20"/>
          <w:szCs w:val="20"/>
        </w:rPr>
        <w:t>.</w:t>
      </w:r>
      <w:r>
        <w:rPr>
          <w:rFonts w:ascii="Arial" w:hAnsi="Arial" w:cs="Arial"/>
          <w:sz w:val="20"/>
          <w:szCs w:val="20"/>
        </w:rPr>
        <w:t xml:space="preserve"> </w:t>
      </w:r>
    </w:p>
    <w:p w14:paraId="2FA9A21E" w14:textId="55D7CB7B"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Programmes aimed at developing/encouraging career transfer from high emission economies/industries/employers to trades/jobs in the area of SMEs/entrepreneurship</w:t>
      </w:r>
      <w:r w:rsidR="00EC2D6A">
        <w:rPr>
          <w:rFonts w:ascii="Arial" w:hAnsi="Arial" w:cs="Arial"/>
          <w:sz w:val="20"/>
          <w:szCs w:val="20"/>
        </w:rPr>
        <w:t>.</w:t>
      </w:r>
      <w:r>
        <w:rPr>
          <w:rFonts w:ascii="Arial" w:hAnsi="Arial" w:cs="Arial"/>
          <w:sz w:val="20"/>
          <w:szCs w:val="20"/>
        </w:rPr>
        <w:t xml:space="preserve"> </w:t>
      </w:r>
    </w:p>
    <w:p w14:paraId="31924D90" w14:textId="0B738FCB" w:rsidR="00ED18E6" w:rsidRDefault="00ED18E6" w:rsidP="00E42342">
      <w:pPr>
        <w:numPr>
          <w:ilvl w:val="0"/>
          <w:numId w:val="237"/>
        </w:numPr>
        <w:spacing w:after="80"/>
        <w:ind w:left="360"/>
        <w:jc w:val="both"/>
        <w:rPr>
          <w:rFonts w:ascii="Arial" w:hAnsi="Arial" w:cs="Arial"/>
          <w:sz w:val="20"/>
          <w:szCs w:val="20"/>
        </w:rPr>
      </w:pPr>
      <w:r>
        <w:rPr>
          <w:rFonts w:ascii="Arial" w:hAnsi="Arial" w:cs="Arial"/>
          <w:sz w:val="20"/>
          <w:szCs w:val="20"/>
        </w:rPr>
        <w:t>Programmes aimed at developing skills/intelligent speciali</w:t>
      </w:r>
      <w:r w:rsidR="00EC2D6A">
        <w:rPr>
          <w:rFonts w:ascii="Arial" w:hAnsi="Arial" w:cs="Arial"/>
          <w:sz w:val="20"/>
          <w:szCs w:val="20"/>
        </w:rPr>
        <w:t>s</w:t>
      </w:r>
      <w:r>
        <w:rPr>
          <w:rFonts w:ascii="Arial" w:hAnsi="Arial" w:cs="Arial"/>
          <w:sz w:val="20"/>
          <w:szCs w:val="20"/>
        </w:rPr>
        <w:t>ation for entrepreneurs/SME and for employees/future employees</w:t>
      </w:r>
      <w:r w:rsidR="00EC2D6A">
        <w:rPr>
          <w:rFonts w:ascii="Arial" w:hAnsi="Arial" w:cs="Arial"/>
          <w:sz w:val="20"/>
          <w:szCs w:val="20"/>
        </w:rPr>
        <w:t>.</w:t>
      </w:r>
      <w:r>
        <w:rPr>
          <w:rFonts w:ascii="Arial" w:hAnsi="Arial" w:cs="Arial"/>
          <w:sz w:val="20"/>
          <w:szCs w:val="20"/>
        </w:rPr>
        <w:t xml:space="preserve"> </w:t>
      </w:r>
    </w:p>
    <w:p w14:paraId="33EFD429" w14:textId="0CBA737B" w:rsidR="007D4809" w:rsidRPr="007D4809" w:rsidRDefault="007D4809" w:rsidP="00792049">
      <w:pPr>
        <w:jc w:val="both"/>
        <w:rPr>
          <w:rFonts w:ascii="Arial" w:hAnsi="Arial" w:cs="Arial"/>
          <w:sz w:val="20"/>
          <w:szCs w:val="20"/>
        </w:rPr>
      </w:pPr>
      <w:r w:rsidRPr="007D4809">
        <w:rPr>
          <w:rFonts w:ascii="Arial" w:hAnsi="Arial" w:cs="Arial"/>
          <w:b/>
          <w:sz w:val="20"/>
          <w:szCs w:val="20"/>
        </w:rPr>
        <w:t>Assessment on the pertinence of the ideas put forward / Rationale based on the data collected and the JTF framework</w:t>
      </w:r>
    </w:p>
    <w:p w14:paraId="2A085C7E" w14:textId="77777777" w:rsidR="00ED18E6" w:rsidRPr="003451C9" w:rsidRDefault="00ED18E6" w:rsidP="00ED18E6">
      <w:pPr>
        <w:jc w:val="both"/>
        <w:rPr>
          <w:rFonts w:ascii="Arial" w:hAnsi="Arial" w:cs="Arial"/>
          <w:b/>
          <w:sz w:val="8"/>
          <w:szCs w:val="8"/>
        </w:rPr>
      </w:pPr>
    </w:p>
    <w:p w14:paraId="786413F6" w14:textId="4FB81FDB" w:rsidR="00ED18E6" w:rsidRPr="003451C9" w:rsidRDefault="00ED18E6" w:rsidP="00E42342">
      <w:pPr>
        <w:pStyle w:val="ListParagraph"/>
        <w:numPr>
          <w:ilvl w:val="0"/>
          <w:numId w:val="238"/>
        </w:numPr>
        <w:spacing w:after="80" w:line="240" w:lineRule="auto"/>
        <w:ind w:left="357" w:hanging="357"/>
        <w:contextualSpacing w:val="0"/>
        <w:jc w:val="both"/>
        <w:rPr>
          <w:sz w:val="20"/>
          <w:szCs w:val="20"/>
        </w:rPr>
      </w:pPr>
      <w:r w:rsidRPr="003451C9">
        <w:rPr>
          <w:sz w:val="20"/>
          <w:szCs w:val="20"/>
        </w:rPr>
        <w:t>There are initiatives and opportunities for local economic diversification</w:t>
      </w:r>
      <w:r w:rsidR="00EC2D6A">
        <w:rPr>
          <w:sz w:val="20"/>
          <w:szCs w:val="20"/>
        </w:rPr>
        <w:t xml:space="preserve"> such as</w:t>
      </w:r>
      <w:r w:rsidRPr="003451C9">
        <w:rPr>
          <w:sz w:val="20"/>
          <w:szCs w:val="20"/>
        </w:rPr>
        <w:t xml:space="preserve"> construction, automotive, pharmaceutical industry and medical technologies, the food industry</w:t>
      </w:r>
      <w:r w:rsidR="00EC2D6A">
        <w:rPr>
          <w:sz w:val="20"/>
          <w:szCs w:val="20"/>
        </w:rPr>
        <w:t>.</w:t>
      </w:r>
      <w:r w:rsidRPr="003451C9">
        <w:rPr>
          <w:sz w:val="20"/>
          <w:szCs w:val="20"/>
        </w:rPr>
        <w:t xml:space="preserve"> </w:t>
      </w:r>
    </w:p>
    <w:p w14:paraId="325EB104" w14:textId="65AAF6CA" w:rsidR="00ED18E6" w:rsidRPr="003451C9" w:rsidRDefault="00ED18E6" w:rsidP="00E42342">
      <w:pPr>
        <w:pStyle w:val="ListParagraph"/>
        <w:numPr>
          <w:ilvl w:val="0"/>
          <w:numId w:val="238"/>
        </w:numPr>
        <w:spacing w:after="80" w:line="240" w:lineRule="auto"/>
        <w:ind w:left="357" w:hanging="357"/>
        <w:contextualSpacing w:val="0"/>
        <w:jc w:val="both"/>
        <w:rPr>
          <w:sz w:val="20"/>
          <w:szCs w:val="20"/>
        </w:rPr>
      </w:pPr>
      <w:r w:rsidRPr="003451C9">
        <w:rPr>
          <w:sz w:val="20"/>
          <w:szCs w:val="20"/>
        </w:rPr>
        <w:lastRenderedPageBreak/>
        <w:t>The need for professional training and capitali</w:t>
      </w:r>
      <w:r w:rsidR="00EC2D6A">
        <w:rPr>
          <w:sz w:val="20"/>
          <w:szCs w:val="20"/>
        </w:rPr>
        <w:t>s</w:t>
      </w:r>
      <w:r w:rsidRPr="003451C9">
        <w:rPr>
          <w:sz w:val="20"/>
          <w:szCs w:val="20"/>
        </w:rPr>
        <w:t>ation of human resources (various stages of education and expertise), given the existing local competition for qualified workforce</w:t>
      </w:r>
      <w:r w:rsidR="00EC2D6A">
        <w:rPr>
          <w:sz w:val="20"/>
          <w:szCs w:val="20"/>
        </w:rPr>
        <w:t>.</w:t>
      </w:r>
      <w:r w:rsidRPr="003451C9">
        <w:rPr>
          <w:sz w:val="20"/>
          <w:szCs w:val="20"/>
        </w:rPr>
        <w:t xml:space="preserve"> </w:t>
      </w:r>
    </w:p>
    <w:p w14:paraId="75B9A89D" w14:textId="6ACA823D" w:rsidR="00ED18E6" w:rsidRPr="003451C9" w:rsidRDefault="00ED18E6" w:rsidP="00E42342">
      <w:pPr>
        <w:pStyle w:val="ListParagraph"/>
        <w:numPr>
          <w:ilvl w:val="0"/>
          <w:numId w:val="238"/>
        </w:numPr>
        <w:spacing w:after="80" w:line="240" w:lineRule="auto"/>
        <w:ind w:left="357" w:hanging="357"/>
        <w:contextualSpacing w:val="0"/>
        <w:jc w:val="both"/>
        <w:rPr>
          <w:sz w:val="20"/>
          <w:szCs w:val="20"/>
        </w:rPr>
      </w:pPr>
      <w:r w:rsidRPr="003451C9">
        <w:rPr>
          <w:sz w:val="20"/>
          <w:szCs w:val="20"/>
        </w:rPr>
        <w:t xml:space="preserve">The need to prepare the jobs of the future and establish a </w:t>
      </w:r>
      <w:r w:rsidR="00EC2D6A">
        <w:rPr>
          <w:sz w:val="20"/>
          <w:szCs w:val="20"/>
        </w:rPr>
        <w:t>h</w:t>
      </w:r>
      <w:r w:rsidRPr="003451C9">
        <w:rPr>
          <w:sz w:val="20"/>
          <w:szCs w:val="20"/>
        </w:rPr>
        <w:t>uman resources management</w:t>
      </w:r>
      <w:r w:rsidR="00EC2D6A">
        <w:rPr>
          <w:sz w:val="20"/>
          <w:szCs w:val="20"/>
        </w:rPr>
        <w:t>;</w:t>
      </w:r>
      <w:r w:rsidRPr="003451C9">
        <w:rPr>
          <w:sz w:val="20"/>
          <w:szCs w:val="20"/>
        </w:rPr>
        <w:t xml:space="preserve"> Association by means of a partnership between the public, privat</w:t>
      </w:r>
      <w:r>
        <w:rPr>
          <w:sz w:val="20"/>
          <w:szCs w:val="20"/>
        </w:rPr>
        <w:t>e</w:t>
      </w:r>
      <w:r w:rsidRPr="003451C9">
        <w:rPr>
          <w:sz w:val="20"/>
          <w:szCs w:val="20"/>
        </w:rPr>
        <w:t xml:space="preserve">, education sectors. </w:t>
      </w:r>
    </w:p>
    <w:p w14:paraId="593890F6" w14:textId="64A5EC39" w:rsidR="00ED18E6" w:rsidRDefault="00ED18E6" w:rsidP="00E42342">
      <w:pPr>
        <w:pStyle w:val="ListParagraph"/>
        <w:numPr>
          <w:ilvl w:val="0"/>
          <w:numId w:val="238"/>
        </w:numPr>
        <w:spacing w:after="80" w:line="240" w:lineRule="auto"/>
        <w:ind w:left="357" w:hanging="357"/>
        <w:contextualSpacing w:val="0"/>
        <w:jc w:val="both"/>
        <w:rPr>
          <w:sz w:val="20"/>
          <w:szCs w:val="20"/>
        </w:rPr>
      </w:pPr>
      <w:r w:rsidRPr="003451C9">
        <w:rPr>
          <w:sz w:val="20"/>
          <w:szCs w:val="20"/>
        </w:rPr>
        <w:t>General assessment for all counties – it is necessary to implement integrated projects with a post-funding duration of operation/use beyond the obligation to maintain the investment objective/operation imposed by the POTJ through future general and specific guidelines</w:t>
      </w:r>
      <w:r w:rsidR="00EC2D6A">
        <w:rPr>
          <w:sz w:val="20"/>
          <w:szCs w:val="20"/>
        </w:rPr>
        <w:t>.</w:t>
      </w:r>
    </w:p>
    <w:p w14:paraId="4C643EF7" w14:textId="77777777" w:rsidR="00EC2D6A" w:rsidRPr="00ED18E6" w:rsidRDefault="00EC2D6A" w:rsidP="00EC2D6A">
      <w:pPr>
        <w:pStyle w:val="ListParagraph"/>
        <w:spacing w:after="80" w:line="240" w:lineRule="auto"/>
        <w:ind w:left="357"/>
        <w:contextualSpacing w:val="0"/>
        <w:jc w:val="both"/>
        <w:rPr>
          <w:sz w:val="20"/>
          <w:szCs w:val="20"/>
        </w:rPr>
      </w:pPr>
    </w:p>
    <w:p w14:paraId="621D3FB3" w14:textId="6435697E" w:rsidR="00AC2D01" w:rsidRPr="00792049" w:rsidRDefault="00AC2D01" w:rsidP="00E42342">
      <w:pPr>
        <w:pStyle w:val="Heading1"/>
        <w:numPr>
          <w:ilvl w:val="0"/>
          <w:numId w:val="110"/>
        </w:numPr>
        <w:ind w:left="567" w:hanging="567"/>
        <w:rPr>
          <w:color w:val="4F81BD" w:themeColor="accent1"/>
        </w:rPr>
      </w:pPr>
      <w:bookmarkStart w:id="324" w:name="_Toc90725901"/>
      <w:r w:rsidRPr="00792049">
        <w:rPr>
          <w:color w:val="4F81BD" w:themeColor="accent1"/>
        </w:rPr>
        <w:t>Just Transition A</w:t>
      </w:r>
      <w:r w:rsidR="00C76AFA" w:rsidRPr="00792049">
        <w:rPr>
          <w:color w:val="4F81BD" w:themeColor="accent1"/>
        </w:rPr>
        <w:t>ssessment</w:t>
      </w:r>
      <w:r w:rsidR="00FF34FD" w:rsidRPr="00792049">
        <w:rPr>
          <w:color w:val="4F81BD" w:themeColor="accent1"/>
        </w:rPr>
        <w:t>, Actions and Investment Needs</w:t>
      </w:r>
      <w:r w:rsidRPr="00792049">
        <w:rPr>
          <w:color w:val="4F81BD" w:themeColor="accent1"/>
        </w:rPr>
        <w:t xml:space="preserve"> for </w:t>
      </w:r>
      <w:r w:rsidR="003751DC" w:rsidRPr="00792049">
        <w:rPr>
          <w:color w:val="4F81BD" w:themeColor="accent1"/>
        </w:rPr>
        <w:t>Galați</w:t>
      </w:r>
      <w:r w:rsidRPr="00792049">
        <w:rPr>
          <w:color w:val="4F81BD" w:themeColor="accent1"/>
        </w:rPr>
        <w:t xml:space="preserve"> county</w:t>
      </w:r>
      <w:bookmarkEnd w:id="324"/>
    </w:p>
    <w:p w14:paraId="7F02D915" w14:textId="2B4EE913" w:rsidR="00355050" w:rsidRDefault="00355050" w:rsidP="00355050">
      <w:pPr>
        <w:rPr>
          <w:lang w:eastAsia="en-US"/>
        </w:rPr>
      </w:pPr>
    </w:p>
    <w:p w14:paraId="518F332B" w14:textId="233FD6D1" w:rsidR="00425DE9" w:rsidRDefault="00355050" w:rsidP="00425DE9">
      <w:pPr>
        <w:pStyle w:val="FootnoteText"/>
        <w:jc w:val="both"/>
        <w:rPr>
          <w:sz w:val="20"/>
          <w:szCs w:val="20"/>
        </w:rPr>
      </w:pPr>
      <w:r w:rsidRPr="00355050">
        <w:rPr>
          <w:sz w:val="20"/>
          <w:szCs w:val="20"/>
        </w:rPr>
        <w:t xml:space="preserve">In </w:t>
      </w:r>
      <w:r w:rsidR="00425DE9">
        <w:rPr>
          <w:sz w:val="20"/>
          <w:szCs w:val="20"/>
        </w:rPr>
        <w:t xml:space="preserve">this </w:t>
      </w:r>
      <w:r w:rsidR="00091FE3">
        <w:rPr>
          <w:sz w:val="20"/>
          <w:szCs w:val="20"/>
        </w:rPr>
        <w:t>chapter</w:t>
      </w:r>
      <w:r w:rsidR="00425DE9">
        <w:rPr>
          <w:sz w:val="20"/>
          <w:szCs w:val="20"/>
        </w:rPr>
        <w:t>, we first present the logic of the intervention as an overarching high-level picture and then go into the details concerning the context, challenges, opportunities, SWOT analysis, and recommended investment needs.</w:t>
      </w:r>
    </w:p>
    <w:p w14:paraId="1ABB9985" w14:textId="227384B7" w:rsidR="00C76AFA" w:rsidRDefault="00C76AFA" w:rsidP="00E42342">
      <w:pPr>
        <w:pStyle w:val="Heading2"/>
        <w:numPr>
          <w:ilvl w:val="0"/>
          <w:numId w:val="176"/>
        </w:numPr>
        <w:spacing w:before="240" w:line="240" w:lineRule="auto"/>
      </w:pPr>
      <w:bookmarkStart w:id="325" w:name="_Toc90725902"/>
      <w:r>
        <w:t xml:space="preserve">Logic of the intervention for </w:t>
      </w:r>
      <w:r w:rsidR="003751DC">
        <w:t>Galați</w:t>
      </w:r>
      <w:r>
        <w:t xml:space="preserve"> </w:t>
      </w:r>
      <w:r w:rsidR="00425DE9">
        <w:t>C</w:t>
      </w:r>
      <w:r>
        <w:t>ounty</w:t>
      </w:r>
      <w:bookmarkEnd w:id="325"/>
    </w:p>
    <w:p w14:paraId="1C8B174C" w14:textId="1A0ABBEF" w:rsidR="00C76AFA" w:rsidRPr="004050B9" w:rsidRDefault="00C76AFA" w:rsidP="004050B9">
      <w:pPr>
        <w:jc w:val="both"/>
        <w:rPr>
          <w:rFonts w:ascii="Arial" w:hAnsi="Arial" w:cs="Arial"/>
          <w:sz w:val="20"/>
          <w:szCs w:val="20"/>
          <w:lang w:eastAsia="en-US"/>
        </w:rPr>
      </w:pPr>
      <w:r w:rsidRPr="009118F7">
        <w:rPr>
          <w:rFonts w:ascii="Arial" w:hAnsi="Arial" w:cs="Arial"/>
          <w:sz w:val="20"/>
          <w:szCs w:val="20"/>
          <w:lang w:eastAsia="en-US"/>
        </w:rPr>
        <w:t xml:space="preserve">The logic of the intervention is summarised in </w:t>
      </w:r>
      <w:r w:rsidR="00493276">
        <w:rPr>
          <w:rFonts w:ascii="Arial" w:hAnsi="Arial" w:cs="Arial"/>
          <w:sz w:val="20"/>
          <w:szCs w:val="20"/>
          <w:lang w:eastAsia="en-US"/>
        </w:rPr>
        <w:t>F</w:t>
      </w:r>
      <w:r w:rsidRPr="009118F7">
        <w:rPr>
          <w:rFonts w:ascii="Arial" w:hAnsi="Arial" w:cs="Arial"/>
          <w:sz w:val="20"/>
          <w:szCs w:val="20"/>
          <w:lang w:eastAsia="en-US"/>
        </w:rPr>
        <w:t>igure</w:t>
      </w:r>
      <w:r w:rsidR="00493276">
        <w:rPr>
          <w:rFonts w:ascii="Arial" w:hAnsi="Arial" w:cs="Arial"/>
          <w:sz w:val="20"/>
          <w:szCs w:val="20"/>
          <w:lang w:eastAsia="en-US"/>
        </w:rPr>
        <w:t xml:space="preserve"> </w:t>
      </w:r>
      <w:r w:rsidR="00CA72BD">
        <w:rPr>
          <w:rFonts w:ascii="Arial" w:hAnsi="Arial" w:cs="Arial"/>
          <w:sz w:val="20"/>
          <w:szCs w:val="20"/>
          <w:lang w:eastAsia="en-US"/>
        </w:rPr>
        <w:t>24</w:t>
      </w:r>
      <w:r w:rsidRPr="009118F7">
        <w:rPr>
          <w:rFonts w:ascii="Arial" w:hAnsi="Arial" w:cs="Arial"/>
          <w:sz w:val="20"/>
          <w:szCs w:val="20"/>
          <w:lang w:eastAsia="en-US"/>
        </w:rPr>
        <w:t xml:space="preserve"> </w:t>
      </w:r>
      <w:r>
        <w:rPr>
          <w:rFonts w:ascii="Arial" w:hAnsi="Arial" w:cs="Arial"/>
          <w:sz w:val="20"/>
          <w:szCs w:val="20"/>
          <w:lang w:eastAsia="en-US"/>
        </w:rPr>
        <w:t xml:space="preserve">and </w:t>
      </w:r>
      <w:r w:rsidR="00493276">
        <w:rPr>
          <w:rFonts w:ascii="Arial" w:hAnsi="Arial" w:cs="Arial"/>
          <w:sz w:val="20"/>
          <w:szCs w:val="20"/>
          <w:lang w:eastAsia="en-US"/>
        </w:rPr>
        <w:t xml:space="preserve">ties </w:t>
      </w:r>
      <w:r>
        <w:rPr>
          <w:rFonts w:ascii="Arial" w:hAnsi="Arial" w:cs="Arial"/>
          <w:sz w:val="20"/>
          <w:szCs w:val="20"/>
          <w:lang w:eastAsia="en-US"/>
        </w:rPr>
        <w:t xml:space="preserve">together </w:t>
      </w:r>
      <w:r w:rsidR="00493276">
        <w:rPr>
          <w:rFonts w:ascii="Arial" w:hAnsi="Arial" w:cs="Arial"/>
          <w:sz w:val="20"/>
          <w:szCs w:val="20"/>
          <w:lang w:eastAsia="en-US"/>
        </w:rPr>
        <w:t xml:space="preserve">the </w:t>
      </w:r>
      <w:r>
        <w:rPr>
          <w:rFonts w:ascii="Arial" w:hAnsi="Arial" w:cs="Arial"/>
          <w:sz w:val="20"/>
          <w:szCs w:val="20"/>
          <w:lang w:eastAsia="en-US"/>
        </w:rPr>
        <w:t xml:space="preserve">elements analysed in this </w:t>
      </w:r>
      <w:r w:rsidR="00091FE3">
        <w:rPr>
          <w:rFonts w:ascii="Arial" w:hAnsi="Arial" w:cs="Arial"/>
          <w:sz w:val="20"/>
          <w:szCs w:val="20"/>
          <w:lang w:eastAsia="en-US"/>
        </w:rPr>
        <w:t>chapter</w:t>
      </w:r>
      <w:r>
        <w:rPr>
          <w:rFonts w:ascii="Arial" w:hAnsi="Arial" w:cs="Arial"/>
          <w:sz w:val="20"/>
          <w:szCs w:val="20"/>
          <w:lang w:eastAsia="en-US"/>
        </w:rPr>
        <w:t>.</w:t>
      </w:r>
    </w:p>
    <w:p w14:paraId="19852B62" w14:textId="77777777" w:rsidR="00C76AFA" w:rsidRDefault="00C76AFA" w:rsidP="00826AB0">
      <w:pPr>
        <w:jc w:val="both"/>
        <w:rPr>
          <w:rFonts w:ascii="Arial" w:hAnsi="Arial" w:cs="Arial"/>
          <w:sz w:val="20"/>
          <w:szCs w:val="20"/>
        </w:rPr>
        <w:sectPr w:rsidR="00C76AFA" w:rsidSect="007D4809">
          <w:pgSz w:w="11909" w:h="16834"/>
          <w:pgMar w:top="1440" w:right="1440" w:bottom="1440" w:left="1530" w:header="720" w:footer="720" w:gutter="0"/>
          <w:cols w:space="720"/>
          <w:docGrid w:linePitch="326"/>
        </w:sectPr>
      </w:pPr>
    </w:p>
    <w:p w14:paraId="3C7774DD" w14:textId="070E76AC" w:rsidR="004050B9" w:rsidRDefault="004050B9" w:rsidP="00D306CB">
      <w:pPr>
        <w:pStyle w:val="Caption"/>
        <w:spacing w:before="0"/>
        <w:ind w:left="1137" w:hanging="1051"/>
      </w:pPr>
      <w:bookmarkStart w:id="326" w:name="_Toc90725951"/>
      <w:r>
        <w:rPr>
          <w:noProof/>
          <w:lang w:val="en-US"/>
        </w:rPr>
        <w:lastRenderedPageBreak/>
        <w:drawing>
          <wp:anchor distT="0" distB="0" distL="114300" distR="114300" simplePos="0" relativeHeight="251682816" behindDoc="1" locked="0" layoutInCell="1" allowOverlap="1" wp14:anchorId="2ABF98F3" wp14:editId="1E116B83">
            <wp:simplePos x="0" y="0"/>
            <wp:positionH relativeFrom="column">
              <wp:posOffset>-146050</wp:posOffset>
            </wp:positionH>
            <wp:positionV relativeFrom="paragraph">
              <wp:posOffset>50800</wp:posOffset>
            </wp:positionV>
            <wp:extent cx="8839200" cy="6430645"/>
            <wp:effectExtent l="0" t="0" r="0" b="8255"/>
            <wp:wrapNone/>
            <wp:docPr id="2087055614" name="Picture 208705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extLst>
                        <a:ext uri="{28A0092B-C50C-407E-A947-70E740481C1C}">
                          <a14:useLocalDpi xmlns:a14="http://schemas.microsoft.com/office/drawing/2010/main" val="0"/>
                        </a:ext>
                      </a:extLst>
                    </a:blip>
                    <a:stretch>
                      <a:fillRect/>
                    </a:stretch>
                  </pic:blipFill>
                  <pic:spPr>
                    <a:xfrm>
                      <a:off x="0" y="0"/>
                      <a:ext cx="8839200" cy="6430645"/>
                    </a:xfrm>
                    <a:prstGeom prst="rect">
                      <a:avLst/>
                    </a:prstGeom>
                  </pic:spPr>
                </pic:pic>
              </a:graphicData>
            </a:graphic>
            <wp14:sizeRelH relativeFrom="margin">
              <wp14:pctWidth>0</wp14:pctWidth>
            </wp14:sizeRelH>
            <wp14:sizeRelV relativeFrom="margin">
              <wp14:pctHeight>0</wp14:pctHeight>
            </wp14:sizeRelV>
          </wp:anchor>
        </w:drawing>
      </w:r>
      <w:r>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24</w:t>
      </w:r>
      <w:r w:rsidR="000B273D">
        <w:rPr>
          <w:noProof/>
        </w:rPr>
        <w:fldChar w:fldCharType="end"/>
      </w:r>
      <w:r>
        <w:t>: Logic of the intervention for Galați County</w:t>
      </w:r>
      <w:bookmarkEnd w:id="326"/>
    </w:p>
    <w:p w14:paraId="46B40ABD" w14:textId="4DCB26C3" w:rsidR="00C76AFA" w:rsidRDefault="00C76AFA" w:rsidP="00826AB0">
      <w:pPr>
        <w:jc w:val="both"/>
        <w:rPr>
          <w:rFonts w:ascii="Arial" w:hAnsi="Arial" w:cs="Arial"/>
          <w:sz w:val="20"/>
          <w:szCs w:val="20"/>
        </w:rPr>
        <w:sectPr w:rsidR="00C76AFA" w:rsidSect="007D4809">
          <w:headerReference w:type="default" r:id="rId212"/>
          <w:footerReference w:type="default" r:id="rId213"/>
          <w:pgSz w:w="16834" w:h="11909" w:orient="landscape"/>
          <w:pgMar w:top="1530" w:right="1440" w:bottom="1440" w:left="1440" w:header="720" w:footer="720" w:gutter="0"/>
          <w:cols w:space="720"/>
          <w:docGrid w:linePitch="326"/>
        </w:sectPr>
      </w:pPr>
    </w:p>
    <w:p w14:paraId="3140C059" w14:textId="551C241E" w:rsidR="00D6091A" w:rsidRPr="00C76AFA" w:rsidRDefault="00C76AFA" w:rsidP="00E42342">
      <w:pPr>
        <w:pStyle w:val="Heading2"/>
        <w:numPr>
          <w:ilvl w:val="0"/>
          <w:numId w:val="177"/>
        </w:numPr>
        <w:spacing w:before="240" w:line="240" w:lineRule="auto"/>
      </w:pPr>
      <w:bookmarkStart w:id="327" w:name="_Toc90725903"/>
      <w:r w:rsidRPr="003516DC">
        <w:lastRenderedPageBreak/>
        <w:t>Assessment of the transition challenges at the political-administrative, economic and employment, environmental, socio-cultural and digital/ technological levels</w:t>
      </w:r>
      <w:bookmarkEnd w:id="327"/>
    </w:p>
    <w:p w14:paraId="1C6738DE" w14:textId="307E82BA" w:rsidR="004B3189" w:rsidRPr="003516DC" w:rsidRDefault="004B3189" w:rsidP="00E42342">
      <w:pPr>
        <w:pStyle w:val="Heading3"/>
        <w:numPr>
          <w:ilvl w:val="0"/>
          <w:numId w:val="149"/>
        </w:numPr>
        <w:spacing w:before="120" w:after="120" w:line="240" w:lineRule="auto"/>
        <w:rPr>
          <w:b w:val="0"/>
        </w:rPr>
      </w:pPr>
      <w:r w:rsidRPr="003516DC">
        <w:rPr>
          <w:b w:val="0"/>
        </w:rPr>
        <w:t>State of play</w:t>
      </w:r>
      <w:r w:rsidR="00F0070A" w:rsidRPr="003516DC">
        <w:rPr>
          <w:b w:val="0"/>
        </w:rPr>
        <w:t xml:space="preserve"> in </w:t>
      </w:r>
      <w:r w:rsidR="003751DC">
        <w:rPr>
          <w:b w:val="0"/>
        </w:rPr>
        <w:t>Galați</w:t>
      </w:r>
      <w:r w:rsidR="00F0070A" w:rsidRPr="003516DC">
        <w:rPr>
          <w:b w:val="0"/>
        </w:rPr>
        <w:t xml:space="preserve"> </w:t>
      </w:r>
      <w:r w:rsidR="00493276">
        <w:rPr>
          <w:b w:val="0"/>
        </w:rPr>
        <w:t>C</w:t>
      </w:r>
      <w:r w:rsidR="00F0070A" w:rsidRPr="003516DC">
        <w:rPr>
          <w:b w:val="0"/>
        </w:rPr>
        <w:t>ounty</w:t>
      </w:r>
    </w:p>
    <w:p w14:paraId="71ABB8D0" w14:textId="77777777" w:rsidR="00054202" w:rsidRPr="00054202" w:rsidRDefault="00054202" w:rsidP="00E42342">
      <w:pPr>
        <w:pStyle w:val="ListParagraph"/>
        <w:numPr>
          <w:ilvl w:val="0"/>
          <w:numId w:val="305"/>
        </w:numPr>
        <w:spacing w:after="120"/>
        <w:jc w:val="both"/>
        <w:rPr>
          <w:color w:val="4F81BD" w:themeColor="accent1"/>
          <w:sz w:val="20"/>
          <w:szCs w:val="20"/>
        </w:rPr>
      </w:pPr>
      <w:r w:rsidRPr="00054202">
        <w:rPr>
          <w:color w:val="4F81BD" w:themeColor="accent1"/>
          <w:sz w:val="20"/>
          <w:szCs w:val="20"/>
        </w:rPr>
        <w:t>Political-administrative level</w:t>
      </w:r>
    </w:p>
    <w:p w14:paraId="51F3DAD2" w14:textId="049769A9" w:rsidR="004B3189" w:rsidRPr="003516DC" w:rsidRDefault="003751DC" w:rsidP="0088065B">
      <w:pPr>
        <w:spacing w:after="120"/>
        <w:jc w:val="both"/>
        <w:rPr>
          <w:rFonts w:ascii="Arial" w:hAnsi="Arial" w:cs="Arial"/>
          <w:sz w:val="20"/>
          <w:szCs w:val="20"/>
        </w:rPr>
      </w:pPr>
      <w:r>
        <w:rPr>
          <w:rFonts w:ascii="Arial" w:hAnsi="Arial" w:cs="Arial"/>
          <w:sz w:val="20"/>
          <w:szCs w:val="20"/>
        </w:rPr>
        <w:t>Galați</w:t>
      </w:r>
      <w:r w:rsidR="00350AA9" w:rsidRPr="003516DC">
        <w:rPr>
          <w:rFonts w:ascii="Arial" w:hAnsi="Arial" w:cs="Arial"/>
          <w:sz w:val="20"/>
          <w:szCs w:val="20"/>
        </w:rPr>
        <w:t xml:space="preserve"> c</w:t>
      </w:r>
      <w:r w:rsidR="004B3189" w:rsidRPr="003516DC">
        <w:rPr>
          <w:rFonts w:ascii="Arial" w:hAnsi="Arial" w:cs="Arial"/>
          <w:sz w:val="20"/>
          <w:szCs w:val="20"/>
        </w:rPr>
        <w:t xml:space="preserve">ounty is </w:t>
      </w:r>
      <w:r w:rsidR="00556695" w:rsidRPr="003516DC">
        <w:rPr>
          <w:rFonts w:ascii="Arial" w:hAnsi="Arial" w:cs="Arial"/>
          <w:sz w:val="20"/>
          <w:szCs w:val="20"/>
        </w:rPr>
        <w:t>average</w:t>
      </w:r>
      <w:r w:rsidR="004B3189" w:rsidRPr="003516DC">
        <w:rPr>
          <w:rFonts w:ascii="Arial" w:hAnsi="Arial" w:cs="Arial"/>
          <w:sz w:val="20"/>
          <w:szCs w:val="20"/>
        </w:rPr>
        <w:t xml:space="preserve"> among JTP target territories in terms of local budgets and business environment. Local authorities (</w:t>
      </w:r>
      <w:r w:rsidR="00203EAF" w:rsidRPr="003516DC">
        <w:rPr>
          <w:rFonts w:ascii="Arial" w:hAnsi="Arial" w:cs="Arial"/>
          <w:sz w:val="20"/>
          <w:szCs w:val="20"/>
        </w:rPr>
        <w:t xml:space="preserve">municipalities </w:t>
      </w:r>
      <w:r w:rsidR="004B3189" w:rsidRPr="003516DC">
        <w:rPr>
          <w:rFonts w:ascii="Arial" w:hAnsi="Arial" w:cs="Arial"/>
          <w:sz w:val="20"/>
          <w:szCs w:val="20"/>
        </w:rPr>
        <w:t xml:space="preserve">and county council) cumulated total local revenues of </w:t>
      </w:r>
      <w:r w:rsidR="007B6D3C" w:rsidRPr="003516DC">
        <w:rPr>
          <w:rFonts w:ascii="Arial" w:hAnsi="Arial" w:cs="Arial"/>
          <w:sz w:val="20"/>
          <w:szCs w:val="20"/>
        </w:rPr>
        <w:t>RON</w:t>
      </w:r>
      <w:r w:rsidR="004B3189" w:rsidRPr="003516DC">
        <w:rPr>
          <w:rFonts w:ascii="Arial" w:hAnsi="Arial" w:cs="Arial"/>
          <w:sz w:val="20"/>
          <w:szCs w:val="20"/>
        </w:rPr>
        <w:t xml:space="preserve"> 1.59 bn</w:t>
      </w:r>
      <w:r w:rsidR="007B6D3C" w:rsidRPr="003516DC">
        <w:rPr>
          <w:rFonts w:ascii="Arial" w:hAnsi="Arial" w:cs="Arial"/>
          <w:sz w:val="20"/>
          <w:szCs w:val="20"/>
        </w:rPr>
        <w:t xml:space="preserve"> in 2019</w:t>
      </w:r>
      <w:r w:rsidR="004B3189" w:rsidRPr="003516DC">
        <w:rPr>
          <w:rFonts w:ascii="Arial" w:hAnsi="Arial" w:cs="Arial"/>
          <w:vertAlign w:val="superscript"/>
        </w:rPr>
        <w:footnoteReference w:id="139"/>
      </w:r>
      <w:r w:rsidR="004B3189" w:rsidRPr="003516DC">
        <w:rPr>
          <w:rFonts w:ascii="Arial" w:hAnsi="Arial" w:cs="Arial"/>
          <w:sz w:val="20"/>
          <w:szCs w:val="20"/>
        </w:rPr>
        <w:t xml:space="preserve">, </w:t>
      </w:r>
      <w:r w:rsidR="00677104" w:rsidRPr="003516DC">
        <w:rPr>
          <w:rFonts w:ascii="Arial" w:hAnsi="Arial" w:cs="Arial"/>
          <w:sz w:val="20"/>
          <w:szCs w:val="20"/>
        </w:rPr>
        <w:t xml:space="preserve">which is </w:t>
      </w:r>
      <w:r w:rsidR="00350AA9" w:rsidRPr="003516DC">
        <w:rPr>
          <w:rFonts w:ascii="Arial" w:hAnsi="Arial" w:cs="Arial"/>
          <w:sz w:val="20"/>
          <w:szCs w:val="20"/>
        </w:rPr>
        <w:t xml:space="preserve">similar to Mureș </w:t>
      </w:r>
      <w:r w:rsidR="0088065B">
        <w:rPr>
          <w:rFonts w:ascii="Arial" w:hAnsi="Arial" w:cs="Arial"/>
          <w:sz w:val="20"/>
          <w:szCs w:val="20"/>
        </w:rPr>
        <w:t>C</w:t>
      </w:r>
      <w:r w:rsidR="004B3189" w:rsidRPr="003516DC">
        <w:rPr>
          <w:rFonts w:ascii="Arial" w:hAnsi="Arial" w:cs="Arial"/>
          <w:sz w:val="20"/>
          <w:szCs w:val="20"/>
        </w:rPr>
        <w:t>ounty</w:t>
      </w:r>
      <w:r w:rsidR="00D4260C" w:rsidRPr="003516DC">
        <w:rPr>
          <w:rFonts w:ascii="Arial" w:hAnsi="Arial" w:cs="Arial"/>
          <w:sz w:val="20"/>
          <w:szCs w:val="20"/>
        </w:rPr>
        <w:t xml:space="preserve"> al</w:t>
      </w:r>
      <w:r w:rsidR="004B3189" w:rsidRPr="003516DC">
        <w:rPr>
          <w:rFonts w:ascii="Arial" w:hAnsi="Arial" w:cs="Arial"/>
          <w:sz w:val="20"/>
          <w:szCs w:val="20"/>
        </w:rPr>
        <w:t xml:space="preserve">though </w:t>
      </w:r>
      <w:r>
        <w:rPr>
          <w:rFonts w:ascii="Arial" w:hAnsi="Arial" w:cs="Arial"/>
          <w:sz w:val="20"/>
          <w:szCs w:val="20"/>
        </w:rPr>
        <w:t>Galați</w:t>
      </w:r>
      <w:r w:rsidR="005902AD" w:rsidRPr="003516DC">
        <w:rPr>
          <w:rFonts w:ascii="Arial" w:hAnsi="Arial" w:cs="Arial"/>
          <w:sz w:val="20"/>
          <w:szCs w:val="20"/>
        </w:rPr>
        <w:t xml:space="preserve"> had </w:t>
      </w:r>
      <w:r w:rsidR="004B3189" w:rsidRPr="003516DC">
        <w:rPr>
          <w:rFonts w:ascii="Arial" w:hAnsi="Arial" w:cs="Arial"/>
          <w:sz w:val="20"/>
          <w:szCs w:val="20"/>
        </w:rPr>
        <w:t xml:space="preserve">lower performance in </w:t>
      </w:r>
      <w:r w:rsidR="001D6CF1" w:rsidRPr="003516DC">
        <w:rPr>
          <w:rFonts w:ascii="Arial" w:hAnsi="Arial" w:cs="Arial"/>
          <w:sz w:val="20"/>
          <w:szCs w:val="20"/>
        </w:rPr>
        <w:t xml:space="preserve">terms of </w:t>
      </w:r>
      <w:r w:rsidR="004B3189" w:rsidRPr="003516DC">
        <w:rPr>
          <w:rFonts w:ascii="Arial" w:hAnsi="Arial" w:cs="Arial"/>
          <w:sz w:val="20"/>
          <w:szCs w:val="20"/>
        </w:rPr>
        <w:t>local compan</w:t>
      </w:r>
      <w:r w:rsidR="000A7FE0" w:rsidRPr="003516DC">
        <w:rPr>
          <w:rFonts w:ascii="Arial" w:hAnsi="Arial" w:cs="Arial"/>
          <w:sz w:val="20"/>
          <w:szCs w:val="20"/>
        </w:rPr>
        <w:t>y</w:t>
      </w:r>
      <w:r w:rsidR="004B3189" w:rsidRPr="003516DC">
        <w:rPr>
          <w:rFonts w:ascii="Arial" w:hAnsi="Arial" w:cs="Arial"/>
          <w:sz w:val="20"/>
          <w:szCs w:val="20"/>
        </w:rPr>
        <w:t xml:space="preserve"> turnover </w:t>
      </w:r>
      <w:r w:rsidR="006053C1" w:rsidRPr="003516DC">
        <w:rPr>
          <w:rFonts w:ascii="Arial" w:hAnsi="Arial" w:cs="Arial"/>
          <w:sz w:val="20"/>
          <w:szCs w:val="20"/>
        </w:rPr>
        <w:t xml:space="preserve">(RON </w:t>
      </w:r>
      <w:r w:rsidR="004B3189" w:rsidRPr="003516DC">
        <w:rPr>
          <w:rFonts w:ascii="Arial" w:hAnsi="Arial" w:cs="Arial"/>
          <w:sz w:val="20"/>
          <w:szCs w:val="20"/>
        </w:rPr>
        <w:t>26 bn vs</w:t>
      </w:r>
      <w:r w:rsidR="006053C1" w:rsidRPr="003516DC">
        <w:rPr>
          <w:rFonts w:ascii="Arial" w:hAnsi="Arial" w:cs="Arial"/>
          <w:sz w:val="20"/>
          <w:szCs w:val="20"/>
        </w:rPr>
        <w:t>.</w:t>
      </w:r>
      <w:r w:rsidR="004B3189" w:rsidRPr="003516DC">
        <w:rPr>
          <w:rFonts w:ascii="Arial" w:hAnsi="Arial" w:cs="Arial"/>
          <w:sz w:val="20"/>
          <w:szCs w:val="20"/>
        </w:rPr>
        <w:t xml:space="preserve"> </w:t>
      </w:r>
      <w:r w:rsidR="006053C1" w:rsidRPr="003516DC">
        <w:rPr>
          <w:rFonts w:ascii="Arial" w:hAnsi="Arial" w:cs="Arial"/>
          <w:sz w:val="20"/>
          <w:szCs w:val="20"/>
        </w:rPr>
        <w:t xml:space="preserve">RON </w:t>
      </w:r>
      <w:r w:rsidR="004B3189" w:rsidRPr="003516DC">
        <w:rPr>
          <w:rFonts w:ascii="Arial" w:hAnsi="Arial" w:cs="Arial"/>
          <w:sz w:val="20"/>
          <w:szCs w:val="20"/>
        </w:rPr>
        <w:t xml:space="preserve">35 bn in </w:t>
      </w:r>
      <w:r w:rsidR="006C793F" w:rsidRPr="003516DC">
        <w:rPr>
          <w:rFonts w:ascii="Arial" w:hAnsi="Arial" w:cs="Arial"/>
          <w:sz w:val="20"/>
          <w:szCs w:val="20"/>
        </w:rPr>
        <w:t>Mureș</w:t>
      </w:r>
      <w:r w:rsidR="004B3189" w:rsidRPr="003516DC">
        <w:rPr>
          <w:rFonts w:ascii="Arial" w:hAnsi="Arial" w:cs="Arial"/>
          <w:sz w:val="20"/>
          <w:szCs w:val="20"/>
        </w:rPr>
        <w:t xml:space="preserve">). </w:t>
      </w:r>
    </w:p>
    <w:p w14:paraId="1404E012" w14:textId="5454DDB2" w:rsidR="004B3189" w:rsidRPr="0088065B" w:rsidRDefault="004B3189" w:rsidP="0088065B">
      <w:pPr>
        <w:spacing w:after="120"/>
        <w:jc w:val="both"/>
        <w:rPr>
          <w:rFonts w:ascii="Arial" w:hAnsi="Arial" w:cs="Arial"/>
          <w:sz w:val="20"/>
          <w:szCs w:val="20"/>
        </w:rPr>
      </w:pPr>
      <w:r w:rsidRPr="003516DC">
        <w:rPr>
          <w:rFonts w:ascii="Arial" w:hAnsi="Arial" w:cs="Arial"/>
          <w:sz w:val="20"/>
          <w:szCs w:val="20"/>
        </w:rPr>
        <w:t xml:space="preserve">Local authorities in </w:t>
      </w:r>
      <w:r w:rsidR="003751DC">
        <w:rPr>
          <w:rFonts w:ascii="Arial" w:hAnsi="Arial" w:cs="Arial"/>
          <w:sz w:val="20"/>
          <w:szCs w:val="20"/>
        </w:rPr>
        <w:t>Galați</w:t>
      </w:r>
      <w:r w:rsidRPr="003516DC">
        <w:rPr>
          <w:rFonts w:ascii="Arial" w:hAnsi="Arial" w:cs="Arial"/>
          <w:sz w:val="20"/>
          <w:szCs w:val="20"/>
        </w:rPr>
        <w:t xml:space="preserve"> (county councils and </w:t>
      </w:r>
      <w:r w:rsidR="002640C3" w:rsidRPr="003516DC">
        <w:rPr>
          <w:rFonts w:ascii="Arial" w:hAnsi="Arial" w:cs="Arial"/>
          <w:sz w:val="20"/>
          <w:szCs w:val="20"/>
        </w:rPr>
        <w:t>municipalities</w:t>
      </w:r>
      <w:r w:rsidRPr="003516DC">
        <w:rPr>
          <w:rFonts w:ascii="Arial" w:hAnsi="Arial" w:cs="Arial"/>
          <w:sz w:val="20"/>
          <w:szCs w:val="20"/>
        </w:rPr>
        <w:t xml:space="preserve">) accessed </w:t>
      </w:r>
      <w:r w:rsidR="009479A2" w:rsidRPr="003516DC">
        <w:rPr>
          <w:rFonts w:ascii="Arial" w:hAnsi="Arial" w:cs="Arial"/>
          <w:sz w:val="20"/>
          <w:szCs w:val="20"/>
        </w:rPr>
        <w:t xml:space="preserve">RON </w:t>
      </w:r>
      <w:r w:rsidRPr="003516DC">
        <w:rPr>
          <w:rFonts w:ascii="Arial" w:hAnsi="Arial" w:cs="Arial"/>
          <w:sz w:val="20"/>
          <w:szCs w:val="20"/>
        </w:rPr>
        <w:t>213 m of EU and other donor funds between 2016-2019, representing 8.85% of local revenues. The County Council has been the best performer in this respect, access</w:t>
      </w:r>
      <w:r w:rsidR="00F33739" w:rsidRPr="003516DC">
        <w:rPr>
          <w:rFonts w:ascii="Arial" w:hAnsi="Arial" w:cs="Arial"/>
          <w:sz w:val="20"/>
          <w:szCs w:val="20"/>
        </w:rPr>
        <w:t>ing</w:t>
      </w:r>
      <w:r w:rsidRPr="003516DC">
        <w:rPr>
          <w:rFonts w:ascii="Arial" w:hAnsi="Arial" w:cs="Arial"/>
          <w:sz w:val="20"/>
          <w:szCs w:val="20"/>
        </w:rPr>
        <w:t xml:space="preserve"> </w:t>
      </w:r>
      <w:r w:rsidR="00F33739" w:rsidRPr="003516DC">
        <w:rPr>
          <w:rFonts w:ascii="Arial" w:hAnsi="Arial" w:cs="Arial"/>
          <w:sz w:val="20"/>
          <w:szCs w:val="20"/>
        </w:rPr>
        <w:t xml:space="preserve">RON </w:t>
      </w:r>
      <w:r w:rsidRPr="003516DC">
        <w:rPr>
          <w:rFonts w:ascii="Arial" w:hAnsi="Arial" w:cs="Arial"/>
          <w:sz w:val="20"/>
          <w:szCs w:val="20"/>
        </w:rPr>
        <w:t xml:space="preserve">95 m, which </w:t>
      </w:r>
      <w:r w:rsidR="00C52DC0" w:rsidRPr="003516DC">
        <w:rPr>
          <w:rFonts w:ascii="Arial" w:hAnsi="Arial" w:cs="Arial"/>
          <w:sz w:val="20"/>
          <w:szCs w:val="20"/>
        </w:rPr>
        <w:t xml:space="preserve">accounted for </w:t>
      </w:r>
      <w:r w:rsidRPr="003516DC">
        <w:rPr>
          <w:rFonts w:ascii="Arial" w:hAnsi="Arial" w:cs="Arial"/>
          <w:sz w:val="20"/>
          <w:szCs w:val="20"/>
        </w:rPr>
        <w:t xml:space="preserve">29.1% of local revenues </w:t>
      </w:r>
      <w:r w:rsidR="00B30395" w:rsidRPr="003516DC">
        <w:rPr>
          <w:rFonts w:ascii="Arial" w:hAnsi="Arial" w:cs="Arial"/>
          <w:sz w:val="20"/>
          <w:szCs w:val="20"/>
        </w:rPr>
        <w:t>(s</w:t>
      </w:r>
      <w:r w:rsidRPr="003516DC">
        <w:rPr>
          <w:rFonts w:ascii="Arial" w:hAnsi="Arial" w:cs="Arial"/>
          <w:sz w:val="20"/>
          <w:szCs w:val="20"/>
        </w:rPr>
        <w:t>ee Annex</w:t>
      </w:r>
      <w:r w:rsidR="002B75CD" w:rsidRPr="003516DC">
        <w:rPr>
          <w:rFonts w:ascii="Arial" w:hAnsi="Arial" w:cs="Arial"/>
          <w:sz w:val="20"/>
          <w:szCs w:val="20"/>
        </w:rPr>
        <w:t xml:space="preserve"> 1</w:t>
      </w:r>
      <w:r w:rsidR="00B30395" w:rsidRPr="003516DC">
        <w:rPr>
          <w:rFonts w:ascii="Arial" w:hAnsi="Arial" w:cs="Arial"/>
          <w:sz w:val="20"/>
          <w:szCs w:val="20"/>
        </w:rPr>
        <w:t>)</w:t>
      </w:r>
      <w:r w:rsidR="00835F07" w:rsidRPr="003516DC">
        <w:rPr>
          <w:rFonts w:ascii="Arial" w:hAnsi="Arial" w:cs="Arial"/>
          <w:sz w:val="20"/>
          <w:szCs w:val="20"/>
        </w:rPr>
        <w:t>.</w:t>
      </w:r>
    </w:p>
    <w:p w14:paraId="6CDDDC77" w14:textId="188BE9A1" w:rsidR="004B3189" w:rsidRDefault="004B3189" w:rsidP="0088065B">
      <w:pPr>
        <w:spacing w:after="120"/>
        <w:jc w:val="both"/>
        <w:rPr>
          <w:rFonts w:ascii="Arial" w:hAnsi="Arial" w:cs="Arial"/>
          <w:sz w:val="20"/>
          <w:szCs w:val="20"/>
        </w:rPr>
      </w:pPr>
      <w:r w:rsidRPr="003516DC">
        <w:rPr>
          <w:rFonts w:ascii="Arial" w:hAnsi="Arial" w:cs="Arial"/>
          <w:sz w:val="20"/>
          <w:szCs w:val="20"/>
        </w:rPr>
        <w:t>Currently</w:t>
      </w:r>
      <w:r w:rsidR="00894AB0" w:rsidRPr="003516DC">
        <w:rPr>
          <w:rFonts w:ascii="Arial" w:hAnsi="Arial" w:cs="Arial"/>
          <w:sz w:val="20"/>
          <w:szCs w:val="20"/>
        </w:rPr>
        <w:t>,</w:t>
      </w:r>
      <w:r w:rsidRPr="003516DC">
        <w:rPr>
          <w:rFonts w:ascii="Arial" w:hAnsi="Arial" w:cs="Arial"/>
          <w:sz w:val="20"/>
          <w:szCs w:val="20"/>
        </w:rPr>
        <w:t xml:space="preserve"> both county council and </w:t>
      </w:r>
      <w:r w:rsidR="00554A1C" w:rsidRPr="003516DC">
        <w:rPr>
          <w:rFonts w:ascii="Arial" w:hAnsi="Arial" w:cs="Arial"/>
          <w:sz w:val="20"/>
          <w:szCs w:val="20"/>
        </w:rPr>
        <w:t xml:space="preserve">the </w:t>
      </w:r>
      <w:r w:rsidRPr="003516DC">
        <w:rPr>
          <w:rFonts w:ascii="Arial" w:hAnsi="Arial" w:cs="Arial"/>
          <w:sz w:val="20"/>
          <w:szCs w:val="20"/>
        </w:rPr>
        <w:t>county seat city administration have drafted local development strategies to absor</w:t>
      </w:r>
      <w:r w:rsidR="00EF2925" w:rsidRPr="003516DC">
        <w:rPr>
          <w:rFonts w:ascii="Arial" w:hAnsi="Arial" w:cs="Arial"/>
          <w:sz w:val="20"/>
          <w:szCs w:val="20"/>
        </w:rPr>
        <w:t>b</w:t>
      </w:r>
      <w:r w:rsidRPr="003516DC">
        <w:rPr>
          <w:rFonts w:ascii="Arial" w:hAnsi="Arial" w:cs="Arial"/>
          <w:sz w:val="20"/>
          <w:szCs w:val="20"/>
        </w:rPr>
        <w:t xml:space="preserve"> EU funds over the 2021-2027</w:t>
      </w:r>
      <w:r w:rsidR="006768E4" w:rsidRPr="003516DC">
        <w:rPr>
          <w:rFonts w:ascii="Arial" w:hAnsi="Arial" w:cs="Arial"/>
          <w:sz w:val="20"/>
          <w:szCs w:val="20"/>
        </w:rPr>
        <w:t xml:space="preserve"> programming period</w:t>
      </w:r>
      <w:r w:rsidRPr="003516DC">
        <w:rPr>
          <w:rFonts w:ascii="Arial" w:hAnsi="Arial" w:cs="Arial"/>
          <w:sz w:val="20"/>
          <w:szCs w:val="20"/>
        </w:rPr>
        <w:t xml:space="preserve">. From this point of view, the local authorities are better positioned to reflect and guide, at this stage, the JTP strategic planning process. However, </w:t>
      </w:r>
      <w:r w:rsidR="009A6CED" w:rsidRPr="003516DC">
        <w:rPr>
          <w:rFonts w:ascii="Arial" w:hAnsi="Arial" w:cs="Arial"/>
          <w:sz w:val="20"/>
          <w:szCs w:val="20"/>
        </w:rPr>
        <w:t>a</w:t>
      </w:r>
      <w:r w:rsidRPr="003516DC">
        <w:rPr>
          <w:rFonts w:ascii="Arial" w:hAnsi="Arial" w:cs="Arial"/>
          <w:sz w:val="20"/>
          <w:szCs w:val="20"/>
        </w:rPr>
        <w:t xml:space="preserve"> lack </w:t>
      </w:r>
      <w:r w:rsidR="009A6CED" w:rsidRPr="003516DC">
        <w:rPr>
          <w:rFonts w:ascii="Arial" w:hAnsi="Arial" w:cs="Arial"/>
          <w:sz w:val="20"/>
          <w:szCs w:val="20"/>
        </w:rPr>
        <w:t xml:space="preserve">of </w:t>
      </w:r>
      <w:r w:rsidRPr="003516DC">
        <w:rPr>
          <w:rFonts w:ascii="Arial" w:hAnsi="Arial" w:cs="Arial"/>
          <w:sz w:val="20"/>
          <w:szCs w:val="20"/>
        </w:rPr>
        <w:t>experience with a</w:t>
      </w:r>
      <w:r w:rsidR="00D76C98" w:rsidRPr="003516DC">
        <w:rPr>
          <w:rFonts w:ascii="Arial" w:hAnsi="Arial" w:cs="Arial"/>
          <w:sz w:val="20"/>
          <w:szCs w:val="20"/>
        </w:rPr>
        <w:t xml:space="preserve"> project</w:t>
      </w:r>
      <w:r w:rsidRPr="003516DC">
        <w:rPr>
          <w:rFonts w:ascii="Arial" w:hAnsi="Arial" w:cs="Arial"/>
          <w:sz w:val="20"/>
          <w:szCs w:val="20"/>
        </w:rPr>
        <w:t xml:space="preserve"> pipeline or implemented investments linked to energy transition and climate change adaptation</w:t>
      </w:r>
      <w:r w:rsidR="00A36694" w:rsidRPr="003516DC">
        <w:rPr>
          <w:rFonts w:ascii="Arial" w:hAnsi="Arial" w:cs="Arial"/>
          <w:sz w:val="20"/>
          <w:szCs w:val="20"/>
        </w:rPr>
        <w:t xml:space="preserve"> remains.</w:t>
      </w:r>
      <w:r w:rsidRPr="003516DC">
        <w:rPr>
          <w:rFonts w:ascii="Arial" w:hAnsi="Arial" w:cs="Arial"/>
          <w:sz w:val="20"/>
          <w:szCs w:val="20"/>
        </w:rPr>
        <w:t xml:space="preserve"> </w:t>
      </w:r>
      <w:r w:rsidR="00A36694" w:rsidRPr="003516DC">
        <w:rPr>
          <w:rFonts w:ascii="Arial" w:hAnsi="Arial" w:cs="Arial"/>
          <w:sz w:val="20"/>
          <w:szCs w:val="20"/>
        </w:rPr>
        <w:t xml:space="preserve">Aside from </w:t>
      </w:r>
      <w:r w:rsidRPr="003516DC">
        <w:rPr>
          <w:rFonts w:ascii="Arial" w:hAnsi="Arial" w:cs="Arial"/>
          <w:sz w:val="20"/>
          <w:szCs w:val="20"/>
        </w:rPr>
        <w:t>thermal insulation and greening of the public transport stock</w:t>
      </w:r>
      <w:r w:rsidR="00382420" w:rsidRPr="003516DC">
        <w:rPr>
          <w:rFonts w:ascii="Arial" w:hAnsi="Arial" w:cs="Arial"/>
          <w:sz w:val="20"/>
          <w:szCs w:val="20"/>
        </w:rPr>
        <w:t>,</w:t>
      </w:r>
      <w:r w:rsidRPr="003516DC">
        <w:rPr>
          <w:rFonts w:ascii="Arial" w:hAnsi="Arial" w:cs="Arial"/>
          <w:sz w:val="20"/>
          <w:szCs w:val="20"/>
        </w:rPr>
        <w:t xml:space="preserve"> </w:t>
      </w:r>
      <w:r w:rsidR="009320BC" w:rsidRPr="003516DC">
        <w:rPr>
          <w:rFonts w:ascii="Arial" w:hAnsi="Arial" w:cs="Arial"/>
          <w:sz w:val="20"/>
          <w:szCs w:val="20"/>
        </w:rPr>
        <w:t xml:space="preserve">where the local authorities in </w:t>
      </w:r>
      <w:r w:rsidR="003751DC">
        <w:rPr>
          <w:rFonts w:ascii="Arial" w:hAnsi="Arial" w:cs="Arial"/>
          <w:sz w:val="20"/>
          <w:szCs w:val="20"/>
        </w:rPr>
        <w:t>Galați</w:t>
      </w:r>
      <w:r w:rsidR="009320BC" w:rsidRPr="003516DC">
        <w:rPr>
          <w:rFonts w:ascii="Arial" w:hAnsi="Arial" w:cs="Arial"/>
          <w:sz w:val="20"/>
          <w:szCs w:val="20"/>
        </w:rPr>
        <w:t xml:space="preserve"> have a certain level of expertise, central </w:t>
      </w:r>
      <w:r w:rsidR="004A7C96" w:rsidRPr="003516DC">
        <w:rPr>
          <w:rFonts w:ascii="Arial" w:hAnsi="Arial" w:cs="Arial"/>
          <w:sz w:val="20"/>
          <w:szCs w:val="20"/>
        </w:rPr>
        <w:t>authorities</w:t>
      </w:r>
      <w:r w:rsidR="009320BC" w:rsidRPr="003516DC">
        <w:rPr>
          <w:rFonts w:ascii="Arial" w:hAnsi="Arial" w:cs="Arial"/>
          <w:sz w:val="20"/>
          <w:szCs w:val="20"/>
        </w:rPr>
        <w:t xml:space="preserve"> must continue to work with the local ones </w:t>
      </w:r>
      <w:r w:rsidRPr="003516DC">
        <w:rPr>
          <w:rFonts w:ascii="Arial" w:hAnsi="Arial" w:cs="Arial"/>
          <w:sz w:val="20"/>
          <w:szCs w:val="20"/>
        </w:rPr>
        <w:t xml:space="preserve">in transferring innovative practices that could generate best impact per funds invested. </w:t>
      </w:r>
    </w:p>
    <w:p w14:paraId="2CB0FD80" w14:textId="247DA8B5" w:rsidR="00054202" w:rsidRPr="00054202" w:rsidRDefault="00054202" w:rsidP="00E42342">
      <w:pPr>
        <w:pStyle w:val="ListParagraph"/>
        <w:numPr>
          <w:ilvl w:val="0"/>
          <w:numId w:val="305"/>
        </w:numPr>
        <w:spacing w:after="120"/>
        <w:jc w:val="both"/>
        <w:rPr>
          <w:color w:val="4F81BD" w:themeColor="accent1"/>
          <w:sz w:val="20"/>
          <w:szCs w:val="20"/>
        </w:rPr>
      </w:pPr>
      <w:r>
        <w:rPr>
          <w:color w:val="4F81BD" w:themeColor="accent1"/>
          <w:sz w:val="20"/>
          <w:szCs w:val="20"/>
        </w:rPr>
        <w:t>Economic development</w:t>
      </w:r>
    </w:p>
    <w:p w14:paraId="798BD111" w14:textId="398F1788" w:rsidR="004B3189" w:rsidRPr="003516DC" w:rsidRDefault="004B3189" w:rsidP="0088065B">
      <w:pPr>
        <w:spacing w:after="120"/>
        <w:jc w:val="both"/>
        <w:rPr>
          <w:rFonts w:ascii="Arial" w:hAnsi="Arial" w:cs="Arial"/>
          <w:sz w:val="20"/>
          <w:szCs w:val="20"/>
        </w:rPr>
      </w:pPr>
      <w:r w:rsidRPr="003516DC">
        <w:rPr>
          <w:rFonts w:ascii="Arial" w:hAnsi="Arial" w:cs="Arial"/>
          <w:b/>
          <w:bCs/>
          <w:sz w:val="20"/>
          <w:szCs w:val="20"/>
        </w:rPr>
        <w:t>Economic and employment</w:t>
      </w:r>
      <w:r w:rsidRPr="003516DC">
        <w:rPr>
          <w:rFonts w:ascii="Arial" w:hAnsi="Arial" w:cs="Arial"/>
          <w:sz w:val="20"/>
          <w:szCs w:val="20"/>
        </w:rPr>
        <w:t xml:space="preserve"> data </w:t>
      </w:r>
      <w:r w:rsidR="00207276" w:rsidRPr="003516DC">
        <w:rPr>
          <w:rFonts w:ascii="Arial" w:hAnsi="Arial" w:cs="Arial"/>
          <w:sz w:val="20"/>
          <w:szCs w:val="20"/>
        </w:rPr>
        <w:t>illustrate that</w:t>
      </w:r>
      <w:r w:rsidRPr="003516DC">
        <w:rPr>
          <w:rFonts w:ascii="Arial" w:hAnsi="Arial" w:cs="Arial"/>
          <w:sz w:val="20"/>
          <w:szCs w:val="20"/>
        </w:rPr>
        <w:t xml:space="preserve"> </w:t>
      </w:r>
      <w:r w:rsidR="003751DC">
        <w:rPr>
          <w:rFonts w:ascii="Arial" w:hAnsi="Arial" w:cs="Arial"/>
          <w:sz w:val="20"/>
          <w:szCs w:val="20"/>
        </w:rPr>
        <w:t>Galați</w:t>
      </w:r>
      <w:r w:rsidRPr="003516DC">
        <w:rPr>
          <w:rFonts w:ascii="Arial" w:hAnsi="Arial" w:cs="Arial"/>
          <w:sz w:val="20"/>
          <w:szCs w:val="20"/>
        </w:rPr>
        <w:t xml:space="preserve"> </w:t>
      </w:r>
      <w:r w:rsidR="00207276" w:rsidRPr="003516DC">
        <w:rPr>
          <w:rFonts w:ascii="Arial" w:hAnsi="Arial" w:cs="Arial"/>
          <w:sz w:val="20"/>
          <w:szCs w:val="20"/>
        </w:rPr>
        <w:t xml:space="preserve">is </w:t>
      </w:r>
      <w:r w:rsidRPr="003516DC">
        <w:rPr>
          <w:rFonts w:ascii="Arial" w:hAnsi="Arial" w:cs="Arial"/>
          <w:sz w:val="20"/>
          <w:szCs w:val="20"/>
        </w:rPr>
        <w:t xml:space="preserve">a county </w:t>
      </w:r>
      <w:r w:rsidR="00725218" w:rsidRPr="003516DC">
        <w:rPr>
          <w:rFonts w:ascii="Arial" w:hAnsi="Arial" w:cs="Arial"/>
          <w:sz w:val="20"/>
          <w:szCs w:val="20"/>
        </w:rPr>
        <w:t xml:space="preserve">that was hit </w:t>
      </w:r>
      <w:r w:rsidRPr="003516DC">
        <w:rPr>
          <w:rFonts w:ascii="Arial" w:hAnsi="Arial" w:cs="Arial"/>
          <w:sz w:val="20"/>
          <w:szCs w:val="20"/>
        </w:rPr>
        <w:t>hard by demographic and workforce decline</w:t>
      </w:r>
      <w:r w:rsidR="00D14FBD" w:rsidRPr="003516DC">
        <w:rPr>
          <w:rFonts w:ascii="Arial" w:hAnsi="Arial" w:cs="Arial"/>
          <w:sz w:val="20"/>
          <w:szCs w:val="20"/>
        </w:rPr>
        <w:t>s</w:t>
      </w:r>
      <w:r w:rsidRPr="003516DC">
        <w:rPr>
          <w:rFonts w:ascii="Arial" w:hAnsi="Arial" w:cs="Arial"/>
          <w:sz w:val="20"/>
          <w:szCs w:val="20"/>
        </w:rPr>
        <w:t xml:space="preserve"> and industrial restructuring. Employment</w:t>
      </w:r>
      <w:r w:rsidR="00970F18" w:rsidRPr="003516DC">
        <w:rPr>
          <w:rFonts w:ascii="Arial" w:hAnsi="Arial" w:cs="Arial"/>
          <w:sz w:val="20"/>
          <w:szCs w:val="20"/>
        </w:rPr>
        <w:t xml:space="preserve"> </w:t>
      </w:r>
      <w:r w:rsidR="00D14FBD" w:rsidRPr="003516DC">
        <w:rPr>
          <w:rFonts w:ascii="Arial" w:hAnsi="Arial" w:cs="Arial"/>
          <w:sz w:val="20"/>
          <w:szCs w:val="20"/>
        </w:rPr>
        <w:t xml:space="preserve">in </w:t>
      </w:r>
      <w:r w:rsidR="003751DC">
        <w:rPr>
          <w:rFonts w:ascii="Arial" w:hAnsi="Arial" w:cs="Arial"/>
          <w:sz w:val="20"/>
          <w:szCs w:val="20"/>
        </w:rPr>
        <w:t>Galați</w:t>
      </w:r>
      <w:r w:rsidR="00D14FBD" w:rsidRPr="003516DC">
        <w:rPr>
          <w:rFonts w:ascii="Arial" w:hAnsi="Arial" w:cs="Arial"/>
          <w:sz w:val="20"/>
          <w:szCs w:val="20"/>
        </w:rPr>
        <w:t xml:space="preserve"> </w:t>
      </w:r>
      <w:r w:rsidR="00970F18" w:rsidRPr="003516DC">
        <w:rPr>
          <w:rFonts w:ascii="Arial" w:hAnsi="Arial" w:cs="Arial"/>
          <w:sz w:val="20"/>
          <w:szCs w:val="20"/>
        </w:rPr>
        <w:t>was reduced</w:t>
      </w:r>
      <w:r w:rsidR="00D14FBD" w:rsidRPr="003516DC">
        <w:rPr>
          <w:rFonts w:ascii="Arial" w:hAnsi="Arial" w:cs="Arial"/>
          <w:sz w:val="20"/>
          <w:szCs w:val="20"/>
        </w:rPr>
        <w:t xml:space="preserve"> by 13% </w:t>
      </w:r>
      <w:r w:rsidR="00CD5FCE" w:rsidRPr="003516DC">
        <w:rPr>
          <w:rFonts w:ascii="Arial" w:hAnsi="Arial" w:cs="Arial"/>
          <w:sz w:val="20"/>
          <w:szCs w:val="20"/>
        </w:rPr>
        <w:t>from</w:t>
      </w:r>
      <w:r w:rsidR="00D14FBD" w:rsidRPr="003516DC">
        <w:rPr>
          <w:rFonts w:ascii="Arial" w:hAnsi="Arial" w:cs="Arial"/>
          <w:sz w:val="20"/>
          <w:szCs w:val="20"/>
        </w:rPr>
        <w:t xml:space="preserve"> 2008</w:t>
      </w:r>
      <w:r w:rsidR="0032277A" w:rsidRPr="003516DC">
        <w:rPr>
          <w:rFonts w:ascii="Arial" w:hAnsi="Arial" w:cs="Arial"/>
          <w:sz w:val="20"/>
          <w:szCs w:val="20"/>
        </w:rPr>
        <w:t xml:space="preserve"> to </w:t>
      </w:r>
      <w:r w:rsidR="00D14FBD" w:rsidRPr="003516DC">
        <w:rPr>
          <w:rFonts w:ascii="Arial" w:hAnsi="Arial" w:cs="Arial"/>
          <w:sz w:val="20"/>
          <w:szCs w:val="20"/>
        </w:rPr>
        <w:t xml:space="preserve">2019, a decline exceeded </w:t>
      </w:r>
      <w:r w:rsidR="00246284" w:rsidRPr="003516DC">
        <w:rPr>
          <w:rFonts w:ascii="Arial" w:hAnsi="Arial" w:cs="Arial"/>
          <w:sz w:val="20"/>
          <w:szCs w:val="20"/>
        </w:rPr>
        <w:t xml:space="preserve">only </w:t>
      </w:r>
      <w:r w:rsidR="00D14FBD" w:rsidRPr="003516DC">
        <w:rPr>
          <w:rFonts w:ascii="Arial" w:hAnsi="Arial" w:cs="Arial"/>
          <w:sz w:val="20"/>
          <w:szCs w:val="20"/>
        </w:rPr>
        <w:t>by Hunedoara (13.7%) among the JTP counties</w:t>
      </w:r>
      <w:r w:rsidR="00A56E67" w:rsidRPr="003516DC">
        <w:rPr>
          <w:rFonts w:ascii="Arial" w:hAnsi="Arial" w:cs="Arial"/>
          <w:sz w:val="20"/>
          <w:szCs w:val="20"/>
        </w:rPr>
        <w:t>. This decline</w:t>
      </w:r>
      <w:r w:rsidR="00D14FBD" w:rsidRPr="003516DC">
        <w:rPr>
          <w:rFonts w:ascii="Arial" w:hAnsi="Arial" w:cs="Arial"/>
          <w:sz w:val="20"/>
          <w:szCs w:val="20"/>
        </w:rPr>
        <w:t xml:space="preserve"> </w:t>
      </w:r>
      <w:r w:rsidR="00A56E67" w:rsidRPr="003516DC">
        <w:rPr>
          <w:rFonts w:ascii="Arial" w:hAnsi="Arial" w:cs="Arial"/>
          <w:sz w:val="20"/>
          <w:szCs w:val="20"/>
        </w:rPr>
        <w:t>is</w:t>
      </w:r>
      <w:r w:rsidR="00D14FBD" w:rsidRPr="003516DC">
        <w:rPr>
          <w:rFonts w:ascii="Arial" w:hAnsi="Arial" w:cs="Arial"/>
          <w:sz w:val="20"/>
          <w:szCs w:val="20"/>
        </w:rPr>
        <w:t xml:space="preserve"> significantly higher than the national level decrease in employment of 2.9% over the same period</w:t>
      </w:r>
      <w:r w:rsidRPr="003516DC">
        <w:rPr>
          <w:rStyle w:val="FootnoteReference"/>
          <w:rFonts w:ascii="Arial" w:hAnsi="Arial" w:cs="Arial"/>
          <w:sz w:val="20"/>
          <w:szCs w:val="20"/>
        </w:rPr>
        <w:footnoteReference w:id="140"/>
      </w:r>
      <w:r w:rsidRPr="003516DC">
        <w:rPr>
          <w:rFonts w:ascii="Arial" w:hAnsi="Arial" w:cs="Arial"/>
          <w:sz w:val="20"/>
          <w:szCs w:val="20"/>
        </w:rPr>
        <w:t xml:space="preserve">. Most of </w:t>
      </w:r>
      <w:r w:rsidR="00B237AB" w:rsidRPr="003516DC">
        <w:rPr>
          <w:rFonts w:ascii="Arial" w:hAnsi="Arial" w:cs="Arial"/>
          <w:sz w:val="20"/>
          <w:szCs w:val="20"/>
        </w:rPr>
        <w:t xml:space="preserve">the </w:t>
      </w:r>
      <w:r w:rsidRPr="003516DC">
        <w:rPr>
          <w:rFonts w:ascii="Arial" w:hAnsi="Arial" w:cs="Arial"/>
          <w:sz w:val="20"/>
          <w:szCs w:val="20"/>
        </w:rPr>
        <w:t xml:space="preserve">employment </w:t>
      </w:r>
      <w:r w:rsidR="00B237AB" w:rsidRPr="003516DC">
        <w:rPr>
          <w:rFonts w:ascii="Arial" w:hAnsi="Arial" w:cs="Arial"/>
          <w:sz w:val="20"/>
          <w:szCs w:val="20"/>
        </w:rPr>
        <w:t xml:space="preserve">decline stemmed from </w:t>
      </w:r>
      <w:r w:rsidRPr="003516DC">
        <w:rPr>
          <w:rFonts w:ascii="Arial" w:hAnsi="Arial" w:cs="Arial"/>
          <w:sz w:val="20"/>
          <w:szCs w:val="20"/>
        </w:rPr>
        <w:t>the agricultural sector (15</w:t>
      </w:r>
      <w:r w:rsidR="00E5489F" w:rsidRPr="003516DC">
        <w:rPr>
          <w:rFonts w:ascii="Arial" w:hAnsi="Arial" w:cs="Arial"/>
          <w:sz w:val="20"/>
          <w:szCs w:val="20"/>
        </w:rPr>
        <w:t>,</w:t>
      </w:r>
      <w:r w:rsidRPr="003516DC">
        <w:rPr>
          <w:rFonts w:ascii="Arial" w:hAnsi="Arial" w:cs="Arial"/>
          <w:sz w:val="20"/>
          <w:szCs w:val="20"/>
        </w:rPr>
        <w:t>9</w:t>
      </w:r>
      <w:r w:rsidR="00E5489F" w:rsidRPr="003516DC">
        <w:rPr>
          <w:rFonts w:ascii="Arial" w:hAnsi="Arial" w:cs="Arial"/>
          <w:sz w:val="20"/>
          <w:szCs w:val="20"/>
        </w:rPr>
        <w:t>00</w:t>
      </w:r>
      <w:r w:rsidRPr="003516DC">
        <w:rPr>
          <w:rFonts w:ascii="Arial" w:hAnsi="Arial" w:cs="Arial"/>
          <w:sz w:val="20"/>
          <w:szCs w:val="20"/>
        </w:rPr>
        <w:t xml:space="preserve"> people), a trend expected to continue over the next period given the gradual transition to more intensive agricultural practices. </w:t>
      </w:r>
      <w:r w:rsidR="00947B8C" w:rsidRPr="003516DC">
        <w:rPr>
          <w:rFonts w:ascii="Arial" w:hAnsi="Arial" w:cs="Arial"/>
          <w:sz w:val="20"/>
          <w:szCs w:val="20"/>
        </w:rPr>
        <w:t>The next steepest decline came from i</w:t>
      </w:r>
      <w:r w:rsidRPr="003516DC">
        <w:rPr>
          <w:rFonts w:ascii="Arial" w:hAnsi="Arial" w:cs="Arial"/>
          <w:sz w:val="20"/>
          <w:szCs w:val="20"/>
        </w:rPr>
        <w:t>ndustry, with 12</w:t>
      </w:r>
      <w:r w:rsidR="00947B8C" w:rsidRPr="003516DC">
        <w:rPr>
          <w:rFonts w:ascii="Arial" w:hAnsi="Arial" w:cs="Arial"/>
          <w:sz w:val="20"/>
          <w:szCs w:val="20"/>
        </w:rPr>
        <w:t>,</w:t>
      </w:r>
      <w:r w:rsidRPr="003516DC">
        <w:rPr>
          <w:rFonts w:ascii="Arial" w:hAnsi="Arial" w:cs="Arial"/>
          <w:sz w:val="20"/>
          <w:szCs w:val="20"/>
        </w:rPr>
        <w:t>9</w:t>
      </w:r>
      <w:r w:rsidR="00947B8C" w:rsidRPr="003516DC">
        <w:rPr>
          <w:rFonts w:ascii="Arial" w:hAnsi="Arial" w:cs="Arial"/>
          <w:sz w:val="20"/>
          <w:szCs w:val="20"/>
        </w:rPr>
        <w:t>00</w:t>
      </w:r>
      <w:r w:rsidRPr="003516DC">
        <w:rPr>
          <w:rFonts w:ascii="Arial" w:hAnsi="Arial" w:cs="Arial"/>
          <w:sz w:val="20"/>
          <w:szCs w:val="20"/>
        </w:rPr>
        <w:t xml:space="preserve"> jobs lost, of which 11</w:t>
      </w:r>
      <w:r w:rsidR="0014640D" w:rsidRPr="003516DC">
        <w:rPr>
          <w:rFonts w:ascii="Arial" w:hAnsi="Arial" w:cs="Arial"/>
          <w:sz w:val="20"/>
          <w:szCs w:val="20"/>
        </w:rPr>
        <w:t>,</w:t>
      </w:r>
      <w:r w:rsidRPr="003516DC">
        <w:rPr>
          <w:rFonts w:ascii="Arial" w:hAnsi="Arial" w:cs="Arial"/>
          <w:sz w:val="20"/>
          <w:szCs w:val="20"/>
        </w:rPr>
        <w:t>1</w:t>
      </w:r>
      <w:r w:rsidR="0014640D" w:rsidRPr="003516DC">
        <w:rPr>
          <w:rFonts w:ascii="Arial" w:hAnsi="Arial" w:cs="Arial"/>
          <w:sz w:val="20"/>
          <w:szCs w:val="20"/>
        </w:rPr>
        <w:t xml:space="preserve">00 </w:t>
      </w:r>
      <w:r w:rsidRPr="003516DC">
        <w:rPr>
          <w:rFonts w:ascii="Arial" w:hAnsi="Arial" w:cs="Arial"/>
          <w:sz w:val="20"/>
          <w:szCs w:val="20"/>
        </w:rPr>
        <w:t xml:space="preserve">jobs </w:t>
      </w:r>
      <w:r w:rsidR="00C10E00" w:rsidRPr="003516DC">
        <w:rPr>
          <w:rFonts w:ascii="Arial" w:hAnsi="Arial" w:cs="Arial"/>
          <w:sz w:val="20"/>
          <w:szCs w:val="20"/>
        </w:rPr>
        <w:t xml:space="preserve">were </w:t>
      </w:r>
      <w:r w:rsidRPr="003516DC">
        <w:rPr>
          <w:rFonts w:ascii="Arial" w:hAnsi="Arial" w:cs="Arial"/>
          <w:sz w:val="20"/>
          <w:szCs w:val="20"/>
        </w:rPr>
        <w:t xml:space="preserve">lost in manufacturing. </w:t>
      </w:r>
      <w:r w:rsidR="00C10E00" w:rsidRPr="003516DC">
        <w:rPr>
          <w:rFonts w:ascii="Arial" w:hAnsi="Arial" w:cs="Arial"/>
          <w:sz w:val="20"/>
          <w:szCs w:val="20"/>
        </w:rPr>
        <w:t>Together</w:t>
      </w:r>
      <w:r w:rsidRPr="003516DC">
        <w:rPr>
          <w:rFonts w:ascii="Arial" w:hAnsi="Arial" w:cs="Arial"/>
          <w:sz w:val="20"/>
          <w:szCs w:val="20"/>
        </w:rPr>
        <w:t xml:space="preserve">, </w:t>
      </w:r>
      <w:r w:rsidR="00C10E00" w:rsidRPr="003516DC">
        <w:rPr>
          <w:rFonts w:ascii="Arial" w:hAnsi="Arial" w:cs="Arial"/>
          <w:sz w:val="20"/>
          <w:szCs w:val="20"/>
        </w:rPr>
        <w:t>industrial</w:t>
      </w:r>
      <w:r w:rsidRPr="003516DC">
        <w:rPr>
          <w:rFonts w:ascii="Arial" w:hAnsi="Arial" w:cs="Arial"/>
          <w:sz w:val="20"/>
          <w:szCs w:val="20"/>
        </w:rPr>
        <w:t xml:space="preserve"> employment in Galați is 19.2% below the national average. Job losses were registered across most economic activities in </w:t>
      </w:r>
      <w:r w:rsidR="003751DC">
        <w:rPr>
          <w:rFonts w:ascii="Arial" w:hAnsi="Arial" w:cs="Arial"/>
          <w:sz w:val="20"/>
          <w:szCs w:val="20"/>
        </w:rPr>
        <w:t>Galați</w:t>
      </w:r>
      <w:r w:rsidR="003D3492" w:rsidRPr="003516DC">
        <w:rPr>
          <w:rFonts w:ascii="Arial" w:hAnsi="Arial" w:cs="Arial"/>
          <w:sz w:val="20"/>
          <w:szCs w:val="20"/>
        </w:rPr>
        <w:t>;</w:t>
      </w:r>
      <w:r w:rsidRPr="003516DC">
        <w:rPr>
          <w:rFonts w:ascii="Arial" w:hAnsi="Arial" w:cs="Arial"/>
          <w:sz w:val="20"/>
          <w:szCs w:val="20"/>
        </w:rPr>
        <w:t xml:space="preserve"> </w:t>
      </w:r>
      <w:r w:rsidR="003D3492" w:rsidRPr="003516DC">
        <w:rPr>
          <w:rFonts w:ascii="Arial" w:hAnsi="Arial" w:cs="Arial"/>
          <w:sz w:val="20"/>
          <w:szCs w:val="20"/>
        </w:rPr>
        <w:t>only</w:t>
      </w:r>
      <w:r w:rsidRPr="003516DC">
        <w:rPr>
          <w:rFonts w:ascii="Arial" w:hAnsi="Arial" w:cs="Arial"/>
          <w:sz w:val="20"/>
          <w:szCs w:val="20"/>
        </w:rPr>
        <w:t xml:space="preserve"> the services sector registered modest growth of 3.4% (less than the national average of 12.5%). Only </w:t>
      </w:r>
      <w:r w:rsidR="009E3C41" w:rsidRPr="003516DC">
        <w:rPr>
          <w:rFonts w:ascii="Arial" w:hAnsi="Arial" w:cs="Arial"/>
          <w:sz w:val="20"/>
          <w:szCs w:val="20"/>
        </w:rPr>
        <w:t>three</w:t>
      </w:r>
      <w:r w:rsidRPr="003516DC">
        <w:rPr>
          <w:rFonts w:ascii="Arial" w:hAnsi="Arial" w:cs="Arial"/>
          <w:sz w:val="20"/>
          <w:szCs w:val="20"/>
        </w:rPr>
        <w:t xml:space="preserve"> </w:t>
      </w:r>
      <w:r w:rsidR="009E3C41" w:rsidRPr="003516DC">
        <w:rPr>
          <w:rFonts w:ascii="Arial" w:hAnsi="Arial" w:cs="Arial"/>
          <w:sz w:val="20"/>
          <w:szCs w:val="20"/>
        </w:rPr>
        <w:t xml:space="preserve">service sectors </w:t>
      </w:r>
      <w:r w:rsidRPr="003516DC">
        <w:rPr>
          <w:rFonts w:ascii="Arial" w:hAnsi="Arial" w:cs="Arial"/>
          <w:sz w:val="20"/>
          <w:szCs w:val="20"/>
        </w:rPr>
        <w:t>added more than 1</w:t>
      </w:r>
      <w:r w:rsidR="009E3C41" w:rsidRPr="003516DC">
        <w:rPr>
          <w:rFonts w:ascii="Arial" w:hAnsi="Arial" w:cs="Arial"/>
          <w:sz w:val="20"/>
          <w:szCs w:val="20"/>
        </w:rPr>
        <w:t>,</w:t>
      </w:r>
      <w:r w:rsidRPr="003516DC">
        <w:rPr>
          <w:rFonts w:ascii="Arial" w:hAnsi="Arial" w:cs="Arial"/>
          <w:sz w:val="20"/>
          <w:szCs w:val="20"/>
        </w:rPr>
        <w:t>000 jobs</w:t>
      </w:r>
      <w:r w:rsidR="00811E28" w:rsidRPr="003516DC">
        <w:rPr>
          <w:rFonts w:ascii="Arial" w:hAnsi="Arial" w:cs="Arial"/>
          <w:sz w:val="20"/>
          <w:szCs w:val="20"/>
        </w:rPr>
        <w:t xml:space="preserve">: </w:t>
      </w:r>
      <w:r w:rsidRPr="003516DC">
        <w:rPr>
          <w:rFonts w:ascii="Arial" w:hAnsi="Arial" w:cs="Arial"/>
          <w:sz w:val="20"/>
          <w:szCs w:val="20"/>
        </w:rPr>
        <w:t xml:space="preserve">accommodation and food services, ITC and administrative and support. </w:t>
      </w:r>
    </w:p>
    <w:p w14:paraId="3ACD9B4A" w14:textId="7AD58F01" w:rsidR="004B3189" w:rsidRPr="0088065B" w:rsidRDefault="005D2AEA" w:rsidP="00E42342">
      <w:pPr>
        <w:pStyle w:val="ListParagraph"/>
        <w:numPr>
          <w:ilvl w:val="0"/>
          <w:numId w:val="118"/>
        </w:numPr>
        <w:spacing w:after="120" w:line="240" w:lineRule="auto"/>
        <w:ind w:left="360"/>
        <w:contextualSpacing w:val="0"/>
        <w:jc w:val="both"/>
        <w:rPr>
          <w:sz w:val="20"/>
          <w:szCs w:val="20"/>
        </w:rPr>
      </w:pPr>
      <w:r w:rsidRPr="003516DC">
        <w:rPr>
          <w:sz w:val="20"/>
          <w:szCs w:val="20"/>
        </w:rPr>
        <w:t xml:space="preserve">The </w:t>
      </w:r>
      <w:r w:rsidR="004B3189" w:rsidRPr="003516DC">
        <w:rPr>
          <w:sz w:val="20"/>
          <w:szCs w:val="20"/>
        </w:rPr>
        <w:t>National Registry of Commerce (</w:t>
      </w:r>
      <w:r w:rsidR="004A7C96" w:rsidRPr="003516DC">
        <w:rPr>
          <w:sz w:val="20"/>
          <w:szCs w:val="20"/>
        </w:rPr>
        <w:t>NTRO</w:t>
      </w:r>
      <w:r w:rsidR="004B3189" w:rsidRPr="003516DC">
        <w:rPr>
          <w:sz w:val="20"/>
          <w:szCs w:val="20"/>
        </w:rPr>
        <w:t xml:space="preserve">) data show that manufacturing turnover grew by a relatively modest 35% (2010-2019) despite the decrease in jobs, which indicates an increase in value added. However, almost two thirds of manufacturing turnover come from the metallurgy field and most of it is </w:t>
      </w:r>
      <w:r w:rsidR="00612C71" w:rsidRPr="003516DC">
        <w:rPr>
          <w:sz w:val="20"/>
          <w:szCs w:val="20"/>
        </w:rPr>
        <w:t xml:space="preserve">from </w:t>
      </w:r>
      <w:r w:rsidR="004B3189" w:rsidRPr="003516DC">
        <w:rPr>
          <w:sz w:val="20"/>
          <w:szCs w:val="20"/>
        </w:rPr>
        <w:t xml:space="preserve">the turnover of Liberty Galați group. Thus, </w:t>
      </w:r>
      <w:r w:rsidR="003C09D3" w:rsidRPr="003516DC">
        <w:rPr>
          <w:sz w:val="20"/>
          <w:szCs w:val="20"/>
        </w:rPr>
        <w:t xml:space="preserve">only </w:t>
      </w:r>
      <w:r w:rsidR="004B3189" w:rsidRPr="003516DC">
        <w:rPr>
          <w:sz w:val="20"/>
          <w:szCs w:val="20"/>
        </w:rPr>
        <w:t xml:space="preserve">two companies, Liberty </w:t>
      </w:r>
      <w:r w:rsidR="003751DC">
        <w:rPr>
          <w:sz w:val="20"/>
          <w:szCs w:val="20"/>
        </w:rPr>
        <w:t>Galați</w:t>
      </w:r>
      <w:r w:rsidR="004B3189" w:rsidRPr="003516DC">
        <w:rPr>
          <w:sz w:val="20"/>
          <w:szCs w:val="20"/>
        </w:rPr>
        <w:t xml:space="preserve"> S.A. and Liberty Tubular Produces </w:t>
      </w:r>
      <w:r w:rsidR="003751DC">
        <w:rPr>
          <w:sz w:val="20"/>
          <w:szCs w:val="20"/>
        </w:rPr>
        <w:t>Galați</w:t>
      </w:r>
      <w:r w:rsidR="004B3189" w:rsidRPr="003516DC">
        <w:rPr>
          <w:sz w:val="20"/>
          <w:szCs w:val="20"/>
        </w:rPr>
        <w:t xml:space="preserve"> S.A., generated 57% of the turnover in manufacturing </w:t>
      </w:r>
      <w:r w:rsidR="00F0610A" w:rsidRPr="003516DC">
        <w:rPr>
          <w:sz w:val="20"/>
          <w:szCs w:val="20"/>
        </w:rPr>
        <w:t>in 2019</w:t>
      </w:r>
      <w:r w:rsidR="004B3189" w:rsidRPr="003516DC">
        <w:rPr>
          <w:sz w:val="20"/>
          <w:szCs w:val="20"/>
        </w:rPr>
        <w:t>. Metallurgy – and essentially the Liberty industrial site</w:t>
      </w:r>
      <w:r w:rsidR="00F025B8" w:rsidRPr="003516DC">
        <w:rPr>
          <w:sz w:val="20"/>
          <w:szCs w:val="20"/>
        </w:rPr>
        <w:t xml:space="preserve"> </w:t>
      </w:r>
      <w:r w:rsidR="004B3189" w:rsidRPr="003516DC">
        <w:rPr>
          <w:sz w:val="20"/>
          <w:szCs w:val="20"/>
        </w:rPr>
        <w:t xml:space="preserve">is still the </w:t>
      </w:r>
      <w:r w:rsidR="00DB5BE5" w:rsidRPr="003516DC">
        <w:rPr>
          <w:sz w:val="20"/>
          <w:szCs w:val="20"/>
        </w:rPr>
        <w:t>centrepiece</w:t>
      </w:r>
      <w:r w:rsidR="004B3189" w:rsidRPr="003516DC">
        <w:rPr>
          <w:sz w:val="20"/>
          <w:szCs w:val="20"/>
        </w:rPr>
        <w:t xml:space="preserve"> of industry in </w:t>
      </w:r>
      <w:r w:rsidR="003751DC">
        <w:rPr>
          <w:sz w:val="20"/>
          <w:szCs w:val="20"/>
        </w:rPr>
        <w:t>Galați</w:t>
      </w:r>
      <w:r w:rsidR="004B3189" w:rsidRPr="003516DC">
        <w:rPr>
          <w:sz w:val="20"/>
          <w:szCs w:val="20"/>
        </w:rPr>
        <w:t xml:space="preserve">, despite its massive restructuring and job loss over the past decades. </w:t>
      </w:r>
      <w:r w:rsidR="00A80BBC" w:rsidRPr="003516DC">
        <w:rPr>
          <w:sz w:val="20"/>
          <w:szCs w:val="20"/>
        </w:rPr>
        <w:t>Thus, although Liberty</w:t>
      </w:r>
      <w:r w:rsidR="004B3189" w:rsidRPr="003516DC">
        <w:rPr>
          <w:sz w:val="20"/>
          <w:szCs w:val="20"/>
        </w:rPr>
        <w:t xml:space="preserve"> shrank significantly</w:t>
      </w:r>
      <w:r w:rsidR="00A80BBC" w:rsidRPr="003516DC">
        <w:rPr>
          <w:sz w:val="20"/>
          <w:szCs w:val="20"/>
        </w:rPr>
        <w:t xml:space="preserve"> and</w:t>
      </w:r>
      <w:r w:rsidR="004B3189" w:rsidRPr="003516DC">
        <w:rPr>
          <w:sz w:val="20"/>
          <w:szCs w:val="20"/>
        </w:rPr>
        <w:t xml:space="preserve"> other economic activities rose, </w:t>
      </w:r>
      <w:r w:rsidR="00A80BBC" w:rsidRPr="003516DC">
        <w:rPr>
          <w:sz w:val="20"/>
          <w:szCs w:val="20"/>
        </w:rPr>
        <w:t xml:space="preserve">the overall trend was </w:t>
      </w:r>
      <w:r w:rsidR="004B3189" w:rsidRPr="003516DC">
        <w:rPr>
          <w:sz w:val="20"/>
          <w:szCs w:val="20"/>
        </w:rPr>
        <w:t>modest and insufficient to boost the local diversification of the local economy.</w:t>
      </w:r>
    </w:p>
    <w:p w14:paraId="145F6EDB" w14:textId="49B94361" w:rsidR="004B3189" w:rsidRPr="0088065B" w:rsidRDefault="004B3189" w:rsidP="00E42342">
      <w:pPr>
        <w:pStyle w:val="ListParagraph"/>
        <w:numPr>
          <w:ilvl w:val="0"/>
          <w:numId w:val="118"/>
        </w:numPr>
        <w:spacing w:after="120" w:line="240" w:lineRule="auto"/>
        <w:ind w:left="360"/>
        <w:contextualSpacing w:val="0"/>
        <w:jc w:val="both"/>
        <w:rPr>
          <w:sz w:val="20"/>
          <w:szCs w:val="20"/>
        </w:rPr>
      </w:pPr>
      <w:r w:rsidRPr="003516DC">
        <w:rPr>
          <w:sz w:val="20"/>
          <w:szCs w:val="20"/>
        </w:rPr>
        <w:t xml:space="preserve">The </w:t>
      </w:r>
      <w:r w:rsidR="00DF3BEA" w:rsidRPr="003516DC">
        <w:rPr>
          <w:sz w:val="20"/>
          <w:szCs w:val="20"/>
        </w:rPr>
        <w:t xml:space="preserve">next </w:t>
      </w:r>
      <w:r w:rsidRPr="003516DC">
        <w:rPr>
          <w:sz w:val="20"/>
          <w:szCs w:val="20"/>
        </w:rPr>
        <w:t xml:space="preserve">three </w:t>
      </w:r>
      <w:r w:rsidR="00DF3BEA" w:rsidRPr="003516DC">
        <w:rPr>
          <w:sz w:val="20"/>
          <w:szCs w:val="20"/>
        </w:rPr>
        <w:t>productive</w:t>
      </w:r>
      <w:r w:rsidRPr="003516DC">
        <w:rPr>
          <w:sz w:val="20"/>
          <w:szCs w:val="20"/>
        </w:rPr>
        <w:t xml:space="preserve"> industrial activities contributi</w:t>
      </w:r>
      <w:r w:rsidR="00D074B8" w:rsidRPr="003516DC">
        <w:rPr>
          <w:sz w:val="20"/>
          <w:szCs w:val="20"/>
        </w:rPr>
        <w:t>ng</w:t>
      </w:r>
      <w:r w:rsidRPr="003516DC">
        <w:rPr>
          <w:sz w:val="20"/>
          <w:szCs w:val="20"/>
        </w:rPr>
        <w:t xml:space="preserve"> to manufacturing turnover </w:t>
      </w:r>
      <w:r w:rsidR="00D074B8" w:rsidRPr="003516DC">
        <w:rPr>
          <w:sz w:val="20"/>
          <w:szCs w:val="20"/>
        </w:rPr>
        <w:t xml:space="preserve">include </w:t>
      </w:r>
      <w:r w:rsidRPr="003516DC">
        <w:rPr>
          <w:sz w:val="20"/>
          <w:szCs w:val="20"/>
        </w:rPr>
        <w:t>food and beverage (14.27%), ship building (7.03%) and metal works (6.34%)</w:t>
      </w:r>
      <w:r w:rsidR="00794E77" w:rsidRPr="003516DC">
        <w:rPr>
          <w:sz w:val="20"/>
          <w:szCs w:val="20"/>
        </w:rPr>
        <w:t>.</w:t>
      </w:r>
      <w:r w:rsidRPr="003516DC">
        <w:rPr>
          <w:sz w:val="20"/>
          <w:szCs w:val="20"/>
        </w:rPr>
        <w:t xml:space="preserve"> </w:t>
      </w:r>
      <w:r w:rsidR="00794E77" w:rsidRPr="003516DC">
        <w:rPr>
          <w:sz w:val="20"/>
          <w:szCs w:val="20"/>
        </w:rPr>
        <w:t>S</w:t>
      </w:r>
      <w:r w:rsidRPr="003516DC">
        <w:rPr>
          <w:sz w:val="20"/>
          <w:szCs w:val="20"/>
        </w:rPr>
        <w:t xml:space="preserve">ee Annex </w:t>
      </w:r>
      <w:r w:rsidR="002B75CD" w:rsidRPr="003516DC">
        <w:rPr>
          <w:sz w:val="20"/>
          <w:szCs w:val="20"/>
        </w:rPr>
        <w:t>3.</w:t>
      </w:r>
      <w:r w:rsidRPr="003516DC">
        <w:rPr>
          <w:sz w:val="20"/>
          <w:szCs w:val="20"/>
        </w:rPr>
        <w:t xml:space="preserve"> The concentration of metal works companies in Galați can be seen in conjunction with the steel industry value chain. The field decreased in employment </w:t>
      </w:r>
      <w:r w:rsidR="00D95A3E" w:rsidRPr="003516DC">
        <w:rPr>
          <w:sz w:val="20"/>
          <w:szCs w:val="20"/>
        </w:rPr>
        <w:t xml:space="preserve">but </w:t>
      </w:r>
      <w:r w:rsidRPr="003516DC">
        <w:rPr>
          <w:sz w:val="20"/>
          <w:szCs w:val="20"/>
        </w:rPr>
        <w:t xml:space="preserve">still generated 10.2% of the local jobs in manufacturing.  </w:t>
      </w:r>
    </w:p>
    <w:p w14:paraId="08ACFDDE" w14:textId="32312AC4" w:rsidR="004B3189" w:rsidRPr="0088065B" w:rsidRDefault="004B3189" w:rsidP="00E42342">
      <w:pPr>
        <w:pStyle w:val="ListParagraph"/>
        <w:numPr>
          <w:ilvl w:val="0"/>
          <w:numId w:val="118"/>
        </w:numPr>
        <w:spacing w:after="120" w:line="240" w:lineRule="auto"/>
        <w:ind w:left="360"/>
        <w:contextualSpacing w:val="0"/>
        <w:jc w:val="both"/>
        <w:rPr>
          <w:sz w:val="20"/>
          <w:szCs w:val="20"/>
        </w:rPr>
      </w:pPr>
      <w:r w:rsidRPr="003516DC">
        <w:rPr>
          <w:sz w:val="20"/>
          <w:szCs w:val="20"/>
        </w:rPr>
        <w:lastRenderedPageBreak/>
        <w:t>Companies in the food and beverage industry remain a significant local employer, with 3,419 jobs in 2019</w:t>
      </w:r>
      <w:r w:rsidR="006167EE" w:rsidRPr="003516DC">
        <w:rPr>
          <w:sz w:val="20"/>
          <w:szCs w:val="20"/>
        </w:rPr>
        <w:t>. This</w:t>
      </w:r>
      <w:r w:rsidRPr="003516DC">
        <w:rPr>
          <w:sz w:val="20"/>
          <w:szCs w:val="20"/>
        </w:rPr>
        <w:t xml:space="preserve"> reflect</w:t>
      </w:r>
      <w:r w:rsidR="006167EE" w:rsidRPr="003516DC">
        <w:rPr>
          <w:sz w:val="20"/>
          <w:szCs w:val="20"/>
        </w:rPr>
        <w:t>s</w:t>
      </w:r>
      <w:r w:rsidRPr="003516DC">
        <w:rPr>
          <w:sz w:val="20"/>
          <w:szCs w:val="20"/>
        </w:rPr>
        <w:t xml:space="preserve"> the rich agricultural produce of the county. This activity still generates the second most significant turnover in manufacturing, and while the employment slightly decreased over the past decade, there is less dependency on a single/limited number of companies compared to other manufacturing activities. There are only </w:t>
      </w:r>
      <w:r w:rsidR="003E74A9" w:rsidRPr="003516DC">
        <w:rPr>
          <w:sz w:val="20"/>
          <w:szCs w:val="20"/>
        </w:rPr>
        <w:t>two</w:t>
      </w:r>
      <w:r w:rsidRPr="003516DC">
        <w:rPr>
          <w:sz w:val="20"/>
          <w:szCs w:val="20"/>
        </w:rPr>
        <w:t xml:space="preserve"> companies in the 250-500 employment range </w:t>
      </w:r>
      <w:r w:rsidR="00467132" w:rsidRPr="003516DC">
        <w:rPr>
          <w:sz w:val="20"/>
          <w:szCs w:val="20"/>
        </w:rPr>
        <w:t>(</w:t>
      </w:r>
      <w:r w:rsidRPr="003516DC">
        <w:rPr>
          <w:sz w:val="20"/>
          <w:szCs w:val="20"/>
        </w:rPr>
        <w:t>Prutul SA, a vegetable oil company, and Derpan, a pastry factory</w:t>
      </w:r>
      <w:r w:rsidR="00467132" w:rsidRPr="003516DC">
        <w:rPr>
          <w:sz w:val="20"/>
          <w:szCs w:val="20"/>
        </w:rPr>
        <w:t>).</w:t>
      </w:r>
      <w:r w:rsidRPr="003516DC">
        <w:rPr>
          <w:sz w:val="20"/>
          <w:szCs w:val="20"/>
        </w:rPr>
        <w:t xml:space="preserve"> </w:t>
      </w:r>
      <w:r w:rsidR="00467132" w:rsidRPr="003516DC">
        <w:rPr>
          <w:sz w:val="20"/>
          <w:szCs w:val="20"/>
        </w:rPr>
        <w:t>T</w:t>
      </w:r>
      <w:r w:rsidRPr="003516DC">
        <w:rPr>
          <w:sz w:val="20"/>
          <w:szCs w:val="20"/>
        </w:rPr>
        <w:t xml:space="preserve">he rest of employment </w:t>
      </w:r>
      <w:r w:rsidR="00467132" w:rsidRPr="003516DC">
        <w:rPr>
          <w:sz w:val="20"/>
          <w:szCs w:val="20"/>
        </w:rPr>
        <w:t xml:space="preserve">comes </w:t>
      </w:r>
      <w:r w:rsidRPr="003516DC">
        <w:rPr>
          <w:sz w:val="20"/>
          <w:szCs w:val="20"/>
        </w:rPr>
        <w:t xml:space="preserve">from </w:t>
      </w:r>
      <w:r w:rsidR="00B3765B" w:rsidRPr="003516DC">
        <w:rPr>
          <w:sz w:val="20"/>
          <w:szCs w:val="20"/>
        </w:rPr>
        <w:t>SMEs</w:t>
      </w:r>
      <w:r w:rsidRPr="003516DC">
        <w:rPr>
          <w:sz w:val="20"/>
          <w:szCs w:val="20"/>
        </w:rPr>
        <w:t xml:space="preserve">. </w:t>
      </w:r>
    </w:p>
    <w:p w14:paraId="4C71B3AE" w14:textId="7585248A" w:rsidR="00350AA9" w:rsidRPr="00C76AFA" w:rsidRDefault="005D52D3" w:rsidP="00E42342">
      <w:pPr>
        <w:pStyle w:val="ListParagraph"/>
        <w:numPr>
          <w:ilvl w:val="0"/>
          <w:numId w:val="118"/>
        </w:numPr>
        <w:spacing w:after="120" w:line="240" w:lineRule="auto"/>
        <w:ind w:left="360"/>
        <w:contextualSpacing w:val="0"/>
        <w:jc w:val="both"/>
        <w:rPr>
          <w:sz w:val="20"/>
          <w:szCs w:val="20"/>
        </w:rPr>
      </w:pPr>
      <w:r w:rsidRPr="003516DC">
        <w:rPr>
          <w:sz w:val="20"/>
          <w:szCs w:val="20"/>
        </w:rPr>
        <w:t>The s</w:t>
      </w:r>
      <w:r w:rsidR="004B3189" w:rsidRPr="003516DC">
        <w:rPr>
          <w:sz w:val="20"/>
          <w:szCs w:val="20"/>
        </w:rPr>
        <w:t>hip building industry capitali</w:t>
      </w:r>
      <w:r w:rsidR="00B052C3" w:rsidRPr="003516DC">
        <w:rPr>
          <w:sz w:val="20"/>
          <w:szCs w:val="20"/>
        </w:rPr>
        <w:t>s</w:t>
      </w:r>
      <w:r w:rsidR="004B3189" w:rsidRPr="003516DC">
        <w:rPr>
          <w:sz w:val="20"/>
          <w:szCs w:val="20"/>
        </w:rPr>
        <w:t xml:space="preserve">es on </w:t>
      </w:r>
      <w:r w:rsidR="003751DC">
        <w:rPr>
          <w:sz w:val="20"/>
          <w:szCs w:val="20"/>
        </w:rPr>
        <w:t>Galați</w:t>
      </w:r>
      <w:r w:rsidR="00B65AD5" w:rsidRPr="003516DC">
        <w:rPr>
          <w:sz w:val="20"/>
          <w:szCs w:val="20"/>
        </w:rPr>
        <w:t>’s</w:t>
      </w:r>
      <w:r w:rsidR="004B3189" w:rsidRPr="003516DC">
        <w:rPr>
          <w:sz w:val="20"/>
          <w:szCs w:val="20"/>
        </w:rPr>
        <w:t xml:space="preserve"> </w:t>
      </w:r>
      <w:r w:rsidR="00BB03E4" w:rsidRPr="003516DC">
        <w:rPr>
          <w:sz w:val="20"/>
          <w:szCs w:val="20"/>
        </w:rPr>
        <w:t xml:space="preserve">geographical </w:t>
      </w:r>
      <w:r w:rsidR="004B3189" w:rsidRPr="003516DC">
        <w:rPr>
          <w:sz w:val="20"/>
          <w:szCs w:val="20"/>
        </w:rPr>
        <w:t xml:space="preserve">position and Danube harbour facilities. This sector grew both in employment and turnover over the past 10 years and is an activity field that could represent one of </w:t>
      </w:r>
      <w:r w:rsidR="003751DC">
        <w:rPr>
          <w:sz w:val="20"/>
          <w:szCs w:val="20"/>
        </w:rPr>
        <w:t>Galați</w:t>
      </w:r>
      <w:r w:rsidR="004B3189" w:rsidRPr="003516DC">
        <w:rPr>
          <w:sz w:val="20"/>
          <w:szCs w:val="20"/>
        </w:rPr>
        <w:t xml:space="preserve"> differentiators in terms of local business competitiveness. There are 55 companies working in this field, </w:t>
      </w:r>
      <w:r w:rsidR="00356698" w:rsidRPr="003516DC">
        <w:rPr>
          <w:sz w:val="20"/>
          <w:szCs w:val="20"/>
        </w:rPr>
        <w:t>up from</w:t>
      </w:r>
      <w:r w:rsidR="004B3189" w:rsidRPr="003516DC">
        <w:rPr>
          <w:sz w:val="20"/>
          <w:szCs w:val="20"/>
        </w:rPr>
        <w:t xml:space="preserve"> 40</w:t>
      </w:r>
      <w:r w:rsidR="00356698" w:rsidRPr="003516DC">
        <w:rPr>
          <w:sz w:val="20"/>
          <w:szCs w:val="20"/>
        </w:rPr>
        <w:t xml:space="preserve"> companies</w:t>
      </w:r>
      <w:r w:rsidR="004B3189" w:rsidRPr="003516DC">
        <w:rPr>
          <w:sz w:val="20"/>
          <w:szCs w:val="20"/>
        </w:rPr>
        <w:t xml:space="preserve"> in 2010. However, most of the employment (69%) and turnover (75%) are generated by a single company</w:t>
      </w:r>
      <w:r w:rsidR="00620B33" w:rsidRPr="003516DC">
        <w:rPr>
          <w:sz w:val="20"/>
          <w:szCs w:val="20"/>
        </w:rPr>
        <w:t>:</w:t>
      </w:r>
      <w:r w:rsidR="004B3189" w:rsidRPr="003516DC">
        <w:rPr>
          <w:sz w:val="20"/>
          <w:szCs w:val="20"/>
        </w:rPr>
        <w:t xml:space="preserve"> Damen Shipyards </w:t>
      </w:r>
      <w:r w:rsidR="003751DC">
        <w:rPr>
          <w:sz w:val="20"/>
          <w:szCs w:val="20"/>
        </w:rPr>
        <w:t>Galați</w:t>
      </w:r>
      <w:r w:rsidR="004B3189" w:rsidRPr="003516DC">
        <w:rPr>
          <w:sz w:val="20"/>
          <w:szCs w:val="20"/>
        </w:rPr>
        <w:t xml:space="preserve">. </w:t>
      </w:r>
      <w:r w:rsidR="00464B80" w:rsidRPr="003516DC">
        <w:rPr>
          <w:sz w:val="20"/>
          <w:szCs w:val="20"/>
        </w:rPr>
        <w:t>E</w:t>
      </w:r>
      <w:r w:rsidR="004B3189" w:rsidRPr="003516DC">
        <w:rPr>
          <w:sz w:val="20"/>
          <w:szCs w:val="20"/>
        </w:rPr>
        <w:t xml:space="preserve">xisting local higher education </w:t>
      </w:r>
      <w:r w:rsidR="00464B80" w:rsidRPr="003516DC">
        <w:rPr>
          <w:sz w:val="20"/>
          <w:szCs w:val="20"/>
        </w:rPr>
        <w:t>and</w:t>
      </w:r>
      <w:r w:rsidR="004B3189" w:rsidRPr="003516DC">
        <w:rPr>
          <w:sz w:val="20"/>
          <w:szCs w:val="20"/>
        </w:rPr>
        <w:t xml:space="preserve"> vocational school facilities support this industry, though consultations with local stakeholders overall indicated a need to upgrade workforce training facilities for all qualification levels. </w:t>
      </w:r>
      <w:r w:rsidR="009631CD" w:rsidRPr="003516DC">
        <w:rPr>
          <w:sz w:val="20"/>
          <w:szCs w:val="20"/>
        </w:rPr>
        <w:t>T</w:t>
      </w:r>
      <w:r w:rsidR="004B3189" w:rsidRPr="003516DC">
        <w:rPr>
          <w:sz w:val="20"/>
          <w:szCs w:val="20"/>
        </w:rPr>
        <w:t xml:space="preserve">here have </w:t>
      </w:r>
      <w:r w:rsidR="009631CD" w:rsidRPr="003516DC">
        <w:rPr>
          <w:sz w:val="20"/>
          <w:szCs w:val="20"/>
        </w:rPr>
        <w:t xml:space="preserve">also </w:t>
      </w:r>
      <w:r w:rsidR="004B3189" w:rsidRPr="003516DC">
        <w:rPr>
          <w:sz w:val="20"/>
          <w:szCs w:val="20"/>
        </w:rPr>
        <w:t xml:space="preserve">been academia initiatives to </w:t>
      </w:r>
      <w:r w:rsidR="009631CD" w:rsidRPr="003516DC">
        <w:rPr>
          <w:sz w:val="20"/>
          <w:szCs w:val="20"/>
        </w:rPr>
        <w:t>introduce</w:t>
      </w:r>
      <w:r w:rsidR="004B3189" w:rsidRPr="003516DC">
        <w:rPr>
          <w:sz w:val="20"/>
          <w:szCs w:val="20"/>
        </w:rPr>
        <w:t xml:space="preserve"> research </w:t>
      </w:r>
      <w:r w:rsidR="00C91203" w:rsidRPr="003516DC">
        <w:rPr>
          <w:sz w:val="20"/>
          <w:szCs w:val="20"/>
        </w:rPr>
        <w:t xml:space="preserve">into </w:t>
      </w:r>
      <w:r w:rsidR="004B3189" w:rsidRPr="003516DC">
        <w:rPr>
          <w:sz w:val="20"/>
          <w:szCs w:val="20"/>
        </w:rPr>
        <w:t>this industrial activity in the form of a Romanian River Transport Cluster, established in 2018</w:t>
      </w:r>
      <w:r w:rsidR="004B3189" w:rsidRPr="003516DC">
        <w:rPr>
          <w:vertAlign w:val="superscript"/>
        </w:rPr>
        <w:footnoteReference w:id="141"/>
      </w:r>
      <w:r w:rsidR="004B3189" w:rsidRPr="003516DC">
        <w:rPr>
          <w:sz w:val="20"/>
          <w:szCs w:val="20"/>
        </w:rPr>
        <w:t xml:space="preserve">, </w:t>
      </w:r>
      <w:r w:rsidR="00F948F6" w:rsidRPr="003516DC">
        <w:rPr>
          <w:sz w:val="20"/>
          <w:szCs w:val="20"/>
        </w:rPr>
        <w:t>which</w:t>
      </w:r>
      <w:r w:rsidR="004B3189" w:rsidRPr="003516DC">
        <w:rPr>
          <w:sz w:val="20"/>
          <w:szCs w:val="20"/>
        </w:rPr>
        <w:t xml:space="preserve"> could be</w:t>
      </w:r>
      <w:r w:rsidR="00FC4F26" w:rsidRPr="003516DC">
        <w:rPr>
          <w:sz w:val="20"/>
          <w:szCs w:val="20"/>
        </w:rPr>
        <w:t xml:space="preserve"> further</w:t>
      </w:r>
      <w:r w:rsidR="004B3189" w:rsidRPr="003516DC">
        <w:rPr>
          <w:sz w:val="20"/>
          <w:szCs w:val="20"/>
        </w:rPr>
        <w:t xml:space="preserve"> supported </w:t>
      </w:r>
      <w:r w:rsidR="00F948F6" w:rsidRPr="003516DC">
        <w:rPr>
          <w:sz w:val="20"/>
          <w:szCs w:val="20"/>
        </w:rPr>
        <w:t>in</w:t>
      </w:r>
      <w:r w:rsidR="004B3189" w:rsidRPr="003516DC">
        <w:rPr>
          <w:sz w:val="20"/>
          <w:szCs w:val="20"/>
        </w:rPr>
        <w:t xml:space="preserve"> the long term. </w:t>
      </w:r>
    </w:p>
    <w:p w14:paraId="07F6892A" w14:textId="5FADD304" w:rsidR="005702CA" w:rsidRPr="003516DC" w:rsidRDefault="005702CA" w:rsidP="006536F5">
      <w:pPr>
        <w:pStyle w:val="Caption"/>
        <w:rPr>
          <w:lang w:val="en-US"/>
        </w:rPr>
      </w:pPr>
      <w:bookmarkStart w:id="328" w:name="_Toc90726026"/>
      <w:bookmarkStart w:id="329" w:name="_Toc90727323"/>
      <w:r w:rsidRPr="003516DC">
        <w:t xml:space="preserve">Table </w:t>
      </w:r>
      <w:r w:rsidR="00481651" w:rsidRPr="003516DC">
        <w:rPr>
          <w:noProof/>
        </w:rPr>
        <w:fldChar w:fldCharType="begin"/>
      </w:r>
      <w:r w:rsidR="00481651" w:rsidRPr="003516DC">
        <w:rPr>
          <w:noProof/>
        </w:rPr>
        <w:instrText xml:space="preserve"> SEQ Table \* ARABIC </w:instrText>
      </w:r>
      <w:r w:rsidR="00481651" w:rsidRPr="003516DC">
        <w:rPr>
          <w:noProof/>
        </w:rPr>
        <w:fldChar w:fldCharType="separate"/>
      </w:r>
      <w:r w:rsidR="004E2DCB">
        <w:rPr>
          <w:noProof/>
        </w:rPr>
        <w:t>72</w:t>
      </w:r>
      <w:r w:rsidR="00481651" w:rsidRPr="003516DC">
        <w:rPr>
          <w:noProof/>
        </w:rPr>
        <w:fldChar w:fldCharType="end"/>
      </w:r>
      <w:r w:rsidRPr="003516DC">
        <w:t>: Economic sector t</w:t>
      </w:r>
      <w:r w:rsidR="00350AA9" w:rsidRPr="003516DC">
        <w:t xml:space="preserve">rends during 2010-2019: Galați </w:t>
      </w:r>
      <w:r w:rsidR="00F77450">
        <w:t>C</w:t>
      </w:r>
      <w:r w:rsidRPr="003516DC">
        <w:t>ounty</w:t>
      </w:r>
      <w:bookmarkEnd w:id="328"/>
      <w:bookmarkEnd w:id="329"/>
    </w:p>
    <w:tbl>
      <w:tblPr>
        <w:tblW w:w="5000" w:type="pct"/>
        <w:tblBorders>
          <w:top w:val="single" w:sz="4" w:space="0" w:color="002060"/>
          <w:left w:val="single" w:sz="4" w:space="0" w:color="002060"/>
          <w:bottom w:val="single" w:sz="4" w:space="0" w:color="002060"/>
          <w:right w:val="single" w:sz="4" w:space="0" w:color="002060"/>
          <w:insideH w:val="single" w:sz="4" w:space="0" w:color="FFFFFF" w:themeColor="background1"/>
          <w:insideV w:val="single" w:sz="4" w:space="0" w:color="FFFFFF" w:themeColor="background1"/>
        </w:tblBorders>
        <w:tblLook w:val="04A0" w:firstRow="1" w:lastRow="0" w:firstColumn="1" w:lastColumn="0" w:noHBand="0" w:noVBand="1"/>
      </w:tblPr>
      <w:tblGrid>
        <w:gridCol w:w="2689"/>
        <w:gridCol w:w="1412"/>
        <w:gridCol w:w="1639"/>
        <w:gridCol w:w="1532"/>
        <w:gridCol w:w="1657"/>
      </w:tblGrid>
      <w:tr w:rsidR="009C4CD3" w:rsidRPr="003516DC" w14:paraId="729F7FB4" w14:textId="77777777" w:rsidTr="009C4CD3">
        <w:trPr>
          <w:trHeight w:val="495"/>
          <w:tblHeader/>
        </w:trPr>
        <w:tc>
          <w:tcPr>
            <w:tcW w:w="1505" w:type="pct"/>
            <w:shd w:val="clear" w:color="000000" w:fill="002060"/>
            <w:vAlign w:val="center"/>
            <w:hideMark/>
          </w:tcPr>
          <w:p w14:paraId="60924294" w14:textId="77777777" w:rsidR="009C4CD3" w:rsidRPr="003516DC" w:rsidRDefault="009C4CD3"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Economic sector</w:t>
            </w:r>
          </w:p>
        </w:tc>
        <w:tc>
          <w:tcPr>
            <w:tcW w:w="790" w:type="pct"/>
            <w:shd w:val="clear" w:color="000000" w:fill="002060"/>
            <w:vAlign w:val="center"/>
            <w:hideMark/>
          </w:tcPr>
          <w:p w14:paraId="6611031A" w14:textId="77777777" w:rsidR="009C4CD3" w:rsidRPr="003516DC" w:rsidRDefault="009C4CD3"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GL County Turnover in 2019</w:t>
            </w:r>
          </w:p>
        </w:tc>
        <w:tc>
          <w:tcPr>
            <w:tcW w:w="918" w:type="pct"/>
            <w:shd w:val="clear" w:color="000000" w:fill="002060"/>
            <w:vAlign w:val="center"/>
            <w:hideMark/>
          </w:tcPr>
          <w:p w14:paraId="35B0E665" w14:textId="77777777" w:rsidR="009C4CD3" w:rsidRPr="003516DC" w:rsidRDefault="009C4CD3"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turnover 2019-2010</w:t>
            </w:r>
          </w:p>
        </w:tc>
        <w:tc>
          <w:tcPr>
            <w:tcW w:w="858" w:type="pct"/>
            <w:shd w:val="clear" w:color="000000" w:fill="002060"/>
            <w:vAlign w:val="center"/>
            <w:hideMark/>
          </w:tcPr>
          <w:p w14:paraId="5E838463" w14:textId="77777777" w:rsidR="009C4CD3" w:rsidRPr="003516DC" w:rsidRDefault="009C4CD3"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from Total GL County Employment in 2019</w:t>
            </w:r>
          </w:p>
        </w:tc>
        <w:tc>
          <w:tcPr>
            <w:tcW w:w="928" w:type="pct"/>
            <w:shd w:val="clear" w:color="000000" w:fill="002060"/>
            <w:vAlign w:val="center"/>
            <w:hideMark/>
          </w:tcPr>
          <w:p w14:paraId="767A9FAE" w14:textId="77777777" w:rsidR="009C4CD3" w:rsidRPr="003516DC" w:rsidRDefault="009C4CD3" w:rsidP="005702CA">
            <w:pPr>
              <w:jc w:val="center"/>
              <w:rPr>
                <w:rFonts w:ascii="Arial" w:eastAsia="Times New Roman" w:hAnsi="Arial" w:cs="Arial"/>
                <w:b/>
                <w:bCs/>
                <w:color w:val="FFFFFF"/>
                <w:sz w:val="18"/>
                <w:szCs w:val="18"/>
                <w:lang w:val="en-US"/>
              </w:rPr>
            </w:pPr>
            <w:r w:rsidRPr="003516DC">
              <w:rPr>
                <w:rFonts w:ascii="Arial" w:eastAsia="Times New Roman" w:hAnsi="Arial" w:cs="Arial"/>
                <w:b/>
                <w:bCs/>
                <w:color w:val="FFFFFF"/>
                <w:sz w:val="18"/>
                <w:szCs w:val="18"/>
                <w:lang w:val="en-US"/>
              </w:rPr>
              <w:t>% of growth (+)/ decrease (-) of employment 2019-2010</w:t>
            </w:r>
          </w:p>
        </w:tc>
      </w:tr>
      <w:tr w:rsidR="009C4CD3" w:rsidRPr="003516DC" w14:paraId="49E0BC38" w14:textId="77777777" w:rsidTr="009C4CD3">
        <w:trPr>
          <w:trHeight w:val="465"/>
        </w:trPr>
        <w:tc>
          <w:tcPr>
            <w:tcW w:w="1505" w:type="pct"/>
            <w:shd w:val="clear" w:color="000000" w:fill="FFFFFF"/>
            <w:noWrap/>
            <w:vAlign w:val="center"/>
            <w:hideMark/>
          </w:tcPr>
          <w:p w14:paraId="6BF30357"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Agriculture</w:t>
            </w:r>
          </w:p>
        </w:tc>
        <w:tc>
          <w:tcPr>
            <w:tcW w:w="790" w:type="pct"/>
            <w:shd w:val="clear" w:color="auto" w:fill="C2D69B" w:themeFill="accent3" w:themeFillTint="99"/>
            <w:noWrap/>
            <w:vAlign w:val="center"/>
            <w:hideMark/>
          </w:tcPr>
          <w:p w14:paraId="64D4109F"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2.62%</w:t>
            </w:r>
          </w:p>
        </w:tc>
        <w:tc>
          <w:tcPr>
            <w:tcW w:w="918" w:type="pct"/>
            <w:shd w:val="clear" w:color="auto" w:fill="C2D69B" w:themeFill="accent3" w:themeFillTint="99"/>
            <w:vAlign w:val="center"/>
            <w:hideMark/>
          </w:tcPr>
          <w:p w14:paraId="368E92E2"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99.35%</w:t>
            </w:r>
          </w:p>
        </w:tc>
        <w:tc>
          <w:tcPr>
            <w:tcW w:w="858" w:type="pct"/>
            <w:shd w:val="clear" w:color="auto" w:fill="C2D69B" w:themeFill="accent3" w:themeFillTint="99"/>
            <w:vAlign w:val="center"/>
            <w:hideMark/>
          </w:tcPr>
          <w:p w14:paraId="16A5A9E4"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3.00%</w:t>
            </w:r>
          </w:p>
        </w:tc>
        <w:tc>
          <w:tcPr>
            <w:tcW w:w="928" w:type="pct"/>
            <w:shd w:val="clear" w:color="auto" w:fill="C2D69B" w:themeFill="accent3" w:themeFillTint="99"/>
            <w:vAlign w:val="center"/>
            <w:hideMark/>
          </w:tcPr>
          <w:p w14:paraId="6C7355BC"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20.75%</w:t>
            </w:r>
          </w:p>
        </w:tc>
      </w:tr>
      <w:tr w:rsidR="009C4CD3" w:rsidRPr="003516DC" w14:paraId="446CFEB6" w14:textId="77777777" w:rsidTr="009C4CD3">
        <w:trPr>
          <w:trHeight w:val="495"/>
        </w:trPr>
        <w:tc>
          <w:tcPr>
            <w:tcW w:w="1505" w:type="pct"/>
            <w:shd w:val="clear" w:color="000000" w:fill="FFFFFF"/>
            <w:vAlign w:val="center"/>
            <w:hideMark/>
          </w:tcPr>
          <w:p w14:paraId="4DA18E01"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Mining Energy production &amp;Distribution</w:t>
            </w:r>
          </w:p>
        </w:tc>
        <w:tc>
          <w:tcPr>
            <w:tcW w:w="790" w:type="pct"/>
            <w:shd w:val="clear" w:color="auto" w:fill="FF7575"/>
            <w:noWrap/>
            <w:vAlign w:val="center"/>
            <w:hideMark/>
          </w:tcPr>
          <w:p w14:paraId="49D19826"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3.75%</w:t>
            </w:r>
          </w:p>
        </w:tc>
        <w:tc>
          <w:tcPr>
            <w:tcW w:w="918" w:type="pct"/>
            <w:shd w:val="clear" w:color="auto" w:fill="FF7575"/>
            <w:vAlign w:val="center"/>
            <w:hideMark/>
          </w:tcPr>
          <w:p w14:paraId="08C6D734"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-22.07%</w:t>
            </w:r>
          </w:p>
        </w:tc>
        <w:tc>
          <w:tcPr>
            <w:tcW w:w="858" w:type="pct"/>
            <w:shd w:val="clear" w:color="auto" w:fill="FF7575"/>
            <w:vAlign w:val="center"/>
            <w:hideMark/>
          </w:tcPr>
          <w:p w14:paraId="4F3AA0DC"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3.27%</w:t>
            </w:r>
          </w:p>
        </w:tc>
        <w:tc>
          <w:tcPr>
            <w:tcW w:w="928" w:type="pct"/>
            <w:shd w:val="clear" w:color="auto" w:fill="FF7575"/>
            <w:vAlign w:val="center"/>
            <w:hideMark/>
          </w:tcPr>
          <w:p w14:paraId="1739EFE4"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-39.42%</w:t>
            </w:r>
          </w:p>
        </w:tc>
      </w:tr>
      <w:tr w:rsidR="009C4CD3" w:rsidRPr="003516DC" w14:paraId="0D2210F4" w14:textId="77777777" w:rsidTr="009C4CD3">
        <w:trPr>
          <w:trHeight w:val="465"/>
        </w:trPr>
        <w:tc>
          <w:tcPr>
            <w:tcW w:w="1505" w:type="pct"/>
            <w:shd w:val="clear" w:color="000000" w:fill="FFFFFF"/>
            <w:noWrap/>
            <w:vAlign w:val="center"/>
            <w:hideMark/>
          </w:tcPr>
          <w:p w14:paraId="24747757"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Manufacturing</w:t>
            </w:r>
          </w:p>
        </w:tc>
        <w:tc>
          <w:tcPr>
            <w:tcW w:w="790" w:type="pct"/>
            <w:shd w:val="clear" w:color="auto" w:fill="D9D9D9" w:themeFill="background1" w:themeFillShade="D9"/>
            <w:noWrap/>
            <w:vAlign w:val="center"/>
            <w:hideMark/>
          </w:tcPr>
          <w:p w14:paraId="23131BAD"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33.75%</w:t>
            </w:r>
          </w:p>
        </w:tc>
        <w:tc>
          <w:tcPr>
            <w:tcW w:w="918" w:type="pct"/>
            <w:shd w:val="clear" w:color="auto" w:fill="D9D9D9" w:themeFill="background1" w:themeFillShade="D9"/>
            <w:vAlign w:val="center"/>
            <w:hideMark/>
          </w:tcPr>
          <w:p w14:paraId="2F1971DF"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35.34%</w:t>
            </w:r>
          </w:p>
        </w:tc>
        <w:tc>
          <w:tcPr>
            <w:tcW w:w="858" w:type="pct"/>
            <w:shd w:val="clear" w:color="auto" w:fill="D9D9D9" w:themeFill="background1" w:themeFillShade="D9"/>
            <w:vAlign w:val="center"/>
            <w:hideMark/>
          </w:tcPr>
          <w:p w14:paraId="7E32506C"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26.04%</w:t>
            </w:r>
          </w:p>
        </w:tc>
        <w:tc>
          <w:tcPr>
            <w:tcW w:w="928" w:type="pct"/>
            <w:shd w:val="clear" w:color="auto" w:fill="D9D9D9" w:themeFill="background1" w:themeFillShade="D9"/>
            <w:vAlign w:val="center"/>
            <w:hideMark/>
          </w:tcPr>
          <w:p w14:paraId="6B444C52"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-16.86%</w:t>
            </w:r>
          </w:p>
        </w:tc>
      </w:tr>
      <w:tr w:rsidR="009C4CD3" w:rsidRPr="003516DC" w14:paraId="53A69A5F" w14:textId="77777777" w:rsidTr="009C4CD3">
        <w:trPr>
          <w:trHeight w:val="465"/>
        </w:trPr>
        <w:tc>
          <w:tcPr>
            <w:tcW w:w="1505" w:type="pct"/>
            <w:shd w:val="clear" w:color="000000" w:fill="FFFFFF"/>
            <w:noWrap/>
            <w:vAlign w:val="center"/>
            <w:hideMark/>
          </w:tcPr>
          <w:p w14:paraId="6EF1256C"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 xml:space="preserve">Construction </w:t>
            </w:r>
          </w:p>
        </w:tc>
        <w:tc>
          <w:tcPr>
            <w:tcW w:w="790" w:type="pct"/>
            <w:shd w:val="clear" w:color="auto" w:fill="C2D69B" w:themeFill="accent3" w:themeFillTint="99"/>
            <w:noWrap/>
            <w:vAlign w:val="center"/>
            <w:hideMark/>
          </w:tcPr>
          <w:p w14:paraId="343596B2"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8.94%</w:t>
            </w:r>
          </w:p>
        </w:tc>
        <w:tc>
          <w:tcPr>
            <w:tcW w:w="918" w:type="pct"/>
            <w:shd w:val="clear" w:color="auto" w:fill="C2D69B" w:themeFill="accent3" w:themeFillTint="99"/>
            <w:vAlign w:val="center"/>
            <w:hideMark/>
          </w:tcPr>
          <w:p w14:paraId="06E30B40"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67.60%</w:t>
            </w:r>
          </w:p>
        </w:tc>
        <w:tc>
          <w:tcPr>
            <w:tcW w:w="858" w:type="pct"/>
            <w:shd w:val="clear" w:color="auto" w:fill="C2D69B" w:themeFill="accent3" w:themeFillTint="99"/>
            <w:vAlign w:val="center"/>
            <w:hideMark/>
          </w:tcPr>
          <w:p w14:paraId="4F334EE5"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13.28%</w:t>
            </w:r>
          </w:p>
        </w:tc>
        <w:tc>
          <w:tcPr>
            <w:tcW w:w="928" w:type="pct"/>
            <w:shd w:val="clear" w:color="auto" w:fill="C2D69B" w:themeFill="accent3" w:themeFillTint="99"/>
            <w:vAlign w:val="center"/>
            <w:hideMark/>
          </w:tcPr>
          <w:p w14:paraId="7E668D51"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2.93%</w:t>
            </w:r>
          </w:p>
        </w:tc>
      </w:tr>
      <w:tr w:rsidR="009C4CD3" w:rsidRPr="003516DC" w14:paraId="6B0E6D65" w14:textId="77777777" w:rsidTr="009C4CD3">
        <w:trPr>
          <w:trHeight w:val="465"/>
        </w:trPr>
        <w:tc>
          <w:tcPr>
            <w:tcW w:w="1505" w:type="pct"/>
            <w:shd w:val="clear" w:color="000000" w:fill="FFFFFF"/>
            <w:noWrap/>
            <w:vAlign w:val="center"/>
            <w:hideMark/>
          </w:tcPr>
          <w:p w14:paraId="397D21C1"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Wholesale / Retail</w:t>
            </w:r>
          </w:p>
        </w:tc>
        <w:tc>
          <w:tcPr>
            <w:tcW w:w="790" w:type="pct"/>
            <w:shd w:val="clear" w:color="auto" w:fill="C2D69B" w:themeFill="accent3" w:themeFillTint="99"/>
            <w:noWrap/>
            <w:vAlign w:val="center"/>
            <w:hideMark/>
          </w:tcPr>
          <w:p w14:paraId="1084AA87"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45.05%</w:t>
            </w:r>
          </w:p>
        </w:tc>
        <w:tc>
          <w:tcPr>
            <w:tcW w:w="918" w:type="pct"/>
            <w:shd w:val="clear" w:color="auto" w:fill="C2D69B" w:themeFill="accent3" w:themeFillTint="99"/>
            <w:vAlign w:val="center"/>
            <w:hideMark/>
          </w:tcPr>
          <w:p w14:paraId="4C8EC679"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65.54%</w:t>
            </w:r>
          </w:p>
        </w:tc>
        <w:tc>
          <w:tcPr>
            <w:tcW w:w="858" w:type="pct"/>
            <w:shd w:val="clear" w:color="auto" w:fill="C2D69B" w:themeFill="accent3" w:themeFillTint="99"/>
            <w:vAlign w:val="center"/>
            <w:hideMark/>
          </w:tcPr>
          <w:p w14:paraId="1C60EA19"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37.64%</w:t>
            </w:r>
          </w:p>
        </w:tc>
        <w:tc>
          <w:tcPr>
            <w:tcW w:w="928" w:type="pct"/>
            <w:shd w:val="clear" w:color="auto" w:fill="C2D69B" w:themeFill="accent3" w:themeFillTint="99"/>
            <w:vAlign w:val="center"/>
            <w:hideMark/>
          </w:tcPr>
          <w:p w14:paraId="4D018843"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0.60%</w:t>
            </w:r>
          </w:p>
        </w:tc>
      </w:tr>
      <w:tr w:rsidR="009C4CD3" w:rsidRPr="003516DC" w14:paraId="08A37A85" w14:textId="77777777" w:rsidTr="009C4CD3">
        <w:trPr>
          <w:trHeight w:val="465"/>
        </w:trPr>
        <w:tc>
          <w:tcPr>
            <w:tcW w:w="1505" w:type="pct"/>
            <w:shd w:val="clear" w:color="000000" w:fill="FFFFFF"/>
            <w:noWrap/>
            <w:vAlign w:val="center"/>
            <w:hideMark/>
          </w:tcPr>
          <w:p w14:paraId="23879FB9"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IT and Creative industries</w:t>
            </w:r>
          </w:p>
        </w:tc>
        <w:tc>
          <w:tcPr>
            <w:tcW w:w="790" w:type="pct"/>
            <w:shd w:val="clear" w:color="auto" w:fill="C2D69B" w:themeFill="accent3" w:themeFillTint="99"/>
            <w:noWrap/>
            <w:vAlign w:val="center"/>
            <w:hideMark/>
          </w:tcPr>
          <w:p w14:paraId="25074291"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0.70%</w:t>
            </w:r>
          </w:p>
        </w:tc>
        <w:tc>
          <w:tcPr>
            <w:tcW w:w="918" w:type="pct"/>
            <w:shd w:val="clear" w:color="auto" w:fill="C2D69B" w:themeFill="accent3" w:themeFillTint="99"/>
            <w:vAlign w:val="center"/>
            <w:hideMark/>
          </w:tcPr>
          <w:p w14:paraId="22917DA8"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124.13%</w:t>
            </w:r>
          </w:p>
        </w:tc>
        <w:tc>
          <w:tcPr>
            <w:tcW w:w="858" w:type="pct"/>
            <w:shd w:val="clear" w:color="auto" w:fill="C2D69B" w:themeFill="accent3" w:themeFillTint="99"/>
            <w:vAlign w:val="center"/>
            <w:hideMark/>
          </w:tcPr>
          <w:p w14:paraId="428E6CB9"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1.91%</w:t>
            </w:r>
          </w:p>
        </w:tc>
        <w:tc>
          <w:tcPr>
            <w:tcW w:w="928" w:type="pct"/>
            <w:shd w:val="clear" w:color="auto" w:fill="C2D69B" w:themeFill="accent3" w:themeFillTint="99"/>
            <w:vAlign w:val="center"/>
            <w:hideMark/>
          </w:tcPr>
          <w:p w14:paraId="6CEDD51D"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33.48%</w:t>
            </w:r>
          </w:p>
        </w:tc>
      </w:tr>
      <w:tr w:rsidR="009C4CD3" w:rsidRPr="003516DC" w14:paraId="6D2A4542" w14:textId="77777777" w:rsidTr="009C4CD3">
        <w:trPr>
          <w:trHeight w:val="465"/>
        </w:trPr>
        <w:tc>
          <w:tcPr>
            <w:tcW w:w="1505" w:type="pct"/>
            <w:shd w:val="clear" w:color="000000" w:fill="FFFFFF"/>
            <w:noWrap/>
            <w:vAlign w:val="center"/>
            <w:hideMark/>
          </w:tcPr>
          <w:p w14:paraId="029FE735"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Financial services</w:t>
            </w:r>
          </w:p>
        </w:tc>
        <w:tc>
          <w:tcPr>
            <w:tcW w:w="790" w:type="pct"/>
            <w:shd w:val="clear" w:color="auto" w:fill="FF7575"/>
            <w:noWrap/>
            <w:vAlign w:val="center"/>
            <w:hideMark/>
          </w:tcPr>
          <w:p w14:paraId="4B759A25"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0.32%</w:t>
            </w:r>
          </w:p>
        </w:tc>
        <w:tc>
          <w:tcPr>
            <w:tcW w:w="918" w:type="pct"/>
            <w:shd w:val="clear" w:color="auto" w:fill="FF7575"/>
            <w:vAlign w:val="center"/>
            <w:hideMark/>
          </w:tcPr>
          <w:p w14:paraId="79A758A1"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-0.03%</w:t>
            </w:r>
          </w:p>
        </w:tc>
        <w:tc>
          <w:tcPr>
            <w:tcW w:w="858" w:type="pct"/>
            <w:shd w:val="clear" w:color="auto" w:fill="FF7575"/>
            <w:vAlign w:val="center"/>
            <w:hideMark/>
          </w:tcPr>
          <w:p w14:paraId="24000B81"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0.64%</w:t>
            </w:r>
          </w:p>
        </w:tc>
        <w:tc>
          <w:tcPr>
            <w:tcW w:w="928" w:type="pct"/>
            <w:shd w:val="clear" w:color="auto" w:fill="FF7575"/>
            <w:vAlign w:val="center"/>
            <w:hideMark/>
          </w:tcPr>
          <w:p w14:paraId="30C626CF"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-20.98%</w:t>
            </w:r>
          </w:p>
        </w:tc>
      </w:tr>
      <w:tr w:rsidR="009C4CD3" w:rsidRPr="003516DC" w14:paraId="18C409D5" w14:textId="77777777" w:rsidTr="009C4CD3">
        <w:trPr>
          <w:trHeight w:val="465"/>
        </w:trPr>
        <w:tc>
          <w:tcPr>
            <w:tcW w:w="1505" w:type="pct"/>
            <w:shd w:val="clear" w:color="000000" w:fill="FFFFFF"/>
            <w:noWrap/>
            <w:vAlign w:val="center"/>
            <w:hideMark/>
          </w:tcPr>
          <w:p w14:paraId="09AFED77"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Real estate</w:t>
            </w:r>
          </w:p>
        </w:tc>
        <w:tc>
          <w:tcPr>
            <w:tcW w:w="790" w:type="pct"/>
            <w:shd w:val="clear" w:color="auto" w:fill="FF7575"/>
            <w:noWrap/>
            <w:vAlign w:val="center"/>
            <w:hideMark/>
          </w:tcPr>
          <w:p w14:paraId="3D35A4B4"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0.40%</w:t>
            </w:r>
          </w:p>
        </w:tc>
        <w:tc>
          <w:tcPr>
            <w:tcW w:w="918" w:type="pct"/>
            <w:shd w:val="clear" w:color="auto" w:fill="FF7575"/>
            <w:vAlign w:val="center"/>
            <w:hideMark/>
          </w:tcPr>
          <w:p w14:paraId="4DFC6941"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-11.28%</w:t>
            </w:r>
          </w:p>
        </w:tc>
        <w:tc>
          <w:tcPr>
            <w:tcW w:w="858" w:type="pct"/>
            <w:shd w:val="clear" w:color="auto" w:fill="FF7575"/>
            <w:vAlign w:val="center"/>
            <w:hideMark/>
          </w:tcPr>
          <w:p w14:paraId="675EB09D"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0.91%</w:t>
            </w:r>
          </w:p>
        </w:tc>
        <w:tc>
          <w:tcPr>
            <w:tcW w:w="928" w:type="pct"/>
            <w:shd w:val="clear" w:color="auto" w:fill="FF7575"/>
            <w:vAlign w:val="center"/>
            <w:hideMark/>
          </w:tcPr>
          <w:p w14:paraId="36AA543F"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-24.42%</w:t>
            </w:r>
          </w:p>
        </w:tc>
      </w:tr>
      <w:tr w:rsidR="009C4CD3" w:rsidRPr="003516DC" w14:paraId="51DC13A5" w14:textId="77777777" w:rsidTr="009C4CD3">
        <w:trPr>
          <w:trHeight w:val="465"/>
        </w:trPr>
        <w:tc>
          <w:tcPr>
            <w:tcW w:w="1505" w:type="pct"/>
            <w:shd w:val="clear" w:color="000000" w:fill="FFFFFF"/>
            <w:noWrap/>
            <w:vAlign w:val="center"/>
            <w:hideMark/>
          </w:tcPr>
          <w:p w14:paraId="33B9E91A"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Professional services</w:t>
            </w:r>
          </w:p>
        </w:tc>
        <w:tc>
          <w:tcPr>
            <w:tcW w:w="790" w:type="pct"/>
            <w:shd w:val="clear" w:color="auto" w:fill="C2D69B" w:themeFill="accent3" w:themeFillTint="99"/>
            <w:noWrap/>
            <w:vAlign w:val="center"/>
            <w:hideMark/>
          </w:tcPr>
          <w:p w14:paraId="7E30512D"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3.25%</w:t>
            </w:r>
          </w:p>
        </w:tc>
        <w:tc>
          <w:tcPr>
            <w:tcW w:w="918" w:type="pct"/>
            <w:shd w:val="clear" w:color="auto" w:fill="C2D69B" w:themeFill="accent3" w:themeFillTint="99"/>
            <w:vAlign w:val="center"/>
            <w:hideMark/>
          </w:tcPr>
          <w:p w14:paraId="1EA7172C"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98.71%</w:t>
            </w:r>
          </w:p>
        </w:tc>
        <w:tc>
          <w:tcPr>
            <w:tcW w:w="858" w:type="pct"/>
            <w:shd w:val="clear" w:color="auto" w:fill="C2D69B" w:themeFill="accent3" w:themeFillTint="99"/>
            <w:vAlign w:val="center"/>
            <w:hideMark/>
          </w:tcPr>
          <w:p w14:paraId="0B30B526"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9.80%</w:t>
            </w:r>
          </w:p>
        </w:tc>
        <w:tc>
          <w:tcPr>
            <w:tcW w:w="928" w:type="pct"/>
            <w:shd w:val="clear" w:color="auto" w:fill="C2D69B" w:themeFill="accent3" w:themeFillTint="99"/>
            <w:vAlign w:val="center"/>
            <w:hideMark/>
          </w:tcPr>
          <w:p w14:paraId="66A23530"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43.48%</w:t>
            </w:r>
          </w:p>
        </w:tc>
      </w:tr>
      <w:tr w:rsidR="009C4CD3" w:rsidRPr="003516DC" w14:paraId="497DE6B0" w14:textId="77777777" w:rsidTr="009C4CD3">
        <w:trPr>
          <w:trHeight w:val="465"/>
        </w:trPr>
        <w:tc>
          <w:tcPr>
            <w:tcW w:w="1505" w:type="pct"/>
            <w:shd w:val="clear" w:color="000000" w:fill="FFFFFF"/>
            <w:noWrap/>
            <w:vAlign w:val="center"/>
            <w:hideMark/>
          </w:tcPr>
          <w:p w14:paraId="02EA935C" w14:textId="77777777" w:rsidR="009C4CD3" w:rsidRPr="003516DC" w:rsidRDefault="009C4CD3" w:rsidP="005702CA">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Social services</w:t>
            </w:r>
          </w:p>
        </w:tc>
        <w:tc>
          <w:tcPr>
            <w:tcW w:w="790" w:type="pct"/>
            <w:shd w:val="clear" w:color="auto" w:fill="C2D69B" w:themeFill="accent3" w:themeFillTint="99"/>
            <w:noWrap/>
            <w:vAlign w:val="center"/>
            <w:hideMark/>
          </w:tcPr>
          <w:p w14:paraId="7C23F1E8"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1.22%</w:t>
            </w:r>
          </w:p>
        </w:tc>
        <w:tc>
          <w:tcPr>
            <w:tcW w:w="918" w:type="pct"/>
            <w:shd w:val="clear" w:color="auto" w:fill="C2D69B" w:themeFill="accent3" w:themeFillTint="99"/>
            <w:vAlign w:val="center"/>
            <w:hideMark/>
          </w:tcPr>
          <w:p w14:paraId="0A04480C"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66.00%</w:t>
            </w:r>
          </w:p>
        </w:tc>
        <w:tc>
          <w:tcPr>
            <w:tcW w:w="858" w:type="pct"/>
            <w:shd w:val="clear" w:color="auto" w:fill="C2D69B" w:themeFill="accent3" w:themeFillTint="99"/>
            <w:vAlign w:val="center"/>
            <w:hideMark/>
          </w:tcPr>
          <w:p w14:paraId="614CBB04"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3.51%</w:t>
            </w:r>
          </w:p>
        </w:tc>
        <w:tc>
          <w:tcPr>
            <w:tcW w:w="928" w:type="pct"/>
            <w:shd w:val="clear" w:color="auto" w:fill="C2D69B" w:themeFill="accent3" w:themeFillTint="99"/>
            <w:vAlign w:val="center"/>
            <w:hideMark/>
          </w:tcPr>
          <w:p w14:paraId="57AF6D4E" w14:textId="77777777" w:rsidR="009C4CD3" w:rsidRPr="003516DC" w:rsidRDefault="009C4CD3" w:rsidP="005702CA">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11.12%</w:t>
            </w:r>
          </w:p>
        </w:tc>
      </w:tr>
    </w:tbl>
    <w:p w14:paraId="1492A779" w14:textId="33431BEE" w:rsidR="004B3189" w:rsidRDefault="005702CA" w:rsidP="004B3189">
      <w:pPr>
        <w:jc w:val="both"/>
        <w:rPr>
          <w:rFonts w:ascii="Arial" w:hAnsi="Arial" w:cs="Arial"/>
          <w:i/>
          <w:iCs/>
          <w:sz w:val="16"/>
          <w:szCs w:val="16"/>
        </w:rPr>
      </w:pPr>
      <w:r w:rsidRPr="003516DC">
        <w:rPr>
          <w:rFonts w:ascii="Arial" w:hAnsi="Arial" w:cs="Arial"/>
          <w:i/>
          <w:iCs/>
          <w:sz w:val="16"/>
          <w:szCs w:val="16"/>
        </w:rPr>
        <w:t>Source</w:t>
      </w:r>
      <w:r w:rsidRPr="003516DC">
        <w:rPr>
          <w:rStyle w:val="CommentReference"/>
          <w:rFonts w:ascii="Arial" w:hAnsi="Arial" w:cs="Arial"/>
        </w:rPr>
        <w:t xml:space="preserve">: </w:t>
      </w:r>
      <w:r w:rsidRPr="003516DC">
        <w:rPr>
          <w:rFonts w:ascii="Arial" w:hAnsi="Arial" w:cs="Arial"/>
          <w:i/>
          <w:iCs/>
          <w:sz w:val="16"/>
          <w:szCs w:val="16"/>
        </w:rPr>
        <w:t>Processing of National Trade Register Office data</w:t>
      </w:r>
    </w:p>
    <w:p w14:paraId="10AE3049" w14:textId="77777777" w:rsidR="00F77450" w:rsidRDefault="00F77450" w:rsidP="00F77450">
      <w:pPr>
        <w:jc w:val="both"/>
        <w:rPr>
          <w:rFonts w:ascii="Arial" w:hAnsi="Arial" w:cs="Arial"/>
          <w:i/>
          <w:iCs/>
          <w:sz w:val="16"/>
          <w:szCs w:val="16"/>
        </w:rPr>
      </w:pPr>
      <w:r>
        <w:rPr>
          <w:rFonts w:ascii="Arial" w:hAnsi="Arial" w:cs="Arial"/>
          <w:i/>
          <w:iCs/>
          <w:sz w:val="16"/>
          <w:szCs w:val="16"/>
        </w:rPr>
        <w:t>*Legend: economic sectors highlighted in green registered growth in terms turnover and employment; economic sectors highlighted in red registered decreases in terms of both turnover and employment; economic sectors highlighted in grey registered diverging evolutions in terms of turnover and employment, e.g., growth in turnover and decrease in employment.</w:t>
      </w:r>
    </w:p>
    <w:p w14:paraId="0B30A836" w14:textId="77777777" w:rsidR="00B25A26" w:rsidRPr="003516DC" w:rsidRDefault="00B25A26" w:rsidP="004B3189">
      <w:pPr>
        <w:jc w:val="both"/>
        <w:rPr>
          <w:rFonts w:ascii="Arial" w:hAnsi="Arial" w:cs="Arial"/>
          <w:sz w:val="20"/>
          <w:szCs w:val="20"/>
        </w:rPr>
      </w:pPr>
    </w:p>
    <w:p w14:paraId="23EF1557" w14:textId="120144D7" w:rsidR="00D932B6" w:rsidRPr="005166AE" w:rsidRDefault="00F246C8" w:rsidP="00D932B6">
      <w:pPr>
        <w:jc w:val="both"/>
        <w:rPr>
          <w:rFonts w:ascii="Arial" w:hAnsi="Arial" w:cs="Arial"/>
          <w:sz w:val="20"/>
          <w:szCs w:val="20"/>
        </w:rPr>
      </w:pPr>
      <w:r>
        <w:rPr>
          <w:rFonts w:ascii="Arial" w:hAnsi="Arial" w:cs="Arial"/>
          <w:sz w:val="20"/>
          <w:szCs w:val="20"/>
        </w:rPr>
        <w:t>T</w:t>
      </w:r>
      <w:r w:rsidR="00D932B6" w:rsidRPr="005166AE">
        <w:rPr>
          <w:rFonts w:ascii="Arial" w:hAnsi="Arial" w:cs="Arial"/>
          <w:sz w:val="20"/>
          <w:szCs w:val="20"/>
        </w:rPr>
        <w:t>able</w:t>
      </w:r>
      <w:r w:rsidR="00AE4CCC">
        <w:rPr>
          <w:rFonts w:ascii="Arial" w:hAnsi="Arial" w:cs="Arial"/>
          <w:sz w:val="20"/>
          <w:szCs w:val="20"/>
        </w:rPr>
        <w:t xml:space="preserve"> </w:t>
      </w:r>
      <w:r w:rsidR="001C68D2">
        <w:rPr>
          <w:rFonts w:ascii="Arial" w:hAnsi="Arial" w:cs="Arial"/>
          <w:sz w:val="20"/>
          <w:szCs w:val="20"/>
        </w:rPr>
        <w:t xml:space="preserve">73 </w:t>
      </w:r>
      <w:r>
        <w:rPr>
          <w:rFonts w:ascii="Arial" w:hAnsi="Arial" w:cs="Arial"/>
          <w:sz w:val="20"/>
          <w:szCs w:val="20"/>
        </w:rPr>
        <w:t>lists the</w:t>
      </w:r>
      <w:r w:rsidR="00D932B6" w:rsidRPr="005166AE">
        <w:rPr>
          <w:rFonts w:ascii="Arial" w:hAnsi="Arial" w:cs="Arial"/>
          <w:sz w:val="20"/>
          <w:szCs w:val="20"/>
        </w:rPr>
        <w:t xml:space="preserve"> top 10 companies in </w:t>
      </w:r>
      <w:r w:rsidR="003751DC">
        <w:rPr>
          <w:rFonts w:ascii="Arial" w:hAnsi="Arial" w:cs="Arial"/>
          <w:sz w:val="20"/>
          <w:szCs w:val="20"/>
        </w:rPr>
        <w:t>Galați</w:t>
      </w:r>
      <w:r w:rsidR="00D932B6">
        <w:rPr>
          <w:rFonts w:ascii="Arial" w:hAnsi="Arial" w:cs="Arial"/>
          <w:sz w:val="20"/>
          <w:szCs w:val="20"/>
        </w:rPr>
        <w:t xml:space="preserve"> </w:t>
      </w:r>
      <w:r>
        <w:rPr>
          <w:rFonts w:ascii="Arial" w:hAnsi="Arial" w:cs="Arial"/>
          <w:sz w:val="20"/>
          <w:szCs w:val="20"/>
        </w:rPr>
        <w:t>C</w:t>
      </w:r>
      <w:r w:rsidR="00D932B6" w:rsidRPr="005166AE">
        <w:rPr>
          <w:rFonts w:ascii="Arial" w:hAnsi="Arial" w:cs="Arial"/>
          <w:sz w:val="20"/>
          <w:szCs w:val="20"/>
        </w:rPr>
        <w:t xml:space="preserve">ounty in terms of turnover and number of employees. The </w:t>
      </w:r>
      <w:r>
        <w:rPr>
          <w:rFonts w:ascii="Arial" w:hAnsi="Arial" w:cs="Arial"/>
          <w:sz w:val="20"/>
          <w:szCs w:val="20"/>
        </w:rPr>
        <w:t>table</w:t>
      </w:r>
      <w:r w:rsidR="00D932B6" w:rsidRPr="005166AE">
        <w:rPr>
          <w:rFonts w:ascii="Arial" w:hAnsi="Arial" w:cs="Arial"/>
          <w:sz w:val="20"/>
          <w:szCs w:val="20"/>
        </w:rPr>
        <w:t xml:space="preserve"> addresses the share of energy intensive companies, main economic sector, whether they are part of the European Union Emissions Trading Systems and whether they are affected by the transition. At</w:t>
      </w:r>
      <w:r>
        <w:rPr>
          <w:rFonts w:ascii="Arial" w:hAnsi="Arial" w:cs="Arial"/>
          <w:sz w:val="20"/>
          <w:szCs w:val="20"/>
        </w:rPr>
        <w:t xml:space="preserve"> the</w:t>
      </w:r>
      <w:r w:rsidR="00D932B6" w:rsidRPr="005166AE">
        <w:rPr>
          <w:rFonts w:ascii="Arial" w:hAnsi="Arial" w:cs="Arial"/>
          <w:sz w:val="20"/>
          <w:szCs w:val="20"/>
        </w:rPr>
        <w:t xml:space="preserve"> county level, there are </w:t>
      </w:r>
      <w:r>
        <w:rPr>
          <w:rFonts w:ascii="Arial" w:hAnsi="Arial" w:cs="Arial"/>
          <w:sz w:val="20"/>
          <w:szCs w:val="20"/>
        </w:rPr>
        <w:t>a total of three</w:t>
      </w:r>
      <w:r w:rsidR="00D932B6" w:rsidRPr="005166AE">
        <w:rPr>
          <w:rFonts w:ascii="Arial" w:hAnsi="Arial" w:cs="Arial"/>
          <w:sz w:val="20"/>
          <w:szCs w:val="20"/>
        </w:rPr>
        <w:t xml:space="preserve"> EU-ETS installations</w:t>
      </w:r>
      <w:r w:rsidR="00D932B6">
        <w:rPr>
          <w:rFonts w:ascii="Arial" w:hAnsi="Arial" w:cs="Arial"/>
          <w:sz w:val="20"/>
          <w:szCs w:val="20"/>
        </w:rPr>
        <w:t>,</w:t>
      </w:r>
      <w:r w:rsidR="00D932B6" w:rsidRPr="005166AE">
        <w:rPr>
          <w:rFonts w:ascii="Arial" w:hAnsi="Arial" w:cs="Arial"/>
          <w:sz w:val="20"/>
          <w:szCs w:val="20"/>
        </w:rPr>
        <w:t xml:space="preserve"> of which </w:t>
      </w:r>
      <w:r w:rsidR="00D932B6">
        <w:rPr>
          <w:rFonts w:ascii="Arial" w:hAnsi="Arial" w:cs="Arial"/>
          <w:sz w:val="20"/>
          <w:szCs w:val="20"/>
        </w:rPr>
        <w:t>two are</w:t>
      </w:r>
      <w:r w:rsidR="00D932B6" w:rsidRPr="005166AE">
        <w:rPr>
          <w:rFonts w:ascii="Arial" w:hAnsi="Arial" w:cs="Arial"/>
          <w:sz w:val="20"/>
          <w:szCs w:val="20"/>
        </w:rPr>
        <w:t xml:space="preserve"> listed</w:t>
      </w:r>
      <w:r w:rsidR="00D932B6">
        <w:rPr>
          <w:rFonts w:ascii="Arial" w:hAnsi="Arial" w:cs="Arial"/>
          <w:sz w:val="20"/>
          <w:szCs w:val="20"/>
        </w:rPr>
        <w:t xml:space="preserve">. </w:t>
      </w:r>
    </w:p>
    <w:p w14:paraId="491B0EDB" w14:textId="14A33B8D" w:rsidR="00D932B6" w:rsidRDefault="00D932B6" w:rsidP="00D932B6">
      <w:pPr>
        <w:pStyle w:val="Caption"/>
        <w:sectPr w:rsidR="00D932B6" w:rsidSect="0088065B">
          <w:headerReference w:type="default" r:id="rId214"/>
          <w:footerReference w:type="default" r:id="rId215"/>
          <w:pgSz w:w="11909" w:h="16834"/>
          <w:pgMar w:top="1440" w:right="1440" w:bottom="1440" w:left="1530" w:header="720" w:footer="720" w:gutter="0"/>
          <w:cols w:space="720"/>
        </w:sectPr>
      </w:pPr>
    </w:p>
    <w:tbl>
      <w:tblPr>
        <w:tblStyle w:val="TableGrid"/>
        <w:tblpPr w:leftFromText="180" w:rightFromText="180" w:vertAnchor="page" w:horzAnchor="margin" w:tblpY="1906"/>
        <w:tblW w:w="5000" w:type="pct"/>
        <w:tblLook w:val="04A0" w:firstRow="1" w:lastRow="0" w:firstColumn="1" w:lastColumn="0" w:noHBand="0" w:noVBand="1"/>
      </w:tblPr>
      <w:tblGrid>
        <w:gridCol w:w="2535"/>
        <w:gridCol w:w="3137"/>
        <w:gridCol w:w="1110"/>
        <w:gridCol w:w="934"/>
        <w:gridCol w:w="1191"/>
        <w:gridCol w:w="1110"/>
        <w:gridCol w:w="1325"/>
        <w:gridCol w:w="2602"/>
      </w:tblGrid>
      <w:tr w:rsidR="00D932B6" w:rsidRPr="00D932B6" w14:paraId="4CADC162" w14:textId="77777777" w:rsidTr="00DE2D4D">
        <w:trPr>
          <w:tblHeader/>
        </w:trPr>
        <w:tc>
          <w:tcPr>
            <w:tcW w:w="909" w:type="pct"/>
            <w:shd w:val="clear" w:color="auto" w:fill="002060"/>
          </w:tcPr>
          <w:p w14:paraId="0A71316B"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lastRenderedPageBreak/>
              <w:t>Company</w:t>
            </w:r>
          </w:p>
        </w:tc>
        <w:tc>
          <w:tcPr>
            <w:tcW w:w="1125" w:type="pct"/>
            <w:shd w:val="clear" w:color="auto" w:fill="002060"/>
          </w:tcPr>
          <w:p w14:paraId="3381903E"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Main NACE class</w:t>
            </w:r>
          </w:p>
        </w:tc>
        <w:tc>
          <w:tcPr>
            <w:tcW w:w="398" w:type="pct"/>
            <w:shd w:val="clear" w:color="auto" w:fill="002060"/>
          </w:tcPr>
          <w:p w14:paraId="0C87611C"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Employees (no.)</w:t>
            </w:r>
          </w:p>
        </w:tc>
        <w:tc>
          <w:tcPr>
            <w:tcW w:w="335" w:type="pct"/>
            <w:shd w:val="clear" w:color="auto" w:fill="002060"/>
          </w:tcPr>
          <w:p w14:paraId="40A526B2"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Turnover (RON million)</w:t>
            </w:r>
          </w:p>
        </w:tc>
        <w:tc>
          <w:tcPr>
            <w:tcW w:w="427" w:type="pct"/>
            <w:shd w:val="clear" w:color="auto" w:fill="002060"/>
          </w:tcPr>
          <w:p w14:paraId="1ACA44FF"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EU ETS participation</w:t>
            </w:r>
          </w:p>
        </w:tc>
        <w:tc>
          <w:tcPr>
            <w:tcW w:w="398" w:type="pct"/>
            <w:shd w:val="clear" w:color="auto" w:fill="002060"/>
          </w:tcPr>
          <w:p w14:paraId="5CC5A54E"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Affected by the transition</w:t>
            </w:r>
          </w:p>
        </w:tc>
        <w:tc>
          <w:tcPr>
            <w:tcW w:w="475" w:type="pct"/>
            <w:shd w:val="clear" w:color="auto" w:fill="002060"/>
          </w:tcPr>
          <w:p w14:paraId="256383CB"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Engaged during the TA</w:t>
            </w:r>
          </w:p>
        </w:tc>
        <w:tc>
          <w:tcPr>
            <w:tcW w:w="933" w:type="pct"/>
            <w:shd w:val="clear" w:color="auto" w:fill="002060"/>
          </w:tcPr>
          <w:p w14:paraId="75C3D025" w14:textId="77777777" w:rsidR="00D932B6" w:rsidRPr="00D932B6" w:rsidRDefault="00D932B6" w:rsidP="00DE2D4D">
            <w:pPr>
              <w:rPr>
                <w:rFonts w:ascii="Arial" w:hAnsi="Arial" w:cs="Arial"/>
                <w:color w:val="FFFFFF" w:themeColor="background1"/>
                <w:sz w:val="17"/>
                <w:szCs w:val="17"/>
                <w:lang w:val="ro-RO"/>
              </w:rPr>
            </w:pPr>
            <w:r w:rsidRPr="00D932B6">
              <w:rPr>
                <w:rFonts w:ascii="Arial" w:hAnsi="Arial" w:cs="Arial"/>
                <w:color w:val="FFFFFF" w:themeColor="background1"/>
                <w:sz w:val="17"/>
                <w:szCs w:val="17"/>
                <w:lang w:val="ro-RO"/>
              </w:rPr>
              <w:t>Observations</w:t>
            </w:r>
          </w:p>
        </w:tc>
      </w:tr>
      <w:tr w:rsidR="00D932B6" w:rsidRPr="00D932B6" w14:paraId="209F7987" w14:textId="77777777" w:rsidTr="00DE2D4D">
        <w:tc>
          <w:tcPr>
            <w:tcW w:w="909" w:type="pct"/>
          </w:tcPr>
          <w:p w14:paraId="66B8D2CC" w14:textId="14D15238"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 xml:space="preserve">LIBERTY </w:t>
            </w:r>
            <w:r w:rsidR="003751DC">
              <w:rPr>
                <w:rFonts w:ascii="Arial" w:hAnsi="Arial" w:cs="Arial"/>
                <w:sz w:val="17"/>
                <w:szCs w:val="17"/>
                <w:lang w:val="ro-RO"/>
              </w:rPr>
              <w:t>GALAȚI</w:t>
            </w:r>
            <w:r w:rsidRPr="00D932B6">
              <w:rPr>
                <w:rFonts w:ascii="Arial" w:hAnsi="Arial" w:cs="Arial"/>
                <w:sz w:val="17"/>
                <w:szCs w:val="17"/>
                <w:lang w:val="ro-RO"/>
              </w:rPr>
              <w:t xml:space="preserve"> SA</w:t>
            </w:r>
          </w:p>
        </w:tc>
        <w:tc>
          <w:tcPr>
            <w:tcW w:w="1125" w:type="pct"/>
          </w:tcPr>
          <w:p w14:paraId="5C735D6B" w14:textId="77777777" w:rsidR="00054202" w:rsidRDefault="00D932B6" w:rsidP="00DE2D4D">
            <w:pPr>
              <w:rPr>
                <w:rFonts w:ascii="Arial" w:hAnsi="Arial" w:cs="Arial"/>
                <w:sz w:val="17"/>
                <w:szCs w:val="17"/>
                <w:lang w:val="ro-RO"/>
              </w:rPr>
            </w:pPr>
            <w:r w:rsidRPr="00D932B6">
              <w:rPr>
                <w:rFonts w:ascii="Arial" w:hAnsi="Arial" w:cs="Arial"/>
                <w:sz w:val="17"/>
                <w:szCs w:val="17"/>
                <w:lang w:val="ro-RO"/>
              </w:rPr>
              <w:t>C MANUFACTURING</w:t>
            </w:r>
            <w:r w:rsidR="00054202">
              <w:rPr>
                <w:rFonts w:ascii="Arial" w:hAnsi="Arial" w:cs="Arial"/>
                <w:sz w:val="17"/>
                <w:szCs w:val="17"/>
                <w:lang w:val="ro-RO"/>
              </w:rPr>
              <w:t xml:space="preserve"> </w:t>
            </w:r>
          </w:p>
          <w:p w14:paraId="5B7BB8F2" w14:textId="00D091BB" w:rsidR="00D932B6" w:rsidRPr="00D932B6" w:rsidRDefault="00054202" w:rsidP="00DE2D4D">
            <w:pPr>
              <w:rPr>
                <w:rFonts w:ascii="Arial" w:hAnsi="Arial" w:cs="Arial"/>
                <w:sz w:val="17"/>
                <w:szCs w:val="17"/>
                <w:lang w:val="ro-RO"/>
              </w:rPr>
            </w:pPr>
            <w:r>
              <w:rPr>
                <w:rFonts w:ascii="Arial" w:hAnsi="Arial" w:cs="Arial"/>
                <w:sz w:val="17"/>
                <w:szCs w:val="17"/>
                <w:lang w:val="ro-RO"/>
              </w:rPr>
              <w:t>(metallurgical products)</w:t>
            </w:r>
          </w:p>
        </w:tc>
        <w:tc>
          <w:tcPr>
            <w:tcW w:w="398" w:type="pct"/>
          </w:tcPr>
          <w:p w14:paraId="3472F7C7"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5,081</w:t>
            </w:r>
          </w:p>
        </w:tc>
        <w:tc>
          <w:tcPr>
            <w:tcW w:w="335" w:type="pct"/>
          </w:tcPr>
          <w:p w14:paraId="39985B4B"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5,077</w:t>
            </w:r>
          </w:p>
        </w:tc>
        <w:tc>
          <w:tcPr>
            <w:tcW w:w="427" w:type="pct"/>
          </w:tcPr>
          <w:p w14:paraId="24F32975"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YES</w:t>
            </w:r>
          </w:p>
        </w:tc>
        <w:tc>
          <w:tcPr>
            <w:tcW w:w="398" w:type="pct"/>
          </w:tcPr>
          <w:p w14:paraId="1F8A45D9" w14:textId="77777777" w:rsidR="00D932B6" w:rsidRPr="00D932B6" w:rsidRDefault="00D932B6" w:rsidP="00DE2D4D">
            <w:pPr>
              <w:rPr>
                <w:rFonts w:ascii="Arial" w:hAnsi="Arial" w:cs="Arial"/>
                <w:sz w:val="17"/>
                <w:szCs w:val="17"/>
              </w:rPr>
            </w:pPr>
            <w:r w:rsidRPr="00D932B6">
              <w:rPr>
                <w:rFonts w:ascii="Arial" w:hAnsi="Arial" w:cs="Arial"/>
                <w:sz w:val="17"/>
                <w:szCs w:val="17"/>
              </w:rPr>
              <w:t>YES</w:t>
            </w:r>
          </w:p>
        </w:tc>
        <w:tc>
          <w:tcPr>
            <w:tcW w:w="475" w:type="pct"/>
          </w:tcPr>
          <w:p w14:paraId="16A64F3B"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YES</w:t>
            </w:r>
          </w:p>
        </w:tc>
        <w:tc>
          <w:tcPr>
            <w:tcW w:w="933" w:type="pct"/>
          </w:tcPr>
          <w:p w14:paraId="053A4329" w14:textId="51AF8E33"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Economy of the future / Prioriti</w:t>
            </w:r>
            <w:r w:rsidR="00F246C8">
              <w:rPr>
                <w:rFonts w:ascii="Arial" w:hAnsi="Arial" w:cs="Arial"/>
                <w:sz w:val="17"/>
                <w:szCs w:val="17"/>
                <w:lang w:val="ro-RO"/>
              </w:rPr>
              <w:t>s</w:t>
            </w:r>
            <w:r w:rsidRPr="00D932B6">
              <w:rPr>
                <w:rFonts w:ascii="Arial" w:hAnsi="Arial" w:cs="Arial"/>
                <w:sz w:val="17"/>
                <w:szCs w:val="17"/>
                <w:lang w:val="ro-RO"/>
              </w:rPr>
              <w:t>ation of innovations / First employer and highest turnover in company ranking</w:t>
            </w:r>
          </w:p>
        </w:tc>
      </w:tr>
      <w:tr w:rsidR="00D932B6" w:rsidRPr="00D932B6" w14:paraId="3D9F5376" w14:textId="77777777" w:rsidTr="00DE2D4D">
        <w:tc>
          <w:tcPr>
            <w:tcW w:w="909" w:type="pct"/>
          </w:tcPr>
          <w:p w14:paraId="555C2229"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ARABESQUE SRL</w:t>
            </w:r>
          </w:p>
        </w:tc>
        <w:tc>
          <w:tcPr>
            <w:tcW w:w="1125" w:type="pct"/>
          </w:tcPr>
          <w:p w14:paraId="4A976758" w14:textId="55A51CDE"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G WHOLESALE AND RETAIL TRADE; REPAIR OF MOTOR VEHICLES AND MOTORCYCLES</w:t>
            </w:r>
            <w:r w:rsidR="00711B40">
              <w:rPr>
                <w:rFonts w:ascii="Arial" w:hAnsi="Arial" w:cs="Arial"/>
                <w:sz w:val="17"/>
                <w:szCs w:val="17"/>
                <w:lang w:val="ro-RO"/>
              </w:rPr>
              <w:t xml:space="preserve"> (construction materials)</w:t>
            </w:r>
          </w:p>
        </w:tc>
        <w:tc>
          <w:tcPr>
            <w:tcW w:w="398" w:type="pct"/>
          </w:tcPr>
          <w:p w14:paraId="2D647CC0"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2,981</w:t>
            </w:r>
          </w:p>
        </w:tc>
        <w:tc>
          <w:tcPr>
            <w:tcW w:w="335" w:type="pct"/>
          </w:tcPr>
          <w:p w14:paraId="0312AD2B"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1,921</w:t>
            </w:r>
          </w:p>
        </w:tc>
        <w:tc>
          <w:tcPr>
            <w:tcW w:w="427" w:type="pct"/>
          </w:tcPr>
          <w:p w14:paraId="7E89EECF"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YES</w:t>
            </w:r>
          </w:p>
        </w:tc>
        <w:tc>
          <w:tcPr>
            <w:tcW w:w="398" w:type="pct"/>
          </w:tcPr>
          <w:p w14:paraId="0C9B7124" w14:textId="31F30B08" w:rsidR="00D932B6" w:rsidRPr="00D932B6" w:rsidRDefault="00EE7413" w:rsidP="00DE2D4D">
            <w:pPr>
              <w:rPr>
                <w:rFonts w:ascii="Arial" w:hAnsi="Arial" w:cs="Arial"/>
                <w:sz w:val="17"/>
                <w:szCs w:val="17"/>
                <w:lang w:val="ro-RO"/>
              </w:rPr>
            </w:pPr>
            <w:r>
              <w:rPr>
                <w:rFonts w:ascii="Arial" w:hAnsi="Arial" w:cs="Arial"/>
                <w:sz w:val="17"/>
                <w:szCs w:val="17"/>
                <w:lang w:val="ro-RO"/>
              </w:rPr>
              <w:t>YES</w:t>
            </w:r>
          </w:p>
        </w:tc>
        <w:tc>
          <w:tcPr>
            <w:tcW w:w="475" w:type="pct"/>
          </w:tcPr>
          <w:p w14:paraId="425038E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1AA328E5" w14:textId="17E40308" w:rsidR="00D932B6" w:rsidRPr="00D932B6" w:rsidRDefault="00EE7413" w:rsidP="00DE2D4D">
            <w:pPr>
              <w:rPr>
                <w:rFonts w:ascii="Arial" w:hAnsi="Arial" w:cs="Arial"/>
                <w:sz w:val="17"/>
                <w:szCs w:val="17"/>
                <w:lang w:val="ro-RO"/>
              </w:rPr>
            </w:pPr>
            <w:r>
              <w:rPr>
                <w:rFonts w:ascii="Arial" w:hAnsi="Arial" w:cs="Arial"/>
                <w:sz w:val="17"/>
                <w:szCs w:val="17"/>
                <w:lang w:val="ro-RO"/>
              </w:rPr>
              <w:t xml:space="preserve">Affected partially by the transition and the need to transition to </w:t>
            </w:r>
            <w:r w:rsidR="000A7086">
              <w:rPr>
                <w:rFonts w:ascii="Arial" w:hAnsi="Arial" w:cs="Arial"/>
                <w:sz w:val="17"/>
                <w:szCs w:val="17"/>
                <w:lang w:val="ro-RO"/>
              </w:rPr>
              <w:t>become more sustainable</w:t>
            </w:r>
          </w:p>
        </w:tc>
      </w:tr>
      <w:tr w:rsidR="00D932B6" w:rsidRPr="00D932B6" w14:paraId="476D6BC3" w14:textId="77777777" w:rsidTr="00DE2D4D">
        <w:tc>
          <w:tcPr>
            <w:tcW w:w="909" w:type="pct"/>
          </w:tcPr>
          <w:p w14:paraId="2E07BBB0" w14:textId="25BDE8F6"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 xml:space="preserve">SANTIERUL NAVAL DAMEN </w:t>
            </w:r>
            <w:r w:rsidR="003751DC">
              <w:rPr>
                <w:rFonts w:ascii="Arial" w:hAnsi="Arial" w:cs="Arial"/>
                <w:sz w:val="17"/>
                <w:szCs w:val="17"/>
                <w:lang w:val="ro-RO"/>
              </w:rPr>
              <w:t>GALAȚI</w:t>
            </w:r>
            <w:r w:rsidRPr="00D932B6">
              <w:rPr>
                <w:rFonts w:ascii="Arial" w:hAnsi="Arial" w:cs="Arial"/>
                <w:sz w:val="17"/>
                <w:szCs w:val="17"/>
                <w:lang w:val="ro-RO"/>
              </w:rPr>
              <w:t xml:space="preserve"> SA</w:t>
            </w:r>
          </w:p>
        </w:tc>
        <w:tc>
          <w:tcPr>
            <w:tcW w:w="1125" w:type="pct"/>
          </w:tcPr>
          <w:p w14:paraId="0FC06114" w14:textId="77777777" w:rsidR="00711B40" w:rsidRDefault="00D932B6" w:rsidP="00DE2D4D">
            <w:pPr>
              <w:rPr>
                <w:rFonts w:ascii="Arial" w:hAnsi="Arial" w:cs="Arial"/>
                <w:sz w:val="17"/>
                <w:szCs w:val="17"/>
                <w:lang w:val="ro-RO"/>
              </w:rPr>
            </w:pPr>
            <w:r w:rsidRPr="00D932B6">
              <w:rPr>
                <w:rFonts w:ascii="Arial" w:hAnsi="Arial" w:cs="Arial"/>
                <w:sz w:val="17"/>
                <w:szCs w:val="17"/>
                <w:lang w:val="ro-RO"/>
              </w:rPr>
              <w:t xml:space="preserve">C MANUFACTURING </w:t>
            </w:r>
          </w:p>
          <w:p w14:paraId="79B826D4" w14:textId="5ED0EA7B"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(naval construction)</w:t>
            </w:r>
          </w:p>
        </w:tc>
        <w:tc>
          <w:tcPr>
            <w:tcW w:w="398" w:type="pct"/>
          </w:tcPr>
          <w:p w14:paraId="28B67DB7"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2,492</w:t>
            </w:r>
          </w:p>
        </w:tc>
        <w:tc>
          <w:tcPr>
            <w:tcW w:w="335" w:type="pct"/>
          </w:tcPr>
          <w:p w14:paraId="7C01A221"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480</w:t>
            </w:r>
          </w:p>
        </w:tc>
        <w:tc>
          <w:tcPr>
            <w:tcW w:w="427" w:type="pct"/>
          </w:tcPr>
          <w:p w14:paraId="65B5C538"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095BF1A7" w14:textId="05AF4E5B" w:rsidR="00D932B6" w:rsidRPr="00D932B6" w:rsidRDefault="00CF20BE" w:rsidP="00DE2D4D">
            <w:pPr>
              <w:rPr>
                <w:rFonts w:ascii="Arial" w:hAnsi="Arial" w:cs="Arial"/>
                <w:sz w:val="17"/>
                <w:szCs w:val="17"/>
                <w:lang w:val="ro-RO"/>
              </w:rPr>
            </w:pPr>
            <w:r>
              <w:rPr>
                <w:rFonts w:ascii="Arial" w:hAnsi="Arial" w:cs="Arial"/>
                <w:sz w:val="17"/>
                <w:szCs w:val="17"/>
                <w:lang w:val="ro-RO"/>
              </w:rPr>
              <w:t>YES</w:t>
            </w:r>
          </w:p>
        </w:tc>
        <w:tc>
          <w:tcPr>
            <w:tcW w:w="475" w:type="pct"/>
          </w:tcPr>
          <w:p w14:paraId="27525442"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1C77317C" w14:textId="559BF41A" w:rsidR="00D932B6" w:rsidRPr="00D932B6" w:rsidRDefault="00B26BB1" w:rsidP="00DE2D4D">
            <w:pPr>
              <w:rPr>
                <w:rFonts w:ascii="Arial" w:hAnsi="Arial" w:cs="Arial"/>
                <w:sz w:val="17"/>
                <w:szCs w:val="17"/>
                <w:lang w:val="ro-RO"/>
              </w:rPr>
            </w:pPr>
            <w:r>
              <w:rPr>
                <w:rFonts w:ascii="Arial" w:hAnsi="Arial" w:cs="Arial"/>
                <w:sz w:val="17"/>
                <w:szCs w:val="17"/>
                <w:lang w:val="ro-RO"/>
              </w:rPr>
              <w:t>Affected partially by the transition and the need to transition to more sustainable and environmentally friendly naval construction standards</w:t>
            </w:r>
          </w:p>
        </w:tc>
      </w:tr>
      <w:tr w:rsidR="00D932B6" w:rsidRPr="00D932B6" w14:paraId="4EF337D6" w14:textId="77777777" w:rsidTr="00DE2D4D">
        <w:tc>
          <w:tcPr>
            <w:tcW w:w="909" w:type="pct"/>
          </w:tcPr>
          <w:p w14:paraId="03075AD0"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TANCRAD SRL</w:t>
            </w:r>
          </w:p>
        </w:tc>
        <w:tc>
          <w:tcPr>
            <w:tcW w:w="1125" w:type="pct"/>
          </w:tcPr>
          <w:p w14:paraId="7453AD3F"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F CONSTRUCTION</w:t>
            </w:r>
          </w:p>
          <w:p w14:paraId="4C33807B" w14:textId="7623F666" w:rsidR="00711B40" w:rsidRPr="00D932B6" w:rsidRDefault="00711B40" w:rsidP="00DE2D4D">
            <w:pPr>
              <w:rPr>
                <w:rFonts w:ascii="Arial" w:hAnsi="Arial" w:cs="Arial"/>
                <w:sz w:val="17"/>
                <w:szCs w:val="17"/>
                <w:lang w:val="ro-RO"/>
              </w:rPr>
            </w:pPr>
            <w:r>
              <w:rPr>
                <w:rFonts w:ascii="Arial" w:hAnsi="Arial" w:cs="Arial"/>
                <w:sz w:val="17"/>
                <w:szCs w:val="17"/>
                <w:lang w:val="ro-RO"/>
              </w:rPr>
              <w:t>(</w:t>
            </w:r>
            <w:r w:rsidRPr="00711B40">
              <w:rPr>
                <w:rFonts w:ascii="Arial" w:hAnsi="Arial" w:cs="Arial"/>
                <w:sz w:val="17"/>
                <w:szCs w:val="17"/>
                <w:lang w:val="ro-RO"/>
              </w:rPr>
              <w:t>civil and industrial constructions</w:t>
            </w:r>
            <w:r>
              <w:rPr>
                <w:rFonts w:ascii="Arial" w:hAnsi="Arial" w:cs="Arial"/>
                <w:sz w:val="17"/>
                <w:szCs w:val="17"/>
                <w:lang w:val="ro-RO"/>
              </w:rPr>
              <w:t>)</w:t>
            </w:r>
          </w:p>
        </w:tc>
        <w:tc>
          <w:tcPr>
            <w:tcW w:w="398" w:type="pct"/>
          </w:tcPr>
          <w:p w14:paraId="6ED4BAE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782</w:t>
            </w:r>
          </w:p>
        </w:tc>
        <w:tc>
          <w:tcPr>
            <w:tcW w:w="335" w:type="pct"/>
          </w:tcPr>
          <w:p w14:paraId="72127CE4"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296</w:t>
            </w:r>
          </w:p>
        </w:tc>
        <w:tc>
          <w:tcPr>
            <w:tcW w:w="427" w:type="pct"/>
          </w:tcPr>
          <w:p w14:paraId="4A4E1C5B"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 xml:space="preserve">NO </w:t>
            </w:r>
          </w:p>
        </w:tc>
        <w:tc>
          <w:tcPr>
            <w:tcW w:w="398" w:type="pct"/>
          </w:tcPr>
          <w:p w14:paraId="31A2ADB2" w14:textId="734D022D" w:rsidR="00D932B6" w:rsidRPr="00D932B6" w:rsidRDefault="00CF20BE" w:rsidP="00DE2D4D">
            <w:pPr>
              <w:rPr>
                <w:rFonts w:ascii="Arial" w:hAnsi="Arial" w:cs="Arial"/>
                <w:sz w:val="17"/>
                <w:szCs w:val="17"/>
                <w:lang w:val="ro-RO"/>
              </w:rPr>
            </w:pPr>
            <w:r>
              <w:rPr>
                <w:rFonts w:ascii="Arial" w:hAnsi="Arial" w:cs="Arial"/>
                <w:sz w:val="17"/>
                <w:szCs w:val="17"/>
                <w:lang w:val="ro-RO"/>
              </w:rPr>
              <w:t>NO</w:t>
            </w:r>
          </w:p>
        </w:tc>
        <w:tc>
          <w:tcPr>
            <w:tcW w:w="475" w:type="pct"/>
          </w:tcPr>
          <w:p w14:paraId="48EE48F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78717076" w14:textId="4FA30E76" w:rsidR="00D932B6" w:rsidRPr="00F246C8" w:rsidRDefault="00B26BB1" w:rsidP="00DE2D4D">
            <w:pPr>
              <w:rPr>
                <w:rFonts w:ascii="Arial" w:hAnsi="Arial" w:cs="Arial"/>
                <w:sz w:val="17"/>
                <w:szCs w:val="17"/>
                <w:lang w:val="ro-RO"/>
              </w:rPr>
            </w:pPr>
            <w:r>
              <w:rPr>
                <w:rFonts w:ascii="Arial" w:hAnsi="Arial" w:cs="Arial"/>
                <w:sz w:val="17"/>
                <w:szCs w:val="17"/>
                <w:lang w:val="ro-RO"/>
              </w:rPr>
              <w:t>Not affected by the energy transition</w:t>
            </w:r>
          </w:p>
        </w:tc>
      </w:tr>
      <w:tr w:rsidR="00D932B6" w:rsidRPr="00D932B6" w14:paraId="400ED9BC" w14:textId="77777777" w:rsidTr="00DE2D4D">
        <w:tc>
          <w:tcPr>
            <w:tcW w:w="909" w:type="pct"/>
          </w:tcPr>
          <w:p w14:paraId="600A9416" w14:textId="465363BE"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 xml:space="preserve">MAIRON </w:t>
            </w:r>
            <w:r w:rsidR="003751DC">
              <w:rPr>
                <w:rFonts w:ascii="Arial" w:hAnsi="Arial" w:cs="Arial"/>
                <w:sz w:val="17"/>
                <w:szCs w:val="17"/>
                <w:lang w:val="ro-RO"/>
              </w:rPr>
              <w:t>GALAȚI</w:t>
            </w:r>
            <w:r w:rsidRPr="00D932B6">
              <w:rPr>
                <w:rFonts w:ascii="Arial" w:hAnsi="Arial" w:cs="Arial"/>
                <w:sz w:val="17"/>
                <w:szCs w:val="17"/>
                <w:lang w:val="ro-RO"/>
              </w:rPr>
              <w:t xml:space="preserve"> SA</w:t>
            </w:r>
          </w:p>
        </w:tc>
        <w:tc>
          <w:tcPr>
            <w:tcW w:w="1125" w:type="pct"/>
          </w:tcPr>
          <w:p w14:paraId="4867288E"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G WHOLESALE AND RETAIL TRADE; REPAIR OF MOTOR VEHICLES AND MOTORCYCLES</w:t>
            </w:r>
          </w:p>
          <w:p w14:paraId="10DFF3F3" w14:textId="2F2C7117" w:rsidR="00711B40" w:rsidRPr="00D932B6" w:rsidRDefault="00711B40" w:rsidP="00DE2D4D">
            <w:pPr>
              <w:rPr>
                <w:rFonts w:ascii="Arial" w:hAnsi="Arial" w:cs="Arial"/>
                <w:sz w:val="17"/>
                <w:szCs w:val="17"/>
                <w:lang w:val="ro-RO"/>
              </w:rPr>
            </w:pPr>
            <w:r>
              <w:rPr>
                <w:rFonts w:ascii="Arial" w:hAnsi="Arial" w:cs="Arial"/>
                <w:sz w:val="17"/>
                <w:szCs w:val="17"/>
                <w:lang w:val="ro-RO"/>
              </w:rPr>
              <w:t>(</w:t>
            </w:r>
            <w:r w:rsidRPr="00711B40">
              <w:rPr>
                <w:rFonts w:ascii="Arial" w:hAnsi="Arial" w:cs="Arial"/>
                <w:sz w:val="17"/>
                <w:szCs w:val="17"/>
                <w:lang w:val="ro-RO"/>
              </w:rPr>
              <w:t>storage, distribution and processing of metallurgical products.</w:t>
            </w:r>
            <w:r>
              <w:rPr>
                <w:rFonts w:ascii="Arial" w:hAnsi="Arial" w:cs="Arial"/>
                <w:sz w:val="17"/>
                <w:szCs w:val="17"/>
                <w:lang w:val="ro-RO"/>
              </w:rPr>
              <w:t>)</w:t>
            </w:r>
          </w:p>
        </w:tc>
        <w:tc>
          <w:tcPr>
            <w:tcW w:w="398" w:type="pct"/>
          </w:tcPr>
          <w:p w14:paraId="7A9E7097"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428</w:t>
            </w:r>
          </w:p>
        </w:tc>
        <w:tc>
          <w:tcPr>
            <w:tcW w:w="335" w:type="pct"/>
          </w:tcPr>
          <w:p w14:paraId="2B523D5A"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1,126</w:t>
            </w:r>
          </w:p>
        </w:tc>
        <w:tc>
          <w:tcPr>
            <w:tcW w:w="427" w:type="pct"/>
          </w:tcPr>
          <w:p w14:paraId="0D08802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1A287B69" w14:textId="3E15BDC4" w:rsidR="00D932B6" w:rsidRPr="00D932B6" w:rsidRDefault="00CF20BE" w:rsidP="00DE2D4D">
            <w:pPr>
              <w:rPr>
                <w:rFonts w:ascii="Arial" w:hAnsi="Arial" w:cs="Arial"/>
                <w:sz w:val="17"/>
                <w:szCs w:val="17"/>
                <w:lang w:val="ro-RO"/>
              </w:rPr>
            </w:pPr>
            <w:r>
              <w:rPr>
                <w:rFonts w:ascii="Arial" w:hAnsi="Arial" w:cs="Arial"/>
                <w:sz w:val="17"/>
                <w:szCs w:val="17"/>
                <w:lang w:val="ro-RO"/>
              </w:rPr>
              <w:t>YES</w:t>
            </w:r>
          </w:p>
        </w:tc>
        <w:tc>
          <w:tcPr>
            <w:tcW w:w="475" w:type="pct"/>
          </w:tcPr>
          <w:p w14:paraId="1E132391" w14:textId="04B4F034"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r>
              <w:rPr>
                <w:rStyle w:val="FootnoteReference"/>
                <w:rFonts w:ascii="Arial" w:hAnsi="Arial" w:cs="Arial"/>
                <w:sz w:val="17"/>
                <w:szCs w:val="17"/>
                <w:lang w:val="ro-RO"/>
              </w:rPr>
              <w:footnoteReference w:id="142"/>
            </w:r>
          </w:p>
        </w:tc>
        <w:tc>
          <w:tcPr>
            <w:tcW w:w="933" w:type="pct"/>
          </w:tcPr>
          <w:p w14:paraId="5F4842E5" w14:textId="41DAEA2D" w:rsidR="00D932B6" w:rsidRPr="00F246C8" w:rsidRDefault="00CF20BE" w:rsidP="00DE2D4D">
            <w:pPr>
              <w:rPr>
                <w:rFonts w:ascii="Arial" w:hAnsi="Arial" w:cs="Arial"/>
                <w:sz w:val="17"/>
                <w:szCs w:val="17"/>
                <w:lang w:val="ro-RO"/>
              </w:rPr>
            </w:pPr>
            <w:r>
              <w:rPr>
                <w:rFonts w:ascii="Arial" w:hAnsi="Arial" w:cs="Arial"/>
                <w:sz w:val="17"/>
                <w:szCs w:val="17"/>
                <w:lang w:val="ro-RO"/>
              </w:rPr>
              <w:t xml:space="preserve">In the value chain of Liberty </w:t>
            </w:r>
            <w:r w:rsidR="003751DC">
              <w:rPr>
                <w:rFonts w:ascii="Arial" w:hAnsi="Arial" w:cs="Arial"/>
                <w:sz w:val="17"/>
                <w:szCs w:val="17"/>
                <w:lang w:val="ro-RO"/>
              </w:rPr>
              <w:t>Galați</w:t>
            </w:r>
            <w:r>
              <w:rPr>
                <w:rFonts w:ascii="Arial" w:hAnsi="Arial" w:cs="Arial"/>
                <w:sz w:val="17"/>
                <w:szCs w:val="17"/>
                <w:lang w:val="ro-RO"/>
              </w:rPr>
              <w:t>, so affected by the energy transition</w:t>
            </w:r>
          </w:p>
        </w:tc>
      </w:tr>
      <w:tr w:rsidR="00D932B6" w:rsidRPr="00D932B6" w14:paraId="331FAC2B" w14:textId="77777777" w:rsidTr="00DE2D4D">
        <w:tc>
          <w:tcPr>
            <w:tcW w:w="909" w:type="pct"/>
          </w:tcPr>
          <w:p w14:paraId="6732BA1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PRUTUL SA</w:t>
            </w:r>
          </w:p>
        </w:tc>
        <w:tc>
          <w:tcPr>
            <w:tcW w:w="1125" w:type="pct"/>
          </w:tcPr>
          <w:p w14:paraId="01691E0F"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C MANUFACTURING</w:t>
            </w:r>
          </w:p>
          <w:p w14:paraId="2019CE03" w14:textId="4053CBBD" w:rsidR="00711B40" w:rsidRPr="00D932B6" w:rsidRDefault="00711B40" w:rsidP="00DE2D4D">
            <w:pPr>
              <w:rPr>
                <w:rFonts w:ascii="Arial" w:hAnsi="Arial" w:cs="Arial"/>
                <w:sz w:val="17"/>
                <w:szCs w:val="17"/>
                <w:lang w:val="ro-RO"/>
              </w:rPr>
            </w:pPr>
            <w:r>
              <w:rPr>
                <w:rFonts w:ascii="Arial" w:hAnsi="Arial" w:cs="Arial"/>
                <w:sz w:val="17"/>
                <w:szCs w:val="17"/>
                <w:lang w:val="ro-RO"/>
              </w:rPr>
              <w:t>(</w:t>
            </w:r>
            <w:r w:rsidR="00CF20BE" w:rsidRPr="00CF20BE">
              <w:rPr>
                <w:rFonts w:ascii="Arial" w:hAnsi="Arial" w:cs="Arial"/>
                <w:sz w:val="17"/>
                <w:szCs w:val="17"/>
                <w:lang w:val="ro-RO"/>
              </w:rPr>
              <w:t>Agribusiness industry, vegetable oil production</w:t>
            </w:r>
            <w:r>
              <w:rPr>
                <w:rFonts w:ascii="Arial" w:hAnsi="Arial" w:cs="Arial"/>
                <w:sz w:val="17"/>
                <w:szCs w:val="17"/>
                <w:lang w:val="ro-RO"/>
              </w:rPr>
              <w:t>)</w:t>
            </w:r>
          </w:p>
        </w:tc>
        <w:tc>
          <w:tcPr>
            <w:tcW w:w="398" w:type="pct"/>
          </w:tcPr>
          <w:p w14:paraId="190111C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419</w:t>
            </w:r>
          </w:p>
        </w:tc>
        <w:tc>
          <w:tcPr>
            <w:tcW w:w="335" w:type="pct"/>
          </w:tcPr>
          <w:p w14:paraId="591393BF"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682</w:t>
            </w:r>
          </w:p>
        </w:tc>
        <w:tc>
          <w:tcPr>
            <w:tcW w:w="427" w:type="pct"/>
          </w:tcPr>
          <w:p w14:paraId="5F17F6C7"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35631BD1" w14:textId="69B2A52C" w:rsidR="00D932B6" w:rsidRPr="00D932B6" w:rsidRDefault="00CF20BE" w:rsidP="00DE2D4D">
            <w:pPr>
              <w:rPr>
                <w:rFonts w:ascii="Arial" w:hAnsi="Arial" w:cs="Arial"/>
                <w:sz w:val="17"/>
                <w:szCs w:val="17"/>
                <w:lang w:val="ro-RO"/>
              </w:rPr>
            </w:pPr>
            <w:r>
              <w:rPr>
                <w:rFonts w:ascii="Arial" w:hAnsi="Arial" w:cs="Arial"/>
                <w:sz w:val="17"/>
                <w:szCs w:val="17"/>
                <w:lang w:val="ro-RO"/>
              </w:rPr>
              <w:t>NO</w:t>
            </w:r>
          </w:p>
        </w:tc>
        <w:tc>
          <w:tcPr>
            <w:tcW w:w="475" w:type="pct"/>
          </w:tcPr>
          <w:p w14:paraId="362EED81"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415A39C4" w14:textId="6025A714" w:rsidR="00D932B6" w:rsidRPr="00F246C8" w:rsidRDefault="00CF20BE" w:rsidP="00DE2D4D">
            <w:pPr>
              <w:rPr>
                <w:rFonts w:ascii="Arial" w:hAnsi="Arial" w:cs="Arial"/>
                <w:sz w:val="17"/>
                <w:szCs w:val="17"/>
                <w:lang w:val="ro-RO"/>
              </w:rPr>
            </w:pPr>
            <w:r>
              <w:rPr>
                <w:rFonts w:ascii="Arial" w:hAnsi="Arial" w:cs="Arial"/>
                <w:sz w:val="17"/>
                <w:szCs w:val="17"/>
                <w:lang w:val="ro-RO"/>
              </w:rPr>
              <w:t>Not affected directly by the energy transition</w:t>
            </w:r>
            <w:r w:rsidRPr="00402580" w:rsidDel="00711B40">
              <w:rPr>
                <w:rFonts w:ascii="Arial" w:hAnsi="Arial" w:cs="Arial"/>
                <w:sz w:val="17"/>
                <w:szCs w:val="17"/>
                <w:lang w:val="ro-RO"/>
              </w:rPr>
              <w:t xml:space="preserve"> </w:t>
            </w:r>
          </w:p>
        </w:tc>
      </w:tr>
      <w:tr w:rsidR="00D932B6" w:rsidRPr="00D932B6" w14:paraId="5E478227" w14:textId="77777777" w:rsidTr="00DE2D4D">
        <w:tc>
          <w:tcPr>
            <w:tcW w:w="909" w:type="pct"/>
          </w:tcPr>
          <w:p w14:paraId="30C9CD8A"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DIALFA SECURITY SRL</w:t>
            </w:r>
          </w:p>
        </w:tc>
        <w:tc>
          <w:tcPr>
            <w:tcW w:w="1125" w:type="pct"/>
          </w:tcPr>
          <w:p w14:paraId="1ED2691D"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N ADMINISTRATIVE AND SUPPORT SERVICE ACTIVITIES</w:t>
            </w:r>
          </w:p>
          <w:p w14:paraId="48DEFC67" w14:textId="53336AB4" w:rsidR="00711B40" w:rsidRPr="00D932B6" w:rsidRDefault="00711B40" w:rsidP="00DE2D4D">
            <w:pPr>
              <w:rPr>
                <w:rFonts w:ascii="Arial" w:hAnsi="Arial" w:cs="Arial"/>
                <w:sz w:val="17"/>
                <w:szCs w:val="17"/>
                <w:lang w:val="ro-RO"/>
              </w:rPr>
            </w:pPr>
            <w:r>
              <w:rPr>
                <w:rFonts w:ascii="Arial" w:hAnsi="Arial" w:cs="Arial"/>
                <w:sz w:val="17"/>
                <w:szCs w:val="17"/>
                <w:lang w:val="ro-RO"/>
              </w:rPr>
              <w:t>(security)</w:t>
            </w:r>
          </w:p>
        </w:tc>
        <w:tc>
          <w:tcPr>
            <w:tcW w:w="398" w:type="pct"/>
          </w:tcPr>
          <w:p w14:paraId="2D85CA05"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632</w:t>
            </w:r>
          </w:p>
        </w:tc>
        <w:tc>
          <w:tcPr>
            <w:tcW w:w="335" w:type="pct"/>
          </w:tcPr>
          <w:p w14:paraId="00A3EA0D"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24</w:t>
            </w:r>
          </w:p>
        </w:tc>
        <w:tc>
          <w:tcPr>
            <w:tcW w:w="427" w:type="pct"/>
          </w:tcPr>
          <w:p w14:paraId="2B56AC19"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3714F77A"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475" w:type="pct"/>
          </w:tcPr>
          <w:p w14:paraId="3A66D1BC"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1588E354" w14:textId="64585BE9" w:rsidR="00D932B6" w:rsidRPr="00F246C8" w:rsidRDefault="00035588" w:rsidP="00DE2D4D">
            <w:pPr>
              <w:rPr>
                <w:rFonts w:ascii="Arial" w:hAnsi="Arial" w:cs="Arial"/>
                <w:sz w:val="17"/>
                <w:szCs w:val="17"/>
                <w:lang w:val="ro-RO"/>
              </w:rPr>
            </w:pPr>
            <w:r>
              <w:rPr>
                <w:rFonts w:ascii="Arial" w:hAnsi="Arial" w:cs="Arial"/>
                <w:sz w:val="17"/>
                <w:szCs w:val="17"/>
                <w:lang w:val="ro-RO"/>
              </w:rPr>
              <w:t>Not affected directly by the energy transition</w:t>
            </w:r>
          </w:p>
        </w:tc>
      </w:tr>
      <w:tr w:rsidR="00D932B6" w:rsidRPr="000041A4" w14:paraId="0C953B91" w14:textId="77777777" w:rsidTr="00DE2D4D">
        <w:tc>
          <w:tcPr>
            <w:tcW w:w="909" w:type="pct"/>
          </w:tcPr>
          <w:p w14:paraId="0BF0036E"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ARCADA COMPANY SA</w:t>
            </w:r>
          </w:p>
        </w:tc>
        <w:tc>
          <w:tcPr>
            <w:tcW w:w="1125" w:type="pct"/>
          </w:tcPr>
          <w:p w14:paraId="7878915B"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F CONSTRUCTION</w:t>
            </w:r>
          </w:p>
          <w:p w14:paraId="11C03881" w14:textId="27C2B29B" w:rsidR="00711B40" w:rsidRPr="00D932B6" w:rsidRDefault="00711B40" w:rsidP="00DE2D4D">
            <w:pPr>
              <w:rPr>
                <w:rFonts w:ascii="Arial" w:hAnsi="Arial" w:cs="Arial"/>
                <w:sz w:val="17"/>
                <w:szCs w:val="17"/>
                <w:lang w:val="ro-RO"/>
              </w:rPr>
            </w:pPr>
            <w:r>
              <w:rPr>
                <w:rFonts w:ascii="Arial" w:hAnsi="Arial" w:cs="Arial"/>
                <w:sz w:val="17"/>
                <w:szCs w:val="17"/>
                <w:lang w:val="ro-RO"/>
              </w:rPr>
              <w:t>(</w:t>
            </w:r>
            <w:r w:rsidRPr="00711B40">
              <w:rPr>
                <w:rFonts w:ascii="Arial" w:hAnsi="Arial" w:cs="Arial"/>
                <w:sz w:val="17"/>
                <w:szCs w:val="17"/>
                <w:lang w:val="ro-RO"/>
              </w:rPr>
              <w:t>Railways, roads and bridges, industrial constructions</w:t>
            </w:r>
            <w:r>
              <w:rPr>
                <w:rFonts w:ascii="Arial" w:hAnsi="Arial" w:cs="Arial"/>
                <w:sz w:val="17"/>
                <w:szCs w:val="17"/>
                <w:lang w:val="ro-RO"/>
              </w:rPr>
              <w:t>)</w:t>
            </w:r>
          </w:p>
        </w:tc>
        <w:tc>
          <w:tcPr>
            <w:tcW w:w="398" w:type="pct"/>
          </w:tcPr>
          <w:p w14:paraId="1644606B"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582</w:t>
            </w:r>
          </w:p>
        </w:tc>
        <w:tc>
          <w:tcPr>
            <w:tcW w:w="335" w:type="pct"/>
          </w:tcPr>
          <w:p w14:paraId="58339B2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257</w:t>
            </w:r>
          </w:p>
        </w:tc>
        <w:tc>
          <w:tcPr>
            <w:tcW w:w="427" w:type="pct"/>
          </w:tcPr>
          <w:p w14:paraId="4ED3D61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2FC86581" w14:textId="25DE0862" w:rsidR="00D932B6" w:rsidRPr="00D932B6" w:rsidRDefault="00CF20BE" w:rsidP="00DE2D4D">
            <w:pPr>
              <w:rPr>
                <w:rFonts w:ascii="Arial" w:hAnsi="Arial" w:cs="Arial"/>
                <w:sz w:val="17"/>
                <w:szCs w:val="17"/>
                <w:lang w:val="ro-RO"/>
              </w:rPr>
            </w:pPr>
            <w:r>
              <w:rPr>
                <w:rFonts w:ascii="Arial" w:hAnsi="Arial" w:cs="Arial"/>
                <w:sz w:val="17"/>
                <w:szCs w:val="17"/>
                <w:lang w:val="ro-RO"/>
              </w:rPr>
              <w:t>NO</w:t>
            </w:r>
          </w:p>
        </w:tc>
        <w:tc>
          <w:tcPr>
            <w:tcW w:w="475" w:type="pct"/>
          </w:tcPr>
          <w:p w14:paraId="35EACE18"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0BF14C75" w14:textId="69BE6641" w:rsidR="00D932B6" w:rsidRPr="00F246C8" w:rsidRDefault="00CF20BE" w:rsidP="00DE2D4D">
            <w:pPr>
              <w:rPr>
                <w:rFonts w:ascii="Arial" w:hAnsi="Arial" w:cs="Arial"/>
                <w:sz w:val="17"/>
                <w:szCs w:val="17"/>
                <w:lang w:val="ro-RO"/>
              </w:rPr>
            </w:pPr>
            <w:r>
              <w:rPr>
                <w:rFonts w:ascii="Arial" w:hAnsi="Arial" w:cs="Arial"/>
                <w:sz w:val="17"/>
                <w:szCs w:val="17"/>
                <w:lang w:val="ro-RO"/>
              </w:rPr>
              <w:t>Not affected directly by the energy transition</w:t>
            </w:r>
          </w:p>
        </w:tc>
      </w:tr>
      <w:tr w:rsidR="00D932B6" w:rsidRPr="00D932B6" w14:paraId="206D97A6" w14:textId="77777777" w:rsidTr="00DE2D4D">
        <w:tc>
          <w:tcPr>
            <w:tcW w:w="909" w:type="pct"/>
          </w:tcPr>
          <w:p w14:paraId="2CD69A78"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MMA GROUP SECURITY SRL</w:t>
            </w:r>
          </w:p>
        </w:tc>
        <w:tc>
          <w:tcPr>
            <w:tcW w:w="1125" w:type="pct"/>
          </w:tcPr>
          <w:p w14:paraId="2E296DEB"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N ADMINISTRATIVE AND SUPPORT SERVICE ACTIVITIES</w:t>
            </w:r>
          </w:p>
          <w:p w14:paraId="3FF0A8F0" w14:textId="0F31EE96" w:rsidR="00711B40" w:rsidRPr="00D932B6" w:rsidRDefault="00711B40" w:rsidP="00DE2D4D">
            <w:pPr>
              <w:rPr>
                <w:rFonts w:ascii="Arial" w:hAnsi="Arial" w:cs="Arial"/>
                <w:sz w:val="17"/>
                <w:szCs w:val="17"/>
                <w:lang w:val="ro-RO"/>
              </w:rPr>
            </w:pPr>
            <w:r>
              <w:rPr>
                <w:rFonts w:ascii="Arial" w:hAnsi="Arial" w:cs="Arial"/>
                <w:sz w:val="17"/>
                <w:szCs w:val="17"/>
                <w:lang w:val="ro-RO"/>
              </w:rPr>
              <w:t>(security)</w:t>
            </w:r>
          </w:p>
        </w:tc>
        <w:tc>
          <w:tcPr>
            <w:tcW w:w="398" w:type="pct"/>
          </w:tcPr>
          <w:p w14:paraId="0E8DD3A3"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574</w:t>
            </w:r>
          </w:p>
        </w:tc>
        <w:tc>
          <w:tcPr>
            <w:tcW w:w="335" w:type="pct"/>
          </w:tcPr>
          <w:p w14:paraId="71FCBC8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19</w:t>
            </w:r>
          </w:p>
        </w:tc>
        <w:tc>
          <w:tcPr>
            <w:tcW w:w="427" w:type="pct"/>
          </w:tcPr>
          <w:p w14:paraId="07D9563F"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37CE6237"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475" w:type="pct"/>
          </w:tcPr>
          <w:p w14:paraId="039A9BB8" w14:textId="6A35AC8C"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w:t>
            </w:r>
            <w:r>
              <w:rPr>
                <w:rFonts w:ascii="Arial" w:hAnsi="Arial" w:cs="Arial"/>
                <w:sz w:val="17"/>
                <w:szCs w:val="17"/>
                <w:lang w:val="ro-RO"/>
              </w:rPr>
              <w:t>O</w:t>
            </w:r>
          </w:p>
        </w:tc>
        <w:tc>
          <w:tcPr>
            <w:tcW w:w="933" w:type="pct"/>
          </w:tcPr>
          <w:p w14:paraId="5D549D1C" w14:textId="00110054" w:rsidR="00D932B6" w:rsidRPr="00F246C8" w:rsidRDefault="00035588" w:rsidP="00DE2D4D">
            <w:pPr>
              <w:rPr>
                <w:rFonts w:ascii="Arial" w:hAnsi="Arial" w:cs="Arial"/>
                <w:sz w:val="17"/>
                <w:szCs w:val="17"/>
                <w:lang w:val="ro-RO"/>
              </w:rPr>
            </w:pPr>
            <w:r>
              <w:rPr>
                <w:rFonts w:ascii="Arial" w:hAnsi="Arial" w:cs="Arial"/>
                <w:sz w:val="17"/>
                <w:szCs w:val="17"/>
                <w:lang w:val="ro-RO"/>
              </w:rPr>
              <w:t>Not affected directly by the energy transition</w:t>
            </w:r>
          </w:p>
        </w:tc>
      </w:tr>
      <w:tr w:rsidR="00D932B6" w:rsidRPr="00D932B6" w14:paraId="560DCB1B" w14:textId="77777777" w:rsidTr="00DE2D4D">
        <w:tc>
          <w:tcPr>
            <w:tcW w:w="909" w:type="pct"/>
          </w:tcPr>
          <w:p w14:paraId="5E4458E2"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MYOSOTIS FARM SRL</w:t>
            </w:r>
          </w:p>
        </w:tc>
        <w:tc>
          <w:tcPr>
            <w:tcW w:w="1125" w:type="pct"/>
          </w:tcPr>
          <w:p w14:paraId="0F65922E" w14:textId="77777777" w:rsidR="00D932B6" w:rsidRDefault="00D932B6" w:rsidP="00DE2D4D">
            <w:pPr>
              <w:rPr>
                <w:rFonts w:ascii="Arial" w:hAnsi="Arial" w:cs="Arial"/>
                <w:sz w:val="17"/>
                <w:szCs w:val="17"/>
                <w:lang w:val="ro-RO"/>
              </w:rPr>
            </w:pPr>
            <w:r w:rsidRPr="00D932B6">
              <w:rPr>
                <w:rFonts w:ascii="Arial" w:hAnsi="Arial" w:cs="Arial"/>
                <w:sz w:val="17"/>
                <w:szCs w:val="17"/>
                <w:lang w:val="ro-RO"/>
              </w:rPr>
              <w:t>G WHOLESALE AND RETAIL TRADE; REPAIR OF MOTOR VEHICLES AND MOTORCYCLES</w:t>
            </w:r>
          </w:p>
          <w:p w14:paraId="7F12CB49" w14:textId="45DD48DB" w:rsidR="00711B40" w:rsidRPr="00D932B6" w:rsidRDefault="00711B40" w:rsidP="00DE2D4D">
            <w:pPr>
              <w:rPr>
                <w:rFonts w:ascii="Arial" w:hAnsi="Arial" w:cs="Arial"/>
                <w:sz w:val="17"/>
                <w:szCs w:val="17"/>
                <w:lang w:val="ro-RO"/>
              </w:rPr>
            </w:pPr>
            <w:r>
              <w:rPr>
                <w:rFonts w:ascii="Arial" w:hAnsi="Arial" w:cs="Arial"/>
                <w:sz w:val="17"/>
                <w:szCs w:val="17"/>
                <w:lang w:val="ro-RO"/>
              </w:rPr>
              <w:t>(</w:t>
            </w:r>
            <w:r w:rsidRPr="00402580">
              <w:rPr>
                <w:rFonts w:ascii="Arial" w:hAnsi="Arial" w:cs="Arial"/>
                <w:sz w:val="17"/>
                <w:szCs w:val="17"/>
                <w:lang w:val="ro-RO"/>
              </w:rPr>
              <w:t>Pharma wholesale</w:t>
            </w:r>
            <w:r>
              <w:rPr>
                <w:rFonts w:ascii="Arial" w:hAnsi="Arial" w:cs="Arial"/>
                <w:sz w:val="17"/>
                <w:szCs w:val="17"/>
                <w:lang w:val="ro-RO"/>
              </w:rPr>
              <w:t>)</w:t>
            </w:r>
          </w:p>
        </w:tc>
        <w:tc>
          <w:tcPr>
            <w:tcW w:w="398" w:type="pct"/>
          </w:tcPr>
          <w:p w14:paraId="0F0DB30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62</w:t>
            </w:r>
          </w:p>
        </w:tc>
        <w:tc>
          <w:tcPr>
            <w:tcW w:w="335" w:type="pct"/>
          </w:tcPr>
          <w:p w14:paraId="1B999844"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240</w:t>
            </w:r>
          </w:p>
        </w:tc>
        <w:tc>
          <w:tcPr>
            <w:tcW w:w="427" w:type="pct"/>
          </w:tcPr>
          <w:p w14:paraId="6E732D2F"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398" w:type="pct"/>
          </w:tcPr>
          <w:p w14:paraId="53996506"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475" w:type="pct"/>
          </w:tcPr>
          <w:p w14:paraId="3EC5883F" w14:textId="77777777" w:rsidR="00D932B6" w:rsidRPr="00D932B6" w:rsidRDefault="00D932B6" w:rsidP="00DE2D4D">
            <w:pPr>
              <w:rPr>
                <w:rFonts w:ascii="Arial" w:hAnsi="Arial" w:cs="Arial"/>
                <w:sz w:val="17"/>
                <w:szCs w:val="17"/>
                <w:lang w:val="ro-RO"/>
              </w:rPr>
            </w:pPr>
            <w:r w:rsidRPr="00D932B6">
              <w:rPr>
                <w:rFonts w:ascii="Arial" w:hAnsi="Arial" w:cs="Arial"/>
                <w:sz w:val="17"/>
                <w:szCs w:val="17"/>
                <w:lang w:val="ro-RO"/>
              </w:rPr>
              <w:t>NO</w:t>
            </w:r>
          </w:p>
        </w:tc>
        <w:tc>
          <w:tcPr>
            <w:tcW w:w="933" w:type="pct"/>
          </w:tcPr>
          <w:p w14:paraId="3B08B666" w14:textId="1F879B1C" w:rsidR="00D932B6" w:rsidRPr="00F246C8" w:rsidRDefault="00035588" w:rsidP="00DE2D4D">
            <w:pPr>
              <w:rPr>
                <w:rFonts w:ascii="Arial" w:hAnsi="Arial" w:cs="Arial"/>
                <w:sz w:val="17"/>
                <w:szCs w:val="17"/>
                <w:lang w:val="ro-RO"/>
              </w:rPr>
            </w:pPr>
            <w:r>
              <w:rPr>
                <w:rFonts w:ascii="Arial" w:hAnsi="Arial" w:cs="Arial"/>
                <w:sz w:val="17"/>
                <w:szCs w:val="17"/>
                <w:lang w:val="ro-RO"/>
              </w:rPr>
              <w:t>Not affected by the energy transition</w:t>
            </w:r>
          </w:p>
        </w:tc>
      </w:tr>
    </w:tbl>
    <w:p w14:paraId="2BF4685B" w14:textId="55BAA0C7" w:rsidR="00D932B6" w:rsidRDefault="00DE2D4D" w:rsidP="00DE2D4D">
      <w:pPr>
        <w:pStyle w:val="Caption"/>
        <w:sectPr w:rsidR="00D932B6" w:rsidSect="000A7086">
          <w:headerReference w:type="default" r:id="rId216"/>
          <w:pgSz w:w="16834" w:h="11909" w:orient="landscape"/>
          <w:pgMar w:top="1530" w:right="1440" w:bottom="1440" w:left="1440" w:header="720" w:footer="720" w:gutter="0"/>
          <w:cols w:space="720"/>
          <w:docGrid w:linePitch="326"/>
        </w:sectPr>
      </w:pPr>
      <w:bookmarkStart w:id="330" w:name="_Toc90726027"/>
      <w:bookmarkStart w:id="331" w:name="_Toc90727324"/>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73</w:t>
      </w:r>
      <w:r w:rsidR="000B273D">
        <w:rPr>
          <w:noProof/>
        </w:rPr>
        <w:fldChar w:fldCharType="end"/>
      </w:r>
      <w:r>
        <w:t>: Large enterprises by turnover and employees, 2019, Galați County</w:t>
      </w:r>
      <w:bookmarkEnd w:id="330"/>
      <w:bookmarkEnd w:id="331"/>
    </w:p>
    <w:p w14:paraId="32448D35" w14:textId="601CF201" w:rsidR="00711B40" w:rsidRDefault="00711B40" w:rsidP="00E42342">
      <w:pPr>
        <w:pStyle w:val="ListParagraph"/>
        <w:numPr>
          <w:ilvl w:val="0"/>
          <w:numId w:val="306"/>
        </w:numPr>
        <w:spacing w:after="120"/>
        <w:jc w:val="both"/>
        <w:rPr>
          <w:color w:val="4F81BD" w:themeColor="accent1"/>
          <w:sz w:val="20"/>
          <w:szCs w:val="20"/>
        </w:rPr>
      </w:pPr>
      <w:r>
        <w:rPr>
          <w:color w:val="4F81BD" w:themeColor="accent1"/>
          <w:sz w:val="20"/>
          <w:szCs w:val="20"/>
        </w:rPr>
        <w:lastRenderedPageBreak/>
        <w:t>Human capital and employment</w:t>
      </w:r>
    </w:p>
    <w:p w14:paraId="3E22C23F" w14:textId="5DFD2D42" w:rsidR="00001309" w:rsidRPr="004025A2" w:rsidRDefault="00001309" w:rsidP="000A7086">
      <w:pPr>
        <w:pStyle w:val="CommentText"/>
        <w:spacing w:after="120"/>
        <w:jc w:val="both"/>
      </w:pPr>
      <w:r w:rsidRPr="004025A2">
        <w:t xml:space="preserve">The previous </w:t>
      </w:r>
      <w:r w:rsidR="00091FE3">
        <w:t>section</w:t>
      </w:r>
      <w:r w:rsidRPr="004025A2">
        <w:t xml:space="preserve"> analysed employment trends in various economic sectors in </w:t>
      </w:r>
      <w:r w:rsidR="003751DC">
        <w:t>Galați</w:t>
      </w:r>
      <w:r w:rsidRPr="004025A2">
        <w:rPr>
          <w:lang w:val="ro-RO"/>
        </w:rPr>
        <w:t xml:space="preserve">. Additionaly, this </w:t>
      </w:r>
      <w:r w:rsidR="00091FE3">
        <w:rPr>
          <w:lang w:val="ro-RO"/>
        </w:rPr>
        <w:t>section</w:t>
      </w:r>
      <w:r w:rsidRPr="004025A2">
        <w:t xml:space="preserve"> makes an in-depth assessment of the unemployment perspective at county level. We are doing this by using an additional indicator, which monitors the share of registered unemployment in the total labour resources</w:t>
      </w:r>
      <w:r w:rsidR="00711B40" w:rsidRPr="004025A2">
        <w:rPr>
          <w:rStyle w:val="FootnoteReference"/>
        </w:rPr>
        <w:footnoteReference w:id="143"/>
      </w:r>
      <w:r w:rsidR="00711B40" w:rsidRPr="004025A2">
        <w:t>. This allows for an outlook on the unemployment situation at local administrative unit level, compared to the unemployment rate indicator</w:t>
      </w:r>
      <w:r w:rsidR="00711B40" w:rsidRPr="004025A2">
        <w:rPr>
          <w:rStyle w:val="FootnoteReference"/>
        </w:rPr>
        <w:footnoteReference w:id="144"/>
      </w:r>
      <w:r w:rsidR="00711B40" w:rsidRPr="004025A2">
        <w:t xml:space="preserve"> which only allows monitoring at general county level. </w:t>
      </w:r>
    </w:p>
    <w:p w14:paraId="56C23268" w14:textId="6F6BF330" w:rsidR="00711B40" w:rsidRPr="004025A2" w:rsidRDefault="00001309" w:rsidP="00711B40">
      <w:pPr>
        <w:spacing w:after="120"/>
        <w:jc w:val="both"/>
        <w:rPr>
          <w:rFonts w:ascii="Arial" w:hAnsi="Arial" w:cs="Arial"/>
          <w:sz w:val="20"/>
          <w:szCs w:val="20"/>
        </w:rPr>
      </w:pPr>
      <w:r w:rsidRPr="004025A2">
        <w:rPr>
          <w:rFonts w:ascii="Arial" w:hAnsi="Arial" w:cs="Arial"/>
          <w:sz w:val="20"/>
          <w:szCs w:val="20"/>
        </w:rPr>
        <w:t>Using this indicator, th</w:t>
      </w:r>
      <w:r w:rsidR="00711B40" w:rsidRPr="004025A2">
        <w:rPr>
          <w:rFonts w:ascii="Arial" w:hAnsi="Arial" w:cs="Arial"/>
          <w:sz w:val="20"/>
          <w:szCs w:val="20"/>
        </w:rPr>
        <w:t xml:space="preserve">e unemployment rate declined from 5% in 2010 to 3% in 2020. The share of unemployment </w:t>
      </w:r>
      <w:r w:rsidRPr="004025A2">
        <w:rPr>
          <w:rFonts w:ascii="Arial" w:hAnsi="Arial" w:cs="Arial"/>
          <w:sz w:val="20"/>
          <w:szCs w:val="20"/>
        </w:rPr>
        <w:t xml:space="preserve">reduction </w:t>
      </w:r>
      <w:r w:rsidR="00711B40" w:rsidRPr="004025A2">
        <w:rPr>
          <w:rFonts w:ascii="Arial" w:hAnsi="Arial" w:cs="Arial"/>
          <w:sz w:val="20"/>
          <w:szCs w:val="20"/>
        </w:rPr>
        <w:t>in rural areas was also visible, with a decrease from 10.16% in 2010 to 6.95% in 2020.</w:t>
      </w:r>
    </w:p>
    <w:p w14:paraId="7BD9F1F4" w14:textId="73184DF7" w:rsidR="00711B40" w:rsidRPr="00402580" w:rsidRDefault="00711B40" w:rsidP="00711B40">
      <w:pPr>
        <w:spacing w:after="120"/>
        <w:jc w:val="both"/>
        <w:rPr>
          <w:rFonts w:ascii="Arial" w:hAnsi="Arial" w:cs="Arial"/>
          <w:sz w:val="20"/>
          <w:szCs w:val="20"/>
        </w:rPr>
      </w:pPr>
      <w:r w:rsidRPr="00402580">
        <w:rPr>
          <w:rFonts w:ascii="Arial" w:hAnsi="Arial" w:cs="Arial"/>
          <w:sz w:val="20"/>
          <w:szCs w:val="20"/>
        </w:rPr>
        <w:t xml:space="preserve">The highest unemployment rates in </w:t>
      </w:r>
      <w:r w:rsidR="003751DC">
        <w:rPr>
          <w:rFonts w:ascii="Arial" w:hAnsi="Arial" w:cs="Arial"/>
          <w:sz w:val="20"/>
          <w:szCs w:val="20"/>
        </w:rPr>
        <w:t>Galați</w:t>
      </w:r>
      <w:r w:rsidRPr="00402580">
        <w:rPr>
          <w:rFonts w:ascii="Arial" w:hAnsi="Arial" w:cs="Arial"/>
          <w:sz w:val="20"/>
          <w:szCs w:val="20"/>
        </w:rPr>
        <w:t xml:space="preserve"> County </w:t>
      </w:r>
      <w:r>
        <w:rPr>
          <w:rFonts w:ascii="Arial" w:hAnsi="Arial" w:cs="Arial"/>
          <w:sz w:val="20"/>
          <w:szCs w:val="20"/>
        </w:rPr>
        <w:t xml:space="preserve">for 2020 </w:t>
      </w:r>
      <w:r w:rsidRPr="00402580">
        <w:rPr>
          <w:rFonts w:ascii="Arial" w:hAnsi="Arial" w:cs="Arial"/>
          <w:sz w:val="20"/>
          <w:szCs w:val="20"/>
        </w:rPr>
        <w:t xml:space="preserve">can be found in rural areas, more precisely in Balașești (20.20%), Ghidigeni (19%) and Varlezi (17.70%). The highest unemployment rates in 2010 were </w:t>
      </w:r>
      <w:r>
        <w:rPr>
          <w:rFonts w:ascii="Arial" w:hAnsi="Arial" w:cs="Arial"/>
          <w:sz w:val="20"/>
          <w:szCs w:val="20"/>
        </w:rPr>
        <w:t>recorded</w:t>
      </w:r>
      <w:r w:rsidRPr="00402580">
        <w:rPr>
          <w:rFonts w:ascii="Arial" w:hAnsi="Arial" w:cs="Arial"/>
          <w:sz w:val="20"/>
          <w:szCs w:val="20"/>
        </w:rPr>
        <w:t xml:space="preserve"> in Oancea (24.70%), Nămoloasa (19.90%) and Cavadinești (19.30%).</w:t>
      </w:r>
    </w:p>
    <w:p w14:paraId="73240590" w14:textId="275155E3" w:rsidR="00711B40" w:rsidRPr="00402580" w:rsidRDefault="00711B40" w:rsidP="00711B40">
      <w:pPr>
        <w:spacing w:after="120"/>
        <w:jc w:val="both"/>
        <w:rPr>
          <w:rFonts w:ascii="Arial" w:hAnsi="Arial" w:cs="Arial"/>
          <w:sz w:val="20"/>
          <w:szCs w:val="20"/>
        </w:rPr>
      </w:pPr>
      <w:r>
        <w:rPr>
          <w:rFonts w:ascii="Arial" w:hAnsi="Arial" w:cs="Arial"/>
          <w:sz w:val="20"/>
          <w:szCs w:val="20"/>
        </w:rPr>
        <w:t>By contrast</w:t>
      </w:r>
      <w:r w:rsidRPr="00402580">
        <w:rPr>
          <w:rFonts w:ascii="Arial" w:hAnsi="Arial" w:cs="Arial"/>
          <w:sz w:val="20"/>
          <w:szCs w:val="20"/>
        </w:rPr>
        <w:t xml:space="preserve">, the lowest unemployment rates </w:t>
      </w:r>
      <w:r>
        <w:rPr>
          <w:rFonts w:ascii="Arial" w:hAnsi="Arial" w:cs="Arial"/>
          <w:sz w:val="20"/>
          <w:szCs w:val="20"/>
        </w:rPr>
        <w:t xml:space="preserve">for 2020 </w:t>
      </w:r>
      <w:r w:rsidRPr="00402580">
        <w:rPr>
          <w:rFonts w:ascii="Arial" w:hAnsi="Arial" w:cs="Arial"/>
          <w:sz w:val="20"/>
          <w:szCs w:val="20"/>
        </w:rPr>
        <w:t xml:space="preserve">are found in cities in urban areas, such as </w:t>
      </w:r>
      <w:r w:rsidR="003751DC">
        <w:rPr>
          <w:rFonts w:ascii="Arial" w:hAnsi="Arial" w:cs="Arial"/>
          <w:sz w:val="20"/>
          <w:szCs w:val="20"/>
        </w:rPr>
        <w:t>Galați</w:t>
      </w:r>
      <w:r w:rsidRPr="00402580">
        <w:rPr>
          <w:rFonts w:ascii="Arial" w:hAnsi="Arial" w:cs="Arial"/>
          <w:sz w:val="20"/>
          <w:szCs w:val="20"/>
        </w:rPr>
        <w:t xml:space="preserve"> (1%) and Tecuci (1.10%). In 2010, the rural area had the lowest shares of unemployment, among which were the villages Matca (1.30%) and Liești (2.10%).</w:t>
      </w:r>
    </w:p>
    <w:p w14:paraId="47F6631E" w14:textId="2EB60AF0" w:rsidR="00711B40" w:rsidRPr="003516DC" w:rsidRDefault="00711B40" w:rsidP="00711B40">
      <w:pPr>
        <w:pStyle w:val="Caption"/>
        <w:rPr>
          <w:i/>
          <w:color w:val="0070C0"/>
        </w:rPr>
      </w:pPr>
      <w:bookmarkStart w:id="332" w:name="_Toc90727389"/>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53</w:t>
      </w:r>
      <w:r w:rsidR="000B273D">
        <w:rPr>
          <w:noProof/>
        </w:rPr>
        <w:fldChar w:fldCharType="end"/>
      </w:r>
      <w:r w:rsidRPr="003516DC">
        <w:t xml:space="preserve">; Unemployment evolution, 2010-2020, </w:t>
      </w:r>
      <w:r>
        <w:t>Galați</w:t>
      </w:r>
      <w:r w:rsidRPr="003516DC">
        <w:t xml:space="preserve"> </w:t>
      </w:r>
      <w:r>
        <w:t>C</w:t>
      </w:r>
      <w:r w:rsidRPr="003516DC">
        <w:t>ounty</w:t>
      </w:r>
      <w:bookmarkEnd w:id="332"/>
    </w:p>
    <w:p w14:paraId="52454ED6" w14:textId="77777777" w:rsidR="00711B40" w:rsidRPr="003516DC" w:rsidRDefault="00711B40" w:rsidP="00711B40">
      <w:pPr>
        <w:rPr>
          <w:rFonts w:ascii="Arial" w:hAnsi="Arial" w:cs="Arial"/>
          <w:i/>
          <w:iCs/>
          <w:color w:val="0070C0"/>
          <w:sz w:val="20"/>
          <w:szCs w:val="20"/>
        </w:rPr>
      </w:pPr>
      <w:r w:rsidRPr="00402580">
        <w:rPr>
          <w:rFonts w:ascii="Arial" w:hAnsi="Arial" w:cs="Arial"/>
          <w:noProof/>
          <w:lang w:val="en-US" w:eastAsia="en-US"/>
        </w:rPr>
        <w:drawing>
          <wp:inline distT="0" distB="0" distL="0" distR="0" wp14:anchorId="6C955A91" wp14:editId="1E2BE3D7">
            <wp:extent cx="5678424" cy="2377440"/>
            <wp:effectExtent l="0" t="0" r="0" b="3810"/>
            <wp:docPr id="2087055687" name="Chart 208705568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131AD8B-84C8-4933-A794-6217F0CBF3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47EE58E2" w14:textId="029DAA38" w:rsidR="00711B40" w:rsidRPr="003516DC" w:rsidRDefault="00711B40" w:rsidP="00711B40">
      <w:pPr>
        <w:pStyle w:val="Caption"/>
        <w:rPr>
          <w:i/>
          <w:noProof/>
          <w:sz w:val="16"/>
          <w:szCs w:val="16"/>
        </w:rPr>
      </w:pPr>
      <w:bookmarkStart w:id="333" w:name="_Toc90725952"/>
      <w:r w:rsidRPr="003516DC">
        <w:lastRenderedPageBreak/>
        <w:t xml:space="preserve">Figure </w:t>
      </w:r>
      <w:r w:rsidR="000B273D">
        <w:rPr>
          <w:noProof/>
        </w:rPr>
        <w:fldChar w:fldCharType="begin"/>
      </w:r>
      <w:r w:rsidR="000B273D">
        <w:rPr>
          <w:noProof/>
        </w:rPr>
        <w:instrText xml:space="preserve"> SEQ Figure \* ARABIC </w:instrText>
      </w:r>
      <w:r w:rsidR="000B273D">
        <w:rPr>
          <w:noProof/>
        </w:rPr>
        <w:fldChar w:fldCharType="separate"/>
      </w:r>
      <w:r w:rsidR="007E5B0B">
        <w:rPr>
          <w:noProof/>
        </w:rPr>
        <w:t>25</w:t>
      </w:r>
      <w:r w:rsidR="000B273D">
        <w:rPr>
          <w:noProof/>
        </w:rPr>
        <w:fldChar w:fldCharType="end"/>
      </w:r>
      <w:r w:rsidRPr="003516DC">
        <w:t xml:space="preserve">: Unemployment rate per UAT in </w:t>
      </w:r>
      <w:r w:rsidR="003751DC">
        <w:t>Galați</w:t>
      </w:r>
      <w:r w:rsidRPr="003516DC">
        <w:t xml:space="preserve"> </w:t>
      </w:r>
      <w:r>
        <w:t>C</w:t>
      </w:r>
      <w:r w:rsidRPr="003516DC">
        <w:t>ounty, 2020</w:t>
      </w:r>
      <w:bookmarkEnd w:id="333"/>
    </w:p>
    <w:p w14:paraId="1DD4BA95" w14:textId="77777777" w:rsidR="00711B40" w:rsidRPr="003516DC" w:rsidRDefault="00711B40" w:rsidP="00711B40">
      <w:pPr>
        <w:rPr>
          <w:rFonts w:ascii="Arial" w:hAnsi="Arial" w:cs="Arial"/>
          <w:i/>
          <w:iCs/>
          <w:sz w:val="16"/>
          <w:szCs w:val="16"/>
        </w:rPr>
      </w:pPr>
      <w:r w:rsidRPr="00402580">
        <w:rPr>
          <w:rFonts w:ascii="Arial" w:hAnsi="Arial" w:cs="Arial"/>
          <w:i/>
          <w:iCs/>
          <w:noProof/>
          <w:sz w:val="16"/>
          <w:szCs w:val="16"/>
          <w:lang w:val="en-US" w:eastAsia="en-US"/>
        </w:rPr>
        <w:drawing>
          <wp:inline distT="0" distB="0" distL="0" distR="0" wp14:anchorId="49996000" wp14:editId="439EDC38">
            <wp:extent cx="5634528" cy="2743200"/>
            <wp:effectExtent l="0" t="0" r="4445" b="0"/>
            <wp:docPr id="2087055688" name="Picture 208705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55589" name="Picture 2087055589"/>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5634528" cy="2743200"/>
                    </a:xfrm>
                    <a:prstGeom prst="rect">
                      <a:avLst/>
                    </a:prstGeom>
                  </pic:spPr>
                </pic:pic>
              </a:graphicData>
            </a:graphic>
          </wp:inline>
        </w:drawing>
      </w:r>
    </w:p>
    <w:p w14:paraId="0506AFDD" w14:textId="77777777" w:rsidR="00711B40" w:rsidRPr="003516DC" w:rsidRDefault="00711B40" w:rsidP="00711B40">
      <w:pPr>
        <w:rPr>
          <w:rFonts w:ascii="Arial" w:hAnsi="Arial" w:cs="Arial"/>
          <w:i/>
          <w:iCs/>
          <w:sz w:val="16"/>
          <w:szCs w:val="16"/>
        </w:rPr>
      </w:pPr>
    </w:p>
    <w:p w14:paraId="10FB321B" w14:textId="55EB069B" w:rsidR="00711B40" w:rsidRDefault="00711B40" w:rsidP="00E42342">
      <w:pPr>
        <w:pStyle w:val="ListParagraph"/>
        <w:numPr>
          <w:ilvl w:val="0"/>
          <w:numId w:val="307"/>
        </w:numPr>
        <w:spacing w:after="120"/>
        <w:jc w:val="both"/>
        <w:rPr>
          <w:color w:val="4F81BD" w:themeColor="accent1"/>
          <w:sz w:val="20"/>
          <w:szCs w:val="20"/>
        </w:rPr>
      </w:pPr>
      <w:r>
        <w:rPr>
          <w:color w:val="4F81BD" w:themeColor="accent1"/>
          <w:sz w:val="20"/>
          <w:szCs w:val="20"/>
        </w:rPr>
        <w:t>Social infrastructure</w:t>
      </w:r>
    </w:p>
    <w:p w14:paraId="285AA7E0" w14:textId="5D244DDD" w:rsidR="00711B40" w:rsidRDefault="00711B40" w:rsidP="00711B40">
      <w:pPr>
        <w:jc w:val="both"/>
        <w:rPr>
          <w:rFonts w:ascii="Arial" w:hAnsi="Arial" w:cs="Arial"/>
          <w:sz w:val="20"/>
          <w:szCs w:val="20"/>
        </w:rPr>
      </w:pPr>
      <w:r w:rsidRPr="00711B40">
        <w:rPr>
          <w:rFonts w:ascii="Arial" w:hAnsi="Arial" w:cs="Arial"/>
          <w:sz w:val="20"/>
          <w:szCs w:val="20"/>
        </w:rPr>
        <w:t xml:space="preserve">Much like the rest of the country, one of the challenges </w:t>
      </w:r>
      <w:r w:rsidR="003751DC">
        <w:rPr>
          <w:rFonts w:ascii="Arial" w:hAnsi="Arial" w:cs="Arial"/>
          <w:sz w:val="20"/>
          <w:szCs w:val="20"/>
        </w:rPr>
        <w:t>Galați</w:t>
      </w:r>
      <w:r w:rsidRPr="00711B40">
        <w:rPr>
          <w:rFonts w:ascii="Arial" w:hAnsi="Arial" w:cs="Arial"/>
          <w:sz w:val="20"/>
          <w:szCs w:val="20"/>
        </w:rPr>
        <w:t xml:space="preserve"> County (and the South-East Region as a whole) is unequal access and participation in education and a high dropout rate (21.3% in 2019), especially in rural areas and in communities affected by poverty or social exclusion</w:t>
      </w:r>
      <w:r w:rsidRPr="00711B40">
        <w:rPr>
          <w:rStyle w:val="FootnoteReference"/>
          <w:rFonts w:ascii="Arial" w:hAnsi="Arial" w:cs="Arial"/>
          <w:sz w:val="20"/>
          <w:szCs w:val="20"/>
        </w:rPr>
        <w:footnoteReference w:id="145"/>
      </w:r>
      <w:r w:rsidRPr="00711B40">
        <w:rPr>
          <w:rFonts w:ascii="Arial" w:hAnsi="Arial" w:cs="Arial"/>
          <w:sz w:val="20"/>
          <w:szCs w:val="20"/>
        </w:rPr>
        <w:t>. Among the causes identified for this situation is the insufficient capacity of the educational infrastructure, including the lack of infrastructure that should ensure the access conditions for people with disabilities. This negatively affects the school experience for both students and teachers, increasing the risk of school droput and of declining quality education</w:t>
      </w:r>
      <w:r w:rsidRPr="00711B40">
        <w:rPr>
          <w:rStyle w:val="FootnoteReference"/>
          <w:rFonts w:ascii="Arial" w:hAnsi="Arial" w:cs="Arial"/>
          <w:sz w:val="20"/>
          <w:szCs w:val="20"/>
        </w:rPr>
        <w:footnoteReference w:id="146"/>
      </w:r>
      <w:r w:rsidRPr="00711B40">
        <w:rPr>
          <w:rFonts w:ascii="Arial" w:hAnsi="Arial" w:cs="Arial"/>
          <w:sz w:val="20"/>
          <w:szCs w:val="20"/>
        </w:rPr>
        <w:t xml:space="preserve">. </w:t>
      </w:r>
    </w:p>
    <w:p w14:paraId="18B59470" w14:textId="77C54DD9" w:rsidR="00711B40" w:rsidRPr="00711B40" w:rsidRDefault="00711B40" w:rsidP="00711B40">
      <w:pPr>
        <w:jc w:val="both"/>
        <w:rPr>
          <w:rFonts w:ascii="Arial" w:hAnsi="Arial" w:cs="Arial"/>
        </w:rPr>
      </w:pPr>
      <w:r>
        <w:rPr>
          <w:rFonts w:ascii="Arial" w:hAnsi="Arial" w:cs="Arial"/>
          <w:sz w:val="20"/>
          <w:szCs w:val="20"/>
        </w:rPr>
        <w:t xml:space="preserve">According to the </w:t>
      </w:r>
      <w:r w:rsidRPr="00E273BF">
        <w:rPr>
          <w:rFonts w:ascii="Arial" w:hAnsi="Arial" w:cs="Arial"/>
          <w:sz w:val="20"/>
          <w:szCs w:val="20"/>
        </w:rPr>
        <w:t>Integrated Information System for Education in Romania</w:t>
      </w:r>
      <w:r>
        <w:rPr>
          <w:rFonts w:ascii="Arial" w:hAnsi="Arial" w:cs="Arial"/>
          <w:sz w:val="20"/>
          <w:szCs w:val="20"/>
        </w:rPr>
        <w:t xml:space="preserve"> (SIIIR), i</w:t>
      </w:r>
      <w:r w:rsidRPr="003516DC">
        <w:rPr>
          <w:rFonts w:ascii="Arial" w:hAnsi="Arial" w:cs="Arial"/>
          <w:sz w:val="20"/>
          <w:szCs w:val="20"/>
        </w:rPr>
        <w:t>n</w:t>
      </w:r>
      <w:r>
        <w:rPr>
          <w:rFonts w:ascii="Arial" w:hAnsi="Arial" w:cs="Arial"/>
          <w:sz w:val="20"/>
          <w:szCs w:val="20"/>
        </w:rPr>
        <w:t xml:space="preserve"> 2020 </w:t>
      </w:r>
      <w:r w:rsidRPr="00711B40">
        <w:rPr>
          <w:rFonts w:ascii="Arial" w:hAnsi="Arial" w:cs="Arial"/>
          <w:sz w:val="20"/>
          <w:szCs w:val="20"/>
        </w:rPr>
        <w:t xml:space="preserve">there </w:t>
      </w:r>
      <w:r>
        <w:rPr>
          <w:rFonts w:ascii="Arial" w:hAnsi="Arial" w:cs="Arial"/>
          <w:sz w:val="20"/>
          <w:szCs w:val="20"/>
        </w:rPr>
        <w:t>were</w:t>
      </w:r>
      <w:r w:rsidRPr="00711B40">
        <w:rPr>
          <w:rFonts w:ascii="Arial" w:hAnsi="Arial" w:cs="Arial"/>
          <w:sz w:val="20"/>
          <w:szCs w:val="20"/>
        </w:rPr>
        <w:t xml:space="preserve"> a nursery, 180 kindergartens with a normal programme, 41 kindergartens with an extended programme (of which 6 are private). The technical education infrastructure consists of 23 technological high schools, 8 post-secondary technical schools and 3 vocational schools. There is no data on social infrastructure for elderly care.</w:t>
      </w:r>
    </w:p>
    <w:p w14:paraId="6B12B049" w14:textId="6650FFA6" w:rsidR="00711B40" w:rsidRPr="003516DC" w:rsidRDefault="00711B40" w:rsidP="00711B40">
      <w:pPr>
        <w:pStyle w:val="Caption"/>
        <w:ind w:left="900" w:hanging="900"/>
      </w:pPr>
      <w:bookmarkStart w:id="334" w:name="_Toc90727390"/>
      <w:r w:rsidRPr="003516DC">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54</w:t>
      </w:r>
      <w:r w:rsidR="000B273D">
        <w:rPr>
          <w:noProof/>
        </w:rPr>
        <w:fldChar w:fldCharType="end"/>
      </w:r>
      <w:r w:rsidRPr="003516DC">
        <w:t xml:space="preserve">: Representativeness of the target age groups of the social, health and education infrastructure (young and old) in </w:t>
      </w:r>
      <w:r w:rsidR="003751DC">
        <w:t>Galați</w:t>
      </w:r>
      <w:r w:rsidRPr="003516DC">
        <w:rPr>
          <w:lang w:val="ro-RO"/>
        </w:rPr>
        <w:t xml:space="preserve"> </w:t>
      </w:r>
      <w:r>
        <w:t>C</w:t>
      </w:r>
      <w:r w:rsidRPr="003516DC">
        <w:t>ounty as compared to national level, 2020</w:t>
      </w:r>
      <w:bookmarkEnd w:id="334"/>
    </w:p>
    <w:p w14:paraId="4701CD8A" w14:textId="273EBBC1" w:rsidR="00711B40" w:rsidRDefault="00711B40" w:rsidP="00711B40">
      <w:pPr>
        <w:rPr>
          <w:rFonts w:ascii="Arial" w:hAnsi="Arial" w:cs="Arial"/>
          <w:lang w:eastAsia="en-US"/>
        </w:rPr>
      </w:pPr>
      <w:r w:rsidRPr="00F246C8">
        <w:rPr>
          <w:rFonts w:ascii="Arial" w:hAnsi="Arial" w:cs="Arial"/>
          <w:noProof/>
          <w:lang w:val="en-US" w:eastAsia="en-US"/>
        </w:rPr>
        <w:drawing>
          <wp:inline distT="0" distB="0" distL="0" distR="0" wp14:anchorId="2B370C10" wp14:editId="79D68EFC">
            <wp:extent cx="5676265" cy="1742440"/>
            <wp:effectExtent l="0" t="0" r="635" b="0"/>
            <wp:docPr id="2087055689" name="Picture 208705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676265" cy="1742440"/>
                    </a:xfrm>
                    <a:prstGeom prst="rect">
                      <a:avLst/>
                    </a:prstGeom>
                  </pic:spPr>
                </pic:pic>
              </a:graphicData>
            </a:graphic>
          </wp:inline>
        </w:drawing>
      </w:r>
    </w:p>
    <w:p w14:paraId="696D306E" w14:textId="7A902933" w:rsidR="00711B40" w:rsidRDefault="00711B40" w:rsidP="00E42342">
      <w:pPr>
        <w:pStyle w:val="ListParagraph"/>
        <w:numPr>
          <w:ilvl w:val="0"/>
          <w:numId w:val="308"/>
        </w:numPr>
        <w:spacing w:after="120"/>
        <w:jc w:val="both"/>
        <w:rPr>
          <w:color w:val="4F81BD" w:themeColor="accent1"/>
          <w:sz w:val="20"/>
          <w:szCs w:val="20"/>
        </w:rPr>
      </w:pPr>
      <w:r>
        <w:rPr>
          <w:color w:val="4F81BD" w:themeColor="accent1"/>
          <w:sz w:val="20"/>
          <w:szCs w:val="20"/>
        </w:rPr>
        <w:t>Environment</w:t>
      </w:r>
    </w:p>
    <w:p w14:paraId="479C4D53" w14:textId="3E14D5D3" w:rsidR="004B3189" w:rsidRPr="003516DC" w:rsidRDefault="004B3189" w:rsidP="0088065B">
      <w:pPr>
        <w:spacing w:after="120"/>
        <w:jc w:val="both"/>
        <w:rPr>
          <w:rFonts w:ascii="Arial" w:hAnsi="Arial" w:cs="Arial"/>
          <w:sz w:val="20"/>
          <w:szCs w:val="20"/>
        </w:rPr>
      </w:pPr>
      <w:r w:rsidRPr="003516DC">
        <w:rPr>
          <w:rFonts w:ascii="Arial" w:hAnsi="Arial" w:cs="Arial"/>
          <w:sz w:val="20"/>
          <w:szCs w:val="20"/>
        </w:rPr>
        <w:t xml:space="preserve">Deficient </w:t>
      </w:r>
      <w:r w:rsidRPr="003516DC">
        <w:rPr>
          <w:rFonts w:ascii="Arial" w:hAnsi="Arial" w:cs="Arial"/>
          <w:b/>
          <w:bCs/>
          <w:sz w:val="20"/>
          <w:szCs w:val="20"/>
        </w:rPr>
        <w:t>waste collection</w:t>
      </w:r>
      <w:r w:rsidRPr="003516DC">
        <w:rPr>
          <w:rFonts w:ascii="Arial" w:hAnsi="Arial" w:cs="Arial"/>
          <w:sz w:val="20"/>
          <w:szCs w:val="20"/>
        </w:rPr>
        <w:t xml:space="preserve"> systems have been indicated as an </w:t>
      </w:r>
      <w:r w:rsidRPr="003516DC">
        <w:rPr>
          <w:rFonts w:ascii="Arial" w:hAnsi="Arial" w:cs="Arial"/>
          <w:b/>
          <w:bCs/>
          <w:sz w:val="20"/>
          <w:szCs w:val="20"/>
        </w:rPr>
        <w:t>environmental</w:t>
      </w:r>
      <w:r w:rsidRPr="003516DC">
        <w:rPr>
          <w:rFonts w:ascii="Arial" w:hAnsi="Arial" w:cs="Arial"/>
          <w:sz w:val="20"/>
          <w:szCs w:val="20"/>
        </w:rPr>
        <w:t xml:space="preserve"> menace in stakeholder consultations: waste is deposited illegally or littered. Suggestions by civil society organi</w:t>
      </w:r>
      <w:r w:rsidR="004E7B64">
        <w:rPr>
          <w:rFonts w:ascii="Arial" w:hAnsi="Arial" w:cs="Arial"/>
          <w:sz w:val="20"/>
          <w:szCs w:val="20"/>
        </w:rPr>
        <w:t>sation</w:t>
      </w:r>
      <w:r w:rsidRPr="003516DC">
        <w:rPr>
          <w:rFonts w:ascii="Arial" w:hAnsi="Arial" w:cs="Arial"/>
          <w:sz w:val="20"/>
          <w:szCs w:val="20"/>
        </w:rPr>
        <w:t xml:space="preserve">s included better waste collection systems, overseeing and sanctions, as well as education. There has been no significant entrepreneurial activity in waste processing/recycling field, but an agreement that this sector needs to be developed. </w:t>
      </w:r>
    </w:p>
    <w:p w14:paraId="1713110B" w14:textId="6D8F9E80" w:rsidR="004B3189" w:rsidRPr="003516DC" w:rsidRDefault="004B3189" w:rsidP="0088065B">
      <w:pPr>
        <w:spacing w:after="120"/>
        <w:jc w:val="both"/>
        <w:rPr>
          <w:rFonts w:ascii="Arial" w:hAnsi="Arial" w:cs="Arial"/>
          <w:sz w:val="20"/>
          <w:szCs w:val="20"/>
        </w:rPr>
      </w:pPr>
      <w:r w:rsidRPr="003516DC">
        <w:rPr>
          <w:rFonts w:ascii="Arial" w:hAnsi="Arial" w:cs="Arial"/>
          <w:sz w:val="20"/>
          <w:szCs w:val="20"/>
        </w:rPr>
        <w:lastRenderedPageBreak/>
        <w:t xml:space="preserve">Another environmental aspect mentioned across consultations is the opportunity to clean up and restore natural habitats across the county, especially those in the proximity of urban </w:t>
      </w:r>
      <w:r w:rsidR="008434DC" w:rsidRPr="003516DC">
        <w:rPr>
          <w:rFonts w:ascii="Arial" w:hAnsi="Arial" w:cs="Arial"/>
          <w:sz w:val="20"/>
          <w:szCs w:val="20"/>
        </w:rPr>
        <w:t>centres</w:t>
      </w:r>
      <w:r w:rsidRPr="003516DC">
        <w:rPr>
          <w:rFonts w:ascii="Arial" w:hAnsi="Arial" w:cs="Arial"/>
          <w:sz w:val="20"/>
          <w:szCs w:val="20"/>
        </w:rPr>
        <w:t xml:space="preserve"> – such as wetlands in the peri-urban area of </w:t>
      </w:r>
      <w:r w:rsidR="003751DC">
        <w:rPr>
          <w:rFonts w:ascii="Arial" w:hAnsi="Arial" w:cs="Arial"/>
          <w:sz w:val="20"/>
          <w:szCs w:val="20"/>
        </w:rPr>
        <w:t>Galați</w:t>
      </w:r>
      <w:r w:rsidRPr="003516DC">
        <w:rPr>
          <w:rFonts w:ascii="Arial" w:hAnsi="Arial" w:cs="Arial"/>
          <w:sz w:val="20"/>
          <w:szCs w:val="20"/>
        </w:rPr>
        <w:t xml:space="preserve"> – affected by anthropic activity and waste littering. This has been presented as a great opportunity for the multiple ecosystem services provided: diminishing of air pollution, promotion of attractive green mobility corridors</w:t>
      </w:r>
      <w:r w:rsidR="009B16C9" w:rsidRPr="003516DC">
        <w:rPr>
          <w:rFonts w:ascii="Arial" w:hAnsi="Arial" w:cs="Arial"/>
          <w:sz w:val="20"/>
          <w:szCs w:val="20"/>
        </w:rPr>
        <w:t>,</w:t>
      </w:r>
      <w:r w:rsidRPr="003516DC">
        <w:rPr>
          <w:rFonts w:ascii="Arial" w:hAnsi="Arial" w:cs="Arial"/>
          <w:sz w:val="20"/>
          <w:szCs w:val="20"/>
        </w:rPr>
        <w:t xml:space="preserve"> etc.   </w:t>
      </w:r>
    </w:p>
    <w:p w14:paraId="05DD241D" w14:textId="29A2EB55" w:rsidR="00F96305" w:rsidRPr="003516DC" w:rsidRDefault="00FF56AC" w:rsidP="0088065B">
      <w:pPr>
        <w:spacing w:after="120"/>
        <w:jc w:val="both"/>
        <w:rPr>
          <w:rFonts w:ascii="Arial" w:hAnsi="Arial" w:cs="Arial"/>
          <w:color w:val="000000"/>
          <w:sz w:val="20"/>
          <w:szCs w:val="20"/>
          <w:lang w:eastAsia="ro-RO"/>
        </w:rPr>
      </w:pPr>
      <w:r w:rsidRPr="003516DC">
        <w:rPr>
          <w:rFonts w:ascii="Arial" w:hAnsi="Arial" w:cs="Arial"/>
          <w:sz w:val="20"/>
          <w:szCs w:val="20"/>
        </w:rPr>
        <w:t xml:space="preserve">Based on datasets </w:t>
      </w:r>
      <w:r w:rsidR="000B2330" w:rsidRPr="003516DC">
        <w:rPr>
          <w:rFonts w:ascii="Arial" w:hAnsi="Arial" w:cs="Arial"/>
          <w:sz w:val="20"/>
          <w:szCs w:val="20"/>
        </w:rPr>
        <w:t>from</w:t>
      </w:r>
      <w:r w:rsidRPr="003516DC">
        <w:rPr>
          <w:rFonts w:ascii="Arial" w:hAnsi="Arial" w:cs="Arial"/>
          <w:sz w:val="20"/>
          <w:szCs w:val="20"/>
        </w:rPr>
        <w:t xml:space="preserve"> </w:t>
      </w:r>
      <w:r w:rsidR="00D81A28" w:rsidRPr="003516DC">
        <w:rPr>
          <w:rFonts w:ascii="Arial" w:hAnsi="Arial" w:cs="Arial"/>
          <w:sz w:val="20"/>
          <w:szCs w:val="20"/>
        </w:rPr>
        <w:t xml:space="preserve">the </w:t>
      </w:r>
      <w:r w:rsidRPr="003516DC">
        <w:rPr>
          <w:rFonts w:ascii="Arial" w:hAnsi="Arial" w:cs="Arial"/>
          <w:sz w:val="20"/>
          <w:szCs w:val="20"/>
        </w:rPr>
        <w:t>National Agency for Environmental Protection</w:t>
      </w:r>
      <w:r w:rsidR="00D81A28" w:rsidRPr="003516DC">
        <w:rPr>
          <w:rStyle w:val="FootnoteReference"/>
          <w:rFonts w:ascii="Arial" w:hAnsi="Arial" w:cs="Arial"/>
          <w:sz w:val="20"/>
          <w:szCs w:val="20"/>
        </w:rPr>
        <w:footnoteReference w:id="147"/>
      </w:r>
      <w:r w:rsidRPr="003516DC">
        <w:rPr>
          <w:rFonts w:ascii="Arial" w:hAnsi="Arial" w:cs="Arial"/>
          <w:sz w:val="20"/>
          <w:szCs w:val="20"/>
        </w:rPr>
        <w:t>,</w:t>
      </w:r>
      <w:r w:rsidR="009320BC" w:rsidRPr="003516DC">
        <w:rPr>
          <w:rFonts w:ascii="Arial" w:hAnsi="Arial" w:cs="Arial"/>
          <w:sz w:val="20"/>
          <w:szCs w:val="20"/>
        </w:rPr>
        <w:t xml:space="preserve"> </w:t>
      </w:r>
      <w:r w:rsidRPr="003516DC">
        <w:rPr>
          <w:rFonts w:ascii="Arial" w:hAnsi="Arial" w:cs="Arial"/>
          <w:sz w:val="20"/>
          <w:szCs w:val="20"/>
        </w:rPr>
        <w:t>190</w:t>
      </w:r>
      <w:r w:rsidR="005F3D44" w:rsidRPr="003516DC">
        <w:rPr>
          <w:rFonts w:ascii="Arial" w:hAnsi="Arial" w:cs="Arial"/>
          <w:sz w:val="20"/>
          <w:szCs w:val="20"/>
        </w:rPr>
        <w:t>.</w:t>
      </w:r>
      <w:r w:rsidRPr="003516DC">
        <w:rPr>
          <w:rFonts w:ascii="Arial" w:hAnsi="Arial" w:cs="Arial"/>
          <w:sz w:val="20"/>
          <w:szCs w:val="20"/>
        </w:rPr>
        <w:t>62 km</w:t>
      </w:r>
      <w:r w:rsidRPr="003516DC">
        <w:rPr>
          <w:rFonts w:ascii="Arial" w:hAnsi="Arial" w:cs="Arial"/>
          <w:sz w:val="20"/>
          <w:szCs w:val="20"/>
          <w:vertAlign w:val="superscript"/>
        </w:rPr>
        <w:t>2</w:t>
      </w:r>
      <w:r w:rsidRPr="003516DC">
        <w:rPr>
          <w:rFonts w:ascii="Arial" w:hAnsi="Arial" w:cs="Arial"/>
          <w:sz w:val="20"/>
          <w:szCs w:val="20"/>
        </w:rPr>
        <w:t xml:space="preserve"> </w:t>
      </w:r>
      <w:r w:rsidR="00F43E34" w:rsidRPr="003516DC">
        <w:rPr>
          <w:rFonts w:ascii="Arial" w:hAnsi="Arial" w:cs="Arial"/>
          <w:sz w:val="20"/>
          <w:szCs w:val="20"/>
        </w:rPr>
        <w:t xml:space="preserve">of </w:t>
      </w:r>
      <w:r w:rsidR="003751DC">
        <w:rPr>
          <w:rFonts w:ascii="Arial" w:hAnsi="Arial" w:cs="Arial"/>
          <w:sz w:val="20"/>
          <w:szCs w:val="20"/>
        </w:rPr>
        <w:t>Galați</w:t>
      </w:r>
      <w:r w:rsidR="00350AA9" w:rsidRPr="003516DC">
        <w:rPr>
          <w:rFonts w:ascii="Arial" w:hAnsi="Arial" w:cs="Arial"/>
          <w:sz w:val="20"/>
          <w:szCs w:val="20"/>
        </w:rPr>
        <w:t xml:space="preserve"> c</w:t>
      </w:r>
      <w:r w:rsidR="00F43E34" w:rsidRPr="003516DC">
        <w:rPr>
          <w:rFonts w:ascii="Arial" w:hAnsi="Arial" w:cs="Arial"/>
          <w:sz w:val="20"/>
          <w:szCs w:val="20"/>
        </w:rPr>
        <w:t xml:space="preserve">ounty </w:t>
      </w:r>
      <w:r w:rsidRPr="003516DC">
        <w:rPr>
          <w:rFonts w:ascii="Arial" w:hAnsi="Arial" w:cs="Arial"/>
          <w:sz w:val="20"/>
          <w:szCs w:val="20"/>
        </w:rPr>
        <w:t>(from a total of 4</w:t>
      </w:r>
      <w:r w:rsidR="005F3D44" w:rsidRPr="003516DC">
        <w:rPr>
          <w:rFonts w:ascii="Arial" w:hAnsi="Arial" w:cs="Arial"/>
          <w:sz w:val="20"/>
          <w:szCs w:val="20"/>
        </w:rPr>
        <w:t>,</w:t>
      </w:r>
      <w:r w:rsidRPr="003516DC">
        <w:rPr>
          <w:rFonts w:ascii="Arial" w:hAnsi="Arial" w:cs="Arial"/>
          <w:sz w:val="20"/>
          <w:szCs w:val="20"/>
        </w:rPr>
        <w:t>666</w:t>
      </w:r>
      <w:r w:rsidR="005F3D44" w:rsidRPr="003516DC">
        <w:rPr>
          <w:rFonts w:ascii="Arial" w:hAnsi="Arial" w:cs="Arial"/>
          <w:sz w:val="20"/>
          <w:szCs w:val="20"/>
        </w:rPr>
        <w:t>,</w:t>
      </w:r>
      <w:r w:rsidRPr="003516DC">
        <w:rPr>
          <w:rFonts w:ascii="Arial" w:hAnsi="Arial" w:cs="Arial"/>
          <w:sz w:val="20"/>
          <w:szCs w:val="20"/>
        </w:rPr>
        <w:t>000 km</w:t>
      </w:r>
      <w:r w:rsidRPr="003516DC">
        <w:rPr>
          <w:rFonts w:ascii="Arial" w:hAnsi="Arial" w:cs="Arial"/>
          <w:sz w:val="20"/>
          <w:szCs w:val="20"/>
          <w:vertAlign w:val="superscript"/>
        </w:rPr>
        <w:t>2</w:t>
      </w:r>
      <w:r w:rsidRPr="003516DC">
        <w:rPr>
          <w:rFonts w:ascii="Arial" w:hAnsi="Arial" w:cs="Arial"/>
          <w:sz w:val="20"/>
          <w:szCs w:val="20"/>
        </w:rPr>
        <w:t xml:space="preserve">) could be considered a </w:t>
      </w:r>
      <w:r w:rsidRPr="003516DC">
        <w:rPr>
          <w:rFonts w:ascii="Arial" w:hAnsi="Arial" w:cs="Arial"/>
          <w:b/>
          <w:bCs/>
          <w:sz w:val="20"/>
          <w:szCs w:val="20"/>
        </w:rPr>
        <w:t>brownfield sites</w:t>
      </w:r>
      <w:r w:rsidRPr="003516DC">
        <w:rPr>
          <w:rFonts w:ascii="Arial" w:hAnsi="Arial" w:cs="Arial"/>
          <w:sz w:val="20"/>
          <w:szCs w:val="20"/>
        </w:rPr>
        <w:t xml:space="preserve">. </w:t>
      </w:r>
      <w:r w:rsidR="0081263B" w:rsidRPr="003516DC">
        <w:rPr>
          <w:rFonts w:ascii="Arial" w:hAnsi="Arial" w:cs="Arial"/>
          <w:sz w:val="20"/>
          <w:szCs w:val="20"/>
        </w:rPr>
        <w:t xml:space="preserve">As </w:t>
      </w:r>
      <w:r w:rsidRPr="003516DC">
        <w:rPr>
          <w:rFonts w:ascii="Arial" w:hAnsi="Arial" w:cs="Arial"/>
          <w:sz w:val="20"/>
          <w:szCs w:val="20"/>
        </w:rPr>
        <w:t xml:space="preserve">former or current industrial sites with activity from the </w:t>
      </w:r>
      <w:r w:rsidR="00606190" w:rsidRPr="003516DC">
        <w:rPr>
          <w:rFonts w:ascii="Arial" w:hAnsi="Arial" w:cs="Arial"/>
          <w:sz w:val="20"/>
          <w:szCs w:val="20"/>
        </w:rPr>
        <w:t>19</w:t>
      </w:r>
      <w:r w:rsidRPr="003516DC">
        <w:rPr>
          <w:rFonts w:ascii="Arial" w:hAnsi="Arial" w:cs="Arial"/>
          <w:sz w:val="20"/>
          <w:szCs w:val="20"/>
        </w:rPr>
        <w:t>40s</w:t>
      </w:r>
      <w:r w:rsidR="00606190" w:rsidRPr="003516DC">
        <w:rPr>
          <w:rFonts w:ascii="Arial" w:hAnsi="Arial" w:cs="Arial"/>
          <w:sz w:val="20"/>
          <w:szCs w:val="20"/>
        </w:rPr>
        <w:t>,</w:t>
      </w:r>
      <w:r w:rsidRPr="003516DC">
        <w:rPr>
          <w:rFonts w:ascii="Arial" w:hAnsi="Arial" w:cs="Arial"/>
          <w:sz w:val="20"/>
          <w:szCs w:val="20"/>
        </w:rPr>
        <w:t xml:space="preserve"> </w:t>
      </w:r>
      <w:r w:rsidR="0081263B" w:rsidRPr="003516DC">
        <w:rPr>
          <w:rFonts w:ascii="Arial" w:hAnsi="Arial" w:cs="Arial"/>
          <w:sz w:val="20"/>
          <w:szCs w:val="20"/>
        </w:rPr>
        <w:t xml:space="preserve">these </w:t>
      </w:r>
      <w:r w:rsidR="007625A8" w:rsidRPr="003516DC">
        <w:rPr>
          <w:rFonts w:ascii="Arial" w:hAnsi="Arial" w:cs="Arial"/>
          <w:sz w:val="20"/>
          <w:szCs w:val="20"/>
        </w:rPr>
        <w:t>can be considered</w:t>
      </w:r>
      <w:r w:rsidRPr="003516DC">
        <w:rPr>
          <w:rFonts w:ascii="Arial" w:hAnsi="Arial" w:cs="Arial"/>
          <w:sz w:val="20"/>
          <w:szCs w:val="20"/>
        </w:rPr>
        <w:t xml:space="preserve"> historically polluted sites whether they have or not exceeded values in terms of pollution.</w:t>
      </w:r>
      <w:r w:rsidR="004D3C74" w:rsidRPr="003516DC">
        <w:rPr>
          <w:rFonts w:ascii="Arial" w:hAnsi="Arial" w:cs="Arial"/>
          <w:sz w:val="20"/>
          <w:szCs w:val="20"/>
        </w:rPr>
        <w:t xml:space="preserve"> To</w:t>
      </w:r>
      <w:r w:rsidRPr="003516DC">
        <w:rPr>
          <w:rFonts w:ascii="Arial" w:hAnsi="Arial" w:cs="Arial"/>
          <w:sz w:val="20"/>
          <w:szCs w:val="20"/>
        </w:rPr>
        <w:t xml:space="preserve"> implement future projects</w:t>
      </w:r>
      <w:r w:rsidR="00B53031" w:rsidRPr="003516DC">
        <w:rPr>
          <w:rFonts w:ascii="Arial" w:hAnsi="Arial" w:cs="Arial"/>
          <w:sz w:val="20"/>
          <w:szCs w:val="20"/>
        </w:rPr>
        <w:t>, an</w:t>
      </w:r>
      <w:r w:rsidRPr="003516DC">
        <w:rPr>
          <w:rFonts w:ascii="Arial" w:hAnsi="Arial" w:cs="Arial"/>
          <w:sz w:val="20"/>
          <w:szCs w:val="20"/>
        </w:rPr>
        <w:t xml:space="preserve"> environmental study must be conducted including laboratory test for </w:t>
      </w:r>
      <w:r w:rsidRPr="003516DC">
        <w:rPr>
          <w:rFonts w:ascii="Arial" w:hAnsi="Arial" w:cs="Arial"/>
          <w:color w:val="000000"/>
          <w:sz w:val="20"/>
          <w:szCs w:val="20"/>
          <w:lang w:eastAsia="ro-RO"/>
        </w:rPr>
        <w:t xml:space="preserve">pH, </w:t>
      </w:r>
      <w:r w:rsidR="004A2FC1" w:rsidRPr="003516DC">
        <w:rPr>
          <w:rFonts w:ascii="Arial" w:hAnsi="Arial" w:cs="Arial"/>
          <w:color w:val="000000"/>
          <w:sz w:val="20"/>
          <w:szCs w:val="20"/>
          <w:lang w:eastAsia="ro-RO"/>
        </w:rPr>
        <w:t>d</w:t>
      </w:r>
      <w:r w:rsidRPr="003516DC">
        <w:rPr>
          <w:rFonts w:ascii="Arial" w:hAnsi="Arial" w:cs="Arial"/>
          <w:color w:val="000000"/>
          <w:sz w:val="20"/>
          <w:szCs w:val="20"/>
          <w:lang w:eastAsia="ro-RO"/>
        </w:rPr>
        <w:t xml:space="preserve">ry matter, Nitrates, Nitrates, Sulfates, </w:t>
      </w:r>
      <w:r w:rsidR="004A2FC1" w:rsidRPr="003516DC">
        <w:rPr>
          <w:rFonts w:ascii="Arial" w:hAnsi="Arial" w:cs="Arial"/>
          <w:color w:val="000000"/>
          <w:sz w:val="20"/>
          <w:szCs w:val="20"/>
          <w:lang w:eastAsia="ro-RO"/>
        </w:rPr>
        <w:t>t</w:t>
      </w:r>
      <w:r w:rsidRPr="003516DC">
        <w:rPr>
          <w:rFonts w:ascii="Arial" w:hAnsi="Arial" w:cs="Arial"/>
          <w:color w:val="000000"/>
          <w:sz w:val="20"/>
          <w:szCs w:val="20"/>
          <w:lang w:eastAsia="ro-RO"/>
        </w:rPr>
        <w:t xml:space="preserve">otal cyanides, Iron, Cobalt, Cadmium, Copper, </w:t>
      </w:r>
      <w:r w:rsidR="004A2FC1" w:rsidRPr="003516DC">
        <w:rPr>
          <w:rFonts w:ascii="Arial" w:hAnsi="Arial" w:cs="Arial"/>
          <w:color w:val="000000"/>
          <w:sz w:val="20"/>
          <w:szCs w:val="20"/>
          <w:lang w:eastAsia="ro-RO"/>
        </w:rPr>
        <w:t>t</w:t>
      </w:r>
      <w:r w:rsidRPr="003516DC">
        <w:rPr>
          <w:rFonts w:ascii="Arial" w:hAnsi="Arial" w:cs="Arial"/>
          <w:color w:val="000000"/>
          <w:sz w:val="20"/>
          <w:szCs w:val="20"/>
          <w:lang w:eastAsia="ro-RO"/>
        </w:rPr>
        <w:t xml:space="preserve">otal </w:t>
      </w:r>
      <w:r w:rsidR="004A2FC1" w:rsidRPr="003516DC">
        <w:rPr>
          <w:rFonts w:ascii="Arial" w:hAnsi="Arial" w:cs="Arial"/>
          <w:color w:val="000000"/>
          <w:sz w:val="20"/>
          <w:szCs w:val="20"/>
          <w:lang w:eastAsia="ro-RO"/>
        </w:rPr>
        <w:t>C</w:t>
      </w:r>
      <w:r w:rsidRPr="003516DC">
        <w:rPr>
          <w:rFonts w:ascii="Arial" w:hAnsi="Arial" w:cs="Arial"/>
          <w:color w:val="000000"/>
          <w:sz w:val="20"/>
          <w:szCs w:val="20"/>
          <w:lang w:eastAsia="ro-RO"/>
        </w:rPr>
        <w:t xml:space="preserve">hromium, Nickel, Lead, Zinc, Arsenic, BTEX, Mercury and Petroleum products. In addition, over 90% of ANPM datasets for </w:t>
      </w:r>
      <w:r w:rsidR="006C793F" w:rsidRPr="003516DC">
        <w:rPr>
          <w:rFonts w:ascii="Arial" w:hAnsi="Arial" w:cs="Arial"/>
          <w:color w:val="000000"/>
          <w:sz w:val="20"/>
          <w:szCs w:val="20"/>
          <w:lang w:eastAsia="ro-RO"/>
        </w:rPr>
        <w:t>Galați</w:t>
      </w:r>
      <w:r w:rsidRPr="003516DC">
        <w:rPr>
          <w:rFonts w:ascii="Arial" w:hAnsi="Arial" w:cs="Arial"/>
          <w:color w:val="000000"/>
          <w:sz w:val="20"/>
          <w:szCs w:val="20"/>
          <w:lang w:eastAsia="ro-RO"/>
        </w:rPr>
        <w:t xml:space="preserve"> are private properties.</w:t>
      </w:r>
    </w:p>
    <w:p w14:paraId="11289B9C" w14:textId="1E8E5F1C" w:rsidR="002007F5" w:rsidRDefault="002007F5" w:rsidP="00E42342">
      <w:pPr>
        <w:pStyle w:val="ListParagraph"/>
        <w:numPr>
          <w:ilvl w:val="0"/>
          <w:numId w:val="309"/>
        </w:numPr>
        <w:spacing w:after="120"/>
        <w:jc w:val="both"/>
        <w:rPr>
          <w:color w:val="4F81BD" w:themeColor="accent1"/>
          <w:sz w:val="20"/>
          <w:szCs w:val="20"/>
        </w:rPr>
      </w:pPr>
      <w:r>
        <w:rPr>
          <w:color w:val="4F81BD" w:themeColor="accent1"/>
          <w:sz w:val="20"/>
          <w:szCs w:val="20"/>
        </w:rPr>
        <w:t>Socio-cultural level</w:t>
      </w:r>
    </w:p>
    <w:p w14:paraId="5468BCA6" w14:textId="6CE0A76F" w:rsidR="00D81A28" w:rsidRPr="00190BA4" w:rsidRDefault="00D81A28" w:rsidP="0088065B">
      <w:pPr>
        <w:spacing w:after="120"/>
        <w:jc w:val="both"/>
        <w:rPr>
          <w:rFonts w:ascii="Arial" w:hAnsi="Arial" w:cs="Arial"/>
          <w:sz w:val="20"/>
          <w:szCs w:val="20"/>
          <w:lang w:val="en-US"/>
        </w:rPr>
      </w:pPr>
      <w:r w:rsidRPr="00190BA4">
        <w:rPr>
          <w:rFonts w:ascii="Arial" w:hAnsi="Arial" w:cs="Arial"/>
          <w:sz w:val="20"/>
          <w:szCs w:val="20"/>
          <w:lang w:val="en-US"/>
        </w:rPr>
        <w:t>The accelerated urbani</w:t>
      </w:r>
      <w:r w:rsidR="00927776" w:rsidRPr="00190BA4">
        <w:rPr>
          <w:rFonts w:ascii="Arial" w:hAnsi="Arial" w:cs="Arial"/>
          <w:sz w:val="20"/>
          <w:szCs w:val="20"/>
          <w:lang w:val="en-US"/>
        </w:rPr>
        <w:t>s</w:t>
      </w:r>
      <w:r w:rsidRPr="00190BA4">
        <w:rPr>
          <w:rFonts w:ascii="Arial" w:hAnsi="Arial" w:cs="Arial"/>
          <w:sz w:val="20"/>
          <w:szCs w:val="20"/>
          <w:lang w:val="en-US"/>
        </w:rPr>
        <w:t xml:space="preserve">ation </w:t>
      </w:r>
      <w:r w:rsidR="00927776" w:rsidRPr="00190BA4">
        <w:rPr>
          <w:rFonts w:ascii="Arial" w:hAnsi="Arial" w:cs="Arial"/>
          <w:sz w:val="20"/>
          <w:szCs w:val="20"/>
          <w:lang w:val="en-US"/>
        </w:rPr>
        <w:t xml:space="preserve">during the </w:t>
      </w:r>
      <w:r w:rsidRPr="00190BA4">
        <w:rPr>
          <w:rFonts w:ascii="Arial" w:hAnsi="Arial" w:cs="Arial"/>
          <w:sz w:val="20"/>
          <w:szCs w:val="20"/>
          <w:lang w:val="en-US"/>
        </w:rPr>
        <w:t>communis</w:t>
      </w:r>
      <w:r w:rsidR="00927776" w:rsidRPr="00190BA4">
        <w:rPr>
          <w:rFonts w:ascii="Arial" w:hAnsi="Arial" w:cs="Arial"/>
          <w:sz w:val="20"/>
          <w:szCs w:val="20"/>
          <w:lang w:val="en-US"/>
        </w:rPr>
        <w:t>t</w:t>
      </w:r>
      <w:r w:rsidRPr="00190BA4">
        <w:rPr>
          <w:rFonts w:ascii="Arial" w:hAnsi="Arial" w:cs="Arial"/>
          <w:sz w:val="20"/>
          <w:szCs w:val="20"/>
          <w:lang w:val="en-US"/>
        </w:rPr>
        <w:t xml:space="preserve"> period and the intensity of deindustriali</w:t>
      </w:r>
      <w:r w:rsidR="00927776" w:rsidRPr="00190BA4">
        <w:rPr>
          <w:rFonts w:ascii="Arial" w:hAnsi="Arial" w:cs="Arial"/>
          <w:sz w:val="20"/>
          <w:szCs w:val="20"/>
          <w:lang w:val="en-US"/>
        </w:rPr>
        <w:t>s</w:t>
      </w:r>
      <w:r w:rsidRPr="00190BA4">
        <w:rPr>
          <w:rFonts w:ascii="Arial" w:hAnsi="Arial" w:cs="Arial"/>
          <w:sz w:val="20"/>
          <w:szCs w:val="20"/>
          <w:lang w:val="en-US"/>
        </w:rPr>
        <w:t xml:space="preserve">ation have generated significant increases </w:t>
      </w:r>
      <w:r w:rsidR="00927776" w:rsidRPr="00190BA4">
        <w:rPr>
          <w:rFonts w:ascii="Arial" w:hAnsi="Arial" w:cs="Arial"/>
          <w:sz w:val="20"/>
          <w:szCs w:val="20"/>
          <w:lang w:val="en-US"/>
        </w:rPr>
        <w:t xml:space="preserve">in </w:t>
      </w:r>
      <w:r w:rsidRPr="00190BA4">
        <w:rPr>
          <w:rFonts w:ascii="Arial" w:hAnsi="Arial" w:cs="Arial"/>
          <w:sz w:val="20"/>
          <w:szCs w:val="20"/>
          <w:lang w:val="en-US"/>
        </w:rPr>
        <w:t xml:space="preserve">the share of </w:t>
      </w:r>
      <w:r w:rsidRPr="00190BA4">
        <w:rPr>
          <w:rFonts w:ascii="Arial" w:hAnsi="Arial" w:cs="Arial"/>
          <w:b/>
          <w:bCs/>
          <w:sz w:val="20"/>
          <w:szCs w:val="20"/>
          <w:lang w:val="en-US"/>
        </w:rPr>
        <w:t>disadvantaged population</w:t>
      </w:r>
      <w:r w:rsidR="00927776" w:rsidRPr="00190BA4">
        <w:rPr>
          <w:rFonts w:ascii="Arial" w:hAnsi="Arial" w:cs="Arial"/>
          <w:b/>
          <w:bCs/>
          <w:sz w:val="20"/>
          <w:szCs w:val="20"/>
          <w:lang w:val="en-US"/>
        </w:rPr>
        <w:t>s</w:t>
      </w:r>
      <w:r w:rsidRPr="00190BA4">
        <w:rPr>
          <w:rFonts w:ascii="Arial" w:hAnsi="Arial" w:cs="Arial"/>
          <w:sz w:val="20"/>
          <w:szCs w:val="20"/>
          <w:lang w:val="en-US"/>
        </w:rPr>
        <w:t xml:space="preserve"> (over 30% of the urban population) and </w:t>
      </w:r>
      <w:r w:rsidR="00927776" w:rsidRPr="00190BA4">
        <w:rPr>
          <w:rFonts w:ascii="Arial" w:hAnsi="Arial" w:cs="Arial"/>
          <w:sz w:val="20"/>
          <w:szCs w:val="20"/>
          <w:lang w:val="en-US"/>
        </w:rPr>
        <w:t xml:space="preserve">high </w:t>
      </w:r>
      <w:r w:rsidRPr="00190BA4">
        <w:rPr>
          <w:rFonts w:ascii="Arial" w:hAnsi="Arial" w:cs="Arial"/>
          <w:sz w:val="20"/>
          <w:szCs w:val="20"/>
          <w:lang w:val="en-US"/>
        </w:rPr>
        <w:t xml:space="preserve">concentrations of accentuated poverty in certain areas. </w:t>
      </w:r>
      <w:r w:rsidR="00927776" w:rsidRPr="00190BA4">
        <w:rPr>
          <w:rFonts w:ascii="Arial" w:hAnsi="Arial" w:cs="Arial"/>
          <w:sz w:val="20"/>
          <w:szCs w:val="20"/>
          <w:lang w:val="en-US"/>
        </w:rPr>
        <w:t>The</w:t>
      </w:r>
      <w:r w:rsidRPr="00190BA4">
        <w:rPr>
          <w:rFonts w:ascii="Arial" w:hAnsi="Arial" w:cs="Arial"/>
          <w:sz w:val="20"/>
          <w:szCs w:val="20"/>
          <w:lang w:val="en-US"/>
        </w:rPr>
        <w:t xml:space="preserve"> </w:t>
      </w:r>
      <w:r w:rsidR="00927776" w:rsidRPr="00190BA4">
        <w:rPr>
          <w:rFonts w:ascii="Arial" w:hAnsi="Arial" w:cs="Arial"/>
          <w:sz w:val="20"/>
          <w:szCs w:val="20"/>
          <w:lang w:val="en-US"/>
        </w:rPr>
        <w:t xml:space="preserve">urban </w:t>
      </w:r>
      <w:r w:rsidRPr="00190BA4">
        <w:rPr>
          <w:rFonts w:ascii="Arial" w:hAnsi="Arial" w:cs="Arial"/>
          <w:sz w:val="20"/>
          <w:szCs w:val="20"/>
          <w:lang w:val="en-US"/>
        </w:rPr>
        <w:t>poor population is concentrated in blocks of flats and small informal settlements</w:t>
      </w:r>
      <w:r w:rsidR="00927776" w:rsidRPr="00190BA4">
        <w:rPr>
          <w:rFonts w:ascii="Arial" w:hAnsi="Arial" w:cs="Arial"/>
          <w:sz w:val="20"/>
          <w:szCs w:val="20"/>
          <w:lang w:val="en-US"/>
        </w:rPr>
        <w:t>.</w:t>
      </w:r>
      <w:r w:rsidR="00BA4D0D" w:rsidRPr="00190BA4">
        <w:rPr>
          <w:rFonts w:ascii="Arial" w:hAnsi="Arial" w:cs="Arial"/>
          <w:sz w:val="20"/>
          <w:szCs w:val="20"/>
          <w:lang w:val="en-US"/>
        </w:rPr>
        <w:t xml:space="preserve"> </w:t>
      </w:r>
      <w:r w:rsidR="00BA4D0D" w:rsidRPr="003516DC">
        <w:rPr>
          <w:rFonts w:ascii="Arial" w:hAnsi="Arial" w:cs="Arial"/>
          <w:sz w:val="20"/>
          <w:szCs w:val="20"/>
        </w:rPr>
        <w:t xml:space="preserve">Many of the informal settlements developed rapidly in the post-communist period </w:t>
      </w:r>
      <w:r w:rsidR="00F246C8" w:rsidRPr="003516DC">
        <w:rPr>
          <w:rFonts w:ascii="Arial" w:hAnsi="Arial" w:cs="Arial"/>
          <w:sz w:val="20"/>
          <w:szCs w:val="20"/>
        </w:rPr>
        <w:t>because of</w:t>
      </w:r>
      <w:r w:rsidR="00BA4D0D" w:rsidRPr="003516DC">
        <w:rPr>
          <w:rFonts w:ascii="Arial" w:hAnsi="Arial" w:cs="Arial"/>
          <w:sz w:val="20"/>
          <w:szCs w:val="20"/>
        </w:rPr>
        <w:t xml:space="preserve"> deindustriali</w:t>
      </w:r>
      <w:r w:rsidR="00F246C8">
        <w:rPr>
          <w:rFonts w:ascii="Arial" w:hAnsi="Arial" w:cs="Arial"/>
          <w:sz w:val="20"/>
          <w:szCs w:val="20"/>
        </w:rPr>
        <w:t>s</w:t>
      </w:r>
      <w:r w:rsidR="00BA4D0D" w:rsidRPr="003516DC">
        <w:rPr>
          <w:rFonts w:ascii="Arial" w:hAnsi="Arial" w:cs="Arial"/>
          <w:sz w:val="20"/>
          <w:szCs w:val="20"/>
        </w:rPr>
        <w:t>ation, job loss or eviction from nationali</w:t>
      </w:r>
      <w:r w:rsidR="00F246C8">
        <w:rPr>
          <w:rFonts w:ascii="Arial" w:hAnsi="Arial" w:cs="Arial"/>
          <w:sz w:val="20"/>
          <w:szCs w:val="20"/>
        </w:rPr>
        <w:t>s</w:t>
      </w:r>
      <w:r w:rsidR="00BA4D0D" w:rsidRPr="003516DC">
        <w:rPr>
          <w:rFonts w:ascii="Arial" w:hAnsi="Arial" w:cs="Arial"/>
          <w:sz w:val="20"/>
          <w:szCs w:val="20"/>
        </w:rPr>
        <w:t>ed housing that was returned to former owners. Disadvantaged communities have thus developed in isolated areas without access, social infrastructure or education, most often located on the outskirts of localities or near abandoned industrial platforms or urban landfills (on industrial land contaminated or affected by risks natural, biological or technological).</w:t>
      </w:r>
      <w:r w:rsidRPr="00190BA4">
        <w:rPr>
          <w:rFonts w:ascii="Arial" w:hAnsi="Arial" w:cs="Arial"/>
          <w:sz w:val="20"/>
          <w:szCs w:val="20"/>
          <w:lang w:val="en-US"/>
        </w:rPr>
        <w:t xml:space="preserve"> </w:t>
      </w:r>
      <w:r w:rsidR="00927776" w:rsidRPr="00190BA4">
        <w:rPr>
          <w:rFonts w:ascii="Arial" w:hAnsi="Arial" w:cs="Arial"/>
          <w:sz w:val="20"/>
          <w:szCs w:val="20"/>
          <w:lang w:val="en-US"/>
        </w:rPr>
        <w:t>I</w:t>
      </w:r>
      <w:r w:rsidRPr="00190BA4">
        <w:rPr>
          <w:rFonts w:ascii="Arial" w:hAnsi="Arial" w:cs="Arial"/>
          <w:sz w:val="20"/>
          <w:szCs w:val="20"/>
          <w:lang w:val="en-US"/>
        </w:rPr>
        <w:t>n rural areas</w:t>
      </w:r>
      <w:r w:rsidR="00927776" w:rsidRPr="00190BA4">
        <w:rPr>
          <w:rFonts w:ascii="Arial" w:hAnsi="Arial" w:cs="Arial"/>
          <w:sz w:val="20"/>
          <w:szCs w:val="20"/>
          <w:lang w:val="en-US"/>
        </w:rPr>
        <w:t>,</w:t>
      </w:r>
      <w:r w:rsidRPr="00190BA4">
        <w:rPr>
          <w:rFonts w:ascii="Arial" w:hAnsi="Arial" w:cs="Arial"/>
          <w:sz w:val="20"/>
          <w:szCs w:val="20"/>
          <w:lang w:val="en-US"/>
        </w:rPr>
        <w:t xml:space="preserve"> there are 11 informal settlements </w:t>
      </w:r>
      <w:r w:rsidR="00927776" w:rsidRPr="00190BA4">
        <w:rPr>
          <w:rFonts w:ascii="Arial" w:hAnsi="Arial" w:cs="Arial"/>
          <w:sz w:val="20"/>
          <w:szCs w:val="20"/>
          <w:lang w:val="en-US"/>
        </w:rPr>
        <w:t>with more than</w:t>
      </w:r>
      <w:r w:rsidRPr="00190BA4">
        <w:rPr>
          <w:rFonts w:ascii="Arial" w:hAnsi="Arial" w:cs="Arial"/>
          <w:sz w:val="20"/>
          <w:szCs w:val="20"/>
          <w:lang w:val="en-US"/>
        </w:rPr>
        <w:t xml:space="preserve"> 7</w:t>
      </w:r>
      <w:r w:rsidR="00927776" w:rsidRPr="00190BA4">
        <w:rPr>
          <w:rFonts w:ascii="Arial" w:hAnsi="Arial" w:cs="Arial"/>
          <w:sz w:val="20"/>
          <w:szCs w:val="20"/>
          <w:lang w:val="en-US"/>
        </w:rPr>
        <w:t>,</w:t>
      </w:r>
      <w:r w:rsidRPr="00190BA4">
        <w:rPr>
          <w:rFonts w:ascii="Arial" w:hAnsi="Arial" w:cs="Arial"/>
          <w:sz w:val="20"/>
          <w:szCs w:val="20"/>
          <w:lang w:val="en-US"/>
        </w:rPr>
        <w:t xml:space="preserve">000 </w:t>
      </w:r>
      <w:r w:rsidR="00927776" w:rsidRPr="00190BA4">
        <w:rPr>
          <w:rFonts w:ascii="Arial" w:hAnsi="Arial" w:cs="Arial"/>
          <w:sz w:val="20"/>
          <w:szCs w:val="20"/>
          <w:lang w:val="en-US"/>
        </w:rPr>
        <w:t>inhabitants</w:t>
      </w:r>
      <w:r w:rsidRPr="00190BA4">
        <w:rPr>
          <w:rFonts w:ascii="Arial" w:hAnsi="Arial" w:cs="Arial"/>
          <w:sz w:val="20"/>
          <w:szCs w:val="20"/>
          <w:lang w:val="en-US"/>
        </w:rPr>
        <w:t>. The lack of economic opportunities in small towns (</w:t>
      </w:r>
      <w:r w:rsidR="0081665E" w:rsidRPr="00190BA4">
        <w:rPr>
          <w:rFonts w:ascii="Arial" w:hAnsi="Arial" w:cs="Arial"/>
          <w:sz w:val="20"/>
          <w:szCs w:val="20"/>
          <w:lang w:val="en-US"/>
        </w:rPr>
        <w:t xml:space="preserve">e.g., </w:t>
      </w:r>
      <w:r w:rsidRPr="00190BA4">
        <w:rPr>
          <w:rFonts w:ascii="Arial" w:hAnsi="Arial" w:cs="Arial"/>
          <w:sz w:val="20"/>
          <w:szCs w:val="20"/>
          <w:lang w:val="en-US"/>
        </w:rPr>
        <w:t xml:space="preserve">Tecuci, Târgu Frumos) </w:t>
      </w:r>
      <w:r w:rsidR="00456534" w:rsidRPr="00190BA4">
        <w:rPr>
          <w:rFonts w:ascii="Arial" w:hAnsi="Arial" w:cs="Arial"/>
          <w:sz w:val="20"/>
          <w:szCs w:val="20"/>
          <w:lang w:val="en-US"/>
        </w:rPr>
        <w:t xml:space="preserve">means they are not very </w:t>
      </w:r>
      <w:r w:rsidRPr="00190BA4">
        <w:rPr>
          <w:rFonts w:ascii="Arial" w:hAnsi="Arial" w:cs="Arial"/>
          <w:sz w:val="20"/>
          <w:szCs w:val="20"/>
          <w:lang w:val="en-US"/>
        </w:rPr>
        <w:t>attractive</w:t>
      </w:r>
      <w:r w:rsidR="00456534" w:rsidRPr="00190BA4">
        <w:rPr>
          <w:rFonts w:ascii="Arial" w:hAnsi="Arial" w:cs="Arial"/>
          <w:sz w:val="20"/>
          <w:szCs w:val="20"/>
          <w:lang w:val="en-US"/>
        </w:rPr>
        <w:t xml:space="preserve"> for outsiders and</w:t>
      </w:r>
      <w:r w:rsidRPr="00190BA4">
        <w:rPr>
          <w:rFonts w:ascii="Arial" w:hAnsi="Arial" w:cs="Arial"/>
          <w:sz w:val="20"/>
          <w:szCs w:val="20"/>
          <w:lang w:val="en-US"/>
        </w:rPr>
        <w:t xml:space="preserve"> also </w:t>
      </w:r>
      <w:r w:rsidR="00D80E63" w:rsidRPr="00190BA4">
        <w:rPr>
          <w:rFonts w:ascii="Arial" w:hAnsi="Arial" w:cs="Arial"/>
          <w:sz w:val="20"/>
          <w:szCs w:val="20"/>
          <w:lang w:val="en-US"/>
        </w:rPr>
        <w:t xml:space="preserve">tend to </w:t>
      </w:r>
      <w:r w:rsidR="00F364A2" w:rsidRPr="00190BA4">
        <w:rPr>
          <w:rFonts w:ascii="Arial" w:hAnsi="Arial" w:cs="Arial"/>
          <w:sz w:val="20"/>
          <w:szCs w:val="20"/>
          <w:lang w:val="en-US"/>
        </w:rPr>
        <w:t>already have</w:t>
      </w:r>
      <w:r w:rsidR="00D80E63" w:rsidRPr="00190BA4">
        <w:rPr>
          <w:rFonts w:ascii="Arial" w:hAnsi="Arial" w:cs="Arial"/>
          <w:sz w:val="20"/>
          <w:szCs w:val="20"/>
          <w:lang w:val="en-US"/>
        </w:rPr>
        <w:t xml:space="preserve"> a </w:t>
      </w:r>
      <w:r w:rsidRPr="00190BA4">
        <w:rPr>
          <w:rFonts w:ascii="Arial" w:hAnsi="Arial" w:cs="Arial"/>
          <w:sz w:val="20"/>
          <w:szCs w:val="20"/>
          <w:lang w:val="en-US"/>
        </w:rPr>
        <w:t>high share of disadvantaged population</w:t>
      </w:r>
      <w:r w:rsidR="003058EB" w:rsidRPr="00190BA4">
        <w:rPr>
          <w:rFonts w:ascii="Arial" w:hAnsi="Arial" w:cs="Arial"/>
          <w:sz w:val="20"/>
          <w:szCs w:val="20"/>
          <w:lang w:val="en-US"/>
        </w:rPr>
        <w:t>s</w:t>
      </w:r>
      <w:r w:rsidRPr="00190BA4">
        <w:rPr>
          <w:rFonts w:ascii="Arial" w:hAnsi="Arial" w:cs="Arial"/>
          <w:sz w:val="20"/>
          <w:szCs w:val="20"/>
          <w:lang w:val="en-US"/>
        </w:rPr>
        <w:t xml:space="preserve"> in terms of employment and housing. At the county level, the low number of social housing (536, 417</w:t>
      </w:r>
      <w:r w:rsidR="003058EB" w:rsidRPr="00190BA4">
        <w:rPr>
          <w:rFonts w:ascii="Arial" w:hAnsi="Arial" w:cs="Arial"/>
          <w:sz w:val="20"/>
          <w:szCs w:val="20"/>
          <w:lang w:val="en-US"/>
        </w:rPr>
        <w:t xml:space="preserve"> of which are</w:t>
      </w:r>
      <w:r w:rsidRPr="00190BA4">
        <w:rPr>
          <w:rFonts w:ascii="Arial" w:hAnsi="Arial" w:cs="Arial"/>
          <w:sz w:val="20"/>
          <w:szCs w:val="20"/>
          <w:lang w:val="en-US"/>
        </w:rPr>
        <w:t xml:space="preserve"> in </w:t>
      </w:r>
      <w:r w:rsidR="003751DC" w:rsidRPr="00190BA4">
        <w:rPr>
          <w:rFonts w:ascii="Arial" w:hAnsi="Arial" w:cs="Arial"/>
          <w:sz w:val="20"/>
          <w:szCs w:val="20"/>
          <w:lang w:val="en-US"/>
        </w:rPr>
        <w:t>Galați</w:t>
      </w:r>
      <w:r w:rsidRPr="00190BA4">
        <w:rPr>
          <w:rFonts w:ascii="Arial" w:hAnsi="Arial" w:cs="Arial"/>
          <w:sz w:val="20"/>
          <w:szCs w:val="20"/>
          <w:lang w:val="en-US"/>
        </w:rPr>
        <w:t>) does not favor the access and integration of vulnerable groups. The typology proposed by the Atlas of Marginalized Urban Areas in Romania (2015) identifies several categories of marginali</w:t>
      </w:r>
      <w:r w:rsidR="00232D27" w:rsidRPr="00190BA4">
        <w:rPr>
          <w:rFonts w:ascii="Arial" w:hAnsi="Arial" w:cs="Arial"/>
          <w:sz w:val="20"/>
          <w:szCs w:val="20"/>
          <w:lang w:val="en-US"/>
        </w:rPr>
        <w:t>s</w:t>
      </w:r>
      <w:r w:rsidRPr="00190BA4">
        <w:rPr>
          <w:rFonts w:ascii="Arial" w:hAnsi="Arial" w:cs="Arial"/>
          <w:sz w:val="20"/>
          <w:szCs w:val="20"/>
          <w:lang w:val="en-US"/>
        </w:rPr>
        <w:t xml:space="preserve">ed areas from the perspective of housing </w:t>
      </w:r>
      <w:r w:rsidR="00232D27" w:rsidRPr="00190BA4">
        <w:rPr>
          <w:rFonts w:ascii="Arial" w:hAnsi="Arial" w:cs="Arial"/>
          <w:sz w:val="20"/>
          <w:szCs w:val="20"/>
          <w:lang w:val="en-US"/>
        </w:rPr>
        <w:t xml:space="preserve">for the city of </w:t>
      </w:r>
      <w:r w:rsidR="003751DC" w:rsidRPr="00190BA4">
        <w:rPr>
          <w:rFonts w:ascii="Arial" w:hAnsi="Arial" w:cs="Arial"/>
          <w:sz w:val="20"/>
          <w:szCs w:val="20"/>
          <w:lang w:val="en-US"/>
        </w:rPr>
        <w:t>Galați</w:t>
      </w:r>
      <w:r w:rsidR="00232D27" w:rsidRPr="00190BA4">
        <w:rPr>
          <w:rFonts w:ascii="Arial" w:hAnsi="Arial" w:cs="Arial"/>
          <w:sz w:val="20"/>
          <w:szCs w:val="20"/>
          <w:lang w:val="en-US"/>
        </w:rPr>
        <w:t xml:space="preserve"> </w:t>
      </w:r>
      <w:r w:rsidRPr="00190BA4">
        <w:rPr>
          <w:rFonts w:ascii="Arial" w:hAnsi="Arial" w:cs="Arial"/>
          <w:sz w:val="20"/>
          <w:szCs w:val="20"/>
          <w:lang w:val="en-US"/>
        </w:rPr>
        <w:t>(which concentrates 6.75% of the city's population)</w:t>
      </w:r>
      <w:r w:rsidR="009D2D30" w:rsidRPr="00190BA4">
        <w:rPr>
          <w:rFonts w:ascii="Arial" w:hAnsi="Arial" w:cs="Arial"/>
          <w:sz w:val="20"/>
          <w:szCs w:val="20"/>
          <w:lang w:val="en-US"/>
        </w:rPr>
        <w:t>.</w:t>
      </w:r>
      <w:r w:rsidRPr="00190BA4">
        <w:rPr>
          <w:rFonts w:ascii="Arial" w:hAnsi="Arial" w:cs="Arial"/>
          <w:sz w:val="20"/>
          <w:szCs w:val="20"/>
          <w:lang w:val="en-US"/>
        </w:rPr>
        <w:t xml:space="preserve"> </w:t>
      </w:r>
      <w:r w:rsidR="009D2D30" w:rsidRPr="00190BA4">
        <w:rPr>
          <w:rFonts w:ascii="Arial" w:hAnsi="Arial" w:cs="Arial"/>
          <w:sz w:val="20"/>
          <w:szCs w:val="20"/>
          <w:lang w:val="en-US"/>
        </w:rPr>
        <w:t>A</w:t>
      </w:r>
      <w:r w:rsidRPr="00190BA4">
        <w:rPr>
          <w:rFonts w:ascii="Arial" w:hAnsi="Arial" w:cs="Arial"/>
          <w:sz w:val="20"/>
          <w:szCs w:val="20"/>
          <w:lang w:val="en-US"/>
        </w:rPr>
        <w:t>reas analy</w:t>
      </w:r>
      <w:r w:rsidR="009D2D30" w:rsidRPr="00190BA4">
        <w:rPr>
          <w:rFonts w:ascii="Arial" w:hAnsi="Arial" w:cs="Arial"/>
          <w:sz w:val="20"/>
          <w:szCs w:val="20"/>
          <w:lang w:val="en-US"/>
        </w:rPr>
        <w:t>s</w:t>
      </w:r>
      <w:r w:rsidRPr="00190BA4">
        <w:rPr>
          <w:rFonts w:ascii="Arial" w:hAnsi="Arial" w:cs="Arial"/>
          <w:sz w:val="20"/>
          <w:szCs w:val="20"/>
          <w:lang w:val="en-US"/>
        </w:rPr>
        <w:t>ed by Weber (2017)</w:t>
      </w:r>
      <w:r w:rsidR="005418B5" w:rsidRPr="00190BA4">
        <w:rPr>
          <w:rFonts w:ascii="Arial" w:hAnsi="Arial" w:cs="Arial"/>
          <w:sz w:val="20"/>
          <w:szCs w:val="20"/>
          <w:lang w:val="en-US"/>
        </w:rPr>
        <w:t xml:space="preserve"> include</w:t>
      </w:r>
      <w:r w:rsidRPr="00190BA4">
        <w:rPr>
          <w:rFonts w:ascii="Arial" w:hAnsi="Arial" w:cs="Arial"/>
          <w:sz w:val="20"/>
          <w:szCs w:val="20"/>
          <w:lang w:val="en-US"/>
        </w:rPr>
        <w:t xml:space="preserve">: area ghetto type with blocks - two large areas located in the north (Micro 40) and in the south (Micro 19); slum-type areas with makeshift shelters - on the shores of Cătușa pond, near the steel platform; at the base of the viaduct that connects the city and the </w:t>
      </w:r>
      <w:r w:rsidR="00E61934" w:rsidRPr="00190BA4">
        <w:rPr>
          <w:rFonts w:ascii="Arial" w:hAnsi="Arial" w:cs="Arial"/>
          <w:sz w:val="20"/>
          <w:szCs w:val="20"/>
          <w:lang w:val="en-US"/>
        </w:rPr>
        <w:t>plant</w:t>
      </w:r>
      <w:r w:rsidRPr="00190BA4">
        <w:rPr>
          <w:rFonts w:ascii="Arial" w:hAnsi="Arial" w:cs="Arial"/>
          <w:sz w:val="20"/>
          <w:szCs w:val="20"/>
          <w:lang w:val="en-US"/>
        </w:rPr>
        <w:t xml:space="preserve">; on the bank of the river Siret; along the railway from the northern area with orientation towards Lake Brateș etc (Figure </w:t>
      </w:r>
      <w:r w:rsidR="002007F5" w:rsidRPr="00190BA4">
        <w:rPr>
          <w:rFonts w:ascii="Arial" w:hAnsi="Arial" w:cs="Arial"/>
          <w:sz w:val="20"/>
          <w:szCs w:val="20"/>
          <w:lang w:val="en-US"/>
        </w:rPr>
        <w:t>2</w:t>
      </w:r>
      <w:r w:rsidR="00B1294D" w:rsidRPr="00190BA4">
        <w:rPr>
          <w:rFonts w:ascii="Arial" w:hAnsi="Arial" w:cs="Arial"/>
          <w:sz w:val="20"/>
          <w:szCs w:val="20"/>
          <w:lang w:val="en-US"/>
        </w:rPr>
        <w:t>6</w:t>
      </w:r>
      <w:r w:rsidRPr="00190BA4">
        <w:rPr>
          <w:rFonts w:ascii="Arial" w:hAnsi="Arial" w:cs="Arial"/>
          <w:sz w:val="20"/>
          <w:szCs w:val="20"/>
          <w:lang w:val="en-US"/>
        </w:rPr>
        <w:t>).</w:t>
      </w:r>
    </w:p>
    <w:p w14:paraId="71F88B79" w14:textId="4BFAA320" w:rsidR="00D81A28" w:rsidRPr="003516DC" w:rsidRDefault="00D81A28" w:rsidP="00D81A28">
      <w:pPr>
        <w:pStyle w:val="Caption"/>
      </w:pPr>
      <w:bookmarkStart w:id="335" w:name="_Toc90725953"/>
      <w:r w:rsidRPr="003516DC">
        <w:lastRenderedPageBreak/>
        <w:t xml:space="preserve">Figure </w:t>
      </w:r>
      <w:r w:rsidR="0040363E" w:rsidRPr="003516DC">
        <w:rPr>
          <w:noProof/>
        </w:rPr>
        <w:fldChar w:fldCharType="begin"/>
      </w:r>
      <w:r w:rsidR="0040363E" w:rsidRPr="003516DC">
        <w:rPr>
          <w:noProof/>
        </w:rPr>
        <w:instrText xml:space="preserve"> SEQ Figure \* ARABIC </w:instrText>
      </w:r>
      <w:r w:rsidR="0040363E" w:rsidRPr="003516DC">
        <w:rPr>
          <w:noProof/>
        </w:rPr>
        <w:fldChar w:fldCharType="separate"/>
      </w:r>
      <w:r w:rsidR="007E5B0B">
        <w:rPr>
          <w:noProof/>
        </w:rPr>
        <w:t>26</w:t>
      </w:r>
      <w:r w:rsidR="0040363E" w:rsidRPr="003516DC">
        <w:rPr>
          <w:noProof/>
        </w:rPr>
        <w:fldChar w:fldCharType="end"/>
      </w:r>
      <w:r w:rsidRPr="003516DC">
        <w:rPr>
          <w:lang w:val="en-US"/>
        </w:rPr>
        <w:t xml:space="preserve">: </w:t>
      </w:r>
      <w:r w:rsidRPr="003516DC">
        <w:t>Types of marginali</w:t>
      </w:r>
      <w:r w:rsidR="0071134A" w:rsidRPr="003516DC">
        <w:t>s</w:t>
      </w:r>
      <w:r w:rsidRPr="003516DC">
        <w:t xml:space="preserve">ed urban communities identified in the Municipality of </w:t>
      </w:r>
      <w:r w:rsidR="003751DC">
        <w:t>Galați</w:t>
      </w:r>
      <w:bookmarkEnd w:id="335"/>
    </w:p>
    <w:p w14:paraId="4DF872D4" w14:textId="536B969D" w:rsidR="00D81A28" w:rsidRPr="003516DC" w:rsidRDefault="00D81A28" w:rsidP="00D81A28">
      <w:pPr>
        <w:rPr>
          <w:rFonts w:ascii="Arial" w:hAnsi="Arial" w:cs="Arial"/>
          <w:lang w:val="en-US"/>
        </w:rPr>
      </w:pPr>
      <w:r w:rsidRPr="003516DC">
        <w:rPr>
          <w:rFonts w:ascii="Arial" w:hAnsi="Arial" w:cs="Arial"/>
          <w:noProof/>
          <w:lang w:val="en-US" w:eastAsia="en-US"/>
        </w:rPr>
        <w:drawing>
          <wp:inline distT="0" distB="0" distL="0" distR="0" wp14:anchorId="7FA052D3" wp14:editId="365B7F97">
            <wp:extent cx="5678424" cy="3081528"/>
            <wp:effectExtent l="0" t="0" r="0" b="508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678424" cy="3081528"/>
                    </a:xfrm>
                    <a:prstGeom prst="rect">
                      <a:avLst/>
                    </a:prstGeom>
                  </pic:spPr>
                </pic:pic>
              </a:graphicData>
            </a:graphic>
          </wp:inline>
        </w:drawing>
      </w:r>
    </w:p>
    <w:p w14:paraId="617DF7AC" w14:textId="5EF88165" w:rsidR="00D81A28" w:rsidRPr="003516DC" w:rsidRDefault="00D81A28" w:rsidP="00D81A28">
      <w:pPr>
        <w:rPr>
          <w:rFonts w:ascii="Arial" w:hAnsi="Arial" w:cs="Arial"/>
          <w:i/>
          <w:iCs/>
          <w:sz w:val="16"/>
          <w:szCs w:val="16"/>
          <w:lang w:val="en-US"/>
        </w:rPr>
      </w:pPr>
      <w:r w:rsidRPr="003516DC">
        <w:rPr>
          <w:rFonts w:ascii="Arial" w:hAnsi="Arial" w:cs="Arial"/>
          <w:i/>
          <w:iCs/>
          <w:sz w:val="16"/>
          <w:szCs w:val="16"/>
          <w:lang w:val="en-US"/>
        </w:rPr>
        <w:t>Source:</w:t>
      </w:r>
      <w:r w:rsidRPr="003516DC">
        <w:rPr>
          <w:rFonts w:ascii="Arial" w:hAnsi="Arial" w:cs="Arial"/>
        </w:rPr>
        <w:t xml:space="preserve"> </w:t>
      </w:r>
      <w:r w:rsidRPr="003516DC">
        <w:rPr>
          <w:rFonts w:ascii="Arial" w:hAnsi="Arial" w:cs="Arial"/>
          <w:i/>
          <w:iCs/>
          <w:sz w:val="16"/>
          <w:szCs w:val="16"/>
          <w:lang w:val="en-US"/>
        </w:rPr>
        <w:t>Weber, 2017</w:t>
      </w:r>
    </w:p>
    <w:p w14:paraId="78873843" w14:textId="68E10A8B" w:rsidR="00FF56AC" w:rsidRDefault="00FF56AC" w:rsidP="004B3189">
      <w:pPr>
        <w:jc w:val="both"/>
        <w:rPr>
          <w:rFonts w:ascii="Arial" w:hAnsi="Arial" w:cs="Arial"/>
          <w:sz w:val="20"/>
          <w:szCs w:val="20"/>
        </w:rPr>
      </w:pPr>
    </w:p>
    <w:p w14:paraId="6C8F9EA2" w14:textId="74678431" w:rsidR="002007F5" w:rsidRDefault="002007F5" w:rsidP="00E42342">
      <w:pPr>
        <w:pStyle w:val="ListParagraph"/>
        <w:numPr>
          <w:ilvl w:val="0"/>
          <w:numId w:val="310"/>
        </w:numPr>
        <w:spacing w:after="120"/>
        <w:jc w:val="both"/>
        <w:rPr>
          <w:color w:val="4F81BD" w:themeColor="accent1"/>
          <w:sz w:val="20"/>
          <w:szCs w:val="20"/>
        </w:rPr>
      </w:pPr>
      <w:r>
        <w:rPr>
          <w:color w:val="4F81BD" w:themeColor="accent1"/>
          <w:sz w:val="20"/>
          <w:szCs w:val="20"/>
        </w:rPr>
        <w:t>Digitalisation and technology transfer</w:t>
      </w:r>
    </w:p>
    <w:p w14:paraId="1814105A" w14:textId="5795587C" w:rsidR="00E93D73" w:rsidRPr="00402580" w:rsidRDefault="00E93D73" w:rsidP="002007F5">
      <w:pPr>
        <w:pStyle w:val="Caption"/>
        <w:spacing w:before="0"/>
        <w:ind w:left="0" w:firstLine="0"/>
        <w:jc w:val="both"/>
        <w:rPr>
          <w:b w:val="0"/>
          <w:bCs/>
          <w:color w:val="auto"/>
          <w:lang w:val="ro-RO"/>
        </w:rPr>
      </w:pPr>
      <w:r w:rsidRPr="00402580">
        <w:rPr>
          <w:b w:val="0"/>
          <w:bCs/>
          <w:color w:val="auto"/>
        </w:rPr>
        <w:t xml:space="preserve">The R&amp;D expenditures </w:t>
      </w:r>
      <w:r w:rsidR="005829E8">
        <w:rPr>
          <w:b w:val="0"/>
          <w:bCs/>
          <w:color w:val="auto"/>
        </w:rPr>
        <w:t>as a percentage of</w:t>
      </w:r>
      <w:r w:rsidRPr="00402580">
        <w:rPr>
          <w:b w:val="0"/>
          <w:bCs/>
          <w:color w:val="auto"/>
        </w:rPr>
        <w:t xml:space="preserve"> GDP recorded an increase during 2014-2018 in line with the national average</w:t>
      </w:r>
      <w:r w:rsidR="005829E8">
        <w:rPr>
          <w:b w:val="0"/>
          <w:bCs/>
          <w:color w:val="auto"/>
        </w:rPr>
        <w:t xml:space="preserve">. </w:t>
      </w:r>
      <w:r w:rsidR="003751DC">
        <w:rPr>
          <w:b w:val="0"/>
          <w:bCs/>
          <w:color w:val="auto"/>
        </w:rPr>
        <w:t>Galați</w:t>
      </w:r>
      <w:r w:rsidRPr="00402580">
        <w:rPr>
          <w:b w:val="0"/>
          <w:bCs/>
          <w:color w:val="auto"/>
        </w:rPr>
        <w:t xml:space="preserve"> </w:t>
      </w:r>
      <w:r w:rsidR="005829E8">
        <w:rPr>
          <w:b w:val="0"/>
          <w:bCs/>
          <w:color w:val="auto"/>
        </w:rPr>
        <w:t>is</w:t>
      </w:r>
      <w:r w:rsidRPr="00402580">
        <w:rPr>
          <w:b w:val="0"/>
          <w:bCs/>
          <w:color w:val="auto"/>
        </w:rPr>
        <w:t xml:space="preserve"> the most dynamic in terms of positive evolution out </w:t>
      </w:r>
      <w:r w:rsidRPr="00402580">
        <w:rPr>
          <w:b w:val="0"/>
          <w:bCs/>
          <w:color w:val="auto"/>
          <w:lang w:val="ro-RO"/>
        </w:rPr>
        <w:t xml:space="preserve">of the six affected regions and </w:t>
      </w:r>
      <w:r w:rsidR="005829E8">
        <w:rPr>
          <w:b w:val="0"/>
          <w:bCs/>
          <w:color w:val="auto"/>
          <w:lang w:val="ro-RO"/>
        </w:rPr>
        <w:t xml:space="preserve">is </w:t>
      </w:r>
      <w:r w:rsidRPr="00402580">
        <w:rPr>
          <w:b w:val="0"/>
          <w:bCs/>
          <w:color w:val="auto"/>
          <w:lang w:val="ro-RO"/>
        </w:rPr>
        <w:t>six time</w:t>
      </w:r>
      <w:r w:rsidR="005829E8">
        <w:rPr>
          <w:b w:val="0"/>
          <w:bCs/>
          <w:color w:val="auto"/>
          <w:lang w:val="ro-RO"/>
        </w:rPr>
        <w:t>s</w:t>
      </w:r>
      <w:r w:rsidRPr="00402580">
        <w:rPr>
          <w:b w:val="0"/>
          <w:bCs/>
          <w:color w:val="auto"/>
          <w:lang w:val="ro-RO"/>
        </w:rPr>
        <w:t xml:space="preserve"> higher than South-East </w:t>
      </w:r>
      <w:r w:rsidR="005829E8">
        <w:rPr>
          <w:b w:val="0"/>
          <w:bCs/>
          <w:color w:val="auto"/>
          <w:lang w:val="ro-RO"/>
        </w:rPr>
        <w:t>R</w:t>
      </w:r>
      <w:r w:rsidRPr="00402580">
        <w:rPr>
          <w:b w:val="0"/>
          <w:bCs/>
          <w:color w:val="auto"/>
          <w:lang w:val="ro-RO"/>
        </w:rPr>
        <w:t xml:space="preserve">egion. </w:t>
      </w:r>
    </w:p>
    <w:p w14:paraId="0979D626" w14:textId="6182F538" w:rsidR="00EE7155" w:rsidRPr="003516DC" w:rsidRDefault="005E7D21" w:rsidP="00402580">
      <w:pPr>
        <w:pStyle w:val="Caption"/>
        <w:ind w:left="990" w:hanging="990"/>
      </w:pPr>
      <w:bookmarkStart w:id="336" w:name="_Toc90726028"/>
      <w:bookmarkStart w:id="337" w:name="_Toc90727325"/>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74</w:t>
      </w:r>
      <w:r w:rsidR="000B273D">
        <w:rPr>
          <w:noProof/>
        </w:rPr>
        <w:fldChar w:fldCharType="end"/>
      </w:r>
      <w:r>
        <w:t xml:space="preserve">: </w:t>
      </w:r>
      <w:r w:rsidR="00EE7155" w:rsidRPr="003516DC">
        <w:t xml:space="preserve">Share of R&amp;DI in GDP during 2014-2018 for </w:t>
      </w:r>
      <w:r w:rsidR="003751DC">
        <w:t>Galați</w:t>
      </w:r>
      <w:r w:rsidR="00EE7155" w:rsidRPr="003516DC">
        <w:t xml:space="preserve"> </w:t>
      </w:r>
      <w:r w:rsidR="005829E8">
        <w:t>C</w:t>
      </w:r>
      <w:r w:rsidR="00EE7155" w:rsidRPr="003516DC">
        <w:t xml:space="preserve">ounty, </w:t>
      </w:r>
      <w:r w:rsidR="00EE7155" w:rsidRPr="003516DC">
        <w:rPr>
          <w:lang w:val="en-US"/>
        </w:rPr>
        <w:t>South-East</w:t>
      </w:r>
      <w:r w:rsidR="00EE7155" w:rsidRPr="003516DC">
        <w:t xml:space="preserve"> Region and Romania</w:t>
      </w:r>
      <w:bookmarkEnd w:id="336"/>
      <w:bookmarkEnd w:id="337"/>
    </w:p>
    <w:tbl>
      <w:tblPr>
        <w:tblW w:w="4829" w:type="pct"/>
        <w:tblLayout w:type="fixed"/>
        <w:tblLook w:val="04A0" w:firstRow="1" w:lastRow="0" w:firstColumn="1" w:lastColumn="0" w:noHBand="0" w:noVBand="1"/>
      </w:tblPr>
      <w:tblGrid>
        <w:gridCol w:w="2964"/>
        <w:gridCol w:w="894"/>
        <w:gridCol w:w="893"/>
        <w:gridCol w:w="893"/>
        <w:gridCol w:w="893"/>
        <w:gridCol w:w="893"/>
        <w:gridCol w:w="1194"/>
      </w:tblGrid>
      <w:tr w:rsidR="00EE7155" w:rsidRPr="003516DC" w14:paraId="08C297B3" w14:textId="77777777" w:rsidTr="00EE7155">
        <w:trPr>
          <w:trHeight w:val="300"/>
        </w:trPr>
        <w:tc>
          <w:tcPr>
            <w:tcW w:w="1718" w:type="pct"/>
            <w:tcBorders>
              <w:top w:val="single" w:sz="4" w:space="0" w:color="auto"/>
              <w:left w:val="single" w:sz="4" w:space="0" w:color="auto"/>
              <w:bottom w:val="single" w:sz="4" w:space="0" w:color="auto"/>
              <w:right w:val="single" w:sz="4" w:space="0" w:color="auto"/>
            </w:tcBorders>
            <w:shd w:val="clear" w:color="auto" w:fill="002060"/>
            <w:noWrap/>
            <w:vAlign w:val="center"/>
          </w:tcPr>
          <w:p w14:paraId="6AC67EA9" w14:textId="77777777" w:rsidR="00EE7155" w:rsidRPr="003516DC" w:rsidRDefault="00EE7155" w:rsidP="006E60A3">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 xml:space="preserve">Share of R&amp;D in GDP (%) </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5BF617F2"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0B01972D"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2015</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57116147"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2016</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50CDC904"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2017</w:t>
            </w:r>
          </w:p>
        </w:tc>
        <w:tc>
          <w:tcPr>
            <w:tcW w:w="518" w:type="pct"/>
            <w:tcBorders>
              <w:top w:val="single" w:sz="4" w:space="0" w:color="auto"/>
              <w:left w:val="nil"/>
              <w:bottom w:val="single" w:sz="4" w:space="0" w:color="auto"/>
              <w:right w:val="single" w:sz="4" w:space="0" w:color="auto"/>
            </w:tcBorders>
            <w:shd w:val="clear" w:color="auto" w:fill="002060"/>
            <w:noWrap/>
            <w:vAlign w:val="center"/>
          </w:tcPr>
          <w:p w14:paraId="01A591B2"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2018</w:t>
            </w:r>
          </w:p>
        </w:tc>
        <w:tc>
          <w:tcPr>
            <w:tcW w:w="692" w:type="pct"/>
            <w:tcBorders>
              <w:top w:val="single" w:sz="4" w:space="0" w:color="auto"/>
              <w:left w:val="nil"/>
              <w:bottom w:val="single" w:sz="4" w:space="0" w:color="auto"/>
              <w:right w:val="single" w:sz="4" w:space="0" w:color="auto"/>
            </w:tcBorders>
            <w:shd w:val="clear" w:color="auto" w:fill="002060"/>
            <w:noWrap/>
            <w:vAlign w:val="center"/>
          </w:tcPr>
          <w:p w14:paraId="47D31B14" w14:textId="77777777" w:rsidR="00EE7155" w:rsidRPr="003516DC" w:rsidRDefault="00EE7155" w:rsidP="006E60A3">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2014/20118</w:t>
            </w:r>
          </w:p>
        </w:tc>
      </w:tr>
      <w:tr w:rsidR="00EE7155" w:rsidRPr="003516DC" w14:paraId="5B28C302" w14:textId="77777777" w:rsidTr="00D71982">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2C426D45" w14:textId="2EEF6877" w:rsidR="00EE7155" w:rsidRPr="003516DC" w:rsidRDefault="00EE7155" w:rsidP="00EE7155">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GL County</w:t>
            </w:r>
          </w:p>
        </w:tc>
        <w:tc>
          <w:tcPr>
            <w:tcW w:w="518" w:type="pct"/>
            <w:tcBorders>
              <w:top w:val="nil"/>
              <w:left w:val="nil"/>
              <w:bottom w:val="single" w:sz="4" w:space="0" w:color="auto"/>
              <w:right w:val="single" w:sz="4" w:space="0" w:color="auto"/>
            </w:tcBorders>
            <w:shd w:val="clear" w:color="auto" w:fill="auto"/>
            <w:noWrap/>
            <w:vAlign w:val="center"/>
          </w:tcPr>
          <w:p w14:paraId="0B66AF3C" w14:textId="5CB6A281"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0.04%</w:t>
            </w:r>
          </w:p>
        </w:tc>
        <w:tc>
          <w:tcPr>
            <w:tcW w:w="518" w:type="pct"/>
            <w:tcBorders>
              <w:top w:val="nil"/>
              <w:left w:val="nil"/>
              <w:bottom w:val="single" w:sz="4" w:space="0" w:color="auto"/>
              <w:right w:val="single" w:sz="4" w:space="0" w:color="auto"/>
            </w:tcBorders>
            <w:shd w:val="clear" w:color="auto" w:fill="auto"/>
            <w:noWrap/>
            <w:vAlign w:val="center"/>
          </w:tcPr>
          <w:p w14:paraId="7D5D48FD" w14:textId="658519DC"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0.07%</w:t>
            </w:r>
          </w:p>
        </w:tc>
        <w:tc>
          <w:tcPr>
            <w:tcW w:w="518" w:type="pct"/>
            <w:tcBorders>
              <w:top w:val="nil"/>
              <w:left w:val="nil"/>
              <w:bottom w:val="single" w:sz="4" w:space="0" w:color="auto"/>
              <w:right w:val="single" w:sz="4" w:space="0" w:color="auto"/>
            </w:tcBorders>
            <w:shd w:val="clear" w:color="auto" w:fill="auto"/>
            <w:noWrap/>
            <w:vAlign w:val="center"/>
          </w:tcPr>
          <w:p w14:paraId="7EC61AF3" w14:textId="3E3DF573"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0.14%</w:t>
            </w:r>
          </w:p>
        </w:tc>
        <w:tc>
          <w:tcPr>
            <w:tcW w:w="518" w:type="pct"/>
            <w:tcBorders>
              <w:top w:val="nil"/>
              <w:left w:val="nil"/>
              <w:bottom w:val="single" w:sz="4" w:space="0" w:color="auto"/>
              <w:right w:val="single" w:sz="4" w:space="0" w:color="auto"/>
            </w:tcBorders>
            <w:shd w:val="clear" w:color="auto" w:fill="auto"/>
            <w:noWrap/>
            <w:vAlign w:val="center"/>
          </w:tcPr>
          <w:p w14:paraId="1104E506" w14:textId="69FDFF29"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0.08%</w:t>
            </w:r>
          </w:p>
        </w:tc>
        <w:tc>
          <w:tcPr>
            <w:tcW w:w="518" w:type="pct"/>
            <w:tcBorders>
              <w:top w:val="nil"/>
              <w:left w:val="nil"/>
              <w:bottom w:val="single" w:sz="4" w:space="0" w:color="auto"/>
              <w:right w:val="single" w:sz="4" w:space="0" w:color="auto"/>
            </w:tcBorders>
            <w:shd w:val="clear" w:color="auto" w:fill="auto"/>
            <w:noWrap/>
            <w:vAlign w:val="center"/>
          </w:tcPr>
          <w:p w14:paraId="03D2DDB1" w14:textId="5032C58C"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0.16%</w:t>
            </w:r>
          </w:p>
        </w:tc>
        <w:tc>
          <w:tcPr>
            <w:tcW w:w="692" w:type="pct"/>
            <w:tcBorders>
              <w:top w:val="nil"/>
              <w:left w:val="nil"/>
              <w:bottom w:val="single" w:sz="4" w:space="0" w:color="auto"/>
              <w:right w:val="single" w:sz="4" w:space="0" w:color="auto"/>
            </w:tcBorders>
            <w:shd w:val="clear" w:color="auto" w:fill="auto"/>
            <w:noWrap/>
            <w:vAlign w:val="center"/>
          </w:tcPr>
          <w:p w14:paraId="4B8F7FDB" w14:textId="46D17D27" w:rsidR="00EE7155" w:rsidRPr="003516DC" w:rsidRDefault="00EE7155" w:rsidP="00EE7155">
            <w:pPr>
              <w:jc w:val="center"/>
              <w:textAlignment w:val="bottom"/>
              <w:rPr>
                <w:rFonts w:ascii="Arial" w:eastAsia="Times New Roman" w:hAnsi="Arial" w:cs="Arial"/>
                <w:color w:val="000000"/>
                <w:sz w:val="18"/>
                <w:szCs w:val="18"/>
                <w:lang w:val="en-US"/>
              </w:rPr>
            </w:pPr>
            <w:r w:rsidRPr="003516DC">
              <w:rPr>
                <w:rFonts w:ascii="Arial" w:hAnsi="Arial" w:cs="Arial"/>
                <w:sz w:val="18"/>
                <w:szCs w:val="18"/>
              </w:rPr>
              <w:t>0.12%</w:t>
            </w:r>
          </w:p>
        </w:tc>
      </w:tr>
      <w:tr w:rsidR="00EE7155" w:rsidRPr="003516DC" w14:paraId="587A413F" w14:textId="77777777" w:rsidTr="00D71982">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45CE0462" w14:textId="25C0C168" w:rsidR="00EE7155" w:rsidRPr="003516DC" w:rsidRDefault="00EE7155" w:rsidP="00EE7155">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of R&amp;DI in GDP S-E Region</w:t>
            </w:r>
          </w:p>
        </w:tc>
        <w:tc>
          <w:tcPr>
            <w:tcW w:w="518" w:type="pct"/>
            <w:tcBorders>
              <w:top w:val="nil"/>
              <w:left w:val="nil"/>
              <w:bottom w:val="single" w:sz="4" w:space="0" w:color="auto"/>
              <w:right w:val="single" w:sz="4" w:space="0" w:color="auto"/>
            </w:tcBorders>
            <w:shd w:val="clear" w:color="auto" w:fill="auto"/>
            <w:noWrap/>
            <w:vAlign w:val="center"/>
          </w:tcPr>
          <w:p w14:paraId="0B8B0995" w14:textId="219B74E5"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0.06%</w:t>
            </w:r>
          </w:p>
        </w:tc>
        <w:tc>
          <w:tcPr>
            <w:tcW w:w="518" w:type="pct"/>
            <w:tcBorders>
              <w:top w:val="nil"/>
              <w:left w:val="nil"/>
              <w:bottom w:val="single" w:sz="4" w:space="0" w:color="auto"/>
              <w:right w:val="single" w:sz="4" w:space="0" w:color="auto"/>
            </w:tcBorders>
            <w:shd w:val="clear" w:color="auto" w:fill="auto"/>
            <w:noWrap/>
            <w:vAlign w:val="center"/>
          </w:tcPr>
          <w:p w14:paraId="6FFB54C5" w14:textId="63E03FD1"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0.08%</w:t>
            </w:r>
          </w:p>
        </w:tc>
        <w:tc>
          <w:tcPr>
            <w:tcW w:w="518" w:type="pct"/>
            <w:tcBorders>
              <w:top w:val="nil"/>
              <w:left w:val="nil"/>
              <w:bottom w:val="single" w:sz="4" w:space="0" w:color="auto"/>
              <w:right w:val="single" w:sz="4" w:space="0" w:color="auto"/>
            </w:tcBorders>
            <w:shd w:val="clear" w:color="auto" w:fill="auto"/>
            <w:noWrap/>
            <w:vAlign w:val="center"/>
          </w:tcPr>
          <w:p w14:paraId="17EFF9E3" w14:textId="2CFD31D5"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0.08%</w:t>
            </w:r>
          </w:p>
        </w:tc>
        <w:tc>
          <w:tcPr>
            <w:tcW w:w="518" w:type="pct"/>
            <w:tcBorders>
              <w:top w:val="nil"/>
              <w:left w:val="nil"/>
              <w:bottom w:val="single" w:sz="4" w:space="0" w:color="auto"/>
              <w:right w:val="single" w:sz="4" w:space="0" w:color="auto"/>
            </w:tcBorders>
            <w:shd w:val="clear" w:color="auto" w:fill="auto"/>
            <w:noWrap/>
            <w:vAlign w:val="center"/>
          </w:tcPr>
          <w:p w14:paraId="6C5237BA" w14:textId="086D8A5B"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0.07%</w:t>
            </w:r>
          </w:p>
        </w:tc>
        <w:tc>
          <w:tcPr>
            <w:tcW w:w="518" w:type="pct"/>
            <w:tcBorders>
              <w:top w:val="nil"/>
              <w:left w:val="nil"/>
              <w:bottom w:val="single" w:sz="4" w:space="0" w:color="auto"/>
              <w:right w:val="single" w:sz="4" w:space="0" w:color="auto"/>
            </w:tcBorders>
            <w:shd w:val="clear" w:color="auto" w:fill="auto"/>
            <w:noWrap/>
            <w:vAlign w:val="center"/>
          </w:tcPr>
          <w:p w14:paraId="2930D89A" w14:textId="6D616D98"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0.08%</w:t>
            </w:r>
          </w:p>
        </w:tc>
        <w:tc>
          <w:tcPr>
            <w:tcW w:w="692" w:type="pct"/>
            <w:tcBorders>
              <w:top w:val="nil"/>
              <w:left w:val="nil"/>
              <w:bottom w:val="single" w:sz="4" w:space="0" w:color="auto"/>
              <w:right w:val="single" w:sz="4" w:space="0" w:color="auto"/>
            </w:tcBorders>
            <w:shd w:val="clear" w:color="auto" w:fill="auto"/>
            <w:noWrap/>
            <w:vAlign w:val="center"/>
          </w:tcPr>
          <w:p w14:paraId="51F25380" w14:textId="4DB64453" w:rsidR="00EE7155" w:rsidRPr="003516DC" w:rsidRDefault="00EE7155" w:rsidP="00EE7155">
            <w:pPr>
              <w:jc w:val="center"/>
              <w:rPr>
                <w:rFonts w:ascii="Arial" w:eastAsia="Times New Roman" w:hAnsi="Arial" w:cs="Arial"/>
                <w:color w:val="000000"/>
                <w:sz w:val="18"/>
                <w:szCs w:val="18"/>
                <w:lang w:val="en-US"/>
              </w:rPr>
            </w:pPr>
            <w:r w:rsidRPr="003516DC">
              <w:rPr>
                <w:rFonts w:ascii="Arial" w:hAnsi="Arial" w:cs="Arial"/>
                <w:sz w:val="18"/>
                <w:szCs w:val="18"/>
              </w:rPr>
              <w:t>0.02%</w:t>
            </w:r>
          </w:p>
        </w:tc>
      </w:tr>
      <w:tr w:rsidR="00EE7155" w:rsidRPr="003516DC" w14:paraId="4AFB26F8" w14:textId="77777777" w:rsidTr="00D71982">
        <w:trPr>
          <w:trHeight w:val="300"/>
        </w:trPr>
        <w:tc>
          <w:tcPr>
            <w:tcW w:w="1718" w:type="pct"/>
            <w:tcBorders>
              <w:top w:val="nil"/>
              <w:left w:val="single" w:sz="4" w:space="0" w:color="auto"/>
              <w:bottom w:val="single" w:sz="4" w:space="0" w:color="auto"/>
              <w:right w:val="single" w:sz="4" w:space="0" w:color="auto"/>
            </w:tcBorders>
            <w:shd w:val="clear" w:color="auto" w:fill="auto"/>
            <w:noWrap/>
            <w:vAlign w:val="center"/>
          </w:tcPr>
          <w:p w14:paraId="6525EF5E" w14:textId="77777777" w:rsidR="00EE7155" w:rsidRPr="00046E6A" w:rsidRDefault="00EE7155" w:rsidP="006E60A3">
            <w:pPr>
              <w:rPr>
                <w:rFonts w:ascii="Arial" w:hAnsi="Arial"/>
                <w:color w:val="000000"/>
                <w:sz w:val="18"/>
                <w:lang w:val="it-IT"/>
              </w:rPr>
            </w:pPr>
            <w:r w:rsidRPr="00046E6A">
              <w:rPr>
                <w:rFonts w:ascii="Arial" w:hAnsi="Arial"/>
                <w:color w:val="000000"/>
                <w:sz w:val="18"/>
                <w:lang w:val="it-IT"/>
              </w:rPr>
              <w:t>% of R&amp;DI in GDP Romania</w:t>
            </w:r>
          </w:p>
        </w:tc>
        <w:tc>
          <w:tcPr>
            <w:tcW w:w="518" w:type="pct"/>
            <w:tcBorders>
              <w:top w:val="nil"/>
              <w:left w:val="nil"/>
              <w:bottom w:val="single" w:sz="4" w:space="0" w:color="auto"/>
              <w:right w:val="single" w:sz="4" w:space="0" w:color="auto"/>
            </w:tcBorders>
            <w:shd w:val="clear" w:color="auto" w:fill="auto"/>
            <w:noWrap/>
            <w:vAlign w:val="center"/>
          </w:tcPr>
          <w:p w14:paraId="7B5CCF0C"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0.38%</w:t>
            </w:r>
          </w:p>
        </w:tc>
        <w:tc>
          <w:tcPr>
            <w:tcW w:w="518" w:type="pct"/>
            <w:tcBorders>
              <w:top w:val="nil"/>
              <w:left w:val="nil"/>
              <w:bottom w:val="single" w:sz="4" w:space="0" w:color="auto"/>
              <w:right w:val="single" w:sz="4" w:space="0" w:color="auto"/>
            </w:tcBorders>
            <w:shd w:val="clear" w:color="auto" w:fill="auto"/>
            <w:noWrap/>
            <w:vAlign w:val="center"/>
          </w:tcPr>
          <w:p w14:paraId="328000C3"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0.49%</w:t>
            </w:r>
          </w:p>
        </w:tc>
        <w:tc>
          <w:tcPr>
            <w:tcW w:w="518" w:type="pct"/>
            <w:tcBorders>
              <w:top w:val="nil"/>
              <w:left w:val="nil"/>
              <w:bottom w:val="single" w:sz="4" w:space="0" w:color="auto"/>
              <w:right w:val="single" w:sz="4" w:space="0" w:color="auto"/>
            </w:tcBorders>
            <w:shd w:val="clear" w:color="auto" w:fill="auto"/>
            <w:noWrap/>
            <w:vAlign w:val="center"/>
          </w:tcPr>
          <w:p w14:paraId="73AA06FD"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0.48%</w:t>
            </w:r>
          </w:p>
        </w:tc>
        <w:tc>
          <w:tcPr>
            <w:tcW w:w="518" w:type="pct"/>
            <w:tcBorders>
              <w:top w:val="nil"/>
              <w:left w:val="nil"/>
              <w:bottom w:val="single" w:sz="4" w:space="0" w:color="auto"/>
              <w:right w:val="single" w:sz="4" w:space="0" w:color="auto"/>
            </w:tcBorders>
            <w:shd w:val="clear" w:color="auto" w:fill="auto"/>
            <w:noWrap/>
            <w:vAlign w:val="center"/>
          </w:tcPr>
          <w:p w14:paraId="5CDB030E"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518" w:type="pct"/>
            <w:tcBorders>
              <w:top w:val="nil"/>
              <w:left w:val="nil"/>
              <w:bottom w:val="single" w:sz="4" w:space="0" w:color="auto"/>
              <w:right w:val="single" w:sz="4" w:space="0" w:color="auto"/>
            </w:tcBorders>
            <w:shd w:val="clear" w:color="auto" w:fill="auto"/>
            <w:noWrap/>
            <w:vAlign w:val="center"/>
          </w:tcPr>
          <w:p w14:paraId="591126B2"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0.50%</w:t>
            </w:r>
          </w:p>
        </w:tc>
        <w:tc>
          <w:tcPr>
            <w:tcW w:w="692" w:type="pct"/>
            <w:tcBorders>
              <w:top w:val="nil"/>
              <w:left w:val="nil"/>
              <w:bottom w:val="single" w:sz="4" w:space="0" w:color="auto"/>
              <w:right w:val="single" w:sz="4" w:space="0" w:color="auto"/>
            </w:tcBorders>
            <w:shd w:val="clear" w:color="auto" w:fill="auto"/>
            <w:noWrap/>
            <w:vAlign w:val="center"/>
          </w:tcPr>
          <w:p w14:paraId="0206691D" w14:textId="77777777" w:rsidR="00EE7155" w:rsidRPr="003516DC" w:rsidRDefault="00EE7155" w:rsidP="006E60A3">
            <w:pPr>
              <w:jc w:val="center"/>
              <w:rPr>
                <w:rFonts w:ascii="Arial" w:eastAsia="Times New Roman" w:hAnsi="Arial" w:cs="Arial"/>
                <w:color w:val="000000"/>
                <w:sz w:val="18"/>
                <w:szCs w:val="18"/>
                <w:lang w:val="en-US"/>
              </w:rPr>
            </w:pPr>
            <w:r w:rsidRPr="003516DC">
              <w:rPr>
                <w:rFonts w:ascii="Arial" w:hAnsi="Arial" w:cs="Arial"/>
                <w:sz w:val="18"/>
                <w:szCs w:val="18"/>
              </w:rPr>
              <w:t>0.12%</w:t>
            </w:r>
          </w:p>
        </w:tc>
      </w:tr>
    </w:tbl>
    <w:p w14:paraId="6DB139A5" w14:textId="774D9F32" w:rsidR="00EE7155" w:rsidRPr="003516DC" w:rsidRDefault="00EE7155" w:rsidP="00D71982">
      <w:pPr>
        <w:spacing w:line="276" w:lineRule="auto"/>
        <w:rPr>
          <w:rFonts w:ascii="Arial" w:hAnsi="Arial" w:cs="Arial"/>
          <w:i/>
          <w:sz w:val="16"/>
          <w:szCs w:val="16"/>
          <w:lang w:val="en-US"/>
        </w:rPr>
      </w:pPr>
      <w:r w:rsidRPr="003516DC">
        <w:rPr>
          <w:rFonts w:ascii="Arial" w:hAnsi="Arial" w:cs="Arial"/>
          <w:i/>
          <w:sz w:val="16"/>
          <w:szCs w:val="16"/>
        </w:rPr>
        <w:t>Source: NIS, Tempo, CDO104B, CON103I</w:t>
      </w:r>
    </w:p>
    <w:p w14:paraId="7AE7B1BA" w14:textId="6D0B794E" w:rsidR="004B3189" w:rsidRPr="003516DC" w:rsidRDefault="004B3189" w:rsidP="002007F5">
      <w:pPr>
        <w:spacing w:before="120" w:after="120"/>
        <w:jc w:val="both"/>
        <w:rPr>
          <w:rFonts w:ascii="Arial" w:hAnsi="Arial" w:cs="Arial"/>
          <w:sz w:val="20"/>
          <w:szCs w:val="20"/>
        </w:rPr>
      </w:pPr>
      <w:r w:rsidRPr="003516DC">
        <w:rPr>
          <w:rFonts w:ascii="Arial" w:hAnsi="Arial" w:cs="Arial"/>
          <w:sz w:val="20"/>
          <w:szCs w:val="20"/>
        </w:rPr>
        <w:t xml:space="preserve">A look at the </w:t>
      </w:r>
      <w:r w:rsidRPr="003516DC">
        <w:rPr>
          <w:rFonts w:ascii="Arial" w:hAnsi="Arial" w:cs="Arial"/>
          <w:b/>
          <w:bCs/>
          <w:sz w:val="20"/>
          <w:szCs w:val="20"/>
        </w:rPr>
        <w:t>knowledge and technology intensiveness</w:t>
      </w:r>
      <w:r w:rsidRPr="003516DC">
        <w:rPr>
          <w:rFonts w:ascii="Arial" w:hAnsi="Arial" w:cs="Arial"/>
          <w:sz w:val="20"/>
          <w:szCs w:val="20"/>
        </w:rPr>
        <w:t xml:space="preserve"> of economic activity in </w:t>
      </w:r>
      <w:r w:rsidR="004F70E0">
        <w:rPr>
          <w:rFonts w:ascii="Arial" w:hAnsi="Arial" w:cs="Arial"/>
          <w:sz w:val="20"/>
          <w:szCs w:val="20"/>
        </w:rPr>
        <w:t>Galați</w:t>
      </w:r>
      <w:r w:rsidRPr="003516DC">
        <w:rPr>
          <w:rFonts w:ascii="Arial" w:hAnsi="Arial" w:cs="Arial"/>
          <w:sz w:val="20"/>
          <w:szCs w:val="20"/>
        </w:rPr>
        <w:t xml:space="preserve"> reflects a county with modest metrics in terms of knowledge economy, but overall positive trends.   </w:t>
      </w:r>
    </w:p>
    <w:p w14:paraId="268F1B6F" w14:textId="3A01F528" w:rsidR="004B3189" w:rsidRPr="003516DC" w:rsidRDefault="004B3189" w:rsidP="0088065B">
      <w:pPr>
        <w:spacing w:after="120"/>
        <w:jc w:val="both"/>
        <w:rPr>
          <w:rFonts w:ascii="Arial" w:hAnsi="Arial" w:cs="Arial"/>
          <w:sz w:val="20"/>
          <w:szCs w:val="20"/>
        </w:rPr>
      </w:pPr>
      <w:r w:rsidRPr="003516DC">
        <w:rPr>
          <w:rFonts w:ascii="Arial" w:hAnsi="Arial" w:cs="Arial"/>
          <w:sz w:val="20"/>
          <w:szCs w:val="20"/>
        </w:rPr>
        <w:t xml:space="preserve">While the number of employees of companies active in the services sector headquartered in </w:t>
      </w:r>
      <w:r w:rsidR="003751DC">
        <w:rPr>
          <w:rFonts w:ascii="Arial" w:hAnsi="Arial" w:cs="Arial"/>
          <w:sz w:val="20"/>
          <w:szCs w:val="20"/>
        </w:rPr>
        <w:t>Galați</w:t>
      </w:r>
      <w:r w:rsidR="00350AA9" w:rsidRPr="003516DC">
        <w:rPr>
          <w:rFonts w:ascii="Arial" w:hAnsi="Arial" w:cs="Arial"/>
          <w:sz w:val="20"/>
          <w:szCs w:val="20"/>
        </w:rPr>
        <w:t xml:space="preserve"> c</w:t>
      </w:r>
      <w:r w:rsidRPr="003516DC">
        <w:rPr>
          <w:rFonts w:ascii="Arial" w:hAnsi="Arial" w:cs="Arial"/>
          <w:sz w:val="20"/>
          <w:szCs w:val="20"/>
        </w:rPr>
        <w:t xml:space="preserve">ounty grew by just 7% </w:t>
      </w:r>
      <w:r w:rsidR="00BF7223" w:rsidRPr="003516DC">
        <w:rPr>
          <w:rFonts w:ascii="Arial" w:hAnsi="Arial" w:cs="Arial"/>
          <w:sz w:val="20"/>
          <w:szCs w:val="20"/>
        </w:rPr>
        <w:t xml:space="preserve">from </w:t>
      </w:r>
      <w:r w:rsidRPr="003516DC">
        <w:rPr>
          <w:rFonts w:ascii="Arial" w:hAnsi="Arial" w:cs="Arial"/>
          <w:sz w:val="20"/>
          <w:szCs w:val="20"/>
        </w:rPr>
        <w:t xml:space="preserve">2010-2019, employees of knowledge-intensive services companies grew by 29.5%, of which ITC grew the fastest </w:t>
      </w:r>
      <w:r w:rsidR="000435EE" w:rsidRPr="003516DC">
        <w:rPr>
          <w:rFonts w:ascii="Arial" w:hAnsi="Arial" w:cs="Arial"/>
          <w:sz w:val="20"/>
          <w:szCs w:val="20"/>
        </w:rPr>
        <w:t>(</w:t>
      </w:r>
      <w:r w:rsidRPr="003516DC">
        <w:rPr>
          <w:rFonts w:ascii="Arial" w:hAnsi="Arial" w:cs="Arial"/>
          <w:sz w:val="20"/>
          <w:szCs w:val="20"/>
        </w:rPr>
        <w:t>57.9%</w:t>
      </w:r>
      <w:r w:rsidR="000435EE" w:rsidRPr="003516DC">
        <w:rPr>
          <w:rFonts w:ascii="Arial" w:hAnsi="Arial" w:cs="Arial"/>
          <w:sz w:val="20"/>
          <w:szCs w:val="20"/>
        </w:rPr>
        <w:t>)</w:t>
      </w:r>
      <w:r w:rsidRPr="003516DC">
        <w:rPr>
          <w:rFonts w:ascii="Arial" w:hAnsi="Arial" w:cs="Arial"/>
          <w:sz w:val="20"/>
          <w:szCs w:val="20"/>
        </w:rPr>
        <w:t xml:space="preserve"> (see Annex </w:t>
      </w:r>
      <w:r w:rsidR="002B75CD" w:rsidRPr="003516DC">
        <w:rPr>
          <w:rFonts w:ascii="Arial" w:hAnsi="Arial" w:cs="Arial"/>
          <w:sz w:val="20"/>
          <w:szCs w:val="20"/>
        </w:rPr>
        <w:t>4</w:t>
      </w:r>
      <w:r w:rsidR="00D85A73" w:rsidRPr="003516DC">
        <w:rPr>
          <w:rFonts w:ascii="Arial" w:hAnsi="Arial" w:cs="Arial"/>
          <w:sz w:val="20"/>
          <w:szCs w:val="20"/>
        </w:rPr>
        <w:t>)</w:t>
      </w:r>
      <w:r w:rsidRPr="003516DC">
        <w:rPr>
          <w:rFonts w:ascii="Arial" w:hAnsi="Arial" w:cs="Arial"/>
          <w:sz w:val="20"/>
          <w:szCs w:val="20"/>
        </w:rPr>
        <w:t xml:space="preserve">. Turnover in the ITC sector grew by 161.8%. While the numbers, in absolute terms, are relatively modest – companies in the ITC sector in </w:t>
      </w:r>
      <w:r w:rsidR="003751DC">
        <w:rPr>
          <w:rFonts w:ascii="Arial" w:hAnsi="Arial" w:cs="Arial"/>
          <w:sz w:val="20"/>
          <w:szCs w:val="20"/>
        </w:rPr>
        <w:t>Galați</w:t>
      </w:r>
      <w:r w:rsidRPr="003516DC">
        <w:rPr>
          <w:rFonts w:ascii="Arial" w:hAnsi="Arial" w:cs="Arial"/>
          <w:sz w:val="20"/>
          <w:szCs w:val="20"/>
        </w:rPr>
        <w:t xml:space="preserve"> employed a total of 1,303 people </w:t>
      </w:r>
      <w:r w:rsidR="00385013" w:rsidRPr="003516DC">
        <w:rPr>
          <w:rFonts w:ascii="Arial" w:hAnsi="Arial" w:cs="Arial"/>
          <w:sz w:val="20"/>
          <w:szCs w:val="20"/>
        </w:rPr>
        <w:t xml:space="preserve">in 2019 </w:t>
      </w:r>
      <w:r w:rsidRPr="003516DC">
        <w:rPr>
          <w:rFonts w:ascii="Arial" w:hAnsi="Arial" w:cs="Arial"/>
          <w:sz w:val="20"/>
          <w:szCs w:val="20"/>
        </w:rPr>
        <w:t>– the trends are positive and significant</w:t>
      </w:r>
      <w:r w:rsidR="000C0EA0" w:rsidRPr="003516DC">
        <w:rPr>
          <w:rFonts w:ascii="Arial" w:hAnsi="Arial" w:cs="Arial"/>
          <w:sz w:val="20"/>
          <w:szCs w:val="20"/>
        </w:rPr>
        <w:t>, especially for</w:t>
      </w:r>
      <w:r w:rsidRPr="003516DC">
        <w:rPr>
          <w:rFonts w:ascii="Arial" w:hAnsi="Arial" w:cs="Arial"/>
          <w:sz w:val="20"/>
          <w:szCs w:val="20"/>
        </w:rPr>
        <w:t xml:space="preserve"> a county that registered employment decreases across </w:t>
      </w:r>
      <w:r w:rsidR="0059279C" w:rsidRPr="003516DC">
        <w:rPr>
          <w:rFonts w:ascii="Arial" w:hAnsi="Arial" w:cs="Arial"/>
          <w:sz w:val="20"/>
          <w:szCs w:val="20"/>
        </w:rPr>
        <w:t>most of</w:t>
      </w:r>
      <w:r w:rsidRPr="003516DC">
        <w:rPr>
          <w:rFonts w:ascii="Arial" w:hAnsi="Arial" w:cs="Arial"/>
          <w:sz w:val="20"/>
          <w:szCs w:val="20"/>
        </w:rPr>
        <w:t xml:space="preserve"> its economic activities. </w:t>
      </w:r>
    </w:p>
    <w:p w14:paraId="671DDE6C" w14:textId="1EB1AB7B" w:rsidR="004B3189" w:rsidRPr="003516DC" w:rsidRDefault="004B3189" w:rsidP="0088065B">
      <w:pPr>
        <w:spacing w:after="120"/>
        <w:jc w:val="both"/>
        <w:rPr>
          <w:rFonts w:ascii="Arial" w:hAnsi="Arial" w:cs="Arial"/>
          <w:sz w:val="20"/>
          <w:szCs w:val="20"/>
        </w:rPr>
      </w:pPr>
      <w:r w:rsidRPr="003516DC">
        <w:rPr>
          <w:rFonts w:ascii="Arial" w:hAnsi="Arial" w:cs="Arial"/>
          <w:sz w:val="20"/>
          <w:szCs w:val="20"/>
        </w:rPr>
        <w:t>The number of employees of R&amp;D com</w:t>
      </w:r>
      <w:r w:rsidR="00350AA9" w:rsidRPr="003516DC">
        <w:rPr>
          <w:rFonts w:ascii="Arial" w:hAnsi="Arial" w:cs="Arial"/>
          <w:sz w:val="20"/>
          <w:szCs w:val="20"/>
        </w:rPr>
        <w:t>panies headquartered in Galați c</w:t>
      </w:r>
      <w:r w:rsidRPr="003516DC">
        <w:rPr>
          <w:rFonts w:ascii="Arial" w:hAnsi="Arial" w:cs="Arial"/>
          <w:sz w:val="20"/>
          <w:szCs w:val="20"/>
        </w:rPr>
        <w:t>ount</w:t>
      </w:r>
      <w:r w:rsidR="004A7C96" w:rsidRPr="003516DC">
        <w:rPr>
          <w:rFonts w:ascii="Arial" w:hAnsi="Arial" w:cs="Arial"/>
          <w:sz w:val="20"/>
          <w:szCs w:val="20"/>
        </w:rPr>
        <w:t>y</w:t>
      </w:r>
      <w:r w:rsidRPr="003516DC">
        <w:rPr>
          <w:rFonts w:ascii="Arial" w:hAnsi="Arial" w:cs="Arial"/>
          <w:sz w:val="20"/>
          <w:szCs w:val="20"/>
        </w:rPr>
        <w:t xml:space="preserve"> decreased, however, and registered an insignificant 22 people in 2019 (a drop from 93 in 2010). </w:t>
      </w:r>
    </w:p>
    <w:p w14:paraId="63A34B87" w14:textId="70762452" w:rsidR="004B3189" w:rsidRPr="003516DC" w:rsidRDefault="004B3189" w:rsidP="004B3189">
      <w:pPr>
        <w:pStyle w:val="Caption"/>
      </w:pPr>
      <w:bookmarkStart w:id="338" w:name="_Toc90726029"/>
      <w:bookmarkStart w:id="339" w:name="_Toc90727326"/>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75</w:t>
      </w:r>
      <w:r w:rsidR="0040363E" w:rsidRPr="003516DC">
        <w:rPr>
          <w:noProof/>
        </w:rPr>
        <w:fldChar w:fldCharType="end"/>
      </w:r>
      <w:r w:rsidRPr="003516DC">
        <w:rPr>
          <w:lang w:val="en-US"/>
        </w:rPr>
        <w:t>:</w:t>
      </w:r>
      <w:r w:rsidRPr="003516DC">
        <w:t xml:space="preserve"> Evolution of the services sector by knowledge intensiveness in </w:t>
      </w:r>
      <w:r w:rsidR="003751DC">
        <w:t>Galați</w:t>
      </w:r>
      <w:r w:rsidRPr="003516DC">
        <w:t xml:space="preserve"> county</w:t>
      </w:r>
      <w:bookmarkEnd w:id="338"/>
      <w:bookmarkEnd w:id="3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2"/>
        <w:gridCol w:w="2018"/>
        <w:gridCol w:w="2018"/>
        <w:gridCol w:w="1561"/>
      </w:tblGrid>
      <w:tr w:rsidR="004B3189" w:rsidRPr="003516DC" w14:paraId="29E7A10F" w14:textId="77777777" w:rsidTr="002007F5">
        <w:trPr>
          <w:trHeight w:val="300"/>
          <w:tblHeader/>
        </w:trPr>
        <w:tc>
          <w:tcPr>
            <w:tcW w:w="1866" w:type="pct"/>
            <w:vMerge w:val="restart"/>
            <w:shd w:val="clear" w:color="auto" w:fill="002060"/>
            <w:vAlign w:val="center"/>
            <w:hideMark/>
          </w:tcPr>
          <w:p w14:paraId="7F1ABE42" w14:textId="77777777" w:rsidR="004B3189" w:rsidRPr="003516DC" w:rsidRDefault="004B3189"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Services, by degree of knowledge intensiveness</w:t>
            </w:r>
          </w:p>
        </w:tc>
        <w:tc>
          <w:tcPr>
            <w:tcW w:w="2260" w:type="pct"/>
            <w:gridSpan w:val="2"/>
            <w:vMerge w:val="restart"/>
            <w:shd w:val="clear" w:color="auto" w:fill="002060"/>
            <w:vAlign w:val="center"/>
            <w:hideMark/>
          </w:tcPr>
          <w:p w14:paraId="4001D593" w14:textId="77777777" w:rsidR="004B3189" w:rsidRPr="003516DC" w:rsidRDefault="004B3189"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874" w:type="pct"/>
            <w:shd w:val="clear" w:color="auto" w:fill="002060"/>
            <w:noWrap/>
            <w:vAlign w:val="center"/>
            <w:hideMark/>
          </w:tcPr>
          <w:p w14:paraId="216B3BF3" w14:textId="77777777" w:rsidR="004B3189" w:rsidRPr="003516DC" w:rsidRDefault="004B3189"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w:t>
            </w:r>
          </w:p>
        </w:tc>
      </w:tr>
      <w:tr w:rsidR="004B3189" w:rsidRPr="003516DC" w14:paraId="0485D354" w14:textId="77777777" w:rsidTr="002007F5">
        <w:trPr>
          <w:trHeight w:val="317"/>
          <w:tblHeader/>
        </w:trPr>
        <w:tc>
          <w:tcPr>
            <w:tcW w:w="1866" w:type="pct"/>
            <w:vMerge/>
            <w:shd w:val="clear" w:color="auto" w:fill="002060"/>
            <w:vAlign w:val="center"/>
            <w:hideMark/>
          </w:tcPr>
          <w:p w14:paraId="361A96BD" w14:textId="77777777" w:rsidR="004B3189" w:rsidRPr="003516DC" w:rsidRDefault="004B3189" w:rsidP="00133DD1">
            <w:pPr>
              <w:rPr>
                <w:rFonts w:ascii="Arial" w:eastAsia="Times New Roman" w:hAnsi="Arial" w:cs="Arial"/>
                <w:b/>
                <w:bCs/>
                <w:color w:val="FFFFFF" w:themeColor="background1"/>
                <w:sz w:val="18"/>
                <w:szCs w:val="18"/>
                <w:lang w:val="en-US"/>
              </w:rPr>
            </w:pPr>
          </w:p>
        </w:tc>
        <w:tc>
          <w:tcPr>
            <w:tcW w:w="2260" w:type="pct"/>
            <w:gridSpan w:val="2"/>
            <w:vMerge/>
            <w:shd w:val="clear" w:color="auto" w:fill="002060"/>
            <w:vAlign w:val="center"/>
            <w:hideMark/>
          </w:tcPr>
          <w:p w14:paraId="3515A5C8" w14:textId="77777777" w:rsidR="004B3189" w:rsidRPr="003516DC" w:rsidRDefault="004B3189" w:rsidP="00133DD1">
            <w:pPr>
              <w:rPr>
                <w:rFonts w:ascii="Arial" w:eastAsia="Times New Roman" w:hAnsi="Arial" w:cs="Arial"/>
                <w:b/>
                <w:bCs/>
                <w:color w:val="FFFFFF" w:themeColor="background1"/>
                <w:sz w:val="18"/>
                <w:szCs w:val="18"/>
                <w:lang w:val="en-US"/>
              </w:rPr>
            </w:pPr>
          </w:p>
        </w:tc>
        <w:tc>
          <w:tcPr>
            <w:tcW w:w="874" w:type="pct"/>
            <w:vMerge w:val="restart"/>
            <w:shd w:val="clear" w:color="auto" w:fill="002060"/>
            <w:noWrap/>
            <w:vAlign w:val="center"/>
            <w:hideMark/>
          </w:tcPr>
          <w:p w14:paraId="1A85AA52" w14:textId="77777777" w:rsidR="004B3189" w:rsidRPr="003516DC" w:rsidRDefault="004B3189"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2019/2010</w:t>
            </w:r>
          </w:p>
          <w:p w14:paraId="14E3DC44" w14:textId="77777777" w:rsidR="004B3189" w:rsidRPr="003516DC" w:rsidRDefault="004B3189"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000000"/>
                <w:sz w:val="18"/>
                <w:szCs w:val="18"/>
                <w:lang w:val="en-US"/>
              </w:rPr>
              <w:t> </w:t>
            </w:r>
          </w:p>
        </w:tc>
      </w:tr>
      <w:tr w:rsidR="004B3189" w:rsidRPr="003516DC" w14:paraId="60303167" w14:textId="77777777" w:rsidTr="002007F5">
        <w:trPr>
          <w:trHeight w:val="385"/>
          <w:tblHeader/>
        </w:trPr>
        <w:tc>
          <w:tcPr>
            <w:tcW w:w="1866" w:type="pct"/>
            <w:vMerge/>
            <w:vAlign w:val="center"/>
            <w:hideMark/>
          </w:tcPr>
          <w:p w14:paraId="1D0900F4" w14:textId="77777777" w:rsidR="004B3189" w:rsidRPr="003516DC" w:rsidRDefault="004B3189" w:rsidP="00133DD1">
            <w:pPr>
              <w:rPr>
                <w:rFonts w:ascii="Arial" w:eastAsia="Times New Roman" w:hAnsi="Arial" w:cs="Arial"/>
                <w:b/>
                <w:bCs/>
                <w:color w:val="000000"/>
                <w:sz w:val="18"/>
                <w:szCs w:val="18"/>
                <w:lang w:val="en-US"/>
              </w:rPr>
            </w:pPr>
          </w:p>
        </w:tc>
        <w:tc>
          <w:tcPr>
            <w:tcW w:w="1130" w:type="pct"/>
            <w:shd w:val="clear" w:color="auto" w:fill="D9D9D9" w:themeFill="background1" w:themeFillShade="D9"/>
            <w:noWrap/>
            <w:vAlign w:val="center"/>
            <w:hideMark/>
          </w:tcPr>
          <w:p w14:paraId="7D765665" w14:textId="77777777" w:rsidR="004B3189" w:rsidRPr="003516DC" w:rsidRDefault="004B3189"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2010</w:t>
            </w:r>
          </w:p>
        </w:tc>
        <w:tc>
          <w:tcPr>
            <w:tcW w:w="1130" w:type="pct"/>
            <w:shd w:val="clear" w:color="auto" w:fill="D9D9D9" w:themeFill="background1" w:themeFillShade="D9"/>
            <w:vAlign w:val="center"/>
            <w:hideMark/>
          </w:tcPr>
          <w:p w14:paraId="3FDD6504" w14:textId="77777777" w:rsidR="004B3189" w:rsidRPr="003516DC" w:rsidRDefault="004B3189" w:rsidP="00133DD1">
            <w:pPr>
              <w:jc w:val="cente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2019</w:t>
            </w:r>
          </w:p>
        </w:tc>
        <w:tc>
          <w:tcPr>
            <w:tcW w:w="874" w:type="pct"/>
            <w:vMerge/>
            <w:shd w:val="clear" w:color="000000" w:fill="FDE9D9"/>
            <w:noWrap/>
            <w:vAlign w:val="center"/>
            <w:hideMark/>
          </w:tcPr>
          <w:p w14:paraId="2B791BE7" w14:textId="77777777" w:rsidR="004B3189" w:rsidRPr="003516DC" w:rsidRDefault="004B3189" w:rsidP="00133DD1">
            <w:pPr>
              <w:jc w:val="center"/>
              <w:rPr>
                <w:rFonts w:ascii="Arial" w:eastAsia="Times New Roman" w:hAnsi="Arial" w:cs="Arial"/>
                <w:b/>
                <w:bCs/>
                <w:color w:val="000000"/>
                <w:sz w:val="18"/>
                <w:szCs w:val="18"/>
                <w:lang w:val="en-US"/>
              </w:rPr>
            </w:pPr>
          </w:p>
        </w:tc>
      </w:tr>
      <w:tr w:rsidR="004B3189" w:rsidRPr="003516DC" w14:paraId="1E077246" w14:textId="77777777" w:rsidTr="004B3189">
        <w:trPr>
          <w:trHeight w:val="315"/>
        </w:trPr>
        <w:tc>
          <w:tcPr>
            <w:tcW w:w="1866" w:type="pct"/>
            <w:shd w:val="clear" w:color="auto" w:fill="auto"/>
            <w:noWrap/>
            <w:vAlign w:val="center"/>
            <w:hideMark/>
          </w:tcPr>
          <w:p w14:paraId="33E41702" w14:textId="77777777" w:rsidR="004B3189" w:rsidRPr="003516DC" w:rsidRDefault="004B3189" w:rsidP="004B3189">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Knowledge-intensive services</w:t>
            </w:r>
          </w:p>
        </w:tc>
        <w:tc>
          <w:tcPr>
            <w:tcW w:w="1130" w:type="pct"/>
            <w:shd w:val="clear" w:color="auto" w:fill="auto"/>
            <w:noWrap/>
            <w:vAlign w:val="center"/>
          </w:tcPr>
          <w:p w14:paraId="5053725B" w14:textId="79D154DA" w:rsidR="004B3189" w:rsidRPr="003516DC" w:rsidRDefault="004B3189" w:rsidP="004B3189">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930,358,637 </w:t>
            </w:r>
          </w:p>
        </w:tc>
        <w:tc>
          <w:tcPr>
            <w:tcW w:w="1130" w:type="pct"/>
            <w:shd w:val="clear" w:color="auto" w:fill="auto"/>
            <w:noWrap/>
            <w:vAlign w:val="center"/>
          </w:tcPr>
          <w:p w14:paraId="2C56E39A" w14:textId="6EB1352A" w:rsidR="004B3189" w:rsidRPr="003516DC" w:rsidRDefault="004B3189" w:rsidP="004B3189">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1,538,772,204 </w:t>
            </w:r>
          </w:p>
        </w:tc>
        <w:tc>
          <w:tcPr>
            <w:tcW w:w="874" w:type="pct"/>
            <w:shd w:val="clear" w:color="auto" w:fill="auto"/>
            <w:noWrap/>
            <w:vAlign w:val="center"/>
          </w:tcPr>
          <w:p w14:paraId="1C665CEB" w14:textId="1F5183C5" w:rsidR="004B3189" w:rsidRPr="003516DC" w:rsidRDefault="004B3189" w:rsidP="004B3189">
            <w:pPr>
              <w:jc w:val="center"/>
              <w:rPr>
                <w:rFonts w:ascii="Arial" w:eastAsia="Times New Roman" w:hAnsi="Arial" w:cs="Arial"/>
                <w:b/>
                <w:bCs/>
                <w:color w:val="000000"/>
                <w:sz w:val="18"/>
                <w:szCs w:val="18"/>
                <w:lang w:val="en-US"/>
              </w:rPr>
            </w:pPr>
            <w:r w:rsidRPr="003516DC">
              <w:rPr>
                <w:rFonts w:ascii="Arial" w:eastAsia="Arial Narrow" w:hAnsi="Arial" w:cs="Arial"/>
                <w:b/>
                <w:sz w:val="18"/>
                <w:szCs w:val="18"/>
              </w:rPr>
              <w:t>65.4%</w:t>
            </w:r>
          </w:p>
        </w:tc>
      </w:tr>
      <w:tr w:rsidR="004B3189" w:rsidRPr="003516DC" w14:paraId="30A05FA8" w14:textId="77777777" w:rsidTr="004B3189">
        <w:trPr>
          <w:trHeight w:val="315"/>
        </w:trPr>
        <w:tc>
          <w:tcPr>
            <w:tcW w:w="1866" w:type="pct"/>
            <w:shd w:val="clear" w:color="auto" w:fill="auto"/>
            <w:vAlign w:val="center"/>
            <w:hideMark/>
          </w:tcPr>
          <w:p w14:paraId="1EB7A52C"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lastRenderedPageBreak/>
              <w:t>High-tech knowledge-intensive services:</w:t>
            </w:r>
          </w:p>
        </w:tc>
        <w:tc>
          <w:tcPr>
            <w:tcW w:w="1130" w:type="pct"/>
            <w:shd w:val="clear" w:color="auto" w:fill="auto"/>
            <w:noWrap/>
            <w:vAlign w:val="center"/>
          </w:tcPr>
          <w:p w14:paraId="0648563D" w14:textId="1538EB9E"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70,929,376 </w:t>
            </w:r>
          </w:p>
        </w:tc>
        <w:tc>
          <w:tcPr>
            <w:tcW w:w="1130" w:type="pct"/>
            <w:shd w:val="clear" w:color="auto" w:fill="auto"/>
            <w:noWrap/>
            <w:vAlign w:val="center"/>
          </w:tcPr>
          <w:p w14:paraId="2021200E" w14:textId="43B3D813"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165,663,522 </w:t>
            </w:r>
          </w:p>
        </w:tc>
        <w:tc>
          <w:tcPr>
            <w:tcW w:w="874" w:type="pct"/>
            <w:shd w:val="clear" w:color="auto" w:fill="auto"/>
            <w:noWrap/>
            <w:vAlign w:val="center"/>
          </w:tcPr>
          <w:p w14:paraId="31D76DE9" w14:textId="65753C46"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133.6%</w:t>
            </w:r>
          </w:p>
        </w:tc>
      </w:tr>
      <w:tr w:rsidR="004B3189" w:rsidRPr="003516DC" w14:paraId="60572516" w14:textId="77777777" w:rsidTr="004B3189">
        <w:trPr>
          <w:trHeight w:val="315"/>
        </w:trPr>
        <w:tc>
          <w:tcPr>
            <w:tcW w:w="1866" w:type="pct"/>
            <w:shd w:val="clear" w:color="auto" w:fill="auto"/>
            <w:vAlign w:val="center"/>
            <w:hideMark/>
          </w:tcPr>
          <w:p w14:paraId="13828BF9"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Research &amp; development (NACE 72)</w:t>
            </w:r>
          </w:p>
        </w:tc>
        <w:tc>
          <w:tcPr>
            <w:tcW w:w="1130" w:type="pct"/>
            <w:shd w:val="clear" w:color="auto" w:fill="auto"/>
            <w:noWrap/>
            <w:vAlign w:val="center"/>
          </w:tcPr>
          <w:p w14:paraId="12407E11" w14:textId="5D962E6E"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7,904,759 </w:t>
            </w:r>
          </w:p>
        </w:tc>
        <w:tc>
          <w:tcPr>
            <w:tcW w:w="1130" w:type="pct"/>
            <w:shd w:val="clear" w:color="auto" w:fill="auto"/>
            <w:noWrap/>
            <w:vAlign w:val="center"/>
          </w:tcPr>
          <w:p w14:paraId="4F3104E7" w14:textId="65802C77"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3,527,270 </w:t>
            </w:r>
          </w:p>
        </w:tc>
        <w:tc>
          <w:tcPr>
            <w:tcW w:w="874" w:type="pct"/>
            <w:shd w:val="clear" w:color="auto" w:fill="auto"/>
            <w:noWrap/>
            <w:vAlign w:val="center"/>
          </w:tcPr>
          <w:p w14:paraId="2695EAA3" w14:textId="0136D0C3"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-55.4%</w:t>
            </w:r>
          </w:p>
        </w:tc>
      </w:tr>
      <w:tr w:rsidR="004B3189" w:rsidRPr="003516DC" w14:paraId="1D976BE0" w14:textId="77777777" w:rsidTr="004B3189">
        <w:trPr>
          <w:trHeight w:val="315"/>
        </w:trPr>
        <w:tc>
          <w:tcPr>
            <w:tcW w:w="1866" w:type="pct"/>
            <w:shd w:val="clear" w:color="auto" w:fill="auto"/>
            <w:vAlign w:val="center"/>
            <w:hideMark/>
          </w:tcPr>
          <w:p w14:paraId="0A36ADD6"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Production and broadcasting (NACE 59, 60)</w:t>
            </w:r>
          </w:p>
        </w:tc>
        <w:tc>
          <w:tcPr>
            <w:tcW w:w="1130" w:type="pct"/>
            <w:shd w:val="clear" w:color="auto" w:fill="auto"/>
            <w:noWrap/>
            <w:vAlign w:val="center"/>
          </w:tcPr>
          <w:p w14:paraId="6EB7B358" w14:textId="2EF38229"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2,089,250 </w:t>
            </w:r>
          </w:p>
        </w:tc>
        <w:tc>
          <w:tcPr>
            <w:tcW w:w="1130" w:type="pct"/>
            <w:shd w:val="clear" w:color="auto" w:fill="auto"/>
            <w:noWrap/>
            <w:vAlign w:val="center"/>
          </w:tcPr>
          <w:p w14:paraId="1868378C" w14:textId="4ED53703"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2,623,565 </w:t>
            </w:r>
          </w:p>
        </w:tc>
        <w:tc>
          <w:tcPr>
            <w:tcW w:w="874" w:type="pct"/>
            <w:shd w:val="clear" w:color="auto" w:fill="auto"/>
            <w:noWrap/>
            <w:vAlign w:val="center"/>
          </w:tcPr>
          <w:p w14:paraId="7127C402" w14:textId="64AC4471"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25.6%</w:t>
            </w:r>
          </w:p>
        </w:tc>
      </w:tr>
      <w:tr w:rsidR="004B3189" w:rsidRPr="003516DC" w14:paraId="2A13575F" w14:textId="77777777" w:rsidTr="004B3189">
        <w:trPr>
          <w:trHeight w:val="315"/>
        </w:trPr>
        <w:tc>
          <w:tcPr>
            <w:tcW w:w="1866" w:type="pct"/>
            <w:shd w:val="clear" w:color="auto" w:fill="auto"/>
            <w:vAlign w:val="center"/>
            <w:hideMark/>
          </w:tcPr>
          <w:p w14:paraId="5512409F"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&gt;&gt; ITC (NACE 61, 61, 62)</w:t>
            </w:r>
          </w:p>
        </w:tc>
        <w:tc>
          <w:tcPr>
            <w:tcW w:w="1130" w:type="pct"/>
            <w:shd w:val="clear" w:color="auto" w:fill="auto"/>
            <w:noWrap/>
            <w:vAlign w:val="center"/>
          </w:tcPr>
          <w:p w14:paraId="38460235" w14:textId="3FCA9D2F"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60,935,367 </w:t>
            </w:r>
          </w:p>
        </w:tc>
        <w:tc>
          <w:tcPr>
            <w:tcW w:w="1130" w:type="pct"/>
            <w:shd w:val="clear" w:color="auto" w:fill="auto"/>
            <w:noWrap/>
            <w:vAlign w:val="center"/>
          </w:tcPr>
          <w:p w14:paraId="70CF7B0D" w14:textId="5AFCF0C2"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159,512,687 </w:t>
            </w:r>
          </w:p>
        </w:tc>
        <w:tc>
          <w:tcPr>
            <w:tcW w:w="874" w:type="pct"/>
            <w:shd w:val="clear" w:color="auto" w:fill="auto"/>
            <w:noWrap/>
            <w:vAlign w:val="center"/>
          </w:tcPr>
          <w:p w14:paraId="62B08CB8" w14:textId="34AD36C4"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161.8%</w:t>
            </w:r>
          </w:p>
        </w:tc>
      </w:tr>
      <w:tr w:rsidR="004B3189" w:rsidRPr="003516DC" w14:paraId="3ED3FCAE" w14:textId="77777777" w:rsidTr="004B3189">
        <w:trPr>
          <w:trHeight w:val="315"/>
        </w:trPr>
        <w:tc>
          <w:tcPr>
            <w:tcW w:w="1866" w:type="pct"/>
            <w:shd w:val="clear" w:color="auto" w:fill="auto"/>
            <w:vAlign w:val="center"/>
            <w:hideMark/>
          </w:tcPr>
          <w:p w14:paraId="430B99E6"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financial services</w:t>
            </w:r>
          </w:p>
        </w:tc>
        <w:tc>
          <w:tcPr>
            <w:tcW w:w="1130" w:type="pct"/>
            <w:shd w:val="clear" w:color="auto" w:fill="auto"/>
            <w:noWrap/>
            <w:vAlign w:val="center"/>
          </w:tcPr>
          <w:p w14:paraId="2F1BE3D9" w14:textId="741AD371"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85,870,885 </w:t>
            </w:r>
          </w:p>
        </w:tc>
        <w:tc>
          <w:tcPr>
            <w:tcW w:w="1130" w:type="pct"/>
            <w:shd w:val="clear" w:color="auto" w:fill="auto"/>
            <w:noWrap/>
            <w:vAlign w:val="center"/>
          </w:tcPr>
          <w:p w14:paraId="5C00C6C2" w14:textId="442E98E0"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85,841,674 </w:t>
            </w:r>
          </w:p>
        </w:tc>
        <w:tc>
          <w:tcPr>
            <w:tcW w:w="874" w:type="pct"/>
            <w:shd w:val="clear" w:color="auto" w:fill="auto"/>
            <w:noWrap/>
            <w:vAlign w:val="center"/>
          </w:tcPr>
          <w:p w14:paraId="24D5F2E5" w14:textId="4AABA8E9"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0.0%</w:t>
            </w:r>
          </w:p>
        </w:tc>
      </w:tr>
      <w:tr w:rsidR="004B3189" w:rsidRPr="003516DC" w14:paraId="30C25CD2" w14:textId="77777777" w:rsidTr="004B3189">
        <w:trPr>
          <w:trHeight w:val="315"/>
        </w:trPr>
        <w:tc>
          <w:tcPr>
            <w:tcW w:w="1866" w:type="pct"/>
            <w:shd w:val="clear" w:color="auto" w:fill="auto"/>
            <w:vAlign w:val="center"/>
            <w:hideMark/>
          </w:tcPr>
          <w:p w14:paraId="65916F9B"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Knowledge-intensive market services</w:t>
            </w:r>
          </w:p>
        </w:tc>
        <w:tc>
          <w:tcPr>
            <w:tcW w:w="1130" w:type="pct"/>
            <w:shd w:val="clear" w:color="auto" w:fill="auto"/>
            <w:noWrap/>
            <w:vAlign w:val="center"/>
          </w:tcPr>
          <w:p w14:paraId="177389B1" w14:textId="367BBCD3"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577,268,715 </w:t>
            </w:r>
          </w:p>
        </w:tc>
        <w:tc>
          <w:tcPr>
            <w:tcW w:w="1130" w:type="pct"/>
            <w:shd w:val="clear" w:color="auto" w:fill="auto"/>
            <w:noWrap/>
            <w:vAlign w:val="center"/>
          </w:tcPr>
          <w:p w14:paraId="467612DB" w14:textId="4407BDBF"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982,145,274 </w:t>
            </w:r>
          </w:p>
        </w:tc>
        <w:tc>
          <w:tcPr>
            <w:tcW w:w="874" w:type="pct"/>
            <w:shd w:val="clear" w:color="auto" w:fill="auto"/>
            <w:noWrap/>
            <w:vAlign w:val="center"/>
          </w:tcPr>
          <w:p w14:paraId="3ABE474E" w14:textId="78073315"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70.1%</w:t>
            </w:r>
          </w:p>
        </w:tc>
      </w:tr>
      <w:tr w:rsidR="004B3189" w:rsidRPr="003516DC" w14:paraId="622C43DD" w14:textId="77777777" w:rsidTr="004B3189">
        <w:trPr>
          <w:trHeight w:val="315"/>
        </w:trPr>
        <w:tc>
          <w:tcPr>
            <w:tcW w:w="1866" w:type="pct"/>
            <w:shd w:val="clear" w:color="auto" w:fill="auto"/>
            <w:vAlign w:val="center"/>
            <w:hideMark/>
          </w:tcPr>
          <w:p w14:paraId="2B6FA3D4"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knowledge-intensive services</w:t>
            </w:r>
          </w:p>
        </w:tc>
        <w:tc>
          <w:tcPr>
            <w:tcW w:w="1130" w:type="pct"/>
            <w:shd w:val="clear" w:color="auto" w:fill="auto"/>
            <w:noWrap/>
            <w:vAlign w:val="center"/>
          </w:tcPr>
          <w:p w14:paraId="74ECD70D" w14:textId="473F9FA5"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196,289,661 </w:t>
            </w:r>
          </w:p>
        </w:tc>
        <w:tc>
          <w:tcPr>
            <w:tcW w:w="1130" w:type="pct"/>
            <w:shd w:val="clear" w:color="auto" w:fill="auto"/>
            <w:noWrap/>
            <w:vAlign w:val="center"/>
          </w:tcPr>
          <w:p w14:paraId="3D030229" w14:textId="6EDC4FE2"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305,121,733 </w:t>
            </w:r>
          </w:p>
        </w:tc>
        <w:tc>
          <w:tcPr>
            <w:tcW w:w="874" w:type="pct"/>
            <w:shd w:val="clear" w:color="auto" w:fill="auto"/>
            <w:noWrap/>
            <w:vAlign w:val="center"/>
          </w:tcPr>
          <w:p w14:paraId="3776C339" w14:textId="14F1943B"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55.4%</w:t>
            </w:r>
          </w:p>
        </w:tc>
      </w:tr>
      <w:tr w:rsidR="004B3189" w:rsidRPr="003516DC" w14:paraId="2588E83B" w14:textId="77777777" w:rsidTr="004B3189">
        <w:trPr>
          <w:trHeight w:val="315"/>
        </w:trPr>
        <w:tc>
          <w:tcPr>
            <w:tcW w:w="1866" w:type="pct"/>
            <w:shd w:val="clear" w:color="auto" w:fill="auto"/>
            <w:noWrap/>
            <w:vAlign w:val="center"/>
            <w:hideMark/>
          </w:tcPr>
          <w:p w14:paraId="57344D2D" w14:textId="77777777" w:rsidR="004B3189" w:rsidRPr="003516DC" w:rsidRDefault="004B3189" w:rsidP="004B3189">
            <w:pPr>
              <w:rPr>
                <w:rFonts w:ascii="Arial" w:eastAsia="Times New Roman" w:hAnsi="Arial" w:cs="Arial"/>
                <w:b/>
                <w:bCs/>
                <w:color w:val="000000"/>
                <w:sz w:val="18"/>
                <w:szCs w:val="18"/>
                <w:lang w:val="en-US"/>
              </w:rPr>
            </w:pPr>
            <w:r w:rsidRPr="003516DC">
              <w:rPr>
                <w:rFonts w:ascii="Arial" w:eastAsia="Times New Roman" w:hAnsi="Arial" w:cs="Arial"/>
                <w:b/>
                <w:bCs/>
                <w:color w:val="000000"/>
                <w:sz w:val="18"/>
                <w:szCs w:val="18"/>
                <w:lang w:val="en-US"/>
              </w:rPr>
              <w:t>Less knowledge-intensive services</w:t>
            </w:r>
          </w:p>
        </w:tc>
        <w:tc>
          <w:tcPr>
            <w:tcW w:w="1130" w:type="pct"/>
            <w:shd w:val="clear" w:color="auto" w:fill="auto"/>
            <w:noWrap/>
            <w:vAlign w:val="center"/>
          </w:tcPr>
          <w:p w14:paraId="0C8193AA" w14:textId="12D04A1E" w:rsidR="004B3189" w:rsidRPr="003516DC" w:rsidRDefault="004B3189" w:rsidP="004B3189">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7,312,633,660 </w:t>
            </w:r>
          </w:p>
        </w:tc>
        <w:tc>
          <w:tcPr>
            <w:tcW w:w="1130" w:type="pct"/>
            <w:shd w:val="clear" w:color="auto" w:fill="auto"/>
            <w:noWrap/>
            <w:vAlign w:val="center"/>
          </w:tcPr>
          <w:p w14:paraId="620A8BD7" w14:textId="5BB81A98" w:rsidR="004B3189" w:rsidRPr="003516DC" w:rsidRDefault="004B3189" w:rsidP="004B3189">
            <w:pPr>
              <w:jc w:val="right"/>
              <w:rPr>
                <w:rFonts w:ascii="Arial" w:eastAsia="Times New Roman" w:hAnsi="Arial" w:cs="Arial"/>
                <w:b/>
                <w:bCs/>
                <w:color w:val="000000"/>
                <w:sz w:val="18"/>
                <w:szCs w:val="18"/>
                <w:lang w:val="en-US"/>
              </w:rPr>
            </w:pPr>
            <w:r w:rsidRPr="003516DC">
              <w:rPr>
                <w:rFonts w:ascii="Arial" w:eastAsia="Arial Narrow" w:hAnsi="Arial" w:cs="Arial"/>
                <w:b/>
                <w:sz w:val="18"/>
                <w:szCs w:val="18"/>
              </w:rPr>
              <w:t xml:space="preserve">           12,153,717,805 </w:t>
            </w:r>
          </w:p>
        </w:tc>
        <w:tc>
          <w:tcPr>
            <w:tcW w:w="874" w:type="pct"/>
            <w:shd w:val="clear" w:color="auto" w:fill="auto"/>
            <w:noWrap/>
            <w:vAlign w:val="center"/>
          </w:tcPr>
          <w:p w14:paraId="49A3A1F4" w14:textId="40E10DD0" w:rsidR="004B3189" w:rsidRPr="003516DC" w:rsidRDefault="004B3189" w:rsidP="004B3189">
            <w:pPr>
              <w:jc w:val="center"/>
              <w:rPr>
                <w:rFonts w:ascii="Arial" w:eastAsia="Times New Roman" w:hAnsi="Arial" w:cs="Arial"/>
                <w:b/>
                <w:bCs/>
                <w:color w:val="000000"/>
                <w:sz w:val="18"/>
                <w:szCs w:val="18"/>
                <w:lang w:val="en-US"/>
              </w:rPr>
            </w:pPr>
            <w:r w:rsidRPr="003516DC">
              <w:rPr>
                <w:rFonts w:ascii="Arial" w:eastAsia="Arial Narrow" w:hAnsi="Arial" w:cs="Arial"/>
                <w:b/>
                <w:sz w:val="18"/>
                <w:szCs w:val="18"/>
              </w:rPr>
              <w:t>66.2%</w:t>
            </w:r>
          </w:p>
        </w:tc>
      </w:tr>
      <w:tr w:rsidR="004B3189" w:rsidRPr="003516DC" w14:paraId="0BB132F2" w14:textId="77777777" w:rsidTr="004B3189">
        <w:trPr>
          <w:trHeight w:val="315"/>
        </w:trPr>
        <w:tc>
          <w:tcPr>
            <w:tcW w:w="1866" w:type="pct"/>
            <w:shd w:val="clear" w:color="auto" w:fill="auto"/>
            <w:vAlign w:val="center"/>
            <w:hideMark/>
          </w:tcPr>
          <w:p w14:paraId="1041EA11"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Less knowledge-intensive market services </w:t>
            </w:r>
          </w:p>
        </w:tc>
        <w:tc>
          <w:tcPr>
            <w:tcW w:w="1130" w:type="pct"/>
            <w:shd w:val="clear" w:color="auto" w:fill="auto"/>
            <w:noWrap/>
            <w:vAlign w:val="center"/>
          </w:tcPr>
          <w:p w14:paraId="4BBD3E5B" w14:textId="14DBC12D"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7,292,244,912 </w:t>
            </w:r>
          </w:p>
        </w:tc>
        <w:tc>
          <w:tcPr>
            <w:tcW w:w="1130" w:type="pct"/>
            <w:shd w:val="clear" w:color="auto" w:fill="auto"/>
            <w:noWrap/>
            <w:vAlign w:val="center"/>
          </w:tcPr>
          <w:p w14:paraId="360DFB08" w14:textId="4D8EA24E"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12,092,199,429 </w:t>
            </w:r>
          </w:p>
        </w:tc>
        <w:tc>
          <w:tcPr>
            <w:tcW w:w="874" w:type="pct"/>
            <w:shd w:val="clear" w:color="auto" w:fill="auto"/>
            <w:noWrap/>
            <w:vAlign w:val="center"/>
          </w:tcPr>
          <w:p w14:paraId="516430CE" w14:textId="73F564B2"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65.8%</w:t>
            </w:r>
          </w:p>
        </w:tc>
      </w:tr>
      <w:tr w:rsidR="004B3189" w:rsidRPr="003516DC" w14:paraId="1B8D775A" w14:textId="77777777" w:rsidTr="004B3189">
        <w:trPr>
          <w:trHeight w:val="315"/>
        </w:trPr>
        <w:tc>
          <w:tcPr>
            <w:tcW w:w="1866" w:type="pct"/>
            <w:shd w:val="clear" w:color="auto" w:fill="auto"/>
            <w:vAlign w:val="center"/>
            <w:hideMark/>
          </w:tcPr>
          <w:p w14:paraId="27FC14CE" w14:textId="77777777" w:rsidR="004B3189" w:rsidRPr="003516DC" w:rsidRDefault="004B3189" w:rsidP="004B3189">
            <w:pPr>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Other less knowledge-intensive services</w:t>
            </w:r>
          </w:p>
        </w:tc>
        <w:tc>
          <w:tcPr>
            <w:tcW w:w="1130" w:type="pct"/>
            <w:shd w:val="clear" w:color="auto" w:fill="auto"/>
            <w:noWrap/>
            <w:vAlign w:val="center"/>
          </w:tcPr>
          <w:p w14:paraId="0CB6E0BB" w14:textId="2825031E"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20,388,748 </w:t>
            </w:r>
          </w:p>
        </w:tc>
        <w:tc>
          <w:tcPr>
            <w:tcW w:w="1130" w:type="pct"/>
            <w:shd w:val="clear" w:color="auto" w:fill="auto"/>
            <w:noWrap/>
            <w:vAlign w:val="center"/>
          </w:tcPr>
          <w:p w14:paraId="5ED81AC2" w14:textId="2EF55284" w:rsidR="004B3189" w:rsidRPr="003516DC" w:rsidRDefault="004B3189" w:rsidP="004B3189">
            <w:pPr>
              <w:jc w:val="right"/>
              <w:rPr>
                <w:rFonts w:ascii="Arial" w:eastAsia="Times New Roman" w:hAnsi="Arial" w:cs="Arial"/>
                <w:bCs/>
                <w:color w:val="000000"/>
                <w:sz w:val="18"/>
                <w:szCs w:val="18"/>
                <w:lang w:val="en-US"/>
              </w:rPr>
            </w:pPr>
            <w:r w:rsidRPr="003516DC">
              <w:rPr>
                <w:rFonts w:ascii="Arial" w:eastAsia="Arial Narrow" w:hAnsi="Arial" w:cs="Arial"/>
                <w:sz w:val="18"/>
                <w:szCs w:val="18"/>
              </w:rPr>
              <w:t xml:space="preserve">                  61,518,376 </w:t>
            </w:r>
          </w:p>
        </w:tc>
        <w:tc>
          <w:tcPr>
            <w:tcW w:w="874" w:type="pct"/>
            <w:shd w:val="clear" w:color="auto" w:fill="auto"/>
            <w:noWrap/>
            <w:vAlign w:val="center"/>
          </w:tcPr>
          <w:p w14:paraId="2387607E" w14:textId="146B69C6" w:rsidR="004B3189" w:rsidRPr="003516DC" w:rsidRDefault="004B3189" w:rsidP="004B3189">
            <w:pPr>
              <w:jc w:val="center"/>
              <w:rPr>
                <w:rFonts w:ascii="Arial" w:eastAsia="Times New Roman" w:hAnsi="Arial" w:cs="Arial"/>
                <w:bCs/>
                <w:color w:val="000000"/>
                <w:sz w:val="18"/>
                <w:szCs w:val="18"/>
                <w:lang w:val="en-US"/>
              </w:rPr>
            </w:pPr>
            <w:r w:rsidRPr="003516DC">
              <w:rPr>
                <w:rFonts w:ascii="Arial" w:eastAsia="Arial Narrow" w:hAnsi="Arial" w:cs="Arial"/>
                <w:sz w:val="18"/>
                <w:szCs w:val="18"/>
              </w:rPr>
              <w:t>201.7%</w:t>
            </w:r>
          </w:p>
        </w:tc>
      </w:tr>
      <w:tr w:rsidR="004B3189" w:rsidRPr="003516DC" w14:paraId="41E1C32B" w14:textId="77777777" w:rsidTr="004B3189">
        <w:trPr>
          <w:trHeight w:val="315"/>
        </w:trPr>
        <w:tc>
          <w:tcPr>
            <w:tcW w:w="1866" w:type="pct"/>
            <w:shd w:val="clear" w:color="auto" w:fill="auto"/>
            <w:vAlign w:val="center"/>
          </w:tcPr>
          <w:p w14:paraId="52086A7C" w14:textId="0B6BEC76" w:rsidR="004B3189" w:rsidRPr="003516DC" w:rsidRDefault="004B3189" w:rsidP="004B3189">
            <w:pPr>
              <w:rPr>
                <w:rFonts w:ascii="Arial" w:eastAsia="Times New Roman" w:hAnsi="Arial" w:cs="Arial"/>
                <w:color w:val="000000"/>
                <w:sz w:val="18"/>
                <w:szCs w:val="18"/>
                <w:lang w:val="en-US"/>
              </w:rPr>
            </w:pPr>
            <w:r w:rsidRPr="003516DC">
              <w:rPr>
                <w:rFonts w:ascii="Arial" w:eastAsia="Arial Narrow" w:hAnsi="Arial" w:cs="Arial"/>
                <w:b/>
                <w:color w:val="333333"/>
                <w:sz w:val="18"/>
                <w:szCs w:val="18"/>
              </w:rPr>
              <w:t>TOTAL Services</w:t>
            </w:r>
          </w:p>
        </w:tc>
        <w:tc>
          <w:tcPr>
            <w:tcW w:w="1130" w:type="pct"/>
            <w:shd w:val="clear" w:color="auto" w:fill="auto"/>
            <w:noWrap/>
            <w:vAlign w:val="center"/>
          </w:tcPr>
          <w:p w14:paraId="27E9EF17" w14:textId="77C57FE8" w:rsidR="004B3189" w:rsidRPr="003516DC" w:rsidRDefault="004B3189" w:rsidP="004B3189">
            <w:pPr>
              <w:jc w:val="right"/>
              <w:rPr>
                <w:rFonts w:ascii="Arial" w:eastAsia="Arial Narrow" w:hAnsi="Arial" w:cs="Arial"/>
                <w:sz w:val="18"/>
                <w:szCs w:val="18"/>
              </w:rPr>
            </w:pPr>
            <w:r w:rsidRPr="003516DC">
              <w:rPr>
                <w:rFonts w:ascii="Arial" w:eastAsia="Arial Narrow" w:hAnsi="Arial" w:cs="Arial"/>
                <w:b/>
                <w:sz w:val="18"/>
                <w:szCs w:val="18"/>
              </w:rPr>
              <w:t xml:space="preserve">             8,242,992,297 </w:t>
            </w:r>
          </w:p>
        </w:tc>
        <w:tc>
          <w:tcPr>
            <w:tcW w:w="1130" w:type="pct"/>
            <w:shd w:val="clear" w:color="auto" w:fill="auto"/>
            <w:noWrap/>
            <w:vAlign w:val="center"/>
          </w:tcPr>
          <w:p w14:paraId="5486093D" w14:textId="6EC8E336" w:rsidR="004B3189" w:rsidRPr="003516DC" w:rsidRDefault="004B3189" w:rsidP="004B3189">
            <w:pPr>
              <w:jc w:val="right"/>
              <w:rPr>
                <w:rFonts w:ascii="Arial" w:eastAsia="Arial Narrow" w:hAnsi="Arial" w:cs="Arial"/>
                <w:sz w:val="18"/>
                <w:szCs w:val="18"/>
              </w:rPr>
            </w:pPr>
            <w:r w:rsidRPr="003516DC">
              <w:rPr>
                <w:rFonts w:ascii="Arial" w:eastAsia="Arial Narrow" w:hAnsi="Arial" w:cs="Arial"/>
                <w:b/>
                <w:sz w:val="18"/>
                <w:szCs w:val="18"/>
              </w:rPr>
              <w:t xml:space="preserve">           13,692,490,009 </w:t>
            </w:r>
          </w:p>
        </w:tc>
        <w:tc>
          <w:tcPr>
            <w:tcW w:w="874" w:type="pct"/>
            <w:shd w:val="clear" w:color="auto" w:fill="auto"/>
            <w:noWrap/>
            <w:vAlign w:val="center"/>
          </w:tcPr>
          <w:p w14:paraId="351D58BB" w14:textId="2BC1793E" w:rsidR="004B3189" w:rsidRPr="003516DC" w:rsidRDefault="004B3189" w:rsidP="004B3189">
            <w:pPr>
              <w:jc w:val="center"/>
              <w:rPr>
                <w:rFonts w:ascii="Arial" w:eastAsia="Arial Narrow" w:hAnsi="Arial" w:cs="Arial"/>
                <w:sz w:val="18"/>
                <w:szCs w:val="18"/>
              </w:rPr>
            </w:pPr>
            <w:r w:rsidRPr="003516DC">
              <w:rPr>
                <w:rFonts w:ascii="Arial" w:eastAsia="Arial Narrow" w:hAnsi="Arial" w:cs="Arial"/>
                <w:sz w:val="18"/>
                <w:szCs w:val="18"/>
              </w:rPr>
              <w:t>66.1%</w:t>
            </w:r>
          </w:p>
        </w:tc>
      </w:tr>
      <w:tr w:rsidR="004B3189" w:rsidRPr="003516DC" w14:paraId="5EA04009" w14:textId="77777777" w:rsidTr="004B3189">
        <w:trPr>
          <w:trHeight w:val="315"/>
        </w:trPr>
        <w:tc>
          <w:tcPr>
            <w:tcW w:w="1866" w:type="pct"/>
            <w:shd w:val="clear" w:color="auto" w:fill="auto"/>
            <w:vAlign w:val="center"/>
          </w:tcPr>
          <w:p w14:paraId="0D091C2B" w14:textId="465B3246" w:rsidR="004B3189" w:rsidRPr="003516DC" w:rsidRDefault="004B3189" w:rsidP="004B3189">
            <w:pPr>
              <w:rPr>
                <w:rFonts w:ascii="Arial" w:eastAsia="Times New Roman" w:hAnsi="Arial" w:cs="Arial"/>
                <w:color w:val="000000"/>
                <w:sz w:val="18"/>
                <w:szCs w:val="18"/>
                <w:lang w:val="en-US"/>
              </w:rPr>
            </w:pPr>
            <w:r w:rsidRPr="003516DC">
              <w:rPr>
                <w:rFonts w:ascii="Arial" w:eastAsia="Arial Narrow" w:hAnsi="Arial" w:cs="Arial"/>
                <w:b/>
                <w:color w:val="333333"/>
                <w:sz w:val="18"/>
                <w:szCs w:val="18"/>
              </w:rPr>
              <w:t>KIS of total services</w:t>
            </w:r>
          </w:p>
        </w:tc>
        <w:tc>
          <w:tcPr>
            <w:tcW w:w="1130" w:type="pct"/>
            <w:shd w:val="clear" w:color="auto" w:fill="auto"/>
            <w:noWrap/>
            <w:vAlign w:val="center"/>
          </w:tcPr>
          <w:p w14:paraId="318A6567" w14:textId="38550548" w:rsidR="004B3189" w:rsidRPr="003516DC" w:rsidRDefault="004B3189" w:rsidP="004B3189">
            <w:pPr>
              <w:jc w:val="right"/>
              <w:rPr>
                <w:rFonts w:ascii="Arial" w:eastAsia="Arial Narrow" w:hAnsi="Arial" w:cs="Arial"/>
                <w:sz w:val="18"/>
                <w:szCs w:val="18"/>
              </w:rPr>
            </w:pPr>
            <w:r w:rsidRPr="003516DC">
              <w:rPr>
                <w:rFonts w:ascii="Arial" w:eastAsia="Arial Narrow" w:hAnsi="Arial" w:cs="Arial"/>
                <w:sz w:val="18"/>
                <w:szCs w:val="18"/>
              </w:rPr>
              <w:t>11.3%</w:t>
            </w:r>
          </w:p>
        </w:tc>
        <w:tc>
          <w:tcPr>
            <w:tcW w:w="1130" w:type="pct"/>
            <w:shd w:val="clear" w:color="auto" w:fill="auto"/>
            <w:noWrap/>
            <w:vAlign w:val="center"/>
          </w:tcPr>
          <w:p w14:paraId="2560FAB5" w14:textId="30B8791E" w:rsidR="004B3189" w:rsidRPr="003516DC" w:rsidRDefault="004B3189" w:rsidP="004B3189">
            <w:pPr>
              <w:jc w:val="right"/>
              <w:rPr>
                <w:rFonts w:ascii="Arial" w:eastAsia="Arial Narrow" w:hAnsi="Arial" w:cs="Arial"/>
                <w:sz w:val="18"/>
                <w:szCs w:val="18"/>
              </w:rPr>
            </w:pPr>
            <w:r w:rsidRPr="003516DC">
              <w:rPr>
                <w:rFonts w:ascii="Arial" w:eastAsia="Arial Narrow" w:hAnsi="Arial" w:cs="Arial"/>
                <w:sz w:val="18"/>
                <w:szCs w:val="18"/>
              </w:rPr>
              <w:t>11.2%</w:t>
            </w:r>
          </w:p>
        </w:tc>
        <w:tc>
          <w:tcPr>
            <w:tcW w:w="874" w:type="pct"/>
            <w:shd w:val="clear" w:color="auto" w:fill="auto"/>
            <w:noWrap/>
            <w:vAlign w:val="center"/>
          </w:tcPr>
          <w:p w14:paraId="147EC6E0" w14:textId="77777777" w:rsidR="004B3189" w:rsidRPr="003516DC" w:rsidRDefault="004B3189" w:rsidP="004B3189">
            <w:pPr>
              <w:jc w:val="center"/>
              <w:rPr>
                <w:rFonts w:ascii="Arial" w:eastAsia="Arial Narrow" w:hAnsi="Arial" w:cs="Arial"/>
                <w:sz w:val="18"/>
                <w:szCs w:val="18"/>
              </w:rPr>
            </w:pPr>
          </w:p>
        </w:tc>
      </w:tr>
    </w:tbl>
    <w:p w14:paraId="11729090" w14:textId="58377473" w:rsidR="004B3189" w:rsidRPr="002007F5" w:rsidRDefault="004B3189" w:rsidP="002007F5">
      <w:pPr>
        <w:spacing w:after="120"/>
        <w:rPr>
          <w:rFonts w:ascii="Arial" w:hAnsi="Arial" w:cs="Arial"/>
          <w:i/>
          <w:color w:val="1155CC"/>
          <w:sz w:val="16"/>
          <w:szCs w:val="16"/>
          <w:u w:val="single"/>
        </w:rPr>
      </w:pPr>
      <w:r w:rsidRPr="003516DC">
        <w:rPr>
          <w:rFonts w:ascii="Arial" w:hAnsi="Arial" w:cs="Arial"/>
          <w:i/>
          <w:sz w:val="16"/>
          <w:szCs w:val="16"/>
        </w:rPr>
        <w:t>Source: processing of N</w:t>
      </w:r>
      <w:r w:rsidR="006536F5" w:rsidRPr="003516DC">
        <w:rPr>
          <w:rFonts w:ascii="Arial" w:hAnsi="Arial" w:cs="Arial"/>
          <w:i/>
          <w:sz w:val="16"/>
          <w:szCs w:val="16"/>
        </w:rPr>
        <w:t>ational Trade Register Office</w:t>
      </w:r>
      <w:r w:rsidRPr="003516DC">
        <w:rPr>
          <w:rFonts w:ascii="Arial" w:hAnsi="Arial" w:cs="Arial"/>
          <w:i/>
          <w:sz w:val="16"/>
          <w:szCs w:val="16"/>
        </w:rPr>
        <w:t xml:space="preserve"> data, based on EC KIS classification of NACE codes</w:t>
      </w:r>
      <w:hyperlink r:id="rId221">
        <w:r w:rsidRPr="003516DC">
          <w:rPr>
            <w:rFonts w:ascii="Arial" w:hAnsi="Arial" w:cs="Arial"/>
            <w:i/>
            <w:sz w:val="16"/>
            <w:szCs w:val="16"/>
          </w:rPr>
          <w:t xml:space="preserve"> </w:t>
        </w:r>
      </w:hyperlink>
      <w:hyperlink r:id="rId222">
        <w:r w:rsidRPr="003516DC">
          <w:rPr>
            <w:rFonts w:ascii="Arial" w:hAnsi="Arial" w:cs="Arial"/>
            <w:i/>
            <w:color w:val="1155CC"/>
            <w:sz w:val="16"/>
            <w:szCs w:val="16"/>
            <w:u w:val="single"/>
          </w:rPr>
          <w:t>https://ec.europa.eu/eurostat/statistics-explained/index.php/Glossary:Knowledge-intensive_services_(KIS)</w:t>
        </w:r>
      </w:hyperlink>
    </w:p>
    <w:p w14:paraId="5DCEE654" w14:textId="3CF8F411" w:rsidR="0098265D" w:rsidRPr="003516DC" w:rsidRDefault="0098265D" w:rsidP="0098265D">
      <w:pPr>
        <w:jc w:val="both"/>
        <w:rPr>
          <w:rFonts w:ascii="Arial" w:hAnsi="Arial" w:cs="Arial"/>
          <w:sz w:val="20"/>
          <w:szCs w:val="20"/>
        </w:rPr>
      </w:pPr>
      <w:r w:rsidRPr="003516DC">
        <w:rPr>
          <w:rFonts w:ascii="Arial" w:hAnsi="Arial" w:cs="Arial"/>
          <w:sz w:val="20"/>
          <w:szCs w:val="20"/>
        </w:rPr>
        <w:t xml:space="preserve">Just as in the case of KIS, turnover in technology intensive manufacturing grew the fastest over the past decade, </w:t>
      </w:r>
      <w:r w:rsidR="00564AC0" w:rsidRPr="003516DC">
        <w:rPr>
          <w:rFonts w:ascii="Arial" w:hAnsi="Arial" w:cs="Arial"/>
          <w:sz w:val="20"/>
          <w:szCs w:val="20"/>
        </w:rPr>
        <w:t xml:space="preserve">although </w:t>
      </w:r>
      <w:r w:rsidRPr="003516DC">
        <w:rPr>
          <w:rFonts w:ascii="Arial" w:hAnsi="Arial" w:cs="Arial"/>
          <w:sz w:val="20"/>
          <w:szCs w:val="20"/>
        </w:rPr>
        <w:t>starting from very modest baselines. Only 2.2% of manufacturing turnover c</w:t>
      </w:r>
      <w:r w:rsidR="00A84CEF" w:rsidRPr="003516DC">
        <w:rPr>
          <w:rFonts w:ascii="Arial" w:hAnsi="Arial" w:cs="Arial"/>
          <w:sz w:val="20"/>
          <w:szCs w:val="20"/>
        </w:rPr>
        <w:t>a</w:t>
      </w:r>
      <w:r w:rsidRPr="003516DC">
        <w:rPr>
          <w:rFonts w:ascii="Arial" w:hAnsi="Arial" w:cs="Arial"/>
          <w:sz w:val="20"/>
          <w:szCs w:val="20"/>
        </w:rPr>
        <w:t>me from high-tech and medium-high tech companies</w:t>
      </w:r>
      <w:r w:rsidR="00A84CEF" w:rsidRPr="003516DC">
        <w:rPr>
          <w:rFonts w:ascii="Arial" w:hAnsi="Arial" w:cs="Arial"/>
          <w:sz w:val="20"/>
          <w:szCs w:val="20"/>
        </w:rPr>
        <w:t>,</w:t>
      </w:r>
      <w:r w:rsidRPr="003516DC">
        <w:rPr>
          <w:rFonts w:ascii="Arial" w:hAnsi="Arial" w:cs="Arial"/>
          <w:sz w:val="20"/>
          <w:szCs w:val="20"/>
        </w:rPr>
        <w:t xml:space="preserve"> compare</w:t>
      </w:r>
      <w:r w:rsidR="00A84CEF" w:rsidRPr="003516DC">
        <w:rPr>
          <w:rFonts w:ascii="Arial" w:hAnsi="Arial" w:cs="Arial"/>
          <w:sz w:val="20"/>
          <w:szCs w:val="20"/>
        </w:rPr>
        <w:t>d</w:t>
      </w:r>
      <w:r w:rsidRPr="003516DC">
        <w:rPr>
          <w:rFonts w:ascii="Arial" w:hAnsi="Arial" w:cs="Arial"/>
          <w:sz w:val="20"/>
          <w:szCs w:val="20"/>
        </w:rPr>
        <w:t xml:space="preserve"> </w:t>
      </w:r>
      <w:r w:rsidR="00A84CEF" w:rsidRPr="003516DC">
        <w:rPr>
          <w:rFonts w:ascii="Arial" w:hAnsi="Arial" w:cs="Arial"/>
          <w:sz w:val="20"/>
          <w:szCs w:val="20"/>
        </w:rPr>
        <w:t xml:space="preserve">to </w:t>
      </w:r>
      <w:r w:rsidRPr="003516DC">
        <w:rPr>
          <w:rFonts w:ascii="Arial" w:hAnsi="Arial" w:cs="Arial"/>
          <w:sz w:val="20"/>
          <w:szCs w:val="20"/>
        </w:rPr>
        <w:t xml:space="preserve">83.2% in Dolj. Overall, turnover in high-tech and medium-high tech manufacturing grew faster than medium-low- and low-tech sectors, which reflects a positive trend towards a </w:t>
      </w:r>
      <w:r w:rsidR="007C340B" w:rsidRPr="003516DC">
        <w:rPr>
          <w:rFonts w:ascii="Arial" w:hAnsi="Arial" w:cs="Arial"/>
          <w:sz w:val="20"/>
          <w:szCs w:val="20"/>
        </w:rPr>
        <w:t xml:space="preserve">more intensive </w:t>
      </w:r>
      <w:r w:rsidRPr="003516DC">
        <w:rPr>
          <w:rFonts w:ascii="Arial" w:hAnsi="Arial" w:cs="Arial"/>
          <w:sz w:val="20"/>
          <w:szCs w:val="20"/>
        </w:rPr>
        <w:t xml:space="preserve">local business sector </w:t>
      </w:r>
      <w:r w:rsidR="007C340B" w:rsidRPr="003516DC">
        <w:rPr>
          <w:rFonts w:ascii="Arial" w:hAnsi="Arial" w:cs="Arial"/>
          <w:sz w:val="20"/>
          <w:szCs w:val="20"/>
        </w:rPr>
        <w:t>with</w:t>
      </w:r>
      <w:r w:rsidRPr="003516DC">
        <w:rPr>
          <w:rFonts w:ascii="Arial" w:hAnsi="Arial" w:cs="Arial"/>
          <w:sz w:val="20"/>
          <w:szCs w:val="20"/>
        </w:rPr>
        <w:t xml:space="preserve"> advanced technologies. However, employment in high-tech and medium-tech manufacturing is still modest </w:t>
      </w:r>
      <w:r w:rsidR="00065997" w:rsidRPr="003516DC">
        <w:rPr>
          <w:rFonts w:ascii="Arial" w:hAnsi="Arial" w:cs="Arial"/>
          <w:sz w:val="20"/>
          <w:szCs w:val="20"/>
        </w:rPr>
        <w:t>(</w:t>
      </w:r>
      <w:r w:rsidRPr="003516DC">
        <w:rPr>
          <w:rFonts w:ascii="Arial" w:hAnsi="Arial" w:cs="Arial"/>
          <w:sz w:val="20"/>
          <w:szCs w:val="20"/>
        </w:rPr>
        <w:t>7% of total manufacturing</w:t>
      </w:r>
      <w:r w:rsidR="00065997" w:rsidRPr="003516DC">
        <w:rPr>
          <w:rFonts w:ascii="Arial" w:hAnsi="Arial" w:cs="Arial"/>
          <w:sz w:val="20"/>
          <w:szCs w:val="20"/>
        </w:rPr>
        <w:t>)</w:t>
      </w:r>
      <w:r w:rsidRPr="003516DC">
        <w:rPr>
          <w:rFonts w:ascii="Arial" w:hAnsi="Arial" w:cs="Arial"/>
          <w:sz w:val="20"/>
          <w:szCs w:val="20"/>
        </w:rPr>
        <w:t xml:space="preserve">. </w:t>
      </w:r>
    </w:p>
    <w:p w14:paraId="377426C7" w14:textId="794A579A" w:rsidR="0098265D" w:rsidRPr="003516DC" w:rsidRDefault="0098265D" w:rsidP="0098265D">
      <w:pPr>
        <w:pStyle w:val="Caption"/>
      </w:pPr>
      <w:bookmarkStart w:id="340" w:name="_Toc90726030"/>
      <w:bookmarkStart w:id="341" w:name="_Toc90727327"/>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76</w:t>
      </w:r>
      <w:r w:rsidR="0040363E" w:rsidRPr="003516DC">
        <w:rPr>
          <w:noProof/>
        </w:rPr>
        <w:fldChar w:fldCharType="end"/>
      </w:r>
      <w:r w:rsidRPr="003516DC">
        <w:t xml:space="preserve">: Evolution of manufacturing industry by technology intensiveness in </w:t>
      </w:r>
      <w:r w:rsidR="003751DC">
        <w:t>Galați</w:t>
      </w:r>
      <w:r w:rsidRPr="003516DC">
        <w:t xml:space="preserve"> county</w:t>
      </w:r>
      <w:bookmarkEnd w:id="340"/>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4"/>
        <w:gridCol w:w="1532"/>
        <w:gridCol w:w="1729"/>
        <w:gridCol w:w="1714"/>
      </w:tblGrid>
      <w:tr w:rsidR="0098265D" w:rsidRPr="003516DC" w14:paraId="060838BF" w14:textId="77777777" w:rsidTr="00133DD1">
        <w:trPr>
          <w:trHeight w:val="315"/>
        </w:trPr>
        <w:tc>
          <w:tcPr>
            <w:tcW w:w="2214" w:type="pct"/>
            <w:vMerge w:val="restart"/>
            <w:shd w:val="clear" w:color="auto" w:fill="002060"/>
            <w:noWrap/>
            <w:vAlign w:val="center"/>
            <w:hideMark/>
          </w:tcPr>
          <w:p w14:paraId="6566FD61" w14:textId="77777777" w:rsidR="0098265D" w:rsidRPr="003516DC" w:rsidRDefault="0098265D" w:rsidP="00133DD1">
            <w:pP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Manufacturing activities, by technology intensiveness</w:t>
            </w:r>
          </w:p>
        </w:tc>
        <w:tc>
          <w:tcPr>
            <w:tcW w:w="1826" w:type="pct"/>
            <w:gridSpan w:val="2"/>
            <w:shd w:val="clear" w:color="auto" w:fill="002060"/>
            <w:vAlign w:val="center"/>
            <w:hideMark/>
          </w:tcPr>
          <w:p w14:paraId="3B135C6A" w14:textId="77777777" w:rsidR="0098265D" w:rsidRPr="003516DC" w:rsidRDefault="0098265D"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Total turnover (RON)</w:t>
            </w:r>
          </w:p>
        </w:tc>
        <w:tc>
          <w:tcPr>
            <w:tcW w:w="960" w:type="pct"/>
            <w:vMerge w:val="restart"/>
            <w:shd w:val="clear" w:color="auto" w:fill="002060"/>
            <w:noWrap/>
            <w:vAlign w:val="center"/>
            <w:hideMark/>
          </w:tcPr>
          <w:p w14:paraId="70CD10BE" w14:textId="77777777" w:rsidR="0098265D" w:rsidRPr="003516DC" w:rsidRDefault="0098265D" w:rsidP="00133DD1">
            <w:pPr>
              <w:jc w:val="center"/>
              <w:rPr>
                <w:rFonts w:ascii="Arial" w:eastAsia="Times New Roman" w:hAnsi="Arial" w:cs="Arial"/>
                <w:b/>
                <w:bCs/>
                <w:color w:val="FFFFFF" w:themeColor="background1"/>
                <w:sz w:val="18"/>
                <w:szCs w:val="18"/>
                <w:lang w:val="en-US"/>
              </w:rPr>
            </w:pPr>
            <w:r w:rsidRPr="003516DC">
              <w:rPr>
                <w:rFonts w:ascii="Arial" w:eastAsia="Times New Roman" w:hAnsi="Arial" w:cs="Arial"/>
                <w:b/>
                <w:bCs/>
                <w:color w:val="FFFFFF" w:themeColor="background1"/>
                <w:sz w:val="18"/>
                <w:szCs w:val="18"/>
                <w:lang w:val="en-US"/>
              </w:rPr>
              <w:t>Growth 2019/2010</w:t>
            </w:r>
          </w:p>
        </w:tc>
      </w:tr>
      <w:tr w:rsidR="0098265D" w:rsidRPr="003516DC" w14:paraId="56F9AFA7" w14:textId="77777777" w:rsidTr="00133DD1">
        <w:trPr>
          <w:trHeight w:val="315"/>
        </w:trPr>
        <w:tc>
          <w:tcPr>
            <w:tcW w:w="2214" w:type="pct"/>
            <w:vMerge/>
            <w:shd w:val="clear" w:color="auto" w:fill="002060"/>
            <w:vAlign w:val="center"/>
            <w:hideMark/>
          </w:tcPr>
          <w:p w14:paraId="0475A446" w14:textId="77777777" w:rsidR="0098265D" w:rsidRPr="003516DC" w:rsidRDefault="0098265D" w:rsidP="00133DD1">
            <w:pPr>
              <w:rPr>
                <w:rFonts w:ascii="Arial" w:eastAsia="Times New Roman" w:hAnsi="Arial" w:cs="Arial"/>
                <w:color w:val="000000"/>
                <w:sz w:val="18"/>
                <w:szCs w:val="18"/>
                <w:lang w:val="en-US"/>
              </w:rPr>
            </w:pPr>
          </w:p>
        </w:tc>
        <w:tc>
          <w:tcPr>
            <w:tcW w:w="858" w:type="pct"/>
            <w:shd w:val="clear" w:color="auto" w:fill="BFBFBF" w:themeFill="background1" w:themeFillShade="BF"/>
            <w:noWrap/>
            <w:vAlign w:val="center"/>
            <w:hideMark/>
          </w:tcPr>
          <w:p w14:paraId="302BBD57" w14:textId="77777777" w:rsidR="0098265D" w:rsidRPr="003516DC" w:rsidRDefault="0098265D"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2010</w:t>
            </w:r>
          </w:p>
        </w:tc>
        <w:tc>
          <w:tcPr>
            <w:tcW w:w="968" w:type="pct"/>
            <w:shd w:val="clear" w:color="auto" w:fill="BFBFBF" w:themeFill="background1" w:themeFillShade="BF"/>
            <w:vAlign w:val="center"/>
            <w:hideMark/>
          </w:tcPr>
          <w:p w14:paraId="190B7705" w14:textId="77777777" w:rsidR="0098265D" w:rsidRPr="003516DC" w:rsidRDefault="0098265D" w:rsidP="00133DD1">
            <w:pPr>
              <w:jc w:val="center"/>
              <w:rPr>
                <w:rFonts w:ascii="Arial" w:eastAsia="Times New Roman" w:hAnsi="Arial" w:cs="Arial"/>
                <w:sz w:val="18"/>
                <w:szCs w:val="18"/>
                <w:lang w:val="en-US"/>
              </w:rPr>
            </w:pPr>
            <w:r w:rsidRPr="003516DC">
              <w:rPr>
                <w:rFonts w:ascii="Arial" w:eastAsia="Times New Roman" w:hAnsi="Arial" w:cs="Arial"/>
                <w:sz w:val="18"/>
                <w:szCs w:val="18"/>
                <w:lang w:val="en-US"/>
              </w:rPr>
              <w:t>2019</w:t>
            </w:r>
          </w:p>
        </w:tc>
        <w:tc>
          <w:tcPr>
            <w:tcW w:w="960" w:type="pct"/>
            <w:vMerge/>
            <w:vAlign w:val="center"/>
            <w:hideMark/>
          </w:tcPr>
          <w:p w14:paraId="67E1A812" w14:textId="77777777" w:rsidR="0098265D" w:rsidRPr="003516DC" w:rsidRDefault="0098265D" w:rsidP="00133DD1">
            <w:pPr>
              <w:rPr>
                <w:rFonts w:ascii="Arial" w:eastAsia="Times New Roman" w:hAnsi="Arial" w:cs="Arial"/>
                <w:color w:val="000000"/>
                <w:sz w:val="18"/>
                <w:szCs w:val="18"/>
                <w:lang w:val="en-US"/>
              </w:rPr>
            </w:pPr>
          </w:p>
        </w:tc>
      </w:tr>
      <w:tr w:rsidR="0098265D" w:rsidRPr="003516DC" w14:paraId="17B6B0C1" w14:textId="77777777" w:rsidTr="0098265D">
        <w:trPr>
          <w:trHeight w:val="315"/>
        </w:trPr>
        <w:tc>
          <w:tcPr>
            <w:tcW w:w="2214" w:type="pct"/>
            <w:shd w:val="clear" w:color="auto" w:fill="auto"/>
            <w:noWrap/>
            <w:vAlign w:val="center"/>
          </w:tcPr>
          <w:p w14:paraId="43D46FD6" w14:textId="77777777" w:rsidR="0098265D" w:rsidRPr="003516DC" w:rsidRDefault="0098265D" w:rsidP="0098265D">
            <w:pPr>
              <w:rPr>
                <w:rFonts w:ascii="Arial" w:eastAsia="Times New Roman" w:hAnsi="Arial" w:cs="Arial"/>
                <w:color w:val="000000"/>
                <w:sz w:val="18"/>
                <w:szCs w:val="18"/>
                <w:lang w:val="en-US"/>
              </w:rPr>
            </w:pPr>
            <w:r w:rsidRPr="003516DC">
              <w:rPr>
                <w:rFonts w:ascii="Arial" w:eastAsia="Arial Narrow" w:hAnsi="Arial" w:cs="Arial"/>
                <w:sz w:val="18"/>
                <w:szCs w:val="18"/>
              </w:rPr>
              <w:t>TOTAL Company turnover</w:t>
            </w:r>
          </w:p>
        </w:tc>
        <w:tc>
          <w:tcPr>
            <w:tcW w:w="858" w:type="pct"/>
            <w:shd w:val="clear" w:color="auto" w:fill="auto"/>
            <w:noWrap/>
            <w:vAlign w:val="center"/>
          </w:tcPr>
          <w:p w14:paraId="47D33A3C" w14:textId="2C900A7B"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 xml:space="preserve">18,026,702,159 </w:t>
            </w:r>
          </w:p>
        </w:tc>
        <w:tc>
          <w:tcPr>
            <w:tcW w:w="968" w:type="pct"/>
            <w:shd w:val="clear" w:color="auto" w:fill="auto"/>
            <w:noWrap/>
            <w:vAlign w:val="center"/>
          </w:tcPr>
          <w:p w14:paraId="0D6DF34E" w14:textId="2CEEDF82"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 xml:space="preserve">26,879,823,726 </w:t>
            </w:r>
          </w:p>
        </w:tc>
        <w:tc>
          <w:tcPr>
            <w:tcW w:w="960" w:type="pct"/>
            <w:shd w:val="clear" w:color="auto" w:fill="auto"/>
            <w:noWrap/>
            <w:vAlign w:val="center"/>
          </w:tcPr>
          <w:p w14:paraId="4E1BB334" w14:textId="5E0748FD"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49.1%</w:t>
            </w:r>
          </w:p>
        </w:tc>
      </w:tr>
      <w:tr w:rsidR="0098265D" w:rsidRPr="003516DC" w14:paraId="1E76A7BB" w14:textId="77777777" w:rsidTr="0098265D">
        <w:trPr>
          <w:trHeight w:val="315"/>
        </w:trPr>
        <w:tc>
          <w:tcPr>
            <w:tcW w:w="2214" w:type="pct"/>
            <w:shd w:val="clear" w:color="auto" w:fill="auto"/>
            <w:noWrap/>
            <w:vAlign w:val="center"/>
            <w:hideMark/>
          </w:tcPr>
          <w:p w14:paraId="56A78DF1" w14:textId="77777777" w:rsidR="0098265D" w:rsidRPr="003516DC" w:rsidRDefault="0098265D" w:rsidP="0098265D">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TOTAL - Manufacturing</w:t>
            </w:r>
          </w:p>
        </w:tc>
        <w:tc>
          <w:tcPr>
            <w:tcW w:w="858" w:type="pct"/>
            <w:shd w:val="clear" w:color="auto" w:fill="auto"/>
            <w:noWrap/>
            <w:vAlign w:val="center"/>
          </w:tcPr>
          <w:p w14:paraId="74FD285F" w14:textId="63015B5C"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11,322,998,841 </w:t>
            </w:r>
          </w:p>
        </w:tc>
        <w:tc>
          <w:tcPr>
            <w:tcW w:w="968" w:type="pct"/>
            <w:shd w:val="clear" w:color="auto" w:fill="auto"/>
            <w:noWrap/>
            <w:vAlign w:val="center"/>
          </w:tcPr>
          <w:p w14:paraId="2F02ABD7" w14:textId="461AD028"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17,807,352,188 </w:t>
            </w:r>
          </w:p>
        </w:tc>
        <w:tc>
          <w:tcPr>
            <w:tcW w:w="960" w:type="pct"/>
            <w:shd w:val="clear" w:color="auto" w:fill="auto"/>
            <w:noWrap/>
            <w:vAlign w:val="center"/>
          </w:tcPr>
          <w:p w14:paraId="14871D2B" w14:textId="5887E873"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57.3%</w:t>
            </w:r>
          </w:p>
        </w:tc>
      </w:tr>
      <w:tr w:rsidR="0098265D" w:rsidRPr="003516DC" w14:paraId="5D1F471A" w14:textId="77777777" w:rsidTr="0098265D">
        <w:trPr>
          <w:trHeight w:val="315"/>
        </w:trPr>
        <w:tc>
          <w:tcPr>
            <w:tcW w:w="2214" w:type="pct"/>
            <w:shd w:val="clear" w:color="auto" w:fill="auto"/>
            <w:noWrap/>
            <w:vAlign w:val="center"/>
            <w:hideMark/>
          </w:tcPr>
          <w:p w14:paraId="490D71BF" w14:textId="77777777" w:rsidR="0098265D" w:rsidRPr="003516DC" w:rsidRDefault="0098265D" w:rsidP="0098265D">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High technology intensive</w:t>
            </w:r>
          </w:p>
        </w:tc>
        <w:tc>
          <w:tcPr>
            <w:tcW w:w="858" w:type="pct"/>
            <w:shd w:val="clear" w:color="auto" w:fill="auto"/>
            <w:noWrap/>
            <w:vAlign w:val="center"/>
          </w:tcPr>
          <w:p w14:paraId="23D18ACC" w14:textId="0DB0726A" w:rsidR="0098265D" w:rsidRPr="003516DC" w:rsidRDefault="0098265D" w:rsidP="0098265D">
            <w:pPr>
              <w:jc w:val="right"/>
              <w:rPr>
                <w:rFonts w:ascii="Arial" w:eastAsia="Times New Roman" w:hAnsi="Arial" w:cs="Arial"/>
                <w:b/>
                <w:bCs/>
                <w:color w:val="000000"/>
                <w:sz w:val="18"/>
                <w:szCs w:val="18"/>
                <w:lang w:val="en-US"/>
              </w:rPr>
            </w:pPr>
            <w:r w:rsidRPr="003516DC">
              <w:rPr>
                <w:rFonts w:ascii="Arial" w:eastAsia="Arial Narrow" w:hAnsi="Arial" w:cs="Arial"/>
                <w:sz w:val="18"/>
                <w:szCs w:val="18"/>
              </w:rPr>
              <w:t xml:space="preserve">3,417,063 </w:t>
            </w:r>
          </w:p>
        </w:tc>
        <w:tc>
          <w:tcPr>
            <w:tcW w:w="968" w:type="pct"/>
            <w:shd w:val="clear" w:color="auto" w:fill="auto"/>
            <w:noWrap/>
            <w:vAlign w:val="center"/>
          </w:tcPr>
          <w:p w14:paraId="38C688DB" w14:textId="452204DB" w:rsidR="0098265D" w:rsidRPr="003516DC" w:rsidRDefault="0098265D" w:rsidP="0098265D">
            <w:pPr>
              <w:ind w:firstLineChars="100" w:firstLine="180"/>
              <w:jc w:val="right"/>
              <w:rPr>
                <w:rFonts w:ascii="Arial" w:eastAsia="Times New Roman" w:hAnsi="Arial" w:cs="Arial"/>
                <w:b/>
                <w:bCs/>
                <w:color w:val="000000"/>
                <w:sz w:val="18"/>
                <w:szCs w:val="18"/>
                <w:lang w:val="en-US"/>
              </w:rPr>
            </w:pPr>
            <w:r w:rsidRPr="003516DC">
              <w:rPr>
                <w:rFonts w:ascii="Arial" w:eastAsia="Arial Narrow" w:hAnsi="Arial" w:cs="Arial"/>
                <w:sz w:val="18"/>
                <w:szCs w:val="18"/>
              </w:rPr>
              <w:t xml:space="preserve">25,241,054 </w:t>
            </w:r>
          </w:p>
        </w:tc>
        <w:tc>
          <w:tcPr>
            <w:tcW w:w="960" w:type="pct"/>
            <w:shd w:val="clear" w:color="auto" w:fill="auto"/>
            <w:noWrap/>
            <w:vAlign w:val="center"/>
          </w:tcPr>
          <w:p w14:paraId="337CFDBF" w14:textId="70ED7C1C" w:rsidR="0098265D" w:rsidRPr="003516DC" w:rsidRDefault="0098265D" w:rsidP="0098265D">
            <w:pPr>
              <w:jc w:val="right"/>
              <w:rPr>
                <w:rFonts w:ascii="Arial" w:eastAsia="Times New Roman" w:hAnsi="Arial" w:cs="Arial"/>
                <w:b/>
                <w:bCs/>
                <w:color w:val="000000"/>
                <w:sz w:val="18"/>
                <w:szCs w:val="18"/>
                <w:lang w:val="en-US"/>
              </w:rPr>
            </w:pPr>
            <w:r w:rsidRPr="003516DC">
              <w:rPr>
                <w:rFonts w:ascii="Arial" w:eastAsia="Arial Narrow" w:hAnsi="Arial" w:cs="Arial"/>
                <w:sz w:val="18"/>
                <w:szCs w:val="18"/>
              </w:rPr>
              <w:t>638.7%</w:t>
            </w:r>
          </w:p>
        </w:tc>
      </w:tr>
      <w:tr w:rsidR="0098265D" w:rsidRPr="003516DC" w14:paraId="3C5DE092" w14:textId="77777777" w:rsidTr="0098265D">
        <w:trPr>
          <w:trHeight w:val="315"/>
        </w:trPr>
        <w:tc>
          <w:tcPr>
            <w:tcW w:w="2214" w:type="pct"/>
            <w:shd w:val="clear" w:color="auto" w:fill="auto"/>
            <w:noWrap/>
            <w:vAlign w:val="center"/>
            <w:hideMark/>
          </w:tcPr>
          <w:p w14:paraId="13F78B90" w14:textId="77777777" w:rsidR="0098265D" w:rsidRPr="003516DC" w:rsidRDefault="0098265D" w:rsidP="0098265D">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Medium-High technology intensive</w:t>
            </w:r>
          </w:p>
        </w:tc>
        <w:tc>
          <w:tcPr>
            <w:tcW w:w="858" w:type="pct"/>
            <w:shd w:val="clear" w:color="auto" w:fill="auto"/>
            <w:noWrap/>
            <w:vAlign w:val="center"/>
          </w:tcPr>
          <w:p w14:paraId="1AB1C1FF" w14:textId="45210FD0"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93,721,555 </w:t>
            </w:r>
          </w:p>
        </w:tc>
        <w:tc>
          <w:tcPr>
            <w:tcW w:w="968" w:type="pct"/>
            <w:shd w:val="clear" w:color="auto" w:fill="auto"/>
            <w:noWrap/>
            <w:vAlign w:val="center"/>
          </w:tcPr>
          <w:p w14:paraId="306C0D55" w14:textId="206878A1" w:rsidR="0098265D" w:rsidRPr="003516DC" w:rsidRDefault="0098265D" w:rsidP="0098265D">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176,144,596 </w:t>
            </w:r>
          </w:p>
        </w:tc>
        <w:tc>
          <w:tcPr>
            <w:tcW w:w="960" w:type="pct"/>
            <w:shd w:val="clear" w:color="auto" w:fill="auto"/>
            <w:noWrap/>
            <w:vAlign w:val="center"/>
          </w:tcPr>
          <w:p w14:paraId="3C484A79" w14:textId="61BF336F"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87.9%</w:t>
            </w:r>
          </w:p>
        </w:tc>
      </w:tr>
      <w:tr w:rsidR="0098265D" w:rsidRPr="003516DC" w14:paraId="0F237A0F" w14:textId="77777777" w:rsidTr="0098265D">
        <w:trPr>
          <w:trHeight w:val="315"/>
        </w:trPr>
        <w:tc>
          <w:tcPr>
            <w:tcW w:w="2214" w:type="pct"/>
            <w:shd w:val="clear" w:color="auto" w:fill="auto"/>
            <w:noWrap/>
            <w:vAlign w:val="center"/>
            <w:hideMark/>
          </w:tcPr>
          <w:p w14:paraId="787D07FE" w14:textId="77777777" w:rsidR="0098265D" w:rsidRPr="003516DC" w:rsidRDefault="0098265D" w:rsidP="0098265D">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Medium-Low technology intensive</w:t>
            </w:r>
          </w:p>
        </w:tc>
        <w:tc>
          <w:tcPr>
            <w:tcW w:w="858" w:type="pct"/>
            <w:shd w:val="clear" w:color="auto" w:fill="auto"/>
            <w:noWrap/>
            <w:vAlign w:val="center"/>
          </w:tcPr>
          <w:p w14:paraId="6FA89BFF" w14:textId="62E878B3"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5,470,044,711 </w:t>
            </w:r>
          </w:p>
        </w:tc>
        <w:tc>
          <w:tcPr>
            <w:tcW w:w="968" w:type="pct"/>
            <w:shd w:val="clear" w:color="auto" w:fill="auto"/>
            <w:noWrap/>
            <w:vAlign w:val="center"/>
          </w:tcPr>
          <w:p w14:paraId="3275883D" w14:textId="0B6B5E6C" w:rsidR="0098265D" w:rsidRPr="003516DC" w:rsidRDefault="0098265D" w:rsidP="0098265D">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7,241,635,445 </w:t>
            </w:r>
          </w:p>
        </w:tc>
        <w:tc>
          <w:tcPr>
            <w:tcW w:w="960" w:type="pct"/>
            <w:shd w:val="clear" w:color="auto" w:fill="auto"/>
            <w:noWrap/>
            <w:vAlign w:val="center"/>
          </w:tcPr>
          <w:p w14:paraId="61F856B6" w14:textId="7F250D80"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32.4%</w:t>
            </w:r>
          </w:p>
        </w:tc>
      </w:tr>
      <w:tr w:rsidR="0098265D" w:rsidRPr="003516DC" w14:paraId="796BDEBC" w14:textId="77777777" w:rsidTr="0098265D">
        <w:trPr>
          <w:trHeight w:val="315"/>
        </w:trPr>
        <w:tc>
          <w:tcPr>
            <w:tcW w:w="2214" w:type="pct"/>
            <w:shd w:val="clear" w:color="auto" w:fill="auto"/>
            <w:noWrap/>
            <w:vAlign w:val="center"/>
            <w:hideMark/>
          </w:tcPr>
          <w:p w14:paraId="5F0E412D" w14:textId="77777777" w:rsidR="0098265D" w:rsidRPr="003516DC" w:rsidRDefault="0098265D" w:rsidP="0098265D">
            <w:pPr>
              <w:ind w:firstLineChars="100" w:firstLine="180"/>
              <w:rPr>
                <w:rFonts w:ascii="Arial" w:eastAsia="Times New Roman" w:hAnsi="Arial" w:cs="Arial"/>
                <w:color w:val="000000"/>
                <w:sz w:val="18"/>
                <w:szCs w:val="18"/>
                <w:lang w:val="en-US"/>
              </w:rPr>
            </w:pPr>
            <w:r w:rsidRPr="003516DC">
              <w:rPr>
                <w:rFonts w:ascii="Arial" w:eastAsia="Times New Roman" w:hAnsi="Arial" w:cs="Arial"/>
                <w:color w:val="000000"/>
                <w:sz w:val="18"/>
                <w:szCs w:val="18"/>
                <w:lang w:val="en-US"/>
              </w:rPr>
              <w:t xml:space="preserve">Low technology intensive </w:t>
            </w:r>
          </w:p>
        </w:tc>
        <w:tc>
          <w:tcPr>
            <w:tcW w:w="858" w:type="pct"/>
            <w:shd w:val="clear" w:color="auto" w:fill="auto"/>
            <w:noWrap/>
            <w:vAlign w:val="center"/>
          </w:tcPr>
          <w:p w14:paraId="40E7503C" w14:textId="3111FE39"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1,136,519,989 </w:t>
            </w:r>
          </w:p>
        </w:tc>
        <w:tc>
          <w:tcPr>
            <w:tcW w:w="968" w:type="pct"/>
            <w:shd w:val="clear" w:color="auto" w:fill="auto"/>
            <w:noWrap/>
            <w:vAlign w:val="center"/>
          </w:tcPr>
          <w:p w14:paraId="04FDF56D" w14:textId="1A5291E6" w:rsidR="0098265D" w:rsidRPr="003516DC" w:rsidRDefault="0098265D" w:rsidP="0098265D">
            <w:pPr>
              <w:ind w:firstLineChars="100" w:firstLine="180"/>
              <w:jc w:val="right"/>
              <w:rPr>
                <w:rFonts w:ascii="Arial" w:eastAsia="Times New Roman" w:hAnsi="Arial" w:cs="Arial"/>
                <w:color w:val="000000"/>
                <w:sz w:val="18"/>
                <w:szCs w:val="18"/>
                <w:lang w:val="en-US"/>
              </w:rPr>
            </w:pPr>
            <w:r w:rsidRPr="003516DC">
              <w:rPr>
                <w:rFonts w:ascii="Arial" w:eastAsia="Arial Narrow" w:hAnsi="Arial" w:cs="Arial"/>
                <w:sz w:val="18"/>
                <w:szCs w:val="18"/>
              </w:rPr>
              <w:t xml:space="preserve">1,629,450,443 </w:t>
            </w:r>
          </w:p>
        </w:tc>
        <w:tc>
          <w:tcPr>
            <w:tcW w:w="960" w:type="pct"/>
            <w:shd w:val="clear" w:color="auto" w:fill="auto"/>
            <w:noWrap/>
            <w:vAlign w:val="center"/>
          </w:tcPr>
          <w:p w14:paraId="1DBD1218" w14:textId="4B83E215" w:rsidR="0098265D" w:rsidRPr="003516DC" w:rsidRDefault="0098265D" w:rsidP="0098265D">
            <w:pPr>
              <w:jc w:val="right"/>
              <w:rPr>
                <w:rFonts w:ascii="Arial" w:eastAsia="Times New Roman" w:hAnsi="Arial" w:cs="Arial"/>
                <w:color w:val="000000"/>
                <w:sz w:val="18"/>
                <w:szCs w:val="18"/>
                <w:lang w:val="en-US"/>
              </w:rPr>
            </w:pPr>
            <w:r w:rsidRPr="003516DC">
              <w:rPr>
                <w:rFonts w:ascii="Arial" w:eastAsia="Arial Narrow" w:hAnsi="Arial" w:cs="Arial"/>
                <w:sz w:val="18"/>
                <w:szCs w:val="18"/>
              </w:rPr>
              <w:t>43.4%</w:t>
            </w:r>
          </w:p>
        </w:tc>
      </w:tr>
      <w:tr w:rsidR="0098265D" w:rsidRPr="003516DC" w14:paraId="7D03C4A0" w14:textId="77777777" w:rsidTr="0098265D">
        <w:trPr>
          <w:trHeight w:val="315"/>
        </w:trPr>
        <w:tc>
          <w:tcPr>
            <w:tcW w:w="2214" w:type="pct"/>
            <w:shd w:val="clear" w:color="auto" w:fill="auto"/>
            <w:noWrap/>
            <w:vAlign w:val="bottom"/>
          </w:tcPr>
          <w:p w14:paraId="3A4CBF18" w14:textId="06728FD4" w:rsidR="0098265D" w:rsidRPr="003516DC" w:rsidRDefault="0098265D" w:rsidP="0098265D">
            <w:pPr>
              <w:rPr>
                <w:rFonts w:ascii="Arial" w:eastAsia="Times New Roman" w:hAnsi="Arial" w:cs="Arial"/>
                <w:color w:val="000000"/>
                <w:sz w:val="18"/>
                <w:szCs w:val="18"/>
                <w:lang w:val="en-US"/>
              </w:rPr>
            </w:pPr>
            <w:r w:rsidRPr="003516DC">
              <w:rPr>
                <w:rFonts w:ascii="Arial" w:eastAsia="Arial Narrow" w:hAnsi="Arial" w:cs="Arial"/>
                <w:sz w:val="18"/>
                <w:szCs w:val="18"/>
              </w:rPr>
              <w:t>TOTAL - Manufacturing</w:t>
            </w:r>
          </w:p>
        </w:tc>
        <w:tc>
          <w:tcPr>
            <w:tcW w:w="858" w:type="pct"/>
            <w:shd w:val="clear" w:color="auto" w:fill="auto"/>
            <w:noWrap/>
            <w:vAlign w:val="center"/>
          </w:tcPr>
          <w:p w14:paraId="2D4BCBAB" w14:textId="6CB3D914"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 xml:space="preserve">6,703,703,318 </w:t>
            </w:r>
          </w:p>
        </w:tc>
        <w:tc>
          <w:tcPr>
            <w:tcW w:w="968" w:type="pct"/>
            <w:shd w:val="clear" w:color="auto" w:fill="auto"/>
            <w:noWrap/>
            <w:vAlign w:val="center"/>
          </w:tcPr>
          <w:p w14:paraId="4FD131B1" w14:textId="4A9BBAC4" w:rsidR="0098265D" w:rsidRPr="003516DC" w:rsidRDefault="0098265D" w:rsidP="0098265D">
            <w:pPr>
              <w:ind w:firstLineChars="100" w:firstLine="180"/>
              <w:jc w:val="right"/>
              <w:rPr>
                <w:rFonts w:ascii="Arial" w:hAnsi="Arial" w:cs="Arial"/>
                <w:sz w:val="18"/>
                <w:szCs w:val="18"/>
              </w:rPr>
            </w:pPr>
            <w:r w:rsidRPr="003516DC">
              <w:rPr>
                <w:rFonts w:ascii="Arial" w:eastAsia="Arial Narrow" w:hAnsi="Arial" w:cs="Arial"/>
                <w:sz w:val="18"/>
                <w:szCs w:val="18"/>
              </w:rPr>
              <w:t xml:space="preserve">9,072,471,538 </w:t>
            </w:r>
          </w:p>
        </w:tc>
        <w:tc>
          <w:tcPr>
            <w:tcW w:w="960" w:type="pct"/>
            <w:shd w:val="clear" w:color="auto" w:fill="auto"/>
            <w:noWrap/>
            <w:vAlign w:val="center"/>
          </w:tcPr>
          <w:p w14:paraId="276C3396" w14:textId="1D851FC4"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35.3%</w:t>
            </w:r>
          </w:p>
        </w:tc>
      </w:tr>
      <w:tr w:rsidR="0098265D" w:rsidRPr="003516DC" w14:paraId="03AB7BF2" w14:textId="77777777" w:rsidTr="0098265D">
        <w:trPr>
          <w:gridAfter w:val="1"/>
          <w:wAfter w:w="960" w:type="pct"/>
          <w:trHeight w:val="315"/>
        </w:trPr>
        <w:tc>
          <w:tcPr>
            <w:tcW w:w="2214" w:type="pct"/>
            <w:shd w:val="clear" w:color="auto" w:fill="auto"/>
            <w:noWrap/>
            <w:vAlign w:val="bottom"/>
          </w:tcPr>
          <w:p w14:paraId="5B17780B" w14:textId="74047335" w:rsidR="0098265D" w:rsidRPr="003516DC" w:rsidRDefault="0098265D" w:rsidP="0098265D">
            <w:pPr>
              <w:rPr>
                <w:rFonts w:ascii="Arial" w:eastAsia="Times New Roman" w:hAnsi="Arial" w:cs="Arial"/>
                <w:color w:val="000000"/>
                <w:sz w:val="18"/>
                <w:szCs w:val="18"/>
                <w:lang w:val="en-US"/>
              </w:rPr>
            </w:pPr>
            <w:r w:rsidRPr="003516DC">
              <w:rPr>
                <w:rFonts w:ascii="Arial" w:eastAsia="Arial Narrow" w:hAnsi="Arial" w:cs="Arial"/>
                <w:sz w:val="18"/>
                <w:szCs w:val="18"/>
              </w:rPr>
              <w:t xml:space="preserve">Share of hight-tech and medium-tech manufacturing in total company turnover </w:t>
            </w:r>
          </w:p>
        </w:tc>
        <w:tc>
          <w:tcPr>
            <w:tcW w:w="858" w:type="pct"/>
            <w:shd w:val="clear" w:color="auto" w:fill="auto"/>
            <w:noWrap/>
            <w:vAlign w:val="center"/>
          </w:tcPr>
          <w:p w14:paraId="2E65270C" w14:textId="5358DDA0"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0.5%</w:t>
            </w:r>
          </w:p>
        </w:tc>
        <w:tc>
          <w:tcPr>
            <w:tcW w:w="968" w:type="pct"/>
            <w:shd w:val="clear" w:color="auto" w:fill="auto"/>
            <w:noWrap/>
            <w:vAlign w:val="center"/>
          </w:tcPr>
          <w:p w14:paraId="7997C428" w14:textId="133B1699" w:rsidR="0098265D" w:rsidRPr="003516DC" w:rsidRDefault="0098265D" w:rsidP="0098265D">
            <w:pPr>
              <w:ind w:firstLineChars="100" w:firstLine="180"/>
              <w:jc w:val="right"/>
              <w:rPr>
                <w:rFonts w:ascii="Arial" w:hAnsi="Arial" w:cs="Arial"/>
                <w:sz w:val="18"/>
                <w:szCs w:val="18"/>
              </w:rPr>
            </w:pPr>
            <w:r w:rsidRPr="003516DC">
              <w:rPr>
                <w:rFonts w:ascii="Arial" w:eastAsia="Arial Narrow" w:hAnsi="Arial" w:cs="Arial"/>
                <w:sz w:val="18"/>
                <w:szCs w:val="18"/>
              </w:rPr>
              <w:t>0.7%</w:t>
            </w:r>
          </w:p>
        </w:tc>
      </w:tr>
      <w:tr w:rsidR="0098265D" w:rsidRPr="003516DC" w14:paraId="35E250A3" w14:textId="77777777" w:rsidTr="0098265D">
        <w:trPr>
          <w:gridAfter w:val="1"/>
          <w:wAfter w:w="960" w:type="pct"/>
          <w:trHeight w:val="315"/>
        </w:trPr>
        <w:tc>
          <w:tcPr>
            <w:tcW w:w="2214" w:type="pct"/>
            <w:shd w:val="clear" w:color="auto" w:fill="auto"/>
            <w:noWrap/>
            <w:vAlign w:val="bottom"/>
          </w:tcPr>
          <w:p w14:paraId="67017A59" w14:textId="69C4A51F" w:rsidR="0098265D" w:rsidRPr="003516DC" w:rsidRDefault="0098265D" w:rsidP="0098265D">
            <w:pPr>
              <w:rPr>
                <w:rFonts w:ascii="Arial" w:eastAsia="Times New Roman" w:hAnsi="Arial" w:cs="Arial"/>
                <w:color w:val="000000"/>
                <w:sz w:val="18"/>
                <w:szCs w:val="18"/>
                <w:lang w:val="en-US"/>
              </w:rPr>
            </w:pPr>
            <w:r w:rsidRPr="003516DC">
              <w:rPr>
                <w:rFonts w:ascii="Arial" w:eastAsia="Arial Narrow" w:hAnsi="Arial" w:cs="Arial"/>
                <w:sz w:val="18"/>
                <w:szCs w:val="18"/>
              </w:rPr>
              <w:t>Share of hight-tech and medium-tech manufacturing in total manufacturing</w:t>
            </w:r>
          </w:p>
        </w:tc>
        <w:tc>
          <w:tcPr>
            <w:tcW w:w="858" w:type="pct"/>
            <w:shd w:val="clear" w:color="auto" w:fill="auto"/>
            <w:noWrap/>
            <w:vAlign w:val="center"/>
          </w:tcPr>
          <w:p w14:paraId="3EBF91C2" w14:textId="5CDEAC65" w:rsidR="0098265D" w:rsidRPr="003516DC" w:rsidRDefault="0098265D" w:rsidP="0098265D">
            <w:pPr>
              <w:jc w:val="right"/>
              <w:rPr>
                <w:rFonts w:ascii="Arial" w:hAnsi="Arial" w:cs="Arial"/>
                <w:sz w:val="18"/>
                <w:szCs w:val="18"/>
              </w:rPr>
            </w:pPr>
            <w:r w:rsidRPr="003516DC">
              <w:rPr>
                <w:rFonts w:ascii="Arial" w:eastAsia="Arial Narrow" w:hAnsi="Arial" w:cs="Arial"/>
                <w:sz w:val="18"/>
                <w:szCs w:val="18"/>
              </w:rPr>
              <w:t>1.4%</w:t>
            </w:r>
          </w:p>
        </w:tc>
        <w:tc>
          <w:tcPr>
            <w:tcW w:w="968" w:type="pct"/>
            <w:shd w:val="clear" w:color="auto" w:fill="auto"/>
            <w:noWrap/>
            <w:vAlign w:val="center"/>
          </w:tcPr>
          <w:p w14:paraId="564788C1" w14:textId="65887D19" w:rsidR="0098265D" w:rsidRPr="003516DC" w:rsidRDefault="0098265D" w:rsidP="0098265D">
            <w:pPr>
              <w:ind w:firstLineChars="100" w:firstLine="180"/>
              <w:jc w:val="right"/>
              <w:rPr>
                <w:rFonts w:ascii="Arial" w:hAnsi="Arial" w:cs="Arial"/>
                <w:sz w:val="18"/>
                <w:szCs w:val="18"/>
              </w:rPr>
            </w:pPr>
            <w:r w:rsidRPr="003516DC">
              <w:rPr>
                <w:rFonts w:ascii="Arial" w:eastAsia="Arial Narrow" w:hAnsi="Arial" w:cs="Arial"/>
                <w:sz w:val="18"/>
                <w:szCs w:val="18"/>
              </w:rPr>
              <w:t>2.2%</w:t>
            </w:r>
          </w:p>
        </w:tc>
      </w:tr>
    </w:tbl>
    <w:p w14:paraId="0516738A" w14:textId="13124E1E" w:rsidR="0098265D" w:rsidRDefault="0098265D" w:rsidP="0098265D">
      <w:pPr>
        <w:spacing w:after="240"/>
        <w:rPr>
          <w:rFonts w:ascii="Arial" w:hAnsi="Arial" w:cs="Arial"/>
          <w:i/>
          <w:color w:val="1155CC"/>
          <w:sz w:val="16"/>
          <w:szCs w:val="16"/>
          <w:u w:val="single"/>
        </w:rPr>
      </w:pPr>
      <w:r w:rsidRPr="003516DC">
        <w:rPr>
          <w:rFonts w:ascii="Arial" w:hAnsi="Arial" w:cs="Arial"/>
          <w:i/>
          <w:sz w:val="16"/>
          <w:szCs w:val="16"/>
        </w:rPr>
        <w:t xml:space="preserve">Source: processing of </w:t>
      </w:r>
      <w:r w:rsidR="006536F5" w:rsidRPr="003516DC">
        <w:rPr>
          <w:rFonts w:ascii="Arial" w:hAnsi="Arial" w:cs="Arial"/>
          <w:i/>
          <w:sz w:val="16"/>
          <w:szCs w:val="16"/>
        </w:rPr>
        <w:t>National Trade Register Office</w:t>
      </w:r>
      <w:r w:rsidRPr="003516DC">
        <w:rPr>
          <w:rFonts w:ascii="Arial" w:hAnsi="Arial" w:cs="Arial"/>
          <w:i/>
          <w:sz w:val="16"/>
          <w:szCs w:val="16"/>
        </w:rPr>
        <w:t xml:space="preserve"> data, based on EC high tech classification of NACE codes</w:t>
      </w:r>
      <w:hyperlink r:id="rId223">
        <w:r w:rsidRPr="003516DC">
          <w:rPr>
            <w:rFonts w:ascii="Arial" w:hAnsi="Arial" w:cs="Arial"/>
            <w:i/>
            <w:sz w:val="16"/>
            <w:szCs w:val="16"/>
          </w:rPr>
          <w:t xml:space="preserve"> </w:t>
        </w:r>
      </w:hyperlink>
      <w:hyperlink r:id="rId224">
        <w:r w:rsidRPr="003516DC">
          <w:rPr>
            <w:rFonts w:ascii="Arial" w:hAnsi="Arial" w:cs="Arial"/>
            <w:i/>
            <w:color w:val="1155CC"/>
            <w:sz w:val="16"/>
            <w:szCs w:val="16"/>
            <w:u w:val="single"/>
          </w:rPr>
          <w:t>https://ec.europa.eu/eurostat/statistics-explained/index.php/Glossary:High-tech</w:t>
        </w:r>
      </w:hyperlink>
    </w:p>
    <w:p w14:paraId="1310AE42" w14:textId="1EEDE83F" w:rsidR="002007F5" w:rsidRDefault="002007F5" w:rsidP="00E42342">
      <w:pPr>
        <w:pStyle w:val="ListParagraph"/>
        <w:numPr>
          <w:ilvl w:val="0"/>
          <w:numId w:val="311"/>
        </w:numPr>
        <w:spacing w:after="120"/>
        <w:jc w:val="both"/>
        <w:rPr>
          <w:color w:val="4F81BD" w:themeColor="accent1"/>
          <w:sz w:val="20"/>
          <w:szCs w:val="20"/>
        </w:rPr>
      </w:pPr>
      <w:r>
        <w:rPr>
          <w:color w:val="4F81BD" w:themeColor="accent1"/>
          <w:sz w:val="20"/>
          <w:szCs w:val="20"/>
        </w:rPr>
        <w:t>Renewable energy production</w:t>
      </w:r>
    </w:p>
    <w:p w14:paraId="3415C994" w14:textId="0B16B4D9" w:rsidR="000574CB" w:rsidRPr="00402580" w:rsidRDefault="00E909F2" w:rsidP="0088065B">
      <w:pPr>
        <w:spacing w:after="120"/>
        <w:jc w:val="both"/>
        <w:rPr>
          <w:rFonts w:ascii="Arial" w:hAnsi="Arial" w:cs="Arial"/>
          <w:sz w:val="20"/>
          <w:szCs w:val="20"/>
        </w:rPr>
      </w:pPr>
      <w:r w:rsidRPr="004427E3">
        <w:rPr>
          <w:rFonts w:ascii="Arial" w:hAnsi="Arial" w:cs="Arial"/>
          <w:sz w:val="20"/>
          <w:szCs w:val="20"/>
        </w:rPr>
        <w:t xml:space="preserve">In terms of </w:t>
      </w:r>
      <w:r w:rsidRPr="004427E3">
        <w:rPr>
          <w:rFonts w:ascii="Arial" w:hAnsi="Arial" w:cs="Arial"/>
          <w:b/>
          <w:bCs/>
          <w:sz w:val="20"/>
          <w:szCs w:val="20"/>
        </w:rPr>
        <w:t>renewable energy production</w:t>
      </w:r>
      <w:r w:rsidRPr="004427E3">
        <w:rPr>
          <w:rFonts w:ascii="Arial" w:hAnsi="Arial" w:cs="Arial"/>
          <w:sz w:val="20"/>
          <w:szCs w:val="20"/>
        </w:rPr>
        <w:t>,</w:t>
      </w:r>
      <w:r w:rsidR="00E66308">
        <w:rPr>
          <w:rFonts w:ascii="Arial" w:hAnsi="Arial" w:cs="Arial"/>
          <w:sz w:val="20"/>
          <w:szCs w:val="20"/>
        </w:rPr>
        <w:t xml:space="preserve"> the </w:t>
      </w:r>
      <w:r w:rsidRPr="00402580">
        <w:rPr>
          <w:rFonts w:ascii="Arial" w:hAnsi="Arial" w:cs="Arial"/>
          <w:b/>
          <w:bCs/>
          <w:sz w:val="20"/>
          <w:szCs w:val="20"/>
        </w:rPr>
        <w:t>solar PV</w:t>
      </w:r>
      <w:r w:rsidRPr="00402580">
        <w:rPr>
          <w:rFonts w:ascii="Arial" w:hAnsi="Arial" w:cs="Arial"/>
          <w:sz w:val="20"/>
          <w:szCs w:val="20"/>
        </w:rPr>
        <w:t xml:space="preserve"> projects </w:t>
      </w:r>
      <w:r w:rsidR="00E66308">
        <w:rPr>
          <w:rFonts w:ascii="Arial" w:hAnsi="Arial" w:cs="Arial"/>
          <w:sz w:val="20"/>
          <w:szCs w:val="20"/>
        </w:rPr>
        <w:t>that could</w:t>
      </w:r>
      <w:r w:rsidR="00E66308" w:rsidRPr="00402580">
        <w:rPr>
          <w:rFonts w:ascii="Arial" w:hAnsi="Arial" w:cs="Arial"/>
          <w:sz w:val="20"/>
          <w:szCs w:val="20"/>
        </w:rPr>
        <w:t xml:space="preserve"> </w:t>
      </w:r>
      <w:r w:rsidRPr="00402580">
        <w:rPr>
          <w:rFonts w:ascii="Arial" w:hAnsi="Arial" w:cs="Arial"/>
          <w:sz w:val="20"/>
          <w:szCs w:val="20"/>
        </w:rPr>
        <w:t xml:space="preserve">be developed in </w:t>
      </w:r>
      <w:r w:rsidR="003751DC">
        <w:rPr>
          <w:rFonts w:ascii="Arial" w:hAnsi="Arial" w:cs="Arial"/>
          <w:sz w:val="20"/>
          <w:szCs w:val="20"/>
        </w:rPr>
        <w:t>Galați</w:t>
      </w:r>
      <w:r w:rsidRPr="00402580">
        <w:rPr>
          <w:rFonts w:ascii="Arial" w:hAnsi="Arial" w:cs="Arial"/>
          <w:sz w:val="20"/>
          <w:szCs w:val="20"/>
        </w:rPr>
        <w:t xml:space="preserve"> </w:t>
      </w:r>
      <w:r w:rsidR="00E66308">
        <w:rPr>
          <w:rFonts w:ascii="Arial" w:hAnsi="Arial" w:cs="Arial"/>
          <w:sz w:val="20"/>
          <w:szCs w:val="20"/>
        </w:rPr>
        <w:t>are less competitive overall than those in</w:t>
      </w:r>
      <w:r w:rsidRPr="00402580">
        <w:rPr>
          <w:rFonts w:ascii="Arial" w:hAnsi="Arial" w:cs="Arial"/>
          <w:sz w:val="20"/>
          <w:szCs w:val="20"/>
        </w:rPr>
        <w:t xml:space="preserve"> Gorj, Dolj and Prahova</w:t>
      </w:r>
      <w:r w:rsidR="00E66308">
        <w:rPr>
          <w:rFonts w:ascii="Arial" w:hAnsi="Arial" w:cs="Arial"/>
          <w:sz w:val="20"/>
          <w:szCs w:val="20"/>
        </w:rPr>
        <w:t>. Yet even these project</w:t>
      </w:r>
      <w:r w:rsidR="00046E6A">
        <w:rPr>
          <w:rFonts w:ascii="Arial" w:hAnsi="Arial" w:cs="Arial"/>
          <w:sz w:val="20"/>
          <w:szCs w:val="20"/>
        </w:rPr>
        <w:t>s</w:t>
      </w:r>
      <w:r w:rsidR="00E66308">
        <w:rPr>
          <w:rFonts w:ascii="Arial" w:hAnsi="Arial" w:cs="Arial"/>
          <w:sz w:val="20"/>
          <w:szCs w:val="20"/>
        </w:rPr>
        <w:t xml:space="preserve"> </w:t>
      </w:r>
      <w:r w:rsidRPr="00402580">
        <w:rPr>
          <w:rFonts w:ascii="Arial" w:hAnsi="Arial" w:cs="Arial"/>
          <w:sz w:val="20"/>
          <w:szCs w:val="20"/>
        </w:rPr>
        <w:t xml:space="preserve">will be highly competitive in comparison to spot prices observed in 2019-2020. </w:t>
      </w:r>
      <w:r w:rsidR="003751DC">
        <w:rPr>
          <w:rFonts w:ascii="Arial" w:hAnsi="Arial" w:cs="Arial"/>
          <w:sz w:val="20"/>
          <w:szCs w:val="20"/>
        </w:rPr>
        <w:t>Galați</w:t>
      </w:r>
      <w:r w:rsidRPr="00402580">
        <w:rPr>
          <w:rFonts w:ascii="Arial" w:hAnsi="Arial" w:cs="Arial"/>
          <w:sz w:val="20"/>
          <w:szCs w:val="20"/>
        </w:rPr>
        <w:t xml:space="preserve"> requires </w:t>
      </w:r>
      <w:r w:rsidR="004427E3">
        <w:rPr>
          <w:rFonts w:ascii="Arial" w:hAnsi="Arial" w:cs="Arial"/>
          <w:sz w:val="20"/>
          <w:szCs w:val="20"/>
        </w:rPr>
        <w:t>less that</w:t>
      </w:r>
      <w:r w:rsidRPr="00402580">
        <w:rPr>
          <w:rFonts w:ascii="Arial" w:hAnsi="Arial" w:cs="Arial"/>
          <w:sz w:val="20"/>
          <w:szCs w:val="20"/>
        </w:rPr>
        <w:t xml:space="preserve"> 400 ha of </w:t>
      </w:r>
      <w:r w:rsidRPr="00402580">
        <w:rPr>
          <w:rFonts w:ascii="Arial" w:hAnsi="Arial" w:cs="Arial"/>
          <w:sz w:val="20"/>
          <w:szCs w:val="20"/>
        </w:rPr>
        <w:lastRenderedPageBreak/>
        <w:t>land to develop an estimated 400 MW of utility scale PV assigned under the analysis. This represents a fraction of available land for development in the county compared to available agricultural land.</w:t>
      </w:r>
    </w:p>
    <w:p w14:paraId="70564E8A" w14:textId="34DF3EF1" w:rsidR="000574CB" w:rsidRPr="0088065B" w:rsidRDefault="000574CB" w:rsidP="0088065B">
      <w:pPr>
        <w:spacing w:after="120"/>
        <w:jc w:val="both"/>
        <w:rPr>
          <w:rFonts w:ascii="Arial" w:hAnsi="Arial" w:cs="Arial"/>
          <w:color w:val="0070C0"/>
          <w:sz w:val="20"/>
          <w:szCs w:val="20"/>
          <w:lang w:val="ro-RO"/>
        </w:rPr>
      </w:pPr>
      <w:r w:rsidRPr="00402580">
        <w:rPr>
          <w:rFonts w:ascii="Arial" w:hAnsi="Arial" w:cs="Arial"/>
          <w:sz w:val="20"/>
          <w:szCs w:val="20"/>
        </w:rPr>
        <w:t xml:space="preserve">When it comes to onshore wind potential in </w:t>
      </w:r>
      <w:r w:rsidR="003751DC">
        <w:rPr>
          <w:rFonts w:ascii="Arial" w:hAnsi="Arial" w:cs="Arial"/>
          <w:sz w:val="20"/>
          <w:szCs w:val="20"/>
        </w:rPr>
        <w:t>Galați</w:t>
      </w:r>
      <w:r w:rsidRPr="00402580">
        <w:rPr>
          <w:rFonts w:ascii="Arial" w:hAnsi="Arial" w:cs="Arial"/>
          <w:sz w:val="20"/>
          <w:szCs w:val="20"/>
          <w:lang w:val="ro-RO"/>
        </w:rPr>
        <w:t xml:space="preserve"> </w:t>
      </w:r>
      <w:r w:rsidR="004427E3">
        <w:rPr>
          <w:rFonts w:ascii="Arial" w:hAnsi="Arial" w:cs="Arial"/>
          <w:sz w:val="20"/>
          <w:szCs w:val="20"/>
          <w:lang w:val="ro-RO"/>
        </w:rPr>
        <w:t>C</w:t>
      </w:r>
      <w:r w:rsidRPr="00402580">
        <w:rPr>
          <w:rFonts w:ascii="Arial" w:hAnsi="Arial" w:cs="Arial"/>
          <w:sz w:val="20"/>
          <w:szCs w:val="20"/>
          <w:lang w:val="ro-RO"/>
        </w:rPr>
        <w:t>ounty</w:t>
      </w:r>
      <w:r w:rsidR="004427E3">
        <w:rPr>
          <w:rFonts w:ascii="Arial" w:hAnsi="Arial" w:cs="Arial"/>
          <w:sz w:val="20"/>
          <w:szCs w:val="20"/>
          <w:lang w:val="ro-RO"/>
        </w:rPr>
        <w:t>,</w:t>
      </w:r>
      <w:r w:rsidRPr="00402580">
        <w:rPr>
          <w:rFonts w:ascii="Arial" w:hAnsi="Arial" w:cs="Arial"/>
          <w:sz w:val="20"/>
          <w:szCs w:val="20"/>
          <w:lang w:val="ro-RO"/>
        </w:rPr>
        <w:t xml:space="preserve"> </w:t>
      </w:r>
      <w:r w:rsidRPr="004427E3">
        <w:rPr>
          <w:rFonts w:ascii="Arial" w:hAnsi="Arial" w:cs="Arial"/>
          <w:sz w:val="20"/>
          <w:szCs w:val="20"/>
        </w:rPr>
        <w:t xml:space="preserve">160 MW of </w:t>
      </w:r>
      <w:r w:rsidRPr="004427E3">
        <w:rPr>
          <w:rFonts w:ascii="Arial" w:hAnsi="Arial" w:cs="Arial"/>
          <w:b/>
          <w:bCs/>
          <w:sz w:val="20"/>
          <w:szCs w:val="20"/>
        </w:rPr>
        <w:t>onshore wind farms</w:t>
      </w:r>
      <w:r w:rsidRPr="004427E3">
        <w:rPr>
          <w:rStyle w:val="FootnoteReference"/>
          <w:rFonts w:ascii="Arial" w:hAnsi="Arial" w:cs="Arial"/>
          <w:sz w:val="20"/>
          <w:szCs w:val="20"/>
        </w:rPr>
        <w:footnoteReference w:id="148"/>
      </w:r>
      <w:r w:rsidRPr="004427E3">
        <w:rPr>
          <w:rFonts w:ascii="Arial" w:hAnsi="Arial" w:cs="Arial"/>
          <w:b/>
          <w:bCs/>
          <w:sz w:val="20"/>
          <w:szCs w:val="20"/>
        </w:rPr>
        <w:t xml:space="preserve"> </w:t>
      </w:r>
      <w:r w:rsidR="00984C24" w:rsidRPr="00402580">
        <w:rPr>
          <w:rFonts w:ascii="Arial" w:hAnsi="Arial" w:cs="Arial"/>
          <w:bCs/>
          <w:sz w:val="20"/>
          <w:szCs w:val="20"/>
        </w:rPr>
        <w:t>have already</w:t>
      </w:r>
      <w:r w:rsidR="00984C24">
        <w:rPr>
          <w:rFonts w:ascii="Arial" w:hAnsi="Arial" w:cs="Arial"/>
          <w:b/>
          <w:bCs/>
          <w:sz w:val="20"/>
          <w:szCs w:val="20"/>
        </w:rPr>
        <w:t xml:space="preserve"> </w:t>
      </w:r>
      <w:r w:rsidR="00984C24" w:rsidRPr="00402580">
        <w:rPr>
          <w:rFonts w:ascii="Arial" w:hAnsi="Arial" w:cs="Arial"/>
          <w:bCs/>
          <w:sz w:val="20"/>
          <w:szCs w:val="20"/>
        </w:rPr>
        <w:t>been</w:t>
      </w:r>
      <w:r w:rsidR="00984C24">
        <w:rPr>
          <w:rFonts w:ascii="Arial" w:hAnsi="Arial" w:cs="Arial"/>
          <w:b/>
          <w:bCs/>
          <w:sz w:val="20"/>
          <w:szCs w:val="20"/>
        </w:rPr>
        <w:t xml:space="preserve"> </w:t>
      </w:r>
      <w:r w:rsidRPr="004427E3">
        <w:rPr>
          <w:rFonts w:ascii="Arial" w:hAnsi="Arial" w:cs="Arial"/>
          <w:sz w:val="20"/>
          <w:szCs w:val="20"/>
        </w:rPr>
        <w:t xml:space="preserve">developed during the first wave of renewable </w:t>
      </w:r>
      <w:r w:rsidRPr="000574CB">
        <w:rPr>
          <w:rFonts w:ascii="Arial" w:hAnsi="Arial" w:cs="Arial"/>
          <w:sz w:val="20"/>
          <w:szCs w:val="20"/>
        </w:rPr>
        <w:t>energy project development between 2010</w:t>
      </w:r>
      <w:r w:rsidR="00984C24">
        <w:rPr>
          <w:rFonts w:ascii="Arial" w:hAnsi="Arial" w:cs="Arial"/>
          <w:sz w:val="20"/>
          <w:szCs w:val="20"/>
        </w:rPr>
        <w:t>-</w:t>
      </w:r>
      <w:r w:rsidRPr="000574CB">
        <w:rPr>
          <w:rFonts w:ascii="Arial" w:hAnsi="Arial" w:cs="Arial"/>
          <w:sz w:val="20"/>
          <w:szCs w:val="20"/>
        </w:rPr>
        <w:t xml:space="preserve">2014. The biggest wind farm in </w:t>
      </w:r>
      <w:r w:rsidR="003751DC">
        <w:rPr>
          <w:rFonts w:ascii="Arial" w:hAnsi="Arial" w:cs="Arial"/>
          <w:sz w:val="20"/>
          <w:szCs w:val="20"/>
        </w:rPr>
        <w:t>Galați</w:t>
      </w:r>
      <w:r w:rsidRPr="000574CB">
        <w:rPr>
          <w:rFonts w:ascii="Arial" w:hAnsi="Arial" w:cs="Arial"/>
          <w:sz w:val="20"/>
          <w:szCs w:val="20"/>
        </w:rPr>
        <w:t xml:space="preserve"> </w:t>
      </w:r>
      <w:r w:rsidR="00984C24">
        <w:rPr>
          <w:rFonts w:ascii="Arial" w:hAnsi="Arial" w:cs="Arial"/>
          <w:sz w:val="20"/>
          <w:szCs w:val="20"/>
        </w:rPr>
        <w:t>C</w:t>
      </w:r>
      <w:r w:rsidRPr="000574CB">
        <w:rPr>
          <w:rFonts w:ascii="Arial" w:hAnsi="Arial" w:cs="Arial"/>
          <w:sz w:val="20"/>
          <w:szCs w:val="20"/>
        </w:rPr>
        <w:t>ounty is a 70 MW wind farm</w:t>
      </w:r>
      <w:r w:rsidRPr="000574CB">
        <w:rPr>
          <w:rStyle w:val="FootnoteReference"/>
          <w:rFonts w:ascii="Arial" w:hAnsi="Arial" w:cs="Arial"/>
          <w:sz w:val="20"/>
          <w:szCs w:val="20"/>
        </w:rPr>
        <w:footnoteReference w:id="149"/>
      </w:r>
      <w:r w:rsidRPr="000574CB">
        <w:rPr>
          <w:rFonts w:ascii="Arial" w:hAnsi="Arial" w:cs="Arial"/>
          <w:sz w:val="20"/>
          <w:szCs w:val="20"/>
        </w:rPr>
        <w:t xml:space="preserve">. As of 2021, about 5% of all onshore wind capacity in Romania is in </w:t>
      </w:r>
      <w:r w:rsidR="003751DC">
        <w:rPr>
          <w:rFonts w:ascii="Arial" w:hAnsi="Arial" w:cs="Arial"/>
          <w:sz w:val="20"/>
          <w:szCs w:val="20"/>
        </w:rPr>
        <w:t>Galați</w:t>
      </w:r>
      <w:r w:rsidRPr="000574CB">
        <w:rPr>
          <w:rFonts w:ascii="Arial" w:hAnsi="Arial" w:cs="Arial"/>
          <w:sz w:val="20"/>
          <w:szCs w:val="20"/>
        </w:rPr>
        <w:t xml:space="preserve"> </w:t>
      </w:r>
      <w:r w:rsidR="00984C24">
        <w:rPr>
          <w:rFonts w:ascii="Arial" w:hAnsi="Arial" w:cs="Arial"/>
          <w:sz w:val="20"/>
          <w:szCs w:val="20"/>
        </w:rPr>
        <w:t>C</w:t>
      </w:r>
      <w:r w:rsidRPr="000574CB">
        <w:rPr>
          <w:rFonts w:ascii="Arial" w:hAnsi="Arial" w:cs="Arial"/>
          <w:sz w:val="20"/>
          <w:szCs w:val="20"/>
        </w:rPr>
        <w:t xml:space="preserve">ounty. </w:t>
      </w:r>
    </w:p>
    <w:p w14:paraId="3A0FFB92" w14:textId="5F496140" w:rsidR="000574CB" w:rsidRPr="003516DC" w:rsidRDefault="000574CB" w:rsidP="0088065B">
      <w:pPr>
        <w:spacing w:after="120"/>
        <w:jc w:val="both"/>
        <w:rPr>
          <w:rFonts w:ascii="Arial" w:hAnsi="Arial" w:cs="Arial"/>
          <w:sz w:val="20"/>
          <w:szCs w:val="20"/>
        </w:rPr>
      </w:pPr>
      <w:r w:rsidRPr="003516DC">
        <w:rPr>
          <w:rFonts w:ascii="Arial" w:hAnsi="Arial" w:cs="Arial"/>
          <w:sz w:val="20"/>
          <w:szCs w:val="20"/>
        </w:rPr>
        <w:t xml:space="preserve">In terms of the new development of onshore wind in Romania, we estimate that at least 600 MW of onshore wind can be built at very competitive costs by 2030 in </w:t>
      </w:r>
      <w:r w:rsidR="003751DC">
        <w:rPr>
          <w:rFonts w:ascii="Arial" w:hAnsi="Arial" w:cs="Arial"/>
          <w:sz w:val="20"/>
          <w:szCs w:val="20"/>
        </w:rPr>
        <w:t>Galați</w:t>
      </w:r>
      <w:r w:rsidRPr="003516DC">
        <w:rPr>
          <w:rFonts w:ascii="Arial" w:hAnsi="Arial" w:cs="Arial"/>
          <w:sz w:val="20"/>
          <w:szCs w:val="20"/>
        </w:rPr>
        <w:t xml:space="preserve"> (Graph </w:t>
      </w:r>
      <w:r w:rsidR="0064139C">
        <w:rPr>
          <w:rFonts w:ascii="Arial" w:hAnsi="Arial" w:cs="Arial"/>
          <w:sz w:val="20"/>
          <w:szCs w:val="20"/>
        </w:rPr>
        <w:t>5</w:t>
      </w:r>
      <w:r w:rsidR="00F140B0">
        <w:rPr>
          <w:rFonts w:ascii="Arial" w:hAnsi="Arial" w:cs="Arial"/>
          <w:sz w:val="20"/>
          <w:szCs w:val="20"/>
        </w:rPr>
        <w:t>5</w:t>
      </w:r>
      <w:r w:rsidRPr="003516DC">
        <w:rPr>
          <w:rFonts w:ascii="Arial" w:hAnsi="Arial" w:cs="Arial"/>
          <w:sz w:val="20"/>
          <w:szCs w:val="20"/>
        </w:rPr>
        <w:t xml:space="preserve">). The land requirements for the 600 MW of estimated onshore wind development in </w:t>
      </w:r>
      <w:r w:rsidR="003751DC">
        <w:rPr>
          <w:rFonts w:ascii="Arial" w:hAnsi="Arial" w:cs="Arial"/>
          <w:sz w:val="20"/>
          <w:szCs w:val="20"/>
        </w:rPr>
        <w:t>Galați</w:t>
      </w:r>
      <w:r w:rsidRPr="003516DC">
        <w:rPr>
          <w:rFonts w:ascii="Arial" w:hAnsi="Arial" w:cs="Arial"/>
          <w:sz w:val="20"/>
          <w:szCs w:val="20"/>
        </w:rPr>
        <w:t xml:space="preserve"> is </w:t>
      </w:r>
      <w:r w:rsidR="00984C24">
        <w:rPr>
          <w:rFonts w:ascii="Arial" w:hAnsi="Arial" w:cs="Arial"/>
          <w:sz w:val="20"/>
          <w:szCs w:val="20"/>
        </w:rPr>
        <w:t>less than</w:t>
      </w:r>
      <w:r w:rsidRPr="003516DC">
        <w:rPr>
          <w:rFonts w:ascii="Arial" w:hAnsi="Arial" w:cs="Arial"/>
          <w:sz w:val="20"/>
          <w:szCs w:val="20"/>
        </w:rPr>
        <w:t xml:space="preserve"> 100 ha, a small fraction of the available land in the county.</w:t>
      </w:r>
    </w:p>
    <w:p w14:paraId="1232D833" w14:textId="675ABAEE" w:rsidR="000574CB" w:rsidRPr="003516DC" w:rsidRDefault="000574CB" w:rsidP="000574CB">
      <w:pPr>
        <w:pStyle w:val="Caption"/>
      </w:pPr>
      <w:bookmarkStart w:id="342" w:name="_Toc90727391"/>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55</w:t>
      </w:r>
      <w:r w:rsidRPr="003516DC">
        <w:rPr>
          <w:noProof/>
        </w:rPr>
        <w:fldChar w:fldCharType="end"/>
      </w:r>
      <w:r w:rsidRPr="003516DC">
        <w:t xml:space="preserve">: Supply curve of onshore wind in </w:t>
      </w:r>
      <w:r w:rsidR="003751DC">
        <w:t>Galați</w:t>
      </w:r>
      <w:r w:rsidR="00984C24">
        <w:t xml:space="preserve"> County</w:t>
      </w:r>
      <w:bookmarkEnd w:id="342"/>
    </w:p>
    <w:p w14:paraId="439CCCEE" w14:textId="77777777" w:rsidR="000574CB" w:rsidRPr="003516DC" w:rsidRDefault="000574CB" w:rsidP="000574CB">
      <w:pPr>
        <w:pStyle w:val="Caption"/>
        <w:spacing w:before="0" w:after="0"/>
      </w:pPr>
      <w:r w:rsidRPr="003516DC">
        <w:rPr>
          <w:noProof/>
          <w:lang w:val="en-US"/>
        </w:rPr>
        <w:drawing>
          <wp:inline distT="0" distB="0" distL="0" distR="0" wp14:anchorId="20583B4F" wp14:editId="14D07A56">
            <wp:extent cx="5676265" cy="3081528"/>
            <wp:effectExtent l="0" t="0" r="635" b="5080"/>
            <wp:docPr id="18" name="Chart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6CCD35C-CA9A-4DB8-8772-694487CB16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r w:rsidRPr="003516DC" w:rsidDel="003774E7">
        <w:rPr>
          <w:noProof/>
          <w:sz w:val="24"/>
          <w:szCs w:val="24"/>
          <w:lang w:eastAsia="en-GB"/>
        </w:rPr>
        <w:t xml:space="preserve"> </w:t>
      </w:r>
    </w:p>
    <w:p w14:paraId="716EAD56" w14:textId="48C21970" w:rsidR="000574CB" w:rsidRPr="003516DC" w:rsidRDefault="000574CB" w:rsidP="000574CB">
      <w:pPr>
        <w:spacing w:line="360" w:lineRule="auto"/>
        <w:jc w:val="both"/>
        <w:rPr>
          <w:rStyle w:val="Hyperlink"/>
          <w:rFonts w:ascii="Arial" w:hAnsi="Arial" w:cs="Arial"/>
          <w:i/>
          <w:iCs/>
          <w:sz w:val="16"/>
          <w:szCs w:val="16"/>
        </w:rPr>
      </w:pPr>
      <w:r w:rsidRPr="003516DC">
        <w:rPr>
          <w:rFonts w:ascii="Arial" w:hAnsi="Arial" w:cs="Arial"/>
          <w:i/>
          <w:iCs/>
          <w:sz w:val="16"/>
          <w:szCs w:val="16"/>
        </w:rPr>
        <w:t xml:space="preserve">Source: Own estimates based on market data and capacity factor data from </w:t>
      </w:r>
      <w:hyperlink r:id="rId226" w:history="1">
        <w:r w:rsidRPr="003516DC">
          <w:rPr>
            <w:rStyle w:val="Hyperlink"/>
            <w:rFonts w:ascii="Arial" w:hAnsi="Arial" w:cs="Arial"/>
            <w:i/>
            <w:iCs/>
            <w:sz w:val="16"/>
            <w:szCs w:val="16"/>
          </w:rPr>
          <w:t>RenewablesNinja</w:t>
        </w:r>
      </w:hyperlink>
    </w:p>
    <w:p w14:paraId="0F818555" w14:textId="4487E8BC" w:rsidR="00285FBB" w:rsidRDefault="000574CB" w:rsidP="0088065B">
      <w:pPr>
        <w:spacing w:after="120"/>
        <w:jc w:val="both"/>
        <w:rPr>
          <w:rFonts w:ascii="Arial" w:hAnsi="Arial" w:cs="Arial"/>
          <w:sz w:val="20"/>
          <w:szCs w:val="20"/>
        </w:rPr>
      </w:pPr>
      <w:r w:rsidRPr="003516DC">
        <w:rPr>
          <w:rFonts w:ascii="Arial" w:hAnsi="Arial" w:cs="Arial"/>
          <w:sz w:val="20"/>
          <w:szCs w:val="20"/>
        </w:rPr>
        <w:t xml:space="preserve">Most if not all of the onshore wind capacity that is assigned for development in this analysis in </w:t>
      </w:r>
      <w:r w:rsidR="003751DC">
        <w:rPr>
          <w:rFonts w:ascii="Arial" w:hAnsi="Arial" w:cs="Arial"/>
          <w:sz w:val="20"/>
          <w:szCs w:val="20"/>
        </w:rPr>
        <w:t>Galați</w:t>
      </w:r>
      <w:r w:rsidRPr="003516DC">
        <w:rPr>
          <w:rFonts w:ascii="Arial" w:hAnsi="Arial" w:cs="Arial"/>
          <w:sz w:val="20"/>
          <w:szCs w:val="20"/>
        </w:rPr>
        <w:t xml:space="preserve"> up to 2030 can be developed at extremely competitive costs</w:t>
      </w:r>
      <w:r w:rsidR="00984C24">
        <w:rPr>
          <w:rFonts w:ascii="Arial" w:hAnsi="Arial" w:cs="Arial"/>
          <w:sz w:val="20"/>
          <w:szCs w:val="20"/>
        </w:rPr>
        <w:t>:</w:t>
      </w:r>
      <w:r w:rsidRPr="003516DC">
        <w:rPr>
          <w:rFonts w:ascii="Arial" w:hAnsi="Arial" w:cs="Arial"/>
          <w:sz w:val="20"/>
          <w:szCs w:val="20"/>
        </w:rPr>
        <w:t xml:space="preserve"> the first 300 MW </w:t>
      </w:r>
      <w:r w:rsidR="00984C24">
        <w:rPr>
          <w:rFonts w:ascii="Arial" w:hAnsi="Arial" w:cs="Arial"/>
          <w:sz w:val="20"/>
          <w:szCs w:val="20"/>
        </w:rPr>
        <w:t>is</w:t>
      </w:r>
      <w:r w:rsidRPr="003516DC">
        <w:rPr>
          <w:rFonts w:ascii="Arial" w:hAnsi="Arial" w:cs="Arial"/>
          <w:sz w:val="20"/>
          <w:szCs w:val="20"/>
        </w:rPr>
        <w:t xml:space="preserve"> well below current spot market prices. </w:t>
      </w:r>
    </w:p>
    <w:p w14:paraId="6B7FD601" w14:textId="09CEA9AA" w:rsidR="002007F5" w:rsidRDefault="002007F5" w:rsidP="00E42342">
      <w:pPr>
        <w:pStyle w:val="ListParagraph"/>
        <w:numPr>
          <w:ilvl w:val="0"/>
          <w:numId w:val="312"/>
        </w:numPr>
        <w:spacing w:after="120"/>
        <w:jc w:val="both"/>
        <w:rPr>
          <w:color w:val="4F81BD" w:themeColor="accent1"/>
          <w:sz w:val="20"/>
          <w:szCs w:val="20"/>
        </w:rPr>
      </w:pPr>
      <w:r>
        <w:rPr>
          <w:color w:val="4F81BD" w:themeColor="accent1"/>
          <w:sz w:val="20"/>
          <w:szCs w:val="20"/>
        </w:rPr>
        <w:t>ETS support potential</w:t>
      </w:r>
    </w:p>
    <w:p w14:paraId="630FDFE5" w14:textId="411F8BB1" w:rsidR="00285FBB" w:rsidRPr="0088065B" w:rsidRDefault="00285FBB" w:rsidP="0088065B">
      <w:pPr>
        <w:spacing w:after="120"/>
        <w:jc w:val="both"/>
        <w:rPr>
          <w:rFonts w:ascii="Arial" w:hAnsi="Arial" w:cs="Arial"/>
          <w:sz w:val="20"/>
          <w:szCs w:val="20"/>
        </w:rPr>
      </w:pPr>
      <w:r w:rsidRPr="00402580">
        <w:rPr>
          <w:rFonts w:ascii="Arial" w:hAnsi="Arial" w:cs="Arial"/>
          <w:sz w:val="20"/>
          <w:szCs w:val="20"/>
        </w:rPr>
        <w:t xml:space="preserve">In terms of </w:t>
      </w:r>
      <w:r w:rsidRPr="00402580">
        <w:rPr>
          <w:rFonts w:ascii="Arial" w:hAnsi="Arial" w:cs="Arial"/>
          <w:b/>
          <w:bCs/>
          <w:sz w:val="20"/>
          <w:szCs w:val="20"/>
        </w:rPr>
        <w:t>ETS support potential</w:t>
      </w:r>
      <w:r w:rsidRPr="00402580">
        <w:rPr>
          <w:rFonts w:ascii="Arial" w:hAnsi="Arial" w:cs="Arial"/>
          <w:sz w:val="20"/>
          <w:szCs w:val="20"/>
        </w:rPr>
        <w:t>, 99% of verified emissions</w:t>
      </w:r>
      <w:r w:rsidR="00984C24" w:rsidRPr="00984C24">
        <w:rPr>
          <w:rFonts w:ascii="Arial" w:hAnsi="Arial" w:cs="Arial"/>
          <w:sz w:val="20"/>
          <w:szCs w:val="20"/>
        </w:rPr>
        <w:t xml:space="preserve"> </w:t>
      </w:r>
      <w:r w:rsidR="00984C24" w:rsidRPr="006F1AC6">
        <w:rPr>
          <w:rFonts w:ascii="Arial" w:hAnsi="Arial" w:cs="Arial"/>
          <w:sz w:val="20"/>
          <w:szCs w:val="20"/>
        </w:rPr>
        <w:t xml:space="preserve">in </w:t>
      </w:r>
      <w:r w:rsidR="003751DC">
        <w:rPr>
          <w:rFonts w:ascii="Arial" w:hAnsi="Arial" w:cs="Arial"/>
          <w:sz w:val="20"/>
          <w:szCs w:val="20"/>
        </w:rPr>
        <w:t>Galați</w:t>
      </w:r>
      <w:r w:rsidRPr="00402580">
        <w:rPr>
          <w:rFonts w:ascii="Arial" w:hAnsi="Arial" w:cs="Arial"/>
          <w:sz w:val="20"/>
          <w:szCs w:val="20"/>
        </w:rPr>
        <w:t xml:space="preserve"> occur at Liberty </w:t>
      </w:r>
      <w:r w:rsidR="003751DC">
        <w:rPr>
          <w:rFonts w:ascii="Arial" w:hAnsi="Arial" w:cs="Arial"/>
          <w:sz w:val="20"/>
          <w:szCs w:val="20"/>
        </w:rPr>
        <w:t>Galați</w:t>
      </w:r>
      <w:r w:rsidRPr="00402580">
        <w:rPr>
          <w:rFonts w:ascii="Arial" w:hAnsi="Arial" w:cs="Arial"/>
          <w:sz w:val="20"/>
          <w:szCs w:val="20"/>
        </w:rPr>
        <w:t xml:space="preserve"> steel mill</w:t>
      </w:r>
      <w:r w:rsidR="00984C24">
        <w:rPr>
          <w:rFonts w:ascii="Arial" w:hAnsi="Arial" w:cs="Arial"/>
          <w:sz w:val="20"/>
          <w:szCs w:val="20"/>
        </w:rPr>
        <w:t>,</w:t>
      </w:r>
      <w:r w:rsidRPr="00402580">
        <w:rPr>
          <w:rFonts w:ascii="Arial" w:hAnsi="Arial" w:cs="Arial"/>
          <w:sz w:val="20"/>
          <w:szCs w:val="20"/>
        </w:rPr>
        <w:t xml:space="preserve"> which in turn receives more allowances than required for compliance. Liberty </w:t>
      </w:r>
      <w:r w:rsidR="003751DC">
        <w:rPr>
          <w:rFonts w:ascii="Arial" w:hAnsi="Arial" w:cs="Arial"/>
          <w:sz w:val="20"/>
          <w:szCs w:val="20"/>
        </w:rPr>
        <w:t>Galați</w:t>
      </w:r>
      <w:r w:rsidRPr="00402580">
        <w:rPr>
          <w:rFonts w:ascii="Arial" w:hAnsi="Arial" w:cs="Arial"/>
          <w:sz w:val="20"/>
          <w:szCs w:val="20"/>
        </w:rPr>
        <w:t xml:space="preserve"> is one of the few entities receiving more freely allocated emissions than its verified emissions</w:t>
      </w:r>
      <w:r w:rsidR="00984C24">
        <w:rPr>
          <w:rFonts w:ascii="Arial" w:hAnsi="Arial" w:cs="Arial"/>
          <w:sz w:val="20"/>
          <w:szCs w:val="20"/>
        </w:rPr>
        <w:t>,</w:t>
      </w:r>
      <w:r w:rsidRPr="00402580">
        <w:rPr>
          <w:rFonts w:ascii="Arial" w:hAnsi="Arial" w:cs="Arial"/>
          <w:sz w:val="20"/>
          <w:szCs w:val="20"/>
        </w:rPr>
        <w:t xml:space="preserve"> which translates into a windfall revenue in case these are sold at market prices.</w:t>
      </w:r>
    </w:p>
    <w:p w14:paraId="5ED935FA" w14:textId="1EF1E38B" w:rsidR="00285FBB" w:rsidRPr="002007F5" w:rsidRDefault="00285FBB" w:rsidP="0088065B">
      <w:pPr>
        <w:spacing w:after="120"/>
        <w:jc w:val="both"/>
        <w:rPr>
          <w:rFonts w:ascii="Arial" w:hAnsi="Arial" w:cs="Arial"/>
          <w:i/>
          <w:iCs/>
          <w:color w:val="4F81BD" w:themeColor="accent1"/>
          <w:sz w:val="20"/>
          <w:szCs w:val="20"/>
        </w:rPr>
      </w:pPr>
      <w:r w:rsidRPr="002007F5">
        <w:rPr>
          <w:rFonts w:ascii="Arial" w:hAnsi="Arial" w:cs="Arial"/>
          <w:i/>
          <w:iCs/>
          <w:color w:val="4F81BD" w:themeColor="accent1"/>
          <w:sz w:val="20"/>
          <w:szCs w:val="20"/>
        </w:rPr>
        <w:t xml:space="preserve">Assessment of the proposed emission reductions by installation owner in </w:t>
      </w:r>
      <w:r w:rsidR="003751DC">
        <w:rPr>
          <w:rFonts w:ascii="Arial" w:hAnsi="Arial" w:cs="Arial"/>
          <w:i/>
          <w:iCs/>
          <w:color w:val="4F81BD" w:themeColor="accent1"/>
          <w:sz w:val="20"/>
          <w:szCs w:val="20"/>
        </w:rPr>
        <w:t>Galați</w:t>
      </w:r>
      <w:r w:rsidRPr="002007F5">
        <w:rPr>
          <w:rFonts w:ascii="Arial" w:hAnsi="Arial" w:cs="Arial"/>
          <w:i/>
          <w:iCs/>
          <w:color w:val="4F81BD" w:themeColor="accent1"/>
          <w:sz w:val="20"/>
          <w:szCs w:val="20"/>
        </w:rPr>
        <w:t xml:space="preserve"> by </w:t>
      </w:r>
      <w:r w:rsidR="000D01C4">
        <w:rPr>
          <w:rFonts w:ascii="Arial" w:hAnsi="Arial" w:cs="Arial"/>
          <w:i/>
          <w:iCs/>
          <w:color w:val="4F81BD" w:themeColor="accent1"/>
          <w:sz w:val="20"/>
          <w:szCs w:val="20"/>
        </w:rPr>
        <w:t>examining</w:t>
      </w:r>
      <w:r w:rsidRPr="002007F5">
        <w:rPr>
          <w:rFonts w:ascii="Arial" w:hAnsi="Arial" w:cs="Arial"/>
          <w:i/>
          <w:iCs/>
          <w:color w:val="4F81BD" w:themeColor="accent1"/>
          <w:sz w:val="20"/>
          <w:szCs w:val="20"/>
        </w:rPr>
        <w:t xml:space="preserve"> the decarbonisation plans of the largest emitter</w:t>
      </w:r>
    </w:p>
    <w:p w14:paraId="5193AFE0" w14:textId="27594A70" w:rsidR="00285FBB" w:rsidRPr="00402580" w:rsidRDefault="00285FBB" w:rsidP="0088065B">
      <w:pPr>
        <w:spacing w:after="120"/>
        <w:jc w:val="both"/>
        <w:rPr>
          <w:rFonts w:ascii="Arial" w:hAnsi="Arial" w:cs="Arial"/>
          <w:sz w:val="20"/>
          <w:szCs w:val="20"/>
        </w:rPr>
      </w:pPr>
      <w:r w:rsidRPr="00402580">
        <w:rPr>
          <w:rFonts w:ascii="Arial" w:hAnsi="Arial" w:cs="Arial"/>
          <w:sz w:val="20"/>
          <w:szCs w:val="20"/>
        </w:rPr>
        <w:t xml:space="preserve">Liberty </w:t>
      </w:r>
      <w:r w:rsidR="003751DC">
        <w:rPr>
          <w:rFonts w:ascii="Arial" w:hAnsi="Arial" w:cs="Arial"/>
          <w:sz w:val="20"/>
          <w:szCs w:val="20"/>
        </w:rPr>
        <w:t>Galați</w:t>
      </w:r>
      <w:r w:rsidRPr="00402580">
        <w:rPr>
          <w:rFonts w:ascii="Arial" w:hAnsi="Arial" w:cs="Arial"/>
          <w:sz w:val="20"/>
          <w:szCs w:val="20"/>
        </w:rPr>
        <w:t xml:space="preserve"> is a pig iron and steel producer and has currently 5,014 employees. Historically, the company has been vastly oversupplied with free allowances under the EU ETS, receiving 69% more allowances than necessary to be EU ETS compliant</w:t>
      </w:r>
      <w:r w:rsidR="00984C24" w:rsidRPr="00984C24">
        <w:rPr>
          <w:rFonts w:ascii="Arial" w:hAnsi="Arial" w:cs="Arial"/>
          <w:sz w:val="20"/>
          <w:szCs w:val="20"/>
        </w:rPr>
        <w:t xml:space="preserve"> </w:t>
      </w:r>
      <w:r w:rsidR="00984C24" w:rsidRPr="006F1AC6">
        <w:rPr>
          <w:rFonts w:ascii="Arial" w:hAnsi="Arial" w:cs="Arial"/>
          <w:sz w:val="20"/>
          <w:szCs w:val="20"/>
        </w:rPr>
        <w:t xml:space="preserve">from 2008 </w:t>
      </w:r>
      <w:r w:rsidR="00984C24">
        <w:rPr>
          <w:rFonts w:ascii="Arial" w:hAnsi="Arial" w:cs="Arial"/>
          <w:sz w:val="20"/>
          <w:szCs w:val="20"/>
        </w:rPr>
        <w:t>to 2019</w:t>
      </w:r>
      <w:r w:rsidRPr="00402580">
        <w:rPr>
          <w:rFonts w:ascii="Arial" w:hAnsi="Arial" w:cs="Arial"/>
          <w:sz w:val="20"/>
          <w:szCs w:val="20"/>
        </w:rPr>
        <w:t xml:space="preserve">. The company’s total emissions during this period were 52 </w:t>
      </w:r>
      <w:r w:rsidR="00984C24">
        <w:rPr>
          <w:rFonts w:ascii="Arial" w:hAnsi="Arial" w:cs="Arial"/>
          <w:sz w:val="20"/>
          <w:szCs w:val="20"/>
        </w:rPr>
        <w:t>m</w:t>
      </w:r>
      <w:r w:rsidRPr="00402580">
        <w:rPr>
          <w:rFonts w:ascii="Arial" w:hAnsi="Arial" w:cs="Arial"/>
          <w:sz w:val="20"/>
          <w:szCs w:val="20"/>
        </w:rPr>
        <w:t xml:space="preserve"> ton</w:t>
      </w:r>
      <w:r w:rsidR="00984C24">
        <w:rPr>
          <w:rFonts w:ascii="Arial" w:hAnsi="Arial" w:cs="Arial"/>
          <w:sz w:val="20"/>
          <w:szCs w:val="20"/>
        </w:rPr>
        <w:t>ne</w:t>
      </w:r>
      <w:r w:rsidRPr="00402580">
        <w:rPr>
          <w:rFonts w:ascii="Arial" w:hAnsi="Arial" w:cs="Arial"/>
          <w:sz w:val="20"/>
          <w:szCs w:val="20"/>
        </w:rPr>
        <w:t xml:space="preserve">s and the allowances received were 88 </w:t>
      </w:r>
      <w:r w:rsidR="00984C24">
        <w:rPr>
          <w:rFonts w:ascii="Arial" w:hAnsi="Arial" w:cs="Arial"/>
          <w:sz w:val="20"/>
          <w:szCs w:val="20"/>
        </w:rPr>
        <w:t>m</w:t>
      </w:r>
      <w:r w:rsidRPr="00402580">
        <w:rPr>
          <w:rFonts w:ascii="Arial" w:hAnsi="Arial" w:cs="Arial"/>
          <w:sz w:val="20"/>
          <w:szCs w:val="20"/>
        </w:rPr>
        <w:t xml:space="preserve"> (see Graph </w:t>
      </w:r>
      <w:r w:rsidR="002007F5">
        <w:rPr>
          <w:rFonts w:ascii="Arial" w:hAnsi="Arial" w:cs="Arial"/>
          <w:sz w:val="20"/>
          <w:szCs w:val="20"/>
        </w:rPr>
        <w:t>5</w:t>
      </w:r>
      <w:r w:rsidR="00F140B0">
        <w:rPr>
          <w:rFonts w:ascii="Arial" w:hAnsi="Arial" w:cs="Arial"/>
          <w:sz w:val="20"/>
          <w:szCs w:val="20"/>
        </w:rPr>
        <w:t>6</w:t>
      </w:r>
      <w:r w:rsidRPr="00402580">
        <w:rPr>
          <w:rFonts w:ascii="Arial" w:hAnsi="Arial" w:cs="Arial"/>
          <w:sz w:val="20"/>
          <w:szCs w:val="20"/>
        </w:rPr>
        <w:t>).</w:t>
      </w:r>
    </w:p>
    <w:p w14:paraId="29CF0110" w14:textId="77777777" w:rsidR="00285FBB" w:rsidRPr="003516DC" w:rsidRDefault="00285FBB" w:rsidP="00285FBB">
      <w:pPr>
        <w:jc w:val="both"/>
        <w:rPr>
          <w:rFonts w:ascii="Arial" w:hAnsi="Arial" w:cs="Arial"/>
          <w:color w:val="0070C0"/>
          <w:sz w:val="20"/>
          <w:szCs w:val="20"/>
        </w:rPr>
      </w:pPr>
    </w:p>
    <w:p w14:paraId="056890BE" w14:textId="7B600188" w:rsidR="00285FBB" w:rsidRPr="00F140B0" w:rsidRDefault="00285FBB" w:rsidP="00285FBB">
      <w:pPr>
        <w:pStyle w:val="Caption"/>
        <w:rPr>
          <w:iCs w:val="0"/>
          <w:color w:val="0070C0"/>
        </w:rPr>
      </w:pPr>
      <w:bookmarkStart w:id="343" w:name="_Toc90727392"/>
      <w:r w:rsidRPr="00F140B0">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56</w:t>
      </w:r>
      <w:r w:rsidR="000B273D">
        <w:rPr>
          <w:noProof/>
        </w:rPr>
        <w:fldChar w:fldCharType="end"/>
      </w:r>
      <w:r w:rsidRPr="00F140B0">
        <w:t>: Verified emissions vs. allowances under EU ETS</w:t>
      </w:r>
      <w:bookmarkEnd w:id="343"/>
    </w:p>
    <w:p w14:paraId="178578E8" w14:textId="77777777" w:rsidR="00285FBB" w:rsidRPr="003516DC" w:rsidRDefault="00285FBB" w:rsidP="00285FBB">
      <w:pPr>
        <w:jc w:val="both"/>
        <w:rPr>
          <w:rFonts w:ascii="Arial" w:hAnsi="Arial" w:cs="Arial"/>
          <w:sz w:val="20"/>
          <w:szCs w:val="20"/>
        </w:rPr>
      </w:pPr>
      <w:r w:rsidRPr="00402580">
        <w:rPr>
          <w:rFonts w:ascii="Arial" w:hAnsi="Arial" w:cs="Arial"/>
          <w:noProof/>
          <w:lang w:val="en-US" w:eastAsia="en-US"/>
        </w:rPr>
        <w:drawing>
          <wp:inline distT="0" distB="0" distL="0" distR="0" wp14:anchorId="2AA30AF9" wp14:editId="4BE8ADBA">
            <wp:extent cx="5676265" cy="3383392"/>
            <wp:effectExtent l="0" t="0" r="63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676265" cy="3383392"/>
                    </a:xfrm>
                    <a:prstGeom prst="rect">
                      <a:avLst/>
                    </a:prstGeom>
                    <a:noFill/>
                  </pic:spPr>
                </pic:pic>
              </a:graphicData>
            </a:graphic>
          </wp:inline>
        </w:drawing>
      </w:r>
    </w:p>
    <w:p w14:paraId="767C1260" w14:textId="77777777" w:rsidR="00285FBB" w:rsidRPr="003516DC" w:rsidRDefault="00285FBB" w:rsidP="00285FBB">
      <w:pPr>
        <w:jc w:val="both"/>
        <w:rPr>
          <w:rFonts w:ascii="Arial" w:hAnsi="Arial" w:cs="Arial"/>
          <w:i/>
          <w:iCs/>
          <w:sz w:val="16"/>
          <w:szCs w:val="16"/>
        </w:rPr>
      </w:pPr>
      <w:r w:rsidRPr="003516DC">
        <w:rPr>
          <w:rFonts w:ascii="Arial" w:hAnsi="Arial" w:cs="Arial"/>
          <w:i/>
          <w:iCs/>
          <w:sz w:val="16"/>
          <w:szCs w:val="16"/>
        </w:rPr>
        <w:t>Source: European Environment Agency</w:t>
      </w:r>
    </w:p>
    <w:p w14:paraId="696D87EC" w14:textId="64E48F06" w:rsidR="00906BD2" w:rsidRDefault="00906BD2" w:rsidP="002007F5">
      <w:pPr>
        <w:spacing w:before="120" w:after="120"/>
        <w:jc w:val="both"/>
        <w:rPr>
          <w:rFonts w:ascii="Arial" w:hAnsi="Arial" w:cs="Arial"/>
          <w:sz w:val="20"/>
          <w:szCs w:val="20"/>
        </w:rPr>
      </w:pPr>
      <w:bookmarkStart w:id="344" w:name="_Hlk85565285"/>
      <w:r w:rsidRPr="00906BD2">
        <w:rPr>
          <w:rFonts w:ascii="Arial" w:hAnsi="Arial" w:cs="Arial"/>
          <w:sz w:val="20"/>
          <w:szCs w:val="20"/>
        </w:rPr>
        <w:t xml:space="preserve">Liberty Galati is a well-managed company </w:t>
      </w:r>
      <w:r w:rsidR="00046E6A">
        <w:rPr>
          <w:rFonts w:ascii="Arial" w:hAnsi="Arial" w:cs="Arial"/>
          <w:sz w:val="20"/>
          <w:szCs w:val="20"/>
        </w:rPr>
        <w:t>that</w:t>
      </w:r>
      <w:r w:rsidRPr="00906BD2">
        <w:rPr>
          <w:rFonts w:ascii="Arial" w:hAnsi="Arial" w:cs="Arial"/>
          <w:sz w:val="20"/>
          <w:szCs w:val="20"/>
        </w:rPr>
        <w:t xml:space="preserve"> recently announced some of </w:t>
      </w:r>
      <w:r w:rsidR="00046E6A">
        <w:rPr>
          <w:rFonts w:ascii="Arial" w:hAnsi="Arial" w:cs="Arial"/>
          <w:sz w:val="20"/>
          <w:szCs w:val="20"/>
        </w:rPr>
        <w:t>its</w:t>
      </w:r>
      <w:r w:rsidRPr="00906BD2">
        <w:rPr>
          <w:rFonts w:ascii="Arial" w:hAnsi="Arial" w:cs="Arial"/>
          <w:sz w:val="20"/>
          <w:szCs w:val="20"/>
        </w:rPr>
        <w:t xml:space="preserve"> best </w:t>
      </w:r>
      <w:r w:rsidR="00046E6A">
        <w:rPr>
          <w:rFonts w:ascii="Arial" w:hAnsi="Arial" w:cs="Arial"/>
          <w:sz w:val="20"/>
          <w:szCs w:val="20"/>
        </w:rPr>
        <w:t xml:space="preserve">financial </w:t>
      </w:r>
      <w:r w:rsidRPr="00906BD2">
        <w:rPr>
          <w:rFonts w:ascii="Arial" w:hAnsi="Arial" w:cs="Arial"/>
          <w:sz w:val="20"/>
          <w:szCs w:val="20"/>
        </w:rPr>
        <w:t>results since 2008</w:t>
      </w:r>
      <w:r w:rsidR="00CA6F73">
        <w:rPr>
          <w:rStyle w:val="FootnoteReference"/>
          <w:rFonts w:ascii="Arial" w:hAnsi="Arial" w:cs="Arial"/>
          <w:sz w:val="20"/>
          <w:szCs w:val="20"/>
        </w:rPr>
        <w:footnoteReference w:id="150"/>
      </w:r>
      <w:r w:rsidRPr="00906BD2">
        <w:rPr>
          <w:rFonts w:ascii="Arial" w:hAnsi="Arial" w:cs="Arial"/>
          <w:sz w:val="20"/>
          <w:szCs w:val="20"/>
        </w:rPr>
        <w:t xml:space="preserve"> and has a vision </w:t>
      </w:r>
      <w:r w:rsidR="00046E6A">
        <w:rPr>
          <w:rFonts w:ascii="Arial" w:hAnsi="Arial" w:cs="Arial"/>
          <w:sz w:val="20"/>
          <w:szCs w:val="20"/>
        </w:rPr>
        <w:t>to</w:t>
      </w:r>
      <w:r w:rsidRPr="00906BD2">
        <w:rPr>
          <w:rFonts w:ascii="Arial" w:hAnsi="Arial" w:cs="Arial"/>
          <w:sz w:val="20"/>
          <w:szCs w:val="20"/>
        </w:rPr>
        <w:t xml:space="preserve"> becom</w:t>
      </w:r>
      <w:r w:rsidR="00046E6A">
        <w:rPr>
          <w:rFonts w:ascii="Arial" w:hAnsi="Arial" w:cs="Arial"/>
          <w:sz w:val="20"/>
          <w:szCs w:val="20"/>
        </w:rPr>
        <w:t>e</w:t>
      </w:r>
      <w:r w:rsidRPr="00906BD2">
        <w:rPr>
          <w:rFonts w:ascii="Arial" w:hAnsi="Arial" w:cs="Arial"/>
          <w:sz w:val="20"/>
          <w:szCs w:val="20"/>
        </w:rPr>
        <w:t xml:space="preserve"> carbon neutral by 2030</w:t>
      </w:r>
      <w:r>
        <w:rPr>
          <w:rStyle w:val="FootnoteReference"/>
          <w:rFonts w:ascii="Arial" w:hAnsi="Arial" w:cs="Arial"/>
          <w:sz w:val="20"/>
          <w:szCs w:val="20"/>
        </w:rPr>
        <w:footnoteReference w:id="151"/>
      </w:r>
      <w:r w:rsidRPr="00906BD2">
        <w:rPr>
          <w:rFonts w:ascii="Arial" w:hAnsi="Arial" w:cs="Arial"/>
          <w:sz w:val="20"/>
          <w:szCs w:val="20"/>
        </w:rPr>
        <w:t>. Given this ambition and the solid management of the company, there is a very high chance that the projects Liberty Steel will submit as part of JTF funding will meet two of the criteria</w:t>
      </w:r>
      <w:r w:rsidR="00046E6A">
        <w:rPr>
          <w:rFonts w:ascii="Arial" w:hAnsi="Arial" w:cs="Arial"/>
          <w:sz w:val="20"/>
          <w:szCs w:val="20"/>
        </w:rPr>
        <w:t>:</w:t>
      </w:r>
      <w:r w:rsidRPr="00906BD2">
        <w:rPr>
          <w:rFonts w:ascii="Arial" w:hAnsi="Arial" w:cs="Arial"/>
          <w:sz w:val="20"/>
          <w:szCs w:val="20"/>
        </w:rPr>
        <w:t xml:space="preserve"> </w:t>
      </w:r>
      <w:r w:rsidR="00046E6A">
        <w:rPr>
          <w:rFonts w:ascii="Arial" w:hAnsi="Arial" w:cs="Arial"/>
          <w:sz w:val="20"/>
          <w:szCs w:val="20"/>
        </w:rPr>
        <w:t xml:space="preserve">(1) </w:t>
      </w:r>
      <w:r w:rsidRPr="00906BD2">
        <w:rPr>
          <w:rFonts w:ascii="Arial" w:hAnsi="Arial" w:cs="Arial"/>
          <w:sz w:val="20"/>
          <w:szCs w:val="20"/>
        </w:rPr>
        <w:t xml:space="preserve">contributing to a climate-neutral economy and </w:t>
      </w:r>
      <w:r w:rsidR="00046E6A">
        <w:rPr>
          <w:rFonts w:ascii="Arial" w:hAnsi="Arial" w:cs="Arial"/>
          <w:sz w:val="20"/>
          <w:szCs w:val="20"/>
        </w:rPr>
        <w:t xml:space="preserve">(2) </w:t>
      </w:r>
      <w:r w:rsidRPr="00906BD2">
        <w:rPr>
          <w:rFonts w:ascii="Arial" w:hAnsi="Arial" w:cs="Arial"/>
          <w:sz w:val="20"/>
          <w:szCs w:val="20"/>
        </w:rPr>
        <w:t>going significantly below the benchmarks for free allocation.</w:t>
      </w:r>
    </w:p>
    <w:p w14:paraId="33A4B469" w14:textId="2908F9EF" w:rsidR="00906BD2" w:rsidRDefault="00906BD2" w:rsidP="002007F5">
      <w:pPr>
        <w:spacing w:before="120" w:after="120"/>
        <w:jc w:val="both"/>
        <w:rPr>
          <w:rFonts w:ascii="Arial" w:hAnsi="Arial" w:cs="Arial"/>
          <w:sz w:val="20"/>
          <w:szCs w:val="20"/>
        </w:rPr>
      </w:pPr>
      <w:r w:rsidRPr="00906BD2">
        <w:rPr>
          <w:rFonts w:ascii="Arial" w:hAnsi="Arial" w:cs="Arial"/>
          <w:sz w:val="20"/>
          <w:szCs w:val="20"/>
        </w:rPr>
        <w:t xml:space="preserve">Liberty Galati has a production capacity </w:t>
      </w:r>
      <w:r w:rsidR="00046E6A">
        <w:rPr>
          <w:rFonts w:ascii="Arial" w:hAnsi="Arial" w:cs="Arial"/>
          <w:sz w:val="20"/>
          <w:szCs w:val="20"/>
        </w:rPr>
        <w:t>for</w:t>
      </w:r>
      <w:r w:rsidRPr="00906BD2">
        <w:rPr>
          <w:rFonts w:ascii="Arial" w:hAnsi="Arial" w:cs="Arial"/>
          <w:sz w:val="20"/>
          <w:szCs w:val="20"/>
        </w:rPr>
        <w:t xml:space="preserve"> full crude steel of 4 </w:t>
      </w:r>
      <w:r w:rsidR="002B0D2A">
        <w:rPr>
          <w:rFonts w:ascii="Arial" w:hAnsi="Arial" w:cs="Arial"/>
          <w:sz w:val="20"/>
          <w:szCs w:val="20"/>
        </w:rPr>
        <w:t>million</w:t>
      </w:r>
      <w:r w:rsidRPr="00906BD2">
        <w:rPr>
          <w:rFonts w:ascii="Arial" w:hAnsi="Arial" w:cs="Arial"/>
          <w:sz w:val="20"/>
          <w:szCs w:val="20"/>
        </w:rPr>
        <w:t xml:space="preserve"> metric ton</w:t>
      </w:r>
      <w:r w:rsidR="00046E6A">
        <w:rPr>
          <w:rFonts w:ascii="Arial" w:hAnsi="Arial" w:cs="Arial"/>
          <w:sz w:val="20"/>
          <w:szCs w:val="20"/>
        </w:rPr>
        <w:t>ne</w:t>
      </w:r>
      <w:r w:rsidRPr="00906BD2">
        <w:rPr>
          <w:rFonts w:ascii="Arial" w:hAnsi="Arial" w:cs="Arial"/>
          <w:sz w:val="20"/>
          <w:szCs w:val="20"/>
        </w:rPr>
        <w:t>s per year</w:t>
      </w:r>
      <w:r>
        <w:rPr>
          <w:rStyle w:val="FootnoteReference"/>
          <w:rFonts w:ascii="Arial" w:hAnsi="Arial" w:cs="Arial"/>
          <w:sz w:val="20"/>
          <w:szCs w:val="20"/>
        </w:rPr>
        <w:footnoteReference w:id="152"/>
      </w:r>
      <w:r w:rsidRPr="00906BD2">
        <w:rPr>
          <w:rFonts w:ascii="Arial" w:hAnsi="Arial" w:cs="Arial"/>
          <w:sz w:val="20"/>
          <w:szCs w:val="20"/>
        </w:rPr>
        <w:t xml:space="preserve">. However, annual production varies based on market conditions and international prices of steel </w:t>
      </w:r>
      <w:r w:rsidR="00046E6A">
        <w:rPr>
          <w:rFonts w:ascii="Arial" w:hAnsi="Arial" w:cs="Arial"/>
          <w:sz w:val="20"/>
          <w:szCs w:val="20"/>
        </w:rPr>
        <w:t>C</w:t>
      </w:r>
      <w:r w:rsidRPr="00906BD2">
        <w:rPr>
          <w:rFonts w:ascii="Arial" w:hAnsi="Arial" w:cs="Arial"/>
          <w:sz w:val="20"/>
          <w:szCs w:val="20"/>
        </w:rPr>
        <w:t xml:space="preserve">rude steel production was 2 </w:t>
      </w:r>
      <w:r w:rsidR="002B0D2A">
        <w:rPr>
          <w:rFonts w:ascii="Arial" w:hAnsi="Arial" w:cs="Arial"/>
          <w:sz w:val="20"/>
          <w:szCs w:val="20"/>
        </w:rPr>
        <w:t>million</w:t>
      </w:r>
      <w:r w:rsidRPr="00906BD2">
        <w:rPr>
          <w:rFonts w:ascii="Arial" w:hAnsi="Arial" w:cs="Arial"/>
          <w:sz w:val="20"/>
          <w:szCs w:val="20"/>
        </w:rPr>
        <w:t xml:space="preserve"> metric ton</w:t>
      </w:r>
      <w:r w:rsidR="00046E6A">
        <w:rPr>
          <w:rFonts w:ascii="Arial" w:hAnsi="Arial" w:cs="Arial"/>
          <w:sz w:val="20"/>
          <w:szCs w:val="20"/>
        </w:rPr>
        <w:t>ne</w:t>
      </w:r>
      <w:r w:rsidRPr="00906BD2">
        <w:rPr>
          <w:rFonts w:ascii="Arial" w:hAnsi="Arial" w:cs="Arial"/>
          <w:sz w:val="20"/>
          <w:szCs w:val="20"/>
        </w:rPr>
        <w:t xml:space="preserve">s in 2020 and is expected to increase by 50% this year to 3 </w:t>
      </w:r>
      <w:r w:rsidR="002B0D2A">
        <w:rPr>
          <w:rFonts w:ascii="Arial" w:hAnsi="Arial" w:cs="Arial"/>
          <w:sz w:val="20"/>
          <w:szCs w:val="20"/>
        </w:rPr>
        <w:t>million</w:t>
      </w:r>
      <w:r w:rsidRPr="00906BD2">
        <w:rPr>
          <w:rFonts w:ascii="Arial" w:hAnsi="Arial" w:cs="Arial"/>
          <w:sz w:val="20"/>
          <w:szCs w:val="20"/>
        </w:rPr>
        <w:t xml:space="preserve"> metric ton</w:t>
      </w:r>
      <w:r w:rsidR="00046E6A">
        <w:rPr>
          <w:rFonts w:ascii="Arial" w:hAnsi="Arial" w:cs="Arial"/>
          <w:sz w:val="20"/>
          <w:szCs w:val="20"/>
        </w:rPr>
        <w:t>ne</w:t>
      </w:r>
      <w:r w:rsidRPr="00906BD2">
        <w:rPr>
          <w:rFonts w:ascii="Arial" w:hAnsi="Arial" w:cs="Arial"/>
          <w:sz w:val="20"/>
          <w:szCs w:val="20"/>
        </w:rPr>
        <w:t>s</w:t>
      </w:r>
      <w:r>
        <w:rPr>
          <w:rStyle w:val="FootnoteReference"/>
          <w:rFonts w:ascii="Arial" w:hAnsi="Arial" w:cs="Arial"/>
          <w:sz w:val="20"/>
          <w:szCs w:val="20"/>
        </w:rPr>
        <w:footnoteReference w:id="153"/>
      </w:r>
      <w:r w:rsidRPr="00906BD2">
        <w:rPr>
          <w:rFonts w:ascii="Arial" w:hAnsi="Arial" w:cs="Arial"/>
          <w:sz w:val="20"/>
          <w:szCs w:val="20"/>
        </w:rPr>
        <w:t xml:space="preserve">. Based on publicly available information, we estimate that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906BD2">
        <w:rPr>
          <w:rFonts w:ascii="Arial" w:hAnsi="Arial" w:cs="Arial"/>
          <w:sz w:val="20"/>
          <w:szCs w:val="20"/>
        </w:rPr>
        <w:t>emissions per ton</w:t>
      </w:r>
      <w:r w:rsidR="00046E6A">
        <w:rPr>
          <w:rFonts w:ascii="Arial" w:hAnsi="Arial" w:cs="Arial"/>
          <w:sz w:val="20"/>
          <w:szCs w:val="20"/>
        </w:rPr>
        <w:t>ne</w:t>
      </w:r>
      <w:r w:rsidRPr="00906BD2">
        <w:rPr>
          <w:rFonts w:ascii="Arial" w:hAnsi="Arial" w:cs="Arial"/>
          <w:sz w:val="20"/>
          <w:szCs w:val="20"/>
        </w:rPr>
        <w:t xml:space="preserve"> of steel produced at Liberty is slightly below or slightly above the benchmark for free allocation, between 1.25 and 1.4 ton</w:t>
      </w:r>
      <w:r w:rsidR="00046E6A">
        <w:rPr>
          <w:rFonts w:ascii="Arial" w:hAnsi="Arial" w:cs="Arial"/>
          <w:sz w:val="20"/>
          <w:szCs w:val="20"/>
        </w:rPr>
        <w:t>ne</w:t>
      </w:r>
      <w:r w:rsidRPr="00906BD2">
        <w:rPr>
          <w:rFonts w:ascii="Arial" w:hAnsi="Arial" w:cs="Arial"/>
          <w:sz w:val="20"/>
          <w:szCs w:val="20"/>
        </w:rPr>
        <w:t xml:space="preserve">s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906BD2">
        <w:rPr>
          <w:rFonts w:ascii="Arial" w:hAnsi="Arial" w:cs="Arial"/>
          <w:sz w:val="20"/>
          <w:szCs w:val="20"/>
        </w:rPr>
        <w:t>per ton</w:t>
      </w:r>
      <w:r w:rsidR="00046E6A">
        <w:rPr>
          <w:rFonts w:ascii="Arial" w:hAnsi="Arial" w:cs="Arial"/>
          <w:sz w:val="20"/>
          <w:szCs w:val="20"/>
        </w:rPr>
        <w:t>ne</w:t>
      </w:r>
      <w:r w:rsidRPr="00906BD2">
        <w:rPr>
          <w:rFonts w:ascii="Arial" w:hAnsi="Arial" w:cs="Arial"/>
          <w:sz w:val="20"/>
          <w:szCs w:val="20"/>
        </w:rPr>
        <w:t xml:space="preserve"> of product, while the benchmark for free allocation for hot metal is 1.288 ton</w:t>
      </w:r>
      <w:r w:rsidR="00046E6A">
        <w:rPr>
          <w:rFonts w:ascii="Arial" w:hAnsi="Arial" w:cs="Arial"/>
          <w:sz w:val="20"/>
          <w:szCs w:val="20"/>
        </w:rPr>
        <w:t>ne</w:t>
      </w:r>
      <w:r w:rsidRPr="00906BD2">
        <w:rPr>
          <w:rFonts w:ascii="Arial" w:hAnsi="Arial" w:cs="Arial"/>
          <w:sz w:val="20"/>
          <w:szCs w:val="20"/>
        </w:rPr>
        <w:t xml:space="preserve">s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906BD2">
        <w:rPr>
          <w:rFonts w:ascii="Arial" w:hAnsi="Arial" w:cs="Arial"/>
          <w:sz w:val="20"/>
          <w:szCs w:val="20"/>
        </w:rPr>
        <w:t>per ton</w:t>
      </w:r>
      <w:r w:rsidR="00046E6A">
        <w:rPr>
          <w:rFonts w:ascii="Arial" w:hAnsi="Arial" w:cs="Arial"/>
          <w:sz w:val="20"/>
          <w:szCs w:val="20"/>
        </w:rPr>
        <w:t>ne</w:t>
      </w:r>
      <w:r w:rsidRPr="00906BD2">
        <w:rPr>
          <w:rFonts w:ascii="Arial" w:hAnsi="Arial" w:cs="Arial"/>
          <w:sz w:val="20"/>
          <w:szCs w:val="20"/>
        </w:rPr>
        <w:t xml:space="preserve"> of product. </w:t>
      </w:r>
      <w:r w:rsidR="002516DF">
        <w:rPr>
          <w:rFonts w:ascii="Arial" w:hAnsi="Arial" w:cs="Arial"/>
          <w:sz w:val="20"/>
          <w:szCs w:val="20"/>
        </w:rPr>
        <w:t xml:space="preserve">Still, despite the fact </w:t>
      </w:r>
      <w:r w:rsidR="00243E75">
        <w:rPr>
          <w:rFonts w:ascii="Arial" w:hAnsi="Arial" w:cs="Arial"/>
          <w:sz w:val="20"/>
          <w:szCs w:val="20"/>
        </w:rPr>
        <w:t xml:space="preserve">that </w:t>
      </w:r>
      <w:r w:rsidR="002516DF">
        <w:rPr>
          <w:rFonts w:ascii="Arial" w:hAnsi="Arial" w:cs="Arial"/>
          <w:sz w:val="20"/>
          <w:szCs w:val="20"/>
        </w:rPr>
        <w:t xml:space="preserve">Liberty Galati is </w:t>
      </w:r>
      <w:r w:rsidR="002516DF" w:rsidRPr="00906BD2">
        <w:rPr>
          <w:rFonts w:ascii="Arial" w:hAnsi="Arial" w:cs="Arial"/>
          <w:sz w:val="20"/>
          <w:szCs w:val="20"/>
        </w:rPr>
        <w:t>already close to</w:t>
      </w:r>
      <w:r w:rsidR="002516DF">
        <w:rPr>
          <w:rFonts w:ascii="Arial" w:hAnsi="Arial" w:cs="Arial"/>
          <w:sz w:val="20"/>
          <w:szCs w:val="20"/>
        </w:rPr>
        <w:t>,</w:t>
      </w:r>
      <w:r w:rsidR="002516DF" w:rsidRPr="00906BD2">
        <w:rPr>
          <w:rFonts w:ascii="Arial" w:hAnsi="Arial" w:cs="Arial"/>
          <w:sz w:val="20"/>
          <w:szCs w:val="20"/>
        </w:rPr>
        <w:t xml:space="preserve"> if not below</w:t>
      </w:r>
      <w:r w:rsidR="002516DF">
        <w:rPr>
          <w:rFonts w:ascii="Arial" w:hAnsi="Arial" w:cs="Arial"/>
          <w:sz w:val="20"/>
          <w:szCs w:val="20"/>
        </w:rPr>
        <w:t>,</w:t>
      </w:r>
      <w:r w:rsidR="002516DF" w:rsidRPr="00906BD2">
        <w:rPr>
          <w:rFonts w:ascii="Arial" w:hAnsi="Arial" w:cs="Arial"/>
          <w:sz w:val="20"/>
          <w:szCs w:val="20"/>
        </w:rPr>
        <w:t xml:space="preserve"> the 10% most efficient emitters in its category</w:t>
      </w:r>
      <w:r w:rsidR="002516DF">
        <w:rPr>
          <w:rFonts w:ascii="Arial" w:hAnsi="Arial" w:cs="Arial"/>
          <w:sz w:val="20"/>
          <w:szCs w:val="20"/>
        </w:rPr>
        <w:t xml:space="preserve">, in order to qualify for JTF funding, according to the text of the Regulation, the proposed projects would still need to achieve a significant reduction, even compared to a relatively low emissions baseline that they are starting from. The company would need to provide more data on the current emissions records and how each of the </w:t>
      </w:r>
      <w:r w:rsidR="009E42CD">
        <w:rPr>
          <w:rFonts w:ascii="Arial" w:hAnsi="Arial" w:cs="Arial"/>
          <w:sz w:val="20"/>
          <w:szCs w:val="20"/>
        </w:rPr>
        <w:t>proposed projects cuts emissions and by how much</w:t>
      </w:r>
      <w:r w:rsidR="00C5087A">
        <w:rPr>
          <w:rFonts w:ascii="Arial" w:hAnsi="Arial" w:cs="Arial"/>
          <w:sz w:val="20"/>
          <w:szCs w:val="20"/>
        </w:rPr>
        <w:t>, a</w:t>
      </w:r>
      <w:r w:rsidR="00E21B80">
        <w:rPr>
          <w:rFonts w:ascii="Arial" w:hAnsi="Arial" w:cs="Arial"/>
          <w:sz w:val="20"/>
          <w:szCs w:val="20"/>
        </w:rPr>
        <w:t>nd</w:t>
      </w:r>
      <w:r w:rsidR="00AE120D">
        <w:rPr>
          <w:rFonts w:ascii="Arial" w:hAnsi="Arial" w:cs="Arial"/>
          <w:sz w:val="20"/>
          <w:szCs w:val="20"/>
        </w:rPr>
        <w:t xml:space="preserve"> also</w:t>
      </w:r>
      <w:r w:rsidR="00E21B80">
        <w:rPr>
          <w:rFonts w:ascii="Arial" w:hAnsi="Arial" w:cs="Arial"/>
          <w:sz w:val="20"/>
          <w:szCs w:val="20"/>
        </w:rPr>
        <w:t xml:space="preserve"> if they </w:t>
      </w:r>
      <w:r w:rsidR="004E2DCB" w:rsidRPr="004E2DCB">
        <w:rPr>
          <w:rFonts w:ascii="Arial" w:hAnsi="Arial" w:cs="Arial"/>
          <w:sz w:val="20"/>
          <w:szCs w:val="20"/>
        </w:rPr>
        <w:t>simultaneously</w:t>
      </w:r>
      <w:r w:rsidR="004E2DCB">
        <w:rPr>
          <w:rFonts w:ascii="Arial" w:hAnsi="Arial" w:cs="Arial"/>
          <w:sz w:val="20"/>
          <w:szCs w:val="20"/>
        </w:rPr>
        <w:t xml:space="preserve"> </w:t>
      </w:r>
      <w:r w:rsidR="00E21B80">
        <w:rPr>
          <w:rFonts w:ascii="Arial" w:hAnsi="Arial" w:cs="Arial"/>
          <w:sz w:val="20"/>
          <w:szCs w:val="20"/>
        </w:rPr>
        <w:t xml:space="preserve">lead to </w:t>
      </w:r>
      <w:r w:rsidR="004E2DB8">
        <w:rPr>
          <w:rFonts w:ascii="Arial" w:hAnsi="Arial" w:cs="Arial"/>
          <w:sz w:val="20"/>
          <w:szCs w:val="20"/>
        </w:rPr>
        <w:t>the protection of a significant number of jobs,</w:t>
      </w:r>
      <w:r w:rsidR="009E42CD">
        <w:rPr>
          <w:rFonts w:ascii="Arial" w:hAnsi="Arial" w:cs="Arial"/>
          <w:sz w:val="20"/>
          <w:szCs w:val="20"/>
        </w:rPr>
        <w:t xml:space="preserve"> in order to determine firmly the eligibility of these projects for funding under the JTF. </w:t>
      </w:r>
    </w:p>
    <w:bookmarkEnd w:id="344"/>
    <w:p w14:paraId="1B40F15C" w14:textId="421CE442" w:rsidR="00285FBB" w:rsidRPr="003516DC" w:rsidRDefault="00285FBB" w:rsidP="002007F5">
      <w:pPr>
        <w:spacing w:before="120" w:after="120"/>
        <w:jc w:val="both"/>
        <w:rPr>
          <w:rFonts w:ascii="Arial" w:hAnsi="Arial" w:cs="Arial"/>
          <w:sz w:val="20"/>
          <w:szCs w:val="20"/>
        </w:rPr>
      </w:pPr>
      <w:r w:rsidRPr="003516DC">
        <w:rPr>
          <w:rFonts w:ascii="Arial" w:hAnsi="Arial" w:cs="Arial"/>
          <w:sz w:val="20"/>
          <w:szCs w:val="20"/>
        </w:rPr>
        <w:t xml:space="preserve">The company has proposed 13 projects that it hopes will qualify for funding through the JTF. The total estimated budget for the 13 projects is </w:t>
      </w:r>
      <w:r w:rsidR="00984C24">
        <w:rPr>
          <w:rFonts w:ascii="Arial" w:hAnsi="Arial" w:cs="Arial"/>
          <w:sz w:val="20"/>
          <w:szCs w:val="20"/>
        </w:rPr>
        <w:t xml:space="preserve">EUR </w:t>
      </w:r>
      <w:r w:rsidRPr="003516DC">
        <w:rPr>
          <w:rFonts w:ascii="Arial" w:hAnsi="Arial" w:cs="Arial"/>
          <w:sz w:val="20"/>
          <w:szCs w:val="20"/>
        </w:rPr>
        <w:t>2.1 billion excluding VAT</w:t>
      </w:r>
      <w:r w:rsidR="00984C24">
        <w:rPr>
          <w:rFonts w:ascii="Arial" w:hAnsi="Arial" w:cs="Arial"/>
          <w:sz w:val="20"/>
          <w:szCs w:val="20"/>
        </w:rPr>
        <w:t>,</w:t>
      </w:r>
      <w:r w:rsidRPr="003516DC">
        <w:rPr>
          <w:rFonts w:ascii="Arial" w:hAnsi="Arial" w:cs="Arial"/>
          <w:sz w:val="20"/>
          <w:szCs w:val="20"/>
        </w:rPr>
        <w:t xml:space="preserve"> and the estimated number of jobs created through the investments </w:t>
      </w:r>
      <w:r w:rsidR="00984C24">
        <w:rPr>
          <w:rFonts w:ascii="Arial" w:hAnsi="Arial" w:cs="Arial"/>
          <w:sz w:val="20"/>
          <w:szCs w:val="20"/>
        </w:rPr>
        <w:t>is just</w:t>
      </w:r>
      <w:r w:rsidRPr="003516DC">
        <w:rPr>
          <w:rFonts w:ascii="Arial" w:hAnsi="Arial" w:cs="Arial"/>
          <w:sz w:val="20"/>
          <w:szCs w:val="20"/>
        </w:rPr>
        <w:t xml:space="preserve"> short of 400 </w:t>
      </w:r>
      <w:r w:rsidR="00984C24">
        <w:rPr>
          <w:rFonts w:ascii="Arial" w:hAnsi="Arial" w:cs="Arial"/>
          <w:sz w:val="20"/>
          <w:szCs w:val="20"/>
        </w:rPr>
        <w:t>workers</w:t>
      </w:r>
      <w:r w:rsidRPr="003516DC">
        <w:rPr>
          <w:rFonts w:ascii="Arial" w:hAnsi="Arial" w:cs="Arial"/>
          <w:sz w:val="20"/>
          <w:szCs w:val="20"/>
        </w:rPr>
        <w:t xml:space="preserve">. Another 532 people are estimated to be reskilled through the projects. </w:t>
      </w:r>
    </w:p>
    <w:p w14:paraId="0AEC798A" w14:textId="2EF299A5" w:rsidR="00285FBB" w:rsidRPr="003516DC" w:rsidRDefault="00285FBB" w:rsidP="0088065B">
      <w:pPr>
        <w:spacing w:after="120"/>
        <w:jc w:val="both"/>
        <w:rPr>
          <w:rFonts w:ascii="Arial" w:hAnsi="Arial" w:cs="Arial"/>
          <w:sz w:val="20"/>
          <w:szCs w:val="20"/>
        </w:rPr>
      </w:pPr>
      <w:r w:rsidRPr="003516DC">
        <w:rPr>
          <w:rFonts w:ascii="Arial" w:hAnsi="Arial" w:cs="Arial"/>
          <w:sz w:val="20"/>
          <w:szCs w:val="20"/>
        </w:rPr>
        <w:t xml:space="preserve">Among the projects proposed by Liberty Steel is a zero-carbon electricity generation project based on solar PV and wind turbines of 220 MW that qualifies for JTF funding. The project is </w:t>
      </w:r>
      <w:r w:rsidR="00984C24">
        <w:rPr>
          <w:rFonts w:ascii="Arial" w:hAnsi="Arial" w:cs="Arial"/>
          <w:sz w:val="20"/>
          <w:szCs w:val="20"/>
        </w:rPr>
        <w:t>for</w:t>
      </w:r>
      <w:r w:rsidRPr="003516DC">
        <w:rPr>
          <w:rFonts w:ascii="Arial" w:hAnsi="Arial" w:cs="Arial"/>
          <w:sz w:val="20"/>
          <w:szCs w:val="20"/>
        </w:rPr>
        <w:t xml:space="preserve"> a 180 MW solar PV plant and a 40 MW</w:t>
      </w:r>
      <w:r w:rsidR="000A7086">
        <w:rPr>
          <w:rFonts w:ascii="Arial" w:hAnsi="Arial" w:cs="Arial"/>
          <w:sz w:val="20"/>
          <w:szCs w:val="20"/>
        </w:rPr>
        <w:t xml:space="preserve"> </w:t>
      </w:r>
      <w:r w:rsidRPr="003516DC">
        <w:rPr>
          <w:rFonts w:ascii="Arial" w:hAnsi="Arial" w:cs="Arial"/>
          <w:sz w:val="20"/>
          <w:szCs w:val="20"/>
        </w:rPr>
        <w:t xml:space="preserve">wind power plant and </w:t>
      </w:r>
      <w:r w:rsidR="00984C24">
        <w:rPr>
          <w:rFonts w:ascii="Arial" w:hAnsi="Arial" w:cs="Arial"/>
          <w:sz w:val="20"/>
          <w:szCs w:val="20"/>
        </w:rPr>
        <w:t xml:space="preserve">is </w:t>
      </w:r>
      <w:r w:rsidRPr="003516DC">
        <w:rPr>
          <w:rFonts w:ascii="Arial" w:hAnsi="Arial" w:cs="Arial"/>
          <w:sz w:val="20"/>
          <w:szCs w:val="20"/>
        </w:rPr>
        <w:t>estimated to need about</w:t>
      </w:r>
      <w:r w:rsidR="00984C24">
        <w:rPr>
          <w:rFonts w:ascii="Arial" w:hAnsi="Arial" w:cs="Arial"/>
          <w:sz w:val="20"/>
          <w:szCs w:val="20"/>
        </w:rPr>
        <w:t xml:space="preserve"> EUR</w:t>
      </w:r>
      <w:r w:rsidRPr="003516DC">
        <w:rPr>
          <w:rFonts w:ascii="Arial" w:hAnsi="Arial" w:cs="Arial"/>
          <w:sz w:val="20"/>
          <w:szCs w:val="20"/>
        </w:rPr>
        <w:t xml:space="preserve"> 200 </w:t>
      </w:r>
      <w:r w:rsidR="00984C24">
        <w:rPr>
          <w:rFonts w:ascii="Arial" w:hAnsi="Arial" w:cs="Arial"/>
          <w:sz w:val="20"/>
          <w:szCs w:val="20"/>
        </w:rPr>
        <w:t>million</w:t>
      </w:r>
      <w:r w:rsidRPr="003516DC">
        <w:rPr>
          <w:rFonts w:ascii="Arial" w:hAnsi="Arial" w:cs="Arial"/>
          <w:sz w:val="20"/>
          <w:szCs w:val="20"/>
        </w:rPr>
        <w:t xml:space="preserve"> of investment. The project investment costs are vastly overestimated since a solar PV plant of 180 MW currently </w:t>
      </w:r>
      <w:r w:rsidR="00984C24">
        <w:rPr>
          <w:rFonts w:ascii="Arial" w:hAnsi="Arial" w:cs="Arial"/>
          <w:sz w:val="20"/>
          <w:szCs w:val="20"/>
        </w:rPr>
        <w:lastRenderedPageBreak/>
        <w:t>requires</w:t>
      </w:r>
      <w:r w:rsidRPr="003516DC">
        <w:rPr>
          <w:rFonts w:ascii="Arial" w:hAnsi="Arial" w:cs="Arial"/>
          <w:sz w:val="20"/>
          <w:szCs w:val="20"/>
        </w:rPr>
        <w:t xml:space="preserve"> about</w:t>
      </w:r>
      <w:r w:rsidR="00984C24">
        <w:rPr>
          <w:rFonts w:ascii="Arial" w:hAnsi="Arial" w:cs="Arial"/>
          <w:sz w:val="20"/>
          <w:szCs w:val="20"/>
        </w:rPr>
        <w:t xml:space="preserve"> EUR</w:t>
      </w:r>
      <w:r w:rsidRPr="003516DC">
        <w:rPr>
          <w:rFonts w:ascii="Arial" w:hAnsi="Arial" w:cs="Arial"/>
          <w:sz w:val="20"/>
          <w:szCs w:val="20"/>
        </w:rPr>
        <w:t xml:space="preserve"> 90-100 </w:t>
      </w:r>
      <w:r w:rsidR="00984C24">
        <w:rPr>
          <w:rFonts w:ascii="Arial" w:hAnsi="Arial" w:cs="Arial"/>
          <w:sz w:val="20"/>
          <w:szCs w:val="20"/>
        </w:rPr>
        <w:t>m</w:t>
      </w:r>
      <w:r w:rsidRPr="003516DC">
        <w:rPr>
          <w:rFonts w:ascii="Arial" w:hAnsi="Arial" w:cs="Arial"/>
          <w:sz w:val="20"/>
          <w:szCs w:val="20"/>
        </w:rPr>
        <w:t xml:space="preserve"> of investment and a 40 MW onshore wind plant </w:t>
      </w:r>
      <w:r w:rsidR="00984C24">
        <w:rPr>
          <w:rFonts w:ascii="Arial" w:hAnsi="Arial" w:cs="Arial"/>
          <w:sz w:val="20"/>
          <w:szCs w:val="20"/>
        </w:rPr>
        <w:t xml:space="preserve">needs </w:t>
      </w:r>
      <w:r w:rsidRPr="003516DC">
        <w:rPr>
          <w:rFonts w:ascii="Arial" w:hAnsi="Arial" w:cs="Arial"/>
          <w:sz w:val="20"/>
          <w:szCs w:val="20"/>
        </w:rPr>
        <w:t xml:space="preserve">a maximum of </w:t>
      </w:r>
      <w:r w:rsidR="00984C24">
        <w:rPr>
          <w:rFonts w:ascii="Arial" w:hAnsi="Arial" w:cs="Arial"/>
          <w:sz w:val="20"/>
          <w:szCs w:val="20"/>
        </w:rPr>
        <w:t xml:space="preserve">EUR </w:t>
      </w:r>
      <w:r w:rsidRPr="003516DC">
        <w:rPr>
          <w:rFonts w:ascii="Arial" w:hAnsi="Arial" w:cs="Arial"/>
          <w:sz w:val="20"/>
          <w:szCs w:val="20"/>
        </w:rPr>
        <w:t xml:space="preserve">50 </w:t>
      </w:r>
      <w:r w:rsidR="00984C24">
        <w:rPr>
          <w:rFonts w:ascii="Arial" w:hAnsi="Arial" w:cs="Arial"/>
          <w:sz w:val="20"/>
          <w:szCs w:val="20"/>
        </w:rPr>
        <w:t>m</w:t>
      </w:r>
      <w:r w:rsidR="002B0D2A">
        <w:rPr>
          <w:rFonts w:ascii="Arial" w:hAnsi="Arial" w:cs="Arial"/>
          <w:sz w:val="20"/>
          <w:szCs w:val="20"/>
        </w:rPr>
        <w:t>illion</w:t>
      </w:r>
      <w:r w:rsidRPr="003516DC">
        <w:rPr>
          <w:rFonts w:ascii="Arial" w:hAnsi="Arial" w:cs="Arial"/>
          <w:sz w:val="20"/>
          <w:szCs w:val="20"/>
        </w:rPr>
        <w:t xml:space="preserve">. </w:t>
      </w:r>
      <w:r w:rsidR="00CA6F73" w:rsidRPr="00CA6F73">
        <w:rPr>
          <w:rFonts w:ascii="Arial" w:hAnsi="Arial" w:cs="Arial"/>
          <w:sz w:val="20"/>
          <w:szCs w:val="20"/>
        </w:rPr>
        <w:t>Despite this</w:t>
      </w:r>
      <w:r w:rsidR="0001186C">
        <w:rPr>
          <w:rFonts w:ascii="Arial" w:hAnsi="Arial" w:cs="Arial"/>
          <w:sz w:val="20"/>
          <w:szCs w:val="20"/>
        </w:rPr>
        <w:t xml:space="preserve"> caveat</w:t>
      </w:r>
      <w:r w:rsidR="00CA6F73" w:rsidRPr="00CA6F73">
        <w:rPr>
          <w:rFonts w:ascii="Arial" w:hAnsi="Arial" w:cs="Arial"/>
          <w:sz w:val="20"/>
          <w:szCs w:val="20"/>
        </w:rPr>
        <w:t>, the project meets JTF criteria.</w:t>
      </w:r>
      <w:r w:rsidRPr="003516DC">
        <w:rPr>
          <w:rFonts w:ascii="Arial" w:hAnsi="Arial" w:cs="Arial"/>
          <w:sz w:val="20"/>
          <w:szCs w:val="20"/>
        </w:rPr>
        <w:t xml:space="preserve">. </w:t>
      </w:r>
    </w:p>
    <w:p w14:paraId="14FFD7F8" w14:textId="079581A2" w:rsidR="00285FBB" w:rsidRDefault="00285FBB" w:rsidP="0088065B">
      <w:pPr>
        <w:spacing w:after="120"/>
        <w:jc w:val="both"/>
        <w:rPr>
          <w:rFonts w:ascii="Arial" w:hAnsi="Arial" w:cs="Arial"/>
          <w:sz w:val="20"/>
          <w:szCs w:val="20"/>
        </w:rPr>
      </w:pPr>
      <w:r w:rsidRPr="003516DC">
        <w:rPr>
          <w:rFonts w:ascii="Arial" w:hAnsi="Arial" w:cs="Arial"/>
          <w:sz w:val="20"/>
          <w:szCs w:val="20"/>
        </w:rPr>
        <w:t xml:space="preserve">Another two projects of </w:t>
      </w:r>
      <w:r w:rsidR="00984C24">
        <w:rPr>
          <w:rFonts w:ascii="Arial" w:hAnsi="Arial" w:cs="Arial"/>
          <w:sz w:val="20"/>
          <w:szCs w:val="20"/>
        </w:rPr>
        <w:t xml:space="preserve">EUR </w:t>
      </w:r>
      <w:r w:rsidRPr="003516DC">
        <w:rPr>
          <w:rFonts w:ascii="Arial" w:hAnsi="Arial" w:cs="Arial"/>
          <w:sz w:val="20"/>
          <w:szCs w:val="20"/>
        </w:rPr>
        <w:t xml:space="preserve">300 </w:t>
      </w:r>
      <w:r w:rsidR="00984C24">
        <w:rPr>
          <w:rFonts w:ascii="Arial" w:hAnsi="Arial" w:cs="Arial"/>
          <w:sz w:val="20"/>
          <w:szCs w:val="20"/>
        </w:rPr>
        <w:t>m</w:t>
      </w:r>
      <w:r w:rsidRPr="003516DC">
        <w:rPr>
          <w:rFonts w:ascii="Arial" w:hAnsi="Arial" w:cs="Arial"/>
          <w:sz w:val="20"/>
          <w:szCs w:val="20"/>
        </w:rPr>
        <w:t xml:space="preserve"> and </w:t>
      </w:r>
      <w:r w:rsidR="00984C24">
        <w:rPr>
          <w:rFonts w:ascii="Arial" w:hAnsi="Arial" w:cs="Arial"/>
          <w:sz w:val="20"/>
          <w:szCs w:val="20"/>
        </w:rPr>
        <w:t xml:space="preserve">EUR </w:t>
      </w:r>
      <w:r w:rsidRPr="003516DC">
        <w:rPr>
          <w:rFonts w:ascii="Arial" w:hAnsi="Arial" w:cs="Arial"/>
          <w:sz w:val="20"/>
          <w:szCs w:val="20"/>
        </w:rPr>
        <w:t xml:space="preserve">200 </w:t>
      </w:r>
      <w:r w:rsidR="00984C24">
        <w:rPr>
          <w:rFonts w:ascii="Arial" w:hAnsi="Arial" w:cs="Arial"/>
          <w:sz w:val="20"/>
          <w:szCs w:val="20"/>
        </w:rPr>
        <w:t>m</w:t>
      </w:r>
      <w:r w:rsidRPr="003516DC">
        <w:rPr>
          <w:rFonts w:ascii="Arial" w:hAnsi="Arial" w:cs="Arial"/>
          <w:sz w:val="20"/>
          <w:szCs w:val="20"/>
        </w:rPr>
        <w:t xml:space="preserve"> are scheduled to consist of investments in electric arc furnaces. The </w:t>
      </w:r>
      <w:r w:rsidR="00984C24">
        <w:rPr>
          <w:rFonts w:ascii="Arial" w:hAnsi="Arial" w:cs="Arial"/>
          <w:sz w:val="20"/>
          <w:szCs w:val="20"/>
        </w:rPr>
        <w:t xml:space="preserve">EUR </w:t>
      </w:r>
      <w:r w:rsidRPr="003516DC">
        <w:rPr>
          <w:rFonts w:ascii="Arial" w:hAnsi="Arial" w:cs="Arial"/>
          <w:sz w:val="20"/>
          <w:szCs w:val="20"/>
        </w:rPr>
        <w:t xml:space="preserve">200 </w:t>
      </w:r>
      <w:r w:rsidR="00984C24">
        <w:rPr>
          <w:rFonts w:ascii="Arial" w:hAnsi="Arial" w:cs="Arial"/>
          <w:sz w:val="20"/>
          <w:szCs w:val="20"/>
        </w:rPr>
        <w:t>m</w:t>
      </w:r>
      <w:r w:rsidRPr="003516DC">
        <w:rPr>
          <w:rFonts w:ascii="Arial" w:hAnsi="Arial" w:cs="Arial"/>
          <w:sz w:val="20"/>
          <w:szCs w:val="20"/>
        </w:rPr>
        <w:t xml:space="preserve"> investment is a zero-carbon production unit based on an electric arc furnace that uses direct reduced iron and scrap metal according to the company </w:t>
      </w:r>
      <w:r w:rsidR="00984C24" w:rsidRPr="003516DC">
        <w:rPr>
          <w:rFonts w:ascii="Arial" w:hAnsi="Arial" w:cs="Arial"/>
          <w:sz w:val="20"/>
          <w:szCs w:val="20"/>
        </w:rPr>
        <w:t>statements and</w:t>
      </w:r>
      <w:r w:rsidR="00984C24">
        <w:rPr>
          <w:rFonts w:ascii="Arial" w:hAnsi="Arial" w:cs="Arial"/>
          <w:sz w:val="20"/>
          <w:szCs w:val="20"/>
        </w:rPr>
        <w:t xml:space="preserve"> is</w:t>
      </w:r>
      <w:r w:rsidRPr="003516DC">
        <w:rPr>
          <w:rFonts w:ascii="Arial" w:hAnsi="Arial" w:cs="Arial"/>
          <w:sz w:val="20"/>
          <w:szCs w:val="20"/>
        </w:rPr>
        <w:t xml:space="preserve"> thus</w:t>
      </w:r>
      <w:r w:rsidR="00D34894">
        <w:rPr>
          <w:rFonts w:ascii="Arial" w:hAnsi="Arial" w:cs="Arial"/>
          <w:sz w:val="20"/>
          <w:szCs w:val="20"/>
        </w:rPr>
        <w:t xml:space="preserve"> pote</w:t>
      </w:r>
      <w:r w:rsidR="00197494">
        <w:rPr>
          <w:rFonts w:ascii="Arial" w:hAnsi="Arial" w:cs="Arial"/>
          <w:sz w:val="20"/>
          <w:szCs w:val="20"/>
        </w:rPr>
        <w:t>ntially</w:t>
      </w:r>
      <w:r w:rsidRPr="003516DC">
        <w:rPr>
          <w:rFonts w:ascii="Arial" w:hAnsi="Arial" w:cs="Arial"/>
          <w:sz w:val="20"/>
          <w:szCs w:val="20"/>
        </w:rPr>
        <w:t xml:space="preserve"> eligible under JTF. The</w:t>
      </w:r>
      <w:r w:rsidR="00984C24">
        <w:rPr>
          <w:rFonts w:ascii="Arial" w:hAnsi="Arial" w:cs="Arial"/>
          <w:sz w:val="20"/>
          <w:szCs w:val="20"/>
        </w:rPr>
        <w:t xml:space="preserve"> EUR</w:t>
      </w:r>
      <w:r w:rsidRPr="003516DC">
        <w:rPr>
          <w:rFonts w:ascii="Arial" w:hAnsi="Arial" w:cs="Arial"/>
          <w:sz w:val="20"/>
          <w:szCs w:val="20"/>
        </w:rPr>
        <w:t xml:space="preserve"> 300 </w:t>
      </w:r>
      <w:r w:rsidR="00984C24">
        <w:rPr>
          <w:rFonts w:ascii="Arial" w:hAnsi="Arial" w:cs="Arial"/>
          <w:sz w:val="20"/>
          <w:szCs w:val="20"/>
        </w:rPr>
        <w:t>m</w:t>
      </w:r>
      <w:r w:rsidRPr="003516DC">
        <w:rPr>
          <w:rFonts w:ascii="Arial" w:hAnsi="Arial" w:cs="Arial"/>
          <w:sz w:val="20"/>
          <w:szCs w:val="20"/>
        </w:rPr>
        <w:t xml:space="preserve"> investment is scheduled to build two electric arc furnaces that will use direct reduced iron</w:t>
      </w:r>
      <w:r w:rsidR="00984C24">
        <w:rPr>
          <w:rFonts w:ascii="Arial" w:hAnsi="Arial" w:cs="Arial"/>
          <w:sz w:val="20"/>
          <w:szCs w:val="20"/>
        </w:rPr>
        <w:t>.</w:t>
      </w:r>
      <w:r w:rsidRPr="003516DC">
        <w:rPr>
          <w:rFonts w:ascii="Arial" w:hAnsi="Arial" w:cs="Arial"/>
          <w:sz w:val="20"/>
          <w:szCs w:val="20"/>
        </w:rPr>
        <w:t xml:space="preserve"> </w:t>
      </w:r>
      <w:r w:rsidR="00984C24">
        <w:rPr>
          <w:rFonts w:ascii="Arial" w:hAnsi="Arial" w:cs="Arial"/>
          <w:sz w:val="20"/>
          <w:szCs w:val="20"/>
        </w:rPr>
        <w:t>T</w:t>
      </w:r>
      <w:r w:rsidRPr="003516DC">
        <w:rPr>
          <w:rFonts w:ascii="Arial" w:hAnsi="Arial" w:cs="Arial"/>
          <w:sz w:val="20"/>
          <w:szCs w:val="20"/>
        </w:rPr>
        <w:t xml:space="preserve">ogether with another </w:t>
      </w:r>
      <w:r w:rsidR="00984C24">
        <w:rPr>
          <w:rFonts w:ascii="Arial" w:hAnsi="Arial" w:cs="Arial"/>
          <w:sz w:val="20"/>
          <w:szCs w:val="20"/>
        </w:rPr>
        <w:t xml:space="preserve">EUR </w:t>
      </w:r>
      <w:r w:rsidRPr="003516DC">
        <w:rPr>
          <w:rFonts w:ascii="Arial" w:hAnsi="Arial" w:cs="Arial"/>
          <w:sz w:val="20"/>
          <w:szCs w:val="20"/>
        </w:rPr>
        <w:t xml:space="preserve">500 </w:t>
      </w:r>
      <w:r w:rsidR="00984C24">
        <w:rPr>
          <w:rFonts w:ascii="Arial" w:hAnsi="Arial" w:cs="Arial"/>
          <w:sz w:val="20"/>
          <w:szCs w:val="20"/>
        </w:rPr>
        <w:t>m</w:t>
      </w:r>
      <w:r w:rsidRPr="003516DC">
        <w:rPr>
          <w:rFonts w:ascii="Arial" w:hAnsi="Arial" w:cs="Arial"/>
          <w:sz w:val="20"/>
          <w:szCs w:val="20"/>
        </w:rPr>
        <w:t xml:space="preserve"> investment</w:t>
      </w:r>
      <w:r w:rsidR="00984C24">
        <w:rPr>
          <w:rFonts w:ascii="Arial" w:hAnsi="Arial" w:cs="Arial"/>
          <w:sz w:val="20"/>
          <w:szCs w:val="20"/>
        </w:rPr>
        <w:t>,</w:t>
      </w:r>
      <w:r w:rsidRPr="003516DC">
        <w:rPr>
          <w:rFonts w:ascii="Arial" w:hAnsi="Arial" w:cs="Arial"/>
          <w:sz w:val="20"/>
          <w:szCs w:val="20"/>
        </w:rPr>
        <w:t xml:space="preserve"> a production unit of direct reduced iron could reduce CO</w:t>
      </w:r>
      <w:r w:rsidRPr="00402580">
        <w:rPr>
          <w:rFonts w:ascii="Arial" w:hAnsi="Arial" w:cs="Arial"/>
          <w:sz w:val="20"/>
          <w:szCs w:val="20"/>
          <w:vertAlign w:val="subscript"/>
        </w:rPr>
        <w:t>2</w:t>
      </w:r>
      <w:r w:rsidRPr="003516DC">
        <w:rPr>
          <w:rFonts w:ascii="Arial" w:hAnsi="Arial" w:cs="Arial"/>
          <w:sz w:val="20"/>
          <w:szCs w:val="20"/>
        </w:rPr>
        <w:t xml:space="preserve"> emissions by 60% from current levels using fossil gas as fuel and 80% when hydrogen </w:t>
      </w:r>
      <w:r w:rsidR="00984C24">
        <w:rPr>
          <w:rFonts w:ascii="Arial" w:hAnsi="Arial" w:cs="Arial"/>
          <w:sz w:val="20"/>
          <w:szCs w:val="20"/>
        </w:rPr>
        <w:t xml:space="preserve">is </w:t>
      </w:r>
      <w:r w:rsidRPr="003516DC">
        <w:rPr>
          <w:rFonts w:ascii="Arial" w:hAnsi="Arial" w:cs="Arial"/>
          <w:sz w:val="20"/>
          <w:szCs w:val="20"/>
        </w:rPr>
        <w:t>used. According to Liberty Steel, these two projects need to be bundled together to be successful as they depend on each other. The claims made on CO</w:t>
      </w:r>
      <w:r w:rsidRPr="00402580">
        <w:rPr>
          <w:rFonts w:ascii="Arial" w:hAnsi="Arial" w:cs="Arial"/>
          <w:sz w:val="20"/>
          <w:szCs w:val="20"/>
          <w:vertAlign w:val="subscript"/>
        </w:rPr>
        <w:t>2</w:t>
      </w:r>
      <w:r w:rsidRPr="003516DC">
        <w:rPr>
          <w:rFonts w:ascii="Arial" w:hAnsi="Arial" w:cs="Arial"/>
          <w:sz w:val="20"/>
          <w:szCs w:val="20"/>
        </w:rPr>
        <w:t xml:space="preserve"> emissions reduction are highly likely to meet the criteria imposed by JTF as the reduction appear</w:t>
      </w:r>
      <w:r w:rsidR="00984C24">
        <w:rPr>
          <w:rFonts w:ascii="Arial" w:hAnsi="Arial" w:cs="Arial"/>
          <w:sz w:val="20"/>
          <w:szCs w:val="20"/>
        </w:rPr>
        <w:t>s</w:t>
      </w:r>
      <w:r w:rsidRPr="003516DC">
        <w:rPr>
          <w:rFonts w:ascii="Arial" w:hAnsi="Arial" w:cs="Arial"/>
          <w:sz w:val="20"/>
          <w:szCs w:val="20"/>
        </w:rPr>
        <w:t xml:space="preserve"> substantial. </w:t>
      </w:r>
      <w:bookmarkStart w:id="345" w:name="_Hlk85565291"/>
      <w:r w:rsidR="00CA6F73" w:rsidRPr="00CA6F73">
        <w:rPr>
          <w:rFonts w:ascii="Arial" w:hAnsi="Arial" w:cs="Arial"/>
          <w:sz w:val="20"/>
          <w:szCs w:val="20"/>
        </w:rPr>
        <w:t>However, under JTF rules</w:t>
      </w:r>
      <w:r w:rsidR="0001186C">
        <w:rPr>
          <w:rFonts w:ascii="Arial" w:hAnsi="Arial" w:cs="Arial"/>
          <w:sz w:val="20"/>
          <w:szCs w:val="20"/>
        </w:rPr>
        <w:t>,</w:t>
      </w:r>
      <w:r w:rsidR="00CA6F73" w:rsidRPr="00CA6F73">
        <w:rPr>
          <w:rFonts w:ascii="Arial" w:hAnsi="Arial" w:cs="Arial"/>
          <w:sz w:val="20"/>
          <w:szCs w:val="20"/>
        </w:rPr>
        <w:t xml:space="preserve"> only the part of the project using hydrogen as fuel is</w:t>
      </w:r>
      <w:r w:rsidR="00197494">
        <w:rPr>
          <w:rFonts w:ascii="Arial" w:hAnsi="Arial" w:cs="Arial"/>
          <w:sz w:val="20"/>
          <w:szCs w:val="20"/>
        </w:rPr>
        <w:t xml:space="preserve"> potentially</w:t>
      </w:r>
      <w:r w:rsidR="00CA6F73" w:rsidRPr="00CA6F73">
        <w:rPr>
          <w:rFonts w:ascii="Arial" w:hAnsi="Arial" w:cs="Arial"/>
          <w:sz w:val="20"/>
          <w:szCs w:val="20"/>
        </w:rPr>
        <w:t xml:space="preserve"> eligible </w:t>
      </w:r>
      <w:r w:rsidR="0001186C">
        <w:rPr>
          <w:rFonts w:ascii="Arial" w:hAnsi="Arial" w:cs="Arial"/>
          <w:sz w:val="20"/>
          <w:szCs w:val="20"/>
        </w:rPr>
        <w:t>(</w:t>
      </w:r>
      <w:r w:rsidR="00CA6F73" w:rsidRPr="00CA6F73">
        <w:rPr>
          <w:rFonts w:ascii="Arial" w:hAnsi="Arial" w:cs="Arial"/>
          <w:sz w:val="20"/>
          <w:szCs w:val="20"/>
        </w:rPr>
        <w:t>if the used hydrogen is produced from renewable energy</w:t>
      </w:r>
      <w:r w:rsidR="0001186C">
        <w:rPr>
          <w:rFonts w:ascii="Arial" w:hAnsi="Arial" w:cs="Arial"/>
          <w:sz w:val="20"/>
          <w:szCs w:val="20"/>
        </w:rPr>
        <w:t>)</w:t>
      </w:r>
      <w:r w:rsidR="00CA6F73" w:rsidRPr="00CA6F73">
        <w:rPr>
          <w:rFonts w:ascii="Arial" w:hAnsi="Arial" w:cs="Arial"/>
          <w:sz w:val="20"/>
          <w:szCs w:val="20"/>
        </w:rPr>
        <w:t>. Using fossil fuel</w:t>
      </w:r>
      <w:r w:rsidR="0001186C">
        <w:rPr>
          <w:rFonts w:ascii="Arial" w:hAnsi="Arial" w:cs="Arial"/>
          <w:sz w:val="20"/>
          <w:szCs w:val="20"/>
        </w:rPr>
        <w:t>s</w:t>
      </w:r>
      <w:r w:rsidR="00CA6F73" w:rsidRPr="00CA6F73">
        <w:rPr>
          <w:rFonts w:ascii="Arial" w:hAnsi="Arial" w:cs="Arial"/>
          <w:sz w:val="20"/>
          <w:szCs w:val="20"/>
        </w:rPr>
        <w:t xml:space="preserve"> in this project would render it ineligible.</w:t>
      </w:r>
    </w:p>
    <w:p w14:paraId="0522FCB2" w14:textId="502EDF1C" w:rsidR="00CA6F73" w:rsidRPr="003516DC" w:rsidRDefault="00CA6F73" w:rsidP="0088065B">
      <w:pPr>
        <w:spacing w:after="120"/>
        <w:jc w:val="both"/>
        <w:rPr>
          <w:rFonts w:ascii="Arial" w:hAnsi="Arial" w:cs="Arial"/>
          <w:sz w:val="20"/>
          <w:szCs w:val="20"/>
        </w:rPr>
      </w:pPr>
      <w:r w:rsidRPr="00CA6F73">
        <w:rPr>
          <w:rFonts w:ascii="Arial" w:hAnsi="Arial" w:cs="Arial"/>
          <w:sz w:val="20"/>
          <w:szCs w:val="20"/>
        </w:rPr>
        <w:t xml:space="preserve">Liberty Steel claims that the use of fossil gas in the direct reduced iron plant will lead to a decrease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A6F73">
        <w:rPr>
          <w:rFonts w:ascii="Arial" w:hAnsi="Arial" w:cs="Arial"/>
          <w:sz w:val="20"/>
          <w:szCs w:val="20"/>
        </w:rPr>
        <w:t>emissions per ton</w:t>
      </w:r>
      <w:r w:rsidR="0001186C">
        <w:rPr>
          <w:rFonts w:ascii="Arial" w:hAnsi="Arial" w:cs="Arial"/>
          <w:sz w:val="20"/>
          <w:szCs w:val="20"/>
        </w:rPr>
        <w:t>ne</w:t>
      </w:r>
      <w:r w:rsidRPr="00CA6F73">
        <w:rPr>
          <w:rFonts w:ascii="Arial" w:hAnsi="Arial" w:cs="Arial"/>
          <w:sz w:val="20"/>
          <w:szCs w:val="20"/>
        </w:rPr>
        <w:t xml:space="preserve"> of steel from 1.9 t</w:t>
      </w:r>
      <w:r w:rsidR="002B0D2A">
        <w:rPr>
          <w:rFonts w:ascii="Arial" w:hAnsi="Arial" w:cs="Arial"/>
          <w:sz w:val="20"/>
          <w:szCs w:val="20"/>
        </w:rPr>
        <w:t>on</w:t>
      </w:r>
      <w:r w:rsidR="0001186C">
        <w:rPr>
          <w:rFonts w:ascii="Arial" w:hAnsi="Arial" w:cs="Arial"/>
          <w:sz w:val="20"/>
          <w:szCs w:val="20"/>
        </w:rPr>
        <w:t>n</w:t>
      </w:r>
      <w:r w:rsidR="002B0D2A">
        <w:rPr>
          <w:rFonts w:ascii="Arial" w:hAnsi="Arial" w:cs="Arial"/>
          <w:sz w:val="20"/>
          <w:szCs w:val="20"/>
        </w:rPr>
        <w:t>es</w:t>
      </w:r>
      <w:r w:rsidRPr="00CA6F73">
        <w:rPr>
          <w:rFonts w:ascii="Arial" w:hAnsi="Arial" w:cs="Arial"/>
          <w:sz w:val="20"/>
          <w:szCs w:val="20"/>
        </w:rPr>
        <w:t xml:space="preserve"> to 1.2 t</w:t>
      </w:r>
      <w:r w:rsidR="002B0D2A">
        <w:rPr>
          <w:rFonts w:ascii="Arial" w:hAnsi="Arial" w:cs="Arial"/>
          <w:sz w:val="20"/>
          <w:szCs w:val="20"/>
        </w:rPr>
        <w:t>on</w:t>
      </w:r>
      <w:r w:rsidR="0001186C">
        <w:rPr>
          <w:rFonts w:ascii="Arial" w:hAnsi="Arial" w:cs="Arial"/>
          <w:sz w:val="20"/>
          <w:szCs w:val="20"/>
        </w:rPr>
        <w:t>n</w:t>
      </w:r>
      <w:r w:rsidR="002B0D2A">
        <w:rPr>
          <w:rFonts w:ascii="Arial" w:hAnsi="Arial" w:cs="Arial"/>
          <w:sz w:val="20"/>
          <w:szCs w:val="20"/>
        </w:rPr>
        <w:t>es</w:t>
      </w:r>
      <w:r w:rsidRPr="00CA6F73">
        <w:rPr>
          <w:rFonts w:ascii="Arial" w:hAnsi="Arial" w:cs="Arial"/>
          <w:sz w:val="20"/>
          <w:szCs w:val="20"/>
        </w:rPr>
        <w:t xml:space="preserve">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Pr="00CA6F73">
        <w:rPr>
          <w:rFonts w:ascii="Arial" w:hAnsi="Arial" w:cs="Arial"/>
          <w:sz w:val="20"/>
          <w:szCs w:val="20"/>
        </w:rPr>
        <w:t xml:space="preserve">. Furthermore, the electric arc furnace plant supplied with hydrogen will lead to a decrease of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A6F73">
        <w:rPr>
          <w:rFonts w:ascii="Arial" w:hAnsi="Arial" w:cs="Arial"/>
          <w:sz w:val="20"/>
          <w:szCs w:val="20"/>
        </w:rPr>
        <w:t>emissions</w:t>
      </w:r>
      <w:r w:rsidR="0001186C">
        <w:rPr>
          <w:rFonts w:ascii="Arial" w:hAnsi="Arial" w:cs="Arial"/>
          <w:sz w:val="20"/>
          <w:szCs w:val="20"/>
        </w:rPr>
        <w:t>,</w:t>
      </w:r>
      <w:r w:rsidRPr="00CA6F73">
        <w:rPr>
          <w:rFonts w:ascii="Arial" w:hAnsi="Arial" w:cs="Arial"/>
          <w:sz w:val="20"/>
          <w:szCs w:val="20"/>
        </w:rPr>
        <w:t xml:space="preserve"> from 0.3</w:t>
      </w:r>
      <w:r w:rsidR="002B0D2A">
        <w:rPr>
          <w:rFonts w:ascii="Arial" w:hAnsi="Arial" w:cs="Arial"/>
          <w:sz w:val="20"/>
          <w:szCs w:val="20"/>
        </w:rPr>
        <w:t xml:space="preserve"> </w:t>
      </w:r>
      <w:r w:rsidRPr="00CA6F73">
        <w:rPr>
          <w:rFonts w:ascii="Arial" w:hAnsi="Arial" w:cs="Arial"/>
          <w:sz w:val="20"/>
          <w:szCs w:val="20"/>
        </w:rPr>
        <w:t>t</w:t>
      </w:r>
      <w:r w:rsidR="002B0D2A">
        <w:rPr>
          <w:rFonts w:ascii="Arial" w:hAnsi="Arial" w:cs="Arial"/>
          <w:sz w:val="20"/>
          <w:szCs w:val="20"/>
        </w:rPr>
        <w:t>on</w:t>
      </w:r>
      <w:r w:rsidR="0001186C">
        <w:rPr>
          <w:rFonts w:ascii="Arial" w:hAnsi="Arial" w:cs="Arial"/>
          <w:sz w:val="20"/>
          <w:szCs w:val="20"/>
        </w:rPr>
        <w:t>n</w:t>
      </w:r>
      <w:r w:rsidR="002B0D2A">
        <w:rPr>
          <w:rFonts w:ascii="Arial" w:hAnsi="Arial" w:cs="Arial"/>
          <w:sz w:val="20"/>
          <w:szCs w:val="20"/>
        </w:rPr>
        <w:t>es</w:t>
      </w:r>
      <w:r w:rsidRPr="00CA6F73">
        <w:rPr>
          <w:rFonts w:ascii="Arial" w:hAnsi="Arial" w:cs="Arial"/>
          <w:sz w:val="20"/>
          <w:szCs w:val="20"/>
        </w:rPr>
        <w:t xml:space="preserve">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A6F73">
        <w:rPr>
          <w:rFonts w:ascii="Arial" w:hAnsi="Arial" w:cs="Arial"/>
          <w:sz w:val="20"/>
          <w:szCs w:val="20"/>
        </w:rPr>
        <w:t>per ton</w:t>
      </w:r>
      <w:r w:rsidR="0001186C">
        <w:rPr>
          <w:rFonts w:ascii="Arial" w:hAnsi="Arial" w:cs="Arial"/>
          <w:sz w:val="20"/>
          <w:szCs w:val="20"/>
        </w:rPr>
        <w:t>ne</w:t>
      </w:r>
      <w:r w:rsidRPr="00CA6F73">
        <w:rPr>
          <w:rFonts w:ascii="Arial" w:hAnsi="Arial" w:cs="Arial"/>
          <w:sz w:val="20"/>
          <w:szCs w:val="20"/>
        </w:rPr>
        <w:t xml:space="preserve"> of steel to 0.1 t</w:t>
      </w:r>
      <w:r w:rsidR="002B0D2A">
        <w:rPr>
          <w:rFonts w:ascii="Arial" w:hAnsi="Arial" w:cs="Arial"/>
          <w:sz w:val="20"/>
          <w:szCs w:val="20"/>
        </w:rPr>
        <w:t>on</w:t>
      </w:r>
      <w:r w:rsidR="0001186C">
        <w:rPr>
          <w:rFonts w:ascii="Arial" w:hAnsi="Arial" w:cs="Arial"/>
          <w:sz w:val="20"/>
          <w:szCs w:val="20"/>
        </w:rPr>
        <w:t>n</w:t>
      </w:r>
      <w:r w:rsidR="002B0D2A">
        <w:rPr>
          <w:rFonts w:ascii="Arial" w:hAnsi="Arial" w:cs="Arial"/>
          <w:sz w:val="20"/>
          <w:szCs w:val="20"/>
        </w:rPr>
        <w:t>es</w:t>
      </w:r>
      <w:r w:rsidRPr="00CA6F73">
        <w:rPr>
          <w:rFonts w:ascii="Arial" w:hAnsi="Arial" w:cs="Arial"/>
          <w:sz w:val="20"/>
          <w:szCs w:val="20"/>
        </w:rPr>
        <w:t xml:space="preserve">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A6F73">
        <w:rPr>
          <w:rFonts w:ascii="Arial" w:hAnsi="Arial" w:cs="Arial"/>
          <w:sz w:val="20"/>
          <w:szCs w:val="20"/>
        </w:rPr>
        <w:t>per ton</w:t>
      </w:r>
      <w:r w:rsidR="0001186C">
        <w:rPr>
          <w:rFonts w:ascii="Arial" w:hAnsi="Arial" w:cs="Arial"/>
          <w:sz w:val="20"/>
          <w:szCs w:val="20"/>
        </w:rPr>
        <w:t>ne</w:t>
      </w:r>
      <w:r w:rsidRPr="00CA6F73">
        <w:rPr>
          <w:rFonts w:ascii="Arial" w:hAnsi="Arial" w:cs="Arial"/>
          <w:sz w:val="20"/>
          <w:szCs w:val="20"/>
        </w:rPr>
        <w:t xml:space="preserve"> of steel. Furthermore, Liberty Steel plans to use the electricity from the solar and wind project for hydrogen production to feed the direct reduction and electric furnace plants to </w:t>
      </w:r>
      <w:r w:rsidR="0001186C">
        <w:rPr>
          <w:rFonts w:ascii="Arial" w:hAnsi="Arial" w:cs="Arial"/>
          <w:sz w:val="20"/>
          <w:szCs w:val="20"/>
        </w:rPr>
        <w:t xml:space="preserve">eliminate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Pr="00CA6F73">
        <w:rPr>
          <w:rFonts w:ascii="Arial" w:hAnsi="Arial" w:cs="Arial"/>
          <w:sz w:val="20"/>
          <w:szCs w:val="20"/>
        </w:rPr>
        <w:t>emissions. Thus, the three main projects are connected and should be built together to reach the lowest possible emissions, if not zero emissions</w:t>
      </w:r>
      <w:r w:rsidR="0001186C">
        <w:rPr>
          <w:rFonts w:ascii="Arial" w:hAnsi="Arial" w:cs="Arial"/>
          <w:sz w:val="20"/>
          <w:szCs w:val="20"/>
        </w:rPr>
        <w:t xml:space="preserve"> altogether</w:t>
      </w:r>
      <w:r w:rsidRPr="00CA6F73">
        <w:rPr>
          <w:rFonts w:ascii="Arial" w:hAnsi="Arial" w:cs="Arial"/>
          <w:sz w:val="20"/>
          <w:szCs w:val="20"/>
        </w:rPr>
        <w:t>.</w:t>
      </w:r>
    </w:p>
    <w:bookmarkEnd w:id="345"/>
    <w:p w14:paraId="7E32F14E" w14:textId="127E51AF" w:rsidR="00285FBB" w:rsidRPr="00C721D3" w:rsidRDefault="00285FBB" w:rsidP="0088065B">
      <w:pPr>
        <w:spacing w:after="120"/>
        <w:jc w:val="both"/>
        <w:rPr>
          <w:rFonts w:ascii="Arial" w:hAnsi="Arial" w:cs="Arial"/>
          <w:sz w:val="20"/>
          <w:szCs w:val="20"/>
        </w:rPr>
      </w:pPr>
      <w:r w:rsidRPr="003516DC">
        <w:rPr>
          <w:rFonts w:ascii="Arial" w:hAnsi="Arial" w:cs="Arial"/>
          <w:sz w:val="20"/>
          <w:szCs w:val="20"/>
        </w:rPr>
        <w:t xml:space="preserve">In conclusion, Liberty Steel appears to have understood the criteria for tapping funds from </w:t>
      </w:r>
      <w:r w:rsidR="00984C24">
        <w:rPr>
          <w:rFonts w:ascii="Arial" w:hAnsi="Arial" w:cs="Arial"/>
          <w:sz w:val="20"/>
          <w:szCs w:val="20"/>
        </w:rPr>
        <w:t xml:space="preserve">the </w:t>
      </w:r>
      <w:r w:rsidRPr="003516DC">
        <w:rPr>
          <w:rFonts w:ascii="Arial" w:hAnsi="Arial" w:cs="Arial"/>
          <w:sz w:val="20"/>
          <w:szCs w:val="20"/>
        </w:rPr>
        <w:t xml:space="preserve">JTF and has presented </w:t>
      </w:r>
      <w:r w:rsidR="00984C24">
        <w:rPr>
          <w:rFonts w:ascii="Arial" w:hAnsi="Arial" w:cs="Arial"/>
          <w:sz w:val="20"/>
          <w:szCs w:val="20"/>
        </w:rPr>
        <w:t>two</w:t>
      </w:r>
      <w:r w:rsidRPr="003516DC">
        <w:rPr>
          <w:rFonts w:ascii="Arial" w:hAnsi="Arial" w:cs="Arial"/>
          <w:sz w:val="20"/>
          <w:szCs w:val="20"/>
        </w:rPr>
        <w:t xml:space="preserve"> carbon free project</w:t>
      </w:r>
      <w:r w:rsidR="00984C24">
        <w:rPr>
          <w:rFonts w:ascii="Arial" w:hAnsi="Arial" w:cs="Arial"/>
          <w:sz w:val="20"/>
          <w:szCs w:val="20"/>
        </w:rPr>
        <w:t>s</w:t>
      </w:r>
      <w:r w:rsidRPr="003516DC">
        <w:rPr>
          <w:rFonts w:ascii="Arial" w:hAnsi="Arial" w:cs="Arial"/>
          <w:sz w:val="20"/>
          <w:szCs w:val="20"/>
        </w:rPr>
        <w:t>, a 220 MW solar and wind power plant and a zero emissions electric arc furnace investment that are highly likely to be funded by JTF funds. Another two projects related to a production unit of direct reduced iron and electric arc furnace are highly likely to meet the eligibility criteria given the stated emissions reduction</w:t>
      </w:r>
      <w:r w:rsidR="00CA6F73">
        <w:rPr>
          <w:rFonts w:ascii="Arial" w:hAnsi="Arial" w:cs="Arial"/>
          <w:sz w:val="20"/>
          <w:szCs w:val="20"/>
        </w:rPr>
        <w:t xml:space="preserve">, </w:t>
      </w:r>
      <w:r w:rsidR="00CA6F73" w:rsidRPr="00CA6F73">
        <w:rPr>
          <w:rFonts w:ascii="Arial" w:hAnsi="Arial" w:cs="Arial"/>
          <w:sz w:val="20"/>
          <w:szCs w:val="20"/>
        </w:rPr>
        <w:t xml:space="preserve">at least for the parts </w:t>
      </w:r>
      <w:r w:rsidR="0001186C">
        <w:rPr>
          <w:rFonts w:ascii="Arial" w:hAnsi="Arial" w:cs="Arial"/>
          <w:sz w:val="20"/>
          <w:szCs w:val="20"/>
        </w:rPr>
        <w:t>using</w:t>
      </w:r>
      <w:r w:rsidR="00CA6F73" w:rsidRPr="00CA6F73">
        <w:rPr>
          <w:rFonts w:ascii="Arial" w:hAnsi="Arial" w:cs="Arial"/>
          <w:sz w:val="20"/>
          <w:szCs w:val="20"/>
        </w:rPr>
        <w:t xml:space="preserve"> green fuels.</w:t>
      </w:r>
    </w:p>
    <w:p w14:paraId="205BEF54" w14:textId="4ADA3EA0" w:rsidR="00285FBB" w:rsidRPr="00C721D3" w:rsidRDefault="00285FBB" w:rsidP="0088065B">
      <w:pPr>
        <w:spacing w:after="120"/>
        <w:jc w:val="both"/>
        <w:rPr>
          <w:rFonts w:ascii="Arial" w:hAnsi="Arial" w:cs="Arial"/>
          <w:sz w:val="20"/>
          <w:szCs w:val="20"/>
        </w:rPr>
      </w:pPr>
      <w:r w:rsidRPr="002007F5">
        <w:rPr>
          <w:rFonts w:ascii="Arial" w:hAnsi="Arial" w:cs="Arial"/>
          <w:b/>
          <w:bCs/>
          <w:sz w:val="20"/>
          <w:szCs w:val="20"/>
        </w:rPr>
        <w:t xml:space="preserve">The criteria that specific projects need to meet to be eligible for JTF funds are transparent but specific projects require extensive analysis on emissions abated versus targets derived from benchmarks under Directive 2003/87/EC. </w:t>
      </w:r>
      <w:r w:rsidRPr="00402580">
        <w:rPr>
          <w:rFonts w:ascii="Arial" w:hAnsi="Arial" w:cs="Arial"/>
          <w:sz w:val="20"/>
          <w:szCs w:val="20"/>
        </w:rPr>
        <w:t>There is significant room under the criteria “significantly below benchmarks” for projects to be made ineligible for JTF funding. Th</w:t>
      </w:r>
      <w:r w:rsidR="00C721D3">
        <w:rPr>
          <w:rFonts w:ascii="Arial" w:hAnsi="Arial" w:cs="Arial"/>
          <w:sz w:val="20"/>
          <w:szCs w:val="20"/>
        </w:rPr>
        <w:t>at</w:t>
      </w:r>
      <w:r w:rsidRPr="00402580">
        <w:rPr>
          <w:rFonts w:ascii="Arial" w:hAnsi="Arial" w:cs="Arial"/>
          <w:sz w:val="20"/>
          <w:szCs w:val="20"/>
        </w:rPr>
        <w:t xml:space="preserve"> said, any zero-carbon project meets the criteria</w:t>
      </w:r>
      <w:r w:rsidR="00C721D3">
        <w:rPr>
          <w:rFonts w:ascii="Arial" w:hAnsi="Arial" w:cs="Arial"/>
          <w:sz w:val="20"/>
          <w:szCs w:val="20"/>
        </w:rPr>
        <w:t xml:space="preserve"> from the outset</w:t>
      </w:r>
      <w:r w:rsidRPr="00402580">
        <w:rPr>
          <w:rFonts w:ascii="Arial" w:hAnsi="Arial" w:cs="Arial"/>
          <w:sz w:val="20"/>
          <w:szCs w:val="20"/>
        </w:rPr>
        <w:t xml:space="preserve">. Both Liberty </w:t>
      </w:r>
      <w:r w:rsidR="003751DC">
        <w:rPr>
          <w:rFonts w:ascii="Arial" w:hAnsi="Arial" w:cs="Arial"/>
          <w:sz w:val="20"/>
          <w:szCs w:val="20"/>
        </w:rPr>
        <w:t>Galați</w:t>
      </w:r>
      <w:r w:rsidRPr="00402580">
        <w:rPr>
          <w:rFonts w:ascii="Arial" w:hAnsi="Arial" w:cs="Arial"/>
          <w:sz w:val="20"/>
          <w:szCs w:val="20"/>
        </w:rPr>
        <w:t xml:space="preserve"> and Azo</w:t>
      </w:r>
      <w:r w:rsidR="00CA6F73">
        <w:rPr>
          <w:rFonts w:ascii="Arial" w:hAnsi="Arial" w:cs="Arial"/>
          <w:sz w:val="20"/>
          <w:szCs w:val="20"/>
        </w:rPr>
        <w:t>m</w:t>
      </w:r>
      <w:r w:rsidR="004F70E0">
        <w:rPr>
          <w:rFonts w:ascii="Arial" w:hAnsi="Arial" w:cs="Arial"/>
          <w:sz w:val="20"/>
          <w:szCs w:val="20"/>
        </w:rPr>
        <w:t>ureș</w:t>
      </w:r>
      <w:r w:rsidRPr="00402580">
        <w:rPr>
          <w:rFonts w:ascii="Arial" w:hAnsi="Arial" w:cs="Arial"/>
          <w:sz w:val="20"/>
          <w:szCs w:val="20"/>
        </w:rPr>
        <w:t xml:space="preserve"> present zero carbon projects based on onshore wind and solar PV technology to generate electricity and green hydrogen to be used in their industrial processes. These projects, if thoroughly prepared, are highly likely to be </w:t>
      </w:r>
      <w:r w:rsidR="00284ABB">
        <w:rPr>
          <w:rFonts w:ascii="Arial" w:hAnsi="Arial" w:cs="Arial"/>
          <w:sz w:val="20"/>
          <w:szCs w:val="20"/>
        </w:rPr>
        <w:t xml:space="preserve">potentially </w:t>
      </w:r>
      <w:r w:rsidRPr="00402580">
        <w:rPr>
          <w:rFonts w:ascii="Arial" w:hAnsi="Arial" w:cs="Arial"/>
          <w:sz w:val="20"/>
          <w:szCs w:val="20"/>
        </w:rPr>
        <w:t xml:space="preserve">eligible for JTF funds. Additionally, investments in electric arc furnaces and direct reduction iron production at Liberty </w:t>
      </w:r>
      <w:r w:rsidR="003751DC">
        <w:rPr>
          <w:rFonts w:ascii="Arial" w:hAnsi="Arial" w:cs="Arial"/>
          <w:sz w:val="20"/>
          <w:szCs w:val="20"/>
        </w:rPr>
        <w:t>Galați</w:t>
      </w:r>
      <w:r w:rsidRPr="00402580">
        <w:rPr>
          <w:rFonts w:ascii="Arial" w:hAnsi="Arial" w:cs="Arial"/>
          <w:sz w:val="20"/>
          <w:szCs w:val="20"/>
        </w:rPr>
        <w:t xml:space="preserve"> are also highly likely to meet the JTF criteria.</w:t>
      </w:r>
      <w:r w:rsidR="00CA6F73">
        <w:rPr>
          <w:rFonts w:ascii="Arial" w:hAnsi="Arial" w:cs="Arial"/>
          <w:sz w:val="20"/>
          <w:szCs w:val="20"/>
        </w:rPr>
        <w:t xml:space="preserve"> </w:t>
      </w:r>
    </w:p>
    <w:p w14:paraId="121A2947" w14:textId="2BE6E12A" w:rsidR="002007F5" w:rsidRDefault="002007F5" w:rsidP="00E42342">
      <w:pPr>
        <w:pStyle w:val="ListParagraph"/>
        <w:numPr>
          <w:ilvl w:val="0"/>
          <w:numId w:val="313"/>
        </w:numPr>
        <w:spacing w:after="120"/>
        <w:ind w:left="810" w:hanging="810"/>
        <w:jc w:val="both"/>
        <w:rPr>
          <w:color w:val="4F81BD" w:themeColor="accent1"/>
          <w:sz w:val="20"/>
          <w:szCs w:val="20"/>
        </w:rPr>
      </w:pPr>
      <w:r>
        <w:rPr>
          <w:color w:val="4F81BD" w:themeColor="accent1"/>
          <w:sz w:val="20"/>
          <w:szCs w:val="20"/>
        </w:rPr>
        <w:t>Energy poverty and district heating</w:t>
      </w:r>
    </w:p>
    <w:p w14:paraId="54391A4F" w14:textId="5E4980E0" w:rsidR="0011490E" w:rsidRPr="0088065B" w:rsidRDefault="0011490E" w:rsidP="0088065B">
      <w:pPr>
        <w:pStyle w:val="NormalWeb"/>
        <w:spacing w:before="0" w:beforeAutospacing="0" w:after="120" w:afterAutospacing="0"/>
        <w:jc w:val="both"/>
        <w:rPr>
          <w:rFonts w:ascii="Arial" w:hAnsi="Arial" w:cs="Arial"/>
          <w:color w:val="000000"/>
          <w:sz w:val="20"/>
          <w:szCs w:val="20"/>
        </w:rPr>
      </w:pPr>
      <w:r w:rsidRPr="00402580">
        <w:rPr>
          <w:rFonts w:ascii="Arial" w:hAnsi="Arial" w:cs="Arial"/>
          <w:sz w:val="20"/>
          <w:szCs w:val="20"/>
        </w:rPr>
        <w:t xml:space="preserve">In terms of </w:t>
      </w:r>
      <w:r w:rsidRPr="00402580">
        <w:rPr>
          <w:rFonts w:ascii="Arial" w:hAnsi="Arial" w:cs="Arial"/>
          <w:b/>
          <w:bCs/>
          <w:sz w:val="20"/>
          <w:szCs w:val="20"/>
        </w:rPr>
        <w:t xml:space="preserve">energy poverty, </w:t>
      </w:r>
      <w:r w:rsidR="003751DC">
        <w:rPr>
          <w:rFonts w:ascii="Arial" w:hAnsi="Arial" w:cs="Arial"/>
          <w:sz w:val="20"/>
          <w:szCs w:val="20"/>
        </w:rPr>
        <w:t>Galați</w:t>
      </w:r>
      <w:r w:rsidRPr="00402580">
        <w:rPr>
          <w:rFonts w:ascii="Arial" w:hAnsi="Arial" w:cs="Arial"/>
          <w:sz w:val="20"/>
          <w:szCs w:val="20"/>
        </w:rPr>
        <w:t xml:space="preserve"> has a population of 626,089 in 234,490 households, an average population of 2.67 per household</w:t>
      </w:r>
      <w:r w:rsidRPr="003516DC">
        <w:rPr>
          <w:rFonts w:ascii="Arial" w:hAnsi="Arial" w:cs="Arial"/>
          <w:color w:val="000000"/>
          <w:sz w:val="20"/>
          <w:szCs w:val="20"/>
        </w:rPr>
        <w:t>. 43% of the population lives in rural areas, 57% in urban areas. 84</w:t>
      </w:r>
      <w:r w:rsidR="00C721D3">
        <w:rPr>
          <w:rFonts w:ascii="Arial" w:hAnsi="Arial" w:cs="Arial"/>
          <w:color w:val="000000"/>
          <w:sz w:val="20"/>
          <w:szCs w:val="20"/>
        </w:rPr>
        <w:t>.</w:t>
      </w:r>
      <w:r w:rsidRPr="003516DC">
        <w:rPr>
          <w:rFonts w:ascii="Arial" w:hAnsi="Arial" w:cs="Arial"/>
          <w:color w:val="000000"/>
          <w:sz w:val="20"/>
          <w:szCs w:val="20"/>
        </w:rPr>
        <w:t xml:space="preserve">69% of rural households are not connected to the gas grid. </w:t>
      </w:r>
      <w:r w:rsidR="003751DC">
        <w:rPr>
          <w:rFonts w:ascii="Arial" w:hAnsi="Arial" w:cs="Arial"/>
          <w:color w:val="000000"/>
          <w:sz w:val="20"/>
          <w:szCs w:val="20"/>
        </w:rPr>
        <w:t>Galați</w:t>
      </w:r>
      <w:r w:rsidRPr="003516DC">
        <w:rPr>
          <w:rFonts w:ascii="Arial" w:hAnsi="Arial" w:cs="Arial"/>
          <w:color w:val="000000"/>
          <w:sz w:val="20"/>
          <w:szCs w:val="20"/>
        </w:rPr>
        <w:t xml:space="preserve"> has the lowest GDP per capita, with </w:t>
      </w:r>
      <w:r w:rsidR="00C721D3">
        <w:rPr>
          <w:rFonts w:ascii="Arial" w:hAnsi="Arial" w:cs="Arial"/>
          <w:color w:val="000000"/>
          <w:sz w:val="20"/>
          <w:szCs w:val="20"/>
        </w:rPr>
        <w:t xml:space="preserve">a 2021 estimate of EUR </w:t>
      </w:r>
      <w:r w:rsidRPr="003516DC">
        <w:rPr>
          <w:rFonts w:ascii="Arial" w:hAnsi="Arial" w:cs="Arial"/>
          <w:color w:val="000000"/>
          <w:sz w:val="20"/>
          <w:szCs w:val="20"/>
        </w:rPr>
        <w:t>8</w:t>
      </w:r>
      <w:r w:rsidR="00C721D3">
        <w:rPr>
          <w:rFonts w:ascii="Arial" w:hAnsi="Arial" w:cs="Arial"/>
          <w:color w:val="000000"/>
          <w:sz w:val="20"/>
          <w:szCs w:val="20"/>
        </w:rPr>
        <w:t>,</w:t>
      </w:r>
      <w:r w:rsidRPr="003516DC">
        <w:rPr>
          <w:rFonts w:ascii="Arial" w:hAnsi="Arial" w:cs="Arial"/>
          <w:color w:val="000000"/>
          <w:sz w:val="20"/>
          <w:szCs w:val="20"/>
        </w:rPr>
        <w:t xml:space="preserve">524. </w:t>
      </w:r>
      <w:r w:rsidR="003751DC">
        <w:rPr>
          <w:rFonts w:ascii="Arial" w:hAnsi="Arial" w:cs="Arial"/>
          <w:color w:val="000000"/>
          <w:sz w:val="20"/>
          <w:szCs w:val="20"/>
        </w:rPr>
        <w:t>Galați</w:t>
      </w:r>
      <w:r w:rsidRPr="003516DC">
        <w:rPr>
          <w:rFonts w:ascii="Arial" w:hAnsi="Arial" w:cs="Arial"/>
          <w:color w:val="000000"/>
          <w:sz w:val="20"/>
          <w:szCs w:val="20"/>
        </w:rPr>
        <w:t xml:space="preserve"> should aspire to catch up with neighbouring Braila and Tulcea, given its positioning and growth opportunities. The average salary in </w:t>
      </w:r>
      <w:r w:rsidR="003751DC">
        <w:rPr>
          <w:rFonts w:ascii="Arial" w:hAnsi="Arial" w:cs="Arial"/>
          <w:color w:val="000000"/>
          <w:sz w:val="20"/>
          <w:szCs w:val="20"/>
        </w:rPr>
        <w:t>Galați</w:t>
      </w:r>
      <w:r w:rsidRPr="003516DC">
        <w:rPr>
          <w:rFonts w:ascii="Arial" w:hAnsi="Arial" w:cs="Arial"/>
          <w:color w:val="000000"/>
          <w:sz w:val="20"/>
          <w:szCs w:val="20"/>
        </w:rPr>
        <w:t xml:space="preserve"> is </w:t>
      </w:r>
      <w:r w:rsidR="00C721D3">
        <w:rPr>
          <w:rFonts w:ascii="Arial" w:hAnsi="Arial" w:cs="Arial"/>
          <w:color w:val="000000"/>
          <w:sz w:val="20"/>
          <w:szCs w:val="20"/>
        </w:rPr>
        <w:t xml:space="preserve">RON </w:t>
      </w:r>
      <w:r w:rsidRPr="003516DC">
        <w:rPr>
          <w:rFonts w:ascii="Arial" w:hAnsi="Arial" w:cs="Arial"/>
          <w:color w:val="000000"/>
          <w:sz w:val="20"/>
          <w:szCs w:val="20"/>
        </w:rPr>
        <w:t>3</w:t>
      </w:r>
      <w:r w:rsidR="00C721D3">
        <w:rPr>
          <w:rFonts w:ascii="Arial" w:hAnsi="Arial" w:cs="Arial"/>
          <w:color w:val="000000"/>
          <w:sz w:val="20"/>
          <w:szCs w:val="20"/>
        </w:rPr>
        <w:t>,</w:t>
      </w:r>
      <w:r w:rsidRPr="003516DC">
        <w:rPr>
          <w:rFonts w:ascii="Arial" w:hAnsi="Arial" w:cs="Arial"/>
          <w:color w:val="000000"/>
          <w:sz w:val="20"/>
          <w:szCs w:val="20"/>
        </w:rPr>
        <w:t xml:space="preserve">066, with a fairly high level of unemployment </w:t>
      </w:r>
      <w:r w:rsidR="00C721D3">
        <w:rPr>
          <w:rFonts w:ascii="Arial" w:hAnsi="Arial" w:cs="Arial"/>
          <w:color w:val="000000"/>
          <w:sz w:val="20"/>
          <w:szCs w:val="20"/>
        </w:rPr>
        <w:t>(</w:t>
      </w:r>
      <w:r w:rsidRPr="003516DC">
        <w:rPr>
          <w:rFonts w:ascii="Arial" w:hAnsi="Arial" w:cs="Arial"/>
          <w:color w:val="000000"/>
          <w:sz w:val="20"/>
          <w:szCs w:val="20"/>
        </w:rPr>
        <w:t>5</w:t>
      </w:r>
      <w:r w:rsidR="00C721D3">
        <w:rPr>
          <w:rFonts w:ascii="Arial" w:hAnsi="Arial" w:cs="Arial"/>
          <w:color w:val="000000"/>
          <w:sz w:val="20"/>
          <w:szCs w:val="20"/>
        </w:rPr>
        <w:t>.</w:t>
      </w:r>
      <w:r w:rsidRPr="003516DC">
        <w:rPr>
          <w:rFonts w:ascii="Arial" w:hAnsi="Arial" w:cs="Arial"/>
          <w:color w:val="000000"/>
          <w:sz w:val="20"/>
          <w:szCs w:val="20"/>
        </w:rPr>
        <w:t>7%</w:t>
      </w:r>
      <w:r w:rsidR="00C721D3">
        <w:rPr>
          <w:rFonts w:ascii="Arial" w:hAnsi="Arial" w:cs="Arial"/>
          <w:color w:val="000000"/>
          <w:sz w:val="20"/>
          <w:szCs w:val="20"/>
        </w:rPr>
        <w:t>)</w:t>
      </w:r>
      <w:r w:rsidRPr="003516DC">
        <w:rPr>
          <w:rFonts w:ascii="Arial" w:hAnsi="Arial" w:cs="Arial"/>
          <w:color w:val="000000"/>
          <w:sz w:val="20"/>
          <w:szCs w:val="20"/>
        </w:rPr>
        <w:t xml:space="preserve">. The estimated level of energy poverty in </w:t>
      </w:r>
      <w:r w:rsidR="003751DC">
        <w:rPr>
          <w:rFonts w:ascii="Arial" w:hAnsi="Arial" w:cs="Arial"/>
          <w:color w:val="000000"/>
          <w:sz w:val="20"/>
          <w:szCs w:val="20"/>
        </w:rPr>
        <w:t>Galați</w:t>
      </w:r>
      <w:r w:rsidRPr="003516DC">
        <w:rPr>
          <w:rFonts w:ascii="Arial" w:hAnsi="Arial" w:cs="Arial"/>
          <w:color w:val="000000"/>
          <w:sz w:val="20"/>
          <w:szCs w:val="20"/>
        </w:rPr>
        <w:t xml:space="preserve"> is 40%, going </w:t>
      </w:r>
      <w:r w:rsidR="00C721D3">
        <w:rPr>
          <w:rFonts w:ascii="Arial" w:hAnsi="Arial" w:cs="Arial"/>
          <w:color w:val="000000"/>
          <w:sz w:val="20"/>
          <w:szCs w:val="20"/>
        </w:rPr>
        <w:t xml:space="preserve">up </w:t>
      </w:r>
      <w:r w:rsidRPr="003516DC">
        <w:rPr>
          <w:rFonts w:ascii="Arial" w:hAnsi="Arial" w:cs="Arial"/>
          <w:color w:val="000000"/>
          <w:sz w:val="20"/>
          <w:szCs w:val="20"/>
        </w:rPr>
        <w:t>to 55% during winter. </w:t>
      </w:r>
    </w:p>
    <w:p w14:paraId="1537ED4A" w14:textId="2F02D55D" w:rsidR="0011490E" w:rsidRDefault="003751DC" w:rsidP="0088065B">
      <w:pPr>
        <w:pStyle w:val="NormalWeb"/>
        <w:spacing w:before="0" w:beforeAutospacing="0" w:after="120" w:afterAutospacing="0"/>
        <w:jc w:val="both"/>
        <w:rPr>
          <w:rFonts w:ascii="Arial" w:hAnsi="Arial" w:cs="Arial"/>
          <w:color w:val="000000"/>
          <w:sz w:val="20"/>
          <w:szCs w:val="20"/>
        </w:rPr>
      </w:pPr>
      <w:r>
        <w:rPr>
          <w:rFonts w:ascii="Arial" w:hAnsi="Arial" w:cs="Arial"/>
          <w:color w:val="000000"/>
          <w:sz w:val="20"/>
          <w:szCs w:val="20"/>
        </w:rPr>
        <w:t>Galați</w:t>
      </w:r>
      <w:r w:rsidR="0011490E" w:rsidRPr="003516DC">
        <w:rPr>
          <w:rFonts w:ascii="Arial" w:hAnsi="Arial" w:cs="Arial"/>
          <w:color w:val="000000"/>
          <w:sz w:val="20"/>
          <w:szCs w:val="20"/>
        </w:rPr>
        <w:t xml:space="preserve"> is the only municipality with district heating. The number of households connected to SACET dropped by 9,656 from 2018 to 2019, the largest drop in the country, due to an intentional policy of the municipality that awarded benefits of RON 3,000 to each household replacing district heating with individual gas boilers. However, many buildings are not connected to the gas pipes. As a result, at least 8,000 households cannot access this solution (and other systems, using electricity, are much more expensive). Many other consumers cannot afford the extra money beyond the RON 3</w:t>
      </w:r>
      <w:r w:rsidR="00C721D3">
        <w:rPr>
          <w:rFonts w:ascii="Arial" w:hAnsi="Arial" w:cs="Arial"/>
          <w:color w:val="000000"/>
          <w:sz w:val="20"/>
          <w:szCs w:val="20"/>
        </w:rPr>
        <w:t>,</w:t>
      </w:r>
      <w:r w:rsidR="0011490E" w:rsidRPr="003516DC">
        <w:rPr>
          <w:rFonts w:ascii="Arial" w:hAnsi="Arial" w:cs="Arial"/>
          <w:color w:val="000000"/>
          <w:sz w:val="20"/>
          <w:szCs w:val="20"/>
        </w:rPr>
        <w:t xml:space="preserve">000 to buy an individual gas boiler or another system. </w:t>
      </w:r>
    </w:p>
    <w:p w14:paraId="41CAE484" w14:textId="3F805780" w:rsidR="0011490E" w:rsidRPr="0088065B" w:rsidRDefault="0011490E" w:rsidP="0088065B">
      <w:pPr>
        <w:spacing w:after="120"/>
        <w:jc w:val="both"/>
        <w:rPr>
          <w:rFonts w:ascii="Arial" w:hAnsi="Arial" w:cs="Arial"/>
          <w:sz w:val="20"/>
          <w:szCs w:val="20"/>
        </w:rPr>
      </w:pPr>
      <w:r w:rsidRPr="003516DC">
        <w:rPr>
          <w:rFonts w:ascii="Arial" w:hAnsi="Arial" w:cs="Arial"/>
          <w:sz w:val="20"/>
          <w:szCs w:val="20"/>
        </w:rPr>
        <w:t>The figure below show</w:t>
      </w:r>
      <w:r>
        <w:rPr>
          <w:rFonts w:ascii="Arial" w:hAnsi="Arial" w:cs="Arial"/>
          <w:sz w:val="20"/>
          <w:szCs w:val="20"/>
        </w:rPr>
        <w:t>s</w:t>
      </w:r>
      <w:r w:rsidRPr="003516DC">
        <w:rPr>
          <w:rFonts w:ascii="Arial" w:hAnsi="Arial" w:cs="Arial"/>
          <w:sz w:val="20"/>
          <w:szCs w:val="20"/>
        </w:rPr>
        <w:t xml:space="preserve"> the intensity of gas consumption in</w:t>
      </w:r>
      <w:r>
        <w:rPr>
          <w:rFonts w:ascii="Arial" w:hAnsi="Arial" w:cs="Arial"/>
          <w:sz w:val="20"/>
          <w:szCs w:val="20"/>
        </w:rPr>
        <w:t xml:space="preserve"> </w:t>
      </w:r>
      <w:r w:rsidR="004F70E0">
        <w:rPr>
          <w:rFonts w:ascii="Arial" w:hAnsi="Arial" w:cs="Arial"/>
          <w:sz w:val="20"/>
          <w:szCs w:val="20"/>
        </w:rPr>
        <w:t>Galați</w:t>
      </w:r>
      <w:r>
        <w:rPr>
          <w:rFonts w:ascii="Arial" w:hAnsi="Arial" w:cs="Arial"/>
          <w:sz w:val="20"/>
          <w:szCs w:val="20"/>
        </w:rPr>
        <w:t xml:space="preserve"> </w:t>
      </w:r>
      <w:r w:rsidR="00C721D3">
        <w:rPr>
          <w:rFonts w:ascii="Arial" w:hAnsi="Arial" w:cs="Arial"/>
          <w:sz w:val="20"/>
          <w:szCs w:val="20"/>
        </w:rPr>
        <w:t>C</w:t>
      </w:r>
      <w:r>
        <w:rPr>
          <w:rFonts w:ascii="Arial" w:hAnsi="Arial" w:cs="Arial"/>
          <w:sz w:val="20"/>
          <w:szCs w:val="20"/>
        </w:rPr>
        <w:t>ounty</w:t>
      </w:r>
      <w:r w:rsidRPr="003516DC">
        <w:rPr>
          <w:rFonts w:ascii="Arial" w:hAnsi="Arial" w:cs="Arial"/>
          <w:sz w:val="20"/>
          <w:szCs w:val="20"/>
        </w:rPr>
        <w:t>. Th</w:t>
      </w:r>
      <w:r w:rsidR="00C721D3">
        <w:rPr>
          <w:rFonts w:ascii="Arial" w:hAnsi="Arial" w:cs="Arial"/>
          <w:sz w:val="20"/>
          <w:szCs w:val="20"/>
        </w:rPr>
        <w:t>e figure</w:t>
      </w:r>
      <w:r w:rsidRPr="003516DC">
        <w:rPr>
          <w:rFonts w:ascii="Arial" w:hAnsi="Arial" w:cs="Arial"/>
          <w:sz w:val="20"/>
          <w:szCs w:val="20"/>
        </w:rPr>
        <w:t xml:space="preserve"> illustrate</w:t>
      </w:r>
      <w:r>
        <w:rPr>
          <w:rFonts w:ascii="Arial" w:hAnsi="Arial" w:cs="Arial"/>
          <w:sz w:val="20"/>
          <w:szCs w:val="20"/>
        </w:rPr>
        <w:t>s</w:t>
      </w:r>
      <w:r w:rsidRPr="003516DC">
        <w:rPr>
          <w:rFonts w:ascii="Arial" w:hAnsi="Arial" w:cs="Arial"/>
          <w:sz w:val="20"/>
          <w:szCs w:val="20"/>
        </w:rPr>
        <w:t xml:space="preserve"> why, despite connections to the gas grid, many households restrict their natural gas consumption, presumably due to energy poverty</w:t>
      </w:r>
      <w:r>
        <w:rPr>
          <w:rFonts w:ascii="Arial" w:hAnsi="Arial" w:cs="Arial"/>
          <w:sz w:val="20"/>
          <w:szCs w:val="20"/>
        </w:rPr>
        <w:t>.</w:t>
      </w:r>
    </w:p>
    <w:p w14:paraId="7ED493D1" w14:textId="1F0CCB91" w:rsidR="0011490E" w:rsidRPr="003516DC" w:rsidRDefault="0011490E" w:rsidP="0011490E">
      <w:pPr>
        <w:pStyle w:val="Caption"/>
      </w:pPr>
      <w:bookmarkStart w:id="346" w:name="_Toc90725954"/>
      <w:r w:rsidRPr="003516DC">
        <w:lastRenderedPageBreak/>
        <w:t xml:space="preserve">Figure </w:t>
      </w:r>
      <w:r w:rsidRPr="003516DC">
        <w:rPr>
          <w:noProof/>
        </w:rPr>
        <w:fldChar w:fldCharType="begin"/>
      </w:r>
      <w:r w:rsidRPr="003516DC">
        <w:rPr>
          <w:noProof/>
        </w:rPr>
        <w:instrText xml:space="preserve"> SEQ Figure \* ARABIC </w:instrText>
      </w:r>
      <w:r w:rsidRPr="003516DC">
        <w:rPr>
          <w:noProof/>
        </w:rPr>
        <w:fldChar w:fldCharType="separate"/>
      </w:r>
      <w:r w:rsidR="007E5B0B">
        <w:rPr>
          <w:noProof/>
        </w:rPr>
        <w:t>27</w:t>
      </w:r>
      <w:r w:rsidRPr="003516DC">
        <w:rPr>
          <w:noProof/>
        </w:rPr>
        <w:fldChar w:fldCharType="end"/>
      </w:r>
      <w:r w:rsidRPr="003516DC">
        <w:t xml:space="preserve">: Residential gas consumption per UAT in </w:t>
      </w:r>
      <w:r w:rsidR="003751DC">
        <w:t>Galați</w:t>
      </w:r>
      <w:r w:rsidRPr="003516DC">
        <w:t xml:space="preserve"> </w:t>
      </w:r>
      <w:r w:rsidR="00C721D3">
        <w:t>C</w:t>
      </w:r>
      <w:r w:rsidRPr="003516DC">
        <w:t>ounty (</w:t>
      </w:r>
      <w:r w:rsidR="00C721D3">
        <w:t>‘000</w:t>
      </w:r>
      <w:r w:rsidRPr="003516DC">
        <w:t xml:space="preserve"> cubic meters)</w:t>
      </w:r>
      <w:bookmarkEnd w:id="346"/>
    </w:p>
    <w:p w14:paraId="3C37BDED" w14:textId="77777777" w:rsidR="0011490E" w:rsidRPr="003516DC" w:rsidRDefault="0011490E" w:rsidP="0011490E">
      <w:pPr>
        <w:rPr>
          <w:rFonts w:ascii="Arial" w:hAnsi="Arial" w:cs="Arial"/>
        </w:rPr>
      </w:pPr>
      <w:r w:rsidRPr="00C721D3">
        <w:rPr>
          <w:rFonts w:ascii="Arial" w:hAnsi="Arial" w:cs="Arial"/>
          <w:noProof/>
          <w:lang w:val="en-US" w:eastAsia="en-US"/>
        </w:rPr>
        <w:drawing>
          <wp:inline distT="0" distB="0" distL="0" distR="0" wp14:anchorId="177E9DA9" wp14:editId="3041F924">
            <wp:extent cx="5678424" cy="3657600"/>
            <wp:effectExtent l="0" t="0" r="0" b="0"/>
            <wp:docPr id="2087055737" name="Picture 2087055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228">
                      <a:extLst>
                        <a:ext uri="{28A0092B-C50C-407E-A947-70E740481C1C}">
                          <a14:useLocalDpi xmlns:a14="http://schemas.microsoft.com/office/drawing/2010/main" val="0"/>
                        </a:ext>
                      </a:extLst>
                    </a:blip>
                    <a:stretch>
                      <a:fillRect/>
                    </a:stretch>
                  </pic:blipFill>
                  <pic:spPr>
                    <a:xfrm>
                      <a:off x="0" y="0"/>
                      <a:ext cx="5678424" cy="3657600"/>
                    </a:xfrm>
                    <a:prstGeom prst="rect">
                      <a:avLst/>
                    </a:prstGeom>
                  </pic:spPr>
                </pic:pic>
              </a:graphicData>
            </a:graphic>
          </wp:inline>
        </w:drawing>
      </w:r>
    </w:p>
    <w:p w14:paraId="411407D4" w14:textId="649ACEF9" w:rsidR="00285FBB" w:rsidRDefault="0011490E" w:rsidP="0011490E">
      <w:pPr>
        <w:rPr>
          <w:rFonts w:ascii="Arial" w:hAnsi="Arial" w:cs="Arial"/>
          <w:i/>
          <w:iCs/>
          <w:sz w:val="16"/>
          <w:szCs w:val="16"/>
        </w:rPr>
      </w:pPr>
      <w:r w:rsidRPr="003516DC">
        <w:rPr>
          <w:rFonts w:ascii="Arial" w:hAnsi="Arial" w:cs="Arial"/>
          <w:i/>
          <w:iCs/>
          <w:sz w:val="16"/>
          <w:szCs w:val="16"/>
        </w:rPr>
        <w:t>Source: Figure processed based on NIS data, 2020</w:t>
      </w:r>
    </w:p>
    <w:p w14:paraId="2203161A" w14:textId="77777777" w:rsidR="0011490E" w:rsidRPr="0011490E" w:rsidRDefault="0011490E" w:rsidP="0011490E">
      <w:pPr>
        <w:rPr>
          <w:rFonts w:ascii="Arial" w:hAnsi="Arial" w:cs="Arial"/>
          <w:i/>
          <w:iCs/>
          <w:sz w:val="16"/>
          <w:szCs w:val="16"/>
        </w:rPr>
      </w:pPr>
    </w:p>
    <w:p w14:paraId="3CDB8B4A" w14:textId="415787AF" w:rsidR="0098265D" w:rsidRPr="003516DC" w:rsidRDefault="0098265D" w:rsidP="00E42342">
      <w:pPr>
        <w:pStyle w:val="Heading3"/>
        <w:numPr>
          <w:ilvl w:val="0"/>
          <w:numId w:val="150"/>
        </w:numPr>
        <w:spacing w:before="120" w:after="120" w:line="240" w:lineRule="auto"/>
        <w:rPr>
          <w:b w:val="0"/>
        </w:rPr>
      </w:pPr>
      <w:r w:rsidRPr="003516DC">
        <w:rPr>
          <w:b w:val="0"/>
        </w:rPr>
        <w:t>Challenges</w:t>
      </w:r>
      <w:r w:rsidR="00F0070A" w:rsidRPr="003516DC">
        <w:rPr>
          <w:b w:val="0"/>
        </w:rPr>
        <w:t xml:space="preserve"> in Galați </w:t>
      </w:r>
      <w:r w:rsidR="00C721D3">
        <w:rPr>
          <w:b w:val="0"/>
        </w:rPr>
        <w:t>C</w:t>
      </w:r>
      <w:r w:rsidR="00F0070A" w:rsidRPr="003516DC">
        <w:rPr>
          <w:b w:val="0"/>
        </w:rPr>
        <w:t>ounty</w:t>
      </w:r>
    </w:p>
    <w:p w14:paraId="1313253A" w14:textId="657719D0" w:rsidR="0098265D" w:rsidRPr="003516DC" w:rsidRDefault="0098265D" w:rsidP="0098265D">
      <w:pPr>
        <w:jc w:val="both"/>
        <w:rPr>
          <w:rFonts w:ascii="Arial" w:hAnsi="Arial" w:cs="Arial"/>
          <w:sz w:val="20"/>
          <w:szCs w:val="20"/>
        </w:rPr>
      </w:pPr>
      <w:r w:rsidRPr="003516DC">
        <w:rPr>
          <w:rFonts w:ascii="Arial" w:hAnsi="Arial" w:cs="Arial"/>
          <w:sz w:val="20"/>
          <w:szCs w:val="20"/>
        </w:rPr>
        <w:t>Th</w:t>
      </w:r>
      <w:r w:rsidR="007F41D7" w:rsidRPr="003516DC">
        <w:rPr>
          <w:rFonts w:ascii="Arial" w:hAnsi="Arial" w:cs="Arial"/>
          <w:sz w:val="20"/>
          <w:szCs w:val="20"/>
        </w:rPr>
        <w:t>is</w:t>
      </w:r>
      <w:r w:rsidRPr="003516DC">
        <w:rPr>
          <w:rFonts w:ascii="Arial" w:hAnsi="Arial" w:cs="Arial"/>
          <w:sz w:val="20"/>
          <w:szCs w:val="20"/>
        </w:rPr>
        <w:t xml:space="preserve"> </w:t>
      </w:r>
      <w:r w:rsidR="007F41D7" w:rsidRPr="003516DC">
        <w:rPr>
          <w:rFonts w:ascii="Arial" w:hAnsi="Arial" w:cs="Arial"/>
          <w:sz w:val="20"/>
          <w:szCs w:val="20"/>
        </w:rPr>
        <w:t>analysis</w:t>
      </w:r>
      <w:r w:rsidRPr="003516DC">
        <w:rPr>
          <w:rFonts w:ascii="Arial" w:hAnsi="Arial" w:cs="Arial"/>
          <w:sz w:val="20"/>
          <w:szCs w:val="20"/>
        </w:rPr>
        <w:t>, along with stakeholder consultations, re</w:t>
      </w:r>
      <w:r w:rsidR="00557B41" w:rsidRPr="003516DC">
        <w:rPr>
          <w:rFonts w:ascii="Arial" w:hAnsi="Arial" w:cs="Arial"/>
          <w:sz w:val="20"/>
          <w:szCs w:val="20"/>
        </w:rPr>
        <w:t>vealed</w:t>
      </w:r>
      <w:r w:rsidRPr="003516DC">
        <w:rPr>
          <w:rFonts w:ascii="Arial" w:hAnsi="Arial" w:cs="Arial"/>
          <w:sz w:val="20"/>
          <w:szCs w:val="20"/>
        </w:rPr>
        <w:t xml:space="preserve"> the most prominent challenges faced by </w:t>
      </w:r>
      <w:r w:rsidR="003751DC">
        <w:rPr>
          <w:rFonts w:ascii="Arial" w:hAnsi="Arial" w:cs="Arial"/>
          <w:sz w:val="20"/>
          <w:szCs w:val="20"/>
        </w:rPr>
        <w:t>Galați</w:t>
      </w:r>
      <w:r w:rsidRPr="003516DC">
        <w:rPr>
          <w:rFonts w:ascii="Arial" w:hAnsi="Arial" w:cs="Arial"/>
          <w:sz w:val="20"/>
          <w:szCs w:val="20"/>
        </w:rPr>
        <w:t xml:space="preserve"> </w:t>
      </w:r>
      <w:r w:rsidR="00350AA9" w:rsidRPr="003516DC">
        <w:rPr>
          <w:rFonts w:ascii="Arial" w:hAnsi="Arial" w:cs="Arial"/>
          <w:sz w:val="20"/>
          <w:szCs w:val="20"/>
        </w:rPr>
        <w:t>c</w:t>
      </w:r>
      <w:r w:rsidRPr="003516DC">
        <w:rPr>
          <w:rFonts w:ascii="Arial" w:hAnsi="Arial" w:cs="Arial"/>
          <w:sz w:val="20"/>
          <w:szCs w:val="20"/>
        </w:rPr>
        <w:t>ounty</w:t>
      </w:r>
      <w:r w:rsidR="009C2B88" w:rsidRPr="003516DC">
        <w:rPr>
          <w:rFonts w:ascii="Arial" w:hAnsi="Arial" w:cs="Arial"/>
          <w:sz w:val="20"/>
          <w:szCs w:val="20"/>
        </w:rPr>
        <w:t>, which are</w:t>
      </w:r>
      <w:r w:rsidRPr="003516DC">
        <w:rPr>
          <w:rFonts w:ascii="Arial" w:hAnsi="Arial" w:cs="Arial"/>
          <w:sz w:val="20"/>
          <w:szCs w:val="20"/>
        </w:rPr>
        <w:t xml:space="preserve"> listed below: </w:t>
      </w:r>
    </w:p>
    <w:p w14:paraId="6087EE0C" w14:textId="77777777" w:rsidR="0098265D" w:rsidRPr="003516DC" w:rsidRDefault="0098265D" w:rsidP="0098265D">
      <w:pPr>
        <w:jc w:val="both"/>
        <w:rPr>
          <w:rFonts w:ascii="Arial" w:hAnsi="Arial" w:cs="Arial"/>
          <w:sz w:val="12"/>
          <w:szCs w:val="12"/>
        </w:rPr>
      </w:pPr>
    </w:p>
    <w:p w14:paraId="59C4233E" w14:textId="57CB75B6" w:rsidR="0098265D" w:rsidRPr="003516DC" w:rsidRDefault="0098265D" w:rsidP="007F792A">
      <w:pPr>
        <w:pStyle w:val="ListParagraph"/>
        <w:numPr>
          <w:ilvl w:val="0"/>
          <w:numId w:val="11"/>
        </w:numPr>
        <w:spacing w:line="240" w:lineRule="auto"/>
        <w:jc w:val="both"/>
        <w:rPr>
          <w:sz w:val="20"/>
          <w:szCs w:val="20"/>
        </w:rPr>
      </w:pPr>
      <w:r w:rsidRPr="003516DC">
        <w:rPr>
          <w:sz w:val="20"/>
          <w:szCs w:val="20"/>
        </w:rPr>
        <w:t xml:space="preserve">Low diversification of the local economy: despite the dramatic restructuring of the steel industry, </w:t>
      </w:r>
      <w:r w:rsidR="00860EE1" w:rsidRPr="003516DC">
        <w:rPr>
          <w:sz w:val="20"/>
          <w:szCs w:val="20"/>
        </w:rPr>
        <w:t>steel</w:t>
      </w:r>
      <w:r w:rsidRPr="003516DC">
        <w:rPr>
          <w:sz w:val="20"/>
          <w:szCs w:val="20"/>
        </w:rPr>
        <w:t xml:space="preserve"> still </w:t>
      </w:r>
      <w:r w:rsidR="00CA7B3C" w:rsidRPr="003516DC">
        <w:rPr>
          <w:sz w:val="20"/>
          <w:szCs w:val="20"/>
        </w:rPr>
        <w:t xml:space="preserve">has </w:t>
      </w:r>
      <w:r w:rsidRPr="003516DC">
        <w:rPr>
          <w:sz w:val="20"/>
          <w:szCs w:val="20"/>
        </w:rPr>
        <w:t>the highest share of manufacturing turnover (57%) and employment, which reflects the fact that other economic activities failed to develop at a scale large enough to counteract this decline</w:t>
      </w:r>
      <w:r w:rsidR="003C6A30" w:rsidRPr="003516DC">
        <w:rPr>
          <w:sz w:val="20"/>
          <w:szCs w:val="20"/>
        </w:rPr>
        <w:t>.</w:t>
      </w:r>
      <w:r w:rsidRPr="003516DC">
        <w:rPr>
          <w:sz w:val="20"/>
          <w:szCs w:val="20"/>
        </w:rPr>
        <w:t xml:space="preserve"> </w:t>
      </w:r>
    </w:p>
    <w:p w14:paraId="5488D60B" w14:textId="77777777" w:rsidR="0098265D" w:rsidRPr="003516DC" w:rsidRDefault="0098265D" w:rsidP="0098265D">
      <w:pPr>
        <w:jc w:val="both"/>
        <w:rPr>
          <w:rFonts w:ascii="Arial" w:hAnsi="Arial" w:cs="Arial"/>
          <w:sz w:val="8"/>
          <w:szCs w:val="8"/>
        </w:rPr>
      </w:pPr>
    </w:p>
    <w:p w14:paraId="208839A4" w14:textId="435C613E" w:rsidR="0098265D" w:rsidRPr="003516DC" w:rsidRDefault="0098265D" w:rsidP="007F792A">
      <w:pPr>
        <w:pStyle w:val="ListParagraph"/>
        <w:numPr>
          <w:ilvl w:val="0"/>
          <w:numId w:val="11"/>
        </w:numPr>
        <w:spacing w:line="240" w:lineRule="auto"/>
        <w:jc w:val="both"/>
        <w:rPr>
          <w:sz w:val="20"/>
          <w:szCs w:val="20"/>
        </w:rPr>
      </w:pPr>
      <w:r w:rsidRPr="003516DC">
        <w:rPr>
          <w:sz w:val="20"/>
          <w:szCs w:val="20"/>
        </w:rPr>
        <w:t xml:space="preserve">Demographic and workforce decline, both cause and effect to decreases in employment across most economic activities: </w:t>
      </w:r>
      <w:r w:rsidR="003751DC">
        <w:rPr>
          <w:sz w:val="20"/>
          <w:szCs w:val="20"/>
        </w:rPr>
        <w:t>Galați</w:t>
      </w:r>
      <w:r w:rsidRPr="003516DC">
        <w:rPr>
          <w:sz w:val="20"/>
          <w:szCs w:val="20"/>
        </w:rPr>
        <w:t xml:space="preserve"> is among the JTP counties most affected by demographic decline and </w:t>
      </w:r>
      <w:r w:rsidR="00190013" w:rsidRPr="003516DC">
        <w:rPr>
          <w:sz w:val="20"/>
          <w:szCs w:val="20"/>
        </w:rPr>
        <w:t xml:space="preserve">a </w:t>
      </w:r>
      <w:r w:rsidRPr="003516DC">
        <w:rPr>
          <w:sz w:val="20"/>
          <w:szCs w:val="20"/>
        </w:rPr>
        <w:t>shrinking workforce</w:t>
      </w:r>
      <w:r w:rsidR="004A2DBC" w:rsidRPr="003516DC">
        <w:rPr>
          <w:sz w:val="20"/>
          <w:szCs w:val="20"/>
        </w:rPr>
        <w:t>.</w:t>
      </w:r>
      <w:r w:rsidRPr="003516DC">
        <w:rPr>
          <w:sz w:val="20"/>
          <w:szCs w:val="20"/>
        </w:rPr>
        <w:t xml:space="preserve"> </w:t>
      </w:r>
      <w:r w:rsidR="00BA7CC9" w:rsidRPr="003516DC">
        <w:rPr>
          <w:sz w:val="20"/>
          <w:szCs w:val="20"/>
        </w:rPr>
        <w:t>Regarding the workforce</w:t>
      </w:r>
      <w:r w:rsidRPr="003516DC">
        <w:rPr>
          <w:sz w:val="20"/>
          <w:szCs w:val="20"/>
        </w:rPr>
        <w:t xml:space="preserve">, it </w:t>
      </w:r>
      <w:r w:rsidR="00BA7E0B" w:rsidRPr="003516DC">
        <w:rPr>
          <w:sz w:val="20"/>
          <w:szCs w:val="20"/>
        </w:rPr>
        <w:t xml:space="preserve">is </w:t>
      </w:r>
      <w:r w:rsidRPr="003516DC">
        <w:rPr>
          <w:sz w:val="20"/>
          <w:szCs w:val="20"/>
        </w:rPr>
        <w:t>exceeded</w:t>
      </w:r>
      <w:r w:rsidR="00B72D47" w:rsidRPr="003516DC">
        <w:rPr>
          <w:sz w:val="20"/>
          <w:szCs w:val="20"/>
        </w:rPr>
        <w:t xml:space="preserve"> only</w:t>
      </w:r>
      <w:r w:rsidRPr="003516DC">
        <w:rPr>
          <w:sz w:val="20"/>
          <w:szCs w:val="20"/>
        </w:rPr>
        <w:t xml:space="preserve"> by Hunedoara. </w:t>
      </w:r>
      <w:r w:rsidR="00685C56" w:rsidRPr="003516DC">
        <w:rPr>
          <w:sz w:val="20"/>
          <w:szCs w:val="20"/>
        </w:rPr>
        <w:t>As mentioned above, e</w:t>
      </w:r>
      <w:r w:rsidRPr="003516DC">
        <w:rPr>
          <w:sz w:val="20"/>
          <w:szCs w:val="20"/>
        </w:rPr>
        <w:t xml:space="preserve">mployment decreased across most sectors, with modest, lower than national level increases across a limited number of service sectors.  </w:t>
      </w:r>
    </w:p>
    <w:p w14:paraId="251813A9" w14:textId="77777777" w:rsidR="0098265D" w:rsidRPr="003516DC" w:rsidRDefault="0098265D" w:rsidP="0098265D">
      <w:pPr>
        <w:jc w:val="both"/>
        <w:rPr>
          <w:rFonts w:ascii="Arial" w:hAnsi="Arial" w:cs="Arial"/>
          <w:sz w:val="8"/>
          <w:szCs w:val="8"/>
        </w:rPr>
      </w:pPr>
    </w:p>
    <w:p w14:paraId="27B6EE06" w14:textId="5D281B73" w:rsidR="0098265D" w:rsidRPr="003516DC" w:rsidRDefault="0098265D" w:rsidP="007F792A">
      <w:pPr>
        <w:pStyle w:val="ListParagraph"/>
        <w:numPr>
          <w:ilvl w:val="0"/>
          <w:numId w:val="11"/>
        </w:numPr>
        <w:spacing w:line="240" w:lineRule="auto"/>
        <w:jc w:val="both"/>
        <w:rPr>
          <w:sz w:val="20"/>
          <w:szCs w:val="20"/>
        </w:rPr>
      </w:pPr>
      <w:r w:rsidRPr="003516DC">
        <w:rPr>
          <w:sz w:val="20"/>
          <w:szCs w:val="20"/>
        </w:rPr>
        <w:t xml:space="preserve">Peripheral position and low connectedness: </w:t>
      </w:r>
      <w:r w:rsidR="003751DC">
        <w:rPr>
          <w:sz w:val="20"/>
          <w:szCs w:val="20"/>
        </w:rPr>
        <w:t>Galați</w:t>
      </w:r>
      <w:r w:rsidRPr="003516DC">
        <w:rPr>
          <w:sz w:val="20"/>
          <w:szCs w:val="20"/>
        </w:rPr>
        <w:t xml:space="preserve"> is affected by a peripheral position both in Romania and the European Union, being situated at the Easternmost border of the EU, with Republic of Moldova. Currently there are no highway routes – existing or planned – to connect </w:t>
      </w:r>
      <w:r w:rsidR="003751DC">
        <w:rPr>
          <w:sz w:val="20"/>
          <w:szCs w:val="20"/>
        </w:rPr>
        <w:t>Galați</w:t>
      </w:r>
      <w:r w:rsidRPr="003516DC">
        <w:rPr>
          <w:sz w:val="20"/>
          <w:szCs w:val="20"/>
        </w:rPr>
        <w:t xml:space="preserve"> to the </w:t>
      </w:r>
      <w:r w:rsidR="00995180" w:rsidRPr="003516DC">
        <w:rPr>
          <w:sz w:val="20"/>
          <w:szCs w:val="20"/>
        </w:rPr>
        <w:t>c</w:t>
      </w:r>
      <w:r w:rsidRPr="003516DC">
        <w:rPr>
          <w:sz w:val="20"/>
          <w:szCs w:val="20"/>
        </w:rPr>
        <w:t xml:space="preserve">apital </w:t>
      </w:r>
      <w:r w:rsidR="00995180" w:rsidRPr="003516DC">
        <w:rPr>
          <w:sz w:val="20"/>
          <w:szCs w:val="20"/>
        </w:rPr>
        <w:t>c</w:t>
      </w:r>
      <w:r w:rsidRPr="003516DC">
        <w:rPr>
          <w:sz w:val="20"/>
          <w:szCs w:val="20"/>
        </w:rPr>
        <w:t xml:space="preserve">ity and major mobility corridors. </w:t>
      </w:r>
    </w:p>
    <w:p w14:paraId="2FD6156D" w14:textId="77777777" w:rsidR="0098265D" w:rsidRPr="003516DC" w:rsidRDefault="0098265D" w:rsidP="0098265D">
      <w:pPr>
        <w:jc w:val="both"/>
        <w:rPr>
          <w:rFonts w:ascii="Arial" w:hAnsi="Arial" w:cs="Arial"/>
          <w:sz w:val="8"/>
          <w:szCs w:val="8"/>
        </w:rPr>
      </w:pPr>
    </w:p>
    <w:p w14:paraId="6DBB589C" w14:textId="5129583E" w:rsidR="0098265D" w:rsidRPr="003516DC" w:rsidRDefault="0098265D" w:rsidP="00C721D3">
      <w:pPr>
        <w:pStyle w:val="ListParagraph"/>
        <w:numPr>
          <w:ilvl w:val="0"/>
          <w:numId w:val="11"/>
        </w:numPr>
        <w:spacing w:after="80" w:line="240" w:lineRule="auto"/>
        <w:ind w:left="714" w:hanging="357"/>
        <w:contextualSpacing w:val="0"/>
        <w:jc w:val="both"/>
        <w:rPr>
          <w:sz w:val="20"/>
          <w:szCs w:val="20"/>
        </w:rPr>
      </w:pPr>
      <w:r w:rsidRPr="003516DC">
        <w:rPr>
          <w:sz w:val="20"/>
          <w:szCs w:val="20"/>
        </w:rPr>
        <w:t xml:space="preserve">Low attractiveness for investors: potentially correlated with the above, </w:t>
      </w:r>
      <w:r w:rsidR="003751DC">
        <w:rPr>
          <w:sz w:val="20"/>
          <w:szCs w:val="20"/>
        </w:rPr>
        <w:t>Galați</w:t>
      </w:r>
      <w:r w:rsidRPr="003516DC">
        <w:rPr>
          <w:sz w:val="20"/>
          <w:szCs w:val="20"/>
        </w:rPr>
        <w:t xml:space="preserve"> has a less attractive investor profile, with business support infrastructure laying empty/underused.  </w:t>
      </w:r>
    </w:p>
    <w:p w14:paraId="267B566E" w14:textId="55FD0DEE" w:rsidR="0098265D" w:rsidRDefault="00BA4D0D" w:rsidP="00C721D3">
      <w:pPr>
        <w:pStyle w:val="ListParagraph"/>
        <w:numPr>
          <w:ilvl w:val="0"/>
          <w:numId w:val="11"/>
        </w:numPr>
        <w:spacing w:before="80" w:line="240" w:lineRule="auto"/>
        <w:ind w:left="714" w:hanging="357"/>
        <w:contextualSpacing w:val="0"/>
        <w:jc w:val="both"/>
        <w:rPr>
          <w:sz w:val="20"/>
          <w:szCs w:val="20"/>
        </w:rPr>
      </w:pPr>
      <w:r w:rsidRPr="003516DC">
        <w:rPr>
          <w:sz w:val="20"/>
          <w:szCs w:val="20"/>
        </w:rPr>
        <w:t>The existence of a very large number of marginali</w:t>
      </w:r>
      <w:r w:rsidR="00C721D3">
        <w:rPr>
          <w:sz w:val="20"/>
          <w:szCs w:val="20"/>
        </w:rPr>
        <w:t>s</w:t>
      </w:r>
      <w:r w:rsidRPr="003516DC">
        <w:rPr>
          <w:sz w:val="20"/>
          <w:szCs w:val="20"/>
        </w:rPr>
        <w:t xml:space="preserve">ed communities, with low access to social and employment services. Informal settlements and urban degraded neighbourhoods are located in the vicinity of disused industrial areas or in isolated areas with reduced access to social services on the outskirts of the city.  </w:t>
      </w:r>
    </w:p>
    <w:p w14:paraId="5DE784E2" w14:textId="77777777" w:rsidR="00C76AFA" w:rsidRPr="00C76AFA" w:rsidRDefault="00C76AFA" w:rsidP="00C76AFA">
      <w:pPr>
        <w:pStyle w:val="ListParagraph"/>
        <w:spacing w:line="240" w:lineRule="auto"/>
        <w:jc w:val="both"/>
        <w:rPr>
          <w:sz w:val="20"/>
          <w:szCs w:val="20"/>
        </w:rPr>
      </w:pPr>
    </w:p>
    <w:p w14:paraId="0C1F6723" w14:textId="248F9A94" w:rsidR="0098265D" w:rsidRPr="003516DC" w:rsidRDefault="0098265D" w:rsidP="00E42342">
      <w:pPr>
        <w:pStyle w:val="Heading3"/>
        <w:numPr>
          <w:ilvl w:val="0"/>
          <w:numId w:val="151"/>
        </w:numPr>
        <w:spacing w:before="120" w:after="120" w:line="240" w:lineRule="auto"/>
        <w:rPr>
          <w:b w:val="0"/>
        </w:rPr>
      </w:pPr>
      <w:r w:rsidRPr="003516DC">
        <w:rPr>
          <w:b w:val="0"/>
        </w:rPr>
        <w:t>Opportunities</w:t>
      </w:r>
      <w:r w:rsidR="00F0070A" w:rsidRPr="003516DC">
        <w:rPr>
          <w:b w:val="0"/>
        </w:rPr>
        <w:t xml:space="preserve"> in </w:t>
      </w:r>
      <w:r w:rsidR="003751DC">
        <w:rPr>
          <w:b w:val="0"/>
        </w:rPr>
        <w:t>Galați</w:t>
      </w:r>
      <w:r w:rsidR="00F0070A" w:rsidRPr="003516DC">
        <w:rPr>
          <w:b w:val="0"/>
        </w:rPr>
        <w:t xml:space="preserve"> </w:t>
      </w:r>
      <w:r w:rsidR="00C721D3">
        <w:rPr>
          <w:b w:val="0"/>
        </w:rPr>
        <w:t>C</w:t>
      </w:r>
      <w:r w:rsidR="00F0070A" w:rsidRPr="003516DC">
        <w:rPr>
          <w:b w:val="0"/>
        </w:rPr>
        <w:t>ounty</w:t>
      </w:r>
    </w:p>
    <w:p w14:paraId="445B3786" w14:textId="455A2F05" w:rsidR="0098265D" w:rsidRPr="003516DC" w:rsidRDefault="0098265D" w:rsidP="0098265D">
      <w:pPr>
        <w:jc w:val="both"/>
        <w:rPr>
          <w:rFonts w:ascii="Arial" w:hAnsi="Arial" w:cs="Arial"/>
          <w:sz w:val="20"/>
          <w:szCs w:val="20"/>
        </w:rPr>
      </w:pPr>
      <w:r w:rsidRPr="003516DC">
        <w:rPr>
          <w:rFonts w:ascii="Arial" w:hAnsi="Arial" w:cs="Arial"/>
          <w:sz w:val="20"/>
          <w:szCs w:val="20"/>
        </w:rPr>
        <w:t>Despite the</w:t>
      </w:r>
      <w:r w:rsidR="00F91DED" w:rsidRPr="003516DC">
        <w:rPr>
          <w:rFonts w:ascii="Arial" w:hAnsi="Arial" w:cs="Arial"/>
          <w:sz w:val="20"/>
          <w:szCs w:val="20"/>
        </w:rPr>
        <w:t>se</w:t>
      </w:r>
      <w:r w:rsidRPr="003516DC">
        <w:rPr>
          <w:rFonts w:ascii="Arial" w:hAnsi="Arial" w:cs="Arial"/>
          <w:sz w:val="20"/>
          <w:szCs w:val="20"/>
        </w:rPr>
        <w:t xml:space="preserve"> challenges, </w:t>
      </w:r>
      <w:r w:rsidR="003751DC">
        <w:rPr>
          <w:rFonts w:ascii="Arial" w:hAnsi="Arial" w:cs="Arial"/>
          <w:sz w:val="20"/>
          <w:szCs w:val="20"/>
        </w:rPr>
        <w:t>Galați</w:t>
      </w:r>
      <w:r w:rsidRPr="003516DC">
        <w:rPr>
          <w:rFonts w:ascii="Arial" w:hAnsi="Arial" w:cs="Arial"/>
          <w:sz w:val="20"/>
          <w:szCs w:val="20"/>
        </w:rPr>
        <w:t xml:space="preserve"> is not void of opportunities. The following </w:t>
      </w:r>
      <w:r w:rsidR="00F91DED" w:rsidRPr="003516DC">
        <w:rPr>
          <w:rFonts w:ascii="Arial" w:hAnsi="Arial" w:cs="Arial"/>
          <w:sz w:val="20"/>
          <w:szCs w:val="20"/>
        </w:rPr>
        <w:t xml:space="preserve">opportunities </w:t>
      </w:r>
      <w:r w:rsidRPr="003516DC">
        <w:rPr>
          <w:rFonts w:ascii="Arial" w:hAnsi="Arial" w:cs="Arial"/>
          <w:sz w:val="20"/>
          <w:szCs w:val="20"/>
        </w:rPr>
        <w:t>are the most prominent</w:t>
      </w:r>
      <w:r w:rsidR="003C2334" w:rsidRPr="003516DC">
        <w:rPr>
          <w:rFonts w:ascii="Arial" w:hAnsi="Arial" w:cs="Arial"/>
          <w:sz w:val="20"/>
          <w:szCs w:val="20"/>
        </w:rPr>
        <w:t>ly</w:t>
      </w:r>
      <w:r w:rsidRPr="003516DC">
        <w:rPr>
          <w:rFonts w:ascii="Arial" w:hAnsi="Arial" w:cs="Arial"/>
          <w:sz w:val="20"/>
          <w:szCs w:val="20"/>
        </w:rPr>
        <w:t xml:space="preserve"> identified, with relevance for the energy transition process: </w:t>
      </w:r>
    </w:p>
    <w:p w14:paraId="7A6DF0A2" w14:textId="77777777" w:rsidR="0098265D" w:rsidRPr="003516DC" w:rsidRDefault="0098265D" w:rsidP="0098265D">
      <w:pPr>
        <w:jc w:val="both"/>
        <w:rPr>
          <w:rFonts w:ascii="Arial" w:hAnsi="Arial" w:cs="Arial"/>
          <w:sz w:val="12"/>
          <w:szCs w:val="12"/>
        </w:rPr>
      </w:pPr>
    </w:p>
    <w:p w14:paraId="66B578B3" w14:textId="4FAAD2CF" w:rsidR="0098265D" w:rsidRPr="003516DC" w:rsidRDefault="0098265D" w:rsidP="007F792A">
      <w:pPr>
        <w:pStyle w:val="ListParagraph"/>
        <w:numPr>
          <w:ilvl w:val="0"/>
          <w:numId w:val="12"/>
        </w:numPr>
        <w:spacing w:line="240" w:lineRule="auto"/>
        <w:jc w:val="both"/>
        <w:rPr>
          <w:sz w:val="20"/>
          <w:szCs w:val="20"/>
        </w:rPr>
      </w:pPr>
      <w:r w:rsidRPr="003516DC">
        <w:rPr>
          <w:sz w:val="20"/>
          <w:szCs w:val="20"/>
        </w:rPr>
        <w:lastRenderedPageBreak/>
        <w:t xml:space="preserve">The position on the Danube corridor, coupled with a growing interest in waterway transport, is a valuable opportunity of </w:t>
      </w:r>
      <w:r w:rsidR="003751DC">
        <w:rPr>
          <w:sz w:val="20"/>
          <w:szCs w:val="20"/>
        </w:rPr>
        <w:t>Galați</w:t>
      </w:r>
      <w:r w:rsidRPr="003516DC">
        <w:rPr>
          <w:sz w:val="20"/>
          <w:szCs w:val="20"/>
        </w:rPr>
        <w:t xml:space="preserve"> to counteract its connectedness drawbacks; The shipbuilding industry capitalized on this distinctive feature of </w:t>
      </w:r>
      <w:r w:rsidR="003751DC">
        <w:rPr>
          <w:sz w:val="20"/>
          <w:szCs w:val="20"/>
        </w:rPr>
        <w:t>Galați</w:t>
      </w:r>
      <w:r w:rsidRPr="003516DC">
        <w:rPr>
          <w:sz w:val="20"/>
          <w:szCs w:val="20"/>
        </w:rPr>
        <w:t xml:space="preserve"> and is one of the few economic activities that, in time, increased as turnover, employment and number of companies involved.  </w:t>
      </w:r>
    </w:p>
    <w:p w14:paraId="5AE462FC" w14:textId="77777777" w:rsidR="0098265D" w:rsidRPr="003516DC" w:rsidRDefault="0098265D" w:rsidP="0098265D">
      <w:pPr>
        <w:ind w:left="360"/>
        <w:jc w:val="both"/>
        <w:rPr>
          <w:rFonts w:ascii="Arial" w:hAnsi="Arial" w:cs="Arial"/>
          <w:sz w:val="8"/>
          <w:szCs w:val="8"/>
        </w:rPr>
      </w:pPr>
    </w:p>
    <w:p w14:paraId="06B65656" w14:textId="5421C33D" w:rsidR="0098265D" w:rsidRPr="003516DC" w:rsidRDefault="003751DC" w:rsidP="007F792A">
      <w:pPr>
        <w:pStyle w:val="ListParagraph"/>
        <w:numPr>
          <w:ilvl w:val="0"/>
          <w:numId w:val="12"/>
        </w:numPr>
        <w:spacing w:line="240" w:lineRule="auto"/>
        <w:jc w:val="both"/>
        <w:rPr>
          <w:sz w:val="20"/>
          <w:szCs w:val="20"/>
        </w:rPr>
      </w:pPr>
      <w:r>
        <w:rPr>
          <w:sz w:val="20"/>
          <w:szCs w:val="20"/>
        </w:rPr>
        <w:t>Galați</w:t>
      </w:r>
      <w:r w:rsidR="00350AA9" w:rsidRPr="003516DC">
        <w:rPr>
          <w:sz w:val="20"/>
          <w:szCs w:val="20"/>
        </w:rPr>
        <w:t xml:space="preserve"> c</w:t>
      </w:r>
      <w:r w:rsidR="0098265D" w:rsidRPr="003516DC">
        <w:rPr>
          <w:sz w:val="20"/>
          <w:szCs w:val="20"/>
        </w:rPr>
        <w:t xml:space="preserve">ounty has a very good renewable energy potential, in particular solar and wind, given its position and environmental features.   </w:t>
      </w:r>
    </w:p>
    <w:p w14:paraId="1C1ACD3A" w14:textId="77777777" w:rsidR="0098265D" w:rsidRPr="003516DC" w:rsidRDefault="0098265D" w:rsidP="0098265D">
      <w:pPr>
        <w:ind w:left="360"/>
        <w:jc w:val="both"/>
        <w:rPr>
          <w:rFonts w:ascii="Arial" w:hAnsi="Arial" w:cs="Arial"/>
          <w:sz w:val="8"/>
          <w:szCs w:val="8"/>
        </w:rPr>
      </w:pPr>
    </w:p>
    <w:p w14:paraId="4B3FF573" w14:textId="13106032" w:rsidR="0098265D" w:rsidRPr="003516DC" w:rsidRDefault="0098265D" w:rsidP="007F792A">
      <w:pPr>
        <w:pStyle w:val="ListParagraph"/>
        <w:numPr>
          <w:ilvl w:val="0"/>
          <w:numId w:val="12"/>
        </w:numPr>
        <w:spacing w:line="240" w:lineRule="auto"/>
        <w:jc w:val="both"/>
        <w:rPr>
          <w:sz w:val="20"/>
          <w:szCs w:val="20"/>
        </w:rPr>
      </w:pPr>
      <w:r w:rsidRPr="003516DC">
        <w:rPr>
          <w:sz w:val="20"/>
          <w:szCs w:val="20"/>
        </w:rPr>
        <w:t xml:space="preserve">The local steelworks has a concrete, ambitious plan to turn to RES and significantly reduce its carbon footprint, as part of its global commitments to cut </w:t>
      </w:r>
      <w:r w:rsidR="00CD5FFC" w:rsidRPr="00C510BD">
        <w:rPr>
          <w:sz w:val="20"/>
          <w:szCs w:val="20"/>
        </w:rPr>
        <w:t>CO</w:t>
      </w:r>
      <w:r w:rsidR="00CD5FFC" w:rsidRPr="001C148D">
        <w:rPr>
          <w:sz w:val="20"/>
          <w:szCs w:val="20"/>
          <w:vertAlign w:val="subscript"/>
        </w:rPr>
        <w:t>2</w:t>
      </w:r>
      <w:r w:rsidR="00CD5FFC">
        <w:rPr>
          <w:sz w:val="20"/>
          <w:szCs w:val="20"/>
          <w:vertAlign w:val="subscript"/>
        </w:rPr>
        <w:t xml:space="preserve"> </w:t>
      </w:r>
      <w:r w:rsidRPr="003516DC">
        <w:rPr>
          <w:sz w:val="20"/>
          <w:szCs w:val="20"/>
        </w:rPr>
        <w:t xml:space="preserve">emissions; more concretely, Liberty Galați is committed to carbon neutrality as early as 2025; </w:t>
      </w:r>
    </w:p>
    <w:p w14:paraId="6FB80C46" w14:textId="77777777" w:rsidR="0098265D" w:rsidRPr="003516DC" w:rsidRDefault="0098265D" w:rsidP="0098265D">
      <w:pPr>
        <w:jc w:val="both"/>
        <w:rPr>
          <w:rFonts w:ascii="Arial" w:hAnsi="Arial" w:cs="Arial"/>
          <w:sz w:val="8"/>
          <w:szCs w:val="8"/>
        </w:rPr>
      </w:pPr>
    </w:p>
    <w:p w14:paraId="3E9F9B8E" w14:textId="1DD072AA" w:rsidR="0098265D" w:rsidRPr="00C76AFA" w:rsidRDefault="0098265D" w:rsidP="0098265D">
      <w:pPr>
        <w:pStyle w:val="ListParagraph"/>
        <w:numPr>
          <w:ilvl w:val="0"/>
          <w:numId w:val="12"/>
        </w:numPr>
        <w:spacing w:line="240" w:lineRule="auto"/>
        <w:jc w:val="both"/>
        <w:rPr>
          <w:sz w:val="20"/>
          <w:szCs w:val="20"/>
        </w:rPr>
      </w:pPr>
      <w:r w:rsidRPr="003516DC">
        <w:rPr>
          <w:sz w:val="20"/>
          <w:szCs w:val="20"/>
        </w:rPr>
        <w:t>There is a growing interest and activity in the IT&amp;C sector, driven by local universities with speciali</w:t>
      </w:r>
      <w:r w:rsidR="004E7B64">
        <w:rPr>
          <w:sz w:val="20"/>
          <w:szCs w:val="20"/>
        </w:rPr>
        <w:t>sation</w:t>
      </w:r>
      <w:r w:rsidRPr="003516DC">
        <w:rPr>
          <w:sz w:val="20"/>
          <w:szCs w:val="20"/>
        </w:rPr>
        <w:t xml:space="preserve"> in the field and a number of companies that develop both BPO services as well as own products. While still modest, in absolute numbers, this sector has also registered a consistent growth across the past decade, on all layers: turnover, employment and number of companies. </w:t>
      </w:r>
    </w:p>
    <w:p w14:paraId="6EBC5D38" w14:textId="3798B028" w:rsidR="00C76AFA" w:rsidRDefault="00C76AFA" w:rsidP="00E42342">
      <w:pPr>
        <w:pStyle w:val="Heading3"/>
        <w:numPr>
          <w:ilvl w:val="0"/>
          <w:numId w:val="152"/>
        </w:numPr>
        <w:rPr>
          <w:b w:val="0"/>
          <w:bCs/>
        </w:rPr>
      </w:pPr>
      <w:bookmarkStart w:id="347" w:name="_pvn7iv2tgy2i" w:colFirst="0" w:colLast="0"/>
      <w:bookmarkStart w:id="348" w:name="_krj3ginsny2c" w:colFirst="0" w:colLast="0"/>
      <w:bookmarkStart w:id="349" w:name="_Toc68871786"/>
      <w:bookmarkEnd w:id="347"/>
      <w:bookmarkEnd w:id="348"/>
      <w:r>
        <w:rPr>
          <w:b w:val="0"/>
          <w:bCs/>
        </w:rPr>
        <w:t xml:space="preserve">Transition pathway in Galați </w:t>
      </w:r>
      <w:r w:rsidR="00C721D3">
        <w:rPr>
          <w:b w:val="0"/>
          <w:bCs/>
        </w:rPr>
        <w:t>C</w:t>
      </w:r>
      <w:r>
        <w:rPr>
          <w:b w:val="0"/>
          <w:bCs/>
        </w:rPr>
        <w:t>ounty</w:t>
      </w:r>
    </w:p>
    <w:p w14:paraId="15D1C1F0" w14:textId="28DC14EB" w:rsidR="00AF62F1" w:rsidRPr="00AF62F1" w:rsidRDefault="00AF62F1" w:rsidP="00402580">
      <w:pPr>
        <w:jc w:val="both"/>
      </w:pPr>
      <w:r w:rsidRPr="00C721D3">
        <w:rPr>
          <w:rFonts w:ascii="Arial" w:hAnsi="Arial" w:cs="Arial"/>
          <w:sz w:val="20"/>
          <w:szCs w:val="20"/>
          <w:lang w:val="en-US"/>
        </w:rPr>
        <w:t xml:space="preserve">With Liberty </w:t>
      </w:r>
      <w:r w:rsidR="003751DC">
        <w:rPr>
          <w:rFonts w:ascii="Arial" w:hAnsi="Arial" w:cs="Arial"/>
          <w:sz w:val="20"/>
          <w:szCs w:val="20"/>
          <w:lang w:val="en-US"/>
        </w:rPr>
        <w:t>Galați</w:t>
      </w:r>
      <w:r w:rsidRPr="00C721D3">
        <w:rPr>
          <w:rFonts w:ascii="Arial" w:hAnsi="Arial" w:cs="Arial"/>
          <w:sz w:val="20"/>
          <w:szCs w:val="20"/>
          <w:lang w:val="en-US"/>
        </w:rPr>
        <w:t>, the largest emitter in the region</w:t>
      </w:r>
      <w:r w:rsidR="00C721D3">
        <w:rPr>
          <w:rFonts w:ascii="Arial" w:hAnsi="Arial" w:cs="Arial"/>
          <w:sz w:val="20"/>
          <w:szCs w:val="20"/>
          <w:lang w:val="en-US"/>
        </w:rPr>
        <w:t>,</w:t>
      </w:r>
      <w:r w:rsidRPr="00C721D3">
        <w:rPr>
          <w:rFonts w:ascii="Arial" w:hAnsi="Arial" w:cs="Arial"/>
          <w:sz w:val="20"/>
          <w:szCs w:val="20"/>
          <w:lang w:val="en-US"/>
        </w:rPr>
        <w:t xml:space="preserve"> firmly committed to technically accessible climate neutrality by 2030, the whole county of </w:t>
      </w:r>
      <w:r w:rsidR="003751DC">
        <w:rPr>
          <w:rFonts w:ascii="Arial" w:hAnsi="Arial" w:cs="Arial"/>
          <w:sz w:val="20"/>
          <w:szCs w:val="20"/>
          <w:lang w:val="en-US"/>
        </w:rPr>
        <w:t>Galați</w:t>
      </w:r>
      <w:r w:rsidRPr="00C721D3">
        <w:rPr>
          <w:rFonts w:ascii="Arial" w:hAnsi="Arial" w:cs="Arial"/>
          <w:sz w:val="20"/>
          <w:szCs w:val="20"/>
          <w:lang w:val="en-US"/>
        </w:rPr>
        <w:t xml:space="preserve"> is well positioned to reduce its emissions massively by 2030. This may place </w:t>
      </w:r>
      <w:r w:rsidR="003751DC">
        <w:rPr>
          <w:rFonts w:ascii="Arial" w:hAnsi="Arial" w:cs="Arial"/>
          <w:sz w:val="20"/>
          <w:szCs w:val="20"/>
          <w:lang w:val="en-US"/>
        </w:rPr>
        <w:t>Galați</w:t>
      </w:r>
      <w:r w:rsidRPr="00C721D3">
        <w:rPr>
          <w:rFonts w:ascii="Arial" w:hAnsi="Arial" w:cs="Arial"/>
          <w:sz w:val="20"/>
          <w:szCs w:val="20"/>
          <w:lang w:val="en-US"/>
        </w:rPr>
        <w:t xml:space="preserve"> as a pioneer at </w:t>
      </w:r>
      <w:r w:rsidR="00C721D3">
        <w:rPr>
          <w:rFonts w:ascii="Arial" w:hAnsi="Arial" w:cs="Arial"/>
          <w:sz w:val="20"/>
          <w:szCs w:val="20"/>
          <w:lang w:val="en-US"/>
        </w:rPr>
        <w:t xml:space="preserve">the </w:t>
      </w:r>
      <w:r w:rsidRPr="00C721D3">
        <w:rPr>
          <w:rFonts w:ascii="Arial" w:hAnsi="Arial" w:cs="Arial"/>
          <w:sz w:val="20"/>
          <w:szCs w:val="20"/>
          <w:lang w:val="en-US"/>
        </w:rPr>
        <w:t xml:space="preserve">European level in terms of green steel manufacturing. Not only </w:t>
      </w:r>
      <w:r w:rsidR="00C721D3">
        <w:rPr>
          <w:rFonts w:ascii="Arial" w:hAnsi="Arial" w:cs="Arial"/>
          <w:sz w:val="20"/>
          <w:szCs w:val="20"/>
          <w:lang w:val="en-US"/>
        </w:rPr>
        <w:t xml:space="preserve">are the </w:t>
      </w:r>
      <w:r w:rsidRPr="00C721D3">
        <w:rPr>
          <w:rFonts w:ascii="Arial" w:hAnsi="Arial" w:cs="Arial"/>
          <w:sz w:val="20"/>
          <w:szCs w:val="20"/>
          <w:lang w:val="en-US"/>
        </w:rPr>
        <w:t xml:space="preserve">investments for achieving this high, but there will also be other delicate matters resulting from the region embarking on a transition pathway, namely increased energy poverty vulnerabilities </w:t>
      </w:r>
      <w:r w:rsidR="00C721D3">
        <w:rPr>
          <w:rFonts w:ascii="Arial" w:hAnsi="Arial" w:cs="Arial"/>
          <w:sz w:val="20"/>
          <w:szCs w:val="20"/>
          <w:lang w:val="en-US"/>
        </w:rPr>
        <w:t xml:space="preserve">which are </w:t>
      </w:r>
      <w:r w:rsidRPr="00C721D3">
        <w:rPr>
          <w:rFonts w:ascii="Arial" w:hAnsi="Arial" w:cs="Arial"/>
          <w:sz w:val="20"/>
          <w:szCs w:val="20"/>
          <w:lang w:val="en-US"/>
        </w:rPr>
        <w:t xml:space="preserve">absent </w:t>
      </w:r>
      <w:r w:rsidR="00C721D3">
        <w:rPr>
          <w:rFonts w:ascii="Arial" w:hAnsi="Arial" w:cs="Arial"/>
          <w:sz w:val="20"/>
          <w:szCs w:val="20"/>
          <w:lang w:val="en-US"/>
        </w:rPr>
        <w:t>from</w:t>
      </w:r>
      <w:r w:rsidRPr="00C721D3">
        <w:rPr>
          <w:rFonts w:ascii="Arial" w:hAnsi="Arial" w:cs="Arial"/>
          <w:sz w:val="20"/>
          <w:szCs w:val="20"/>
          <w:lang w:val="en-US"/>
        </w:rPr>
        <w:t xml:space="preserve"> proactive reforms and investments in energy efficiency and adequate low-carbon district heating solutions. </w:t>
      </w:r>
    </w:p>
    <w:p w14:paraId="4EE8B1AB" w14:textId="40B00364" w:rsidR="001E2A6E" w:rsidRPr="003516DC" w:rsidRDefault="005538B9" w:rsidP="00E42342">
      <w:pPr>
        <w:pStyle w:val="Heading2"/>
        <w:numPr>
          <w:ilvl w:val="0"/>
          <w:numId w:val="178"/>
        </w:numPr>
        <w:spacing w:before="240" w:line="240" w:lineRule="auto"/>
      </w:pPr>
      <w:bookmarkStart w:id="350" w:name="_Toc90725904"/>
      <w:r w:rsidRPr="003516DC">
        <w:t>SWOT analysis and strategic outlook</w:t>
      </w:r>
      <w:bookmarkEnd w:id="349"/>
      <w:bookmarkEnd w:id="350"/>
    </w:p>
    <w:p w14:paraId="7C1EF85C" w14:textId="77777777" w:rsidR="00F0070A" w:rsidRPr="003516DC" w:rsidRDefault="00F0070A" w:rsidP="00F0070A">
      <w:pPr>
        <w:rPr>
          <w:rFonts w:ascii="Arial" w:hAnsi="Arial" w:cs="Arial"/>
          <w:sz w:val="20"/>
          <w:szCs w:val="20"/>
        </w:rPr>
      </w:pPr>
      <w:r w:rsidRPr="003516DC">
        <w:rPr>
          <w:rFonts w:ascii="Arial" w:hAnsi="Arial" w:cs="Arial"/>
          <w:sz w:val="20"/>
          <w:szCs w:val="20"/>
        </w:rPr>
        <w:t>The analysis conducted over the chapters of the present report, as well as part of the previous deliverables under this assignment is summarized in the SWOT below.</w:t>
      </w:r>
    </w:p>
    <w:p w14:paraId="7F1EFE63" w14:textId="17686CF3" w:rsidR="006F072D" w:rsidRPr="003516DC" w:rsidRDefault="006F072D" w:rsidP="006F072D">
      <w:pPr>
        <w:pStyle w:val="Caption"/>
      </w:pPr>
      <w:bookmarkStart w:id="351" w:name="_Toc90726031"/>
      <w:bookmarkStart w:id="352" w:name="_Toc90727328"/>
      <w:r w:rsidRPr="003516DC">
        <w:t xml:space="preserve">Table </w:t>
      </w:r>
      <w:r w:rsidR="0040363E" w:rsidRPr="003516DC">
        <w:rPr>
          <w:noProof/>
        </w:rPr>
        <w:fldChar w:fldCharType="begin"/>
      </w:r>
      <w:r w:rsidR="0040363E" w:rsidRPr="003516DC">
        <w:rPr>
          <w:noProof/>
        </w:rPr>
        <w:instrText xml:space="preserve"> SEQ Table \* ARABIC </w:instrText>
      </w:r>
      <w:r w:rsidR="0040363E" w:rsidRPr="003516DC">
        <w:rPr>
          <w:noProof/>
        </w:rPr>
        <w:fldChar w:fldCharType="separate"/>
      </w:r>
      <w:r w:rsidR="004E2DCB">
        <w:rPr>
          <w:noProof/>
        </w:rPr>
        <w:t>77</w:t>
      </w:r>
      <w:r w:rsidR="0040363E" w:rsidRPr="003516DC">
        <w:rPr>
          <w:noProof/>
        </w:rPr>
        <w:fldChar w:fldCharType="end"/>
      </w:r>
      <w:r w:rsidRPr="003516DC">
        <w:t xml:space="preserve">: SWOT analysis for </w:t>
      </w:r>
      <w:r w:rsidR="006C793F" w:rsidRPr="003516DC">
        <w:t>Galați</w:t>
      </w:r>
      <w:r w:rsidRPr="003516DC">
        <w:t xml:space="preserve"> county</w:t>
      </w:r>
      <w:bookmarkEnd w:id="351"/>
      <w:bookmarkEnd w:id="3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64"/>
        <w:gridCol w:w="4465"/>
      </w:tblGrid>
      <w:tr w:rsidR="006F072D" w:rsidRPr="003516DC" w14:paraId="580645FC" w14:textId="77777777" w:rsidTr="002007F5">
        <w:trPr>
          <w:trHeight w:val="360"/>
        </w:trPr>
        <w:tc>
          <w:tcPr>
            <w:tcW w:w="2500" w:type="pct"/>
            <w:shd w:val="clear" w:color="auto" w:fill="002060"/>
            <w:vAlign w:val="center"/>
          </w:tcPr>
          <w:p w14:paraId="4435B416" w14:textId="77777777" w:rsidR="006F072D" w:rsidRPr="003516DC" w:rsidRDefault="006F072D" w:rsidP="0034479D">
            <w:pPr>
              <w:jc w:val="center"/>
              <w:rPr>
                <w:rFonts w:ascii="Arial" w:hAnsi="Arial" w:cs="Arial"/>
                <w:b/>
                <w:sz w:val="18"/>
                <w:szCs w:val="18"/>
              </w:rPr>
            </w:pPr>
            <w:r w:rsidRPr="003516DC">
              <w:rPr>
                <w:rFonts w:ascii="Arial" w:hAnsi="Arial" w:cs="Arial"/>
                <w:b/>
                <w:sz w:val="18"/>
                <w:szCs w:val="18"/>
              </w:rPr>
              <w:t>Strengths</w:t>
            </w:r>
          </w:p>
        </w:tc>
        <w:tc>
          <w:tcPr>
            <w:tcW w:w="2500" w:type="pct"/>
            <w:shd w:val="clear" w:color="auto" w:fill="002060"/>
            <w:vAlign w:val="center"/>
          </w:tcPr>
          <w:p w14:paraId="5B4A9A17" w14:textId="77777777" w:rsidR="006F072D" w:rsidRPr="003516DC" w:rsidRDefault="006F072D" w:rsidP="0034479D">
            <w:pPr>
              <w:jc w:val="center"/>
              <w:rPr>
                <w:rFonts w:ascii="Arial" w:hAnsi="Arial" w:cs="Arial"/>
                <w:b/>
                <w:sz w:val="18"/>
                <w:szCs w:val="18"/>
              </w:rPr>
            </w:pPr>
            <w:r w:rsidRPr="003516DC">
              <w:rPr>
                <w:rFonts w:ascii="Arial" w:hAnsi="Arial" w:cs="Arial"/>
                <w:b/>
                <w:sz w:val="18"/>
                <w:szCs w:val="18"/>
              </w:rPr>
              <w:t>Weaknesses</w:t>
            </w:r>
          </w:p>
        </w:tc>
      </w:tr>
      <w:tr w:rsidR="006F072D" w:rsidRPr="003516DC" w14:paraId="3C8F50C3" w14:textId="77777777" w:rsidTr="002007F5">
        <w:trPr>
          <w:trHeight w:val="360"/>
        </w:trPr>
        <w:tc>
          <w:tcPr>
            <w:tcW w:w="5000" w:type="pct"/>
            <w:gridSpan w:val="2"/>
            <w:shd w:val="clear" w:color="auto" w:fill="E7E6E6"/>
            <w:vAlign w:val="center"/>
          </w:tcPr>
          <w:p w14:paraId="03B7C864" w14:textId="33D0ABDB"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 xml:space="preserve">Political &amp; </w:t>
            </w:r>
            <w:r w:rsidR="00786CA1" w:rsidRPr="003516DC">
              <w:rPr>
                <w:rFonts w:ascii="Arial" w:hAnsi="Arial" w:cs="Arial"/>
                <w:b/>
                <w:bCs/>
                <w:sz w:val="18"/>
                <w:szCs w:val="18"/>
              </w:rPr>
              <w:t>A</w:t>
            </w:r>
            <w:r w:rsidRPr="003516DC">
              <w:rPr>
                <w:rFonts w:ascii="Arial" w:hAnsi="Arial" w:cs="Arial"/>
                <w:b/>
                <w:bCs/>
                <w:sz w:val="18"/>
                <w:szCs w:val="18"/>
              </w:rPr>
              <w:t>dministrative</w:t>
            </w:r>
          </w:p>
        </w:tc>
      </w:tr>
      <w:tr w:rsidR="006F072D" w:rsidRPr="003516DC" w14:paraId="7CC86BFB" w14:textId="77777777" w:rsidTr="004B3BC3">
        <w:trPr>
          <w:trHeight w:val="70"/>
        </w:trPr>
        <w:tc>
          <w:tcPr>
            <w:tcW w:w="2500" w:type="pct"/>
            <w:tcBorders>
              <w:bottom w:val="single" w:sz="4" w:space="0" w:color="000000"/>
            </w:tcBorders>
          </w:tcPr>
          <w:p w14:paraId="1B3D02E8" w14:textId="680271BD" w:rsidR="008E6A3D" w:rsidRPr="003516DC" w:rsidRDefault="006F072D" w:rsidP="007F792A">
            <w:pPr>
              <w:pStyle w:val="ListParagraph"/>
              <w:numPr>
                <w:ilvl w:val="0"/>
                <w:numId w:val="61"/>
              </w:numPr>
              <w:spacing w:line="240" w:lineRule="auto"/>
              <w:jc w:val="both"/>
              <w:rPr>
                <w:sz w:val="18"/>
                <w:szCs w:val="18"/>
              </w:rPr>
            </w:pPr>
            <w:r w:rsidRPr="003516DC">
              <w:rPr>
                <w:sz w:val="18"/>
                <w:szCs w:val="18"/>
              </w:rPr>
              <w:t>Capacity to access funds</w:t>
            </w:r>
            <w:r w:rsidR="008E6A3D" w:rsidRPr="003516DC">
              <w:rPr>
                <w:sz w:val="18"/>
                <w:szCs w:val="18"/>
              </w:rPr>
              <w:t>.</w:t>
            </w:r>
          </w:p>
          <w:p w14:paraId="7F5FCB30" w14:textId="0E2888B3" w:rsidR="006F072D" w:rsidRPr="003516DC" w:rsidRDefault="006F072D" w:rsidP="007F792A">
            <w:pPr>
              <w:pStyle w:val="ListParagraph"/>
              <w:numPr>
                <w:ilvl w:val="0"/>
                <w:numId w:val="61"/>
              </w:numPr>
              <w:spacing w:line="240" w:lineRule="auto"/>
              <w:jc w:val="both"/>
              <w:rPr>
                <w:sz w:val="18"/>
                <w:szCs w:val="18"/>
              </w:rPr>
            </w:pPr>
            <w:r w:rsidRPr="003516DC">
              <w:rPr>
                <w:sz w:val="18"/>
                <w:szCs w:val="18"/>
              </w:rPr>
              <w:t>Strategies in place</w:t>
            </w:r>
            <w:r w:rsidR="008E6A3D" w:rsidRPr="003516DC">
              <w:rPr>
                <w:sz w:val="18"/>
                <w:szCs w:val="18"/>
              </w:rPr>
              <w:t>.</w:t>
            </w:r>
          </w:p>
        </w:tc>
        <w:tc>
          <w:tcPr>
            <w:tcW w:w="2500" w:type="pct"/>
            <w:tcBorders>
              <w:bottom w:val="single" w:sz="4" w:space="0" w:color="000000"/>
            </w:tcBorders>
          </w:tcPr>
          <w:p w14:paraId="1902F583" w14:textId="4C0FB41D" w:rsidR="006F072D" w:rsidRPr="003516DC" w:rsidRDefault="006F072D" w:rsidP="007F792A">
            <w:pPr>
              <w:pStyle w:val="ListParagraph"/>
              <w:numPr>
                <w:ilvl w:val="0"/>
                <w:numId w:val="61"/>
              </w:numPr>
              <w:spacing w:line="240" w:lineRule="auto"/>
              <w:jc w:val="both"/>
              <w:rPr>
                <w:sz w:val="18"/>
                <w:szCs w:val="18"/>
              </w:rPr>
            </w:pPr>
            <w:r w:rsidRPr="003516DC">
              <w:rPr>
                <w:sz w:val="18"/>
                <w:szCs w:val="18"/>
              </w:rPr>
              <w:t>Low budgets</w:t>
            </w:r>
            <w:r w:rsidR="008E6A3D" w:rsidRPr="003516DC">
              <w:rPr>
                <w:sz w:val="18"/>
                <w:szCs w:val="18"/>
              </w:rPr>
              <w:t>.</w:t>
            </w:r>
          </w:p>
          <w:p w14:paraId="63097488" w14:textId="5256692A" w:rsidR="006F072D" w:rsidRPr="003516DC" w:rsidRDefault="006F072D" w:rsidP="007F792A">
            <w:pPr>
              <w:pStyle w:val="ListParagraph"/>
              <w:numPr>
                <w:ilvl w:val="0"/>
                <w:numId w:val="61"/>
              </w:numPr>
              <w:spacing w:line="240" w:lineRule="auto"/>
              <w:jc w:val="both"/>
              <w:rPr>
                <w:sz w:val="18"/>
                <w:szCs w:val="18"/>
              </w:rPr>
            </w:pPr>
            <w:r w:rsidRPr="003516DC">
              <w:rPr>
                <w:sz w:val="18"/>
                <w:szCs w:val="18"/>
              </w:rPr>
              <w:t>Not much experience on climate adaptation</w:t>
            </w:r>
            <w:r w:rsidR="008E6A3D" w:rsidRPr="003516DC">
              <w:rPr>
                <w:sz w:val="18"/>
                <w:szCs w:val="18"/>
              </w:rPr>
              <w:t>.</w:t>
            </w:r>
          </w:p>
        </w:tc>
      </w:tr>
      <w:tr w:rsidR="006F072D" w:rsidRPr="003516DC" w14:paraId="433C29C0" w14:textId="77777777" w:rsidTr="002007F5">
        <w:trPr>
          <w:trHeight w:val="360"/>
        </w:trPr>
        <w:tc>
          <w:tcPr>
            <w:tcW w:w="5000" w:type="pct"/>
            <w:gridSpan w:val="2"/>
            <w:shd w:val="clear" w:color="auto" w:fill="F2F2F2" w:themeFill="background1" w:themeFillShade="F2"/>
            <w:vAlign w:val="center"/>
          </w:tcPr>
          <w:p w14:paraId="2FE36F93" w14:textId="0FC0CF8E" w:rsidR="006F072D" w:rsidRPr="003516DC" w:rsidRDefault="006F072D" w:rsidP="0034479D">
            <w:pPr>
              <w:shd w:val="clear" w:color="auto" w:fill="E7E6E6"/>
              <w:jc w:val="center"/>
              <w:rPr>
                <w:rFonts w:ascii="Arial" w:hAnsi="Arial" w:cs="Arial"/>
                <w:b/>
                <w:bCs/>
                <w:sz w:val="18"/>
                <w:szCs w:val="18"/>
              </w:rPr>
            </w:pPr>
            <w:r w:rsidRPr="003516DC">
              <w:rPr>
                <w:rFonts w:ascii="Arial" w:hAnsi="Arial" w:cs="Arial"/>
                <w:b/>
                <w:bCs/>
                <w:sz w:val="18"/>
                <w:szCs w:val="18"/>
              </w:rPr>
              <w:t xml:space="preserve">Economic </w:t>
            </w:r>
            <w:r w:rsidR="00786CA1" w:rsidRPr="003516DC">
              <w:rPr>
                <w:rFonts w:ascii="Arial" w:hAnsi="Arial" w:cs="Arial"/>
                <w:b/>
                <w:bCs/>
                <w:sz w:val="18"/>
                <w:szCs w:val="18"/>
              </w:rPr>
              <w:t>&amp; E</w:t>
            </w:r>
            <w:r w:rsidRPr="003516DC">
              <w:rPr>
                <w:rFonts w:ascii="Arial" w:hAnsi="Arial" w:cs="Arial"/>
                <w:b/>
                <w:bCs/>
                <w:sz w:val="18"/>
                <w:szCs w:val="18"/>
              </w:rPr>
              <w:t>nvironmental</w:t>
            </w:r>
          </w:p>
        </w:tc>
      </w:tr>
      <w:tr w:rsidR="006F072D" w:rsidRPr="003516DC" w14:paraId="5DC3A5B6" w14:textId="77777777" w:rsidTr="004B3BC3">
        <w:trPr>
          <w:trHeight w:val="1435"/>
        </w:trPr>
        <w:tc>
          <w:tcPr>
            <w:tcW w:w="2500" w:type="pct"/>
          </w:tcPr>
          <w:p w14:paraId="761A924C" w14:textId="566B7844" w:rsidR="006F072D" w:rsidRPr="003516DC" w:rsidRDefault="006F072D" w:rsidP="007F792A">
            <w:pPr>
              <w:pStyle w:val="ListParagraph"/>
              <w:numPr>
                <w:ilvl w:val="0"/>
                <w:numId w:val="62"/>
              </w:numPr>
              <w:spacing w:line="240" w:lineRule="auto"/>
              <w:rPr>
                <w:sz w:val="18"/>
                <w:szCs w:val="18"/>
              </w:rPr>
            </w:pPr>
            <w:r w:rsidRPr="003516DC">
              <w:rPr>
                <w:sz w:val="18"/>
                <w:szCs w:val="18"/>
              </w:rPr>
              <w:t xml:space="preserve">Large local company intensive in </w:t>
            </w:r>
            <w:r w:rsidR="00CD5FFC" w:rsidRPr="00C510BD">
              <w:rPr>
                <w:sz w:val="20"/>
                <w:szCs w:val="20"/>
              </w:rPr>
              <w:t>CO</w:t>
            </w:r>
            <w:r w:rsidR="00CD5FFC" w:rsidRPr="001C148D">
              <w:rPr>
                <w:sz w:val="20"/>
                <w:szCs w:val="20"/>
                <w:vertAlign w:val="subscript"/>
              </w:rPr>
              <w:t>2</w:t>
            </w:r>
            <w:r w:rsidR="00CD5FFC">
              <w:rPr>
                <w:sz w:val="18"/>
                <w:szCs w:val="18"/>
              </w:rPr>
              <w:t xml:space="preserve"> </w:t>
            </w:r>
            <w:r w:rsidRPr="003516DC">
              <w:rPr>
                <w:sz w:val="18"/>
                <w:szCs w:val="18"/>
              </w:rPr>
              <w:t>emission aware of the transition requirements and with concrete plans in place for transition to carbon neutrality as early as 2025</w:t>
            </w:r>
            <w:r w:rsidR="008E6A3D" w:rsidRPr="003516DC">
              <w:rPr>
                <w:sz w:val="18"/>
                <w:szCs w:val="18"/>
              </w:rPr>
              <w:t>.</w:t>
            </w:r>
          </w:p>
          <w:p w14:paraId="746B6EDC" w14:textId="4000F67E" w:rsidR="006F072D" w:rsidRPr="003516DC" w:rsidRDefault="006F072D" w:rsidP="007F792A">
            <w:pPr>
              <w:pStyle w:val="ListParagraph"/>
              <w:numPr>
                <w:ilvl w:val="0"/>
                <w:numId w:val="62"/>
              </w:numPr>
              <w:spacing w:line="240" w:lineRule="auto"/>
              <w:rPr>
                <w:sz w:val="18"/>
                <w:szCs w:val="18"/>
              </w:rPr>
            </w:pPr>
            <w:r w:rsidRPr="003516DC">
              <w:rPr>
                <w:sz w:val="18"/>
                <w:szCs w:val="18"/>
              </w:rPr>
              <w:t>Existing higher universities that could support transition</w:t>
            </w:r>
            <w:r w:rsidR="008E6A3D" w:rsidRPr="003516DC">
              <w:rPr>
                <w:sz w:val="18"/>
                <w:szCs w:val="18"/>
              </w:rPr>
              <w:t>.</w:t>
            </w:r>
          </w:p>
          <w:p w14:paraId="559626C5" w14:textId="52ABB70A" w:rsidR="006F072D" w:rsidRPr="003516DC" w:rsidRDefault="006F072D" w:rsidP="007F792A">
            <w:pPr>
              <w:pStyle w:val="ListParagraph"/>
              <w:numPr>
                <w:ilvl w:val="0"/>
                <w:numId w:val="62"/>
              </w:numPr>
              <w:spacing w:line="240" w:lineRule="auto"/>
              <w:rPr>
                <w:sz w:val="18"/>
                <w:szCs w:val="18"/>
              </w:rPr>
            </w:pPr>
            <w:r w:rsidRPr="003516DC">
              <w:rPr>
                <w:sz w:val="18"/>
                <w:szCs w:val="18"/>
              </w:rPr>
              <w:t>Strategic position on Danub</w:t>
            </w:r>
            <w:r w:rsidR="008E6A3D" w:rsidRPr="003516DC">
              <w:rPr>
                <w:sz w:val="18"/>
                <w:szCs w:val="18"/>
              </w:rPr>
              <w:t>e.</w:t>
            </w:r>
          </w:p>
        </w:tc>
        <w:tc>
          <w:tcPr>
            <w:tcW w:w="2500" w:type="pct"/>
          </w:tcPr>
          <w:p w14:paraId="7C5A2ED3" w14:textId="77777777" w:rsidR="006F072D" w:rsidRPr="003516DC" w:rsidRDefault="006F072D" w:rsidP="007F792A">
            <w:pPr>
              <w:pStyle w:val="ListParagraph"/>
              <w:numPr>
                <w:ilvl w:val="0"/>
                <w:numId w:val="62"/>
              </w:numPr>
              <w:spacing w:line="240" w:lineRule="auto"/>
              <w:rPr>
                <w:sz w:val="18"/>
                <w:szCs w:val="18"/>
              </w:rPr>
            </w:pPr>
            <w:r w:rsidRPr="003516DC">
              <w:rPr>
                <w:sz w:val="18"/>
                <w:szCs w:val="18"/>
              </w:rPr>
              <w:t xml:space="preserve">Less diversified local business environment </w:t>
            </w:r>
          </w:p>
          <w:p w14:paraId="2AC35DFF" w14:textId="14A8F2DA" w:rsidR="006F072D" w:rsidRPr="003516DC" w:rsidRDefault="006F072D" w:rsidP="007F792A">
            <w:pPr>
              <w:pStyle w:val="ListParagraph"/>
              <w:numPr>
                <w:ilvl w:val="0"/>
                <w:numId w:val="62"/>
              </w:numPr>
              <w:spacing w:line="240" w:lineRule="auto"/>
              <w:rPr>
                <w:sz w:val="18"/>
                <w:szCs w:val="18"/>
              </w:rPr>
            </w:pPr>
            <w:r w:rsidRPr="003516DC">
              <w:rPr>
                <w:sz w:val="18"/>
                <w:szCs w:val="18"/>
              </w:rPr>
              <w:t>Decrease in employment across most of economic activities</w:t>
            </w:r>
            <w:r w:rsidR="00794E77" w:rsidRPr="003516DC">
              <w:rPr>
                <w:sz w:val="18"/>
                <w:szCs w:val="18"/>
              </w:rPr>
              <w:t>.</w:t>
            </w:r>
            <w:r w:rsidRPr="003516DC">
              <w:rPr>
                <w:sz w:val="18"/>
                <w:szCs w:val="18"/>
              </w:rPr>
              <w:t xml:space="preserve"> </w:t>
            </w:r>
          </w:p>
          <w:p w14:paraId="42CE325B" w14:textId="21788062" w:rsidR="006F072D" w:rsidRPr="003516DC" w:rsidRDefault="006F072D" w:rsidP="007F792A">
            <w:pPr>
              <w:pStyle w:val="ListParagraph"/>
              <w:numPr>
                <w:ilvl w:val="0"/>
                <w:numId w:val="62"/>
              </w:numPr>
              <w:spacing w:line="240" w:lineRule="auto"/>
              <w:rPr>
                <w:sz w:val="18"/>
                <w:szCs w:val="18"/>
              </w:rPr>
            </w:pPr>
            <w:r w:rsidRPr="003516DC">
              <w:rPr>
                <w:sz w:val="18"/>
                <w:szCs w:val="18"/>
              </w:rPr>
              <w:t xml:space="preserve">Workforce training </w:t>
            </w:r>
            <w:r w:rsidR="008E6A3D" w:rsidRPr="003516DC">
              <w:rPr>
                <w:sz w:val="18"/>
                <w:szCs w:val="18"/>
              </w:rPr>
              <w:t>not adapted</w:t>
            </w:r>
            <w:r w:rsidRPr="003516DC">
              <w:rPr>
                <w:sz w:val="18"/>
                <w:szCs w:val="18"/>
              </w:rPr>
              <w:t>, esp</w:t>
            </w:r>
            <w:r w:rsidR="008E6A3D" w:rsidRPr="003516DC">
              <w:rPr>
                <w:sz w:val="18"/>
                <w:szCs w:val="18"/>
              </w:rPr>
              <w:t>ecially</w:t>
            </w:r>
            <w:r w:rsidRPr="003516DC">
              <w:rPr>
                <w:sz w:val="18"/>
                <w:szCs w:val="18"/>
              </w:rPr>
              <w:t xml:space="preserve"> secondary education</w:t>
            </w:r>
            <w:r w:rsidR="00794E77" w:rsidRPr="003516DC">
              <w:rPr>
                <w:sz w:val="18"/>
                <w:szCs w:val="18"/>
              </w:rPr>
              <w:t>.</w:t>
            </w:r>
            <w:r w:rsidRPr="003516DC">
              <w:rPr>
                <w:sz w:val="18"/>
                <w:szCs w:val="18"/>
              </w:rPr>
              <w:t xml:space="preserve"> </w:t>
            </w:r>
          </w:p>
          <w:p w14:paraId="7B6E9E81" w14:textId="77777777" w:rsidR="006F072D" w:rsidRPr="003516DC" w:rsidRDefault="006F072D" w:rsidP="008E6A3D">
            <w:pPr>
              <w:jc w:val="both"/>
              <w:rPr>
                <w:rFonts w:ascii="Arial" w:hAnsi="Arial" w:cs="Arial"/>
                <w:sz w:val="18"/>
                <w:szCs w:val="18"/>
              </w:rPr>
            </w:pPr>
          </w:p>
        </w:tc>
      </w:tr>
      <w:tr w:rsidR="006F072D" w:rsidRPr="003516DC" w14:paraId="17EED720" w14:textId="77777777" w:rsidTr="002007F5">
        <w:trPr>
          <w:trHeight w:val="360"/>
        </w:trPr>
        <w:tc>
          <w:tcPr>
            <w:tcW w:w="5000" w:type="pct"/>
            <w:gridSpan w:val="2"/>
            <w:shd w:val="clear" w:color="auto" w:fill="E7E6E6"/>
            <w:vAlign w:val="center"/>
          </w:tcPr>
          <w:p w14:paraId="35B911DB" w14:textId="72E735ED"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 xml:space="preserve">Social &amp; </w:t>
            </w:r>
            <w:r w:rsidR="00786CA1" w:rsidRPr="003516DC">
              <w:rPr>
                <w:rFonts w:ascii="Arial" w:hAnsi="Arial" w:cs="Arial"/>
                <w:b/>
                <w:bCs/>
                <w:sz w:val="18"/>
                <w:szCs w:val="18"/>
              </w:rPr>
              <w:t>C</w:t>
            </w:r>
            <w:r w:rsidRPr="003516DC">
              <w:rPr>
                <w:rFonts w:ascii="Arial" w:hAnsi="Arial" w:cs="Arial"/>
                <w:b/>
                <w:bCs/>
                <w:sz w:val="18"/>
                <w:szCs w:val="18"/>
              </w:rPr>
              <w:t>ultural</w:t>
            </w:r>
          </w:p>
        </w:tc>
      </w:tr>
      <w:tr w:rsidR="006F072D" w:rsidRPr="003516DC" w14:paraId="31C18592" w14:textId="77777777" w:rsidTr="00794E77">
        <w:tc>
          <w:tcPr>
            <w:tcW w:w="2500" w:type="pct"/>
          </w:tcPr>
          <w:p w14:paraId="40BFB4ED" w14:textId="5273124F" w:rsidR="006F072D" w:rsidRPr="003516DC" w:rsidRDefault="006F072D" w:rsidP="007F792A">
            <w:pPr>
              <w:pStyle w:val="ListParagraph"/>
              <w:numPr>
                <w:ilvl w:val="0"/>
                <w:numId w:val="63"/>
              </w:numPr>
              <w:spacing w:line="240" w:lineRule="auto"/>
              <w:rPr>
                <w:sz w:val="18"/>
                <w:szCs w:val="18"/>
              </w:rPr>
            </w:pPr>
            <w:r w:rsidRPr="003516DC">
              <w:rPr>
                <w:sz w:val="18"/>
                <w:szCs w:val="18"/>
              </w:rPr>
              <w:t>Existing emerging hubs of entrepreneurship and creativity</w:t>
            </w:r>
            <w:r w:rsidR="008E6A3D" w:rsidRPr="003516DC">
              <w:rPr>
                <w:sz w:val="18"/>
                <w:szCs w:val="18"/>
              </w:rPr>
              <w:t>.</w:t>
            </w:r>
          </w:p>
          <w:p w14:paraId="158CBAD2" w14:textId="3AA33FE7" w:rsidR="006F072D" w:rsidRPr="003516DC" w:rsidRDefault="006F072D" w:rsidP="007F792A">
            <w:pPr>
              <w:pStyle w:val="ListParagraph"/>
              <w:numPr>
                <w:ilvl w:val="0"/>
                <w:numId w:val="63"/>
              </w:numPr>
              <w:spacing w:line="240" w:lineRule="auto"/>
              <w:rPr>
                <w:sz w:val="18"/>
                <w:szCs w:val="18"/>
              </w:rPr>
            </w:pPr>
            <w:r w:rsidRPr="003516DC">
              <w:rPr>
                <w:sz w:val="18"/>
                <w:szCs w:val="18"/>
              </w:rPr>
              <w:t>Existing and active NGOs in the environment field that could mobilize and contribute to citizen action and education</w:t>
            </w:r>
            <w:r w:rsidR="008E6A3D" w:rsidRPr="003516DC">
              <w:rPr>
                <w:sz w:val="18"/>
                <w:szCs w:val="18"/>
              </w:rPr>
              <w:t>.</w:t>
            </w:r>
          </w:p>
          <w:p w14:paraId="18EEC207" w14:textId="73076E73" w:rsidR="006F072D" w:rsidRPr="003516DC" w:rsidRDefault="006F072D" w:rsidP="007F792A">
            <w:pPr>
              <w:pStyle w:val="ListParagraph"/>
              <w:numPr>
                <w:ilvl w:val="0"/>
                <w:numId w:val="63"/>
              </w:numPr>
              <w:spacing w:line="240" w:lineRule="auto"/>
              <w:rPr>
                <w:sz w:val="18"/>
                <w:szCs w:val="18"/>
              </w:rPr>
            </w:pPr>
            <w:r w:rsidRPr="003516DC">
              <w:rPr>
                <w:sz w:val="18"/>
                <w:szCs w:val="18"/>
              </w:rPr>
              <w:t>Good cooperation pattern between large energy-intensive companies and local educational environment, with concrete ideas into how to turn this cooperation into a pathway towards green jobs, etc.</w:t>
            </w:r>
          </w:p>
        </w:tc>
        <w:tc>
          <w:tcPr>
            <w:tcW w:w="2500" w:type="pct"/>
          </w:tcPr>
          <w:p w14:paraId="1A964795" w14:textId="26E1EE05" w:rsidR="006F072D" w:rsidRPr="003516DC" w:rsidRDefault="006F072D" w:rsidP="007F792A">
            <w:pPr>
              <w:pStyle w:val="ListParagraph"/>
              <w:numPr>
                <w:ilvl w:val="0"/>
                <w:numId w:val="63"/>
              </w:numPr>
              <w:spacing w:line="240" w:lineRule="auto"/>
              <w:rPr>
                <w:sz w:val="18"/>
                <w:szCs w:val="18"/>
              </w:rPr>
            </w:pPr>
            <w:r w:rsidRPr="003516DC">
              <w:rPr>
                <w:sz w:val="18"/>
                <w:szCs w:val="18"/>
              </w:rPr>
              <w:t>Demographic decline</w:t>
            </w:r>
            <w:r w:rsidR="00794E77" w:rsidRPr="003516DC">
              <w:rPr>
                <w:sz w:val="18"/>
                <w:szCs w:val="18"/>
              </w:rPr>
              <w:t>.</w:t>
            </w:r>
          </w:p>
          <w:p w14:paraId="1244EC15" w14:textId="4474F50E" w:rsidR="006F072D" w:rsidRPr="003516DC" w:rsidRDefault="006F072D" w:rsidP="007F792A">
            <w:pPr>
              <w:pStyle w:val="ListParagraph"/>
              <w:numPr>
                <w:ilvl w:val="0"/>
                <w:numId w:val="63"/>
              </w:numPr>
              <w:spacing w:line="240" w:lineRule="auto"/>
              <w:rPr>
                <w:sz w:val="18"/>
                <w:szCs w:val="18"/>
              </w:rPr>
            </w:pPr>
            <w:r w:rsidRPr="003516DC">
              <w:rPr>
                <w:sz w:val="18"/>
                <w:szCs w:val="18"/>
              </w:rPr>
              <w:t>Workforce decline</w:t>
            </w:r>
            <w:r w:rsidR="00794E77" w:rsidRPr="003516DC">
              <w:rPr>
                <w:sz w:val="18"/>
                <w:szCs w:val="18"/>
              </w:rPr>
              <w:t>.</w:t>
            </w:r>
            <w:r w:rsidRPr="003516DC">
              <w:rPr>
                <w:sz w:val="18"/>
                <w:szCs w:val="18"/>
              </w:rPr>
              <w:t xml:space="preserve"> </w:t>
            </w:r>
          </w:p>
          <w:p w14:paraId="1B83FA67" w14:textId="55E9FF9D" w:rsidR="006F072D" w:rsidRPr="003516DC" w:rsidRDefault="006F072D" w:rsidP="007F792A">
            <w:pPr>
              <w:pStyle w:val="ListParagraph"/>
              <w:numPr>
                <w:ilvl w:val="0"/>
                <w:numId w:val="63"/>
              </w:numPr>
              <w:spacing w:line="240" w:lineRule="auto"/>
              <w:rPr>
                <w:sz w:val="18"/>
                <w:szCs w:val="18"/>
              </w:rPr>
            </w:pPr>
            <w:r w:rsidRPr="003516DC">
              <w:rPr>
                <w:sz w:val="18"/>
                <w:szCs w:val="18"/>
              </w:rPr>
              <w:t>Galați county seat not very promising in terms of professional opportunities for young adults with higher education – limited retention capacity for a workforce that could increase the local competitiveness</w:t>
            </w:r>
            <w:r w:rsidR="00794E77" w:rsidRPr="003516DC">
              <w:rPr>
                <w:sz w:val="18"/>
                <w:szCs w:val="18"/>
              </w:rPr>
              <w:t>.</w:t>
            </w:r>
            <w:r w:rsidRPr="003516DC">
              <w:rPr>
                <w:sz w:val="18"/>
                <w:szCs w:val="18"/>
              </w:rPr>
              <w:t xml:space="preserve"> </w:t>
            </w:r>
          </w:p>
          <w:p w14:paraId="3129F5A5" w14:textId="0D000899" w:rsidR="006F072D" w:rsidRPr="003516DC" w:rsidRDefault="006F072D" w:rsidP="007F792A">
            <w:pPr>
              <w:pStyle w:val="ListParagraph"/>
              <w:numPr>
                <w:ilvl w:val="0"/>
                <w:numId w:val="63"/>
              </w:numPr>
              <w:spacing w:line="240" w:lineRule="auto"/>
              <w:rPr>
                <w:sz w:val="18"/>
                <w:szCs w:val="18"/>
              </w:rPr>
            </w:pPr>
            <w:r w:rsidRPr="003516DC">
              <w:rPr>
                <w:sz w:val="18"/>
                <w:szCs w:val="18"/>
              </w:rPr>
              <w:t xml:space="preserve">Those excluded from the </w:t>
            </w:r>
            <w:r w:rsidR="00794E77" w:rsidRPr="003516DC">
              <w:rPr>
                <w:sz w:val="18"/>
                <w:szCs w:val="18"/>
              </w:rPr>
              <w:t>labour</w:t>
            </w:r>
            <w:r w:rsidRPr="003516DC">
              <w:rPr>
                <w:sz w:val="18"/>
                <w:szCs w:val="18"/>
              </w:rPr>
              <w:t xml:space="preserve"> market are most difficult to integrate – must think outside the box, and on the long term</w:t>
            </w:r>
            <w:r w:rsidR="00794E77" w:rsidRPr="003516DC">
              <w:rPr>
                <w:sz w:val="18"/>
                <w:szCs w:val="18"/>
              </w:rPr>
              <w:t>.</w:t>
            </w:r>
          </w:p>
        </w:tc>
      </w:tr>
      <w:tr w:rsidR="006F072D" w:rsidRPr="003516DC" w14:paraId="490C0E1A" w14:textId="77777777" w:rsidTr="002007F5">
        <w:trPr>
          <w:trHeight w:val="360"/>
        </w:trPr>
        <w:tc>
          <w:tcPr>
            <w:tcW w:w="5000" w:type="pct"/>
            <w:gridSpan w:val="2"/>
            <w:shd w:val="clear" w:color="auto" w:fill="E7E6E6"/>
            <w:vAlign w:val="center"/>
          </w:tcPr>
          <w:p w14:paraId="682E0894" w14:textId="77777777"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Technological</w:t>
            </w:r>
          </w:p>
        </w:tc>
      </w:tr>
      <w:tr w:rsidR="006F072D" w:rsidRPr="003516DC" w14:paraId="124CFA6D" w14:textId="77777777" w:rsidTr="00794E77">
        <w:trPr>
          <w:trHeight w:val="539"/>
        </w:trPr>
        <w:tc>
          <w:tcPr>
            <w:tcW w:w="2500" w:type="pct"/>
          </w:tcPr>
          <w:p w14:paraId="6E85CA58" w14:textId="77777777" w:rsidR="006F072D" w:rsidRPr="003516DC" w:rsidRDefault="006F072D" w:rsidP="007F792A">
            <w:pPr>
              <w:pStyle w:val="ListParagraph"/>
              <w:numPr>
                <w:ilvl w:val="0"/>
                <w:numId w:val="64"/>
              </w:numPr>
              <w:spacing w:line="240" w:lineRule="auto"/>
              <w:rPr>
                <w:sz w:val="18"/>
                <w:szCs w:val="18"/>
              </w:rPr>
            </w:pPr>
            <w:r w:rsidRPr="003516DC">
              <w:rPr>
                <w:sz w:val="18"/>
                <w:szCs w:val="18"/>
              </w:rPr>
              <w:lastRenderedPageBreak/>
              <w:t xml:space="preserve">A value chain – shipbuilding </w:t>
            </w:r>
          </w:p>
          <w:p w14:paraId="15AE8428" w14:textId="6CC2F4D0" w:rsidR="006F072D" w:rsidRPr="003516DC" w:rsidRDefault="006F072D" w:rsidP="007F792A">
            <w:pPr>
              <w:pStyle w:val="ListParagraph"/>
              <w:numPr>
                <w:ilvl w:val="0"/>
                <w:numId w:val="64"/>
              </w:numPr>
              <w:spacing w:line="240" w:lineRule="auto"/>
              <w:rPr>
                <w:sz w:val="18"/>
                <w:szCs w:val="18"/>
              </w:rPr>
            </w:pPr>
            <w:r w:rsidRPr="003516DC">
              <w:rPr>
                <w:sz w:val="18"/>
                <w:szCs w:val="18"/>
              </w:rPr>
              <w:t>Increasing interest in ITC</w:t>
            </w:r>
          </w:p>
        </w:tc>
        <w:tc>
          <w:tcPr>
            <w:tcW w:w="2500" w:type="pct"/>
          </w:tcPr>
          <w:p w14:paraId="6310B06C" w14:textId="555691E6" w:rsidR="006F072D" w:rsidRPr="003516DC" w:rsidRDefault="006F072D" w:rsidP="007F792A">
            <w:pPr>
              <w:pStyle w:val="ListParagraph"/>
              <w:numPr>
                <w:ilvl w:val="0"/>
                <w:numId w:val="64"/>
              </w:numPr>
              <w:spacing w:line="240" w:lineRule="auto"/>
              <w:jc w:val="both"/>
              <w:rPr>
                <w:sz w:val="18"/>
                <w:szCs w:val="18"/>
              </w:rPr>
            </w:pPr>
            <w:r w:rsidRPr="003516DC">
              <w:rPr>
                <w:sz w:val="18"/>
                <w:szCs w:val="18"/>
              </w:rPr>
              <w:t>Few technology intensive businesses</w:t>
            </w:r>
            <w:r w:rsidR="00794E77" w:rsidRPr="003516DC">
              <w:rPr>
                <w:sz w:val="18"/>
                <w:szCs w:val="18"/>
              </w:rPr>
              <w:t>.</w:t>
            </w:r>
            <w:r w:rsidRPr="003516DC">
              <w:rPr>
                <w:sz w:val="18"/>
                <w:szCs w:val="18"/>
              </w:rPr>
              <w:t xml:space="preserve"> </w:t>
            </w:r>
          </w:p>
        </w:tc>
      </w:tr>
      <w:tr w:rsidR="006F072D" w:rsidRPr="003516DC" w14:paraId="3E4B949F" w14:textId="77777777" w:rsidTr="002007F5">
        <w:trPr>
          <w:trHeight w:val="360"/>
        </w:trPr>
        <w:tc>
          <w:tcPr>
            <w:tcW w:w="2500" w:type="pct"/>
            <w:shd w:val="clear" w:color="auto" w:fill="002060"/>
            <w:vAlign w:val="center"/>
          </w:tcPr>
          <w:p w14:paraId="2E2FDD3F" w14:textId="77777777" w:rsidR="006F072D" w:rsidRPr="003516DC" w:rsidRDefault="006F072D" w:rsidP="0034479D">
            <w:pPr>
              <w:jc w:val="center"/>
              <w:rPr>
                <w:rFonts w:ascii="Arial" w:hAnsi="Arial" w:cs="Arial"/>
                <w:b/>
                <w:sz w:val="18"/>
                <w:szCs w:val="18"/>
              </w:rPr>
            </w:pPr>
            <w:r w:rsidRPr="003516DC">
              <w:rPr>
                <w:rFonts w:ascii="Arial" w:hAnsi="Arial" w:cs="Arial"/>
                <w:b/>
                <w:sz w:val="18"/>
                <w:szCs w:val="18"/>
              </w:rPr>
              <w:t>Opportunities</w:t>
            </w:r>
          </w:p>
        </w:tc>
        <w:tc>
          <w:tcPr>
            <w:tcW w:w="2500" w:type="pct"/>
            <w:shd w:val="clear" w:color="auto" w:fill="002060"/>
            <w:vAlign w:val="center"/>
          </w:tcPr>
          <w:p w14:paraId="7D4795D2" w14:textId="77777777" w:rsidR="006F072D" w:rsidRPr="003516DC" w:rsidRDefault="006F072D" w:rsidP="0034479D">
            <w:pPr>
              <w:jc w:val="center"/>
              <w:rPr>
                <w:rFonts w:ascii="Arial" w:hAnsi="Arial" w:cs="Arial"/>
                <w:b/>
                <w:sz w:val="18"/>
                <w:szCs w:val="18"/>
              </w:rPr>
            </w:pPr>
            <w:r w:rsidRPr="003516DC">
              <w:rPr>
                <w:rFonts w:ascii="Arial" w:hAnsi="Arial" w:cs="Arial"/>
                <w:b/>
                <w:sz w:val="18"/>
                <w:szCs w:val="18"/>
              </w:rPr>
              <w:t>Threats</w:t>
            </w:r>
          </w:p>
        </w:tc>
      </w:tr>
      <w:tr w:rsidR="006F072D" w:rsidRPr="003516DC" w14:paraId="0AA8F3A8" w14:textId="77777777" w:rsidTr="002007F5">
        <w:trPr>
          <w:trHeight w:val="360"/>
        </w:trPr>
        <w:tc>
          <w:tcPr>
            <w:tcW w:w="5000" w:type="pct"/>
            <w:gridSpan w:val="2"/>
            <w:shd w:val="clear" w:color="auto" w:fill="E7E6E6"/>
            <w:vAlign w:val="center"/>
          </w:tcPr>
          <w:p w14:paraId="74917100" w14:textId="2B0CBFE8"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 xml:space="preserve">Political &amp; </w:t>
            </w:r>
            <w:r w:rsidR="00786CA1" w:rsidRPr="003516DC">
              <w:rPr>
                <w:rFonts w:ascii="Arial" w:hAnsi="Arial" w:cs="Arial"/>
                <w:b/>
                <w:bCs/>
                <w:sz w:val="18"/>
                <w:szCs w:val="18"/>
              </w:rPr>
              <w:t>A</w:t>
            </w:r>
            <w:r w:rsidRPr="003516DC">
              <w:rPr>
                <w:rFonts w:ascii="Arial" w:hAnsi="Arial" w:cs="Arial"/>
                <w:b/>
                <w:bCs/>
                <w:sz w:val="18"/>
                <w:szCs w:val="18"/>
              </w:rPr>
              <w:t>dministrative</w:t>
            </w:r>
          </w:p>
        </w:tc>
      </w:tr>
      <w:tr w:rsidR="006F072D" w:rsidRPr="003516DC" w14:paraId="2BF4CDA9" w14:textId="77777777" w:rsidTr="00794E77">
        <w:tc>
          <w:tcPr>
            <w:tcW w:w="2500" w:type="pct"/>
          </w:tcPr>
          <w:p w14:paraId="0E9821D1" w14:textId="232AF608" w:rsidR="006F072D" w:rsidRPr="003516DC" w:rsidRDefault="006F072D" w:rsidP="007F792A">
            <w:pPr>
              <w:pStyle w:val="ListParagraph"/>
              <w:numPr>
                <w:ilvl w:val="0"/>
                <w:numId w:val="65"/>
              </w:numPr>
              <w:spacing w:line="240" w:lineRule="auto"/>
              <w:rPr>
                <w:sz w:val="18"/>
                <w:szCs w:val="18"/>
              </w:rPr>
            </w:pPr>
            <w:r w:rsidRPr="003516DC">
              <w:rPr>
                <w:sz w:val="18"/>
                <w:szCs w:val="18"/>
              </w:rPr>
              <w:t>Direct access to JTM funding instruments, along other EU funding instruments could drive local development</w:t>
            </w:r>
            <w:r w:rsidR="008E6A3D" w:rsidRPr="003516DC">
              <w:rPr>
                <w:sz w:val="18"/>
                <w:szCs w:val="18"/>
              </w:rPr>
              <w:t>.</w:t>
            </w:r>
          </w:p>
          <w:p w14:paraId="7D5601B9" w14:textId="17531B33" w:rsidR="006F072D" w:rsidRPr="003516DC" w:rsidRDefault="006F072D" w:rsidP="007F792A">
            <w:pPr>
              <w:pStyle w:val="ListParagraph"/>
              <w:numPr>
                <w:ilvl w:val="0"/>
                <w:numId w:val="65"/>
              </w:numPr>
              <w:spacing w:line="240" w:lineRule="auto"/>
              <w:rPr>
                <w:sz w:val="18"/>
                <w:szCs w:val="18"/>
              </w:rPr>
            </w:pPr>
            <w:r w:rsidRPr="003516DC">
              <w:rPr>
                <w:sz w:val="18"/>
                <w:szCs w:val="18"/>
              </w:rPr>
              <w:t>Opportunity to improve cooperation with Brăila</w:t>
            </w:r>
            <w:r w:rsidR="000860A2" w:rsidRPr="003516DC">
              <w:rPr>
                <w:sz w:val="18"/>
                <w:szCs w:val="18"/>
              </w:rPr>
              <w:t xml:space="preserve"> and</w:t>
            </w:r>
            <w:r w:rsidRPr="003516DC">
              <w:rPr>
                <w:sz w:val="18"/>
                <w:szCs w:val="18"/>
              </w:rPr>
              <w:t xml:space="preserve"> increase agglomeration econom</w:t>
            </w:r>
            <w:r w:rsidR="00EA21F3" w:rsidRPr="003516DC">
              <w:rPr>
                <w:sz w:val="18"/>
                <w:szCs w:val="18"/>
              </w:rPr>
              <w:t>y</w:t>
            </w:r>
            <w:r w:rsidR="008E6A3D" w:rsidRPr="003516DC">
              <w:rPr>
                <w:sz w:val="18"/>
                <w:szCs w:val="18"/>
              </w:rPr>
              <w:t>.</w:t>
            </w:r>
            <w:r w:rsidRPr="003516DC">
              <w:rPr>
                <w:sz w:val="18"/>
                <w:szCs w:val="18"/>
              </w:rPr>
              <w:t xml:space="preserve"> </w:t>
            </w:r>
          </w:p>
          <w:p w14:paraId="678D1C40" w14:textId="2D0B3D6A" w:rsidR="006F072D" w:rsidRPr="003516DC" w:rsidRDefault="006F072D" w:rsidP="007F792A">
            <w:pPr>
              <w:pStyle w:val="ListParagraph"/>
              <w:numPr>
                <w:ilvl w:val="0"/>
                <w:numId w:val="65"/>
              </w:numPr>
              <w:spacing w:line="240" w:lineRule="auto"/>
              <w:rPr>
                <w:sz w:val="18"/>
                <w:szCs w:val="18"/>
              </w:rPr>
            </w:pPr>
            <w:r w:rsidRPr="003516DC">
              <w:rPr>
                <w:sz w:val="18"/>
                <w:szCs w:val="18"/>
              </w:rPr>
              <w:t xml:space="preserve">Better connectivity </w:t>
            </w:r>
            <w:r w:rsidR="00561380" w:rsidRPr="003516DC">
              <w:rPr>
                <w:sz w:val="18"/>
                <w:szCs w:val="18"/>
              </w:rPr>
              <w:t>due to</w:t>
            </w:r>
            <w:r w:rsidRPr="003516DC">
              <w:rPr>
                <w:sz w:val="18"/>
                <w:szCs w:val="18"/>
              </w:rPr>
              <w:t xml:space="preserve"> Danube bridge</w:t>
            </w:r>
            <w:r w:rsidR="008E6A3D" w:rsidRPr="003516DC">
              <w:rPr>
                <w:sz w:val="18"/>
                <w:szCs w:val="18"/>
              </w:rPr>
              <w:t>.</w:t>
            </w:r>
          </w:p>
        </w:tc>
        <w:tc>
          <w:tcPr>
            <w:tcW w:w="2500" w:type="pct"/>
          </w:tcPr>
          <w:p w14:paraId="2B81C1CE" w14:textId="752806DC" w:rsidR="006F072D" w:rsidRPr="003516DC" w:rsidRDefault="006F072D" w:rsidP="007F792A">
            <w:pPr>
              <w:pStyle w:val="ListParagraph"/>
              <w:numPr>
                <w:ilvl w:val="0"/>
                <w:numId w:val="65"/>
              </w:numPr>
              <w:spacing w:line="240" w:lineRule="auto"/>
              <w:rPr>
                <w:sz w:val="18"/>
                <w:szCs w:val="18"/>
              </w:rPr>
            </w:pPr>
            <w:r w:rsidRPr="003516DC">
              <w:rPr>
                <w:sz w:val="18"/>
                <w:szCs w:val="18"/>
              </w:rPr>
              <w:t>Overlap of multiple funding instruments over the same period, which might crowd and challenge the local implementation capacity</w:t>
            </w:r>
            <w:r w:rsidR="00794E77" w:rsidRPr="003516DC">
              <w:rPr>
                <w:sz w:val="18"/>
                <w:szCs w:val="18"/>
              </w:rPr>
              <w:t>.</w:t>
            </w:r>
            <w:r w:rsidRPr="003516DC">
              <w:rPr>
                <w:sz w:val="18"/>
                <w:szCs w:val="18"/>
              </w:rPr>
              <w:t xml:space="preserve"> </w:t>
            </w:r>
          </w:p>
        </w:tc>
      </w:tr>
      <w:tr w:rsidR="006F072D" w:rsidRPr="003516DC" w14:paraId="5075C867" w14:textId="77777777" w:rsidTr="002007F5">
        <w:trPr>
          <w:trHeight w:val="360"/>
        </w:trPr>
        <w:tc>
          <w:tcPr>
            <w:tcW w:w="5000" w:type="pct"/>
            <w:gridSpan w:val="2"/>
            <w:shd w:val="clear" w:color="auto" w:fill="E7E6E6"/>
            <w:vAlign w:val="center"/>
          </w:tcPr>
          <w:p w14:paraId="69828D5B" w14:textId="641AC6D7"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 xml:space="preserve">Economic </w:t>
            </w:r>
            <w:r w:rsidR="00786CA1" w:rsidRPr="003516DC">
              <w:rPr>
                <w:rFonts w:ascii="Arial" w:hAnsi="Arial" w:cs="Arial"/>
                <w:b/>
                <w:bCs/>
                <w:sz w:val="18"/>
                <w:szCs w:val="18"/>
              </w:rPr>
              <w:t>&amp; E</w:t>
            </w:r>
            <w:r w:rsidRPr="003516DC">
              <w:rPr>
                <w:rFonts w:ascii="Arial" w:hAnsi="Arial" w:cs="Arial"/>
                <w:b/>
                <w:bCs/>
                <w:sz w:val="18"/>
                <w:szCs w:val="18"/>
              </w:rPr>
              <w:t>nvironmental</w:t>
            </w:r>
          </w:p>
        </w:tc>
      </w:tr>
      <w:tr w:rsidR="006F072D" w:rsidRPr="003516DC" w14:paraId="7BD9EB47" w14:textId="77777777" w:rsidTr="00794E77">
        <w:tc>
          <w:tcPr>
            <w:tcW w:w="2500" w:type="pct"/>
          </w:tcPr>
          <w:p w14:paraId="51960A48" w14:textId="450FB8A4" w:rsidR="006F072D" w:rsidRPr="003516DC" w:rsidRDefault="00561380" w:rsidP="007F792A">
            <w:pPr>
              <w:pStyle w:val="ListParagraph"/>
              <w:numPr>
                <w:ilvl w:val="0"/>
                <w:numId w:val="66"/>
              </w:numPr>
              <w:spacing w:line="240" w:lineRule="auto"/>
              <w:rPr>
                <w:sz w:val="18"/>
                <w:szCs w:val="18"/>
              </w:rPr>
            </w:pPr>
            <w:r w:rsidRPr="003516DC">
              <w:rPr>
                <w:sz w:val="18"/>
                <w:szCs w:val="18"/>
              </w:rPr>
              <w:t>R</w:t>
            </w:r>
            <w:r w:rsidR="006F072D" w:rsidRPr="003516DC">
              <w:rPr>
                <w:sz w:val="18"/>
                <w:szCs w:val="18"/>
              </w:rPr>
              <w:t>enewable energy potential (solar and wind)</w:t>
            </w:r>
            <w:r w:rsidR="008E6A3D" w:rsidRPr="003516DC">
              <w:rPr>
                <w:sz w:val="18"/>
                <w:szCs w:val="18"/>
              </w:rPr>
              <w:t>.</w:t>
            </w:r>
          </w:p>
          <w:p w14:paraId="518D259D" w14:textId="124E7714" w:rsidR="006F072D" w:rsidRPr="003516DC" w:rsidRDefault="006F072D" w:rsidP="007F792A">
            <w:pPr>
              <w:pStyle w:val="ListParagraph"/>
              <w:numPr>
                <w:ilvl w:val="0"/>
                <w:numId w:val="66"/>
              </w:numPr>
              <w:spacing w:line="240" w:lineRule="auto"/>
              <w:jc w:val="both"/>
              <w:rPr>
                <w:sz w:val="18"/>
                <w:szCs w:val="18"/>
              </w:rPr>
            </w:pPr>
            <w:r w:rsidRPr="003516DC">
              <w:rPr>
                <w:sz w:val="18"/>
                <w:szCs w:val="18"/>
              </w:rPr>
              <w:t>An increased overall strategic interest in the Danube waterway, tha</w:t>
            </w:r>
            <w:r w:rsidR="008E6A3D" w:rsidRPr="003516DC">
              <w:rPr>
                <w:sz w:val="18"/>
                <w:szCs w:val="18"/>
              </w:rPr>
              <w:t>t</w:t>
            </w:r>
            <w:r w:rsidRPr="003516DC">
              <w:rPr>
                <w:sz w:val="18"/>
                <w:szCs w:val="18"/>
              </w:rPr>
              <w:t xml:space="preserve"> can be capitali</w:t>
            </w:r>
            <w:r w:rsidR="00561380" w:rsidRPr="003516DC">
              <w:rPr>
                <w:sz w:val="18"/>
                <w:szCs w:val="18"/>
              </w:rPr>
              <w:t>s</w:t>
            </w:r>
            <w:r w:rsidRPr="003516DC">
              <w:rPr>
                <w:sz w:val="18"/>
                <w:szCs w:val="18"/>
              </w:rPr>
              <w:t xml:space="preserve">ed on by </w:t>
            </w:r>
            <w:r w:rsidR="008E6A3D" w:rsidRPr="003516DC">
              <w:rPr>
                <w:sz w:val="18"/>
                <w:szCs w:val="18"/>
              </w:rPr>
              <w:t>harbour</w:t>
            </w:r>
            <w:r w:rsidRPr="003516DC">
              <w:rPr>
                <w:sz w:val="18"/>
                <w:szCs w:val="18"/>
              </w:rPr>
              <w:t xml:space="preserve"> cities such as </w:t>
            </w:r>
            <w:r w:rsidR="003751DC">
              <w:rPr>
                <w:sz w:val="18"/>
                <w:szCs w:val="18"/>
              </w:rPr>
              <w:t>Galați</w:t>
            </w:r>
            <w:r w:rsidR="008E6A3D" w:rsidRPr="003516DC">
              <w:rPr>
                <w:sz w:val="18"/>
                <w:szCs w:val="18"/>
              </w:rPr>
              <w:t>.</w:t>
            </w:r>
          </w:p>
        </w:tc>
        <w:tc>
          <w:tcPr>
            <w:tcW w:w="2500" w:type="pct"/>
          </w:tcPr>
          <w:p w14:paraId="2EE8D0D4" w14:textId="24B38D48" w:rsidR="006F072D" w:rsidRPr="003516DC" w:rsidRDefault="006F072D" w:rsidP="007F792A">
            <w:pPr>
              <w:pStyle w:val="ListParagraph"/>
              <w:numPr>
                <w:ilvl w:val="0"/>
                <w:numId w:val="66"/>
              </w:numPr>
              <w:spacing w:line="240" w:lineRule="auto"/>
              <w:rPr>
                <w:sz w:val="18"/>
                <w:szCs w:val="18"/>
              </w:rPr>
            </w:pPr>
            <w:r w:rsidRPr="003516DC">
              <w:rPr>
                <w:sz w:val="18"/>
                <w:szCs w:val="18"/>
              </w:rPr>
              <w:t xml:space="preserve">Losing competitiveness and attractiveness </w:t>
            </w:r>
            <w:r w:rsidR="00561380" w:rsidRPr="003516DC">
              <w:rPr>
                <w:sz w:val="18"/>
                <w:szCs w:val="18"/>
              </w:rPr>
              <w:t xml:space="preserve">compared </w:t>
            </w:r>
            <w:r w:rsidRPr="003516DC">
              <w:rPr>
                <w:sz w:val="18"/>
                <w:szCs w:val="18"/>
              </w:rPr>
              <w:t>to other urban centers in Romania, given peripherality and pronounced negative demographic trends</w:t>
            </w:r>
            <w:r w:rsidR="008E6A3D" w:rsidRPr="003516DC">
              <w:rPr>
                <w:sz w:val="18"/>
                <w:szCs w:val="18"/>
              </w:rPr>
              <w:t>.</w:t>
            </w:r>
          </w:p>
          <w:p w14:paraId="34A011DC" w14:textId="45D7A75F" w:rsidR="006F072D" w:rsidRPr="003516DC" w:rsidRDefault="006F072D" w:rsidP="007F792A">
            <w:pPr>
              <w:pStyle w:val="ListParagraph"/>
              <w:numPr>
                <w:ilvl w:val="0"/>
                <w:numId w:val="66"/>
              </w:numPr>
              <w:spacing w:line="240" w:lineRule="auto"/>
              <w:jc w:val="both"/>
              <w:rPr>
                <w:sz w:val="18"/>
                <w:szCs w:val="18"/>
              </w:rPr>
            </w:pPr>
            <w:r w:rsidRPr="003516DC">
              <w:rPr>
                <w:sz w:val="18"/>
                <w:szCs w:val="18"/>
              </w:rPr>
              <w:t>See industrial park empty</w:t>
            </w:r>
            <w:r w:rsidR="008E6A3D" w:rsidRPr="003516DC">
              <w:rPr>
                <w:sz w:val="18"/>
                <w:szCs w:val="18"/>
              </w:rPr>
              <w:t>.</w:t>
            </w:r>
          </w:p>
        </w:tc>
      </w:tr>
      <w:tr w:rsidR="006F072D" w:rsidRPr="003516DC" w14:paraId="680CFF8E" w14:textId="77777777" w:rsidTr="002007F5">
        <w:trPr>
          <w:trHeight w:val="360"/>
        </w:trPr>
        <w:tc>
          <w:tcPr>
            <w:tcW w:w="5000" w:type="pct"/>
            <w:gridSpan w:val="2"/>
            <w:shd w:val="clear" w:color="auto" w:fill="E7E6E6"/>
            <w:vAlign w:val="center"/>
          </w:tcPr>
          <w:p w14:paraId="7223F222" w14:textId="173FD74E"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 xml:space="preserve">Social &amp; </w:t>
            </w:r>
            <w:r w:rsidR="00786CA1" w:rsidRPr="003516DC">
              <w:rPr>
                <w:rFonts w:ascii="Arial" w:hAnsi="Arial" w:cs="Arial"/>
                <w:b/>
                <w:bCs/>
                <w:sz w:val="18"/>
                <w:szCs w:val="18"/>
              </w:rPr>
              <w:t>C</w:t>
            </w:r>
            <w:r w:rsidRPr="003516DC">
              <w:rPr>
                <w:rFonts w:ascii="Arial" w:hAnsi="Arial" w:cs="Arial"/>
                <w:b/>
                <w:bCs/>
                <w:sz w:val="18"/>
                <w:szCs w:val="18"/>
              </w:rPr>
              <w:t>ultural</w:t>
            </w:r>
          </w:p>
        </w:tc>
      </w:tr>
      <w:tr w:rsidR="006F072D" w:rsidRPr="003516DC" w14:paraId="4071FD94" w14:textId="77777777" w:rsidTr="00794E77">
        <w:trPr>
          <w:trHeight w:val="1241"/>
        </w:trPr>
        <w:tc>
          <w:tcPr>
            <w:tcW w:w="2500" w:type="pct"/>
          </w:tcPr>
          <w:p w14:paraId="35D11A28" w14:textId="07337E24" w:rsidR="006F072D" w:rsidRPr="003516DC" w:rsidRDefault="00ED25F1" w:rsidP="00E42342">
            <w:pPr>
              <w:pStyle w:val="ListParagraph"/>
              <w:numPr>
                <w:ilvl w:val="0"/>
                <w:numId w:val="103"/>
              </w:numPr>
              <w:spacing w:line="240" w:lineRule="auto"/>
              <w:rPr>
                <w:sz w:val="18"/>
                <w:szCs w:val="18"/>
              </w:rPr>
            </w:pPr>
            <w:r w:rsidRPr="003516DC">
              <w:rPr>
                <w:sz w:val="18"/>
                <w:szCs w:val="18"/>
              </w:rPr>
              <w:t>P</w:t>
            </w:r>
            <w:r w:rsidR="00AB5885" w:rsidRPr="003516DC">
              <w:rPr>
                <w:sz w:val="18"/>
                <w:szCs w:val="18"/>
              </w:rPr>
              <w:t>otential for social and cultural development opportunities bearing into account the attractive positioning – which could be financed through difference EU programmes, given the high capacity for funds attraction at local level</w:t>
            </w:r>
            <w:r w:rsidR="000365AA" w:rsidRPr="003516DC">
              <w:rPr>
                <w:sz w:val="18"/>
                <w:szCs w:val="18"/>
              </w:rPr>
              <w:t>.</w:t>
            </w:r>
          </w:p>
        </w:tc>
        <w:tc>
          <w:tcPr>
            <w:tcW w:w="2500" w:type="pct"/>
          </w:tcPr>
          <w:p w14:paraId="31E53012" w14:textId="7F1282FB" w:rsidR="006F072D" w:rsidRPr="003516DC" w:rsidRDefault="006F072D" w:rsidP="007F792A">
            <w:pPr>
              <w:pStyle w:val="ListParagraph"/>
              <w:numPr>
                <w:ilvl w:val="0"/>
                <w:numId w:val="67"/>
              </w:numPr>
              <w:spacing w:line="240" w:lineRule="auto"/>
              <w:rPr>
                <w:sz w:val="18"/>
                <w:szCs w:val="18"/>
              </w:rPr>
            </w:pPr>
            <w:r w:rsidRPr="003516DC">
              <w:rPr>
                <w:sz w:val="18"/>
                <w:szCs w:val="18"/>
              </w:rPr>
              <w:t>Other urban areas might offer better quality of life and win the competition for residents</w:t>
            </w:r>
            <w:r w:rsidR="008E6A3D" w:rsidRPr="003516DC">
              <w:rPr>
                <w:sz w:val="18"/>
                <w:szCs w:val="18"/>
              </w:rPr>
              <w:t>.</w:t>
            </w:r>
          </w:p>
        </w:tc>
      </w:tr>
      <w:tr w:rsidR="006F072D" w:rsidRPr="003516DC" w14:paraId="2C6CF049" w14:textId="77777777" w:rsidTr="002007F5">
        <w:trPr>
          <w:trHeight w:val="360"/>
        </w:trPr>
        <w:tc>
          <w:tcPr>
            <w:tcW w:w="5000" w:type="pct"/>
            <w:gridSpan w:val="2"/>
            <w:shd w:val="clear" w:color="auto" w:fill="E7E6E6"/>
            <w:vAlign w:val="center"/>
          </w:tcPr>
          <w:p w14:paraId="7019E4D7" w14:textId="77777777" w:rsidR="006F072D" w:rsidRPr="003516DC" w:rsidRDefault="006F072D" w:rsidP="0034479D">
            <w:pPr>
              <w:jc w:val="center"/>
              <w:rPr>
                <w:rFonts w:ascii="Arial" w:hAnsi="Arial" w:cs="Arial"/>
                <w:b/>
                <w:bCs/>
                <w:sz w:val="18"/>
                <w:szCs w:val="18"/>
              </w:rPr>
            </w:pPr>
            <w:r w:rsidRPr="003516DC">
              <w:rPr>
                <w:rFonts w:ascii="Arial" w:hAnsi="Arial" w:cs="Arial"/>
                <w:b/>
                <w:bCs/>
                <w:sz w:val="18"/>
                <w:szCs w:val="18"/>
              </w:rPr>
              <w:t>Technological</w:t>
            </w:r>
          </w:p>
        </w:tc>
      </w:tr>
      <w:tr w:rsidR="006F072D" w:rsidRPr="003516DC" w14:paraId="3300D065" w14:textId="77777777" w:rsidTr="00794E77">
        <w:trPr>
          <w:trHeight w:val="1214"/>
        </w:trPr>
        <w:tc>
          <w:tcPr>
            <w:tcW w:w="2500" w:type="pct"/>
          </w:tcPr>
          <w:p w14:paraId="6A4AF4D0" w14:textId="0538A92C" w:rsidR="006F072D" w:rsidRPr="003516DC" w:rsidRDefault="006F072D" w:rsidP="007F792A">
            <w:pPr>
              <w:pStyle w:val="ListParagraph"/>
              <w:numPr>
                <w:ilvl w:val="0"/>
                <w:numId w:val="67"/>
              </w:numPr>
              <w:spacing w:line="240" w:lineRule="auto"/>
              <w:rPr>
                <w:sz w:val="18"/>
                <w:szCs w:val="18"/>
              </w:rPr>
            </w:pPr>
            <w:r w:rsidRPr="003516DC">
              <w:rPr>
                <w:sz w:val="18"/>
                <w:szCs w:val="18"/>
              </w:rPr>
              <w:t xml:space="preserve">New technologies can compensate, to a certain extent, diminishing workforce resources, </w:t>
            </w:r>
            <w:r w:rsidR="000365AA" w:rsidRPr="003516DC">
              <w:rPr>
                <w:sz w:val="18"/>
                <w:szCs w:val="18"/>
              </w:rPr>
              <w:t xml:space="preserve">which </w:t>
            </w:r>
            <w:r w:rsidRPr="003516DC">
              <w:rPr>
                <w:sz w:val="18"/>
                <w:szCs w:val="18"/>
              </w:rPr>
              <w:t>represent</w:t>
            </w:r>
            <w:r w:rsidR="000365AA" w:rsidRPr="003516DC">
              <w:rPr>
                <w:sz w:val="18"/>
                <w:szCs w:val="18"/>
              </w:rPr>
              <w:t>s</w:t>
            </w:r>
            <w:r w:rsidRPr="003516DC">
              <w:rPr>
                <w:sz w:val="18"/>
                <w:szCs w:val="18"/>
              </w:rPr>
              <w:t xml:space="preserve"> a</w:t>
            </w:r>
            <w:r w:rsidR="000365AA" w:rsidRPr="003516DC">
              <w:rPr>
                <w:sz w:val="18"/>
                <w:szCs w:val="18"/>
              </w:rPr>
              <w:t>n</w:t>
            </w:r>
            <w:r w:rsidRPr="003516DC">
              <w:rPr>
                <w:sz w:val="18"/>
                <w:szCs w:val="18"/>
              </w:rPr>
              <w:t xml:space="preserve"> opportunity </w:t>
            </w:r>
            <w:r w:rsidR="005E21F8" w:rsidRPr="003516DC">
              <w:rPr>
                <w:sz w:val="18"/>
                <w:szCs w:val="18"/>
              </w:rPr>
              <w:t xml:space="preserve">to </w:t>
            </w:r>
            <w:r w:rsidRPr="003516DC">
              <w:rPr>
                <w:sz w:val="18"/>
                <w:szCs w:val="18"/>
              </w:rPr>
              <w:t>increase local business competitiveness despite declining demographics</w:t>
            </w:r>
            <w:r w:rsidR="008E6A3D" w:rsidRPr="003516DC">
              <w:rPr>
                <w:sz w:val="18"/>
                <w:szCs w:val="18"/>
              </w:rPr>
              <w:t>.</w:t>
            </w:r>
          </w:p>
        </w:tc>
        <w:tc>
          <w:tcPr>
            <w:tcW w:w="2500" w:type="pct"/>
          </w:tcPr>
          <w:p w14:paraId="589EB6AA" w14:textId="6BBC79A6" w:rsidR="006F072D" w:rsidRPr="003516DC" w:rsidRDefault="006F072D" w:rsidP="007F792A">
            <w:pPr>
              <w:pStyle w:val="ListParagraph"/>
              <w:numPr>
                <w:ilvl w:val="0"/>
                <w:numId w:val="67"/>
              </w:numPr>
              <w:spacing w:line="240" w:lineRule="auto"/>
              <w:rPr>
                <w:sz w:val="18"/>
                <w:szCs w:val="18"/>
              </w:rPr>
            </w:pPr>
            <w:r w:rsidRPr="003516DC">
              <w:rPr>
                <w:sz w:val="18"/>
                <w:szCs w:val="18"/>
              </w:rPr>
              <w:t xml:space="preserve">An increasing technological divide among competitive EU </w:t>
            </w:r>
            <w:r w:rsidR="008E6A3D" w:rsidRPr="003516DC">
              <w:rPr>
                <w:sz w:val="18"/>
                <w:szCs w:val="18"/>
              </w:rPr>
              <w:t>countries</w:t>
            </w:r>
            <w:r w:rsidRPr="003516DC">
              <w:rPr>
                <w:sz w:val="18"/>
                <w:szCs w:val="18"/>
              </w:rPr>
              <w:t xml:space="preserve"> based on knowledge </w:t>
            </w:r>
            <w:r w:rsidR="008E6A3D" w:rsidRPr="003516DC">
              <w:rPr>
                <w:sz w:val="18"/>
                <w:szCs w:val="18"/>
              </w:rPr>
              <w:t>economy.</w:t>
            </w:r>
            <w:r w:rsidRPr="003516DC">
              <w:rPr>
                <w:sz w:val="18"/>
                <w:szCs w:val="18"/>
              </w:rPr>
              <w:t xml:space="preserve"> </w:t>
            </w:r>
          </w:p>
          <w:p w14:paraId="5BD26F33" w14:textId="50C07C0D" w:rsidR="006F072D" w:rsidRPr="003516DC" w:rsidRDefault="006F072D" w:rsidP="007F792A">
            <w:pPr>
              <w:pStyle w:val="ListParagraph"/>
              <w:numPr>
                <w:ilvl w:val="0"/>
                <w:numId w:val="67"/>
              </w:numPr>
              <w:spacing w:line="240" w:lineRule="auto"/>
              <w:rPr>
                <w:sz w:val="18"/>
                <w:szCs w:val="18"/>
              </w:rPr>
            </w:pPr>
            <w:r w:rsidRPr="003516DC">
              <w:rPr>
                <w:sz w:val="18"/>
                <w:szCs w:val="18"/>
              </w:rPr>
              <w:t>Funding and know-how barriers</w:t>
            </w:r>
            <w:r w:rsidR="008E6A3D" w:rsidRPr="003516DC">
              <w:rPr>
                <w:sz w:val="18"/>
                <w:szCs w:val="18"/>
              </w:rPr>
              <w:t>.</w:t>
            </w:r>
          </w:p>
        </w:tc>
      </w:tr>
    </w:tbl>
    <w:p w14:paraId="4B868A30" w14:textId="3F93BB38" w:rsidR="00E03049" w:rsidRPr="003516DC" w:rsidRDefault="00E03049" w:rsidP="002007F5">
      <w:pPr>
        <w:spacing w:before="120" w:after="120"/>
        <w:jc w:val="both"/>
        <w:rPr>
          <w:rFonts w:ascii="Arial" w:hAnsi="Arial" w:cs="Arial"/>
          <w:bCs/>
          <w:i/>
          <w:iCs/>
          <w:color w:val="0070C0"/>
          <w:sz w:val="20"/>
          <w:szCs w:val="20"/>
        </w:rPr>
      </w:pPr>
      <w:r w:rsidRPr="003516DC">
        <w:rPr>
          <w:rFonts w:ascii="Arial" w:hAnsi="Arial" w:cs="Arial"/>
          <w:bCs/>
          <w:i/>
          <w:iCs/>
          <w:color w:val="0070C0"/>
          <w:sz w:val="20"/>
          <w:szCs w:val="20"/>
        </w:rPr>
        <w:t>Strategic outlook</w:t>
      </w:r>
    </w:p>
    <w:p w14:paraId="3A89D82C" w14:textId="0630DE06" w:rsidR="00E03049" w:rsidRPr="003516DC" w:rsidRDefault="003751DC" w:rsidP="002007F5">
      <w:pPr>
        <w:spacing w:after="120"/>
        <w:jc w:val="both"/>
        <w:rPr>
          <w:rFonts w:ascii="Arial" w:hAnsi="Arial" w:cs="Arial"/>
          <w:sz w:val="20"/>
          <w:szCs w:val="20"/>
        </w:rPr>
      </w:pPr>
      <w:r>
        <w:rPr>
          <w:rFonts w:ascii="Arial" w:hAnsi="Arial" w:cs="Arial"/>
          <w:sz w:val="20"/>
          <w:szCs w:val="20"/>
        </w:rPr>
        <w:t>Galați</w:t>
      </w:r>
      <w:r w:rsidR="00E03049" w:rsidRPr="003516DC">
        <w:rPr>
          <w:rFonts w:ascii="Arial" w:hAnsi="Arial" w:cs="Arial"/>
          <w:sz w:val="20"/>
          <w:szCs w:val="20"/>
        </w:rPr>
        <w:t xml:space="preserve">, and its county seat city, which </w:t>
      </w:r>
      <w:r w:rsidR="00985606" w:rsidRPr="003516DC">
        <w:rPr>
          <w:rFonts w:ascii="Arial" w:hAnsi="Arial" w:cs="Arial"/>
          <w:sz w:val="20"/>
          <w:szCs w:val="20"/>
        </w:rPr>
        <w:t xml:space="preserve">accounts for </w:t>
      </w:r>
      <w:r w:rsidR="00467B85" w:rsidRPr="003516DC">
        <w:rPr>
          <w:rFonts w:ascii="Arial" w:hAnsi="Arial" w:cs="Arial"/>
          <w:sz w:val="20"/>
          <w:szCs w:val="20"/>
        </w:rPr>
        <w:t>most of</w:t>
      </w:r>
      <w:r w:rsidR="00E03049" w:rsidRPr="003516DC">
        <w:rPr>
          <w:rFonts w:ascii="Arial" w:hAnsi="Arial" w:cs="Arial"/>
          <w:sz w:val="20"/>
          <w:szCs w:val="20"/>
        </w:rPr>
        <w:t xml:space="preserve"> the population and business, is </w:t>
      </w:r>
      <w:r w:rsidR="00240781" w:rsidRPr="003516DC">
        <w:rPr>
          <w:rFonts w:ascii="Arial" w:hAnsi="Arial" w:cs="Arial"/>
          <w:sz w:val="20"/>
          <w:szCs w:val="20"/>
        </w:rPr>
        <w:t>a</w:t>
      </w:r>
      <w:r w:rsidR="00E03049" w:rsidRPr="003516DC">
        <w:rPr>
          <w:rFonts w:ascii="Arial" w:hAnsi="Arial" w:cs="Arial"/>
          <w:sz w:val="20"/>
          <w:szCs w:val="20"/>
        </w:rPr>
        <w:t xml:space="preserve"> typical example of </w:t>
      </w:r>
      <w:r w:rsidR="00240781" w:rsidRPr="003516DC">
        <w:rPr>
          <w:rFonts w:ascii="Arial" w:hAnsi="Arial" w:cs="Arial"/>
          <w:sz w:val="20"/>
          <w:szCs w:val="20"/>
        </w:rPr>
        <w:t xml:space="preserve">a </w:t>
      </w:r>
      <w:r w:rsidR="00E03049" w:rsidRPr="003516DC">
        <w:rPr>
          <w:rFonts w:ascii="Arial" w:hAnsi="Arial" w:cs="Arial"/>
          <w:sz w:val="20"/>
          <w:szCs w:val="20"/>
        </w:rPr>
        <w:t xml:space="preserve">mono-industrial city </w:t>
      </w:r>
      <w:r w:rsidR="00240781" w:rsidRPr="003516DC">
        <w:rPr>
          <w:rFonts w:ascii="Arial" w:hAnsi="Arial" w:cs="Arial"/>
          <w:sz w:val="20"/>
          <w:szCs w:val="20"/>
        </w:rPr>
        <w:t>that</w:t>
      </w:r>
      <w:r w:rsidR="00E03049" w:rsidRPr="003516DC">
        <w:rPr>
          <w:rFonts w:ascii="Arial" w:hAnsi="Arial" w:cs="Arial"/>
          <w:sz w:val="20"/>
          <w:szCs w:val="20"/>
        </w:rPr>
        <w:t xml:space="preserve"> developed during the fast-paced industriali</w:t>
      </w:r>
      <w:r w:rsidR="00240781" w:rsidRPr="003516DC">
        <w:rPr>
          <w:rFonts w:ascii="Arial" w:hAnsi="Arial" w:cs="Arial"/>
          <w:sz w:val="20"/>
          <w:szCs w:val="20"/>
        </w:rPr>
        <w:t>s</w:t>
      </w:r>
      <w:r w:rsidR="00E03049" w:rsidRPr="003516DC">
        <w:rPr>
          <w:rFonts w:ascii="Arial" w:hAnsi="Arial" w:cs="Arial"/>
          <w:sz w:val="20"/>
          <w:szCs w:val="20"/>
        </w:rPr>
        <w:t xml:space="preserve">ation policy of the communist regime. The city, situated on the Danube </w:t>
      </w:r>
      <w:r w:rsidR="00240781" w:rsidRPr="003516DC">
        <w:rPr>
          <w:rFonts w:ascii="Arial" w:hAnsi="Arial" w:cs="Arial"/>
          <w:sz w:val="20"/>
          <w:szCs w:val="20"/>
        </w:rPr>
        <w:t>and</w:t>
      </w:r>
      <w:r w:rsidR="00E03049" w:rsidRPr="003516DC">
        <w:rPr>
          <w:rFonts w:ascii="Arial" w:hAnsi="Arial" w:cs="Arial"/>
          <w:sz w:val="20"/>
          <w:szCs w:val="20"/>
        </w:rPr>
        <w:t xml:space="preserve"> next to Romania’s Eastern border, was developed as </w:t>
      </w:r>
      <w:r w:rsidR="00CB5241" w:rsidRPr="003516DC">
        <w:rPr>
          <w:rFonts w:ascii="Arial" w:hAnsi="Arial" w:cs="Arial"/>
          <w:sz w:val="20"/>
          <w:szCs w:val="20"/>
        </w:rPr>
        <w:t xml:space="preserve">a </w:t>
      </w:r>
      <w:r w:rsidR="00E03049" w:rsidRPr="003516DC">
        <w:rPr>
          <w:rFonts w:ascii="Arial" w:hAnsi="Arial" w:cs="Arial"/>
          <w:sz w:val="20"/>
          <w:szCs w:val="20"/>
        </w:rPr>
        <w:t xml:space="preserve">steel industry </w:t>
      </w:r>
      <w:r w:rsidR="0048310F" w:rsidRPr="003516DC">
        <w:rPr>
          <w:rFonts w:ascii="Arial" w:hAnsi="Arial" w:cs="Arial"/>
          <w:sz w:val="20"/>
          <w:szCs w:val="20"/>
        </w:rPr>
        <w:t>centre</w:t>
      </w:r>
      <w:r w:rsidR="00E03049" w:rsidRPr="003516DC">
        <w:rPr>
          <w:rFonts w:ascii="Arial" w:hAnsi="Arial" w:cs="Arial"/>
          <w:sz w:val="20"/>
          <w:szCs w:val="20"/>
        </w:rPr>
        <w:t xml:space="preserve"> </w:t>
      </w:r>
      <w:r w:rsidR="00CB5241" w:rsidRPr="003516DC">
        <w:rPr>
          <w:rFonts w:ascii="Arial" w:hAnsi="Arial" w:cs="Arial"/>
          <w:sz w:val="20"/>
          <w:szCs w:val="20"/>
        </w:rPr>
        <w:t>in</w:t>
      </w:r>
      <w:r w:rsidR="00E03049" w:rsidRPr="003516DC">
        <w:rPr>
          <w:rFonts w:ascii="Arial" w:hAnsi="Arial" w:cs="Arial"/>
          <w:sz w:val="20"/>
          <w:szCs w:val="20"/>
        </w:rPr>
        <w:t xml:space="preserve"> the </w:t>
      </w:r>
      <w:r w:rsidR="00CB5241" w:rsidRPr="003516DC">
        <w:rPr>
          <w:rFonts w:ascii="Arial" w:hAnsi="Arial" w:cs="Arial"/>
          <w:sz w:val="20"/>
          <w:szCs w:val="20"/>
        </w:rPr>
        <w:t>19</w:t>
      </w:r>
      <w:r w:rsidR="00E03049" w:rsidRPr="003516DC">
        <w:rPr>
          <w:rFonts w:ascii="Arial" w:hAnsi="Arial" w:cs="Arial"/>
          <w:sz w:val="20"/>
          <w:szCs w:val="20"/>
        </w:rPr>
        <w:t>60’s</w:t>
      </w:r>
      <w:r w:rsidR="00CB5241" w:rsidRPr="003516DC">
        <w:rPr>
          <w:rFonts w:ascii="Arial" w:hAnsi="Arial" w:cs="Arial"/>
          <w:sz w:val="20"/>
          <w:szCs w:val="20"/>
        </w:rPr>
        <w:t>. It</w:t>
      </w:r>
      <w:r w:rsidR="00E03049" w:rsidRPr="003516DC">
        <w:rPr>
          <w:rFonts w:ascii="Arial" w:hAnsi="Arial" w:cs="Arial"/>
          <w:sz w:val="20"/>
          <w:szCs w:val="20"/>
        </w:rPr>
        <w:t xml:space="preserve"> lack</w:t>
      </w:r>
      <w:r w:rsidR="00CB5241" w:rsidRPr="003516DC">
        <w:rPr>
          <w:rFonts w:ascii="Arial" w:hAnsi="Arial" w:cs="Arial"/>
          <w:sz w:val="20"/>
          <w:szCs w:val="20"/>
        </w:rPr>
        <w:t>ed</w:t>
      </w:r>
      <w:r w:rsidR="00E03049" w:rsidRPr="003516DC">
        <w:rPr>
          <w:rFonts w:ascii="Arial" w:hAnsi="Arial" w:cs="Arial"/>
          <w:sz w:val="20"/>
          <w:szCs w:val="20"/>
        </w:rPr>
        <w:t xml:space="preserve"> previous </w:t>
      </w:r>
      <w:r w:rsidR="00CB5241" w:rsidRPr="003516DC">
        <w:rPr>
          <w:rFonts w:ascii="Arial" w:hAnsi="Arial" w:cs="Arial"/>
          <w:sz w:val="20"/>
          <w:szCs w:val="20"/>
        </w:rPr>
        <w:t>experience</w:t>
      </w:r>
      <w:r w:rsidR="00E03049" w:rsidRPr="003516DC">
        <w:rPr>
          <w:rFonts w:ascii="Arial" w:hAnsi="Arial" w:cs="Arial"/>
          <w:sz w:val="20"/>
          <w:szCs w:val="20"/>
        </w:rPr>
        <w:t xml:space="preserve"> in this industry </w:t>
      </w:r>
      <w:r w:rsidR="00CB5241" w:rsidRPr="003516DC">
        <w:rPr>
          <w:rFonts w:ascii="Arial" w:hAnsi="Arial" w:cs="Arial"/>
          <w:sz w:val="20"/>
          <w:szCs w:val="20"/>
        </w:rPr>
        <w:t>and was not</w:t>
      </w:r>
      <w:r w:rsidR="00E03049" w:rsidRPr="003516DC">
        <w:rPr>
          <w:rFonts w:ascii="Arial" w:hAnsi="Arial" w:cs="Arial"/>
          <w:sz w:val="20"/>
          <w:szCs w:val="20"/>
        </w:rPr>
        <w:t xml:space="preserve"> situated </w:t>
      </w:r>
      <w:r w:rsidR="00CB5241" w:rsidRPr="003516DC">
        <w:rPr>
          <w:rFonts w:ascii="Arial" w:hAnsi="Arial" w:cs="Arial"/>
          <w:sz w:val="20"/>
          <w:szCs w:val="20"/>
        </w:rPr>
        <w:t>close</w:t>
      </w:r>
      <w:r w:rsidR="00E03049" w:rsidRPr="003516DC">
        <w:rPr>
          <w:rFonts w:ascii="Arial" w:hAnsi="Arial" w:cs="Arial"/>
          <w:sz w:val="20"/>
          <w:szCs w:val="20"/>
        </w:rPr>
        <w:t xml:space="preserve"> to relevant raw material sources. Essentially, the centrally planned economy of the communist regime chose this location given connectivity on waterways, </w:t>
      </w:r>
      <w:r w:rsidR="00CB5241" w:rsidRPr="003516DC">
        <w:rPr>
          <w:rFonts w:ascii="Arial" w:hAnsi="Arial" w:cs="Arial"/>
          <w:sz w:val="20"/>
          <w:szCs w:val="20"/>
        </w:rPr>
        <w:t>i.e., the</w:t>
      </w:r>
      <w:r w:rsidR="00E03049" w:rsidRPr="003516DC">
        <w:rPr>
          <w:rFonts w:ascii="Arial" w:hAnsi="Arial" w:cs="Arial"/>
          <w:sz w:val="20"/>
          <w:szCs w:val="20"/>
        </w:rPr>
        <w:t xml:space="preserve"> Danube and Black </w:t>
      </w:r>
      <w:r w:rsidR="00CB5241" w:rsidRPr="003516DC">
        <w:rPr>
          <w:rFonts w:ascii="Arial" w:hAnsi="Arial" w:cs="Arial"/>
          <w:sz w:val="20"/>
          <w:szCs w:val="20"/>
        </w:rPr>
        <w:t>S</w:t>
      </w:r>
      <w:r w:rsidR="00E03049" w:rsidRPr="003516DC">
        <w:rPr>
          <w:rFonts w:ascii="Arial" w:hAnsi="Arial" w:cs="Arial"/>
          <w:sz w:val="20"/>
          <w:szCs w:val="20"/>
        </w:rPr>
        <w:t>ea</w:t>
      </w:r>
      <w:r w:rsidR="00CB5241" w:rsidRPr="003516DC">
        <w:rPr>
          <w:rFonts w:ascii="Arial" w:hAnsi="Arial" w:cs="Arial"/>
          <w:sz w:val="20"/>
          <w:szCs w:val="20"/>
        </w:rPr>
        <w:t>.</w:t>
      </w:r>
      <w:r w:rsidR="00E03049" w:rsidRPr="003516DC">
        <w:rPr>
          <w:rFonts w:ascii="Arial" w:hAnsi="Arial" w:cs="Arial"/>
          <w:sz w:val="20"/>
          <w:szCs w:val="20"/>
        </w:rPr>
        <w:t xml:space="preserve"> </w:t>
      </w:r>
      <w:r w:rsidR="00402BE1" w:rsidRPr="003516DC">
        <w:rPr>
          <w:rFonts w:ascii="Arial" w:hAnsi="Arial" w:cs="Arial"/>
          <w:sz w:val="20"/>
          <w:szCs w:val="20"/>
        </w:rPr>
        <w:t xml:space="preserve">This geographical position </w:t>
      </w:r>
      <w:r w:rsidR="00E03049" w:rsidRPr="003516DC">
        <w:rPr>
          <w:rFonts w:ascii="Arial" w:hAnsi="Arial" w:cs="Arial"/>
          <w:sz w:val="20"/>
          <w:szCs w:val="20"/>
        </w:rPr>
        <w:t xml:space="preserve">could be exploited </w:t>
      </w:r>
      <w:r w:rsidR="00A666FD" w:rsidRPr="003516DC">
        <w:rPr>
          <w:rFonts w:ascii="Arial" w:hAnsi="Arial" w:cs="Arial"/>
          <w:sz w:val="20"/>
          <w:szCs w:val="20"/>
        </w:rPr>
        <w:t xml:space="preserve">to </w:t>
      </w:r>
      <w:r w:rsidR="00E03049" w:rsidRPr="003516DC">
        <w:rPr>
          <w:rFonts w:ascii="Arial" w:hAnsi="Arial" w:cs="Arial"/>
          <w:sz w:val="20"/>
          <w:szCs w:val="20"/>
        </w:rPr>
        <w:t xml:space="preserve">bring in raw materials as well as transport out resulting steel products. The rest of the county has been and still is largely agricultural. The steel works developed in the second part of the </w:t>
      </w:r>
      <w:r w:rsidR="0048310F" w:rsidRPr="003516DC">
        <w:rPr>
          <w:rFonts w:ascii="Arial" w:hAnsi="Arial" w:cs="Arial"/>
          <w:sz w:val="20"/>
          <w:szCs w:val="20"/>
        </w:rPr>
        <w:t>20</w:t>
      </w:r>
      <w:r w:rsidR="0048310F" w:rsidRPr="003516DC">
        <w:rPr>
          <w:rFonts w:ascii="Arial" w:hAnsi="Arial" w:cs="Arial"/>
          <w:sz w:val="20"/>
          <w:szCs w:val="20"/>
          <w:vertAlign w:val="superscript"/>
        </w:rPr>
        <w:t>th</w:t>
      </w:r>
      <w:r w:rsidR="00653ABE" w:rsidRPr="003516DC">
        <w:rPr>
          <w:rFonts w:ascii="Arial" w:hAnsi="Arial" w:cs="Arial"/>
          <w:sz w:val="20"/>
          <w:szCs w:val="20"/>
        </w:rPr>
        <w:t xml:space="preserve"> c</w:t>
      </w:r>
      <w:r w:rsidR="00E03049" w:rsidRPr="003516DC">
        <w:rPr>
          <w:rFonts w:ascii="Arial" w:hAnsi="Arial" w:cs="Arial"/>
          <w:sz w:val="20"/>
          <w:szCs w:val="20"/>
        </w:rPr>
        <w:t xml:space="preserve">entury as the main – and almost single – employer and economic engine of </w:t>
      </w:r>
      <w:r>
        <w:rPr>
          <w:rFonts w:ascii="Arial" w:hAnsi="Arial" w:cs="Arial"/>
          <w:sz w:val="20"/>
          <w:szCs w:val="20"/>
        </w:rPr>
        <w:t>Galați</w:t>
      </w:r>
      <w:r w:rsidR="00E03049" w:rsidRPr="003516DC">
        <w:rPr>
          <w:rFonts w:ascii="Arial" w:hAnsi="Arial" w:cs="Arial"/>
          <w:sz w:val="20"/>
          <w:szCs w:val="20"/>
        </w:rPr>
        <w:t>. The post-communist privati</w:t>
      </w:r>
      <w:r w:rsidR="00D5246F" w:rsidRPr="003516DC">
        <w:rPr>
          <w:rFonts w:ascii="Arial" w:hAnsi="Arial" w:cs="Arial"/>
          <w:sz w:val="20"/>
          <w:szCs w:val="20"/>
        </w:rPr>
        <w:t>s</w:t>
      </w:r>
      <w:r w:rsidR="00E03049" w:rsidRPr="003516DC">
        <w:rPr>
          <w:rFonts w:ascii="Arial" w:hAnsi="Arial" w:cs="Arial"/>
          <w:sz w:val="20"/>
          <w:szCs w:val="20"/>
        </w:rPr>
        <w:t>ation</w:t>
      </w:r>
      <w:r w:rsidR="00D5246F" w:rsidRPr="003516DC">
        <w:rPr>
          <w:rFonts w:ascii="Arial" w:hAnsi="Arial" w:cs="Arial"/>
          <w:sz w:val="20"/>
          <w:szCs w:val="20"/>
        </w:rPr>
        <w:t xml:space="preserve"> and</w:t>
      </w:r>
      <w:r w:rsidR="00E03049" w:rsidRPr="003516DC">
        <w:rPr>
          <w:rFonts w:ascii="Arial" w:hAnsi="Arial" w:cs="Arial"/>
          <w:sz w:val="20"/>
          <w:szCs w:val="20"/>
        </w:rPr>
        <w:t xml:space="preserve"> transition to </w:t>
      </w:r>
      <w:r w:rsidR="005677F6" w:rsidRPr="003516DC">
        <w:rPr>
          <w:rFonts w:ascii="Arial" w:hAnsi="Arial" w:cs="Arial"/>
          <w:sz w:val="20"/>
          <w:szCs w:val="20"/>
        </w:rPr>
        <w:t xml:space="preserve">a </w:t>
      </w:r>
      <w:r w:rsidR="00E03049" w:rsidRPr="003516DC">
        <w:rPr>
          <w:rFonts w:ascii="Arial" w:hAnsi="Arial" w:cs="Arial"/>
          <w:sz w:val="20"/>
          <w:szCs w:val="20"/>
        </w:rPr>
        <w:t>market economy and global competition has hit this industry</w:t>
      </w:r>
      <w:r w:rsidR="005677F6" w:rsidRPr="003516DC">
        <w:rPr>
          <w:rFonts w:ascii="Arial" w:hAnsi="Arial" w:cs="Arial"/>
          <w:sz w:val="20"/>
          <w:szCs w:val="20"/>
        </w:rPr>
        <w:t xml:space="preserve"> hard</w:t>
      </w:r>
      <w:r w:rsidR="00717263" w:rsidRPr="003516DC">
        <w:rPr>
          <w:rFonts w:ascii="Arial" w:hAnsi="Arial" w:cs="Arial"/>
          <w:sz w:val="20"/>
          <w:szCs w:val="20"/>
        </w:rPr>
        <w:t>.</w:t>
      </w:r>
      <w:r w:rsidR="00717263" w:rsidRPr="003516DC" w:rsidDel="00717263">
        <w:rPr>
          <w:rFonts w:ascii="Arial" w:hAnsi="Arial" w:cs="Arial"/>
          <w:sz w:val="20"/>
          <w:szCs w:val="20"/>
        </w:rPr>
        <w:t xml:space="preserve"> </w:t>
      </w:r>
      <w:r w:rsidR="00717263" w:rsidRPr="003516DC">
        <w:rPr>
          <w:rFonts w:ascii="Arial" w:hAnsi="Arial" w:cs="Arial"/>
          <w:sz w:val="20"/>
          <w:szCs w:val="20"/>
        </w:rPr>
        <w:t>M</w:t>
      </w:r>
      <w:r w:rsidR="00E03049" w:rsidRPr="003516DC">
        <w:rPr>
          <w:rFonts w:ascii="Arial" w:hAnsi="Arial" w:cs="Arial"/>
          <w:sz w:val="20"/>
          <w:szCs w:val="20"/>
        </w:rPr>
        <w:t>ore than 20</w:t>
      </w:r>
      <w:r w:rsidR="00717263" w:rsidRPr="003516DC">
        <w:rPr>
          <w:rFonts w:ascii="Arial" w:hAnsi="Arial" w:cs="Arial"/>
          <w:sz w:val="20"/>
          <w:szCs w:val="20"/>
        </w:rPr>
        <w:t>,000</w:t>
      </w:r>
      <w:r w:rsidR="00E03049" w:rsidRPr="003516DC">
        <w:rPr>
          <w:rFonts w:ascii="Arial" w:hAnsi="Arial" w:cs="Arial"/>
          <w:sz w:val="20"/>
          <w:szCs w:val="20"/>
        </w:rPr>
        <w:t xml:space="preserve"> jobs</w:t>
      </w:r>
      <w:r w:rsidR="00717263" w:rsidRPr="003516DC">
        <w:rPr>
          <w:rFonts w:ascii="Arial" w:hAnsi="Arial" w:cs="Arial"/>
          <w:sz w:val="20"/>
          <w:szCs w:val="20"/>
        </w:rPr>
        <w:t xml:space="preserve"> were los</w:t>
      </w:r>
      <w:r w:rsidR="006C3CDC" w:rsidRPr="003516DC">
        <w:rPr>
          <w:rFonts w:ascii="Arial" w:hAnsi="Arial" w:cs="Arial"/>
          <w:sz w:val="20"/>
          <w:szCs w:val="20"/>
        </w:rPr>
        <w:t>t</w:t>
      </w:r>
      <w:r w:rsidR="00E03049" w:rsidRPr="003516DC">
        <w:rPr>
          <w:rFonts w:ascii="Arial" w:hAnsi="Arial" w:cs="Arial"/>
          <w:sz w:val="20"/>
          <w:szCs w:val="20"/>
        </w:rPr>
        <w:t xml:space="preserve">, </w:t>
      </w:r>
      <w:r w:rsidR="006C3CDC" w:rsidRPr="003516DC">
        <w:rPr>
          <w:rFonts w:ascii="Arial" w:hAnsi="Arial" w:cs="Arial"/>
          <w:sz w:val="20"/>
          <w:szCs w:val="20"/>
        </w:rPr>
        <w:t>with</w:t>
      </w:r>
      <w:r w:rsidR="00E03049" w:rsidRPr="003516DC">
        <w:rPr>
          <w:rFonts w:ascii="Arial" w:hAnsi="Arial" w:cs="Arial"/>
          <w:sz w:val="20"/>
          <w:szCs w:val="20"/>
        </w:rPr>
        <w:t xml:space="preserve"> layoffs peaking in 2000s. The weak diversification and competitiveness of </w:t>
      </w:r>
      <w:r>
        <w:rPr>
          <w:rFonts w:ascii="Arial" w:hAnsi="Arial" w:cs="Arial"/>
          <w:sz w:val="20"/>
          <w:szCs w:val="20"/>
        </w:rPr>
        <w:t>Galați</w:t>
      </w:r>
      <w:r w:rsidR="00E03049" w:rsidRPr="003516DC">
        <w:rPr>
          <w:rFonts w:ascii="Arial" w:hAnsi="Arial" w:cs="Arial"/>
          <w:sz w:val="20"/>
          <w:szCs w:val="20"/>
        </w:rPr>
        <w:t xml:space="preserve">, </w:t>
      </w:r>
      <w:r w:rsidR="009564FA" w:rsidRPr="003516DC">
        <w:rPr>
          <w:rFonts w:ascii="Arial" w:hAnsi="Arial" w:cs="Arial"/>
          <w:sz w:val="20"/>
          <w:szCs w:val="20"/>
        </w:rPr>
        <w:t>highlighted</w:t>
      </w:r>
      <w:r w:rsidR="00E03049" w:rsidRPr="003516DC">
        <w:rPr>
          <w:rFonts w:ascii="Arial" w:hAnsi="Arial" w:cs="Arial"/>
          <w:sz w:val="20"/>
          <w:szCs w:val="20"/>
        </w:rPr>
        <w:t xml:space="preserve"> by the business data processing above, indicate that th</w:t>
      </w:r>
      <w:r w:rsidR="00770B28" w:rsidRPr="003516DC">
        <w:rPr>
          <w:rFonts w:ascii="Arial" w:hAnsi="Arial" w:cs="Arial"/>
          <w:sz w:val="20"/>
          <w:szCs w:val="20"/>
        </w:rPr>
        <w:t>e</w:t>
      </w:r>
      <w:r w:rsidR="00E03049" w:rsidRPr="003516DC">
        <w:rPr>
          <w:rFonts w:ascii="Arial" w:hAnsi="Arial" w:cs="Arial"/>
          <w:sz w:val="20"/>
          <w:szCs w:val="20"/>
        </w:rPr>
        <w:t xml:space="preserve"> county still has not </w:t>
      </w:r>
      <w:r w:rsidR="00770B28" w:rsidRPr="003516DC">
        <w:rPr>
          <w:rFonts w:ascii="Arial" w:hAnsi="Arial" w:cs="Arial"/>
          <w:sz w:val="20"/>
          <w:szCs w:val="20"/>
        </w:rPr>
        <w:t>identified</w:t>
      </w:r>
      <w:r w:rsidR="00E03049" w:rsidRPr="003516DC">
        <w:rPr>
          <w:rFonts w:ascii="Arial" w:hAnsi="Arial" w:cs="Arial"/>
          <w:sz w:val="20"/>
          <w:szCs w:val="20"/>
        </w:rPr>
        <w:t xml:space="preserve"> other business development paths as </w:t>
      </w:r>
      <w:r w:rsidR="00BC7B01" w:rsidRPr="003516DC">
        <w:rPr>
          <w:rFonts w:ascii="Arial" w:hAnsi="Arial" w:cs="Arial"/>
          <w:sz w:val="20"/>
          <w:szCs w:val="20"/>
        </w:rPr>
        <w:t xml:space="preserve">an </w:t>
      </w:r>
      <w:r w:rsidR="00E03049" w:rsidRPr="003516DC">
        <w:rPr>
          <w:rFonts w:ascii="Arial" w:hAnsi="Arial" w:cs="Arial"/>
          <w:sz w:val="20"/>
          <w:szCs w:val="20"/>
        </w:rPr>
        <w:t xml:space="preserve">alternative to its steelworks. Liberty </w:t>
      </w:r>
      <w:r>
        <w:rPr>
          <w:rFonts w:ascii="Arial" w:hAnsi="Arial" w:cs="Arial"/>
          <w:sz w:val="20"/>
          <w:szCs w:val="20"/>
        </w:rPr>
        <w:t>Galați</w:t>
      </w:r>
      <w:r w:rsidR="00E03049" w:rsidRPr="003516DC">
        <w:rPr>
          <w:rFonts w:ascii="Arial" w:hAnsi="Arial" w:cs="Arial"/>
          <w:sz w:val="20"/>
          <w:szCs w:val="20"/>
        </w:rPr>
        <w:t>, while a fraction of th</w:t>
      </w:r>
      <w:r w:rsidR="009F42CA" w:rsidRPr="003516DC">
        <w:rPr>
          <w:rFonts w:ascii="Arial" w:hAnsi="Arial" w:cs="Arial"/>
          <w:sz w:val="20"/>
          <w:szCs w:val="20"/>
        </w:rPr>
        <w:t>e</w:t>
      </w:r>
      <w:r w:rsidR="00E03049" w:rsidRPr="003516DC">
        <w:rPr>
          <w:rFonts w:ascii="Arial" w:hAnsi="Arial" w:cs="Arial"/>
          <w:sz w:val="20"/>
          <w:szCs w:val="20"/>
        </w:rPr>
        <w:t xml:space="preserve"> industrial entity </w:t>
      </w:r>
      <w:r w:rsidR="009F42CA" w:rsidRPr="003516DC">
        <w:rPr>
          <w:rFonts w:ascii="Arial" w:hAnsi="Arial" w:cs="Arial"/>
          <w:sz w:val="20"/>
          <w:szCs w:val="20"/>
        </w:rPr>
        <w:t xml:space="preserve">it </w:t>
      </w:r>
      <w:r w:rsidR="00E03049" w:rsidRPr="003516DC">
        <w:rPr>
          <w:rFonts w:ascii="Arial" w:hAnsi="Arial" w:cs="Arial"/>
          <w:sz w:val="20"/>
          <w:szCs w:val="20"/>
        </w:rPr>
        <w:t>used to be, is still the main local employer.</w:t>
      </w:r>
    </w:p>
    <w:p w14:paraId="5536D392" w14:textId="73F1BA97" w:rsidR="00E03049" w:rsidRPr="003516DC" w:rsidRDefault="006C2140" w:rsidP="000365AA">
      <w:pPr>
        <w:spacing w:before="240" w:after="120"/>
        <w:jc w:val="both"/>
        <w:rPr>
          <w:rFonts w:ascii="Arial" w:hAnsi="Arial" w:cs="Arial"/>
          <w:sz w:val="20"/>
          <w:szCs w:val="20"/>
        </w:rPr>
      </w:pPr>
      <w:r w:rsidRPr="003516DC">
        <w:rPr>
          <w:rFonts w:ascii="Arial" w:hAnsi="Arial" w:cs="Arial"/>
          <w:sz w:val="20"/>
          <w:szCs w:val="20"/>
        </w:rPr>
        <w:t>T</w:t>
      </w:r>
      <w:r w:rsidR="00E03049" w:rsidRPr="003516DC">
        <w:rPr>
          <w:rFonts w:ascii="Arial" w:hAnsi="Arial" w:cs="Arial"/>
          <w:sz w:val="20"/>
          <w:szCs w:val="20"/>
        </w:rPr>
        <w:t>he just transition process in Galați is, maybe unexpectedly, easi</w:t>
      </w:r>
      <w:r w:rsidR="004939B6" w:rsidRPr="003516DC">
        <w:rPr>
          <w:rFonts w:ascii="Arial" w:hAnsi="Arial" w:cs="Arial"/>
          <w:sz w:val="20"/>
          <w:szCs w:val="20"/>
        </w:rPr>
        <w:t>er</w:t>
      </w:r>
      <w:r w:rsidR="00E03049" w:rsidRPr="003516DC">
        <w:rPr>
          <w:rFonts w:ascii="Arial" w:hAnsi="Arial" w:cs="Arial"/>
          <w:sz w:val="20"/>
          <w:szCs w:val="20"/>
        </w:rPr>
        <w:t xml:space="preserve"> to approach than in the other JTP counties. Fossil fuels </w:t>
      </w:r>
      <w:r w:rsidR="004939B6" w:rsidRPr="003516DC">
        <w:rPr>
          <w:rFonts w:ascii="Arial" w:hAnsi="Arial" w:cs="Arial"/>
          <w:sz w:val="20"/>
          <w:szCs w:val="20"/>
        </w:rPr>
        <w:t>a</w:t>
      </w:r>
      <w:r w:rsidR="00E03049" w:rsidRPr="003516DC">
        <w:rPr>
          <w:rFonts w:ascii="Arial" w:hAnsi="Arial" w:cs="Arial"/>
          <w:sz w:val="20"/>
          <w:szCs w:val="20"/>
        </w:rPr>
        <w:t xml:space="preserve">re not the core business model of the local steelworks, but a </w:t>
      </w:r>
      <w:r w:rsidR="004939B6" w:rsidRPr="003516DC">
        <w:rPr>
          <w:rFonts w:ascii="Arial" w:hAnsi="Arial" w:cs="Arial"/>
          <w:sz w:val="20"/>
          <w:szCs w:val="20"/>
        </w:rPr>
        <w:t>replaceable</w:t>
      </w:r>
      <w:r w:rsidR="00E03049" w:rsidRPr="003516DC">
        <w:rPr>
          <w:rFonts w:ascii="Arial" w:hAnsi="Arial" w:cs="Arial"/>
          <w:sz w:val="20"/>
          <w:szCs w:val="20"/>
        </w:rPr>
        <w:t xml:space="preserve"> energy source. The company is part of a global business chain that has its own ambitious </w:t>
      </w:r>
      <w:r w:rsidR="00CD5FFC" w:rsidRPr="00C510BD">
        <w:rPr>
          <w:rFonts w:ascii="Arial" w:hAnsi="Arial" w:cs="Arial"/>
          <w:sz w:val="20"/>
          <w:szCs w:val="20"/>
        </w:rPr>
        <w:t>CO</w:t>
      </w:r>
      <w:r w:rsidR="00CD5FFC" w:rsidRPr="001C148D">
        <w:rPr>
          <w:rFonts w:ascii="Arial" w:hAnsi="Arial" w:cs="Arial"/>
          <w:sz w:val="20"/>
          <w:szCs w:val="20"/>
          <w:vertAlign w:val="subscript"/>
        </w:rPr>
        <w:t>2</w:t>
      </w:r>
      <w:r w:rsidR="00CD5FFC">
        <w:rPr>
          <w:rFonts w:ascii="Arial" w:hAnsi="Arial" w:cs="Arial"/>
          <w:sz w:val="20"/>
          <w:szCs w:val="20"/>
          <w:vertAlign w:val="subscript"/>
        </w:rPr>
        <w:t xml:space="preserve"> </w:t>
      </w:r>
      <w:r w:rsidR="00E03049" w:rsidRPr="003516DC">
        <w:rPr>
          <w:rFonts w:ascii="Arial" w:hAnsi="Arial" w:cs="Arial"/>
          <w:sz w:val="20"/>
          <w:szCs w:val="20"/>
        </w:rPr>
        <w:t xml:space="preserve">emission reduction targets and </w:t>
      </w:r>
      <w:r w:rsidRPr="003516DC">
        <w:rPr>
          <w:rFonts w:ascii="Arial" w:hAnsi="Arial" w:cs="Arial"/>
          <w:sz w:val="20"/>
          <w:szCs w:val="20"/>
        </w:rPr>
        <w:t>has</w:t>
      </w:r>
      <w:r w:rsidR="00E03049" w:rsidRPr="003516DC">
        <w:rPr>
          <w:rFonts w:ascii="Arial" w:hAnsi="Arial" w:cs="Arial"/>
          <w:sz w:val="20"/>
          <w:szCs w:val="20"/>
        </w:rPr>
        <w:t xml:space="preserve"> a concrete action plan of investments to gradually switch its plant in </w:t>
      </w:r>
      <w:r w:rsidR="003751DC">
        <w:rPr>
          <w:rFonts w:ascii="Arial" w:hAnsi="Arial" w:cs="Arial"/>
          <w:sz w:val="20"/>
          <w:szCs w:val="20"/>
        </w:rPr>
        <w:t>Galați</w:t>
      </w:r>
      <w:r w:rsidR="00E03049" w:rsidRPr="003516DC">
        <w:rPr>
          <w:rFonts w:ascii="Arial" w:hAnsi="Arial" w:cs="Arial"/>
          <w:sz w:val="20"/>
          <w:szCs w:val="20"/>
        </w:rPr>
        <w:t xml:space="preserve"> to renewables. This is not to say that the challenge is solved, and for the process to be feasible and timely implemented, public policy targets and funding incentives </w:t>
      </w:r>
      <w:r w:rsidRPr="003516DC">
        <w:rPr>
          <w:rFonts w:ascii="Arial" w:hAnsi="Arial" w:cs="Arial"/>
          <w:sz w:val="20"/>
          <w:szCs w:val="20"/>
        </w:rPr>
        <w:t>are</w:t>
      </w:r>
      <w:r w:rsidR="00E03049" w:rsidRPr="003516DC">
        <w:rPr>
          <w:rFonts w:ascii="Arial" w:hAnsi="Arial" w:cs="Arial"/>
          <w:sz w:val="20"/>
          <w:szCs w:val="20"/>
        </w:rPr>
        <w:t xml:space="preserve"> still useful and needed. For the local community, the energy transition process implies that </w:t>
      </w:r>
      <w:r w:rsidR="004110AD" w:rsidRPr="003516DC">
        <w:rPr>
          <w:rFonts w:ascii="Arial" w:hAnsi="Arial" w:cs="Arial"/>
          <w:sz w:val="20"/>
          <w:szCs w:val="20"/>
        </w:rPr>
        <w:t>several</w:t>
      </w:r>
      <w:r w:rsidR="00E03049" w:rsidRPr="003516DC">
        <w:rPr>
          <w:rFonts w:ascii="Arial" w:hAnsi="Arial" w:cs="Arial"/>
          <w:sz w:val="20"/>
          <w:szCs w:val="20"/>
        </w:rPr>
        <w:t xml:space="preserve"> core elements need to be considered:</w:t>
      </w:r>
    </w:p>
    <w:p w14:paraId="335F5BBC" w14:textId="57A28B54" w:rsidR="00E03049" w:rsidRPr="003516DC" w:rsidRDefault="00E03049" w:rsidP="007F792A">
      <w:pPr>
        <w:pStyle w:val="ListParagraph"/>
        <w:numPr>
          <w:ilvl w:val="0"/>
          <w:numId w:val="68"/>
        </w:numPr>
        <w:spacing w:before="120" w:after="80" w:line="240" w:lineRule="auto"/>
        <w:jc w:val="both"/>
        <w:rPr>
          <w:sz w:val="20"/>
          <w:szCs w:val="20"/>
        </w:rPr>
      </w:pPr>
      <w:r w:rsidRPr="003516DC">
        <w:rPr>
          <w:sz w:val="20"/>
          <w:szCs w:val="20"/>
        </w:rPr>
        <w:t xml:space="preserve">Jobs in metallurgy and its value chain have and will continue to decrease or switch to new qualifications, given the adaptation of steelworks production model to new energy sources. In this </w:t>
      </w:r>
      <w:r w:rsidRPr="003516DC">
        <w:rPr>
          <w:sz w:val="20"/>
          <w:szCs w:val="20"/>
        </w:rPr>
        <w:lastRenderedPageBreak/>
        <w:t xml:space="preserve">respect, the local professional school system needs to anticipate and adapt, </w:t>
      </w:r>
      <w:r w:rsidR="00E809F8" w:rsidRPr="003516DC">
        <w:rPr>
          <w:sz w:val="20"/>
          <w:szCs w:val="20"/>
        </w:rPr>
        <w:t>as well as</w:t>
      </w:r>
      <w:r w:rsidRPr="003516DC">
        <w:rPr>
          <w:sz w:val="20"/>
          <w:szCs w:val="20"/>
        </w:rPr>
        <w:t xml:space="preserve"> improve its material base, curriculums and attractiveness</w:t>
      </w:r>
      <w:r w:rsidR="004939B6" w:rsidRPr="003516DC">
        <w:rPr>
          <w:sz w:val="20"/>
          <w:szCs w:val="20"/>
        </w:rPr>
        <w:t>.</w:t>
      </w:r>
    </w:p>
    <w:p w14:paraId="47BAEF35" w14:textId="77777777" w:rsidR="004939B6" w:rsidRPr="003516DC" w:rsidRDefault="004939B6" w:rsidP="004939B6">
      <w:pPr>
        <w:pStyle w:val="ListParagraph"/>
        <w:spacing w:before="240" w:after="240" w:line="240" w:lineRule="auto"/>
        <w:ind w:left="360"/>
        <w:jc w:val="both"/>
        <w:rPr>
          <w:sz w:val="8"/>
          <w:szCs w:val="8"/>
        </w:rPr>
      </w:pPr>
    </w:p>
    <w:p w14:paraId="6C4F1103" w14:textId="2FCA3027" w:rsidR="00E03049" w:rsidRPr="003516DC" w:rsidRDefault="00E03049" w:rsidP="007F792A">
      <w:pPr>
        <w:pStyle w:val="ListParagraph"/>
        <w:numPr>
          <w:ilvl w:val="0"/>
          <w:numId w:val="68"/>
        </w:numPr>
        <w:spacing w:before="240" w:after="240" w:line="240" w:lineRule="auto"/>
        <w:jc w:val="both"/>
        <w:rPr>
          <w:sz w:val="20"/>
          <w:szCs w:val="20"/>
        </w:rPr>
      </w:pPr>
      <w:r w:rsidRPr="003516DC">
        <w:rPr>
          <w:sz w:val="20"/>
          <w:szCs w:val="20"/>
        </w:rPr>
        <w:t xml:space="preserve">A more inclusive </w:t>
      </w:r>
      <w:r w:rsidR="0048310F" w:rsidRPr="003516DC">
        <w:rPr>
          <w:sz w:val="20"/>
          <w:szCs w:val="20"/>
        </w:rPr>
        <w:t>labour</w:t>
      </w:r>
      <w:r w:rsidRPr="003516DC">
        <w:rPr>
          <w:sz w:val="20"/>
          <w:szCs w:val="20"/>
        </w:rPr>
        <w:t xml:space="preserve"> market needs to be fostered, acknowledging and tackling the structural, long term challenges </w:t>
      </w:r>
      <w:r w:rsidR="00AC27B9" w:rsidRPr="003516DC">
        <w:rPr>
          <w:sz w:val="20"/>
          <w:szCs w:val="20"/>
        </w:rPr>
        <w:t xml:space="preserve">that </w:t>
      </w:r>
      <w:r w:rsidR="00262897" w:rsidRPr="003516DC">
        <w:rPr>
          <w:sz w:val="20"/>
          <w:szCs w:val="20"/>
        </w:rPr>
        <w:t>can</w:t>
      </w:r>
      <w:r w:rsidRPr="003516DC">
        <w:rPr>
          <w:sz w:val="20"/>
          <w:szCs w:val="20"/>
        </w:rPr>
        <w:t xml:space="preserve"> lead to </w:t>
      </w:r>
      <w:r w:rsidR="00262897" w:rsidRPr="003516DC">
        <w:rPr>
          <w:sz w:val="20"/>
          <w:szCs w:val="20"/>
        </w:rPr>
        <w:t xml:space="preserve">better </w:t>
      </w:r>
      <w:r w:rsidRPr="003516DC">
        <w:rPr>
          <w:sz w:val="20"/>
          <w:szCs w:val="20"/>
        </w:rPr>
        <w:t xml:space="preserve">employment </w:t>
      </w:r>
      <w:r w:rsidR="00262897" w:rsidRPr="003516DC">
        <w:rPr>
          <w:sz w:val="20"/>
          <w:szCs w:val="20"/>
        </w:rPr>
        <w:t>opportunities</w:t>
      </w:r>
      <w:r w:rsidRPr="003516DC">
        <w:rPr>
          <w:sz w:val="20"/>
          <w:szCs w:val="20"/>
        </w:rPr>
        <w:t>:</w:t>
      </w:r>
    </w:p>
    <w:p w14:paraId="6A32AAC8" w14:textId="77777777" w:rsidR="004939B6" w:rsidRPr="003516DC" w:rsidRDefault="004939B6" w:rsidP="004939B6">
      <w:pPr>
        <w:pStyle w:val="ListParagraph"/>
        <w:spacing w:before="240" w:after="240" w:line="240" w:lineRule="auto"/>
        <w:ind w:left="360"/>
        <w:jc w:val="both"/>
        <w:rPr>
          <w:sz w:val="4"/>
          <w:szCs w:val="4"/>
        </w:rPr>
      </w:pPr>
    </w:p>
    <w:p w14:paraId="304C9880" w14:textId="0C1A3A87" w:rsidR="00E03049" w:rsidRPr="003516DC" w:rsidRDefault="00E03049" w:rsidP="007F792A">
      <w:pPr>
        <w:pStyle w:val="ListParagraph"/>
        <w:numPr>
          <w:ilvl w:val="0"/>
          <w:numId w:val="69"/>
        </w:numPr>
        <w:spacing w:before="240" w:after="240" w:line="240" w:lineRule="auto"/>
        <w:jc w:val="both"/>
        <w:rPr>
          <w:sz w:val="20"/>
          <w:szCs w:val="20"/>
        </w:rPr>
      </w:pPr>
      <w:r w:rsidRPr="003516DC">
        <w:rPr>
          <w:sz w:val="20"/>
          <w:szCs w:val="20"/>
        </w:rPr>
        <w:t xml:space="preserve">addressing early school </w:t>
      </w:r>
      <w:r w:rsidR="004939B6" w:rsidRPr="003516DC">
        <w:rPr>
          <w:sz w:val="20"/>
          <w:szCs w:val="20"/>
        </w:rPr>
        <w:t>dropout</w:t>
      </w:r>
      <w:r w:rsidRPr="003516DC">
        <w:rPr>
          <w:sz w:val="20"/>
          <w:szCs w:val="20"/>
        </w:rPr>
        <w:t xml:space="preserve"> rates to make sure that all youth complete a minimum basic education be able to </w:t>
      </w:r>
      <w:r w:rsidR="00930D2B" w:rsidRPr="003516DC">
        <w:rPr>
          <w:sz w:val="20"/>
          <w:szCs w:val="20"/>
        </w:rPr>
        <w:t>meet</w:t>
      </w:r>
      <w:r w:rsidRPr="003516DC">
        <w:rPr>
          <w:sz w:val="20"/>
          <w:szCs w:val="20"/>
        </w:rPr>
        <w:t xml:space="preserve"> job qualification</w:t>
      </w:r>
      <w:r w:rsidR="00930D2B" w:rsidRPr="003516DC">
        <w:rPr>
          <w:sz w:val="20"/>
          <w:szCs w:val="20"/>
        </w:rPr>
        <w:t>s</w:t>
      </w:r>
      <w:r w:rsidR="004939B6" w:rsidRPr="003516DC">
        <w:rPr>
          <w:sz w:val="20"/>
          <w:szCs w:val="20"/>
        </w:rPr>
        <w:t>;</w:t>
      </w:r>
    </w:p>
    <w:p w14:paraId="288DED56" w14:textId="77777777" w:rsidR="004939B6" w:rsidRPr="003516DC" w:rsidRDefault="004939B6" w:rsidP="004939B6">
      <w:pPr>
        <w:pStyle w:val="ListParagraph"/>
        <w:spacing w:before="240" w:after="240" w:line="240" w:lineRule="auto"/>
        <w:jc w:val="both"/>
        <w:rPr>
          <w:sz w:val="4"/>
          <w:szCs w:val="4"/>
        </w:rPr>
      </w:pPr>
    </w:p>
    <w:p w14:paraId="05833C72" w14:textId="1DD2F435" w:rsidR="00E03049" w:rsidRPr="003516DC" w:rsidRDefault="00E03049" w:rsidP="007F792A">
      <w:pPr>
        <w:pStyle w:val="ListParagraph"/>
        <w:numPr>
          <w:ilvl w:val="0"/>
          <w:numId w:val="69"/>
        </w:numPr>
        <w:spacing w:before="240" w:after="240" w:line="240" w:lineRule="auto"/>
        <w:jc w:val="both"/>
        <w:rPr>
          <w:sz w:val="20"/>
          <w:szCs w:val="20"/>
        </w:rPr>
      </w:pPr>
      <w:r w:rsidRPr="003516DC">
        <w:rPr>
          <w:sz w:val="20"/>
          <w:szCs w:val="20"/>
        </w:rPr>
        <w:t xml:space="preserve">a more competitive, attractive and affordable vocational school system, working in close </w:t>
      </w:r>
      <w:r w:rsidR="00930D2B" w:rsidRPr="003516DC">
        <w:rPr>
          <w:sz w:val="20"/>
          <w:szCs w:val="20"/>
        </w:rPr>
        <w:t>collaboration</w:t>
      </w:r>
      <w:r w:rsidRPr="003516DC">
        <w:rPr>
          <w:sz w:val="20"/>
          <w:szCs w:val="20"/>
        </w:rPr>
        <w:t xml:space="preserve"> with local businesses and strategically attracting youth from the rural parts of </w:t>
      </w:r>
      <w:r w:rsidR="003751DC">
        <w:rPr>
          <w:sz w:val="20"/>
          <w:szCs w:val="20"/>
        </w:rPr>
        <w:t>Galați</w:t>
      </w:r>
      <w:r w:rsidRPr="003516DC">
        <w:rPr>
          <w:sz w:val="20"/>
          <w:szCs w:val="20"/>
        </w:rPr>
        <w:t xml:space="preserve"> county (via accommodation, transport stipends</w:t>
      </w:r>
      <w:r w:rsidR="00E91CBF" w:rsidRPr="003516DC">
        <w:rPr>
          <w:sz w:val="20"/>
          <w:szCs w:val="20"/>
        </w:rPr>
        <w:t>,</w:t>
      </w:r>
      <w:r w:rsidRPr="003516DC">
        <w:rPr>
          <w:sz w:val="20"/>
          <w:szCs w:val="20"/>
        </w:rPr>
        <w:t xml:space="preserve"> etc);</w:t>
      </w:r>
    </w:p>
    <w:p w14:paraId="5B8B2636" w14:textId="77777777" w:rsidR="004939B6" w:rsidRPr="003516DC" w:rsidRDefault="004939B6" w:rsidP="004939B6">
      <w:pPr>
        <w:pStyle w:val="ListParagraph"/>
        <w:spacing w:before="240" w:after="240" w:line="240" w:lineRule="auto"/>
        <w:jc w:val="both"/>
        <w:rPr>
          <w:sz w:val="4"/>
          <w:szCs w:val="4"/>
        </w:rPr>
      </w:pPr>
    </w:p>
    <w:p w14:paraId="16B2A201" w14:textId="1F252617" w:rsidR="00E03049" w:rsidRPr="003516DC" w:rsidRDefault="00E03049" w:rsidP="007F792A">
      <w:pPr>
        <w:pStyle w:val="ListParagraph"/>
        <w:numPr>
          <w:ilvl w:val="0"/>
          <w:numId w:val="60"/>
        </w:numPr>
        <w:spacing w:line="240" w:lineRule="auto"/>
        <w:jc w:val="both"/>
        <w:rPr>
          <w:sz w:val="20"/>
          <w:szCs w:val="20"/>
        </w:rPr>
      </w:pPr>
      <w:r w:rsidRPr="003516DC">
        <w:rPr>
          <w:sz w:val="20"/>
          <w:szCs w:val="20"/>
        </w:rPr>
        <w:t xml:space="preserve">mainstreamed monitoring and impact evaluation to better showcase what works, so as to help learn and allow for practice improvements and moving forward what has been described as rather inefficient, </w:t>
      </w:r>
      <w:r w:rsidR="00AE4CCC" w:rsidRPr="003516DC">
        <w:rPr>
          <w:sz w:val="20"/>
          <w:szCs w:val="20"/>
        </w:rPr>
        <w:t>short-term</w:t>
      </w:r>
      <w:r w:rsidRPr="003516DC">
        <w:rPr>
          <w:sz w:val="20"/>
          <w:szCs w:val="20"/>
        </w:rPr>
        <w:t xml:space="preserve"> </w:t>
      </w:r>
      <w:r w:rsidR="004939B6" w:rsidRPr="003516DC">
        <w:rPr>
          <w:sz w:val="20"/>
          <w:szCs w:val="20"/>
        </w:rPr>
        <w:t>project-based</w:t>
      </w:r>
      <w:r w:rsidRPr="003516DC">
        <w:rPr>
          <w:sz w:val="20"/>
          <w:szCs w:val="20"/>
        </w:rPr>
        <w:t xml:space="preserve"> approach to job qualifications.  </w:t>
      </w:r>
    </w:p>
    <w:p w14:paraId="05751EA9" w14:textId="77777777" w:rsidR="004939B6" w:rsidRPr="003516DC" w:rsidRDefault="004939B6" w:rsidP="004939B6">
      <w:pPr>
        <w:pStyle w:val="ListParagraph"/>
        <w:spacing w:before="240" w:after="240" w:line="240" w:lineRule="auto"/>
        <w:jc w:val="both"/>
        <w:rPr>
          <w:sz w:val="8"/>
          <w:szCs w:val="8"/>
        </w:rPr>
      </w:pPr>
    </w:p>
    <w:p w14:paraId="5DFDC9DE" w14:textId="3EDAACF2" w:rsidR="00E03049" w:rsidRPr="003516DC" w:rsidRDefault="00E03049" w:rsidP="007F792A">
      <w:pPr>
        <w:pStyle w:val="ListParagraph"/>
        <w:numPr>
          <w:ilvl w:val="0"/>
          <w:numId w:val="68"/>
        </w:numPr>
        <w:spacing w:before="240" w:after="240" w:line="240" w:lineRule="auto"/>
        <w:jc w:val="both"/>
        <w:rPr>
          <w:sz w:val="20"/>
          <w:szCs w:val="20"/>
        </w:rPr>
      </w:pPr>
      <w:r w:rsidRPr="003516DC">
        <w:rPr>
          <w:sz w:val="20"/>
          <w:szCs w:val="20"/>
        </w:rPr>
        <w:t>Program</w:t>
      </w:r>
      <w:r w:rsidR="006427AD" w:rsidRPr="003516DC">
        <w:rPr>
          <w:sz w:val="20"/>
          <w:szCs w:val="20"/>
        </w:rPr>
        <w:t>me</w:t>
      </w:r>
      <w:r w:rsidRPr="003516DC">
        <w:rPr>
          <w:sz w:val="20"/>
          <w:szCs w:val="20"/>
        </w:rPr>
        <w:t>s</w:t>
      </w:r>
      <w:r w:rsidR="002B247C" w:rsidRPr="003516DC">
        <w:rPr>
          <w:sz w:val="20"/>
          <w:szCs w:val="20"/>
        </w:rPr>
        <w:t xml:space="preserve"> to</w:t>
      </w:r>
      <w:r w:rsidRPr="003516DC">
        <w:rPr>
          <w:sz w:val="20"/>
          <w:szCs w:val="20"/>
        </w:rPr>
        <w:t xml:space="preserve"> develop entrepreneurship for new businesses, as well as </w:t>
      </w:r>
      <w:r w:rsidR="002B247C" w:rsidRPr="003516DC">
        <w:rPr>
          <w:sz w:val="20"/>
          <w:szCs w:val="20"/>
        </w:rPr>
        <w:t xml:space="preserve">upgraded </w:t>
      </w:r>
      <w:r w:rsidRPr="003516DC">
        <w:rPr>
          <w:sz w:val="20"/>
          <w:szCs w:val="20"/>
        </w:rPr>
        <w:t>technology and business development to help existing companies increase competitiveness, access new markets and eventually create new jobs.</w:t>
      </w:r>
    </w:p>
    <w:p w14:paraId="3CE650BD" w14:textId="77777777" w:rsidR="004939B6" w:rsidRPr="003516DC" w:rsidRDefault="004939B6" w:rsidP="004939B6">
      <w:pPr>
        <w:pStyle w:val="ListParagraph"/>
        <w:spacing w:before="240" w:after="240" w:line="240" w:lineRule="auto"/>
        <w:ind w:left="360"/>
        <w:jc w:val="both"/>
        <w:rPr>
          <w:sz w:val="8"/>
          <w:szCs w:val="8"/>
        </w:rPr>
      </w:pPr>
    </w:p>
    <w:p w14:paraId="738333C7" w14:textId="37F0F228" w:rsidR="00E03049" w:rsidRPr="003516DC" w:rsidRDefault="00B53310" w:rsidP="007F792A">
      <w:pPr>
        <w:pStyle w:val="ListParagraph"/>
        <w:numPr>
          <w:ilvl w:val="0"/>
          <w:numId w:val="68"/>
        </w:numPr>
        <w:spacing w:before="240" w:after="240" w:line="240" w:lineRule="auto"/>
        <w:jc w:val="both"/>
        <w:rPr>
          <w:i/>
          <w:sz w:val="20"/>
          <w:szCs w:val="20"/>
        </w:rPr>
      </w:pPr>
      <w:r w:rsidRPr="003516DC">
        <w:rPr>
          <w:sz w:val="20"/>
          <w:szCs w:val="20"/>
        </w:rPr>
        <w:t>F</w:t>
      </w:r>
      <w:r w:rsidR="00E03049" w:rsidRPr="003516DC">
        <w:rPr>
          <w:sz w:val="20"/>
          <w:szCs w:val="20"/>
        </w:rPr>
        <w:t xml:space="preserve">urther improving harbour and river transport facilities to </w:t>
      </w:r>
      <w:r w:rsidRPr="003516DC">
        <w:rPr>
          <w:sz w:val="20"/>
          <w:szCs w:val="20"/>
        </w:rPr>
        <w:t>build on</w:t>
      </w:r>
      <w:r w:rsidR="00E03049" w:rsidRPr="003516DC">
        <w:rPr>
          <w:sz w:val="20"/>
          <w:szCs w:val="20"/>
        </w:rPr>
        <w:t xml:space="preserve"> the main comparative advantage of </w:t>
      </w:r>
      <w:r w:rsidR="003751DC">
        <w:rPr>
          <w:sz w:val="20"/>
          <w:szCs w:val="20"/>
        </w:rPr>
        <w:t>Galați</w:t>
      </w:r>
      <w:r w:rsidR="00E03049" w:rsidRPr="003516DC">
        <w:rPr>
          <w:sz w:val="20"/>
          <w:szCs w:val="20"/>
        </w:rPr>
        <w:t>, a county otherwise suffering of poor connectedness and peripheral position.</w:t>
      </w:r>
    </w:p>
    <w:p w14:paraId="01D6C6D7" w14:textId="07F0CC66" w:rsidR="00C76AFA" w:rsidRPr="00C76AFA" w:rsidRDefault="00C76AFA" w:rsidP="00E42342">
      <w:pPr>
        <w:pStyle w:val="Heading2"/>
        <w:numPr>
          <w:ilvl w:val="0"/>
          <w:numId w:val="163"/>
        </w:numPr>
        <w:spacing w:before="240" w:line="240" w:lineRule="auto"/>
        <w:ind w:left="432" w:hanging="432"/>
      </w:pPr>
      <w:bookmarkStart w:id="353" w:name="_arln8rtnbnd2" w:colFirst="0" w:colLast="0"/>
      <w:bookmarkStart w:id="354" w:name="_Toc90725905"/>
      <w:bookmarkEnd w:id="353"/>
      <w:r w:rsidRPr="00345CF4">
        <w:t xml:space="preserve">Results of occupational mismatch analysis in </w:t>
      </w:r>
      <w:r w:rsidR="003751DC">
        <w:t>Galați</w:t>
      </w:r>
      <w:r>
        <w:t xml:space="preserve"> </w:t>
      </w:r>
      <w:r w:rsidR="0088065B">
        <w:t>C</w:t>
      </w:r>
      <w:r>
        <w:t>ounty</w:t>
      </w:r>
      <w:bookmarkEnd w:id="354"/>
    </w:p>
    <w:p w14:paraId="1AACA5A5" w14:textId="57E24EB3" w:rsidR="00C76AFA" w:rsidRPr="003516DC" w:rsidRDefault="00C76AFA" w:rsidP="0088065B">
      <w:pPr>
        <w:spacing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Baseline projections</w:t>
      </w:r>
    </w:p>
    <w:p w14:paraId="7861D50C" w14:textId="48D61BEE" w:rsidR="00C76AFA" w:rsidRPr="003516DC" w:rsidRDefault="00C76AFA" w:rsidP="002007F5">
      <w:pPr>
        <w:spacing w:after="120"/>
        <w:jc w:val="both"/>
        <w:rPr>
          <w:rFonts w:ascii="Arial" w:hAnsi="Arial" w:cs="Arial"/>
          <w:sz w:val="20"/>
          <w:szCs w:val="20"/>
        </w:rPr>
      </w:pPr>
      <w:r w:rsidRPr="003516DC">
        <w:rPr>
          <w:rFonts w:ascii="Arial" w:hAnsi="Arial" w:cs="Arial"/>
          <w:sz w:val="20"/>
          <w:szCs w:val="20"/>
        </w:rPr>
        <w:t xml:space="preserve">Graph </w:t>
      </w:r>
      <w:r w:rsidR="009174F2">
        <w:rPr>
          <w:rFonts w:ascii="Arial" w:hAnsi="Arial" w:cs="Arial"/>
          <w:sz w:val="20"/>
          <w:szCs w:val="20"/>
        </w:rPr>
        <w:t>5</w:t>
      </w:r>
      <w:r w:rsidR="00AC0119">
        <w:rPr>
          <w:rFonts w:ascii="Arial" w:hAnsi="Arial" w:cs="Arial"/>
          <w:sz w:val="20"/>
          <w:szCs w:val="20"/>
        </w:rPr>
        <w:t>7</w:t>
      </w:r>
      <w:r w:rsidRPr="003516DC">
        <w:rPr>
          <w:rFonts w:ascii="Arial" w:hAnsi="Arial" w:cs="Arial"/>
          <w:sz w:val="20"/>
          <w:szCs w:val="20"/>
        </w:rPr>
        <w:t xml:space="preserve"> shows the changes in the baseline from 2018 values. There are some trends that are common with results presented for Mureș, e.g., the gains in the retail and transport sector or the losses in energy &amp; utilities are common phenomenon. However, in Galați, the results by 2030 in certain sectors (e.g., construction and agriculture) are even more stark. This in turn affects occupational structure as well. Job losses are concentrated in two lower skilled occupation groups: trades workers and farm and related workers. </w:t>
      </w:r>
      <w:r w:rsidR="003751DC">
        <w:rPr>
          <w:rFonts w:ascii="Arial" w:hAnsi="Arial" w:cs="Arial"/>
          <w:sz w:val="20"/>
          <w:szCs w:val="20"/>
        </w:rPr>
        <w:t>Galați</w:t>
      </w:r>
      <w:r w:rsidRPr="003516DC">
        <w:rPr>
          <w:rFonts w:ascii="Arial" w:hAnsi="Arial" w:cs="Arial"/>
          <w:sz w:val="20"/>
          <w:szCs w:val="20"/>
        </w:rPr>
        <w:t xml:space="preserve"> could face a challenge, as in the same time job gains are expected in higher skilled occupation categories, such as service and sales workers and professionals.</w:t>
      </w:r>
    </w:p>
    <w:p w14:paraId="5C372ACA" w14:textId="177FB575" w:rsidR="00C76AFA" w:rsidRPr="003516DC" w:rsidRDefault="00C76AFA" w:rsidP="00C76AFA">
      <w:pPr>
        <w:jc w:val="both"/>
        <w:rPr>
          <w:rFonts w:ascii="Arial" w:hAnsi="Arial" w:cs="Arial"/>
        </w:rPr>
      </w:pPr>
      <w:r w:rsidRPr="003516DC">
        <w:rPr>
          <w:rFonts w:ascii="Arial" w:hAnsi="Arial" w:cs="Arial"/>
          <w:sz w:val="20"/>
          <w:szCs w:val="20"/>
        </w:rPr>
        <w:t xml:space="preserve">The detailed occupational/sectoral changes on the left panel of Graph </w:t>
      </w:r>
      <w:r w:rsidR="009174F2">
        <w:rPr>
          <w:rFonts w:ascii="Arial" w:hAnsi="Arial" w:cs="Arial"/>
          <w:sz w:val="20"/>
          <w:szCs w:val="20"/>
        </w:rPr>
        <w:t>5</w:t>
      </w:r>
      <w:r w:rsidR="00AC0119">
        <w:rPr>
          <w:rFonts w:ascii="Arial" w:hAnsi="Arial" w:cs="Arial"/>
          <w:sz w:val="20"/>
          <w:szCs w:val="20"/>
        </w:rPr>
        <w:t>7</w:t>
      </w:r>
      <w:r w:rsidRPr="003516DC">
        <w:rPr>
          <w:rFonts w:ascii="Arial" w:hAnsi="Arial" w:cs="Arial"/>
          <w:sz w:val="20"/>
          <w:szCs w:val="20"/>
        </w:rPr>
        <w:t xml:space="preserve"> paints a similar picture. Losses are concentrated in lower skilled occupational groups and are driven by losses in the agriculture and construction sectors. Further losses in energy and manufacturing add to this. Meanwhile gains are largely realized in occupations with high skill requirements such as professionals in services.</w:t>
      </w:r>
    </w:p>
    <w:p w14:paraId="4B7163EB" w14:textId="47B78BF6" w:rsidR="00C76AFA" w:rsidRPr="003516DC" w:rsidRDefault="00C76AFA" w:rsidP="00AE4CCC">
      <w:pPr>
        <w:pStyle w:val="Caption"/>
        <w:spacing w:before="120"/>
        <w:ind w:left="1282" w:hanging="1282"/>
        <w:jc w:val="both"/>
      </w:pPr>
      <w:bookmarkStart w:id="355" w:name="_Toc90727393"/>
      <w:r w:rsidRPr="003516DC">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57</w:t>
      </w:r>
      <w:r w:rsidRPr="003516DC">
        <w:rPr>
          <w:noProof/>
        </w:rPr>
        <w:fldChar w:fldCharType="end"/>
      </w:r>
      <w:r w:rsidRPr="003516DC">
        <w:t xml:space="preserve">: Changes in employment from 2018 in baseline projections in </w:t>
      </w:r>
      <w:r w:rsidR="003751DC">
        <w:t>Galați</w:t>
      </w:r>
      <w:r w:rsidRPr="003516DC">
        <w:t xml:space="preserve">; </w:t>
      </w:r>
      <w:r w:rsidRPr="003516DC">
        <w:br/>
        <w:t>left panel - changes by sector; right panel – changes by occupation</w:t>
      </w:r>
      <w:bookmarkEnd w:id="355"/>
    </w:p>
    <w:p w14:paraId="51BDB05C" w14:textId="0D13973B" w:rsidR="00CD568F" w:rsidRDefault="00C76AFA" w:rsidP="00AE4CCC">
      <w:pPr>
        <w:pStyle w:val="Caption"/>
        <w:spacing w:before="120"/>
        <w:ind w:left="0" w:firstLine="0"/>
      </w:pPr>
      <w:r w:rsidRPr="003516DC">
        <w:rPr>
          <w:noProof/>
          <w:lang w:val="en-US"/>
        </w:rPr>
        <w:drawing>
          <wp:inline distT="0" distB="0" distL="0" distR="0" wp14:anchorId="697DCA6F" wp14:editId="355155D8">
            <wp:extent cx="5678424" cy="2926080"/>
            <wp:effectExtent l="0" t="0" r="0" b="7620"/>
            <wp:docPr id="2087055802" name="Graphic 2087055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30"/>
                        </a:ext>
                      </a:extLst>
                    </a:blip>
                    <a:stretch>
                      <a:fillRect/>
                    </a:stretch>
                  </pic:blipFill>
                  <pic:spPr>
                    <a:xfrm>
                      <a:off x="0" y="0"/>
                      <a:ext cx="5678424" cy="2926080"/>
                    </a:xfrm>
                    <a:prstGeom prst="rect">
                      <a:avLst/>
                    </a:prstGeom>
                  </pic:spPr>
                </pic:pic>
              </a:graphicData>
            </a:graphic>
          </wp:inline>
        </w:drawing>
      </w:r>
    </w:p>
    <w:p w14:paraId="439D762B" w14:textId="77777777" w:rsidR="00E9544E" w:rsidRPr="00E9544E" w:rsidRDefault="00E9544E" w:rsidP="00E9544E">
      <w:pPr>
        <w:rPr>
          <w:lang w:eastAsia="en-US"/>
        </w:rPr>
      </w:pPr>
    </w:p>
    <w:p w14:paraId="280EF104" w14:textId="43BC3DB2" w:rsidR="00C76AFA" w:rsidRPr="003516DC" w:rsidRDefault="00C76AFA" w:rsidP="002007F5">
      <w:pPr>
        <w:pStyle w:val="Caption"/>
        <w:spacing w:before="0"/>
        <w:ind w:left="1282" w:hanging="1282"/>
        <w:jc w:val="both"/>
      </w:pPr>
      <w:bookmarkStart w:id="356" w:name="_Toc90727394"/>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58</w:t>
      </w:r>
      <w:r w:rsidRPr="003516DC">
        <w:rPr>
          <w:noProof/>
        </w:rPr>
        <w:fldChar w:fldCharType="end"/>
      </w:r>
      <w:r w:rsidRPr="003516DC">
        <w:t xml:space="preserve">: </w:t>
      </w:r>
      <w:r w:rsidRPr="003516DC">
        <w:tab/>
        <w:t xml:space="preserve">Changes in employment from 2018 in baseline projections and in the Green Deal scenario in </w:t>
      </w:r>
      <w:r w:rsidR="003751DC">
        <w:t>Galați</w:t>
      </w:r>
      <w:r w:rsidRPr="003516DC">
        <w:t>; left panel – changes by sector and occupation in baseline; right panel – changes by sector and occupation in the Green Deal scenario compared to the baseline</w:t>
      </w:r>
      <w:bookmarkEnd w:id="356"/>
    </w:p>
    <w:p w14:paraId="6040E684" w14:textId="55FE2D11" w:rsidR="00C76AFA" w:rsidRPr="003516DC" w:rsidRDefault="00C76AFA" w:rsidP="00C76AFA">
      <w:pPr>
        <w:jc w:val="both"/>
        <w:rPr>
          <w:rFonts w:ascii="Arial" w:hAnsi="Arial" w:cs="Arial"/>
          <w:b/>
          <w:bCs/>
          <w:color w:val="4F81BD" w:themeColor="accent1"/>
          <w:sz w:val="20"/>
          <w:szCs w:val="20"/>
        </w:rPr>
      </w:pPr>
      <w:r w:rsidRPr="00402580">
        <w:rPr>
          <w:rFonts w:ascii="Arial" w:hAnsi="Arial" w:cs="Arial"/>
          <w:noProof/>
          <w:lang w:val="en-US" w:eastAsia="en-US"/>
        </w:rPr>
        <w:drawing>
          <wp:inline distT="0" distB="0" distL="0" distR="0" wp14:anchorId="271C007D" wp14:editId="4AAFFAC8">
            <wp:extent cx="5733288" cy="3081528"/>
            <wp:effectExtent l="0" t="0" r="1270" b="5080"/>
            <wp:docPr id="2087055803" name="Graphic 2087055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a:blip r:embed="rId23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32"/>
                        </a:ext>
                      </a:extLst>
                    </a:blip>
                    <a:stretch>
                      <a:fillRect/>
                    </a:stretch>
                  </pic:blipFill>
                  <pic:spPr>
                    <a:xfrm>
                      <a:off x="0" y="0"/>
                      <a:ext cx="5733288" cy="3081528"/>
                    </a:xfrm>
                    <a:prstGeom prst="rect">
                      <a:avLst/>
                    </a:prstGeom>
                  </pic:spPr>
                </pic:pic>
              </a:graphicData>
            </a:graphic>
          </wp:inline>
        </w:drawing>
      </w:r>
    </w:p>
    <w:p w14:paraId="666BDC5F" w14:textId="308D1123" w:rsidR="00C76AFA" w:rsidRPr="003516DC" w:rsidRDefault="00C76AFA" w:rsidP="0088065B">
      <w:pPr>
        <w:spacing w:before="240" w:after="120"/>
        <w:jc w:val="both"/>
        <w:rPr>
          <w:rFonts w:ascii="Arial" w:hAnsi="Arial" w:cs="Arial"/>
          <w:b/>
          <w:bCs/>
          <w:color w:val="4F81BD" w:themeColor="accent1"/>
          <w:sz w:val="20"/>
          <w:szCs w:val="20"/>
        </w:rPr>
      </w:pPr>
      <w:r w:rsidRPr="003516DC">
        <w:rPr>
          <w:rFonts w:ascii="Arial" w:hAnsi="Arial" w:cs="Arial"/>
          <w:b/>
          <w:bCs/>
          <w:color w:val="4F81BD" w:themeColor="accent1"/>
          <w:sz w:val="20"/>
          <w:szCs w:val="20"/>
        </w:rPr>
        <w:t>Green Deal impacts</w:t>
      </w:r>
    </w:p>
    <w:p w14:paraId="52F20F50" w14:textId="3903F8C9" w:rsidR="00C76AFA" w:rsidRPr="003516DC" w:rsidRDefault="00C76AFA" w:rsidP="00C76AFA">
      <w:pPr>
        <w:jc w:val="both"/>
        <w:rPr>
          <w:rFonts w:ascii="Arial" w:hAnsi="Arial" w:cs="Arial"/>
          <w:sz w:val="20"/>
          <w:szCs w:val="20"/>
        </w:rPr>
      </w:pPr>
      <w:r w:rsidRPr="003516DC">
        <w:rPr>
          <w:rFonts w:ascii="Arial" w:hAnsi="Arial" w:cs="Arial"/>
          <w:sz w:val="20"/>
          <w:szCs w:val="20"/>
        </w:rPr>
        <w:t xml:space="preserve">The right panel of Graph </w:t>
      </w:r>
      <w:r w:rsidR="009174F2">
        <w:rPr>
          <w:rFonts w:ascii="Arial" w:hAnsi="Arial" w:cs="Arial"/>
          <w:sz w:val="20"/>
          <w:szCs w:val="20"/>
        </w:rPr>
        <w:t>5</w:t>
      </w:r>
      <w:r w:rsidR="00AC0119">
        <w:rPr>
          <w:rFonts w:ascii="Arial" w:hAnsi="Arial" w:cs="Arial"/>
          <w:sz w:val="20"/>
          <w:szCs w:val="20"/>
        </w:rPr>
        <w:t>8</w:t>
      </w:r>
      <w:r w:rsidRPr="003516DC">
        <w:rPr>
          <w:rFonts w:ascii="Arial" w:hAnsi="Arial" w:cs="Arial"/>
          <w:sz w:val="20"/>
          <w:szCs w:val="20"/>
        </w:rPr>
        <w:t xml:space="preserve"> shows the estimated impacts on the baseline results of the national Green Deal scenario. By 2025 the Green Deal produces better employment outcomes for a number of occupation groups, including lower skilled occupations (such as trades workers). Nevertheless, by 2030 this advantage diminishes somewhat, but the Green Deal impacts can still contribute to occupation groups that are otherwise severely decreasing in the baseline (such as trades workers and elementary workers). However, the scenario impacts show that gains in the high-skilled occupations (such as professionals) are a bit more limited (over 2500 in the baseline, limited to about 2300 in the Green Deal).</w:t>
      </w:r>
    </w:p>
    <w:p w14:paraId="7C9C3346" w14:textId="29874CBD" w:rsidR="00E534CF" w:rsidRPr="00E534CF" w:rsidRDefault="00C76AFA" w:rsidP="00E42342">
      <w:pPr>
        <w:pStyle w:val="Heading2"/>
        <w:numPr>
          <w:ilvl w:val="0"/>
          <w:numId w:val="164"/>
        </w:numPr>
        <w:spacing w:before="240" w:line="240" w:lineRule="auto"/>
        <w:ind w:left="432" w:hanging="432"/>
      </w:pPr>
      <w:bookmarkStart w:id="357" w:name="_Toc90725906"/>
      <w:r w:rsidRPr="003516DC">
        <w:t>Employment and GVA impact by illustrative action</w:t>
      </w:r>
      <w:r>
        <w:t xml:space="preserve"> in </w:t>
      </w:r>
      <w:r w:rsidR="003751DC">
        <w:t>Galați</w:t>
      </w:r>
      <w:r>
        <w:t xml:space="preserve"> </w:t>
      </w:r>
      <w:r w:rsidR="0088065B">
        <w:t>C</w:t>
      </w:r>
      <w:r>
        <w:t>ounty</w:t>
      </w:r>
      <w:bookmarkEnd w:id="357"/>
    </w:p>
    <w:p w14:paraId="23449B16" w14:textId="4819067E" w:rsidR="00E534CF" w:rsidRPr="003516DC" w:rsidRDefault="00E534CF" w:rsidP="00E534CF">
      <w:pPr>
        <w:jc w:val="both"/>
        <w:rPr>
          <w:rFonts w:ascii="Arial" w:hAnsi="Arial" w:cs="Arial"/>
          <w:sz w:val="20"/>
          <w:szCs w:val="20"/>
        </w:rPr>
      </w:pPr>
      <w:r w:rsidRPr="003516DC">
        <w:rPr>
          <w:rFonts w:ascii="Arial" w:hAnsi="Arial" w:cs="Arial"/>
          <w:sz w:val="20"/>
          <w:szCs w:val="20"/>
        </w:rPr>
        <w:t xml:space="preserve">SME investments are anticipated to yield the relatively largest positive impact in </w:t>
      </w:r>
      <w:r w:rsidR="003751DC">
        <w:rPr>
          <w:rFonts w:ascii="Arial" w:hAnsi="Arial" w:cs="Arial"/>
          <w:sz w:val="20"/>
          <w:szCs w:val="20"/>
        </w:rPr>
        <w:t>Galați</w:t>
      </w:r>
      <w:r w:rsidRPr="003516DC">
        <w:rPr>
          <w:rFonts w:ascii="Arial" w:hAnsi="Arial" w:cs="Arial"/>
          <w:sz w:val="20"/>
          <w:szCs w:val="20"/>
        </w:rPr>
        <w:t xml:space="preserve"> County, both in GVA- and in employment terms. While the GVA generated under the illustrative R&amp;D scenario is almost as large as in case of SME investment, the employment generation potential of R&amp;D grants is assumed to be considerably lower in this county. Negative impacts in the Circular case are modest, leading to an overall positive net effect.</w:t>
      </w:r>
    </w:p>
    <w:p w14:paraId="19FE5630" w14:textId="3D4A1DA0" w:rsidR="00E534CF" w:rsidRPr="003516DC" w:rsidRDefault="00E534CF" w:rsidP="00AE4CCC">
      <w:pPr>
        <w:pStyle w:val="Caption"/>
        <w:spacing w:before="120"/>
        <w:ind w:left="994" w:hanging="994"/>
        <w:rPr>
          <w:b w:val="0"/>
          <w:iCs w:val="0"/>
          <w:noProof/>
        </w:rPr>
      </w:pPr>
      <w:bookmarkStart w:id="358" w:name="_Toc90727395"/>
      <w:r w:rsidRPr="003516DC">
        <w:rPr>
          <w:noProof/>
        </w:rPr>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59</w:t>
      </w:r>
      <w:r w:rsidRPr="003516DC">
        <w:rPr>
          <w:noProof/>
        </w:rPr>
        <w:fldChar w:fldCharType="end"/>
      </w:r>
      <w:r w:rsidRPr="003516DC">
        <w:rPr>
          <w:noProof/>
        </w:rPr>
        <w:t xml:space="preserve">: GVA impact in </w:t>
      </w:r>
      <w:r w:rsidR="003751DC">
        <w:rPr>
          <w:noProof/>
        </w:rPr>
        <w:t>Galați</w:t>
      </w:r>
      <w:r w:rsidRPr="003516DC">
        <w:rPr>
          <w:noProof/>
        </w:rPr>
        <w:t xml:space="preserve"> County (RO224) in 2030 by sectors, resulting from a total of EUR 100 million investment over the years 2021-2027 under the three illustrative action categories, EUR million (current prices)</w:t>
      </w:r>
      <w:bookmarkEnd w:id="358"/>
    </w:p>
    <w:p w14:paraId="4D3D35F2" w14:textId="50057A84" w:rsidR="00E534CF" w:rsidRPr="003516DC" w:rsidRDefault="00E534CF" w:rsidP="00E534CF">
      <w:pPr>
        <w:rPr>
          <w:rFonts w:ascii="Arial" w:hAnsi="Arial" w:cs="Arial"/>
        </w:rPr>
      </w:pPr>
      <w:r w:rsidRPr="00C721D3">
        <w:rPr>
          <w:rFonts w:ascii="Arial" w:hAnsi="Arial" w:cs="Arial"/>
          <w:noProof/>
          <w:lang w:val="en-US" w:eastAsia="en-US"/>
        </w:rPr>
        <w:drawing>
          <wp:inline distT="0" distB="0" distL="0" distR="0" wp14:anchorId="7647D311" wp14:editId="3FE8BC22">
            <wp:extent cx="5678424" cy="3017520"/>
            <wp:effectExtent l="0" t="0" r="0" b="0"/>
            <wp:docPr id="2087055804" name="Graphic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Graphic 47"/>
                    <pic:cNvPicPr/>
                  </pic:nvPicPr>
                  <pic:blipFill>
                    <a:blip r:embed="rId2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34"/>
                        </a:ext>
                      </a:extLst>
                    </a:blip>
                    <a:stretch>
                      <a:fillRect/>
                    </a:stretch>
                  </pic:blipFill>
                  <pic:spPr>
                    <a:xfrm>
                      <a:off x="0" y="0"/>
                      <a:ext cx="5678424" cy="3017520"/>
                    </a:xfrm>
                    <a:prstGeom prst="rect">
                      <a:avLst/>
                    </a:prstGeom>
                  </pic:spPr>
                </pic:pic>
              </a:graphicData>
            </a:graphic>
          </wp:inline>
        </w:drawing>
      </w:r>
    </w:p>
    <w:p w14:paraId="404B5BD5" w14:textId="77777777" w:rsidR="00E534CF" w:rsidRPr="003516DC" w:rsidRDefault="00E534CF" w:rsidP="00E534CF">
      <w:pPr>
        <w:rPr>
          <w:rFonts w:ascii="Arial" w:hAnsi="Arial" w:cs="Arial"/>
          <w:i/>
          <w:sz w:val="16"/>
          <w:szCs w:val="16"/>
        </w:rPr>
      </w:pPr>
      <w:r w:rsidRPr="003516DC">
        <w:rPr>
          <w:rFonts w:ascii="Arial" w:hAnsi="Arial" w:cs="Arial"/>
          <w:i/>
          <w:sz w:val="16"/>
          <w:szCs w:val="16"/>
        </w:rPr>
        <w:t>Source: E3ME modelling</w:t>
      </w:r>
    </w:p>
    <w:p w14:paraId="260EC8D5" w14:textId="6216AA5D" w:rsidR="00E534CF" w:rsidRPr="003516DC" w:rsidRDefault="00E534CF" w:rsidP="00AE4CCC">
      <w:pPr>
        <w:pStyle w:val="Caption"/>
        <w:spacing w:before="120"/>
        <w:ind w:left="994" w:hanging="994"/>
        <w:rPr>
          <w:b w:val="0"/>
          <w:iCs w:val="0"/>
          <w:noProof/>
        </w:rPr>
      </w:pPr>
      <w:bookmarkStart w:id="359" w:name="_Toc90727396"/>
      <w:r w:rsidRPr="003516DC">
        <w:rPr>
          <w:noProof/>
        </w:rPr>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60</w:t>
      </w:r>
      <w:r w:rsidRPr="003516DC">
        <w:rPr>
          <w:noProof/>
        </w:rPr>
        <w:fldChar w:fldCharType="end"/>
      </w:r>
      <w:r w:rsidRPr="003516DC">
        <w:rPr>
          <w:noProof/>
        </w:rPr>
        <w:t>: Employment impact in Galați County (RO224) in 2030 by sectors, resulting from a total of EUR 100 million investment over the years 2021-2027 under the three illustrative action categories, '000 jobs</w:t>
      </w:r>
      <w:bookmarkEnd w:id="359"/>
    </w:p>
    <w:p w14:paraId="203B4DAD" w14:textId="46A09B74" w:rsidR="00E534CF" w:rsidRPr="003516DC" w:rsidRDefault="00E534CF" w:rsidP="00E534CF">
      <w:pPr>
        <w:rPr>
          <w:rFonts w:ascii="Arial" w:hAnsi="Arial" w:cs="Arial"/>
        </w:rPr>
      </w:pPr>
      <w:r w:rsidRPr="00C721D3">
        <w:rPr>
          <w:rFonts w:ascii="Arial" w:hAnsi="Arial" w:cs="Arial"/>
          <w:noProof/>
          <w:lang w:val="en-US" w:eastAsia="en-US"/>
        </w:rPr>
        <w:drawing>
          <wp:inline distT="0" distB="0" distL="0" distR="0" wp14:anchorId="758A35A5" wp14:editId="268F3F5D">
            <wp:extent cx="5678424" cy="3017520"/>
            <wp:effectExtent l="0" t="0" r="0" b="0"/>
            <wp:docPr id="2087055805" name="Graphic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2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236"/>
                        </a:ext>
                      </a:extLst>
                    </a:blip>
                    <a:stretch>
                      <a:fillRect/>
                    </a:stretch>
                  </pic:blipFill>
                  <pic:spPr>
                    <a:xfrm>
                      <a:off x="0" y="0"/>
                      <a:ext cx="5678424" cy="3017520"/>
                    </a:xfrm>
                    <a:prstGeom prst="rect">
                      <a:avLst/>
                    </a:prstGeom>
                  </pic:spPr>
                </pic:pic>
              </a:graphicData>
            </a:graphic>
          </wp:inline>
        </w:drawing>
      </w:r>
    </w:p>
    <w:p w14:paraId="1E1FA577" w14:textId="77777777" w:rsidR="00E534CF" w:rsidRPr="003516DC" w:rsidRDefault="00E534CF" w:rsidP="00E534CF">
      <w:pPr>
        <w:rPr>
          <w:rFonts w:ascii="Arial" w:hAnsi="Arial" w:cs="Arial"/>
          <w:i/>
          <w:sz w:val="16"/>
          <w:szCs w:val="16"/>
        </w:rPr>
      </w:pPr>
      <w:r w:rsidRPr="003516DC">
        <w:rPr>
          <w:rFonts w:ascii="Arial" w:hAnsi="Arial" w:cs="Arial"/>
          <w:i/>
          <w:sz w:val="16"/>
          <w:szCs w:val="16"/>
        </w:rPr>
        <w:t>Source: E3ME modelling</w:t>
      </w:r>
    </w:p>
    <w:p w14:paraId="5A68ADA6" w14:textId="16A18C7A" w:rsidR="00E534CF" w:rsidRPr="003516DC" w:rsidRDefault="00E534CF" w:rsidP="00E42342">
      <w:pPr>
        <w:pStyle w:val="Heading2"/>
        <w:numPr>
          <w:ilvl w:val="0"/>
          <w:numId w:val="165"/>
        </w:numPr>
        <w:spacing w:before="240" w:line="240" w:lineRule="auto"/>
        <w:ind w:left="432" w:hanging="432"/>
      </w:pPr>
      <w:bookmarkStart w:id="360" w:name="_Toc90725907"/>
      <w:r w:rsidRPr="003516DC">
        <w:t>Type of operations needed</w:t>
      </w:r>
      <w:r w:rsidR="00355050">
        <w:t xml:space="preserve"> in </w:t>
      </w:r>
      <w:r w:rsidR="004F70E0">
        <w:t>Galați</w:t>
      </w:r>
      <w:r w:rsidR="00355050">
        <w:t xml:space="preserve"> county</w:t>
      </w:r>
      <w:bookmarkEnd w:id="360"/>
    </w:p>
    <w:p w14:paraId="1BC22526" w14:textId="773F24AF" w:rsidR="00320B4A" w:rsidRPr="00320B4A" w:rsidRDefault="00320B4A" w:rsidP="00320B4A">
      <w:pPr>
        <w:jc w:val="both"/>
        <w:rPr>
          <w:rFonts w:ascii="Arial" w:hAnsi="Arial" w:cs="Arial"/>
          <w:sz w:val="20"/>
          <w:szCs w:val="20"/>
        </w:rPr>
      </w:pPr>
      <w:r w:rsidRPr="00320B4A">
        <w:rPr>
          <w:rFonts w:ascii="Arial" w:hAnsi="Arial" w:cs="Arial"/>
          <w:sz w:val="20"/>
          <w:szCs w:val="20"/>
        </w:rPr>
        <w:t xml:space="preserve">Based on trends and statistical analysis, an analysis of the draft TJTPs still being elaborated by the County Councils, as well as stakeholder interviews, the </w:t>
      </w:r>
      <w:r w:rsidR="00C721D3">
        <w:rPr>
          <w:rFonts w:ascii="Arial" w:hAnsi="Arial" w:cs="Arial"/>
          <w:sz w:val="20"/>
          <w:szCs w:val="20"/>
        </w:rPr>
        <w:t xml:space="preserve">TA </w:t>
      </w:r>
      <w:r w:rsidRPr="00320B4A">
        <w:rPr>
          <w:rFonts w:ascii="Arial" w:hAnsi="Arial" w:cs="Arial"/>
          <w:sz w:val="20"/>
          <w:szCs w:val="20"/>
        </w:rPr>
        <w:t>team propos</w:t>
      </w:r>
      <w:r w:rsidR="00C721D3">
        <w:rPr>
          <w:rFonts w:ascii="Arial" w:hAnsi="Arial" w:cs="Arial"/>
          <w:sz w:val="20"/>
          <w:szCs w:val="20"/>
        </w:rPr>
        <w:t>es</w:t>
      </w:r>
      <w:r w:rsidRPr="00320B4A">
        <w:rPr>
          <w:rFonts w:ascii="Arial" w:hAnsi="Arial" w:cs="Arial"/>
          <w:sz w:val="20"/>
          <w:szCs w:val="20"/>
        </w:rPr>
        <w:t xml:space="preserve"> the following draft priority investment needs.</w:t>
      </w:r>
    </w:p>
    <w:p w14:paraId="224821F6" w14:textId="31B016C1" w:rsidR="00885F6C" w:rsidRDefault="00320B4A" w:rsidP="00320B4A">
      <w:pPr>
        <w:pStyle w:val="Caption"/>
      </w:pPr>
      <w:bookmarkStart w:id="361" w:name="_Toc90726032"/>
      <w:bookmarkStart w:id="362" w:name="_Toc90727329"/>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78</w:t>
      </w:r>
      <w:r w:rsidR="000B273D">
        <w:rPr>
          <w:noProof/>
        </w:rPr>
        <w:fldChar w:fldCharType="end"/>
      </w:r>
      <w:r>
        <w:t xml:space="preserve">: Justification for proposed JTF operation in </w:t>
      </w:r>
      <w:r w:rsidR="003751DC">
        <w:t>Galați</w:t>
      </w:r>
      <w:r>
        <w:t xml:space="preserve"> </w:t>
      </w:r>
      <w:r w:rsidR="00C721D3">
        <w:t>C</w:t>
      </w:r>
      <w:r>
        <w:t>ounty</w:t>
      </w:r>
      <w:bookmarkEnd w:id="361"/>
      <w:bookmarkEnd w:id="362"/>
    </w:p>
    <w:tbl>
      <w:tblPr>
        <w:tblW w:w="51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6"/>
        <w:gridCol w:w="4786"/>
      </w:tblGrid>
      <w:tr w:rsidR="00885F6C" w:rsidRPr="003516DC" w14:paraId="22DADA24" w14:textId="77777777" w:rsidTr="00320B4A">
        <w:trPr>
          <w:tblHeader/>
        </w:trPr>
        <w:tc>
          <w:tcPr>
            <w:tcW w:w="5000" w:type="pct"/>
            <w:gridSpan w:val="2"/>
            <w:shd w:val="clear" w:color="auto" w:fill="002060"/>
            <w:tcMar>
              <w:top w:w="100" w:type="dxa"/>
              <w:left w:w="100" w:type="dxa"/>
              <w:bottom w:w="100" w:type="dxa"/>
              <w:right w:w="100" w:type="dxa"/>
            </w:tcMar>
            <w:vAlign w:val="center"/>
          </w:tcPr>
          <w:p w14:paraId="444B9689" w14:textId="77777777" w:rsidR="00885F6C" w:rsidRPr="003516DC" w:rsidRDefault="00885F6C" w:rsidP="00964831">
            <w:pPr>
              <w:jc w:val="center"/>
              <w:rPr>
                <w:rFonts w:ascii="Arial" w:hAnsi="Arial" w:cs="Arial"/>
                <w:b/>
                <w:bCs/>
                <w:sz w:val="20"/>
                <w:szCs w:val="20"/>
                <w:highlight w:val="white"/>
              </w:rPr>
            </w:pPr>
          </w:p>
        </w:tc>
      </w:tr>
      <w:tr w:rsidR="00885F6C" w:rsidRPr="003516DC" w14:paraId="2FF69AD9" w14:textId="77777777" w:rsidTr="00320B4A">
        <w:trPr>
          <w:trHeight w:val="737"/>
          <w:tblHeader/>
        </w:trPr>
        <w:tc>
          <w:tcPr>
            <w:tcW w:w="2411" w:type="pct"/>
            <w:shd w:val="clear" w:color="auto" w:fill="C6D9F1" w:themeFill="text2" w:themeFillTint="33"/>
            <w:tcMar>
              <w:top w:w="100" w:type="dxa"/>
              <w:left w:w="100" w:type="dxa"/>
              <w:bottom w:w="100" w:type="dxa"/>
              <w:right w:w="100" w:type="dxa"/>
            </w:tcMar>
            <w:vAlign w:val="center"/>
          </w:tcPr>
          <w:p w14:paraId="40EF5EC9" w14:textId="3D1D3F1A" w:rsidR="00885F6C" w:rsidRPr="00C721D3" w:rsidRDefault="00885F6C" w:rsidP="00964831">
            <w:pPr>
              <w:jc w:val="both"/>
              <w:rPr>
                <w:rFonts w:ascii="Arial" w:hAnsi="Arial" w:cs="Arial"/>
                <w:b/>
                <w:bCs/>
                <w:sz w:val="18"/>
                <w:szCs w:val="18"/>
              </w:rPr>
            </w:pPr>
            <w:r w:rsidRPr="00C721D3">
              <w:rPr>
                <w:rFonts w:ascii="Arial" w:hAnsi="Arial" w:cs="Arial"/>
                <w:b/>
                <w:bCs/>
                <w:sz w:val="18"/>
                <w:szCs w:val="18"/>
                <w:lang w:val="en-US"/>
              </w:rPr>
              <w:t>Based on local challenges analysis</w:t>
            </w:r>
            <w:r w:rsidR="00805CA4">
              <w:rPr>
                <w:rStyle w:val="FootnoteReference"/>
                <w:rFonts w:ascii="Arial" w:hAnsi="Arial" w:cs="Arial"/>
                <w:b/>
                <w:bCs/>
                <w:sz w:val="18"/>
                <w:szCs w:val="18"/>
                <w:lang w:val="en-US"/>
              </w:rPr>
              <w:footnoteReference w:id="154"/>
            </w:r>
          </w:p>
        </w:tc>
        <w:tc>
          <w:tcPr>
            <w:tcW w:w="2589" w:type="pct"/>
            <w:shd w:val="clear" w:color="auto" w:fill="C6D9F1" w:themeFill="text2" w:themeFillTint="33"/>
            <w:tcMar>
              <w:top w:w="100" w:type="dxa"/>
              <w:left w:w="100" w:type="dxa"/>
              <w:bottom w:w="100" w:type="dxa"/>
              <w:right w:w="100" w:type="dxa"/>
            </w:tcMar>
            <w:vAlign w:val="center"/>
          </w:tcPr>
          <w:p w14:paraId="3A141857" w14:textId="7DD458FB" w:rsidR="00885F6C" w:rsidRPr="00C721D3" w:rsidRDefault="00885F6C" w:rsidP="00964831">
            <w:pPr>
              <w:jc w:val="both"/>
              <w:rPr>
                <w:rFonts w:ascii="Arial" w:hAnsi="Arial" w:cs="Arial"/>
                <w:b/>
                <w:bCs/>
                <w:sz w:val="18"/>
                <w:szCs w:val="18"/>
                <w:lang w:val="en-US"/>
              </w:rPr>
            </w:pPr>
            <w:r w:rsidRPr="00C721D3">
              <w:rPr>
                <w:rFonts w:ascii="Arial" w:hAnsi="Arial" w:cs="Arial"/>
                <w:b/>
                <w:bCs/>
                <w:sz w:val="18"/>
                <w:szCs w:val="18"/>
              </w:rPr>
              <w:t>Identified as priority to address the impact of the transition by the stakeholders and from the trends analysis and</w:t>
            </w:r>
            <w:r w:rsidR="00E32FE2">
              <w:rPr>
                <w:rFonts w:ascii="Arial" w:hAnsi="Arial" w:cs="Arial"/>
                <w:b/>
                <w:bCs/>
                <w:sz w:val="18"/>
                <w:szCs w:val="18"/>
              </w:rPr>
              <w:t xml:space="preserve"> potentially</w:t>
            </w:r>
            <w:r w:rsidRPr="00C721D3">
              <w:rPr>
                <w:rFonts w:ascii="Arial" w:hAnsi="Arial" w:cs="Arial"/>
                <w:b/>
                <w:bCs/>
                <w:sz w:val="18"/>
                <w:szCs w:val="18"/>
              </w:rPr>
              <w:t xml:space="preserve"> in scope of the JTF Regulation</w:t>
            </w:r>
          </w:p>
        </w:tc>
      </w:tr>
      <w:tr w:rsidR="00885F6C" w:rsidRPr="003516DC" w14:paraId="0C5B878A" w14:textId="77777777" w:rsidTr="00964831">
        <w:trPr>
          <w:trHeight w:val="20"/>
        </w:trPr>
        <w:tc>
          <w:tcPr>
            <w:tcW w:w="2411" w:type="pct"/>
            <w:shd w:val="clear" w:color="auto" w:fill="auto"/>
            <w:tcMar>
              <w:top w:w="100" w:type="dxa"/>
              <w:left w:w="100" w:type="dxa"/>
              <w:bottom w:w="100" w:type="dxa"/>
              <w:right w:w="100" w:type="dxa"/>
            </w:tcMar>
          </w:tcPr>
          <w:p w14:paraId="58735E26" w14:textId="44F56F48" w:rsidR="00885F6C" w:rsidRPr="00C721D3" w:rsidRDefault="00C721D3" w:rsidP="00E42342">
            <w:pPr>
              <w:pStyle w:val="ListParagraph"/>
              <w:numPr>
                <w:ilvl w:val="0"/>
                <w:numId w:val="202"/>
              </w:numPr>
              <w:spacing w:line="240" w:lineRule="auto"/>
              <w:rPr>
                <w:sz w:val="18"/>
                <w:szCs w:val="18"/>
                <w:lang w:val="en-US"/>
              </w:rPr>
            </w:pPr>
            <w:r>
              <w:rPr>
                <w:sz w:val="18"/>
                <w:szCs w:val="18"/>
                <w:lang w:val="en-US"/>
              </w:rPr>
              <w:t>L</w:t>
            </w:r>
            <w:r w:rsidR="00885F6C" w:rsidRPr="00C721D3">
              <w:rPr>
                <w:sz w:val="18"/>
                <w:szCs w:val="18"/>
                <w:lang w:val="en-US"/>
              </w:rPr>
              <w:t>ow attractiveness for investors cor</w:t>
            </w:r>
            <w:r>
              <w:rPr>
                <w:sz w:val="18"/>
                <w:szCs w:val="18"/>
                <w:lang w:val="en-US"/>
              </w:rPr>
              <w:t>r</w:t>
            </w:r>
            <w:r w:rsidR="00885F6C" w:rsidRPr="00C721D3">
              <w:rPr>
                <w:sz w:val="18"/>
                <w:szCs w:val="18"/>
                <w:lang w:val="en-US"/>
              </w:rPr>
              <w:t>elated with business support infrastructure laying empty/underused</w:t>
            </w:r>
          </w:p>
          <w:p w14:paraId="5CEFCD84" w14:textId="0A2D27E6" w:rsidR="00885F6C" w:rsidRPr="00C721D3" w:rsidRDefault="00885F6C" w:rsidP="00E42342">
            <w:pPr>
              <w:pStyle w:val="ListParagraph"/>
              <w:numPr>
                <w:ilvl w:val="0"/>
                <w:numId w:val="202"/>
              </w:numPr>
              <w:spacing w:line="240" w:lineRule="auto"/>
              <w:rPr>
                <w:sz w:val="18"/>
                <w:szCs w:val="18"/>
                <w:lang w:val="en-US"/>
              </w:rPr>
            </w:pPr>
            <w:r w:rsidRPr="00C721D3">
              <w:rPr>
                <w:sz w:val="18"/>
                <w:szCs w:val="18"/>
                <w:lang w:val="en-US"/>
              </w:rPr>
              <w:t>Existence at</w:t>
            </w:r>
            <w:r w:rsidR="00C721D3">
              <w:rPr>
                <w:sz w:val="18"/>
                <w:szCs w:val="18"/>
                <w:lang w:val="en-US"/>
              </w:rPr>
              <w:t xml:space="preserve"> the</w:t>
            </w:r>
            <w:r w:rsidRPr="00C721D3">
              <w:rPr>
                <w:sz w:val="18"/>
                <w:szCs w:val="18"/>
                <w:lang w:val="en-US"/>
              </w:rPr>
              <w:t xml:space="preserve"> local level of contractors in the field of ships design and automatisation that have not benefited from dedicated financing schemes</w:t>
            </w:r>
          </w:p>
          <w:p w14:paraId="76AC2880" w14:textId="7CD9531D" w:rsidR="00885F6C" w:rsidRPr="00C721D3" w:rsidRDefault="00885F6C" w:rsidP="00E42342">
            <w:pPr>
              <w:pStyle w:val="ListParagraph"/>
              <w:numPr>
                <w:ilvl w:val="0"/>
                <w:numId w:val="202"/>
              </w:numPr>
              <w:spacing w:line="240" w:lineRule="auto"/>
              <w:rPr>
                <w:sz w:val="18"/>
                <w:szCs w:val="18"/>
                <w:lang w:val="en-US"/>
              </w:rPr>
            </w:pPr>
            <w:r w:rsidRPr="00C721D3">
              <w:rPr>
                <w:sz w:val="18"/>
                <w:szCs w:val="18"/>
                <w:lang w:val="en-US"/>
              </w:rPr>
              <w:t>Underdeveloped business environment with small number of active companies: 32/1000 inhabitants vs. national average 49/1000 inhabitants</w:t>
            </w:r>
          </w:p>
          <w:p w14:paraId="51127441" w14:textId="16BAECA8" w:rsidR="00885F6C" w:rsidRPr="00C721D3" w:rsidRDefault="00885F6C" w:rsidP="00E42342">
            <w:pPr>
              <w:pStyle w:val="ListParagraph"/>
              <w:numPr>
                <w:ilvl w:val="0"/>
                <w:numId w:val="202"/>
              </w:numPr>
              <w:spacing w:line="240" w:lineRule="auto"/>
              <w:rPr>
                <w:sz w:val="18"/>
                <w:szCs w:val="18"/>
                <w:lang w:val="en-US"/>
              </w:rPr>
            </w:pPr>
            <w:r w:rsidRPr="00C721D3">
              <w:rPr>
                <w:sz w:val="18"/>
                <w:szCs w:val="18"/>
                <w:lang w:val="en-US"/>
              </w:rPr>
              <w:t>Lowest number of freelancers in the six counties</w:t>
            </w:r>
          </w:p>
        </w:tc>
        <w:tc>
          <w:tcPr>
            <w:tcW w:w="2589" w:type="pct"/>
            <w:shd w:val="clear" w:color="auto" w:fill="auto"/>
            <w:tcMar>
              <w:top w:w="100" w:type="dxa"/>
              <w:left w:w="100" w:type="dxa"/>
              <w:bottom w:w="100" w:type="dxa"/>
              <w:right w:w="100" w:type="dxa"/>
            </w:tcMar>
          </w:tcPr>
          <w:p w14:paraId="1CD357F4" w14:textId="5EFA2209" w:rsidR="00885F6C" w:rsidRPr="00C721D3" w:rsidRDefault="00885F6C" w:rsidP="00885F6C">
            <w:pPr>
              <w:spacing w:line="276" w:lineRule="auto"/>
              <w:rPr>
                <w:rFonts w:ascii="Arial" w:hAnsi="Arial" w:cs="Arial"/>
                <w:sz w:val="18"/>
                <w:szCs w:val="18"/>
              </w:rPr>
            </w:pPr>
            <w:r w:rsidRPr="00C721D3">
              <w:rPr>
                <w:rFonts w:ascii="Arial" w:hAnsi="Arial" w:cs="Arial"/>
                <w:b/>
                <w:sz w:val="18"/>
                <w:szCs w:val="18"/>
              </w:rPr>
              <w:t>Type 1:</w:t>
            </w:r>
            <w:r w:rsidRPr="00C721D3">
              <w:rPr>
                <w:rFonts w:ascii="Arial" w:hAnsi="Arial" w:cs="Arial"/>
                <w:sz w:val="18"/>
                <w:szCs w:val="18"/>
              </w:rPr>
              <w:t xml:space="preserve"> Increasing competitiveness and economic diversification, research, innovation and digitalisation</w:t>
            </w:r>
          </w:p>
          <w:p w14:paraId="29205859" w14:textId="77777777" w:rsidR="00885F6C" w:rsidRPr="00C721D3" w:rsidRDefault="00885F6C" w:rsidP="00885F6C">
            <w:pPr>
              <w:spacing w:line="276" w:lineRule="auto"/>
              <w:rPr>
                <w:rFonts w:ascii="Arial" w:hAnsi="Arial" w:cs="Arial"/>
                <w:sz w:val="8"/>
                <w:szCs w:val="8"/>
              </w:rPr>
            </w:pPr>
          </w:p>
          <w:p w14:paraId="79E3D6EA" w14:textId="5118174F" w:rsidR="00885F6C" w:rsidRPr="00C721D3" w:rsidRDefault="00885F6C" w:rsidP="00885F6C">
            <w:pPr>
              <w:pStyle w:val="ListParagraph"/>
              <w:numPr>
                <w:ilvl w:val="0"/>
                <w:numId w:val="72"/>
              </w:numPr>
              <w:spacing w:line="240" w:lineRule="auto"/>
              <w:rPr>
                <w:sz w:val="18"/>
                <w:szCs w:val="18"/>
              </w:rPr>
            </w:pPr>
            <w:r w:rsidRPr="00C721D3">
              <w:rPr>
                <w:sz w:val="18"/>
                <w:szCs w:val="18"/>
              </w:rPr>
              <w:t>Financing and acceleration p</w:t>
            </w:r>
            <w:r w:rsidR="00D206E5">
              <w:rPr>
                <w:sz w:val="18"/>
                <w:szCs w:val="18"/>
              </w:rPr>
              <w:t>rogrammes</w:t>
            </w:r>
            <w:r w:rsidRPr="00C721D3">
              <w:rPr>
                <w:sz w:val="18"/>
                <w:szCs w:val="18"/>
              </w:rPr>
              <w:t xml:space="preserve"> (support for internationalisation/access to new markets, business model development, technological upgrading and digitisation, etc.) and business support infrastructure for the SME sector, especially for knowledge and technology intensive services and manufacturing</w:t>
            </w:r>
          </w:p>
          <w:p w14:paraId="410588BD" w14:textId="4985A415" w:rsidR="00885F6C" w:rsidRPr="00C721D3" w:rsidRDefault="00885F6C" w:rsidP="00885F6C">
            <w:pPr>
              <w:pStyle w:val="ListParagraph"/>
              <w:numPr>
                <w:ilvl w:val="0"/>
                <w:numId w:val="72"/>
              </w:numPr>
              <w:spacing w:line="240" w:lineRule="auto"/>
              <w:rPr>
                <w:sz w:val="18"/>
                <w:szCs w:val="18"/>
              </w:rPr>
            </w:pPr>
            <w:r w:rsidRPr="00C721D3">
              <w:rPr>
                <w:sz w:val="18"/>
                <w:szCs w:val="18"/>
              </w:rPr>
              <w:t xml:space="preserve">Development of port facilities and services to support connectivity on the Danube and reduce the comparative disadvantage of </w:t>
            </w:r>
            <w:r w:rsidR="003751DC">
              <w:rPr>
                <w:sz w:val="18"/>
                <w:szCs w:val="18"/>
              </w:rPr>
              <w:t>Galați</w:t>
            </w:r>
            <w:r w:rsidRPr="00C721D3">
              <w:rPr>
                <w:sz w:val="18"/>
                <w:szCs w:val="18"/>
              </w:rPr>
              <w:t xml:space="preserve"> </w:t>
            </w:r>
            <w:r w:rsidR="00C721D3">
              <w:rPr>
                <w:sz w:val="18"/>
                <w:szCs w:val="18"/>
              </w:rPr>
              <w:t>C</w:t>
            </w:r>
            <w:r w:rsidRPr="00C721D3">
              <w:rPr>
                <w:sz w:val="18"/>
                <w:szCs w:val="18"/>
              </w:rPr>
              <w:t>ounty (peripheral position)</w:t>
            </w:r>
          </w:p>
        </w:tc>
      </w:tr>
      <w:tr w:rsidR="00885F6C" w:rsidRPr="003516DC" w14:paraId="3517D4B5" w14:textId="77777777" w:rsidTr="00964831">
        <w:trPr>
          <w:trHeight w:val="790"/>
        </w:trPr>
        <w:tc>
          <w:tcPr>
            <w:tcW w:w="2411" w:type="pct"/>
            <w:shd w:val="clear" w:color="auto" w:fill="auto"/>
            <w:tcMar>
              <w:top w:w="100" w:type="dxa"/>
              <w:left w:w="100" w:type="dxa"/>
              <w:bottom w:w="100" w:type="dxa"/>
              <w:right w:w="100" w:type="dxa"/>
            </w:tcMar>
          </w:tcPr>
          <w:p w14:paraId="16BD55D2" w14:textId="0846A92E" w:rsidR="00885F6C" w:rsidRPr="00C721D3" w:rsidRDefault="00885F6C" w:rsidP="00E42342">
            <w:pPr>
              <w:pStyle w:val="ListParagraph"/>
              <w:numPr>
                <w:ilvl w:val="0"/>
                <w:numId w:val="203"/>
              </w:numPr>
              <w:spacing w:line="240" w:lineRule="auto"/>
              <w:rPr>
                <w:sz w:val="18"/>
                <w:szCs w:val="18"/>
                <w:lang w:val="en-US"/>
              </w:rPr>
            </w:pPr>
            <w:r w:rsidRPr="00C721D3">
              <w:rPr>
                <w:sz w:val="18"/>
                <w:szCs w:val="18"/>
                <w:lang w:val="en-US"/>
              </w:rPr>
              <w:t xml:space="preserve">Of </w:t>
            </w:r>
            <w:r w:rsidR="00C721D3">
              <w:rPr>
                <w:sz w:val="18"/>
                <w:szCs w:val="18"/>
                <w:lang w:val="en-US"/>
              </w:rPr>
              <w:t xml:space="preserve">the </w:t>
            </w:r>
            <w:r w:rsidRPr="00C721D3">
              <w:rPr>
                <w:sz w:val="18"/>
                <w:szCs w:val="18"/>
                <w:lang w:val="en-US"/>
              </w:rPr>
              <w:t>six counties</w:t>
            </w:r>
            <w:r w:rsidR="00C721D3">
              <w:rPr>
                <w:sz w:val="18"/>
                <w:szCs w:val="18"/>
                <w:lang w:val="en-US"/>
              </w:rPr>
              <w:t>,</w:t>
            </w:r>
            <w:r w:rsidRPr="00C721D3">
              <w:rPr>
                <w:sz w:val="18"/>
                <w:szCs w:val="18"/>
                <w:lang w:val="en-US"/>
              </w:rPr>
              <w:t xml:space="preserve"> Galați has a very good renewable energy potential given its position and environmental features, in particular highest onshore wind potential in Romania</w:t>
            </w:r>
          </w:p>
          <w:p w14:paraId="7007D2B8" w14:textId="00302B0C" w:rsidR="00885F6C" w:rsidRPr="00C721D3" w:rsidRDefault="00885F6C" w:rsidP="00E42342">
            <w:pPr>
              <w:pStyle w:val="ListParagraph"/>
              <w:numPr>
                <w:ilvl w:val="0"/>
                <w:numId w:val="203"/>
              </w:numPr>
              <w:spacing w:line="240" w:lineRule="auto"/>
              <w:rPr>
                <w:sz w:val="18"/>
                <w:szCs w:val="18"/>
                <w:lang w:val="en-US"/>
              </w:rPr>
            </w:pPr>
            <w:r w:rsidRPr="00C721D3">
              <w:rPr>
                <w:sz w:val="18"/>
                <w:szCs w:val="18"/>
                <w:lang w:val="en-US"/>
              </w:rPr>
              <w:t>Concentration of metal works companies, which add steel industry, with high demands for energy production and dependent to neutrali</w:t>
            </w:r>
            <w:r w:rsidR="004E7B64">
              <w:rPr>
                <w:sz w:val="18"/>
                <w:szCs w:val="18"/>
                <w:lang w:val="en-US"/>
              </w:rPr>
              <w:t>sation</w:t>
            </w:r>
            <w:r w:rsidRPr="00C721D3">
              <w:rPr>
                <w:sz w:val="18"/>
                <w:szCs w:val="18"/>
                <w:lang w:val="en-US"/>
              </w:rPr>
              <w:t>/reuse of CO</w:t>
            </w:r>
            <w:r w:rsidRPr="00402580">
              <w:rPr>
                <w:sz w:val="18"/>
                <w:szCs w:val="18"/>
                <w:vertAlign w:val="subscript"/>
                <w:lang w:val="en-US"/>
              </w:rPr>
              <w:t>2</w:t>
            </w:r>
            <w:r w:rsidRPr="00C721D3">
              <w:rPr>
                <w:sz w:val="18"/>
                <w:szCs w:val="18"/>
                <w:lang w:val="en-US"/>
              </w:rPr>
              <w:t xml:space="preserve"> emissions</w:t>
            </w:r>
          </w:p>
          <w:p w14:paraId="6526806F" w14:textId="18A12E9E" w:rsidR="00885F6C" w:rsidRPr="00C721D3" w:rsidRDefault="00885F6C" w:rsidP="00E42342">
            <w:pPr>
              <w:pStyle w:val="ListParagraph"/>
              <w:numPr>
                <w:ilvl w:val="0"/>
                <w:numId w:val="203"/>
              </w:numPr>
              <w:spacing w:line="240" w:lineRule="auto"/>
              <w:rPr>
                <w:sz w:val="18"/>
                <w:szCs w:val="18"/>
              </w:rPr>
            </w:pPr>
            <w:r w:rsidRPr="00C721D3">
              <w:rPr>
                <w:sz w:val="18"/>
                <w:szCs w:val="18"/>
                <w:lang w:val="en-US"/>
              </w:rPr>
              <w:t>Ambitious and clear climate neutrality plan on his part largest regional player part of the ETS scheme.</w:t>
            </w:r>
          </w:p>
        </w:tc>
        <w:tc>
          <w:tcPr>
            <w:tcW w:w="2589" w:type="pct"/>
            <w:shd w:val="clear" w:color="auto" w:fill="auto"/>
            <w:tcMar>
              <w:top w:w="100" w:type="dxa"/>
              <w:left w:w="100" w:type="dxa"/>
              <w:bottom w:w="100" w:type="dxa"/>
              <w:right w:w="100" w:type="dxa"/>
            </w:tcMar>
          </w:tcPr>
          <w:p w14:paraId="71B376AD" w14:textId="5A5F1EA4" w:rsidR="00885F6C" w:rsidRPr="00C721D3" w:rsidRDefault="00885F6C" w:rsidP="00885F6C">
            <w:pPr>
              <w:spacing w:line="276" w:lineRule="auto"/>
              <w:rPr>
                <w:rFonts w:ascii="Arial" w:hAnsi="Arial" w:cs="Arial"/>
                <w:sz w:val="18"/>
                <w:szCs w:val="18"/>
              </w:rPr>
            </w:pPr>
            <w:r w:rsidRPr="00C721D3">
              <w:rPr>
                <w:rFonts w:ascii="Arial" w:hAnsi="Arial" w:cs="Arial"/>
                <w:b/>
                <w:sz w:val="18"/>
                <w:szCs w:val="18"/>
              </w:rPr>
              <w:t>Type 2</w:t>
            </w:r>
            <w:r w:rsidRPr="00C721D3">
              <w:rPr>
                <w:rFonts w:ascii="Arial" w:hAnsi="Arial" w:cs="Arial"/>
                <w:sz w:val="18"/>
                <w:szCs w:val="18"/>
              </w:rPr>
              <w:t>: Supporting investments in energy infrastructure and clean energy technology</w:t>
            </w:r>
          </w:p>
          <w:p w14:paraId="61882A04" w14:textId="77777777" w:rsidR="00885F6C" w:rsidRPr="00C721D3" w:rsidRDefault="00885F6C" w:rsidP="00885F6C">
            <w:pPr>
              <w:spacing w:line="276" w:lineRule="auto"/>
              <w:rPr>
                <w:rFonts w:ascii="Arial" w:hAnsi="Arial" w:cs="Arial"/>
                <w:sz w:val="8"/>
                <w:szCs w:val="8"/>
              </w:rPr>
            </w:pPr>
          </w:p>
          <w:p w14:paraId="0CDCC582" w14:textId="77777777" w:rsidR="00885F6C" w:rsidRPr="00C721D3" w:rsidRDefault="00885F6C" w:rsidP="00885F6C">
            <w:pPr>
              <w:pStyle w:val="ListParagraph"/>
              <w:numPr>
                <w:ilvl w:val="0"/>
                <w:numId w:val="79"/>
              </w:numPr>
              <w:spacing w:line="240" w:lineRule="auto"/>
              <w:rPr>
                <w:sz w:val="18"/>
                <w:szCs w:val="18"/>
              </w:rPr>
            </w:pPr>
            <w:r w:rsidRPr="00C721D3">
              <w:rPr>
                <w:sz w:val="18"/>
                <w:szCs w:val="18"/>
              </w:rPr>
              <w:t>Financial and technical support programmes to support the transition of enterprises to RES (including the development of RES production capacities and energy efficiency), capitalising on the significant solar and wind energy potential of the county</w:t>
            </w:r>
          </w:p>
          <w:p w14:paraId="0C91CD0B" w14:textId="77777777" w:rsidR="00885F6C" w:rsidRPr="00C721D3" w:rsidRDefault="00885F6C" w:rsidP="00885F6C">
            <w:pPr>
              <w:pStyle w:val="ListParagraph"/>
              <w:numPr>
                <w:ilvl w:val="0"/>
                <w:numId w:val="79"/>
              </w:numPr>
              <w:spacing w:line="240" w:lineRule="auto"/>
              <w:rPr>
                <w:rFonts w:eastAsia="Arial Narrow"/>
                <w:sz w:val="18"/>
                <w:szCs w:val="18"/>
              </w:rPr>
            </w:pPr>
            <w:r w:rsidRPr="00C721D3">
              <w:rPr>
                <w:rFonts w:eastAsia="Arial Narrow"/>
                <w:sz w:val="18"/>
                <w:szCs w:val="18"/>
              </w:rPr>
              <w:t>Technological upgrading to reduce pollution and carbon emissions (large enterprises and SMEs).</w:t>
            </w:r>
          </w:p>
          <w:p w14:paraId="5073D70B" w14:textId="77777777" w:rsidR="00885F6C" w:rsidRPr="00C721D3" w:rsidRDefault="00885F6C" w:rsidP="00885F6C">
            <w:pPr>
              <w:pStyle w:val="ListParagraph"/>
              <w:numPr>
                <w:ilvl w:val="0"/>
                <w:numId w:val="79"/>
              </w:numPr>
              <w:spacing w:line="240" w:lineRule="auto"/>
              <w:rPr>
                <w:rFonts w:eastAsia="Arial Narrow"/>
                <w:sz w:val="18"/>
                <w:szCs w:val="18"/>
              </w:rPr>
            </w:pPr>
            <w:r w:rsidRPr="00C721D3">
              <w:rPr>
                <w:rFonts w:eastAsia="Arial Narrow"/>
                <w:sz w:val="18"/>
                <w:szCs w:val="18"/>
              </w:rPr>
              <w:t>Promoting sustainable urban mobility solutions: green public transport, infrastructure to promote pedestrian and cycling mobility, stimulating green logistics solutions</w:t>
            </w:r>
          </w:p>
          <w:p w14:paraId="223F4480" w14:textId="77777777" w:rsidR="00885F6C" w:rsidRPr="00C721D3" w:rsidRDefault="00885F6C" w:rsidP="00885F6C">
            <w:pPr>
              <w:pStyle w:val="ListParagraph"/>
              <w:numPr>
                <w:ilvl w:val="0"/>
                <w:numId w:val="79"/>
              </w:numPr>
              <w:spacing w:line="240" w:lineRule="auto"/>
              <w:rPr>
                <w:sz w:val="18"/>
                <w:szCs w:val="18"/>
              </w:rPr>
            </w:pPr>
            <w:r w:rsidRPr="00C721D3">
              <w:rPr>
                <w:rFonts w:eastAsia="Arial Narrow"/>
                <w:sz w:val="18"/>
                <w:szCs w:val="18"/>
              </w:rPr>
              <w:t>Energy efficiency of public buildings (including public housing stock)</w:t>
            </w:r>
          </w:p>
          <w:p w14:paraId="25C942E3" w14:textId="2E4182AF" w:rsidR="00885F6C" w:rsidRPr="00C721D3" w:rsidRDefault="00885F6C" w:rsidP="00885F6C">
            <w:pPr>
              <w:pStyle w:val="ListParagraph"/>
              <w:numPr>
                <w:ilvl w:val="0"/>
                <w:numId w:val="79"/>
              </w:numPr>
              <w:spacing w:line="240" w:lineRule="auto"/>
              <w:rPr>
                <w:sz w:val="18"/>
                <w:szCs w:val="18"/>
              </w:rPr>
            </w:pPr>
            <w:r w:rsidRPr="00C721D3">
              <w:rPr>
                <w:rFonts w:eastAsia="Arial Narrow"/>
                <w:sz w:val="18"/>
                <w:szCs w:val="18"/>
              </w:rPr>
              <w:t>Decontamination and functional reconversion of polluted/decommissioned sites into integrated urban regeneration projects; reconstruction of ecosystems to mitigate air pollution</w:t>
            </w:r>
          </w:p>
        </w:tc>
      </w:tr>
      <w:tr w:rsidR="00885F6C" w:rsidRPr="003516DC" w14:paraId="4CA4CA17" w14:textId="77777777" w:rsidTr="00964831">
        <w:trPr>
          <w:trHeight w:val="232"/>
        </w:trPr>
        <w:tc>
          <w:tcPr>
            <w:tcW w:w="2411" w:type="pct"/>
            <w:shd w:val="clear" w:color="auto" w:fill="auto"/>
            <w:tcMar>
              <w:top w:w="100" w:type="dxa"/>
              <w:left w:w="100" w:type="dxa"/>
              <w:bottom w:w="100" w:type="dxa"/>
              <w:right w:w="100" w:type="dxa"/>
            </w:tcMar>
          </w:tcPr>
          <w:p w14:paraId="202475FC" w14:textId="3A360F6E" w:rsidR="00885F6C" w:rsidRPr="00C721D3" w:rsidRDefault="00885F6C" w:rsidP="00E42342">
            <w:pPr>
              <w:pStyle w:val="ListParagraph"/>
              <w:numPr>
                <w:ilvl w:val="0"/>
                <w:numId w:val="204"/>
              </w:numPr>
              <w:spacing w:line="240" w:lineRule="auto"/>
              <w:rPr>
                <w:sz w:val="18"/>
                <w:szCs w:val="18"/>
                <w:lang w:val="en-US"/>
              </w:rPr>
            </w:pPr>
            <w:r w:rsidRPr="00C721D3">
              <w:rPr>
                <w:sz w:val="18"/>
                <w:szCs w:val="18"/>
                <w:lang w:val="en-US"/>
              </w:rPr>
              <w:t>The educational infrastructure is not suitably adapted to the local labour market requirements</w:t>
            </w:r>
          </w:p>
          <w:p w14:paraId="31CEF4E0" w14:textId="46FABB63" w:rsidR="00885F6C" w:rsidRPr="00C721D3" w:rsidRDefault="00885F6C" w:rsidP="00E42342">
            <w:pPr>
              <w:pStyle w:val="ListParagraph"/>
              <w:numPr>
                <w:ilvl w:val="0"/>
                <w:numId w:val="204"/>
              </w:numPr>
              <w:spacing w:line="240" w:lineRule="auto"/>
              <w:rPr>
                <w:sz w:val="18"/>
                <w:szCs w:val="18"/>
                <w:lang w:val="en-US"/>
              </w:rPr>
            </w:pPr>
            <w:r w:rsidRPr="00C721D3">
              <w:rPr>
                <w:sz w:val="18"/>
                <w:szCs w:val="18"/>
                <w:lang w:val="en-US"/>
              </w:rPr>
              <w:t>Workforce training not adapted to local context</w:t>
            </w:r>
          </w:p>
          <w:p w14:paraId="6B951548" w14:textId="1BF3A94C" w:rsidR="00885F6C" w:rsidRPr="00C721D3" w:rsidRDefault="00885F6C" w:rsidP="00E42342">
            <w:pPr>
              <w:pStyle w:val="ListParagraph"/>
              <w:numPr>
                <w:ilvl w:val="0"/>
                <w:numId w:val="204"/>
              </w:numPr>
              <w:spacing w:line="240" w:lineRule="auto"/>
              <w:rPr>
                <w:sz w:val="18"/>
                <w:szCs w:val="18"/>
              </w:rPr>
            </w:pPr>
            <w:r w:rsidRPr="00C721D3">
              <w:rPr>
                <w:sz w:val="18"/>
                <w:szCs w:val="18"/>
              </w:rPr>
              <w:t>Present job losses are concentrated in two lower skilled occupation groups: trades workers and farm and related workers.</w:t>
            </w:r>
          </w:p>
          <w:p w14:paraId="5B3D1D5D" w14:textId="71AF41C2" w:rsidR="00885F6C" w:rsidRPr="00C721D3" w:rsidRDefault="00885F6C" w:rsidP="00E42342">
            <w:pPr>
              <w:pStyle w:val="ListParagraph"/>
              <w:numPr>
                <w:ilvl w:val="0"/>
                <w:numId w:val="204"/>
              </w:numPr>
              <w:rPr>
                <w:sz w:val="18"/>
                <w:szCs w:val="18"/>
              </w:rPr>
            </w:pPr>
            <w:r w:rsidRPr="00C721D3">
              <w:rPr>
                <w:sz w:val="18"/>
                <w:szCs w:val="18"/>
                <w:lang w:val="en-US"/>
              </w:rPr>
              <w:t>Persistently higher unemployment compared to the national average</w:t>
            </w:r>
          </w:p>
        </w:tc>
        <w:tc>
          <w:tcPr>
            <w:tcW w:w="2589" w:type="pct"/>
            <w:shd w:val="clear" w:color="auto" w:fill="auto"/>
            <w:tcMar>
              <w:top w:w="100" w:type="dxa"/>
              <w:left w:w="100" w:type="dxa"/>
              <w:bottom w:w="100" w:type="dxa"/>
              <w:right w:w="100" w:type="dxa"/>
            </w:tcMar>
          </w:tcPr>
          <w:p w14:paraId="38C865E5" w14:textId="36D3B221" w:rsidR="00885F6C" w:rsidRPr="00C721D3" w:rsidRDefault="00885F6C" w:rsidP="00885F6C">
            <w:pPr>
              <w:spacing w:line="276" w:lineRule="auto"/>
              <w:jc w:val="both"/>
              <w:rPr>
                <w:rFonts w:ascii="Arial" w:hAnsi="Arial" w:cs="Arial"/>
                <w:sz w:val="18"/>
                <w:szCs w:val="18"/>
              </w:rPr>
            </w:pPr>
            <w:r w:rsidRPr="00C721D3">
              <w:rPr>
                <w:rFonts w:ascii="Arial" w:hAnsi="Arial" w:cs="Arial"/>
                <w:b/>
                <w:sz w:val="18"/>
                <w:szCs w:val="18"/>
              </w:rPr>
              <w:t xml:space="preserve">Type 3: </w:t>
            </w:r>
            <w:r w:rsidRPr="00C721D3">
              <w:rPr>
                <w:rFonts w:ascii="Arial" w:hAnsi="Arial" w:cs="Arial"/>
                <w:sz w:val="18"/>
                <w:szCs w:val="18"/>
              </w:rPr>
              <w:t>Increasing the level of employment:</w:t>
            </w:r>
          </w:p>
          <w:p w14:paraId="41639954" w14:textId="77777777" w:rsidR="00885F6C" w:rsidRPr="00C721D3" w:rsidRDefault="00885F6C" w:rsidP="00885F6C">
            <w:pPr>
              <w:spacing w:line="276" w:lineRule="auto"/>
              <w:jc w:val="both"/>
              <w:rPr>
                <w:rFonts w:ascii="Arial" w:hAnsi="Arial" w:cs="Arial"/>
                <w:sz w:val="8"/>
                <w:szCs w:val="8"/>
              </w:rPr>
            </w:pPr>
          </w:p>
          <w:p w14:paraId="7AF9E71E" w14:textId="77777777" w:rsidR="00885F6C" w:rsidRPr="00C721D3" w:rsidRDefault="00885F6C" w:rsidP="00885F6C">
            <w:pPr>
              <w:pStyle w:val="ListParagraph"/>
              <w:numPr>
                <w:ilvl w:val="0"/>
                <w:numId w:val="83"/>
              </w:numPr>
              <w:spacing w:line="240" w:lineRule="auto"/>
              <w:jc w:val="both"/>
              <w:rPr>
                <w:rFonts w:eastAsia="Arial Narrow"/>
                <w:sz w:val="18"/>
                <w:szCs w:val="18"/>
              </w:rPr>
            </w:pPr>
            <w:r w:rsidRPr="00C721D3">
              <w:rPr>
                <w:rFonts w:eastAsia="Arial Narrow"/>
                <w:sz w:val="18"/>
                <w:szCs w:val="18"/>
              </w:rPr>
              <w:t>Development of dual school programmes</w:t>
            </w:r>
          </w:p>
          <w:p w14:paraId="3A410796" w14:textId="77777777" w:rsidR="00885F6C" w:rsidRPr="00C721D3" w:rsidRDefault="00885F6C" w:rsidP="00885F6C">
            <w:pPr>
              <w:pStyle w:val="ListParagraph"/>
              <w:numPr>
                <w:ilvl w:val="0"/>
                <w:numId w:val="83"/>
              </w:numPr>
              <w:spacing w:line="240" w:lineRule="auto"/>
              <w:jc w:val="both"/>
              <w:rPr>
                <w:rFonts w:eastAsia="Arial Narrow"/>
                <w:sz w:val="18"/>
                <w:szCs w:val="18"/>
              </w:rPr>
            </w:pPr>
            <w:r w:rsidRPr="00C721D3">
              <w:rPr>
                <w:rFonts w:eastAsia="Arial Narrow"/>
                <w:sz w:val="18"/>
                <w:szCs w:val="18"/>
              </w:rPr>
              <w:t>Investments in the development of the material base and of the vocational and technical education curriculum</w:t>
            </w:r>
          </w:p>
          <w:p w14:paraId="594F672E" w14:textId="47C642CC" w:rsidR="00885F6C" w:rsidRDefault="00885F6C" w:rsidP="00885F6C">
            <w:pPr>
              <w:pStyle w:val="ListParagraph"/>
              <w:numPr>
                <w:ilvl w:val="0"/>
                <w:numId w:val="83"/>
              </w:numPr>
              <w:spacing w:line="240" w:lineRule="auto"/>
              <w:jc w:val="both"/>
              <w:rPr>
                <w:rFonts w:eastAsia="Arial Narrow"/>
                <w:sz w:val="18"/>
                <w:szCs w:val="18"/>
              </w:rPr>
            </w:pPr>
            <w:r w:rsidRPr="00C721D3">
              <w:rPr>
                <w:rFonts w:eastAsia="Arial Narrow"/>
                <w:sz w:val="18"/>
                <w:szCs w:val="18"/>
              </w:rPr>
              <w:t>Innovative solutions for the labour market to insert those coming from disadvantaged backgrounds: e.g., qualification programmes in green jobs implemented in tandem with public investments in energy efficiency and reduction of energy poverty of those living in precarious conditions</w:t>
            </w:r>
          </w:p>
          <w:p w14:paraId="295568DE" w14:textId="5636438D" w:rsidR="002F453B" w:rsidRPr="00C721D3" w:rsidRDefault="002F453B" w:rsidP="00885F6C">
            <w:pPr>
              <w:pStyle w:val="ListParagraph"/>
              <w:numPr>
                <w:ilvl w:val="0"/>
                <w:numId w:val="83"/>
              </w:numPr>
              <w:spacing w:line="240" w:lineRule="auto"/>
              <w:jc w:val="both"/>
              <w:rPr>
                <w:rFonts w:eastAsia="Arial Narrow"/>
                <w:sz w:val="18"/>
                <w:szCs w:val="18"/>
              </w:rPr>
            </w:pPr>
            <w:r>
              <w:rPr>
                <w:rFonts w:eastAsia="Arial Narrow"/>
                <w:sz w:val="18"/>
                <w:szCs w:val="18"/>
              </w:rPr>
              <w:t>Upskilling and reskilling of laid-off personnel and jobseeker assistance</w:t>
            </w:r>
          </w:p>
        </w:tc>
      </w:tr>
    </w:tbl>
    <w:p w14:paraId="79776E27" w14:textId="7A0EBBD0" w:rsidR="00E534CF" w:rsidRDefault="00E534CF">
      <w:pPr>
        <w:rPr>
          <w:rFonts w:ascii="Arial" w:hAnsi="Arial" w:cs="Arial"/>
        </w:rPr>
        <w:sectPr w:rsidR="00E534CF" w:rsidSect="000A7086">
          <w:headerReference w:type="default" r:id="rId237"/>
          <w:pgSz w:w="11909" w:h="16834"/>
          <w:pgMar w:top="1440" w:right="1440" w:bottom="1440" w:left="1530" w:header="720" w:footer="720" w:gutter="0"/>
          <w:cols w:space="720"/>
          <w:docGrid w:linePitch="326"/>
        </w:sectPr>
      </w:pPr>
    </w:p>
    <w:p w14:paraId="19295646" w14:textId="23BC3C9F" w:rsidR="00E534CF" w:rsidRPr="003516DC" w:rsidRDefault="00E534CF" w:rsidP="00E534CF">
      <w:pPr>
        <w:pStyle w:val="Caption"/>
        <w:spacing w:before="120"/>
        <w:rPr>
          <w:b w:val="0"/>
        </w:rPr>
      </w:pPr>
      <w:bookmarkStart w:id="364" w:name="_Toc90726033"/>
      <w:bookmarkStart w:id="365" w:name="_Toc90727330"/>
      <w:r w:rsidRPr="003516DC">
        <w:lastRenderedPageBreak/>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79</w:t>
      </w:r>
      <w:r w:rsidRPr="003516DC">
        <w:rPr>
          <w:noProof/>
        </w:rPr>
        <w:fldChar w:fldCharType="end"/>
      </w:r>
      <w:r w:rsidRPr="003516DC">
        <w:t xml:space="preserve">: Types of operations needed for </w:t>
      </w:r>
      <w:r w:rsidR="003751DC">
        <w:t>Galați</w:t>
      </w:r>
      <w:r w:rsidRPr="003516DC">
        <w:t xml:space="preserve"> county</w:t>
      </w:r>
      <w:bookmarkEnd w:id="364"/>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36"/>
        <w:gridCol w:w="5229"/>
        <w:gridCol w:w="4320"/>
        <w:gridCol w:w="3059"/>
      </w:tblGrid>
      <w:tr w:rsidR="00E534CF" w:rsidRPr="0088065B" w14:paraId="547EF293" w14:textId="77777777" w:rsidTr="002F781E">
        <w:trPr>
          <w:tblHeader/>
        </w:trPr>
        <w:tc>
          <w:tcPr>
            <w:tcW w:w="5000" w:type="pct"/>
            <w:gridSpan w:val="4"/>
            <w:shd w:val="clear" w:color="auto" w:fill="002060"/>
            <w:tcMar>
              <w:top w:w="100" w:type="dxa"/>
              <w:left w:w="100" w:type="dxa"/>
              <w:bottom w:w="100" w:type="dxa"/>
              <w:right w:w="100" w:type="dxa"/>
            </w:tcMar>
            <w:vAlign w:val="center"/>
          </w:tcPr>
          <w:p w14:paraId="61DF7456" w14:textId="45B3A435" w:rsidR="00E534CF" w:rsidRPr="0088065B" w:rsidRDefault="00E534CF" w:rsidP="00964831">
            <w:pPr>
              <w:jc w:val="center"/>
              <w:rPr>
                <w:rFonts w:ascii="Arial" w:hAnsi="Arial" w:cs="Arial"/>
                <w:b/>
                <w:bCs/>
                <w:sz w:val="18"/>
                <w:szCs w:val="18"/>
                <w:highlight w:val="white"/>
              </w:rPr>
            </w:pPr>
            <w:r w:rsidRPr="0088065B">
              <w:rPr>
                <w:rFonts w:ascii="Arial" w:hAnsi="Arial" w:cs="Arial"/>
                <w:b/>
                <w:bCs/>
                <w:sz w:val="18"/>
                <w:szCs w:val="18"/>
              </w:rPr>
              <w:t xml:space="preserve">TYPES OF OPERATIONS NEEDED FOR </w:t>
            </w:r>
            <w:r w:rsidR="003751DC">
              <w:rPr>
                <w:rFonts w:ascii="Arial" w:hAnsi="Arial" w:cs="Arial"/>
                <w:b/>
                <w:bCs/>
                <w:sz w:val="18"/>
                <w:szCs w:val="18"/>
              </w:rPr>
              <w:t>GALAȚI</w:t>
            </w:r>
            <w:r w:rsidRPr="0088065B">
              <w:rPr>
                <w:rFonts w:ascii="Arial" w:hAnsi="Arial" w:cs="Arial"/>
                <w:b/>
                <w:bCs/>
                <w:sz w:val="18"/>
                <w:szCs w:val="18"/>
              </w:rPr>
              <w:t xml:space="preserve"> COUNTY</w:t>
            </w:r>
          </w:p>
        </w:tc>
      </w:tr>
      <w:tr w:rsidR="00E534CF" w:rsidRPr="0088065B" w14:paraId="21FA33C9" w14:textId="77777777" w:rsidTr="002F781E">
        <w:trPr>
          <w:trHeight w:val="737"/>
          <w:tblHeader/>
        </w:trPr>
        <w:tc>
          <w:tcPr>
            <w:tcW w:w="479" w:type="pct"/>
            <w:shd w:val="clear" w:color="auto" w:fill="C6D9F1" w:themeFill="text2" w:themeFillTint="33"/>
            <w:tcMar>
              <w:top w:w="100" w:type="dxa"/>
              <w:left w:w="100" w:type="dxa"/>
              <w:bottom w:w="100" w:type="dxa"/>
              <w:right w:w="100" w:type="dxa"/>
            </w:tcMar>
            <w:vAlign w:val="center"/>
          </w:tcPr>
          <w:p w14:paraId="252CE625" w14:textId="77777777" w:rsidR="00E534CF" w:rsidRPr="0088065B" w:rsidRDefault="00E534CF" w:rsidP="00964831">
            <w:pPr>
              <w:rPr>
                <w:rFonts w:ascii="Arial" w:hAnsi="Arial" w:cs="Arial"/>
                <w:b/>
                <w:bCs/>
                <w:sz w:val="18"/>
                <w:szCs w:val="18"/>
              </w:rPr>
            </w:pPr>
            <w:r w:rsidRPr="0088065B">
              <w:rPr>
                <w:rFonts w:ascii="Arial" w:hAnsi="Arial" w:cs="Arial"/>
                <w:b/>
                <w:bCs/>
                <w:sz w:val="18"/>
                <w:szCs w:val="18"/>
              </w:rPr>
              <w:t>Degree of priority</w:t>
            </w:r>
          </w:p>
        </w:tc>
        <w:tc>
          <w:tcPr>
            <w:tcW w:w="1875" w:type="pct"/>
            <w:shd w:val="clear" w:color="auto" w:fill="C6D9F1" w:themeFill="text2" w:themeFillTint="33"/>
            <w:tcMar>
              <w:top w:w="100" w:type="dxa"/>
              <w:left w:w="100" w:type="dxa"/>
              <w:bottom w:w="100" w:type="dxa"/>
              <w:right w:w="100" w:type="dxa"/>
            </w:tcMar>
            <w:vAlign w:val="center"/>
          </w:tcPr>
          <w:p w14:paraId="4685CCC4" w14:textId="3096DF0E" w:rsidR="00E534CF" w:rsidRPr="0088065B" w:rsidRDefault="00E534CF" w:rsidP="00964831">
            <w:pPr>
              <w:jc w:val="both"/>
              <w:rPr>
                <w:rFonts w:ascii="Arial" w:hAnsi="Arial" w:cs="Arial"/>
                <w:b/>
                <w:bCs/>
                <w:sz w:val="18"/>
                <w:szCs w:val="18"/>
              </w:rPr>
            </w:pPr>
            <w:r w:rsidRPr="0088065B">
              <w:rPr>
                <w:rFonts w:ascii="Arial" w:hAnsi="Arial" w:cs="Arial"/>
                <w:b/>
                <w:bCs/>
                <w:sz w:val="18"/>
                <w:szCs w:val="18"/>
              </w:rPr>
              <w:t xml:space="preserve">Identified as priority to address the impact of the transition by the stakeholders and from the trends analysis and </w:t>
            </w:r>
            <w:r w:rsidR="00E32FE2">
              <w:rPr>
                <w:rFonts w:ascii="Arial" w:hAnsi="Arial" w:cs="Arial"/>
                <w:b/>
                <w:bCs/>
                <w:sz w:val="18"/>
                <w:szCs w:val="18"/>
              </w:rPr>
              <w:t xml:space="preserve">potentially </w:t>
            </w:r>
            <w:r w:rsidRPr="0088065B">
              <w:rPr>
                <w:rFonts w:ascii="Arial" w:hAnsi="Arial" w:cs="Arial"/>
                <w:b/>
                <w:bCs/>
                <w:sz w:val="18"/>
                <w:szCs w:val="18"/>
              </w:rPr>
              <w:t>in scope of the JTF Regulation</w:t>
            </w:r>
          </w:p>
        </w:tc>
        <w:tc>
          <w:tcPr>
            <w:tcW w:w="1549" w:type="pct"/>
            <w:shd w:val="clear" w:color="auto" w:fill="C6D9F1" w:themeFill="text2" w:themeFillTint="33"/>
            <w:tcMar>
              <w:top w:w="100" w:type="dxa"/>
              <w:left w:w="100" w:type="dxa"/>
              <w:bottom w:w="100" w:type="dxa"/>
              <w:right w:w="100" w:type="dxa"/>
            </w:tcMar>
            <w:vAlign w:val="center"/>
          </w:tcPr>
          <w:p w14:paraId="160D654E" w14:textId="59175F43" w:rsidR="00E534CF" w:rsidRPr="0088065B" w:rsidRDefault="00E534CF" w:rsidP="00964831">
            <w:pPr>
              <w:jc w:val="both"/>
              <w:rPr>
                <w:rFonts w:ascii="Arial" w:hAnsi="Arial" w:cs="Arial"/>
                <w:b/>
                <w:bCs/>
                <w:sz w:val="18"/>
                <w:szCs w:val="18"/>
              </w:rPr>
            </w:pPr>
            <w:r w:rsidRPr="0088065B">
              <w:rPr>
                <w:rFonts w:ascii="Arial" w:hAnsi="Arial" w:cs="Arial"/>
                <w:b/>
                <w:bCs/>
                <w:sz w:val="18"/>
                <w:szCs w:val="18"/>
              </w:rPr>
              <w:t xml:space="preserve">Identified as priority to address the impact of the transition by the stakeholders and from the trends analysis, </w:t>
            </w:r>
            <w:r w:rsidRPr="00190BA4">
              <w:rPr>
                <w:rFonts w:ascii="Arial" w:hAnsi="Arial" w:cs="Arial"/>
                <w:b/>
                <w:bCs/>
                <w:sz w:val="18"/>
                <w:szCs w:val="18"/>
                <w:u w:val="single"/>
              </w:rPr>
              <w:t>not</w:t>
            </w:r>
            <w:r w:rsidRPr="0088065B">
              <w:rPr>
                <w:rFonts w:ascii="Arial" w:hAnsi="Arial" w:cs="Arial"/>
                <w:b/>
                <w:bCs/>
                <w:sz w:val="18"/>
                <w:szCs w:val="18"/>
              </w:rPr>
              <w:t xml:space="preserve"> in scope of the JTF Regulation</w:t>
            </w:r>
            <w:r w:rsidR="00176E38">
              <w:rPr>
                <w:rFonts w:ascii="Arial" w:hAnsi="Arial" w:cs="Arial"/>
                <w:b/>
                <w:bCs/>
                <w:sz w:val="18"/>
                <w:szCs w:val="18"/>
              </w:rPr>
              <w:t xml:space="preserve"> </w:t>
            </w:r>
            <w:r w:rsidR="00176E38" w:rsidRPr="005C2CA2">
              <w:rPr>
                <w:rFonts w:ascii="Arial" w:hAnsi="Arial" w:cs="Arial"/>
                <w:b/>
                <w:bCs/>
                <w:sz w:val="18"/>
                <w:szCs w:val="18"/>
              </w:rPr>
              <w:t>(</w:t>
            </w:r>
            <w:r w:rsidR="00176E38" w:rsidRPr="003422BA">
              <w:rPr>
                <w:rFonts w:ascii="Arial" w:hAnsi="Arial" w:cs="Arial"/>
                <w:b/>
                <w:bCs/>
                <w:sz w:val="18"/>
                <w:szCs w:val="18"/>
                <w:u w:val="single"/>
              </w:rPr>
              <w:t>therefore to be considered for other funding sources)</w:t>
            </w:r>
          </w:p>
        </w:tc>
        <w:tc>
          <w:tcPr>
            <w:tcW w:w="1097" w:type="pct"/>
            <w:shd w:val="clear" w:color="auto" w:fill="C6D9F1" w:themeFill="text2" w:themeFillTint="33"/>
            <w:tcMar>
              <w:top w:w="100" w:type="dxa"/>
              <w:left w:w="100" w:type="dxa"/>
              <w:bottom w:w="100" w:type="dxa"/>
              <w:right w:w="100" w:type="dxa"/>
            </w:tcMar>
            <w:vAlign w:val="center"/>
          </w:tcPr>
          <w:p w14:paraId="1AF41C9B" w14:textId="77777777" w:rsidR="00E534CF" w:rsidRPr="0088065B" w:rsidRDefault="00E534CF" w:rsidP="00964831">
            <w:pPr>
              <w:jc w:val="both"/>
              <w:rPr>
                <w:rFonts w:ascii="Arial" w:hAnsi="Arial" w:cs="Arial"/>
                <w:b/>
                <w:bCs/>
                <w:sz w:val="18"/>
                <w:szCs w:val="18"/>
              </w:rPr>
            </w:pPr>
            <w:r w:rsidRPr="0088065B">
              <w:rPr>
                <w:rFonts w:ascii="Arial" w:hAnsi="Arial" w:cs="Arial"/>
                <w:b/>
                <w:bCs/>
                <w:sz w:val="18"/>
                <w:szCs w:val="18"/>
              </w:rPr>
              <w:t>Consistency of the type of operation with different national, regional, territorial strategies and plans</w:t>
            </w:r>
          </w:p>
        </w:tc>
      </w:tr>
      <w:tr w:rsidR="00E534CF" w:rsidRPr="0088065B" w14:paraId="252B9615" w14:textId="77777777" w:rsidTr="0088065B">
        <w:trPr>
          <w:trHeight w:val="20"/>
        </w:trPr>
        <w:tc>
          <w:tcPr>
            <w:tcW w:w="479" w:type="pct"/>
            <w:shd w:val="clear" w:color="auto" w:fill="C6D9F1" w:themeFill="text2" w:themeFillTint="33"/>
            <w:tcMar>
              <w:top w:w="100" w:type="dxa"/>
              <w:left w:w="100" w:type="dxa"/>
              <w:bottom w:w="100" w:type="dxa"/>
              <w:right w:w="100" w:type="dxa"/>
            </w:tcMar>
          </w:tcPr>
          <w:p w14:paraId="16A178D1" w14:textId="77777777" w:rsidR="00E534CF" w:rsidRPr="0088065B" w:rsidRDefault="00E534CF" w:rsidP="00964831">
            <w:pPr>
              <w:jc w:val="both"/>
              <w:rPr>
                <w:rFonts w:ascii="Arial" w:hAnsi="Arial" w:cs="Arial"/>
                <w:sz w:val="18"/>
                <w:szCs w:val="18"/>
                <w:highlight w:val="white"/>
              </w:rPr>
            </w:pPr>
            <w:r w:rsidRPr="0088065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4BA4B8C0" w14:textId="77777777" w:rsidR="00E534CF" w:rsidRPr="0088065B" w:rsidRDefault="00E534CF" w:rsidP="00964831">
            <w:pPr>
              <w:rPr>
                <w:rFonts w:ascii="Arial" w:eastAsia="Arial Narrow" w:hAnsi="Arial" w:cs="Arial"/>
                <w:b/>
                <w:bCs/>
                <w:sz w:val="18"/>
                <w:szCs w:val="18"/>
              </w:rPr>
            </w:pPr>
            <w:r w:rsidRPr="0088065B">
              <w:rPr>
                <w:rFonts w:ascii="Arial" w:eastAsia="Arial Narrow" w:hAnsi="Arial" w:cs="Arial"/>
                <w:b/>
                <w:bCs/>
                <w:sz w:val="18"/>
                <w:szCs w:val="18"/>
              </w:rPr>
              <w:t>Type 1: Increasing competitiveness and economic diversification, research, innovation and digitalisation</w:t>
            </w:r>
          </w:p>
          <w:p w14:paraId="09507AE4" w14:textId="3EC794A5" w:rsidR="00E534CF" w:rsidRPr="0088065B" w:rsidRDefault="00E534CF" w:rsidP="00E534CF">
            <w:pPr>
              <w:pStyle w:val="ListParagraph"/>
              <w:numPr>
                <w:ilvl w:val="0"/>
                <w:numId w:val="84"/>
              </w:numPr>
              <w:spacing w:line="240" w:lineRule="auto"/>
              <w:rPr>
                <w:rFonts w:eastAsia="Arial Narrow"/>
                <w:sz w:val="18"/>
                <w:szCs w:val="18"/>
              </w:rPr>
            </w:pPr>
            <w:r w:rsidRPr="0088065B">
              <w:rPr>
                <w:rFonts w:eastAsia="Arial Narrow"/>
                <w:sz w:val="18"/>
                <w:szCs w:val="18"/>
              </w:rPr>
              <w:t>Financing and acceleration p</w:t>
            </w:r>
            <w:r w:rsidR="00D206E5">
              <w:rPr>
                <w:rFonts w:eastAsia="Arial Narrow"/>
                <w:sz w:val="18"/>
                <w:szCs w:val="18"/>
              </w:rPr>
              <w:t>rogrammes</w:t>
            </w:r>
            <w:r w:rsidRPr="0088065B">
              <w:rPr>
                <w:rFonts w:eastAsia="Arial Narrow"/>
                <w:sz w:val="18"/>
                <w:szCs w:val="18"/>
              </w:rPr>
              <w:t xml:space="preserve"> (support for internationalisation/access to new markets, business model development, technological upgrading and digitisation, etc.) and business support infrastructure for the SME sector, especially for knowledge and technology intensive services and manufacturing</w:t>
            </w:r>
          </w:p>
        </w:tc>
        <w:tc>
          <w:tcPr>
            <w:tcW w:w="1549" w:type="pct"/>
            <w:shd w:val="clear" w:color="auto" w:fill="D9D9D9" w:themeFill="background1" w:themeFillShade="D9"/>
            <w:tcMar>
              <w:top w:w="100" w:type="dxa"/>
              <w:left w:w="100" w:type="dxa"/>
              <w:bottom w:w="100" w:type="dxa"/>
              <w:right w:w="100" w:type="dxa"/>
            </w:tcMar>
          </w:tcPr>
          <w:p w14:paraId="6F8727D6" w14:textId="77777777" w:rsidR="00E534CF" w:rsidRPr="0088065B" w:rsidRDefault="00E534CF" w:rsidP="00964831">
            <w:pPr>
              <w:pStyle w:val="ListParagraph"/>
              <w:spacing w:line="240" w:lineRule="auto"/>
              <w:ind w:left="360"/>
              <w:rPr>
                <w:sz w:val="18"/>
                <w:szCs w:val="18"/>
                <w:highlight w:val="white"/>
              </w:rPr>
            </w:pPr>
          </w:p>
        </w:tc>
        <w:tc>
          <w:tcPr>
            <w:tcW w:w="1097" w:type="pct"/>
            <w:shd w:val="clear" w:color="auto" w:fill="auto"/>
            <w:tcMar>
              <w:top w:w="100" w:type="dxa"/>
              <w:left w:w="100" w:type="dxa"/>
              <w:bottom w:w="100" w:type="dxa"/>
              <w:right w:w="100" w:type="dxa"/>
            </w:tcMar>
          </w:tcPr>
          <w:p w14:paraId="2F10209F" w14:textId="77777777" w:rsidR="00E534CF" w:rsidRPr="0088065B" w:rsidRDefault="00E534CF" w:rsidP="00E534CF">
            <w:pPr>
              <w:pStyle w:val="ListParagraph"/>
              <w:numPr>
                <w:ilvl w:val="0"/>
                <w:numId w:val="84"/>
              </w:numPr>
              <w:spacing w:line="240" w:lineRule="auto"/>
              <w:rPr>
                <w:rFonts w:eastAsia="Arial Narrow"/>
                <w:sz w:val="18"/>
                <w:szCs w:val="18"/>
                <w:highlight w:val="white"/>
              </w:rPr>
            </w:pPr>
            <w:r w:rsidRPr="0088065B">
              <w:rPr>
                <w:rFonts w:eastAsia="Arial Narrow"/>
                <w:sz w:val="18"/>
                <w:szCs w:val="18"/>
                <w:highlight w:val="white"/>
              </w:rPr>
              <w:t>SDOP - Priority 1- Promoting energy efficiency, systems and networks smart energy and storage solutions / Investment categories:</w:t>
            </w:r>
          </w:p>
          <w:p w14:paraId="18C0528C" w14:textId="77777777" w:rsidR="00E534CF" w:rsidRPr="0088065B" w:rsidRDefault="00E534CF" w:rsidP="00964831">
            <w:pPr>
              <w:spacing w:before="240"/>
              <w:rPr>
                <w:rFonts w:ascii="Arial" w:eastAsia="Arial Narrow" w:hAnsi="Arial" w:cs="Arial"/>
                <w:sz w:val="18"/>
                <w:szCs w:val="18"/>
                <w:highlight w:val="white"/>
              </w:rPr>
            </w:pPr>
            <w:r w:rsidRPr="0088065B">
              <w:rPr>
                <w:rFonts w:ascii="Arial" w:eastAsia="Arial Narrow" w:hAnsi="Arial" w:cs="Arial"/>
                <w:sz w:val="18"/>
                <w:szCs w:val="18"/>
                <w:highlight w:val="white"/>
              </w:rPr>
              <w:t>1.1 Improving the energy efficiency of SMEs and large businesses</w:t>
            </w:r>
            <w:r w:rsidRPr="0088065B">
              <w:rPr>
                <w:rStyle w:val="FootnoteReference"/>
                <w:rFonts w:ascii="Arial" w:eastAsia="Arial Narrow" w:hAnsi="Arial" w:cs="Arial"/>
                <w:sz w:val="18"/>
                <w:szCs w:val="18"/>
                <w:highlight w:val="white"/>
              </w:rPr>
              <w:footnoteReference w:id="155"/>
            </w:r>
          </w:p>
        </w:tc>
      </w:tr>
      <w:tr w:rsidR="00E534CF" w:rsidRPr="0088065B" w14:paraId="1A03467B"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14297993"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1629BCFE" w14:textId="77777777" w:rsidR="00E534CF" w:rsidRPr="0088065B" w:rsidRDefault="00E534CF" w:rsidP="00E534CF">
            <w:pPr>
              <w:pStyle w:val="ListParagraph"/>
              <w:numPr>
                <w:ilvl w:val="0"/>
                <w:numId w:val="78"/>
              </w:numPr>
              <w:spacing w:line="240" w:lineRule="auto"/>
              <w:rPr>
                <w:b/>
                <w:sz w:val="18"/>
                <w:szCs w:val="18"/>
              </w:rPr>
            </w:pPr>
            <w:r w:rsidRPr="0088065B">
              <w:rPr>
                <w:rFonts w:eastAsia="Arial Narrow"/>
                <w:sz w:val="18"/>
                <w:szCs w:val="18"/>
              </w:rPr>
              <w:t>Development of port facilities and services to support connectivity on the Danube and reduce the comparative disadvantage of GL (peripheral position)</w:t>
            </w:r>
          </w:p>
        </w:tc>
        <w:tc>
          <w:tcPr>
            <w:tcW w:w="1549" w:type="pct"/>
            <w:shd w:val="clear" w:color="auto" w:fill="D9D9D9" w:themeFill="background1" w:themeFillShade="D9"/>
            <w:tcMar>
              <w:top w:w="100" w:type="dxa"/>
              <w:left w:w="100" w:type="dxa"/>
              <w:bottom w:w="100" w:type="dxa"/>
              <w:right w:w="100" w:type="dxa"/>
            </w:tcMar>
          </w:tcPr>
          <w:p w14:paraId="5A4425C7" w14:textId="77777777" w:rsidR="00E534CF" w:rsidRPr="0088065B" w:rsidRDefault="00E534CF" w:rsidP="00964831">
            <w:pPr>
              <w:pStyle w:val="ListParagraph"/>
              <w:spacing w:before="240" w:after="60"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036A2467" w14:textId="77777777" w:rsidR="00E534CF" w:rsidRPr="0088065B" w:rsidRDefault="00E534CF" w:rsidP="00964831">
            <w:pPr>
              <w:pStyle w:val="ListParagraph"/>
              <w:spacing w:line="240" w:lineRule="auto"/>
              <w:ind w:left="360"/>
              <w:rPr>
                <w:sz w:val="18"/>
                <w:szCs w:val="18"/>
              </w:rPr>
            </w:pPr>
          </w:p>
        </w:tc>
      </w:tr>
      <w:tr w:rsidR="00E534CF" w:rsidRPr="0088065B" w14:paraId="16624F8D"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0AB3A5F8"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28F2C0EF" w14:textId="77777777" w:rsidR="00E534CF" w:rsidRPr="0088065B" w:rsidRDefault="00E534CF" w:rsidP="00E534CF">
            <w:pPr>
              <w:pStyle w:val="ListParagraph"/>
              <w:numPr>
                <w:ilvl w:val="0"/>
                <w:numId w:val="82"/>
              </w:numPr>
              <w:spacing w:line="240" w:lineRule="auto"/>
              <w:rPr>
                <w:sz w:val="18"/>
                <w:szCs w:val="18"/>
              </w:rPr>
            </w:pPr>
            <w:r w:rsidRPr="0088065B">
              <w:rPr>
                <w:rFonts w:eastAsia="Arial Narrow"/>
                <w:sz w:val="18"/>
                <w:szCs w:val="18"/>
              </w:rPr>
              <w:t>Digitisation for the public sector.</w:t>
            </w:r>
          </w:p>
        </w:tc>
        <w:tc>
          <w:tcPr>
            <w:tcW w:w="1549" w:type="pct"/>
            <w:shd w:val="clear" w:color="auto" w:fill="D9D9D9" w:themeFill="background1" w:themeFillShade="D9"/>
            <w:tcMar>
              <w:top w:w="100" w:type="dxa"/>
              <w:left w:w="100" w:type="dxa"/>
              <w:bottom w:w="100" w:type="dxa"/>
              <w:right w:w="100" w:type="dxa"/>
            </w:tcMar>
          </w:tcPr>
          <w:p w14:paraId="03E06041" w14:textId="77777777" w:rsidR="00E534CF" w:rsidRPr="0088065B" w:rsidRDefault="00E534CF"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51D93F68" w14:textId="77777777" w:rsidR="00E534CF" w:rsidRPr="0088065B" w:rsidRDefault="00E534CF" w:rsidP="00964831">
            <w:pPr>
              <w:rPr>
                <w:rFonts w:ascii="Arial" w:hAnsi="Arial" w:cs="Arial"/>
                <w:sz w:val="18"/>
                <w:szCs w:val="18"/>
              </w:rPr>
            </w:pPr>
          </w:p>
        </w:tc>
      </w:tr>
      <w:tr w:rsidR="00E534CF" w:rsidRPr="0088065B" w14:paraId="28D68384"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549294BC"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1660D933" w14:textId="77777777" w:rsidR="00E534CF" w:rsidRPr="0088065B" w:rsidRDefault="00E534CF" w:rsidP="00964831">
            <w:pPr>
              <w:rPr>
                <w:rFonts w:ascii="Arial" w:eastAsia="Arial Narrow" w:hAnsi="Arial" w:cs="Arial"/>
                <w:b/>
                <w:bCs/>
                <w:sz w:val="18"/>
                <w:szCs w:val="18"/>
              </w:rPr>
            </w:pPr>
            <w:r w:rsidRPr="0088065B">
              <w:rPr>
                <w:rFonts w:ascii="Arial" w:eastAsia="Arial Narrow" w:hAnsi="Arial" w:cs="Arial"/>
                <w:b/>
                <w:bCs/>
                <w:sz w:val="18"/>
                <w:szCs w:val="18"/>
              </w:rPr>
              <w:t>Type 2: Supporting investments in energy infrastructure and clean energy technology</w:t>
            </w:r>
          </w:p>
          <w:p w14:paraId="1C793865" w14:textId="77777777" w:rsidR="00E534CF" w:rsidRPr="0088065B" w:rsidRDefault="00E534CF" w:rsidP="00E534CF">
            <w:pPr>
              <w:pStyle w:val="ListParagraph"/>
              <w:numPr>
                <w:ilvl w:val="0"/>
                <w:numId w:val="82"/>
              </w:numPr>
              <w:spacing w:line="240" w:lineRule="auto"/>
              <w:rPr>
                <w:rFonts w:eastAsia="Arial Narrow"/>
                <w:b/>
                <w:bCs/>
                <w:sz w:val="18"/>
                <w:szCs w:val="18"/>
              </w:rPr>
            </w:pPr>
            <w:r w:rsidRPr="0088065B">
              <w:rPr>
                <w:rFonts w:eastAsia="Arial Narrow"/>
                <w:sz w:val="18"/>
                <w:szCs w:val="18"/>
              </w:rPr>
              <w:t>Financial and technical support programmes to support the transition of enterprises to RES (including the development of RES production capacities and energy efficiency), capitalising on the significant solar and wind energy potential of the county</w:t>
            </w:r>
          </w:p>
        </w:tc>
        <w:tc>
          <w:tcPr>
            <w:tcW w:w="1549" w:type="pct"/>
            <w:shd w:val="clear" w:color="auto" w:fill="D9D9D9" w:themeFill="background1" w:themeFillShade="D9"/>
            <w:tcMar>
              <w:top w:w="100" w:type="dxa"/>
              <w:left w:w="100" w:type="dxa"/>
              <w:bottom w:w="100" w:type="dxa"/>
              <w:right w:w="100" w:type="dxa"/>
            </w:tcMar>
          </w:tcPr>
          <w:p w14:paraId="71753D60" w14:textId="77777777" w:rsidR="00E534CF" w:rsidRPr="0088065B" w:rsidRDefault="00E534CF" w:rsidP="00964831">
            <w:pPr>
              <w:rPr>
                <w:rFonts w:ascii="Arial" w:hAnsi="Arial" w:cs="Arial"/>
                <w:sz w:val="18"/>
                <w:szCs w:val="18"/>
              </w:rPr>
            </w:pPr>
          </w:p>
        </w:tc>
        <w:tc>
          <w:tcPr>
            <w:tcW w:w="1097" w:type="pct"/>
            <w:shd w:val="clear" w:color="auto" w:fill="D9D9D9" w:themeFill="background1" w:themeFillShade="D9"/>
            <w:tcMar>
              <w:top w:w="100" w:type="dxa"/>
              <w:left w:w="100" w:type="dxa"/>
              <w:bottom w:w="100" w:type="dxa"/>
              <w:right w:w="100" w:type="dxa"/>
            </w:tcMar>
          </w:tcPr>
          <w:p w14:paraId="39C07F0A" w14:textId="77777777" w:rsidR="00E534CF" w:rsidRPr="0088065B" w:rsidRDefault="00E534CF" w:rsidP="00964831">
            <w:pPr>
              <w:spacing w:before="240"/>
              <w:jc w:val="both"/>
              <w:rPr>
                <w:rFonts w:ascii="Arial" w:eastAsia="Arial Narrow" w:hAnsi="Arial" w:cs="Arial"/>
                <w:sz w:val="18"/>
                <w:szCs w:val="18"/>
                <w:highlight w:val="white"/>
              </w:rPr>
            </w:pPr>
          </w:p>
        </w:tc>
      </w:tr>
      <w:tr w:rsidR="00E534CF" w:rsidRPr="0088065B" w14:paraId="17CBD983"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48803379"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79437E99" w14:textId="77777777" w:rsidR="00E534CF" w:rsidRPr="0088065B" w:rsidRDefault="00E534CF" w:rsidP="00E534CF">
            <w:pPr>
              <w:pStyle w:val="ListParagraph"/>
              <w:numPr>
                <w:ilvl w:val="0"/>
                <w:numId w:val="82"/>
              </w:numPr>
              <w:spacing w:line="240" w:lineRule="auto"/>
              <w:rPr>
                <w:rFonts w:eastAsia="Arial Narrow"/>
                <w:sz w:val="18"/>
                <w:szCs w:val="18"/>
              </w:rPr>
            </w:pPr>
            <w:r w:rsidRPr="0088065B">
              <w:rPr>
                <w:rFonts w:eastAsia="Arial Narrow"/>
                <w:sz w:val="18"/>
                <w:szCs w:val="18"/>
              </w:rPr>
              <w:t>Technological upgrading to reduce pollution and carbon emissions (large enterprises and SMEs).</w:t>
            </w:r>
          </w:p>
          <w:p w14:paraId="2D5CA506" w14:textId="77777777" w:rsidR="00E534CF" w:rsidRPr="0088065B" w:rsidRDefault="00E534CF" w:rsidP="00E534CF">
            <w:pPr>
              <w:pStyle w:val="ListParagraph"/>
              <w:numPr>
                <w:ilvl w:val="0"/>
                <w:numId w:val="82"/>
              </w:numPr>
              <w:spacing w:line="240" w:lineRule="auto"/>
              <w:rPr>
                <w:rFonts w:eastAsia="Arial Narrow"/>
                <w:sz w:val="18"/>
                <w:szCs w:val="18"/>
              </w:rPr>
            </w:pPr>
            <w:r w:rsidRPr="0088065B">
              <w:rPr>
                <w:rFonts w:eastAsia="Arial Narrow"/>
                <w:sz w:val="18"/>
                <w:szCs w:val="18"/>
              </w:rPr>
              <w:t>Promoting sustainable urban mobility solutions: green public transport, infrastructure to promote pedestrian and cycling mobility, stimulating green logistics solutions</w:t>
            </w:r>
          </w:p>
          <w:p w14:paraId="5633B151" w14:textId="77777777" w:rsidR="00E534CF" w:rsidRPr="0088065B" w:rsidRDefault="00E534CF" w:rsidP="00E534CF">
            <w:pPr>
              <w:pStyle w:val="ListParagraph"/>
              <w:numPr>
                <w:ilvl w:val="0"/>
                <w:numId w:val="82"/>
              </w:numPr>
              <w:spacing w:line="240" w:lineRule="auto"/>
              <w:rPr>
                <w:rFonts w:eastAsia="Arial Narrow"/>
                <w:sz w:val="18"/>
                <w:szCs w:val="18"/>
              </w:rPr>
            </w:pPr>
            <w:r w:rsidRPr="0088065B">
              <w:rPr>
                <w:rFonts w:eastAsia="Arial Narrow"/>
                <w:sz w:val="18"/>
                <w:szCs w:val="18"/>
              </w:rPr>
              <w:lastRenderedPageBreak/>
              <w:t>Energy efficiency of public buildings (including public housing stock)</w:t>
            </w:r>
          </w:p>
        </w:tc>
        <w:tc>
          <w:tcPr>
            <w:tcW w:w="1549" w:type="pct"/>
            <w:shd w:val="clear" w:color="auto" w:fill="D9D9D9" w:themeFill="background1" w:themeFillShade="D9"/>
            <w:tcMar>
              <w:top w:w="100" w:type="dxa"/>
              <w:left w:w="100" w:type="dxa"/>
              <w:bottom w:w="100" w:type="dxa"/>
              <w:right w:w="100" w:type="dxa"/>
            </w:tcMar>
          </w:tcPr>
          <w:p w14:paraId="18265DF9" w14:textId="77777777" w:rsidR="00E534CF" w:rsidRPr="0088065B" w:rsidRDefault="00E534CF" w:rsidP="00964831">
            <w:pPr>
              <w:pStyle w:val="ListParagraph"/>
              <w:spacing w:line="240" w:lineRule="auto"/>
              <w:ind w:left="360"/>
              <w:rPr>
                <w:sz w:val="18"/>
                <w:szCs w:val="18"/>
              </w:rPr>
            </w:pPr>
          </w:p>
        </w:tc>
        <w:tc>
          <w:tcPr>
            <w:tcW w:w="1097" w:type="pct"/>
            <w:shd w:val="clear" w:color="auto" w:fill="D9D9D9" w:themeFill="background1" w:themeFillShade="D9"/>
            <w:tcMar>
              <w:top w:w="100" w:type="dxa"/>
              <w:left w:w="100" w:type="dxa"/>
              <w:bottom w:w="100" w:type="dxa"/>
              <w:right w:w="100" w:type="dxa"/>
            </w:tcMar>
          </w:tcPr>
          <w:p w14:paraId="12EFE25E" w14:textId="77777777" w:rsidR="00E534CF" w:rsidRPr="0088065B" w:rsidRDefault="00E534CF" w:rsidP="00964831">
            <w:pPr>
              <w:pStyle w:val="ListParagraph"/>
              <w:spacing w:line="240" w:lineRule="auto"/>
              <w:ind w:left="360"/>
              <w:rPr>
                <w:rFonts w:eastAsia="Arial Narrow"/>
                <w:sz w:val="18"/>
                <w:szCs w:val="18"/>
                <w:highlight w:val="white"/>
              </w:rPr>
            </w:pPr>
          </w:p>
        </w:tc>
      </w:tr>
      <w:tr w:rsidR="00E534CF" w:rsidRPr="0088065B" w14:paraId="4C8C6022"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02643443"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Low priority</w:t>
            </w:r>
          </w:p>
        </w:tc>
        <w:tc>
          <w:tcPr>
            <w:tcW w:w="1875" w:type="pct"/>
            <w:shd w:val="clear" w:color="auto" w:fill="auto"/>
            <w:tcMar>
              <w:top w:w="100" w:type="dxa"/>
              <w:left w:w="100" w:type="dxa"/>
              <w:bottom w:w="100" w:type="dxa"/>
              <w:right w:w="100" w:type="dxa"/>
            </w:tcMar>
          </w:tcPr>
          <w:p w14:paraId="59358E42" w14:textId="77777777" w:rsidR="00E534CF" w:rsidRPr="0088065B" w:rsidRDefault="00E534CF" w:rsidP="00E534CF">
            <w:pPr>
              <w:pStyle w:val="ListParagraph"/>
              <w:numPr>
                <w:ilvl w:val="0"/>
                <w:numId w:val="83"/>
              </w:numPr>
              <w:spacing w:line="240" w:lineRule="auto"/>
              <w:rPr>
                <w:rFonts w:eastAsia="Arial Narrow"/>
                <w:sz w:val="18"/>
                <w:szCs w:val="18"/>
              </w:rPr>
            </w:pPr>
            <w:r w:rsidRPr="0088065B">
              <w:rPr>
                <w:rFonts w:eastAsia="Arial Narrow"/>
                <w:sz w:val="18"/>
                <w:szCs w:val="18"/>
              </w:rPr>
              <w:t>Decontamination and functional reconversion of polluted/decommissioned sites into integrated urban regeneration projects; reconstruction of ecosystems to mitigate air pollution</w:t>
            </w:r>
          </w:p>
        </w:tc>
        <w:tc>
          <w:tcPr>
            <w:tcW w:w="1549" w:type="pct"/>
            <w:shd w:val="clear" w:color="auto" w:fill="D9D9D9" w:themeFill="background1" w:themeFillShade="D9"/>
            <w:tcMar>
              <w:top w:w="100" w:type="dxa"/>
              <w:left w:w="100" w:type="dxa"/>
              <w:bottom w:w="100" w:type="dxa"/>
              <w:right w:w="100" w:type="dxa"/>
            </w:tcMar>
          </w:tcPr>
          <w:p w14:paraId="769F625A" w14:textId="77777777" w:rsidR="00E534CF" w:rsidRPr="0088065B" w:rsidRDefault="00E534CF" w:rsidP="00964831">
            <w:pPr>
              <w:pStyle w:val="ListParagraph"/>
              <w:spacing w:line="240" w:lineRule="auto"/>
              <w:ind w:left="360"/>
              <w:rPr>
                <w:sz w:val="18"/>
                <w:szCs w:val="18"/>
              </w:rPr>
            </w:pPr>
          </w:p>
        </w:tc>
        <w:tc>
          <w:tcPr>
            <w:tcW w:w="1097" w:type="pct"/>
            <w:shd w:val="clear" w:color="auto" w:fill="auto"/>
            <w:tcMar>
              <w:top w:w="100" w:type="dxa"/>
              <w:left w:w="100" w:type="dxa"/>
              <w:bottom w:w="100" w:type="dxa"/>
              <w:right w:w="100" w:type="dxa"/>
            </w:tcMar>
          </w:tcPr>
          <w:p w14:paraId="5B8D0883" w14:textId="77777777" w:rsidR="00E534CF" w:rsidRPr="0088065B" w:rsidRDefault="00E534CF" w:rsidP="00E534CF">
            <w:pPr>
              <w:pStyle w:val="ListParagraph"/>
              <w:numPr>
                <w:ilvl w:val="0"/>
                <w:numId w:val="83"/>
              </w:numPr>
              <w:spacing w:line="240" w:lineRule="auto"/>
              <w:rPr>
                <w:rFonts w:eastAsia="Arial Narrow"/>
                <w:sz w:val="18"/>
                <w:szCs w:val="18"/>
                <w:highlight w:val="white"/>
              </w:rPr>
            </w:pPr>
            <w:r w:rsidRPr="0088065B">
              <w:rPr>
                <w:rFonts w:eastAsia="Arial Narrow"/>
                <w:sz w:val="18"/>
                <w:szCs w:val="18"/>
                <w:highlight w:val="white"/>
              </w:rPr>
              <w:t>SDOP Priority 3. Environmental protection through biodiversity conservation, air quality assurance and remediation of contaminated sites / Categories of interventions 3.3 Preliminary and detailed investigation of contaminated sites, assessment environmental risks and remediation of sites</w:t>
            </w:r>
          </w:p>
        </w:tc>
      </w:tr>
      <w:tr w:rsidR="00E534CF" w:rsidRPr="0088065B" w14:paraId="62774E8D"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4050CA53"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High priority</w:t>
            </w:r>
          </w:p>
        </w:tc>
        <w:tc>
          <w:tcPr>
            <w:tcW w:w="1875" w:type="pct"/>
            <w:shd w:val="clear" w:color="auto" w:fill="auto"/>
            <w:tcMar>
              <w:top w:w="100" w:type="dxa"/>
              <w:left w:w="100" w:type="dxa"/>
              <w:bottom w:w="100" w:type="dxa"/>
              <w:right w:w="100" w:type="dxa"/>
            </w:tcMar>
          </w:tcPr>
          <w:p w14:paraId="766EA10D" w14:textId="77777777" w:rsidR="00E534CF" w:rsidRPr="0088065B" w:rsidRDefault="00E534CF" w:rsidP="00964831">
            <w:pPr>
              <w:rPr>
                <w:rFonts w:ascii="Arial" w:eastAsia="Arial Narrow" w:hAnsi="Arial" w:cs="Arial"/>
                <w:b/>
                <w:bCs/>
                <w:sz w:val="18"/>
                <w:szCs w:val="18"/>
              </w:rPr>
            </w:pPr>
            <w:r w:rsidRPr="0088065B">
              <w:rPr>
                <w:rFonts w:ascii="Arial" w:eastAsia="Arial Narrow" w:hAnsi="Arial" w:cs="Arial"/>
                <w:b/>
                <w:bCs/>
                <w:sz w:val="18"/>
                <w:szCs w:val="18"/>
              </w:rPr>
              <w:t>Type 3: Increasing the level of employment</w:t>
            </w:r>
          </w:p>
          <w:p w14:paraId="0D2553D5" w14:textId="77777777" w:rsidR="00E534CF" w:rsidRPr="0088065B" w:rsidRDefault="00E534CF" w:rsidP="00E534CF">
            <w:pPr>
              <w:pStyle w:val="ListParagraph"/>
              <w:numPr>
                <w:ilvl w:val="0"/>
                <w:numId w:val="87"/>
              </w:numPr>
              <w:spacing w:line="240" w:lineRule="auto"/>
              <w:rPr>
                <w:rFonts w:eastAsia="Arial Narrow"/>
                <w:sz w:val="18"/>
                <w:szCs w:val="18"/>
              </w:rPr>
            </w:pPr>
            <w:r w:rsidRPr="0088065B">
              <w:rPr>
                <w:rFonts w:eastAsia="Arial Narrow"/>
                <w:sz w:val="18"/>
                <w:szCs w:val="18"/>
              </w:rPr>
              <w:t>Development of dual school programmes</w:t>
            </w:r>
          </w:p>
          <w:p w14:paraId="7967E2D9" w14:textId="77777777" w:rsidR="00E534CF" w:rsidRDefault="00E534CF" w:rsidP="00E534CF">
            <w:pPr>
              <w:pStyle w:val="ListParagraph"/>
              <w:numPr>
                <w:ilvl w:val="0"/>
                <w:numId w:val="87"/>
              </w:numPr>
              <w:spacing w:line="240" w:lineRule="auto"/>
              <w:rPr>
                <w:rFonts w:eastAsia="Arial Narrow"/>
                <w:sz w:val="18"/>
                <w:szCs w:val="18"/>
              </w:rPr>
            </w:pPr>
            <w:r w:rsidRPr="0088065B">
              <w:rPr>
                <w:rFonts w:eastAsia="Arial Narrow"/>
                <w:sz w:val="18"/>
                <w:szCs w:val="18"/>
              </w:rPr>
              <w:t>Investments in the development of the material base and vocational and technical education curriculum</w:t>
            </w:r>
          </w:p>
          <w:p w14:paraId="6C0DB944" w14:textId="2176A914" w:rsidR="002F453B" w:rsidRPr="0088065B" w:rsidRDefault="002F453B" w:rsidP="00E534CF">
            <w:pPr>
              <w:pStyle w:val="ListParagraph"/>
              <w:numPr>
                <w:ilvl w:val="0"/>
                <w:numId w:val="87"/>
              </w:numPr>
              <w:spacing w:line="240" w:lineRule="auto"/>
              <w:rPr>
                <w:rFonts w:eastAsia="Arial Narrow"/>
                <w:sz w:val="18"/>
                <w:szCs w:val="18"/>
              </w:rPr>
            </w:pPr>
            <w:r>
              <w:rPr>
                <w:rFonts w:eastAsia="Arial Narrow"/>
                <w:sz w:val="18"/>
                <w:szCs w:val="18"/>
              </w:rPr>
              <w:t>Upskilling and reskilling of laid-off personnel and jobseeker assistance</w:t>
            </w:r>
          </w:p>
        </w:tc>
        <w:tc>
          <w:tcPr>
            <w:tcW w:w="1549" w:type="pct"/>
            <w:shd w:val="clear" w:color="auto" w:fill="D9D9D9" w:themeFill="background1" w:themeFillShade="D9"/>
            <w:tcMar>
              <w:top w:w="100" w:type="dxa"/>
              <w:left w:w="100" w:type="dxa"/>
              <w:bottom w:w="100" w:type="dxa"/>
              <w:right w:w="100" w:type="dxa"/>
            </w:tcMar>
          </w:tcPr>
          <w:p w14:paraId="658949F5" w14:textId="77777777" w:rsidR="00E534CF" w:rsidRPr="0088065B" w:rsidRDefault="00E534CF" w:rsidP="00964831">
            <w:pPr>
              <w:pStyle w:val="ListParagraph"/>
              <w:spacing w:line="240" w:lineRule="auto"/>
              <w:ind w:left="360"/>
              <w:rPr>
                <w:rFonts w:eastAsia="Arial Narrow"/>
                <w:sz w:val="18"/>
                <w:szCs w:val="18"/>
              </w:rPr>
            </w:pPr>
          </w:p>
        </w:tc>
        <w:tc>
          <w:tcPr>
            <w:tcW w:w="1097" w:type="pct"/>
            <w:shd w:val="clear" w:color="auto" w:fill="D9D9D9" w:themeFill="background1" w:themeFillShade="D9"/>
            <w:tcMar>
              <w:top w:w="100" w:type="dxa"/>
              <w:left w:w="100" w:type="dxa"/>
              <w:bottom w:w="100" w:type="dxa"/>
              <w:right w:w="100" w:type="dxa"/>
            </w:tcMar>
          </w:tcPr>
          <w:p w14:paraId="5EE71757" w14:textId="77777777" w:rsidR="00E534CF" w:rsidRPr="0088065B" w:rsidRDefault="00E534CF" w:rsidP="00964831">
            <w:pPr>
              <w:pStyle w:val="ListParagraph"/>
              <w:spacing w:line="240" w:lineRule="auto"/>
              <w:ind w:left="360"/>
              <w:rPr>
                <w:rFonts w:eastAsia="Arial Narrow"/>
                <w:sz w:val="18"/>
                <w:szCs w:val="18"/>
                <w:highlight w:val="white"/>
              </w:rPr>
            </w:pPr>
          </w:p>
        </w:tc>
      </w:tr>
      <w:tr w:rsidR="00E534CF" w:rsidRPr="0088065B" w14:paraId="48FAAD6E" w14:textId="77777777" w:rsidTr="0088065B">
        <w:trPr>
          <w:trHeight w:val="367"/>
        </w:trPr>
        <w:tc>
          <w:tcPr>
            <w:tcW w:w="479" w:type="pct"/>
            <w:shd w:val="clear" w:color="auto" w:fill="C6D9F1" w:themeFill="text2" w:themeFillTint="33"/>
            <w:tcMar>
              <w:top w:w="100" w:type="dxa"/>
              <w:left w:w="100" w:type="dxa"/>
              <w:bottom w:w="100" w:type="dxa"/>
              <w:right w:w="100" w:type="dxa"/>
            </w:tcMar>
          </w:tcPr>
          <w:p w14:paraId="160D7149" w14:textId="77777777" w:rsidR="00E534CF" w:rsidRPr="0088065B" w:rsidRDefault="00E534CF" w:rsidP="00964831">
            <w:pPr>
              <w:jc w:val="both"/>
              <w:rPr>
                <w:rFonts w:ascii="Arial" w:hAnsi="Arial" w:cs="Arial"/>
                <w:sz w:val="18"/>
                <w:szCs w:val="18"/>
              </w:rPr>
            </w:pPr>
            <w:r w:rsidRPr="0088065B">
              <w:rPr>
                <w:rFonts w:ascii="Arial" w:hAnsi="Arial" w:cs="Arial"/>
                <w:sz w:val="18"/>
                <w:szCs w:val="18"/>
              </w:rPr>
              <w:t>Medium priority</w:t>
            </w:r>
          </w:p>
        </w:tc>
        <w:tc>
          <w:tcPr>
            <w:tcW w:w="1875" w:type="pct"/>
            <w:shd w:val="clear" w:color="auto" w:fill="auto"/>
            <w:tcMar>
              <w:top w:w="100" w:type="dxa"/>
              <w:left w:w="100" w:type="dxa"/>
              <w:bottom w:w="100" w:type="dxa"/>
              <w:right w:w="100" w:type="dxa"/>
            </w:tcMar>
          </w:tcPr>
          <w:p w14:paraId="1CBFACE0" w14:textId="77777777" w:rsidR="00E534CF" w:rsidRPr="0088065B" w:rsidRDefault="00E534CF" w:rsidP="00E534CF">
            <w:pPr>
              <w:pStyle w:val="ListParagraph"/>
              <w:numPr>
                <w:ilvl w:val="0"/>
                <w:numId w:val="84"/>
              </w:numPr>
              <w:spacing w:line="240" w:lineRule="auto"/>
              <w:rPr>
                <w:rFonts w:eastAsia="Arial Narrow"/>
                <w:sz w:val="18"/>
                <w:szCs w:val="18"/>
              </w:rPr>
            </w:pPr>
            <w:r w:rsidRPr="0088065B">
              <w:rPr>
                <w:rFonts w:eastAsia="Arial Narrow"/>
                <w:sz w:val="18"/>
                <w:szCs w:val="18"/>
              </w:rPr>
              <w:t>Innovative solutions for the labour market to insert those coming from disadvantaged backgrounds: e.g., qualification programmes implemented in tandem with public investments in energy efficiency and reduction of energy poverty of those living in precarious conditions</w:t>
            </w:r>
          </w:p>
        </w:tc>
        <w:tc>
          <w:tcPr>
            <w:tcW w:w="1549" w:type="pct"/>
            <w:shd w:val="clear" w:color="auto" w:fill="D9D9D9" w:themeFill="background1" w:themeFillShade="D9"/>
            <w:tcMar>
              <w:top w:w="100" w:type="dxa"/>
              <w:left w:w="100" w:type="dxa"/>
              <w:bottom w:w="100" w:type="dxa"/>
              <w:right w:w="100" w:type="dxa"/>
            </w:tcMar>
          </w:tcPr>
          <w:p w14:paraId="0057DF6D" w14:textId="77777777" w:rsidR="00E534CF" w:rsidRPr="0088065B" w:rsidRDefault="00E534CF" w:rsidP="00964831">
            <w:pPr>
              <w:pStyle w:val="ListParagraph"/>
              <w:spacing w:line="240" w:lineRule="auto"/>
              <w:ind w:left="360"/>
              <w:rPr>
                <w:rFonts w:eastAsia="Arial Narrow"/>
                <w:sz w:val="18"/>
                <w:szCs w:val="18"/>
              </w:rPr>
            </w:pPr>
          </w:p>
        </w:tc>
        <w:tc>
          <w:tcPr>
            <w:tcW w:w="1097" w:type="pct"/>
            <w:shd w:val="clear" w:color="auto" w:fill="D9D9D9" w:themeFill="background1" w:themeFillShade="D9"/>
            <w:tcMar>
              <w:top w:w="100" w:type="dxa"/>
              <w:left w:w="100" w:type="dxa"/>
              <w:bottom w:w="100" w:type="dxa"/>
              <w:right w:w="100" w:type="dxa"/>
            </w:tcMar>
          </w:tcPr>
          <w:p w14:paraId="4623081A" w14:textId="77777777" w:rsidR="00E534CF" w:rsidRPr="0088065B" w:rsidRDefault="00E534CF" w:rsidP="00964831">
            <w:pPr>
              <w:pStyle w:val="ListParagraph"/>
              <w:spacing w:line="240" w:lineRule="auto"/>
              <w:ind w:left="360"/>
              <w:rPr>
                <w:rFonts w:eastAsia="Arial Narrow"/>
                <w:sz w:val="18"/>
                <w:szCs w:val="18"/>
                <w:highlight w:val="white"/>
              </w:rPr>
            </w:pPr>
          </w:p>
        </w:tc>
      </w:tr>
    </w:tbl>
    <w:p w14:paraId="5A43E127" w14:textId="77777777" w:rsidR="00E534CF" w:rsidRDefault="00E534CF">
      <w:pPr>
        <w:rPr>
          <w:rFonts w:ascii="Arial" w:hAnsi="Arial" w:cs="Arial"/>
          <w:b/>
          <w:smallCaps/>
          <w:color w:val="000000"/>
          <w:sz w:val="32"/>
          <w:szCs w:val="32"/>
        </w:rPr>
        <w:sectPr w:rsidR="00E534CF" w:rsidSect="0088065B">
          <w:headerReference w:type="default" r:id="rId238"/>
          <w:pgSz w:w="16834" w:h="11909" w:orient="landscape"/>
          <w:pgMar w:top="1530" w:right="1440" w:bottom="1440" w:left="1440" w:header="720" w:footer="720" w:gutter="0"/>
          <w:cols w:space="720"/>
          <w:docGrid w:linePitch="326"/>
        </w:sectPr>
      </w:pPr>
    </w:p>
    <w:p w14:paraId="057638DC" w14:textId="27F7472A" w:rsidR="006E2698" w:rsidRPr="00E534CF" w:rsidRDefault="00E534CF" w:rsidP="00E42342">
      <w:pPr>
        <w:pStyle w:val="Heading2"/>
        <w:numPr>
          <w:ilvl w:val="0"/>
          <w:numId w:val="232"/>
        </w:numPr>
        <w:spacing w:before="240" w:line="240" w:lineRule="auto"/>
        <w:ind w:left="432" w:hanging="432"/>
      </w:pPr>
      <w:bookmarkStart w:id="366" w:name="_Toc90725908"/>
      <w:r w:rsidRPr="003516DC">
        <w:lastRenderedPageBreak/>
        <w:t>Synergies/complementarities/consistency with other programmes</w:t>
      </w:r>
      <w:bookmarkEnd w:id="366"/>
    </w:p>
    <w:p w14:paraId="780BF62C" w14:textId="7F17C574" w:rsidR="00BC0F67" w:rsidRPr="00692333" w:rsidRDefault="00BC0F67" w:rsidP="00BC0F67">
      <w:pPr>
        <w:shd w:val="clear" w:color="auto" w:fill="FFFFFF"/>
        <w:jc w:val="both"/>
        <w:rPr>
          <w:rFonts w:ascii="Arial" w:hAnsi="Arial" w:cs="Arial"/>
          <w:color w:val="202124"/>
          <w:sz w:val="20"/>
          <w:szCs w:val="20"/>
        </w:rPr>
      </w:pPr>
      <w:r w:rsidRPr="00692333">
        <w:rPr>
          <w:rFonts w:ascii="Arial" w:hAnsi="Arial" w:cs="Arial"/>
          <w:color w:val="202124"/>
          <w:sz w:val="20"/>
          <w:szCs w:val="20"/>
        </w:rPr>
        <w:t xml:space="preserve">Different European funding sources are adopted or at </w:t>
      </w:r>
      <w:r w:rsidR="00692333">
        <w:rPr>
          <w:rFonts w:ascii="Arial" w:hAnsi="Arial" w:cs="Arial"/>
          <w:color w:val="202124"/>
          <w:sz w:val="20"/>
          <w:szCs w:val="20"/>
        </w:rPr>
        <w:t xml:space="preserve">an </w:t>
      </w:r>
      <w:r w:rsidRPr="00692333">
        <w:rPr>
          <w:rFonts w:ascii="Arial" w:hAnsi="Arial" w:cs="Arial"/>
          <w:color w:val="202124"/>
          <w:sz w:val="20"/>
          <w:szCs w:val="20"/>
        </w:rPr>
        <w:t xml:space="preserve">interim level for mitigating the socio-economic costs of the transition to a green economy that are complementary to the financial resources provided by the </w:t>
      </w:r>
      <w:r w:rsidR="0088065B">
        <w:rPr>
          <w:rFonts w:ascii="Arial" w:hAnsi="Arial" w:cs="Arial"/>
          <w:color w:val="202124"/>
          <w:sz w:val="20"/>
          <w:szCs w:val="20"/>
        </w:rPr>
        <w:t>JTF</w:t>
      </w:r>
      <w:r w:rsidRPr="00692333">
        <w:rPr>
          <w:rFonts w:ascii="Arial" w:hAnsi="Arial" w:cs="Arial"/>
          <w:color w:val="202124"/>
          <w:sz w:val="20"/>
          <w:szCs w:val="20"/>
        </w:rPr>
        <w:t xml:space="preserve"> through the </w:t>
      </w:r>
      <w:r w:rsidR="003751DC">
        <w:rPr>
          <w:rFonts w:ascii="Arial" w:hAnsi="Arial" w:cs="Arial"/>
          <w:color w:val="202124"/>
          <w:sz w:val="20"/>
          <w:szCs w:val="20"/>
        </w:rPr>
        <w:t>Galați</w:t>
      </w:r>
      <w:r w:rsidRPr="00692333">
        <w:rPr>
          <w:rFonts w:ascii="Arial" w:hAnsi="Arial" w:cs="Arial"/>
          <w:color w:val="202124"/>
          <w:sz w:val="20"/>
          <w:szCs w:val="20"/>
        </w:rPr>
        <w:t xml:space="preserve"> Territorial Just Transition </w:t>
      </w:r>
      <w:r w:rsidR="0088065B" w:rsidRPr="00692333">
        <w:rPr>
          <w:rFonts w:ascii="Arial" w:hAnsi="Arial" w:cs="Arial"/>
          <w:color w:val="202124"/>
          <w:sz w:val="20"/>
          <w:szCs w:val="20"/>
        </w:rPr>
        <w:t>P</w:t>
      </w:r>
      <w:r w:rsidR="0088065B">
        <w:rPr>
          <w:rFonts w:ascii="Arial" w:hAnsi="Arial" w:cs="Arial"/>
          <w:color w:val="202124"/>
          <w:sz w:val="20"/>
          <w:szCs w:val="20"/>
        </w:rPr>
        <w:t>lan</w:t>
      </w:r>
      <w:r w:rsidR="004E2DCB">
        <w:rPr>
          <w:rFonts w:ascii="Arial" w:hAnsi="Arial" w:cs="Arial"/>
          <w:color w:val="202124"/>
          <w:sz w:val="20"/>
          <w:szCs w:val="20"/>
        </w:rPr>
        <w:t xml:space="preserve"> </w:t>
      </w:r>
      <w:r w:rsidRPr="00692333">
        <w:rPr>
          <w:rFonts w:ascii="Arial" w:hAnsi="Arial" w:cs="Arial"/>
          <w:color w:val="202124"/>
          <w:sz w:val="20"/>
          <w:szCs w:val="20"/>
        </w:rPr>
        <w:t xml:space="preserve">(TJTP </w:t>
      </w:r>
      <w:r w:rsidR="003751DC">
        <w:rPr>
          <w:rFonts w:ascii="Arial" w:hAnsi="Arial" w:cs="Arial"/>
          <w:color w:val="202124"/>
          <w:sz w:val="20"/>
          <w:szCs w:val="20"/>
        </w:rPr>
        <w:t>Galați</w:t>
      </w:r>
      <w:r w:rsidRPr="00692333">
        <w:rPr>
          <w:rFonts w:ascii="Arial" w:hAnsi="Arial" w:cs="Arial"/>
          <w:color w:val="202124"/>
          <w:sz w:val="20"/>
          <w:szCs w:val="20"/>
        </w:rPr>
        <w:t xml:space="preserve">), </w:t>
      </w:r>
      <w:r w:rsidR="00692333">
        <w:rPr>
          <w:rFonts w:ascii="Arial" w:hAnsi="Arial" w:cs="Arial"/>
          <w:color w:val="202124"/>
          <w:sz w:val="20"/>
          <w:szCs w:val="20"/>
        </w:rPr>
        <w:t>include</w:t>
      </w:r>
      <w:r w:rsidRPr="00692333">
        <w:rPr>
          <w:rFonts w:ascii="Arial" w:hAnsi="Arial" w:cs="Arial"/>
          <w:color w:val="202124"/>
          <w:sz w:val="20"/>
          <w:szCs w:val="20"/>
        </w:rPr>
        <w:t>:</w:t>
      </w:r>
    </w:p>
    <w:p w14:paraId="7DEFE3D3" w14:textId="77777777" w:rsidR="00BC0F67" w:rsidRPr="00692333" w:rsidRDefault="00BC0F67" w:rsidP="00BC0F67">
      <w:pPr>
        <w:shd w:val="clear" w:color="auto" w:fill="FFFFFF"/>
        <w:jc w:val="both"/>
        <w:rPr>
          <w:rFonts w:ascii="Arial" w:hAnsi="Arial" w:cs="Arial"/>
          <w:color w:val="202124"/>
          <w:sz w:val="8"/>
          <w:szCs w:val="8"/>
        </w:rPr>
      </w:pPr>
    </w:p>
    <w:p w14:paraId="770420F1" w14:textId="7928B4B3"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692333">
        <w:rPr>
          <w:rFonts w:eastAsia="Times New Roman"/>
          <w:color w:val="202124"/>
          <w:sz w:val="20"/>
          <w:szCs w:val="20"/>
        </w:rPr>
        <w:t xml:space="preserve">National </w:t>
      </w:r>
      <w:r w:rsidR="0088065B">
        <w:rPr>
          <w:rFonts w:eastAsia="Times New Roman"/>
          <w:color w:val="202124"/>
          <w:sz w:val="20"/>
          <w:szCs w:val="20"/>
        </w:rPr>
        <w:t>Recovery and Resilience</w:t>
      </w:r>
      <w:r w:rsidRPr="00692333">
        <w:rPr>
          <w:rFonts w:eastAsia="Times New Roman"/>
          <w:color w:val="202124"/>
          <w:sz w:val="20"/>
          <w:szCs w:val="20"/>
        </w:rPr>
        <w:t xml:space="preserve"> - </w:t>
      </w:r>
      <w:r w:rsidR="0088065B">
        <w:rPr>
          <w:rFonts w:eastAsia="Times New Roman"/>
          <w:color w:val="202124"/>
          <w:sz w:val="20"/>
          <w:szCs w:val="20"/>
        </w:rPr>
        <w:t>RRP</w:t>
      </w:r>
    </w:p>
    <w:p w14:paraId="7470B12A" w14:textId="46F3D3CC"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692333">
        <w:rPr>
          <w:rFonts w:eastAsia="Times New Roman"/>
          <w:color w:val="202124"/>
          <w:sz w:val="20"/>
          <w:szCs w:val="20"/>
        </w:rPr>
        <w:t>Moderni</w:t>
      </w:r>
      <w:r w:rsidR="00692333">
        <w:rPr>
          <w:rFonts w:eastAsia="Times New Roman"/>
          <w:color w:val="202124"/>
          <w:sz w:val="20"/>
          <w:szCs w:val="20"/>
        </w:rPr>
        <w:t>s</w:t>
      </w:r>
      <w:r w:rsidRPr="00692333">
        <w:rPr>
          <w:rFonts w:eastAsia="Times New Roman"/>
          <w:color w:val="202124"/>
          <w:sz w:val="20"/>
          <w:szCs w:val="20"/>
        </w:rPr>
        <w:t>ation Fund – MF</w:t>
      </w:r>
    </w:p>
    <w:p w14:paraId="22497C97" w14:textId="5859B8E9"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202124"/>
          <w:sz w:val="20"/>
          <w:szCs w:val="20"/>
        </w:rPr>
      </w:pPr>
      <w:r w:rsidRPr="00692333">
        <w:rPr>
          <w:rFonts w:eastAsia="Times New Roman"/>
          <w:color w:val="202124"/>
          <w:sz w:val="20"/>
          <w:szCs w:val="20"/>
        </w:rPr>
        <w:t>Sustainable Development Operational Program</w:t>
      </w:r>
      <w:r w:rsidR="0088065B">
        <w:rPr>
          <w:rFonts w:eastAsia="Times New Roman"/>
          <w:color w:val="202124"/>
          <w:sz w:val="20"/>
          <w:szCs w:val="20"/>
        </w:rPr>
        <w:t>me</w:t>
      </w:r>
      <w:r w:rsidRPr="00692333">
        <w:rPr>
          <w:rFonts w:eastAsia="Times New Roman"/>
          <w:color w:val="202124"/>
          <w:sz w:val="20"/>
          <w:szCs w:val="20"/>
        </w:rPr>
        <w:t xml:space="preserve"> - SDOP</w:t>
      </w:r>
    </w:p>
    <w:p w14:paraId="783D68B8" w14:textId="76902A91"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imes New Roman"/>
          <w:color w:val="202124"/>
          <w:sz w:val="20"/>
          <w:szCs w:val="20"/>
        </w:rPr>
      </w:pPr>
      <w:r w:rsidRPr="00692333">
        <w:rPr>
          <w:rFonts w:eastAsia="Times New Roman"/>
          <w:color w:val="202124"/>
          <w:sz w:val="20"/>
          <w:szCs w:val="20"/>
        </w:rPr>
        <w:t>Regional Operational Program</w:t>
      </w:r>
      <w:r w:rsidR="0088065B">
        <w:rPr>
          <w:rFonts w:eastAsia="Times New Roman"/>
          <w:color w:val="202124"/>
          <w:sz w:val="20"/>
          <w:szCs w:val="20"/>
        </w:rPr>
        <w:t>me</w:t>
      </w:r>
      <w:r w:rsidRPr="00692333">
        <w:rPr>
          <w:rFonts w:eastAsia="Times New Roman"/>
          <w:color w:val="202124"/>
          <w:sz w:val="20"/>
          <w:szCs w:val="20"/>
        </w:rPr>
        <w:t xml:space="preserve"> South East Region – ROP SE</w:t>
      </w:r>
    </w:p>
    <w:p w14:paraId="66E76010" w14:textId="7BDFE6CB"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692333">
        <w:rPr>
          <w:sz w:val="20"/>
          <w:szCs w:val="20"/>
          <w:shd w:val="clear" w:color="auto" w:fill="FFFFFF"/>
        </w:rPr>
        <w:t>Energy Program</w:t>
      </w:r>
      <w:r w:rsidR="0088065B">
        <w:rPr>
          <w:sz w:val="20"/>
          <w:szCs w:val="20"/>
          <w:shd w:val="clear" w:color="auto" w:fill="FFFFFF"/>
        </w:rPr>
        <w:t>me</w:t>
      </w:r>
      <w:r w:rsidRPr="00692333">
        <w:rPr>
          <w:sz w:val="20"/>
          <w:szCs w:val="20"/>
          <w:shd w:val="clear" w:color="auto" w:fill="FFFFFF"/>
        </w:rPr>
        <w:t xml:space="preserve"> in Romania under EEA and Norwegian grants (</w:t>
      </w:r>
      <w:r w:rsidRPr="00692333">
        <w:rPr>
          <w:i/>
          <w:iCs/>
          <w:sz w:val="20"/>
          <w:szCs w:val="20"/>
          <w:shd w:val="clear" w:color="auto" w:fill="FFFFFF"/>
        </w:rPr>
        <w:t>in negotiation</w:t>
      </w:r>
      <w:r w:rsidRPr="00692333">
        <w:rPr>
          <w:sz w:val="20"/>
          <w:szCs w:val="20"/>
          <w:shd w:val="clear" w:color="auto" w:fill="FFFFFF"/>
        </w:rPr>
        <w:t>)</w:t>
      </w:r>
    </w:p>
    <w:p w14:paraId="555D4484" w14:textId="6032310B" w:rsidR="00BC0F67" w:rsidRPr="00692333" w:rsidRDefault="00BC0F67" w:rsidP="00BC0F67">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692333">
        <w:rPr>
          <w:rFonts w:eastAsia="Times New Roman"/>
          <w:color w:val="202124"/>
          <w:sz w:val="20"/>
          <w:szCs w:val="20"/>
        </w:rPr>
        <w:t>Intelligent Growth, Digiti</w:t>
      </w:r>
      <w:r w:rsidR="004E7B64">
        <w:rPr>
          <w:rFonts w:eastAsia="Times New Roman"/>
          <w:color w:val="202124"/>
          <w:sz w:val="20"/>
          <w:szCs w:val="20"/>
        </w:rPr>
        <w:t>sation</w:t>
      </w:r>
      <w:r w:rsidRPr="00692333">
        <w:rPr>
          <w:rFonts w:eastAsia="Times New Roman"/>
          <w:color w:val="202124"/>
          <w:sz w:val="20"/>
          <w:szCs w:val="20"/>
        </w:rPr>
        <w:t xml:space="preserve"> and Financial Instruments Operational Program</w:t>
      </w:r>
      <w:r w:rsidR="0088065B">
        <w:rPr>
          <w:rFonts w:eastAsia="Times New Roman"/>
          <w:color w:val="202124"/>
          <w:sz w:val="20"/>
          <w:szCs w:val="20"/>
        </w:rPr>
        <w:t>me</w:t>
      </w:r>
      <w:r w:rsidRPr="00692333">
        <w:rPr>
          <w:rFonts w:eastAsia="Times New Roman"/>
          <w:color w:val="202124"/>
          <w:sz w:val="20"/>
          <w:szCs w:val="20"/>
        </w:rPr>
        <w:t xml:space="preserve"> – IGDFIOP</w:t>
      </w:r>
    </w:p>
    <w:p w14:paraId="6C3D3433" w14:textId="041BE6F9" w:rsidR="00BC0F67" w:rsidRPr="004E2DCB" w:rsidRDefault="00BC0F67" w:rsidP="004E2DCB">
      <w:pPr>
        <w:pStyle w:val="ListParagraph"/>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val="0"/>
        <w:jc w:val="both"/>
        <w:rPr>
          <w:sz w:val="24"/>
          <w:szCs w:val="24"/>
        </w:rPr>
      </w:pPr>
      <w:r w:rsidRPr="00692333">
        <w:rPr>
          <w:bCs/>
          <w:sz w:val="20"/>
          <w:szCs w:val="20"/>
        </w:rPr>
        <w:t>Education and Employment Operational Programme - EEOP</w:t>
      </w:r>
    </w:p>
    <w:p w14:paraId="030875B4" w14:textId="45998579" w:rsidR="00BC0F67" w:rsidRPr="00E614F2" w:rsidRDefault="00BC0F67" w:rsidP="00BC0F67">
      <w:pPr>
        <w:jc w:val="both"/>
        <w:rPr>
          <w:rFonts w:ascii="Arial" w:hAnsi="Arial" w:cs="Arial"/>
          <w:sz w:val="20"/>
          <w:szCs w:val="20"/>
        </w:rPr>
      </w:pPr>
      <w:r w:rsidRPr="00692333">
        <w:rPr>
          <w:rFonts w:ascii="Arial" w:hAnsi="Arial" w:cs="Arial"/>
          <w:sz w:val="20"/>
          <w:szCs w:val="20"/>
        </w:rPr>
        <w:t>The key actions of Just Transition Fund can be complemented by these European program</w:t>
      </w:r>
      <w:r w:rsidR="00692333">
        <w:rPr>
          <w:rFonts w:ascii="Arial" w:hAnsi="Arial" w:cs="Arial"/>
          <w:sz w:val="20"/>
          <w:szCs w:val="20"/>
        </w:rPr>
        <w:t>me</w:t>
      </w:r>
      <w:r w:rsidRPr="00692333">
        <w:rPr>
          <w:rFonts w:ascii="Arial" w:hAnsi="Arial" w:cs="Arial"/>
          <w:sz w:val="20"/>
          <w:szCs w:val="20"/>
        </w:rPr>
        <w:t xml:space="preserve">s </w:t>
      </w:r>
      <w:r w:rsidR="00692333">
        <w:rPr>
          <w:rFonts w:ascii="Arial" w:hAnsi="Arial" w:cs="Arial"/>
          <w:sz w:val="20"/>
          <w:szCs w:val="20"/>
        </w:rPr>
        <w:t xml:space="preserve">and </w:t>
      </w:r>
      <w:r w:rsidRPr="00692333">
        <w:rPr>
          <w:rFonts w:ascii="Arial" w:hAnsi="Arial" w:cs="Arial"/>
          <w:sz w:val="20"/>
          <w:szCs w:val="20"/>
        </w:rPr>
        <w:t>are listed in the table below.</w:t>
      </w:r>
    </w:p>
    <w:p w14:paraId="4524C658" w14:textId="70AE7CC1" w:rsidR="00BC0F67" w:rsidRPr="00E614F2" w:rsidRDefault="00E614F2" w:rsidP="00692333">
      <w:pPr>
        <w:pStyle w:val="Caption"/>
      </w:pPr>
      <w:bookmarkStart w:id="367" w:name="_Toc90726034"/>
      <w:bookmarkStart w:id="368" w:name="_Toc90727331"/>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80</w:t>
      </w:r>
      <w:r w:rsidR="000B273D">
        <w:rPr>
          <w:noProof/>
        </w:rPr>
        <w:fldChar w:fldCharType="end"/>
      </w:r>
      <w:r w:rsidR="00BC0F67" w:rsidRPr="00692333">
        <w:t>: Complementarities with other programmes (and proposed allocations)</w:t>
      </w:r>
      <w:bookmarkEnd w:id="367"/>
      <w:bookmarkEnd w:id="3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6838"/>
      </w:tblGrid>
      <w:tr w:rsidR="00BC0F67" w:rsidRPr="00E614F2" w14:paraId="5925D7D9" w14:textId="77777777" w:rsidTr="00964831">
        <w:trPr>
          <w:trHeight w:val="1925"/>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384B170" w14:textId="77777777" w:rsidR="00BC0F67" w:rsidRPr="0088065B" w:rsidRDefault="00BC0F67" w:rsidP="0088065B">
            <w:pPr>
              <w:shd w:val="clear" w:color="auto" w:fill="FFFFFF"/>
              <w:rPr>
                <w:rFonts w:ascii="Arial" w:eastAsia="Calibri" w:hAnsi="Arial" w:cs="Arial"/>
                <w:i/>
                <w:iCs/>
                <w:sz w:val="18"/>
                <w:szCs w:val="18"/>
              </w:rPr>
            </w:pPr>
          </w:p>
          <w:p w14:paraId="0497DEF9" w14:textId="7D272359" w:rsidR="00BC0F67" w:rsidRPr="0088065B" w:rsidRDefault="0088065B" w:rsidP="00880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color w:val="202124"/>
                <w:sz w:val="18"/>
                <w:szCs w:val="18"/>
              </w:rPr>
            </w:pPr>
            <w:r>
              <w:rPr>
                <w:rFonts w:ascii="Arial" w:eastAsia="Times New Roman" w:hAnsi="Arial" w:cs="Arial"/>
                <w:color w:val="202124"/>
                <w:sz w:val="18"/>
                <w:szCs w:val="18"/>
              </w:rPr>
              <w:t>Type 1</w:t>
            </w:r>
          </w:p>
          <w:p w14:paraId="51519C4C" w14:textId="3EE870FD" w:rsidR="00BC0F67" w:rsidRPr="0088065B" w:rsidRDefault="00BC0F67" w:rsidP="0088065B">
            <w:pPr>
              <w:pStyle w:val="ListParagraph"/>
              <w:spacing w:line="240" w:lineRule="auto"/>
              <w:ind w:left="0" w:right="58"/>
              <w:rPr>
                <w:sz w:val="18"/>
                <w:szCs w:val="18"/>
              </w:rPr>
            </w:pPr>
            <w:r w:rsidRPr="0088065B">
              <w:rPr>
                <w:sz w:val="18"/>
                <w:szCs w:val="18"/>
              </w:rPr>
              <w:t>Economic diversification and sustainable entrepreneurship support as well as increasing access to research, innovation and digiti</w:t>
            </w:r>
            <w:r w:rsidR="004E7B64">
              <w:rPr>
                <w:sz w:val="18"/>
                <w:szCs w:val="18"/>
              </w:rPr>
              <w:t>sation</w:t>
            </w:r>
          </w:p>
          <w:p w14:paraId="42E5DF09" w14:textId="77777777" w:rsidR="00BC0F67" w:rsidRPr="0088065B" w:rsidRDefault="00BC0F67" w:rsidP="0088065B">
            <w:pPr>
              <w:shd w:val="clear" w:color="auto" w:fill="FFFFFF"/>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07AA246E" w14:textId="3EBD3D12" w:rsidR="00BC0F67" w:rsidRPr="0088065B" w:rsidRDefault="00BC0F67" w:rsidP="0088065B">
            <w:pPr>
              <w:shd w:val="clear" w:color="auto" w:fill="FFFFFF"/>
              <w:rPr>
                <w:rFonts w:ascii="Arial" w:eastAsia="Times New Roman" w:hAnsi="Arial" w:cs="Arial"/>
                <w:sz w:val="18"/>
                <w:szCs w:val="18"/>
                <w:lang w:val="en-US"/>
              </w:rPr>
            </w:pPr>
            <w:r w:rsidRPr="0088065B">
              <w:rPr>
                <w:rFonts w:ascii="Arial" w:hAnsi="Arial" w:cs="Arial"/>
                <w:i/>
                <w:sz w:val="18"/>
                <w:szCs w:val="18"/>
              </w:rPr>
              <w:t>“Regional Operational Program</w:t>
            </w:r>
            <w:r w:rsidR="0088065B">
              <w:rPr>
                <w:rFonts w:ascii="Arial" w:hAnsi="Arial" w:cs="Arial"/>
                <w:i/>
                <w:sz w:val="18"/>
                <w:szCs w:val="18"/>
              </w:rPr>
              <w:t>me</w:t>
            </w:r>
            <w:r w:rsidRPr="0088065B">
              <w:rPr>
                <w:rFonts w:ascii="Arial" w:hAnsi="Arial" w:cs="Arial"/>
                <w:i/>
                <w:sz w:val="18"/>
                <w:szCs w:val="18"/>
              </w:rPr>
              <w:t xml:space="preserve"> SE” (ROP)</w:t>
            </w:r>
          </w:p>
          <w:p w14:paraId="2544405E" w14:textId="1150031B" w:rsidR="00BC0F67" w:rsidRPr="0088065B" w:rsidRDefault="00BC0F67" w:rsidP="0088065B">
            <w:pPr>
              <w:rPr>
                <w:rFonts w:ascii="Arial" w:hAnsi="Arial" w:cs="Arial"/>
                <w:iCs/>
                <w:sz w:val="18"/>
                <w:szCs w:val="18"/>
                <w:lang w:val="en-US"/>
              </w:rPr>
            </w:pPr>
            <w:r w:rsidRPr="0088065B">
              <w:rPr>
                <w:rFonts w:ascii="Arial" w:hAnsi="Arial" w:cs="Arial"/>
                <w:i/>
                <w:sz w:val="18"/>
                <w:szCs w:val="18"/>
                <w:u w:val="single"/>
              </w:rPr>
              <w:t xml:space="preserve">Priority Axis 1 </w:t>
            </w:r>
            <w:r w:rsidRPr="0088065B">
              <w:rPr>
                <w:rFonts w:ascii="Arial" w:hAnsi="Arial" w:cs="Arial"/>
                <w:iCs/>
                <w:sz w:val="18"/>
                <w:szCs w:val="18"/>
                <w:u w:val="single"/>
              </w:rPr>
              <w:t>A competitive region through innovation, digitalisation and dynamic enterprises</w:t>
            </w:r>
            <w:r w:rsidRPr="0088065B">
              <w:rPr>
                <w:rFonts w:ascii="Arial" w:hAnsi="Arial" w:cs="Arial"/>
                <w:iCs/>
                <w:sz w:val="18"/>
                <w:szCs w:val="18"/>
              </w:rPr>
              <w:t xml:space="preserve">, </w:t>
            </w:r>
            <w:r w:rsidRPr="0088065B">
              <w:rPr>
                <w:rFonts w:ascii="Arial" w:hAnsi="Arial" w:cs="Arial"/>
                <w:iCs/>
                <w:sz w:val="18"/>
                <w:szCs w:val="18"/>
                <w:lang w:val="en-US"/>
              </w:rPr>
              <w:t>EUR 274</w:t>
            </w:r>
            <w:r w:rsidR="00692333" w:rsidRPr="0088065B">
              <w:rPr>
                <w:rFonts w:ascii="Arial" w:hAnsi="Arial" w:cs="Arial"/>
                <w:iCs/>
                <w:sz w:val="18"/>
                <w:szCs w:val="18"/>
                <w:lang w:val="en-US"/>
              </w:rPr>
              <w:t>,</w:t>
            </w:r>
            <w:r w:rsidRPr="0088065B">
              <w:rPr>
                <w:rFonts w:ascii="Arial" w:hAnsi="Arial" w:cs="Arial"/>
                <w:iCs/>
                <w:sz w:val="18"/>
                <w:szCs w:val="18"/>
                <w:lang w:val="en-US"/>
              </w:rPr>
              <w:t>749</w:t>
            </w:r>
            <w:r w:rsidR="00692333" w:rsidRPr="0088065B">
              <w:rPr>
                <w:rFonts w:ascii="Arial" w:hAnsi="Arial" w:cs="Arial"/>
                <w:iCs/>
                <w:sz w:val="18"/>
                <w:szCs w:val="18"/>
                <w:lang w:val="en-US"/>
              </w:rPr>
              <w:t>,</w:t>
            </w:r>
            <w:r w:rsidRPr="0088065B">
              <w:rPr>
                <w:rFonts w:ascii="Arial" w:hAnsi="Arial" w:cs="Arial"/>
                <w:iCs/>
                <w:sz w:val="18"/>
                <w:szCs w:val="18"/>
                <w:lang w:val="en-US"/>
              </w:rPr>
              <w:t>318</w:t>
            </w:r>
          </w:p>
          <w:p w14:paraId="466616A9" w14:textId="572856CE" w:rsidR="00BC0F67" w:rsidRPr="0088065B" w:rsidRDefault="00BC0F67" w:rsidP="0088065B">
            <w:pPr>
              <w:rPr>
                <w:rFonts w:ascii="Arial" w:hAnsi="Arial" w:cs="Arial"/>
                <w:iCs/>
                <w:sz w:val="18"/>
                <w:szCs w:val="18"/>
              </w:rPr>
            </w:pPr>
            <w:r w:rsidRPr="0088065B">
              <w:rPr>
                <w:rFonts w:ascii="Arial" w:hAnsi="Arial" w:cs="Arial"/>
                <w:iCs/>
                <w:sz w:val="18"/>
                <w:szCs w:val="18"/>
              </w:rPr>
              <w:t>OP1/OS1 Development of research and innovation capacities and adoption of advanced technologies, EUR</w:t>
            </w:r>
            <w:r w:rsidRPr="0088065B">
              <w:rPr>
                <w:rFonts w:ascii="Arial" w:hAnsi="Arial" w:cs="Arial"/>
                <w:iCs/>
                <w:sz w:val="18"/>
                <w:szCs w:val="18"/>
                <w:lang w:val="en-US"/>
              </w:rPr>
              <w:t xml:space="preserve"> </w:t>
            </w:r>
            <w:r w:rsidRPr="0088065B">
              <w:rPr>
                <w:rFonts w:ascii="Arial" w:hAnsi="Arial" w:cs="Arial"/>
                <w:iCs/>
                <w:sz w:val="18"/>
                <w:szCs w:val="18"/>
              </w:rPr>
              <w:t>58</w:t>
            </w:r>
            <w:r w:rsidR="00692333" w:rsidRPr="0088065B">
              <w:rPr>
                <w:rFonts w:ascii="Arial" w:hAnsi="Arial" w:cs="Arial"/>
                <w:iCs/>
                <w:sz w:val="18"/>
                <w:szCs w:val="18"/>
              </w:rPr>
              <w:t>,</w:t>
            </w:r>
            <w:r w:rsidRPr="0088065B">
              <w:rPr>
                <w:rFonts w:ascii="Arial" w:hAnsi="Arial" w:cs="Arial"/>
                <w:iCs/>
                <w:sz w:val="18"/>
                <w:szCs w:val="18"/>
              </w:rPr>
              <w:t>487</w:t>
            </w:r>
            <w:r w:rsidR="00692333" w:rsidRPr="0088065B">
              <w:rPr>
                <w:rFonts w:ascii="Arial" w:hAnsi="Arial" w:cs="Arial"/>
                <w:iCs/>
                <w:sz w:val="18"/>
                <w:szCs w:val="18"/>
              </w:rPr>
              <w:t>,</w:t>
            </w:r>
            <w:r w:rsidRPr="0088065B">
              <w:rPr>
                <w:rFonts w:ascii="Arial" w:hAnsi="Arial" w:cs="Arial"/>
                <w:iCs/>
                <w:sz w:val="18"/>
                <w:szCs w:val="18"/>
              </w:rPr>
              <w:t>635</w:t>
            </w:r>
            <w:r w:rsidRPr="0088065B">
              <w:rPr>
                <w:rFonts w:ascii="Arial" w:hAnsi="Arial" w:cs="Arial"/>
                <w:iCs/>
                <w:sz w:val="18"/>
                <w:szCs w:val="18"/>
                <w:lang w:val="en-US"/>
              </w:rPr>
              <w:t xml:space="preserve">, </w:t>
            </w:r>
          </w:p>
          <w:p w14:paraId="55803A4B" w14:textId="5B08B3E9" w:rsidR="00BC0F67" w:rsidRPr="0088065B" w:rsidRDefault="00BC0F67" w:rsidP="0088065B">
            <w:pPr>
              <w:shd w:val="clear" w:color="auto" w:fill="FFFFFF"/>
              <w:rPr>
                <w:rFonts w:ascii="Arial" w:hAnsi="Arial" w:cs="Arial"/>
                <w:sz w:val="18"/>
                <w:szCs w:val="18"/>
              </w:rPr>
            </w:pPr>
            <w:r w:rsidRPr="0088065B">
              <w:rPr>
                <w:rFonts w:ascii="Arial" w:hAnsi="Arial" w:cs="Arial"/>
                <w:iCs/>
                <w:sz w:val="18"/>
                <w:szCs w:val="18"/>
              </w:rPr>
              <w:t>OP1/OS3 Boosting the growth and competitiveness of SMEs</w:t>
            </w:r>
            <w:r w:rsidRPr="0088065B">
              <w:rPr>
                <w:rFonts w:ascii="Arial" w:hAnsi="Arial" w:cs="Arial"/>
                <w:iCs/>
                <w:sz w:val="18"/>
                <w:szCs w:val="18"/>
                <w:lang w:val="en-US"/>
              </w:rPr>
              <w:t>,</w:t>
            </w:r>
            <w:r w:rsidRPr="0088065B">
              <w:rPr>
                <w:rFonts w:ascii="Arial" w:hAnsi="Arial" w:cs="Arial"/>
                <w:sz w:val="18"/>
                <w:szCs w:val="18"/>
              </w:rPr>
              <w:t xml:space="preserve"> </w:t>
            </w:r>
            <w:r w:rsidRPr="0088065B">
              <w:rPr>
                <w:rFonts w:ascii="Arial" w:hAnsi="Arial" w:cs="Arial"/>
                <w:iCs/>
                <w:sz w:val="18"/>
                <w:szCs w:val="18"/>
                <w:lang w:val="en-US"/>
              </w:rPr>
              <w:t xml:space="preserve">creating jobs in SMEs, including productive investments, EUR </w:t>
            </w:r>
            <w:r w:rsidRPr="0088065B">
              <w:rPr>
                <w:rFonts w:ascii="Arial" w:hAnsi="Arial" w:cs="Arial"/>
                <w:iCs/>
                <w:sz w:val="18"/>
                <w:szCs w:val="18"/>
              </w:rPr>
              <w:t>211</w:t>
            </w:r>
            <w:r w:rsidR="00692333" w:rsidRPr="0088065B">
              <w:rPr>
                <w:rFonts w:ascii="Arial" w:hAnsi="Arial" w:cs="Arial"/>
                <w:iCs/>
                <w:sz w:val="18"/>
                <w:szCs w:val="18"/>
              </w:rPr>
              <w:t>,</w:t>
            </w:r>
            <w:r w:rsidRPr="0088065B">
              <w:rPr>
                <w:rFonts w:ascii="Arial" w:hAnsi="Arial" w:cs="Arial"/>
                <w:iCs/>
                <w:sz w:val="18"/>
                <w:szCs w:val="18"/>
              </w:rPr>
              <w:t>261</w:t>
            </w:r>
            <w:r w:rsidR="00692333" w:rsidRPr="0088065B">
              <w:rPr>
                <w:rFonts w:ascii="Arial" w:hAnsi="Arial" w:cs="Arial"/>
                <w:iCs/>
                <w:sz w:val="18"/>
                <w:szCs w:val="18"/>
              </w:rPr>
              <w:t>,</w:t>
            </w:r>
            <w:r w:rsidRPr="0088065B">
              <w:rPr>
                <w:rFonts w:ascii="Arial" w:hAnsi="Arial" w:cs="Arial"/>
                <w:iCs/>
                <w:sz w:val="18"/>
                <w:szCs w:val="18"/>
              </w:rPr>
              <w:t>683</w:t>
            </w:r>
          </w:p>
          <w:p w14:paraId="3349347A" w14:textId="6F3B76F3" w:rsidR="00BC0F67" w:rsidRPr="0088065B" w:rsidRDefault="00BC0F67" w:rsidP="0088065B">
            <w:pPr>
              <w:shd w:val="clear" w:color="auto" w:fill="FFFFFF"/>
              <w:rPr>
                <w:rFonts w:ascii="Arial" w:hAnsi="Arial" w:cs="Arial"/>
                <w:iCs/>
                <w:sz w:val="18"/>
                <w:szCs w:val="18"/>
                <w:lang w:val="en-US"/>
              </w:rPr>
            </w:pPr>
            <w:r w:rsidRPr="0088065B">
              <w:rPr>
                <w:rFonts w:ascii="Arial" w:hAnsi="Arial" w:cs="Arial"/>
                <w:iCs/>
                <w:sz w:val="18"/>
                <w:szCs w:val="18"/>
              </w:rPr>
              <w:t xml:space="preserve">OP1/OS4 </w:t>
            </w:r>
            <w:r w:rsidRPr="0088065B">
              <w:rPr>
                <w:rFonts w:ascii="Arial" w:hAnsi="Arial" w:cs="Arial"/>
                <w:sz w:val="18"/>
                <w:szCs w:val="18"/>
              </w:rPr>
              <w:t>- Skills development for smart speciali</w:t>
            </w:r>
            <w:r w:rsidR="00692333" w:rsidRPr="0088065B">
              <w:rPr>
                <w:rFonts w:ascii="Arial" w:hAnsi="Arial" w:cs="Arial"/>
                <w:sz w:val="18"/>
                <w:szCs w:val="18"/>
              </w:rPr>
              <w:t>s</w:t>
            </w:r>
            <w:r w:rsidRPr="0088065B">
              <w:rPr>
                <w:rFonts w:ascii="Arial" w:hAnsi="Arial" w:cs="Arial"/>
                <w:sz w:val="18"/>
                <w:szCs w:val="18"/>
              </w:rPr>
              <w:t xml:space="preserve">ation, industrial transition and entrepreneurship </w:t>
            </w:r>
            <w:r w:rsidRPr="0088065B">
              <w:rPr>
                <w:rFonts w:ascii="Arial" w:hAnsi="Arial" w:cs="Arial"/>
                <w:iCs/>
                <w:sz w:val="18"/>
                <w:szCs w:val="18"/>
                <w:lang w:val="en-US"/>
              </w:rPr>
              <w:t xml:space="preserve">EUR </w:t>
            </w:r>
            <w:r w:rsidRPr="0088065B">
              <w:rPr>
                <w:rFonts w:ascii="Arial" w:hAnsi="Arial" w:cs="Arial"/>
                <w:iCs/>
                <w:sz w:val="18"/>
                <w:szCs w:val="18"/>
              </w:rPr>
              <w:t>5</w:t>
            </w:r>
            <w:r w:rsidR="00692333" w:rsidRPr="0088065B">
              <w:rPr>
                <w:rFonts w:ascii="Arial" w:hAnsi="Arial" w:cs="Arial"/>
                <w:iCs/>
                <w:sz w:val="18"/>
                <w:szCs w:val="18"/>
              </w:rPr>
              <w:t>,</w:t>
            </w:r>
            <w:r w:rsidRPr="0088065B">
              <w:rPr>
                <w:rFonts w:ascii="Arial" w:hAnsi="Arial" w:cs="Arial"/>
                <w:iCs/>
                <w:sz w:val="18"/>
                <w:szCs w:val="18"/>
              </w:rPr>
              <w:t>000</w:t>
            </w:r>
            <w:r w:rsidR="00692333" w:rsidRPr="0088065B">
              <w:rPr>
                <w:rFonts w:ascii="Arial" w:hAnsi="Arial" w:cs="Arial"/>
                <w:iCs/>
                <w:sz w:val="18"/>
                <w:szCs w:val="18"/>
              </w:rPr>
              <w:t>,</w:t>
            </w:r>
            <w:r w:rsidRPr="0088065B">
              <w:rPr>
                <w:rFonts w:ascii="Arial" w:hAnsi="Arial" w:cs="Arial"/>
                <w:iCs/>
                <w:sz w:val="18"/>
                <w:szCs w:val="18"/>
              </w:rPr>
              <w:t>000</w:t>
            </w:r>
          </w:p>
          <w:p w14:paraId="1A6EEF02" w14:textId="13DF3393" w:rsidR="00BC0F67" w:rsidRPr="0088065B" w:rsidRDefault="00BC0F67" w:rsidP="0088065B">
            <w:pPr>
              <w:shd w:val="clear" w:color="auto" w:fill="FFFFFF"/>
              <w:rPr>
                <w:rFonts w:ascii="Arial" w:hAnsi="Arial" w:cs="Arial"/>
                <w:iCs/>
                <w:sz w:val="18"/>
                <w:szCs w:val="18"/>
                <w:lang w:val="en-US"/>
              </w:rPr>
            </w:pPr>
            <w:r w:rsidRPr="0088065B">
              <w:rPr>
                <w:rFonts w:ascii="Arial" w:hAnsi="Arial" w:cs="Arial"/>
                <w:i/>
                <w:sz w:val="18"/>
                <w:szCs w:val="18"/>
                <w:u w:val="single"/>
              </w:rPr>
              <w:t xml:space="preserve">Priority Axis 2 A region with SMART cities </w:t>
            </w:r>
            <w:r w:rsidRPr="0088065B">
              <w:rPr>
                <w:rFonts w:ascii="Arial" w:hAnsi="Arial" w:cs="Arial"/>
                <w:iCs/>
                <w:sz w:val="18"/>
                <w:szCs w:val="18"/>
                <w:lang w:val="en-US"/>
              </w:rPr>
              <w:t>EUR 64</w:t>
            </w:r>
            <w:r w:rsidR="00692333" w:rsidRPr="0088065B">
              <w:rPr>
                <w:rFonts w:ascii="Arial" w:hAnsi="Arial" w:cs="Arial"/>
                <w:iCs/>
                <w:sz w:val="18"/>
                <w:szCs w:val="18"/>
                <w:lang w:val="en-US"/>
              </w:rPr>
              <w:t>,</w:t>
            </w:r>
            <w:r w:rsidRPr="0088065B">
              <w:rPr>
                <w:rFonts w:ascii="Arial" w:hAnsi="Arial" w:cs="Arial"/>
                <w:iCs/>
                <w:sz w:val="18"/>
                <w:szCs w:val="18"/>
                <w:lang w:val="en-US"/>
              </w:rPr>
              <w:t>888</w:t>
            </w:r>
            <w:r w:rsidR="00692333" w:rsidRPr="0088065B">
              <w:rPr>
                <w:rFonts w:ascii="Arial" w:hAnsi="Arial" w:cs="Arial"/>
                <w:iCs/>
                <w:sz w:val="18"/>
                <w:szCs w:val="18"/>
                <w:lang w:val="en-US"/>
              </w:rPr>
              <w:t>,</w:t>
            </w:r>
            <w:r w:rsidRPr="0088065B">
              <w:rPr>
                <w:rFonts w:ascii="Arial" w:hAnsi="Arial" w:cs="Arial"/>
                <w:iCs/>
                <w:sz w:val="18"/>
                <w:szCs w:val="18"/>
                <w:lang w:val="en-US"/>
              </w:rPr>
              <w:t>854</w:t>
            </w:r>
          </w:p>
          <w:p w14:paraId="2CD3EC88" w14:textId="5A515BCE" w:rsidR="00BC0F67" w:rsidRPr="0088065B" w:rsidRDefault="00BC0F67" w:rsidP="0088065B">
            <w:pPr>
              <w:shd w:val="clear" w:color="auto" w:fill="FFFFFF"/>
              <w:rPr>
                <w:rFonts w:ascii="Arial" w:hAnsi="Arial" w:cs="Arial"/>
                <w:iCs/>
                <w:sz w:val="18"/>
                <w:szCs w:val="18"/>
              </w:rPr>
            </w:pPr>
            <w:r w:rsidRPr="0088065B">
              <w:rPr>
                <w:rFonts w:ascii="Arial" w:hAnsi="Arial" w:cs="Arial"/>
                <w:iCs/>
                <w:sz w:val="18"/>
                <w:szCs w:val="18"/>
              </w:rPr>
              <w:t>OP1/OS2 Harnessing the benefits of digiti</w:t>
            </w:r>
            <w:r w:rsidR="004E7B64">
              <w:rPr>
                <w:rFonts w:ascii="Arial" w:hAnsi="Arial" w:cs="Arial"/>
                <w:iCs/>
                <w:sz w:val="18"/>
                <w:szCs w:val="18"/>
              </w:rPr>
              <w:t>sation</w:t>
            </w:r>
            <w:r w:rsidRPr="0088065B">
              <w:rPr>
                <w:rFonts w:ascii="Arial" w:hAnsi="Arial" w:cs="Arial"/>
                <w:iCs/>
                <w:sz w:val="18"/>
                <w:szCs w:val="18"/>
              </w:rPr>
              <w:t xml:space="preserve"> for the benefit of citizens, companies research organi</w:t>
            </w:r>
            <w:r w:rsidR="004E7B64">
              <w:rPr>
                <w:rFonts w:ascii="Arial" w:hAnsi="Arial" w:cs="Arial"/>
                <w:iCs/>
                <w:sz w:val="18"/>
                <w:szCs w:val="18"/>
              </w:rPr>
              <w:t>sation</w:t>
            </w:r>
            <w:r w:rsidRPr="0088065B">
              <w:rPr>
                <w:rFonts w:ascii="Arial" w:hAnsi="Arial" w:cs="Arial"/>
                <w:iCs/>
                <w:sz w:val="18"/>
                <w:szCs w:val="18"/>
              </w:rPr>
              <w:t>s and public authorities</w:t>
            </w:r>
            <w:r w:rsidRPr="0088065B">
              <w:rPr>
                <w:rFonts w:ascii="Arial" w:hAnsi="Arial" w:cs="Arial"/>
                <w:iCs/>
                <w:sz w:val="18"/>
                <w:szCs w:val="18"/>
                <w:lang w:val="en-US"/>
              </w:rPr>
              <w:t xml:space="preserve">, EUR </w:t>
            </w:r>
            <w:r w:rsidRPr="0088065B">
              <w:rPr>
                <w:rFonts w:ascii="Arial" w:hAnsi="Arial" w:cs="Arial"/>
                <w:iCs/>
                <w:sz w:val="18"/>
                <w:szCs w:val="18"/>
              </w:rPr>
              <w:t>64</w:t>
            </w:r>
            <w:r w:rsidR="00692333" w:rsidRPr="0088065B">
              <w:rPr>
                <w:rFonts w:ascii="Arial" w:hAnsi="Arial" w:cs="Arial"/>
                <w:iCs/>
                <w:sz w:val="18"/>
                <w:szCs w:val="18"/>
              </w:rPr>
              <w:t>,</w:t>
            </w:r>
            <w:r w:rsidRPr="0088065B">
              <w:rPr>
                <w:rFonts w:ascii="Arial" w:hAnsi="Arial" w:cs="Arial"/>
                <w:iCs/>
                <w:sz w:val="18"/>
                <w:szCs w:val="18"/>
              </w:rPr>
              <w:t>888</w:t>
            </w:r>
            <w:r w:rsidR="00692333" w:rsidRPr="0088065B">
              <w:rPr>
                <w:rFonts w:ascii="Arial" w:hAnsi="Arial" w:cs="Arial"/>
                <w:iCs/>
                <w:sz w:val="18"/>
                <w:szCs w:val="18"/>
              </w:rPr>
              <w:t>,</w:t>
            </w:r>
            <w:r w:rsidRPr="0088065B">
              <w:rPr>
                <w:rFonts w:ascii="Arial" w:hAnsi="Arial" w:cs="Arial"/>
                <w:iCs/>
                <w:sz w:val="18"/>
                <w:szCs w:val="18"/>
              </w:rPr>
              <w:t>854</w:t>
            </w:r>
          </w:p>
        </w:tc>
      </w:tr>
      <w:tr w:rsidR="00BC0F67" w:rsidRPr="00E614F2" w14:paraId="53869C88" w14:textId="77777777" w:rsidTr="00964831">
        <w:trPr>
          <w:trHeight w:val="7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693C0" w14:textId="77777777" w:rsidR="00BC0F67" w:rsidRPr="0088065B" w:rsidRDefault="00BC0F67" w:rsidP="0088065B">
            <w:pPr>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11EEE027" w14:textId="340F4E27" w:rsidR="00BC0F67" w:rsidRPr="0088065B" w:rsidRDefault="00BC0F67" w:rsidP="0088065B">
            <w:pPr>
              <w:tabs>
                <w:tab w:val="left" w:pos="10076"/>
                <w:tab w:val="left" w:pos="10992"/>
                <w:tab w:val="left" w:pos="11908"/>
                <w:tab w:val="left" w:pos="12824"/>
                <w:tab w:val="left" w:pos="13740"/>
                <w:tab w:val="left" w:pos="14656"/>
              </w:tabs>
              <w:jc w:val="both"/>
              <w:rPr>
                <w:rFonts w:ascii="Arial" w:hAnsi="Arial" w:cs="Arial"/>
                <w:i/>
                <w:sz w:val="18"/>
                <w:szCs w:val="18"/>
              </w:rPr>
            </w:pPr>
            <w:r w:rsidRPr="0088065B">
              <w:rPr>
                <w:rFonts w:ascii="Arial" w:hAnsi="Arial" w:cs="Arial"/>
                <w:i/>
                <w:sz w:val="18"/>
                <w:szCs w:val="18"/>
              </w:rPr>
              <w:t xml:space="preserve">“National </w:t>
            </w:r>
            <w:r w:rsidR="0088065B">
              <w:rPr>
                <w:rFonts w:ascii="Arial" w:hAnsi="Arial" w:cs="Arial"/>
                <w:i/>
                <w:sz w:val="18"/>
                <w:szCs w:val="18"/>
              </w:rPr>
              <w:t>Recovery and Resilience Plan</w:t>
            </w:r>
            <w:r w:rsidRPr="0088065B">
              <w:rPr>
                <w:rFonts w:ascii="Arial" w:hAnsi="Arial" w:cs="Arial"/>
                <w:i/>
                <w:sz w:val="18"/>
                <w:szCs w:val="18"/>
              </w:rPr>
              <w:t xml:space="preserve"> (</w:t>
            </w:r>
            <w:r w:rsidR="0088065B">
              <w:rPr>
                <w:rFonts w:ascii="Arial" w:hAnsi="Arial" w:cs="Arial"/>
                <w:i/>
                <w:sz w:val="18"/>
                <w:szCs w:val="18"/>
              </w:rPr>
              <w:t>RRP</w:t>
            </w:r>
            <w:r w:rsidRPr="0088065B">
              <w:rPr>
                <w:rFonts w:ascii="Arial" w:hAnsi="Arial" w:cs="Arial"/>
                <w:i/>
                <w:sz w:val="18"/>
                <w:szCs w:val="18"/>
              </w:rPr>
              <w:t>)</w:t>
            </w:r>
          </w:p>
          <w:p w14:paraId="141A02E0" w14:textId="49D5E9A4" w:rsidR="00BC0F67" w:rsidRPr="0088065B" w:rsidRDefault="00BC0F67" w:rsidP="0088065B">
            <w:pPr>
              <w:tabs>
                <w:tab w:val="left" w:pos="10076"/>
                <w:tab w:val="left" w:pos="10992"/>
                <w:tab w:val="left" w:pos="11908"/>
                <w:tab w:val="left" w:pos="12824"/>
                <w:tab w:val="left" w:pos="13740"/>
                <w:tab w:val="left" w:pos="14656"/>
              </w:tabs>
              <w:jc w:val="both"/>
              <w:rPr>
                <w:rFonts w:ascii="Arial" w:hAnsi="Arial" w:cs="Arial"/>
                <w:sz w:val="18"/>
                <w:szCs w:val="18"/>
              </w:rPr>
            </w:pPr>
            <w:r w:rsidRPr="0088065B">
              <w:rPr>
                <w:rFonts w:ascii="Arial" w:hAnsi="Arial" w:cs="Arial"/>
                <w:i/>
                <w:sz w:val="18"/>
                <w:szCs w:val="18"/>
                <w:u w:val="single"/>
              </w:rPr>
              <w:t>Pillar II Digital transformation</w:t>
            </w:r>
            <w:r w:rsidRPr="0088065B">
              <w:rPr>
                <w:rFonts w:ascii="Arial" w:hAnsi="Arial" w:cs="Arial"/>
                <w:i/>
                <w:sz w:val="18"/>
                <w:szCs w:val="18"/>
              </w:rPr>
              <w:t>,</w:t>
            </w:r>
            <w:r w:rsidRPr="0088065B">
              <w:rPr>
                <w:rFonts w:ascii="Arial" w:hAnsi="Arial" w:cs="Arial"/>
                <w:sz w:val="18"/>
                <w:szCs w:val="18"/>
              </w:rPr>
              <w:t xml:space="preserve"> Component 1 II.1 Government cloud and interconnected digital systems in public administration, signature and electronic identity, promotion of high value-added investments in IC</w:t>
            </w:r>
            <w:r w:rsidRPr="0088065B">
              <w:rPr>
                <w:rFonts w:ascii="Arial" w:hAnsi="Arial" w:cs="Arial"/>
                <w:sz w:val="18"/>
                <w:szCs w:val="18"/>
                <w:lang w:val="en-US"/>
              </w:rPr>
              <w:t xml:space="preserve">, EUR </w:t>
            </w:r>
            <w:r w:rsidRPr="0088065B">
              <w:rPr>
                <w:rFonts w:ascii="Arial" w:hAnsi="Arial" w:cs="Arial"/>
                <w:sz w:val="18"/>
                <w:szCs w:val="18"/>
              </w:rPr>
              <w:t>1.89</w:t>
            </w:r>
            <w:r w:rsidR="00692333" w:rsidRPr="0088065B">
              <w:rPr>
                <w:rFonts w:ascii="Arial" w:hAnsi="Arial" w:cs="Arial"/>
                <w:sz w:val="18"/>
                <w:szCs w:val="18"/>
              </w:rPr>
              <w:t xml:space="preserve"> bn</w:t>
            </w:r>
          </w:p>
          <w:p w14:paraId="44ED0286" w14:textId="2E710887" w:rsidR="00BC0F67" w:rsidRPr="0088065B" w:rsidRDefault="00BC0F67" w:rsidP="0088065B">
            <w:pPr>
              <w:rPr>
                <w:rFonts w:ascii="Arial" w:hAnsi="Arial" w:cs="Arial"/>
                <w:sz w:val="18"/>
                <w:szCs w:val="18"/>
              </w:rPr>
            </w:pPr>
            <w:r w:rsidRPr="0088065B">
              <w:rPr>
                <w:rFonts w:ascii="Arial" w:hAnsi="Arial" w:cs="Arial"/>
                <w:i/>
                <w:sz w:val="18"/>
                <w:szCs w:val="18"/>
                <w:u w:val="single"/>
              </w:rPr>
              <w:t>Pillar III Smart, sustainable and inclusive growth</w:t>
            </w:r>
            <w:r w:rsidRPr="0088065B">
              <w:rPr>
                <w:rFonts w:ascii="Arial" w:hAnsi="Arial" w:cs="Arial"/>
                <w:sz w:val="18"/>
                <w:szCs w:val="18"/>
              </w:rPr>
              <w:t>, Component 9.</w:t>
            </w:r>
            <w:r w:rsidRPr="0088065B">
              <w:rPr>
                <w:rFonts w:ascii="Arial" w:hAnsi="Arial" w:cs="Arial"/>
                <w:sz w:val="18"/>
                <w:szCs w:val="18"/>
                <w:lang w:val="en-US"/>
              </w:rPr>
              <w:t xml:space="preserve"> EUR</w:t>
            </w:r>
            <w:r w:rsidR="00E614F2" w:rsidRPr="0088065B">
              <w:rPr>
                <w:rFonts w:ascii="Arial" w:hAnsi="Arial" w:cs="Arial"/>
                <w:sz w:val="18"/>
                <w:szCs w:val="18"/>
                <w:lang w:val="en-US"/>
              </w:rPr>
              <w:t xml:space="preserve"> </w:t>
            </w:r>
            <w:r w:rsidRPr="0088065B">
              <w:rPr>
                <w:rFonts w:ascii="Arial" w:hAnsi="Arial" w:cs="Arial"/>
                <w:sz w:val="18"/>
                <w:szCs w:val="18"/>
              </w:rPr>
              <w:t>2</w:t>
            </w:r>
            <w:r w:rsidR="00692333" w:rsidRPr="0088065B">
              <w:rPr>
                <w:rFonts w:ascii="Arial" w:hAnsi="Arial" w:cs="Arial"/>
                <w:sz w:val="18"/>
                <w:szCs w:val="18"/>
              </w:rPr>
              <w:t>.</w:t>
            </w:r>
            <w:r w:rsidRPr="0088065B">
              <w:rPr>
                <w:rFonts w:ascii="Arial" w:hAnsi="Arial" w:cs="Arial"/>
                <w:sz w:val="18"/>
                <w:szCs w:val="18"/>
              </w:rPr>
              <w:t>36</w:t>
            </w:r>
            <w:r w:rsidR="00E614F2" w:rsidRPr="0088065B">
              <w:rPr>
                <w:rFonts w:ascii="Arial" w:hAnsi="Arial" w:cs="Arial"/>
                <w:sz w:val="18"/>
                <w:szCs w:val="18"/>
              </w:rPr>
              <w:t xml:space="preserve"> bn</w:t>
            </w:r>
          </w:p>
        </w:tc>
      </w:tr>
      <w:tr w:rsidR="00BC0F67" w:rsidRPr="00E614F2" w14:paraId="3A812D69" w14:textId="77777777" w:rsidTr="00964831">
        <w:trPr>
          <w:trHeight w:val="913"/>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2FDCAE" w14:textId="1D52E192" w:rsidR="00BC0F67" w:rsidRPr="0088065B" w:rsidRDefault="0088065B" w:rsidP="0088065B">
            <w:pPr>
              <w:tabs>
                <w:tab w:val="left" w:pos="1620"/>
              </w:tabs>
              <w:rPr>
                <w:rFonts w:ascii="Arial" w:hAnsi="Arial" w:cs="Arial"/>
                <w:bCs/>
                <w:sz w:val="18"/>
                <w:szCs w:val="18"/>
                <w:lang w:val="en-US"/>
              </w:rPr>
            </w:pPr>
            <w:r>
              <w:rPr>
                <w:rFonts w:ascii="Arial" w:hAnsi="Arial" w:cs="Arial"/>
                <w:bCs/>
                <w:sz w:val="18"/>
                <w:szCs w:val="18"/>
                <w:lang w:val="en-US"/>
              </w:rPr>
              <w:t>Type 2</w:t>
            </w:r>
          </w:p>
          <w:p w14:paraId="3D31DFCB" w14:textId="37894A8A" w:rsidR="00BC0F67" w:rsidRPr="0088065B" w:rsidRDefault="00BC0F67" w:rsidP="0088065B">
            <w:pPr>
              <w:tabs>
                <w:tab w:val="left" w:pos="1620"/>
              </w:tabs>
              <w:rPr>
                <w:rFonts w:ascii="Arial" w:hAnsi="Arial" w:cs="Arial"/>
                <w:bCs/>
                <w:sz w:val="18"/>
                <w:szCs w:val="18"/>
                <w:lang w:val="ro-RO"/>
              </w:rPr>
            </w:pPr>
            <w:r w:rsidRPr="0088065B">
              <w:rPr>
                <w:rFonts w:ascii="Arial" w:hAnsi="Arial" w:cs="Arial"/>
                <w:bCs/>
                <w:sz w:val="18"/>
                <w:szCs w:val="18"/>
              </w:rPr>
              <w:t>The opportunities for investing in new technologies and infrastructure for green energy, pollution reduction and circular economy</w:t>
            </w:r>
          </w:p>
          <w:p w14:paraId="3D634DD5" w14:textId="77777777" w:rsidR="00BC0F67" w:rsidRPr="0088065B" w:rsidRDefault="00BC0F67" w:rsidP="0088065B">
            <w:pPr>
              <w:ind w:left="1627"/>
              <w:rPr>
                <w:rFonts w:ascii="Arial" w:hAnsi="Arial" w:cs="Arial"/>
                <w:i/>
                <w:iCs/>
                <w:sz w:val="18"/>
                <w:szCs w:val="18"/>
              </w:rPr>
            </w:pPr>
            <w:r w:rsidRPr="0088065B">
              <w:rPr>
                <w:rFonts w:ascii="Arial" w:hAnsi="Arial" w:cs="Arial"/>
                <w:i/>
                <w:iCs/>
                <w:color w:val="000000"/>
                <w:sz w:val="18"/>
                <w:szCs w:val="18"/>
                <w:lang w:val="ro-RO"/>
              </w:rPr>
              <w:t xml:space="preserve"> </w:t>
            </w:r>
          </w:p>
          <w:p w14:paraId="25ADAB1D" w14:textId="77777777" w:rsidR="00BC0F67" w:rsidRPr="0088065B" w:rsidRDefault="00BC0F67" w:rsidP="0088065B">
            <w:pPr>
              <w:tabs>
                <w:tab w:val="left" w:pos="10076"/>
                <w:tab w:val="left" w:pos="10992"/>
                <w:tab w:val="left" w:pos="11908"/>
                <w:tab w:val="left" w:pos="12824"/>
                <w:tab w:val="left" w:pos="13740"/>
                <w:tab w:val="left" w:pos="14656"/>
              </w:tabs>
              <w:ind w:left="1440" w:hanging="1440"/>
              <w:rPr>
                <w:rFonts w:ascii="Arial" w:hAnsi="Arial" w:cs="Arial"/>
                <w:i/>
                <w:iCs/>
                <w:sz w:val="18"/>
                <w:szCs w:val="18"/>
              </w:rPr>
            </w:pPr>
            <w:r w:rsidRPr="0088065B">
              <w:rPr>
                <w:rFonts w:ascii="Arial" w:hAnsi="Arial" w:cs="Arial"/>
                <w:i/>
                <w:iCs/>
                <w:sz w:val="18"/>
                <w:szCs w:val="18"/>
              </w:rPr>
              <w:t xml:space="preserve">                         </w:t>
            </w:r>
          </w:p>
          <w:p w14:paraId="128A3CFF" w14:textId="77777777" w:rsidR="00BC0F67" w:rsidRPr="0088065B" w:rsidRDefault="00BC0F67" w:rsidP="0088065B">
            <w:pPr>
              <w:rPr>
                <w:rFonts w:ascii="Arial" w:hAnsi="Arial" w:cs="Arial"/>
                <w:i/>
                <w:iCs/>
                <w:sz w:val="18"/>
                <w:szCs w:val="18"/>
              </w:rPr>
            </w:pPr>
          </w:p>
          <w:p w14:paraId="5C52C4B9" w14:textId="77777777" w:rsidR="00BC0F67" w:rsidRPr="0088065B" w:rsidRDefault="00BC0F67" w:rsidP="0088065B">
            <w:pPr>
              <w:pStyle w:val="ListParagraph"/>
              <w:tabs>
                <w:tab w:val="left" w:pos="10076"/>
                <w:tab w:val="left" w:pos="10992"/>
                <w:tab w:val="left" w:pos="11908"/>
                <w:tab w:val="left" w:pos="12824"/>
                <w:tab w:val="left" w:pos="13740"/>
                <w:tab w:val="left" w:pos="14656"/>
              </w:tabs>
              <w:spacing w:line="240" w:lineRule="auto"/>
              <w:ind w:left="0"/>
              <w:rPr>
                <w:i/>
                <w:iCs/>
                <w:color w:val="000000"/>
                <w:sz w:val="18"/>
                <w:szCs w:val="18"/>
              </w:rPr>
            </w:pPr>
          </w:p>
          <w:p w14:paraId="6E51CEFC" w14:textId="77777777" w:rsidR="00BC0F67" w:rsidRPr="0088065B" w:rsidRDefault="00BC0F67" w:rsidP="0088065B">
            <w:pPr>
              <w:shd w:val="clear" w:color="auto" w:fill="FFFFFF"/>
              <w:rPr>
                <w:rFonts w:ascii="Arial" w:eastAsia="Calibri" w:hAnsi="Arial" w:cs="Arial"/>
                <w:i/>
                <w:iCs/>
                <w:sz w:val="18"/>
                <w:szCs w:val="18"/>
              </w:rPr>
            </w:pPr>
            <w:r w:rsidRPr="0088065B">
              <w:rPr>
                <w:rFonts w:ascii="Arial" w:eastAsia="Calibri" w:hAnsi="Arial" w:cs="Arial"/>
                <w:i/>
                <w:iCs/>
                <w:sz w:val="18"/>
                <w:szCs w:val="18"/>
              </w:rPr>
              <w:t xml:space="preserve"> </w:t>
            </w:r>
          </w:p>
          <w:p w14:paraId="537E9B52" w14:textId="77777777" w:rsidR="00BC0F67" w:rsidRPr="0088065B" w:rsidRDefault="00BC0F67" w:rsidP="0088065B">
            <w:pPr>
              <w:shd w:val="clear" w:color="auto" w:fill="FFFFFF"/>
              <w:rPr>
                <w:rFonts w:ascii="Arial" w:eastAsia="Calibri" w:hAnsi="Arial" w:cs="Arial"/>
                <w:i/>
                <w:iCs/>
                <w:sz w:val="18"/>
                <w:szCs w:val="18"/>
              </w:rPr>
            </w:pPr>
            <w:r w:rsidRPr="0088065B">
              <w:rPr>
                <w:rFonts w:ascii="Arial" w:eastAsia="Calibri" w:hAnsi="Arial" w:cs="Arial"/>
                <w:i/>
                <w:iCs/>
                <w:sz w:val="18"/>
                <w:szCs w:val="18"/>
              </w:rPr>
              <w:t xml:space="preserve"> </w:t>
            </w: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3B1989B5" w14:textId="4A35F247" w:rsidR="00BC0F67" w:rsidRPr="0088065B" w:rsidRDefault="00BC0F67" w:rsidP="0088065B">
            <w:pPr>
              <w:ind w:right="51"/>
              <w:jc w:val="both"/>
              <w:rPr>
                <w:rFonts w:ascii="Arial" w:hAnsi="Arial" w:cs="Arial"/>
                <w:sz w:val="18"/>
                <w:szCs w:val="18"/>
              </w:rPr>
            </w:pPr>
            <w:r w:rsidRPr="0088065B">
              <w:rPr>
                <w:rFonts w:ascii="Arial" w:hAnsi="Arial" w:cs="Arial"/>
                <w:i/>
                <w:sz w:val="18"/>
                <w:szCs w:val="18"/>
              </w:rPr>
              <w:t>“Regional Operational Program</w:t>
            </w:r>
            <w:r w:rsidR="0088065B">
              <w:rPr>
                <w:rFonts w:ascii="Arial" w:hAnsi="Arial" w:cs="Arial"/>
                <w:i/>
                <w:sz w:val="18"/>
                <w:szCs w:val="18"/>
              </w:rPr>
              <w:t>mme</w:t>
            </w:r>
            <w:r w:rsidRPr="0088065B">
              <w:rPr>
                <w:rFonts w:ascii="Arial" w:hAnsi="Arial" w:cs="Arial"/>
                <w:i/>
                <w:sz w:val="18"/>
                <w:szCs w:val="18"/>
              </w:rPr>
              <w:t xml:space="preserve"> SE” (ROP)</w:t>
            </w:r>
          </w:p>
          <w:p w14:paraId="5DC4B454" w14:textId="139DD4EE" w:rsidR="00BC0F67" w:rsidRPr="0088065B" w:rsidRDefault="00BC0F67" w:rsidP="0088065B">
            <w:pPr>
              <w:ind w:right="51"/>
              <w:jc w:val="both"/>
              <w:rPr>
                <w:rFonts w:ascii="Arial" w:hAnsi="Arial" w:cs="Arial"/>
                <w:sz w:val="18"/>
                <w:szCs w:val="18"/>
              </w:rPr>
            </w:pPr>
            <w:r w:rsidRPr="0088065B">
              <w:rPr>
                <w:rFonts w:ascii="Arial" w:hAnsi="Arial" w:cs="Arial"/>
                <w:i/>
                <w:sz w:val="18"/>
                <w:szCs w:val="18"/>
                <w:u w:val="single"/>
              </w:rPr>
              <w:t>Priority Axis 3 A region with environmentally friendly cities</w:t>
            </w:r>
            <w:r w:rsidRPr="0088065B">
              <w:rPr>
                <w:rFonts w:ascii="Arial" w:hAnsi="Arial" w:cs="Arial"/>
                <w:sz w:val="18"/>
                <w:szCs w:val="18"/>
              </w:rPr>
              <w:t>,</w:t>
            </w:r>
            <w:r w:rsidRPr="0088065B">
              <w:rPr>
                <w:rFonts w:ascii="Arial" w:hAnsi="Arial" w:cs="Arial"/>
                <w:sz w:val="18"/>
                <w:szCs w:val="18"/>
                <w:lang w:val="en-US"/>
              </w:rPr>
              <w:t xml:space="preserve"> EUR </w:t>
            </w:r>
            <w:r w:rsidRPr="0088065B">
              <w:rPr>
                <w:rFonts w:ascii="Arial" w:hAnsi="Arial" w:cs="Arial"/>
                <w:sz w:val="18"/>
                <w:szCs w:val="18"/>
              </w:rPr>
              <w:t>256</w:t>
            </w:r>
            <w:r w:rsidR="00692333" w:rsidRPr="0088065B">
              <w:rPr>
                <w:rFonts w:ascii="Arial" w:hAnsi="Arial" w:cs="Arial"/>
                <w:sz w:val="18"/>
                <w:szCs w:val="18"/>
              </w:rPr>
              <w:t>,</w:t>
            </w:r>
            <w:r w:rsidRPr="0088065B">
              <w:rPr>
                <w:rFonts w:ascii="Arial" w:hAnsi="Arial" w:cs="Arial"/>
                <w:sz w:val="18"/>
                <w:szCs w:val="18"/>
              </w:rPr>
              <w:t>421</w:t>
            </w:r>
            <w:r w:rsidR="00692333" w:rsidRPr="0088065B">
              <w:rPr>
                <w:rFonts w:ascii="Arial" w:hAnsi="Arial" w:cs="Arial"/>
                <w:sz w:val="18"/>
                <w:szCs w:val="18"/>
              </w:rPr>
              <w:t>,</w:t>
            </w:r>
            <w:r w:rsidRPr="0088065B">
              <w:rPr>
                <w:rFonts w:ascii="Arial" w:hAnsi="Arial" w:cs="Arial"/>
                <w:sz w:val="18"/>
                <w:szCs w:val="18"/>
              </w:rPr>
              <w:t xml:space="preserve">561 </w:t>
            </w:r>
          </w:p>
          <w:p w14:paraId="5E46D09B" w14:textId="32508B56" w:rsidR="00BC0F67" w:rsidRPr="0088065B" w:rsidRDefault="00BC0F67" w:rsidP="0088065B">
            <w:pPr>
              <w:ind w:right="51"/>
              <w:jc w:val="both"/>
              <w:rPr>
                <w:rFonts w:ascii="Arial" w:hAnsi="Arial" w:cs="Arial"/>
                <w:sz w:val="18"/>
                <w:szCs w:val="18"/>
              </w:rPr>
            </w:pPr>
            <w:r w:rsidRPr="0088065B">
              <w:rPr>
                <w:rFonts w:ascii="Arial" w:hAnsi="Arial" w:cs="Arial"/>
                <w:sz w:val="18"/>
                <w:szCs w:val="18"/>
              </w:rPr>
              <w:t>OP2/OS1 Promoting energy efficiency and reducing greenhouse gas emissions</w:t>
            </w:r>
            <w:r w:rsidRPr="0088065B">
              <w:rPr>
                <w:rFonts w:ascii="Arial" w:hAnsi="Arial" w:cs="Arial"/>
                <w:sz w:val="18"/>
                <w:szCs w:val="18"/>
                <w:lang w:val="en-US"/>
              </w:rPr>
              <w:t xml:space="preserve">, EUR </w:t>
            </w:r>
            <w:r w:rsidRPr="0088065B">
              <w:rPr>
                <w:rFonts w:ascii="Arial" w:hAnsi="Arial" w:cs="Arial"/>
                <w:iCs/>
                <w:sz w:val="18"/>
                <w:szCs w:val="18"/>
              </w:rPr>
              <w:t>170</w:t>
            </w:r>
            <w:r w:rsidR="00692333" w:rsidRPr="0088065B">
              <w:rPr>
                <w:rFonts w:ascii="Arial" w:hAnsi="Arial" w:cs="Arial"/>
                <w:iCs/>
                <w:sz w:val="18"/>
                <w:szCs w:val="18"/>
              </w:rPr>
              <w:t>,</w:t>
            </w:r>
            <w:r w:rsidRPr="0088065B">
              <w:rPr>
                <w:rFonts w:ascii="Arial" w:hAnsi="Arial" w:cs="Arial"/>
                <w:iCs/>
                <w:sz w:val="18"/>
                <w:szCs w:val="18"/>
              </w:rPr>
              <w:t>838</w:t>
            </w:r>
            <w:r w:rsidR="00692333" w:rsidRPr="0088065B">
              <w:rPr>
                <w:rFonts w:ascii="Arial" w:hAnsi="Arial" w:cs="Arial"/>
                <w:iCs/>
                <w:sz w:val="18"/>
                <w:szCs w:val="18"/>
              </w:rPr>
              <w:t>,</w:t>
            </w:r>
            <w:r w:rsidRPr="0088065B">
              <w:rPr>
                <w:rFonts w:ascii="Arial" w:hAnsi="Arial" w:cs="Arial"/>
                <w:iCs/>
                <w:sz w:val="18"/>
                <w:szCs w:val="18"/>
              </w:rPr>
              <w:t>357</w:t>
            </w:r>
          </w:p>
          <w:p w14:paraId="5DBDBF32" w14:textId="6EC76C2A" w:rsidR="00BC0F67" w:rsidRPr="0088065B" w:rsidRDefault="00BC0F67" w:rsidP="0088065B">
            <w:pPr>
              <w:ind w:right="51"/>
              <w:jc w:val="both"/>
              <w:rPr>
                <w:rFonts w:ascii="Arial" w:hAnsi="Arial" w:cs="Arial"/>
                <w:iCs/>
                <w:sz w:val="18"/>
                <w:szCs w:val="18"/>
              </w:rPr>
            </w:pPr>
            <w:r w:rsidRPr="0088065B">
              <w:rPr>
                <w:rFonts w:ascii="Arial" w:hAnsi="Arial" w:cs="Arial"/>
                <w:sz w:val="18"/>
                <w:szCs w:val="18"/>
              </w:rPr>
              <w:t>OP2/OS7 Improving the nature and biodiversity protection, green infrastructure especially in urban areas and reducing all forms of pollution</w:t>
            </w:r>
            <w:r w:rsidRPr="0088065B">
              <w:rPr>
                <w:rFonts w:ascii="Arial" w:hAnsi="Arial" w:cs="Arial"/>
                <w:sz w:val="18"/>
                <w:szCs w:val="18"/>
                <w:lang w:val="en-US"/>
              </w:rPr>
              <w:t xml:space="preserve">, EUR </w:t>
            </w:r>
            <w:r w:rsidRPr="0088065B">
              <w:rPr>
                <w:rFonts w:ascii="Arial" w:hAnsi="Arial" w:cs="Arial"/>
                <w:iCs/>
                <w:sz w:val="18"/>
                <w:szCs w:val="18"/>
              </w:rPr>
              <w:t>85</w:t>
            </w:r>
            <w:r w:rsidR="00692333" w:rsidRPr="0088065B">
              <w:rPr>
                <w:rFonts w:ascii="Arial" w:hAnsi="Arial" w:cs="Arial"/>
                <w:iCs/>
                <w:sz w:val="18"/>
                <w:szCs w:val="18"/>
              </w:rPr>
              <w:t>,</w:t>
            </w:r>
            <w:r w:rsidRPr="0088065B">
              <w:rPr>
                <w:rFonts w:ascii="Arial" w:hAnsi="Arial" w:cs="Arial"/>
                <w:iCs/>
                <w:sz w:val="18"/>
                <w:szCs w:val="18"/>
              </w:rPr>
              <w:t>583</w:t>
            </w:r>
            <w:r w:rsidR="00692333" w:rsidRPr="0088065B">
              <w:rPr>
                <w:rFonts w:ascii="Arial" w:hAnsi="Arial" w:cs="Arial"/>
                <w:iCs/>
                <w:sz w:val="18"/>
                <w:szCs w:val="18"/>
              </w:rPr>
              <w:t>,</w:t>
            </w:r>
            <w:r w:rsidRPr="0088065B">
              <w:rPr>
                <w:rFonts w:ascii="Arial" w:hAnsi="Arial" w:cs="Arial"/>
                <w:iCs/>
                <w:sz w:val="18"/>
                <w:szCs w:val="18"/>
              </w:rPr>
              <w:t>204</w:t>
            </w:r>
          </w:p>
          <w:p w14:paraId="535CC8CA" w14:textId="562DB3C5" w:rsidR="00BC0F67" w:rsidRPr="0088065B" w:rsidRDefault="00BC0F67" w:rsidP="0088065B">
            <w:pPr>
              <w:ind w:right="51"/>
              <w:jc w:val="both"/>
              <w:rPr>
                <w:rFonts w:ascii="Arial" w:hAnsi="Arial" w:cs="Arial"/>
                <w:iCs/>
                <w:sz w:val="18"/>
                <w:szCs w:val="18"/>
              </w:rPr>
            </w:pPr>
            <w:r w:rsidRPr="0088065B">
              <w:rPr>
                <w:rFonts w:ascii="Arial" w:hAnsi="Arial" w:cs="Arial"/>
                <w:i/>
                <w:sz w:val="18"/>
                <w:szCs w:val="18"/>
                <w:u w:val="single"/>
              </w:rPr>
              <w:t>Priority Axis 4 A region with low carbon emissions</w:t>
            </w:r>
            <w:r w:rsidRPr="0088065B">
              <w:rPr>
                <w:rFonts w:ascii="Arial" w:hAnsi="Arial" w:cs="Arial"/>
                <w:sz w:val="18"/>
                <w:szCs w:val="18"/>
              </w:rPr>
              <w:t xml:space="preserve"> </w:t>
            </w:r>
            <w:r w:rsidR="00692333" w:rsidRPr="0088065B">
              <w:rPr>
                <w:rFonts w:ascii="Arial" w:hAnsi="Arial" w:cs="Arial"/>
                <w:iCs/>
                <w:sz w:val="18"/>
                <w:szCs w:val="18"/>
              </w:rPr>
              <w:t>EUR 1</w:t>
            </w:r>
            <w:r w:rsidRPr="0088065B">
              <w:rPr>
                <w:rFonts w:ascii="Arial" w:hAnsi="Arial" w:cs="Arial"/>
                <w:iCs/>
                <w:sz w:val="18"/>
                <w:szCs w:val="18"/>
              </w:rPr>
              <w:t>92</w:t>
            </w:r>
            <w:r w:rsidR="00692333" w:rsidRPr="0088065B">
              <w:rPr>
                <w:rFonts w:ascii="Arial" w:hAnsi="Arial" w:cs="Arial"/>
                <w:iCs/>
                <w:sz w:val="18"/>
                <w:szCs w:val="18"/>
              </w:rPr>
              <w:t>,</w:t>
            </w:r>
            <w:r w:rsidRPr="0088065B">
              <w:rPr>
                <w:rFonts w:ascii="Arial" w:hAnsi="Arial" w:cs="Arial"/>
                <w:iCs/>
                <w:sz w:val="18"/>
                <w:szCs w:val="18"/>
              </w:rPr>
              <w:t>321</w:t>
            </w:r>
            <w:r w:rsidR="00692333" w:rsidRPr="0088065B">
              <w:rPr>
                <w:rFonts w:ascii="Arial" w:hAnsi="Arial" w:cs="Arial"/>
                <w:iCs/>
                <w:sz w:val="18"/>
                <w:szCs w:val="18"/>
              </w:rPr>
              <w:t>,</w:t>
            </w:r>
            <w:r w:rsidRPr="0088065B">
              <w:rPr>
                <w:rFonts w:ascii="Arial" w:hAnsi="Arial" w:cs="Arial"/>
                <w:iCs/>
                <w:sz w:val="18"/>
                <w:szCs w:val="18"/>
              </w:rPr>
              <w:t xml:space="preserve">133 </w:t>
            </w:r>
          </w:p>
          <w:p w14:paraId="298FCF3E" w14:textId="702C6D96" w:rsidR="00BC0F67" w:rsidRPr="0088065B" w:rsidRDefault="00BC0F67" w:rsidP="0088065B">
            <w:pPr>
              <w:ind w:right="51"/>
              <w:jc w:val="both"/>
              <w:rPr>
                <w:rFonts w:ascii="Arial" w:hAnsi="Arial" w:cs="Arial"/>
                <w:i/>
                <w:sz w:val="18"/>
                <w:szCs w:val="18"/>
              </w:rPr>
            </w:pPr>
            <w:r w:rsidRPr="0088065B">
              <w:rPr>
                <w:rFonts w:ascii="Arial" w:hAnsi="Arial" w:cs="Arial"/>
                <w:sz w:val="18"/>
                <w:szCs w:val="18"/>
              </w:rPr>
              <w:t>OP2/OS8 Promoting sustainable multimodal urban mobility as part of the transition to a carbon-free economy</w:t>
            </w:r>
            <w:r w:rsidRPr="0088065B">
              <w:rPr>
                <w:rFonts w:ascii="Arial" w:hAnsi="Arial" w:cs="Arial"/>
                <w:sz w:val="18"/>
                <w:szCs w:val="18"/>
                <w:lang w:val="en-US"/>
              </w:rPr>
              <w:t xml:space="preserve">, </w:t>
            </w:r>
            <w:r w:rsidR="00692333" w:rsidRPr="0088065B">
              <w:rPr>
                <w:rFonts w:ascii="Arial" w:hAnsi="Arial" w:cs="Arial"/>
                <w:sz w:val="18"/>
                <w:szCs w:val="18"/>
                <w:lang w:val="en-US"/>
              </w:rPr>
              <w:t xml:space="preserve">EUR </w:t>
            </w:r>
            <w:r w:rsidRPr="0088065B">
              <w:rPr>
                <w:rFonts w:ascii="Arial" w:hAnsi="Arial" w:cs="Arial"/>
                <w:iCs/>
                <w:sz w:val="18"/>
                <w:szCs w:val="18"/>
              </w:rPr>
              <w:t>192</w:t>
            </w:r>
            <w:r w:rsidR="00692333" w:rsidRPr="0088065B">
              <w:rPr>
                <w:rFonts w:ascii="Arial" w:hAnsi="Arial" w:cs="Arial"/>
                <w:iCs/>
                <w:sz w:val="18"/>
                <w:szCs w:val="18"/>
              </w:rPr>
              <w:t>,</w:t>
            </w:r>
            <w:r w:rsidRPr="0088065B">
              <w:rPr>
                <w:rFonts w:ascii="Arial" w:hAnsi="Arial" w:cs="Arial"/>
                <w:iCs/>
                <w:sz w:val="18"/>
                <w:szCs w:val="18"/>
              </w:rPr>
              <w:t>321</w:t>
            </w:r>
            <w:r w:rsidR="00692333" w:rsidRPr="0088065B">
              <w:rPr>
                <w:rFonts w:ascii="Arial" w:hAnsi="Arial" w:cs="Arial"/>
                <w:iCs/>
                <w:sz w:val="18"/>
                <w:szCs w:val="18"/>
              </w:rPr>
              <w:t>,</w:t>
            </w:r>
            <w:r w:rsidRPr="0088065B">
              <w:rPr>
                <w:rFonts w:ascii="Arial" w:hAnsi="Arial" w:cs="Arial"/>
                <w:iCs/>
                <w:sz w:val="18"/>
                <w:szCs w:val="18"/>
              </w:rPr>
              <w:t>133</w:t>
            </w:r>
          </w:p>
          <w:p w14:paraId="0D0E398B" w14:textId="737CEBEF" w:rsidR="00BC0F67" w:rsidRPr="0088065B" w:rsidRDefault="00BC0F67" w:rsidP="0088065B">
            <w:pPr>
              <w:ind w:right="51"/>
              <w:jc w:val="both"/>
              <w:rPr>
                <w:rFonts w:ascii="Arial" w:hAnsi="Arial" w:cs="Arial"/>
                <w:iCs/>
                <w:sz w:val="18"/>
                <w:szCs w:val="18"/>
              </w:rPr>
            </w:pPr>
            <w:r w:rsidRPr="0088065B">
              <w:rPr>
                <w:rFonts w:ascii="Arial" w:hAnsi="Arial" w:cs="Arial"/>
                <w:i/>
                <w:sz w:val="18"/>
                <w:szCs w:val="18"/>
                <w:u w:val="single"/>
              </w:rPr>
              <w:t>Priority Axis 5 An accessible region</w:t>
            </w:r>
            <w:r w:rsidRPr="0088065B">
              <w:rPr>
                <w:rFonts w:ascii="Arial" w:hAnsi="Arial" w:cs="Arial"/>
                <w:iCs/>
                <w:sz w:val="18"/>
                <w:szCs w:val="18"/>
              </w:rPr>
              <w:t xml:space="preserve"> </w:t>
            </w:r>
            <w:r w:rsidR="00692333" w:rsidRPr="0088065B">
              <w:rPr>
                <w:rFonts w:ascii="Arial" w:hAnsi="Arial" w:cs="Arial"/>
                <w:iCs/>
                <w:sz w:val="18"/>
                <w:szCs w:val="18"/>
              </w:rPr>
              <w:t xml:space="preserve">EUR </w:t>
            </w:r>
            <w:r w:rsidRPr="0088065B">
              <w:rPr>
                <w:rFonts w:ascii="Arial" w:hAnsi="Arial" w:cs="Arial"/>
                <w:iCs/>
                <w:sz w:val="18"/>
                <w:szCs w:val="18"/>
              </w:rPr>
              <w:t>200</w:t>
            </w:r>
            <w:r w:rsidR="00692333" w:rsidRPr="0088065B">
              <w:rPr>
                <w:rFonts w:ascii="Arial" w:hAnsi="Arial" w:cs="Arial"/>
                <w:iCs/>
                <w:sz w:val="18"/>
                <w:szCs w:val="18"/>
              </w:rPr>
              <w:t>,</w:t>
            </w:r>
            <w:r w:rsidRPr="0088065B">
              <w:rPr>
                <w:rFonts w:ascii="Arial" w:hAnsi="Arial" w:cs="Arial"/>
                <w:iCs/>
                <w:sz w:val="18"/>
                <w:szCs w:val="18"/>
              </w:rPr>
              <w:t>632</w:t>
            </w:r>
            <w:r w:rsidR="00692333" w:rsidRPr="0088065B">
              <w:rPr>
                <w:rFonts w:ascii="Arial" w:hAnsi="Arial" w:cs="Arial"/>
                <w:iCs/>
                <w:sz w:val="18"/>
                <w:szCs w:val="18"/>
              </w:rPr>
              <w:t>,</w:t>
            </w:r>
            <w:r w:rsidRPr="0088065B">
              <w:rPr>
                <w:rFonts w:ascii="Arial" w:hAnsi="Arial" w:cs="Arial"/>
                <w:iCs/>
                <w:sz w:val="18"/>
                <w:szCs w:val="18"/>
              </w:rPr>
              <w:t xml:space="preserve">594 </w:t>
            </w:r>
          </w:p>
          <w:p w14:paraId="75C24FED" w14:textId="744406CE" w:rsidR="00BC0F67" w:rsidRPr="0088065B" w:rsidRDefault="00BC0F67" w:rsidP="0088065B">
            <w:pPr>
              <w:ind w:right="51"/>
              <w:jc w:val="both"/>
              <w:rPr>
                <w:rFonts w:ascii="Arial" w:hAnsi="Arial" w:cs="Arial"/>
                <w:iCs/>
                <w:sz w:val="18"/>
                <w:szCs w:val="18"/>
              </w:rPr>
            </w:pPr>
            <w:r w:rsidRPr="0088065B">
              <w:rPr>
                <w:rFonts w:ascii="Arial" w:hAnsi="Arial" w:cs="Arial"/>
                <w:sz w:val="18"/>
                <w:szCs w:val="18"/>
              </w:rPr>
              <w:t xml:space="preserve">OP3/OS2 </w:t>
            </w:r>
            <w:r w:rsidRPr="0088065B">
              <w:rPr>
                <w:rFonts w:ascii="Arial" w:hAnsi="Arial" w:cs="Arial"/>
                <w:iCs/>
                <w:sz w:val="18"/>
                <w:szCs w:val="18"/>
              </w:rPr>
              <w:t>Developing sustainable national, regional and local mobility, resilient to climate change, smart and intermodal, including improving access to TEN-T and cross-border mobility EUR 200</w:t>
            </w:r>
            <w:r w:rsidR="00692333" w:rsidRPr="0088065B">
              <w:rPr>
                <w:rFonts w:ascii="Arial" w:hAnsi="Arial" w:cs="Arial"/>
                <w:iCs/>
                <w:sz w:val="18"/>
                <w:szCs w:val="18"/>
              </w:rPr>
              <w:t>,</w:t>
            </w:r>
            <w:r w:rsidRPr="0088065B">
              <w:rPr>
                <w:rFonts w:ascii="Arial" w:hAnsi="Arial" w:cs="Arial"/>
                <w:iCs/>
                <w:sz w:val="18"/>
                <w:szCs w:val="18"/>
              </w:rPr>
              <w:t>632</w:t>
            </w:r>
            <w:r w:rsidR="00692333" w:rsidRPr="0088065B">
              <w:rPr>
                <w:rFonts w:ascii="Arial" w:hAnsi="Arial" w:cs="Arial"/>
                <w:iCs/>
                <w:sz w:val="18"/>
                <w:szCs w:val="18"/>
              </w:rPr>
              <w:t>,</w:t>
            </w:r>
            <w:r w:rsidRPr="0088065B">
              <w:rPr>
                <w:rFonts w:ascii="Arial" w:hAnsi="Arial" w:cs="Arial"/>
                <w:iCs/>
                <w:sz w:val="18"/>
                <w:szCs w:val="18"/>
              </w:rPr>
              <w:t>594</w:t>
            </w:r>
          </w:p>
        </w:tc>
      </w:tr>
      <w:tr w:rsidR="00BC0F67" w:rsidRPr="00E614F2" w14:paraId="40D50B02" w14:textId="77777777" w:rsidTr="00964831">
        <w:trPr>
          <w:trHeight w:val="9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7E7CB" w14:textId="77777777" w:rsidR="00BC0F67" w:rsidRPr="0088065B" w:rsidRDefault="00BC0F67" w:rsidP="0088065B">
            <w:pPr>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124417A3" w14:textId="5798BBCF" w:rsidR="00BC0F67" w:rsidRPr="0088065B" w:rsidRDefault="00BC0F67" w:rsidP="0088065B">
            <w:pPr>
              <w:jc w:val="both"/>
              <w:rPr>
                <w:rFonts w:ascii="Arial" w:hAnsi="Arial" w:cs="Arial"/>
                <w:iCs/>
                <w:sz w:val="18"/>
                <w:szCs w:val="18"/>
              </w:rPr>
            </w:pPr>
            <w:r w:rsidRPr="0088065B">
              <w:rPr>
                <w:rFonts w:ascii="Arial" w:hAnsi="Arial" w:cs="Arial"/>
                <w:i/>
                <w:iCs/>
                <w:sz w:val="18"/>
                <w:szCs w:val="18"/>
              </w:rPr>
              <w:t>“Moderni</w:t>
            </w:r>
            <w:r w:rsidR="004E7B64">
              <w:rPr>
                <w:rFonts w:ascii="Arial" w:hAnsi="Arial" w:cs="Arial"/>
                <w:i/>
                <w:iCs/>
                <w:sz w:val="18"/>
                <w:szCs w:val="18"/>
              </w:rPr>
              <w:t>sation</w:t>
            </w:r>
            <w:r w:rsidRPr="0088065B">
              <w:rPr>
                <w:rFonts w:ascii="Arial" w:hAnsi="Arial" w:cs="Arial"/>
                <w:i/>
                <w:iCs/>
                <w:sz w:val="18"/>
                <w:szCs w:val="18"/>
              </w:rPr>
              <w:t xml:space="preserve"> Fund” (MF)</w:t>
            </w:r>
          </w:p>
          <w:p w14:paraId="594B873A" w14:textId="77777777" w:rsidR="00BC0F67" w:rsidRPr="0088065B" w:rsidRDefault="00BC0F67" w:rsidP="0088065B">
            <w:pPr>
              <w:jc w:val="both"/>
              <w:rPr>
                <w:rFonts w:ascii="Arial" w:hAnsi="Arial" w:cs="Arial"/>
                <w:sz w:val="18"/>
                <w:szCs w:val="18"/>
                <w:lang w:val="en"/>
              </w:rPr>
            </w:pPr>
            <w:r w:rsidRPr="0088065B">
              <w:rPr>
                <w:rFonts w:ascii="Arial" w:hAnsi="Arial" w:cs="Arial"/>
                <w:i/>
                <w:iCs/>
                <w:sz w:val="18"/>
                <w:szCs w:val="18"/>
                <w:u w:val="single"/>
              </w:rPr>
              <w:t xml:space="preserve">Priority </w:t>
            </w:r>
            <w:r w:rsidRPr="0088065B">
              <w:rPr>
                <w:rFonts w:ascii="Arial" w:hAnsi="Arial" w:cs="Arial"/>
                <w:i/>
                <w:sz w:val="18"/>
                <w:szCs w:val="18"/>
                <w:u w:val="single"/>
                <w:lang w:val="en"/>
              </w:rPr>
              <w:t>Axis 1</w:t>
            </w:r>
            <w:r w:rsidRPr="0088065B">
              <w:rPr>
                <w:rFonts w:ascii="Arial" w:hAnsi="Arial" w:cs="Arial"/>
                <w:sz w:val="18"/>
                <w:szCs w:val="18"/>
                <w:lang w:val="en"/>
              </w:rPr>
              <w:t xml:space="preserve"> Investments in capacities renewable production, in storage in electricity, gas and district heating networks, efficiency power. </w:t>
            </w:r>
          </w:p>
          <w:p w14:paraId="418FB30F" w14:textId="77777777" w:rsidR="00BC0F67" w:rsidRPr="0088065B" w:rsidRDefault="00BC0F67" w:rsidP="0088065B">
            <w:pPr>
              <w:jc w:val="both"/>
              <w:rPr>
                <w:rFonts w:ascii="Arial" w:eastAsia="Calibri" w:hAnsi="Arial" w:cs="Arial"/>
                <w:sz w:val="18"/>
                <w:szCs w:val="18"/>
              </w:rPr>
            </w:pPr>
            <w:r w:rsidRPr="0088065B">
              <w:rPr>
                <w:rFonts w:ascii="Arial" w:hAnsi="Arial" w:cs="Arial"/>
                <w:i/>
                <w:sz w:val="18"/>
                <w:szCs w:val="18"/>
                <w:u w:val="single"/>
                <w:lang w:val="en"/>
              </w:rPr>
              <w:t>Priority Axis 2</w:t>
            </w:r>
            <w:r w:rsidRPr="0088065B">
              <w:rPr>
                <w:rFonts w:ascii="Arial" w:hAnsi="Arial" w:cs="Arial"/>
                <w:sz w:val="18"/>
                <w:szCs w:val="18"/>
                <w:lang w:val="en"/>
              </w:rPr>
              <w:t xml:space="preserve"> Investments in production capacities based on gas</w:t>
            </w:r>
          </w:p>
        </w:tc>
      </w:tr>
      <w:tr w:rsidR="00BC0F67" w:rsidRPr="00E614F2" w14:paraId="513AF815" w14:textId="77777777" w:rsidTr="00964831">
        <w:trPr>
          <w:trHeight w:val="8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142D48" w14:textId="77777777" w:rsidR="00BC0F67" w:rsidRPr="0088065B" w:rsidRDefault="00BC0F67" w:rsidP="0088065B">
            <w:pPr>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91A1007" w14:textId="46BCB28F" w:rsidR="00BC0F67" w:rsidRPr="0088065B" w:rsidRDefault="00BC0F67" w:rsidP="0088065B">
            <w:pPr>
              <w:jc w:val="both"/>
              <w:rPr>
                <w:rFonts w:ascii="Arial" w:hAnsi="Arial" w:cs="Arial"/>
                <w:iCs/>
                <w:sz w:val="18"/>
                <w:szCs w:val="18"/>
              </w:rPr>
            </w:pPr>
            <w:r w:rsidRPr="0088065B">
              <w:rPr>
                <w:rFonts w:ascii="Arial" w:hAnsi="Arial" w:cs="Arial"/>
                <w:i/>
                <w:sz w:val="18"/>
                <w:szCs w:val="18"/>
              </w:rPr>
              <w:t>“</w:t>
            </w:r>
            <w:r w:rsidRPr="0088065B">
              <w:rPr>
                <w:rFonts w:ascii="Arial" w:hAnsi="Arial" w:cs="Arial"/>
                <w:i/>
                <w:iCs/>
                <w:sz w:val="18"/>
                <w:szCs w:val="18"/>
              </w:rPr>
              <w:t>Sustainable Development Operational Program</w:t>
            </w:r>
            <w:r w:rsidR="0088065B">
              <w:rPr>
                <w:rFonts w:ascii="Arial" w:hAnsi="Arial" w:cs="Arial"/>
                <w:i/>
                <w:iCs/>
                <w:sz w:val="18"/>
                <w:szCs w:val="18"/>
              </w:rPr>
              <w:t>me</w:t>
            </w:r>
            <w:r w:rsidRPr="0088065B">
              <w:rPr>
                <w:rFonts w:ascii="Arial" w:hAnsi="Arial" w:cs="Arial"/>
                <w:i/>
                <w:iCs/>
                <w:sz w:val="18"/>
                <w:szCs w:val="18"/>
              </w:rPr>
              <w:t>”</w:t>
            </w:r>
            <w:r w:rsidRPr="0088065B">
              <w:rPr>
                <w:rFonts w:ascii="Arial" w:hAnsi="Arial" w:cs="Arial"/>
                <w:iCs/>
                <w:sz w:val="18"/>
                <w:szCs w:val="18"/>
              </w:rPr>
              <w:t xml:space="preserve"> (SDOP)</w:t>
            </w:r>
          </w:p>
          <w:p w14:paraId="07E5B377" w14:textId="0D3585A8" w:rsidR="00BC0F67" w:rsidRPr="0088065B" w:rsidRDefault="00BC0F67" w:rsidP="0088065B">
            <w:pPr>
              <w:jc w:val="both"/>
              <w:rPr>
                <w:rFonts w:ascii="Arial" w:hAnsi="Arial" w:cs="Arial"/>
                <w:iCs/>
                <w:sz w:val="18"/>
                <w:szCs w:val="18"/>
              </w:rPr>
            </w:pPr>
            <w:r w:rsidRPr="0088065B">
              <w:rPr>
                <w:rFonts w:ascii="Arial" w:hAnsi="Arial" w:cs="Arial"/>
                <w:i/>
                <w:iCs/>
                <w:sz w:val="18"/>
                <w:szCs w:val="18"/>
                <w:u w:val="single"/>
              </w:rPr>
              <w:t>Priority 1</w:t>
            </w:r>
            <w:r w:rsidRPr="0088065B">
              <w:rPr>
                <w:rFonts w:ascii="Arial" w:hAnsi="Arial" w:cs="Arial"/>
                <w:iCs/>
                <w:sz w:val="18"/>
                <w:szCs w:val="18"/>
              </w:rPr>
              <w:t xml:space="preserve"> Promoting energy efficiency, smart energy systems and networks, storage solutions and reducing greenhouse gas emissions</w:t>
            </w:r>
            <w:r w:rsidRPr="0088065B">
              <w:rPr>
                <w:rFonts w:ascii="Arial" w:hAnsi="Arial" w:cs="Arial"/>
                <w:iCs/>
                <w:sz w:val="18"/>
                <w:szCs w:val="18"/>
                <w:lang w:val="en-US"/>
              </w:rPr>
              <w:t xml:space="preserve">, EUR- </w:t>
            </w:r>
            <w:r w:rsidRPr="0088065B">
              <w:rPr>
                <w:rFonts w:ascii="Arial" w:hAnsi="Arial" w:cs="Arial"/>
                <w:sz w:val="18"/>
                <w:szCs w:val="18"/>
              </w:rPr>
              <w:t xml:space="preserve">FEDR </w:t>
            </w:r>
            <w:r w:rsidR="00692333" w:rsidRPr="0088065B">
              <w:rPr>
                <w:rFonts w:ascii="Arial" w:hAnsi="Arial" w:cs="Arial"/>
                <w:sz w:val="18"/>
                <w:szCs w:val="18"/>
              </w:rPr>
              <w:t>–</w:t>
            </w:r>
            <w:r w:rsidRPr="0088065B">
              <w:rPr>
                <w:rFonts w:ascii="Arial" w:eastAsia="Times New Roman" w:hAnsi="Arial" w:cs="Arial"/>
                <w:bCs/>
                <w:sz w:val="18"/>
                <w:szCs w:val="18"/>
              </w:rPr>
              <w:t xml:space="preserve"> </w:t>
            </w:r>
            <w:r w:rsidRPr="0088065B">
              <w:rPr>
                <w:rFonts w:ascii="Arial" w:hAnsi="Arial" w:cs="Arial"/>
                <w:iCs/>
                <w:sz w:val="18"/>
                <w:szCs w:val="18"/>
              </w:rPr>
              <w:t>400</w:t>
            </w:r>
            <w:r w:rsidR="00692333" w:rsidRPr="0088065B">
              <w:rPr>
                <w:rFonts w:ascii="Arial" w:hAnsi="Arial" w:cs="Arial"/>
                <w:iCs/>
                <w:sz w:val="18"/>
                <w:szCs w:val="18"/>
              </w:rPr>
              <w:t>,</w:t>
            </w:r>
            <w:r w:rsidRPr="0088065B">
              <w:rPr>
                <w:rFonts w:ascii="Arial" w:hAnsi="Arial" w:cs="Arial"/>
                <w:iCs/>
                <w:sz w:val="18"/>
                <w:szCs w:val="18"/>
              </w:rPr>
              <w:t>000</w:t>
            </w:r>
            <w:r w:rsidR="00692333" w:rsidRPr="0088065B">
              <w:rPr>
                <w:rFonts w:ascii="Arial" w:hAnsi="Arial" w:cs="Arial"/>
                <w:iCs/>
                <w:sz w:val="18"/>
                <w:szCs w:val="18"/>
              </w:rPr>
              <w:t>,</w:t>
            </w:r>
            <w:r w:rsidRPr="0088065B">
              <w:rPr>
                <w:rFonts w:ascii="Arial" w:hAnsi="Arial" w:cs="Arial"/>
                <w:iCs/>
                <w:sz w:val="18"/>
                <w:szCs w:val="18"/>
              </w:rPr>
              <w:t xml:space="preserve">000 + FC </w:t>
            </w:r>
            <w:r w:rsidR="00692333" w:rsidRPr="0088065B">
              <w:rPr>
                <w:rFonts w:ascii="Arial" w:hAnsi="Arial" w:cs="Arial"/>
                <w:iCs/>
                <w:sz w:val="18"/>
                <w:szCs w:val="18"/>
              </w:rPr>
              <w:t>–</w:t>
            </w:r>
            <w:r w:rsidRPr="0088065B">
              <w:rPr>
                <w:rFonts w:ascii="Arial" w:hAnsi="Arial" w:cs="Arial"/>
                <w:iCs/>
                <w:sz w:val="18"/>
                <w:szCs w:val="18"/>
              </w:rPr>
              <w:t xml:space="preserve"> 200</w:t>
            </w:r>
            <w:r w:rsidR="00692333" w:rsidRPr="0088065B">
              <w:rPr>
                <w:rFonts w:ascii="Arial" w:hAnsi="Arial" w:cs="Arial"/>
                <w:iCs/>
                <w:sz w:val="18"/>
                <w:szCs w:val="18"/>
              </w:rPr>
              <w:t>,</w:t>
            </w:r>
            <w:r w:rsidRPr="0088065B">
              <w:rPr>
                <w:rFonts w:ascii="Arial" w:hAnsi="Arial" w:cs="Arial"/>
                <w:iCs/>
                <w:sz w:val="18"/>
                <w:szCs w:val="18"/>
              </w:rPr>
              <w:t>000</w:t>
            </w:r>
            <w:r w:rsidR="00692333" w:rsidRPr="0088065B">
              <w:rPr>
                <w:rFonts w:ascii="Arial" w:hAnsi="Arial" w:cs="Arial"/>
                <w:iCs/>
                <w:sz w:val="18"/>
                <w:szCs w:val="18"/>
              </w:rPr>
              <w:t>,</w:t>
            </w:r>
            <w:r w:rsidRPr="0088065B">
              <w:rPr>
                <w:rFonts w:ascii="Arial" w:hAnsi="Arial" w:cs="Arial"/>
                <w:iCs/>
                <w:sz w:val="18"/>
                <w:szCs w:val="18"/>
              </w:rPr>
              <w:t>000</w:t>
            </w:r>
          </w:p>
          <w:p w14:paraId="12228452" w14:textId="2EC70C11" w:rsidR="00BC0F67" w:rsidRPr="0088065B" w:rsidRDefault="00BC0F67" w:rsidP="008806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imes New Roman" w:hAnsi="Arial" w:cs="Arial"/>
                <w:sz w:val="18"/>
                <w:szCs w:val="18"/>
                <w:lang w:val="en-US"/>
              </w:rPr>
            </w:pPr>
            <w:r w:rsidRPr="0088065B">
              <w:rPr>
                <w:rFonts w:ascii="Arial" w:hAnsi="Arial" w:cs="Arial"/>
                <w:i/>
                <w:iCs/>
                <w:sz w:val="18"/>
                <w:szCs w:val="18"/>
                <w:u w:val="single"/>
              </w:rPr>
              <w:t xml:space="preserve">Priority </w:t>
            </w:r>
            <w:r w:rsidRPr="0088065B">
              <w:rPr>
                <w:rFonts w:ascii="Arial" w:hAnsi="Arial" w:cs="Arial"/>
                <w:i/>
                <w:iCs/>
                <w:sz w:val="18"/>
                <w:szCs w:val="18"/>
                <w:u w:val="single"/>
                <w:lang w:val="en-US"/>
              </w:rPr>
              <w:t>2</w:t>
            </w:r>
            <w:r w:rsidRPr="0088065B">
              <w:rPr>
                <w:rFonts w:ascii="Arial" w:hAnsi="Arial" w:cs="Arial"/>
                <w:iCs/>
                <w:sz w:val="18"/>
                <w:szCs w:val="18"/>
              </w:rPr>
              <w:t xml:space="preserve"> </w:t>
            </w:r>
            <w:r w:rsidRPr="0088065B">
              <w:rPr>
                <w:rFonts w:ascii="Arial" w:eastAsia="Times New Roman" w:hAnsi="Arial" w:cs="Arial"/>
                <w:sz w:val="18"/>
                <w:szCs w:val="18"/>
                <w:lang w:val="en"/>
              </w:rPr>
              <w:t>Development of water and wastewater infrastructure and the transition to a circular economy</w:t>
            </w:r>
            <w:r w:rsidRPr="0088065B">
              <w:rPr>
                <w:rFonts w:ascii="Arial" w:hAnsi="Arial" w:cs="Arial"/>
                <w:iCs/>
                <w:sz w:val="18"/>
                <w:szCs w:val="18"/>
                <w:lang w:val="en-US"/>
              </w:rPr>
              <w:t xml:space="preserve">, EUR- </w:t>
            </w:r>
            <w:r w:rsidR="0088065B">
              <w:rPr>
                <w:rFonts w:ascii="Arial" w:hAnsi="Arial" w:cs="Arial"/>
                <w:sz w:val="18"/>
                <w:szCs w:val="18"/>
              </w:rPr>
              <w:t>ERDF</w:t>
            </w:r>
            <w:r w:rsidR="0088065B" w:rsidRPr="0088065B">
              <w:rPr>
                <w:rFonts w:ascii="Arial" w:hAnsi="Arial" w:cs="Arial"/>
                <w:sz w:val="18"/>
                <w:szCs w:val="18"/>
              </w:rPr>
              <w:t xml:space="preserve"> </w:t>
            </w:r>
            <w:r w:rsidRPr="0088065B">
              <w:rPr>
                <w:rFonts w:ascii="Arial" w:eastAsia="Times New Roman" w:hAnsi="Arial" w:cs="Arial"/>
                <w:bCs/>
                <w:sz w:val="18"/>
                <w:szCs w:val="18"/>
              </w:rPr>
              <w:t>2.13</w:t>
            </w:r>
            <w:r w:rsidR="00692333" w:rsidRPr="0088065B">
              <w:rPr>
                <w:rFonts w:ascii="Arial" w:eastAsia="Times New Roman" w:hAnsi="Arial" w:cs="Arial"/>
                <w:bCs/>
                <w:sz w:val="18"/>
                <w:szCs w:val="18"/>
              </w:rPr>
              <w:t xml:space="preserve"> bn </w:t>
            </w:r>
            <w:r w:rsidRPr="0088065B">
              <w:rPr>
                <w:rFonts w:ascii="Arial" w:hAnsi="Arial" w:cs="Arial"/>
                <w:iCs/>
                <w:sz w:val="18"/>
                <w:szCs w:val="18"/>
              </w:rPr>
              <w:t xml:space="preserve">+ </w:t>
            </w:r>
            <w:r w:rsidR="0088065B">
              <w:rPr>
                <w:rFonts w:ascii="Arial" w:hAnsi="Arial" w:cs="Arial"/>
                <w:iCs/>
                <w:sz w:val="18"/>
                <w:szCs w:val="18"/>
              </w:rPr>
              <w:t>CF</w:t>
            </w:r>
            <w:r w:rsidR="0088065B" w:rsidRPr="0088065B">
              <w:rPr>
                <w:rFonts w:ascii="Arial" w:hAnsi="Arial" w:cs="Arial"/>
                <w:iCs/>
                <w:sz w:val="18"/>
                <w:szCs w:val="18"/>
              </w:rPr>
              <w:t xml:space="preserve"> </w:t>
            </w:r>
            <w:r w:rsidRPr="0088065B">
              <w:rPr>
                <w:rFonts w:ascii="Arial" w:hAnsi="Arial" w:cs="Arial"/>
                <w:iCs/>
                <w:sz w:val="18"/>
                <w:szCs w:val="18"/>
              </w:rPr>
              <w:t>637</w:t>
            </w:r>
            <w:r w:rsidR="00692333" w:rsidRPr="0088065B">
              <w:rPr>
                <w:rFonts w:ascii="Arial" w:hAnsi="Arial" w:cs="Arial"/>
                <w:iCs/>
                <w:sz w:val="18"/>
                <w:szCs w:val="18"/>
              </w:rPr>
              <w:t>,</w:t>
            </w:r>
            <w:r w:rsidRPr="0088065B">
              <w:rPr>
                <w:rFonts w:ascii="Arial" w:hAnsi="Arial" w:cs="Arial"/>
                <w:iCs/>
                <w:sz w:val="18"/>
                <w:szCs w:val="18"/>
              </w:rPr>
              <w:t>800</w:t>
            </w:r>
          </w:p>
        </w:tc>
      </w:tr>
      <w:tr w:rsidR="00BC0F67" w:rsidRPr="00E614F2" w14:paraId="475025F1" w14:textId="77777777" w:rsidTr="00964831">
        <w:trPr>
          <w:trHeight w:val="3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C239B" w14:textId="77777777" w:rsidR="00BC0F67" w:rsidRPr="0088065B" w:rsidRDefault="00BC0F67" w:rsidP="0088065B">
            <w:pPr>
              <w:rPr>
                <w:rFonts w:ascii="Arial" w:eastAsia="Calibri" w:hAnsi="Arial" w:cs="Arial"/>
                <w:i/>
                <w:iCs/>
                <w:sz w:val="18"/>
                <w:szCs w:val="18"/>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29FED351" w14:textId="21897C84" w:rsidR="00BC0F67" w:rsidRPr="0088065B" w:rsidRDefault="00BC0F67" w:rsidP="0088065B">
            <w:pPr>
              <w:tabs>
                <w:tab w:val="left" w:pos="10076"/>
                <w:tab w:val="left" w:pos="10992"/>
                <w:tab w:val="left" w:pos="11908"/>
                <w:tab w:val="left" w:pos="12824"/>
                <w:tab w:val="left" w:pos="13740"/>
                <w:tab w:val="left" w:pos="14656"/>
              </w:tabs>
              <w:jc w:val="both"/>
              <w:rPr>
                <w:rFonts w:ascii="Arial" w:hAnsi="Arial" w:cs="Arial"/>
                <w:sz w:val="18"/>
                <w:szCs w:val="18"/>
              </w:rPr>
            </w:pPr>
            <w:r w:rsidRPr="0088065B">
              <w:rPr>
                <w:rFonts w:ascii="Arial" w:hAnsi="Arial" w:cs="Arial"/>
                <w:i/>
                <w:sz w:val="18"/>
                <w:szCs w:val="18"/>
              </w:rPr>
              <w:t xml:space="preserve">“National </w:t>
            </w:r>
            <w:r w:rsidR="00495512">
              <w:rPr>
                <w:rFonts w:ascii="Arial" w:hAnsi="Arial" w:cs="Arial"/>
                <w:i/>
                <w:sz w:val="18"/>
                <w:szCs w:val="18"/>
              </w:rPr>
              <w:t>Recovery and Resilience Plan</w:t>
            </w:r>
            <w:r w:rsidRPr="0088065B">
              <w:rPr>
                <w:rFonts w:ascii="Arial" w:hAnsi="Arial" w:cs="Arial"/>
                <w:i/>
                <w:sz w:val="18"/>
                <w:szCs w:val="18"/>
              </w:rPr>
              <w:t>” (</w:t>
            </w:r>
            <w:r w:rsidR="00495512">
              <w:rPr>
                <w:rFonts w:ascii="Arial" w:hAnsi="Arial" w:cs="Arial"/>
                <w:i/>
                <w:sz w:val="18"/>
                <w:szCs w:val="18"/>
              </w:rPr>
              <w:t>RRP</w:t>
            </w:r>
            <w:r w:rsidRPr="0088065B">
              <w:rPr>
                <w:rFonts w:ascii="Arial" w:hAnsi="Arial" w:cs="Arial"/>
                <w:i/>
                <w:sz w:val="18"/>
                <w:szCs w:val="18"/>
              </w:rPr>
              <w:t>)</w:t>
            </w:r>
            <w:r w:rsidRPr="0088065B">
              <w:rPr>
                <w:rFonts w:ascii="Arial" w:hAnsi="Arial" w:cs="Arial"/>
                <w:sz w:val="18"/>
                <w:szCs w:val="18"/>
              </w:rPr>
              <w:t xml:space="preserve">  </w:t>
            </w:r>
          </w:p>
          <w:p w14:paraId="2FFD9462" w14:textId="13647B16" w:rsidR="00BC0F67" w:rsidRPr="0088065B" w:rsidRDefault="00BC0F67" w:rsidP="0088065B">
            <w:pPr>
              <w:rPr>
                <w:rFonts w:ascii="Arial" w:hAnsi="Arial" w:cs="Arial"/>
                <w:sz w:val="18"/>
                <w:szCs w:val="18"/>
              </w:rPr>
            </w:pPr>
            <w:r w:rsidRPr="0088065B">
              <w:rPr>
                <w:rFonts w:ascii="Arial" w:hAnsi="Arial" w:cs="Arial"/>
                <w:i/>
                <w:iCs/>
                <w:sz w:val="18"/>
                <w:szCs w:val="18"/>
                <w:u w:val="single"/>
              </w:rPr>
              <w:t>Pillar I Green Transition</w:t>
            </w:r>
            <w:r w:rsidRPr="0088065B">
              <w:rPr>
                <w:rFonts w:ascii="Arial" w:hAnsi="Arial" w:cs="Arial"/>
                <w:i/>
                <w:iCs/>
                <w:sz w:val="18"/>
                <w:szCs w:val="18"/>
              </w:rPr>
              <w:t xml:space="preserve">, Component 2 We afforest Romania and protect biodiversity. </w:t>
            </w:r>
            <w:r w:rsidRPr="0088065B">
              <w:rPr>
                <w:rFonts w:ascii="Arial" w:hAnsi="Arial" w:cs="Arial"/>
                <w:iCs/>
                <w:sz w:val="18"/>
                <w:szCs w:val="18"/>
                <w:lang w:val="en-US"/>
              </w:rPr>
              <w:t>EUR</w:t>
            </w:r>
            <w:r w:rsidRPr="0088065B">
              <w:rPr>
                <w:rFonts w:ascii="Arial" w:hAnsi="Arial" w:cs="Arial"/>
                <w:i/>
                <w:iCs/>
                <w:sz w:val="18"/>
                <w:szCs w:val="18"/>
                <w:lang w:val="en-US"/>
              </w:rPr>
              <w:t xml:space="preserve"> </w:t>
            </w:r>
            <w:r w:rsidRPr="0088065B">
              <w:rPr>
                <w:rFonts w:ascii="Arial" w:hAnsi="Arial" w:cs="Arial"/>
                <w:sz w:val="18"/>
                <w:szCs w:val="18"/>
              </w:rPr>
              <w:t>1.37 b</w:t>
            </w:r>
            <w:r w:rsidR="00692333" w:rsidRPr="0088065B">
              <w:rPr>
                <w:rFonts w:ascii="Arial" w:hAnsi="Arial" w:cs="Arial"/>
                <w:sz w:val="18"/>
                <w:szCs w:val="18"/>
              </w:rPr>
              <w:t>n</w:t>
            </w:r>
            <w:r w:rsidRPr="0088065B">
              <w:rPr>
                <w:rFonts w:ascii="Arial" w:hAnsi="Arial" w:cs="Arial"/>
                <w:sz w:val="18"/>
                <w:szCs w:val="18"/>
                <w:lang w:val="en-US"/>
              </w:rPr>
              <w:t xml:space="preserve">, </w:t>
            </w:r>
            <w:r w:rsidRPr="0088065B">
              <w:rPr>
                <w:rFonts w:ascii="Arial" w:hAnsi="Arial" w:cs="Arial"/>
                <w:i/>
                <w:iCs/>
                <w:sz w:val="18"/>
                <w:szCs w:val="18"/>
              </w:rPr>
              <w:t xml:space="preserve">Component 3 Waste management. </w:t>
            </w:r>
            <w:r w:rsidRPr="0088065B">
              <w:rPr>
                <w:rFonts w:ascii="Arial" w:hAnsi="Arial" w:cs="Arial"/>
                <w:iCs/>
                <w:sz w:val="18"/>
                <w:szCs w:val="18"/>
                <w:lang w:val="en-US"/>
              </w:rPr>
              <w:t>EUR</w:t>
            </w:r>
            <w:r w:rsidRPr="0088065B">
              <w:rPr>
                <w:rFonts w:ascii="Arial" w:hAnsi="Arial" w:cs="Arial"/>
                <w:i/>
                <w:iCs/>
                <w:sz w:val="18"/>
                <w:szCs w:val="18"/>
                <w:lang w:val="en-US"/>
              </w:rPr>
              <w:t xml:space="preserve"> </w:t>
            </w:r>
            <w:r w:rsidRPr="0088065B">
              <w:rPr>
                <w:rFonts w:ascii="Arial" w:hAnsi="Arial" w:cs="Arial"/>
                <w:sz w:val="18"/>
                <w:szCs w:val="18"/>
              </w:rPr>
              <w:t>1.2</w:t>
            </w:r>
            <w:r w:rsidR="00E614F2" w:rsidRPr="0088065B">
              <w:rPr>
                <w:rFonts w:ascii="Arial" w:hAnsi="Arial" w:cs="Arial"/>
                <w:sz w:val="18"/>
                <w:szCs w:val="18"/>
              </w:rPr>
              <w:t xml:space="preserve"> bn</w:t>
            </w:r>
            <w:r w:rsidRPr="0088065B">
              <w:rPr>
                <w:rFonts w:ascii="Arial" w:hAnsi="Arial" w:cs="Arial"/>
                <w:iCs/>
                <w:sz w:val="18"/>
                <w:szCs w:val="18"/>
                <w:lang w:val="en-US"/>
              </w:rPr>
              <w:t xml:space="preserve">, </w:t>
            </w:r>
            <w:r w:rsidRPr="0088065B">
              <w:rPr>
                <w:rFonts w:ascii="Arial" w:hAnsi="Arial" w:cs="Arial"/>
                <w:i/>
                <w:iCs/>
                <w:sz w:val="18"/>
                <w:szCs w:val="18"/>
              </w:rPr>
              <w:t>Component 4 Rail transport and urban mobility</w:t>
            </w:r>
            <w:r w:rsidRPr="0088065B">
              <w:rPr>
                <w:rFonts w:ascii="Arial" w:hAnsi="Arial" w:cs="Arial"/>
                <w:iCs/>
                <w:sz w:val="18"/>
                <w:szCs w:val="18"/>
                <w:lang w:val="en-US"/>
              </w:rPr>
              <w:t xml:space="preserve">, </w:t>
            </w:r>
            <w:r w:rsidRPr="0088065B">
              <w:rPr>
                <w:rFonts w:ascii="Arial" w:hAnsi="Arial" w:cs="Arial"/>
                <w:i/>
                <w:iCs/>
                <w:sz w:val="18"/>
                <w:szCs w:val="18"/>
              </w:rPr>
              <w:t xml:space="preserve">Component 5 I.5 Renovation wave, </w:t>
            </w:r>
            <w:r w:rsidRPr="0088065B">
              <w:rPr>
                <w:rFonts w:ascii="Arial" w:hAnsi="Arial" w:cs="Arial"/>
                <w:i/>
                <w:iCs/>
                <w:sz w:val="18"/>
                <w:szCs w:val="18"/>
              </w:rPr>
              <w:lastRenderedPageBreak/>
              <w:t>fund for green and seismic rehabilitation</w:t>
            </w:r>
            <w:r w:rsidRPr="0088065B">
              <w:rPr>
                <w:rFonts w:ascii="Arial" w:hAnsi="Arial" w:cs="Arial"/>
                <w:i/>
                <w:iCs/>
                <w:sz w:val="18"/>
                <w:szCs w:val="18"/>
                <w:lang w:val="en-US"/>
              </w:rPr>
              <w:t xml:space="preserve">, </w:t>
            </w:r>
            <w:r w:rsidRPr="0088065B">
              <w:rPr>
                <w:rFonts w:ascii="Arial" w:hAnsi="Arial" w:cs="Arial"/>
                <w:iCs/>
                <w:sz w:val="18"/>
                <w:szCs w:val="18"/>
                <w:lang w:val="en-US"/>
              </w:rPr>
              <w:t>EUR</w:t>
            </w:r>
            <w:r w:rsidRPr="0088065B">
              <w:rPr>
                <w:rFonts w:ascii="Arial" w:hAnsi="Arial" w:cs="Arial"/>
                <w:i/>
                <w:iCs/>
                <w:sz w:val="18"/>
                <w:szCs w:val="18"/>
                <w:lang w:val="en-US"/>
              </w:rPr>
              <w:t xml:space="preserve"> </w:t>
            </w:r>
            <w:r w:rsidRPr="0088065B">
              <w:rPr>
                <w:rFonts w:ascii="Arial" w:hAnsi="Arial" w:cs="Arial"/>
                <w:sz w:val="18"/>
                <w:szCs w:val="18"/>
              </w:rPr>
              <w:t>2.2</w:t>
            </w:r>
            <w:r w:rsidR="00E614F2" w:rsidRPr="0088065B">
              <w:rPr>
                <w:rFonts w:ascii="Arial" w:hAnsi="Arial" w:cs="Arial"/>
                <w:sz w:val="18"/>
                <w:szCs w:val="18"/>
              </w:rPr>
              <w:t xml:space="preserve"> bn</w:t>
            </w:r>
            <w:r w:rsidRPr="0088065B">
              <w:rPr>
                <w:rFonts w:ascii="Arial" w:hAnsi="Arial" w:cs="Arial"/>
                <w:i/>
                <w:iCs/>
                <w:sz w:val="18"/>
                <w:szCs w:val="18"/>
              </w:rPr>
              <w:t>. Component 6 Energy.</w:t>
            </w:r>
            <w:r w:rsidRPr="0088065B">
              <w:rPr>
                <w:rFonts w:ascii="Arial" w:hAnsi="Arial" w:cs="Arial"/>
                <w:i/>
                <w:iCs/>
                <w:sz w:val="18"/>
                <w:szCs w:val="18"/>
                <w:lang w:val="en-US"/>
              </w:rPr>
              <w:t xml:space="preserve"> </w:t>
            </w:r>
            <w:r w:rsidRPr="0088065B">
              <w:rPr>
                <w:rFonts w:ascii="Arial" w:hAnsi="Arial" w:cs="Arial"/>
                <w:iCs/>
                <w:sz w:val="18"/>
                <w:szCs w:val="18"/>
                <w:lang w:val="en-US"/>
              </w:rPr>
              <w:t>EUR</w:t>
            </w:r>
            <w:r w:rsidRPr="0088065B">
              <w:rPr>
                <w:rFonts w:ascii="Arial" w:hAnsi="Arial" w:cs="Arial"/>
                <w:sz w:val="18"/>
                <w:szCs w:val="18"/>
              </w:rPr>
              <w:t xml:space="preserve"> 1</w:t>
            </w:r>
            <w:r w:rsidR="00E614F2" w:rsidRPr="0088065B">
              <w:rPr>
                <w:rFonts w:ascii="Arial" w:hAnsi="Arial" w:cs="Arial"/>
                <w:sz w:val="18"/>
                <w:szCs w:val="18"/>
              </w:rPr>
              <w:t>.</w:t>
            </w:r>
            <w:r w:rsidRPr="0088065B">
              <w:rPr>
                <w:rFonts w:ascii="Arial" w:hAnsi="Arial" w:cs="Arial"/>
                <w:sz w:val="18"/>
                <w:szCs w:val="18"/>
              </w:rPr>
              <w:t>62</w:t>
            </w:r>
            <w:r w:rsidR="00E614F2" w:rsidRPr="0088065B">
              <w:rPr>
                <w:rFonts w:ascii="Arial" w:hAnsi="Arial" w:cs="Arial"/>
                <w:sz w:val="18"/>
                <w:szCs w:val="18"/>
              </w:rPr>
              <w:t xml:space="preserve"> bn</w:t>
            </w:r>
            <w:r w:rsidRPr="0088065B">
              <w:rPr>
                <w:rFonts w:ascii="Arial" w:hAnsi="Arial" w:cs="Arial"/>
                <w:sz w:val="18"/>
                <w:szCs w:val="18"/>
              </w:rPr>
              <w:t xml:space="preserve"> </w:t>
            </w:r>
          </w:p>
          <w:p w14:paraId="2E3231CB" w14:textId="77777777" w:rsidR="00BC0F67" w:rsidRPr="0088065B" w:rsidRDefault="00BC0F67" w:rsidP="0088065B">
            <w:pPr>
              <w:tabs>
                <w:tab w:val="left" w:pos="10076"/>
                <w:tab w:val="left" w:pos="10992"/>
                <w:tab w:val="left" w:pos="11908"/>
                <w:tab w:val="left" w:pos="12824"/>
                <w:tab w:val="left" w:pos="13740"/>
                <w:tab w:val="left" w:pos="14656"/>
              </w:tabs>
              <w:jc w:val="both"/>
              <w:rPr>
                <w:rFonts w:ascii="Arial" w:hAnsi="Arial" w:cs="Arial"/>
                <w:sz w:val="18"/>
                <w:szCs w:val="18"/>
                <w:lang w:val="en-US"/>
              </w:rPr>
            </w:pPr>
            <w:r w:rsidRPr="0088065B">
              <w:rPr>
                <w:rFonts w:ascii="Arial" w:hAnsi="Arial" w:cs="Arial"/>
                <w:i/>
                <w:iCs/>
                <w:sz w:val="18"/>
                <w:szCs w:val="18"/>
                <w:u w:val="single"/>
              </w:rPr>
              <w:t>Pillar III Smart, sustainable and inclusive growth</w:t>
            </w:r>
          </w:p>
          <w:p w14:paraId="56AD0971" w14:textId="77777777" w:rsidR="00BC0F67" w:rsidRPr="0088065B" w:rsidRDefault="00BC0F67" w:rsidP="0088065B">
            <w:pPr>
              <w:tabs>
                <w:tab w:val="left" w:pos="10076"/>
                <w:tab w:val="left" w:pos="10992"/>
                <w:tab w:val="left" w:pos="11908"/>
                <w:tab w:val="left" w:pos="12824"/>
                <w:tab w:val="left" w:pos="13740"/>
                <w:tab w:val="left" w:pos="14656"/>
              </w:tabs>
              <w:jc w:val="both"/>
              <w:rPr>
                <w:rFonts w:ascii="Arial" w:eastAsia="Calibri" w:hAnsi="Arial" w:cs="Arial"/>
                <w:sz w:val="18"/>
                <w:szCs w:val="18"/>
                <w:lang w:val="en-US"/>
              </w:rPr>
            </w:pPr>
            <w:r w:rsidRPr="0088065B">
              <w:rPr>
                <w:rFonts w:ascii="Arial" w:hAnsi="Arial" w:cs="Arial"/>
                <w:i/>
                <w:iCs/>
                <w:sz w:val="18"/>
                <w:szCs w:val="18"/>
                <w:u w:val="single"/>
              </w:rPr>
              <w:t>Pillar IV Social and territorial cohesion</w:t>
            </w:r>
            <w:r w:rsidRPr="0088065B">
              <w:rPr>
                <w:rFonts w:ascii="Arial" w:hAnsi="Arial" w:cs="Arial"/>
                <w:i/>
                <w:iCs/>
                <w:sz w:val="18"/>
                <w:szCs w:val="18"/>
              </w:rPr>
              <w:t xml:space="preserve">. </w:t>
            </w:r>
          </w:p>
        </w:tc>
      </w:tr>
      <w:tr w:rsidR="00BC0F67" w:rsidRPr="00E614F2" w14:paraId="7C75614B" w14:textId="77777777" w:rsidTr="0088065B">
        <w:trPr>
          <w:trHeight w:val="665"/>
        </w:trPr>
        <w:tc>
          <w:tcPr>
            <w:tcW w:w="1171" w:type="pct"/>
            <w:vMerge w:val="restar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8CC6BFC" w14:textId="1D001B55" w:rsidR="00BC0F67" w:rsidRPr="0088065B" w:rsidRDefault="0088065B" w:rsidP="0088065B">
            <w:pPr>
              <w:pStyle w:val="ListParagraph"/>
              <w:spacing w:line="240" w:lineRule="auto"/>
              <w:ind w:left="0" w:right="85"/>
              <w:rPr>
                <w:iCs/>
                <w:color w:val="000000"/>
                <w:sz w:val="18"/>
                <w:szCs w:val="18"/>
                <w:lang w:val="en-US"/>
              </w:rPr>
            </w:pPr>
            <w:r>
              <w:rPr>
                <w:iCs/>
                <w:color w:val="000000"/>
                <w:sz w:val="18"/>
                <w:szCs w:val="18"/>
                <w:lang w:val="en-US"/>
              </w:rPr>
              <w:lastRenderedPageBreak/>
              <w:t>Type 3</w:t>
            </w:r>
          </w:p>
          <w:p w14:paraId="05578FCC" w14:textId="0E877F7A" w:rsidR="00BC0F67" w:rsidRPr="0088065B" w:rsidRDefault="00BC0F67" w:rsidP="0088065B">
            <w:pPr>
              <w:pStyle w:val="ListParagraph"/>
              <w:spacing w:line="240" w:lineRule="auto"/>
              <w:ind w:left="0" w:right="85"/>
              <w:rPr>
                <w:iCs/>
                <w:sz w:val="18"/>
                <w:szCs w:val="18"/>
                <w:lang w:val="en-US"/>
              </w:rPr>
            </w:pPr>
            <w:r w:rsidRPr="0088065B">
              <w:rPr>
                <w:iCs/>
                <w:sz w:val="18"/>
                <w:szCs w:val="18"/>
                <w:lang w:val="en-US"/>
              </w:rPr>
              <w:t>I</w:t>
            </w:r>
            <w:r w:rsidRPr="0088065B">
              <w:rPr>
                <w:iCs/>
                <w:sz w:val="18"/>
                <w:szCs w:val="18"/>
              </w:rPr>
              <w:t>mproving the employment situation in the county through upskilling/ reskilling p</w:t>
            </w:r>
            <w:r w:rsidR="00D206E5">
              <w:rPr>
                <w:iCs/>
                <w:sz w:val="18"/>
                <w:szCs w:val="18"/>
              </w:rPr>
              <w:t>rogrammes</w:t>
            </w:r>
            <w:r w:rsidRPr="0088065B">
              <w:rPr>
                <w:iCs/>
                <w:sz w:val="18"/>
                <w:szCs w:val="18"/>
              </w:rPr>
              <w:t>, digiti</w:t>
            </w:r>
            <w:r w:rsidR="004E7B64">
              <w:rPr>
                <w:iCs/>
                <w:sz w:val="18"/>
                <w:szCs w:val="18"/>
              </w:rPr>
              <w:t>sation</w:t>
            </w:r>
            <w:r w:rsidRPr="0088065B">
              <w:rPr>
                <w:iCs/>
                <w:sz w:val="18"/>
                <w:szCs w:val="18"/>
              </w:rPr>
              <w:t xml:space="preserve"> of the workforce services</w:t>
            </w:r>
          </w:p>
          <w:p w14:paraId="0B343225" w14:textId="77777777" w:rsidR="00BC0F67" w:rsidRPr="0088065B" w:rsidRDefault="00BC0F67" w:rsidP="0088065B">
            <w:pPr>
              <w:pStyle w:val="ListParagraph"/>
              <w:tabs>
                <w:tab w:val="left" w:pos="10076"/>
                <w:tab w:val="left" w:pos="10992"/>
                <w:tab w:val="left" w:pos="11908"/>
                <w:tab w:val="left" w:pos="12824"/>
                <w:tab w:val="left" w:pos="13740"/>
                <w:tab w:val="left" w:pos="14656"/>
              </w:tabs>
              <w:spacing w:line="240" w:lineRule="auto"/>
              <w:ind w:left="0"/>
              <w:rPr>
                <w:i/>
                <w:sz w:val="18"/>
                <w:szCs w:val="18"/>
              </w:rPr>
            </w:pPr>
          </w:p>
          <w:p w14:paraId="6C746F49" w14:textId="77777777" w:rsidR="00BC0F67" w:rsidRPr="0088065B" w:rsidRDefault="00BC0F67" w:rsidP="0088065B">
            <w:pPr>
              <w:shd w:val="clear" w:color="auto" w:fill="FFFFFF"/>
              <w:jc w:val="both"/>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9DE260D" w14:textId="25D1E8C9" w:rsidR="00BC0F67" w:rsidRPr="0088065B" w:rsidRDefault="00BC0F67" w:rsidP="0088065B">
            <w:pPr>
              <w:shd w:val="clear" w:color="auto" w:fill="FFFFFF"/>
              <w:rPr>
                <w:rFonts w:ascii="Arial" w:hAnsi="Arial" w:cs="Arial"/>
                <w:i/>
                <w:sz w:val="18"/>
                <w:szCs w:val="18"/>
              </w:rPr>
            </w:pPr>
            <w:r w:rsidRPr="0088065B">
              <w:rPr>
                <w:rFonts w:ascii="Arial" w:hAnsi="Arial" w:cs="Arial"/>
                <w:i/>
                <w:sz w:val="18"/>
                <w:szCs w:val="18"/>
              </w:rPr>
              <w:t xml:space="preserve">“National </w:t>
            </w:r>
            <w:r w:rsidR="00495512">
              <w:rPr>
                <w:rFonts w:ascii="Arial" w:hAnsi="Arial" w:cs="Arial"/>
                <w:i/>
                <w:sz w:val="18"/>
                <w:szCs w:val="18"/>
              </w:rPr>
              <w:t>Recovery and Resilience PlanȚ</w:t>
            </w:r>
            <w:r w:rsidRPr="0088065B">
              <w:rPr>
                <w:rFonts w:ascii="Arial" w:hAnsi="Arial" w:cs="Arial"/>
                <w:i/>
                <w:sz w:val="18"/>
                <w:szCs w:val="18"/>
              </w:rPr>
              <w:t xml:space="preserve"> (</w:t>
            </w:r>
            <w:r w:rsidR="00495512">
              <w:rPr>
                <w:rFonts w:ascii="Arial" w:hAnsi="Arial" w:cs="Arial"/>
                <w:i/>
                <w:sz w:val="18"/>
                <w:szCs w:val="18"/>
              </w:rPr>
              <w:t>RRP</w:t>
            </w:r>
            <w:r w:rsidRPr="0088065B">
              <w:rPr>
                <w:rFonts w:ascii="Arial" w:hAnsi="Arial" w:cs="Arial"/>
                <w:i/>
                <w:sz w:val="18"/>
                <w:szCs w:val="18"/>
              </w:rPr>
              <w:t xml:space="preserve">). </w:t>
            </w:r>
          </w:p>
          <w:p w14:paraId="6A66952A" w14:textId="12F8611C" w:rsidR="00BC0F67" w:rsidRPr="0088065B" w:rsidRDefault="00BC0F67" w:rsidP="0088065B">
            <w:pPr>
              <w:shd w:val="clear" w:color="auto" w:fill="FFFFFF"/>
              <w:rPr>
                <w:rFonts w:ascii="Arial" w:eastAsia="Calibri" w:hAnsi="Arial" w:cs="Arial"/>
                <w:sz w:val="18"/>
                <w:szCs w:val="18"/>
                <w:lang w:val="en-US"/>
              </w:rPr>
            </w:pPr>
            <w:r w:rsidRPr="0088065B">
              <w:rPr>
                <w:rFonts w:ascii="Arial" w:hAnsi="Arial" w:cs="Arial"/>
                <w:i/>
                <w:iCs/>
                <w:sz w:val="18"/>
                <w:szCs w:val="18"/>
                <w:u w:val="single"/>
              </w:rPr>
              <w:t>Pillar VI Policies for the Next Generation, Children and Youth</w:t>
            </w:r>
            <w:r w:rsidRPr="0088065B">
              <w:rPr>
                <w:rFonts w:ascii="Arial" w:hAnsi="Arial" w:cs="Arial"/>
                <w:i/>
                <w:iCs/>
                <w:sz w:val="18"/>
                <w:szCs w:val="18"/>
              </w:rPr>
              <w:t xml:space="preserve"> Component 15 Educated Romania - National Nursery Program.</w:t>
            </w:r>
            <w:r w:rsidR="00692333" w:rsidRPr="0088065B">
              <w:rPr>
                <w:rFonts w:ascii="Arial" w:hAnsi="Arial" w:cs="Arial"/>
                <w:i/>
                <w:iCs/>
                <w:sz w:val="18"/>
                <w:szCs w:val="18"/>
              </w:rPr>
              <w:t xml:space="preserve"> </w:t>
            </w:r>
            <w:r w:rsidRPr="0088065B">
              <w:rPr>
                <w:rFonts w:ascii="Arial" w:hAnsi="Arial" w:cs="Arial"/>
                <w:iCs/>
                <w:sz w:val="18"/>
                <w:szCs w:val="18"/>
                <w:lang w:val="en-US"/>
              </w:rPr>
              <w:t>EUR</w:t>
            </w:r>
            <w:r w:rsidRPr="0088065B">
              <w:rPr>
                <w:rFonts w:ascii="Arial" w:hAnsi="Arial" w:cs="Arial"/>
                <w:i/>
                <w:iCs/>
                <w:sz w:val="18"/>
                <w:szCs w:val="18"/>
                <w:lang w:val="en-US"/>
              </w:rPr>
              <w:t xml:space="preserve"> </w:t>
            </w:r>
            <w:r w:rsidRPr="0088065B">
              <w:rPr>
                <w:rFonts w:ascii="Arial" w:hAnsi="Arial" w:cs="Arial"/>
                <w:i/>
                <w:iCs/>
                <w:sz w:val="18"/>
                <w:szCs w:val="18"/>
              </w:rPr>
              <w:t>3.6</w:t>
            </w:r>
            <w:r w:rsidR="00E614F2" w:rsidRPr="0088065B">
              <w:rPr>
                <w:rFonts w:ascii="Arial" w:hAnsi="Arial" w:cs="Arial"/>
                <w:i/>
                <w:iCs/>
                <w:sz w:val="18"/>
                <w:szCs w:val="18"/>
              </w:rPr>
              <w:t xml:space="preserve"> bn</w:t>
            </w:r>
          </w:p>
        </w:tc>
      </w:tr>
      <w:tr w:rsidR="00BC0F67" w:rsidRPr="00E614F2" w14:paraId="5FB36564" w14:textId="77777777" w:rsidTr="00964831">
        <w:trPr>
          <w:trHeight w:val="11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26FCF" w14:textId="77777777" w:rsidR="00BC0F67" w:rsidRPr="0088065B" w:rsidRDefault="00BC0F67" w:rsidP="0088065B">
            <w:pPr>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4A2831E3" w14:textId="6DA71BA6" w:rsidR="00BC0F67" w:rsidRPr="0088065B" w:rsidRDefault="00BC0F67" w:rsidP="0088065B">
            <w:pPr>
              <w:pStyle w:val="ListParagraph"/>
              <w:spacing w:line="240" w:lineRule="auto"/>
              <w:ind w:left="0" w:right="85"/>
              <w:jc w:val="both"/>
              <w:rPr>
                <w:i/>
                <w:sz w:val="18"/>
                <w:szCs w:val="18"/>
                <w:lang w:val="en-US"/>
              </w:rPr>
            </w:pPr>
            <w:r w:rsidRPr="0088065B">
              <w:rPr>
                <w:i/>
                <w:sz w:val="18"/>
                <w:szCs w:val="18"/>
              </w:rPr>
              <w:t>“Regional Operational Program</w:t>
            </w:r>
            <w:r w:rsidR="00495512">
              <w:rPr>
                <w:i/>
                <w:sz w:val="18"/>
                <w:szCs w:val="18"/>
              </w:rPr>
              <w:t>me</w:t>
            </w:r>
            <w:r w:rsidRPr="0088065B">
              <w:rPr>
                <w:i/>
                <w:sz w:val="18"/>
                <w:szCs w:val="18"/>
              </w:rPr>
              <w:t xml:space="preserve"> SE” (ROP). </w:t>
            </w:r>
          </w:p>
          <w:p w14:paraId="030EBB91" w14:textId="24E05C5F" w:rsidR="00BC0F67" w:rsidRPr="0088065B" w:rsidRDefault="00BC0F67" w:rsidP="0088065B">
            <w:pPr>
              <w:pStyle w:val="ListParagraph"/>
              <w:spacing w:line="240" w:lineRule="auto"/>
              <w:ind w:left="0" w:right="85"/>
              <w:jc w:val="both"/>
              <w:rPr>
                <w:sz w:val="18"/>
                <w:szCs w:val="18"/>
              </w:rPr>
            </w:pPr>
            <w:r w:rsidRPr="0088065B">
              <w:rPr>
                <w:i/>
                <w:sz w:val="18"/>
                <w:szCs w:val="18"/>
                <w:u w:val="single"/>
              </w:rPr>
              <w:t>Priority Axis 6 An educated region,</w:t>
            </w:r>
            <w:r w:rsidRPr="0088065B">
              <w:rPr>
                <w:sz w:val="18"/>
                <w:szCs w:val="18"/>
              </w:rPr>
              <w:t xml:space="preserve"> EUR 72</w:t>
            </w:r>
            <w:r w:rsidR="00692333" w:rsidRPr="0088065B">
              <w:rPr>
                <w:sz w:val="18"/>
                <w:szCs w:val="18"/>
              </w:rPr>
              <w:t>,</w:t>
            </w:r>
            <w:r w:rsidRPr="0088065B">
              <w:rPr>
                <w:sz w:val="18"/>
                <w:szCs w:val="18"/>
              </w:rPr>
              <w:t>533</w:t>
            </w:r>
            <w:r w:rsidR="00692333" w:rsidRPr="0088065B">
              <w:rPr>
                <w:sz w:val="18"/>
                <w:szCs w:val="18"/>
              </w:rPr>
              <w:t>,</w:t>
            </w:r>
            <w:r w:rsidRPr="0088065B">
              <w:rPr>
                <w:sz w:val="18"/>
                <w:szCs w:val="18"/>
              </w:rPr>
              <w:t>072</w:t>
            </w:r>
          </w:p>
          <w:p w14:paraId="673E64F1" w14:textId="321378DB" w:rsidR="00BC0F67" w:rsidRPr="0088065B" w:rsidRDefault="00BC0F67" w:rsidP="0088065B">
            <w:pPr>
              <w:pStyle w:val="ListParagraph"/>
              <w:spacing w:line="240" w:lineRule="auto"/>
              <w:ind w:left="0" w:right="85"/>
              <w:jc w:val="both"/>
              <w:rPr>
                <w:rFonts w:eastAsia="Calibri"/>
                <w:sz w:val="18"/>
                <w:szCs w:val="18"/>
                <w:lang w:val="en-US"/>
              </w:rPr>
            </w:pPr>
            <w:r w:rsidRPr="0088065B">
              <w:rPr>
                <w:sz w:val="18"/>
                <w:szCs w:val="18"/>
              </w:rPr>
              <w:t>OP4/OS2 Improving equal access to quality and inclusive services in education, training and lifelong learning by developing accessible infrastructure, including by promoting resilience for distance and online education and training.</w:t>
            </w:r>
            <w:r w:rsidRPr="0088065B">
              <w:rPr>
                <w:w w:val="101"/>
                <w:sz w:val="18"/>
                <w:szCs w:val="18"/>
              </w:rPr>
              <w:t xml:space="preserve"> EUR </w:t>
            </w:r>
            <w:r w:rsidRPr="0088065B">
              <w:rPr>
                <w:iCs/>
                <w:sz w:val="18"/>
                <w:szCs w:val="18"/>
              </w:rPr>
              <w:t>65</w:t>
            </w:r>
            <w:r w:rsidR="00692333" w:rsidRPr="0088065B">
              <w:rPr>
                <w:iCs/>
                <w:sz w:val="18"/>
                <w:szCs w:val="18"/>
              </w:rPr>
              <w:t>,</w:t>
            </w:r>
            <w:r w:rsidRPr="0088065B">
              <w:rPr>
                <w:iCs/>
                <w:sz w:val="18"/>
                <w:szCs w:val="18"/>
              </w:rPr>
              <w:t>533</w:t>
            </w:r>
            <w:r w:rsidR="00692333" w:rsidRPr="0088065B">
              <w:rPr>
                <w:iCs/>
                <w:sz w:val="18"/>
                <w:szCs w:val="18"/>
              </w:rPr>
              <w:t>,</w:t>
            </w:r>
            <w:r w:rsidRPr="0088065B">
              <w:rPr>
                <w:iCs/>
                <w:sz w:val="18"/>
                <w:szCs w:val="18"/>
              </w:rPr>
              <w:t>072</w:t>
            </w:r>
          </w:p>
        </w:tc>
      </w:tr>
      <w:tr w:rsidR="00BC0F67" w:rsidRPr="00E614F2" w14:paraId="35542A7B" w14:textId="77777777" w:rsidTr="0088065B">
        <w:trPr>
          <w:trHeight w:val="29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59722" w14:textId="77777777" w:rsidR="00BC0F67" w:rsidRPr="0088065B" w:rsidRDefault="00BC0F67" w:rsidP="0088065B">
            <w:pPr>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08C392C0" w14:textId="77777777" w:rsidR="00BC0F67" w:rsidRPr="0088065B" w:rsidRDefault="00BC0F67" w:rsidP="0088065B">
            <w:pPr>
              <w:shd w:val="clear" w:color="auto" w:fill="FFFFFF"/>
              <w:jc w:val="both"/>
              <w:rPr>
                <w:rFonts w:ascii="Arial" w:hAnsi="Arial" w:cs="Arial"/>
                <w:bCs/>
                <w:sz w:val="18"/>
                <w:szCs w:val="18"/>
                <w:lang w:val="ro-RO"/>
              </w:rPr>
            </w:pPr>
            <w:r w:rsidRPr="0088065B">
              <w:rPr>
                <w:rFonts w:ascii="Arial" w:hAnsi="Arial" w:cs="Arial"/>
                <w:bCs/>
                <w:i/>
                <w:sz w:val="18"/>
                <w:szCs w:val="18"/>
                <w:lang w:val="ro-RO"/>
              </w:rPr>
              <w:t>„Education and Employment Operational Programme” (EEOP).</w:t>
            </w:r>
            <w:r w:rsidRPr="0088065B">
              <w:rPr>
                <w:rFonts w:ascii="Arial" w:hAnsi="Arial" w:cs="Arial"/>
                <w:bCs/>
                <w:sz w:val="18"/>
                <w:szCs w:val="18"/>
                <w:lang w:val="ro-RO"/>
              </w:rPr>
              <w:t xml:space="preserve"> </w:t>
            </w:r>
          </w:p>
          <w:p w14:paraId="5271B66C" w14:textId="77777777" w:rsidR="00495512"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1</w:t>
            </w:r>
            <w:r w:rsidRPr="0088065B">
              <w:rPr>
                <w:rFonts w:ascii="Arial" w:hAnsi="Arial" w:cs="Arial"/>
                <w:sz w:val="18"/>
                <w:szCs w:val="18"/>
              </w:rPr>
              <w:t xml:space="preserve"> Unlocking the potential of young people in the labor market. </w:t>
            </w:r>
          </w:p>
          <w:p w14:paraId="51E18759" w14:textId="562B33DE"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2</w:t>
            </w:r>
            <w:r w:rsidRPr="0088065B">
              <w:rPr>
                <w:rFonts w:ascii="Arial" w:hAnsi="Arial" w:cs="Arial"/>
                <w:sz w:val="18"/>
                <w:szCs w:val="18"/>
              </w:rPr>
              <w:t xml:space="preserve"> Prevent early school leaving and increase access to and participation of disadvantaged groups in education and training. </w:t>
            </w:r>
          </w:p>
          <w:p w14:paraId="54124101" w14:textId="77777777"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3</w:t>
            </w:r>
            <w:r w:rsidRPr="0088065B">
              <w:rPr>
                <w:rFonts w:ascii="Arial" w:hAnsi="Arial" w:cs="Arial"/>
                <w:sz w:val="18"/>
                <w:szCs w:val="18"/>
              </w:rPr>
              <w:t xml:space="preserve"> Increasing the quality of education and training to ensure the fairness of the system and better adapt to labor market dynamics and the challenges of innovation and technological progress. </w:t>
            </w:r>
          </w:p>
          <w:p w14:paraId="5B54B28E" w14:textId="77777777"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4</w:t>
            </w:r>
            <w:r w:rsidRPr="0088065B">
              <w:rPr>
                <w:rFonts w:ascii="Arial" w:hAnsi="Arial" w:cs="Arial"/>
                <w:sz w:val="18"/>
                <w:szCs w:val="18"/>
              </w:rPr>
              <w:t xml:space="preserve"> Increasing the accessibility, attractiveness and quality of vocational and technical education. </w:t>
            </w:r>
          </w:p>
          <w:p w14:paraId="5B52E0B4" w14:textId="77777777"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5</w:t>
            </w:r>
            <w:r w:rsidRPr="0088065B">
              <w:rPr>
                <w:rFonts w:ascii="Arial" w:hAnsi="Arial" w:cs="Arial"/>
                <w:sz w:val="18"/>
                <w:szCs w:val="18"/>
              </w:rPr>
              <w:t xml:space="preserve"> Increasing access to the labor market for all. </w:t>
            </w:r>
          </w:p>
          <w:p w14:paraId="1583418B" w14:textId="77777777"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6</w:t>
            </w:r>
            <w:r w:rsidRPr="0088065B">
              <w:rPr>
                <w:rFonts w:ascii="Arial" w:hAnsi="Arial" w:cs="Arial"/>
                <w:sz w:val="18"/>
                <w:szCs w:val="18"/>
              </w:rPr>
              <w:t xml:space="preserve"> Entrepreneurship and the social economy. </w:t>
            </w:r>
          </w:p>
          <w:p w14:paraId="67763767" w14:textId="77777777" w:rsidR="00BC0F67" w:rsidRPr="0088065B" w:rsidRDefault="00BC0F67" w:rsidP="0088065B">
            <w:pPr>
              <w:shd w:val="clear" w:color="auto" w:fill="FFFFFF"/>
              <w:jc w:val="both"/>
              <w:rPr>
                <w:rFonts w:ascii="Arial" w:hAnsi="Arial" w:cs="Arial"/>
                <w:sz w:val="18"/>
                <w:szCs w:val="18"/>
              </w:rPr>
            </w:pPr>
            <w:r w:rsidRPr="0088065B">
              <w:rPr>
                <w:rFonts w:ascii="Arial" w:hAnsi="Arial" w:cs="Arial"/>
                <w:i/>
                <w:sz w:val="18"/>
                <w:szCs w:val="18"/>
                <w:u w:val="single"/>
              </w:rPr>
              <w:t>Priority 7</w:t>
            </w:r>
            <w:r w:rsidRPr="0088065B">
              <w:rPr>
                <w:rFonts w:ascii="Arial" w:hAnsi="Arial" w:cs="Arial"/>
                <w:sz w:val="18"/>
                <w:szCs w:val="18"/>
              </w:rPr>
              <w:t xml:space="preserve"> Supporting labor market reforms in line with labor market dynamics. </w:t>
            </w:r>
          </w:p>
          <w:p w14:paraId="3D385651" w14:textId="51C0B0C7" w:rsidR="00BC0F67" w:rsidRPr="0088065B" w:rsidRDefault="00BC0F67" w:rsidP="0088065B">
            <w:pPr>
              <w:shd w:val="clear" w:color="auto" w:fill="FFFFFF"/>
              <w:jc w:val="both"/>
              <w:rPr>
                <w:rFonts w:ascii="Arial" w:eastAsia="Calibri" w:hAnsi="Arial" w:cs="Arial"/>
                <w:sz w:val="18"/>
                <w:szCs w:val="18"/>
                <w:lang w:val="en-US"/>
              </w:rPr>
            </w:pPr>
            <w:r w:rsidRPr="0088065B">
              <w:rPr>
                <w:rFonts w:ascii="Arial" w:hAnsi="Arial" w:cs="Arial"/>
                <w:i/>
                <w:sz w:val="18"/>
                <w:szCs w:val="18"/>
                <w:u w:val="single"/>
              </w:rPr>
              <w:t>Priority 8</w:t>
            </w:r>
            <w:r w:rsidRPr="0088065B">
              <w:rPr>
                <w:rFonts w:ascii="Arial" w:hAnsi="Arial" w:cs="Arial"/>
                <w:sz w:val="18"/>
                <w:szCs w:val="18"/>
              </w:rPr>
              <w:t xml:space="preserve"> Strengthen population participation in lifelong learning to facilitate transitions and labor market mobility.</w:t>
            </w:r>
            <w:r w:rsidRPr="0088065B">
              <w:rPr>
                <w:rFonts w:ascii="Arial" w:hAnsi="Arial" w:cs="Arial"/>
                <w:sz w:val="18"/>
                <w:szCs w:val="18"/>
                <w:lang w:val="en-US"/>
              </w:rPr>
              <w:t xml:space="preserve"> EUR </w:t>
            </w:r>
            <w:r w:rsidRPr="0088065B">
              <w:rPr>
                <w:rFonts w:ascii="Arial" w:hAnsi="Arial" w:cs="Arial"/>
                <w:sz w:val="18"/>
                <w:szCs w:val="18"/>
              </w:rPr>
              <w:t>3.</w:t>
            </w:r>
            <w:r w:rsidR="00E614F2" w:rsidRPr="0088065B">
              <w:rPr>
                <w:rFonts w:ascii="Arial" w:hAnsi="Arial" w:cs="Arial"/>
                <w:sz w:val="18"/>
                <w:szCs w:val="18"/>
              </w:rPr>
              <w:t>86 bn</w:t>
            </w:r>
          </w:p>
        </w:tc>
      </w:tr>
      <w:tr w:rsidR="00BC0F67" w:rsidRPr="00E614F2" w14:paraId="4183BD73" w14:textId="77777777" w:rsidTr="00964831">
        <w:trPr>
          <w:trHeight w:val="16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EE8E57" w14:textId="77777777" w:rsidR="00BC0F67" w:rsidRPr="0088065B" w:rsidRDefault="00BC0F67" w:rsidP="0088065B">
            <w:pPr>
              <w:rPr>
                <w:rFonts w:ascii="Arial" w:eastAsia="Times New Roman" w:hAnsi="Arial" w:cs="Arial"/>
                <w:b/>
                <w:bCs/>
                <w:i/>
                <w:color w:val="202124"/>
                <w:sz w:val="18"/>
                <w:szCs w:val="18"/>
                <w:lang w:val="ro-RO"/>
              </w:rPr>
            </w:pPr>
          </w:p>
        </w:tc>
        <w:tc>
          <w:tcPr>
            <w:tcW w:w="382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hideMark/>
          </w:tcPr>
          <w:p w14:paraId="72D7A1C1" w14:textId="4044903F" w:rsidR="00BC0F67" w:rsidRPr="0088065B" w:rsidRDefault="00BC0F67" w:rsidP="0088065B">
            <w:pPr>
              <w:pStyle w:val="ListParagraph"/>
              <w:shd w:val="clear" w:color="auto" w:fill="FFFFFF"/>
              <w:spacing w:line="240" w:lineRule="auto"/>
              <w:ind w:left="0"/>
              <w:rPr>
                <w:rFonts w:eastAsia="Times New Roman"/>
                <w:i/>
                <w:sz w:val="18"/>
                <w:szCs w:val="18"/>
                <w:lang w:val="en"/>
              </w:rPr>
            </w:pPr>
            <w:r w:rsidRPr="0088065B">
              <w:rPr>
                <w:rFonts w:eastAsia="Times New Roman"/>
                <w:i/>
                <w:sz w:val="18"/>
                <w:szCs w:val="18"/>
                <w:lang w:val="en"/>
              </w:rPr>
              <w:t>“Intelligent Growth, Digiti</w:t>
            </w:r>
            <w:r w:rsidR="004E7B64">
              <w:rPr>
                <w:rFonts w:eastAsia="Times New Roman"/>
                <w:i/>
                <w:sz w:val="18"/>
                <w:szCs w:val="18"/>
                <w:lang w:val="en"/>
              </w:rPr>
              <w:t>sation</w:t>
            </w:r>
            <w:r w:rsidRPr="0088065B">
              <w:rPr>
                <w:rFonts w:eastAsia="Times New Roman"/>
                <w:i/>
                <w:sz w:val="18"/>
                <w:szCs w:val="18"/>
                <w:lang w:val="en"/>
              </w:rPr>
              <w:t xml:space="preserve"> and Financial Instruments Operational Program</w:t>
            </w:r>
            <w:r w:rsidR="00495512">
              <w:rPr>
                <w:rFonts w:eastAsia="Times New Roman"/>
                <w:i/>
                <w:sz w:val="18"/>
                <w:szCs w:val="18"/>
                <w:lang w:val="en"/>
              </w:rPr>
              <w:t>me</w:t>
            </w:r>
            <w:r w:rsidRPr="0088065B">
              <w:rPr>
                <w:rFonts w:eastAsia="Times New Roman"/>
                <w:i/>
                <w:sz w:val="18"/>
                <w:szCs w:val="18"/>
                <w:lang w:val="en"/>
              </w:rPr>
              <w:t xml:space="preserve">” (IGDFIOP). </w:t>
            </w:r>
          </w:p>
          <w:p w14:paraId="55655695" w14:textId="77777777" w:rsidR="00BC0F67" w:rsidRPr="0088065B" w:rsidRDefault="00BC0F67" w:rsidP="0088065B">
            <w:pPr>
              <w:pStyle w:val="ListParagraph"/>
              <w:shd w:val="clear" w:color="auto" w:fill="FFFFFF"/>
              <w:spacing w:line="240" w:lineRule="auto"/>
              <w:ind w:left="0"/>
              <w:rPr>
                <w:sz w:val="18"/>
                <w:szCs w:val="18"/>
                <w:lang w:val="en"/>
              </w:rPr>
            </w:pPr>
            <w:r w:rsidRPr="0088065B">
              <w:rPr>
                <w:i/>
                <w:sz w:val="18"/>
                <w:szCs w:val="18"/>
                <w:u w:val="single"/>
                <w:lang w:val="en"/>
              </w:rPr>
              <w:t>Priority Axis 1 Integration of the RDI national ecosystem into the European and international Research Area.</w:t>
            </w:r>
            <w:r w:rsidRPr="0088065B">
              <w:rPr>
                <w:sz w:val="18"/>
                <w:szCs w:val="18"/>
                <w:lang w:val="en"/>
              </w:rPr>
              <w:t xml:space="preserve">  </w:t>
            </w:r>
          </w:p>
          <w:p w14:paraId="2BB77A81" w14:textId="77777777" w:rsidR="00BC0F67" w:rsidRPr="0088065B" w:rsidRDefault="00BC0F67" w:rsidP="0088065B">
            <w:pPr>
              <w:pStyle w:val="ListParagraph"/>
              <w:shd w:val="clear" w:color="auto" w:fill="FFFFFF"/>
              <w:spacing w:line="240" w:lineRule="auto"/>
              <w:ind w:left="0"/>
              <w:rPr>
                <w:sz w:val="18"/>
                <w:szCs w:val="18"/>
                <w:lang w:val="en"/>
              </w:rPr>
            </w:pPr>
            <w:r w:rsidRPr="0088065B">
              <w:rPr>
                <w:i/>
                <w:iCs/>
                <w:sz w:val="18"/>
                <w:szCs w:val="18"/>
                <w:u w:val="single"/>
                <w:lang w:val="en"/>
              </w:rPr>
              <w:t xml:space="preserve">Priority 2 </w:t>
            </w:r>
            <w:r w:rsidRPr="0088065B">
              <w:rPr>
                <w:sz w:val="18"/>
                <w:szCs w:val="18"/>
                <w:lang w:val="en"/>
              </w:rPr>
              <w:t xml:space="preserve">Creating and promoting an attractive system of innovation in the economy for all types of innovation. </w:t>
            </w:r>
          </w:p>
          <w:p w14:paraId="38E381AD" w14:textId="77777777" w:rsidR="00BC0F67" w:rsidRPr="0088065B" w:rsidRDefault="00BC0F67" w:rsidP="0088065B">
            <w:pPr>
              <w:pStyle w:val="ListParagraph"/>
              <w:shd w:val="clear" w:color="auto" w:fill="FFFFFF"/>
              <w:spacing w:line="240" w:lineRule="auto"/>
              <w:ind w:left="0"/>
              <w:rPr>
                <w:sz w:val="18"/>
                <w:szCs w:val="18"/>
                <w:lang w:val="en"/>
              </w:rPr>
            </w:pPr>
            <w:r w:rsidRPr="0088065B">
              <w:rPr>
                <w:i/>
                <w:iCs/>
                <w:sz w:val="18"/>
                <w:szCs w:val="18"/>
                <w:u w:val="single"/>
                <w:lang w:val="en"/>
              </w:rPr>
              <w:t>Priority 5</w:t>
            </w:r>
            <w:r w:rsidRPr="0088065B">
              <w:rPr>
                <w:sz w:val="18"/>
                <w:szCs w:val="18"/>
                <w:lang w:val="en"/>
              </w:rPr>
              <w:t xml:space="preserve"> Developing the RDI capacity of large enterprises.  </w:t>
            </w:r>
          </w:p>
          <w:p w14:paraId="0AF2A963" w14:textId="77777777" w:rsidR="00BC0F67" w:rsidRPr="0088065B" w:rsidRDefault="00BC0F67" w:rsidP="0088065B">
            <w:pPr>
              <w:pStyle w:val="ListParagraph"/>
              <w:shd w:val="clear" w:color="auto" w:fill="FFFFFF"/>
              <w:spacing w:line="240" w:lineRule="auto"/>
              <w:ind w:left="0"/>
              <w:rPr>
                <w:sz w:val="18"/>
                <w:szCs w:val="18"/>
                <w:lang w:val="en"/>
              </w:rPr>
            </w:pPr>
            <w:r w:rsidRPr="0088065B">
              <w:rPr>
                <w:i/>
                <w:iCs/>
                <w:sz w:val="18"/>
                <w:szCs w:val="18"/>
                <w:u w:val="single"/>
                <w:lang w:val="en"/>
              </w:rPr>
              <w:t>Priority 6</w:t>
            </w:r>
            <w:r w:rsidRPr="0088065B">
              <w:rPr>
                <w:sz w:val="18"/>
                <w:szCs w:val="18"/>
                <w:lang w:val="en"/>
              </w:rPr>
              <w:t xml:space="preserve"> Development of RDI strategic projects. </w:t>
            </w:r>
          </w:p>
          <w:p w14:paraId="1A58DEC8" w14:textId="77777777" w:rsidR="00BC0F67" w:rsidRPr="0088065B" w:rsidRDefault="00BC0F67" w:rsidP="0088065B">
            <w:pPr>
              <w:pStyle w:val="ListParagraph"/>
              <w:shd w:val="clear" w:color="auto" w:fill="FFFFFF"/>
              <w:spacing w:line="240" w:lineRule="auto"/>
              <w:ind w:left="0"/>
              <w:rPr>
                <w:sz w:val="18"/>
                <w:szCs w:val="18"/>
                <w:lang w:val="en"/>
              </w:rPr>
            </w:pPr>
            <w:r w:rsidRPr="0088065B">
              <w:rPr>
                <w:i/>
                <w:iCs/>
                <w:sz w:val="18"/>
                <w:szCs w:val="18"/>
                <w:u w:val="single"/>
                <w:lang w:val="en"/>
              </w:rPr>
              <w:t>Priority 10</w:t>
            </w:r>
            <w:r w:rsidRPr="0088065B">
              <w:rPr>
                <w:sz w:val="18"/>
                <w:szCs w:val="18"/>
                <w:lang w:val="en"/>
              </w:rPr>
              <w:t xml:space="preserve"> Stimulating access to finance for SMEs by means of Financial Instruments.</w:t>
            </w:r>
          </w:p>
          <w:p w14:paraId="5E6771C0" w14:textId="7B7D8BA5" w:rsidR="00BC0F67" w:rsidRPr="0088065B" w:rsidRDefault="00BC0F67" w:rsidP="0088065B">
            <w:pPr>
              <w:pStyle w:val="ListParagraph"/>
              <w:shd w:val="clear" w:color="auto" w:fill="FFFFFF"/>
              <w:spacing w:line="240" w:lineRule="auto"/>
              <w:ind w:left="0"/>
              <w:rPr>
                <w:sz w:val="18"/>
                <w:szCs w:val="18"/>
                <w:lang w:val="en-US"/>
              </w:rPr>
            </w:pPr>
            <w:r w:rsidRPr="0088065B">
              <w:rPr>
                <w:sz w:val="18"/>
                <w:szCs w:val="18"/>
                <w:lang w:val="en-US"/>
              </w:rPr>
              <w:t xml:space="preserve">RON </w:t>
            </w:r>
            <w:r w:rsidRPr="0088065B">
              <w:rPr>
                <w:color w:val="202124"/>
                <w:sz w:val="18"/>
                <w:szCs w:val="18"/>
                <w:lang w:val="en"/>
              </w:rPr>
              <w:t>945</w:t>
            </w:r>
            <w:r w:rsidR="00692333" w:rsidRPr="0088065B">
              <w:rPr>
                <w:color w:val="202124"/>
                <w:sz w:val="18"/>
                <w:szCs w:val="18"/>
                <w:lang w:val="en"/>
              </w:rPr>
              <w:t>,</w:t>
            </w:r>
            <w:r w:rsidRPr="0088065B">
              <w:rPr>
                <w:color w:val="202124"/>
                <w:sz w:val="18"/>
                <w:szCs w:val="18"/>
                <w:lang w:val="en"/>
              </w:rPr>
              <w:t>000</w:t>
            </w:r>
            <w:r w:rsidR="00692333" w:rsidRPr="0088065B">
              <w:rPr>
                <w:color w:val="202124"/>
                <w:sz w:val="18"/>
                <w:szCs w:val="18"/>
                <w:lang w:val="en"/>
              </w:rPr>
              <w:t>,</w:t>
            </w:r>
            <w:r w:rsidRPr="0088065B">
              <w:rPr>
                <w:color w:val="202124"/>
                <w:sz w:val="18"/>
                <w:szCs w:val="18"/>
                <w:lang w:val="en"/>
              </w:rPr>
              <w:t>000</w:t>
            </w:r>
          </w:p>
        </w:tc>
      </w:tr>
    </w:tbl>
    <w:p w14:paraId="11C7F185" w14:textId="52785F37" w:rsidR="00BC0F67" w:rsidRPr="002007F5" w:rsidRDefault="00BC0F67" w:rsidP="002007F5">
      <w:pPr>
        <w:spacing w:before="120" w:after="120"/>
        <w:jc w:val="both"/>
        <w:rPr>
          <w:rFonts w:ascii="Arial" w:hAnsi="Arial" w:cs="Arial"/>
          <w:sz w:val="20"/>
          <w:szCs w:val="20"/>
        </w:rPr>
      </w:pPr>
      <w:r w:rsidRPr="00C721D3">
        <w:rPr>
          <w:rFonts w:ascii="Arial" w:hAnsi="Arial" w:cs="Arial"/>
          <w:sz w:val="20"/>
          <w:szCs w:val="20"/>
        </w:rPr>
        <w:t>The synergies and complementarities listed above are to be also partially supported by:</w:t>
      </w:r>
    </w:p>
    <w:p w14:paraId="318F9F81" w14:textId="29A991ED" w:rsidR="00BC0F67" w:rsidRPr="002007F5" w:rsidRDefault="00BC0F67" w:rsidP="002007F5">
      <w:pPr>
        <w:shd w:val="clear" w:color="auto" w:fill="FFFFFF"/>
        <w:spacing w:after="120"/>
        <w:jc w:val="both"/>
        <w:rPr>
          <w:rFonts w:ascii="Arial" w:hAnsi="Arial" w:cs="Arial"/>
          <w:b/>
          <w:sz w:val="20"/>
          <w:szCs w:val="20"/>
        </w:rPr>
      </w:pPr>
      <w:r w:rsidRPr="00C721D3">
        <w:rPr>
          <w:rFonts w:ascii="Arial" w:hAnsi="Arial" w:cs="Arial"/>
          <w:b/>
          <w:sz w:val="20"/>
          <w:szCs w:val="20"/>
        </w:rPr>
        <w:t>Synergies and complementarities with other EU program</w:t>
      </w:r>
      <w:r w:rsidR="00692333">
        <w:rPr>
          <w:rFonts w:ascii="Arial" w:hAnsi="Arial" w:cs="Arial"/>
          <w:b/>
          <w:sz w:val="20"/>
          <w:szCs w:val="20"/>
        </w:rPr>
        <w:t>me</w:t>
      </w:r>
      <w:r w:rsidRPr="00C721D3">
        <w:rPr>
          <w:rFonts w:ascii="Arial" w:hAnsi="Arial" w:cs="Arial"/>
          <w:b/>
          <w:sz w:val="20"/>
          <w:szCs w:val="20"/>
        </w:rPr>
        <w:t>s:</w:t>
      </w:r>
    </w:p>
    <w:p w14:paraId="0047BF23" w14:textId="0DEAA494" w:rsidR="002007F5" w:rsidRPr="002007F5" w:rsidRDefault="00BC0F67" w:rsidP="00E42342">
      <w:pPr>
        <w:pStyle w:val="ListParagraph"/>
        <w:numPr>
          <w:ilvl w:val="0"/>
          <w:numId w:val="92"/>
        </w:numPr>
        <w:shd w:val="clear" w:color="auto" w:fill="FFFFFF"/>
        <w:spacing w:after="120" w:line="240" w:lineRule="auto"/>
        <w:contextualSpacing w:val="0"/>
        <w:jc w:val="both"/>
        <w:rPr>
          <w:sz w:val="20"/>
          <w:szCs w:val="20"/>
        </w:rPr>
      </w:pPr>
      <w:r w:rsidRPr="00C721D3">
        <w:rPr>
          <w:sz w:val="20"/>
          <w:szCs w:val="20"/>
        </w:rPr>
        <w:t>Investments in decontamination and functional reconversion of polluted and decommissioned sites through integrated urban regeneration projects are partially supported via SDOP Priority 3. Environmental protection through biodiversity conservation, air quality assurance and remediation of contaminated sites/Investment category 3.3 Preliminary and detailed investigation of contaminated sites, assessment environmental risks and remediation of sites. However, this funding line is expected to finance assessment and remediation, excluding follow up reconversion and regeneration initiatives.</w:t>
      </w:r>
    </w:p>
    <w:p w14:paraId="23C8BE68" w14:textId="3FEC2F43" w:rsidR="00BC0F67" w:rsidRPr="00C721D3" w:rsidRDefault="00BC0F67" w:rsidP="00E42342">
      <w:pPr>
        <w:pStyle w:val="ListParagraph"/>
        <w:numPr>
          <w:ilvl w:val="0"/>
          <w:numId w:val="92"/>
        </w:numPr>
        <w:shd w:val="clear" w:color="auto" w:fill="FFFFFF"/>
        <w:spacing w:after="120" w:line="240" w:lineRule="auto"/>
        <w:contextualSpacing w:val="0"/>
        <w:jc w:val="both"/>
        <w:rPr>
          <w:sz w:val="20"/>
          <w:szCs w:val="20"/>
        </w:rPr>
      </w:pPr>
      <w:r w:rsidRPr="00C721D3">
        <w:rPr>
          <w:sz w:val="20"/>
          <w:szCs w:val="20"/>
        </w:rPr>
        <w:t>Proposed investments in technological upgrading to reduce pollution and carbon emissions (large enterprises and SMEs) as well as financial and technical support p</w:t>
      </w:r>
      <w:r w:rsidR="00D206E5">
        <w:rPr>
          <w:sz w:val="20"/>
          <w:szCs w:val="20"/>
        </w:rPr>
        <w:t>rogrammes</w:t>
      </w:r>
      <w:r w:rsidRPr="00C721D3">
        <w:rPr>
          <w:sz w:val="20"/>
          <w:szCs w:val="20"/>
        </w:rPr>
        <w:t xml:space="preserve"> to support the transition of enterprises to RES (including the development of RES production capacities and energy efficiency) are complementary with SDOP - Priority 1- Promoting energy efficiency, systems and networks smart energy and storage solutions / Investment category: 1.1 Improving the energy efficiency of SMEs and large businesses.</w:t>
      </w:r>
    </w:p>
    <w:p w14:paraId="673D5A45" w14:textId="77777777" w:rsidR="00BC0F67" w:rsidRPr="00C721D3" w:rsidRDefault="00BC0F67" w:rsidP="00BC0F67">
      <w:pPr>
        <w:pStyle w:val="ListParagraph"/>
        <w:shd w:val="clear" w:color="auto" w:fill="FFFFFF"/>
        <w:spacing w:line="240" w:lineRule="auto"/>
        <w:ind w:left="360"/>
        <w:jc w:val="both"/>
        <w:rPr>
          <w:sz w:val="8"/>
          <w:szCs w:val="8"/>
        </w:rPr>
      </w:pPr>
    </w:p>
    <w:p w14:paraId="37BCF5A3" w14:textId="77777777" w:rsidR="00BC0F67" w:rsidRPr="00C721D3" w:rsidRDefault="00BC0F67" w:rsidP="00E42342">
      <w:pPr>
        <w:pStyle w:val="ListParagraph"/>
        <w:numPr>
          <w:ilvl w:val="0"/>
          <w:numId w:val="92"/>
        </w:numPr>
        <w:shd w:val="clear" w:color="auto" w:fill="FFFFFF"/>
        <w:spacing w:after="120" w:line="240" w:lineRule="auto"/>
        <w:jc w:val="both"/>
        <w:rPr>
          <w:sz w:val="20"/>
          <w:szCs w:val="20"/>
        </w:rPr>
      </w:pPr>
      <w:r w:rsidRPr="00C721D3">
        <w:rPr>
          <w:sz w:val="20"/>
          <w:szCs w:val="20"/>
        </w:rPr>
        <w:t>Additional potential investments in circular economy are complementary with SDOP Priority 2. Water and wastewater infrastructure development and transition to a circular economy / Investment category - 2.2 Efficient waste management to accelerate the transition to the circular economy to meet the requirements of environmental directives</w:t>
      </w:r>
    </w:p>
    <w:p w14:paraId="67284F9F" w14:textId="206E9D90" w:rsidR="00BC0F67" w:rsidRPr="00C721D3" w:rsidRDefault="00BC0F67" w:rsidP="004E2DCB">
      <w:pPr>
        <w:keepNext/>
        <w:keepLines/>
        <w:shd w:val="clear" w:color="auto" w:fill="FFFFFF"/>
        <w:spacing w:after="120"/>
        <w:jc w:val="both"/>
        <w:rPr>
          <w:rFonts w:ascii="Arial" w:hAnsi="Arial" w:cs="Arial"/>
          <w:b/>
          <w:sz w:val="20"/>
          <w:szCs w:val="20"/>
        </w:rPr>
      </w:pPr>
      <w:r w:rsidRPr="00C721D3">
        <w:rPr>
          <w:rFonts w:ascii="Arial" w:hAnsi="Arial" w:cs="Arial"/>
          <w:b/>
          <w:sz w:val="20"/>
          <w:szCs w:val="20"/>
        </w:rPr>
        <w:t>Regional and local plans:</w:t>
      </w:r>
    </w:p>
    <w:p w14:paraId="108365B3" w14:textId="77777777" w:rsidR="00BC0F67" w:rsidRPr="0096607E" w:rsidRDefault="00BC0F67" w:rsidP="00BC0F67">
      <w:pPr>
        <w:shd w:val="clear" w:color="auto" w:fill="FFFFFF"/>
        <w:jc w:val="both"/>
        <w:rPr>
          <w:rFonts w:ascii="Arial" w:eastAsia="Calibri" w:hAnsi="Arial" w:cs="Arial"/>
          <w:sz w:val="12"/>
          <w:szCs w:val="12"/>
        </w:rPr>
      </w:pPr>
    </w:p>
    <w:p w14:paraId="1BE13CD3" w14:textId="78F5EAA8" w:rsidR="00BC0F67" w:rsidRPr="00C721D3" w:rsidRDefault="00BC0F67" w:rsidP="00E42342">
      <w:pPr>
        <w:pStyle w:val="ListParagraph"/>
        <w:numPr>
          <w:ilvl w:val="0"/>
          <w:numId w:val="93"/>
        </w:numPr>
        <w:shd w:val="clear" w:color="auto" w:fill="FFFFFF"/>
        <w:spacing w:after="240" w:line="240" w:lineRule="auto"/>
        <w:jc w:val="both"/>
        <w:rPr>
          <w:sz w:val="20"/>
          <w:szCs w:val="20"/>
        </w:rPr>
      </w:pPr>
      <w:r w:rsidRPr="00C721D3">
        <w:rPr>
          <w:sz w:val="20"/>
          <w:szCs w:val="20"/>
        </w:rPr>
        <w:lastRenderedPageBreak/>
        <w:t>The Regional Operational Program</w:t>
      </w:r>
      <w:r w:rsidR="00495512">
        <w:rPr>
          <w:sz w:val="20"/>
          <w:szCs w:val="20"/>
        </w:rPr>
        <w:t>me</w:t>
      </w:r>
      <w:r w:rsidRPr="00C721D3">
        <w:rPr>
          <w:sz w:val="20"/>
          <w:szCs w:val="20"/>
        </w:rPr>
        <w:t xml:space="preserve"> for the South East Region</w:t>
      </w:r>
      <w:r w:rsidRPr="00C721D3">
        <w:rPr>
          <w:rStyle w:val="FootnoteReference"/>
          <w:sz w:val="20"/>
          <w:szCs w:val="20"/>
        </w:rPr>
        <w:footnoteReference w:id="156"/>
      </w:r>
      <w:r w:rsidRPr="00C721D3">
        <w:rPr>
          <w:sz w:val="20"/>
          <w:szCs w:val="20"/>
        </w:rPr>
        <w:t>, which</w:t>
      </w:r>
      <w:r w:rsidR="0096607E">
        <w:rPr>
          <w:sz w:val="20"/>
          <w:szCs w:val="20"/>
        </w:rPr>
        <w:t xml:space="preserve"> includes</w:t>
      </w:r>
      <w:r w:rsidRPr="00C721D3">
        <w:rPr>
          <w:sz w:val="20"/>
          <w:szCs w:val="20"/>
        </w:rPr>
        <w:t xml:space="preserve"> </w:t>
      </w:r>
      <w:r w:rsidR="003751DC">
        <w:rPr>
          <w:sz w:val="20"/>
          <w:szCs w:val="20"/>
        </w:rPr>
        <w:t>Galați</w:t>
      </w:r>
      <w:r w:rsidRPr="00C721D3">
        <w:rPr>
          <w:sz w:val="20"/>
          <w:szCs w:val="20"/>
        </w:rPr>
        <w:t xml:space="preserve">, includes several axes </w:t>
      </w:r>
      <w:r w:rsidR="0096607E">
        <w:rPr>
          <w:sz w:val="20"/>
          <w:szCs w:val="20"/>
        </w:rPr>
        <w:t>that</w:t>
      </w:r>
      <w:r w:rsidRPr="00C721D3">
        <w:rPr>
          <w:sz w:val="20"/>
          <w:szCs w:val="20"/>
        </w:rPr>
        <w:t xml:space="preserve"> are complementary to those highlighted in operations proposed above. Priority Axis 1: </w:t>
      </w:r>
      <w:r w:rsidRPr="00C721D3">
        <w:rPr>
          <w:i/>
          <w:sz w:val="20"/>
          <w:szCs w:val="20"/>
        </w:rPr>
        <w:t>A competitive refion through innovation, digiti</w:t>
      </w:r>
      <w:r w:rsidR="0096607E">
        <w:rPr>
          <w:i/>
          <w:sz w:val="20"/>
          <w:szCs w:val="20"/>
        </w:rPr>
        <w:t>s</w:t>
      </w:r>
      <w:r w:rsidRPr="00C721D3">
        <w:rPr>
          <w:i/>
          <w:sz w:val="20"/>
          <w:szCs w:val="20"/>
        </w:rPr>
        <w:t xml:space="preserve">ation and dynamic enterprises </w:t>
      </w:r>
      <w:r w:rsidRPr="00C721D3">
        <w:rPr>
          <w:sz w:val="20"/>
          <w:szCs w:val="20"/>
        </w:rPr>
        <w:t>acknowledges and plans investments into digiti</w:t>
      </w:r>
      <w:r w:rsidR="0096607E">
        <w:rPr>
          <w:sz w:val="20"/>
          <w:szCs w:val="20"/>
        </w:rPr>
        <w:t>s</w:t>
      </w:r>
      <w:r w:rsidRPr="00C721D3">
        <w:rPr>
          <w:sz w:val="20"/>
          <w:szCs w:val="20"/>
        </w:rPr>
        <w:t>ation, technological upgrading, incubation and acceleration p</w:t>
      </w:r>
      <w:r w:rsidR="00D206E5">
        <w:rPr>
          <w:sz w:val="20"/>
          <w:szCs w:val="20"/>
        </w:rPr>
        <w:t>rogrammes</w:t>
      </w:r>
      <w:r w:rsidRPr="00C721D3">
        <w:rPr>
          <w:sz w:val="20"/>
          <w:szCs w:val="20"/>
        </w:rPr>
        <w:t xml:space="preserve"> for SMEs. Digiti</w:t>
      </w:r>
      <w:r w:rsidR="0096607E">
        <w:rPr>
          <w:sz w:val="20"/>
          <w:szCs w:val="20"/>
        </w:rPr>
        <w:t>s</w:t>
      </w:r>
      <w:r w:rsidRPr="00C721D3">
        <w:rPr>
          <w:sz w:val="20"/>
          <w:szCs w:val="20"/>
        </w:rPr>
        <w:t xml:space="preserve">ation of public services is part of Axis 2: </w:t>
      </w:r>
      <w:r w:rsidRPr="00C721D3">
        <w:rPr>
          <w:i/>
          <w:sz w:val="20"/>
          <w:szCs w:val="20"/>
        </w:rPr>
        <w:t xml:space="preserve">A region of SMART cities. </w:t>
      </w:r>
      <w:r w:rsidRPr="00C721D3">
        <w:rPr>
          <w:sz w:val="20"/>
          <w:szCs w:val="20"/>
        </w:rPr>
        <w:t xml:space="preserve">Axis 3 - </w:t>
      </w:r>
      <w:r w:rsidRPr="00C721D3">
        <w:rPr>
          <w:i/>
          <w:sz w:val="20"/>
          <w:szCs w:val="20"/>
        </w:rPr>
        <w:t xml:space="preserve">A Region of environmentally friendly cities </w:t>
      </w:r>
      <w:r w:rsidRPr="00C721D3">
        <w:rPr>
          <w:sz w:val="20"/>
          <w:szCs w:val="20"/>
        </w:rPr>
        <w:t xml:space="preserve">includes energy efficiency investments, green infrastructures and reduction of pollution, whilst Axis 4 – </w:t>
      </w:r>
      <w:r w:rsidRPr="00C721D3">
        <w:rPr>
          <w:i/>
          <w:sz w:val="20"/>
          <w:szCs w:val="20"/>
        </w:rPr>
        <w:t xml:space="preserve">A region with reduced carbon emissions </w:t>
      </w:r>
      <w:r w:rsidRPr="00C721D3">
        <w:rPr>
          <w:sz w:val="20"/>
          <w:szCs w:val="20"/>
        </w:rPr>
        <w:t>includes investments in green mobility. The educational infrastructure is tackled as part of Axis 6, including investments in infrastructure moderni</w:t>
      </w:r>
      <w:r w:rsidR="0096607E">
        <w:rPr>
          <w:sz w:val="20"/>
          <w:szCs w:val="20"/>
        </w:rPr>
        <w:t>s</w:t>
      </w:r>
      <w:r w:rsidRPr="00C721D3">
        <w:rPr>
          <w:sz w:val="20"/>
          <w:szCs w:val="20"/>
        </w:rPr>
        <w:t>ation and improved material base of technological/professional schools and higher education institutions.</w:t>
      </w:r>
      <w:r w:rsidRPr="00C721D3">
        <w:rPr>
          <w:i/>
          <w:sz w:val="20"/>
          <w:szCs w:val="20"/>
        </w:rPr>
        <w:t xml:space="preserve"> </w:t>
      </w:r>
      <w:r w:rsidRPr="00C721D3">
        <w:rPr>
          <w:sz w:val="20"/>
          <w:szCs w:val="20"/>
        </w:rPr>
        <w:t>It is important, however, to highlight that during consultations with the RDA</w:t>
      </w:r>
      <w:r w:rsidR="0096607E">
        <w:rPr>
          <w:sz w:val="20"/>
          <w:szCs w:val="20"/>
        </w:rPr>
        <w:t>,</w:t>
      </w:r>
      <w:r w:rsidRPr="00C721D3">
        <w:rPr>
          <w:sz w:val="20"/>
          <w:szCs w:val="20"/>
        </w:rPr>
        <w:t xml:space="preserve"> it was stressed that allocations for these ax</w:t>
      </w:r>
      <w:r w:rsidR="0096607E">
        <w:rPr>
          <w:sz w:val="20"/>
          <w:szCs w:val="20"/>
        </w:rPr>
        <w:t>e</w:t>
      </w:r>
      <w:r w:rsidRPr="00C721D3">
        <w:rPr>
          <w:sz w:val="20"/>
          <w:szCs w:val="20"/>
        </w:rPr>
        <w:t xml:space="preserve">s are significantly lower than needs identified. </w:t>
      </w:r>
      <w:r w:rsidR="0096607E">
        <w:rPr>
          <w:sz w:val="20"/>
          <w:szCs w:val="20"/>
        </w:rPr>
        <w:t>F</w:t>
      </w:r>
      <w:r w:rsidRPr="00C721D3">
        <w:rPr>
          <w:sz w:val="20"/>
          <w:szCs w:val="20"/>
        </w:rPr>
        <w:t xml:space="preserve">or instance, the South East Region is a seismic hazard prone area, thus it is expected that investments, as much as possible, will cover first and foremost safety features, rather than elements pertaining to the quality of the educational act. </w:t>
      </w:r>
    </w:p>
    <w:p w14:paraId="2AE7385B" w14:textId="77777777" w:rsidR="00BC0F67" w:rsidRPr="00C721D3" w:rsidRDefault="00BC0F67" w:rsidP="00BC0F67">
      <w:pPr>
        <w:pStyle w:val="ListParagraph"/>
        <w:shd w:val="clear" w:color="auto" w:fill="FFFFFF"/>
        <w:spacing w:after="240" w:line="240" w:lineRule="auto"/>
        <w:ind w:left="360"/>
        <w:jc w:val="both"/>
        <w:rPr>
          <w:sz w:val="8"/>
          <w:szCs w:val="8"/>
        </w:rPr>
      </w:pPr>
    </w:p>
    <w:p w14:paraId="0369BC66" w14:textId="16674B11" w:rsidR="00BC0F67" w:rsidRPr="00C721D3" w:rsidRDefault="00BC0F67" w:rsidP="00E42342">
      <w:pPr>
        <w:pStyle w:val="ListParagraph"/>
        <w:numPr>
          <w:ilvl w:val="0"/>
          <w:numId w:val="93"/>
        </w:numPr>
        <w:shd w:val="clear" w:color="auto" w:fill="FFFFFF"/>
        <w:spacing w:after="240" w:line="240" w:lineRule="auto"/>
        <w:jc w:val="both"/>
        <w:rPr>
          <w:sz w:val="20"/>
          <w:szCs w:val="20"/>
        </w:rPr>
      </w:pPr>
      <w:r w:rsidRPr="00C721D3">
        <w:rPr>
          <w:sz w:val="20"/>
          <w:szCs w:val="20"/>
        </w:rPr>
        <w:t xml:space="preserve">County Development Strategy of </w:t>
      </w:r>
      <w:r w:rsidR="003751DC">
        <w:rPr>
          <w:sz w:val="20"/>
          <w:szCs w:val="20"/>
        </w:rPr>
        <w:t>Galați</w:t>
      </w:r>
      <w:r w:rsidRPr="00C721D3">
        <w:rPr>
          <w:sz w:val="20"/>
          <w:szCs w:val="20"/>
        </w:rPr>
        <w:t xml:space="preserve"> – </w:t>
      </w:r>
      <w:r w:rsidRPr="00C721D3">
        <w:rPr>
          <w:i/>
          <w:sz w:val="20"/>
          <w:szCs w:val="20"/>
        </w:rPr>
        <w:t>not finali</w:t>
      </w:r>
      <w:r w:rsidR="0096607E">
        <w:rPr>
          <w:i/>
          <w:sz w:val="20"/>
          <w:szCs w:val="20"/>
        </w:rPr>
        <w:t>s</w:t>
      </w:r>
      <w:r w:rsidRPr="00C721D3">
        <w:rPr>
          <w:i/>
          <w:sz w:val="20"/>
          <w:szCs w:val="20"/>
        </w:rPr>
        <w:t>ed yet.</w:t>
      </w:r>
    </w:p>
    <w:p w14:paraId="0A6D5785" w14:textId="77777777" w:rsidR="00BC0F67" w:rsidRPr="00C721D3" w:rsidRDefault="00BC0F67" w:rsidP="00BC0F67">
      <w:pPr>
        <w:pStyle w:val="ListParagraph"/>
        <w:shd w:val="clear" w:color="auto" w:fill="FFFFFF"/>
        <w:spacing w:after="240" w:line="240" w:lineRule="auto"/>
        <w:ind w:left="360"/>
        <w:jc w:val="both"/>
        <w:rPr>
          <w:sz w:val="8"/>
          <w:szCs w:val="8"/>
        </w:rPr>
      </w:pPr>
    </w:p>
    <w:p w14:paraId="1FC34137" w14:textId="7CD2DFE7" w:rsidR="00BC0F67" w:rsidRPr="00C721D3" w:rsidRDefault="00BC0F67" w:rsidP="00E42342">
      <w:pPr>
        <w:pStyle w:val="ListParagraph"/>
        <w:numPr>
          <w:ilvl w:val="0"/>
          <w:numId w:val="93"/>
        </w:numPr>
        <w:shd w:val="clear" w:color="auto" w:fill="FFFFFF"/>
        <w:spacing w:after="240" w:line="240" w:lineRule="auto"/>
        <w:jc w:val="both"/>
        <w:rPr>
          <w:sz w:val="20"/>
          <w:szCs w:val="20"/>
        </w:rPr>
      </w:pPr>
      <w:r w:rsidRPr="00C721D3">
        <w:rPr>
          <w:sz w:val="20"/>
          <w:szCs w:val="20"/>
        </w:rPr>
        <w:t xml:space="preserve">The Local Development Strategy of </w:t>
      </w:r>
      <w:r w:rsidR="003751DC">
        <w:rPr>
          <w:sz w:val="20"/>
          <w:szCs w:val="20"/>
        </w:rPr>
        <w:t>Galați</w:t>
      </w:r>
      <w:r w:rsidRPr="00C721D3">
        <w:rPr>
          <w:sz w:val="20"/>
          <w:szCs w:val="20"/>
        </w:rPr>
        <w:t xml:space="preserve"> Municipality</w:t>
      </w:r>
      <w:r w:rsidRPr="00C721D3">
        <w:rPr>
          <w:rStyle w:val="FootnoteReference"/>
          <w:sz w:val="20"/>
          <w:szCs w:val="20"/>
        </w:rPr>
        <w:footnoteReference w:id="157"/>
      </w:r>
      <w:r w:rsidRPr="00C721D3">
        <w:rPr>
          <w:sz w:val="20"/>
          <w:szCs w:val="20"/>
        </w:rPr>
        <w:t xml:space="preserve"> is a comprehensive document </w:t>
      </w:r>
      <w:r w:rsidR="0096607E">
        <w:rPr>
          <w:sz w:val="20"/>
          <w:szCs w:val="20"/>
        </w:rPr>
        <w:t>with</w:t>
      </w:r>
      <w:r w:rsidRPr="00C721D3">
        <w:rPr>
          <w:sz w:val="20"/>
          <w:szCs w:val="20"/>
        </w:rPr>
        <w:t xml:space="preserve"> an action plan list of almost 400 projects grouped under </w:t>
      </w:r>
      <w:r w:rsidR="0096607E">
        <w:rPr>
          <w:sz w:val="20"/>
          <w:szCs w:val="20"/>
        </w:rPr>
        <w:t>six</w:t>
      </w:r>
      <w:r w:rsidRPr="00C721D3">
        <w:rPr>
          <w:sz w:val="20"/>
          <w:szCs w:val="20"/>
        </w:rPr>
        <w:t xml:space="preserve"> strategic objectives. All types of operations are touched on</w:t>
      </w:r>
      <w:r w:rsidR="0096607E">
        <w:rPr>
          <w:sz w:val="20"/>
          <w:szCs w:val="20"/>
        </w:rPr>
        <w:t xml:space="preserve"> below</w:t>
      </w:r>
      <w:r w:rsidRPr="00C721D3">
        <w:rPr>
          <w:sz w:val="20"/>
          <w:szCs w:val="20"/>
        </w:rPr>
        <w:t xml:space="preserve">. A challenge for the </w:t>
      </w:r>
      <w:r w:rsidR="003751DC">
        <w:rPr>
          <w:sz w:val="20"/>
          <w:szCs w:val="20"/>
        </w:rPr>
        <w:t>Galați</w:t>
      </w:r>
      <w:r w:rsidRPr="00C721D3">
        <w:rPr>
          <w:sz w:val="20"/>
          <w:szCs w:val="20"/>
        </w:rPr>
        <w:t xml:space="preserve"> Municipality, to which the strategy does not currently respond – and discussed in consultations with representatives of the city hall - is a prioriti</w:t>
      </w:r>
      <w:r w:rsidR="0096607E">
        <w:rPr>
          <w:sz w:val="20"/>
          <w:szCs w:val="20"/>
        </w:rPr>
        <w:t>s</w:t>
      </w:r>
      <w:r w:rsidRPr="00C721D3">
        <w:rPr>
          <w:sz w:val="20"/>
          <w:szCs w:val="20"/>
        </w:rPr>
        <w:t>ation by needs and feasibility of actions</w:t>
      </w:r>
      <w:r w:rsidR="0096607E">
        <w:rPr>
          <w:sz w:val="20"/>
          <w:szCs w:val="20"/>
        </w:rPr>
        <w:t>.</w:t>
      </w:r>
    </w:p>
    <w:p w14:paraId="3C9D9585" w14:textId="1D310409" w:rsidR="00BC0F67" w:rsidRPr="002007F5" w:rsidRDefault="00BC0F67" w:rsidP="002007F5">
      <w:pPr>
        <w:shd w:val="clear" w:color="auto" w:fill="FFFFFF"/>
        <w:spacing w:before="120" w:after="120"/>
        <w:jc w:val="both"/>
        <w:rPr>
          <w:rFonts w:ascii="Arial" w:hAnsi="Arial" w:cs="Arial"/>
          <w:b/>
          <w:color w:val="4F81BD" w:themeColor="accent1"/>
          <w:sz w:val="20"/>
          <w:szCs w:val="20"/>
        </w:rPr>
      </w:pPr>
      <w:r w:rsidRPr="002007F5">
        <w:rPr>
          <w:rFonts w:ascii="Arial" w:hAnsi="Arial" w:cs="Arial"/>
          <w:b/>
          <w:color w:val="4F81BD" w:themeColor="accent1"/>
          <w:sz w:val="20"/>
          <w:szCs w:val="20"/>
          <w:highlight w:val="white"/>
        </w:rPr>
        <w:t>Key Takeaways</w:t>
      </w:r>
      <w:r w:rsidRPr="002007F5">
        <w:rPr>
          <w:rFonts w:ascii="Arial" w:hAnsi="Arial" w:cs="Arial"/>
          <w:b/>
          <w:color w:val="4F81BD" w:themeColor="accent1"/>
          <w:sz w:val="20"/>
          <w:szCs w:val="20"/>
        </w:rPr>
        <w:t xml:space="preserve"> </w:t>
      </w:r>
      <w:r w:rsidR="003751DC">
        <w:rPr>
          <w:rFonts w:ascii="Arial" w:hAnsi="Arial" w:cs="Arial"/>
          <w:b/>
          <w:color w:val="4F81BD" w:themeColor="accent1"/>
          <w:sz w:val="20"/>
          <w:szCs w:val="20"/>
        </w:rPr>
        <w:t>Galați</w:t>
      </w:r>
      <w:r w:rsidR="00C721D3" w:rsidRPr="002007F5">
        <w:rPr>
          <w:rFonts w:ascii="Arial" w:hAnsi="Arial" w:cs="Arial"/>
          <w:b/>
          <w:color w:val="4F81BD" w:themeColor="accent1"/>
          <w:sz w:val="20"/>
          <w:szCs w:val="20"/>
        </w:rPr>
        <w:t xml:space="preserve"> County</w:t>
      </w:r>
    </w:p>
    <w:p w14:paraId="4703C64D" w14:textId="200B2811" w:rsidR="00CE7987" w:rsidRPr="00402580" w:rsidRDefault="00CE7987" w:rsidP="00BC0F67">
      <w:pPr>
        <w:shd w:val="clear" w:color="auto" w:fill="FFFFFF"/>
        <w:spacing w:after="240"/>
        <w:jc w:val="both"/>
        <w:rPr>
          <w:rFonts w:ascii="Arial" w:hAnsi="Arial" w:cs="Arial"/>
          <w:sz w:val="20"/>
          <w:szCs w:val="20"/>
        </w:rPr>
      </w:pPr>
      <w:r w:rsidRPr="00402580">
        <w:rPr>
          <w:rFonts w:ascii="Arial" w:hAnsi="Arial" w:cs="Arial"/>
          <w:sz w:val="20"/>
          <w:szCs w:val="20"/>
        </w:rPr>
        <w:t xml:space="preserve">It is clear that the funding available for </w:t>
      </w:r>
      <w:r w:rsidR="003751DC">
        <w:rPr>
          <w:rFonts w:ascii="Arial" w:hAnsi="Arial" w:cs="Arial"/>
          <w:sz w:val="20"/>
          <w:szCs w:val="20"/>
        </w:rPr>
        <w:t>Galați</w:t>
      </w:r>
      <w:r w:rsidRPr="00402580">
        <w:rPr>
          <w:rFonts w:ascii="Arial" w:hAnsi="Arial" w:cs="Arial"/>
          <w:sz w:val="20"/>
          <w:szCs w:val="20"/>
        </w:rPr>
        <w:t xml:space="preserve"> in the area of human capital is not enough, particularly to enable better cooperation between academ</w:t>
      </w:r>
      <w:r w:rsidR="00C721D3">
        <w:rPr>
          <w:rFonts w:ascii="Arial" w:hAnsi="Arial" w:cs="Arial"/>
          <w:sz w:val="20"/>
          <w:szCs w:val="20"/>
        </w:rPr>
        <w:t>ia</w:t>
      </w:r>
      <w:r w:rsidRPr="00402580">
        <w:rPr>
          <w:rFonts w:ascii="Arial" w:hAnsi="Arial" w:cs="Arial"/>
          <w:sz w:val="20"/>
          <w:szCs w:val="20"/>
        </w:rPr>
        <w:t xml:space="preserve"> and the local private environment</w:t>
      </w:r>
      <w:r w:rsidR="00C721D3">
        <w:rPr>
          <w:rFonts w:ascii="Arial" w:hAnsi="Arial" w:cs="Arial"/>
          <w:sz w:val="20"/>
          <w:szCs w:val="20"/>
        </w:rPr>
        <w:t>;</w:t>
      </w:r>
      <w:r w:rsidRPr="00402580">
        <w:rPr>
          <w:rFonts w:ascii="Arial" w:hAnsi="Arial" w:cs="Arial"/>
          <w:sz w:val="20"/>
          <w:szCs w:val="20"/>
        </w:rPr>
        <w:t xml:space="preserve"> available JTF funding will support an area of great need.</w:t>
      </w:r>
    </w:p>
    <w:p w14:paraId="2413915E" w14:textId="77777777" w:rsidR="00E614F2" w:rsidRDefault="00E614F2" w:rsidP="00E42342">
      <w:pPr>
        <w:pStyle w:val="Heading2"/>
        <w:numPr>
          <w:ilvl w:val="0"/>
          <w:numId w:val="214"/>
        </w:numPr>
        <w:spacing w:before="240" w:line="240" w:lineRule="auto"/>
        <w:ind w:left="432" w:hanging="432"/>
      </w:pPr>
      <w:bookmarkStart w:id="369" w:name="_Toc90725909"/>
      <w:r>
        <w:t>Potential solutions and opportunities identified during the engagement process</w:t>
      </w:r>
      <w:bookmarkEnd w:id="369"/>
    </w:p>
    <w:p w14:paraId="31C317C5" w14:textId="778B2753" w:rsidR="00E614F2" w:rsidRDefault="00E614F2" w:rsidP="00402580">
      <w:pPr>
        <w:jc w:val="both"/>
        <w:rPr>
          <w:rFonts w:ascii="Arial" w:hAnsi="Arial" w:cs="Arial"/>
          <w:sz w:val="20"/>
          <w:szCs w:val="20"/>
          <w:lang w:eastAsia="en-US"/>
        </w:rPr>
      </w:pPr>
      <w:r w:rsidRPr="00355188">
        <w:rPr>
          <w:rFonts w:ascii="Arial" w:hAnsi="Arial" w:cs="Arial"/>
          <w:sz w:val="20"/>
          <w:szCs w:val="20"/>
          <w:lang w:eastAsia="en-US"/>
        </w:rPr>
        <w:t xml:space="preserve">Four main themes of </w:t>
      </w:r>
      <w:r>
        <w:rPr>
          <w:rFonts w:ascii="Arial" w:hAnsi="Arial" w:cs="Arial"/>
          <w:sz w:val="20"/>
          <w:szCs w:val="20"/>
          <w:lang w:eastAsia="en-US"/>
        </w:rPr>
        <w:t xml:space="preserve">intervention </w:t>
      </w:r>
      <w:r w:rsidR="00692333">
        <w:rPr>
          <w:rFonts w:ascii="Arial" w:hAnsi="Arial" w:cs="Arial"/>
          <w:sz w:val="20"/>
          <w:szCs w:val="20"/>
          <w:lang w:eastAsia="en-US"/>
        </w:rPr>
        <w:t>were</w:t>
      </w:r>
      <w:r>
        <w:rPr>
          <w:rFonts w:ascii="Arial" w:hAnsi="Arial" w:cs="Arial"/>
          <w:sz w:val="20"/>
          <w:szCs w:val="20"/>
          <w:lang w:eastAsia="en-US"/>
        </w:rPr>
        <w:t xml:space="preserve"> open to discussion during the regional workshop organi</w:t>
      </w:r>
      <w:r w:rsidR="00692333">
        <w:rPr>
          <w:rFonts w:ascii="Arial" w:hAnsi="Arial" w:cs="Arial"/>
          <w:sz w:val="20"/>
          <w:szCs w:val="20"/>
          <w:lang w:eastAsia="en-US"/>
        </w:rPr>
        <w:t>s</w:t>
      </w:r>
      <w:r>
        <w:rPr>
          <w:rFonts w:ascii="Arial" w:hAnsi="Arial" w:cs="Arial"/>
          <w:sz w:val="20"/>
          <w:szCs w:val="20"/>
          <w:lang w:eastAsia="en-US"/>
        </w:rPr>
        <w:t xml:space="preserve">ed on 11 May 2021, </w:t>
      </w:r>
      <w:r w:rsidR="00692333">
        <w:rPr>
          <w:rFonts w:ascii="Arial" w:hAnsi="Arial" w:cs="Arial"/>
          <w:sz w:val="20"/>
          <w:szCs w:val="20"/>
          <w:lang w:eastAsia="en-US"/>
        </w:rPr>
        <w:t>including</w:t>
      </w:r>
      <w:r>
        <w:rPr>
          <w:rFonts w:ascii="Arial" w:hAnsi="Arial" w:cs="Arial"/>
          <w:sz w:val="20"/>
          <w:szCs w:val="20"/>
          <w:lang w:eastAsia="en-US"/>
        </w:rPr>
        <w:t>:</w:t>
      </w:r>
    </w:p>
    <w:p w14:paraId="2473B9F5" w14:textId="77777777" w:rsidR="00E614F2" w:rsidRPr="00402580" w:rsidRDefault="00E614F2" w:rsidP="00E614F2">
      <w:pPr>
        <w:rPr>
          <w:rFonts w:ascii="Arial" w:hAnsi="Arial" w:cs="Arial"/>
          <w:sz w:val="8"/>
          <w:szCs w:val="8"/>
          <w:lang w:eastAsia="en-US"/>
        </w:rPr>
      </w:pPr>
    </w:p>
    <w:p w14:paraId="06B1BA3C" w14:textId="77777777" w:rsidR="00E614F2" w:rsidRDefault="00E614F2" w:rsidP="00E42342">
      <w:pPr>
        <w:pStyle w:val="ListParagraph"/>
        <w:numPr>
          <w:ilvl w:val="0"/>
          <w:numId w:val="215"/>
        </w:numPr>
        <w:rPr>
          <w:sz w:val="20"/>
          <w:szCs w:val="20"/>
        </w:rPr>
      </w:pPr>
      <w:r w:rsidRPr="00644AF6">
        <w:rPr>
          <w:sz w:val="20"/>
          <w:szCs w:val="20"/>
        </w:rPr>
        <w:t>The future of decarbonisation in the region for large companies</w:t>
      </w:r>
    </w:p>
    <w:p w14:paraId="6B42352F" w14:textId="77777777" w:rsidR="00E614F2" w:rsidRDefault="00E614F2" w:rsidP="00E42342">
      <w:pPr>
        <w:pStyle w:val="ListParagraph"/>
        <w:numPr>
          <w:ilvl w:val="0"/>
          <w:numId w:val="215"/>
        </w:numPr>
        <w:rPr>
          <w:sz w:val="20"/>
          <w:szCs w:val="20"/>
        </w:rPr>
      </w:pPr>
      <w:r>
        <w:rPr>
          <w:sz w:val="20"/>
          <w:szCs w:val="20"/>
        </w:rPr>
        <w:t>Employment and attracting human capital</w:t>
      </w:r>
    </w:p>
    <w:p w14:paraId="65FF3E6A" w14:textId="77777777" w:rsidR="00E614F2" w:rsidRDefault="00E614F2" w:rsidP="00E42342">
      <w:pPr>
        <w:pStyle w:val="ListParagraph"/>
        <w:numPr>
          <w:ilvl w:val="0"/>
          <w:numId w:val="215"/>
        </w:numPr>
        <w:rPr>
          <w:sz w:val="20"/>
          <w:szCs w:val="20"/>
        </w:rPr>
      </w:pPr>
      <w:r>
        <w:rPr>
          <w:sz w:val="20"/>
          <w:szCs w:val="20"/>
        </w:rPr>
        <w:t>Environmental challenges and opportunities</w:t>
      </w:r>
    </w:p>
    <w:p w14:paraId="0C0A498B" w14:textId="77777777" w:rsidR="00E614F2" w:rsidRDefault="00E614F2" w:rsidP="00E42342">
      <w:pPr>
        <w:pStyle w:val="ListParagraph"/>
        <w:numPr>
          <w:ilvl w:val="0"/>
          <w:numId w:val="215"/>
        </w:numPr>
        <w:rPr>
          <w:sz w:val="20"/>
          <w:szCs w:val="20"/>
        </w:rPr>
      </w:pPr>
      <w:r>
        <w:rPr>
          <w:sz w:val="20"/>
          <w:szCs w:val="20"/>
        </w:rPr>
        <w:t>SMEs and entrepreneurship as vectors of regional development</w:t>
      </w:r>
    </w:p>
    <w:p w14:paraId="01B41598" w14:textId="77777777" w:rsidR="00E614F2" w:rsidRDefault="00E614F2" w:rsidP="00E614F2">
      <w:pPr>
        <w:rPr>
          <w:sz w:val="20"/>
          <w:szCs w:val="20"/>
        </w:rPr>
      </w:pPr>
    </w:p>
    <w:p w14:paraId="74AD0F41" w14:textId="1D7AEAB6" w:rsidR="00E614F2" w:rsidRDefault="00E614F2" w:rsidP="00E614F2">
      <w:pPr>
        <w:jc w:val="both"/>
        <w:rPr>
          <w:rFonts w:ascii="Arial" w:hAnsi="Arial" w:cs="Arial"/>
          <w:sz w:val="20"/>
          <w:szCs w:val="20"/>
        </w:rPr>
      </w:pPr>
      <w:r w:rsidRPr="00355188">
        <w:rPr>
          <w:rFonts w:ascii="Arial" w:hAnsi="Arial" w:cs="Arial"/>
          <w:sz w:val="20"/>
          <w:szCs w:val="20"/>
        </w:rPr>
        <w:t xml:space="preserve">Participants were invited to actively participate in the discussions (based on the world-café methodology) and bring forward project ideas and solutions, as well as address opportunities, related to the four main topics. Subsequently, participant ideas </w:t>
      </w:r>
      <w:r w:rsidR="007722E7">
        <w:rPr>
          <w:rFonts w:ascii="Arial" w:hAnsi="Arial" w:cs="Arial"/>
          <w:sz w:val="20"/>
          <w:szCs w:val="20"/>
        </w:rPr>
        <w:t>were</w:t>
      </w:r>
      <w:r w:rsidRPr="00355188">
        <w:rPr>
          <w:rFonts w:ascii="Arial" w:hAnsi="Arial" w:cs="Arial"/>
          <w:sz w:val="20"/>
          <w:szCs w:val="20"/>
        </w:rPr>
        <w:t xml:space="preserve"> </w:t>
      </w:r>
      <w:r w:rsidR="007722E7">
        <w:rPr>
          <w:rFonts w:ascii="Arial" w:hAnsi="Arial" w:cs="Arial"/>
          <w:sz w:val="20"/>
          <w:szCs w:val="20"/>
        </w:rPr>
        <w:t>collected</w:t>
      </w:r>
      <w:r w:rsidRPr="00355188">
        <w:rPr>
          <w:rFonts w:ascii="Arial" w:hAnsi="Arial" w:cs="Arial"/>
          <w:sz w:val="20"/>
          <w:szCs w:val="20"/>
        </w:rPr>
        <w:t xml:space="preserve"> and further assessed by the </w:t>
      </w:r>
      <w:r w:rsidR="007722E7">
        <w:rPr>
          <w:rFonts w:ascii="Arial" w:hAnsi="Arial" w:cs="Arial"/>
          <w:sz w:val="20"/>
          <w:szCs w:val="20"/>
        </w:rPr>
        <w:t xml:space="preserve">TA </w:t>
      </w:r>
      <w:r w:rsidRPr="00355188">
        <w:rPr>
          <w:rFonts w:ascii="Arial" w:hAnsi="Arial" w:cs="Arial"/>
          <w:sz w:val="20"/>
          <w:szCs w:val="20"/>
        </w:rPr>
        <w:t xml:space="preserve">team. The main takeaways are presented in this </w:t>
      </w:r>
      <w:r w:rsidR="00091FE3">
        <w:rPr>
          <w:rFonts w:ascii="Arial" w:hAnsi="Arial" w:cs="Arial"/>
          <w:sz w:val="20"/>
          <w:szCs w:val="20"/>
        </w:rPr>
        <w:t>section</w:t>
      </w:r>
      <w:r w:rsidRPr="00355188">
        <w:rPr>
          <w:rFonts w:ascii="Arial" w:hAnsi="Arial" w:cs="Arial"/>
          <w:sz w:val="20"/>
          <w:szCs w:val="20"/>
        </w:rPr>
        <w:t xml:space="preserve"> for </w:t>
      </w:r>
      <w:r w:rsidR="003751DC">
        <w:rPr>
          <w:rFonts w:ascii="Arial" w:hAnsi="Arial" w:cs="Arial"/>
          <w:sz w:val="20"/>
          <w:szCs w:val="20"/>
        </w:rPr>
        <w:t>Galați</w:t>
      </w:r>
      <w:r>
        <w:rPr>
          <w:rFonts w:ascii="Arial" w:hAnsi="Arial" w:cs="Arial"/>
          <w:sz w:val="20"/>
          <w:szCs w:val="20"/>
        </w:rPr>
        <w:t xml:space="preserve"> </w:t>
      </w:r>
      <w:r w:rsidR="007722E7">
        <w:rPr>
          <w:rFonts w:ascii="Arial" w:hAnsi="Arial" w:cs="Arial"/>
          <w:sz w:val="20"/>
          <w:szCs w:val="20"/>
        </w:rPr>
        <w:t>C</w:t>
      </w:r>
      <w:r w:rsidRPr="00355188">
        <w:rPr>
          <w:rFonts w:ascii="Arial" w:hAnsi="Arial" w:cs="Arial"/>
          <w:sz w:val="20"/>
          <w:szCs w:val="20"/>
        </w:rPr>
        <w:t>ounty.</w:t>
      </w:r>
    </w:p>
    <w:p w14:paraId="273BD9E9" w14:textId="77777777" w:rsidR="00E614F2" w:rsidRDefault="00E614F2" w:rsidP="00BC0F67">
      <w:pPr>
        <w:shd w:val="clear" w:color="auto" w:fill="FFFFFF"/>
        <w:spacing w:after="240"/>
        <w:jc w:val="both"/>
        <w:rPr>
          <w:sz w:val="20"/>
          <w:szCs w:val="20"/>
        </w:rPr>
        <w:sectPr w:rsidR="00E614F2" w:rsidSect="00983DC7">
          <w:headerReference w:type="default" r:id="rId239"/>
          <w:footerReference w:type="default" r:id="rId240"/>
          <w:pgSz w:w="11909" w:h="16834"/>
          <w:pgMar w:top="1440" w:right="1440" w:bottom="1440" w:left="1530" w:header="720" w:footer="720" w:gutter="0"/>
          <w:cols w:space="720"/>
          <w:docGrid w:linePitch="299"/>
        </w:sectPr>
      </w:pPr>
    </w:p>
    <w:p w14:paraId="3D0A0571" w14:textId="417216BB" w:rsidR="00E614F2" w:rsidRDefault="00E614F2" w:rsidP="00C721D3">
      <w:pPr>
        <w:pStyle w:val="Caption"/>
      </w:pPr>
      <w:bookmarkStart w:id="370" w:name="_Toc90726035"/>
      <w:bookmarkStart w:id="371" w:name="_Toc90727332"/>
      <w:r>
        <w:lastRenderedPageBreak/>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81</w:t>
      </w:r>
      <w:r w:rsidR="000B273D">
        <w:rPr>
          <w:noProof/>
        </w:rPr>
        <w:fldChar w:fldCharType="end"/>
      </w:r>
      <w:r>
        <w:t xml:space="preserve">: Regional workshop harvesting for </w:t>
      </w:r>
      <w:r w:rsidR="003751DC">
        <w:t>Galați</w:t>
      </w:r>
      <w:r>
        <w:t xml:space="preserve"> </w:t>
      </w:r>
      <w:r w:rsidR="007722E7">
        <w:t>C</w:t>
      </w:r>
      <w:r>
        <w:t>ounty</w:t>
      </w:r>
      <w:bookmarkEnd w:id="370"/>
      <w:bookmarkEnd w:id="371"/>
    </w:p>
    <w:tbl>
      <w:tblPr>
        <w:tblW w:w="14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7"/>
        <w:gridCol w:w="1398"/>
        <w:gridCol w:w="5802"/>
        <w:gridCol w:w="1286"/>
      </w:tblGrid>
      <w:tr w:rsidR="00E614F2" w:rsidRPr="00E614F2" w14:paraId="025638A3" w14:textId="77777777" w:rsidTr="00EE02DE">
        <w:tc>
          <w:tcPr>
            <w:tcW w:w="14173" w:type="dxa"/>
            <w:gridSpan w:val="4"/>
            <w:shd w:val="clear" w:color="auto" w:fill="93C47D"/>
          </w:tcPr>
          <w:p w14:paraId="299BC8A8" w14:textId="22CF7B7F" w:rsidR="00E614F2" w:rsidRPr="00C721D3" w:rsidRDefault="00E614F2" w:rsidP="00EE02DE">
            <w:pPr>
              <w:spacing w:before="240" w:after="240"/>
              <w:ind w:hanging="2"/>
              <w:rPr>
                <w:rFonts w:ascii="Arial" w:hAnsi="Arial" w:cs="Arial"/>
                <w:sz w:val="18"/>
                <w:szCs w:val="18"/>
              </w:rPr>
            </w:pPr>
            <w:r w:rsidRPr="00C721D3">
              <w:rPr>
                <w:rFonts w:ascii="Arial" w:hAnsi="Arial" w:cs="Arial"/>
                <w:b/>
                <w:sz w:val="18"/>
                <w:szCs w:val="18"/>
              </w:rPr>
              <w:t xml:space="preserve">Ideas and solutions in the </w:t>
            </w:r>
            <w:r w:rsidR="0096607E">
              <w:rPr>
                <w:rFonts w:ascii="Arial" w:hAnsi="Arial" w:cs="Arial"/>
                <w:b/>
                <w:sz w:val="18"/>
                <w:szCs w:val="18"/>
              </w:rPr>
              <w:t>J</w:t>
            </w:r>
            <w:r w:rsidRPr="00C721D3">
              <w:rPr>
                <w:rFonts w:ascii="Arial" w:hAnsi="Arial" w:cs="Arial"/>
                <w:b/>
                <w:sz w:val="18"/>
                <w:szCs w:val="18"/>
              </w:rPr>
              <w:t xml:space="preserve">ust </w:t>
            </w:r>
            <w:r w:rsidR="0096607E">
              <w:rPr>
                <w:rFonts w:ascii="Arial" w:hAnsi="Arial" w:cs="Arial"/>
                <w:b/>
                <w:sz w:val="18"/>
                <w:szCs w:val="18"/>
              </w:rPr>
              <w:t>T</w:t>
            </w:r>
            <w:r w:rsidRPr="00C721D3">
              <w:rPr>
                <w:rFonts w:ascii="Arial" w:hAnsi="Arial" w:cs="Arial"/>
                <w:b/>
                <w:sz w:val="18"/>
                <w:szCs w:val="18"/>
              </w:rPr>
              <w:t xml:space="preserve">ransition process, </w:t>
            </w:r>
            <w:r w:rsidR="003751DC">
              <w:rPr>
                <w:rFonts w:ascii="Arial" w:hAnsi="Arial" w:cs="Arial"/>
                <w:b/>
                <w:sz w:val="18"/>
                <w:szCs w:val="18"/>
              </w:rPr>
              <w:t>Galați</w:t>
            </w:r>
            <w:r w:rsidRPr="00C721D3">
              <w:rPr>
                <w:rFonts w:ascii="Arial" w:hAnsi="Arial" w:cs="Arial"/>
                <w:b/>
                <w:sz w:val="18"/>
                <w:szCs w:val="18"/>
              </w:rPr>
              <w:t xml:space="preserve"> </w:t>
            </w:r>
            <w:r w:rsidR="0096607E">
              <w:rPr>
                <w:rFonts w:ascii="Arial" w:hAnsi="Arial" w:cs="Arial"/>
                <w:b/>
                <w:sz w:val="18"/>
                <w:szCs w:val="18"/>
              </w:rPr>
              <w:t>C</w:t>
            </w:r>
            <w:r w:rsidRPr="00C721D3">
              <w:rPr>
                <w:rFonts w:ascii="Arial" w:hAnsi="Arial" w:cs="Arial"/>
                <w:b/>
                <w:sz w:val="18"/>
                <w:szCs w:val="18"/>
              </w:rPr>
              <w:t xml:space="preserve">ounty, May 2021 </w:t>
            </w:r>
          </w:p>
          <w:p w14:paraId="586DAB6C" w14:textId="77777777" w:rsidR="00E614F2" w:rsidRPr="00C721D3" w:rsidRDefault="00E614F2" w:rsidP="00EE02DE">
            <w:pPr>
              <w:ind w:hanging="2"/>
              <w:rPr>
                <w:rFonts w:ascii="Arial" w:hAnsi="Arial" w:cs="Arial"/>
                <w:sz w:val="18"/>
                <w:szCs w:val="18"/>
              </w:rPr>
            </w:pPr>
          </w:p>
        </w:tc>
      </w:tr>
      <w:tr w:rsidR="00E614F2" w:rsidRPr="00E614F2" w14:paraId="1B2FC16E" w14:textId="77777777" w:rsidTr="00EE02DE">
        <w:tc>
          <w:tcPr>
            <w:tcW w:w="5687" w:type="dxa"/>
          </w:tcPr>
          <w:p w14:paraId="7100928D" w14:textId="77777777" w:rsidR="00E614F2" w:rsidRDefault="00E614F2" w:rsidP="00EE02DE">
            <w:pPr>
              <w:ind w:hanging="2"/>
              <w:rPr>
                <w:rFonts w:ascii="Arial" w:hAnsi="Arial" w:cs="Arial"/>
                <w:b/>
                <w:sz w:val="18"/>
                <w:szCs w:val="18"/>
              </w:rPr>
            </w:pPr>
            <w:r w:rsidRPr="00E614F2">
              <w:rPr>
                <w:rFonts w:ascii="Arial" w:hAnsi="Arial" w:cs="Arial"/>
                <w:b/>
                <w:sz w:val="18"/>
                <w:szCs w:val="18"/>
              </w:rPr>
              <w:t xml:space="preserve">The future of decarbonisation in the region for large companies (also focusing on areas/industries with growth potential in the region) </w:t>
            </w:r>
          </w:p>
          <w:p w14:paraId="1AA2E68D" w14:textId="77777777" w:rsidR="00E614F2" w:rsidRDefault="00E614F2" w:rsidP="00EE02DE">
            <w:pPr>
              <w:ind w:hanging="2"/>
              <w:rPr>
                <w:rFonts w:ascii="Arial" w:hAnsi="Arial" w:cs="Arial"/>
                <w:b/>
                <w:sz w:val="18"/>
                <w:szCs w:val="18"/>
              </w:rPr>
            </w:pPr>
          </w:p>
          <w:p w14:paraId="40C775FE" w14:textId="3E032B5A" w:rsidR="00E614F2" w:rsidRPr="00B63558" w:rsidRDefault="00E614F2" w:rsidP="00EE02DE">
            <w:pPr>
              <w:ind w:hanging="2"/>
              <w:rPr>
                <w:rFonts w:ascii="Arial" w:hAnsi="Arial" w:cs="Arial"/>
                <w:sz w:val="18"/>
                <w:szCs w:val="18"/>
              </w:rPr>
            </w:pPr>
            <w:r w:rsidRPr="00E614F2">
              <w:rPr>
                <w:rFonts w:ascii="Arial" w:hAnsi="Arial" w:cs="Arial"/>
                <w:i/>
                <w:sz w:val="18"/>
                <w:szCs w:val="18"/>
              </w:rPr>
              <w:t>What are the development opportunities in the region/county? What are the sectors, business areas, industries with growth potential in the region/county? How can large companies in the region/county be prepared for a decarbonised future?</w:t>
            </w:r>
          </w:p>
        </w:tc>
        <w:tc>
          <w:tcPr>
            <w:tcW w:w="1398" w:type="dxa"/>
          </w:tcPr>
          <w:p w14:paraId="3F0674A2" w14:textId="77777777" w:rsidR="00E614F2" w:rsidRPr="00E614F2" w:rsidRDefault="00E614F2" w:rsidP="00EE02DE">
            <w:pPr>
              <w:ind w:hanging="2"/>
              <w:rPr>
                <w:rFonts w:ascii="Arial" w:hAnsi="Arial" w:cs="Arial"/>
                <w:sz w:val="18"/>
                <w:szCs w:val="18"/>
              </w:rPr>
            </w:pPr>
            <w:r w:rsidRPr="00E614F2">
              <w:rPr>
                <w:rFonts w:ascii="Arial" w:hAnsi="Arial" w:cs="Arial"/>
                <w:noProof/>
                <w:sz w:val="18"/>
                <w:szCs w:val="18"/>
                <w:lang w:val="en-US" w:eastAsia="en-US"/>
              </w:rPr>
              <w:drawing>
                <wp:inline distT="114300" distB="114300" distL="114300" distR="114300" wp14:anchorId="15ACEAC7" wp14:editId="25B78021">
                  <wp:extent cx="752475" cy="812800"/>
                  <wp:effectExtent l="0" t="0" r="0" b="0"/>
                  <wp:docPr id="3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2"/>
                          <a:srcRect/>
                          <a:stretch>
                            <a:fillRect/>
                          </a:stretch>
                        </pic:blipFill>
                        <pic:spPr>
                          <a:xfrm>
                            <a:off x="0" y="0"/>
                            <a:ext cx="752475" cy="812800"/>
                          </a:xfrm>
                          <a:prstGeom prst="rect">
                            <a:avLst/>
                          </a:prstGeom>
                          <a:ln/>
                        </pic:spPr>
                      </pic:pic>
                    </a:graphicData>
                  </a:graphic>
                </wp:inline>
              </w:drawing>
            </w:r>
          </w:p>
        </w:tc>
        <w:tc>
          <w:tcPr>
            <w:tcW w:w="5802" w:type="dxa"/>
          </w:tcPr>
          <w:p w14:paraId="4641C04F" w14:textId="77777777" w:rsidR="00E614F2" w:rsidRDefault="00E614F2" w:rsidP="00EE02DE">
            <w:pPr>
              <w:spacing w:after="240"/>
              <w:ind w:hanging="2"/>
              <w:rPr>
                <w:rFonts w:ascii="Arial" w:hAnsi="Arial" w:cs="Arial"/>
                <w:b/>
                <w:i/>
                <w:sz w:val="18"/>
                <w:szCs w:val="18"/>
              </w:rPr>
            </w:pPr>
            <w:r w:rsidRPr="00E614F2">
              <w:rPr>
                <w:rFonts w:ascii="Arial" w:hAnsi="Arial" w:cs="Arial"/>
                <w:b/>
                <w:sz w:val="18"/>
                <w:szCs w:val="18"/>
              </w:rPr>
              <w:t>Employability and attracting human capital (including retraining and further qualification)</w:t>
            </w:r>
            <w:r w:rsidRPr="00B63558">
              <w:rPr>
                <w:rFonts w:ascii="Arial" w:hAnsi="Arial" w:cs="Arial"/>
                <w:b/>
                <w:i/>
                <w:sz w:val="18"/>
                <w:szCs w:val="18"/>
              </w:rPr>
              <w:t xml:space="preserve"> </w:t>
            </w:r>
          </w:p>
          <w:p w14:paraId="75B52FC8" w14:textId="7673744E" w:rsidR="00E614F2" w:rsidRPr="00E614F2" w:rsidRDefault="00E614F2" w:rsidP="00EE02DE">
            <w:pPr>
              <w:spacing w:after="240"/>
              <w:ind w:hanging="2"/>
              <w:rPr>
                <w:rFonts w:ascii="Arial" w:hAnsi="Arial" w:cs="Arial"/>
                <w:sz w:val="18"/>
                <w:szCs w:val="18"/>
              </w:rPr>
            </w:pPr>
            <w:r w:rsidRPr="00E614F2">
              <w:rPr>
                <w:rFonts w:ascii="Arial" w:hAnsi="Arial" w:cs="Arial"/>
                <w:i/>
                <w:sz w:val="18"/>
                <w:szCs w:val="18"/>
              </w:rPr>
              <w:t>What could help increase employability in the region/county? What kind of skills, competences are needed in the region/county? What kind of retraining/additional skills programmes are needed in the region/county? What kind of activities or programmes are needed for people to make their transition easier?</w:t>
            </w:r>
          </w:p>
        </w:tc>
        <w:tc>
          <w:tcPr>
            <w:tcW w:w="1286" w:type="dxa"/>
          </w:tcPr>
          <w:p w14:paraId="42F7100E" w14:textId="77777777" w:rsidR="00E614F2" w:rsidRPr="00C721D3" w:rsidRDefault="00E614F2" w:rsidP="00EE02DE">
            <w:pPr>
              <w:ind w:hanging="2"/>
              <w:rPr>
                <w:rFonts w:ascii="Arial" w:hAnsi="Arial" w:cs="Arial"/>
                <w:sz w:val="18"/>
                <w:szCs w:val="18"/>
              </w:rPr>
            </w:pPr>
            <w:r w:rsidRPr="00C721D3">
              <w:rPr>
                <w:rFonts w:ascii="Arial" w:hAnsi="Arial" w:cs="Arial"/>
                <w:noProof/>
                <w:sz w:val="18"/>
                <w:szCs w:val="18"/>
                <w:lang w:val="en-US" w:eastAsia="en-US"/>
              </w:rPr>
              <w:drawing>
                <wp:inline distT="114300" distB="114300" distL="114300" distR="114300" wp14:anchorId="0BBB2F6F" wp14:editId="271766B4">
                  <wp:extent cx="685800" cy="736600"/>
                  <wp:effectExtent l="0" t="0" r="0" b="0"/>
                  <wp:docPr id="3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07"/>
                          <a:srcRect/>
                          <a:stretch>
                            <a:fillRect/>
                          </a:stretch>
                        </pic:blipFill>
                        <pic:spPr>
                          <a:xfrm>
                            <a:off x="0" y="0"/>
                            <a:ext cx="685800" cy="736600"/>
                          </a:xfrm>
                          <a:prstGeom prst="rect">
                            <a:avLst/>
                          </a:prstGeom>
                          <a:ln/>
                        </pic:spPr>
                      </pic:pic>
                    </a:graphicData>
                  </a:graphic>
                </wp:inline>
              </w:drawing>
            </w:r>
          </w:p>
        </w:tc>
      </w:tr>
      <w:tr w:rsidR="00E614F2" w:rsidRPr="00E614F2" w14:paraId="43D291B6" w14:textId="77777777" w:rsidTr="00EE02DE">
        <w:trPr>
          <w:trHeight w:val="200"/>
        </w:trPr>
        <w:tc>
          <w:tcPr>
            <w:tcW w:w="7085" w:type="dxa"/>
            <w:gridSpan w:val="2"/>
          </w:tcPr>
          <w:p w14:paraId="121C525C" w14:textId="77777777" w:rsidR="00E614F2" w:rsidRPr="00C721D3" w:rsidRDefault="00E614F2" w:rsidP="00EE02DE">
            <w:pPr>
              <w:spacing w:before="240" w:after="240"/>
              <w:ind w:hanging="2"/>
              <w:rPr>
                <w:rFonts w:ascii="Arial" w:hAnsi="Arial" w:cs="Arial"/>
                <w:b/>
                <w:sz w:val="18"/>
                <w:szCs w:val="18"/>
              </w:rPr>
            </w:pPr>
            <w:r w:rsidRPr="00C721D3">
              <w:rPr>
                <w:rFonts w:ascii="Arial" w:hAnsi="Arial" w:cs="Arial"/>
                <w:b/>
                <w:sz w:val="18"/>
                <w:szCs w:val="18"/>
              </w:rPr>
              <w:t>Important general aspects</w:t>
            </w:r>
          </w:p>
          <w:p w14:paraId="63904C24" w14:textId="76C467EF" w:rsidR="00E614F2" w:rsidRPr="001C7238" w:rsidRDefault="003751DC" w:rsidP="00E42342">
            <w:pPr>
              <w:pStyle w:val="Briefingtext"/>
              <w:numPr>
                <w:ilvl w:val="0"/>
                <w:numId w:val="328"/>
              </w:numPr>
              <w:spacing w:after="0"/>
              <w:rPr>
                <w:sz w:val="18"/>
                <w:szCs w:val="20"/>
              </w:rPr>
            </w:pPr>
            <w:r>
              <w:rPr>
                <w:sz w:val="18"/>
                <w:szCs w:val="20"/>
              </w:rPr>
              <w:t>Galați</w:t>
            </w:r>
            <w:r w:rsidR="00E614F2" w:rsidRPr="001C7238">
              <w:rPr>
                <w:sz w:val="18"/>
                <w:szCs w:val="20"/>
              </w:rPr>
              <w:t xml:space="preserve"> </w:t>
            </w:r>
            <w:r w:rsidR="0096607E" w:rsidRPr="001C7238">
              <w:rPr>
                <w:sz w:val="18"/>
                <w:szCs w:val="20"/>
              </w:rPr>
              <w:t>C</w:t>
            </w:r>
            <w:r w:rsidR="00E614F2" w:rsidRPr="001C7238">
              <w:rPr>
                <w:sz w:val="18"/>
                <w:szCs w:val="20"/>
              </w:rPr>
              <w:t>ounty has a concentration of 4 large economic sectors</w:t>
            </w:r>
          </w:p>
          <w:p w14:paraId="31C5EE2D" w14:textId="77777777" w:rsidR="00E614F2" w:rsidRPr="001C7238" w:rsidRDefault="00E614F2" w:rsidP="00E42342">
            <w:pPr>
              <w:pStyle w:val="Briefingtext"/>
              <w:numPr>
                <w:ilvl w:val="0"/>
                <w:numId w:val="328"/>
              </w:numPr>
              <w:pBdr>
                <w:top w:val="nil"/>
                <w:left w:val="nil"/>
                <w:bottom w:val="nil"/>
                <w:right w:val="nil"/>
                <w:between w:val="nil"/>
              </w:pBdr>
              <w:spacing w:after="0"/>
              <w:textDirection w:val="btLr"/>
              <w:rPr>
                <w:sz w:val="18"/>
                <w:szCs w:val="20"/>
              </w:rPr>
            </w:pPr>
            <w:r w:rsidRPr="001C7238">
              <w:rPr>
                <w:sz w:val="18"/>
                <w:szCs w:val="20"/>
              </w:rPr>
              <w:t>There is a risk of a decrease in jobs, important to monitor this indicator</w:t>
            </w:r>
          </w:p>
          <w:p w14:paraId="114EF9CF" w14:textId="1855BBC6" w:rsidR="00E614F2" w:rsidRPr="001C7238" w:rsidRDefault="00E614F2" w:rsidP="00E42342">
            <w:pPr>
              <w:pStyle w:val="Briefingtext"/>
              <w:numPr>
                <w:ilvl w:val="0"/>
                <w:numId w:val="328"/>
              </w:numPr>
              <w:pBdr>
                <w:top w:val="nil"/>
                <w:left w:val="nil"/>
                <w:bottom w:val="nil"/>
                <w:right w:val="nil"/>
                <w:between w:val="nil"/>
              </w:pBdr>
              <w:spacing w:after="0"/>
              <w:textDirection w:val="btLr"/>
              <w:rPr>
                <w:sz w:val="18"/>
                <w:szCs w:val="20"/>
              </w:rPr>
            </w:pPr>
            <w:r w:rsidRPr="001C7238">
              <w:rPr>
                <w:sz w:val="18"/>
                <w:szCs w:val="20"/>
              </w:rPr>
              <w:t>Its positioning on the Danube is an advantage for large enterprises</w:t>
            </w:r>
          </w:p>
          <w:p w14:paraId="1DD23C4A" w14:textId="77777777" w:rsidR="00E614F2" w:rsidRPr="001C7238" w:rsidRDefault="00E614F2" w:rsidP="00E42342">
            <w:pPr>
              <w:pStyle w:val="Briefingtext"/>
              <w:numPr>
                <w:ilvl w:val="0"/>
                <w:numId w:val="328"/>
              </w:numPr>
              <w:pBdr>
                <w:top w:val="nil"/>
                <w:left w:val="nil"/>
                <w:bottom w:val="nil"/>
                <w:right w:val="nil"/>
                <w:between w:val="nil"/>
              </w:pBdr>
              <w:spacing w:after="0"/>
              <w:textDirection w:val="btLr"/>
              <w:rPr>
                <w:sz w:val="18"/>
                <w:szCs w:val="20"/>
              </w:rPr>
            </w:pPr>
            <w:r w:rsidRPr="001C7238">
              <w:rPr>
                <w:sz w:val="18"/>
                <w:szCs w:val="20"/>
              </w:rPr>
              <w:t>Large enterprises generate pollution</w:t>
            </w:r>
          </w:p>
          <w:p w14:paraId="255F9E4E" w14:textId="77777777" w:rsidR="00E614F2" w:rsidRPr="001C7238" w:rsidRDefault="00E614F2" w:rsidP="00E42342">
            <w:pPr>
              <w:pStyle w:val="Briefingtext"/>
              <w:numPr>
                <w:ilvl w:val="0"/>
                <w:numId w:val="328"/>
              </w:numPr>
              <w:pBdr>
                <w:top w:val="nil"/>
                <w:left w:val="nil"/>
                <w:bottom w:val="nil"/>
                <w:right w:val="nil"/>
                <w:between w:val="nil"/>
              </w:pBdr>
              <w:spacing w:after="0"/>
              <w:textDirection w:val="btLr"/>
              <w:rPr>
                <w:sz w:val="18"/>
                <w:szCs w:val="20"/>
              </w:rPr>
            </w:pPr>
            <w:r w:rsidRPr="001C7238">
              <w:rPr>
                <w:sz w:val="18"/>
                <w:szCs w:val="20"/>
              </w:rPr>
              <w:t>It is appropriate to develop infrastructure</w:t>
            </w:r>
          </w:p>
          <w:p w14:paraId="6048CB62" w14:textId="77777777" w:rsidR="00E614F2" w:rsidRPr="00C721D3" w:rsidRDefault="00E614F2" w:rsidP="00331111">
            <w:pPr>
              <w:spacing w:before="120" w:after="120"/>
              <w:rPr>
                <w:rFonts w:ascii="Arial" w:hAnsi="Arial" w:cs="Arial"/>
                <w:b/>
                <w:sz w:val="18"/>
                <w:szCs w:val="18"/>
              </w:rPr>
            </w:pPr>
            <w:r w:rsidRPr="00C721D3">
              <w:rPr>
                <w:rFonts w:ascii="Arial" w:hAnsi="Arial" w:cs="Arial"/>
                <w:b/>
                <w:sz w:val="18"/>
                <w:szCs w:val="18"/>
              </w:rPr>
              <w:t>Developing industries and partnerships</w:t>
            </w:r>
          </w:p>
          <w:p w14:paraId="489C10F1" w14:textId="77777777" w:rsidR="00331111" w:rsidRPr="001C7238" w:rsidRDefault="00E614F2" w:rsidP="00E42342">
            <w:pPr>
              <w:pStyle w:val="Briefingtext"/>
              <w:numPr>
                <w:ilvl w:val="0"/>
                <w:numId w:val="328"/>
              </w:numPr>
              <w:spacing w:after="0"/>
              <w:textDirection w:val="btLr"/>
              <w:rPr>
                <w:sz w:val="18"/>
                <w:szCs w:val="20"/>
              </w:rPr>
            </w:pPr>
            <w:r w:rsidRPr="001C7238">
              <w:rPr>
                <w:sz w:val="18"/>
                <w:szCs w:val="20"/>
              </w:rPr>
              <w:t>Services, catering, HORECA</w:t>
            </w:r>
          </w:p>
          <w:p w14:paraId="59F040E4" w14:textId="2642C1B2" w:rsidR="00E614F2" w:rsidRPr="001C7238" w:rsidRDefault="00E614F2" w:rsidP="00E42342">
            <w:pPr>
              <w:pStyle w:val="Briefingtext"/>
              <w:numPr>
                <w:ilvl w:val="0"/>
                <w:numId w:val="328"/>
              </w:numPr>
              <w:spacing w:after="0"/>
              <w:textDirection w:val="btLr"/>
              <w:rPr>
                <w:sz w:val="18"/>
                <w:szCs w:val="20"/>
              </w:rPr>
            </w:pPr>
            <w:r w:rsidRPr="001C7238">
              <w:rPr>
                <w:sz w:val="18"/>
                <w:szCs w:val="20"/>
              </w:rPr>
              <w:t>Food industry (bakery, slaughterhouse)</w:t>
            </w:r>
          </w:p>
          <w:p w14:paraId="70F640EB"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Development of fishing, fish farming  </w:t>
            </w:r>
          </w:p>
          <w:p w14:paraId="32256C43" w14:textId="56A799E8" w:rsidR="00E614F2" w:rsidRPr="001C7238" w:rsidRDefault="00E614F2" w:rsidP="00E42342">
            <w:pPr>
              <w:pStyle w:val="Briefingtext"/>
              <w:numPr>
                <w:ilvl w:val="0"/>
                <w:numId w:val="328"/>
              </w:numPr>
              <w:spacing w:after="0"/>
              <w:textDirection w:val="btLr"/>
              <w:rPr>
                <w:sz w:val="18"/>
                <w:szCs w:val="20"/>
              </w:rPr>
            </w:pPr>
            <w:r w:rsidRPr="001C7238">
              <w:rPr>
                <w:sz w:val="18"/>
                <w:szCs w:val="20"/>
              </w:rPr>
              <w:t>Construction industry</w:t>
            </w:r>
          </w:p>
          <w:p w14:paraId="60B7079A"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Partnerships between the food industry for research and innovation with SMEs and academia, universities with research funding are appropriate</w:t>
            </w:r>
          </w:p>
          <w:p w14:paraId="68AB80CD" w14:textId="6A0DA2D4"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Large, large-scale projects are appropriate, </w:t>
            </w:r>
            <w:r w:rsidR="00331111" w:rsidRPr="001C7238">
              <w:rPr>
                <w:sz w:val="18"/>
                <w:szCs w:val="20"/>
              </w:rPr>
              <w:t>e.g.,</w:t>
            </w:r>
            <w:r w:rsidRPr="001C7238">
              <w:rPr>
                <w:sz w:val="18"/>
                <w:szCs w:val="20"/>
              </w:rPr>
              <w:t xml:space="preserve"> recalibration of the industrial park for the software industry</w:t>
            </w:r>
          </w:p>
          <w:p w14:paraId="16791ADB"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Transformation/completion of IT industry towards AI and robotics</w:t>
            </w:r>
          </w:p>
          <w:p w14:paraId="3F0809FE" w14:textId="77777777" w:rsidR="00E614F2" w:rsidRPr="00C721D3" w:rsidRDefault="00E614F2" w:rsidP="00331111">
            <w:pPr>
              <w:spacing w:before="120" w:after="120"/>
              <w:rPr>
                <w:rFonts w:ascii="Arial" w:hAnsi="Arial" w:cs="Arial"/>
                <w:sz w:val="18"/>
                <w:szCs w:val="18"/>
              </w:rPr>
            </w:pPr>
            <w:r w:rsidRPr="00C721D3">
              <w:rPr>
                <w:rFonts w:ascii="Arial" w:hAnsi="Arial" w:cs="Arial"/>
                <w:sz w:val="18"/>
                <w:szCs w:val="18"/>
              </w:rPr>
              <w:t xml:space="preserve">Staff training, qualification </w:t>
            </w:r>
          </w:p>
          <w:p w14:paraId="32742539" w14:textId="546026AB"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Specialists are hard to find, there are no overqualified staff in </w:t>
            </w:r>
            <w:r w:rsidR="003751DC">
              <w:rPr>
                <w:sz w:val="18"/>
                <w:szCs w:val="20"/>
              </w:rPr>
              <w:t>Galați</w:t>
            </w:r>
          </w:p>
          <w:p w14:paraId="2CC4CE4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Measures are needed to qualify/requalify/orientate students through enrolment in doctoral courses</w:t>
            </w:r>
          </w:p>
          <w:p w14:paraId="152A5A14" w14:textId="06A05E24" w:rsidR="00E614F2" w:rsidRPr="001C7238" w:rsidRDefault="00E614F2" w:rsidP="00E42342">
            <w:pPr>
              <w:pStyle w:val="Briefingtext"/>
              <w:numPr>
                <w:ilvl w:val="0"/>
                <w:numId w:val="328"/>
              </w:numPr>
              <w:spacing w:after="0"/>
              <w:textDirection w:val="btLr"/>
              <w:rPr>
                <w:sz w:val="18"/>
                <w:szCs w:val="20"/>
              </w:rPr>
            </w:pPr>
            <w:r w:rsidRPr="001C7238">
              <w:rPr>
                <w:sz w:val="18"/>
                <w:szCs w:val="20"/>
              </w:rPr>
              <w:t>It is advisable to develop apprentice schools for new trades</w:t>
            </w:r>
          </w:p>
          <w:p w14:paraId="14CE746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Development of industrial scholarships - partnerships - funding</w:t>
            </w:r>
          </w:p>
          <w:p w14:paraId="4F5463AA" w14:textId="449C0F4E" w:rsidR="00E614F2" w:rsidRPr="00C721D3" w:rsidRDefault="00E614F2" w:rsidP="00331111">
            <w:pPr>
              <w:spacing w:before="120" w:after="120"/>
              <w:rPr>
                <w:rFonts w:ascii="Arial" w:hAnsi="Arial" w:cs="Arial"/>
                <w:sz w:val="18"/>
                <w:szCs w:val="18"/>
              </w:rPr>
            </w:pPr>
            <w:r w:rsidRPr="00C721D3">
              <w:rPr>
                <w:rFonts w:ascii="Arial" w:hAnsi="Arial" w:cs="Arial"/>
                <w:sz w:val="18"/>
                <w:szCs w:val="18"/>
              </w:rPr>
              <w:lastRenderedPageBreak/>
              <w:t xml:space="preserve">Liberty </w:t>
            </w:r>
            <w:r w:rsidR="003751DC">
              <w:rPr>
                <w:rFonts w:ascii="Arial" w:hAnsi="Arial" w:cs="Arial"/>
                <w:sz w:val="18"/>
                <w:szCs w:val="18"/>
              </w:rPr>
              <w:t>Galați</w:t>
            </w:r>
          </w:p>
          <w:p w14:paraId="73805F33" w14:textId="0FF816CA" w:rsidR="00E614F2" w:rsidRPr="001C7238" w:rsidRDefault="00E614F2" w:rsidP="00E42342">
            <w:pPr>
              <w:pStyle w:val="Briefingtext"/>
              <w:numPr>
                <w:ilvl w:val="0"/>
                <w:numId w:val="328"/>
              </w:numPr>
              <w:spacing w:after="0"/>
              <w:textDirection w:val="btLr"/>
              <w:rPr>
                <w:sz w:val="18"/>
                <w:szCs w:val="20"/>
              </w:rPr>
            </w:pPr>
            <w:r w:rsidRPr="001C7238">
              <w:rPr>
                <w:sz w:val="18"/>
                <w:szCs w:val="20"/>
              </w:rPr>
              <w:t>Existence of a clear emission reduction strategy</w:t>
            </w:r>
          </w:p>
          <w:p w14:paraId="1ED11DB1"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Willingness to take up new technologies and existing plans for diversifying the business (Liberty, ee producer)</w:t>
            </w:r>
          </w:p>
          <w:p w14:paraId="576CD40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Partnerships are needed to reuse brownfield sites and attract new investors on Liberty platforms </w:t>
            </w:r>
          </w:p>
          <w:p w14:paraId="050E4039" w14:textId="77777777" w:rsidR="00E614F2" w:rsidRPr="00C721D3" w:rsidRDefault="00E614F2" w:rsidP="00331111">
            <w:pPr>
              <w:spacing w:before="120" w:after="120"/>
              <w:rPr>
                <w:rFonts w:ascii="Arial" w:hAnsi="Arial" w:cs="Arial"/>
                <w:sz w:val="18"/>
                <w:szCs w:val="18"/>
              </w:rPr>
            </w:pPr>
            <w:r w:rsidRPr="00C721D3">
              <w:rPr>
                <w:rFonts w:ascii="Arial" w:hAnsi="Arial" w:cs="Arial"/>
                <w:sz w:val="18"/>
                <w:szCs w:val="18"/>
              </w:rPr>
              <w:t>Renewable energy sector:</w:t>
            </w:r>
          </w:p>
          <w:p w14:paraId="0EC288FA"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RES (PV &amp; wind)</w:t>
            </w:r>
          </w:p>
          <w:p w14:paraId="580D901F" w14:textId="3B8EF61C" w:rsidR="00E614F2" w:rsidRPr="001C7238" w:rsidRDefault="00E614F2" w:rsidP="00E42342">
            <w:pPr>
              <w:pStyle w:val="Briefingtext"/>
              <w:numPr>
                <w:ilvl w:val="0"/>
                <w:numId w:val="328"/>
              </w:numPr>
              <w:spacing w:after="0"/>
              <w:textDirection w:val="btLr"/>
              <w:rPr>
                <w:sz w:val="18"/>
                <w:szCs w:val="20"/>
              </w:rPr>
            </w:pPr>
            <w:r w:rsidRPr="001C7238">
              <w:rPr>
                <w:sz w:val="18"/>
                <w:szCs w:val="20"/>
              </w:rPr>
              <w:t>Boats production using solar energy</w:t>
            </w:r>
          </w:p>
          <w:p w14:paraId="1B5EE309" w14:textId="768468E2" w:rsidR="00E614F2" w:rsidRPr="001C7238" w:rsidRDefault="00E614F2" w:rsidP="00E42342">
            <w:pPr>
              <w:pStyle w:val="Briefingtext"/>
              <w:numPr>
                <w:ilvl w:val="0"/>
                <w:numId w:val="328"/>
              </w:numPr>
              <w:spacing w:after="0"/>
              <w:textDirection w:val="btLr"/>
              <w:rPr>
                <w:sz w:val="18"/>
                <w:szCs w:val="20"/>
              </w:rPr>
            </w:pPr>
            <w:r w:rsidRPr="001C7238">
              <w:rPr>
                <w:sz w:val="18"/>
                <w:szCs w:val="20"/>
              </w:rPr>
              <w:t>Manufacturing of sub-assemblies for wind power plants, welded construction</w:t>
            </w:r>
          </w:p>
          <w:p w14:paraId="223887B8" w14:textId="77777777" w:rsidR="00E614F2" w:rsidRPr="00C721D3" w:rsidRDefault="00E614F2" w:rsidP="00EE02DE">
            <w:pPr>
              <w:ind w:hanging="2"/>
              <w:rPr>
                <w:rFonts w:ascii="Arial" w:hAnsi="Arial" w:cs="Arial"/>
                <w:sz w:val="18"/>
                <w:szCs w:val="18"/>
              </w:rPr>
            </w:pPr>
          </w:p>
        </w:tc>
        <w:tc>
          <w:tcPr>
            <w:tcW w:w="7088" w:type="dxa"/>
            <w:gridSpan w:val="2"/>
          </w:tcPr>
          <w:p w14:paraId="6DBB6134" w14:textId="77777777" w:rsidR="00E614F2" w:rsidRPr="00C721D3" w:rsidRDefault="00E614F2" w:rsidP="00EE02DE">
            <w:pPr>
              <w:spacing w:before="240" w:after="240"/>
              <w:ind w:hanging="2"/>
              <w:rPr>
                <w:rFonts w:ascii="Arial" w:hAnsi="Arial" w:cs="Arial"/>
                <w:sz w:val="18"/>
                <w:szCs w:val="18"/>
              </w:rPr>
            </w:pPr>
            <w:r w:rsidRPr="00C721D3">
              <w:rPr>
                <w:rFonts w:ascii="Arial" w:hAnsi="Arial" w:cs="Arial"/>
                <w:b/>
                <w:sz w:val="18"/>
                <w:szCs w:val="18"/>
              </w:rPr>
              <w:lastRenderedPageBreak/>
              <w:t>Ideas, solutions, projects, opportunities:</w:t>
            </w:r>
          </w:p>
          <w:p w14:paraId="488CED0B"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Existing ideas for employability projects</w:t>
            </w:r>
          </w:p>
          <w:p w14:paraId="616EA13A" w14:textId="5E7ED43C"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ICDE APA </w:t>
            </w:r>
            <w:r w:rsidR="003751DC">
              <w:rPr>
                <w:sz w:val="18"/>
                <w:szCs w:val="20"/>
              </w:rPr>
              <w:t>Galați</w:t>
            </w:r>
            <w:r w:rsidRPr="001C7238">
              <w:rPr>
                <w:sz w:val="18"/>
                <w:szCs w:val="20"/>
              </w:rPr>
              <w:t>: for the specific problem of the lack of specialised staff in laboratories and fish farms, a possible solution is to implement an integrated programme in partnership with the relevant high schools.</w:t>
            </w:r>
          </w:p>
          <w:p w14:paraId="6C2C0CED" w14:textId="77777777" w:rsidR="00E614F2" w:rsidRPr="00C721D3" w:rsidRDefault="00E614F2" w:rsidP="00331111">
            <w:pPr>
              <w:spacing w:before="120" w:after="120"/>
              <w:rPr>
                <w:rFonts w:ascii="Arial" w:hAnsi="Arial" w:cs="Arial"/>
                <w:sz w:val="18"/>
                <w:szCs w:val="18"/>
              </w:rPr>
            </w:pPr>
            <w:r w:rsidRPr="00C721D3">
              <w:rPr>
                <w:rFonts w:ascii="Arial" w:hAnsi="Arial" w:cs="Arial"/>
                <w:sz w:val="18"/>
                <w:szCs w:val="18"/>
              </w:rPr>
              <w:t>Professional training</w:t>
            </w:r>
          </w:p>
          <w:p w14:paraId="70F8DEA6"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SME employers - less emphasis on qualification and retraining because the education system is not compatible with the needs of economic agents, there is no critical mass of local labour for retraining programmes, there is a major labour shortage, counterintuitive with the high unemployment rate.</w:t>
            </w:r>
          </w:p>
          <w:p w14:paraId="16827E91" w14:textId="3C094A1E" w:rsidR="00E614F2" w:rsidRPr="001C7238" w:rsidRDefault="00E614F2" w:rsidP="00E42342">
            <w:pPr>
              <w:pStyle w:val="Briefingtext"/>
              <w:numPr>
                <w:ilvl w:val="0"/>
                <w:numId w:val="328"/>
              </w:numPr>
              <w:spacing w:after="0"/>
              <w:textDirection w:val="btLr"/>
              <w:rPr>
                <w:sz w:val="18"/>
                <w:szCs w:val="20"/>
              </w:rPr>
            </w:pPr>
            <w:r w:rsidRPr="001C7238">
              <w:rPr>
                <w:sz w:val="18"/>
                <w:szCs w:val="20"/>
              </w:rPr>
              <w:t>UPIR Regional Centre for continuing education p</w:t>
            </w:r>
            <w:r w:rsidR="00D206E5">
              <w:rPr>
                <w:sz w:val="18"/>
                <w:szCs w:val="20"/>
              </w:rPr>
              <w:t>rogrammes</w:t>
            </w:r>
            <w:r w:rsidRPr="001C7238">
              <w:rPr>
                <w:sz w:val="18"/>
                <w:szCs w:val="20"/>
              </w:rPr>
              <w:t xml:space="preserve"> for adults with the role of developing skills in automation, training, practice, simulators, VR technologies, skills assessment;</w:t>
            </w:r>
          </w:p>
          <w:p w14:paraId="273E48AF"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Potential partnership with Danube University and the private sector awhile also engaging trade unions</w:t>
            </w:r>
          </w:p>
          <w:p w14:paraId="1B772A6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Need for practical/theoretical linkage - in IT, digitalisation, software academy with focus on diversified training</w:t>
            </w:r>
          </w:p>
          <w:p w14:paraId="45A2A089" w14:textId="302AECFC" w:rsidR="00E614F2" w:rsidRPr="001C7238" w:rsidRDefault="003751DC" w:rsidP="00E42342">
            <w:pPr>
              <w:pStyle w:val="Briefingtext"/>
              <w:numPr>
                <w:ilvl w:val="0"/>
                <w:numId w:val="328"/>
              </w:numPr>
              <w:spacing w:after="0"/>
              <w:textDirection w:val="btLr"/>
              <w:rPr>
                <w:sz w:val="18"/>
                <w:szCs w:val="20"/>
              </w:rPr>
            </w:pPr>
            <w:r>
              <w:rPr>
                <w:sz w:val="18"/>
                <w:szCs w:val="20"/>
              </w:rPr>
              <w:t>Galați</w:t>
            </w:r>
            <w:r w:rsidR="00E614F2" w:rsidRPr="001C7238">
              <w:rPr>
                <w:sz w:val="18"/>
                <w:szCs w:val="20"/>
              </w:rPr>
              <w:t xml:space="preserve"> software park needs to be re-calibrated/re-launched by building on existing foundations and in partnership with academia</w:t>
            </w:r>
          </w:p>
          <w:p w14:paraId="0AF58FEC" w14:textId="19DD9D48"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There is a credibility issue in the business environment and a need to convince university and dual technical education graduates to remain in </w:t>
            </w:r>
            <w:r w:rsidR="004F70E0" w:rsidRPr="001C7238">
              <w:rPr>
                <w:sz w:val="18"/>
                <w:szCs w:val="20"/>
              </w:rPr>
              <w:t>Galați</w:t>
            </w:r>
            <w:r w:rsidRPr="001C7238">
              <w:rPr>
                <w:sz w:val="18"/>
                <w:szCs w:val="20"/>
              </w:rPr>
              <w:t xml:space="preserve"> </w:t>
            </w:r>
            <w:r w:rsidR="00C8708A" w:rsidRPr="001C7238">
              <w:rPr>
                <w:sz w:val="18"/>
                <w:szCs w:val="20"/>
              </w:rPr>
              <w:t>C</w:t>
            </w:r>
            <w:r w:rsidRPr="001C7238">
              <w:rPr>
                <w:sz w:val="18"/>
                <w:szCs w:val="20"/>
              </w:rPr>
              <w:t>ounty</w:t>
            </w:r>
          </w:p>
          <w:p w14:paraId="099F16A5"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The need to promote employability and successful projects</w:t>
            </w:r>
          </w:p>
          <w:p w14:paraId="37347D7A" w14:textId="11580F35" w:rsidR="00E614F2" w:rsidRPr="00C721D3" w:rsidRDefault="00E614F2" w:rsidP="00331111">
            <w:pPr>
              <w:spacing w:before="120" w:after="120"/>
              <w:rPr>
                <w:rFonts w:ascii="Arial" w:hAnsi="Arial" w:cs="Arial"/>
                <w:sz w:val="18"/>
                <w:szCs w:val="18"/>
              </w:rPr>
            </w:pPr>
            <w:r w:rsidRPr="00C721D3">
              <w:rPr>
                <w:rFonts w:ascii="Arial" w:hAnsi="Arial" w:cs="Arial"/>
                <w:sz w:val="18"/>
                <w:szCs w:val="18"/>
              </w:rPr>
              <w:lastRenderedPageBreak/>
              <w:t>Liberty</w:t>
            </w:r>
            <w:r w:rsidR="00331111">
              <w:rPr>
                <w:rFonts w:ascii="Arial" w:hAnsi="Arial" w:cs="Arial"/>
                <w:sz w:val="18"/>
                <w:szCs w:val="18"/>
              </w:rPr>
              <w:t xml:space="preserve"> </w:t>
            </w:r>
            <w:r w:rsidR="003751DC">
              <w:rPr>
                <w:rFonts w:ascii="Arial" w:hAnsi="Arial" w:cs="Arial"/>
                <w:sz w:val="18"/>
                <w:szCs w:val="18"/>
              </w:rPr>
              <w:t>Galați</w:t>
            </w:r>
            <w:r w:rsidRPr="00C721D3">
              <w:rPr>
                <w:rFonts w:ascii="Arial" w:hAnsi="Arial" w:cs="Arial"/>
                <w:sz w:val="18"/>
                <w:szCs w:val="18"/>
              </w:rPr>
              <w:t xml:space="preserve">, professional training and employability </w:t>
            </w:r>
          </w:p>
          <w:p w14:paraId="73BE7A5F" w14:textId="6C98D27C"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Difficulty </w:t>
            </w:r>
            <w:r w:rsidR="00C8708A" w:rsidRPr="001C7238">
              <w:rPr>
                <w:sz w:val="18"/>
                <w:szCs w:val="20"/>
              </w:rPr>
              <w:t>to</w:t>
            </w:r>
            <w:r w:rsidRPr="001C7238">
              <w:rPr>
                <w:sz w:val="18"/>
                <w:szCs w:val="20"/>
              </w:rPr>
              <w:t xml:space="preserve"> identify workforce</w:t>
            </w:r>
          </w:p>
          <w:p w14:paraId="6D69928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Development of Liberty's in-house skills and retraining centre in trades needed within the company</w:t>
            </w:r>
          </w:p>
          <w:p w14:paraId="06276DB6" w14:textId="542BB31F"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Development of the "Green Steel Academy" in partnership with Danube University of </w:t>
            </w:r>
            <w:r w:rsidR="003751DC">
              <w:rPr>
                <w:sz w:val="18"/>
                <w:szCs w:val="20"/>
              </w:rPr>
              <w:t>Galați</w:t>
            </w:r>
            <w:r w:rsidRPr="001C7238">
              <w:rPr>
                <w:sz w:val="18"/>
                <w:szCs w:val="20"/>
              </w:rPr>
              <w:t xml:space="preserve"> and technical high schools with a focus on retraining in green technology for adults, young graduates and staff </w:t>
            </w:r>
          </w:p>
          <w:p w14:paraId="31A88DCC"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Regional technical campus focusing on vocational training with housing/digital skills training facilities</w:t>
            </w:r>
          </w:p>
          <w:p w14:paraId="2A54AB2B"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Liberty's partnership with AJOFM in training for jobs needed within the company</w:t>
            </w:r>
          </w:p>
          <w:p w14:paraId="0D376538" w14:textId="6FA5DB31" w:rsidR="00E614F2" w:rsidRPr="00C721D3" w:rsidRDefault="00331111" w:rsidP="00331111">
            <w:pPr>
              <w:spacing w:before="120" w:after="120"/>
              <w:rPr>
                <w:rFonts w:ascii="Arial" w:hAnsi="Arial" w:cs="Arial"/>
                <w:sz w:val="18"/>
                <w:szCs w:val="18"/>
              </w:rPr>
            </w:pPr>
            <w:r>
              <w:rPr>
                <w:rFonts w:ascii="Arial" w:hAnsi="Arial" w:cs="Arial"/>
                <w:sz w:val="18"/>
                <w:szCs w:val="18"/>
              </w:rPr>
              <w:t>County Employment Agency (</w:t>
            </w:r>
            <w:r w:rsidR="00E614F2" w:rsidRPr="00C721D3">
              <w:rPr>
                <w:rFonts w:ascii="Arial" w:hAnsi="Arial" w:cs="Arial"/>
                <w:sz w:val="18"/>
                <w:szCs w:val="18"/>
              </w:rPr>
              <w:t>AJOFM</w:t>
            </w:r>
            <w:r>
              <w:rPr>
                <w:rFonts w:ascii="Arial" w:hAnsi="Arial" w:cs="Arial"/>
                <w:sz w:val="18"/>
                <w:szCs w:val="18"/>
              </w:rPr>
              <w:t>)</w:t>
            </w:r>
          </w:p>
          <w:p w14:paraId="2132CB98" w14:textId="78085425" w:rsidR="00E614F2" w:rsidRPr="001C7238" w:rsidRDefault="00331111" w:rsidP="00E42342">
            <w:pPr>
              <w:pStyle w:val="Briefingtext"/>
              <w:numPr>
                <w:ilvl w:val="0"/>
                <w:numId w:val="328"/>
              </w:numPr>
              <w:spacing w:after="0"/>
              <w:textDirection w:val="btLr"/>
              <w:rPr>
                <w:sz w:val="18"/>
                <w:szCs w:val="20"/>
              </w:rPr>
            </w:pPr>
            <w:r w:rsidRPr="001C7238">
              <w:rPr>
                <w:sz w:val="18"/>
                <w:szCs w:val="20"/>
              </w:rPr>
              <w:t>S</w:t>
            </w:r>
            <w:r w:rsidR="00E614F2" w:rsidRPr="001C7238">
              <w:rPr>
                <w:sz w:val="18"/>
                <w:szCs w:val="20"/>
              </w:rPr>
              <w:t>ubmitted project ideas extended to other categories of beneficiaries</w:t>
            </w:r>
          </w:p>
          <w:p w14:paraId="34B94D2D" w14:textId="2710ED67" w:rsidR="00E614F2" w:rsidRPr="00331111" w:rsidRDefault="001C7238" w:rsidP="00E42342">
            <w:pPr>
              <w:pStyle w:val="Briefingtext"/>
              <w:numPr>
                <w:ilvl w:val="0"/>
                <w:numId w:val="328"/>
              </w:numPr>
              <w:spacing w:after="0"/>
              <w:textDirection w:val="btLr"/>
              <w:rPr>
                <w:sz w:val="18"/>
                <w:szCs w:val="18"/>
              </w:rPr>
            </w:pPr>
            <w:r>
              <w:rPr>
                <w:sz w:val="18"/>
                <w:szCs w:val="20"/>
              </w:rPr>
              <w:t>G</w:t>
            </w:r>
            <w:r w:rsidR="00E614F2" w:rsidRPr="001C7238">
              <w:rPr>
                <w:sz w:val="18"/>
                <w:szCs w:val="20"/>
              </w:rPr>
              <w:t>reater role in connecting people and companies’ needs/demands, involvement of academia, private sector, NGOs</w:t>
            </w:r>
          </w:p>
        </w:tc>
      </w:tr>
      <w:tr w:rsidR="00E614F2" w:rsidRPr="00E614F2" w14:paraId="33ADC7BD" w14:textId="77777777" w:rsidTr="00EE02DE">
        <w:tc>
          <w:tcPr>
            <w:tcW w:w="5687" w:type="dxa"/>
          </w:tcPr>
          <w:p w14:paraId="002CCF35" w14:textId="3DCFDB81" w:rsidR="00E614F2" w:rsidRPr="00C721D3" w:rsidRDefault="00E614F2" w:rsidP="00EE02DE">
            <w:pPr>
              <w:spacing w:after="240"/>
              <w:ind w:hanging="2"/>
              <w:rPr>
                <w:rFonts w:ascii="Arial" w:hAnsi="Arial" w:cs="Arial"/>
                <w:b/>
                <w:sz w:val="18"/>
                <w:szCs w:val="18"/>
              </w:rPr>
            </w:pPr>
            <w:r w:rsidRPr="00C721D3">
              <w:rPr>
                <w:rFonts w:ascii="Arial" w:hAnsi="Arial" w:cs="Arial"/>
                <w:b/>
                <w:sz w:val="18"/>
                <w:szCs w:val="18"/>
              </w:rPr>
              <w:lastRenderedPageBreak/>
              <w:t>Environmental challenges and opportunities (including recapitali</w:t>
            </w:r>
            <w:r w:rsidR="0096607E">
              <w:rPr>
                <w:rFonts w:ascii="Arial" w:hAnsi="Arial" w:cs="Arial"/>
                <w:b/>
                <w:sz w:val="18"/>
                <w:szCs w:val="18"/>
              </w:rPr>
              <w:t>s</w:t>
            </w:r>
            <w:r w:rsidRPr="00C721D3">
              <w:rPr>
                <w:rFonts w:ascii="Arial" w:hAnsi="Arial" w:cs="Arial"/>
                <w:b/>
                <w:sz w:val="18"/>
                <w:szCs w:val="18"/>
              </w:rPr>
              <w:t>ation of “brownfield”</w:t>
            </w:r>
            <w:r w:rsidR="0096607E">
              <w:rPr>
                <w:rFonts w:ascii="Arial" w:hAnsi="Arial" w:cs="Arial"/>
                <w:b/>
                <w:sz w:val="18"/>
                <w:szCs w:val="18"/>
              </w:rPr>
              <w:t xml:space="preserve"> </w:t>
            </w:r>
            <w:r w:rsidRPr="00C721D3">
              <w:rPr>
                <w:rFonts w:ascii="Arial" w:hAnsi="Arial" w:cs="Arial"/>
                <w:b/>
                <w:sz w:val="18"/>
                <w:szCs w:val="18"/>
              </w:rPr>
              <w:t xml:space="preserve">areas) </w:t>
            </w:r>
          </w:p>
          <w:p w14:paraId="5215E0CC" w14:textId="6A24B276" w:rsidR="00E614F2" w:rsidRPr="00C721D3" w:rsidRDefault="00E614F2" w:rsidP="00EE02DE">
            <w:pPr>
              <w:spacing w:after="240"/>
              <w:ind w:hanging="2"/>
              <w:rPr>
                <w:rFonts w:ascii="Arial" w:hAnsi="Arial" w:cs="Arial"/>
                <w:sz w:val="18"/>
                <w:szCs w:val="18"/>
              </w:rPr>
            </w:pPr>
            <w:r w:rsidRPr="00C721D3">
              <w:rPr>
                <w:rFonts w:ascii="Arial" w:hAnsi="Arial" w:cs="Arial"/>
                <w:i/>
                <w:sz w:val="18"/>
                <w:szCs w:val="18"/>
              </w:rPr>
              <w:t>What are the environmental challenges and environmental resources and opportunities in our region/county? What might be possible in a decarbonised future? What might be possible if we consider brownfield sites (abandoned/poorly used)” as resources for our region/county?</w:t>
            </w:r>
          </w:p>
        </w:tc>
        <w:tc>
          <w:tcPr>
            <w:tcW w:w="1398" w:type="dxa"/>
          </w:tcPr>
          <w:p w14:paraId="2C5DC2F6" w14:textId="77777777" w:rsidR="00E614F2" w:rsidRPr="00C721D3" w:rsidRDefault="00E614F2" w:rsidP="00EE02DE">
            <w:pPr>
              <w:ind w:hanging="2"/>
              <w:rPr>
                <w:rFonts w:ascii="Arial" w:hAnsi="Arial" w:cs="Arial"/>
                <w:sz w:val="18"/>
                <w:szCs w:val="18"/>
              </w:rPr>
            </w:pPr>
            <w:r w:rsidRPr="00C721D3">
              <w:rPr>
                <w:rFonts w:ascii="Arial" w:hAnsi="Arial" w:cs="Arial"/>
                <w:noProof/>
                <w:sz w:val="18"/>
                <w:szCs w:val="18"/>
                <w:lang w:val="en-US" w:eastAsia="en-US"/>
              </w:rPr>
              <w:drawing>
                <wp:inline distT="114300" distB="114300" distL="114300" distR="114300" wp14:anchorId="47CBD5C4" wp14:editId="71D499E4">
                  <wp:extent cx="752475" cy="774700"/>
                  <wp:effectExtent l="0" t="0" r="0" b="0"/>
                  <wp:docPr id="3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08"/>
                          <a:srcRect/>
                          <a:stretch>
                            <a:fillRect/>
                          </a:stretch>
                        </pic:blipFill>
                        <pic:spPr>
                          <a:xfrm>
                            <a:off x="0" y="0"/>
                            <a:ext cx="752475" cy="774700"/>
                          </a:xfrm>
                          <a:prstGeom prst="rect">
                            <a:avLst/>
                          </a:prstGeom>
                          <a:ln/>
                        </pic:spPr>
                      </pic:pic>
                    </a:graphicData>
                  </a:graphic>
                </wp:inline>
              </w:drawing>
            </w:r>
          </w:p>
        </w:tc>
        <w:tc>
          <w:tcPr>
            <w:tcW w:w="5802" w:type="dxa"/>
          </w:tcPr>
          <w:p w14:paraId="240D18DB" w14:textId="77777777" w:rsidR="00E614F2" w:rsidRPr="00C721D3" w:rsidRDefault="00E614F2" w:rsidP="00EE02DE">
            <w:pPr>
              <w:spacing w:before="100"/>
              <w:ind w:hanging="2"/>
              <w:rPr>
                <w:rFonts w:ascii="Arial" w:hAnsi="Arial" w:cs="Arial"/>
                <w:b/>
                <w:sz w:val="18"/>
                <w:szCs w:val="18"/>
              </w:rPr>
            </w:pPr>
            <w:r w:rsidRPr="00C721D3">
              <w:rPr>
                <w:rFonts w:ascii="Arial" w:hAnsi="Arial" w:cs="Arial"/>
                <w:b/>
                <w:sz w:val="18"/>
                <w:szCs w:val="18"/>
              </w:rPr>
              <w:t>SME and entrepreneurship - vectors of regional development</w:t>
            </w:r>
          </w:p>
          <w:p w14:paraId="257F59F5" w14:textId="77777777" w:rsidR="00E614F2" w:rsidRPr="00C721D3" w:rsidRDefault="00E614F2" w:rsidP="00EE02DE">
            <w:pPr>
              <w:spacing w:before="240"/>
              <w:ind w:hanging="2"/>
              <w:rPr>
                <w:rFonts w:ascii="Arial" w:hAnsi="Arial" w:cs="Arial"/>
                <w:sz w:val="18"/>
                <w:szCs w:val="18"/>
              </w:rPr>
            </w:pPr>
            <w:r w:rsidRPr="00C721D3">
              <w:rPr>
                <w:rFonts w:ascii="Arial" w:hAnsi="Arial" w:cs="Arial"/>
                <w:i/>
                <w:sz w:val="18"/>
                <w:szCs w:val="18"/>
              </w:rPr>
              <w:t>What are the priority areas where SMEs can generate accelerated development in the region/county? How can we support the accelerated development of SMEs in our region/county? What makes our county unique? (from a SME perspective)</w:t>
            </w:r>
          </w:p>
        </w:tc>
        <w:tc>
          <w:tcPr>
            <w:tcW w:w="1286" w:type="dxa"/>
          </w:tcPr>
          <w:p w14:paraId="21AAE206" w14:textId="77777777" w:rsidR="00E614F2" w:rsidRPr="00C721D3" w:rsidRDefault="00E614F2" w:rsidP="00EE02DE">
            <w:pPr>
              <w:ind w:hanging="2"/>
              <w:rPr>
                <w:rFonts w:ascii="Arial" w:hAnsi="Arial" w:cs="Arial"/>
                <w:sz w:val="18"/>
                <w:szCs w:val="18"/>
              </w:rPr>
            </w:pPr>
            <w:r w:rsidRPr="00C721D3">
              <w:rPr>
                <w:rFonts w:ascii="Arial" w:hAnsi="Arial" w:cs="Arial"/>
                <w:noProof/>
                <w:sz w:val="18"/>
                <w:szCs w:val="18"/>
                <w:lang w:val="en-US" w:eastAsia="en-US"/>
              </w:rPr>
              <w:drawing>
                <wp:inline distT="114300" distB="114300" distL="114300" distR="114300" wp14:anchorId="0420A9EE" wp14:editId="7423CABA">
                  <wp:extent cx="685800" cy="660400"/>
                  <wp:effectExtent l="0" t="0" r="0" b="0"/>
                  <wp:docPr id="3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09"/>
                          <a:srcRect/>
                          <a:stretch>
                            <a:fillRect/>
                          </a:stretch>
                        </pic:blipFill>
                        <pic:spPr>
                          <a:xfrm>
                            <a:off x="0" y="0"/>
                            <a:ext cx="685800" cy="660400"/>
                          </a:xfrm>
                          <a:prstGeom prst="rect">
                            <a:avLst/>
                          </a:prstGeom>
                          <a:ln/>
                        </pic:spPr>
                      </pic:pic>
                    </a:graphicData>
                  </a:graphic>
                </wp:inline>
              </w:drawing>
            </w:r>
          </w:p>
        </w:tc>
      </w:tr>
      <w:tr w:rsidR="00E614F2" w:rsidRPr="00E614F2" w14:paraId="150C4EE2" w14:textId="77777777" w:rsidTr="00EE02DE">
        <w:trPr>
          <w:trHeight w:val="200"/>
        </w:trPr>
        <w:tc>
          <w:tcPr>
            <w:tcW w:w="7085" w:type="dxa"/>
            <w:gridSpan w:val="2"/>
          </w:tcPr>
          <w:p w14:paraId="2CD4630C" w14:textId="6A891726" w:rsidR="00E614F2" w:rsidRPr="00C721D3" w:rsidRDefault="00E614F2" w:rsidP="00EE02DE">
            <w:pPr>
              <w:spacing w:before="240"/>
              <w:ind w:hanging="2"/>
              <w:rPr>
                <w:rFonts w:ascii="Arial" w:hAnsi="Arial" w:cs="Arial"/>
                <w:sz w:val="18"/>
                <w:szCs w:val="18"/>
              </w:rPr>
            </w:pPr>
            <w:r w:rsidRPr="00C721D3">
              <w:rPr>
                <w:rFonts w:ascii="Arial" w:hAnsi="Arial" w:cs="Arial"/>
                <w:sz w:val="18"/>
                <w:szCs w:val="18"/>
              </w:rPr>
              <w:t>The main ideas discussed in the working group are based on project ideas already reported on the C</w:t>
            </w:r>
            <w:r w:rsidR="001C7238">
              <w:rPr>
                <w:rFonts w:ascii="Arial" w:hAnsi="Arial" w:cs="Arial"/>
                <w:sz w:val="18"/>
                <w:szCs w:val="18"/>
              </w:rPr>
              <w:t>ounty Council’s</w:t>
            </w:r>
            <w:r w:rsidRPr="00C721D3">
              <w:rPr>
                <w:rFonts w:ascii="Arial" w:hAnsi="Arial" w:cs="Arial"/>
                <w:sz w:val="18"/>
                <w:szCs w:val="18"/>
              </w:rPr>
              <w:t xml:space="preserve"> website containing detailed info.</w:t>
            </w:r>
          </w:p>
          <w:p w14:paraId="6AE87E7A" w14:textId="77777777" w:rsidR="00E614F2" w:rsidRPr="00C721D3" w:rsidRDefault="00E614F2" w:rsidP="00331111">
            <w:pPr>
              <w:spacing w:before="240" w:after="120"/>
              <w:rPr>
                <w:rFonts w:ascii="Arial" w:hAnsi="Arial" w:cs="Arial"/>
                <w:b/>
                <w:sz w:val="18"/>
                <w:szCs w:val="18"/>
              </w:rPr>
            </w:pPr>
            <w:r w:rsidRPr="00C721D3">
              <w:rPr>
                <w:rFonts w:ascii="Arial" w:hAnsi="Arial" w:cs="Arial"/>
                <w:b/>
                <w:sz w:val="18"/>
                <w:szCs w:val="18"/>
              </w:rPr>
              <w:t>Challenges and general aspects:</w:t>
            </w:r>
          </w:p>
          <w:p w14:paraId="7448F43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Identification of areas that can be restored</w:t>
            </w:r>
          </w:p>
          <w:p w14:paraId="2DCE09BF"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Degraded land, concrete mixed with rubble leading to abandonment of the area</w:t>
            </w:r>
          </w:p>
          <w:p w14:paraId="5458B289"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How do potential investors find out about these lands with regeneration potential</w:t>
            </w:r>
          </w:p>
          <w:p w14:paraId="69C61CEA" w14:textId="7A1A14B5"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Caution in using (legal) terms - a broader and more comprehensive definition is needed. Attention to the legal framing and terminology for these sites we call "contaminated" and how they can be used in the future if they have this label </w:t>
            </w:r>
          </w:p>
          <w:p w14:paraId="7050337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There are no composting facilities (SMID) in the county.</w:t>
            </w:r>
          </w:p>
          <w:p w14:paraId="4FD3631A" w14:textId="7229492E"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The need for further investments in the </w:t>
            </w:r>
            <w:r w:rsidR="003751DC">
              <w:rPr>
                <w:sz w:val="18"/>
                <w:szCs w:val="20"/>
              </w:rPr>
              <w:t>Galați</w:t>
            </w:r>
            <w:r w:rsidRPr="001C7238">
              <w:rPr>
                <w:sz w:val="18"/>
                <w:szCs w:val="20"/>
              </w:rPr>
              <w:t xml:space="preserve"> free zone.</w:t>
            </w:r>
          </w:p>
          <w:p w14:paraId="7B8DB47C"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Start-up funding projects dedicated to the theme and complementary projects are useful</w:t>
            </w:r>
          </w:p>
          <w:p w14:paraId="0651E34D" w14:textId="48D6DAA4" w:rsidR="00E614F2" w:rsidRPr="001C7238" w:rsidRDefault="00E614F2" w:rsidP="00E42342">
            <w:pPr>
              <w:pStyle w:val="Briefingtext"/>
              <w:numPr>
                <w:ilvl w:val="0"/>
                <w:numId w:val="328"/>
              </w:numPr>
              <w:spacing w:after="0"/>
              <w:textDirection w:val="btLr"/>
              <w:rPr>
                <w:sz w:val="18"/>
                <w:szCs w:val="20"/>
              </w:rPr>
            </w:pPr>
            <w:r w:rsidRPr="001C7238">
              <w:rPr>
                <w:sz w:val="18"/>
                <w:szCs w:val="20"/>
              </w:rPr>
              <w:lastRenderedPageBreak/>
              <w:t>Quoting in the PTTJ programme about complementarity with the regional ROP programme</w:t>
            </w:r>
          </w:p>
          <w:p w14:paraId="0E89A3F8" w14:textId="77777777" w:rsidR="00E614F2" w:rsidRPr="00C721D3" w:rsidRDefault="00E614F2" w:rsidP="00331111">
            <w:pPr>
              <w:spacing w:before="120" w:after="120"/>
              <w:rPr>
                <w:rFonts w:ascii="Arial" w:hAnsi="Arial" w:cs="Arial"/>
                <w:sz w:val="18"/>
                <w:szCs w:val="18"/>
              </w:rPr>
            </w:pPr>
            <w:r w:rsidRPr="00C721D3">
              <w:rPr>
                <w:rFonts w:ascii="Arial" w:hAnsi="Arial" w:cs="Arial"/>
                <w:b/>
                <w:sz w:val="18"/>
                <w:szCs w:val="18"/>
              </w:rPr>
              <w:t>Ideas, solutions, projects, opportunities:</w:t>
            </w:r>
          </w:p>
          <w:p w14:paraId="51640DE6" w14:textId="2C116809"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Project for the production area with industrial capacity in accordance with </w:t>
            </w:r>
            <w:r w:rsidR="00331111" w:rsidRPr="001C7238">
              <w:rPr>
                <w:sz w:val="18"/>
                <w:szCs w:val="20"/>
              </w:rPr>
              <w:t>the General Urban Plan</w:t>
            </w:r>
            <w:r w:rsidRPr="001C7238">
              <w:rPr>
                <w:sz w:val="18"/>
                <w:szCs w:val="20"/>
              </w:rPr>
              <w:t xml:space="preserve"> - functional area for production capacity - to exist in the city valley towards the border with the Republic of Moldova</w:t>
            </w:r>
          </w:p>
          <w:p w14:paraId="0676223A" w14:textId="1CDF4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Revitali</w:t>
            </w:r>
            <w:r w:rsidR="00C8708A" w:rsidRPr="001C7238">
              <w:rPr>
                <w:sz w:val="18"/>
                <w:szCs w:val="20"/>
              </w:rPr>
              <w:t>s</w:t>
            </w:r>
            <w:r w:rsidRPr="001C7238">
              <w:rPr>
                <w:sz w:val="18"/>
                <w:szCs w:val="20"/>
              </w:rPr>
              <w:t xml:space="preserve">e the industrial park - with appropriate management </w:t>
            </w:r>
          </w:p>
          <w:p w14:paraId="7D0BAD3C" w14:textId="7854D5FA"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Viaduct - connecting Falezei boulevard with the TV tower and the exit from </w:t>
            </w:r>
            <w:r w:rsidR="003751DC">
              <w:rPr>
                <w:sz w:val="18"/>
                <w:szCs w:val="20"/>
              </w:rPr>
              <w:t>Galați</w:t>
            </w:r>
          </w:p>
          <w:p w14:paraId="4401D068"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Contaminated sludges - possible sites for investment perhaps for tourism/agriculture uses</w:t>
            </w:r>
          </w:p>
          <w:p w14:paraId="14A4F821" w14:textId="578F90BE" w:rsidR="00E614F2" w:rsidRPr="001C7238" w:rsidRDefault="00E614F2" w:rsidP="00E42342">
            <w:pPr>
              <w:pStyle w:val="Briefingtext"/>
              <w:numPr>
                <w:ilvl w:val="0"/>
                <w:numId w:val="328"/>
              </w:numPr>
              <w:spacing w:after="0"/>
              <w:textDirection w:val="btLr"/>
              <w:rPr>
                <w:sz w:val="18"/>
                <w:szCs w:val="20"/>
              </w:rPr>
            </w:pPr>
            <w:r w:rsidRPr="001C7238">
              <w:rPr>
                <w:sz w:val="18"/>
                <w:szCs w:val="20"/>
              </w:rPr>
              <w:t>Lake Brateș - fish farming - area bordering the abandoned railway but with potential for fish farming and recreational use, canoeing track</w:t>
            </w:r>
          </w:p>
          <w:p w14:paraId="17CFD55E"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Lake Vânători - area in need of investment in decontamination and inert waste removal</w:t>
            </w:r>
          </w:p>
          <w:p w14:paraId="1B3946A6"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Restoration projects related to research (pilot projects)</w:t>
            </w:r>
          </w:p>
          <w:p w14:paraId="7F581D6D" w14:textId="32D0DCBA" w:rsidR="00E614F2" w:rsidRPr="001C7238" w:rsidRDefault="00E614F2" w:rsidP="00E42342">
            <w:pPr>
              <w:pStyle w:val="Briefingtext"/>
              <w:numPr>
                <w:ilvl w:val="0"/>
                <w:numId w:val="328"/>
              </w:numPr>
              <w:spacing w:after="0"/>
              <w:textDirection w:val="btLr"/>
              <w:rPr>
                <w:sz w:val="18"/>
                <w:szCs w:val="20"/>
              </w:rPr>
            </w:pPr>
            <w:r w:rsidRPr="001C7238">
              <w:rPr>
                <w:sz w:val="18"/>
                <w:szCs w:val="20"/>
              </w:rPr>
              <w:t>Creation/restoration/moderni</w:t>
            </w:r>
            <w:r w:rsidR="00C8708A" w:rsidRPr="001C7238">
              <w:rPr>
                <w:sz w:val="18"/>
                <w:szCs w:val="20"/>
              </w:rPr>
              <w:t>s</w:t>
            </w:r>
            <w:r w:rsidRPr="001C7238">
              <w:rPr>
                <w:sz w:val="18"/>
                <w:szCs w:val="20"/>
              </w:rPr>
              <w:t xml:space="preserve">ation of urban public spaces/green spaces in the </w:t>
            </w:r>
            <w:r w:rsidR="00801C38" w:rsidRPr="001C7238">
              <w:rPr>
                <w:sz w:val="18"/>
                <w:szCs w:val="20"/>
              </w:rPr>
              <w:t>Marginalized Urban Areas</w:t>
            </w:r>
          </w:p>
          <w:p w14:paraId="726DD79B" w14:textId="6A8AB344" w:rsidR="00E614F2" w:rsidRPr="001C7238" w:rsidRDefault="00E614F2" w:rsidP="00E42342">
            <w:pPr>
              <w:pStyle w:val="Briefingtext"/>
              <w:numPr>
                <w:ilvl w:val="0"/>
                <w:numId w:val="328"/>
              </w:numPr>
              <w:spacing w:after="0"/>
              <w:textDirection w:val="btLr"/>
              <w:rPr>
                <w:sz w:val="18"/>
                <w:szCs w:val="20"/>
              </w:rPr>
            </w:pPr>
            <w:r w:rsidRPr="001C7238">
              <w:rPr>
                <w:sz w:val="18"/>
                <w:szCs w:val="20"/>
              </w:rPr>
              <w:t>Maintenance of green areas (without duplicating public services) - with voluntary involvement - NGOs/ alliances/ partnership with local government</w:t>
            </w:r>
          </w:p>
          <w:p w14:paraId="7AF53CA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Revival of the land of the former vehicle operation and maintenance centre </w:t>
            </w:r>
          </w:p>
          <w:p w14:paraId="2D23FF46"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Unitary project facilitating individual composting units for housing areas</w:t>
            </w:r>
          </w:p>
          <w:p w14:paraId="5904F3F9" w14:textId="551C90C1" w:rsidR="00E614F2" w:rsidRPr="001C7238" w:rsidRDefault="00E614F2" w:rsidP="00E42342">
            <w:pPr>
              <w:pStyle w:val="Briefingtext"/>
              <w:numPr>
                <w:ilvl w:val="0"/>
                <w:numId w:val="328"/>
              </w:numPr>
              <w:spacing w:after="0"/>
              <w:textDirection w:val="btLr"/>
              <w:rPr>
                <w:sz w:val="18"/>
                <w:szCs w:val="20"/>
              </w:rPr>
            </w:pPr>
            <w:r w:rsidRPr="001C7238">
              <w:rPr>
                <w:sz w:val="18"/>
                <w:szCs w:val="20"/>
              </w:rPr>
              <w:t>Capitali</w:t>
            </w:r>
            <w:r w:rsidR="00C8708A" w:rsidRPr="001C7238">
              <w:rPr>
                <w:sz w:val="18"/>
                <w:szCs w:val="20"/>
              </w:rPr>
              <w:t>s</w:t>
            </w:r>
            <w:r w:rsidRPr="001C7238">
              <w:rPr>
                <w:sz w:val="18"/>
                <w:szCs w:val="20"/>
              </w:rPr>
              <w:t>ing plant slag by using slag materials for thermally insulating apartment buildings.</w:t>
            </w:r>
          </w:p>
          <w:p w14:paraId="2E10859A" w14:textId="11B0974A" w:rsidR="00E614F2" w:rsidRPr="001C7238" w:rsidRDefault="00E614F2" w:rsidP="00E42342">
            <w:pPr>
              <w:pStyle w:val="Briefingtext"/>
              <w:numPr>
                <w:ilvl w:val="0"/>
                <w:numId w:val="328"/>
              </w:numPr>
              <w:spacing w:after="0"/>
              <w:textDirection w:val="btLr"/>
              <w:rPr>
                <w:sz w:val="18"/>
                <w:szCs w:val="20"/>
              </w:rPr>
            </w:pPr>
            <w:r w:rsidRPr="001C7238">
              <w:rPr>
                <w:sz w:val="18"/>
                <w:szCs w:val="20"/>
              </w:rPr>
              <w:t>Tigline Valley - in the middle of the city rejuvenation</w:t>
            </w:r>
          </w:p>
          <w:p w14:paraId="4AE23F3C"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Community growth in surrounding areas -&gt; refocusing attention on parks/shopping centres as reconversion projects.</w:t>
            </w:r>
          </w:p>
          <w:p w14:paraId="64A0B5EA"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Investment in renewable energy and Liberty land uses:</w:t>
            </w:r>
          </w:p>
          <w:p w14:paraId="046FB90A" w14:textId="77777777" w:rsidR="00E614F2" w:rsidRPr="001C7238" w:rsidRDefault="00E614F2" w:rsidP="00E42342">
            <w:pPr>
              <w:pStyle w:val="Briefingtext"/>
              <w:numPr>
                <w:ilvl w:val="0"/>
                <w:numId w:val="329"/>
              </w:numPr>
              <w:spacing w:after="0"/>
              <w:textDirection w:val="btLr"/>
              <w:rPr>
                <w:sz w:val="18"/>
                <w:szCs w:val="20"/>
              </w:rPr>
            </w:pPr>
            <w:r w:rsidRPr="001C7238">
              <w:rPr>
                <w:sz w:val="18"/>
                <w:szCs w:val="20"/>
              </w:rPr>
              <w:t>Shutting down the slag heap and converting it to photovoltaic park (Liberty).</w:t>
            </w:r>
          </w:p>
          <w:p w14:paraId="4D1A5EBE" w14:textId="00D510C3" w:rsidR="00E614F2" w:rsidRPr="001C7238" w:rsidRDefault="00E614F2" w:rsidP="00E42342">
            <w:pPr>
              <w:pStyle w:val="Briefingtext"/>
              <w:numPr>
                <w:ilvl w:val="0"/>
                <w:numId w:val="329"/>
              </w:numPr>
              <w:spacing w:after="0"/>
              <w:textDirection w:val="btLr"/>
              <w:rPr>
                <w:sz w:val="18"/>
                <w:szCs w:val="20"/>
              </w:rPr>
            </w:pPr>
            <w:r w:rsidRPr="001C7238">
              <w:rPr>
                <w:sz w:val="18"/>
                <w:szCs w:val="20"/>
              </w:rPr>
              <w:t xml:space="preserve">Investments in renewable energy - photovoltaic park and wind farm - energy produced used by Liberty </w:t>
            </w:r>
            <w:r w:rsidR="003751DC">
              <w:rPr>
                <w:sz w:val="18"/>
                <w:szCs w:val="20"/>
              </w:rPr>
              <w:t>Galați</w:t>
            </w:r>
            <w:r w:rsidRPr="001C7238">
              <w:rPr>
                <w:sz w:val="18"/>
                <w:szCs w:val="20"/>
              </w:rPr>
              <w:t xml:space="preserve">; </w:t>
            </w:r>
          </w:p>
          <w:p w14:paraId="07B17C03" w14:textId="3FBAA1FC" w:rsidR="00E614F2" w:rsidRPr="001C7238" w:rsidRDefault="00E614F2" w:rsidP="00E42342">
            <w:pPr>
              <w:pStyle w:val="Briefingtext"/>
              <w:numPr>
                <w:ilvl w:val="0"/>
                <w:numId w:val="329"/>
              </w:numPr>
              <w:spacing w:after="0"/>
              <w:textDirection w:val="btLr"/>
              <w:rPr>
                <w:sz w:val="18"/>
                <w:szCs w:val="20"/>
              </w:rPr>
            </w:pPr>
            <w:r w:rsidRPr="001C7238">
              <w:rPr>
                <w:sz w:val="18"/>
                <w:szCs w:val="20"/>
              </w:rPr>
              <w:t xml:space="preserve">Liberty - space valorisation, with utilities + former Mehid. platform, </w:t>
            </w:r>
            <w:r w:rsidR="00801C38" w:rsidRPr="001C7238">
              <w:rPr>
                <w:sz w:val="18"/>
                <w:szCs w:val="20"/>
              </w:rPr>
              <w:t>e.g.,</w:t>
            </w:r>
            <w:r w:rsidRPr="001C7238">
              <w:rPr>
                <w:sz w:val="18"/>
                <w:szCs w:val="20"/>
              </w:rPr>
              <w:t xml:space="preserve"> for industrial production and creation of jobs or photovoltaic fields + innovative technical development</w:t>
            </w:r>
          </w:p>
          <w:p w14:paraId="3EEF4287"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Control of household waste in the residential area - collectors throw it on the field, causing soil contamination</w:t>
            </w:r>
          </w:p>
          <w:p w14:paraId="7BD7FACC"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Support composting/processing stations and collection of green waste from agriculture - financial support for SMEs</w:t>
            </w:r>
          </w:p>
          <w:p w14:paraId="27BD686F" w14:textId="41F13147" w:rsidR="00E614F2" w:rsidRPr="001C7238" w:rsidRDefault="00E614F2" w:rsidP="00E42342">
            <w:pPr>
              <w:pStyle w:val="Briefingtext"/>
              <w:numPr>
                <w:ilvl w:val="0"/>
                <w:numId w:val="328"/>
              </w:numPr>
              <w:spacing w:after="0"/>
              <w:textDirection w:val="btLr"/>
              <w:rPr>
                <w:sz w:val="18"/>
                <w:szCs w:val="20"/>
              </w:rPr>
            </w:pPr>
            <w:r w:rsidRPr="001C7238">
              <w:rPr>
                <w:sz w:val="18"/>
                <w:szCs w:val="20"/>
              </w:rPr>
              <w:t>Former water plant - urban regeneration - there is a much larger area that can be included in the project, including the Botanical Garden</w:t>
            </w:r>
          </w:p>
          <w:p w14:paraId="285C3BC6" w14:textId="77777777" w:rsidR="00E614F2" w:rsidRPr="001C7238" w:rsidRDefault="00E614F2" w:rsidP="00E42342">
            <w:pPr>
              <w:pStyle w:val="Briefingtext"/>
              <w:numPr>
                <w:ilvl w:val="0"/>
                <w:numId w:val="329"/>
              </w:numPr>
              <w:spacing w:after="0"/>
              <w:textDirection w:val="btLr"/>
              <w:rPr>
                <w:sz w:val="18"/>
                <w:szCs w:val="20"/>
              </w:rPr>
            </w:pPr>
            <w:r w:rsidRPr="001C7238">
              <w:rPr>
                <w:sz w:val="18"/>
                <w:szCs w:val="20"/>
              </w:rPr>
              <w:t>Botanical Garden was set up on former landfill site / formerly populated</w:t>
            </w:r>
          </w:p>
          <w:p w14:paraId="756DDF69" w14:textId="77777777" w:rsidR="00E614F2" w:rsidRPr="001C7238" w:rsidRDefault="00E614F2" w:rsidP="00E42342">
            <w:pPr>
              <w:pStyle w:val="Briefingtext"/>
              <w:numPr>
                <w:ilvl w:val="0"/>
                <w:numId w:val="329"/>
              </w:numPr>
              <w:spacing w:after="0"/>
              <w:textDirection w:val="btLr"/>
              <w:rPr>
                <w:sz w:val="18"/>
                <w:szCs w:val="20"/>
              </w:rPr>
            </w:pPr>
            <w:r w:rsidRPr="001C7238">
              <w:rPr>
                <w:sz w:val="18"/>
                <w:szCs w:val="20"/>
              </w:rPr>
              <w:lastRenderedPageBreak/>
              <w:t>Lands rewilding</w:t>
            </w:r>
          </w:p>
          <w:p w14:paraId="1320C019"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Circular economy, electrical/electronic waste repair project - recovery, reuse</w:t>
            </w:r>
          </w:p>
          <w:p w14:paraId="6A7649C9" w14:textId="14F6F24D" w:rsidR="00E614F2" w:rsidRPr="00C721D3" w:rsidRDefault="00E614F2" w:rsidP="001C7238">
            <w:pPr>
              <w:spacing w:before="120" w:after="120"/>
              <w:rPr>
                <w:rFonts w:ascii="Arial" w:hAnsi="Arial" w:cs="Arial"/>
                <w:sz w:val="18"/>
                <w:szCs w:val="18"/>
              </w:rPr>
            </w:pPr>
            <w:r w:rsidRPr="00C721D3">
              <w:rPr>
                <w:rFonts w:ascii="Arial" w:hAnsi="Arial" w:cs="Arial"/>
                <w:sz w:val="18"/>
                <w:szCs w:val="18"/>
              </w:rPr>
              <w:t>Opportunities</w:t>
            </w:r>
            <w:r w:rsidR="00C8708A">
              <w:rPr>
                <w:rFonts w:ascii="Arial" w:hAnsi="Arial" w:cs="Arial"/>
                <w:sz w:val="18"/>
                <w:szCs w:val="18"/>
              </w:rPr>
              <w:t xml:space="preserve"> </w:t>
            </w:r>
            <w:r w:rsidRPr="00C721D3">
              <w:rPr>
                <w:rFonts w:ascii="Arial" w:hAnsi="Arial" w:cs="Arial"/>
                <w:sz w:val="18"/>
                <w:szCs w:val="18"/>
              </w:rPr>
              <w:t xml:space="preserve">- </w:t>
            </w:r>
            <w:r w:rsidR="003751DC">
              <w:rPr>
                <w:rFonts w:ascii="Arial" w:hAnsi="Arial" w:cs="Arial"/>
                <w:sz w:val="18"/>
                <w:szCs w:val="18"/>
              </w:rPr>
              <w:t>Galați</w:t>
            </w:r>
            <w:r w:rsidRPr="00C721D3">
              <w:rPr>
                <w:rFonts w:ascii="Arial" w:hAnsi="Arial" w:cs="Arial"/>
                <w:sz w:val="18"/>
                <w:szCs w:val="18"/>
              </w:rPr>
              <w:t xml:space="preserve"> is half-bordered by water: </w:t>
            </w:r>
          </w:p>
          <w:p w14:paraId="56F98187"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More fisheries-related projects to bring about specificity to the area and its waters-related potential</w:t>
            </w:r>
          </w:p>
          <w:p w14:paraId="3CEB0C4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Shipping, shipbuilding, fishing - identity, industry, economic efficiency, leisure and culinary</w:t>
            </w:r>
          </w:p>
          <w:p w14:paraId="20420F41" w14:textId="63D6C25C" w:rsidR="00E614F2" w:rsidRPr="00801C38" w:rsidRDefault="00E614F2" w:rsidP="00E42342">
            <w:pPr>
              <w:pStyle w:val="Briefingtext"/>
              <w:numPr>
                <w:ilvl w:val="0"/>
                <w:numId w:val="328"/>
              </w:numPr>
              <w:spacing w:after="0"/>
              <w:textDirection w:val="btLr"/>
              <w:rPr>
                <w:sz w:val="18"/>
                <w:szCs w:val="18"/>
              </w:rPr>
            </w:pPr>
            <w:r w:rsidRPr="001C7238">
              <w:rPr>
                <w:sz w:val="18"/>
                <w:szCs w:val="20"/>
              </w:rPr>
              <w:t xml:space="preserve">Green ships design pole (0 emission boats designed in </w:t>
            </w:r>
            <w:r w:rsidR="003751DC">
              <w:rPr>
                <w:sz w:val="18"/>
                <w:szCs w:val="20"/>
              </w:rPr>
              <w:t>Galați</w:t>
            </w:r>
            <w:r w:rsidRPr="001C7238">
              <w:rPr>
                <w:sz w:val="18"/>
                <w:szCs w:val="20"/>
              </w:rPr>
              <w:t>) - for the Danube</w:t>
            </w:r>
          </w:p>
        </w:tc>
        <w:tc>
          <w:tcPr>
            <w:tcW w:w="7088" w:type="dxa"/>
            <w:gridSpan w:val="2"/>
          </w:tcPr>
          <w:p w14:paraId="214FEAD6" w14:textId="77777777" w:rsidR="00E614F2" w:rsidRPr="00C721D3" w:rsidRDefault="00E614F2" w:rsidP="00EE02DE">
            <w:pPr>
              <w:spacing w:before="240" w:after="240"/>
              <w:ind w:hanging="2"/>
              <w:rPr>
                <w:rFonts w:ascii="Arial" w:hAnsi="Arial" w:cs="Arial"/>
                <w:sz w:val="18"/>
                <w:szCs w:val="18"/>
              </w:rPr>
            </w:pPr>
            <w:r w:rsidRPr="00C721D3">
              <w:rPr>
                <w:rFonts w:ascii="Arial" w:hAnsi="Arial" w:cs="Arial"/>
                <w:b/>
                <w:sz w:val="18"/>
                <w:szCs w:val="18"/>
              </w:rPr>
              <w:lastRenderedPageBreak/>
              <w:t>Ideas, solutions, projects, opportunities:</w:t>
            </w:r>
          </w:p>
          <w:p w14:paraId="11F0CC64"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Setting up a technopole for SMEs </w:t>
            </w:r>
          </w:p>
          <w:p w14:paraId="5DDDD817" w14:textId="03BEC9FE"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Great potential for green energy - </w:t>
            </w:r>
            <w:r w:rsidR="004F70E0" w:rsidRPr="001C7238">
              <w:rPr>
                <w:sz w:val="18"/>
                <w:szCs w:val="20"/>
              </w:rPr>
              <w:t>Galați</w:t>
            </w:r>
            <w:r w:rsidRPr="001C7238">
              <w:rPr>
                <w:sz w:val="18"/>
                <w:szCs w:val="20"/>
              </w:rPr>
              <w:t xml:space="preserve"> holds second place - wind and solar energy</w:t>
            </w:r>
          </w:p>
          <w:p w14:paraId="22B7DA4D"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Food sector, collaboration between academia, food industry, research projects and collaboration with SMEs</w:t>
            </w:r>
          </w:p>
          <w:p w14:paraId="023E7DB0"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Experimental production research centre, </w:t>
            </w:r>
          </w:p>
          <w:p w14:paraId="326887E1"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Leisure, bike paths, niche tourism, religious tourism</w:t>
            </w:r>
          </w:p>
          <w:p w14:paraId="6F318C65" w14:textId="1BB68C80"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Growing logistics services industry - potential for a great logistics hub (the existing location of </w:t>
            </w:r>
            <w:r w:rsidR="003751DC">
              <w:rPr>
                <w:sz w:val="18"/>
                <w:szCs w:val="20"/>
              </w:rPr>
              <w:t>Galați</w:t>
            </w:r>
            <w:r w:rsidRPr="001C7238">
              <w:rPr>
                <w:sz w:val="18"/>
                <w:szCs w:val="20"/>
              </w:rPr>
              <w:t xml:space="preserve"> free zone). CJ can create this logistic park, using land from the technological park</w:t>
            </w:r>
          </w:p>
          <w:p w14:paraId="5AE3DE60" w14:textId="77777777" w:rsidR="00E614F2" w:rsidRPr="00C721D3" w:rsidRDefault="00E614F2" w:rsidP="00801C38">
            <w:pPr>
              <w:spacing w:before="120" w:after="120"/>
              <w:rPr>
                <w:rFonts w:ascii="Arial" w:hAnsi="Arial" w:cs="Arial"/>
                <w:sz w:val="18"/>
                <w:szCs w:val="18"/>
              </w:rPr>
            </w:pPr>
            <w:r w:rsidRPr="00C721D3">
              <w:rPr>
                <w:rFonts w:ascii="Arial" w:hAnsi="Arial" w:cs="Arial"/>
                <w:sz w:val="18"/>
                <w:szCs w:val="18"/>
              </w:rPr>
              <w:t xml:space="preserve">Maritime sector </w:t>
            </w:r>
          </w:p>
          <w:p w14:paraId="72D6E110"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Development of the industrial industrial park for SMEs,</w:t>
            </w:r>
          </w:p>
          <w:p w14:paraId="38851B00" w14:textId="0695609A" w:rsidR="00E614F2" w:rsidRPr="001C7238" w:rsidRDefault="00E614F2" w:rsidP="00E42342">
            <w:pPr>
              <w:pStyle w:val="Briefingtext"/>
              <w:numPr>
                <w:ilvl w:val="0"/>
                <w:numId w:val="328"/>
              </w:numPr>
              <w:spacing w:after="0"/>
              <w:textDirection w:val="btLr"/>
              <w:rPr>
                <w:sz w:val="18"/>
                <w:szCs w:val="20"/>
              </w:rPr>
            </w:pPr>
            <w:r w:rsidRPr="001C7238">
              <w:rPr>
                <w:sz w:val="18"/>
                <w:szCs w:val="20"/>
              </w:rPr>
              <w:lastRenderedPageBreak/>
              <w:t>Supporting the naval and IT industries, incubators for the naval industry, supporting SMEs using Romanian semi-finished steel products (there is no national strategy for shipbuilding, there is no qualified workforce: technical engineers, design, digiti</w:t>
            </w:r>
            <w:r w:rsidR="00C8708A" w:rsidRPr="001C7238">
              <w:rPr>
                <w:sz w:val="18"/>
                <w:szCs w:val="20"/>
              </w:rPr>
              <w:t>s</w:t>
            </w:r>
            <w:r w:rsidRPr="001C7238">
              <w:rPr>
                <w:sz w:val="18"/>
                <w:szCs w:val="20"/>
              </w:rPr>
              <w:t>ation of naval products, exploitation of the Danube cliff, supporting applicants’ promotion of awareness -</w:t>
            </w:r>
          </w:p>
          <w:p w14:paraId="65698FF6"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Support fishing tank farming - funding, promotion of fundings, preparation for funding (the problem is that fishermen are unaware of the types of funding and lack the know-how in project management and business development. Partnerships with NGOs are useful in that respect</w:t>
            </w:r>
          </w:p>
          <w:p w14:paraId="1DC4BCB7"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Development of SMEs to become subcontractors in shipbuilding.</w:t>
            </w:r>
          </w:p>
          <w:p w14:paraId="1F8884FC" w14:textId="6722F8EC" w:rsidR="00E614F2" w:rsidRPr="001C7238" w:rsidRDefault="00801C38" w:rsidP="00E42342">
            <w:pPr>
              <w:pStyle w:val="Briefingtext"/>
              <w:numPr>
                <w:ilvl w:val="0"/>
                <w:numId w:val="328"/>
              </w:numPr>
              <w:spacing w:after="0"/>
              <w:textDirection w:val="btLr"/>
              <w:rPr>
                <w:sz w:val="18"/>
                <w:szCs w:val="20"/>
              </w:rPr>
            </w:pPr>
            <w:r w:rsidRPr="001C7238">
              <w:rPr>
                <w:sz w:val="18"/>
                <w:szCs w:val="20"/>
              </w:rPr>
              <w:t>National Rural Development Programme (NRDP)</w:t>
            </w:r>
            <w:r w:rsidR="00E614F2" w:rsidRPr="001C7238">
              <w:rPr>
                <w:sz w:val="18"/>
                <w:szCs w:val="20"/>
              </w:rPr>
              <w:t xml:space="preserve">-funded </w:t>
            </w:r>
            <w:r w:rsidRPr="001C7238">
              <w:rPr>
                <w:sz w:val="18"/>
                <w:szCs w:val="20"/>
              </w:rPr>
              <w:t xml:space="preserve">LAG </w:t>
            </w:r>
            <w:r w:rsidR="00E614F2" w:rsidRPr="001C7238">
              <w:rPr>
                <w:sz w:val="18"/>
                <w:szCs w:val="20"/>
              </w:rPr>
              <w:t>for setting up SMEs using green energy, support for metallurgy, shipbuilding, unused Danube related shipping.</w:t>
            </w:r>
          </w:p>
          <w:p w14:paraId="53627C7B"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Enhancing cooperation within the shipbuilding industry - a useful platform for collaboration, development of a shipbuilding cluster</w:t>
            </w:r>
          </w:p>
          <w:p w14:paraId="044E58B9" w14:textId="77777777" w:rsidR="00E614F2" w:rsidRPr="00C721D3" w:rsidRDefault="00E614F2" w:rsidP="00801C38">
            <w:pPr>
              <w:spacing w:before="120" w:after="120"/>
              <w:rPr>
                <w:rFonts w:ascii="Arial" w:hAnsi="Arial" w:cs="Arial"/>
                <w:sz w:val="18"/>
                <w:szCs w:val="18"/>
              </w:rPr>
            </w:pPr>
            <w:r w:rsidRPr="00C721D3">
              <w:rPr>
                <w:rFonts w:ascii="Arial" w:hAnsi="Arial" w:cs="Arial"/>
                <w:sz w:val="18"/>
                <w:szCs w:val="18"/>
              </w:rPr>
              <w:t>Opportunities in education-research</w:t>
            </w:r>
          </w:p>
          <w:p w14:paraId="4CAE631C" w14:textId="09408F96"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Naval education trains engineers in naval engineering, opportunity to develop university research centres for design and technology transfer - </w:t>
            </w:r>
            <w:r w:rsidR="00801C38" w:rsidRPr="001C7238">
              <w:rPr>
                <w:sz w:val="18"/>
                <w:szCs w:val="20"/>
              </w:rPr>
              <w:t>e.g.,</w:t>
            </w:r>
            <w:r w:rsidRPr="001C7238">
              <w:rPr>
                <w:sz w:val="18"/>
                <w:szCs w:val="20"/>
              </w:rPr>
              <w:t xml:space="preserve"> HORIZON programmes which can offer funding. Students are employed at D</w:t>
            </w:r>
            <w:r w:rsidR="00801C38" w:rsidRPr="001C7238">
              <w:rPr>
                <w:sz w:val="18"/>
                <w:szCs w:val="20"/>
              </w:rPr>
              <w:t xml:space="preserve">amen </w:t>
            </w:r>
            <w:r w:rsidRPr="001C7238">
              <w:rPr>
                <w:sz w:val="18"/>
                <w:szCs w:val="20"/>
              </w:rPr>
              <w:t>or other firms and working on the digitisation of naval equipment.</w:t>
            </w:r>
          </w:p>
          <w:p w14:paraId="591D01F6"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SME employers - the need to develop the IT sector, SME sector, projects for developing entrepreneurial skills, business and grant plans - microenterprise measures targeting unemployment depletion and marginalised urban areas with a low quality of life</w:t>
            </w:r>
          </w:p>
          <w:p w14:paraId="48E11D9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Creating training centers for the adult population with the purpose of future professional reconversion through AJOFM, in IT for example </w:t>
            </w:r>
          </w:p>
          <w:p w14:paraId="7F3856C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Cooperation with youth organisations where parents are employed and development of children's centres, after school classes 1-4</w:t>
            </w:r>
          </w:p>
          <w:p w14:paraId="2F653FD2" w14:textId="77777777"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Programmes for reducing unemployment in rural areas </w:t>
            </w:r>
          </w:p>
          <w:p w14:paraId="5A4E3221" w14:textId="77777777" w:rsidR="00E614F2" w:rsidRPr="00C721D3" w:rsidRDefault="00E614F2" w:rsidP="00EE02DE">
            <w:pPr>
              <w:ind w:hanging="2"/>
              <w:rPr>
                <w:rFonts w:ascii="Arial" w:hAnsi="Arial" w:cs="Arial"/>
                <w:sz w:val="18"/>
                <w:szCs w:val="18"/>
              </w:rPr>
            </w:pPr>
          </w:p>
          <w:p w14:paraId="04E609D6" w14:textId="77777777" w:rsidR="00E614F2" w:rsidRPr="00C721D3" w:rsidRDefault="00E614F2" w:rsidP="00801C38">
            <w:pPr>
              <w:spacing w:before="120" w:after="120"/>
              <w:rPr>
                <w:rFonts w:ascii="Arial" w:hAnsi="Arial" w:cs="Arial"/>
                <w:sz w:val="18"/>
                <w:szCs w:val="18"/>
              </w:rPr>
            </w:pPr>
            <w:r w:rsidRPr="00C721D3">
              <w:rPr>
                <w:rFonts w:ascii="Arial" w:hAnsi="Arial" w:cs="Arial"/>
                <w:sz w:val="18"/>
                <w:szCs w:val="18"/>
              </w:rPr>
              <w:t>The need to develop the entrepreneuring sector</w:t>
            </w:r>
          </w:p>
          <w:p w14:paraId="08141529" w14:textId="2BA79D28" w:rsidR="00E614F2" w:rsidRPr="001C7238" w:rsidRDefault="00E614F2" w:rsidP="00E42342">
            <w:pPr>
              <w:pStyle w:val="Briefingtext"/>
              <w:numPr>
                <w:ilvl w:val="0"/>
                <w:numId w:val="328"/>
              </w:numPr>
              <w:spacing w:after="0"/>
              <w:textDirection w:val="btLr"/>
              <w:rPr>
                <w:sz w:val="18"/>
                <w:szCs w:val="20"/>
              </w:rPr>
            </w:pPr>
            <w:r w:rsidRPr="001C7238">
              <w:rPr>
                <w:sz w:val="18"/>
                <w:szCs w:val="20"/>
              </w:rPr>
              <w:t xml:space="preserve">Promoting information on sources of information </w:t>
            </w:r>
          </w:p>
          <w:p w14:paraId="057C8523" w14:textId="0D2C9251" w:rsidR="00E614F2" w:rsidRPr="00801C38" w:rsidRDefault="00E614F2" w:rsidP="00E42342">
            <w:pPr>
              <w:pStyle w:val="Briefingtext"/>
              <w:numPr>
                <w:ilvl w:val="0"/>
                <w:numId w:val="328"/>
              </w:numPr>
              <w:spacing w:after="0"/>
              <w:textDirection w:val="btLr"/>
              <w:rPr>
                <w:sz w:val="18"/>
                <w:szCs w:val="18"/>
              </w:rPr>
            </w:pPr>
            <w:r w:rsidRPr="001C7238">
              <w:rPr>
                <w:sz w:val="18"/>
                <w:szCs w:val="20"/>
              </w:rPr>
              <w:t>Bringing together public institutions on a platform for communication with and between SMEs</w:t>
            </w:r>
          </w:p>
        </w:tc>
      </w:tr>
      <w:tr w:rsidR="00E614F2" w:rsidRPr="00E614F2" w14:paraId="3388024B" w14:textId="77777777" w:rsidTr="00EE02DE">
        <w:tc>
          <w:tcPr>
            <w:tcW w:w="14173" w:type="dxa"/>
            <w:gridSpan w:val="4"/>
            <w:shd w:val="clear" w:color="auto" w:fill="B6D7A8"/>
          </w:tcPr>
          <w:p w14:paraId="143AEC4D" w14:textId="7EEED45C" w:rsidR="00E614F2" w:rsidRPr="00C8708A" w:rsidRDefault="00E614F2" w:rsidP="00EE02DE">
            <w:pPr>
              <w:ind w:hanging="2"/>
              <w:rPr>
                <w:rFonts w:ascii="Arial" w:hAnsi="Arial" w:cs="Arial"/>
                <w:b/>
                <w:sz w:val="18"/>
                <w:szCs w:val="18"/>
              </w:rPr>
            </w:pPr>
            <w:r w:rsidRPr="00C8708A">
              <w:rPr>
                <w:rFonts w:ascii="Arial" w:hAnsi="Arial" w:cs="Arial"/>
                <w:b/>
                <w:sz w:val="18"/>
                <w:szCs w:val="18"/>
              </w:rPr>
              <w:lastRenderedPageBreak/>
              <w:t>Ideas, need</w:t>
            </w:r>
            <w:r w:rsidR="001C7238">
              <w:rPr>
                <w:rFonts w:ascii="Arial" w:hAnsi="Arial" w:cs="Arial"/>
                <w:b/>
                <w:sz w:val="18"/>
                <w:szCs w:val="18"/>
              </w:rPr>
              <w:t>s</w:t>
            </w:r>
            <w:r w:rsidRPr="00C8708A">
              <w:rPr>
                <w:rFonts w:ascii="Arial" w:hAnsi="Arial" w:cs="Arial"/>
                <w:b/>
                <w:sz w:val="18"/>
                <w:szCs w:val="18"/>
              </w:rPr>
              <w:t xml:space="preserve">, important cross-sector elements </w:t>
            </w:r>
          </w:p>
        </w:tc>
      </w:tr>
      <w:tr w:rsidR="00E614F2" w:rsidRPr="00E614F2" w14:paraId="5F031E43" w14:textId="77777777" w:rsidTr="00801C38">
        <w:trPr>
          <w:trHeight w:val="323"/>
        </w:trPr>
        <w:tc>
          <w:tcPr>
            <w:tcW w:w="14173" w:type="dxa"/>
            <w:gridSpan w:val="4"/>
          </w:tcPr>
          <w:p w14:paraId="03CCB331" w14:textId="77777777" w:rsidR="00E614F2" w:rsidRPr="00801C38" w:rsidRDefault="00E614F2" w:rsidP="00E42342">
            <w:pPr>
              <w:pStyle w:val="Briefingtext"/>
              <w:numPr>
                <w:ilvl w:val="0"/>
                <w:numId w:val="328"/>
              </w:numPr>
              <w:spacing w:after="0"/>
              <w:textDirection w:val="btLr"/>
              <w:rPr>
                <w:sz w:val="18"/>
                <w:szCs w:val="18"/>
              </w:rPr>
            </w:pPr>
            <w:r w:rsidRPr="001C7238">
              <w:rPr>
                <w:sz w:val="18"/>
                <w:szCs w:val="20"/>
              </w:rPr>
              <w:t>The need for partnerships: public private - academia and developing active programmes engaging academia in the private sector</w:t>
            </w:r>
            <w:r w:rsidRPr="00801C38">
              <w:rPr>
                <w:sz w:val="18"/>
                <w:szCs w:val="18"/>
              </w:rPr>
              <w:t xml:space="preserve"> </w:t>
            </w:r>
          </w:p>
        </w:tc>
      </w:tr>
    </w:tbl>
    <w:p w14:paraId="71FB72CF" w14:textId="77777777" w:rsidR="00E614F2" w:rsidRDefault="00E614F2" w:rsidP="00BC0F67">
      <w:pPr>
        <w:shd w:val="clear" w:color="auto" w:fill="FFFFFF"/>
        <w:spacing w:after="240"/>
        <w:jc w:val="both"/>
        <w:rPr>
          <w:sz w:val="20"/>
          <w:szCs w:val="20"/>
        </w:rPr>
        <w:sectPr w:rsidR="00E614F2" w:rsidSect="00C721D3">
          <w:headerReference w:type="default" r:id="rId241"/>
          <w:pgSz w:w="16834" w:h="11909" w:orient="landscape"/>
          <w:pgMar w:top="1530" w:right="1440" w:bottom="1440" w:left="1440" w:header="720" w:footer="720" w:gutter="0"/>
          <w:cols w:space="720"/>
          <w:docGrid w:linePitch="326"/>
        </w:sectPr>
      </w:pPr>
    </w:p>
    <w:p w14:paraId="350FE18C" w14:textId="77777777" w:rsidR="00801C38" w:rsidRDefault="00801C38" w:rsidP="00801C38">
      <w:pPr>
        <w:spacing w:after="120"/>
        <w:jc w:val="both"/>
        <w:rPr>
          <w:rFonts w:ascii="Arial" w:hAnsi="Arial" w:cs="Arial"/>
          <w:i/>
          <w:iCs/>
          <w:color w:val="0070C0"/>
          <w:sz w:val="20"/>
          <w:szCs w:val="20"/>
        </w:rPr>
      </w:pPr>
      <w:r w:rsidRPr="00D77CB1">
        <w:rPr>
          <w:rFonts w:ascii="Arial" w:hAnsi="Arial" w:cs="Arial"/>
          <w:i/>
          <w:iCs/>
          <w:color w:val="0070C0"/>
          <w:sz w:val="20"/>
          <w:szCs w:val="20"/>
        </w:rPr>
        <w:lastRenderedPageBreak/>
        <w:t xml:space="preserve">Assessment of participants’ input </w:t>
      </w:r>
      <w:r>
        <w:rPr>
          <w:rFonts w:ascii="Arial" w:hAnsi="Arial" w:cs="Arial"/>
          <w:i/>
          <w:iCs/>
          <w:color w:val="0070C0"/>
          <w:sz w:val="20"/>
          <w:szCs w:val="20"/>
        </w:rPr>
        <w:t>from</w:t>
      </w:r>
      <w:r w:rsidRPr="00D77CB1">
        <w:rPr>
          <w:rFonts w:ascii="Arial" w:hAnsi="Arial" w:cs="Arial"/>
          <w:i/>
          <w:iCs/>
          <w:color w:val="0070C0"/>
          <w:sz w:val="20"/>
          <w:szCs w:val="20"/>
        </w:rPr>
        <w:t xml:space="preserve"> the four main topics of discussion </w:t>
      </w:r>
    </w:p>
    <w:p w14:paraId="7036DE49" w14:textId="77777777" w:rsidR="00801C38" w:rsidRDefault="00801C38" w:rsidP="00792049">
      <w:pPr>
        <w:jc w:val="both"/>
        <w:rPr>
          <w:rFonts w:ascii="Arial" w:hAnsi="Arial" w:cs="Arial"/>
          <w:b/>
          <w:sz w:val="20"/>
          <w:szCs w:val="20"/>
        </w:rPr>
      </w:pPr>
      <w:r w:rsidRPr="00BB716C">
        <w:rPr>
          <w:rFonts w:ascii="Arial" w:hAnsi="Arial" w:cs="Arial"/>
          <w:b/>
          <w:sz w:val="20"/>
          <w:szCs w:val="20"/>
        </w:rPr>
        <w:t>Previously emphasized points in the context of the Working Groups and now resumed in the context of the regional workshop</w:t>
      </w:r>
    </w:p>
    <w:p w14:paraId="395E268B" w14:textId="77777777" w:rsidR="00B63558" w:rsidRPr="00402580" w:rsidRDefault="00B63558" w:rsidP="00E614F2">
      <w:pPr>
        <w:jc w:val="both"/>
        <w:rPr>
          <w:rFonts w:ascii="Arial" w:hAnsi="Arial" w:cs="Arial"/>
          <w:b/>
          <w:sz w:val="12"/>
          <w:szCs w:val="12"/>
        </w:rPr>
      </w:pPr>
    </w:p>
    <w:p w14:paraId="5DBD45A7" w14:textId="2D1F0E85" w:rsidR="00B63558" w:rsidRDefault="00B63558" w:rsidP="00E42342">
      <w:pPr>
        <w:numPr>
          <w:ilvl w:val="0"/>
          <w:numId w:val="239"/>
        </w:numPr>
        <w:spacing w:after="80"/>
        <w:ind w:left="357" w:hanging="357"/>
        <w:jc w:val="both"/>
        <w:rPr>
          <w:rFonts w:ascii="Arial" w:hAnsi="Arial" w:cs="Arial"/>
          <w:sz w:val="20"/>
          <w:szCs w:val="20"/>
          <w:lang w:eastAsia="en-US"/>
        </w:rPr>
      </w:pPr>
      <w:r>
        <w:rPr>
          <w:rFonts w:ascii="Arial" w:hAnsi="Arial" w:cs="Arial"/>
          <w:sz w:val="20"/>
          <w:szCs w:val="20"/>
        </w:rPr>
        <w:t>Scarcity of specialist</w:t>
      </w:r>
      <w:r w:rsidR="00C8708A">
        <w:rPr>
          <w:rFonts w:ascii="Arial" w:hAnsi="Arial" w:cs="Arial"/>
          <w:sz w:val="20"/>
          <w:szCs w:val="20"/>
        </w:rPr>
        <w:t>s</w:t>
      </w:r>
      <w:r>
        <w:rPr>
          <w:rFonts w:ascii="Arial" w:hAnsi="Arial" w:cs="Arial"/>
          <w:sz w:val="20"/>
          <w:szCs w:val="20"/>
        </w:rPr>
        <w:t xml:space="preserve">, there </w:t>
      </w:r>
      <w:r w:rsidR="00C8708A">
        <w:rPr>
          <w:rFonts w:ascii="Arial" w:hAnsi="Arial" w:cs="Arial"/>
          <w:sz w:val="20"/>
          <w:szCs w:val="20"/>
        </w:rPr>
        <w:t>are</w:t>
      </w:r>
      <w:r>
        <w:rPr>
          <w:rFonts w:ascii="Arial" w:hAnsi="Arial" w:cs="Arial"/>
          <w:sz w:val="20"/>
          <w:szCs w:val="20"/>
        </w:rPr>
        <w:t xml:space="preserve"> no </w:t>
      </w:r>
      <w:r w:rsidR="00DB00EB">
        <w:rPr>
          <w:rFonts w:ascii="Arial" w:hAnsi="Arial" w:cs="Arial"/>
          <w:sz w:val="20"/>
          <w:szCs w:val="20"/>
        </w:rPr>
        <w:t xml:space="preserve">highly </w:t>
      </w:r>
      <w:r>
        <w:rPr>
          <w:rFonts w:ascii="Arial" w:hAnsi="Arial" w:cs="Arial"/>
          <w:sz w:val="20"/>
          <w:szCs w:val="20"/>
        </w:rPr>
        <w:t xml:space="preserve">qualified staff in </w:t>
      </w:r>
      <w:r w:rsidR="003751DC">
        <w:rPr>
          <w:rFonts w:ascii="Arial" w:hAnsi="Arial" w:cs="Arial"/>
          <w:sz w:val="20"/>
          <w:szCs w:val="20"/>
        </w:rPr>
        <w:t>Galați</w:t>
      </w:r>
      <w:r w:rsidR="00C8708A">
        <w:rPr>
          <w:rFonts w:ascii="Arial" w:hAnsi="Arial" w:cs="Arial"/>
          <w:sz w:val="20"/>
          <w:szCs w:val="20"/>
        </w:rPr>
        <w:t>;</w:t>
      </w:r>
    </w:p>
    <w:p w14:paraId="4125FF25" w14:textId="32F02192" w:rsidR="00B63558" w:rsidRPr="00B63558" w:rsidRDefault="00B63558" w:rsidP="00E42342">
      <w:pPr>
        <w:pStyle w:val="ListParagraph"/>
        <w:numPr>
          <w:ilvl w:val="0"/>
          <w:numId w:val="239"/>
        </w:numPr>
        <w:spacing w:after="80" w:line="240" w:lineRule="auto"/>
        <w:ind w:left="357" w:hanging="357"/>
        <w:jc w:val="both"/>
        <w:rPr>
          <w:rFonts w:ascii="Calibri" w:eastAsia="Calibri" w:hAnsi="Calibri" w:cs="Calibri"/>
        </w:rPr>
      </w:pPr>
      <w:r w:rsidRPr="00C721D3">
        <w:rPr>
          <w:sz w:val="20"/>
          <w:szCs w:val="20"/>
        </w:rPr>
        <w:t>Pertinence of developing apprenticeships for new trades</w:t>
      </w:r>
      <w:r w:rsidR="00C8708A">
        <w:rPr>
          <w:sz w:val="20"/>
          <w:szCs w:val="20"/>
        </w:rPr>
        <w:t>;</w:t>
      </w:r>
    </w:p>
    <w:p w14:paraId="69BA025C" w14:textId="6FFD3051" w:rsidR="00B63558" w:rsidRDefault="00B63558" w:rsidP="00E42342">
      <w:pPr>
        <w:numPr>
          <w:ilvl w:val="0"/>
          <w:numId w:val="239"/>
        </w:numPr>
        <w:spacing w:after="80"/>
        <w:ind w:left="357" w:hanging="357"/>
        <w:jc w:val="both"/>
        <w:rPr>
          <w:rFonts w:ascii="Arial" w:hAnsi="Arial" w:cs="Arial"/>
          <w:b/>
          <w:sz w:val="20"/>
          <w:szCs w:val="20"/>
        </w:rPr>
      </w:pPr>
      <w:r>
        <w:rPr>
          <w:rFonts w:ascii="Arial" w:hAnsi="Arial" w:cs="Arial"/>
          <w:sz w:val="20"/>
          <w:szCs w:val="20"/>
        </w:rPr>
        <w:t xml:space="preserve">There is a desire to undertake new technologies and there </w:t>
      </w:r>
      <w:r w:rsidR="00DB00EB">
        <w:rPr>
          <w:rFonts w:ascii="Arial" w:hAnsi="Arial" w:cs="Arial"/>
          <w:sz w:val="20"/>
          <w:szCs w:val="20"/>
        </w:rPr>
        <w:t xml:space="preserve">are </w:t>
      </w:r>
      <w:r>
        <w:rPr>
          <w:rFonts w:ascii="Arial" w:hAnsi="Arial" w:cs="Arial"/>
          <w:sz w:val="20"/>
          <w:szCs w:val="20"/>
        </w:rPr>
        <w:t xml:space="preserve">plans for activity </w:t>
      </w:r>
      <w:r w:rsidR="00DB00EB">
        <w:rPr>
          <w:rFonts w:ascii="Arial" w:hAnsi="Arial" w:cs="Arial"/>
          <w:sz w:val="20"/>
          <w:szCs w:val="20"/>
        </w:rPr>
        <w:t xml:space="preserve">diversification </w:t>
      </w:r>
      <w:r>
        <w:rPr>
          <w:rFonts w:ascii="Arial" w:hAnsi="Arial" w:cs="Arial"/>
          <w:sz w:val="20"/>
          <w:szCs w:val="20"/>
        </w:rPr>
        <w:t>(</w:t>
      </w:r>
      <w:r w:rsidR="00DB00EB">
        <w:rPr>
          <w:rFonts w:ascii="Arial" w:hAnsi="Arial" w:cs="Arial"/>
          <w:sz w:val="20"/>
          <w:szCs w:val="20"/>
        </w:rPr>
        <w:t xml:space="preserve">e.g.: </w:t>
      </w:r>
      <w:r>
        <w:rPr>
          <w:rFonts w:ascii="Arial" w:hAnsi="Arial" w:cs="Arial"/>
          <w:sz w:val="20"/>
          <w:szCs w:val="20"/>
        </w:rPr>
        <w:t>Liberty,)</w:t>
      </w:r>
      <w:r w:rsidR="00C8708A">
        <w:rPr>
          <w:rFonts w:ascii="Arial" w:hAnsi="Arial" w:cs="Arial"/>
          <w:sz w:val="20"/>
          <w:szCs w:val="20"/>
        </w:rPr>
        <w:t>;</w:t>
      </w:r>
    </w:p>
    <w:p w14:paraId="1FF96E0C" w14:textId="5F3375F4"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A need for partnerships for reusing “brownfield” lands and attracting new investors on Liberty platforms</w:t>
      </w:r>
      <w:r w:rsidR="00C8708A">
        <w:rPr>
          <w:rFonts w:ascii="Arial" w:hAnsi="Arial" w:cs="Arial"/>
          <w:sz w:val="20"/>
          <w:szCs w:val="20"/>
        </w:rPr>
        <w:t>;</w:t>
      </w:r>
      <w:r>
        <w:rPr>
          <w:rFonts w:ascii="Arial" w:hAnsi="Arial" w:cs="Arial"/>
          <w:sz w:val="20"/>
          <w:szCs w:val="20"/>
        </w:rPr>
        <w:t xml:space="preserve"> </w:t>
      </w:r>
    </w:p>
    <w:p w14:paraId="3EFF880B" w14:textId="53A62BD3"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The need to identify areas that can be rehabilitated</w:t>
      </w:r>
      <w:r w:rsidR="00C8708A">
        <w:rPr>
          <w:rFonts w:ascii="Arial" w:hAnsi="Arial" w:cs="Arial"/>
          <w:sz w:val="20"/>
          <w:szCs w:val="20"/>
        </w:rPr>
        <w:t>;</w:t>
      </w:r>
      <w:r>
        <w:rPr>
          <w:rFonts w:ascii="Arial" w:hAnsi="Arial" w:cs="Arial"/>
          <w:sz w:val="20"/>
          <w:szCs w:val="20"/>
        </w:rPr>
        <w:t xml:space="preserve"> </w:t>
      </w:r>
    </w:p>
    <w:p w14:paraId="6C12E4FC" w14:textId="5F9D5E42"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Throughout the county there are no compost facilities (part of SMID) and there is a need for implementing projects with a circular economy component</w:t>
      </w:r>
      <w:r w:rsidR="00C8708A">
        <w:rPr>
          <w:rFonts w:ascii="Arial" w:hAnsi="Arial" w:cs="Arial"/>
          <w:sz w:val="20"/>
          <w:szCs w:val="20"/>
        </w:rPr>
        <w:t>;</w:t>
      </w:r>
      <w:r>
        <w:rPr>
          <w:rFonts w:ascii="Arial" w:hAnsi="Arial" w:cs="Arial"/>
          <w:sz w:val="20"/>
          <w:szCs w:val="20"/>
        </w:rPr>
        <w:t xml:space="preserve"> </w:t>
      </w:r>
    </w:p>
    <w:p w14:paraId="2BE79354" w14:textId="1D9D7626"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 xml:space="preserve">The need for additional investments in the </w:t>
      </w:r>
      <w:r w:rsidR="003751DC">
        <w:rPr>
          <w:rFonts w:ascii="Arial" w:hAnsi="Arial" w:cs="Arial"/>
          <w:sz w:val="20"/>
          <w:szCs w:val="20"/>
        </w:rPr>
        <w:t>Galați</w:t>
      </w:r>
      <w:r>
        <w:rPr>
          <w:rFonts w:ascii="Arial" w:hAnsi="Arial" w:cs="Arial"/>
          <w:sz w:val="20"/>
          <w:szCs w:val="20"/>
        </w:rPr>
        <w:t xml:space="preserve"> free area</w:t>
      </w:r>
      <w:r w:rsidR="00C8708A">
        <w:rPr>
          <w:rFonts w:ascii="Arial" w:hAnsi="Arial" w:cs="Arial"/>
          <w:sz w:val="20"/>
          <w:szCs w:val="20"/>
        </w:rPr>
        <w:t>;</w:t>
      </w:r>
    </w:p>
    <w:p w14:paraId="6E0BDA0D" w14:textId="0B723F58"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It is deemed pertinent to revitali</w:t>
      </w:r>
      <w:r w:rsidR="00C8708A">
        <w:rPr>
          <w:rFonts w:ascii="Arial" w:hAnsi="Arial" w:cs="Arial"/>
          <w:sz w:val="20"/>
          <w:szCs w:val="20"/>
        </w:rPr>
        <w:t>s</w:t>
      </w:r>
      <w:r>
        <w:rPr>
          <w:rFonts w:ascii="Arial" w:hAnsi="Arial" w:cs="Arial"/>
          <w:sz w:val="20"/>
          <w:szCs w:val="20"/>
        </w:rPr>
        <w:t>e the industrial park by means of proper management</w:t>
      </w:r>
      <w:r w:rsidR="00C8708A">
        <w:rPr>
          <w:rFonts w:ascii="Arial" w:hAnsi="Arial" w:cs="Arial"/>
          <w:sz w:val="20"/>
          <w:szCs w:val="20"/>
        </w:rPr>
        <w:t>;</w:t>
      </w:r>
    </w:p>
    <w:p w14:paraId="57B90B13" w14:textId="4B9BDB66"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It is deemed pertinent the establishment of a technopol/industrial park for SMEs</w:t>
      </w:r>
      <w:r w:rsidR="00C8708A">
        <w:rPr>
          <w:rFonts w:ascii="Arial" w:hAnsi="Arial" w:cs="Arial"/>
          <w:sz w:val="20"/>
          <w:szCs w:val="20"/>
        </w:rPr>
        <w:t xml:space="preserve">; </w:t>
      </w:r>
      <w:r>
        <w:rPr>
          <w:rFonts w:ascii="Arial" w:hAnsi="Arial" w:cs="Arial"/>
          <w:sz w:val="20"/>
          <w:szCs w:val="20"/>
        </w:rPr>
        <w:t xml:space="preserve">  </w:t>
      </w:r>
    </w:p>
    <w:p w14:paraId="70EAB689" w14:textId="38F4C638" w:rsidR="00B63558" w:rsidRDefault="00B63558" w:rsidP="00E42342">
      <w:pPr>
        <w:numPr>
          <w:ilvl w:val="0"/>
          <w:numId w:val="239"/>
        </w:numPr>
        <w:spacing w:after="80"/>
        <w:ind w:left="357" w:hanging="357"/>
        <w:jc w:val="both"/>
        <w:rPr>
          <w:rFonts w:ascii="Arial" w:hAnsi="Arial" w:cs="Arial"/>
          <w:sz w:val="20"/>
          <w:szCs w:val="20"/>
        </w:rPr>
      </w:pPr>
      <w:r>
        <w:rPr>
          <w:rFonts w:ascii="Arial" w:hAnsi="Arial" w:cs="Arial"/>
          <w:sz w:val="20"/>
          <w:szCs w:val="20"/>
        </w:rPr>
        <w:t>The food sector, cooperation between academia, food industry, research projects and SME cooperation</w:t>
      </w:r>
      <w:r w:rsidR="00C8708A">
        <w:rPr>
          <w:rFonts w:ascii="Arial" w:hAnsi="Arial" w:cs="Arial"/>
          <w:sz w:val="20"/>
          <w:szCs w:val="20"/>
        </w:rPr>
        <w:t>; and,</w:t>
      </w:r>
    </w:p>
    <w:p w14:paraId="7A1C2064" w14:textId="092BA302" w:rsidR="00E614F2" w:rsidRDefault="00B63558" w:rsidP="00E42342">
      <w:pPr>
        <w:pStyle w:val="ListParagraph"/>
        <w:numPr>
          <w:ilvl w:val="0"/>
          <w:numId w:val="239"/>
        </w:numPr>
        <w:shd w:val="clear" w:color="auto" w:fill="FFFFFF"/>
        <w:spacing w:after="80" w:line="240" w:lineRule="auto"/>
        <w:ind w:left="357" w:hanging="357"/>
        <w:jc w:val="both"/>
        <w:rPr>
          <w:sz w:val="20"/>
          <w:szCs w:val="20"/>
        </w:rPr>
      </w:pPr>
      <w:r w:rsidRPr="00C721D3">
        <w:rPr>
          <w:sz w:val="20"/>
          <w:szCs w:val="20"/>
        </w:rPr>
        <w:t>Experimental manufacturing research centers</w:t>
      </w:r>
      <w:r w:rsidR="00C8708A">
        <w:rPr>
          <w:sz w:val="20"/>
          <w:szCs w:val="20"/>
        </w:rPr>
        <w:t>.</w:t>
      </w:r>
    </w:p>
    <w:p w14:paraId="6CAE1264" w14:textId="77777777" w:rsidR="00801C38" w:rsidRPr="00801C38" w:rsidRDefault="00801C38" w:rsidP="00801C38">
      <w:pPr>
        <w:spacing w:after="120"/>
        <w:jc w:val="both"/>
        <w:rPr>
          <w:rFonts w:ascii="Arial" w:hAnsi="Arial" w:cs="Arial"/>
          <w:sz w:val="20"/>
          <w:szCs w:val="20"/>
        </w:rPr>
      </w:pPr>
      <w:r w:rsidRPr="00801C38">
        <w:rPr>
          <w:rFonts w:ascii="Arial" w:hAnsi="Arial" w:cs="Arial"/>
          <w:b/>
          <w:sz w:val="20"/>
          <w:szCs w:val="20"/>
        </w:rPr>
        <w:t>New points that have emerged during the regional workshop</w:t>
      </w:r>
    </w:p>
    <w:p w14:paraId="3C15F630" w14:textId="77777777" w:rsidR="00B63558" w:rsidRDefault="00B63558" w:rsidP="00E42342">
      <w:pPr>
        <w:numPr>
          <w:ilvl w:val="0"/>
          <w:numId w:val="240"/>
        </w:numPr>
        <w:spacing w:after="80"/>
        <w:ind w:left="357" w:hanging="357"/>
        <w:jc w:val="both"/>
        <w:rPr>
          <w:rFonts w:ascii="Arial" w:hAnsi="Arial" w:cs="Arial"/>
          <w:sz w:val="20"/>
          <w:szCs w:val="20"/>
          <w:lang w:eastAsia="en-US"/>
        </w:rPr>
      </w:pPr>
      <w:r>
        <w:rPr>
          <w:rFonts w:ascii="Arial" w:hAnsi="Arial" w:cs="Arial"/>
          <w:sz w:val="20"/>
          <w:szCs w:val="20"/>
        </w:rPr>
        <w:t>SME employers - less emphasis on qualification and retraining, as the educational system is not compatible with the needs of economic agents, there is no critical mass of local workforce for retraining programmes, there is a major workforce deficit, counterintuitive with the high unemployment rate.</w:t>
      </w:r>
    </w:p>
    <w:p w14:paraId="31926F0C" w14:textId="42C148B6" w:rsidR="00B63558" w:rsidRDefault="00B63558" w:rsidP="00E42342">
      <w:pPr>
        <w:numPr>
          <w:ilvl w:val="0"/>
          <w:numId w:val="240"/>
        </w:numPr>
        <w:spacing w:after="80"/>
        <w:ind w:left="357" w:hanging="357"/>
        <w:jc w:val="both"/>
        <w:rPr>
          <w:rFonts w:ascii="Arial" w:hAnsi="Arial" w:cs="Arial"/>
          <w:sz w:val="20"/>
          <w:szCs w:val="20"/>
        </w:rPr>
      </w:pPr>
      <w:r>
        <w:rPr>
          <w:rFonts w:ascii="Arial" w:hAnsi="Arial" w:cs="Arial"/>
          <w:sz w:val="20"/>
          <w:szCs w:val="20"/>
        </w:rPr>
        <w:t>Contaminated sludges</w:t>
      </w:r>
      <w:r w:rsidR="00C8708A">
        <w:rPr>
          <w:rFonts w:ascii="Arial" w:hAnsi="Arial" w:cs="Arial"/>
          <w:sz w:val="20"/>
          <w:szCs w:val="20"/>
        </w:rPr>
        <w:t>:</w:t>
      </w:r>
      <w:r>
        <w:rPr>
          <w:rFonts w:ascii="Arial" w:hAnsi="Arial" w:cs="Arial"/>
          <w:sz w:val="20"/>
          <w:szCs w:val="20"/>
        </w:rPr>
        <w:t xml:space="preserve"> possible investment sites, maybe for tourism/leisure uses</w:t>
      </w:r>
      <w:r w:rsidR="00C8708A">
        <w:rPr>
          <w:rFonts w:ascii="Arial" w:hAnsi="Arial" w:cs="Arial"/>
          <w:sz w:val="20"/>
          <w:szCs w:val="20"/>
        </w:rPr>
        <w:t>.</w:t>
      </w:r>
    </w:p>
    <w:p w14:paraId="59BAF081" w14:textId="0C0F3B39" w:rsidR="00B63558" w:rsidRDefault="00B63558" w:rsidP="00E42342">
      <w:pPr>
        <w:numPr>
          <w:ilvl w:val="0"/>
          <w:numId w:val="240"/>
        </w:numPr>
        <w:spacing w:after="80"/>
        <w:ind w:left="357" w:hanging="357"/>
        <w:jc w:val="both"/>
        <w:rPr>
          <w:rFonts w:ascii="Arial" w:hAnsi="Arial" w:cs="Arial"/>
          <w:sz w:val="20"/>
          <w:szCs w:val="20"/>
        </w:rPr>
      </w:pPr>
      <w:r>
        <w:rPr>
          <w:rFonts w:ascii="Arial" w:hAnsi="Arial" w:cs="Arial"/>
          <w:sz w:val="20"/>
          <w:szCs w:val="20"/>
        </w:rPr>
        <w:t>Țiglinei valley</w:t>
      </w:r>
      <w:r w:rsidR="00C8708A">
        <w:rPr>
          <w:rFonts w:ascii="Arial" w:hAnsi="Arial" w:cs="Arial"/>
          <w:sz w:val="20"/>
          <w:szCs w:val="20"/>
        </w:rPr>
        <w:t>:</w:t>
      </w:r>
      <w:r>
        <w:rPr>
          <w:rFonts w:ascii="Arial" w:hAnsi="Arial" w:cs="Arial"/>
          <w:sz w:val="20"/>
          <w:szCs w:val="20"/>
        </w:rPr>
        <w:t xml:space="preserve"> in the middle of the city rejuvenation</w:t>
      </w:r>
      <w:r w:rsidR="00C8708A">
        <w:rPr>
          <w:rFonts w:ascii="Arial" w:hAnsi="Arial" w:cs="Arial"/>
          <w:sz w:val="20"/>
          <w:szCs w:val="20"/>
        </w:rPr>
        <w:t>.</w:t>
      </w:r>
      <w:r>
        <w:rPr>
          <w:rFonts w:ascii="Arial" w:hAnsi="Arial" w:cs="Arial"/>
          <w:sz w:val="20"/>
          <w:szCs w:val="20"/>
        </w:rPr>
        <w:t xml:space="preserve"> </w:t>
      </w:r>
    </w:p>
    <w:p w14:paraId="73A97A33" w14:textId="1CF2C8EB" w:rsidR="00B63558" w:rsidRDefault="00B63558" w:rsidP="00E42342">
      <w:pPr>
        <w:numPr>
          <w:ilvl w:val="0"/>
          <w:numId w:val="240"/>
        </w:numPr>
        <w:spacing w:after="80"/>
        <w:ind w:left="357" w:hanging="357"/>
        <w:jc w:val="both"/>
        <w:rPr>
          <w:rFonts w:ascii="Arial" w:hAnsi="Arial" w:cs="Arial"/>
          <w:sz w:val="20"/>
          <w:szCs w:val="20"/>
        </w:rPr>
      </w:pPr>
      <w:r>
        <w:rPr>
          <w:rFonts w:ascii="Arial" w:hAnsi="Arial" w:cs="Arial"/>
          <w:sz w:val="20"/>
          <w:szCs w:val="20"/>
        </w:rPr>
        <w:t>More fishing</w:t>
      </w:r>
      <w:r w:rsidR="00C8708A">
        <w:rPr>
          <w:rFonts w:ascii="Arial" w:hAnsi="Arial" w:cs="Arial"/>
          <w:sz w:val="20"/>
          <w:szCs w:val="20"/>
        </w:rPr>
        <w:t xml:space="preserve">: </w:t>
      </w:r>
      <w:r>
        <w:rPr>
          <w:rFonts w:ascii="Arial" w:hAnsi="Arial" w:cs="Arial"/>
          <w:sz w:val="20"/>
          <w:szCs w:val="20"/>
        </w:rPr>
        <w:t>related projects to make the area recogni</w:t>
      </w:r>
      <w:r w:rsidR="00C8708A">
        <w:rPr>
          <w:rFonts w:ascii="Arial" w:hAnsi="Arial" w:cs="Arial"/>
          <w:sz w:val="20"/>
          <w:szCs w:val="20"/>
        </w:rPr>
        <w:t>s</w:t>
      </w:r>
      <w:r>
        <w:rPr>
          <w:rFonts w:ascii="Arial" w:hAnsi="Arial" w:cs="Arial"/>
          <w:sz w:val="20"/>
          <w:szCs w:val="20"/>
        </w:rPr>
        <w:t>able and its water-related potential</w:t>
      </w:r>
      <w:r w:rsidR="00C8708A">
        <w:rPr>
          <w:rFonts w:ascii="Arial" w:hAnsi="Arial" w:cs="Arial"/>
          <w:sz w:val="20"/>
          <w:szCs w:val="20"/>
        </w:rPr>
        <w:t>.</w:t>
      </w:r>
    </w:p>
    <w:p w14:paraId="47C1E19A" w14:textId="24972227" w:rsidR="00B63558" w:rsidRDefault="00B63558" w:rsidP="00E42342">
      <w:pPr>
        <w:numPr>
          <w:ilvl w:val="0"/>
          <w:numId w:val="240"/>
        </w:numPr>
        <w:spacing w:after="80"/>
        <w:ind w:left="357" w:hanging="357"/>
        <w:jc w:val="both"/>
        <w:rPr>
          <w:rFonts w:ascii="Arial" w:hAnsi="Arial" w:cs="Arial"/>
          <w:sz w:val="20"/>
          <w:szCs w:val="20"/>
        </w:rPr>
      </w:pPr>
      <w:r>
        <w:rPr>
          <w:rFonts w:ascii="Arial" w:hAnsi="Arial" w:cs="Arial"/>
          <w:sz w:val="20"/>
          <w:szCs w:val="20"/>
        </w:rPr>
        <w:t>SME employers</w:t>
      </w:r>
      <w:r w:rsidR="00C8708A">
        <w:rPr>
          <w:rFonts w:ascii="Arial" w:hAnsi="Arial" w:cs="Arial"/>
          <w:sz w:val="20"/>
          <w:szCs w:val="20"/>
        </w:rPr>
        <w:t>:</w:t>
      </w:r>
      <w:r>
        <w:rPr>
          <w:rFonts w:ascii="Arial" w:hAnsi="Arial" w:cs="Arial"/>
          <w:sz w:val="20"/>
          <w:szCs w:val="20"/>
        </w:rPr>
        <w:t xml:space="preserve"> the need for IT development, SME projects fostering entrepreneurial skills, business and grants plans </w:t>
      </w:r>
      <w:r w:rsidR="00C8708A">
        <w:rPr>
          <w:rFonts w:ascii="Arial" w:hAnsi="Arial" w:cs="Arial"/>
          <w:sz w:val="20"/>
          <w:szCs w:val="20"/>
        </w:rPr>
        <w:t>–</w:t>
      </w:r>
      <w:r>
        <w:rPr>
          <w:rFonts w:ascii="Arial" w:hAnsi="Arial" w:cs="Arial"/>
          <w:sz w:val="20"/>
          <w:szCs w:val="20"/>
        </w:rPr>
        <w:t xml:space="preserve"> microenterprise measures targeting unemployment depletion and marginali</w:t>
      </w:r>
      <w:r w:rsidR="00C8708A">
        <w:rPr>
          <w:rFonts w:ascii="Arial" w:hAnsi="Arial" w:cs="Arial"/>
          <w:sz w:val="20"/>
          <w:szCs w:val="20"/>
        </w:rPr>
        <w:t>s</w:t>
      </w:r>
      <w:r>
        <w:rPr>
          <w:rFonts w:ascii="Arial" w:hAnsi="Arial" w:cs="Arial"/>
          <w:sz w:val="20"/>
          <w:szCs w:val="20"/>
        </w:rPr>
        <w:t>ed urban areas with a low quality of life</w:t>
      </w:r>
      <w:r w:rsidR="00C8708A">
        <w:rPr>
          <w:rFonts w:ascii="Arial" w:hAnsi="Arial" w:cs="Arial"/>
          <w:sz w:val="20"/>
          <w:szCs w:val="20"/>
        </w:rPr>
        <w:t>.</w:t>
      </w:r>
    </w:p>
    <w:p w14:paraId="73F89A26" w14:textId="61DFB55F" w:rsidR="00B63558" w:rsidRDefault="00B63558" w:rsidP="00E42342">
      <w:pPr>
        <w:numPr>
          <w:ilvl w:val="0"/>
          <w:numId w:val="240"/>
        </w:numPr>
        <w:spacing w:after="80"/>
        <w:ind w:left="357" w:hanging="357"/>
        <w:jc w:val="both"/>
        <w:rPr>
          <w:rFonts w:ascii="Arial" w:hAnsi="Arial" w:cs="Arial"/>
          <w:sz w:val="20"/>
          <w:szCs w:val="20"/>
        </w:rPr>
      </w:pPr>
      <w:r>
        <w:rPr>
          <w:rFonts w:ascii="Arial" w:hAnsi="Arial" w:cs="Arial"/>
          <w:sz w:val="20"/>
          <w:szCs w:val="20"/>
        </w:rPr>
        <w:t>Creating training centers for the adult population with the purpose of future professional reconversion through AJOFM, in IT for example</w:t>
      </w:r>
      <w:r w:rsidR="00C8708A">
        <w:rPr>
          <w:rFonts w:ascii="Arial" w:hAnsi="Arial" w:cs="Arial"/>
          <w:sz w:val="20"/>
          <w:szCs w:val="20"/>
        </w:rPr>
        <w:t>.</w:t>
      </w:r>
      <w:r>
        <w:rPr>
          <w:rFonts w:ascii="Arial" w:hAnsi="Arial" w:cs="Arial"/>
          <w:sz w:val="20"/>
          <w:szCs w:val="20"/>
        </w:rPr>
        <w:t xml:space="preserve"> </w:t>
      </w:r>
    </w:p>
    <w:p w14:paraId="0B674BF5" w14:textId="7D973479" w:rsidR="00801C38" w:rsidRPr="00801C38" w:rsidRDefault="00B63558" w:rsidP="00E42342">
      <w:pPr>
        <w:pStyle w:val="ListParagraph"/>
        <w:numPr>
          <w:ilvl w:val="0"/>
          <w:numId w:val="240"/>
        </w:numPr>
        <w:shd w:val="clear" w:color="auto" w:fill="FFFFFF"/>
        <w:spacing w:after="80" w:line="240" w:lineRule="auto"/>
        <w:ind w:left="357" w:hanging="357"/>
        <w:jc w:val="both"/>
        <w:rPr>
          <w:sz w:val="20"/>
          <w:szCs w:val="20"/>
        </w:rPr>
      </w:pPr>
      <w:r w:rsidRPr="00C721D3">
        <w:rPr>
          <w:sz w:val="20"/>
          <w:szCs w:val="20"/>
        </w:rPr>
        <w:t>Bringing public institutions together on a platform for communication with and between SMEs</w:t>
      </w:r>
      <w:r w:rsidR="00C8708A">
        <w:rPr>
          <w:sz w:val="20"/>
          <w:szCs w:val="20"/>
        </w:rPr>
        <w:t>.</w:t>
      </w:r>
    </w:p>
    <w:p w14:paraId="2521983B" w14:textId="2D31EBD3" w:rsidR="00801C38" w:rsidRPr="00801C38" w:rsidRDefault="00801C38" w:rsidP="00792049">
      <w:pPr>
        <w:jc w:val="both"/>
        <w:rPr>
          <w:rFonts w:ascii="Arial" w:hAnsi="Arial" w:cs="Arial"/>
          <w:sz w:val="20"/>
          <w:szCs w:val="20"/>
        </w:rPr>
      </w:pPr>
      <w:r w:rsidRPr="00801C38">
        <w:rPr>
          <w:rFonts w:ascii="Arial" w:hAnsi="Arial" w:cs="Arial"/>
          <w:b/>
          <w:sz w:val="20"/>
          <w:szCs w:val="20"/>
        </w:rPr>
        <w:t>Assessment on the pertinence of the ideas put forward / Rationale based on the data collected and the JTF framework</w:t>
      </w:r>
    </w:p>
    <w:p w14:paraId="57DB0957" w14:textId="77777777" w:rsidR="00B63558" w:rsidRPr="00C8708A" w:rsidRDefault="00B63558" w:rsidP="00C721D3">
      <w:pPr>
        <w:jc w:val="both"/>
        <w:rPr>
          <w:rFonts w:ascii="Arial" w:hAnsi="Arial" w:cs="Arial"/>
          <w:b/>
          <w:sz w:val="12"/>
          <w:szCs w:val="12"/>
        </w:rPr>
      </w:pPr>
    </w:p>
    <w:p w14:paraId="36B4D68D" w14:textId="1A28C171" w:rsidR="00B63558" w:rsidRPr="00C721D3" w:rsidRDefault="00B63558" w:rsidP="00E42342">
      <w:pPr>
        <w:pStyle w:val="ListParagraph"/>
        <w:numPr>
          <w:ilvl w:val="0"/>
          <w:numId w:val="241"/>
        </w:numPr>
        <w:spacing w:line="240" w:lineRule="auto"/>
        <w:jc w:val="both"/>
        <w:rPr>
          <w:sz w:val="20"/>
          <w:szCs w:val="20"/>
        </w:rPr>
      </w:pPr>
      <w:r w:rsidRPr="00C721D3">
        <w:rPr>
          <w:sz w:val="20"/>
          <w:szCs w:val="20"/>
        </w:rPr>
        <w:t xml:space="preserve">Projects </w:t>
      </w:r>
      <w:r w:rsidR="00C8708A" w:rsidRPr="00C721D3">
        <w:rPr>
          <w:sz w:val="20"/>
          <w:szCs w:val="20"/>
        </w:rPr>
        <w:t>in</w:t>
      </w:r>
      <w:r w:rsidRPr="00C721D3">
        <w:rPr>
          <w:sz w:val="20"/>
          <w:szCs w:val="20"/>
        </w:rPr>
        <w:t xml:space="preserve"> production/upgrading/diversification of economic activity must be supported. Existing capacity and interest for implementing new technologies &amp; diversification of economic activity for large enterprises. </w:t>
      </w:r>
    </w:p>
    <w:p w14:paraId="5297C2E0" w14:textId="7B398688" w:rsidR="00B63558" w:rsidRPr="00C721D3" w:rsidRDefault="00B63558" w:rsidP="00E42342">
      <w:pPr>
        <w:pStyle w:val="ListParagraph"/>
        <w:numPr>
          <w:ilvl w:val="0"/>
          <w:numId w:val="241"/>
        </w:numPr>
        <w:spacing w:line="240" w:lineRule="auto"/>
        <w:jc w:val="both"/>
        <w:rPr>
          <w:sz w:val="20"/>
          <w:szCs w:val="20"/>
        </w:rPr>
      </w:pPr>
      <w:r w:rsidRPr="00C721D3">
        <w:rPr>
          <w:sz w:val="20"/>
          <w:szCs w:val="20"/>
        </w:rPr>
        <w:t>Human resources</w:t>
      </w:r>
      <w:r w:rsidR="00C8708A">
        <w:rPr>
          <w:sz w:val="20"/>
          <w:szCs w:val="20"/>
        </w:rPr>
        <w:t>:</w:t>
      </w:r>
      <w:r w:rsidRPr="00C721D3">
        <w:rPr>
          <w:sz w:val="20"/>
          <w:szCs w:val="20"/>
        </w:rPr>
        <w:t xml:space="preserve"> training program</w:t>
      </w:r>
      <w:r w:rsidR="00C8708A">
        <w:rPr>
          <w:sz w:val="20"/>
          <w:szCs w:val="20"/>
        </w:rPr>
        <w:t>me</w:t>
      </w:r>
      <w:r w:rsidRPr="00C721D3">
        <w:rPr>
          <w:sz w:val="20"/>
          <w:szCs w:val="20"/>
        </w:rPr>
        <w:t xml:space="preserve">s </w:t>
      </w:r>
      <w:r w:rsidR="00C8708A">
        <w:rPr>
          <w:sz w:val="20"/>
          <w:szCs w:val="20"/>
        </w:rPr>
        <w:t>and</w:t>
      </w:r>
      <w:r w:rsidRPr="00C721D3">
        <w:rPr>
          <w:sz w:val="20"/>
          <w:szCs w:val="20"/>
        </w:rPr>
        <w:t xml:space="preserve"> attracting specialists, need for retraining program</w:t>
      </w:r>
      <w:r w:rsidR="00C8708A">
        <w:rPr>
          <w:sz w:val="20"/>
          <w:szCs w:val="20"/>
        </w:rPr>
        <w:t>me</w:t>
      </w:r>
      <w:r w:rsidRPr="00C721D3">
        <w:rPr>
          <w:sz w:val="20"/>
          <w:szCs w:val="20"/>
        </w:rPr>
        <w:t>s for future jobs.</w:t>
      </w:r>
    </w:p>
    <w:p w14:paraId="231BFB8B" w14:textId="77777777" w:rsidR="00B63558" w:rsidRPr="00C721D3" w:rsidRDefault="00B63558" w:rsidP="00E42342">
      <w:pPr>
        <w:pStyle w:val="ListParagraph"/>
        <w:numPr>
          <w:ilvl w:val="0"/>
          <w:numId w:val="241"/>
        </w:numPr>
        <w:spacing w:line="240" w:lineRule="auto"/>
        <w:jc w:val="both"/>
        <w:rPr>
          <w:sz w:val="20"/>
          <w:szCs w:val="20"/>
        </w:rPr>
      </w:pPr>
      <w:r w:rsidRPr="00C721D3">
        <w:rPr>
          <w:sz w:val="20"/>
          <w:szCs w:val="20"/>
        </w:rPr>
        <w:t xml:space="preserve">Information - Partnership. Need to formalise partnerships between the economic sector - research - SMEs &amp; industries (IT, technology, food, construction, naval, fish farming). </w:t>
      </w:r>
    </w:p>
    <w:p w14:paraId="56E6FA86" w14:textId="4B790635" w:rsidR="00B63558" w:rsidRPr="00C721D3" w:rsidRDefault="00B63558" w:rsidP="00E42342">
      <w:pPr>
        <w:pStyle w:val="ListParagraph"/>
        <w:numPr>
          <w:ilvl w:val="0"/>
          <w:numId w:val="241"/>
        </w:numPr>
        <w:shd w:val="clear" w:color="auto" w:fill="FFFFFF"/>
        <w:spacing w:after="240" w:line="240" w:lineRule="auto"/>
        <w:jc w:val="both"/>
        <w:rPr>
          <w:sz w:val="20"/>
          <w:szCs w:val="20"/>
        </w:rPr>
      </w:pPr>
      <w:r w:rsidRPr="00C721D3">
        <w:rPr>
          <w:sz w:val="20"/>
          <w:szCs w:val="20"/>
        </w:rPr>
        <w:t>General assessment for all counties -</w:t>
      </w:r>
      <w:r w:rsidR="002B4856">
        <w:rPr>
          <w:sz w:val="20"/>
          <w:szCs w:val="20"/>
        </w:rPr>
        <w:t xml:space="preserve"> </w:t>
      </w:r>
      <w:r w:rsidRPr="00C721D3">
        <w:rPr>
          <w:sz w:val="20"/>
          <w:szCs w:val="20"/>
        </w:rPr>
        <w:t xml:space="preserve">it is necessary to implement integrated projects with a post-funding duration of operation beyond the obligation to maintain the investment objective/operation imposed by the </w:t>
      </w:r>
      <w:r w:rsidR="00801C38">
        <w:rPr>
          <w:sz w:val="20"/>
          <w:szCs w:val="20"/>
        </w:rPr>
        <w:t xml:space="preserve">OPJT </w:t>
      </w:r>
      <w:r w:rsidRPr="00C721D3">
        <w:rPr>
          <w:sz w:val="20"/>
          <w:szCs w:val="20"/>
        </w:rPr>
        <w:t>through future general and specific guidelines.</w:t>
      </w:r>
    </w:p>
    <w:p w14:paraId="512D21DD" w14:textId="77777777" w:rsidR="00792049" w:rsidRDefault="00792049">
      <w:pPr>
        <w:spacing w:line="276" w:lineRule="auto"/>
        <w:rPr>
          <w:rFonts w:ascii="Arial" w:hAnsi="Arial" w:cs="Arial"/>
          <w:b/>
          <w:smallCaps/>
          <w:color w:val="4F81BD" w:themeColor="accent1"/>
          <w:sz w:val="32"/>
          <w:szCs w:val="32"/>
          <w:lang w:eastAsia="en-US"/>
        </w:rPr>
      </w:pPr>
      <w:r>
        <w:rPr>
          <w:color w:val="4F81BD" w:themeColor="accent1"/>
        </w:rPr>
        <w:br w:type="page"/>
      </w:r>
    </w:p>
    <w:p w14:paraId="1BA4BA32" w14:textId="6E3A6477" w:rsidR="00BD2604" w:rsidRPr="00792049" w:rsidRDefault="00BD2604" w:rsidP="00E42342">
      <w:pPr>
        <w:pStyle w:val="Heading1"/>
        <w:numPr>
          <w:ilvl w:val="0"/>
          <w:numId w:val="110"/>
        </w:numPr>
        <w:ind w:left="567" w:hanging="567"/>
        <w:rPr>
          <w:color w:val="4F81BD" w:themeColor="accent1"/>
        </w:rPr>
      </w:pPr>
      <w:bookmarkStart w:id="372" w:name="_Toc90725910"/>
      <w:r w:rsidRPr="00792049">
        <w:rPr>
          <w:color w:val="4F81BD" w:themeColor="accent1"/>
        </w:rPr>
        <w:lastRenderedPageBreak/>
        <w:t>Capital Raising Strategy</w:t>
      </w:r>
      <w:bookmarkEnd w:id="372"/>
    </w:p>
    <w:p w14:paraId="1987CE0F" w14:textId="77777777" w:rsidR="00BD2604" w:rsidRPr="003516DC" w:rsidRDefault="00BD2604" w:rsidP="00BD2604">
      <w:pPr>
        <w:rPr>
          <w:rFonts w:ascii="Arial" w:hAnsi="Arial" w:cs="Arial"/>
        </w:rPr>
      </w:pPr>
    </w:p>
    <w:p w14:paraId="09F8CA47" w14:textId="5BD88205" w:rsidR="00BD2604" w:rsidRPr="003516DC" w:rsidRDefault="00493276" w:rsidP="002B4856">
      <w:pPr>
        <w:pStyle w:val="NormalWeb"/>
        <w:shd w:val="clear" w:color="auto" w:fill="FFFFFF"/>
        <w:spacing w:before="0" w:beforeAutospacing="0" w:after="80" w:afterAutospacing="0"/>
        <w:jc w:val="both"/>
        <w:rPr>
          <w:rFonts w:ascii="Arial" w:hAnsi="Arial" w:cs="Arial"/>
          <w:color w:val="000000"/>
          <w:sz w:val="20"/>
          <w:szCs w:val="20"/>
        </w:rPr>
      </w:pPr>
      <w:r>
        <w:rPr>
          <w:rFonts w:ascii="Arial" w:hAnsi="Arial" w:cs="Arial"/>
          <w:color w:val="000000"/>
          <w:sz w:val="20"/>
          <w:szCs w:val="20"/>
        </w:rPr>
        <w:t>T</w:t>
      </w:r>
      <w:r w:rsidR="00BD2604" w:rsidRPr="003516DC">
        <w:rPr>
          <w:rFonts w:ascii="Arial" w:hAnsi="Arial" w:cs="Arial"/>
          <w:color w:val="000000"/>
          <w:sz w:val="20"/>
          <w:szCs w:val="20"/>
        </w:rPr>
        <w:t>o develop an accurate picture of the capital raising strategy for the six affected regions within the JTM context</w:t>
      </w:r>
      <w:r>
        <w:rPr>
          <w:rFonts w:ascii="Arial" w:hAnsi="Arial" w:cs="Arial"/>
          <w:color w:val="000000"/>
          <w:sz w:val="20"/>
          <w:szCs w:val="20"/>
        </w:rPr>
        <w:t>,</w:t>
      </w:r>
      <w:r w:rsidR="00BD2604" w:rsidRPr="003516DC">
        <w:rPr>
          <w:rFonts w:ascii="Arial" w:hAnsi="Arial" w:cs="Arial"/>
          <w:color w:val="000000"/>
          <w:sz w:val="20"/>
          <w:szCs w:val="20"/>
        </w:rPr>
        <w:t xml:space="preserve"> we relied on the following methodology:</w:t>
      </w:r>
    </w:p>
    <w:p w14:paraId="2874BB72" w14:textId="491B6463" w:rsidR="00BD2604" w:rsidRPr="003516DC" w:rsidRDefault="00BD2604" w:rsidP="00E42342">
      <w:pPr>
        <w:pStyle w:val="NormalWeb"/>
        <w:numPr>
          <w:ilvl w:val="0"/>
          <w:numId w:val="102"/>
        </w:numPr>
        <w:shd w:val="clear" w:color="auto" w:fill="FFFFFF"/>
        <w:spacing w:before="0" w:beforeAutospacing="0" w:after="40" w:afterAutospacing="0"/>
        <w:ind w:left="714" w:hanging="357"/>
        <w:jc w:val="both"/>
        <w:rPr>
          <w:rFonts w:ascii="Arial" w:hAnsi="Arial" w:cs="Arial"/>
          <w:color w:val="000000"/>
          <w:sz w:val="20"/>
          <w:szCs w:val="20"/>
        </w:rPr>
      </w:pPr>
      <w:r w:rsidRPr="003516DC">
        <w:rPr>
          <w:rFonts w:ascii="Arial" w:hAnsi="Arial" w:cs="Arial"/>
          <w:color w:val="000000"/>
          <w:sz w:val="20"/>
          <w:szCs w:val="20"/>
        </w:rPr>
        <w:t>In-depth interviews with approximately 30 large enterprises in all affected counties (1-to-1 discussions, six working sessio</w:t>
      </w:r>
      <w:r w:rsidR="00493276">
        <w:rPr>
          <w:rFonts w:ascii="Arial" w:hAnsi="Arial" w:cs="Arial"/>
          <w:color w:val="000000"/>
          <w:sz w:val="20"/>
          <w:szCs w:val="20"/>
        </w:rPr>
        <w:t>n</w:t>
      </w:r>
      <w:r w:rsidRPr="003516DC">
        <w:rPr>
          <w:rFonts w:ascii="Arial" w:hAnsi="Arial" w:cs="Arial"/>
          <w:color w:val="000000"/>
          <w:sz w:val="20"/>
          <w:szCs w:val="20"/>
        </w:rPr>
        <w:t>s of 90 minutes with representative large enterprises from each of the affected regions,</w:t>
      </w:r>
      <w:r w:rsidR="00493276">
        <w:rPr>
          <w:rFonts w:ascii="Arial" w:hAnsi="Arial" w:cs="Arial"/>
          <w:color w:val="000000"/>
          <w:sz w:val="20"/>
          <w:szCs w:val="20"/>
        </w:rPr>
        <w:t xml:space="preserve"> who were</w:t>
      </w:r>
      <w:r w:rsidRPr="003516DC">
        <w:rPr>
          <w:rFonts w:ascii="Arial" w:hAnsi="Arial" w:cs="Arial"/>
          <w:color w:val="000000"/>
          <w:sz w:val="20"/>
          <w:szCs w:val="20"/>
        </w:rPr>
        <w:t xml:space="preserve"> invited based on a selection according to figures on turnover and number of employees reported at the National Trade Registry). Within these interviews we asked the companies </w:t>
      </w:r>
      <w:r w:rsidR="00493276">
        <w:rPr>
          <w:rFonts w:ascii="Arial" w:hAnsi="Arial" w:cs="Arial"/>
          <w:color w:val="000000"/>
          <w:sz w:val="20"/>
          <w:szCs w:val="20"/>
        </w:rPr>
        <w:t>about</w:t>
      </w:r>
      <w:r w:rsidRPr="003516DC">
        <w:rPr>
          <w:rFonts w:ascii="Arial" w:hAnsi="Arial" w:cs="Arial"/>
          <w:color w:val="000000"/>
          <w:sz w:val="20"/>
          <w:szCs w:val="20"/>
        </w:rPr>
        <w:t>:</w:t>
      </w:r>
    </w:p>
    <w:p w14:paraId="2147B9FD" w14:textId="3AE714E3" w:rsidR="00BD2604" w:rsidRPr="003516DC" w:rsidRDefault="00BD2604" w:rsidP="00E42342">
      <w:pPr>
        <w:pStyle w:val="NormalWeb"/>
        <w:numPr>
          <w:ilvl w:val="1"/>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Past experience accessing financial instruments (including EU-backed ones) and EU funds in general</w:t>
      </w:r>
      <w:r w:rsidR="00493276">
        <w:rPr>
          <w:rFonts w:ascii="Arial" w:hAnsi="Arial" w:cs="Arial"/>
          <w:color w:val="000000"/>
          <w:sz w:val="20"/>
          <w:szCs w:val="20"/>
        </w:rPr>
        <w:t>; and,</w:t>
      </w:r>
    </w:p>
    <w:p w14:paraId="57B6F3E1" w14:textId="4E192A05" w:rsidR="00BD2604" w:rsidRPr="003516DC" w:rsidRDefault="00BD2604" w:rsidP="00E42342">
      <w:pPr>
        <w:pStyle w:val="NormalWeb"/>
        <w:numPr>
          <w:ilvl w:val="1"/>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Current capital raising strategies for planned investments towards decarbonisation, improved efficiency and business excellence, etc.</w:t>
      </w:r>
    </w:p>
    <w:p w14:paraId="20B6D7D5" w14:textId="41761C02" w:rsidR="00BD2604" w:rsidRPr="003516DC" w:rsidRDefault="00BD2604" w:rsidP="00E42342">
      <w:pPr>
        <w:pStyle w:val="NormalWeb"/>
        <w:numPr>
          <w:ilvl w:val="0"/>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One</w:t>
      </w:r>
      <w:r w:rsidR="00493276">
        <w:rPr>
          <w:rFonts w:ascii="Arial" w:hAnsi="Arial" w:cs="Arial"/>
          <w:color w:val="000000"/>
          <w:sz w:val="20"/>
          <w:szCs w:val="20"/>
        </w:rPr>
        <w:t>-</w:t>
      </w:r>
      <w:r w:rsidRPr="003516DC">
        <w:rPr>
          <w:rFonts w:ascii="Arial" w:hAnsi="Arial" w:cs="Arial"/>
          <w:color w:val="000000"/>
          <w:sz w:val="20"/>
          <w:szCs w:val="20"/>
        </w:rPr>
        <w:t>to</w:t>
      </w:r>
      <w:r w:rsidR="00493276">
        <w:rPr>
          <w:rFonts w:ascii="Arial" w:hAnsi="Arial" w:cs="Arial"/>
          <w:color w:val="000000"/>
          <w:sz w:val="20"/>
          <w:szCs w:val="20"/>
        </w:rPr>
        <w:t>-</w:t>
      </w:r>
      <w:r w:rsidRPr="003516DC">
        <w:rPr>
          <w:rFonts w:ascii="Arial" w:hAnsi="Arial" w:cs="Arial"/>
          <w:color w:val="000000"/>
          <w:sz w:val="20"/>
          <w:szCs w:val="20"/>
        </w:rPr>
        <w:t xml:space="preserve">one interviews with three commercial banks involved in deploying financial instruments for SMEs and large enterprises, including EU-backed </w:t>
      </w:r>
      <w:r w:rsidR="00493276">
        <w:rPr>
          <w:rFonts w:ascii="Arial" w:hAnsi="Arial" w:cs="Arial"/>
          <w:color w:val="000000"/>
          <w:sz w:val="20"/>
          <w:szCs w:val="20"/>
        </w:rPr>
        <w:t>instruments;</w:t>
      </w:r>
    </w:p>
    <w:p w14:paraId="2182B8BC" w14:textId="6B1D5962" w:rsidR="00BD2604" w:rsidRPr="00493276" w:rsidRDefault="00BD2604" w:rsidP="00E42342">
      <w:pPr>
        <w:pStyle w:val="NormalWeb"/>
        <w:numPr>
          <w:ilvl w:val="0"/>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An interview with the Ministry of Finance, responsible</w:t>
      </w:r>
      <w:r w:rsidR="00493276" w:rsidRPr="00493276">
        <w:rPr>
          <w:rFonts w:ascii="Arial" w:hAnsi="Arial" w:cs="Arial"/>
          <w:color w:val="000000"/>
          <w:sz w:val="20"/>
          <w:szCs w:val="20"/>
        </w:rPr>
        <w:t xml:space="preserve"> </w:t>
      </w:r>
      <w:r w:rsidR="00493276">
        <w:rPr>
          <w:rFonts w:ascii="Arial" w:hAnsi="Arial" w:cs="Arial"/>
          <w:color w:val="000000"/>
          <w:sz w:val="20"/>
          <w:szCs w:val="20"/>
        </w:rPr>
        <w:t>for</w:t>
      </w:r>
      <w:r w:rsidR="00493276" w:rsidRPr="003516DC">
        <w:rPr>
          <w:rFonts w:ascii="Arial" w:hAnsi="Arial" w:cs="Arial"/>
          <w:color w:val="000000"/>
          <w:sz w:val="20"/>
          <w:szCs w:val="20"/>
        </w:rPr>
        <w:t xml:space="preserve"> Pillars 2 and 3 of </w:t>
      </w:r>
      <w:r w:rsidR="00493276">
        <w:rPr>
          <w:rFonts w:ascii="Arial" w:hAnsi="Arial" w:cs="Arial"/>
          <w:color w:val="000000"/>
          <w:sz w:val="20"/>
          <w:szCs w:val="20"/>
        </w:rPr>
        <w:t xml:space="preserve">the </w:t>
      </w:r>
      <w:r w:rsidR="00493276" w:rsidRPr="003516DC">
        <w:rPr>
          <w:rFonts w:ascii="Arial" w:hAnsi="Arial" w:cs="Arial"/>
          <w:color w:val="000000"/>
          <w:sz w:val="20"/>
          <w:szCs w:val="20"/>
        </w:rPr>
        <w:t>JTM</w:t>
      </w:r>
      <w:r w:rsidRPr="00493276">
        <w:rPr>
          <w:rFonts w:ascii="Arial" w:hAnsi="Arial" w:cs="Arial"/>
          <w:color w:val="000000"/>
          <w:sz w:val="20"/>
          <w:szCs w:val="20"/>
        </w:rPr>
        <w:t xml:space="preserve"> according to the Just Transition governance setup in Romania</w:t>
      </w:r>
      <w:r w:rsidR="00493276">
        <w:rPr>
          <w:rFonts w:ascii="Arial" w:hAnsi="Arial" w:cs="Arial"/>
          <w:color w:val="000000"/>
          <w:sz w:val="20"/>
          <w:szCs w:val="20"/>
        </w:rPr>
        <w:t>;</w:t>
      </w:r>
    </w:p>
    <w:p w14:paraId="2EF5BA2C" w14:textId="5FFAEA94" w:rsidR="00BD2604" w:rsidRPr="003516DC" w:rsidRDefault="00BD2604" w:rsidP="00E42342">
      <w:pPr>
        <w:pStyle w:val="NormalWeb"/>
        <w:numPr>
          <w:ilvl w:val="0"/>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 xml:space="preserve">A group interview with </w:t>
      </w:r>
      <w:r w:rsidR="00493276">
        <w:rPr>
          <w:rFonts w:ascii="Arial" w:hAnsi="Arial" w:cs="Arial"/>
          <w:color w:val="000000"/>
          <w:sz w:val="20"/>
          <w:szCs w:val="20"/>
        </w:rPr>
        <w:t>six</w:t>
      </w:r>
      <w:r w:rsidRPr="003516DC">
        <w:rPr>
          <w:rFonts w:ascii="Arial" w:hAnsi="Arial" w:cs="Arial"/>
          <w:color w:val="000000"/>
          <w:sz w:val="20"/>
          <w:szCs w:val="20"/>
        </w:rPr>
        <w:t xml:space="preserve"> microcredit institutions</w:t>
      </w:r>
      <w:r w:rsidR="00493276">
        <w:rPr>
          <w:rFonts w:ascii="Arial" w:hAnsi="Arial" w:cs="Arial"/>
          <w:color w:val="000000"/>
          <w:sz w:val="20"/>
          <w:szCs w:val="20"/>
        </w:rPr>
        <w:t>; and,</w:t>
      </w:r>
    </w:p>
    <w:p w14:paraId="23F3F477" w14:textId="24AF7F98" w:rsidR="00BD2604" w:rsidRPr="003516DC" w:rsidRDefault="00BD2604" w:rsidP="00E42342">
      <w:pPr>
        <w:pStyle w:val="NormalWeb"/>
        <w:numPr>
          <w:ilvl w:val="0"/>
          <w:numId w:val="102"/>
        </w:numPr>
        <w:shd w:val="clear" w:color="auto" w:fill="FFFFFF"/>
        <w:spacing w:before="0" w:beforeAutospacing="0" w:after="0" w:afterAutospacing="0"/>
        <w:jc w:val="both"/>
        <w:rPr>
          <w:rFonts w:ascii="Arial" w:hAnsi="Arial" w:cs="Arial"/>
          <w:color w:val="000000"/>
          <w:sz w:val="20"/>
          <w:szCs w:val="20"/>
        </w:rPr>
      </w:pPr>
      <w:r w:rsidRPr="003516DC">
        <w:rPr>
          <w:rFonts w:ascii="Arial" w:hAnsi="Arial" w:cs="Arial"/>
          <w:color w:val="000000"/>
          <w:sz w:val="20"/>
          <w:szCs w:val="20"/>
        </w:rPr>
        <w:t xml:space="preserve">Desk research on financing needs and capacities at </w:t>
      </w:r>
      <w:r w:rsidR="00493276">
        <w:rPr>
          <w:rFonts w:ascii="Arial" w:hAnsi="Arial" w:cs="Arial"/>
          <w:color w:val="000000"/>
          <w:sz w:val="20"/>
          <w:szCs w:val="20"/>
        </w:rPr>
        <w:t xml:space="preserve">the </w:t>
      </w:r>
      <w:r w:rsidRPr="003516DC">
        <w:rPr>
          <w:rFonts w:ascii="Arial" w:hAnsi="Arial" w:cs="Arial"/>
          <w:color w:val="000000"/>
          <w:sz w:val="20"/>
          <w:szCs w:val="20"/>
        </w:rPr>
        <w:t>national and regional level</w:t>
      </w:r>
    </w:p>
    <w:p w14:paraId="13BAED28" w14:textId="27B1720D" w:rsidR="00BD2604" w:rsidRPr="003516DC" w:rsidRDefault="00BD2604" w:rsidP="00402580">
      <w:pPr>
        <w:pStyle w:val="NormalWeb"/>
        <w:shd w:val="clear" w:color="auto" w:fill="FFFFFF"/>
        <w:spacing w:before="240" w:beforeAutospacing="0" w:after="0" w:afterAutospacing="0"/>
        <w:jc w:val="both"/>
        <w:rPr>
          <w:rFonts w:ascii="Arial" w:hAnsi="Arial" w:cs="Arial"/>
          <w:color w:val="000000"/>
          <w:sz w:val="20"/>
          <w:szCs w:val="20"/>
        </w:rPr>
      </w:pPr>
      <w:r w:rsidRPr="003516DC">
        <w:rPr>
          <w:rFonts w:ascii="Arial" w:hAnsi="Arial" w:cs="Arial"/>
          <w:color w:val="000000"/>
          <w:sz w:val="20"/>
          <w:szCs w:val="20"/>
        </w:rPr>
        <w:t xml:space="preserve">The current </w:t>
      </w:r>
      <w:r w:rsidR="00091FE3">
        <w:rPr>
          <w:rFonts w:ascii="Arial" w:hAnsi="Arial" w:cs="Arial"/>
          <w:color w:val="000000"/>
          <w:sz w:val="20"/>
          <w:szCs w:val="20"/>
        </w:rPr>
        <w:t>chapter</w:t>
      </w:r>
      <w:r w:rsidRPr="003516DC">
        <w:rPr>
          <w:rFonts w:ascii="Arial" w:hAnsi="Arial" w:cs="Arial"/>
          <w:color w:val="000000"/>
          <w:sz w:val="20"/>
          <w:szCs w:val="20"/>
        </w:rPr>
        <w:t xml:space="preserve"> </w:t>
      </w:r>
      <w:r w:rsidR="00493276" w:rsidRPr="003516DC">
        <w:rPr>
          <w:rFonts w:ascii="Arial" w:hAnsi="Arial" w:cs="Arial"/>
          <w:color w:val="000000"/>
          <w:sz w:val="20"/>
          <w:szCs w:val="20"/>
        </w:rPr>
        <w:t>investigates</w:t>
      </w:r>
      <w:r w:rsidRPr="003516DC">
        <w:rPr>
          <w:rFonts w:ascii="Arial" w:hAnsi="Arial" w:cs="Arial"/>
          <w:color w:val="000000"/>
          <w:sz w:val="20"/>
          <w:szCs w:val="20"/>
        </w:rPr>
        <w:t xml:space="preserve"> the main features of the capital raising strategy including the key actors and intermediaries, timeframe, and financial instruments and programmes.</w:t>
      </w:r>
    </w:p>
    <w:p w14:paraId="0528DC52" w14:textId="77777777" w:rsidR="00BD2604" w:rsidRPr="003516DC" w:rsidRDefault="00BD2604" w:rsidP="00E42342">
      <w:pPr>
        <w:pStyle w:val="Heading2"/>
        <w:numPr>
          <w:ilvl w:val="0"/>
          <w:numId w:val="179"/>
        </w:numPr>
        <w:spacing w:before="240" w:line="240" w:lineRule="auto"/>
      </w:pPr>
      <w:bookmarkStart w:id="373" w:name="_Toc90725911"/>
      <w:r w:rsidRPr="003516DC">
        <w:t>Estimated financing needs and capacity gaps</w:t>
      </w:r>
      <w:bookmarkEnd w:id="373"/>
    </w:p>
    <w:p w14:paraId="02C3F831" w14:textId="431909AC" w:rsidR="00BD2604" w:rsidRPr="008D32D6" w:rsidRDefault="00BD2604" w:rsidP="008D32D6">
      <w:pPr>
        <w:spacing w:after="120"/>
        <w:jc w:val="both"/>
        <w:rPr>
          <w:rFonts w:ascii="Arial" w:hAnsi="Arial" w:cs="Arial"/>
          <w:sz w:val="20"/>
          <w:szCs w:val="20"/>
        </w:rPr>
      </w:pPr>
      <w:r w:rsidRPr="003516DC">
        <w:rPr>
          <w:rFonts w:ascii="Arial" w:hAnsi="Arial" w:cs="Arial"/>
          <w:sz w:val="20"/>
          <w:szCs w:val="20"/>
        </w:rPr>
        <w:t>It can be estimated that the just transition will require mobilising substantial amount of private and public investment which will be triggered by both the pillars of the Just Transition Mechanism and other public policy programmes and financial instruments. While the JTF allocation is EUR 2.</w:t>
      </w:r>
      <w:r w:rsidR="00E66308">
        <w:rPr>
          <w:rFonts w:ascii="Arial" w:hAnsi="Arial" w:cs="Arial"/>
          <w:sz w:val="20"/>
          <w:szCs w:val="20"/>
        </w:rPr>
        <w:t>1</w:t>
      </w:r>
      <w:r w:rsidR="00E66308" w:rsidRPr="003516DC">
        <w:rPr>
          <w:rFonts w:ascii="Arial" w:hAnsi="Arial" w:cs="Arial"/>
          <w:sz w:val="20"/>
          <w:szCs w:val="20"/>
        </w:rPr>
        <w:t xml:space="preserve"> </w:t>
      </w:r>
      <w:r w:rsidRPr="003516DC">
        <w:rPr>
          <w:rFonts w:ascii="Arial" w:hAnsi="Arial" w:cs="Arial"/>
          <w:sz w:val="20"/>
          <w:szCs w:val="20"/>
        </w:rPr>
        <w:t>bn there is no current estimate at the level of the six affected regions of the full transition-related financing needs – meaning especially the needs that can be met through JTM Pillars 2 and 3 – to mitigate the potential negative impacts of the energy transition and to enhance the positive ones. Additional funds available in the Multiannual Financial Framework should be used in line with the Just Transition concept. It is also clear that, in addition to grant-based financing, financial instruments should be continuously explored and developed to raise additional funding and attract the responsible investors in the regions – this entails, however, substantial technical assistance to educate the regions (private and public players) on accessing and using EIB/EU-related financial instruments.</w:t>
      </w:r>
    </w:p>
    <w:p w14:paraId="4CB22F92" w14:textId="51AA5274" w:rsidR="00BD2604" w:rsidRPr="003516DC" w:rsidRDefault="00BD2604"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EU level (e.g., InvestEU, EIB loans), national programmes (e.g., IMM Invest, guarantees and credits from Eximbank, etc.) and the banking sector’s ability to finance the development of the JTF territories is currently hampered by a lack of interest</w:t>
      </w:r>
      <w:r w:rsidR="00493276">
        <w:rPr>
          <w:rFonts w:ascii="Arial" w:hAnsi="Arial" w:cs="Arial"/>
          <w:color w:val="000000"/>
          <w:sz w:val="20"/>
          <w:szCs w:val="20"/>
        </w:rPr>
        <w:t xml:space="preserve"> and trust</w:t>
      </w:r>
      <w:r w:rsidRPr="003516DC">
        <w:rPr>
          <w:rFonts w:ascii="Arial" w:hAnsi="Arial" w:cs="Arial"/>
          <w:color w:val="000000"/>
          <w:sz w:val="20"/>
          <w:szCs w:val="20"/>
        </w:rPr>
        <w:t xml:space="preserve"> of local players (primarily public authorities, but also large enterprises) to make use of financial instruments</w:t>
      </w:r>
      <w:r w:rsidR="00493276">
        <w:rPr>
          <w:rFonts w:ascii="Arial" w:hAnsi="Arial" w:cs="Arial"/>
          <w:color w:val="000000"/>
          <w:sz w:val="20"/>
          <w:szCs w:val="20"/>
        </w:rPr>
        <w:t>. Additionally,</w:t>
      </w:r>
      <w:r w:rsidRPr="003516DC">
        <w:rPr>
          <w:rFonts w:ascii="Arial" w:hAnsi="Arial" w:cs="Arial"/>
          <w:color w:val="000000"/>
          <w:sz w:val="20"/>
          <w:szCs w:val="20"/>
        </w:rPr>
        <w:t xml:space="preserve"> the</w:t>
      </w:r>
      <w:r w:rsidR="00493276">
        <w:rPr>
          <w:rFonts w:ascii="Arial" w:hAnsi="Arial" w:cs="Arial"/>
          <w:color w:val="000000"/>
          <w:sz w:val="20"/>
          <w:szCs w:val="20"/>
        </w:rPr>
        <w:t>re is</w:t>
      </w:r>
      <w:r w:rsidRPr="003516DC">
        <w:rPr>
          <w:rFonts w:ascii="Arial" w:hAnsi="Arial" w:cs="Arial"/>
          <w:color w:val="000000"/>
          <w:sz w:val="20"/>
          <w:szCs w:val="20"/>
        </w:rPr>
        <w:t xml:space="preserve"> current</w:t>
      </w:r>
      <w:r w:rsidR="00493276">
        <w:rPr>
          <w:rFonts w:ascii="Arial" w:hAnsi="Arial" w:cs="Arial"/>
          <w:color w:val="000000"/>
          <w:sz w:val="20"/>
          <w:szCs w:val="20"/>
        </w:rPr>
        <w:t>ly a</w:t>
      </w:r>
      <w:r w:rsidRPr="003516DC">
        <w:rPr>
          <w:rFonts w:ascii="Arial" w:hAnsi="Arial" w:cs="Arial"/>
          <w:color w:val="000000"/>
          <w:sz w:val="20"/>
          <w:szCs w:val="20"/>
        </w:rPr>
        <w:t xml:space="preserve"> lack of capacity locally to absorb grants, especially in areas where multiple funding instruments overlap (e.g., Hunedoara), </w:t>
      </w:r>
      <w:r w:rsidR="00493276">
        <w:rPr>
          <w:rFonts w:ascii="Arial" w:hAnsi="Arial" w:cs="Arial"/>
          <w:color w:val="000000"/>
          <w:sz w:val="20"/>
          <w:szCs w:val="20"/>
        </w:rPr>
        <w:t xml:space="preserve">due </w:t>
      </w:r>
      <w:r w:rsidRPr="003516DC">
        <w:rPr>
          <w:rFonts w:ascii="Arial" w:hAnsi="Arial" w:cs="Arial"/>
          <w:color w:val="000000"/>
          <w:sz w:val="20"/>
          <w:szCs w:val="20"/>
        </w:rPr>
        <w:t xml:space="preserve">to lengthy evaluation cycles, restrictive conditions and poor design of the financial instruments available. The interviews we conducted with large enterprises revealed </w:t>
      </w:r>
      <w:r w:rsidR="00493276">
        <w:rPr>
          <w:rFonts w:ascii="Arial" w:hAnsi="Arial" w:cs="Arial"/>
          <w:color w:val="000000"/>
          <w:sz w:val="20"/>
          <w:szCs w:val="20"/>
        </w:rPr>
        <w:t>that</w:t>
      </w:r>
      <w:r w:rsidR="00493276" w:rsidRPr="003516DC">
        <w:rPr>
          <w:rFonts w:ascii="Arial" w:hAnsi="Arial" w:cs="Arial"/>
          <w:color w:val="000000"/>
          <w:sz w:val="20"/>
          <w:szCs w:val="20"/>
        </w:rPr>
        <w:t xml:space="preserve"> </w:t>
      </w:r>
      <w:r w:rsidRPr="003516DC">
        <w:rPr>
          <w:rFonts w:ascii="Arial" w:hAnsi="Arial" w:cs="Arial"/>
          <w:color w:val="000000"/>
          <w:sz w:val="20"/>
          <w:szCs w:val="20"/>
        </w:rPr>
        <w:t>some are experienced in attracting and managing financial instruments in general, yet at the moment their main interest seems to be grant allocations through the JTF. Furthermore, the lack of a project pipeline with a high-to-medium degree of maturity in most counties has also hampered our ability to investigate their complementarity with financial instruments.</w:t>
      </w:r>
    </w:p>
    <w:p w14:paraId="74F6576A" w14:textId="101A9854" w:rsidR="00BD2604" w:rsidRPr="003516DC" w:rsidRDefault="00BD2604"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The low appeal of InvestEU financial instruments is evidenced by the fact that only EUR 1.1. bn of EFSI financing has been approved so far in only 49 transactions for the entire country. Looking at the current pipeline of EFSI approved financing in Romania, only 10% of existing projects (excluding the syndicated facilities for SMEs) have been developed in areas that fall within the scope of the JTF and none are in the six affected regions. In the affected regions, stakeholders expect that the type of digitalisation and circular economy projects currently financed by EFSI in Romania be financed exclusively from Pillar 1</w:t>
      </w:r>
      <w:r w:rsidR="00493276">
        <w:rPr>
          <w:rFonts w:ascii="Arial" w:hAnsi="Arial" w:cs="Arial"/>
          <w:color w:val="000000"/>
          <w:sz w:val="20"/>
          <w:szCs w:val="20"/>
        </w:rPr>
        <w:t xml:space="preserve"> of the</w:t>
      </w:r>
      <w:r w:rsidRPr="003516DC">
        <w:rPr>
          <w:rFonts w:ascii="Arial" w:hAnsi="Arial" w:cs="Arial"/>
          <w:color w:val="000000"/>
          <w:sz w:val="20"/>
          <w:szCs w:val="20"/>
        </w:rPr>
        <w:t xml:space="preserve"> JTF.</w:t>
      </w:r>
    </w:p>
    <w:p w14:paraId="29847851" w14:textId="2010AA06" w:rsidR="00BD2604" w:rsidRPr="003516DC" w:rsidRDefault="00BD2604"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According to interviews we carried out with enterprises and commercial banks, the capacity gap in accesing financial instruments (by SMEs, but also by larger enterprises) is caused by two drivers:</w:t>
      </w:r>
    </w:p>
    <w:p w14:paraId="5A088A2D" w14:textId="74E2E0C4" w:rsidR="00BD2604" w:rsidRPr="003516DC" w:rsidRDefault="00BD2604" w:rsidP="00792049">
      <w:pPr>
        <w:pStyle w:val="NormalWeb"/>
        <w:numPr>
          <w:ilvl w:val="0"/>
          <w:numId w:val="124"/>
        </w:numPr>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lastRenderedPageBreak/>
        <w:t xml:space="preserve">Low credit eligibility – SMEs have a hard time meeting prudential credit requirements of commercial banks </w:t>
      </w:r>
      <w:r w:rsidR="002B4856">
        <w:rPr>
          <w:rFonts w:ascii="Arial" w:hAnsi="Arial" w:cs="Arial"/>
          <w:color w:val="000000"/>
          <w:sz w:val="20"/>
          <w:szCs w:val="20"/>
        </w:rPr>
        <w:t>to</w:t>
      </w:r>
      <w:r w:rsidRPr="003516DC">
        <w:rPr>
          <w:rFonts w:ascii="Arial" w:hAnsi="Arial" w:cs="Arial"/>
          <w:color w:val="000000"/>
          <w:sz w:val="20"/>
          <w:szCs w:val="20"/>
        </w:rPr>
        <w:t xml:space="preserve"> access loans because they have very low capitali</w:t>
      </w:r>
      <w:r w:rsidR="002B4856">
        <w:rPr>
          <w:rFonts w:ascii="Arial" w:hAnsi="Arial" w:cs="Arial"/>
          <w:color w:val="000000"/>
          <w:sz w:val="20"/>
          <w:szCs w:val="20"/>
        </w:rPr>
        <w:t>s</w:t>
      </w:r>
      <w:r w:rsidRPr="003516DC">
        <w:rPr>
          <w:rFonts w:ascii="Arial" w:hAnsi="Arial" w:cs="Arial"/>
          <w:color w:val="000000"/>
          <w:sz w:val="20"/>
          <w:szCs w:val="20"/>
        </w:rPr>
        <w:t>ation (with little progress made in the past 10-15 years</w:t>
      </w:r>
      <w:r w:rsidRPr="003516DC">
        <w:rPr>
          <w:rStyle w:val="FootnoteReference"/>
          <w:rFonts w:ascii="Arial" w:hAnsi="Arial" w:cs="Arial"/>
          <w:color w:val="000000"/>
          <w:sz w:val="20"/>
          <w:szCs w:val="20"/>
        </w:rPr>
        <w:footnoteReference w:id="158"/>
      </w:r>
      <w:r w:rsidRPr="003516DC">
        <w:rPr>
          <w:rFonts w:ascii="Arial" w:hAnsi="Arial" w:cs="Arial"/>
          <w:color w:val="000000"/>
          <w:sz w:val="20"/>
          <w:szCs w:val="20"/>
        </w:rPr>
        <w:t>) and because they have, on paper, reduced profitability</w:t>
      </w:r>
      <w:r w:rsidR="002B4856">
        <w:rPr>
          <w:rFonts w:ascii="Arial" w:hAnsi="Arial" w:cs="Arial"/>
          <w:color w:val="000000"/>
          <w:sz w:val="20"/>
          <w:szCs w:val="20"/>
        </w:rPr>
        <w:t>.</w:t>
      </w:r>
      <w:r w:rsidRPr="003516DC">
        <w:rPr>
          <w:rFonts w:ascii="Arial" w:hAnsi="Arial" w:cs="Arial"/>
          <w:color w:val="000000"/>
          <w:sz w:val="20"/>
          <w:szCs w:val="20"/>
        </w:rPr>
        <w:t xml:space="preserve"> </w:t>
      </w:r>
      <w:r w:rsidR="002B4856">
        <w:rPr>
          <w:rFonts w:ascii="Arial" w:hAnsi="Arial" w:cs="Arial"/>
          <w:color w:val="000000"/>
          <w:sz w:val="20"/>
          <w:szCs w:val="20"/>
        </w:rPr>
        <w:t>I</w:t>
      </w:r>
      <w:r w:rsidRPr="003516DC">
        <w:rPr>
          <w:rFonts w:ascii="Arial" w:hAnsi="Arial" w:cs="Arial"/>
          <w:color w:val="000000"/>
          <w:sz w:val="20"/>
          <w:szCs w:val="20"/>
        </w:rPr>
        <w:t>n reality, their profitability ratio is not so bad, but in the SME sector the grey economy still occupies a large segment</w:t>
      </w:r>
      <w:r w:rsidRPr="003516DC">
        <w:rPr>
          <w:rStyle w:val="FootnoteReference"/>
          <w:rFonts w:ascii="Arial" w:hAnsi="Arial" w:cs="Arial"/>
          <w:color w:val="000000"/>
          <w:sz w:val="20"/>
          <w:szCs w:val="20"/>
        </w:rPr>
        <w:footnoteReference w:id="159"/>
      </w:r>
      <w:r w:rsidR="002B4856">
        <w:rPr>
          <w:rFonts w:ascii="Arial" w:hAnsi="Arial" w:cs="Arial"/>
          <w:color w:val="000000"/>
          <w:sz w:val="20"/>
          <w:szCs w:val="20"/>
        </w:rPr>
        <w:t>; and,</w:t>
      </w:r>
    </w:p>
    <w:p w14:paraId="4DCBBB72" w14:textId="4734E910" w:rsidR="00BD2604" w:rsidRPr="008D32D6" w:rsidRDefault="00BD2604" w:rsidP="00E42342">
      <w:pPr>
        <w:pStyle w:val="NormalWeb"/>
        <w:numPr>
          <w:ilvl w:val="0"/>
          <w:numId w:val="124"/>
        </w:numPr>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Lack of collateral/guarantees – due to lack of collateral (except personal collateral), banks estimate the client’s capacity to return the loan as low</w:t>
      </w:r>
      <w:r w:rsidR="002B4856">
        <w:rPr>
          <w:rFonts w:ascii="Arial" w:hAnsi="Arial" w:cs="Arial"/>
          <w:color w:val="000000"/>
          <w:sz w:val="20"/>
          <w:szCs w:val="20"/>
        </w:rPr>
        <w:t>.</w:t>
      </w:r>
    </w:p>
    <w:p w14:paraId="6AE8049A" w14:textId="53DDEE51" w:rsidR="00BD2604" w:rsidRPr="003516DC" w:rsidRDefault="00BD2604" w:rsidP="008D32D6">
      <w:pPr>
        <w:spacing w:after="120"/>
        <w:jc w:val="both"/>
        <w:rPr>
          <w:rFonts w:ascii="Arial" w:eastAsia="Times New Roman" w:hAnsi="Arial" w:cs="Arial"/>
          <w:color w:val="333333"/>
          <w:sz w:val="20"/>
          <w:szCs w:val="20"/>
          <w:shd w:val="clear" w:color="auto" w:fill="FFFFFF"/>
        </w:rPr>
      </w:pPr>
      <w:r w:rsidRPr="003516DC">
        <w:rPr>
          <w:rFonts w:ascii="Arial" w:hAnsi="Arial" w:cs="Arial"/>
          <w:color w:val="000000"/>
          <w:sz w:val="20"/>
          <w:szCs w:val="20"/>
        </w:rPr>
        <w:t xml:space="preserve">Under these circumstances, financial instruments that focus on ensuring some type of guarantee/risk sharing facility (JEREMIE, SME Operational Programme with 60% EIF guarantee, COSME, the </w:t>
      </w:r>
      <w:r w:rsidRPr="003516DC">
        <w:rPr>
          <w:rFonts w:ascii="Arial" w:eastAsia="Times New Roman" w:hAnsi="Arial" w:cs="Arial"/>
          <w:color w:val="333333"/>
          <w:sz w:val="20"/>
          <w:szCs w:val="20"/>
          <w:shd w:val="clear" w:color="auto" w:fill="FFFFFF"/>
        </w:rPr>
        <w:t>Skills &amp; Education Guarantee Pilot (S&amp;E Pilot)) have had good response rates from the local SME market.</w:t>
      </w:r>
    </w:p>
    <w:p w14:paraId="620566CE" w14:textId="68AE26FE" w:rsidR="00BD2604" w:rsidRPr="008900E7" w:rsidRDefault="00BD2604" w:rsidP="008D32D6">
      <w:pPr>
        <w:spacing w:after="120"/>
        <w:jc w:val="both"/>
        <w:rPr>
          <w:rFonts w:ascii="Arial" w:eastAsia="Times New Roman" w:hAnsi="Arial" w:cs="Arial"/>
        </w:rPr>
      </w:pPr>
      <w:r w:rsidRPr="003516DC">
        <w:rPr>
          <w:rFonts w:ascii="Arial" w:eastAsia="Times New Roman" w:hAnsi="Arial" w:cs="Arial"/>
          <w:color w:val="333333"/>
          <w:sz w:val="20"/>
          <w:szCs w:val="20"/>
          <w:shd w:val="clear" w:color="auto" w:fill="FFFFFF"/>
        </w:rPr>
        <w:t xml:space="preserve">Another driver of a capacity gap </w:t>
      </w:r>
      <w:r w:rsidR="002B4856">
        <w:rPr>
          <w:rFonts w:ascii="Arial" w:eastAsia="Times New Roman" w:hAnsi="Arial" w:cs="Arial"/>
          <w:color w:val="333333"/>
          <w:sz w:val="20"/>
          <w:szCs w:val="20"/>
          <w:shd w:val="clear" w:color="auto" w:fill="FFFFFF"/>
        </w:rPr>
        <w:t>in</w:t>
      </w:r>
      <w:r w:rsidRPr="003516DC">
        <w:rPr>
          <w:rFonts w:ascii="Arial" w:eastAsia="Times New Roman" w:hAnsi="Arial" w:cs="Arial"/>
          <w:color w:val="333333"/>
          <w:sz w:val="20"/>
          <w:szCs w:val="20"/>
          <w:shd w:val="clear" w:color="auto" w:fill="FFFFFF"/>
        </w:rPr>
        <w:t xml:space="preserve"> accessing financial instruments and raising capital is represented by SMEs</w:t>
      </w:r>
      <w:r w:rsidR="00DB00EB">
        <w:rPr>
          <w:rFonts w:ascii="Arial" w:eastAsia="Times New Roman" w:hAnsi="Arial" w:cs="Arial"/>
          <w:color w:val="333333"/>
          <w:sz w:val="20"/>
          <w:szCs w:val="20"/>
          <w:shd w:val="clear" w:color="auto" w:fill="FFFFFF"/>
        </w:rPr>
        <w:t>’</w:t>
      </w:r>
      <w:r w:rsidRPr="003516DC">
        <w:rPr>
          <w:rFonts w:ascii="Arial" w:eastAsia="Times New Roman" w:hAnsi="Arial" w:cs="Arial"/>
          <w:color w:val="333333"/>
          <w:sz w:val="20"/>
          <w:szCs w:val="20"/>
          <w:shd w:val="clear" w:color="auto" w:fill="FFFFFF"/>
        </w:rPr>
        <w:t xml:space="preserve"> underdeveloped business administration and technical capacity skills. Business incubation and backbone services (assistance for business development model, strategy and operations, internationali</w:t>
      </w:r>
      <w:r w:rsidR="002B4856">
        <w:rPr>
          <w:rFonts w:ascii="Arial" w:eastAsia="Times New Roman" w:hAnsi="Arial" w:cs="Arial"/>
          <w:color w:val="333333"/>
          <w:sz w:val="20"/>
          <w:szCs w:val="20"/>
          <w:shd w:val="clear" w:color="auto" w:fill="FFFFFF"/>
        </w:rPr>
        <w:t>s</w:t>
      </w:r>
      <w:r w:rsidRPr="003516DC">
        <w:rPr>
          <w:rFonts w:ascii="Arial" w:eastAsia="Times New Roman" w:hAnsi="Arial" w:cs="Arial"/>
          <w:color w:val="333333"/>
          <w:sz w:val="20"/>
          <w:szCs w:val="20"/>
          <w:shd w:val="clear" w:color="auto" w:fill="FFFFFF"/>
        </w:rPr>
        <w:t>ation, digitali</w:t>
      </w:r>
      <w:r w:rsidR="002B4856">
        <w:rPr>
          <w:rFonts w:ascii="Arial" w:eastAsia="Times New Roman" w:hAnsi="Arial" w:cs="Arial"/>
          <w:color w:val="333333"/>
          <w:sz w:val="20"/>
          <w:szCs w:val="20"/>
          <w:shd w:val="clear" w:color="auto" w:fill="FFFFFF"/>
        </w:rPr>
        <w:t>s</w:t>
      </w:r>
      <w:r w:rsidRPr="003516DC">
        <w:rPr>
          <w:rFonts w:ascii="Arial" w:eastAsia="Times New Roman" w:hAnsi="Arial" w:cs="Arial"/>
          <w:color w:val="333333"/>
          <w:sz w:val="20"/>
          <w:szCs w:val="20"/>
          <w:shd w:val="clear" w:color="auto" w:fill="FFFFFF"/>
        </w:rPr>
        <w:t xml:space="preserve">ation, marketing, accounting, and other support services) are needed both </w:t>
      </w:r>
      <w:r w:rsidR="002B4856">
        <w:rPr>
          <w:rFonts w:ascii="Arial" w:eastAsia="Times New Roman" w:hAnsi="Arial" w:cs="Arial"/>
          <w:color w:val="333333"/>
          <w:sz w:val="20"/>
          <w:szCs w:val="20"/>
          <w:shd w:val="clear" w:color="auto" w:fill="FFFFFF"/>
        </w:rPr>
        <w:t>for</w:t>
      </w:r>
      <w:r w:rsidRPr="003516DC">
        <w:rPr>
          <w:rFonts w:ascii="Arial" w:eastAsia="Times New Roman" w:hAnsi="Arial" w:cs="Arial"/>
          <w:color w:val="333333"/>
          <w:sz w:val="20"/>
          <w:szCs w:val="20"/>
          <w:shd w:val="clear" w:color="auto" w:fill="FFFFFF"/>
        </w:rPr>
        <w:t xml:space="preserve"> existing SMEs and newly created start-ups</w:t>
      </w:r>
      <w:r w:rsidR="002B4856">
        <w:rPr>
          <w:rFonts w:ascii="Arial" w:eastAsia="Times New Roman" w:hAnsi="Arial" w:cs="Arial"/>
          <w:color w:val="333333"/>
          <w:sz w:val="20"/>
          <w:szCs w:val="20"/>
          <w:shd w:val="clear" w:color="auto" w:fill="FFFFFF"/>
        </w:rPr>
        <w:t>.</w:t>
      </w:r>
      <w:r w:rsidRPr="003516DC">
        <w:rPr>
          <w:rFonts w:ascii="Arial" w:eastAsia="Times New Roman" w:hAnsi="Arial" w:cs="Arial"/>
          <w:color w:val="333333"/>
          <w:sz w:val="20"/>
          <w:szCs w:val="20"/>
          <w:shd w:val="clear" w:color="auto" w:fill="FFFFFF"/>
        </w:rPr>
        <w:t xml:space="preserve"> </w:t>
      </w:r>
      <w:r w:rsidR="002B4856">
        <w:rPr>
          <w:rFonts w:ascii="Arial" w:eastAsia="Times New Roman" w:hAnsi="Arial" w:cs="Arial"/>
          <w:color w:val="333333"/>
          <w:sz w:val="20"/>
          <w:szCs w:val="20"/>
          <w:shd w:val="clear" w:color="auto" w:fill="FFFFFF"/>
        </w:rPr>
        <w:t>A</w:t>
      </w:r>
      <w:r w:rsidRPr="003516DC">
        <w:rPr>
          <w:rFonts w:ascii="Arial" w:eastAsia="Times New Roman" w:hAnsi="Arial" w:cs="Arial"/>
          <w:color w:val="333333"/>
          <w:sz w:val="20"/>
          <w:szCs w:val="20"/>
          <w:shd w:val="clear" w:color="auto" w:fill="FFFFFF"/>
        </w:rPr>
        <w:t>ctors highlight</w:t>
      </w:r>
      <w:r w:rsidR="002B4856">
        <w:rPr>
          <w:rFonts w:ascii="Arial" w:eastAsia="Times New Roman" w:hAnsi="Arial" w:cs="Arial"/>
          <w:color w:val="333333"/>
          <w:sz w:val="20"/>
          <w:szCs w:val="20"/>
          <w:shd w:val="clear" w:color="auto" w:fill="FFFFFF"/>
        </w:rPr>
        <w:t xml:space="preserve"> that</w:t>
      </w:r>
      <w:r w:rsidRPr="003516DC">
        <w:rPr>
          <w:rFonts w:ascii="Arial" w:eastAsia="Times New Roman" w:hAnsi="Arial" w:cs="Arial"/>
          <w:color w:val="333333"/>
          <w:sz w:val="20"/>
          <w:szCs w:val="20"/>
          <w:shd w:val="clear" w:color="auto" w:fill="FFFFFF"/>
        </w:rPr>
        <w:t xml:space="preserve"> it is important that such assistance be provided continuously, partially funded</w:t>
      </w:r>
      <w:r w:rsidR="002B4856">
        <w:rPr>
          <w:rFonts w:ascii="Arial" w:eastAsia="Times New Roman" w:hAnsi="Arial" w:cs="Arial"/>
          <w:color w:val="333333"/>
          <w:sz w:val="20"/>
          <w:szCs w:val="20"/>
          <w:shd w:val="clear" w:color="auto" w:fill="FFFFFF"/>
        </w:rPr>
        <w:t xml:space="preserve"> by</w:t>
      </w:r>
      <w:r w:rsidRPr="003516DC">
        <w:rPr>
          <w:rFonts w:ascii="Arial" w:eastAsia="Times New Roman" w:hAnsi="Arial" w:cs="Arial"/>
          <w:color w:val="333333"/>
          <w:sz w:val="20"/>
          <w:szCs w:val="20"/>
          <w:shd w:val="clear" w:color="auto" w:fill="FFFFFF"/>
        </w:rPr>
        <w:t xml:space="preserve"> a grant-based system or </w:t>
      </w:r>
      <w:r w:rsidR="002B4856">
        <w:rPr>
          <w:rFonts w:ascii="Arial" w:eastAsia="Times New Roman" w:hAnsi="Arial" w:cs="Arial"/>
          <w:color w:val="333333"/>
          <w:sz w:val="20"/>
          <w:szCs w:val="20"/>
          <w:shd w:val="clear" w:color="auto" w:fill="FFFFFF"/>
        </w:rPr>
        <w:t>via</w:t>
      </w:r>
      <w:r w:rsidRPr="003516DC">
        <w:rPr>
          <w:rFonts w:ascii="Arial" w:eastAsia="Times New Roman" w:hAnsi="Arial" w:cs="Arial"/>
          <w:color w:val="333333"/>
          <w:sz w:val="20"/>
          <w:szCs w:val="20"/>
          <w:shd w:val="clear" w:color="auto" w:fill="FFFFFF"/>
        </w:rPr>
        <w:t xml:space="preserve"> a voucher-centered system. The technical assistance programme provided via costs subsidi</w:t>
      </w:r>
      <w:r w:rsidR="002B4856">
        <w:rPr>
          <w:rFonts w:ascii="Arial" w:eastAsia="Times New Roman" w:hAnsi="Arial" w:cs="Arial"/>
          <w:color w:val="333333"/>
          <w:sz w:val="20"/>
          <w:szCs w:val="20"/>
          <w:shd w:val="clear" w:color="auto" w:fill="FFFFFF"/>
        </w:rPr>
        <w:t>s</w:t>
      </w:r>
      <w:r w:rsidRPr="003516DC">
        <w:rPr>
          <w:rFonts w:ascii="Arial" w:eastAsia="Times New Roman" w:hAnsi="Arial" w:cs="Arial"/>
          <w:color w:val="333333"/>
          <w:sz w:val="20"/>
          <w:szCs w:val="20"/>
          <w:shd w:val="clear" w:color="auto" w:fill="FFFFFF"/>
        </w:rPr>
        <w:t>ation for contracting speciali</w:t>
      </w:r>
      <w:r w:rsidR="002B4856">
        <w:rPr>
          <w:rFonts w:ascii="Arial" w:eastAsia="Times New Roman" w:hAnsi="Arial" w:cs="Arial"/>
          <w:color w:val="333333"/>
          <w:sz w:val="20"/>
          <w:szCs w:val="20"/>
          <w:shd w:val="clear" w:color="auto" w:fill="FFFFFF"/>
        </w:rPr>
        <w:t>s</w:t>
      </w:r>
      <w:r w:rsidRPr="003516DC">
        <w:rPr>
          <w:rFonts w:ascii="Arial" w:eastAsia="Times New Roman" w:hAnsi="Arial" w:cs="Arial"/>
          <w:color w:val="333333"/>
          <w:sz w:val="20"/>
          <w:szCs w:val="20"/>
          <w:shd w:val="clear" w:color="auto" w:fill="FFFFFF"/>
        </w:rPr>
        <w:t>ed consultancy (voucher regime) by EBRD in the past ten years has proven extremely valuable and productive for Romanian SMEs</w:t>
      </w:r>
      <w:r w:rsidR="002B4856">
        <w:rPr>
          <w:rFonts w:ascii="Arial" w:eastAsia="Times New Roman" w:hAnsi="Arial" w:cs="Arial"/>
          <w:color w:val="333333"/>
          <w:sz w:val="20"/>
          <w:szCs w:val="20"/>
          <w:shd w:val="clear" w:color="auto" w:fill="FFFFFF"/>
        </w:rPr>
        <w:t>,</w:t>
      </w:r>
      <w:r w:rsidRPr="003516DC">
        <w:rPr>
          <w:rFonts w:ascii="Arial" w:eastAsia="Times New Roman" w:hAnsi="Arial" w:cs="Arial"/>
          <w:color w:val="333333"/>
          <w:sz w:val="20"/>
          <w:szCs w:val="20"/>
          <w:shd w:val="clear" w:color="auto" w:fill="FFFFFF"/>
        </w:rPr>
        <w:t xml:space="preserve"> and similar approaches could be extremely beneficial in the six affected regions. The feedback from stakeholders (both SMEs and funders) is that such a system should be implemented, competitively, by service providers (incl. business associations, chambers of commers, banks themselves, etc.) and not centrally managed by a public authority. </w:t>
      </w:r>
    </w:p>
    <w:p w14:paraId="0445C52E" w14:textId="77777777" w:rsidR="00BD2604" w:rsidRPr="008444F9" w:rsidRDefault="00BD2604" w:rsidP="00E42342">
      <w:pPr>
        <w:pStyle w:val="Heading2"/>
        <w:numPr>
          <w:ilvl w:val="0"/>
          <w:numId w:val="180"/>
        </w:numPr>
      </w:pPr>
      <w:bookmarkStart w:id="374" w:name="_Toc90725912"/>
      <w:r w:rsidRPr="008444F9">
        <w:t>Actors and intermediaries in the capital raising strategy</w:t>
      </w:r>
      <w:bookmarkEnd w:id="374"/>
    </w:p>
    <w:p w14:paraId="32DDFDE5" w14:textId="6A041CE3" w:rsidR="00BD2604" w:rsidRPr="008D32D6"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u w:val="single"/>
        </w:rPr>
        <w:t>Investors</w:t>
      </w:r>
      <w:r w:rsidRPr="003516DC">
        <w:rPr>
          <w:rFonts w:ascii="Arial" w:eastAsia="Times New Roman" w:hAnsi="Arial" w:cs="Arial"/>
          <w:color w:val="000000"/>
          <w:sz w:val="20"/>
          <w:szCs w:val="20"/>
        </w:rPr>
        <w:t>: private (key economic operators, SMEs, NGOs, individuals, microfinance institutions), public (municipalities, regional authorities, universities)</w:t>
      </w:r>
    </w:p>
    <w:p w14:paraId="0FCA498F" w14:textId="1D65EB64" w:rsidR="00BD2604" w:rsidRPr="003516DC"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rPr>
        <w:t xml:space="preserve">The Just Transition Plans in their current forms are mainly aimed at key economic operators, SMEs and – to a lower extent – public authorities. The key challenges to capital raising pertain both to the small players, but also to large enterprises, which, although they have substantial personnel capacity, knowledge and good access to financing, prefer to use own capital for investments or syndicated loans from commercial banks, rather than make use of the InvestEU facility. Public authorities in affected regions have close to no experience in accessing financial instruments of any sort and, with the exception of Dolj county, have limited capacity in absorbing much better structure grant-based EU funding. The technical assistance to prepare such projects will be crucial to successfully engage municipalities in accessing Pillar 3 Public Sector loan facility. </w:t>
      </w:r>
    </w:p>
    <w:p w14:paraId="3E51FC0D" w14:textId="3AD52E32" w:rsidR="00BD2604" w:rsidRPr="003516DC"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rPr>
        <w:t xml:space="preserve">For Pillar 2 to be accessed, </w:t>
      </w:r>
      <w:r w:rsidRPr="003516DC">
        <w:rPr>
          <w:rFonts w:ascii="Arial" w:eastAsia="Times New Roman" w:hAnsi="Arial" w:cs="Arial"/>
          <w:color w:val="000000"/>
          <w:sz w:val="20"/>
          <w:szCs w:val="20"/>
          <w:u w:val="single"/>
        </w:rPr>
        <w:t>intermediaries</w:t>
      </w:r>
      <w:r w:rsidRPr="003516DC">
        <w:rPr>
          <w:rFonts w:ascii="Arial" w:eastAsia="Times New Roman" w:hAnsi="Arial" w:cs="Arial"/>
          <w:color w:val="000000"/>
          <w:sz w:val="20"/>
          <w:szCs w:val="20"/>
        </w:rPr>
        <w:t xml:space="preserve"> are key. Contrary to other EU countries, Romania lacks a national promotional bank, which has been highlighted during stakeholder interviews as a key obstacle in making bigger use of the InvestEU loan facility for private actors. A key measure should be the setup of such an institution at the earliest. In the meantime, we recommend the creation of a one-stop shop (potentially located at the level of the Ministry of Finance or at the level of the Ministry of Economy – to support economic actors in affected regions to develop a project pipeline for Pillar 2). The only current intermediary is EIB itself, which is by far insufficient.</w:t>
      </w:r>
    </w:p>
    <w:p w14:paraId="1B71BB45" w14:textId="1F5A0610" w:rsidR="00BD2604" w:rsidRPr="003516DC"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rPr>
        <w:t xml:space="preserve">InvestEU (which </w:t>
      </w:r>
      <w:r w:rsidR="002B4856">
        <w:rPr>
          <w:rFonts w:ascii="Arial" w:eastAsia="Times New Roman" w:hAnsi="Arial" w:cs="Arial"/>
          <w:color w:val="000000"/>
          <w:sz w:val="20"/>
          <w:szCs w:val="20"/>
        </w:rPr>
        <w:t xml:space="preserve">includes </w:t>
      </w:r>
      <w:r w:rsidRPr="003516DC">
        <w:rPr>
          <w:rFonts w:ascii="Arial" w:eastAsia="Times New Roman" w:hAnsi="Arial" w:cs="Arial"/>
          <w:color w:val="000000"/>
          <w:sz w:val="20"/>
          <w:szCs w:val="20"/>
        </w:rPr>
        <w:t>JTM Pillar</w:t>
      </w:r>
      <w:r w:rsidR="002B4856">
        <w:rPr>
          <w:rFonts w:ascii="Arial" w:eastAsia="Times New Roman" w:hAnsi="Arial" w:cs="Arial"/>
          <w:color w:val="000000"/>
          <w:sz w:val="20"/>
          <w:szCs w:val="20"/>
        </w:rPr>
        <w:t xml:space="preserve"> 2</w:t>
      </w:r>
      <w:r w:rsidRPr="003516DC">
        <w:rPr>
          <w:rFonts w:ascii="Arial" w:eastAsia="Times New Roman" w:hAnsi="Arial" w:cs="Arial"/>
          <w:color w:val="000000"/>
          <w:sz w:val="20"/>
          <w:szCs w:val="20"/>
        </w:rPr>
        <w:t xml:space="preserve">) </w:t>
      </w:r>
      <w:r w:rsidR="002B4856">
        <w:rPr>
          <w:rFonts w:ascii="Arial" w:eastAsia="Times New Roman" w:hAnsi="Arial" w:cs="Arial"/>
          <w:color w:val="000000"/>
          <w:sz w:val="20"/>
          <w:szCs w:val="20"/>
        </w:rPr>
        <w:t xml:space="preserve">now </w:t>
      </w:r>
      <w:r w:rsidRPr="003516DC">
        <w:rPr>
          <w:rFonts w:ascii="Arial" w:eastAsia="Times New Roman" w:hAnsi="Arial" w:cs="Arial"/>
          <w:color w:val="000000"/>
          <w:sz w:val="20"/>
          <w:szCs w:val="20"/>
        </w:rPr>
        <w:t>consolidates more financial instruments</w:t>
      </w:r>
      <w:r w:rsidR="002B4856">
        <w:rPr>
          <w:rFonts w:ascii="Arial" w:eastAsia="Times New Roman" w:hAnsi="Arial" w:cs="Arial"/>
          <w:color w:val="000000"/>
          <w:sz w:val="20"/>
          <w:szCs w:val="20"/>
        </w:rPr>
        <w:t>,</w:t>
      </w:r>
      <w:r w:rsidRPr="003516DC">
        <w:rPr>
          <w:rFonts w:ascii="Arial" w:eastAsia="Times New Roman" w:hAnsi="Arial" w:cs="Arial"/>
          <w:color w:val="000000"/>
          <w:sz w:val="20"/>
          <w:szCs w:val="20"/>
        </w:rPr>
        <w:t xml:space="preserve"> </w:t>
      </w:r>
      <w:r w:rsidR="002B4856">
        <w:rPr>
          <w:rFonts w:ascii="Arial" w:eastAsia="Times New Roman" w:hAnsi="Arial" w:cs="Arial"/>
          <w:color w:val="000000"/>
          <w:sz w:val="20"/>
          <w:szCs w:val="20"/>
        </w:rPr>
        <w:t>which</w:t>
      </w:r>
      <w:r w:rsidRPr="003516DC">
        <w:rPr>
          <w:rFonts w:ascii="Arial" w:eastAsia="Times New Roman" w:hAnsi="Arial" w:cs="Arial"/>
          <w:color w:val="000000"/>
          <w:sz w:val="20"/>
          <w:szCs w:val="20"/>
        </w:rPr>
        <w:t xml:space="preserve"> were previously handled separately, </w:t>
      </w:r>
      <w:r w:rsidR="002B4856">
        <w:rPr>
          <w:rFonts w:ascii="Arial" w:eastAsia="Times New Roman" w:hAnsi="Arial" w:cs="Arial"/>
          <w:color w:val="000000"/>
          <w:sz w:val="20"/>
          <w:szCs w:val="20"/>
        </w:rPr>
        <w:t xml:space="preserve">and </w:t>
      </w:r>
      <w:r w:rsidRPr="003516DC">
        <w:rPr>
          <w:rFonts w:ascii="Arial" w:eastAsia="Times New Roman" w:hAnsi="Arial" w:cs="Arial"/>
          <w:color w:val="000000"/>
          <w:sz w:val="20"/>
          <w:szCs w:val="20"/>
        </w:rPr>
        <w:t xml:space="preserve">which, stakeholders believe, will facilitate the capital raising strategy in the six affected regions. According to the investment guidelines recently published, 25% of InvestEU will be handled nationally by </w:t>
      </w:r>
      <w:r w:rsidR="002B4856">
        <w:rPr>
          <w:rFonts w:ascii="Arial" w:eastAsia="Times New Roman" w:hAnsi="Arial" w:cs="Arial"/>
          <w:color w:val="000000"/>
          <w:sz w:val="20"/>
          <w:szCs w:val="20"/>
        </w:rPr>
        <w:t xml:space="preserve">partners </w:t>
      </w:r>
      <w:r w:rsidRPr="003516DC">
        <w:rPr>
          <w:rFonts w:ascii="Arial" w:eastAsia="Times New Roman" w:hAnsi="Arial" w:cs="Arial"/>
          <w:color w:val="000000"/>
          <w:sz w:val="20"/>
          <w:szCs w:val="20"/>
        </w:rPr>
        <w:t xml:space="preserve">other than EIB. According to information provided by the Ministry of Finance, the state of play for Romania so far is that this segment will be implemented by EBRD (which plans to work with local commercial banks), the Council of Europe Development Bank </w:t>
      </w:r>
      <w:r w:rsidRPr="003516DC">
        <w:rPr>
          <w:rFonts w:ascii="Arial" w:eastAsia="Times New Roman" w:hAnsi="Arial" w:cs="Arial"/>
          <w:color w:val="000000"/>
          <w:sz w:val="20"/>
          <w:szCs w:val="20"/>
        </w:rPr>
        <w:lastRenderedPageBreak/>
        <w:t>and potentially the Romanian Counter-Guarantee Fund). The opinion of market participants,</w:t>
      </w:r>
      <w:r w:rsidR="002B4856">
        <w:rPr>
          <w:rFonts w:ascii="Arial" w:eastAsia="Times New Roman" w:hAnsi="Arial" w:cs="Arial"/>
          <w:color w:val="000000"/>
          <w:sz w:val="20"/>
          <w:szCs w:val="20"/>
        </w:rPr>
        <w:t xml:space="preserve"> by contrast</w:t>
      </w:r>
      <w:r w:rsidRPr="003516DC">
        <w:rPr>
          <w:rFonts w:ascii="Arial" w:eastAsia="Times New Roman" w:hAnsi="Arial" w:cs="Arial"/>
          <w:color w:val="000000"/>
          <w:sz w:val="20"/>
          <w:szCs w:val="20"/>
        </w:rPr>
        <w:t xml:space="preserve">, favours the involvement of EBRD and commercial banks. </w:t>
      </w:r>
    </w:p>
    <w:p w14:paraId="6A8D0AAB" w14:textId="5BA75BBE" w:rsidR="00BD2604" w:rsidRPr="003516DC"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rPr>
        <w:t xml:space="preserve">It is also hoped that the InvestEU Advisory Hub will provide significant technical assistance for implementing Pillars 2 and 3 in Romania. National Authorities and the EIB group should convene at the earliest to determine the best manner of targeting in the six affected regions the Advisory Hub Assistance. Administrative capacity building is needed not only for public sector authorities, but also for private entities which offer public services and, ideally, the </w:t>
      </w:r>
      <w:r w:rsidR="006D6BC9">
        <w:rPr>
          <w:rFonts w:ascii="Arial" w:eastAsia="Times New Roman" w:hAnsi="Arial" w:cs="Arial"/>
          <w:color w:val="000000"/>
          <w:sz w:val="20"/>
          <w:szCs w:val="20"/>
        </w:rPr>
        <w:t>use of t</w:t>
      </w:r>
      <w:r w:rsidRPr="003516DC">
        <w:rPr>
          <w:rFonts w:ascii="Arial" w:eastAsia="Times New Roman" w:hAnsi="Arial" w:cs="Arial"/>
          <w:color w:val="000000"/>
          <w:sz w:val="20"/>
          <w:szCs w:val="20"/>
        </w:rPr>
        <w:t xml:space="preserve">echnical </w:t>
      </w:r>
      <w:r w:rsidR="006D6BC9">
        <w:rPr>
          <w:rFonts w:ascii="Arial" w:eastAsia="Times New Roman" w:hAnsi="Arial" w:cs="Arial"/>
          <w:color w:val="000000"/>
          <w:sz w:val="20"/>
          <w:szCs w:val="20"/>
        </w:rPr>
        <w:t>a</w:t>
      </w:r>
      <w:r w:rsidRPr="003516DC">
        <w:rPr>
          <w:rFonts w:ascii="Arial" w:eastAsia="Times New Roman" w:hAnsi="Arial" w:cs="Arial"/>
          <w:color w:val="000000"/>
          <w:sz w:val="20"/>
          <w:szCs w:val="20"/>
        </w:rPr>
        <w:t xml:space="preserve">ssistance should be clearly evidenced in the TJTPs. The Ministry of Finance will have to play a very specific role in coordinating this type of dialogue between the EIB Group and the County Councils, as well as with the associative structures of the banking industry. </w:t>
      </w:r>
    </w:p>
    <w:p w14:paraId="3FDF3716" w14:textId="15D88BFC" w:rsidR="00BD2604" w:rsidRPr="003516DC" w:rsidRDefault="00BD2604" w:rsidP="008D32D6">
      <w:pPr>
        <w:spacing w:after="120"/>
        <w:jc w:val="both"/>
        <w:rPr>
          <w:rFonts w:ascii="Arial" w:eastAsia="Times New Roman" w:hAnsi="Arial" w:cs="Arial"/>
          <w:color w:val="000000"/>
          <w:sz w:val="20"/>
          <w:szCs w:val="20"/>
        </w:rPr>
      </w:pPr>
      <w:r w:rsidRPr="003516DC">
        <w:rPr>
          <w:rFonts w:ascii="Arial" w:eastAsia="Times New Roman" w:hAnsi="Arial" w:cs="Arial"/>
          <w:color w:val="000000"/>
          <w:sz w:val="20"/>
          <w:szCs w:val="20"/>
        </w:rPr>
        <w:t xml:space="preserve">Ideally, all financial instruments to be deployed under </w:t>
      </w:r>
      <w:r w:rsidR="006D6BC9">
        <w:rPr>
          <w:rFonts w:ascii="Arial" w:eastAsia="Times New Roman" w:hAnsi="Arial" w:cs="Arial"/>
          <w:color w:val="000000"/>
          <w:sz w:val="20"/>
          <w:szCs w:val="20"/>
        </w:rPr>
        <w:t xml:space="preserve">the </w:t>
      </w:r>
      <w:r w:rsidRPr="003516DC">
        <w:rPr>
          <w:rFonts w:ascii="Arial" w:eastAsia="Times New Roman" w:hAnsi="Arial" w:cs="Arial"/>
          <w:color w:val="000000"/>
          <w:sz w:val="20"/>
          <w:szCs w:val="20"/>
        </w:rPr>
        <w:t>JTF, and especially guarantees, should share the risk between various players. If a loan is</w:t>
      </w:r>
      <w:r w:rsidR="006D6BC9">
        <w:rPr>
          <w:rFonts w:ascii="Arial" w:eastAsia="Times New Roman" w:hAnsi="Arial" w:cs="Arial"/>
          <w:color w:val="000000"/>
          <w:sz w:val="20"/>
          <w:szCs w:val="20"/>
        </w:rPr>
        <w:t xml:space="preserve"> 100%</w:t>
      </w:r>
      <w:r w:rsidRPr="003516DC">
        <w:rPr>
          <w:rFonts w:ascii="Arial" w:eastAsia="Times New Roman" w:hAnsi="Arial" w:cs="Arial"/>
          <w:color w:val="000000"/>
          <w:sz w:val="20"/>
          <w:szCs w:val="20"/>
        </w:rPr>
        <w:t xml:space="preserve"> guaranteed, the coverage of the guarantee should be split between the budget of the commercial financial institutions, JTF budget and national budget, so that all actors become co-interested in the high performance of the guarantee line.</w:t>
      </w:r>
    </w:p>
    <w:p w14:paraId="71510F38" w14:textId="77777777" w:rsidR="00BD2604" w:rsidRPr="003516DC" w:rsidRDefault="00BD2604" w:rsidP="00E42342">
      <w:pPr>
        <w:pStyle w:val="Heading2"/>
        <w:numPr>
          <w:ilvl w:val="0"/>
          <w:numId w:val="181"/>
        </w:numPr>
      </w:pPr>
      <w:bookmarkStart w:id="375" w:name="_Toc90725913"/>
      <w:r w:rsidRPr="003516DC">
        <w:t>The role of commercial banks</w:t>
      </w:r>
      <w:bookmarkEnd w:id="375"/>
    </w:p>
    <w:p w14:paraId="210C60E2" w14:textId="171CDC95"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 xml:space="preserve">In the absence of a national development bank, commercial banks have been exercising complex roles in </w:t>
      </w:r>
      <w:r w:rsidR="006D6BC9">
        <w:rPr>
          <w:rFonts w:ascii="Arial" w:hAnsi="Arial" w:cs="Arial"/>
          <w:sz w:val="20"/>
          <w:szCs w:val="20"/>
        </w:rPr>
        <w:t xml:space="preserve">recent </w:t>
      </w:r>
      <w:r w:rsidRPr="008444F9">
        <w:rPr>
          <w:rFonts w:ascii="Arial" w:hAnsi="Arial" w:cs="Arial"/>
          <w:sz w:val="20"/>
          <w:szCs w:val="20"/>
        </w:rPr>
        <w:t xml:space="preserve">years </w:t>
      </w:r>
      <w:r w:rsidR="006D6BC9">
        <w:rPr>
          <w:rFonts w:ascii="Arial" w:hAnsi="Arial" w:cs="Arial"/>
          <w:sz w:val="20"/>
          <w:szCs w:val="20"/>
        </w:rPr>
        <w:t>to</w:t>
      </w:r>
      <w:r w:rsidRPr="008444F9">
        <w:rPr>
          <w:rFonts w:ascii="Arial" w:hAnsi="Arial" w:cs="Arial"/>
          <w:sz w:val="20"/>
          <w:szCs w:val="20"/>
        </w:rPr>
        <w:t xml:space="preserve"> implement EU-backed financial instruments: promotion, education, business development assistance, market building, etc. They are capable, interested and well positioned to perform similar tasks and even more</w:t>
      </w:r>
      <w:r w:rsidR="006D6BC9">
        <w:rPr>
          <w:rFonts w:ascii="Arial" w:hAnsi="Arial" w:cs="Arial"/>
          <w:sz w:val="20"/>
          <w:szCs w:val="20"/>
        </w:rPr>
        <w:t xml:space="preserve"> so</w:t>
      </w:r>
      <w:r w:rsidRPr="008444F9">
        <w:rPr>
          <w:rFonts w:ascii="Arial" w:hAnsi="Arial" w:cs="Arial"/>
          <w:sz w:val="20"/>
          <w:szCs w:val="20"/>
        </w:rPr>
        <w:t xml:space="preserve"> in the future. As mentioned </w:t>
      </w:r>
      <w:r w:rsidR="006D6BC9">
        <w:rPr>
          <w:rFonts w:ascii="Arial" w:hAnsi="Arial" w:cs="Arial"/>
          <w:sz w:val="20"/>
          <w:szCs w:val="20"/>
        </w:rPr>
        <w:t>in</w:t>
      </w:r>
      <w:r w:rsidRPr="008444F9">
        <w:rPr>
          <w:rFonts w:ascii="Arial" w:hAnsi="Arial" w:cs="Arial"/>
          <w:sz w:val="20"/>
          <w:szCs w:val="20"/>
        </w:rPr>
        <w:t xml:space="preserve"> different sections of this report, given the </w:t>
      </w:r>
      <w:r w:rsidR="00E66308">
        <w:rPr>
          <w:rFonts w:ascii="Arial" w:hAnsi="Arial" w:cs="Arial"/>
          <w:sz w:val="20"/>
          <w:szCs w:val="20"/>
        </w:rPr>
        <w:t xml:space="preserve">need to create </w:t>
      </w:r>
      <w:r w:rsidRPr="008444F9">
        <w:rPr>
          <w:rFonts w:ascii="Arial" w:hAnsi="Arial" w:cs="Arial"/>
          <w:sz w:val="20"/>
          <w:szCs w:val="20"/>
        </w:rPr>
        <w:t xml:space="preserve">long-term sustainability </w:t>
      </w:r>
      <w:r w:rsidR="00E66308">
        <w:rPr>
          <w:rFonts w:ascii="Arial" w:hAnsi="Arial" w:cs="Arial"/>
          <w:sz w:val="20"/>
          <w:szCs w:val="20"/>
        </w:rPr>
        <w:t>for</w:t>
      </w:r>
      <w:r w:rsidRPr="008444F9">
        <w:rPr>
          <w:rFonts w:ascii="Arial" w:hAnsi="Arial" w:cs="Arial"/>
          <w:sz w:val="20"/>
          <w:szCs w:val="20"/>
        </w:rPr>
        <w:t xml:space="preserve"> the Just Transition Mechanism in Romania, it is important to ensure the </w:t>
      </w:r>
      <w:r w:rsidR="00E66308">
        <w:rPr>
          <w:rFonts w:ascii="Arial" w:hAnsi="Arial" w:cs="Arial"/>
          <w:sz w:val="20"/>
          <w:szCs w:val="20"/>
        </w:rPr>
        <w:t xml:space="preserve">design and deployment </w:t>
      </w:r>
      <w:r w:rsidRPr="008444F9">
        <w:rPr>
          <w:rFonts w:ascii="Arial" w:hAnsi="Arial" w:cs="Arial"/>
          <w:sz w:val="20"/>
          <w:szCs w:val="20"/>
        </w:rPr>
        <w:t xml:space="preserve">of </w:t>
      </w:r>
      <w:r w:rsidRPr="002B4856">
        <w:rPr>
          <w:rFonts w:ascii="Arial" w:hAnsi="Arial" w:cs="Arial"/>
          <w:b/>
          <w:sz w:val="20"/>
          <w:szCs w:val="20"/>
        </w:rPr>
        <w:t xml:space="preserve">mixed instruments (grant + financial instruments) </w:t>
      </w:r>
      <w:r w:rsidR="006D6BC9">
        <w:rPr>
          <w:rFonts w:ascii="Arial" w:hAnsi="Arial" w:cs="Arial"/>
          <w:sz w:val="20"/>
          <w:szCs w:val="20"/>
        </w:rPr>
        <w:t>to</w:t>
      </w:r>
      <w:r w:rsidRPr="008444F9">
        <w:rPr>
          <w:rFonts w:ascii="Arial" w:hAnsi="Arial" w:cs="Arial"/>
          <w:sz w:val="20"/>
          <w:szCs w:val="20"/>
        </w:rPr>
        <w:t xml:space="preserve"> support SMEs.</w:t>
      </w:r>
    </w:p>
    <w:p w14:paraId="1D8685C5" w14:textId="70302FC5" w:rsidR="00BD2604" w:rsidRPr="008444F9" w:rsidRDefault="006D6BC9" w:rsidP="008D32D6">
      <w:pPr>
        <w:spacing w:after="120"/>
        <w:jc w:val="both"/>
        <w:rPr>
          <w:rFonts w:ascii="Arial" w:hAnsi="Arial" w:cs="Arial"/>
          <w:sz w:val="20"/>
          <w:szCs w:val="20"/>
        </w:rPr>
      </w:pPr>
      <w:r>
        <w:rPr>
          <w:rFonts w:ascii="Arial" w:hAnsi="Arial" w:cs="Arial"/>
          <w:sz w:val="20"/>
          <w:szCs w:val="20"/>
        </w:rPr>
        <w:t>C</w:t>
      </w:r>
      <w:r w:rsidR="00BD2604" w:rsidRPr="008444F9">
        <w:rPr>
          <w:rFonts w:ascii="Arial" w:hAnsi="Arial" w:cs="Arial"/>
          <w:sz w:val="20"/>
          <w:szCs w:val="20"/>
        </w:rPr>
        <w:t xml:space="preserve">ommercial banks can </w:t>
      </w:r>
      <w:r>
        <w:rPr>
          <w:rFonts w:ascii="Arial" w:hAnsi="Arial" w:cs="Arial"/>
          <w:sz w:val="20"/>
          <w:szCs w:val="20"/>
        </w:rPr>
        <w:t xml:space="preserve">also </w:t>
      </w:r>
      <w:r w:rsidR="00BD2604" w:rsidRPr="008444F9">
        <w:rPr>
          <w:rFonts w:ascii="Arial" w:hAnsi="Arial" w:cs="Arial"/>
          <w:sz w:val="20"/>
          <w:szCs w:val="20"/>
        </w:rPr>
        <w:t>perform a</w:t>
      </w:r>
      <w:r>
        <w:rPr>
          <w:rFonts w:ascii="Arial" w:hAnsi="Arial" w:cs="Arial"/>
          <w:sz w:val="20"/>
          <w:szCs w:val="20"/>
        </w:rPr>
        <w:t>n additional</w:t>
      </w:r>
      <w:r w:rsidR="00BD2604" w:rsidRPr="008444F9">
        <w:rPr>
          <w:rFonts w:ascii="Arial" w:hAnsi="Arial" w:cs="Arial"/>
          <w:sz w:val="20"/>
          <w:szCs w:val="20"/>
        </w:rPr>
        <w:t xml:space="preserve"> role</w:t>
      </w:r>
      <w:r>
        <w:rPr>
          <w:rFonts w:ascii="Arial" w:hAnsi="Arial" w:cs="Arial"/>
          <w:sz w:val="20"/>
          <w:szCs w:val="20"/>
        </w:rPr>
        <w:t>:</w:t>
      </w:r>
      <w:r w:rsidR="00BD2604" w:rsidRPr="008444F9">
        <w:rPr>
          <w:rFonts w:ascii="Arial" w:hAnsi="Arial" w:cs="Arial"/>
          <w:sz w:val="20"/>
          <w:szCs w:val="20"/>
        </w:rPr>
        <w:t xml:space="preserve"> application evaluation, risk assessment and project monitoring. The scheme could provide a win–win for financial intermediaries and public authorities. It is very difficult for a public authority, when supporting SMEs and enterprises in general, to assess market risk</w:t>
      </w:r>
      <w:r>
        <w:rPr>
          <w:rFonts w:ascii="Arial" w:hAnsi="Arial" w:cs="Arial"/>
          <w:sz w:val="20"/>
          <w:szCs w:val="20"/>
        </w:rPr>
        <w:t>;</w:t>
      </w:r>
      <w:r w:rsidR="00BD2604" w:rsidRPr="008444F9">
        <w:rPr>
          <w:rFonts w:ascii="Arial" w:hAnsi="Arial" w:cs="Arial"/>
          <w:sz w:val="20"/>
          <w:szCs w:val="20"/>
        </w:rPr>
        <w:t xml:space="preserve"> banks could play a more active role in EU fund management, as a quasi </w:t>
      </w:r>
      <w:r>
        <w:rPr>
          <w:rFonts w:ascii="Arial" w:hAnsi="Arial" w:cs="Arial"/>
          <w:sz w:val="20"/>
          <w:szCs w:val="20"/>
        </w:rPr>
        <w:t>i</w:t>
      </w:r>
      <w:r w:rsidR="00BD2604" w:rsidRPr="008444F9">
        <w:rPr>
          <w:rFonts w:ascii="Arial" w:hAnsi="Arial" w:cs="Arial"/>
          <w:sz w:val="20"/>
          <w:szCs w:val="20"/>
        </w:rPr>
        <w:t>ntermediary</w:t>
      </w:r>
      <w:r w:rsidR="008D32D6">
        <w:rPr>
          <w:rFonts w:ascii="Arial" w:hAnsi="Arial" w:cs="Arial"/>
          <w:sz w:val="20"/>
          <w:szCs w:val="20"/>
        </w:rPr>
        <w:t xml:space="preserve"> </w:t>
      </w:r>
      <w:r>
        <w:rPr>
          <w:rFonts w:ascii="Arial" w:hAnsi="Arial" w:cs="Arial"/>
          <w:sz w:val="20"/>
          <w:szCs w:val="20"/>
        </w:rPr>
        <w:t>o</w:t>
      </w:r>
      <w:r w:rsidR="00BD2604" w:rsidRPr="008444F9">
        <w:rPr>
          <w:rFonts w:ascii="Arial" w:hAnsi="Arial" w:cs="Arial"/>
          <w:sz w:val="20"/>
          <w:szCs w:val="20"/>
        </w:rPr>
        <w:t xml:space="preserve">rganism </w:t>
      </w:r>
      <w:r>
        <w:rPr>
          <w:rFonts w:ascii="Arial" w:hAnsi="Arial" w:cs="Arial"/>
          <w:sz w:val="20"/>
          <w:szCs w:val="20"/>
        </w:rPr>
        <w:t>that</w:t>
      </w:r>
      <w:r w:rsidR="00BD2604" w:rsidRPr="008444F9">
        <w:rPr>
          <w:rFonts w:ascii="Arial" w:hAnsi="Arial" w:cs="Arial"/>
          <w:sz w:val="20"/>
          <w:szCs w:val="20"/>
        </w:rPr>
        <w:t xml:space="preserve"> </w:t>
      </w:r>
      <w:r>
        <w:rPr>
          <w:rFonts w:ascii="Arial" w:hAnsi="Arial" w:cs="Arial"/>
          <w:sz w:val="20"/>
          <w:szCs w:val="20"/>
        </w:rPr>
        <w:t>c</w:t>
      </w:r>
      <w:r w:rsidR="00BD2604" w:rsidRPr="008444F9">
        <w:rPr>
          <w:rFonts w:ascii="Arial" w:hAnsi="Arial" w:cs="Arial"/>
          <w:sz w:val="20"/>
          <w:szCs w:val="20"/>
        </w:rPr>
        <w:t xml:space="preserve">ould assess a project both from an eligibility and technical–financial quality. </w:t>
      </w:r>
    </w:p>
    <w:p w14:paraId="7CAC9FFC" w14:textId="03A599E6"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 xml:space="preserve">Even </w:t>
      </w:r>
      <w:r w:rsidR="006D6BC9">
        <w:rPr>
          <w:rFonts w:ascii="Arial" w:hAnsi="Arial" w:cs="Arial"/>
          <w:sz w:val="20"/>
          <w:szCs w:val="20"/>
        </w:rPr>
        <w:t xml:space="preserve">for </w:t>
      </w:r>
      <w:r w:rsidRPr="008444F9">
        <w:rPr>
          <w:rFonts w:ascii="Arial" w:hAnsi="Arial" w:cs="Arial"/>
          <w:sz w:val="20"/>
          <w:szCs w:val="20"/>
        </w:rPr>
        <w:t>simpler instruments (e.g.</w:t>
      </w:r>
      <w:r w:rsidR="006D6BC9">
        <w:rPr>
          <w:rFonts w:ascii="Arial" w:hAnsi="Arial" w:cs="Arial"/>
          <w:sz w:val="20"/>
          <w:szCs w:val="20"/>
        </w:rPr>
        <w:t>,</w:t>
      </w:r>
      <w:r w:rsidRPr="008444F9">
        <w:rPr>
          <w:rFonts w:ascii="Arial" w:hAnsi="Arial" w:cs="Arial"/>
          <w:sz w:val="20"/>
          <w:szCs w:val="20"/>
        </w:rPr>
        <w:t xml:space="preserve"> just loans/ guarantees)</w:t>
      </w:r>
      <w:r w:rsidR="006D6BC9">
        <w:rPr>
          <w:rFonts w:ascii="Arial" w:hAnsi="Arial" w:cs="Arial"/>
          <w:sz w:val="20"/>
          <w:szCs w:val="20"/>
        </w:rPr>
        <w:t>,</w:t>
      </w:r>
      <w:r w:rsidRPr="008444F9">
        <w:rPr>
          <w:rFonts w:ascii="Arial" w:hAnsi="Arial" w:cs="Arial"/>
          <w:sz w:val="20"/>
          <w:szCs w:val="20"/>
        </w:rPr>
        <w:t xml:space="preserve"> the role of loan officers in commercial banks to provide </w:t>
      </w:r>
      <w:r w:rsidR="006D6BC9">
        <w:rPr>
          <w:rFonts w:ascii="Arial" w:hAnsi="Arial" w:cs="Arial"/>
          <w:sz w:val="20"/>
          <w:szCs w:val="20"/>
        </w:rPr>
        <w:t>t</w:t>
      </w:r>
      <w:r w:rsidRPr="008444F9">
        <w:rPr>
          <w:rFonts w:ascii="Arial" w:hAnsi="Arial" w:cs="Arial"/>
          <w:sz w:val="20"/>
          <w:szCs w:val="20"/>
        </w:rPr>
        <w:t xml:space="preserve">echnical </w:t>
      </w:r>
      <w:r w:rsidR="006D6BC9">
        <w:rPr>
          <w:rFonts w:ascii="Arial" w:hAnsi="Arial" w:cs="Arial"/>
          <w:sz w:val="20"/>
          <w:szCs w:val="20"/>
        </w:rPr>
        <w:t>a</w:t>
      </w:r>
      <w:r w:rsidRPr="008444F9">
        <w:rPr>
          <w:rFonts w:ascii="Arial" w:hAnsi="Arial" w:cs="Arial"/>
          <w:sz w:val="20"/>
          <w:szCs w:val="20"/>
        </w:rPr>
        <w:t xml:space="preserve">ssistance to beneficiaries is highly needed and important – not only due to their existing capacity, but also due to the relatively high trust they enjoy at </w:t>
      </w:r>
      <w:r w:rsidR="006D6BC9">
        <w:rPr>
          <w:rFonts w:ascii="Arial" w:hAnsi="Arial" w:cs="Arial"/>
          <w:sz w:val="20"/>
          <w:szCs w:val="20"/>
        </w:rPr>
        <w:t xml:space="preserve">the </w:t>
      </w:r>
      <w:r w:rsidRPr="008444F9">
        <w:rPr>
          <w:rFonts w:ascii="Arial" w:hAnsi="Arial" w:cs="Arial"/>
          <w:sz w:val="20"/>
          <w:szCs w:val="20"/>
        </w:rPr>
        <w:t>local level.</w:t>
      </w:r>
    </w:p>
    <w:p w14:paraId="058289C0" w14:textId="10C0F7EC" w:rsidR="00BD2604" w:rsidRPr="000A323F" w:rsidRDefault="00BD2604" w:rsidP="008D32D6">
      <w:pPr>
        <w:spacing w:after="120"/>
        <w:jc w:val="both"/>
        <w:rPr>
          <w:rFonts w:ascii="Arial" w:hAnsi="Arial" w:cs="Arial"/>
          <w:sz w:val="20"/>
          <w:szCs w:val="20"/>
        </w:rPr>
      </w:pPr>
      <w:r w:rsidRPr="008444F9">
        <w:rPr>
          <w:rFonts w:ascii="Arial" w:hAnsi="Arial" w:cs="Arial"/>
          <w:sz w:val="20"/>
          <w:szCs w:val="20"/>
        </w:rPr>
        <w:t>To be able to shape Pillar 2 of the JTM</w:t>
      </w:r>
      <w:r w:rsidR="006D6BC9">
        <w:rPr>
          <w:rFonts w:ascii="Arial" w:hAnsi="Arial" w:cs="Arial"/>
          <w:sz w:val="20"/>
          <w:szCs w:val="20"/>
        </w:rPr>
        <w:t>,</w:t>
      </w:r>
      <w:r w:rsidRPr="008444F9">
        <w:rPr>
          <w:rFonts w:ascii="Arial" w:hAnsi="Arial" w:cs="Arial"/>
          <w:sz w:val="20"/>
          <w:szCs w:val="20"/>
        </w:rPr>
        <w:t xml:space="preserve"> and especially to support the ex-ante analysis, an open dialogue is necessary between the central institutions involved in designing the instruments, the EIB and the banking industry. All stakeholders from the six affected regions, including the head offices in the six affected regions of the main commercial banks, </w:t>
      </w:r>
      <w:r w:rsidR="00E66308">
        <w:rPr>
          <w:rFonts w:ascii="Arial" w:hAnsi="Arial" w:cs="Arial"/>
          <w:sz w:val="20"/>
          <w:szCs w:val="20"/>
        </w:rPr>
        <w:t>should</w:t>
      </w:r>
      <w:r w:rsidR="00E66308" w:rsidRPr="008444F9">
        <w:rPr>
          <w:rFonts w:ascii="Arial" w:hAnsi="Arial" w:cs="Arial"/>
          <w:sz w:val="20"/>
          <w:szCs w:val="20"/>
        </w:rPr>
        <w:t xml:space="preserve"> </w:t>
      </w:r>
      <w:r w:rsidRPr="008444F9">
        <w:rPr>
          <w:rFonts w:ascii="Arial" w:hAnsi="Arial" w:cs="Arial"/>
          <w:sz w:val="20"/>
          <w:szCs w:val="20"/>
        </w:rPr>
        <w:t xml:space="preserve">be consulted and brought </w:t>
      </w:r>
      <w:r w:rsidR="006D6BC9">
        <w:rPr>
          <w:rFonts w:ascii="Arial" w:hAnsi="Arial" w:cs="Arial"/>
          <w:sz w:val="20"/>
          <w:szCs w:val="20"/>
        </w:rPr>
        <w:t>simultaneously to the</w:t>
      </w:r>
      <w:r w:rsidRPr="008444F9">
        <w:rPr>
          <w:rFonts w:ascii="Arial" w:hAnsi="Arial" w:cs="Arial"/>
          <w:sz w:val="20"/>
          <w:szCs w:val="20"/>
        </w:rPr>
        <w:t xml:space="preserve"> table so that a financial instrument (or several) tailored to the six affected regions</w:t>
      </w:r>
      <w:r w:rsidR="006D6BC9">
        <w:rPr>
          <w:rFonts w:ascii="Arial" w:hAnsi="Arial" w:cs="Arial"/>
          <w:sz w:val="20"/>
          <w:szCs w:val="20"/>
        </w:rPr>
        <w:t xml:space="preserve"> </w:t>
      </w:r>
      <w:r w:rsidR="00E66308">
        <w:rPr>
          <w:rFonts w:ascii="Arial" w:hAnsi="Arial" w:cs="Arial"/>
          <w:sz w:val="20"/>
          <w:szCs w:val="20"/>
        </w:rPr>
        <w:t>could</w:t>
      </w:r>
      <w:r w:rsidR="00E66308" w:rsidRPr="008444F9">
        <w:rPr>
          <w:rFonts w:ascii="Arial" w:hAnsi="Arial" w:cs="Arial"/>
          <w:sz w:val="20"/>
          <w:szCs w:val="20"/>
        </w:rPr>
        <w:t xml:space="preserve"> </w:t>
      </w:r>
      <w:r w:rsidRPr="008444F9">
        <w:rPr>
          <w:rFonts w:ascii="Arial" w:hAnsi="Arial" w:cs="Arial"/>
          <w:sz w:val="20"/>
          <w:szCs w:val="20"/>
        </w:rPr>
        <w:t xml:space="preserve">be designed (i.e., an IMM Invest reloaded, for the six regions). The industries to be financed through these instruments </w:t>
      </w:r>
      <w:r w:rsidR="00E66308">
        <w:rPr>
          <w:rFonts w:ascii="Arial" w:hAnsi="Arial" w:cs="Arial"/>
          <w:sz w:val="20"/>
          <w:szCs w:val="20"/>
        </w:rPr>
        <w:t>should</w:t>
      </w:r>
      <w:r w:rsidR="00E66308" w:rsidRPr="008444F9">
        <w:rPr>
          <w:rFonts w:ascii="Arial" w:hAnsi="Arial" w:cs="Arial"/>
          <w:sz w:val="20"/>
          <w:szCs w:val="20"/>
        </w:rPr>
        <w:t xml:space="preserve"> </w:t>
      </w:r>
      <w:r w:rsidRPr="008444F9">
        <w:rPr>
          <w:rFonts w:ascii="Arial" w:hAnsi="Arial" w:cs="Arial"/>
          <w:sz w:val="20"/>
          <w:szCs w:val="20"/>
        </w:rPr>
        <w:t>bear into account the areas of focus in the TJTPs and thus support the creation and emergence of clusters/ poles of excellence in certain industries in each of the affected regions. This type of smart speciali</w:t>
      </w:r>
      <w:r w:rsidR="006D6BC9">
        <w:rPr>
          <w:rFonts w:ascii="Arial" w:hAnsi="Arial" w:cs="Arial"/>
          <w:sz w:val="20"/>
          <w:szCs w:val="20"/>
        </w:rPr>
        <w:t>s</w:t>
      </w:r>
      <w:r w:rsidRPr="008444F9">
        <w:rPr>
          <w:rFonts w:ascii="Arial" w:hAnsi="Arial" w:cs="Arial"/>
          <w:sz w:val="20"/>
          <w:szCs w:val="20"/>
        </w:rPr>
        <w:t>ation c</w:t>
      </w:r>
      <w:r w:rsidR="00E66308">
        <w:rPr>
          <w:rFonts w:ascii="Arial" w:hAnsi="Arial" w:cs="Arial"/>
          <w:sz w:val="20"/>
          <w:szCs w:val="20"/>
        </w:rPr>
        <w:t>ould</w:t>
      </w:r>
      <w:r w:rsidRPr="008444F9">
        <w:rPr>
          <w:rFonts w:ascii="Arial" w:hAnsi="Arial" w:cs="Arial"/>
          <w:sz w:val="20"/>
          <w:szCs w:val="20"/>
        </w:rPr>
        <w:t xml:space="preserve"> make the regions attractive for other players, as well, especially large enterprises that may decide to invest in the six affected regions – which do not currently have a presence in the regions.</w:t>
      </w:r>
    </w:p>
    <w:p w14:paraId="7BEB4052" w14:textId="77777777" w:rsidR="00BD2604" w:rsidRPr="003516DC" w:rsidRDefault="00BD2604" w:rsidP="00E42342">
      <w:pPr>
        <w:pStyle w:val="Heading2"/>
        <w:numPr>
          <w:ilvl w:val="0"/>
          <w:numId w:val="182"/>
        </w:numPr>
      </w:pPr>
      <w:bookmarkStart w:id="376" w:name="_Toc90725914"/>
      <w:r w:rsidRPr="003516DC">
        <w:t>The role of the microfinance sector</w:t>
      </w:r>
      <w:bookmarkEnd w:id="376"/>
    </w:p>
    <w:p w14:paraId="6D72CF80" w14:textId="65D253D8"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 xml:space="preserve">In all </w:t>
      </w:r>
      <w:r w:rsidR="002B4856">
        <w:rPr>
          <w:rFonts w:ascii="Arial" w:hAnsi="Arial" w:cs="Arial"/>
          <w:sz w:val="20"/>
          <w:szCs w:val="20"/>
        </w:rPr>
        <w:t>six</w:t>
      </w:r>
      <w:r w:rsidRPr="003516DC">
        <w:rPr>
          <w:rFonts w:ascii="Arial" w:hAnsi="Arial" w:cs="Arial"/>
          <w:sz w:val="20"/>
          <w:szCs w:val="20"/>
        </w:rPr>
        <w:t xml:space="preserve"> counties</w:t>
      </w:r>
      <w:r w:rsidR="006D6BC9">
        <w:rPr>
          <w:rFonts w:ascii="Arial" w:hAnsi="Arial" w:cs="Arial"/>
          <w:sz w:val="20"/>
          <w:szCs w:val="20"/>
        </w:rPr>
        <w:t>,</w:t>
      </w:r>
      <w:r w:rsidRPr="003516DC">
        <w:rPr>
          <w:rFonts w:ascii="Arial" w:hAnsi="Arial" w:cs="Arial"/>
          <w:sz w:val="20"/>
          <w:szCs w:val="20"/>
        </w:rPr>
        <w:t xml:space="preserve"> development through productive investment in the SMEs operating in the economic sectors with growth potential was considered as a priority leading to jobs creation and sustainable economic diversification. The proposed actions are mainly grant schemes with low leverage effect</w:t>
      </w:r>
      <w:r w:rsidR="00291DCB">
        <w:rPr>
          <w:rFonts w:ascii="Arial" w:hAnsi="Arial" w:cs="Arial"/>
          <w:sz w:val="20"/>
          <w:szCs w:val="20"/>
        </w:rPr>
        <w:t>s</w:t>
      </w:r>
      <w:r w:rsidRPr="003516DC">
        <w:rPr>
          <w:rFonts w:ascii="Arial" w:hAnsi="Arial" w:cs="Arial"/>
          <w:sz w:val="20"/>
          <w:szCs w:val="20"/>
        </w:rPr>
        <w:t xml:space="preserve"> and </w:t>
      </w:r>
      <w:r w:rsidR="00291DCB">
        <w:rPr>
          <w:rFonts w:ascii="Arial" w:hAnsi="Arial" w:cs="Arial"/>
          <w:sz w:val="20"/>
          <w:szCs w:val="20"/>
        </w:rPr>
        <w:t xml:space="preserve">it is </w:t>
      </w:r>
      <w:r w:rsidRPr="003516DC">
        <w:rPr>
          <w:rFonts w:ascii="Arial" w:hAnsi="Arial" w:cs="Arial"/>
          <w:sz w:val="20"/>
          <w:szCs w:val="20"/>
        </w:rPr>
        <w:t xml:space="preserve">difficult to assess the long term sustainability of the investments </w:t>
      </w:r>
      <w:r w:rsidR="00291DCB">
        <w:rPr>
          <w:rFonts w:ascii="Arial" w:hAnsi="Arial" w:cs="Arial"/>
          <w:sz w:val="20"/>
          <w:szCs w:val="20"/>
        </w:rPr>
        <w:t>since</w:t>
      </w:r>
      <w:r w:rsidRPr="003516DC">
        <w:rPr>
          <w:rFonts w:ascii="Arial" w:hAnsi="Arial" w:cs="Arial"/>
          <w:sz w:val="20"/>
          <w:szCs w:val="20"/>
        </w:rPr>
        <w:t xml:space="preserve"> the monitoring of beneficiaries is limited to </w:t>
      </w:r>
      <w:r w:rsidR="00291DCB">
        <w:rPr>
          <w:rFonts w:ascii="Arial" w:hAnsi="Arial" w:cs="Arial"/>
          <w:sz w:val="20"/>
          <w:szCs w:val="20"/>
        </w:rPr>
        <w:t xml:space="preserve">a </w:t>
      </w:r>
      <w:r w:rsidRPr="003516DC">
        <w:rPr>
          <w:rFonts w:ascii="Arial" w:hAnsi="Arial" w:cs="Arial"/>
          <w:sz w:val="20"/>
          <w:szCs w:val="20"/>
        </w:rPr>
        <w:t xml:space="preserve">maximum </w:t>
      </w:r>
      <w:r w:rsidR="00291DCB">
        <w:rPr>
          <w:rFonts w:ascii="Arial" w:hAnsi="Arial" w:cs="Arial"/>
          <w:sz w:val="20"/>
          <w:szCs w:val="20"/>
        </w:rPr>
        <w:t>of three</w:t>
      </w:r>
      <w:r w:rsidRPr="003516DC">
        <w:rPr>
          <w:rFonts w:ascii="Arial" w:hAnsi="Arial" w:cs="Arial"/>
          <w:sz w:val="20"/>
          <w:szCs w:val="20"/>
        </w:rPr>
        <w:t xml:space="preserve"> years.  </w:t>
      </w:r>
    </w:p>
    <w:p w14:paraId="5BCFD450" w14:textId="6F09BADC"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 xml:space="preserve">The role of the microfinance sector </w:t>
      </w:r>
      <w:r w:rsidR="00291DCB">
        <w:rPr>
          <w:rFonts w:ascii="Arial" w:hAnsi="Arial" w:cs="Arial"/>
          <w:sz w:val="20"/>
          <w:szCs w:val="20"/>
        </w:rPr>
        <w:t>to</w:t>
      </w:r>
      <w:r w:rsidR="00291DCB" w:rsidRPr="003516DC">
        <w:rPr>
          <w:rFonts w:ascii="Arial" w:hAnsi="Arial" w:cs="Arial"/>
          <w:sz w:val="20"/>
          <w:szCs w:val="20"/>
        </w:rPr>
        <w:t xml:space="preserve"> </w:t>
      </w:r>
      <w:r w:rsidRPr="003516DC">
        <w:rPr>
          <w:rFonts w:ascii="Arial" w:hAnsi="Arial" w:cs="Arial"/>
          <w:sz w:val="20"/>
          <w:szCs w:val="20"/>
        </w:rPr>
        <w:t>enabl</w:t>
      </w:r>
      <w:r w:rsidR="00291DCB">
        <w:rPr>
          <w:rFonts w:ascii="Arial" w:hAnsi="Arial" w:cs="Arial"/>
          <w:sz w:val="20"/>
          <w:szCs w:val="20"/>
        </w:rPr>
        <w:t>e</w:t>
      </w:r>
      <w:r w:rsidRPr="003516DC">
        <w:rPr>
          <w:rFonts w:ascii="Arial" w:hAnsi="Arial" w:cs="Arial"/>
          <w:sz w:val="20"/>
          <w:szCs w:val="20"/>
        </w:rPr>
        <w:t xml:space="preserve"> access to finance and business development support services for start-ups and micro-enterprises is particular</w:t>
      </w:r>
      <w:r w:rsidR="00291DCB">
        <w:rPr>
          <w:rFonts w:ascii="Arial" w:hAnsi="Arial" w:cs="Arial"/>
          <w:sz w:val="20"/>
          <w:szCs w:val="20"/>
        </w:rPr>
        <w:t>ly</w:t>
      </w:r>
      <w:r w:rsidRPr="003516DC">
        <w:rPr>
          <w:rFonts w:ascii="Arial" w:hAnsi="Arial" w:cs="Arial"/>
          <w:sz w:val="20"/>
          <w:szCs w:val="20"/>
        </w:rPr>
        <w:t xml:space="preserve"> relevant for Hunedoara and Gorj counties</w:t>
      </w:r>
      <w:r w:rsidR="00291DCB">
        <w:rPr>
          <w:rFonts w:ascii="Arial" w:hAnsi="Arial" w:cs="Arial"/>
          <w:sz w:val="20"/>
          <w:szCs w:val="20"/>
        </w:rPr>
        <w:t>,</w:t>
      </w:r>
      <w:r w:rsidRPr="003516DC">
        <w:rPr>
          <w:rFonts w:ascii="Arial" w:hAnsi="Arial" w:cs="Arial"/>
          <w:sz w:val="20"/>
          <w:szCs w:val="20"/>
        </w:rPr>
        <w:t xml:space="preserve"> where the number of microenterprises and sol</w:t>
      </w:r>
      <w:r w:rsidR="00291DCB">
        <w:rPr>
          <w:rFonts w:ascii="Arial" w:hAnsi="Arial" w:cs="Arial"/>
          <w:sz w:val="20"/>
          <w:szCs w:val="20"/>
        </w:rPr>
        <w:t>o-</w:t>
      </w:r>
      <w:r w:rsidRPr="003516DC">
        <w:rPr>
          <w:rFonts w:ascii="Arial" w:hAnsi="Arial" w:cs="Arial"/>
          <w:sz w:val="20"/>
          <w:szCs w:val="20"/>
        </w:rPr>
        <w:t xml:space="preserve">entrepreneurs is higher and their capacity to grow is limited.   </w:t>
      </w:r>
    </w:p>
    <w:p w14:paraId="5490C2C1" w14:textId="635277B1"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lastRenderedPageBreak/>
        <w:t>Within the current legal framework that governs the microfinance activities in Romania, there is no specific definition of microcredit or microfinance. Therefore, the EU definition is generally accepted by the sector and its stakeholders:</w:t>
      </w:r>
    </w:p>
    <w:p w14:paraId="2F3C284A" w14:textId="6DC69F2F"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'Microfinance' includes guarantees, microcredit, equity and quasi-equity, coupled with accompanying business development services such as in the form of individual counselling, training and mentoring, extended to persons and micro-enterprises that experience difficulties accessing credit for the purpose of professional and/or revenue-generating activities.</w:t>
      </w:r>
    </w:p>
    <w:p w14:paraId="31E263F8" w14:textId="77777777"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 xml:space="preserve">Previously, microcredits were limited to loans up to EUR 25,000, but a new definition has been proposed within European Social Fund Plus (ESF+) that removes the maximum loan amount. </w:t>
      </w:r>
    </w:p>
    <w:p w14:paraId="109C576B" w14:textId="5E04463C"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However, loan amounts up to 150% GNI/capita is generally considered as microcredit with impact in the social and financial inclusion of the beneficiaries. In the case of Romania, this amount is equal to RON 82,000.</w:t>
      </w:r>
    </w:p>
    <w:p w14:paraId="18624386" w14:textId="65074E53"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Two main types of microcredit can be distinguished: personal microcredit that aims to improve the employability of the borrower (e.g., education, improvement of housing conditions, access to medical services, improving the living/housing condition, etc.) and business microcredit that finances income-generating activity aimed at the creation or expansion of income-generating and job-creating activities or micro-enterprises (e.g., the financing of investment in productive assets and/or working capital</w:t>
      </w:r>
      <w:r w:rsidR="006D6BC9">
        <w:rPr>
          <w:rFonts w:ascii="Arial" w:hAnsi="Arial" w:cs="Arial"/>
          <w:sz w:val="20"/>
          <w:szCs w:val="20"/>
        </w:rPr>
        <w:t>;</w:t>
      </w:r>
      <w:r w:rsidRPr="003516DC">
        <w:rPr>
          <w:rFonts w:ascii="Arial" w:hAnsi="Arial" w:cs="Arial"/>
          <w:sz w:val="20"/>
          <w:szCs w:val="20"/>
        </w:rPr>
        <w:t xml:space="preserve">green financial products were </w:t>
      </w:r>
      <w:r w:rsidR="006D6BC9">
        <w:rPr>
          <w:rFonts w:ascii="Arial" w:hAnsi="Arial" w:cs="Arial"/>
          <w:sz w:val="20"/>
          <w:szCs w:val="20"/>
        </w:rPr>
        <w:t xml:space="preserve">also </w:t>
      </w:r>
      <w:r w:rsidRPr="003516DC">
        <w:rPr>
          <w:rFonts w:ascii="Arial" w:hAnsi="Arial" w:cs="Arial"/>
          <w:sz w:val="20"/>
          <w:szCs w:val="20"/>
        </w:rPr>
        <w:t xml:space="preserve">launched </w:t>
      </w:r>
      <w:r w:rsidR="006D6BC9">
        <w:rPr>
          <w:rFonts w:ascii="Arial" w:hAnsi="Arial" w:cs="Arial"/>
          <w:sz w:val="20"/>
          <w:szCs w:val="20"/>
        </w:rPr>
        <w:t>in</w:t>
      </w:r>
      <w:r w:rsidRPr="003516DC">
        <w:rPr>
          <w:rFonts w:ascii="Arial" w:hAnsi="Arial" w:cs="Arial"/>
          <w:sz w:val="20"/>
          <w:szCs w:val="20"/>
        </w:rPr>
        <w:t xml:space="preserve"> recent years) </w:t>
      </w:r>
    </w:p>
    <w:p w14:paraId="03B03788" w14:textId="6454C0E2"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Within the 2016 to 2018 period, the Romanian microfinance sector, represented by 15 microfinance institutions (MFIs)</w:t>
      </w:r>
      <w:r w:rsidRPr="003516DC">
        <w:rPr>
          <w:rStyle w:val="FootnoteReference"/>
          <w:rFonts w:ascii="Arial" w:hAnsi="Arial" w:cs="Arial"/>
          <w:sz w:val="20"/>
          <w:szCs w:val="20"/>
        </w:rPr>
        <w:footnoteReference w:id="160"/>
      </w:r>
      <w:r w:rsidRPr="003516DC">
        <w:rPr>
          <w:rFonts w:ascii="Arial" w:hAnsi="Arial" w:cs="Arial"/>
          <w:sz w:val="20"/>
          <w:szCs w:val="20"/>
        </w:rPr>
        <w:t>, recorded a significant growth of the active portfolio by 73% (EUR 287 m in 2018) and the number of active clients increased by 22%, mainly due to increased demand for microfinance services related to revenue-generating activities and the availability of financial resources and guarantees from social investors and the EU-funded microfinance programmes: Progress Microfinance and Employment and Social Innovation (EaSI).</w:t>
      </w:r>
    </w:p>
    <w:p w14:paraId="662122C5" w14:textId="22788C2C"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From 2016-2018 the number of the microloans disbursed increased by 7% (amounting to 74,550 in 2018). An important part of the new microcredit portfolio includes short-term loans to finance the working capital needs of customers and factoring services for start-ups and revenue-generating activities.</w:t>
      </w:r>
    </w:p>
    <w:p w14:paraId="4D671B04" w14:textId="05A6474F"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Microfinance funds of EUR 450 m</w:t>
      </w:r>
      <w:r w:rsidRPr="003516DC">
        <w:rPr>
          <w:rStyle w:val="FootnoteReference"/>
          <w:rFonts w:ascii="Arial" w:hAnsi="Arial" w:cs="Arial"/>
          <w:sz w:val="20"/>
          <w:szCs w:val="20"/>
        </w:rPr>
        <w:footnoteReference w:id="161"/>
      </w:r>
      <w:r w:rsidRPr="003516DC">
        <w:rPr>
          <w:rFonts w:ascii="Arial" w:hAnsi="Arial" w:cs="Arial"/>
          <w:sz w:val="20"/>
          <w:szCs w:val="20"/>
        </w:rPr>
        <w:t xml:space="preserve"> have been mobilised since 2017 for 13,000 micro and social SMEs and 30% of the supported entrepreneurs have been women. Romanian microcredit providers are among the main beneficiaries of the EU-funded financial and TA programmes: JASMINE, Progress and EaSI, EFSI, COSME</w:t>
      </w:r>
      <w:r w:rsidRPr="003516DC">
        <w:rPr>
          <w:rStyle w:val="FootnoteReference"/>
          <w:rFonts w:ascii="Arial" w:hAnsi="Arial" w:cs="Arial"/>
          <w:sz w:val="20"/>
          <w:szCs w:val="20"/>
        </w:rPr>
        <w:footnoteReference w:id="162"/>
      </w:r>
      <w:r w:rsidRPr="003516DC">
        <w:rPr>
          <w:rFonts w:ascii="Arial" w:hAnsi="Arial" w:cs="Arial"/>
          <w:sz w:val="20"/>
          <w:szCs w:val="20"/>
        </w:rPr>
        <w:t>. Romanian MFIs represent 34.6% of all European MFIs certified as compliant with the European Code of Good Conduct for Microcredit Provision</w:t>
      </w:r>
      <w:r w:rsidRPr="003516DC">
        <w:rPr>
          <w:rStyle w:val="FootnoteReference"/>
          <w:rFonts w:ascii="Arial" w:hAnsi="Arial" w:cs="Arial"/>
          <w:sz w:val="20"/>
          <w:szCs w:val="20"/>
        </w:rPr>
        <w:footnoteReference w:id="163"/>
      </w:r>
      <w:r w:rsidRPr="003516DC">
        <w:rPr>
          <w:rFonts w:ascii="Arial" w:hAnsi="Arial" w:cs="Arial"/>
          <w:sz w:val="20"/>
          <w:szCs w:val="20"/>
        </w:rPr>
        <w:t>.</w:t>
      </w:r>
    </w:p>
    <w:p w14:paraId="75D3A13A" w14:textId="570A5493"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Under the EaSI program, 13 financial institutions (six SME banks and seven MFIs) accessed three types of financial instruments: EaSI Guarantee, EaSI capacity building instrument (equity and long-term loans) and EaSI financial instrument (long-term loan) under the financial component administered by European Investment Fund.</w:t>
      </w:r>
    </w:p>
    <w:p w14:paraId="52DD3551" w14:textId="49ECABE1" w:rsidR="00BD2604" w:rsidRPr="003516DC" w:rsidRDefault="00BD2604" w:rsidP="008D32D6">
      <w:pPr>
        <w:spacing w:after="120"/>
        <w:jc w:val="both"/>
        <w:rPr>
          <w:rFonts w:ascii="Arial" w:hAnsi="Arial" w:cs="Arial"/>
          <w:sz w:val="20"/>
          <w:szCs w:val="20"/>
        </w:rPr>
      </w:pPr>
      <w:r w:rsidRPr="003516DC">
        <w:rPr>
          <w:rFonts w:ascii="Arial" w:hAnsi="Arial" w:cs="Arial"/>
          <w:sz w:val="20"/>
          <w:szCs w:val="20"/>
        </w:rPr>
        <w:t xml:space="preserve">The geographical coverage of MFIs in the JTP territories is presented in Graph </w:t>
      </w:r>
      <w:r w:rsidR="00AC0119">
        <w:rPr>
          <w:rFonts w:ascii="Arial" w:hAnsi="Arial" w:cs="Arial"/>
          <w:sz w:val="20"/>
          <w:szCs w:val="20"/>
        </w:rPr>
        <w:t>61</w:t>
      </w:r>
      <w:r w:rsidRPr="003516DC">
        <w:rPr>
          <w:rFonts w:ascii="Arial" w:hAnsi="Arial" w:cs="Arial"/>
          <w:sz w:val="20"/>
          <w:szCs w:val="20"/>
        </w:rPr>
        <w:t>.  All six EaSI beneficiary banks are represented in all six counties. The large number of MFIs in Hunedoara County is due to the 10 Credit Unions from the Vest Region being located in Hunedoara County and implementing the EaSI guarantee instrument for start-ups.</w:t>
      </w:r>
    </w:p>
    <w:p w14:paraId="0B533906" w14:textId="5ADE5910" w:rsidR="00BD2604" w:rsidRPr="003516DC" w:rsidRDefault="00BD2604" w:rsidP="00BD2604">
      <w:pPr>
        <w:pStyle w:val="Caption"/>
      </w:pPr>
      <w:bookmarkStart w:id="377" w:name="_Toc90727397"/>
      <w:r w:rsidRPr="003516DC">
        <w:lastRenderedPageBreak/>
        <w:t xml:space="preserve">Graph </w:t>
      </w:r>
      <w:r w:rsidRPr="003516DC">
        <w:rPr>
          <w:noProof/>
        </w:rPr>
        <w:fldChar w:fldCharType="begin"/>
      </w:r>
      <w:r w:rsidRPr="003516DC">
        <w:rPr>
          <w:noProof/>
        </w:rPr>
        <w:instrText xml:space="preserve"> SEQ Graph \* ARABIC </w:instrText>
      </w:r>
      <w:r w:rsidRPr="003516DC">
        <w:rPr>
          <w:noProof/>
        </w:rPr>
        <w:fldChar w:fldCharType="separate"/>
      </w:r>
      <w:r w:rsidR="007E5B0B">
        <w:rPr>
          <w:noProof/>
        </w:rPr>
        <w:t>61</w:t>
      </w:r>
      <w:r w:rsidRPr="003516DC">
        <w:rPr>
          <w:noProof/>
        </w:rPr>
        <w:fldChar w:fldCharType="end"/>
      </w:r>
      <w:r w:rsidRPr="003516DC">
        <w:t>: Geographical outreach of microfinance services</w:t>
      </w:r>
      <w:bookmarkEnd w:id="377"/>
    </w:p>
    <w:p w14:paraId="12BF516E" w14:textId="77777777" w:rsidR="00BD2604" w:rsidRPr="003516DC" w:rsidRDefault="00BD2604" w:rsidP="00BD2604">
      <w:pPr>
        <w:rPr>
          <w:rFonts w:ascii="Arial" w:hAnsi="Arial" w:cs="Arial"/>
        </w:rPr>
      </w:pPr>
      <w:r w:rsidRPr="003516DC">
        <w:rPr>
          <w:rFonts w:ascii="Arial" w:hAnsi="Arial" w:cs="Arial"/>
          <w:noProof/>
          <w:lang w:val="en-US" w:eastAsia="en-US"/>
        </w:rPr>
        <w:drawing>
          <wp:inline distT="0" distB="0" distL="0" distR="0" wp14:anchorId="6CF3AFAA" wp14:editId="385792D0">
            <wp:extent cx="5678424" cy="1933575"/>
            <wp:effectExtent l="0" t="0" r="17780" b="9525"/>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p w14:paraId="50A3AFEB" w14:textId="77777777" w:rsidR="00BD2604" w:rsidRPr="003516DC" w:rsidRDefault="00BD2604" w:rsidP="00BD2604">
      <w:pPr>
        <w:rPr>
          <w:rFonts w:ascii="Arial" w:hAnsi="Arial" w:cs="Arial"/>
          <w:i/>
          <w:iCs/>
          <w:sz w:val="16"/>
          <w:szCs w:val="16"/>
        </w:rPr>
      </w:pPr>
      <w:r w:rsidRPr="003516DC">
        <w:rPr>
          <w:rFonts w:ascii="Arial" w:hAnsi="Arial" w:cs="Arial"/>
          <w:i/>
          <w:iCs/>
          <w:sz w:val="16"/>
          <w:szCs w:val="16"/>
        </w:rPr>
        <w:t>Source: Benchmarking the Romanian Microfinance sector 2016-2018 report</w:t>
      </w:r>
    </w:p>
    <w:p w14:paraId="32A0A4BC" w14:textId="77777777" w:rsidR="00BD2604" w:rsidRPr="003516DC" w:rsidRDefault="00BD2604" w:rsidP="00BD2604">
      <w:pPr>
        <w:rPr>
          <w:rFonts w:ascii="Arial" w:hAnsi="Arial" w:cs="Arial"/>
          <w:i/>
          <w:iCs/>
          <w:sz w:val="16"/>
          <w:szCs w:val="16"/>
        </w:rPr>
      </w:pPr>
    </w:p>
    <w:p w14:paraId="57DC9C62" w14:textId="2956781D" w:rsidR="00BD2604" w:rsidRPr="003516DC" w:rsidRDefault="00BD2604" w:rsidP="00BD2604">
      <w:pPr>
        <w:jc w:val="both"/>
        <w:rPr>
          <w:rFonts w:ascii="Arial" w:hAnsi="Arial" w:cs="Arial"/>
          <w:sz w:val="20"/>
          <w:szCs w:val="20"/>
        </w:rPr>
      </w:pPr>
      <w:r w:rsidRPr="003516DC">
        <w:rPr>
          <w:rFonts w:ascii="Arial" w:hAnsi="Arial" w:cs="Arial"/>
          <w:sz w:val="20"/>
          <w:szCs w:val="20"/>
        </w:rPr>
        <w:t>Due to the reluctance of local authorities and business support structures to access financial instruments</w:t>
      </w:r>
      <w:r w:rsidR="006D6BC9">
        <w:rPr>
          <w:rFonts w:ascii="Arial" w:hAnsi="Arial" w:cs="Arial"/>
          <w:sz w:val="20"/>
          <w:szCs w:val="20"/>
        </w:rPr>
        <w:t>,</w:t>
      </w:r>
      <w:r w:rsidRPr="003516DC">
        <w:rPr>
          <w:rFonts w:ascii="Arial" w:hAnsi="Arial" w:cs="Arial"/>
          <w:sz w:val="20"/>
          <w:szCs w:val="20"/>
        </w:rPr>
        <w:t xml:space="preserve"> e.g.</w:t>
      </w:r>
      <w:r w:rsidR="006D6BC9">
        <w:rPr>
          <w:rFonts w:ascii="Arial" w:hAnsi="Arial" w:cs="Arial"/>
          <w:sz w:val="20"/>
          <w:szCs w:val="20"/>
        </w:rPr>
        <w:t>,</w:t>
      </w:r>
      <w:r w:rsidRPr="003516DC">
        <w:rPr>
          <w:rFonts w:ascii="Arial" w:hAnsi="Arial" w:cs="Arial"/>
          <w:sz w:val="20"/>
          <w:szCs w:val="20"/>
        </w:rPr>
        <w:t xml:space="preserve"> resources made available under Pi</w:t>
      </w:r>
      <w:r w:rsidR="006D6BC9">
        <w:rPr>
          <w:rFonts w:ascii="Arial" w:hAnsi="Arial" w:cs="Arial"/>
          <w:sz w:val="20"/>
          <w:szCs w:val="20"/>
        </w:rPr>
        <w:t>l</w:t>
      </w:r>
      <w:r w:rsidRPr="003516DC">
        <w:rPr>
          <w:rFonts w:ascii="Arial" w:hAnsi="Arial" w:cs="Arial"/>
          <w:sz w:val="20"/>
          <w:szCs w:val="20"/>
        </w:rPr>
        <w:t>lar</w:t>
      </w:r>
      <w:r w:rsidR="006D6BC9">
        <w:rPr>
          <w:rFonts w:ascii="Arial" w:hAnsi="Arial" w:cs="Arial"/>
          <w:sz w:val="20"/>
          <w:szCs w:val="20"/>
        </w:rPr>
        <w:t>s</w:t>
      </w:r>
      <w:r w:rsidRPr="003516DC">
        <w:rPr>
          <w:rFonts w:ascii="Arial" w:hAnsi="Arial" w:cs="Arial"/>
          <w:sz w:val="20"/>
          <w:szCs w:val="20"/>
        </w:rPr>
        <w:t xml:space="preserve"> 2 and 3, the experience of the microfinance sector in access</w:t>
      </w:r>
      <w:r w:rsidR="006D6BC9">
        <w:rPr>
          <w:rFonts w:ascii="Arial" w:hAnsi="Arial" w:cs="Arial"/>
          <w:sz w:val="20"/>
          <w:szCs w:val="20"/>
        </w:rPr>
        <w:t>ing</w:t>
      </w:r>
      <w:r w:rsidRPr="003516DC">
        <w:rPr>
          <w:rFonts w:ascii="Arial" w:hAnsi="Arial" w:cs="Arial"/>
          <w:sz w:val="20"/>
          <w:szCs w:val="20"/>
        </w:rPr>
        <w:t xml:space="preserve"> and implement</w:t>
      </w:r>
      <w:r w:rsidR="006D6BC9">
        <w:rPr>
          <w:rFonts w:ascii="Arial" w:hAnsi="Arial" w:cs="Arial"/>
          <w:sz w:val="20"/>
          <w:szCs w:val="20"/>
        </w:rPr>
        <w:t>ing</w:t>
      </w:r>
      <w:r w:rsidRPr="003516DC">
        <w:rPr>
          <w:rFonts w:ascii="Arial" w:hAnsi="Arial" w:cs="Arial"/>
          <w:sz w:val="20"/>
          <w:szCs w:val="20"/>
        </w:rPr>
        <w:t xml:space="preserve"> financial instruments, which have a leverage effect of 1:5, indicate that SME banks and MFIs are valuable partners in enabling access to financial resources for start-ups and micro/small companies during the economic diversification process. </w:t>
      </w:r>
    </w:p>
    <w:p w14:paraId="45683E82" w14:textId="77777777" w:rsidR="00BD2604" w:rsidRPr="003516DC" w:rsidRDefault="00BD2604" w:rsidP="00E42342">
      <w:pPr>
        <w:pStyle w:val="Heading2"/>
        <w:numPr>
          <w:ilvl w:val="0"/>
          <w:numId w:val="183"/>
        </w:numPr>
      </w:pPr>
      <w:bookmarkStart w:id="378" w:name="_Toc90725915"/>
      <w:r w:rsidRPr="000A323F">
        <w:t xml:space="preserve">Types of </w:t>
      </w:r>
      <w:r>
        <w:t>f</w:t>
      </w:r>
      <w:r w:rsidRPr="000A323F">
        <w:t xml:space="preserve">inancial </w:t>
      </w:r>
      <w:r>
        <w:t>i</w:t>
      </w:r>
      <w:r w:rsidRPr="000A323F">
        <w:t xml:space="preserve">nstruments </w:t>
      </w:r>
      <w:r>
        <w:t>t</w:t>
      </w:r>
      <w:r w:rsidRPr="000A323F">
        <w:t xml:space="preserve">hat </w:t>
      </w:r>
      <w:r>
        <w:t>c</w:t>
      </w:r>
      <w:r w:rsidRPr="000A323F">
        <w:t xml:space="preserve">an </w:t>
      </w:r>
      <w:r>
        <w:t>b</w:t>
      </w:r>
      <w:r w:rsidRPr="000A323F">
        <w:t xml:space="preserve">e </w:t>
      </w:r>
      <w:r>
        <w:t>d</w:t>
      </w:r>
      <w:r w:rsidRPr="000A323F">
        <w:t xml:space="preserve">eveloped in the </w:t>
      </w:r>
      <w:r>
        <w:t>s</w:t>
      </w:r>
      <w:r w:rsidRPr="000A323F">
        <w:t xml:space="preserve">ix </w:t>
      </w:r>
      <w:r>
        <w:t>a</w:t>
      </w:r>
      <w:r w:rsidRPr="000A323F">
        <w:t xml:space="preserve">ffected </w:t>
      </w:r>
      <w:r>
        <w:t>r</w:t>
      </w:r>
      <w:r w:rsidRPr="000A323F">
        <w:t>egions</w:t>
      </w:r>
      <w:bookmarkEnd w:id="378"/>
      <w:r w:rsidRPr="000A323F">
        <w:t xml:space="preserve"> </w:t>
      </w:r>
    </w:p>
    <w:p w14:paraId="77B1FC5D" w14:textId="54C4E867" w:rsidR="00BD2604" w:rsidRPr="008D32D6" w:rsidRDefault="00BD2604" w:rsidP="008D32D6">
      <w:pPr>
        <w:spacing w:after="120"/>
        <w:jc w:val="both"/>
        <w:rPr>
          <w:rFonts w:ascii="Arial" w:hAnsi="Arial" w:cs="Arial"/>
          <w:b/>
          <w:sz w:val="20"/>
          <w:szCs w:val="20"/>
        </w:rPr>
      </w:pPr>
      <w:r w:rsidRPr="00402580">
        <w:rPr>
          <w:rFonts w:ascii="Arial" w:hAnsi="Arial" w:cs="Arial"/>
          <w:b/>
          <w:sz w:val="20"/>
          <w:szCs w:val="20"/>
        </w:rPr>
        <w:t>Loans</w:t>
      </w:r>
    </w:p>
    <w:p w14:paraId="588E32AD" w14:textId="16DDC46B"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Based on assessing the high performance of recently deployed financial instruments (e.g.</w:t>
      </w:r>
      <w:r w:rsidR="00291DCB">
        <w:rPr>
          <w:rFonts w:ascii="Arial" w:hAnsi="Arial" w:cs="Arial"/>
          <w:sz w:val="20"/>
          <w:szCs w:val="20"/>
        </w:rPr>
        <w:t>,</w:t>
      </w:r>
      <w:r w:rsidRPr="008444F9">
        <w:rPr>
          <w:rFonts w:ascii="Arial" w:hAnsi="Arial" w:cs="Arial"/>
          <w:sz w:val="20"/>
          <w:szCs w:val="20"/>
        </w:rPr>
        <w:t xml:space="preserve"> IMM Invest) and on the interviews we performed with stakeholders involved in capital disbursement, given the level of entrepreneurial development of the six affected regions, loans seem to be the preferred financial instrument for raising capital to successfully implement the TJTPs. However, contrary to </w:t>
      </w:r>
      <w:r w:rsidR="00291DCB">
        <w:rPr>
          <w:rFonts w:ascii="Arial" w:hAnsi="Arial" w:cs="Arial"/>
          <w:sz w:val="20"/>
          <w:szCs w:val="20"/>
        </w:rPr>
        <w:t xml:space="preserve">the </w:t>
      </w:r>
      <w:r w:rsidRPr="008444F9">
        <w:rPr>
          <w:rFonts w:ascii="Arial" w:hAnsi="Arial" w:cs="Arial"/>
          <w:sz w:val="20"/>
          <w:szCs w:val="20"/>
        </w:rPr>
        <w:t>popular opinion that financial instruments should be faster to implement than grants, because the process of elaboration, negotiation, signing and adoption of financial instruments at the level of European and national central institutions</w:t>
      </w:r>
      <w:r w:rsidR="00291DCB">
        <w:rPr>
          <w:rFonts w:ascii="Arial" w:hAnsi="Arial" w:cs="Arial"/>
          <w:sz w:val="20"/>
          <w:szCs w:val="20"/>
        </w:rPr>
        <w:t>, loans are</w:t>
      </w:r>
      <w:r w:rsidRPr="008444F9">
        <w:rPr>
          <w:rFonts w:ascii="Arial" w:hAnsi="Arial" w:cs="Arial"/>
          <w:sz w:val="20"/>
          <w:szCs w:val="20"/>
        </w:rPr>
        <w:t xml:space="preserve"> also a lengthy </w:t>
      </w:r>
      <w:r w:rsidR="00291DCB">
        <w:rPr>
          <w:rFonts w:ascii="Arial" w:hAnsi="Arial" w:cs="Arial"/>
          <w:sz w:val="20"/>
          <w:szCs w:val="20"/>
        </w:rPr>
        <w:t>process</w:t>
      </w:r>
      <w:r w:rsidRPr="008444F9">
        <w:rPr>
          <w:rFonts w:ascii="Arial" w:hAnsi="Arial" w:cs="Arial"/>
          <w:sz w:val="20"/>
          <w:szCs w:val="20"/>
        </w:rPr>
        <w:t xml:space="preserve">. </w:t>
      </w:r>
    </w:p>
    <w:p w14:paraId="093663DE" w14:textId="73561F50"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 xml:space="preserve">It is important that the loan-shaped financial instruments lead not only to reductions in the interest rate but especially to reductions in the collateral asked </w:t>
      </w:r>
      <w:r w:rsidR="00291DCB">
        <w:rPr>
          <w:rFonts w:ascii="Arial" w:hAnsi="Arial" w:cs="Arial"/>
          <w:sz w:val="20"/>
          <w:szCs w:val="20"/>
        </w:rPr>
        <w:t xml:space="preserve">for </w:t>
      </w:r>
      <w:r w:rsidRPr="008444F9">
        <w:rPr>
          <w:rFonts w:ascii="Arial" w:hAnsi="Arial" w:cs="Arial"/>
          <w:sz w:val="20"/>
          <w:szCs w:val="20"/>
        </w:rPr>
        <w:t xml:space="preserve">by the commercial banks to engage in such loan-based funding in the six affected regions. This opinion is shared by stakeholders across the board, that the primary role of financial instruments in the six affected regions should be to reduce collateral requirements for SMEs. </w:t>
      </w:r>
    </w:p>
    <w:p w14:paraId="0DEF29D5" w14:textId="49FC4090" w:rsidR="00BD2604" w:rsidRPr="008D32D6" w:rsidRDefault="00BD2604" w:rsidP="008D32D6">
      <w:pPr>
        <w:spacing w:after="120"/>
        <w:jc w:val="both"/>
        <w:rPr>
          <w:rFonts w:ascii="Arial" w:hAnsi="Arial" w:cs="Arial"/>
          <w:b/>
          <w:sz w:val="20"/>
          <w:szCs w:val="20"/>
        </w:rPr>
      </w:pPr>
      <w:r w:rsidRPr="00402580">
        <w:rPr>
          <w:rFonts w:ascii="Arial" w:hAnsi="Arial" w:cs="Arial"/>
          <w:b/>
          <w:sz w:val="20"/>
          <w:szCs w:val="20"/>
        </w:rPr>
        <w:t>Mix Grant + Loan</w:t>
      </w:r>
    </w:p>
    <w:p w14:paraId="366F915D" w14:textId="1A2DBBC8" w:rsidR="00BD2604" w:rsidRPr="008D32D6" w:rsidRDefault="00BD2604" w:rsidP="008D32D6">
      <w:pPr>
        <w:spacing w:after="120"/>
        <w:jc w:val="both"/>
        <w:rPr>
          <w:rFonts w:ascii="Arial" w:hAnsi="Arial" w:cs="Arial"/>
          <w:sz w:val="20"/>
          <w:szCs w:val="20"/>
          <w:lang w:val="ro-RO"/>
        </w:rPr>
      </w:pPr>
      <w:r w:rsidRPr="008444F9">
        <w:rPr>
          <w:rFonts w:ascii="Arial" w:hAnsi="Arial" w:cs="Arial"/>
          <w:sz w:val="20"/>
          <w:szCs w:val="20"/>
        </w:rPr>
        <w:t xml:space="preserve">Blended finance (grants plus loans) seems to be one of the most </w:t>
      </w:r>
      <w:r w:rsidR="00291DCB" w:rsidRPr="008444F9">
        <w:rPr>
          <w:rFonts w:ascii="Arial" w:hAnsi="Arial" w:cs="Arial"/>
          <w:sz w:val="20"/>
          <w:szCs w:val="20"/>
        </w:rPr>
        <w:t>sought-after</w:t>
      </w:r>
      <w:r w:rsidRPr="008444F9">
        <w:rPr>
          <w:rFonts w:ascii="Arial" w:hAnsi="Arial" w:cs="Arial"/>
          <w:sz w:val="20"/>
          <w:szCs w:val="20"/>
        </w:rPr>
        <w:t xml:space="preserve"> formulas. Such a system is well suited to reward performance. In this respect, ROSEFF (Romanian Sustainable Enegy Financing Facility) is quoted by market players (SMEs and commercial banks) as being the ideal model to be replicated – to perform energy efficiency/sustainable energy related investments, SMEs were under ROSEFF </w:t>
      </w:r>
      <w:r w:rsidR="00291DCB">
        <w:rPr>
          <w:rFonts w:ascii="Arial" w:hAnsi="Arial" w:cs="Arial"/>
          <w:sz w:val="20"/>
          <w:szCs w:val="20"/>
        </w:rPr>
        <w:t xml:space="preserve">received </w:t>
      </w:r>
      <w:r w:rsidRPr="008444F9">
        <w:rPr>
          <w:rFonts w:ascii="Arial" w:hAnsi="Arial" w:cs="Arial"/>
          <w:sz w:val="20"/>
          <w:szCs w:val="20"/>
        </w:rPr>
        <w:t xml:space="preserve">a loan offered by a commercial bank (under an EBRD umbrella) and could recover up to 15% of the loan at the end of the implementation timeline if certain KPIs were met. This cash back instrument was doubled as well by technical assistance for the beneficiaries, particularly on equipment purchases. Given the availability of InvestEU financing instruments in other, more attractive regions in Romania and given the availability of financial instruments with a similar scope in RRP, it is believed that </w:t>
      </w:r>
      <w:r w:rsidR="00291DCB">
        <w:rPr>
          <w:rFonts w:ascii="Arial" w:hAnsi="Arial" w:cs="Arial"/>
          <w:sz w:val="20"/>
          <w:szCs w:val="20"/>
        </w:rPr>
        <w:t xml:space="preserve">not </w:t>
      </w:r>
      <w:r w:rsidRPr="008444F9">
        <w:rPr>
          <w:rFonts w:ascii="Arial" w:hAnsi="Arial" w:cs="Arial"/>
          <w:sz w:val="20"/>
          <w:szCs w:val="20"/>
        </w:rPr>
        <w:t xml:space="preserve">only </w:t>
      </w:r>
      <w:r w:rsidR="00291DCB">
        <w:rPr>
          <w:rFonts w:ascii="Arial" w:hAnsi="Arial" w:cs="Arial"/>
          <w:sz w:val="20"/>
          <w:szCs w:val="20"/>
        </w:rPr>
        <w:t xml:space="preserve">can </w:t>
      </w:r>
      <w:r w:rsidRPr="008444F9">
        <w:rPr>
          <w:rFonts w:ascii="Arial" w:hAnsi="Arial" w:cs="Arial"/>
          <w:sz w:val="20"/>
          <w:szCs w:val="20"/>
        </w:rPr>
        <w:t>such a blended finance instrument reach</w:t>
      </w:r>
      <w:r w:rsidR="00792049">
        <w:rPr>
          <w:rFonts w:ascii="Arial" w:hAnsi="Arial" w:cs="Arial"/>
          <w:sz w:val="20"/>
          <w:szCs w:val="20"/>
        </w:rPr>
        <w:t>e</w:t>
      </w:r>
      <w:r w:rsidRPr="008444F9">
        <w:rPr>
          <w:rFonts w:ascii="Arial" w:hAnsi="Arial" w:cs="Arial"/>
          <w:sz w:val="20"/>
          <w:szCs w:val="20"/>
        </w:rPr>
        <w:t xml:space="preserve"> beneficiaries in affected regions and be attractive, </w:t>
      </w:r>
      <w:r w:rsidR="00291DCB">
        <w:rPr>
          <w:rFonts w:ascii="Arial" w:hAnsi="Arial" w:cs="Arial"/>
          <w:sz w:val="20"/>
          <w:szCs w:val="20"/>
        </w:rPr>
        <w:t>it can</w:t>
      </w:r>
      <w:r w:rsidRPr="008444F9">
        <w:rPr>
          <w:rFonts w:ascii="Arial" w:hAnsi="Arial" w:cs="Arial"/>
          <w:sz w:val="20"/>
          <w:szCs w:val="20"/>
        </w:rPr>
        <w:t xml:space="preserve"> avoid crowding out/cannibali</w:t>
      </w:r>
      <w:r w:rsidR="004E7B64">
        <w:rPr>
          <w:rFonts w:ascii="Arial" w:hAnsi="Arial" w:cs="Arial"/>
          <w:sz w:val="20"/>
          <w:szCs w:val="20"/>
        </w:rPr>
        <w:t>sation</w:t>
      </w:r>
      <w:r w:rsidRPr="008444F9">
        <w:rPr>
          <w:rFonts w:ascii="Arial" w:hAnsi="Arial" w:cs="Arial"/>
          <w:sz w:val="20"/>
          <w:szCs w:val="20"/>
        </w:rPr>
        <w:t xml:space="preserve"> </w:t>
      </w:r>
      <w:r w:rsidR="00291DCB">
        <w:rPr>
          <w:rFonts w:ascii="Arial" w:hAnsi="Arial" w:cs="Arial"/>
          <w:sz w:val="20"/>
          <w:szCs w:val="20"/>
        </w:rPr>
        <w:t>of</w:t>
      </w:r>
      <w:r w:rsidRPr="008444F9">
        <w:rPr>
          <w:rFonts w:ascii="Arial" w:hAnsi="Arial" w:cs="Arial"/>
          <w:sz w:val="20"/>
          <w:szCs w:val="20"/>
        </w:rPr>
        <w:t xml:space="preserve"> other financial instruments. </w:t>
      </w:r>
    </w:p>
    <w:p w14:paraId="389AE6F4" w14:textId="2858328F" w:rsidR="00BD2604" w:rsidRPr="008D32D6" w:rsidRDefault="00BD2604" w:rsidP="008D32D6">
      <w:pPr>
        <w:spacing w:after="120"/>
        <w:jc w:val="both"/>
        <w:rPr>
          <w:rFonts w:ascii="Arial" w:hAnsi="Arial" w:cs="Arial"/>
          <w:b/>
          <w:sz w:val="20"/>
          <w:szCs w:val="20"/>
        </w:rPr>
      </w:pPr>
      <w:r w:rsidRPr="00402580">
        <w:rPr>
          <w:rFonts w:ascii="Arial" w:hAnsi="Arial" w:cs="Arial"/>
          <w:b/>
          <w:sz w:val="20"/>
          <w:szCs w:val="20"/>
        </w:rPr>
        <w:t>Equity</w:t>
      </w:r>
    </w:p>
    <w:p w14:paraId="37137130" w14:textId="5A986559"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Historically, EU-backed financial instruments deployed in Romania have focused on loans/guarantees</w:t>
      </w:r>
      <w:r w:rsidR="00291DCB">
        <w:rPr>
          <w:rFonts w:ascii="Arial" w:hAnsi="Arial" w:cs="Arial"/>
          <w:sz w:val="20"/>
          <w:szCs w:val="20"/>
        </w:rPr>
        <w:t>,</w:t>
      </w:r>
      <w:r w:rsidRPr="008444F9">
        <w:rPr>
          <w:rFonts w:ascii="Arial" w:hAnsi="Arial" w:cs="Arial"/>
          <w:sz w:val="20"/>
          <w:szCs w:val="20"/>
        </w:rPr>
        <w:t xml:space="preserve"> and it is believed that equity-type financial instruments are not in demand in the six affected regions and there is </w:t>
      </w:r>
      <w:r w:rsidR="00291DCB">
        <w:rPr>
          <w:rFonts w:ascii="Arial" w:hAnsi="Arial" w:cs="Arial"/>
          <w:sz w:val="20"/>
          <w:szCs w:val="20"/>
        </w:rPr>
        <w:t xml:space="preserve">also </w:t>
      </w:r>
      <w:r w:rsidRPr="008444F9">
        <w:rPr>
          <w:rFonts w:ascii="Arial" w:hAnsi="Arial" w:cs="Arial"/>
          <w:sz w:val="20"/>
          <w:szCs w:val="20"/>
        </w:rPr>
        <w:t xml:space="preserve">little capacity </w:t>
      </w:r>
      <w:r w:rsidR="00291DCB">
        <w:rPr>
          <w:rFonts w:ascii="Arial" w:hAnsi="Arial" w:cs="Arial"/>
          <w:sz w:val="20"/>
          <w:szCs w:val="20"/>
        </w:rPr>
        <w:t>to</w:t>
      </w:r>
      <w:r w:rsidRPr="008444F9">
        <w:rPr>
          <w:rFonts w:ascii="Arial" w:hAnsi="Arial" w:cs="Arial"/>
          <w:sz w:val="20"/>
          <w:szCs w:val="20"/>
        </w:rPr>
        <w:t xml:space="preserve"> implement them. To develop a market for equity, mezannine and similar products, an ecosystem of intermediaries, hubs and investors must be created. Still, the positive </w:t>
      </w:r>
      <w:r w:rsidRPr="008444F9">
        <w:rPr>
          <w:rFonts w:ascii="Arial" w:hAnsi="Arial" w:cs="Arial"/>
          <w:sz w:val="20"/>
          <w:szCs w:val="20"/>
        </w:rPr>
        <w:lastRenderedPageBreak/>
        <w:t>experience of GapMinder</w:t>
      </w:r>
      <w:r w:rsidRPr="008444F9">
        <w:rPr>
          <w:rStyle w:val="FootnoteReference"/>
          <w:rFonts w:ascii="Arial" w:hAnsi="Arial" w:cs="Arial"/>
          <w:sz w:val="20"/>
          <w:szCs w:val="20"/>
        </w:rPr>
        <w:footnoteReference w:id="164"/>
      </w:r>
      <w:r w:rsidRPr="008444F9">
        <w:rPr>
          <w:rFonts w:ascii="Arial" w:hAnsi="Arial" w:cs="Arial"/>
          <w:sz w:val="20"/>
          <w:szCs w:val="20"/>
        </w:rPr>
        <w:t xml:space="preserve"> in the local tech entrepreneurship ecosystem is being advocated by local stakeholders as an argument for the creation of a similarly functioning, green tech oriented financial vehicle, to operate in all six affected regions and ensure cross-pollination between them. Very importantly however, such a fund cannot work unless the incubated start-ups are supported in their learning and growth journey by patient, grant-based capital to be deployed from Pillar 1. Traditionally, existing local (larger) businesses, in steady growth industries (e.g.: manufacturing) are reluctant to become involved in equity shared arrangements, which nonetheless can be an alternative for earlier stage, particularly higher-tech and green tech start-ups (pre-seed, seed and series A). </w:t>
      </w:r>
    </w:p>
    <w:p w14:paraId="50790712" w14:textId="2374F986"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 xml:space="preserve">The opportunity remains for the OPJT to innovate with equity-based local instruments/instruments, which follow a distinct </w:t>
      </w:r>
      <w:r w:rsidR="00291DCB">
        <w:rPr>
          <w:rFonts w:ascii="Arial" w:hAnsi="Arial" w:cs="Arial"/>
          <w:sz w:val="20"/>
          <w:szCs w:val="20"/>
        </w:rPr>
        <w:t>path</w:t>
      </w:r>
      <w:r w:rsidRPr="008444F9">
        <w:rPr>
          <w:rFonts w:ascii="Arial" w:hAnsi="Arial" w:cs="Arial"/>
          <w:sz w:val="20"/>
          <w:szCs w:val="20"/>
        </w:rPr>
        <w:t xml:space="preserve"> than centrally managed ones, building on the experience in equity instruments from 2014–2020 (OP Competitiveness and Regional OP).</w:t>
      </w:r>
    </w:p>
    <w:p w14:paraId="023624D8" w14:textId="59955CA0" w:rsidR="00BD2604" w:rsidRPr="008D32D6" w:rsidRDefault="00BD2604" w:rsidP="008D32D6">
      <w:pPr>
        <w:spacing w:after="120"/>
        <w:jc w:val="both"/>
        <w:rPr>
          <w:rFonts w:ascii="Arial" w:hAnsi="Arial" w:cs="Arial"/>
          <w:b/>
          <w:sz w:val="20"/>
          <w:szCs w:val="20"/>
        </w:rPr>
      </w:pPr>
      <w:r w:rsidRPr="00402580">
        <w:rPr>
          <w:rFonts w:ascii="Arial" w:hAnsi="Arial" w:cs="Arial"/>
          <w:b/>
          <w:sz w:val="20"/>
          <w:szCs w:val="20"/>
        </w:rPr>
        <w:t>Crowdfunding</w:t>
      </w:r>
    </w:p>
    <w:p w14:paraId="3B12D343" w14:textId="6789986F" w:rsidR="00BD2604" w:rsidRPr="008444F9" w:rsidRDefault="00BD2604" w:rsidP="008D32D6">
      <w:pPr>
        <w:spacing w:after="120"/>
        <w:jc w:val="both"/>
        <w:rPr>
          <w:rFonts w:ascii="Arial" w:hAnsi="Arial" w:cs="Arial"/>
          <w:sz w:val="20"/>
          <w:szCs w:val="20"/>
        </w:rPr>
      </w:pPr>
      <w:r w:rsidRPr="008444F9">
        <w:rPr>
          <w:rFonts w:ascii="Arial" w:hAnsi="Arial" w:cs="Arial"/>
          <w:sz w:val="20"/>
          <w:szCs w:val="20"/>
        </w:rPr>
        <w:t xml:space="preserve">Mentioned by several actors as being a novel and promising alternative financing instrument, </w:t>
      </w:r>
      <w:r w:rsidR="00291DCB">
        <w:rPr>
          <w:rFonts w:ascii="Arial" w:hAnsi="Arial" w:cs="Arial"/>
          <w:sz w:val="20"/>
          <w:szCs w:val="20"/>
        </w:rPr>
        <w:t xml:space="preserve">and </w:t>
      </w:r>
      <w:r w:rsidRPr="008444F9">
        <w:rPr>
          <w:rFonts w:ascii="Arial" w:hAnsi="Arial" w:cs="Arial"/>
          <w:sz w:val="20"/>
          <w:szCs w:val="20"/>
        </w:rPr>
        <w:t>also given the pathways towards more clear regulation in this area, crowdfunding (</w:t>
      </w:r>
      <w:r w:rsidR="00FF68F2">
        <w:rPr>
          <w:rFonts w:ascii="Arial" w:hAnsi="Arial" w:cs="Arial"/>
          <w:sz w:val="20"/>
          <w:szCs w:val="20"/>
        </w:rPr>
        <w:t>taking</w:t>
      </w:r>
      <w:r w:rsidR="00FF68F2" w:rsidRPr="008444F9">
        <w:rPr>
          <w:rFonts w:ascii="Arial" w:hAnsi="Arial" w:cs="Arial"/>
          <w:sz w:val="20"/>
          <w:szCs w:val="20"/>
        </w:rPr>
        <w:t xml:space="preserve"> </w:t>
      </w:r>
      <w:r w:rsidRPr="008444F9">
        <w:rPr>
          <w:rFonts w:ascii="Arial" w:hAnsi="Arial" w:cs="Arial"/>
          <w:sz w:val="20"/>
          <w:szCs w:val="20"/>
        </w:rPr>
        <w:t>into account the unexpected success of platforms like Seedblink and Consolid8) can represent an interesting ingredient in blended financial instruments/Pillar 2 arrangements.</w:t>
      </w:r>
    </w:p>
    <w:p w14:paraId="0D77ADA0" w14:textId="2E85D35C" w:rsidR="00BD2604" w:rsidRPr="008D32D6" w:rsidRDefault="00BD2604" w:rsidP="008D32D6">
      <w:pPr>
        <w:spacing w:after="120"/>
        <w:jc w:val="both"/>
        <w:rPr>
          <w:rFonts w:ascii="Arial" w:hAnsi="Arial" w:cs="Arial"/>
          <w:b/>
          <w:sz w:val="20"/>
          <w:szCs w:val="20"/>
        </w:rPr>
      </w:pPr>
      <w:r w:rsidRPr="00402580">
        <w:rPr>
          <w:rFonts w:ascii="Arial" w:hAnsi="Arial" w:cs="Arial"/>
          <w:b/>
          <w:sz w:val="20"/>
          <w:szCs w:val="20"/>
        </w:rPr>
        <w:t>Exogenous Investments (FDI, etc.)</w:t>
      </w:r>
    </w:p>
    <w:p w14:paraId="76015CDD" w14:textId="24A9BDAE" w:rsidR="00E534CF" w:rsidRPr="00792049" w:rsidRDefault="00BD2604" w:rsidP="00792049">
      <w:pPr>
        <w:spacing w:after="120"/>
        <w:jc w:val="both"/>
        <w:rPr>
          <w:rFonts w:ascii="Arial" w:hAnsi="Arial" w:cs="Arial"/>
          <w:sz w:val="20"/>
          <w:szCs w:val="20"/>
        </w:rPr>
      </w:pPr>
      <w:r w:rsidRPr="008444F9">
        <w:rPr>
          <w:rFonts w:ascii="Arial" w:hAnsi="Arial" w:cs="Arial"/>
          <w:sz w:val="20"/>
          <w:szCs w:val="20"/>
        </w:rPr>
        <w:t xml:space="preserve">Given the low level of business sector development in the six affected regions, it is important that policy makers at </w:t>
      </w:r>
      <w:r w:rsidR="000346A7">
        <w:rPr>
          <w:rFonts w:ascii="Arial" w:hAnsi="Arial" w:cs="Arial"/>
          <w:sz w:val="20"/>
          <w:szCs w:val="20"/>
        </w:rPr>
        <w:t xml:space="preserve">the </w:t>
      </w:r>
      <w:r w:rsidRPr="008444F9">
        <w:rPr>
          <w:rFonts w:ascii="Arial" w:hAnsi="Arial" w:cs="Arial"/>
          <w:sz w:val="20"/>
          <w:szCs w:val="20"/>
        </w:rPr>
        <w:t>central level (e.g.</w:t>
      </w:r>
      <w:r w:rsidR="000346A7">
        <w:rPr>
          <w:rFonts w:ascii="Arial" w:hAnsi="Arial" w:cs="Arial"/>
          <w:sz w:val="20"/>
          <w:szCs w:val="20"/>
        </w:rPr>
        <w:t>,</w:t>
      </w:r>
      <w:r w:rsidRPr="008444F9">
        <w:rPr>
          <w:rFonts w:ascii="Arial" w:hAnsi="Arial" w:cs="Arial"/>
          <w:sz w:val="20"/>
          <w:szCs w:val="20"/>
        </w:rPr>
        <w:t xml:space="preserve"> Prime Minister’s Office, Ministry of Economy, Ministry of Energy, etc.) become involved in supporting the JTM opportunities vis-à-vis large investors that can potentially be attracted from other regions in Romania or from abroad to deploy large-scale investments in these countries. A specific area to be seriously investigated, particularly in Gorj and/or Dolj, is supporting the creation of a large battery production facility, </w:t>
      </w:r>
      <w:r w:rsidR="003621A3">
        <w:rPr>
          <w:rFonts w:ascii="Arial" w:hAnsi="Arial" w:cs="Arial"/>
          <w:sz w:val="20"/>
          <w:szCs w:val="20"/>
        </w:rPr>
        <w:t>taking</w:t>
      </w:r>
      <w:r w:rsidR="003621A3" w:rsidRPr="008444F9">
        <w:rPr>
          <w:rFonts w:ascii="Arial" w:hAnsi="Arial" w:cs="Arial"/>
          <w:sz w:val="20"/>
          <w:szCs w:val="20"/>
        </w:rPr>
        <w:t xml:space="preserve"> </w:t>
      </w:r>
      <w:r w:rsidRPr="008444F9">
        <w:rPr>
          <w:rFonts w:ascii="Arial" w:hAnsi="Arial" w:cs="Arial"/>
          <w:sz w:val="20"/>
          <w:szCs w:val="20"/>
        </w:rPr>
        <w:t>into account access to speciali</w:t>
      </w:r>
      <w:r w:rsidR="000346A7">
        <w:rPr>
          <w:rFonts w:ascii="Arial" w:hAnsi="Arial" w:cs="Arial"/>
          <w:sz w:val="20"/>
          <w:szCs w:val="20"/>
        </w:rPr>
        <w:t>s</w:t>
      </w:r>
      <w:r w:rsidRPr="008444F9">
        <w:rPr>
          <w:rFonts w:ascii="Arial" w:hAnsi="Arial" w:cs="Arial"/>
          <w:sz w:val="20"/>
          <w:szCs w:val="20"/>
        </w:rPr>
        <w:t>ed engineering skills in these regions and the post-coal legacy. It is estimated that by 2030</w:t>
      </w:r>
      <w:r w:rsidR="000346A7">
        <w:rPr>
          <w:rFonts w:ascii="Arial" w:hAnsi="Arial" w:cs="Arial"/>
          <w:sz w:val="20"/>
          <w:szCs w:val="20"/>
        </w:rPr>
        <w:t>,</w:t>
      </w:r>
      <w:r w:rsidRPr="008444F9">
        <w:rPr>
          <w:rFonts w:ascii="Arial" w:hAnsi="Arial" w:cs="Arial"/>
          <w:sz w:val="20"/>
          <w:szCs w:val="20"/>
        </w:rPr>
        <w:t xml:space="preserve"> the European EV battery market will be worth EUR 250 million/year</w:t>
      </w:r>
      <w:r w:rsidR="000346A7">
        <w:rPr>
          <w:rFonts w:ascii="Arial" w:hAnsi="Arial" w:cs="Arial"/>
          <w:sz w:val="20"/>
          <w:szCs w:val="20"/>
        </w:rPr>
        <w:t>,</w:t>
      </w:r>
      <w:r w:rsidRPr="008444F9">
        <w:rPr>
          <w:rFonts w:ascii="Arial" w:hAnsi="Arial" w:cs="Arial"/>
          <w:sz w:val="20"/>
          <w:szCs w:val="20"/>
        </w:rPr>
        <w:t xml:space="preserve"> and by 2030</w:t>
      </w:r>
      <w:r w:rsidR="000346A7">
        <w:rPr>
          <w:rFonts w:ascii="Arial" w:hAnsi="Arial" w:cs="Arial"/>
          <w:sz w:val="20"/>
          <w:szCs w:val="20"/>
        </w:rPr>
        <w:t>,</w:t>
      </w:r>
      <w:r w:rsidRPr="008444F9">
        <w:rPr>
          <w:rFonts w:ascii="Arial" w:hAnsi="Arial" w:cs="Arial"/>
          <w:sz w:val="20"/>
          <w:szCs w:val="20"/>
        </w:rPr>
        <w:t xml:space="preserve"> 50% of all EU vehicles may be battery-powered. This may lead to a battery demand in the EU of 1,200 Gigawatts per year. JTM funds should be leveraged in Romania, particularly in Dolj or Gorj (both located in proximity of local automotive producers Ford and Renault), for the development of the EV battery value chain. The success stories of the battery mega factories in Hungary is a good practice example that can and should be implemented in Romania as well. </w:t>
      </w:r>
    </w:p>
    <w:p w14:paraId="3EEE525C" w14:textId="4322A213" w:rsidR="00BD2604" w:rsidRPr="00792049" w:rsidRDefault="00BD2604" w:rsidP="00642014">
      <w:pPr>
        <w:pStyle w:val="Heading1"/>
        <w:numPr>
          <w:ilvl w:val="0"/>
          <w:numId w:val="110"/>
        </w:numPr>
        <w:spacing w:before="240"/>
        <w:ind w:left="562" w:hanging="562"/>
        <w:rPr>
          <w:color w:val="4F81BD" w:themeColor="accent1"/>
        </w:rPr>
      </w:pPr>
      <w:bookmarkStart w:id="379" w:name="_Toc90725916"/>
      <w:r w:rsidRPr="00792049">
        <w:rPr>
          <w:color w:val="4F81BD" w:themeColor="accent1"/>
        </w:rPr>
        <w:t xml:space="preserve">High-level Assessment of the Project Ideas </w:t>
      </w:r>
      <w:r w:rsidR="00012CCA" w:rsidRPr="00792049">
        <w:rPr>
          <w:color w:val="4F81BD" w:themeColor="accent1"/>
        </w:rPr>
        <w:t>for JTF Funding collected from stakeholders</w:t>
      </w:r>
      <w:r w:rsidRPr="00792049">
        <w:rPr>
          <w:color w:val="4F81BD" w:themeColor="accent1"/>
        </w:rPr>
        <w:t xml:space="preserve"> </w:t>
      </w:r>
      <w:r w:rsidR="00012CCA" w:rsidRPr="00792049">
        <w:rPr>
          <w:color w:val="4F81BD" w:themeColor="accent1"/>
        </w:rPr>
        <w:t>by the county councils</w:t>
      </w:r>
      <w:bookmarkEnd w:id="379"/>
    </w:p>
    <w:p w14:paraId="57DA7786" w14:textId="77777777" w:rsidR="00BD2604" w:rsidRDefault="00BD2604" w:rsidP="00BD2604">
      <w:pPr>
        <w:jc w:val="both"/>
        <w:rPr>
          <w:rFonts w:ascii="Arial" w:hAnsi="Arial" w:cs="Arial"/>
          <w:sz w:val="20"/>
          <w:szCs w:val="20"/>
        </w:rPr>
      </w:pPr>
    </w:p>
    <w:p w14:paraId="1A736394" w14:textId="31B1CBE3" w:rsidR="000346A7" w:rsidRDefault="005E7D21" w:rsidP="000346A7">
      <w:pPr>
        <w:jc w:val="both"/>
        <w:rPr>
          <w:rFonts w:ascii="Arial" w:hAnsi="Arial" w:cs="Arial"/>
          <w:sz w:val="20"/>
          <w:szCs w:val="20"/>
        </w:rPr>
      </w:pPr>
      <w:r w:rsidRPr="005E7D21">
        <w:rPr>
          <w:rFonts w:ascii="Arial" w:hAnsi="Arial" w:cs="Arial"/>
          <w:sz w:val="20"/>
          <w:szCs w:val="20"/>
        </w:rPr>
        <w:t>The main goal of the JTF is to mitigate the impact of the transition by funding the diversification and moderni</w:t>
      </w:r>
      <w:r w:rsidR="000346A7">
        <w:rPr>
          <w:rFonts w:ascii="Arial" w:hAnsi="Arial" w:cs="Arial"/>
          <w:sz w:val="20"/>
          <w:szCs w:val="20"/>
        </w:rPr>
        <w:t>s</w:t>
      </w:r>
      <w:r w:rsidRPr="005E7D21">
        <w:rPr>
          <w:rFonts w:ascii="Arial" w:hAnsi="Arial" w:cs="Arial"/>
          <w:sz w:val="20"/>
          <w:szCs w:val="20"/>
        </w:rPr>
        <w:t>ation of the local economy and to mitigate the negative impact on employment. To achieve this goal, the JTF will support a wide range of activities by investing in areas such as digitali</w:t>
      </w:r>
      <w:r w:rsidR="000346A7">
        <w:rPr>
          <w:rFonts w:ascii="Arial" w:hAnsi="Arial" w:cs="Arial"/>
          <w:sz w:val="20"/>
          <w:szCs w:val="20"/>
        </w:rPr>
        <w:t>s</w:t>
      </w:r>
      <w:r w:rsidRPr="005E7D21">
        <w:rPr>
          <w:rFonts w:ascii="Arial" w:hAnsi="Arial" w:cs="Arial"/>
          <w:sz w:val="20"/>
          <w:szCs w:val="20"/>
        </w:rPr>
        <w:t>ation and digital innovation, clean energy technologies, emission reduction (limited), industrial rehabilitation and retraining of workers.</w:t>
      </w:r>
    </w:p>
    <w:p w14:paraId="65379AF3" w14:textId="306323C5" w:rsidR="005E7D21" w:rsidRPr="00337232" w:rsidRDefault="00337232" w:rsidP="00E42342">
      <w:pPr>
        <w:pStyle w:val="Heading2"/>
        <w:numPr>
          <w:ilvl w:val="0"/>
          <w:numId w:val="242"/>
        </w:numPr>
        <w:spacing w:before="240"/>
        <w:ind w:left="357" w:hanging="357"/>
      </w:pPr>
      <w:bookmarkStart w:id="380" w:name="_Toc90725917"/>
      <w:r>
        <w:t>Brief description of the methodology used</w:t>
      </w:r>
      <w:bookmarkEnd w:id="380"/>
    </w:p>
    <w:p w14:paraId="18BC5221" w14:textId="62C53D64" w:rsidR="00337232" w:rsidRPr="00337232" w:rsidRDefault="00337232" w:rsidP="008D32D6">
      <w:pPr>
        <w:spacing w:after="120"/>
        <w:jc w:val="both"/>
        <w:rPr>
          <w:rFonts w:ascii="Arial" w:hAnsi="Arial" w:cs="Arial"/>
          <w:sz w:val="20"/>
          <w:szCs w:val="20"/>
        </w:rPr>
      </w:pPr>
      <w:r w:rsidRPr="00337232">
        <w:rPr>
          <w:rFonts w:ascii="Arial" w:hAnsi="Arial" w:cs="Arial"/>
          <w:sz w:val="20"/>
          <w:szCs w:val="20"/>
        </w:rPr>
        <w:t xml:space="preserve">An online application form has been implemented by the </w:t>
      </w:r>
      <w:r>
        <w:rPr>
          <w:rFonts w:ascii="Arial" w:hAnsi="Arial" w:cs="Arial"/>
          <w:sz w:val="20"/>
          <w:szCs w:val="20"/>
        </w:rPr>
        <w:t>County</w:t>
      </w:r>
      <w:r w:rsidRPr="00337232">
        <w:rPr>
          <w:rFonts w:ascii="Arial" w:hAnsi="Arial" w:cs="Arial"/>
          <w:sz w:val="20"/>
          <w:szCs w:val="20"/>
        </w:rPr>
        <w:t xml:space="preserve"> Councils in the six affected regions to collect project ideas for JTF funding. The application form consists of 17 fields (Name of the entity; Email address; Phone Number; The main activity; Registration number; Name and surname of the promoter; Current number of employees; partner; Project idea Name; Estimated value of the project idea; Location of the proposed project idea; Type of potential beneficiary; Estimated implementation period; Total project idea budget (Euro, in figures); Short description of the project; Number of new </w:t>
      </w:r>
      <w:r w:rsidRPr="00337232">
        <w:rPr>
          <w:rFonts w:ascii="Arial" w:hAnsi="Arial" w:cs="Arial"/>
          <w:sz w:val="20"/>
          <w:szCs w:val="20"/>
        </w:rPr>
        <w:lastRenderedPageBreak/>
        <w:t xml:space="preserve">jobs expected to be created following the implementation of the project idea; Classification in the eligible activities of the JTF). </w:t>
      </w:r>
    </w:p>
    <w:p w14:paraId="2650BB76" w14:textId="43D0FDAB" w:rsidR="00337232" w:rsidRPr="00337232" w:rsidRDefault="00337232" w:rsidP="008D32D6">
      <w:pPr>
        <w:spacing w:after="120"/>
        <w:jc w:val="both"/>
        <w:rPr>
          <w:rFonts w:ascii="Arial" w:hAnsi="Arial" w:cs="Arial"/>
          <w:sz w:val="20"/>
          <w:szCs w:val="20"/>
        </w:rPr>
      </w:pPr>
      <w:r w:rsidRPr="00337232">
        <w:rPr>
          <w:rFonts w:ascii="Arial" w:hAnsi="Arial" w:cs="Arial"/>
          <w:sz w:val="20"/>
          <w:szCs w:val="20"/>
        </w:rPr>
        <w:t>Data from the collected applications</w:t>
      </w:r>
      <w:r w:rsidR="00423FA3">
        <w:rPr>
          <w:rStyle w:val="FootnoteReference"/>
          <w:rFonts w:ascii="Arial" w:hAnsi="Arial" w:cs="Arial"/>
          <w:sz w:val="20"/>
          <w:szCs w:val="20"/>
        </w:rPr>
        <w:footnoteReference w:id="165"/>
      </w:r>
      <w:r w:rsidRPr="00337232">
        <w:rPr>
          <w:rFonts w:ascii="Arial" w:hAnsi="Arial" w:cs="Arial"/>
          <w:sz w:val="20"/>
          <w:szCs w:val="20"/>
        </w:rPr>
        <w:t xml:space="preserve"> were merged in</w:t>
      </w:r>
      <w:r w:rsidR="000346A7">
        <w:rPr>
          <w:rFonts w:ascii="Arial" w:hAnsi="Arial" w:cs="Arial"/>
          <w:sz w:val="20"/>
          <w:szCs w:val="20"/>
        </w:rPr>
        <w:t>to</w:t>
      </w:r>
      <w:r w:rsidRPr="00337232">
        <w:rPr>
          <w:rFonts w:ascii="Arial" w:hAnsi="Arial" w:cs="Arial"/>
          <w:sz w:val="20"/>
          <w:szCs w:val="20"/>
        </w:rPr>
        <w:t xml:space="preserve"> six spreadsheets (one spreadsheet per region). During the assessment process</w:t>
      </w:r>
      <w:r w:rsidR="000346A7">
        <w:rPr>
          <w:rFonts w:ascii="Arial" w:hAnsi="Arial" w:cs="Arial"/>
          <w:sz w:val="20"/>
          <w:szCs w:val="20"/>
        </w:rPr>
        <w:t>,</w:t>
      </w:r>
      <w:r w:rsidRPr="00337232">
        <w:rPr>
          <w:rFonts w:ascii="Arial" w:hAnsi="Arial" w:cs="Arial"/>
          <w:sz w:val="20"/>
          <w:szCs w:val="20"/>
        </w:rPr>
        <w:t xml:space="preserve"> all spreadsheets were merged in</w:t>
      </w:r>
      <w:r w:rsidR="000346A7">
        <w:rPr>
          <w:rFonts w:ascii="Arial" w:hAnsi="Arial" w:cs="Arial"/>
          <w:sz w:val="20"/>
          <w:szCs w:val="20"/>
        </w:rPr>
        <w:t>to</w:t>
      </w:r>
      <w:r w:rsidRPr="00337232">
        <w:rPr>
          <w:rFonts w:ascii="Arial" w:hAnsi="Arial" w:cs="Arial"/>
          <w:sz w:val="20"/>
          <w:szCs w:val="20"/>
        </w:rPr>
        <w:t xml:space="preserve"> one</w:t>
      </w:r>
      <w:r w:rsidR="000346A7">
        <w:rPr>
          <w:rFonts w:ascii="Arial" w:hAnsi="Arial" w:cs="Arial"/>
          <w:sz w:val="20"/>
          <w:szCs w:val="20"/>
        </w:rPr>
        <w:t xml:space="preserve"> file</w:t>
      </w:r>
      <w:r w:rsidRPr="00337232">
        <w:rPr>
          <w:rFonts w:ascii="Arial" w:hAnsi="Arial" w:cs="Arial"/>
          <w:sz w:val="20"/>
          <w:szCs w:val="20"/>
        </w:rPr>
        <w:t xml:space="preserve"> for simplification of the assessment process. </w:t>
      </w:r>
    </w:p>
    <w:p w14:paraId="5FC59D4E" w14:textId="43A068E1" w:rsidR="00337232" w:rsidRPr="00337232" w:rsidRDefault="00337232" w:rsidP="008D32D6">
      <w:pPr>
        <w:spacing w:after="120"/>
        <w:jc w:val="both"/>
        <w:rPr>
          <w:rFonts w:ascii="Arial" w:hAnsi="Arial" w:cs="Arial"/>
          <w:sz w:val="20"/>
          <w:szCs w:val="20"/>
        </w:rPr>
      </w:pPr>
      <w:r w:rsidRPr="00337232">
        <w:rPr>
          <w:rFonts w:ascii="Arial" w:hAnsi="Arial" w:cs="Arial"/>
          <w:sz w:val="20"/>
          <w:szCs w:val="20"/>
        </w:rPr>
        <w:t>The main assessment was made on the distribution of the number of projects and budgets among the regions, type of promoter, nature of project, projects clustering by type of project idea (e.g., renewable energy, circular economy),</w:t>
      </w:r>
      <w:r w:rsidR="000346A7">
        <w:rPr>
          <w:rFonts w:ascii="Arial" w:hAnsi="Arial" w:cs="Arial"/>
          <w:sz w:val="20"/>
          <w:szCs w:val="20"/>
        </w:rPr>
        <w:t xml:space="preserve"> and</w:t>
      </w:r>
      <w:r w:rsidRPr="00337232">
        <w:rPr>
          <w:rFonts w:ascii="Arial" w:hAnsi="Arial" w:cs="Arial"/>
          <w:sz w:val="20"/>
          <w:szCs w:val="20"/>
        </w:rPr>
        <w:t xml:space="preserve"> type of eligibility assessment.</w:t>
      </w:r>
    </w:p>
    <w:p w14:paraId="0EC2B939" w14:textId="3300EAFC" w:rsidR="005E7D21" w:rsidRDefault="00337232" w:rsidP="008D32D6">
      <w:pPr>
        <w:spacing w:after="120"/>
        <w:jc w:val="both"/>
        <w:rPr>
          <w:rFonts w:ascii="Arial" w:hAnsi="Arial" w:cs="Arial"/>
          <w:sz w:val="20"/>
          <w:szCs w:val="20"/>
        </w:rPr>
      </w:pPr>
      <w:r w:rsidRPr="00337232">
        <w:rPr>
          <w:rFonts w:ascii="Arial" w:hAnsi="Arial" w:cs="Arial"/>
          <w:sz w:val="20"/>
          <w:szCs w:val="20"/>
        </w:rPr>
        <w:t>274 project ideas of 795 had no description</w:t>
      </w:r>
      <w:r w:rsidR="000346A7">
        <w:rPr>
          <w:rFonts w:ascii="Arial" w:hAnsi="Arial" w:cs="Arial"/>
          <w:sz w:val="20"/>
          <w:szCs w:val="20"/>
        </w:rPr>
        <w:t>.</w:t>
      </w:r>
      <w:r w:rsidRPr="00337232">
        <w:rPr>
          <w:rFonts w:ascii="Arial" w:hAnsi="Arial" w:cs="Arial"/>
          <w:sz w:val="20"/>
          <w:szCs w:val="20"/>
        </w:rPr>
        <w:t xml:space="preserve"> </w:t>
      </w:r>
      <w:r w:rsidR="000346A7">
        <w:rPr>
          <w:rFonts w:ascii="Arial" w:hAnsi="Arial" w:cs="Arial"/>
          <w:sz w:val="20"/>
          <w:szCs w:val="20"/>
        </w:rPr>
        <w:t>T</w:t>
      </w:r>
      <w:r w:rsidRPr="00337232">
        <w:rPr>
          <w:rFonts w:ascii="Arial" w:hAnsi="Arial" w:cs="Arial"/>
          <w:sz w:val="20"/>
          <w:szCs w:val="20"/>
        </w:rPr>
        <w:t>herefore, assessment of these projects was done on the basis of project name only, what affected the quality of analysis.</w:t>
      </w:r>
    </w:p>
    <w:p w14:paraId="1E5D6088" w14:textId="0ECE811F" w:rsidR="00337232" w:rsidRDefault="00337232" w:rsidP="00E42342">
      <w:pPr>
        <w:pStyle w:val="Heading2"/>
        <w:numPr>
          <w:ilvl w:val="0"/>
          <w:numId w:val="243"/>
        </w:numPr>
        <w:spacing w:before="240"/>
        <w:ind w:left="357" w:hanging="357"/>
      </w:pPr>
      <w:bookmarkStart w:id="381" w:name="_Toc90725918"/>
      <w:r>
        <w:t xml:space="preserve">Results of project ideas </w:t>
      </w:r>
      <w:r w:rsidR="00423FA3">
        <w:t xml:space="preserve">high-level </w:t>
      </w:r>
      <w:r>
        <w:t>assessment</w:t>
      </w:r>
      <w:bookmarkEnd w:id="381"/>
    </w:p>
    <w:p w14:paraId="2CB6BD4A" w14:textId="17BEB4AF" w:rsidR="00337232" w:rsidRPr="00402580" w:rsidRDefault="000346A7" w:rsidP="00E42342">
      <w:pPr>
        <w:pStyle w:val="ListParagraph"/>
        <w:numPr>
          <w:ilvl w:val="0"/>
          <w:numId w:val="244"/>
        </w:numPr>
        <w:spacing w:after="80" w:line="240" w:lineRule="auto"/>
        <w:ind w:left="357" w:hanging="357"/>
        <w:contextualSpacing w:val="0"/>
        <w:jc w:val="both"/>
        <w:rPr>
          <w:sz w:val="20"/>
          <w:szCs w:val="20"/>
        </w:rPr>
      </w:pPr>
      <w:r w:rsidRPr="00402580">
        <w:rPr>
          <w:iCs/>
          <w:sz w:val="20"/>
          <w:szCs w:val="20"/>
        </w:rPr>
        <w:t>A</w:t>
      </w:r>
      <w:r w:rsidR="00337232" w:rsidRPr="00402580">
        <w:rPr>
          <w:sz w:val="20"/>
          <w:szCs w:val="20"/>
        </w:rPr>
        <w:t xml:space="preserve"> total of</w:t>
      </w:r>
      <w:r>
        <w:rPr>
          <w:sz w:val="20"/>
          <w:szCs w:val="20"/>
        </w:rPr>
        <w:t xml:space="preserve"> 795 applications were</w:t>
      </w:r>
      <w:r w:rsidR="00337232" w:rsidRPr="00402580">
        <w:rPr>
          <w:sz w:val="20"/>
          <w:szCs w:val="20"/>
        </w:rPr>
        <w:t xml:space="preserve"> collected </w:t>
      </w:r>
      <w:r>
        <w:rPr>
          <w:sz w:val="20"/>
          <w:szCs w:val="20"/>
        </w:rPr>
        <w:t>with</w:t>
      </w:r>
      <w:r w:rsidR="00337232" w:rsidRPr="00402580">
        <w:rPr>
          <w:sz w:val="20"/>
          <w:szCs w:val="20"/>
        </w:rPr>
        <w:t xml:space="preserve"> total requested funds </w:t>
      </w:r>
      <w:r>
        <w:rPr>
          <w:sz w:val="20"/>
          <w:szCs w:val="20"/>
        </w:rPr>
        <w:t>of</w:t>
      </w:r>
      <w:r w:rsidR="00337232" w:rsidRPr="00402580">
        <w:rPr>
          <w:sz w:val="20"/>
          <w:szCs w:val="20"/>
        </w:rPr>
        <w:t xml:space="preserve"> EUR 10,483,597,416</w:t>
      </w:r>
    </w:p>
    <w:p w14:paraId="79889945" w14:textId="3BCD4DBD" w:rsidR="00337232" w:rsidRPr="00402580" w:rsidRDefault="000346A7" w:rsidP="00E42342">
      <w:pPr>
        <w:pStyle w:val="ListParagraph"/>
        <w:numPr>
          <w:ilvl w:val="0"/>
          <w:numId w:val="244"/>
        </w:numPr>
        <w:spacing w:after="80" w:line="240" w:lineRule="auto"/>
        <w:ind w:left="357" w:hanging="357"/>
        <w:contextualSpacing w:val="0"/>
        <w:jc w:val="both"/>
        <w:rPr>
          <w:sz w:val="20"/>
          <w:szCs w:val="20"/>
        </w:rPr>
      </w:pPr>
      <w:r>
        <w:rPr>
          <w:sz w:val="20"/>
          <w:szCs w:val="20"/>
        </w:rPr>
        <w:t>M</w:t>
      </w:r>
      <w:r w:rsidR="00337232" w:rsidRPr="00402580">
        <w:rPr>
          <w:sz w:val="20"/>
          <w:szCs w:val="20"/>
        </w:rPr>
        <w:t xml:space="preserve">inimum project idea budget proposed </w:t>
      </w:r>
      <w:r w:rsidRPr="006F1AC6">
        <w:rPr>
          <w:sz w:val="20"/>
          <w:szCs w:val="20"/>
        </w:rPr>
        <w:t>–</w:t>
      </w:r>
      <w:r>
        <w:rPr>
          <w:sz w:val="20"/>
          <w:szCs w:val="20"/>
        </w:rPr>
        <w:t xml:space="preserve"> </w:t>
      </w:r>
      <w:r w:rsidR="00337232" w:rsidRPr="00402580">
        <w:rPr>
          <w:sz w:val="20"/>
          <w:szCs w:val="20"/>
        </w:rPr>
        <w:t>EUR 5,000 (Implementation of photovoltaic panels for electricity)</w:t>
      </w:r>
      <w:r w:rsidR="00AE04B3" w:rsidRPr="00402580">
        <w:rPr>
          <w:rStyle w:val="FootnoteReference"/>
          <w:sz w:val="20"/>
          <w:szCs w:val="20"/>
        </w:rPr>
        <w:footnoteReference w:id="166"/>
      </w:r>
    </w:p>
    <w:p w14:paraId="086CE0A9" w14:textId="6AA86C01" w:rsidR="00337232" w:rsidRPr="00402580" w:rsidRDefault="000346A7" w:rsidP="00E42342">
      <w:pPr>
        <w:pStyle w:val="ListParagraph"/>
        <w:numPr>
          <w:ilvl w:val="0"/>
          <w:numId w:val="244"/>
        </w:numPr>
        <w:spacing w:after="80" w:line="240" w:lineRule="auto"/>
        <w:ind w:left="357" w:hanging="357"/>
        <w:contextualSpacing w:val="0"/>
        <w:jc w:val="both"/>
        <w:rPr>
          <w:sz w:val="20"/>
          <w:szCs w:val="20"/>
        </w:rPr>
      </w:pPr>
      <w:r>
        <w:rPr>
          <w:sz w:val="20"/>
          <w:szCs w:val="20"/>
        </w:rPr>
        <w:t>M</w:t>
      </w:r>
      <w:r w:rsidR="00337232" w:rsidRPr="00402580">
        <w:rPr>
          <w:sz w:val="20"/>
          <w:szCs w:val="20"/>
        </w:rPr>
        <w:t xml:space="preserve">aximum project idea budget proposed </w:t>
      </w:r>
      <w:r w:rsidRPr="006F1AC6">
        <w:rPr>
          <w:sz w:val="20"/>
          <w:szCs w:val="20"/>
        </w:rPr>
        <w:t>–</w:t>
      </w:r>
      <w:r>
        <w:rPr>
          <w:sz w:val="20"/>
          <w:szCs w:val="20"/>
        </w:rPr>
        <w:t xml:space="preserve"> </w:t>
      </w:r>
      <w:r w:rsidR="00337232" w:rsidRPr="00402580">
        <w:rPr>
          <w:sz w:val="20"/>
          <w:szCs w:val="20"/>
        </w:rPr>
        <w:t xml:space="preserve">EUR 850,000,000 (Construction of the Wind Power Plant, </w:t>
      </w:r>
      <w:r w:rsidR="004F70E0">
        <w:rPr>
          <w:sz w:val="20"/>
          <w:szCs w:val="20"/>
        </w:rPr>
        <w:t>Galați</w:t>
      </w:r>
      <w:r w:rsidR="00337232" w:rsidRPr="00402580">
        <w:rPr>
          <w:sz w:val="20"/>
          <w:szCs w:val="20"/>
        </w:rPr>
        <w:t xml:space="preserve"> Region, with a maximum of 204 wind turbines)</w:t>
      </w:r>
    </w:p>
    <w:p w14:paraId="53F358C8" w14:textId="2EA6061C" w:rsidR="00337232" w:rsidRPr="00402580" w:rsidRDefault="00337232" w:rsidP="00E42342">
      <w:pPr>
        <w:pStyle w:val="ListParagraph"/>
        <w:numPr>
          <w:ilvl w:val="0"/>
          <w:numId w:val="244"/>
        </w:numPr>
        <w:spacing w:after="80" w:line="240" w:lineRule="auto"/>
        <w:ind w:left="357" w:hanging="357"/>
        <w:contextualSpacing w:val="0"/>
        <w:jc w:val="both"/>
        <w:rPr>
          <w:sz w:val="20"/>
          <w:szCs w:val="20"/>
        </w:rPr>
      </w:pPr>
      <w:r w:rsidRPr="00402580">
        <w:rPr>
          <w:sz w:val="20"/>
          <w:szCs w:val="20"/>
        </w:rPr>
        <w:t>Average project idea budget proposed – EUR 13,186,915</w:t>
      </w:r>
    </w:p>
    <w:p w14:paraId="39A1E2FF" w14:textId="2006598C" w:rsidR="00337232" w:rsidRPr="00402580" w:rsidRDefault="00337232" w:rsidP="00E42342">
      <w:pPr>
        <w:pStyle w:val="ListParagraph"/>
        <w:numPr>
          <w:ilvl w:val="0"/>
          <w:numId w:val="244"/>
        </w:numPr>
        <w:spacing w:after="80" w:line="240" w:lineRule="auto"/>
        <w:ind w:left="357" w:hanging="357"/>
        <w:contextualSpacing w:val="0"/>
        <w:jc w:val="both"/>
        <w:rPr>
          <w:sz w:val="20"/>
          <w:szCs w:val="20"/>
        </w:rPr>
      </w:pPr>
      <w:r w:rsidRPr="00402580">
        <w:rPr>
          <w:sz w:val="20"/>
          <w:szCs w:val="20"/>
        </w:rPr>
        <w:t>Median budget – EUR 1,500,000</w:t>
      </w:r>
    </w:p>
    <w:p w14:paraId="49B61AFD" w14:textId="3DD29D58" w:rsidR="00AE04B3" w:rsidRPr="008D32D6" w:rsidRDefault="00337232" w:rsidP="00E42342">
      <w:pPr>
        <w:pStyle w:val="ListParagraph"/>
        <w:numPr>
          <w:ilvl w:val="0"/>
          <w:numId w:val="244"/>
        </w:numPr>
        <w:spacing w:after="120" w:line="240" w:lineRule="auto"/>
        <w:ind w:left="360"/>
        <w:contextualSpacing w:val="0"/>
        <w:jc w:val="both"/>
        <w:rPr>
          <w:sz w:val="20"/>
          <w:szCs w:val="20"/>
        </w:rPr>
      </w:pPr>
      <w:r w:rsidRPr="00402580">
        <w:rPr>
          <w:sz w:val="20"/>
          <w:szCs w:val="20"/>
        </w:rPr>
        <w:t xml:space="preserve">Number of project ideas with undefined budget </w:t>
      </w:r>
      <w:r w:rsidR="00AE04B3" w:rsidRPr="00402580">
        <w:rPr>
          <w:sz w:val="20"/>
          <w:szCs w:val="20"/>
        </w:rPr>
        <w:t>–</w:t>
      </w:r>
      <w:r w:rsidRPr="00402580">
        <w:rPr>
          <w:sz w:val="20"/>
          <w:szCs w:val="20"/>
        </w:rPr>
        <w:t xml:space="preserve"> 13</w:t>
      </w:r>
    </w:p>
    <w:p w14:paraId="5D36721A" w14:textId="6B0D4B3F" w:rsidR="00AE04B3" w:rsidRPr="008764B4" w:rsidRDefault="00AE04B3" w:rsidP="006D6BC9">
      <w:r>
        <w:rPr>
          <w:rFonts w:ascii="Arial" w:hAnsi="Arial" w:cs="Arial"/>
          <w:sz w:val="20"/>
          <w:szCs w:val="20"/>
        </w:rPr>
        <w:t xml:space="preserve">Graph </w:t>
      </w:r>
      <w:r w:rsidR="00AC0119">
        <w:rPr>
          <w:rFonts w:ascii="Arial" w:hAnsi="Arial" w:cs="Arial"/>
          <w:sz w:val="20"/>
          <w:szCs w:val="20"/>
        </w:rPr>
        <w:t>62</w:t>
      </w:r>
      <w:r w:rsidRPr="006D6BC9">
        <w:rPr>
          <w:rFonts w:ascii="Arial" w:hAnsi="Arial" w:cs="Arial"/>
          <w:sz w:val="20"/>
          <w:szCs w:val="20"/>
        </w:rPr>
        <w:t xml:space="preserve"> </w:t>
      </w:r>
      <w:r w:rsidR="000346A7">
        <w:rPr>
          <w:rFonts w:ascii="Arial" w:hAnsi="Arial" w:cs="Arial"/>
          <w:sz w:val="20"/>
          <w:szCs w:val="20"/>
        </w:rPr>
        <w:t xml:space="preserve">illustrates the number of projects by region; </w:t>
      </w:r>
      <w:r w:rsidRPr="006D6BC9">
        <w:rPr>
          <w:rFonts w:ascii="Arial" w:hAnsi="Arial" w:cs="Arial"/>
          <w:sz w:val="20"/>
          <w:szCs w:val="20"/>
        </w:rPr>
        <w:t>the highest number of project idea applications (268) was received from Gorj.</w:t>
      </w:r>
    </w:p>
    <w:p w14:paraId="7C997D06" w14:textId="1774D7B6" w:rsidR="00AE04B3" w:rsidRDefault="00AE04B3" w:rsidP="00AE04B3">
      <w:pPr>
        <w:pStyle w:val="Caption"/>
      </w:pPr>
      <w:bookmarkStart w:id="382" w:name="_Toc90727398"/>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62</w:t>
      </w:r>
      <w:r w:rsidR="000B273D">
        <w:rPr>
          <w:noProof/>
        </w:rPr>
        <w:fldChar w:fldCharType="end"/>
      </w:r>
      <w:r>
        <w:t xml:space="preserve">: </w:t>
      </w:r>
      <w:r w:rsidRPr="00AE04B3">
        <w:t>Share of project number among regions</w:t>
      </w:r>
      <w:bookmarkEnd w:id="382"/>
    </w:p>
    <w:p w14:paraId="4DDC7ABC" w14:textId="24DFD4F6" w:rsidR="00337232" w:rsidRPr="00B018F2" w:rsidRDefault="00AE04B3" w:rsidP="00642014">
      <w:pPr>
        <w:spacing w:after="120"/>
        <w:jc w:val="center"/>
        <w:rPr>
          <w:lang w:eastAsia="en-US"/>
        </w:rPr>
      </w:pPr>
      <w:r w:rsidRPr="00C977FD">
        <w:rPr>
          <w:noProof/>
          <w:lang w:val="en-US" w:eastAsia="en-US"/>
        </w:rPr>
        <w:drawing>
          <wp:inline distT="0" distB="0" distL="0" distR="0" wp14:anchorId="7EB49750" wp14:editId="51040D0E">
            <wp:extent cx="4581525" cy="2935224"/>
            <wp:effectExtent l="0" t="0" r="0" b="0"/>
            <wp:docPr id="39"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6F889DE-0683-469C-B28B-FC72D46A7A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0BA13A2E" w14:textId="501CD08A" w:rsidR="00AE04B3" w:rsidRDefault="00AE04B3" w:rsidP="00337232">
      <w:pPr>
        <w:jc w:val="both"/>
        <w:rPr>
          <w:rFonts w:ascii="Arial" w:hAnsi="Arial" w:cs="Arial"/>
          <w:sz w:val="20"/>
          <w:szCs w:val="20"/>
        </w:rPr>
      </w:pPr>
      <w:r w:rsidRPr="00AE04B3">
        <w:rPr>
          <w:rFonts w:ascii="Arial" w:hAnsi="Arial" w:cs="Arial"/>
          <w:sz w:val="20"/>
          <w:szCs w:val="20"/>
        </w:rPr>
        <w:t xml:space="preserve">The amounts of requested funds among the regions slightly differ. </w:t>
      </w:r>
      <w:r w:rsidR="000346A7">
        <w:rPr>
          <w:rFonts w:ascii="Arial" w:hAnsi="Arial" w:cs="Arial"/>
          <w:sz w:val="20"/>
          <w:szCs w:val="20"/>
        </w:rPr>
        <w:t>The s</w:t>
      </w:r>
      <w:r w:rsidRPr="00AE04B3">
        <w:rPr>
          <w:rFonts w:ascii="Arial" w:hAnsi="Arial" w:cs="Arial"/>
          <w:sz w:val="20"/>
          <w:szCs w:val="20"/>
        </w:rPr>
        <w:t xml:space="preserve">hare of Gorj in </w:t>
      </w:r>
      <w:r w:rsidR="0012524D">
        <w:rPr>
          <w:rFonts w:ascii="Arial" w:hAnsi="Arial" w:cs="Arial"/>
          <w:sz w:val="20"/>
          <w:szCs w:val="20"/>
        </w:rPr>
        <w:t xml:space="preserve">terms of </w:t>
      </w:r>
      <w:r w:rsidRPr="00AE04B3">
        <w:rPr>
          <w:rFonts w:ascii="Arial" w:hAnsi="Arial" w:cs="Arial"/>
          <w:sz w:val="20"/>
          <w:szCs w:val="20"/>
        </w:rPr>
        <w:t>requested funds is almost the lowest – 10%</w:t>
      </w:r>
      <w:r w:rsidR="00D920E3">
        <w:rPr>
          <w:rFonts w:ascii="Arial" w:hAnsi="Arial" w:cs="Arial"/>
          <w:sz w:val="20"/>
          <w:szCs w:val="20"/>
        </w:rPr>
        <w:t xml:space="preserve"> (Graph 6</w:t>
      </w:r>
      <w:r w:rsidR="00AC0119">
        <w:rPr>
          <w:rFonts w:ascii="Arial" w:hAnsi="Arial" w:cs="Arial"/>
          <w:sz w:val="20"/>
          <w:szCs w:val="20"/>
        </w:rPr>
        <w:t>3</w:t>
      </w:r>
      <w:r w:rsidR="00D920E3">
        <w:rPr>
          <w:rFonts w:ascii="Arial" w:hAnsi="Arial" w:cs="Arial"/>
          <w:sz w:val="20"/>
          <w:szCs w:val="20"/>
        </w:rPr>
        <w:t>)</w:t>
      </w:r>
      <w:r w:rsidRPr="00AE04B3">
        <w:rPr>
          <w:rFonts w:ascii="Arial" w:hAnsi="Arial" w:cs="Arial"/>
          <w:sz w:val="20"/>
          <w:szCs w:val="20"/>
        </w:rPr>
        <w:t xml:space="preserve">. The highest amounts of funds (EUR 3,254,064,440; 31%) were requested by </w:t>
      </w:r>
      <w:r w:rsidR="003751DC">
        <w:rPr>
          <w:rFonts w:ascii="Arial" w:hAnsi="Arial" w:cs="Arial"/>
          <w:sz w:val="20"/>
          <w:szCs w:val="20"/>
        </w:rPr>
        <w:t>Galați</w:t>
      </w:r>
      <w:r w:rsidRPr="00AE04B3">
        <w:rPr>
          <w:rFonts w:ascii="Arial" w:hAnsi="Arial" w:cs="Arial"/>
          <w:sz w:val="20"/>
          <w:szCs w:val="20"/>
        </w:rPr>
        <w:t xml:space="preserve">. This is because </w:t>
      </w:r>
      <w:r w:rsidR="0012524D">
        <w:rPr>
          <w:rFonts w:ascii="Arial" w:hAnsi="Arial" w:cs="Arial"/>
          <w:sz w:val="20"/>
          <w:szCs w:val="20"/>
        </w:rPr>
        <w:t>more than</w:t>
      </w:r>
      <w:r w:rsidRPr="00AE04B3">
        <w:rPr>
          <w:rFonts w:ascii="Arial" w:hAnsi="Arial" w:cs="Arial"/>
          <w:sz w:val="20"/>
          <w:szCs w:val="20"/>
        </w:rPr>
        <w:t xml:space="preserve"> </w:t>
      </w:r>
      <w:r w:rsidR="0012524D">
        <w:rPr>
          <w:rFonts w:ascii="Arial" w:hAnsi="Arial" w:cs="Arial"/>
          <w:sz w:val="20"/>
          <w:szCs w:val="20"/>
        </w:rPr>
        <w:t xml:space="preserve">EUR </w:t>
      </w:r>
      <w:r w:rsidRPr="00AE04B3">
        <w:rPr>
          <w:rFonts w:ascii="Arial" w:hAnsi="Arial" w:cs="Arial"/>
          <w:sz w:val="20"/>
          <w:szCs w:val="20"/>
        </w:rPr>
        <w:t xml:space="preserve">100 million have been requested for each of </w:t>
      </w:r>
      <w:r w:rsidR="0012524D">
        <w:rPr>
          <w:rFonts w:ascii="Arial" w:hAnsi="Arial" w:cs="Arial"/>
          <w:sz w:val="20"/>
          <w:szCs w:val="20"/>
        </w:rPr>
        <w:t>seven</w:t>
      </w:r>
      <w:r w:rsidRPr="00AE04B3">
        <w:rPr>
          <w:rFonts w:ascii="Arial" w:hAnsi="Arial" w:cs="Arial"/>
          <w:sz w:val="20"/>
          <w:szCs w:val="20"/>
        </w:rPr>
        <w:t xml:space="preserve"> biggest projects from this region. In addition, the two most expensive project ideas are from </w:t>
      </w:r>
      <w:r w:rsidR="003751DC">
        <w:rPr>
          <w:rFonts w:ascii="Arial" w:hAnsi="Arial" w:cs="Arial"/>
          <w:sz w:val="20"/>
          <w:szCs w:val="20"/>
        </w:rPr>
        <w:t>Galați</w:t>
      </w:r>
      <w:r w:rsidRPr="00AE04B3">
        <w:rPr>
          <w:rFonts w:ascii="Arial" w:hAnsi="Arial" w:cs="Arial"/>
          <w:sz w:val="20"/>
          <w:szCs w:val="20"/>
        </w:rPr>
        <w:t>. To understand the equality of funds distribution</w:t>
      </w:r>
      <w:r w:rsidR="0012524D">
        <w:rPr>
          <w:rFonts w:ascii="Arial" w:hAnsi="Arial" w:cs="Arial"/>
          <w:sz w:val="20"/>
          <w:szCs w:val="20"/>
        </w:rPr>
        <w:t>,</w:t>
      </w:r>
      <w:r w:rsidRPr="00AE04B3">
        <w:rPr>
          <w:rFonts w:ascii="Arial" w:hAnsi="Arial" w:cs="Arial"/>
          <w:sz w:val="20"/>
          <w:szCs w:val="20"/>
        </w:rPr>
        <w:t xml:space="preserve"> we have to analy</w:t>
      </w:r>
      <w:r w:rsidR="0012524D">
        <w:rPr>
          <w:rFonts w:ascii="Arial" w:hAnsi="Arial" w:cs="Arial"/>
          <w:sz w:val="20"/>
          <w:szCs w:val="20"/>
        </w:rPr>
        <w:t>s</w:t>
      </w:r>
      <w:r w:rsidRPr="00AE04B3">
        <w:rPr>
          <w:rFonts w:ascii="Arial" w:hAnsi="Arial" w:cs="Arial"/>
          <w:sz w:val="20"/>
          <w:szCs w:val="20"/>
        </w:rPr>
        <w:t xml:space="preserve">e the amount of requested funds per capita. As </w:t>
      </w:r>
      <w:r w:rsidR="0012524D">
        <w:rPr>
          <w:rFonts w:ascii="Arial" w:hAnsi="Arial" w:cs="Arial"/>
          <w:sz w:val="20"/>
          <w:szCs w:val="20"/>
        </w:rPr>
        <w:t xml:space="preserve">illustrated in </w:t>
      </w:r>
      <w:r w:rsidR="00D920E3">
        <w:rPr>
          <w:rFonts w:ascii="Arial" w:hAnsi="Arial" w:cs="Arial"/>
          <w:sz w:val="20"/>
          <w:szCs w:val="20"/>
        </w:rPr>
        <w:t>Graph 6</w:t>
      </w:r>
      <w:r w:rsidR="00AC0119">
        <w:rPr>
          <w:rFonts w:ascii="Arial" w:hAnsi="Arial" w:cs="Arial"/>
          <w:sz w:val="20"/>
          <w:szCs w:val="20"/>
        </w:rPr>
        <w:t>4</w:t>
      </w:r>
      <w:r w:rsidRPr="00AE04B3">
        <w:rPr>
          <w:rFonts w:ascii="Arial" w:hAnsi="Arial" w:cs="Arial"/>
          <w:sz w:val="20"/>
          <w:szCs w:val="20"/>
        </w:rPr>
        <w:t xml:space="preserve">, </w:t>
      </w:r>
      <w:r w:rsidR="003751DC">
        <w:rPr>
          <w:rFonts w:ascii="Arial" w:hAnsi="Arial" w:cs="Arial"/>
          <w:sz w:val="20"/>
          <w:szCs w:val="20"/>
        </w:rPr>
        <w:t>Galați</w:t>
      </w:r>
      <w:r w:rsidRPr="00AE04B3">
        <w:rPr>
          <w:rFonts w:ascii="Arial" w:hAnsi="Arial" w:cs="Arial"/>
          <w:sz w:val="20"/>
          <w:szCs w:val="20"/>
        </w:rPr>
        <w:t xml:space="preserve"> and Hunedoara ask for </w:t>
      </w:r>
      <w:r w:rsidRPr="00AE04B3">
        <w:rPr>
          <w:rFonts w:ascii="Arial" w:hAnsi="Arial" w:cs="Arial"/>
          <w:sz w:val="20"/>
          <w:szCs w:val="20"/>
        </w:rPr>
        <w:lastRenderedPageBreak/>
        <w:t>approximately EUR 6,000 per capit</w:t>
      </w:r>
      <w:r w:rsidR="00D920E3">
        <w:rPr>
          <w:rFonts w:ascii="Arial" w:hAnsi="Arial" w:cs="Arial"/>
          <w:sz w:val="20"/>
          <w:szCs w:val="20"/>
        </w:rPr>
        <w:t>a</w:t>
      </w:r>
      <w:r w:rsidRPr="00AE04B3">
        <w:rPr>
          <w:rFonts w:ascii="Arial" w:hAnsi="Arial" w:cs="Arial"/>
          <w:sz w:val="20"/>
          <w:szCs w:val="20"/>
        </w:rPr>
        <w:t xml:space="preserve"> </w:t>
      </w:r>
      <w:r w:rsidR="0012524D">
        <w:rPr>
          <w:rFonts w:ascii="Arial" w:hAnsi="Arial" w:cs="Arial"/>
          <w:sz w:val="20"/>
          <w:szCs w:val="20"/>
        </w:rPr>
        <w:t>w</w:t>
      </w:r>
      <w:r w:rsidRPr="00AE04B3">
        <w:rPr>
          <w:rFonts w:ascii="Arial" w:hAnsi="Arial" w:cs="Arial"/>
          <w:sz w:val="20"/>
          <w:szCs w:val="20"/>
        </w:rPr>
        <w:t>h</w:t>
      </w:r>
      <w:r w:rsidR="0012524D">
        <w:rPr>
          <w:rFonts w:ascii="Arial" w:hAnsi="Arial" w:cs="Arial"/>
          <w:sz w:val="20"/>
          <w:szCs w:val="20"/>
        </w:rPr>
        <w:t>ile the</w:t>
      </w:r>
      <w:r w:rsidRPr="00AE04B3">
        <w:rPr>
          <w:rFonts w:ascii="Arial" w:hAnsi="Arial" w:cs="Arial"/>
          <w:sz w:val="20"/>
          <w:szCs w:val="20"/>
        </w:rPr>
        <w:t xml:space="preserve"> average amount is EUR 3,205 per capita. At the same time, Dolj and Prahova ask for less than EUR 1,900</w:t>
      </w:r>
      <w:r w:rsidR="0012524D">
        <w:rPr>
          <w:rFonts w:ascii="Arial" w:hAnsi="Arial" w:cs="Arial"/>
          <w:sz w:val="20"/>
          <w:szCs w:val="20"/>
        </w:rPr>
        <w:t xml:space="preserve"> per capita</w:t>
      </w:r>
      <w:r w:rsidRPr="00AE04B3">
        <w:rPr>
          <w:rFonts w:ascii="Arial" w:hAnsi="Arial" w:cs="Arial"/>
          <w:sz w:val="20"/>
          <w:szCs w:val="20"/>
        </w:rPr>
        <w:t xml:space="preserve">. Therefore, </w:t>
      </w:r>
      <w:r w:rsidR="0012524D">
        <w:rPr>
          <w:rFonts w:ascii="Arial" w:hAnsi="Arial" w:cs="Arial"/>
          <w:sz w:val="20"/>
          <w:szCs w:val="20"/>
        </w:rPr>
        <w:t xml:space="preserve">the </w:t>
      </w:r>
      <w:r w:rsidRPr="00AE04B3">
        <w:rPr>
          <w:rFonts w:ascii="Arial" w:hAnsi="Arial" w:cs="Arial"/>
          <w:sz w:val="20"/>
          <w:szCs w:val="20"/>
        </w:rPr>
        <w:t>distribution of requested funds is not equal and require</w:t>
      </w:r>
      <w:r w:rsidR="0012524D">
        <w:rPr>
          <w:rFonts w:ascii="Arial" w:hAnsi="Arial" w:cs="Arial"/>
          <w:sz w:val="20"/>
          <w:szCs w:val="20"/>
        </w:rPr>
        <w:t>s</w:t>
      </w:r>
      <w:r w:rsidRPr="00AE04B3">
        <w:rPr>
          <w:rFonts w:ascii="Arial" w:hAnsi="Arial" w:cs="Arial"/>
          <w:sz w:val="20"/>
          <w:szCs w:val="20"/>
        </w:rPr>
        <w:t xml:space="preserve"> attention during further assessment.</w:t>
      </w:r>
    </w:p>
    <w:p w14:paraId="16A16821" w14:textId="42E0AAFA" w:rsidR="00D920E3" w:rsidRDefault="00D920E3" w:rsidP="006D6BC9">
      <w:pPr>
        <w:pStyle w:val="Caption"/>
      </w:pPr>
      <w:bookmarkStart w:id="383" w:name="_Toc90727399"/>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63</w:t>
      </w:r>
      <w:r w:rsidR="000B273D">
        <w:rPr>
          <w:noProof/>
        </w:rPr>
        <w:fldChar w:fldCharType="end"/>
      </w:r>
      <w:r>
        <w:t xml:space="preserve">: </w:t>
      </w:r>
      <w:r w:rsidRPr="00D920E3">
        <w:t>Breakdown of the requested amounts by regions</w:t>
      </w:r>
      <w:bookmarkEnd w:id="383"/>
    </w:p>
    <w:p w14:paraId="160C79F5" w14:textId="77777777" w:rsidR="00D920E3" w:rsidRPr="005E7D21" w:rsidRDefault="00D920E3" w:rsidP="006D6BC9">
      <w:pPr>
        <w:jc w:val="center"/>
        <w:rPr>
          <w:rFonts w:ascii="Arial" w:hAnsi="Arial" w:cs="Arial"/>
          <w:sz w:val="20"/>
          <w:szCs w:val="20"/>
        </w:rPr>
      </w:pPr>
      <w:r w:rsidRPr="00C977FD">
        <w:rPr>
          <w:noProof/>
          <w:lang w:val="en-US" w:eastAsia="en-US"/>
        </w:rPr>
        <w:drawing>
          <wp:inline distT="0" distB="0" distL="0" distR="0" wp14:anchorId="42D51D5B" wp14:editId="5D91E0C9">
            <wp:extent cx="4591050" cy="2933700"/>
            <wp:effectExtent l="0" t="0" r="0" b="0"/>
            <wp:docPr id="3" name="Диаграмма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C640F30-3F2C-4F17-AD28-E462FF60FD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33EF6488" w14:textId="07603236" w:rsidR="007E7ED4" w:rsidRDefault="007E7ED4" w:rsidP="007E7ED4">
      <w:pPr>
        <w:pStyle w:val="Caption"/>
      </w:pPr>
      <w:bookmarkStart w:id="384" w:name="_Toc90727400"/>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64</w:t>
      </w:r>
      <w:r w:rsidR="000B273D">
        <w:rPr>
          <w:noProof/>
        </w:rPr>
        <w:fldChar w:fldCharType="end"/>
      </w:r>
      <w:r>
        <w:t xml:space="preserve">: </w:t>
      </w:r>
      <w:r w:rsidRPr="007E7ED4">
        <w:t>Requested funds per capita</w:t>
      </w:r>
      <w:bookmarkEnd w:id="384"/>
    </w:p>
    <w:p w14:paraId="54F11BD4" w14:textId="047F5994" w:rsidR="007E7ED4" w:rsidRDefault="007E7ED4" w:rsidP="00B018F2">
      <w:pPr>
        <w:spacing w:after="120"/>
        <w:jc w:val="center"/>
        <w:rPr>
          <w:lang w:eastAsia="en-US"/>
        </w:rPr>
      </w:pPr>
      <w:r w:rsidRPr="00C977FD">
        <w:rPr>
          <w:noProof/>
          <w:lang w:val="en-US" w:eastAsia="en-US"/>
        </w:rPr>
        <w:drawing>
          <wp:inline distT="0" distB="0" distL="0" distR="0" wp14:anchorId="15162AFB" wp14:editId="40696D50">
            <wp:extent cx="4552950" cy="2800350"/>
            <wp:effectExtent l="0" t="0" r="0" b="0"/>
            <wp:docPr id="40" name="Диаграмма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4B993C0-7FFD-4FFE-9893-FF7C7F9103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p w14:paraId="4C2B118D" w14:textId="4B3ACCE8" w:rsidR="007E7ED4" w:rsidRDefault="007E7ED4" w:rsidP="00402580">
      <w:pPr>
        <w:jc w:val="both"/>
        <w:rPr>
          <w:rFonts w:ascii="Arial" w:hAnsi="Arial" w:cs="Arial"/>
          <w:sz w:val="20"/>
          <w:szCs w:val="20"/>
        </w:rPr>
      </w:pPr>
      <w:r w:rsidRPr="00C977FD">
        <w:rPr>
          <w:rFonts w:ascii="Arial" w:hAnsi="Arial" w:cs="Arial"/>
          <w:sz w:val="20"/>
          <w:szCs w:val="20"/>
        </w:rPr>
        <w:t xml:space="preserve">Once the distribution of funds among the regions has been examined, it is necessary to check the distribution of funds </w:t>
      </w:r>
      <w:r w:rsidR="0012524D">
        <w:rPr>
          <w:rFonts w:ascii="Arial" w:hAnsi="Arial" w:cs="Arial"/>
          <w:sz w:val="20"/>
          <w:szCs w:val="20"/>
        </w:rPr>
        <w:t>by</w:t>
      </w:r>
      <w:r w:rsidRPr="00C977FD">
        <w:rPr>
          <w:rFonts w:ascii="Arial" w:hAnsi="Arial" w:cs="Arial"/>
          <w:sz w:val="20"/>
          <w:szCs w:val="20"/>
        </w:rPr>
        <w:t xml:space="preserve"> the project ideas</w:t>
      </w:r>
      <w:r>
        <w:rPr>
          <w:rFonts w:ascii="Arial" w:hAnsi="Arial" w:cs="Arial"/>
          <w:sz w:val="20"/>
          <w:szCs w:val="20"/>
        </w:rPr>
        <w:t xml:space="preserve"> (Graph 6</w:t>
      </w:r>
      <w:r w:rsidR="00AC0119">
        <w:rPr>
          <w:rFonts w:ascii="Arial" w:hAnsi="Arial" w:cs="Arial"/>
          <w:sz w:val="20"/>
          <w:szCs w:val="20"/>
        </w:rPr>
        <w:t>5</w:t>
      </w:r>
      <w:r>
        <w:rPr>
          <w:rFonts w:ascii="Arial" w:hAnsi="Arial" w:cs="Arial"/>
          <w:sz w:val="20"/>
          <w:szCs w:val="20"/>
        </w:rPr>
        <w:t>).</w:t>
      </w:r>
    </w:p>
    <w:p w14:paraId="483AD42D" w14:textId="354F7156" w:rsidR="007E7ED4" w:rsidRDefault="007E7ED4" w:rsidP="007E7ED4">
      <w:pPr>
        <w:pStyle w:val="Caption"/>
      </w:pPr>
      <w:bookmarkStart w:id="385" w:name="_Toc90727401"/>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65</w:t>
      </w:r>
      <w:r w:rsidR="000B273D">
        <w:rPr>
          <w:noProof/>
        </w:rPr>
        <w:fldChar w:fldCharType="end"/>
      </w:r>
      <w:r>
        <w:t xml:space="preserve">: </w:t>
      </w:r>
      <w:r w:rsidRPr="007E7ED4">
        <w:t>Breakdown of project ideas by the requested budget</w:t>
      </w:r>
      <w:bookmarkEnd w:id="385"/>
    </w:p>
    <w:p w14:paraId="50ED3D64" w14:textId="4995A0A9" w:rsidR="007E7ED4" w:rsidRDefault="007E7ED4" w:rsidP="00B018F2">
      <w:pPr>
        <w:spacing w:after="120"/>
        <w:jc w:val="center"/>
        <w:rPr>
          <w:lang w:eastAsia="en-US"/>
        </w:rPr>
      </w:pPr>
      <w:r w:rsidRPr="00C977FD">
        <w:rPr>
          <w:noProof/>
          <w:lang w:val="en-US" w:eastAsia="en-US"/>
        </w:rPr>
        <w:drawing>
          <wp:inline distT="0" distB="0" distL="0" distR="0" wp14:anchorId="54AB14C4" wp14:editId="5528CE2A">
            <wp:extent cx="4590288" cy="2935224"/>
            <wp:effectExtent l="0" t="0" r="1270" b="0"/>
            <wp:docPr id="41" name="Диаграмма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A84846B-B289-42C2-9A8B-8C6649EEBF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p>
    <w:p w14:paraId="35F0C295" w14:textId="7F82C0D3" w:rsidR="00CE713C" w:rsidRDefault="007E7ED4" w:rsidP="008D32D6">
      <w:pPr>
        <w:spacing w:after="120"/>
        <w:jc w:val="both"/>
        <w:rPr>
          <w:rFonts w:ascii="Arial" w:hAnsi="Arial" w:cs="Arial"/>
          <w:sz w:val="20"/>
          <w:szCs w:val="20"/>
          <w:lang w:eastAsia="en-US"/>
        </w:rPr>
      </w:pPr>
      <w:r w:rsidRPr="007E7ED4">
        <w:rPr>
          <w:rFonts w:ascii="Arial" w:hAnsi="Arial" w:cs="Arial"/>
          <w:sz w:val="20"/>
          <w:szCs w:val="20"/>
          <w:lang w:eastAsia="en-US"/>
        </w:rPr>
        <w:t xml:space="preserve">As we can see from the </w:t>
      </w:r>
      <w:r w:rsidR="00F94D6D">
        <w:rPr>
          <w:rFonts w:ascii="Arial" w:hAnsi="Arial" w:cs="Arial"/>
          <w:sz w:val="20"/>
          <w:szCs w:val="20"/>
          <w:lang w:eastAsia="en-US"/>
        </w:rPr>
        <w:t>graphs</w:t>
      </w:r>
      <w:r w:rsidRPr="007E7ED4">
        <w:rPr>
          <w:rFonts w:ascii="Arial" w:hAnsi="Arial" w:cs="Arial"/>
          <w:sz w:val="20"/>
          <w:szCs w:val="20"/>
          <w:lang w:eastAsia="en-US"/>
        </w:rPr>
        <w:t xml:space="preserve">, the 20 largest projects require more than a half of requested funds, while the </w:t>
      </w:r>
      <w:r w:rsidR="00792049" w:rsidRPr="007E7ED4">
        <w:rPr>
          <w:rFonts w:ascii="Arial" w:hAnsi="Arial" w:cs="Arial"/>
          <w:sz w:val="20"/>
          <w:szCs w:val="20"/>
          <w:lang w:eastAsia="en-US"/>
        </w:rPr>
        <w:t>number</w:t>
      </w:r>
      <w:r w:rsidRPr="007E7ED4">
        <w:rPr>
          <w:rFonts w:ascii="Arial" w:hAnsi="Arial" w:cs="Arial"/>
          <w:sz w:val="20"/>
          <w:szCs w:val="20"/>
          <w:lang w:eastAsia="en-US"/>
        </w:rPr>
        <w:t xml:space="preserve"> of jobs they plan to create </w:t>
      </w:r>
      <w:r w:rsidR="0012524D">
        <w:rPr>
          <w:rFonts w:ascii="Arial" w:hAnsi="Arial" w:cs="Arial"/>
          <w:sz w:val="20"/>
          <w:szCs w:val="20"/>
          <w:lang w:eastAsia="en-US"/>
        </w:rPr>
        <w:t>falls a bit short (</w:t>
      </w:r>
      <w:r w:rsidRPr="007E7ED4">
        <w:rPr>
          <w:rFonts w:ascii="Arial" w:hAnsi="Arial" w:cs="Arial"/>
          <w:sz w:val="20"/>
          <w:szCs w:val="20"/>
          <w:lang w:eastAsia="en-US"/>
        </w:rPr>
        <w:t>with the exception of</w:t>
      </w:r>
      <w:r w:rsidR="0012524D">
        <w:rPr>
          <w:rFonts w:ascii="Arial" w:hAnsi="Arial" w:cs="Arial"/>
          <w:sz w:val="20"/>
          <w:szCs w:val="20"/>
          <w:lang w:eastAsia="en-US"/>
        </w:rPr>
        <w:t xml:space="preserve"> the</w:t>
      </w:r>
      <w:r w:rsidRPr="007E7ED4">
        <w:rPr>
          <w:rFonts w:ascii="Arial" w:hAnsi="Arial" w:cs="Arial"/>
          <w:sz w:val="20"/>
          <w:szCs w:val="20"/>
          <w:lang w:eastAsia="en-US"/>
        </w:rPr>
        <w:t xml:space="preserve"> project “Extension of carpentry production capacity from PVC and aluminium profiles” proposed in </w:t>
      </w:r>
      <w:r w:rsidR="003751DC">
        <w:rPr>
          <w:rFonts w:ascii="Arial" w:hAnsi="Arial" w:cs="Arial"/>
          <w:sz w:val="20"/>
          <w:szCs w:val="20"/>
          <w:lang w:eastAsia="en-US"/>
        </w:rPr>
        <w:t>Galați</w:t>
      </w:r>
      <w:r w:rsidRPr="007E7ED4">
        <w:rPr>
          <w:rFonts w:ascii="Arial" w:hAnsi="Arial" w:cs="Arial"/>
          <w:sz w:val="20"/>
          <w:szCs w:val="20"/>
          <w:lang w:eastAsia="en-US"/>
        </w:rPr>
        <w:t xml:space="preserve"> </w:t>
      </w:r>
      <w:r w:rsidR="0012524D">
        <w:rPr>
          <w:rFonts w:ascii="Arial" w:hAnsi="Arial" w:cs="Arial"/>
          <w:sz w:val="20"/>
          <w:szCs w:val="20"/>
          <w:lang w:eastAsia="en-US"/>
        </w:rPr>
        <w:t>that</w:t>
      </w:r>
      <w:r w:rsidRPr="007E7ED4">
        <w:rPr>
          <w:rFonts w:ascii="Arial" w:hAnsi="Arial" w:cs="Arial"/>
          <w:sz w:val="20"/>
          <w:szCs w:val="20"/>
          <w:lang w:eastAsia="en-US"/>
        </w:rPr>
        <w:t xml:space="preserve"> is believed to generate </w:t>
      </w:r>
      <w:r w:rsidR="0012524D">
        <w:rPr>
          <w:rFonts w:ascii="Arial" w:hAnsi="Arial" w:cs="Arial"/>
          <w:sz w:val="20"/>
          <w:szCs w:val="20"/>
          <w:lang w:eastAsia="en-US"/>
        </w:rPr>
        <w:t>approximately</w:t>
      </w:r>
      <w:r w:rsidRPr="007E7ED4">
        <w:rPr>
          <w:rFonts w:ascii="Arial" w:hAnsi="Arial" w:cs="Arial"/>
          <w:sz w:val="20"/>
          <w:szCs w:val="20"/>
          <w:lang w:eastAsia="en-US"/>
        </w:rPr>
        <w:t xml:space="preserve"> 2</w:t>
      </w:r>
      <w:r w:rsidR="0012524D">
        <w:rPr>
          <w:rFonts w:ascii="Arial" w:hAnsi="Arial" w:cs="Arial"/>
          <w:sz w:val="20"/>
          <w:szCs w:val="20"/>
          <w:lang w:eastAsia="en-US"/>
        </w:rPr>
        <w:t>,</w:t>
      </w:r>
      <w:r w:rsidRPr="007E7ED4">
        <w:rPr>
          <w:rFonts w:ascii="Arial" w:hAnsi="Arial" w:cs="Arial"/>
          <w:sz w:val="20"/>
          <w:szCs w:val="20"/>
          <w:lang w:eastAsia="en-US"/>
        </w:rPr>
        <w:t>000 jobs). Therefore, high budget project ideas can potentially cannibali</w:t>
      </w:r>
      <w:r w:rsidR="0012524D">
        <w:rPr>
          <w:rFonts w:ascii="Arial" w:hAnsi="Arial" w:cs="Arial"/>
          <w:sz w:val="20"/>
          <w:szCs w:val="20"/>
          <w:lang w:eastAsia="en-US"/>
        </w:rPr>
        <w:t>s</w:t>
      </w:r>
      <w:r w:rsidRPr="007E7ED4">
        <w:rPr>
          <w:rFonts w:ascii="Arial" w:hAnsi="Arial" w:cs="Arial"/>
          <w:sz w:val="20"/>
          <w:szCs w:val="20"/>
          <w:lang w:eastAsia="en-US"/>
        </w:rPr>
        <w:t xml:space="preserve">e the project ideas focusing on investments in SMEs </w:t>
      </w:r>
      <w:r w:rsidR="0012524D">
        <w:rPr>
          <w:rFonts w:ascii="Arial" w:hAnsi="Arial" w:cs="Arial"/>
          <w:sz w:val="20"/>
          <w:szCs w:val="20"/>
          <w:lang w:eastAsia="en-US"/>
        </w:rPr>
        <w:t>that</w:t>
      </w:r>
      <w:r w:rsidRPr="007E7ED4">
        <w:rPr>
          <w:rFonts w:ascii="Arial" w:hAnsi="Arial" w:cs="Arial"/>
          <w:sz w:val="20"/>
          <w:szCs w:val="20"/>
          <w:lang w:eastAsia="en-US"/>
        </w:rPr>
        <w:t xml:space="preserve"> can </w:t>
      </w:r>
      <w:r w:rsidR="0012524D">
        <w:rPr>
          <w:rFonts w:ascii="Arial" w:hAnsi="Arial" w:cs="Arial"/>
          <w:sz w:val="20"/>
          <w:szCs w:val="20"/>
          <w:lang w:eastAsia="en-US"/>
        </w:rPr>
        <w:t xml:space="preserve">potentially </w:t>
      </w:r>
      <w:r w:rsidRPr="007E7ED4">
        <w:rPr>
          <w:rFonts w:ascii="Arial" w:hAnsi="Arial" w:cs="Arial"/>
          <w:sz w:val="20"/>
          <w:szCs w:val="20"/>
          <w:lang w:eastAsia="en-US"/>
        </w:rPr>
        <w:t>create more jobs.</w:t>
      </w:r>
    </w:p>
    <w:p w14:paraId="38299829" w14:textId="45493A51" w:rsidR="007E7ED4" w:rsidRDefault="0012524D" w:rsidP="008D32D6">
      <w:pPr>
        <w:spacing w:after="120"/>
        <w:jc w:val="both"/>
        <w:rPr>
          <w:rFonts w:ascii="Arial" w:hAnsi="Arial" w:cs="Arial"/>
          <w:sz w:val="20"/>
          <w:szCs w:val="20"/>
          <w:lang w:eastAsia="en-US"/>
        </w:rPr>
      </w:pPr>
      <w:r>
        <w:rPr>
          <w:rFonts w:ascii="Arial" w:hAnsi="Arial" w:cs="Arial"/>
          <w:sz w:val="20"/>
          <w:szCs w:val="20"/>
          <w:lang w:eastAsia="en-US"/>
        </w:rPr>
        <w:t>T</w:t>
      </w:r>
      <w:r w:rsidR="007E7ED4" w:rsidRPr="007E7ED4">
        <w:rPr>
          <w:rFonts w:ascii="Arial" w:hAnsi="Arial" w:cs="Arial"/>
          <w:sz w:val="20"/>
          <w:szCs w:val="20"/>
          <w:lang w:eastAsia="en-US"/>
        </w:rPr>
        <w:t xml:space="preserve">he distribution of funds among the regions and the number of project ideas </w:t>
      </w:r>
      <w:r>
        <w:rPr>
          <w:rFonts w:ascii="Arial" w:hAnsi="Arial" w:cs="Arial"/>
          <w:sz w:val="20"/>
          <w:szCs w:val="20"/>
          <w:lang w:eastAsia="en-US"/>
        </w:rPr>
        <w:t xml:space="preserve">is analysed below </w:t>
      </w:r>
      <w:r w:rsidR="007E7ED4" w:rsidRPr="007E7ED4">
        <w:rPr>
          <w:rFonts w:ascii="Arial" w:hAnsi="Arial" w:cs="Arial"/>
          <w:sz w:val="20"/>
          <w:szCs w:val="20"/>
          <w:lang w:eastAsia="en-US"/>
        </w:rPr>
        <w:t>(</w:t>
      </w:r>
      <w:r w:rsidR="00F94D6D">
        <w:rPr>
          <w:rFonts w:ascii="Arial" w:hAnsi="Arial" w:cs="Arial"/>
          <w:sz w:val="20"/>
          <w:szCs w:val="20"/>
          <w:lang w:eastAsia="en-US"/>
        </w:rPr>
        <w:t>Graphs 6</w:t>
      </w:r>
      <w:r w:rsidR="00AC0119">
        <w:rPr>
          <w:rFonts w:ascii="Arial" w:hAnsi="Arial" w:cs="Arial"/>
          <w:sz w:val="20"/>
          <w:szCs w:val="20"/>
          <w:lang w:eastAsia="en-US"/>
        </w:rPr>
        <w:t>6</w:t>
      </w:r>
      <w:r w:rsidR="00F94D6D">
        <w:rPr>
          <w:rFonts w:ascii="Arial" w:hAnsi="Arial" w:cs="Arial"/>
          <w:sz w:val="20"/>
          <w:szCs w:val="20"/>
          <w:lang w:eastAsia="en-US"/>
        </w:rPr>
        <w:t xml:space="preserve"> and 6</w:t>
      </w:r>
      <w:r w:rsidR="00AC0119">
        <w:rPr>
          <w:rFonts w:ascii="Arial" w:hAnsi="Arial" w:cs="Arial"/>
          <w:sz w:val="20"/>
          <w:szCs w:val="20"/>
          <w:lang w:eastAsia="en-US"/>
        </w:rPr>
        <w:t>7</w:t>
      </w:r>
      <w:r w:rsidR="007E7ED4" w:rsidRPr="007E7ED4">
        <w:rPr>
          <w:rFonts w:ascii="Arial" w:hAnsi="Arial" w:cs="Arial"/>
          <w:sz w:val="20"/>
          <w:szCs w:val="20"/>
          <w:lang w:eastAsia="en-US"/>
        </w:rPr>
        <w:t>).</w:t>
      </w:r>
      <w:r>
        <w:rPr>
          <w:rFonts w:ascii="Arial" w:hAnsi="Arial" w:cs="Arial"/>
          <w:sz w:val="20"/>
          <w:szCs w:val="20"/>
          <w:lang w:eastAsia="en-US"/>
        </w:rPr>
        <w:t xml:space="preserve"> </w:t>
      </w:r>
      <w:r w:rsidR="004F70E0">
        <w:rPr>
          <w:rFonts w:ascii="Arial" w:hAnsi="Arial" w:cs="Arial"/>
          <w:sz w:val="20"/>
          <w:szCs w:val="20"/>
          <w:lang w:eastAsia="en-US"/>
        </w:rPr>
        <w:t>Galați</w:t>
      </w:r>
      <w:r w:rsidR="007E7ED4" w:rsidRPr="007E7ED4">
        <w:rPr>
          <w:rFonts w:ascii="Arial" w:hAnsi="Arial" w:cs="Arial"/>
          <w:sz w:val="20"/>
          <w:szCs w:val="20"/>
          <w:lang w:eastAsia="en-US"/>
        </w:rPr>
        <w:t xml:space="preserve"> requires funds mainly for large projects with more than </w:t>
      </w:r>
      <w:r>
        <w:rPr>
          <w:rFonts w:ascii="Arial" w:hAnsi="Arial" w:cs="Arial"/>
          <w:sz w:val="20"/>
          <w:szCs w:val="20"/>
          <w:lang w:eastAsia="en-US"/>
        </w:rPr>
        <w:t xml:space="preserve">EUR </w:t>
      </w:r>
      <w:r w:rsidR="007E7ED4" w:rsidRPr="007E7ED4">
        <w:rPr>
          <w:rFonts w:ascii="Arial" w:hAnsi="Arial" w:cs="Arial"/>
          <w:sz w:val="20"/>
          <w:szCs w:val="20"/>
          <w:lang w:eastAsia="en-US"/>
        </w:rPr>
        <w:t>100 m budget (7 project ideas require EUR 2,730,000,000). At the same time</w:t>
      </w:r>
      <w:r>
        <w:rPr>
          <w:rFonts w:ascii="Arial" w:hAnsi="Arial" w:cs="Arial"/>
          <w:sz w:val="20"/>
          <w:szCs w:val="20"/>
          <w:lang w:eastAsia="en-US"/>
        </w:rPr>
        <w:t>,</w:t>
      </w:r>
      <w:r w:rsidR="007E7ED4" w:rsidRPr="007E7ED4">
        <w:rPr>
          <w:rFonts w:ascii="Arial" w:hAnsi="Arial" w:cs="Arial"/>
          <w:sz w:val="20"/>
          <w:szCs w:val="20"/>
          <w:lang w:eastAsia="en-US"/>
        </w:rPr>
        <w:t xml:space="preserve"> Gorj requires EUR 366,879,356 for 238 project ideas </w:t>
      </w:r>
      <w:r>
        <w:rPr>
          <w:rFonts w:ascii="Arial" w:hAnsi="Arial" w:cs="Arial"/>
          <w:sz w:val="20"/>
          <w:szCs w:val="20"/>
          <w:lang w:eastAsia="en-US"/>
        </w:rPr>
        <w:t>under</w:t>
      </w:r>
      <w:r w:rsidR="007E7ED4" w:rsidRPr="007E7ED4">
        <w:rPr>
          <w:rFonts w:ascii="Arial" w:hAnsi="Arial" w:cs="Arial"/>
          <w:sz w:val="20"/>
          <w:szCs w:val="20"/>
          <w:lang w:eastAsia="en-US"/>
        </w:rPr>
        <w:t xml:space="preserve"> </w:t>
      </w:r>
      <w:r>
        <w:rPr>
          <w:rFonts w:ascii="Arial" w:hAnsi="Arial" w:cs="Arial"/>
          <w:sz w:val="20"/>
          <w:szCs w:val="20"/>
          <w:lang w:eastAsia="en-US"/>
        </w:rPr>
        <w:t xml:space="preserve">a </w:t>
      </w:r>
      <w:r w:rsidR="007E7ED4" w:rsidRPr="007E7ED4">
        <w:rPr>
          <w:rFonts w:ascii="Arial" w:hAnsi="Arial" w:cs="Arial"/>
          <w:sz w:val="20"/>
          <w:szCs w:val="20"/>
          <w:lang w:eastAsia="en-US"/>
        </w:rPr>
        <w:t>EUR 10 m budget. Project idea descriptions have shown us that project ideas with high budget</w:t>
      </w:r>
      <w:r>
        <w:rPr>
          <w:rFonts w:ascii="Arial" w:hAnsi="Arial" w:cs="Arial"/>
          <w:sz w:val="20"/>
          <w:szCs w:val="20"/>
          <w:lang w:eastAsia="en-US"/>
        </w:rPr>
        <w:t>s</w:t>
      </w:r>
      <w:r w:rsidR="007E7ED4" w:rsidRPr="007E7ED4">
        <w:rPr>
          <w:rFonts w:ascii="Arial" w:hAnsi="Arial" w:cs="Arial"/>
          <w:sz w:val="20"/>
          <w:szCs w:val="20"/>
          <w:lang w:eastAsia="en-US"/>
        </w:rPr>
        <w:t xml:space="preserve"> do not create a lot of jobs. More detailed analysis of job cost for high-budget projects is presented in Table </w:t>
      </w:r>
      <w:r w:rsidR="001C68D2">
        <w:rPr>
          <w:rFonts w:ascii="Arial" w:hAnsi="Arial" w:cs="Arial"/>
          <w:sz w:val="20"/>
          <w:szCs w:val="20"/>
          <w:lang w:eastAsia="en-US"/>
        </w:rPr>
        <w:t>82</w:t>
      </w:r>
      <w:r w:rsidR="007E7ED4" w:rsidRPr="007E7ED4">
        <w:rPr>
          <w:rFonts w:ascii="Arial" w:hAnsi="Arial" w:cs="Arial"/>
          <w:sz w:val="20"/>
          <w:szCs w:val="20"/>
          <w:lang w:eastAsia="en-US"/>
        </w:rPr>
        <w:t>.</w:t>
      </w:r>
    </w:p>
    <w:p w14:paraId="40BCF466" w14:textId="2DDE6E9E" w:rsidR="00CE713C" w:rsidRDefault="00CE713C" w:rsidP="006D6BC9">
      <w:pPr>
        <w:pStyle w:val="Caption"/>
      </w:pPr>
      <w:bookmarkStart w:id="386" w:name="_Toc90727402"/>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66</w:t>
      </w:r>
      <w:r w:rsidR="000B273D">
        <w:rPr>
          <w:noProof/>
        </w:rPr>
        <w:fldChar w:fldCharType="end"/>
      </w:r>
      <w:r>
        <w:t xml:space="preserve">: </w:t>
      </w:r>
      <w:r w:rsidRPr="00CE713C">
        <w:t>The distribution of requested funds among regions and number of project ideas</w:t>
      </w:r>
      <w:bookmarkEnd w:id="386"/>
    </w:p>
    <w:p w14:paraId="55F5A145" w14:textId="407978EB" w:rsidR="00CE713C" w:rsidRDefault="00CE713C" w:rsidP="00810695">
      <w:pPr>
        <w:spacing w:after="120"/>
        <w:jc w:val="both"/>
        <w:rPr>
          <w:rFonts w:ascii="Arial" w:hAnsi="Arial" w:cs="Arial"/>
          <w:sz w:val="20"/>
          <w:szCs w:val="20"/>
          <w:lang w:eastAsia="en-US"/>
        </w:rPr>
      </w:pPr>
      <w:r w:rsidRPr="00C977FD">
        <w:rPr>
          <w:noProof/>
          <w:lang w:val="en-US" w:eastAsia="en-US"/>
        </w:rPr>
        <w:drawing>
          <wp:inline distT="0" distB="0" distL="0" distR="0" wp14:anchorId="3AE98D97" wp14:editId="6060A9C2">
            <wp:extent cx="5676265" cy="3291840"/>
            <wp:effectExtent l="0" t="0" r="635" b="3810"/>
            <wp:docPr id="42" name="Диаграмма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CF07820-4909-40CD-9E27-40869ABC4F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p w14:paraId="37A1B5CA" w14:textId="3E861B1F" w:rsidR="00CE713C" w:rsidRPr="007E7ED4" w:rsidRDefault="00CE713C" w:rsidP="006D6BC9">
      <w:pPr>
        <w:pStyle w:val="Caption"/>
      </w:pPr>
      <w:bookmarkStart w:id="387" w:name="_Toc90727403"/>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67</w:t>
      </w:r>
      <w:r w:rsidR="000B273D">
        <w:rPr>
          <w:noProof/>
        </w:rPr>
        <w:fldChar w:fldCharType="end"/>
      </w:r>
      <w:r>
        <w:t xml:space="preserve">: </w:t>
      </w:r>
      <w:r w:rsidRPr="00CE713C">
        <w:t>The distribution of funds among regions and requested funds</w:t>
      </w:r>
      <w:bookmarkEnd w:id="387"/>
    </w:p>
    <w:p w14:paraId="1FA52F10" w14:textId="499CE554" w:rsidR="00CE713C" w:rsidRDefault="00CE713C" w:rsidP="00810695">
      <w:pPr>
        <w:spacing w:after="120"/>
        <w:jc w:val="both"/>
        <w:rPr>
          <w:rFonts w:ascii="Arial" w:hAnsi="Arial" w:cs="Arial"/>
          <w:sz w:val="20"/>
          <w:szCs w:val="20"/>
        </w:rPr>
      </w:pPr>
      <w:r w:rsidRPr="00C977FD">
        <w:rPr>
          <w:noProof/>
          <w:lang w:val="en-US" w:eastAsia="en-US"/>
        </w:rPr>
        <w:drawing>
          <wp:inline distT="0" distB="0" distL="0" distR="0" wp14:anchorId="4C61FA36" wp14:editId="775D5F40">
            <wp:extent cx="5676265" cy="3316221"/>
            <wp:effectExtent l="0" t="0" r="635" b="17780"/>
            <wp:docPr id="45" name="Диаграмма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0E5497A-EACF-42A9-A9AC-7878051B43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p>
    <w:p w14:paraId="6A0220BE" w14:textId="59A44E71" w:rsidR="0012524D" w:rsidRDefault="00CE713C" w:rsidP="0012524D">
      <w:pPr>
        <w:jc w:val="both"/>
        <w:rPr>
          <w:rFonts w:ascii="Arial" w:hAnsi="Arial" w:cs="Arial"/>
          <w:sz w:val="20"/>
          <w:szCs w:val="20"/>
          <w:lang w:eastAsia="en-US"/>
        </w:rPr>
      </w:pPr>
      <w:r w:rsidRPr="00CE713C">
        <w:rPr>
          <w:rFonts w:ascii="Arial" w:hAnsi="Arial" w:cs="Arial"/>
          <w:sz w:val="20"/>
          <w:szCs w:val="20"/>
        </w:rPr>
        <w:t xml:space="preserve">The job creation cost </w:t>
      </w:r>
      <w:r w:rsidR="0012524D">
        <w:rPr>
          <w:rFonts w:ascii="Arial" w:hAnsi="Arial" w:cs="Arial"/>
          <w:sz w:val="20"/>
          <w:szCs w:val="20"/>
        </w:rPr>
        <w:t>is illustrated</w:t>
      </w:r>
      <w:r w:rsidRPr="00CE713C">
        <w:rPr>
          <w:rFonts w:ascii="Arial" w:hAnsi="Arial" w:cs="Arial"/>
          <w:sz w:val="20"/>
          <w:szCs w:val="20"/>
        </w:rPr>
        <w:t xml:space="preserve"> in the table below</w:t>
      </w:r>
      <w:r>
        <w:rPr>
          <w:rFonts w:ascii="Arial" w:hAnsi="Arial" w:cs="Arial"/>
          <w:sz w:val="20"/>
          <w:szCs w:val="20"/>
        </w:rPr>
        <w:t>.</w:t>
      </w:r>
      <w:r w:rsidR="0012524D">
        <w:rPr>
          <w:rFonts w:ascii="Arial" w:hAnsi="Arial" w:cs="Arial"/>
          <w:sz w:val="20"/>
          <w:szCs w:val="20"/>
        </w:rPr>
        <w:t xml:space="preserve"> </w:t>
      </w:r>
      <w:r w:rsidR="0012524D" w:rsidRPr="006D6BC9">
        <w:rPr>
          <w:rFonts w:ascii="Arial" w:hAnsi="Arial" w:cs="Arial"/>
          <w:sz w:val="20"/>
          <w:szCs w:val="20"/>
          <w:lang w:eastAsia="en-US"/>
        </w:rPr>
        <w:t>According to the W</w:t>
      </w:r>
      <w:r w:rsidR="0012524D">
        <w:rPr>
          <w:rFonts w:ascii="Arial" w:hAnsi="Arial" w:cs="Arial"/>
          <w:sz w:val="20"/>
          <w:szCs w:val="20"/>
          <w:lang w:eastAsia="en-US"/>
        </w:rPr>
        <w:t xml:space="preserve">orld </w:t>
      </w:r>
      <w:r w:rsidR="0012524D" w:rsidRPr="006D6BC9">
        <w:rPr>
          <w:rFonts w:ascii="Arial" w:hAnsi="Arial" w:cs="Arial"/>
          <w:sz w:val="20"/>
          <w:szCs w:val="20"/>
          <w:lang w:eastAsia="en-US"/>
        </w:rPr>
        <w:t>B</w:t>
      </w:r>
      <w:r w:rsidR="0012524D">
        <w:rPr>
          <w:rFonts w:ascii="Arial" w:hAnsi="Arial" w:cs="Arial"/>
          <w:sz w:val="20"/>
          <w:szCs w:val="20"/>
          <w:lang w:eastAsia="en-US"/>
        </w:rPr>
        <w:t>ank</w:t>
      </w:r>
      <w:r w:rsidR="0012524D" w:rsidRPr="006D6BC9">
        <w:rPr>
          <w:rFonts w:ascii="Arial" w:hAnsi="Arial" w:cs="Arial"/>
          <w:sz w:val="20"/>
          <w:szCs w:val="20"/>
          <w:lang w:eastAsia="en-US"/>
        </w:rPr>
        <w:t xml:space="preserve">, average costs of </w:t>
      </w:r>
      <w:r w:rsidR="0012524D">
        <w:rPr>
          <w:rFonts w:ascii="Arial" w:hAnsi="Arial" w:cs="Arial"/>
          <w:sz w:val="20"/>
          <w:szCs w:val="20"/>
          <w:lang w:eastAsia="en-US"/>
        </w:rPr>
        <w:t>a single</w:t>
      </w:r>
      <w:r w:rsidR="0012524D" w:rsidRPr="006D6BC9">
        <w:rPr>
          <w:rFonts w:ascii="Arial" w:hAnsi="Arial" w:cs="Arial"/>
          <w:sz w:val="20"/>
          <w:szCs w:val="20"/>
          <w:lang w:eastAsia="en-US"/>
        </w:rPr>
        <w:t xml:space="preserve"> job creation is EUR 25,000</w:t>
      </w:r>
      <w:r w:rsidR="0012524D">
        <w:rPr>
          <w:rStyle w:val="FootnoteReference"/>
          <w:rFonts w:ascii="Arial" w:hAnsi="Arial" w:cs="Arial"/>
          <w:sz w:val="20"/>
          <w:szCs w:val="20"/>
          <w:lang w:eastAsia="en-US"/>
        </w:rPr>
        <w:footnoteReference w:id="167"/>
      </w:r>
      <w:r w:rsidR="0012524D" w:rsidRPr="006D6BC9">
        <w:rPr>
          <w:rFonts w:ascii="Arial" w:hAnsi="Arial" w:cs="Arial"/>
          <w:sz w:val="20"/>
          <w:szCs w:val="20"/>
          <w:lang w:eastAsia="en-US"/>
        </w:rPr>
        <w:t>. Because high-budget projects create very expensive jobs, it could be possible to establish a limit of funds for one particular project or other type of limit (</w:t>
      </w:r>
      <w:r w:rsidR="0012524D">
        <w:rPr>
          <w:rFonts w:ascii="Arial" w:hAnsi="Arial" w:cs="Arial"/>
          <w:sz w:val="20"/>
          <w:szCs w:val="20"/>
          <w:lang w:eastAsia="en-US"/>
        </w:rPr>
        <w:t>e.g.,</w:t>
      </w:r>
      <w:r w:rsidR="0012524D" w:rsidRPr="006D6BC9">
        <w:rPr>
          <w:rFonts w:ascii="Arial" w:hAnsi="Arial" w:cs="Arial"/>
          <w:sz w:val="20"/>
          <w:szCs w:val="20"/>
          <w:lang w:eastAsia="en-US"/>
        </w:rPr>
        <w:t xml:space="preserve"> high level of co-financing).</w:t>
      </w:r>
    </w:p>
    <w:p w14:paraId="6CDD359D" w14:textId="254F13D6" w:rsidR="00CE713C" w:rsidRDefault="00CE713C" w:rsidP="00CE713C">
      <w:pPr>
        <w:pStyle w:val="Caption"/>
      </w:pPr>
      <w:bookmarkStart w:id="388" w:name="_Toc90726036"/>
      <w:bookmarkStart w:id="389" w:name="_Toc90727333"/>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82</w:t>
      </w:r>
      <w:r w:rsidR="000B273D">
        <w:rPr>
          <w:noProof/>
        </w:rPr>
        <w:fldChar w:fldCharType="end"/>
      </w:r>
      <w:r>
        <w:t xml:space="preserve">: </w:t>
      </w:r>
      <w:r w:rsidRPr="00CE713C">
        <w:t>Calculation of job creation costs</w:t>
      </w:r>
      <w:bookmarkEnd w:id="388"/>
      <w:bookmarkEnd w:id="389"/>
    </w:p>
    <w:tbl>
      <w:tblPr>
        <w:tblStyle w:val="TableGrid"/>
        <w:tblW w:w="5000" w:type="pct"/>
        <w:tblLook w:val="04A0" w:firstRow="1" w:lastRow="0" w:firstColumn="1" w:lastColumn="0" w:noHBand="0" w:noVBand="1"/>
      </w:tblPr>
      <w:tblGrid>
        <w:gridCol w:w="2433"/>
        <w:gridCol w:w="1390"/>
        <w:gridCol w:w="1254"/>
        <w:gridCol w:w="1295"/>
        <w:gridCol w:w="1289"/>
        <w:gridCol w:w="1268"/>
      </w:tblGrid>
      <w:tr w:rsidR="00211FDD" w:rsidRPr="00C977FD" w14:paraId="576AA0CE" w14:textId="77777777" w:rsidTr="00AE4CCC">
        <w:trPr>
          <w:tblHeader/>
        </w:trPr>
        <w:tc>
          <w:tcPr>
            <w:tcW w:w="1362" w:type="pct"/>
            <w:shd w:val="clear" w:color="auto" w:fill="002060"/>
            <w:vAlign w:val="center"/>
          </w:tcPr>
          <w:p w14:paraId="20C4F0E8" w14:textId="77777777" w:rsidR="00CE713C" w:rsidRPr="006D6BC9" w:rsidRDefault="00CE713C" w:rsidP="00EE02DE">
            <w:pPr>
              <w:spacing w:before="60" w:after="60"/>
              <w:jc w:val="center"/>
              <w:rPr>
                <w:rFonts w:ascii="Arial" w:hAnsi="Arial" w:cs="Arial"/>
                <w:b/>
                <w:bCs/>
                <w:color w:val="FFFFFF" w:themeColor="background1"/>
                <w:sz w:val="18"/>
                <w:szCs w:val="18"/>
                <w:lang w:val="en-US"/>
              </w:rPr>
            </w:pPr>
            <w:r w:rsidRPr="006D6BC9">
              <w:rPr>
                <w:rFonts w:ascii="Arial" w:hAnsi="Arial" w:cs="Arial"/>
                <w:b/>
                <w:bCs/>
                <w:color w:val="FFFFFF" w:themeColor="background1"/>
                <w:sz w:val="18"/>
                <w:szCs w:val="18"/>
                <w:lang w:val="en-US"/>
              </w:rPr>
              <w:t>Project name</w:t>
            </w:r>
          </w:p>
        </w:tc>
        <w:tc>
          <w:tcPr>
            <w:tcW w:w="778" w:type="pct"/>
            <w:shd w:val="clear" w:color="auto" w:fill="002060"/>
            <w:vAlign w:val="center"/>
          </w:tcPr>
          <w:p w14:paraId="3E5AB937" w14:textId="77777777" w:rsidR="00CE713C" w:rsidRPr="006D6BC9" w:rsidRDefault="00CE713C" w:rsidP="00792049">
            <w:pPr>
              <w:spacing w:before="60" w:after="60"/>
              <w:jc w:val="center"/>
              <w:rPr>
                <w:rFonts w:ascii="Arial" w:hAnsi="Arial" w:cs="Arial"/>
                <w:b/>
                <w:bCs/>
                <w:color w:val="FFFFFF" w:themeColor="background1"/>
                <w:sz w:val="18"/>
                <w:szCs w:val="18"/>
                <w:lang w:val="en-US"/>
              </w:rPr>
            </w:pPr>
            <w:r w:rsidRPr="006D6BC9">
              <w:rPr>
                <w:rFonts w:ascii="Arial" w:hAnsi="Arial" w:cs="Arial"/>
                <w:b/>
                <w:bCs/>
                <w:color w:val="FFFFFF" w:themeColor="background1"/>
                <w:sz w:val="18"/>
                <w:szCs w:val="18"/>
                <w:lang w:val="en-US"/>
              </w:rPr>
              <w:t>Project budget</w:t>
            </w:r>
          </w:p>
        </w:tc>
        <w:tc>
          <w:tcPr>
            <w:tcW w:w="702" w:type="pct"/>
            <w:shd w:val="clear" w:color="auto" w:fill="002060"/>
            <w:vAlign w:val="center"/>
          </w:tcPr>
          <w:p w14:paraId="39805104" w14:textId="77777777" w:rsidR="00CE713C" w:rsidRPr="006D6BC9" w:rsidRDefault="00CE713C" w:rsidP="00792049">
            <w:pPr>
              <w:spacing w:before="60" w:after="60"/>
              <w:jc w:val="center"/>
              <w:rPr>
                <w:rFonts w:ascii="Arial" w:hAnsi="Arial" w:cs="Arial"/>
                <w:b/>
                <w:bCs/>
                <w:color w:val="FFFFFF" w:themeColor="background1"/>
                <w:sz w:val="18"/>
                <w:szCs w:val="18"/>
                <w:lang w:val="en-US"/>
              </w:rPr>
            </w:pPr>
            <w:r w:rsidRPr="006D6BC9">
              <w:rPr>
                <w:rFonts w:ascii="Arial" w:hAnsi="Arial" w:cs="Arial"/>
                <w:b/>
                <w:bCs/>
                <w:color w:val="FFFFFF" w:themeColor="background1"/>
                <w:sz w:val="18"/>
                <w:szCs w:val="18"/>
                <w:lang w:val="en-US"/>
              </w:rPr>
              <w:t>New direct workplaces expected to be created</w:t>
            </w:r>
          </w:p>
        </w:tc>
        <w:tc>
          <w:tcPr>
            <w:tcW w:w="725" w:type="pct"/>
            <w:shd w:val="clear" w:color="auto" w:fill="002060"/>
            <w:vAlign w:val="center"/>
          </w:tcPr>
          <w:p w14:paraId="0AB0DEB9" w14:textId="77777777" w:rsidR="00CE713C" w:rsidRPr="006D6BC9" w:rsidRDefault="00CE713C" w:rsidP="00792049">
            <w:pPr>
              <w:spacing w:before="60" w:after="60"/>
              <w:jc w:val="center"/>
              <w:rPr>
                <w:rFonts w:ascii="Arial" w:hAnsi="Arial" w:cs="Arial"/>
                <w:b/>
                <w:bCs/>
                <w:color w:val="FFFFFF" w:themeColor="background1"/>
                <w:sz w:val="18"/>
                <w:szCs w:val="18"/>
                <w:lang w:val="en-US"/>
              </w:rPr>
            </w:pPr>
            <w:r w:rsidRPr="006D6BC9">
              <w:rPr>
                <w:rFonts w:ascii="Arial" w:hAnsi="Arial" w:cs="Arial"/>
                <w:b/>
                <w:bCs/>
                <w:color w:val="FFFFFF" w:themeColor="background1"/>
                <w:sz w:val="18"/>
                <w:szCs w:val="18"/>
                <w:lang w:val="en-US"/>
              </w:rPr>
              <w:t>Workplace creation cost, EUR/WP</w:t>
            </w:r>
          </w:p>
        </w:tc>
        <w:tc>
          <w:tcPr>
            <w:tcW w:w="722" w:type="pct"/>
            <w:shd w:val="clear" w:color="auto" w:fill="002060"/>
            <w:vAlign w:val="center"/>
          </w:tcPr>
          <w:p w14:paraId="3E5D11A2" w14:textId="77777777" w:rsidR="00CE713C" w:rsidRPr="006D6BC9" w:rsidRDefault="00CE713C" w:rsidP="00792049">
            <w:pPr>
              <w:spacing w:before="60" w:after="60"/>
              <w:jc w:val="center"/>
              <w:rPr>
                <w:rFonts w:ascii="Arial" w:hAnsi="Arial" w:cs="Arial"/>
                <w:b/>
                <w:bCs/>
                <w:color w:val="FFFFFF" w:themeColor="background1"/>
                <w:sz w:val="18"/>
                <w:szCs w:val="18"/>
                <w:lang w:val="en-US"/>
              </w:rPr>
            </w:pPr>
            <w:r w:rsidRPr="006D6BC9">
              <w:rPr>
                <w:rFonts w:ascii="Arial" w:hAnsi="Arial" w:cs="Arial"/>
                <w:b/>
                <w:bCs/>
                <w:color w:val="FFFFFF" w:themeColor="background1"/>
                <w:sz w:val="18"/>
                <w:szCs w:val="18"/>
                <w:lang w:val="en-US"/>
              </w:rPr>
              <w:t>Region of origin</w:t>
            </w:r>
          </w:p>
        </w:tc>
        <w:tc>
          <w:tcPr>
            <w:tcW w:w="710" w:type="pct"/>
            <w:shd w:val="clear" w:color="auto" w:fill="002060"/>
            <w:vAlign w:val="center"/>
          </w:tcPr>
          <w:p w14:paraId="137A570F" w14:textId="77C897E7" w:rsidR="00CE713C" w:rsidRPr="006D6BC9" w:rsidRDefault="00810695" w:rsidP="00792049">
            <w:pPr>
              <w:spacing w:before="60" w:after="60"/>
              <w:jc w:val="center"/>
              <w:rPr>
                <w:rFonts w:ascii="Arial" w:hAnsi="Arial" w:cs="Arial"/>
                <w:b/>
                <w:bCs/>
                <w:color w:val="FFFFFF" w:themeColor="background1"/>
                <w:sz w:val="18"/>
                <w:szCs w:val="18"/>
                <w:lang w:val="en-US"/>
              </w:rPr>
            </w:pPr>
            <w:r>
              <w:rPr>
                <w:rFonts w:ascii="Arial" w:hAnsi="Arial" w:cs="Arial"/>
                <w:b/>
                <w:bCs/>
                <w:color w:val="FFFFFF" w:themeColor="background1"/>
                <w:sz w:val="18"/>
                <w:szCs w:val="18"/>
                <w:lang w:val="en-US"/>
              </w:rPr>
              <w:t>Name</w:t>
            </w:r>
            <w:r w:rsidR="00CE713C" w:rsidRPr="006D6BC9">
              <w:rPr>
                <w:rFonts w:ascii="Arial" w:hAnsi="Arial" w:cs="Arial"/>
                <w:b/>
                <w:bCs/>
                <w:color w:val="FFFFFF" w:themeColor="background1"/>
                <w:sz w:val="18"/>
                <w:szCs w:val="18"/>
                <w:lang w:val="en-US"/>
              </w:rPr>
              <w:t xml:space="preserve"> of</w:t>
            </w:r>
            <w:r>
              <w:rPr>
                <w:rFonts w:ascii="Arial" w:hAnsi="Arial" w:cs="Arial"/>
                <w:b/>
                <w:bCs/>
                <w:color w:val="FFFFFF" w:themeColor="background1"/>
                <w:sz w:val="18"/>
                <w:szCs w:val="18"/>
                <w:lang w:val="en-US"/>
              </w:rPr>
              <w:t xml:space="preserve"> the</w:t>
            </w:r>
            <w:r w:rsidR="00CE713C" w:rsidRPr="006D6BC9">
              <w:rPr>
                <w:rFonts w:ascii="Arial" w:hAnsi="Arial" w:cs="Arial"/>
                <w:b/>
                <w:bCs/>
                <w:color w:val="FFFFFF" w:themeColor="background1"/>
                <w:sz w:val="18"/>
                <w:szCs w:val="18"/>
                <w:lang w:val="en-US"/>
              </w:rPr>
              <w:t xml:space="preserve"> project proponent</w:t>
            </w:r>
          </w:p>
        </w:tc>
      </w:tr>
      <w:tr w:rsidR="00CE713C" w:rsidRPr="00C977FD" w14:paraId="36682D8C" w14:textId="77777777" w:rsidTr="00792049">
        <w:tc>
          <w:tcPr>
            <w:tcW w:w="1362" w:type="pct"/>
            <w:vAlign w:val="center"/>
          </w:tcPr>
          <w:p w14:paraId="30A7EE2E"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Extension of carpentry production capacity from PVC and aluminium profiles</w:t>
            </w:r>
          </w:p>
        </w:tc>
        <w:tc>
          <w:tcPr>
            <w:tcW w:w="778" w:type="pct"/>
            <w:vAlign w:val="center"/>
          </w:tcPr>
          <w:p w14:paraId="35693167"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€ 347,547,500</w:t>
            </w:r>
          </w:p>
        </w:tc>
        <w:tc>
          <w:tcPr>
            <w:tcW w:w="702" w:type="pct"/>
            <w:vAlign w:val="center"/>
          </w:tcPr>
          <w:p w14:paraId="1F991C54"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1915</w:t>
            </w:r>
          </w:p>
        </w:tc>
        <w:tc>
          <w:tcPr>
            <w:tcW w:w="725" w:type="pct"/>
            <w:vAlign w:val="center"/>
          </w:tcPr>
          <w:p w14:paraId="4FE0892C"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181</w:t>
            </w:r>
            <w:r w:rsidRPr="00C977FD">
              <w:rPr>
                <w:rFonts w:ascii="Arial" w:hAnsi="Arial" w:cs="Arial"/>
                <w:color w:val="000000"/>
                <w:sz w:val="18"/>
                <w:szCs w:val="18"/>
                <w:lang w:val="en-US"/>
              </w:rPr>
              <w:t>,</w:t>
            </w:r>
            <w:r w:rsidRPr="00C977FD">
              <w:rPr>
                <w:rFonts w:ascii="Arial" w:hAnsi="Arial" w:cs="Arial"/>
                <w:color w:val="000000"/>
                <w:sz w:val="18"/>
                <w:szCs w:val="18"/>
              </w:rPr>
              <w:t>487</w:t>
            </w:r>
          </w:p>
        </w:tc>
        <w:tc>
          <w:tcPr>
            <w:tcW w:w="722" w:type="pct"/>
            <w:vAlign w:val="center"/>
          </w:tcPr>
          <w:p w14:paraId="73FB41D6" w14:textId="300C7820" w:rsidR="00CE713C" w:rsidRPr="00C977FD" w:rsidRDefault="003751DC" w:rsidP="00792049">
            <w:pPr>
              <w:jc w:val="center"/>
              <w:rPr>
                <w:rFonts w:ascii="Arial" w:hAnsi="Arial" w:cs="Arial"/>
                <w:color w:val="000000"/>
                <w:sz w:val="18"/>
                <w:szCs w:val="18"/>
              </w:rPr>
            </w:pPr>
            <w:r>
              <w:rPr>
                <w:rFonts w:ascii="Arial" w:hAnsi="Arial" w:cs="Arial"/>
                <w:color w:val="000000"/>
                <w:sz w:val="18"/>
                <w:szCs w:val="18"/>
              </w:rPr>
              <w:t>Galați</w:t>
            </w:r>
          </w:p>
        </w:tc>
        <w:tc>
          <w:tcPr>
            <w:tcW w:w="710" w:type="pct"/>
            <w:vAlign w:val="center"/>
          </w:tcPr>
          <w:p w14:paraId="09199B51"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CASA NOASTRA SRL</w:t>
            </w:r>
          </w:p>
        </w:tc>
      </w:tr>
      <w:tr w:rsidR="00CE713C" w:rsidRPr="00C977FD" w14:paraId="4EEC7896" w14:textId="77777777" w:rsidTr="00792049">
        <w:tc>
          <w:tcPr>
            <w:tcW w:w="1362" w:type="pct"/>
            <w:vAlign w:val="center"/>
          </w:tcPr>
          <w:p w14:paraId="55A81366"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DRI - Superconcentrated iron ore factory</w:t>
            </w:r>
          </w:p>
        </w:tc>
        <w:tc>
          <w:tcPr>
            <w:tcW w:w="778" w:type="pct"/>
            <w:vAlign w:val="center"/>
          </w:tcPr>
          <w:p w14:paraId="2BFD0B18"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€ 500,000,000</w:t>
            </w:r>
          </w:p>
        </w:tc>
        <w:tc>
          <w:tcPr>
            <w:tcW w:w="702" w:type="pct"/>
            <w:vAlign w:val="center"/>
          </w:tcPr>
          <w:p w14:paraId="259F65CC"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216</w:t>
            </w:r>
            <w:r w:rsidRPr="00C977FD">
              <w:rPr>
                <w:rStyle w:val="FootnoteReference"/>
                <w:rFonts w:ascii="Arial" w:hAnsi="Arial" w:cs="Arial"/>
                <w:color w:val="000000"/>
                <w:sz w:val="18"/>
                <w:szCs w:val="18"/>
              </w:rPr>
              <w:footnoteReference w:id="168"/>
            </w:r>
          </w:p>
        </w:tc>
        <w:tc>
          <w:tcPr>
            <w:tcW w:w="725" w:type="pct"/>
            <w:vAlign w:val="center"/>
          </w:tcPr>
          <w:p w14:paraId="6F1100EC"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2</w:t>
            </w:r>
            <w:r w:rsidRPr="00C977FD">
              <w:rPr>
                <w:rFonts w:ascii="Arial" w:hAnsi="Arial" w:cs="Arial"/>
                <w:color w:val="000000"/>
                <w:sz w:val="18"/>
                <w:szCs w:val="18"/>
                <w:lang w:val="en-US"/>
              </w:rPr>
              <w:t>,</w:t>
            </w:r>
            <w:r w:rsidRPr="00C977FD">
              <w:rPr>
                <w:rFonts w:ascii="Arial" w:hAnsi="Arial" w:cs="Arial"/>
                <w:color w:val="000000"/>
                <w:sz w:val="18"/>
                <w:szCs w:val="18"/>
              </w:rPr>
              <w:t>314</w:t>
            </w:r>
            <w:r w:rsidRPr="00C977FD">
              <w:rPr>
                <w:rFonts w:ascii="Arial" w:hAnsi="Arial" w:cs="Arial"/>
                <w:color w:val="000000"/>
                <w:sz w:val="18"/>
                <w:szCs w:val="18"/>
                <w:lang w:val="en-US"/>
              </w:rPr>
              <w:t>,</w:t>
            </w:r>
            <w:r w:rsidRPr="00C977FD">
              <w:rPr>
                <w:rFonts w:ascii="Arial" w:hAnsi="Arial" w:cs="Arial"/>
                <w:color w:val="000000"/>
                <w:sz w:val="18"/>
                <w:szCs w:val="18"/>
              </w:rPr>
              <w:t>815</w:t>
            </w:r>
          </w:p>
        </w:tc>
        <w:tc>
          <w:tcPr>
            <w:tcW w:w="722" w:type="pct"/>
            <w:vAlign w:val="center"/>
          </w:tcPr>
          <w:p w14:paraId="7A5D5850" w14:textId="02CFCDC8" w:rsidR="00CE713C" w:rsidRPr="00C977FD" w:rsidRDefault="003751DC" w:rsidP="00792049">
            <w:pPr>
              <w:jc w:val="center"/>
              <w:rPr>
                <w:rFonts w:ascii="Arial" w:hAnsi="Arial" w:cs="Arial"/>
                <w:color w:val="000000"/>
                <w:sz w:val="18"/>
                <w:szCs w:val="18"/>
              </w:rPr>
            </w:pPr>
            <w:r>
              <w:rPr>
                <w:rFonts w:ascii="Arial" w:hAnsi="Arial" w:cs="Arial"/>
                <w:color w:val="000000"/>
                <w:sz w:val="18"/>
                <w:szCs w:val="18"/>
              </w:rPr>
              <w:t>Galați</w:t>
            </w:r>
          </w:p>
        </w:tc>
        <w:tc>
          <w:tcPr>
            <w:tcW w:w="710" w:type="pct"/>
            <w:vAlign w:val="center"/>
          </w:tcPr>
          <w:p w14:paraId="6A11FB8E" w14:textId="64D27C3E"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 xml:space="preserve">Liberty </w:t>
            </w:r>
            <w:r w:rsidR="003751DC">
              <w:rPr>
                <w:rFonts w:ascii="Arial" w:hAnsi="Arial" w:cs="Arial"/>
                <w:color w:val="000000"/>
                <w:sz w:val="18"/>
                <w:szCs w:val="18"/>
              </w:rPr>
              <w:t>Galați</w:t>
            </w:r>
            <w:r w:rsidRPr="00C977FD">
              <w:rPr>
                <w:rFonts w:ascii="Arial" w:hAnsi="Arial" w:cs="Arial"/>
                <w:color w:val="000000"/>
                <w:sz w:val="18"/>
                <w:szCs w:val="18"/>
              </w:rPr>
              <w:t xml:space="preserve"> S.A</w:t>
            </w:r>
            <w:r w:rsidR="00810695">
              <w:rPr>
                <w:rFonts w:ascii="Arial" w:hAnsi="Arial" w:cs="Arial"/>
                <w:color w:val="000000"/>
                <w:sz w:val="18"/>
                <w:szCs w:val="18"/>
              </w:rPr>
              <w:t>,</w:t>
            </w:r>
          </w:p>
        </w:tc>
      </w:tr>
      <w:tr w:rsidR="00CE713C" w:rsidRPr="00C977FD" w14:paraId="14768399" w14:textId="77777777" w:rsidTr="00792049">
        <w:tc>
          <w:tcPr>
            <w:tcW w:w="1362" w:type="pct"/>
            <w:vAlign w:val="center"/>
          </w:tcPr>
          <w:p w14:paraId="60DAF1F3"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Construction of a CCGT power plant</w:t>
            </w:r>
          </w:p>
        </w:tc>
        <w:tc>
          <w:tcPr>
            <w:tcW w:w="778" w:type="pct"/>
            <w:vAlign w:val="center"/>
          </w:tcPr>
          <w:p w14:paraId="4A80E0DA"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€ 600,000,000</w:t>
            </w:r>
          </w:p>
        </w:tc>
        <w:tc>
          <w:tcPr>
            <w:tcW w:w="702" w:type="pct"/>
            <w:vAlign w:val="center"/>
          </w:tcPr>
          <w:p w14:paraId="4D3EE269"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100</w:t>
            </w:r>
          </w:p>
        </w:tc>
        <w:tc>
          <w:tcPr>
            <w:tcW w:w="725" w:type="pct"/>
            <w:vAlign w:val="center"/>
          </w:tcPr>
          <w:p w14:paraId="0080C079"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6</w:t>
            </w:r>
            <w:r w:rsidRPr="00C977FD">
              <w:rPr>
                <w:rFonts w:ascii="Arial" w:hAnsi="Arial" w:cs="Arial"/>
                <w:color w:val="000000"/>
                <w:sz w:val="18"/>
                <w:szCs w:val="18"/>
                <w:lang w:val="en-US"/>
              </w:rPr>
              <w:t>,</w:t>
            </w:r>
            <w:r w:rsidRPr="00C977FD">
              <w:rPr>
                <w:rFonts w:ascii="Arial" w:hAnsi="Arial" w:cs="Arial"/>
                <w:color w:val="000000"/>
                <w:sz w:val="18"/>
                <w:szCs w:val="18"/>
              </w:rPr>
              <w:t>000</w:t>
            </w:r>
            <w:r w:rsidRPr="00C977FD">
              <w:rPr>
                <w:rFonts w:ascii="Arial" w:hAnsi="Arial" w:cs="Arial"/>
                <w:color w:val="000000"/>
                <w:sz w:val="18"/>
                <w:szCs w:val="18"/>
                <w:lang w:val="en-US"/>
              </w:rPr>
              <w:t>,</w:t>
            </w:r>
            <w:r w:rsidRPr="00C977FD">
              <w:rPr>
                <w:rFonts w:ascii="Arial" w:hAnsi="Arial" w:cs="Arial"/>
                <w:color w:val="000000"/>
                <w:sz w:val="18"/>
                <w:szCs w:val="18"/>
              </w:rPr>
              <w:t>000</w:t>
            </w:r>
          </w:p>
        </w:tc>
        <w:tc>
          <w:tcPr>
            <w:tcW w:w="722" w:type="pct"/>
            <w:vAlign w:val="center"/>
          </w:tcPr>
          <w:p w14:paraId="66648BC4" w14:textId="69FB5914" w:rsidR="00CE713C" w:rsidRPr="00C977FD" w:rsidRDefault="003751DC" w:rsidP="00792049">
            <w:pPr>
              <w:jc w:val="center"/>
              <w:rPr>
                <w:rFonts w:ascii="Arial" w:hAnsi="Arial" w:cs="Arial"/>
                <w:color w:val="000000"/>
                <w:sz w:val="18"/>
                <w:szCs w:val="18"/>
              </w:rPr>
            </w:pPr>
            <w:r>
              <w:rPr>
                <w:rFonts w:ascii="Arial" w:hAnsi="Arial" w:cs="Arial"/>
                <w:color w:val="000000"/>
                <w:sz w:val="18"/>
                <w:szCs w:val="18"/>
              </w:rPr>
              <w:t>Galați</w:t>
            </w:r>
          </w:p>
        </w:tc>
        <w:tc>
          <w:tcPr>
            <w:tcW w:w="710" w:type="pct"/>
            <w:vAlign w:val="center"/>
          </w:tcPr>
          <w:p w14:paraId="3A52C5AE" w14:textId="73D3FEA1"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 xml:space="preserve">Liberty </w:t>
            </w:r>
            <w:r w:rsidR="003751DC">
              <w:rPr>
                <w:rFonts w:ascii="Arial" w:hAnsi="Arial" w:cs="Arial"/>
                <w:color w:val="000000"/>
                <w:sz w:val="18"/>
                <w:szCs w:val="18"/>
              </w:rPr>
              <w:t>Galați</w:t>
            </w:r>
            <w:r w:rsidRPr="00C977FD">
              <w:rPr>
                <w:rFonts w:ascii="Arial" w:hAnsi="Arial" w:cs="Arial"/>
                <w:color w:val="000000"/>
                <w:sz w:val="18"/>
                <w:szCs w:val="18"/>
              </w:rPr>
              <w:t xml:space="preserve"> S.A</w:t>
            </w:r>
            <w:r w:rsidR="00810695">
              <w:rPr>
                <w:rFonts w:ascii="Arial" w:hAnsi="Arial" w:cs="Arial"/>
                <w:color w:val="000000"/>
                <w:sz w:val="18"/>
                <w:szCs w:val="18"/>
              </w:rPr>
              <w:t>,</w:t>
            </w:r>
          </w:p>
        </w:tc>
      </w:tr>
      <w:tr w:rsidR="00CE713C" w:rsidRPr="00C977FD" w14:paraId="669683C8" w14:textId="77777777" w:rsidTr="00792049">
        <w:tc>
          <w:tcPr>
            <w:tcW w:w="1362" w:type="pct"/>
            <w:vAlign w:val="center"/>
          </w:tcPr>
          <w:p w14:paraId="21A340D4"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Construction of the Wind Power Plant. (204 wind turbines)</w:t>
            </w:r>
          </w:p>
        </w:tc>
        <w:tc>
          <w:tcPr>
            <w:tcW w:w="778" w:type="pct"/>
            <w:vAlign w:val="center"/>
          </w:tcPr>
          <w:p w14:paraId="0EFAB9FE"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€ 850,000,000</w:t>
            </w:r>
          </w:p>
        </w:tc>
        <w:tc>
          <w:tcPr>
            <w:tcW w:w="702" w:type="pct"/>
            <w:vAlign w:val="center"/>
          </w:tcPr>
          <w:p w14:paraId="43BE08DC"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30</w:t>
            </w:r>
          </w:p>
        </w:tc>
        <w:tc>
          <w:tcPr>
            <w:tcW w:w="725" w:type="pct"/>
            <w:vAlign w:val="center"/>
          </w:tcPr>
          <w:p w14:paraId="6C66B39D"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28</w:t>
            </w:r>
            <w:r w:rsidRPr="00C977FD">
              <w:rPr>
                <w:rFonts w:ascii="Arial" w:hAnsi="Arial" w:cs="Arial"/>
                <w:color w:val="000000"/>
                <w:sz w:val="18"/>
                <w:szCs w:val="18"/>
                <w:lang w:val="en-US"/>
              </w:rPr>
              <w:t>,</w:t>
            </w:r>
            <w:r w:rsidRPr="00C977FD">
              <w:rPr>
                <w:rFonts w:ascii="Arial" w:hAnsi="Arial" w:cs="Arial"/>
                <w:color w:val="000000"/>
                <w:sz w:val="18"/>
                <w:szCs w:val="18"/>
              </w:rPr>
              <w:t>333</w:t>
            </w:r>
            <w:r w:rsidRPr="00C977FD">
              <w:rPr>
                <w:rFonts w:ascii="Arial" w:hAnsi="Arial" w:cs="Arial"/>
                <w:color w:val="000000"/>
                <w:sz w:val="18"/>
                <w:szCs w:val="18"/>
                <w:lang w:val="en-US"/>
              </w:rPr>
              <w:t>,</w:t>
            </w:r>
            <w:r w:rsidRPr="00C977FD">
              <w:rPr>
                <w:rFonts w:ascii="Arial" w:hAnsi="Arial" w:cs="Arial"/>
                <w:color w:val="000000"/>
                <w:sz w:val="18"/>
                <w:szCs w:val="18"/>
              </w:rPr>
              <w:t>333</w:t>
            </w:r>
          </w:p>
        </w:tc>
        <w:tc>
          <w:tcPr>
            <w:tcW w:w="722" w:type="pct"/>
            <w:vAlign w:val="center"/>
          </w:tcPr>
          <w:p w14:paraId="3B058A1E" w14:textId="56A9BA50" w:rsidR="00CE713C" w:rsidRPr="00C977FD" w:rsidRDefault="003751DC" w:rsidP="00792049">
            <w:pPr>
              <w:jc w:val="center"/>
              <w:rPr>
                <w:rFonts w:ascii="Arial" w:hAnsi="Arial" w:cs="Arial"/>
                <w:color w:val="000000"/>
                <w:sz w:val="18"/>
                <w:szCs w:val="18"/>
              </w:rPr>
            </w:pPr>
            <w:r>
              <w:rPr>
                <w:rFonts w:ascii="Arial" w:hAnsi="Arial" w:cs="Arial"/>
                <w:color w:val="000000"/>
                <w:sz w:val="18"/>
                <w:szCs w:val="18"/>
              </w:rPr>
              <w:t>Galați</w:t>
            </w:r>
          </w:p>
        </w:tc>
        <w:tc>
          <w:tcPr>
            <w:tcW w:w="710" w:type="pct"/>
            <w:vAlign w:val="center"/>
          </w:tcPr>
          <w:p w14:paraId="5E9072F2" w14:textId="3AE9EB6A"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Hoopeks International SRL</w:t>
            </w:r>
          </w:p>
        </w:tc>
      </w:tr>
      <w:tr w:rsidR="00CE713C" w:rsidRPr="00C977FD" w14:paraId="776F2950" w14:textId="77777777" w:rsidTr="00792049">
        <w:tc>
          <w:tcPr>
            <w:tcW w:w="1362" w:type="pct"/>
            <w:vAlign w:val="center"/>
          </w:tcPr>
          <w:p w14:paraId="374A6FA4"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Development and promotion of the Ski Area in the Jiu Valley viable alternative to the closure of the mining sector</w:t>
            </w:r>
          </w:p>
        </w:tc>
        <w:tc>
          <w:tcPr>
            <w:tcW w:w="778" w:type="pct"/>
            <w:vAlign w:val="center"/>
          </w:tcPr>
          <w:p w14:paraId="3DA9B434"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€ 300,000,000</w:t>
            </w:r>
          </w:p>
        </w:tc>
        <w:tc>
          <w:tcPr>
            <w:tcW w:w="702" w:type="pct"/>
            <w:vAlign w:val="center"/>
          </w:tcPr>
          <w:p w14:paraId="32730FA0"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100</w:t>
            </w:r>
          </w:p>
        </w:tc>
        <w:tc>
          <w:tcPr>
            <w:tcW w:w="725" w:type="pct"/>
            <w:vAlign w:val="center"/>
          </w:tcPr>
          <w:p w14:paraId="032B33B6"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3</w:t>
            </w:r>
            <w:r w:rsidRPr="00C977FD">
              <w:rPr>
                <w:rFonts w:ascii="Arial" w:hAnsi="Arial" w:cs="Arial"/>
                <w:color w:val="000000"/>
                <w:sz w:val="18"/>
                <w:szCs w:val="18"/>
                <w:lang w:val="en-US"/>
              </w:rPr>
              <w:t>,</w:t>
            </w:r>
            <w:r w:rsidRPr="00C977FD">
              <w:rPr>
                <w:rFonts w:ascii="Arial" w:hAnsi="Arial" w:cs="Arial"/>
                <w:color w:val="000000"/>
                <w:sz w:val="18"/>
                <w:szCs w:val="18"/>
              </w:rPr>
              <w:t>000</w:t>
            </w:r>
            <w:r w:rsidRPr="00C977FD">
              <w:rPr>
                <w:rFonts w:ascii="Arial" w:hAnsi="Arial" w:cs="Arial"/>
                <w:color w:val="000000"/>
                <w:sz w:val="18"/>
                <w:szCs w:val="18"/>
                <w:lang w:val="en-US"/>
              </w:rPr>
              <w:t>,</w:t>
            </w:r>
            <w:r w:rsidRPr="00C977FD">
              <w:rPr>
                <w:rFonts w:ascii="Arial" w:hAnsi="Arial" w:cs="Arial"/>
                <w:color w:val="000000"/>
                <w:sz w:val="18"/>
                <w:szCs w:val="18"/>
              </w:rPr>
              <w:t>000</w:t>
            </w:r>
          </w:p>
        </w:tc>
        <w:tc>
          <w:tcPr>
            <w:tcW w:w="722" w:type="pct"/>
            <w:vAlign w:val="center"/>
          </w:tcPr>
          <w:p w14:paraId="2B6B84A4"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Hunedoara</w:t>
            </w:r>
          </w:p>
        </w:tc>
        <w:tc>
          <w:tcPr>
            <w:tcW w:w="710" w:type="pct"/>
            <w:vAlign w:val="center"/>
          </w:tcPr>
          <w:p w14:paraId="56CC51E9"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The town of Hunedoara</w:t>
            </w:r>
          </w:p>
        </w:tc>
      </w:tr>
      <w:tr w:rsidR="00CE713C" w:rsidRPr="00C977FD" w14:paraId="69AEFA3C" w14:textId="77777777" w:rsidTr="00792049">
        <w:tc>
          <w:tcPr>
            <w:tcW w:w="1362" w:type="pct"/>
            <w:vAlign w:val="center"/>
          </w:tcPr>
          <w:p w14:paraId="7E90E1D0"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t>Petrila Mine - living museum of Romanian mining heritage</w:t>
            </w:r>
          </w:p>
        </w:tc>
        <w:tc>
          <w:tcPr>
            <w:tcW w:w="778" w:type="pct"/>
            <w:vAlign w:val="center"/>
          </w:tcPr>
          <w:p w14:paraId="1733DD3B"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€ 300,000,000</w:t>
            </w:r>
          </w:p>
        </w:tc>
        <w:tc>
          <w:tcPr>
            <w:tcW w:w="702" w:type="pct"/>
            <w:vAlign w:val="center"/>
          </w:tcPr>
          <w:p w14:paraId="3BBACCDE"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50</w:t>
            </w:r>
          </w:p>
        </w:tc>
        <w:tc>
          <w:tcPr>
            <w:tcW w:w="725" w:type="pct"/>
            <w:vAlign w:val="center"/>
          </w:tcPr>
          <w:p w14:paraId="08522F7A"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6</w:t>
            </w:r>
            <w:r w:rsidRPr="00C977FD">
              <w:rPr>
                <w:rFonts w:ascii="Arial" w:hAnsi="Arial" w:cs="Arial"/>
                <w:color w:val="000000"/>
                <w:sz w:val="18"/>
                <w:szCs w:val="18"/>
                <w:lang w:val="en-US"/>
              </w:rPr>
              <w:t>,</w:t>
            </w:r>
            <w:r w:rsidRPr="00C977FD">
              <w:rPr>
                <w:rFonts w:ascii="Arial" w:hAnsi="Arial" w:cs="Arial"/>
                <w:color w:val="000000"/>
                <w:sz w:val="18"/>
                <w:szCs w:val="18"/>
              </w:rPr>
              <w:t>000</w:t>
            </w:r>
            <w:r w:rsidRPr="00C977FD">
              <w:rPr>
                <w:rFonts w:ascii="Arial" w:hAnsi="Arial" w:cs="Arial"/>
                <w:color w:val="000000"/>
                <w:sz w:val="18"/>
                <w:szCs w:val="18"/>
                <w:lang w:val="en-US"/>
              </w:rPr>
              <w:t>,</w:t>
            </w:r>
            <w:r w:rsidRPr="00C977FD">
              <w:rPr>
                <w:rFonts w:ascii="Arial" w:hAnsi="Arial" w:cs="Arial"/>
                <w:color w:val="000000"/>
                <w:sz w:val="18"/>
                <w:szCs w:val="18"/>
              </w:rPr>
              <w:t>000</w:t>
            </w:r>
          </w:p>
        </w:tc>
        <w:tc>
          <w:tcPr>
            <w:tcW w:w="722" w:type="pct"/>
            <w:vAlign w:val="center"/>
          </w:tcPr>
          <w:p w14:paraId="53F41218"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Hunedoara</w:t>
            </w:r>
          </w:p>
        </w:tc>
        <w:tc>
          <w:tcPr>
            <w:tcW w:w="710" w:type="pct"/>
            <w:vAlign w:val="center"/>
          </w:tcPr>
          <w:p w14:paraId="5566F417"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The town of Hunedoara</w:t>
            </w:r>
          </w:p>
        </w:tc>
      </w:tr>
      <w:tr w:rsidR="00CE713C" w:rsidRPr="00C977FD" w14:paraId="6D3EAA92" w14:textId="77777777" w:rsidTr="00792049">
        <w:tc>
          <w:tcPr>
            <w:tcW w:w="1362" w:type="pct"/>
            <w:vAlign w:val="center"/>
          </w:tcPr>
          <w:p w14:paraId="78C2AE81" w14:textId="77777777" w:rsidR="00CE713C" w:rsidRPr="00C977FD" w:rsidRDefault="00CE713C" w:rsidP="00EE02DE">
            <w:pPr>
              <w:spacing w:before="60" w:after="60"/>
              <w:jc w:val="both"/>
              <w:rPr>
                <w:rFonts w:ascii="Arial" w:hAnsi="Arial" w:cs="Arial"/>
                <w:sz w:val="18"/>
                <w:szCs w:val="18"/>
                <w:lang w:val="en-US"/>
              </w:rPr>
            </w:pPr>
            <w:r w:rsidRPr="00C977FD">
              <w:rPr>
                <w:rFonts w:ascii="Arial" w:hAnsi="Arial" w:cs="Arial"/>
                <w:color w:val="000000"/>
                <w:sz w:val="18"/>
                <w:szCs w:val="18"/>
                <w:lang w:val="en-US"/>
              </w:rPr>
              <w:lastRenderedPageBreak/>
              <w:t>Urban train Luduș - Iernut - Airport Transilvania - Târgu Mureș - Reghin</w:t>
            </w:r>
          </w:p>
        </w:tc>
        <w:tc>
          <w:tcPr>
            <w:tcW w:w="778" w:type="pct"/>
            <w:vAlign w:val="center"/>
          </w:tcPr>
          <w:p w14:paraId="5FAD7B7B"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lang w:val="en-US"/>
              </w:rPr>
              <w:t>€ 300,000,000</w:t>
            </w:r>
          </w:p>
        </w:tc>
        <w:tc>
          <w:tcPr>
            <w:tcW w:w="702" w:type="pct"/>
            <w:vAlign w:val="center"/>
          </w:tcPr>
          <w:p w14:paraId="1D66F7D3" w14:textId="77777777" w:rsidR="00CE713C" w:rsidRPr="00C977FD" w:rsidRDefault="00CE713C" w:rsidP="00792049">
            <w:pPr>
              <w:jc w:val="center"/>
              <w:rPr>
                <w:rFonts w:ascii="Arial" w:hAnsi="Arial" w:cs="Arial"/>
                <w:sz w:val="18"/>
                <w:szCs w:val="18"/>
                <w:lang w:val="en-US"/>
              </w:rPr>
            </w:pPr>
            <w:r w:rsidRPr="00C977FD">
              <w:rPr>
                <w:rFonts w:ascii="Arial" w:hAnsi="Arial" w:cs="Arial"/>
                <w:color w:val="000000"/>
                <w:sz w:val="18"/>
                <w:szCs w:val="18"/>
              </w:rPr>
              <w:t>15</w:t>
            </w:r>
          </w:p>
        </w:tc>
        <w:tc>
          <w:tcPr>
            <w:tcW w:w="725" w:type="pct"/>
            <w:vAlign w:val="center"/>
          </w:tcPr>
          <w:p w14:paraId="123E20D6" w14:textId="77777777"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20</w:t>
            </w:r>
            <w:r w:rsidRPr="00C977FD">
              <w:rPr>
                <w:rFonts w:ascii="Arial" w:hAnsi="Arial" w:cs="Arial"/>
                <w:color w:val="000000"/>
                <w:sz w:val="18"/>
                <w:szCs w:val="18"/>
                <w:lang w:val="en-US"/>
              </w:rPr>
              <w:t>,</w:t>
            </w:r>
            <w:r w:rsidRPr="00C977FD">
              <w:rPr>
                <w:rFonts w:ascii="Arial" w:hAnsi="Arial" w:cs="Arial"/>
                <w:color w:val="000000"/>
                <w:sz w:val="18"/>
                <w:szCs w:val="18"/>
              </w:rPr>
              <w:t>000</w:t>
            </w:r>
            <w:r w:rsidRPr="00C977FD">
              <w:rPr>
                <w:rFonts w:ascii="Arial" w:hAnsi="Arial" w:cs="Arial"/>
                <w:color w:val="000000"/>
                <w:sz w:val="18"/>
                <w:szCs w:val="18"/>
                <w:lang w:val="en-US"/>
              </w:rPr>
              <w:t>,</w:t>
            </w:r>
            <w:r w:rsidRPr="00C977FD">
              <w:rPr>
                <w:rFonts w:ascii="Arial" w:hAnsi="Arial" w:cs="Arial"/>
                <w:color w:val="000000"/>
                <w:sz w:val="18"/>
                <w:szCs w:val="18"/>
              </w:rPr>
              <w:t>000</w:t>
            </w:r>
          </w:p>
        </w:tc>
        <w:tc>
          <w:tcPr>
            <w:tcW w:w="722" w:type="pct"/>
            <w:vAlign w:val="center"/>
          </w:tcPr>
          <w:p w14:paraId="747E7AA5" w14:textId="57C37789" w:rsidR="00CE713C" w:rsidRPr="00C977FD" w:rsidRDefault="004F70E0" w:rsidP="00792049">
            <w:pPr>
              <w:jc w:val="center"/>
              <w:rPr>
                <w:rFonts w:ascii="Arial" w:hAnsi="Arial" w:cs="Arial"/>
                <w:color w:val="000000"/>
                <w:sz w:val="18"/>
                <w:szCs w:val="18"/>
              </w:rPr>
            </w:pPr>
            <w:r>
              <w:rPr>
                <w:rFonts w:ascii="Arial" w:hAnsi="Arial" w:cs="Arial"/>
                <w:color w:val="000000"/>
                <w:sz w:val="18"/>
                <w:szCs w:val="18"/>
              </w:rPr>
              <w:t>Mureș</w:t>
            </w:r>
          </w:p>
        </w:tc>
        <w:tc>
          <w:tcPr>
            <w:tcW w:w="710" w:type="pct"/>
            <w:vAlign w:val="center"/>
          </w:tcPr>
          <w:p w14:paraId="33340208" w14:textId="6A1228F2" w:rsidR="00CE713C" w:rsidRPr="00C977FD" w:rsidRDefault="00CE713C" w:rsidP="00792049">
            <w:pPr>
              <w:jc w:val="center"/>
              <w:rPr>
                <w:rFonts w:ascii="Arial" w:hAnsi="Arial" w:cs="Arial"/>
                <w:color w:val="000000"/>
                <w:sz w:val="18"/>
                <w:szCs w:val="18"/>
              </w:rPr>
            </w:pPr>
            <w:r w:rsidRPr="00C977FD">
              <w:rPr>
                <w:rFonts w:ascii="Arial" w:hAnsi="Arial" w:cs="Arial"/>
                <w:color w:val="000000"/>
                <w:sz w:val="18"/>
                <w:szCs w:val="18"/>
              </w:rPr>
              <w:t xml:space="preserve">The town of Targu </w:t>
            </w:r>
            <w:r w:rsidR="004F70E0">
              <w:rPr>
                <w:rFonts w:ascii="Arial" w:hAnsi="Arial" w:cs="Arial"/>
                <w:color w:val="000000"/>
                <w:sz w:val="18"/>
                <w:szCs w:val="18"/>
              </w:rPr>
              <w:t>Mureș</w:t>
            </w:r>
          </w:p>
        </w:tc>
      </w:tr>
    </w:tbl>
    <w:p w14:paraId="49D3F7AA" w14:textId="2005EEAE" w:rsidR="00211FDD" w:rsidRDefault="00211FDD" w:rsidP="00211FDD">
      <w:pPr>
        <w:pStyle w:val="Caption"/>
      </w:pPr>
      <w:bookmarkStart w:id="390" w:name="_Toc90727404"/>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68</w:t>
      </w:r>
      <w:r w:rsidR="000B273D">
        <w:rPr>
          <w:noProof/>
        </w:rPr>
        <w:fldChar w:fldCharType="end"/>
      </w:r>
      <w:r>
        <w:t xml:space="preserve">: </w:t>
      </w:r>
      <w:r w:rsidRPr="00211FDD">
        <w:t>Clustering of project ideas according to the project idea type</w:t>
      </w:r>
      <w:r>
        <w:rPr>
          <w:rStyle w:val="FootnoteReference"/>
        </w:rPr>
        <w:footnoteReference w:id="169"/>
      </w:r>
      <w:bookmarkEnd w:id="390"/>
    </w:p>
    <w:p w14:paraId="4A35C872" w14:textId="257B7D23" w:rsidR="00211FDD" w:rsidRDefault="00A619FC" w:rsidP="00810695">
      <w:pPr>
        <w:spacing w:after="120"/>
        <w:jc w:val="center"/>
        <w:rPr>
          <w:lang w:eastAsia="en-US"/>
        </w:rPr>
      </w:pPr>
      <w:r>
        <w:rPr>
          <w:noProof/>
          <w:lang w:val="en-US" w:eastAsia="en-US"/>
        </w:rPr>
        <w:drawing>
          <wp:inline distT="0" distB="0" distL="0" distR="0" wp14:anchorId="325EC2E1" wp14:editId="541C0A0B">
            <wp:extent cx="5676265" cy="3400584"/>
            <wp:effectExtent l="0" t="0" r="635" b="9525"/>
            <wp:docPr id="46" name="Диаграмма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BE5E8B6-BACD-4520-AA1A-3191050436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p w14:paraId="41520506" w14:textId="109AFE85" w:rsidR="00211FDD" w:rsidRPr="006D6BC9" w:rsidRDefault="0012524D" w:rsidP="008D32D6">
      <w:pPr>
        <w:spacing w:after="120"/>
        <w:jc w:val="both"/>
        <w:rPr>
          <w:rFonts w:ascii="Arial" w:hAnsi="Arial" w:cs="Arial"/>
          <w:sz w:val="20"/>
          <w:szCs w:val="20"/>
          <w:lang w:eastAsia="en-US"/>
        </w:rPr>
      </w:pPr>
      <w:r>
        <w:rPr>
          <w:rFonts w:ascii="Arial" w:hAnsi="Arial" w:cs="Arial"/>
          <w:sz w:val="20"/>
          <w:szCs w:val="20"/>
          <w:lang w:eastAsia="en-US"/>
        </w:rPr>
        <w:t>The c</w:t>
      </w:r>
      <w:r w:rsidR="00211FDD" w:rsidRPr="006D6BC9">
        <w:rPr>
          <w:rFonts w:ascii="Arial" w:hAnsi="Arial" w:cs="Arial"/>
          <w:sz w:val="20"/>
          <w:szCs w:val="20"/>
          <w:lang w:eastAsia="en-US"/>
        </w:rPr>
        <w:t xml:space="preserve">lustering of projects shows us that the main types of project ideas are in the </w:t>
      </w:r>
      <w:r>
        <w:rPr>
          <w:rFonts w:ascii="Arial" w:hAnsi="Arial" w:cs="Arial"/>
          <w:sz w:val="20"/>
          <w:szCs w:val="20"/>
          <w:lang w:eastAsia="en-US"/>
        </w:rPr>
        <w:t>following</w:t>
      </w:r>
      <w:r w:rsidR="00211FDD" w:rsidRPr="006D6BC9">
        <w:rPr>
          <w:rFonts w:ascii="Arial" w:hAnsi="Arial" w:cs="Arial"/>
          <w:sz w:val="20"/>
          <w:szCs w:val="20"/>
          <w:lang w:eastAsia="en-US"/>
        </w:rPr>
        <w:t xml:space="preserve"> fields: </w:t>
      </w:r>
      <w:r>
        <w:rPr>
          <w:rFonts w:ascii="Arial" w:hAnsi="Arial" w:cs="Arial"/>
          <w:sz w:val="20"/>
          <w:szCs w:val="20"/>
          <w:lang w:eastAsia="en-US"/>
        </w:rPr>
        <w:t>p</w:t>
      </w:r>
      <w:r w:rsidR="00211FDD" w:rsidRPr="006D6BC9">
        <w:rPr>
          <w:rFonts w:ascii="Arial" w:hAnsi="Arial" w:cs="Arial"/>
          <w:sz w:val="20"/>
          <w:szCs w:val="20"/>
          <w:lang w:eastAsia="en-US"/>
        </w:rPr>
        <w:t xml:space="preserve">roductive investments in SMEs, </w:t>
      </w:r>
      <w:r>
        <w:rPr>
          <w:rFonts w:ascii="Arial" w:hAnsi="Arial" w:cs="Arial"/>
          <w:sz w:val="20"/>
          <w:szCs w:val="20"/>
          <w:lang w:eastAsia="en-US"/>
        </w:rPr>
        <w:t>c</w:t>
      </w:r>
      <w:r w:rsidR="00211FDD" w:rsidRPr="006D6BC9">
        <w:rPr>
          <w:rFonts w:ascii="Arial" w:hAnsi="Arial" w:cs="Arial"/>
          <w:sz w:val="20"/>
          <w:szCs w:val="20"/>
          <w:lang w:eastAsia="en-US"/>
        </w:rPr>
        <w:t xml:space="preserve">reation of new firms, </w:t>
      </w:r>
      <w:r>
        <w:rPr>
          <w:rFonts w:ascii="Arial" w:hAnsi="Arial" w:cs="Arial"/>
          <w:sz w:val="20"/>
          <w:szCs w:val="20"/>
          <w:lang w:eastAsia="en-US"/>
        </w:rPr>
        <w:t>i</w:t>
      </w:r>
      <w:r w:rsidR="00211FDD" w:rsidRPr="006D6BC9">
        <w:rPr>
          <w:rFonts w:ascii="Arial" w:hAnsi="Arial" w:cs="Arial"/>
          <w:sz w:val="20"/>
          <w:szCs w:val="20"/>
          <w:lang w:eastAsia="en-US"/>
        </w:rPr>
        <w:t xml:space="preserve">nvestments in clean energy, in GHG emission reduction, energy efficiency and renewable energy. Such </w:t>
      </w:r>
      <w:r>
        <w:rPr>
          <w:rFonts w:ascii="Arial" w:hAnsi="Arial" w:cs="Arial"/>
          <w:sz w:val="20"/>
          <w:szCs w:val="20"/>
          <w:lang w:eastAsia="en-US"/>
        </w:rPr>
        <w:t xml:space="preserve">a </w:t>
      </w:r>
      <w:r w:rsidR="00211FDD" w:rsidRPr="006D6BC9">
        <w:rPr>
          <w:rFonts w:ascii="Arial" w:hAnsi="Arial" w:cs="Arial"/>
          <w:sz w:val="20"/>
          <w:szCs w:val="20"/>
          <w:lang w:eastAsia="en-US"/>
        </w:rPr>
        <w:t>distribution shows that investments in small business and jobs creation, as well as in energy efficiency and renewables</w:t>
      </w:r>
      <w:r>
        <w:rPr>
          <w:rFonts w:ascii="Arial" w:hAnsi="Arial" w:cs="Arial"/>
          <w:sz w:val="20"/>
          <w:szCs w:val="20"/>
          <w:lang w:eastAsia="en-US"/>
        </w:rPr>
        <w:t>,</w:t>
      </w:r>
      <w:r w:rsidR="00211FDD" w:rsidRPr="006D6BC9">
        <w:rPr>
          <w:rFonts w:ascii="Arial" w:hAnsi="Arial" w:cs="Arial"/>
          <w:sz w:val="20"/>
          <w:szCs w:val="20"/>
          <w:lang w:eastAsia="en-US"/>
        </w:rPr>
        <w:t xml:space="preserve"> are very attractive for market participants.</w:t>
      </w:r>
    </w:p>
    <w:p w14:paraId="0B612177" w14:textId="2522EF5D" w:rsidR="00211FDD" w:rsidRPr="006D6BC9" w:rsidRDefault="00211FDD"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In this </w:t>
      </w:r>
      <w:r w:rsidR="00DB00EB">
        <w:rPr>
          <w:rFonts w:ascii="Arial" w:hAnsi="Arial" w:cs="Arial"/>
          <w:sz w:val="20"/>
          <w:szCs w:val="20"/>
          <w:lang w:eastAsia="en-US"/>
        </w:rPr>
        <w:t>section</w:t>
      </w:r>
      <w:r w:rsidR="0012524D">
        <w:rPr>
          <w:rFonts w:ascii="Arial" w:hAnsi="Arial" w:cs="Arial"/>
          <w:sz w:val="20"/>
          <w:szCs w:val="20"/>
          <w:lang w:eastAsia="en-US"/>
        </w:rPr>
        <w:t>,</w:t>
      </w:r>
      <w:r w:rsidRPr="006D6BC9">
        <w:rPr>
          <w:rFonts w:ascii="Arial" w:hAnsi="Arial" w:cs="Arial"/>
          <w:sz w:val="20"/>
          <w:szCs w:val="20"/>
          <w:lang w:eastAsia="en-US"/>
        </w:rPr>
        <w:t xml:space="preserve"> “Not eligible/Further assessment” means</w:t>
      </w:r>
      <w:r w:rsidR="0012524D">
        <w:rPr>
          <w:rFonts w:ascii="Arial" w:hAnsi="Arial" w:cs="Arial"/>
          <w:sz w:val="20"/>
          <w:szCs w:val="20"/>
          <w:lang w:eastAsia="en-US"/>
        </w:rPr>
        <w:t xml:space="preserve"> that a</w:t>
      </w:r>
      <w:r w:rsidRPr="006D6BC9">
        <w:rPr>
          <w:rFonts w:ascii="Arial" w:hAnsi="Arial" w:cs="Arial"/>
          <w:sz w:val="20"/>
          <w:szCs w:val="20"/>
          <w:lang w:eastAsia="en-US"/>
        </w:rPr>
        <w:t xml:space="preserve"> project is not eligible for JTF funding or information is incomplete for assessment.</w:t>
      </w:r>
    </w:p>
    <w:p w14:paraId="43B2DB07" w14:textId="064C9338" w:rsidR="00211FDD" w:rsidRDefault="00211FDD" w:rsidP="008D32D6">
      <w:pPr>
        <w:spacing w:after="120"/>
        <w:jc w:val="both"/>
        <w:rPr>
          <w:rFonts w:ascii="Arial" w:hAnsi="Arial" w:cs="Arial"/>
          <w:sz w:val="20"/>
          <w:szCs w:val="20"/>
          <w:lang w:eastAsia="en-US"/>
        </w:rPr>
      </w:pPr>
      <w:r w:rsidRPr="006D6BC9">
        <w:rPr>
          <w:rFonts w:ascii="Arial" w:hAnsi="Arial" w:cs="Arial"/>
          <w:sz w:val="20"/>
          <w:szCs w:val="20"/>
          <w:lang w:eastAsia="en-US"/>
        </w:rPr>
        <w:t>As job creation is an essential part of Just Transition, we analy</w:t>
      </w:r>
      <w:r w:rsidR="0012524D">
        <w:rPr>
          <w:rFonts w:ascii="Arial" w:hAnsi="Arial" w:cs="Arial"/>
          <w:sz w:val="20"/>
          <w:szCs w:val="20"/>
          <w:lang w:eastAsia="en-US"/>
        </w:rPr>
        <w:t>sed the</w:t>
      </w:r>
      <w:r w:rsidRPr="006D6BC9">
        <w:rPr>
          <w:rFonts w:ascii="Arial" w:hAnsi="Arial" w:cs="Arial"/>
          <w:sz w:val="20"/>
          <w:szCs w:val="20"/>
          <w:lang w:eastAsia="en-US"/>
        </w:rPr>
        <w:t xml:space="preserve"> total number of jobs proposed to be generated/maintained, broken down by region (see </w:t>
      </w:r>
      <w:r>
        <w:rPr>
          <w:rFonts w:ascii="Arial" w:hAnsi="Arial" w:cs="Arial"/>
          <w:sz w:val="20"/>
          <w:szCs w:val="20"/>
          <w:lang w:eastAsia="en-US"/>
        </w:rPr>
        <w:t>Graph 6</w:t>
      </w:r>
      <w:r w:rsidR="00AC0119">
        <w:rPr>
          <w:rFonts w:ascii="Arial" w:hAnsi="Arial" w:cs="Arial"/>
          <w:sz w:val="20"/>
          <w:szCs w:val="20"/>
          <w:lang w:eastAsia="en-US"/>
        </w:rPr>
        <w:t>9</w:t>
      </w:r>
      <w:r>
        <w:rPr>
          <w:rFonts w:ascii="Arial" w:hAnsi="Arial" w:cs="Arial"/>
          <w:sz w:val="20"/>
          <w:szCs w:val="20"/>
          <w:lang w:eastAsia="en-US"/>
        </w:rPr>
        <w:t>).</w:t>
      </w:r>
    </w:p>
    <w:p w14:paraId="180B6AEF" w14:textId="049ED0EA" w:rsidR="00211FDD" w:rsidRDefault="00211FDD" w:rsidP="00211FDD">
      <w:pPr>
        <w:pStyle w:val="Caption"/>
      </w:pPr>
      <w:bookmarkStart w:id="391" w:name="_Toc90727405"/>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69</w:t>
      </w:r>
      <w:r w:rsidR="000B273D">
        <w:rPr>
          <w:noProof/>
        </w:rPr>
        <w:fldChar w:fldCharType="end"/>
      </w:r>
      <w:r>
        <w:t>:</w:t>
      </w:r>
      <w:r w:rsidRPr="00211FDD">
        <w:t xml:space="preserve"> Breakdown of job creation by region</w:t>
      </w:r>
      <w:bookmarkEnd w:id="391"/>
    </w:p>
    <w:p w14:paraId="1A507EA3" w14:textId="4404E6D4" w:rsidR="00211FDD" w:rsidRDefault="00211FDD" w:rsidP="00810695">
      <w:pPr>
        <w:jc w:val="center"/>
        <w:rPr>
          <w:lang w:eastAsia="en-US"/>
        </w:rPr>
      </w:pPr>
      <w:r w:rsidRPr="00C977FD">
        <w:rPr>
          <w:noProof/>
          <w:lang w:val="en-US" w:eastAsia="en-US"/>
        </w:rPr>
        <w:drawing>
          <wp:inline distT="0" distB="0" distL="0" distR="0" wp14:anchorId="08353382" wp14:editId="2103D8DF">
            <wp:extent cx="4590288" cy="2935224"/>
            <wp:effectExtent l="0" t="0" r="1270" b="0"/>
            <wp:docPr id="48" name="Диаграмма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E3D90DA-2288-45C8-AEF1-02D640A3E9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53B6DEB0" w14:textId="3EC0C895" w:rsidR="00211FDD" w:rsidRPr="006D6BC9" w:rsidRDefault="00211FDD" w:rsidP="008D32D6">
      <w:pPr>
        <w:spacing w:before="240" w:after="120"/>
        <w:jc w:val="both"/>
        <w:rPr>
          <w:rFonts w:ascii="Arial" w:hAnsi="Arial" w:cs="Arial"/>
          <w:sz w:val="20"/>
          <w:szCs w:val="20"/>
          <w:lang w:eastAsia="en-US"/>
        </w:rPr>
      </w:pPr>
      <w:r w:rsidRPr="006D6BC9">
        <w:rPr>
          <w:rFonts w:ascii="Arial" w:hAnsi="Arial" w:cs="Arial"/>
          <w:sz w:val="20"/>
          <w:szCs w:val="20"/>
          <w:lang w:eastAsia="en-US"/>
        </w:rPr>
        <w:t>It should be mentioned that:</w:t>
      </w:r>
    </w:p>
    <w:p w14:paraId="2989E612" w14:textId="484FDC69" w:rsidR="00211FDD" w:rsidRPr="006D6BC9" w:rsidRDefault="00211FDD" w:rsidP="00E42342">
      <w:pPr>
        <w:pStyle w:val="ListParagraph"/>
        <w:numPr>
          <w:ilvl w:val="0"/>
          <w:numId w:val="245"/>
        </w:numPr>
        <w:spacing w:after="120" w:line="240" w:lineRule="auto"/>
        <w:ind w:hanging="357"/>
        <w:contextualSpacing w:val="0"/>
        <w:jc w:val="both"/>
        <w:rPr>
          <w:sz w:val="20"/>
          <w:szCs w:val="20"/>
        </w:rPr>
      </w:pPr>
      <w:r w:rsidRPr="006D6BC9">
        <w:rPr>
          <w:sz w:val="20"/>
          <w:szCs w:val="20"/>
        </w:rPr>
        <w:t>40 project ideas (5%</w:t>
      </w:r>
      <w:r w:rsidR="00754B9F">
        <w:rPr>
          <w:sz w:val="20"/>
          <w:szCs w:val="20"/>
        </w:rPr>
        <w:t xml:space="preserve"> of 795</w:t>
      </w:r>
      <w:r w:rsidRPr="006D6BC9">
        <w:rPr>
          <w:sz w:val="20"/>
          <w:szCs w:val="20"/>
        </w:rPr>
        <w:t xml:space="preserve">) with </w:t>
      </w:r>
      <w:r w:rsidR="0012524D">
        <w:rPr>
          <w:sz w:val="20"/>
          <w:szCs w:val="20"/>
        </w:rPr>
        <w:t>a</w:t>
      </w:r>
      <w:r w:rsidRPr="006D6BC9">
        <w:rPr>
          <w:sz w:val="20"/>
          <w:szCs w:val="20"/>
        </w:rPr>
        <w:t xml:space="preserve"> total budget of EUR 1,146,629,740 (19 from Prahova) have no assessment of</w:t>
      </w:r>
      <w:r w:rsidR="00754B9F">
        <w:rPr>
          <w:sz w:val="20"/>
          <w:szCs w:val="20"/>
        </w:rPr>
        <w:t xml:space="preserve"> the</w:t>
      </w:r>
      <w:r w:rsidRPr="006D6BC9">
        <w:rPr>
          <w:sz w:val="20"/>
          <w:szCs w:val="20"/>
        </w:rPr>
        <w:t xml:space="preserve"> number of new direct jobs expected to be created so these project ideas were excluded from the analysis;</w:t>
      </w:r>
    </w:p>
    <w:p w14:paraId="2A4C1C1A" w14:textId="145680C3" w:rsidR="00211FDD" w:rsidRPr="006D6BC9" w:rsidRDefault="00211FDD" w:rsidP="00E42342">
      <w:pPr>
        <w:pStyle w:val="ListParagraph"/>
        <w:numPr>
          <w:ilvl w:val="0"/>
          <w:numId w:val="245"/>
        </w:numPr>
        <w:spacing w:after="120" w:line="240" w:lineRule="auto"/>
        <w:ind w:hanging="357"/>
        <w:contextualSpacing w:val="0"/>
        <w:jc w:val="both"/>
        <w:rPr>
          <w:sz w:val="20"/>
          <w:szCs w:val="20"/>
        </w:rPr>
      </w:pPr>
      <w:r w:rsidRPr="006D6BC9">
        <w:rPr>
          <w:sz w:val="20"/>
          <w:szCs w:val="20"/>
        </w:rPr>
        <w:t>Prahova did</w:t>
      </w:r>
      <w:r w:rsidR="00754B9F">
        <w:rPr>
          <w:sz w:val="20"/>
          <w:szCs w:val="20"/>
        </w:rPr>
        <w:t xml:space="preserve"> not</w:t>
      </w:r>
      <w:r w:rsidRPr="006D6BC9">
        <w:rPr>
          <w:sz w:val="20"/>
          <w:szCs w:val="20"/>
        </w:rPr>
        <w:t xml:space="preserve"> provide any information about new direct jobs expected to be created</w:t>
      </w:r>
      <w:r w:rsidR="00754B9F">
        <w:rPr>
          <w:sz w:val="20"/>
          <w:szCs w:val="20"/>
        </w:rPr>
        <w:t>;</w:t>
      </w:r>
    </w:p>
    <w:p w14:paraId="44DEE9F0" w14:textId="55967EF9" w:rsidR="00211FDD" w:rsidRPr="006D6BC9" w:rsidRDefault="00754B9F" w:rsidP="00E42342">
      <w:pPr>
        <w:pStyle w:val="ListParagraph"/>
        <w:numPr>
          <w:ilvl w:val="0"/>
          <w:numId w:val="245"/>
        </w:numPr>
        <w:spacing w:after="120" w:line="240" w:lineRule="auto"/>
        <w:ind w:hanging="357"/>
        <w:contextualSpacing w:val="0"/>
        <w:jc w:val="both"/>
        <w:rPr>
          <w:sz w:val="20"/>
          <w:szCs w:val="20"/>
        </w:rPr>
      </w:pPr>
      <w:r>
        <w:rPr>
          <w:sz w:val="20"/>
          <w:szCs w:val="20"/>
        </w:rPr>
        <w:t>T</w:t>
      </w:r>
      <w:r w:rsidR="00211FDD" w:rsidRPr="006D6BC9">
        <w:rPr>
          <w:sz w:val="20"/>
          <w:szCs w:val="20"/>
        </w:rPr>
        <w:t>he next four projects have definitely overestimated the number of new direct jobs expected to be created, but these project ideas were counted during the analysis:</w:t>
      </w:r>
    </w:p>
    <w:p w14:paraId="7BB8B23B" w14:textId="77777777" w:rsidR="00211FDD" w:rsidRDefault="00211FDD" w:rsidP="009424F3">
      <w:pPr>
        <w:pStyle w:val="ListParagraph"/>
        <w:numPr>
          <w:ilvl w:val="1"/>
          <w:numId w:val="84"/>
        </w:numPr>
        <w:spacing w:after="60" w:line="240" w:lineRule="auto"/>
        <w:contextualSpacing w:val="0"/>
        <w:jc w:val="both"/>
        <w:rPr>
          <w:sz w:val="20"/>
          <w:szCs w:val="20"/>
        </w:rPr>
      </w:pPr>
      <w:r w:rsidRPr="006D6BC9">
        <w:rPr>
          <w:sz w:val="20"/>
          <w:szCs w:val="20"/>
        </w:rPr>
        <w:t>Photovoltaic panels located on the ash depot CET Govora (Dolj) – 1,000 jobs (EUR 23,000,000);</w:t>
      </w:r>
    </w:p>
    <w:p w14:paraId="0ADCEC9B" w14:textId="52AD857C" w:rsidR="00211FDD" w:rsidRDefault="00211FDD" w:rsidP="009424F3">
      <w:pPr>
        <w:pStyle w:val="ListParagraph"/>
        <w:numPr>
          <w:ilvl w:val="1"/>
          <w:numId w:val="84"/>
        </w:numPr>
        <w:spacing w:after="60" w:line="240" w:lineRule="auto"/>
        <w:contextualSpacing w:val="0"/>
        <w:jc w:val="both"/>
        <w:rPr>
          <w:sz w:val="20"/>
          <w:szCs w:val="20"/>
        </w:rPr>
      </w:pPr>
      <w:r w:rsidRPr="006D6BC9">
        <w:rPr>
          <w:sz w:val="20"/>
          <w:szCs w:val="20"/>
        </w:rPr>
        <w:t>Smart Industrial Park in the town of Reghin (</w:t>
      </w:r>
      <w:r w:rsidR="004F70E0">
        <w:rPr>
          <w:sz w:val="20"/>
          <w:szCs w:val="20"/>
        </w:rPr>
        <w:t>Mureș</w:t>
      </w:r>
      <w:r w:rsidRPr="006D6BC9">
        <w:rPr>
          <w:sz w:val="20"/>
          <w:szCs w:val="20"/>
        </w:rPr>
        <w:t>) – 1,500 jobs (EUR 8,000,000).</w:t>
      </w:r>
    </w:p>
    <w:p w14:paraId="0DB517A4" w14:textId="040F368C" w:rsidR="00211FDD" w:rsidRDefault="00211FDD" w:rsidP="009424F3">
      <w:pPr>
        <w:pStyle w:val="ListParagraph"/>
        <w:numPr>
          <w:ilvl w:val="1"/>
          <w:numId w:val="84"/>
        </w:numPr>
        <w:spacing w:after="60" w:line="240" w:lineRule="auto"/>
        <w:contextualSpacing w:val="0"/>
        <w:jc w:val="both"/>
        <w:rPr>
          <w:sz w:val="20"/>
          <w:szCs w:val="20"/>
        </w:rPr>
      </w:pPr>
      <w:r w:rsidRPr="006D6BC9">
        <w:rPr>
          <w:sz w:val="20"/>
          <w:szCs w:val="20"/>
        </w:rPr>
        <w:t>Moderni</w:t>
      </w:r>
      <w:r w:rsidR="004E7B64">
        <w:rPr>
          <w:sz w:val="20"/>
          <w:szCs w:val="20"/>
        </w:rPr>
        <w:t>sation</w:t>
      </w:r>
      <w:r w:rsidRPr="006D6BC9">
        <w:rPr>
          <w:sz w:val="20"/>
          <w:szCs w:val="20"/>
        </w:rPr>
        <w:t xml:space="preserve"> of SPO </w:t>
      </w:r>
      <w:r w:rsidR="003751DC">
        <w:rPr>
          <w:sz w:val="20"/>
          <w:szCs w:val="20"/>
        </w:rPr>
        <w:t>GALAȚI</w:t>
      </w:r>
      <w:r w:rsidRPr="006D6BC9">
        <w:rPr>
          <w:sz w:val="20"/>
          <w:szCs w:val="20"/>
        </w:rPr>
        <w:t xml:space="preserve"> (</w:t>
      </w:r>
      <w:r w:rsidR="003751DC">
        <w:rPr>
          <w:sz w:val="20"/>
          <w:szCs w:val="20"/>
        </w:rPr>
        <w:t>Galați</w:t>
      </w:r>
      <w:r w:rsidRPr="006D6BC9">
        <w:rPr>
          <w:sz w:val="20"/>
          <w:szCs w:val="20"/>
        </w:rPr>
        <w:t>) – 700 jobs (EUR 4,568,120);</w:t>
      </w:r>
      <w:r w:rsidR="00754B9F">
        <w:rPr>
          <w:sz w:val="20"/>
          <w:szCs w:val="20"/>
        </w:rPr>
        <w:t xml:space="preserve"> and,</w:t>
      </w:r>
    </w:p>
    <w:p w14:paraId="794D9FA6" w14:textId="60145C5E" w:rsidR="00211FDD" w:rsidRPr="006D6BC9" w:rsidRDefault="00211FDD" w:rsidP="009424F3">
      <w:pPr>
        <w:pStyle w:val="ListParagraph"/>
        <w:numPr>
          <w:ilvl w:val="1"/>
          <w:numId w:val="84"/>
        </w:numPr>
        <w:spacing w:after="60" w:line="240" w:lineRule="auto"/>
        <w:contextualSpacing w:val="0"/>
        <w:jc w:val="both"/>
        <w:rPr>
          <w:sz w:val="20"/>
          <w:szCs w:val="20"/>
        </w:rPr>
      </w:pPr>
      <w:r w:rsidRPr="006D6BC9">
        <w:rPr>
          <w:sz w:val="20"/>
          <w:szCs w:val="20"/>
        </w:rPr>
        <w:t>Solar (</w:t>
      </w:r>
      <w:r w:rsidR="004F70E0">
        <w:rPr>
          <w:sz w:val="20"/>
          <w:szCs w:val="20"/>
        </w:rPr>
        <w:t>Mureș</w:t>
      </w:r>
      <w:r w:rsidRPr="006D6BC9">
        <w:rPr>
          <w:sz w:val="20"/>
          <w:szCs w:val="20"/>
        </w:rPr>
        <w:t>) – 200 jobs (</w:t>
      </w:r>
      <w:r w:rsidR="00754B9F">
        <w:rPr>
          <w:sz w:val="20"/>
          <w:szCs w:val="20"/>
        </w:rPr>
        <w:t xml:space="preserve">EUR </w:t>
      </w:r>
      <w:r w:rsidRPr="006D6BC9">
        <w:rPr>
          <w:sz w:val="20"/>
          <w:szCs w:val="20"/>
        </w:rPr>
        <w:t>507,575)</w:t>
      </w:r>
      <w:r w:rsidR="00754B9F">
        <w:rPr>
          <w:sz w:val="20"/>
          <w:szCs w:val="20"/>
        </w:rPr>
        <w:t>.</w:t>
      </w:r>
    </w:p>
    <w:p w14:paraId="31F2AF59" w14:textId="48C9529E" w:rsidR="00211FDD" w:rsidRPr="006D6BC9" w:rsidRDefault="00754B9F" w:rsidP="00E42342">
      <w:pPr>
        <w:pStyle w:val="ListParagraph"/>
        <w:numPr>
          <w:ilvl w:val="0"/>
          <w:numId w:val="246"/>
        </w:numPr>
        <w:spacing w:after="120" w:line="240" w:lineRule="auto"/>
        <w:ind w:hanging="357"/>
        <w:contextualSpacing w:val="0"/>
        <w:jc w:val="both"/>
        <w:rPr>
          <w:sz w:val="20"/>
          <w:szCs w:val="20"/>
        </w:rPr>
      </w:pPr>
      <w:r>
        <w:rPr>
          <w:sz w:val="20"/>
          <w:szCs w:val="20"/>
        </w:rPr>
        <w:t>F</w:t>
      </w:r>
      <w:r w:rsidR="00211FDD" w:rsidRPr="006D6BC9">
        <w:rPr>
          <w:sz w:val="20"/>
          <w:szCs w:val="20"/>
        </w:rPr>
        <w:t xml:space="preserve">or project ideas with </w:t>
      </w:r>
      <w:r>
        <w:rPr>
          <w:sz w:val="20"/>
          <w:szCs w:val="20"/>
        </w:rPr>
        <w:t>a job</w:t>
      </w:r>
      <w:r w:rsidR="00211FDD" w:rsidRPr="006D6BC9">
        <w:rPr>
          <w:sz w:val="20"/>
          <w:szCs w:val="20"/>
        </w:rPr>
        <w:t xml:space="preserve"> range, the mean of the range was taken as the number of new direct jobs expected to be created;</w:t>
      </w:r>
    </w:p>
    <w:p w14:paraId="463DAF8A" w14:textId="6E7340E7" w:rsidR="00211FDD" w:rsidRPr="006D6BC9" w:rsidRDefault="00754B9F" w:rsidP="00E42342">
      <w:pPr>
        <w:pStyle w:val="ListParagraph"/>
        <w:numPr>
          <w:ilvl w:val="0"/>
          <w:numId w:val="246"/>
        </w:numPr>
        <w:spacing w:after="120" w:line="240" w:lineRule="auto"/>
        <w:ind w:hanging="357"/>
        <w:contextualSpacing w:val="0"/>
        <w:jc w:val="both"/>
        <w:rPr>
          <w:sz w:val="20"/>
          <w:szCs w:val="20"/>
        </w:rPr>
      </w:pPr>
      <w:r>
        <w:rPr>
          <w:sz w:val="20"/>
          <w:szCs w:val="20"/>
        </w:rPr>
        <w:t>R</w:t>
      </w:r>
      <w:r w:rsidR="00211FDD" w:rsidRPr="006D6BC9">
        <w:rPr>
          <w:sz w:val="20"/>
          <w:szCs w:val="20"/>
        </w:rPr>
        <w:t xml:space="preserve">etraining of existing staff was counted as zero </w:t>
      </w:r>
      <w:r>
        <w:rPr>
          <w:sz w:val="20"/>
          <w:szCs w:val="20"/>
        </w:rPr>
        <w:t xml:space="preserve">when </w:t>
      </w:r>
      <w:r w:rsidR="00211FDD" w:rsidRPr="006D6BC9">
        <w:rPr>
          <w:sz w:val="20"/>
          <w:szCs w:val="20"/>
        </w:rPr>
        <w:t>new direct jobs expected to be created;</w:t>
      </w:r>
    </w:p>
    <w:p w14:paraId="4784228A" w14:textId="568DBF06" w:rsidR="00211FDD" w:rsidRPr="006D6BC9" w:rsidRDefault="00754B9F" w:rsidP="00E42342">
      <w:pPr>
        <w:pStyle w:val="ListParagraph"/>
        <w:numPr>
          <w:ilvl w:val="0"/>
          <w:numId w:val="246"/>
        </w:numPr>
        <w:spacing w:after="120" w:line="240" w:lineRule="auto"/>
        <w:ind w:hanging="357"/>
        <w:contextualSpacing w:val="0"/>
        <w:jc w:val="both"/>
        <w:rPr>
          <w:sz w:val="20"/>
          <w:szCs w:val="20"/>
        </w:rPr>
      </w:pPr>
      <w:r>
        <w:rPr>
          <w:sz w:val="20"/>
          <w:szCs w:val="20"/>
        </w:rPr>
        <w:t>P</w:t>
      </w:r>
      <w:r w:rsidR="00211FDD" w:rsidRPr="006D6BC9">
        <w:rPr>
          <w:sz w:val="20"/>
          <w:szCs w:val="20"/>
        </w:rPr>
        <w:t xml:space="preserve">articipants of training courses were counted as zero </w:t>
      </w:r>
      <w:r>
        <w:rPr>
          <w:sz w:val="20"/>
          <w:szCs w:val="20"/>
        </w:rPr>
        <w:t xml:space="preserve">when </w:t>
      </w:r>
      <w:r w:rsidR="00211FDD" w:rsidRPr="006D6BC9">
        <w:rPr>
          <w:sz w:val="20"/>
          <w:szCs w:val="20"/>
        </w:rPr>
        <w:t>new direct jobs expected to be created;</w:t>
      </w:r>
      <w:r>
        <w:rPr>
          <w:sz w:val="20"/>
          <w:szCs w:val="20"/>
        </w:rPr>
        <w:t xml:space="preserve"> and,</w:t>
      </w:r>
    </w:p>
    <w:p w14:paraId="332DE711" w14:textId="16E6329B" w:rsidR="00211FDD" w:rsidRDefault="00754B9F" w:rsidP="00E42342">
      <w:pPr>
        <w:pStyle w:val="ListParagraph"/>
        <w:numPr>
          <w:ilvl w:val="0"/>
          <w:numId w:val="246"/>
        </w:numPr>
        <w:spacing w:after="120" w:line="240" w:lineRule="auto"/>
        <w:ind w:hanging="357"/>
        <w:contextualSpacing w:val="0"/>
        <w:jc w:val="both"/>
        <w:rPr>
          <w:sz w:val="20"/>
          <w:szCs w:val="20"/>
        </w:rPr>
      </w:pPr>
      <w:r>
        <w:rPr>
          <w:sz w:val="20"/>
          <w:szCs w:val="20"/>
        </w:rPr>
        <w:t>P</w:t>
      </w:r>
      <w:r w:rsidR="00211FDD" w:rsidRPr="006D6BC9">
        <w:rPr>
          <w:sz w:val="20"/>
          <w:szCs w:val="20"/>
        </w:rPr>
        <w:t>roject ideas with zero new direct jobs expected to be created are usually</w:t>
      </w:r>
      <w:r>
        <w:rPr>
          <w:sz w:val="20"/>
          <w:szCs w:val="20"/>
        </w:rPr>
        <w:t xml:space="preserve"> due to the following</w:t>
      </w:r>
      <w:r w:rsidR="00211FDD" w:rsidRPr="006D6BC9">
        <w:rPr>
          <w:sz w:val="20"/>
          <w:szCs w:val="20"/>
        </w:rPr>
        <w:t>: measures to improve energy efficiency in public or residential (social) buildings; small photovoltaic parks; decontamination of lands</w:t>
      </w:r>
      <w:r w:rsidR="00211FDD">
        <w:rPr>
          <w:sz w:val="20"/>
          <w:szCs w:val="20"/>
        </w:rPr>
        <w:t>.</w:t>
      </w:r>
    </w:p>
    <w:p w14:paraId="5EDE36A5" w14:textId="77777777" w:rsidR="00211FDD" w:rsidRPr="006D6BC9" w:rsidRDefault="00211FDD" w:rsidP="006D6BC9">
      <w:pPr>
        <w:jc w:val="both"/>
        <w:rPr>
          <w:sz w:val="20"/>
          <w:szCs w:val="20"/>
        </w:rPr>
      </w:pPr>
    </w:p>
    <w:p w14:paraId="5503F2C0" w14:textId="1CCA8449" w:rsidR="00211FDD" w:rsidRDefault="00211FDD"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As we can see, the total number of new direct jobs expected to be created (25,979) is not very high compared to the requested funds (EUR 10,887,054,396). Of course, the main reason is a large amount of project ideas focused on investments in renewable energy sources (122), energy efficiency in buildings (109) and some expensive project ideas in the field of energy efficiency on large enterprises. </w:t>
      </w:r>
    </w:p>
    <w:p w14:paraId="60376529" w14:textId="20419886" w:rsidR="00211FDD" w:rsidRPr="006D6BC9" w:rsidRDefault="00211FDD"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These projects </w:t>
      </w:r>
      <w:r w:rsidR="00754B9F">
        <w:rPr>
          <w:rFonts w:ascii="Arial" w:hAnsi="Arial" w:cs="Arial"/>
          <w:sz w:val="20"/>
          <w:szCs w:val="20"/>
          <w:lang w:eastAsia="en-US"/>
        </w:rPr>
        <w:t xml:space="preserve">only </w:t>
      </w:r>
      <w:r w:rsidRPr="006D6BC9">
        <w:rPr>
          <w:rFonts w:ascii="Arial" w:hAnsi="Arial" w:cs="Arial"/>
          <w:sz w:val="20"/>
          <w:szCs w:val="20"/>
          <w:lang w:eastAsia="en-US"/>
        </w:rPr>
        <w:t xml:space="preserve">require </w:t>
      </w:r>
      <w:r w:rsidR="00754B9F">
        <w:rPr>
          <w:rFonts w:ascii="Arial" w:hAnsi="Arial" w:cs="Arial"/>
          <w:sz w:val="20"/>
          <w:szCs w:val="20"/>
          <w:lang w:eastAsia="en-US"/>
        </w:rPr>
        <w:t xml:space="preserve">a </w:t>
      </w:r>
      <w:r w:rsidRPr="006D6BC9">
        <w:rPr>
          <w:rFonts w:ascii="Arial" w:hAnsi="Arial" w:cs="Arial"/>
          <w:sz w:val="20"/>
          <w:szCs w:val="20"/>
          <w:lang w:eastAsia="en-US"/>
        </w:rPr>
        <w:t xml:space="preserve">workforce </w:t>
      </w:r>
      <w:r w:rsidR="00754B9F">
        <w:rPr>
          <w:rFonts w:ascii="Arial" w:hAnsi="Arial" w:cs="Arial"/>
          <w:sz w:val="20"/>
          <w:szCs w:val="20"/>
          <w:lang w:eastAsia="en-US"/>
        </w:rPr>
        <w:t>during</w:t>
      </w:r>
      <w:r w:rsidRPr="006D6BC9">
        <w:rPr>
          <w:rFonts w:ascii="Arial" w:hAnsi="Arial" w:cs="Arial"/>
          <w:sz w:val="20"/>
          <w:szCs w:val="20"/>
          <w:lang w:eastAsia="en-US"/>
        </w:rPr>
        <w:t xml:space="preserve"> the implementation stage (except for large solar/wind power plants).</w:t>
      </w:r>
    </w:p>
    <w:p w14:paraId="148907FC" w14:textId="6E834516" w:rsidR="00211FDD" w:rsidRDefault="00754B9F" w:rsidP="008D32D6">
      <w:pPr>
        <w:spacing w:after="120"/>
        <w:jc w:val="both"/>
        <w:rPr>
          <w:rFonts w:ascii="Arial" w:hAnsi="Arial" w:cs="Arial"/>
          <w:sz w:val="20"/>
          <w:szCs w:val="20"/>
          <w:lang w:eastAsia="en-US"/>
        </w:rPr>
      </w:pPr>
      <w:r>
        <w:rPr>
          <w:rFonts w:ascii="Arial" w:hAnsi="Arial" w:cs="Arial"/>
          <w:sz w:val="20"/>
          <w:szCs w:val="20"/>
          <w:lang w:eastAsia="en-US"/>
        </w:rPr>
        <w:t>I</w:t>
      </w:r>
      <w:r w:rsidR="00211FDD" w:rsidRPr="006D6BC9">
        <w:rPr>
          <w:rFonts w:ascii="Arial" w:hAnsi="Arial" w:cs="Arial"/>
          <w:sz w:val="20"/>
          <w:szCs w:val="20"/>
          <w:lang w:eastAsia="en-US"/>
        </w:rPr>
        <w:t xml:space="preserve">n the next </w:t>
      </w:r>
      <w:r>
        <w:rPr>
          <w:rFonts w:ascii="Arial" w:hAnsi="Arial" w:cs="Arial"/>
          <w:sz w:val="20"/>
          <w:szCs w:val="20"/>
          <w:lang w:eastAsia="en-US"/>
        </w:rPr>
        <w:t>phase</w:t>
      </w:r>
      <w:r w:rsidR="00211FDD" w:rsidRPr="006D6BC9">
        <w:rPr>
          <w:rFonts w:ascii="Arial" w:hAnsi="Arial" w:cs="Arial"/>
          <w:sz w:val="20"/>
          <w:szCs w:val="20"/>
          <w:lang w:eastAsia="en-US"/>
        </w:rPr>
        <w:t xml:space="preserve"> of analysis, we examine</w:t>
      </w:r>
      <w:r>
        <w:rPr>
          <w:rFonts w:ascii="Arial" w:hAnsi="Arial" w:cs="Arial"/>
          <w:sz w:val="20"/>
          <w:szCs w:val="20"/>
          <w:lang w:eastAsia="en-US"/>
        </w:rPr>
        <w:t>d</w:t>
      </w:r>
      <w:r w:rsidR="00211FDD" w:rsidRPr="006D6BC9">
        <w:rPr>
          <w:rFonts w:ascii="Arial" w:hAnsi="Arial" w:cs="Arial"/>
          <w:sz w:val="20"/>
          <w:szCs w:val="20"/>
          <w:lang w:eastAsia="en-US"/>
        </w:rPr>
        <w:t xml:space="preserve"> project ideas broken down by region and grouped by project proponents: public institutions, large enterprises, small enterprises, educational institutions, others (</w:t>
      </w:r>
      <w:r w:rsidR="00211FDD">
        <w:rPr>
          <w:rFonts w:ascii="Arial" w:hAnsi="Arial" w:cs="Arial"/>
          <w:sz w:val="20"/>
          <w:szCs w:val="20"/>
          <w:lang w:eastAsia="en-US"/>
        </w:rPr>
        <w:t xml:space="preserve">Graphs </w:t>
      </w:r>
      <w:r w:rsidR="00AC0119">
        <w:rPr>
          <w:rFonts w:ascii="Arial" w:hAnsi="Arial" w:cs="Arial"/>
          <w:sz w:val="20"/>
          <w:szCs w:val="20"/>
          <w:lang w:eastAsia="en-US"/>
        </w:rPr>
        <w:t>70</w:t>
      </w:r>
      <w:r w:rsidR="00211FDD">
        <w:rPr>
          <w:rFonts w:ascii="Arial" w:hAnsi="Arial" w:cs="Arial"/>
          <w:sz w:val="20"/>
          <w:szCs w:val="20"/>
          <w:lang w:eastAsia="en-US"/>
        </w:rPr>
        <w:t xml:space="preserve"> and </w:t>
      </w:r>
      <w:r w:rsidR="00AC0119">
        <w:rPr>
          <w:rFonts w:ascii="Arial" w:hAnsi="Arial" w:cs="Arial"/>
          <w:sz w:val="20"/>
          <w:szCs w:val="20"/>
          <w:lang w:eastAsia="en-US"/>
        </w:rPr>
        <w:t>71</w:t>
      </w:r>
      <w:r w:rsidR="00211FDD">
        <w:rPr>
          <w:rFonts w:ascii="Arial" w:hAnsi="Arial" w:cs="Arial"/>
          <w:sz w:val="20"/>
          <w:szCs w:val="20"/>
          <w:lang w:eastAsia="en-US"/>
        </w:rPr>
        <w:t>)</w:t>
      </w:r>
      <w:r w:rsidR="00211FDD" w:rsidRPr="006D6BC9">
        <w:rPr>
          <w:rFonts w:ascii="Arial" w:hAnsi="Arial" w:cs="Arial"/>
          <w:sz w:val="20"/>
          <w:szCs w:val="20"/>
          <w:lang w:eastAsia="en-US"/>
        </w:rPr>
        <w:t xml:space="preserve">. Here we can see a much different situation. Hunedoara and Dolj proposed a lot of projects from public institutions (162 and 71, respectively). Gorj is a leader in </w:t>
      </w:r>
      <w:r>
        <w:rPr>
          <w:rFonts w:ascii="Arial" w:hAnsi="Arial" w:cs="Arial"/>
          <w:sz w:val="20"/>
          <w:szCs w:val="20"/>
          <w:lang w:eastAsia="en-US"/>
        </w:rPr>
        <w:t xml:space="preserve">the </w:t>
      </w:r>
      <w:r w:rsidR="00211FDD" w:rsidRPr="006D6BC9">
        <w:rPr>
          <w:rFonts w:ascii="Arial" w:hAnsi="Arial" w:cs="Arial"/>
          <w:sz w:val="20"/>
          <w:szCs w:val="20"/>
          <w:lang w:eastAsia="en-US"/>
        </w:rPr>
        <w:t xml:space="preserve">total number </w:t>
      </w:r>
      <w:r w:rsidR="00211FDD" w:rsidRPr="006D6BC9">
        <w:rPr>
          <w:rFonts w:ascii="Arial" w:hAnsi="Arial" w:cs="Arial"/>
          <w:sz w:val="20"/>
          <w:szCs w:val="20"/>
          <w:lang w:eastAsia="en-US"/>
        </w:rPr>
        <w:lastRenderedPageBreak/>
        <w:t>of project ideas from SMEs (227 or 85% of project ideas from the region). Prahova focused on support of large business and did</w:t>
      </w:r>
      <w:r>
        <w:rPr>
          <w:rFonts w:ascii="Arial" w:hAnsi="Arial" w:cs="Arial"/>
          <w:sz w:val="20"/>
          <w:szCs w:val="20"/>
          <w:lang w:eastAsia="en-US"/>
        </w:rPr>
        <w:t xml:space="preserve"> not</w:t>
      </w:r>
      <w:r w:rsidR="00211FDD" w:rsidRPr="006D6BC9">
        <w:rPr>
          <w:rFonts w:ascii="Arial" w:hAnsi="Arial" w:cs="Arial"/>
          <w:sz w:val="20"/>
          <w:szCs w:val="20"/>
          <w:lang w:eastAsia="en-US"/>
        </w:rPr>
        <w:t xml:space="preserve"> submit any project idea from public </w:t>
      </w:r>
      <w:r>
        <w:rPr>
          <w:rFonts w:ascii="Arial" w:hAnsi="Arial" w:cs="Arial"/>
          <w:sz w:val="20"/>
          <w:szCs w:val="20"/>
          <w:lang w:eastAsia="en-US"/>
        </w:rPr>
        <w:t>or</w:t>
      </w:r>
      <w:r w:rsidR="00211FDD" w:rsidRPr="006D6BC9">
        <w:rPr>
          <w:rFonts w:ascii="Arial" w:hAnsi="Arial" w:cs="Arial"/>
          <w:sz w:val="20"/>
          <w:szCs w:val="20"/>
          <w:lang w:eastAsia="en-US"/>
        </w:rPr>
        <w:t xml:space="preserve"> educational institutions.  </w:t>
      </w:r>
    </w:p>
    <w:p w14:paraId="280A45DE" w14:textId="1D345CD3" w:rsidR="00211FDD" w:rsidRDefault="0063743F" w:rsidP="00792049">
      <w:pPr>
        <w:pStyle w:val="Caption"/>
        <w:spacing w:before="120"/>
      </w:pPr>
      <w:bookmarkStart w:id="392" w:name="_Toc90727406"/>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70</w:t>
      </w:r>
      <w:r w:rsidR="000B273D">
        <w:rPr>
          <w:noProof/>
        </w:rPr>
        <w:fldChar w:fldCharType="end"/>
      </w:r>
      <w:r>
        <w:t xml:space="preserve">: </w:t>
      </w:r>
      <w:r w:rsidRPr="0063743F">
        <w:t>Breakdown of project ideas amount by the project proponents</w:t>
      </w:r>
      <w:bookmarkEnd w:id="392"/>
    </w:p>
    <w:p w14:paraId="52158A50" w14:textId="319D2CCF" w:rsidR="0063743F" w:rsidRDefault="0063743F" w:rsidP="0063743F">
      <w:pPr>
        <w:jc w:val="center"/>
        <w:rPr>
          <w:lang w:eastAsia="en-US"/>
        </w:rPr>
      </w:pPr>
      <w:r w:rsidRPr="009424F3">
        <w:rPr>
          <w:noProof/>
          <w:lang w:val="en-US" w:eastAsia="en-US"/>
        </w:rPr>
        <w:drawing>
          <wp:inline distT="0" distB="0" distL="0" distR="0" wp14:anchorId="49E801CA" wp14:editId="49BC5FE5">
            <wp:extent cx="5676265" cy="3284518"/>
            <wp:effectExtent l="0" t="0" r="635" b="11430"/>
            <wp:docPr id="49" name="Диаграмма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37E1FF9-1622-4ED7-9242-ADCD84885E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1"/>
              </a:graphicData>
            </a:graphic>
          </wp:inline>
        </w:drawing>
      </w:r>
    </w:p>
    <w:p w14:paraId="17D5E247" w14:textId="515C383C" w:rsidR="0063743F" w:rsidRDefault="0063743F" w:rsidP="00792049">
      <w:pPr>
        <w:pStyle w:val="Caption"/>
        <w:spacing w:before="120"/>
      </w:pPr>
      <w:bookmarkStart w:id="393" w:name="_Toc90727407"/>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71</w:t>
      </w:r>
      <w:r w:rsidR="000B273D">
        <w:rPr>
          <w:noProof/>
        </w:rPr>
        <w:fldChar w:fldCharType="end"/>
      </w:r>
      <w:r>
        <w:t xml:space="preserve">: </w:t>
      </w:r>
      <w:r w:rsidRPr="0063743F">
        <w:t>Breakdown of requested funds by the project ideas proponents</w:t>
      </w:r>
      <w:bookmarkEnd w:id="393"/>
    </w:p>
    <w:p w14:paraId="58E9120B" w14:textId="44D46CF0" w:rsidR="0063743F" w:rsidRDefault="0063743F" w:rsidP="00810695">
      <w:pPr>
        <w:spacing w:after="120"/>
        <w:rPr>
          <w:lang w:eastAsia="en-US"/>
        </w:rPr>
      </w:pPr>
      <w:r w:rsidRPr="00C977FD">
        <w:rPr>
          <w:noProof/>
          <w:lang w:val="en-US" w:eastAsia="en-US"/>
        </w:rPr>
        <w:drawing>
          <wp:inline distT="0" distB="0" distL="0" distR="0" wp14:anchorId="6779F28E" wp14:editId="5AB7C375">
            <wp:extent cx="5676265" cy="3312995"/>
            <wp:effectExtent l="0" t="0" r="635" b="1905"/>
            <wp:docPr id="50" name="Диаграмма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281F329-803E-421B-A21E-54C625513C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2"/>
              </a:graphicData>
            </a:graphic>
          </wp:inline>
        </w:drawing>
      </w:r>
    </w:p>
    <w:p w14:paraId="3DE54D91" w14:textId="0633CB74" w:rsidR="0063743F" w:rsidRDefault="00754B9F" w:rsidP="00402580">
      <w:pPr>
        <w:jc w:val="both"/>
        <w:rPr>
          <w:rFonts w:ascii="Arial" w:hAnsi="Arial" w:cs="Arial"/>
          <w:sz w:val="20"/>
          <w:szCs w:val="20"/>
          <w:lang w:eastAsia="en-US"/>
        </w:rPr>
      </w:pPr>
      <w:r>
        <w:rPr>
          <w:rFonts w:ascii="Arial" w:hAnsi="Arial" w:cs="Arial"/>
          <w:sz w:val="20"/>
          <w:szCs w:val="20"/>
          <w:lang w:eastAsia="en-US"/>
        </w:rPr>
        <w:t>The n</w:t>
      </w:r>
      <w:r w:rsidR="0063743F" w:rsidRPr="006D6BC9">
        <w:rPr>
          <w:rFonts w:ascii="Arial" w:hAnsi="Arial" w:cs="Arial"/>
          <w:sz w:val="20"/>
          <w:szCs w:val="20"/>
          <w:lang w:eastAsia="en-US"/>
        </w:rPr>
        <w:t>umber of project ideas proposed by SMEs</w:t>
      </w:r>
      <w:r>
        <w:rPr>
          <w:rFonts w:ascii="Arial" w:hAnsi="Arial" w:cs="Arial"/>
          <w:sz w:val="20"/>
          <w:szCs w:val="20"/>
          <w:lang w:eastAsia="en-US"/>
        </w:rPr>
        <w:t xml:space="preserve"> is</w:t>
      </w:r>
      <w:r w:rsidR="0063743F" w:rsidRPr="006D6BC9">
        <w:rPr>
          <w:rFonts w:ascii="Arial" w:hAnsi="Arial" w:cs="Arial"/>
          <w:sz w:val="20"/>
          <w:szCs w:val="20"/>
          <w:lang w:eastAsia="en-US"/>
        </w:rPr>
        <w:t xml:space="preserve"> broken down by region and </w:t>
      </w:r>
      <w:r>
        <w:rPr>
          <w:rFonts w:ascii="Arial" w:hAnsi="Arial" w:cs="Arial"/>
          <w:sz w:val="20"/>
          <w:szCs w:val="20"/>
          <w:lang w:eastAsia="en-US"/>
        </w:rPr>
        <w:t xml:space="preserve">the </w:t>
      </w:r>
      <w:r w:rsidR="0063743F" w:rsidRPr="006D6BC9">
        <w:rPr>
          <w:rFonts w:ascii="Arial" w:hAnsi="Arial" w:cs="Arial"/>
          <w:sz w:val="20"/>
          <w:szCs w:val="20"/>
          <w:lang w:eastAsia="en-US"/>
        </w:rPr>
        <w:t xml:space="preserve">requested amounts </w:t>
      </w:r>
      <w:r>
        <w:rPr>
          <w:rFonts w:ascii="Arial" w:hAnsi="Arial" w:cs="Arial"/>
          <w:sz w:val="20"/>
          <w:szCs w:val="20"/>
          <w:lang w:eastAsia="en-US"/>
        </w:rPr>
        <w:t>are</w:t>
      </w:r>
      <w:r w:rsidR="0063743F" w:rsidRPr="006D6BC9">
        <w:rPr>
          <w:rFonts w:ascii="Arial" w:hAnsi="Arial" w:cs="Arial"/>
          <w:sz w:val="20"/>
          <w:szCs w:val="20"/>
          <w:lang w:eastAsia="en-US"/>
        </w:rPr>
        <w:t xml:space="preserve"> presented in </w:t>
      </w:r>
      <w:r w:rsidR="00F94D6D">
        <w:rPr>
          <w:rFonts w:ascii="Arial" w:hAnsi="Arial" w:cs="Arial"/>
          <w:sz w:val="20"/>
          <w:szCs w:val="20"/>
          <w:lang w:eastAsia="en-US"/>
        </w:rPr>
        <w:t xml:space="preserve">Graph </w:t>
      </w:r>
      <w:r w:rsidR="00AC0119">
        <w:rPr>
          <w:rFonts w:ascii="Arial" w:hAnsi="Arial" w:cs="Arial"/>
          <w:sz w:val="20"/>
          <w:szCs w:val="20"/>
          <w:lang w:eastAsia="en-US"/>
        </w:rPr>
        <w:t>72</w:t>
      </w:r>
      <w:r w:rsidR="0063743F">
        <w:rPr>
          <w:rStyle w:val="FootnoteReference"/>
          <w:rFonts w:ascii="Arial" w:hAnsi="Arial" w:cs="Arial"/>
          <w:sz w:val="20"/>
          <w:szCs w:val="20"/>
          <w:lang w:eastAsia="en-US"/>
        </w:rPr>
        <w:footnoteReference w:id="170"/>
      </w:r>
      <w:r w:rsidR="0063743F">
        <w:rPr>
          <w:rFonts w:ascii="Arial" w:hAnsi="Arial" w:cs="Arial"/>
          <w:sz w:val="20"/>
          <w:szCs w:val="20"/>
          <w:lang w:eastAsia="en-US"/>
        </w:rPr>
        <w:t>.</w:t>
      </w:r>
    </w:p>
    <w:p w14:paraId="6857FF27" w14:textId="61BF6E1C" w:rsidR="0063743F" w:rsidRDefault="0063743F" w:rsidP="0063743F">
      <w:pPr>
        <w:pStyle w:val="Caption"/>
      </w:pPr>
      <w:bookmarkStart w:id="394" w:name="_Toc90727408"/>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72</w:t>
      </w:r>
      <w:r w:rsidR="000B273D">
        <w:rPr>
          <w:noProof/>
        </w:rPr>
        <w:fldChar w:fldCharType="end"/>
      </w:r>
      <w:r>
        <w:t xml:space="preserve">: </w:t>
      </w:r>
      <w:r w:rsidRPr="0063743F">
        <w:t>Breakdown of project ideas amount proposed by SMEs by region of origin</w:t>
      </w:r>
      <w:bookmarkEnd w:id="394"/>
    </w:p>
    <w:p w14:paraId="7FCDFE74" w14:textId="2427F16C" w:rsidR="0063743F" w:rsidRDefault="0063743F" w:rsidP="00810695">
      <w:pPr>
        <w:spacing w:after="120"/>
        <w:jc w:val="center"/>
        <w:rPr>
          <w:rFonts w:ascii="Arial" w:hAnsi="Arial" w:cs="Arial"/>
          <w:lang w:eastAsia="en-US"/>
        </w:rPr>
      </w:pPr>
      <w:r w:rsidRPr="00C977FD">
        <w:rPr>
          <w:noProof/>
          <w:lang w:val="en-US" w:eastAsia="en-US"/>
        </w:rPr>
        <w:drawing>
          <wp:inline distT="0" distB="0" distL="0" distR="0" wp14:anchorId="5DB8B303" wp14:editId="27E38974">
            <wp:extent cx="4572000" cy="2935224"/>
            <wp:effectExtent l="0" t="0" r="0" b="0"/>
            <wp:docPr id="54" name="Диаграмма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E2CFA4F-FECC-4FD0-BD7E-47EA7FEBA1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3"/>
              </a:graphicData>
            </a:graphic>
          </wp:inline>
        </w:drawing>
      </w:r>
    </w:p>
    <w:p w14:paraId="23C29AD4" w14:textId="3869F6F5" w:rsidR="0063743F" w:rsidRDefault="0063743F" w:rsidP="0063743F">
      <w:pPr>
        <w:jc w:val="both"/>
        <w:rPr>
          <w:rFonts w:ascii="Arial" w:hAnsi="Arial" w:cs="Arial"/>
          <w:sz w:val="20"/>
          <w:szCs w:val="20"/>
          <w:lang w:eastAsia="en-US"/>
        </w:rPr>
      </w:pPr>
      <w:r w:rsidRPr="006D6BC9">
        <w:rPr>
          <w:rFonts w:ascii="Arial" w:hAnsi="Arial" w:cs="Arial"/>
          <w:sz w:val="20"/>
          <w:szCs w:val="20"/>
          <w:lang w:eastAsia="en-US"/>
        </w:rPr>
        <w:t xml:space="preserve">The total number of project ideas from SMEs is 348 with </w:t>
      </w:r>
      <w:r w:rsidR="00754B9F">
        <w:rPr>
          <w:rFonts w:ascii="Arial" w:hAnsi="Arial" w:cs="Arial"/>
          <w:sz w:val="20"/>
          <w:szCs w:val="20"/>
          <w:lang w:eastAsia="en-US"/>
        </w:rPr>
        <w:t>a</w:t>
      </w:r>
      <w:r w:rsidRPr="006D6BC9">
        <w:rPr>
          <w:rFonts w:ascii="Arial" w:hAnsi="Arial" w:cs="Arial"/>
          <w:sz w:val="20"/>
          <w:szCs w:val="20"/>
          <w:lang w:eastAsia="en-US"/>
        </w:rPr>
        <w:t xml:space="preserve"> total budget EUR 2,247,993,045 (43.8%). </w:t>
      </w:r>
      <w:r w:rsidR="00754B9F">
        <w:rPr>
          <w:rFonts w:ascii="Arial" w:hAnsi="Arial" w:cs="Arial"/>
          <w:sz w:val="20"/>
          <w:szCs w:val="20"/>
          <w:lang w:eastAsia="en-US"/>
        </w:rPr>
        <w:t>Gorj is t</w:t>
      </w:r>
      <w:r w:rsidRPr="006D6BC9">
        <w:rPr>
          <w:rFonts w:ascii="Arial" w:hAnsi="Arial" w:cs="Arial"/>
          <w:sz w:val="20"/>
          <w:szCs w:val="20"/>
          <w:lang w:eastAsia="en-US"/>
        </w:rPr>
        <w:t>he leader by number of project ideas from SMEs</w:t>
      </w:r>
      <w:r w:rsidR="00754B9F">
        <w:rPr>
          <w:rFonts w:ascii="Arial" w:hAnsi="Arial" w:cs="Arial"/>
          <w:sz w:val="20"/>
          <w:szCs w:val="20"/>
          <w:lang w:eastAsia="en-US"/>
        </w:rPr>
        <w:t xml:space="preserve"> </w:t>
      </w:r>
      <w:r w:rsidRPr="006D6BC9">
        <w:rPr>
          <w:rFonts w:ascii="Arial" w:hAnsi="Arial" w:cs="Arial"/>
          <w:sz w:val="20"/>
          <w:szCs w:val="20"/>
          <w:lang w:eastAsia="en-US"/>
        </w:rPr>
        <w:t xml:space="preserve">(227 or 65%). </w:t>
      </w:r>
      <w:r w:rsidR="00754B9F">
        <w:rPr>
          <w:rFonts w:ascii="Arial" w:hAnsi="Arial" w:cs="Arial"/>
          <w:sz w:val="20"/>
          <w:szCs w:val="20"/>
          <w:lang w:eastAsia="en-US"/>
        </w:rPr>
        <w:t>Conversely</w:t>
      </w:r>
      <w:r w:rsidRPr="006D6BC9">
        <w:rPr>
          <w:rFonts w:ascii="Arial" w:hAnsi="Arial" w:cs="Arial"/>
          <w:sz w:val="20"/>
          <w:szCs w:val="20"/>
          <w:lang w:eastAsia="en-US"/>
        </w:rPr>
        <w:t xml:space="preserve">, Prahova </w:t>
      </w:r>
      <w:r w:rsidR="00754B9F">
        <w:rPr>
          <w:rFonts w:ascii="Arial" w:hAnsi="Arial" w:cs="Arial"/>
          <w:sz w:val="20"/>
          <w:szCs w:val="20"/>
          <w:lang w:eastAsia="en-US"/>
        </w:rPr>
        <w:t xml:space="preserve">only </w:t>
      </w:r>
      <w:r w:rsidRPr="006D6BC9">
        <w:rPr>
          <w:rFonts w:ascii="Arial" w:hAnsi="Arial" w:cs="Arial"/>
          <w:sz w:val="20"/>
          <w:szCs w:val="20"/>
          <w:lang w:eastAsia="en-US"/>
        </w:rPr>
        <w:t xml:space="preserve">presented 1 SME </w:t>
      </w:r>
      <w:r w:rsidR="00754B9F">
        <w:rPr>
          <w:rFonts w:ascii="Arial" w:hAnsi="Arial" w:cs="Arial"/>
          <w:sz w:val="20"/>
          <w:szCs w:val="20"/>
          <w:lang w:eastAsia="en-US"/>
        </w:rPr>
        <w:t>project</w:t>
      </w:r>
      <w:r w:rsidRPr="006D6BC9">
        <w:rPr>
          <w:rFonts w:ascii="Arial" w:hAnsi="Arial" w:cs="Arial"/>
          <w:sz w:val="20"/>
          <w:szCs w:val="20"/>
          <w:lang w:eastAsia="en-US"/>
        </w:rPr>
        <w:t xml:space="preserve"> (SC Ruserio Solar SR). Other enterprises are large and speciali</w:t>
      </w:r>
      <w:r w:rsidR="00754B9F">
        <w:rPr>
          <w:rFonts w:ascii="Arial" w:hAnsi="Arial" w:cs="Arial"/>
          <w:sz w:val="20"/>
          <w:szCs w:val="20"/>
          <w:lang w:eastAsia="en-US"/>
        </w:rPr>
        <w:t>s</w:t>
      </w:r>
      <w:r w:rsidRPr="006D6BC9">
        <w:rPr>
          <w:rFonts w:ascii="Arial" w:hAnsi="Arial" w:cs="Arial"/>
          <w:sz w:val="20"/>
          <w:szCs w:val="20"/>
          <w:lang w:eastAsia="en-US"/>
        </w:rPr>
        <w:t>e in extraction of oil and natural gas, as well as oil refinery.</w:t>
      </w:r>
    </w:p>
    <w:p w14:paraId="3DFABDF5" w14:textId="5140B3E4" w:rsidR="0063743F" w:rsidRDefault="0063743F" w:rsidP="0063743F">
      <w:pPr>
        <w:pStyle w:val="Caption"/>
      </w:pPr>
      <w:bookmarkStart w:id="395" w:name="_Toc90727409"/>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73</w:t>
      </w:r>
      <w:r w:rsidR="000B273D">
        <w:rPr>
          <w:noProof/>
        </w:rPr>
        <w:fldChar w:fldCharType="end"/>
      </w:r>
      <w:r>
        <w:t xml:space="preserve">: </w:t>
      </w:r>
      <w:r w:rsidRPr="0063743F">
        <w:t>Breakdown of project ideas proposed by SMEs by requested amounts of funds</w:t>
      </w:r>
      <w:bookmarkEnd w:id="395"/>
    </w:p>
    <w:p w14:paraId="7FC11764" w14:textId="024A095E" w:rsidR="0063743F" w:rsidRDefault="0063743F" w:rsidP="00810695">
      <w:pPr>
        <w:spacing w:after="120"/>
        <w:jc w:val="center"/>
        <w:rPr>
          <w:lang w:eastAsia="en-US"/>
        </w:rPr>
      </w:pPr>
      <w:r w:rsidRPr="00C977FD">
        <w:rPr>
          <w:noProof/>
          <w:lang w:val="en-US" w:eastAsia="en-US"/>
        </w:rPr>
        <w:drawing>
          <wp:inline distT="0" distB="0" distL="0" distR="0" wp14:anchorId="3073C1C4" wp14:editId="48DE8BB3">
            <wp:extent cx="4572000" cy="2935224"/>
            <wp:effectExtent l="0" t="0" r="0" b="0"/>
            <wp:docPr id="55" name="Диаграмма 2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AB41A40-C594-43C5-A0AD-B20B676DA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4"/>
              </a:graphicData>
            </a:graphic>
          </wp:inline>
        </w:drawing>
      </w:r>
    </w:p>
    <w:p w14:paraId="1A575D82" w14:textId="01F6C471" w:rsidR="0063743F" w:rsidRPr="006D6BC9" w:rsidRDefault="003751DC" w:rsidP="008D32D6">
      <w:pPr>
        <w:spacing w:after="120"/>
        <w:jc w:val="both"/>
        <w:rPr>
          <w:rFonts w:ascii="Arial" w:hAnsi="Arial" w:cs="Arial"/>
          <w:sz w:val="20"/>
          <w:szCs w:val="20"/>
          <w:lang w:eastAsia="en-US"/>
        </w:rPr>
      </w:pPr>
      <w:r>
        <w:rPr>
          <w:rFonts w:ascii="Arial" w:hAnsi="Arial" w:cs="Arial"/>
          <w:sz w:val="20"/>
          <w:szCs w:val="20"/>
          <w:lang w:eastAsia="en-US"/>
        </w:rPr>
        <w:t>Galați</w:t>
      </w:r>
      <w:r w:rsidR="00754B9F">
        <w:rPr>
          <w:rFonts w:ascii="Arial" w:hAnsi="Arial" w:cs="Arial"/>
          <w:sz w:val="20"/>
          <w:szCs w:val="20"/>
          <w:lang w:eastAsia="en-US"/>
        </w:rPr>
        <w:t xml:space="preserve"> is t</w:t>
      </w:r>
      <w:r w:rsidR="0063743F" w:rsidRPr="006D6BC9">
        <w:rPr>
          <w:rFonts w:ascii="Arial" w:hAnsi="Arial" w:cs="Arial"/>
          <w:sz w:val="20"/>
          <w:szCs w:val="20"/>
          <w:lang w:eastAsia="en-US"/>
        </w:rPr>
        <w:t xml:space="preserve">he leader of fund requests from SMEs. This is attributable to two projects: Construction of the Wind Power Plant, </w:t>
      </w:r>
      <w:r w:rsidR="004F70E0">
        <w:rPr>
          <w:rFonts w:ascii="Arial" w:hAnsi="Arial" w:cs="Arial"/>
          <w:sz w:val="20"/>
          <w:szCs w:val="20"/>
          <w:lang w:eastAsia="en-US"/>
        </w:rPr>
        <w:t>Galați</w:t>
      </w:r>
      <w:r w:rsidR="0063743F" w:rsidRPr="006D6BC9">
        <w:rPr>
          <w:rFonts w:ascii="Arial" w:hAnsi="Arial" w:cs="Arial"/>
          <w:sz w:val="20"/>
          <w:szCs w:val="20"/>
          <w:lang w:eastAsia="en-US"/>
        </w:rPr>
        <w:t xml:space="preserve"> County, with a maximum of 204 wind generating groups (Hoopeks International SRL requests </w:t>
      </w:r>
      <w:r w:rsidR="00754B9F">
        <w:rPr>
          <w:rFonts w:ascii="Arial" w:hAnsi="Arial" w:cs="Arial"/>
          <w:sz w:val="20"/>
          <w:szCs w:val="20"/>
          <w:lang w:eastAsia="en-US"/>
        </w:rPr>
        <w:t>EUR</w:t>
      </w:r>
      <w:r w:rsidR="0063743F" w:rsidRPr="006D6BC9">
        <w:rPr>
          <w:rFonts w:ascii="Arial" w:hAnsi="Arial" w:cs="Arial"/>
          <w:sz w:val="20"/>
          <w:szCs w:val="20"/>
          <w:lang w:eastAsia="en-US"/>
        </w:rPr>
        <w:t xml:space="preserve"> 850,000,000) and Construction of the Wind Power Plant in the North-West of </w:t>
      </w:r>
      <w:r w:rsidR="004F70E0">
        <w:rPr>
          <w:rFonts w:ascii="Arial" w:hAnsi="Arial" w:cs="Arial"/>
          <w:sz w:val="20"/>
          <w:szCs w:val="20"/>
          <w:lang w:eastAsia="en-US"/>
        </w:rPr>
        <w:t>Galați</w:t>
      </w:r>
      <w:r w:rsidR="0063743F" w:rsidRPr="006D6BC9">
        <w:rPr>
          <w:rFonts w:ascii="Arial" w:hAnsi="Arial" w:cs="Arial"/>
          <w:sz w:val="20"/>
          <w:szCs w:val="20"/>
          <w:lang w:eastAsia="en-US"/>
        </w:rPr>
        <w:t xml:space="preserve"> County, with a maximum of 63 wind generating groups (Green Labs Advertising SRL requests </w:t>
      </w:r>
      <w:r w:rsidR="00754B9F">
        <w:rPr>
          <w:rFonts w:ascii="Arial" w:hAnsi="Arial" w:cs="Arial"/>
          <w:sz w:val="20"/>
          <w:szCs w:val="20"/>
          <w:lang w:eastAsia="en-US"/>
        </w:rPr>
        <w:t>EUR</w:t>
      </w:r>
      <w:r w:rsidR="0063743F" w:rsidRPr="006D6BC9">
        <w:rPr>
          <w:rFonts w:ascii="Arial" w:hAnsi="Arial" w:cs="Arial"/>
          <w:sz w:val="20"/>
          <w:szCs w:val="20"/>
          <w:lang w:eastAsia="en-US"/>
        </w:rPr>
        <w:t xml:space="preserve"> 260,000,000). </w:t>
      </w:r>
      <w:r w:rsidR="00754B9F">
        <w:rPr>
          <w:rFonts w:ascii="Arial" w:hAnsi="Arial" w:cs="Arial"/>
          <w:sz w:val="20"/>
          <w:szCs w:val="20"/>
          <w:lang w:eastAsia="en-US"/>
        </w:rPr>
        <w:t>Ano</w:t>
      </w:r>
      <w:r w:rsidR="0063743F" w:rsidRPr="006D6BC9">
        <w:rPr>
          <w:rFonts w:ascii="Arial" w:hAnsi="Arial" w:cs="Arial"/>
          <w:sz w:val="20"/>
          <w:szCs w:val="20"/>
          <w:lang w:eastAsia="en-US"/>
        </w:rPr>
        <w:t xml:space="preserve">ther 18 project ideas from </w:t>
      </w:r>
      <w:r>
        <w:rPr>
          <w:rFonts w:ascii="Arial" w:hAnsi="Arial" w:cs="Arial"/>
          <w:sz w:val="20"/>
          <w:szCs w:val="20"/>
          <w:lang w:eastAsia="en-US"/>
        </w:rPr>
        <w:t>Galați</w:t>
      </w:r>
      <w:r w:rsidR="0063743F" w:rsidRPr="006D6BC9">
        <w:rPr>
          <w:rFonts w:ascii="Arial" w:hAnsi="Arial" w:cs="Arial"/>
          <w:sz w:val="20"/>
          <w:szCs w:val="20"/>
          <w:lang w:eastAsia="en-US"/>
        </w:rPr>
        <w:t xml:space="preserve"> region require EUR 28,037,250.</w:t>
      </w:r>
    </w:p>
    <w:p w14:paraId="59E4DD1D" w14:textId="2BF76BE2" w:rsidR="00754B9F" w:rsidRDefault="0063743F" w:rsidP="008D32D6">
      <w:pPr>
        <w:spacing w:after="120"/>
        <w:jc w:val="both"/>
        <w:rPr>
          <w:rFonts w:ascii="Arial" w:hAnsi="Arial" w:cs="Arial"/>
          <w:sz w:val="20"/>
          <w:szCs w:val="20"/>
          <w:lang w:eastAsia="en-US"/>
        </w:rPr>
      </w:pPr>
      <w:r w:rsidRPr="006D6BC9">
        <w:rPr>
          <w:rFonts w:ascii="Arial" w:hAnsi="Arial" w:cs="Arial"/>
          <w:sz w:val="20"/>
          <w:szCs w:val="20"/>
          <w:lang w:eastAsia="en-US"/>
        </w:rPr>
        <w:t>The number of project ideas proposed by large enterprises</w:t>
      </w:r>
      <w:r w:rsidR="00754B9F">
        <w:rPr>
          <w:rFonts w:ascii="Arial" w:hAnsi="Arial" w:cs="Arial"/>
          <w:sz w:val="20"/>
          <w:szCs w:val="20"/>
          <w:lang w:eastAsia="en-US"/>
        </w:rPr>
        <w:t xml:space="preserve"> are</w:t>
      </w:r>
      <w:r w:rsidRPr="006D6BC9">
        <w:rPr>
          <w:rFonts w:ascii="Arial" w:hAnsi="Arial" w:cs="Arial"/>
          <w:sz w:val="20"/>
          <w:szCs w:val="20"/>
          <w:lang w:eastAsia="en-US"/>
        </w:rPr>
        <w:t xml:space="preserve"> broken down by region of origin and requested funds in </w:t>
      </w:r>
      <w:r>
        <w:rPr>
          <w:rFonts w:ascii="Arial" w:hAnsi="Arial" w:cs="Arial"/>
          <w:sz w:val="20"/>
          <w:szCs w:val="20"/>
          <w:lang w:eastAsia="en-US"/>
        </w:rPr>
        <w:t>Graphs 7</w:t>
      </w:r>
      <w:r w:rsidR="00AC0119">
        <w:rPr>
          <w:rFonts w:ascii="Arial" w:hAnsi="Arial" w:cs="Arial"/>
          <w:sz w:val="20"/>
          <w:szCs w:val="20"/>
          <w:lang w:eastAsia="en-US"/>
        </w:rPr>
        <w:t>4</w:t>
      </w:r>
      <w:r>
        <w:rPr>
          <w:rFonts w:ascii="Arial" w:hAnsi="Arial" w:cs="Arial"/>
          <w:sz w:val="20"/>
          <w:szCs w:val="20"/>
          <w:lang w:eastAsia="en-US"/>
        </w:rPr>
        <w:t xml:space="preserve"> and 7</w:t>
      </w:r>
      <w:r w:rsidR="00AC0119">
        <w:rPr>
          <w:rFonts w:ascii="Arial" w:hAnsi="Arial" w:cs="Arial"/>
          <w:sz w:val="20"/>
          <w:szCs w:val="20"/>
          <w:lang w:eastAsia="en-US"/>
        </w:rPr>
        <w:t>5</w:t>
      </w:r>
      <w:r w:rsidR="00754B9F">
        <w:rPr>
          <w:rFonts w:ascii="Arial" w:hAnsi="Arial" w:cs="Arial"/>
          <w:sz w:val="20"/>
          <w:szCs w:val="20"/>
          <w:lang w:eastAsia="en-US"/>
        </w:rPr>
        <w:t xml:space="preserve">. </w:t>
      </w:r>
    </w:p>
    <w:p w14:paraId="2271D2EE" w14:textId="133D7DF8" w:rsidR="0063743F" w:rsidRDefault="00D0742E" w:rsidP="008D32D6">
      <w:pPr>
        <w:spacing w:after="120"/>
        <w:jc w:val="both"/>
        <w:rPr>
          <w:rFonts w:ascii="Arial" w:hAnsi="Arial" w:cs="Arial"/>
          <w:sz w:val="20"/>
          <w:szCs w:val="20"/>
          <w:lang w:eastAsia="en-US"/>
        </w:rPr>
      </w:pPr>
      <w:r>
        <w:rPr>
          <w:rFonts w:ascii="Arial" w:hAnsi="Arial" w:cs="Arial"/>
          <w:sz w:val="20"/>
          <w:szCs w:val="20"/>
          <w:lang w:eastAsia="en-US"/>
        </w:rPr>
        <w:t>A</w:t>
      </w:r>
      <w:r w:rsidR="0063743F" w:rsidRPr="006D6BC9">
        <w:rPr>
          <w:rFonts w:ascii="Arial" w:hAnsi="Arial" w:cs="Arial"/>
          <w:sz w:val="20"/>
          <w:szCs w:val="20"/>
          <w:lang w:eastAsia="en-US"/>
        </w:rPr>
        <w:t xml:space="preserve"> total of </w:t>
      </w:r>
      <w:r>
        <w:rPr>
          <w:rFonts w:ascii="Arial" w:hAnsi="Arial" w:cs="Arial"/>
          <w:sz w:val="20"/>
          <w:szCs w:val="20"/>
          <w:lang w:eastAsia="en-US"/>
        </w:rPr>
        <w:t xml:space="preserve">94 </w:t>
      </w:r>
      <w:r w:rsidR="0063743F" w:rsidRPr="006D6BC9">
        <w:rPr>
          <w:rFonts w:ascii="Arial" w:hAnsi="Arial" w:cs="Arial"/>
          <w:sz w:val="20"/>
          <w:szCs w:val="20"/>
          <w:lang w:eastAsia="en-US"/>
        </w:rPr>
        <w:t xml:space="preserve">project ideas </w:t>
      </w:r>
      <w:r>
        <w:rPr>
          <w:rFonts w:ascii="Arial" w:hAnsi="Arial" w:cs="Arial"/>
          <w:sz w:val="20"/>
          <w:szCs w:val="20"/>
          <w:lang w:eastAsia="en-US"/>
        </w:rPr>
        <w:t xml:space="preserve">came </w:t>
      </w:r>
      <w:r w:rsidR="0063743F" w:rsidRPr="006D6BC9">
        <w:rPr>
          <w:rFonts w:ascii="Arial" w:hAnsi="Arial" w:cs="Arial"/>
          <w:sz w:val="20"/>
          <w:szCs w:val="20"/>
          <w:lang w:eastAsia="en-US"/>
        </w:rPr>
        <w:t xml:space="preserve">from large enterprises with </w:t>
      </w:r>
      <w:r>
        <w:rPr>
          <w:rFonts w:ascii="Arial" w:hAnsi="Arial" w:cs="Arial"/>
          <w:sz w:val="20"/>
          <w:szCs w:val="20"/>
          <w:lang w:eastAsia="en-US"/>
        </w:rPr>
        <w:t>a</w:t>
      </w:r>
      <w:r w:rsidR="0063743F" w:rsidRPr="006D6BC9">
        <w:rPr>
          <w:rFonts w:ascii="Arial" w:hAnsi="Arial" w:cs="Arial"/>
          <w:sz w:val="20"/>
          <w:szCs w:val="20"/>
          <w:lang w:eastAsia="en-US"/>
        </w:rPr>
        <w:t xml:space="preserve"> total budget EUR 3,835,095,689. The most have been s</w:t>
      </w:r>
      <w:r>
        <w:rPr>
          <w:rFonts w:ascii="Arial" w:hAnsi="Arial" w:cs="Arial"/>
          <w:sz w:val="20"/>
          <w:szCs w:val="20"/>
          <w:lang w:eastAsia="en-US"/>
        </w:rPr>
        <w:t>u</w:t>
      </w:r>
      <w:r w:rsidR="0063743F" w:rsidRPr="006D6BC9">
        <w:rPr>
          <w:rFonts w:ascii="Arial" w:hAnsi="Arial" w:cs="Arial"/>
          <w:sz w:val="20"/>
          <w:szCs w:val="20"/>
          <w:lang w:eastAsia="en-US"/>
        </w:rPr>
        <w:t>bmitted by large enterprises: AZO</w:t>
      </w:r>
      <w:r w:rsidR="004F70E0">
        <w:rPr>
          <w:rFonts w:ascii="Arial" w:hAnsi="Arial" w:cs="Arial"/>
          <w:sz w:val="20"/>
          <w:szCs w:val="20"/>
          <w:lang w:eastAsia="en-US"/>
        </w:rPr>
        <w:t>MUREȘ</w:t>
      </w:r>
      <w:r w:rsidR="0063743F" w:rsidRPr="006D6BC9">
        <w:rPr>
          <w:rFonts w:ascii="Arial" w:hAnsi="Arial" w:cs="Arial"/>
          <w:sz w:val="20"/>
          <w:szCs w:val="20"/>
          <w:lang w:eastAsia="en-US"/>
        </w:rPr>
        <w:t xml:space="preserve"> SA (13 project ideas with </w:t>
      </w:r>
      <w:r>
        <w:rPr>
          <w:rFonts w:ascii="Arial" w:hAnsi="Arial" w:cs="Arial"/>
          <w:sz w:val="20"/>
          <w:szCs w:val="20"/>
          <w:lang w:eastAsia="en-US"/>
        </w:rPr>
        <w:t>a</w:t>
      </w:r>
      <w:r w:rsidR="0063743F" w:rsidRPr="006D6BC9">
        <w:rPr>
          <w:rFonts w:ascii="Arial" w:hAnsi="Arial" w:cs="Arial"/>
          <w:sz w:val="20"/>
          <w:szCs w:val="20"/>
          <w:lang w:eastAsia="en-US"/>
        </w:rPr>
        <w:t xml:space="preserve"> total budget </w:t>
      </w:r>
      <w:r>
        <w:rPr>
          <w:rFonts w:ascii="Arial" w:hAnsi="Arial" w:cs="Arial"/>
          <w:sz w:val="20"/>
          <w:szCs w:val="20"/>
          <w:lang w:eastAsia="en-US"/>
        </w:rPr>
        <w:t xml:space="preserve">of </w:t>
      </w:r>
      <w:r w:rsidR="0063743F" w:rsidRPr="006D6BC9">
        <w:rPr>
          <w:rFonts w:ascii="Arial" w:hAnsi="Arial" w:cs="Arial"/>
          <w:sz w:val="20"/>
          <w:szCs w:val="20"/>
          <w:lang w:eastAsia="en-US"/>
        </w:rPr>
        <w:t xml:space="preserve">EUR 391,967,429); Rompetrol Rafinare S.A. (5 project ideas with </w:t>
      </w:r>
      <w:r>
        <w:rPr>
          <w:rFonts w:ascii="Arial" w:hAnsi="Arial" w:cs="Arial"/>
          <w:sz w:val="20"/>
          <w:szCs w:val="20"/>
          <w:lang w:eastAsia="en-US"/>
        </w:rPr>
        <w:t>a</w:t>
      </w:r>
      <w:r w:rsidR="0063743F" w:rsidRPr="006D6BC9">
        <w:rPr>
          <w:rFonts w:ascii="Arial" w:hAnsi="Arial" w:cs="Arial"/>
          <w:sz w:val="20"/>
          <w:szCs w:val="20"/>
          <w:lang w:eastAsia="en-US"/>
        </w:rPr>
        <w:t xml:space="preserve"> total budget</w:t>
      </w:r>
      <w:r>
        <w:rPr>
          <w:rFonts w:ascii="Arial" w:hAnsi="Arial" w:cs="Arial"/>
          <w:sz w:val="20"/>
          <w:szCs w:val="20"/>
          <w:lang w:eastAsia="en-US"/>
        </w:rPr>
        <w:t xml:space="preserve"> of</w:t>
      </w:r>
      <w:r w:rsidR="0063743F" w:rsidRPr="006D6BC9">
        <w:rPr>
          <w:rFonts w:ascii="Arial" w:hAnsi="Arial" w:cs="Arial"/>
          <w:sz w:val="20"/>
          <w:szCs w:val="20"/>
          <w:lang w:eastAsia="en-US"/>
        </w:rPr>
        <w:t xml:space="preserve"> EUR 64,702,104), </w:t>
      </w:r>
      <w:r w:rsidR="0063743F" w:rsidRPr="006D6BC9">
        <w:rPr>
          <w:rFonts w:ascii="Arial" w:hAnsi="Arial" w:cs="Arial"/>
          <w:sz w:val="20"/>
          <w:szCs w:val="20"/>
          <w:lang w:eastAsia="en-US"/>
        </w:rPr>
        <w:lastRenderedPageBreak/>
        <w:t xml:space="preserve">Petrotel-Lukoil SA (4 project ideas with </w:t>
      </w:r>
      <w:r>
        <w:rPr>
          <w:rFonts w:ascii="Arial" w:hAnsi="Arial" w:cs="Arial"/>
          <w:sz w:val="20"/>
          <w:szCs w:val="20"/>
          <w:lang w:eastAsia="en-US"/>
        </w:rPr>
        <w:t>a</w:t>
      </w:r>
      <w:r w:rsidR="0063743F" w:rsidRPr="006D6BC9">
        <w:rPr>
          <w:rFonts w:ascii="Arial" w:hAnsi="Arial" w:cs="Arial"/>
          <w:sz w:val="20"/>
          <w:szCs w:val="20"/>
          <w:lang w:eastAsia="en-US"/>
        </w:rPr>
        <w:t xml:space="preserve"> total budget </w:t>
      </w:r>
      <w:r>
        <w:rPr>
          <w:rFonts w:ascii="Arial" w:hAnsi="Arial" w:cs="Arial"/>
          <w:sz w:val="20"/>
          <w:szCs w:val="20"/>
          <w:lang w:eastAsia="en-US"/>
        </w:rPr>
        <w:t xml:space="preserve">of </w:t>
      </w:r>
      <w:r w:rsidR="0063743F" w:rsidRPr="006D6BC9">
        <w:rPr>
          <w:rFonts w:ascii="Arial" w:hAnsi="Arial" w:cs="Arial"/>
          <w:sz w:val="20"/>
          <w:szCs w:val="20"/>
          <w:lang w:eastAsia="en-US"/>
        </w:rPr>
        <w:t xml:space="preserve">EUR 220,000,000), S.C. OMV Petrom SA (13 project ideas with </w:t>
      </w:r>
      <w:r>
        <w:rPr>
          <w:rFonts w:ascii="Arial" w:hAnsi="Arial" w:cs="Arial"/>
          <w:sz w:val="20"/>
          <w:szCs w:val="20"/>
          <w:lang w:eastAsia="en-US"/>
        </w:rPr>
        <w:t>a</w:t>
      </w:r>
      <w:r w:rsidR="0063743F" w:rsidRPr="006D6BC9">
        <w:rPr>
          <w:rFonts w:ascii="Arial" w:hAnsi="Arial" w:cs="Arial"/>
          <w:sz w:val="20"/>
          <w:szCs w:val="20"/>
          <w:lang w:eastAsia="en-US"/>
        </w:rPr>
        <w:t xml:space="preserve"> total budget </w:t>
      </w:r>
      <w:r>
        <w:rPr>
          <w:rFonts w:ascii="Arial" w:hAnsi="Arial" w:cs="Arial"/>
          <w:sz w:val="20"/>
          <w:szCs w:val="20"/>
          <w:lang w:eastAsia="en-US"/>
        </w:rPr>
        <w:t xml:space="preserve">of </w:t>
      </w:r>
      <w:r w:rsidR="0063743F" w:rsidRPr="006D6BC9">
        <w:rPr>
          <w:rFonts w:ascii="Arial" w:hAnsi="Arial" w:cs="Arial"/>
          <w:sz w:val="20"/>
          <w:szCs w:val="20"/>
          <w:lang w:eastAsia="en-US"/>
        </w:rPr>
        <w:t>EUR 621,800,000).</w:t>
      </w:r>
    </w:p>
    <w:p w14:paraId="62463CB7" w14:textId="582F85C0" w:rsidR="0063743F" w:rsidRDefault="0063743F" w:rsidP="0063743F">
      <w:pPr>
        <w:pStyle w:val="Caption"/>
      </w:pPr>
      <w:bookmarkStart w:id="396" w:name="_Toc90727410"/>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74</w:t>
      </w:r>
      <w:r w:rsidR="000B273D">
        <w:rPr>
          <w:noProof/>
        </w:rPr>
        <w:fldChar w:fldCharType="end"/>
      </w:r>
      <w:r>
        <w:t xml:space="preserve">: </w:t>
      </w:r>
      <w:r w:rsidRPr="0063743F">
        <w:t>Breakdown of project ideas amount proposed by large enterprises</w:t>
      </w:r>
      <w:bookmarkEnd w:id="396"/>
    </w:p>
    <w:p w14:paraId="1C13AE43" w14:textId="6247B959" w:rsidR="0063743F" w:rsidRDefault="0063743F" w:rsidP="00810695">
      <w:pPr>
        <w:spacing w:after="120"/>
        <w:jc w:val="center"/>
        <w:rPr>
          <w:lang w:eastAsia="en-US"/>
        </w:rPr>
      </w:pPr>
      <w:r w:rsidRPr="00C977FD">
        <w:rPr>
          <w:noProof/>
          <w:lang w:val="en-US" w:eastAsia="en-US"/>
        </w:rPr>
        <w:drawing>
          <wp:inline distT="0" distB="0" distL="0" distR="0" wp14:anchorId="0C0F409D" wp14:editId="577F2D2E">
            <wp:extent cx="4572000" cy="2935224"/>
            <wp:effectExtent l="0" t="0" r="0" b="0"/>
            <wp:docPr id="56" name="Диаграмма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41A5C04-7E5B-4BAC-B3A1-39C59DEE89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p w14:paraId="1652EF22" w14:textId="711FAA82" w:rsidR="0063743F" w:rsidRDefault="0063743F" w:rsidP="0063743F">
      <w:pPr>
        <w:pStyle w:val="Caption"/>
      </w:pPr>
      <w:bookmarkStart w:id="397" w:name="_Toc90727411"/>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75</w:t>
      </w:r>
      <w:r w:rsidR="000B273D">
        <w:rPr>
          <w:noProof/>
        </w:rPr>
        <w:fldChar w:fldCharType="end"/>
      </w:r>
      <w:r>
        <w:t xml:space="preserve">: </w:t>
      </w:r>
      <w:r w:rsidRPr="0063743F">
        <w:t>Breakdown of requested funds for project ideas proposed by large enterprises</w:t>
      </w:r>
      <w:bookmarkEnd w:id="397"/>
    </w:p>
    <w:p w14:paraId="62EC1E68" w14:textId="3F1121C4" w:rsidR="0063743F" w:rsidRDefault="0063743F" w:rsidP="00810695">
      <w:pPr>
        <w:spacing w:after="120"/>
        <w:jc w:val="center"/>
        <w:rPr>
          <w:lang w:eastAsia="en-US"/>
        </w:rPr>
      </w:pPr>
      <w:r w:rsidRPr="00C977FD">
        <w:rPr>
          <w:noProof/>
          <w:lang w:val="en-US" w:eastAsia="en-US"/>
        </w:rPr>
        <w:drawing>
          <wp:inline distT="0" distB="0" distL="0" distR="0" wp14:anchorId="29528538" wp14:editId="45364625">
            <wp:extent cx="4572000" cy="2935224"/>
            <wp:effectExtent l="0" t="0" r="0" b="0"/>
            <wp:docPr id="57" name="Диаграмма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2137E47-641B-42D2-A818-27C531B186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6"/>
              </a:graphicData>
            </a:graphic>
          </wp:inline>
        </w:drawing>
      </w:r>
    </w:p>
    <w:p w14:paraId="698E7D66" w14:textId="0143DD92" w:rsidR="00821017" w:rsidRPr="006D6BC9" w:rsidRDefault="0063743F"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Analysis of the project ideas maturity could </w:t>
      </w:r>
      <w:r w:rsidR="00D0742E">
        <w:rPr>
          <w:rFonts w:ascii="Arial" w:hAnsi="Arial" w:cs="Arial"/>
          <w:sz w:val="20"/>
          <w:szCs w:val="20"/>
          <w:lang w:eastAsia="en-US"/>
        </w:rPr>
        <w:t xml:space="preserve">only </w:t>
      </w:r>
      <w:r w:rsidRPr="006D6BC9">
        <w:rPr>
          <w:rFonts w:ascii="Arial" w:hAnsi="Arial" w:cs="Arial"/>
          <w:sz w:val="20"/>
          <w:szCs w:val="20"/>
          <w:lang w:eastAsia="en-US"/>
        </w:rPr>
        <w:t xml:space="preserve">be done </w:t>
      </w:r>
      <w:r w:rsidR="00D0742E">
        <w:rPr>
          <w:rFonts w:ascii="Arial" w:hAnsi="Arial" w:cs="Arial"/>
          <w:sz w:val="20"/>
          <w:szCs w:val="20"/>
          <w:lang w:eastAsia="en-US"/>
        </w:rPr>
        <w:t>at</w:t>
      </w:r>
      <w:r w:rsidRPr="006D6BC9">
        <w:rPr>
          <w:rFonts w:ascii="Arial" w:hAnsi="Arial" w:cs="Arial"/>
          <w:sz w:val="20"/>
          <w:szCs w:val="20"/>
          <w:lang w:eastAsia="en-US"/>
        </w:rPr>
        <w:t xml:space="preserve"> </w:t>
      </w:r>
      <w:r w:rsidR="00D0742E">
        <w:rPr>
          <w:rFonts w:ascii="Arial" w:hAnsi="Arial" w:cs="Arial"/>
          <w:sz w:val="20"/>
          <w:szCs w:val="20"/>
          <w:lang w:eastAsia="en-US"/>
        </w:rPr>
        <w:t>a</w:t>
      </w:r>
      <w:r w:rsidRPr="006D6BC9">
        <w:rPr>
          <w:rFonts w:ascii="Arial" w:hAnsi="Arial" w:cs="Arial"/>
          <w:sz w:val="20"/>
          <w:szCs w:val="20"/>
          <w:lang w:eastAsia="en-US"/>
        </w:rPr>
        <w:t xml:space="preserve"> high level because purpose of application collection was to collect as much project ideas as possible for further analysis</w:t>
      </w:r>
      <w:r w:rsidR="00D0742E">
        <w:rPr>
          <w:rFonts w:ascii="Arial" w:hAnsi="Arial" w:cs="Arial"/>
          <w:sz w:val="20"/>
          <w:szCs w:val="20"/>
          <w:lang w:eastAsia="en-US"/>
        </w:rPr>
        <w:t xml:space="preserve"> rather</w:t>
      </w:r>
      <w:r w:rsidRPr="006D6BC9">
        <w:rPr>
          <w:rFonts w:ascii="Arial" w:hAnsi="Arial" w:cs="Arial"/>
          <w:sz w:val="20"/>
          <w:szCs w:val="20"/>
          <w:lang w:eastAsia="en-US"/>
        </w:rPr>
        <w:t xml:space="preserve"> than </w:t>
      </w:r>
      <w:r w:rsidR="00D0742E">
        <w:rPr>
          <w:rFonts w:ascii="Arial" w:hAnsi="Arial" w:cs="Arial"/>
          <w:sz w:val="20"/>
          <w:szCs w:val="20"/>
          <w:lang w:eastAsia="en-US"/>
        </w:rPr>
        <w:t xml:space="preserve">only </w:t>
      </w:r>
      <w:r w:rsidRPr="006D6BC9">
        <w:rPr>
          <w:rFonts w:ascii="Arial" w:hAnsi="Arial" w:cs="Arial"/>
          <w:sz w:val="20"/>
          <w:szCs w:val="20"/>
          <w:lang w:eastAsia="en-US"/>
        </w:rPr>
        <w:t>collect high</w:t>
      </w:r>
      <w:r w:rsidR="00D0742E">
        <w:rPr>
          <w:rFonts w:ascii="Arial" w:hAnsi="Arial" w:cs="Arial"/>
          <w:sz w:val="20"/>
          <w:szCs w:val="20"/>
          <w:lang w:eastAsia="en-US"/>
        </w:rPr>
        <w:t>ly</w:t>
      </w:r>
      <w:r w:rsidRPr="006D6BC9">
        <w:rPr>
          <w:rFonts w:ascii="Arial" w:hAnsi="Arial" w:cs="Arial"/>
          <w:sz w:val="20"/>
          <w:szCs w:val="20"/>
          <w:lang w:eastAsia="en-US"/>
        </w:rPr>
        <w:t xml:space="preserve"> mature projects.</w:t>
      </w:r>
    </w:p>
    <w:p w14:paraId="22DA945D" w14:textId="464693D1" w:rsidR="0063743F" w:rsidRPr="006D6BC9" w:rsidRDefault="0063743F" w:rsidP="008D32D6">
      <w:pPr>
        <w:spacing w:after="120"/>
        <w:jc w:val="both"/>
        <w:rPr>
          <w:rFonts w:ascii="Arial" w:hAnsi="Arial" w:cs="Arial"/>
          <w:sz w:val="20"/>
          <w:szCs w:val="20"/>
          <w:lang w:eastAsia="en-US"/>
        </w:rPr>
      </w:pPr>
      <w:r w:rsidRPr="006D6BC9">
        <w:rPr>
          <w:rFonts w:ascii="Arial" w:hAnsi="Arial" w:cs="Arial"/>
          <w:sz w:val="20"/>
          <w:szCs w:val="20"/>
          <w:lang w:eastAsia="en-US"/>
        </w:rPr>
        <w:t>Therefore, a lot of project descriptions could be characteri</w:t>
      </w:r>
      <w:r w:rsidR="00D0742E">
        <w:rPr>
          <w:rFonts w:ascii="Arial" w:hAnsi="Arial" w:cs="Arial"/>
          <w:sz w:val="20"/>
          <w:szCs w:val="20"/>
          <w:lang w:eastAsia="en-US"/>
        </w:rPr>
        <w:t>s</w:t>
      </w:r>
      <w:r w:rsidRPr="006D6BC9">
        <w:rPr>
          <w:rFonts w:ascii="Arial" w:hAnsi="Arial" w:cs="Arial"/>
          <w:sz w:val="20"/>
          <w:szCs w:val="20"/>
          <w:lang w:eastAsia="en-US"/>
        </w:rPr>
        <w:t xml:space="preserve">ed as rough, for example: </w:t>
      </w:r>
    </w:p>
    <w:p w14:paraId="367A8096" w14:textId="71EECD08" w:rsidR="0063743F" w:rsidRPr="006D6BC9" w:rsidRDefault="0063743F" w:rsidP="00E42342">
      <w:pPr>
        <w:pStyle w:val="ListParagraph"/>
        <w:numPr>
          <w:ilvl w:val="0"/>
          <w:numId w:val="247"/>
        </w:numPr>
        <w:spacing w:after="80" w:line="240" w:lineRule="auto"/>
        <w:ind w:left="357" w:hanging="357"/>
        <w:contextualSpacing w:val="0"/>
        <w:jc w:val="both"/>
        <w:rPr>
          <w:sz w:val="20"/>
          <w:szCs w:val="20"/>
        </w:rPr>
      </w:pPr>
      <w:r w:rsidRPr="006D6BC9">
        <w:rPr>
          <w:sz w:val="20"/>
          <w:szCs w:val="20"/>
        </w:rPr>
        <w:t>Some project ideas submitted by towns or communities are integrated (</w:t>
      </w:r>
      <w:r w:rsidR="00D0742E">
        <w:rPr>
          <w:sz w:val="20"/>
          <w:szCs w:val="20"/>
        </w:rPr>
        <w:t>b</w:t>
      </w:r>
      <w:r w:rsidRPr="006D6BC9">
        <w:rPr>
          <w:sz w:val="20"/>
          <w:szCs w:val="20"/>
        </w:rPr>
        <w:t xml:space="preserve">usiness incubators, </w:t>
      </w:r>
      <w:r w:rsidR="00D0742E">
        <w:rPr>
          <w:sz w:val="20"/>
          <w:szCs w:val="20"/>
        </w:rPr>
        <w:t>d</w:t>
      </w:r>
      <w:r w:rsidRPr="006D6BC9">
        <w:rPr>
          <w:sz w:val="20"/>
          <w:szCs w:val="20"/>
        </w:rPr>
        <w:t>igitali</w:t>
      </w:r>
      <w:r w:rsidR="00D0742E">
        <w:rPr>
          <w:sz w:val="20"/>
          <w:szCs w:val="20"/>
        </w:rPr>
        <w:t>s</w:t>
      </w:r>
      <w:r w:rsidRPr="006D6BC9">
        <w:rPr>
          <w:sz w:val="20"/>
          <w:szCs w:val="20"/>
        </w:rPr>
        <w:t xml:space="preserve">ation/advanced digital skills/digital innovation; </w:t>
      </w:r>
      <w:r w:rsidR="00D0742E">
        <w:rPr>
          <w:sz w:val="20"/>
          <w:szCs w:val="20"/>
        </w:rPr>
        <w:t>i</w:t>
      </w:r>
      <w:r w:rsidRPr="006D6BC9">
        <w:rPr>
          <w:sz w:val="20"/>
          <w:szCs w:val="20"/>
        </w:rPr>
        <w:t xml:space="preserve">nvestments in renewable energy sources (wind, photovoltaic, etc.); </w:t>
      </w:r>
      <w:r w:rsidR="00D0742E">
        <w:rPr>
          <w:sz w:val="20"/>
          <w:szCs w:val="20"/>
        </w:rPr>
        <w:t>m</w:t>
      </w:r>
      <w:r w:rsidRPr="006D6BC9">
        <w:rPr>
          <w:sz w:val="20"/>
          <w:szCs w:val="20"/>
        </w:rPr>
        <w:t xml:space="preserve">easures to increase energy efficiency in public or residential (social) buildings; </w:t>
      </w:r>
      <w:r w:rsidR="00D0742E">
        <w:rPr>
          <w:sz w:val="20"/>
          <w:szCs w:val="20"/>
        </w:rPr>
        <w:t>q</w:t>
      </w:r>
      <w:r w:rsidRPr="006D6BC9">
        <w:rPr>
          <w:sz w:val="20"/>
          <w:szCs w:val="20"/>
        </w:rPr>
        <w:t xml:space="preserve">ualification, retraining and training of employed persons and jobseekers; </w:t>
      </w:r>
      <w:r w:rsidR="00D0742E">
        <w:rPr>
          <w:sz w:val="20"/>
          <w:szCs w:val="20"/>
        </w:rPr>
        <w:t>j</w:t>
      </w:r>
      <w:r w:rsidRPr="006D6BC9">
        <w:rPr>
          <w:sz w:val="20"/>
          <w:szCs w:val="20"/>
        </w:rPr>
        <w:t xml:space="preserve">ob search assistance and their active inclusion; </w:t>
      </w:r>
      <w:r w:rsidR="00D0742E">
        <w:rPr>
          <w:sz w:val="20"/>
          <w:szCs w:val="20"/>
        </w:rPr>
        <w:t>o</w:t>
      </w:r>
      <w:r w:rsidRPr="006D6BC9">
        <w:rPr>
          <w:sz w:val="20"/>
          <w:szCs w:val="20"/>
        </w:rPr>
        <w:t>ther types of activities), and have one budget for all project activities (communities of Crasna, Calnic, Runcu, Pestiany (Gorj) and others);</w:t>
      </w:r>
    </w:p>
    <w:p w14:paraId="14A3DB4D" w14:textId="61DF913B" w:rsidR="0063743F" w:rsidRPr="006D6BC9" w:rsidRDefault="0063743F" w:rsidP="00E42342">
      <w:pPr>
        <w:pStyle w:val="ListParagraph"/>
        <w:numPr>
          <w:ilvl w:val="0"/>
          <w:numId w:val="247"/>
        </w:numPr>
        <w:spacing w:after="80" w:line="240" w:lineRule="auto"/>
        <w:ind w:left="357" w:hanging="357"/>
        <w:contextualSpacing w:val="0"/>
        <w:jc w:val="both"/>
        <w:rPr>
          <w:sz w:val="20"/>
          <w:szCs w:val="20"/>
        </w:rPr>
      </w:pPr>
      <w:r w:rsidRPr="006D6BC9">
        <w:rPr>
          <w:sz w:val="20"/>
          <w:szCs w:val="20"/>
        </w:rPr>
        <w:lastRenderedPageBreak/>
        <w:t xml:space="preserve">A lot of project ideas have </w:t>
      </w:r>
      <w:r w:rsidR="00D0742E">
        <w:rPr>
          <w:sz w:val="20"/>
          <w:szCs w:val="20"/>
        </w:rPr>
        <w:t xml:space="preserve">a </w:t>
      </w:r>
      <w:r w:rsidRPr="006D6BC9">
        <w:rPr>
          <w:sz w:val="20"/>
          <w:szCs w:val="20"/>
        </w:rPr>
        <w:t>general project idea description (“we want to purchase high performance equipment”, “to establish modern enterprise for…”, “to build a factory for…“);</w:t>
      </w:r>
    </w:p>
    <w:p w14:paraId="70EE549F" w14:textId="5AD8A190" w:rsidR="00821017" w:rsidRPr="008D32D6" w:rsidRDefault="0063743F" w:rsidP="00E42342">
      <w:pPr>
        <w:pStyle w:val="ListParagraph"/>
        <w:numPr>
          <w:ilvl w:val="0"/>
          <w:numId w:val="247"/>
        </w:numPr>
        <w:spacing w:after="120" w:line="240" w:lineRule="auto"/>
        <w:contextualSpacing w:val="0"/>
        <w:jc w:val="both"/>
        <w:rPr>
          <w:sz w:val="20"/>
          <w:szCs w:val="20"/>
        </w:rPr>
      </w:pPr>
      <w:r w:rsidRPr="006D6BC9">
        <w:rPr>
          <w:sz w:val="20"/>
          <w:szCs w:val="20"/>
        </w:rPr>
        <w:t>28 towns and communities require funds for “entrepreneurs and farmers”.</w:t>
      </w:r>
    </w:p>
    <w:p w14:paraId="22387C72" w14:textId="3B11947B" w:rsidR="0063743F" w:rsidRPr="006D6BC9" w:rsidRDefault="00D0742E" w:rsidP="00402580">
      <w:pPr>
        <w:spacing w:after="120"/>
        <w:jc w:val="both"/>
        <w:rPr>
          <w:rFonts w:ascii="Arial" w:hAnsi="Arial" w:cs="Arial"/>
          <w:sz w:val="20"/>
          <w:szCs w:val="20"/>
          <w:lang w:eastAsia="en-US"/>
        </w:rPr>
      </w:pPr>
      <w:r>
        <w:rPr>
          <w:rFonts w:ascii="Arial" w:hAnsi="Arial" w:cs="Arial"/>
          <w:sz w:val="20"/>
          <w:szCs w:val="20"/>
          <w:lang w:eastAsia="en-US"/>
        </w:rPr>
        <w:t>For</w:t>
      </w:r>
      <w:r w:rsidR="0063743F" w:rsidRPr="006D6BC9">
        <w:rPr>
          <w:rFonts w:ascii="Arial" w:hAnsi="Arial" w:cs="Arial"/>
          <w:sz w:val="20"/>
          <w:szCs w:val="20"/>
          <w:lang w:eastAsia="en-US"/>
        </w:rPr>
        <w:t xml:space="preserve"> analysis, we use the following definition of maturity level:</w:t>
      </w:r>
    </w:p>
    <w:p w14:paraId="6C0AEC44" w14:textId="617DCCC5" w:rsidR="0063743F" w:rsidRPr="006D6BC9" w:rsidRDefault="0063743F" w:rsidP="00E42342">
      <w:pPr>
        <w:pStyle w:val="ListParagraph"/>
        <w:numPr>
          <w:ilvl w:val="0"/>
          <w:numId w:val="248"/>
        </w:numPr>
        <w:jc w:val="both"/>
        <w:rPr>
          <w:sz w:val="20"/>
          <w:szCs w:val="20"/>
        </w:rPr>
      </w:pPr>
      <w:r w:rsidRPr="006D6BC9">
        <w:rPr>
          <w:sz w:val="20"/>
          <w:szCs w:val="20"/>
        </w:rPr>
        <w:t>High maturity: detailed description and precise budget for the project;</w:t>
      </w:r>
    </w:p>
    <w:p w14:paraId="7A16D826" w14:textId="0FEBEB8F" w:rsidR="0063743F" w:rsidRPr="006D6BC9" w:rsidRDefault="0063743F" w:rsidP="00E42342">
      <w:pPr>
        <w:pStyle w:val="ListParagraph"/>
        <w:numPr>
          <w:ilvl w:val="0"/>
          <w:numId w:val="248"/>
        </w:numPr>
        <w:jc w:val="both"/>
        <w:rPr>
          <w:sz w:val="20"/>
          <w:szCs w:val="20"/>
        </w:rPr>
      </w:pPr>
      <w:r w:rsidRPr="006D6BC9">
        <w:rPr>
          <w:sz w:val="20"/>
          <w:szCs w:val="20"/>
        </w:rPr>
        <w:t>Medium maturity: unprecise/vague description or budget for the project; project idea/description is not detailed/clear enough;</w:t>
      </w:r>
      <w:r w:rsidR="00D0742E">
        <w:rPr>
          <w:sz w:val="20"/>
          <w:szCs w:val="20"/>
        </w:rPr>
        <w:t xml:space="preserve"> and,</w:t>
      </w:r>
    </w:p>
    <w:p w14:paraId="0A731020" w14:textId="1F2C64C0" w:rsidR="00423FA3" w:rsidRPr="008D32D6" w:rsidRDefault="0063743F" w:rsidP="00E42342">
      <w:pPr>
        <w:pStyle w:val="ListParagraph"/>
        <w:numPr>
          <w:ilvl w:val="0"/>
          <w:numId w:val="248"/>
        </w:numPr>
        <w:spacing w:after="120"/>
        <w:jc w:val="both"/>
        <w:rPr>
          <w:sz w:val="20"/>
          <w:szCs w:val="20"/>
        </w:rPr>
      </w:pPr>
      <w:r w:rsidRPr="006D6BC9">
        <w:rPr>
          <w:sz w:val="20"/>
          <w:szCs w:val="20"/>
        </w:rPr>
        <w:t>Low maturity: both description and budget are not clear; either description or budget is missing</w:t>
      </w:r>
      <w:r w:rsidR="00423FA3">
        <w:rPr>
          <w:sz w:val="20"/>
          <w:szCs w:val="20"/>
        </w:rPr>
        <w:t>.</w:t>
      </w:r>
    </w:p>
    <w:p w14:paraId="565DDAF2" w14:textId="73BDC87C" w:rsidR="00423FA3" w:rsidRDefault="00423FA3" w:rsidP="00423FA3">
      <w:pPr>
        <w:jc w:val="both"/>
        <w:rPr>
          <w:rFonts w:ascii="Arial" w:hAnsi="Arial" w:cs="Arial"/>
          <w:sz w:val="20"/>
          <w:szCs w:val="20"/>
        </w:rPr>
      </w:pPr>
      <w:r w:rsidRPr="006D6BC9">
        <w:rPr>
          <w:rFonts w:ascii="Arial" w:hAnsi="Arial" w:cs="Arial"/>
          <w:sz w:val="20"/>
          <w:szCs w:val="20"/>
        </w:rPr>
        <w:t xml:space="preserve">In </w:t>
      </w:r>
      <w:r>
        <w:rPr>
          <w:rFonts w:ascii="Arial" w:hAnsi="Arial" w:cs="Arial"/>
          <w:sz w:val="20"/>
          <w:szCs w:val="20"/>
        </w:rPr>
        <w:t>Graphs 7</w:t>
      </w:r>
      <w:r w:rsidR="00AC0119">
        <w:rPr>
          <w:rFonts w:ascii="Arial" w:hAnsi="Arial" w:cs="Arial"/>
          <w:sz w:val="20"/>
          <w:szCs w:val="20"/>
        </w:rPr>
        <w:t>6</w:t>
      </w:r>
      <w:r>
        <w:rPr>
          <w:rFonts w:ascii="Arial" w:hAnsi="Arial" w:cs="Arial"/>
          <w:sz w:val="20"/>
          <w:szCs w:val="20"/>
        </w:rPr>
        <w:t xml:space="preserve"> and 7</w:t>
      </w:r>
      <w:r w:rsidR="00AC0119">
        <w:rPr>
          <w:rFonts w:ascii="Arial" w:hAnsi="Arial" w:cs="Arial"/>
          <w:sz w:val="20"/>
          <w:szCs w:val="20"/>
        </w:rPr>
        <w:t>7</w:t>
      </w:r>
      <w:r w:rsidR="00D0742E">
        <w:rPr>
          <w:rFonts w:ascii="Arial" w:hAnsi="Arial" w:cs="Arial"/>
          <w:sz w:val="20"/>
          <w:szCs w:val="20"/>
        </w:rPr>
        <w:t>,</w:t>
      </w:r>
      <w:r w:rsidRPr="006D6BC9">
        <w:rPr>
          <w:rFonts w:ascii="Arial" w:hAnsi="Arial" w:cs="Arial"/>
          <w:sz w:val="20"/>
          <w:szCs w:val="20"/>
        </w:rPr>
        <w:t xml:space="preserve"> we </w:t>
      </w:r>
      <w:r w:rsidR="00D0742E">
        <w:rPr>
          <w:rFonts w:ascii="Arial" w:hAnsi="Arial" w:cs="Arial"/>
          <w:sz w:val="20"/>
          <w:szCs w:val="20"/>
        </w:rPr>
        <w:t>report</w:t>
      </w:r>
      <w:r w:rsidRPr="006D6BC9">
        <w:rPr>
          <w:rFonts w:ascii="Arial" w:hAnsi="Arial" w:cs="Arial"/>
          <w:sz w:val="20"/>
          <w:szCs w:val="20"/>
        </w:rPr>
        <w:t xml:space="preserve"> the breakdown of project ideas </w:t>
      </w:r>
      <w:r w:rsidR="00D0742E">
        <w:rPr>
          <w:rFonts w:ascii="Arial" w:hAnsi="Arial" w:cs="Arial"/>
          <w:sz w:val="20"/>
          <w:szCs w:val="20"/>
        </w:rPr>
        <w:t xml:space="preserve">by </w:t>
      </w:r>
      <w:r w:rsidRPr="006D6BC9">
        <w:rPr>
          <w:rFonts w:ascii="Arial" w:hAnsi="Arial" w:cs="Arial"/>
          <w:sz w:val="20"/>
          <w:szCs w:val="20"/>
        </w:rPr>
        <w:t xml:space="preserve">maturity level. As </w:t>
      </w:r>
      <w:r w:rsidR="00D0742E">
        <w:rPr>
          <w:rFonts w:ascii="Arial" w:hAnsi="Arial" w:cs="Arial"/>
          <w:sz w:val="20"/>
          <w:szCs w:val="20"/>
        </w:rPr>
        <w:t xml:space="preserve">illustrated </w:t>
      </w:r>
      <w:r w:rsidRPr="006D6BC9">
        <w:rPr>
          <w:rFonts w:ascii="Arial" w:hAnsi="Arial" w:cs="Arial"/>
          <w:sz w:val="20"/>
          <w:szCs w:val="20"/>
        </w:rPr>
        <w:t xml:space="preserve">in </w:t>
      </w:r>
      <w:r>
        <w:rPr>
          <w:rFonts w:ascii="Arial" w:hAnsi="Arial" w:cs="Arial"/>
          <w:sz w:val="20"/>
          <w:szCs w:val="20"/>
        </w:rPr>
        <w:t>Graph 7</w:t>
      </w:r>
      <w:r w:rsidR="00AC0119">
        <w:rPr>
          <w:rFonts w:ascii="Arial" w:hAnsi="Arial" w:cs="Arial"/>
          <w:sz w:val="20"/>
          <w:szCs w:val="20"/>
        </w:rPr>
        <w:t>6</w:t>
      </w:r>
      <w:r w:rsidRPr="006D6BC9">
        <w:rPr>
          <w:rFonts w:ascii="Arial" w:hAnsi="Arial" w:cs="Arial"/>
          <w:sz w:val="20"/>
          <w:szCs w:val="20"/>
        </w:rPr>
        <w:t xml:space="preserve">, </w:t>
      </w:r>
      <w:r w:rsidR="00D0742E">
        <w:rPr>
          <w:rFonts w:ascii="Arial" w:hAnsi="Arial" w:cs="Arial"/>
          <w:sz w:val="20"/>
          <w:szCs w:val="20"/>
        </w:rPr>
        <w:t xml:space="preserve">the </w:t>
      </w:r>
      <w:r w:rsidRPr="006D6BC9">
        <w:rPr>
          <w:rFonts w:ascii="Arial" w:hAnsi="Arial" w:cs="Arial"/>
          <w:sz w:val="20"/>
          <w:szCs w:val="20"/>
        </w:rPr>
        <w:t xml:space="preserve">amount of project ideas with high maturity is very low. Potentially, part of project ideas with medium maturity could be moved to the high maturity category after </w:t>
      </w:r>
      <w:r w:rsidR="00D0742E">
        <w:rPr>
          <w:rFonts w:ascii="Arial" w:hAnsi="Arial" w:cs="Arial"/>
          <w:sz w:val="20"/>
          <w:szCs w:val="20"/>
        </w:rPr>
        <w:t xml:space="preserve">a </w:t>
      </w:r>
      <w:r w:rsidRPr="006D6BC9">
        <w:rPr>
          <w:rFonts w:ascii="Arial" w:hAnsi="Arial" w:cs="Arial"/>
          <w:sz w:val="20"/>
          <w:szCs w:val="20"/>
        </w:rPr>
        <w:t>small clarification (request of more precise budget, technical specifications, etc.). The same could be done with project ideas with low maturity, which account for 59% of all project ideas.</w:t>
      </w:r>
    </w:p>
    <w:p w14:paraId="0824D771" w14:textId="077F9558" w:rsidR="00423FA3" w:rsidRDefault="00423FA3" w:rsidP="00423FA3">
      <w:pPr>
        <w:pStyle w:val="Caption"/>
      </w:pPr>
      <w:bookmarkStart w:id="398" w:name="_Toc90727412"/>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76</w:t>
      </w:r>
      <w:r w:rsidR="000B273D">
        <w:rPr>
          <w:noProof/>
        </w:rPr>
        <w:fldChar w:fldCharType="end"/>
      </w:r>
      <w:r>
        <w:t xml:space="preserve">: </w:t>
      </w:r>
      <w:r w:rsidRPr="00423FA3">
        <w:t>Breakdown of project ideas amount by maturity level</w:t>
      </w:r>
      <w:bookmarkEnd w:id="398"/>
    </w:p>
    <w:p w14:paraId="653F9A16" w14:textId="20C55F36" w:rsidR="00423FA3" w:rsidRDefault="00423FA3" w:rsidP="00810695">
      <w:pPr>
        <w:jc w:val="center"/>
        <w:rPr>
          <w:lang w:eastAsia="en-US"/>
        </w:rPr>
      </w:pPr>
      <w:r w:rsidRPr="00C977FD">
        <w:rPr>
          <w:noProof/>
          <w:lang w:val="en-US" w:eastAsia="en-US"/>
        </w:rPr>
        <w:drawing>
          <wp:inline distT="0" distB="0" distL="0" distR="0" wp14:anchorId="4B5C3077" wp14:editId="1D55B803">
            <wp:extent cx="4572000" cy="2935224"/>
            <wp:effectExtent l="0" t="0" r="0" b="0"/>
            <wp:docPr id="60" name="Диаграмма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790855E-4303-49A8-AF11-6BE483C13A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p w14:paraId="6A5F3B3A" w14:textId="7DC095C6" w:rsidR="00423FA3" w:rsidRPr="006D6BC9" w:rsidRDefault="00423FA3" w:rsidP="006D6BC9">
      <w:pPr>
        <w:jc w:val="both"/>
        <w:rPr>
          <w:rFonts w:ascii="Arial" w:hAnsi="Arial" w:cs="Arial"/>
          <w:sz w:val="20"/>
          <w:szCs w:val="20"/>
          <w:lang w:eastAsia="en-US"/>
        </w:rPr>
      </w:pPr>
      <w:r w:rsidRPr="006D6BC9">
        <w:rPr>
          <w:rFonts w:ascii="Arial" w:hAnsi="Arial" w:cs="Arial"/>
          <w:sz w:val="20"/>
          <w:szCs w:val="20"/>
          <w:lang w:eastAsia="en-US"/>
        </w:rPr>
        <w:t>The breakdown of funds request</w:t>
      </w:r>
      <w:r w:rsidR="00D0742E">
        <w:rPr>
          <w:rFonts w:ascii="Arial" w:hAnsi="Arial" w:cs="Arial"/>
          <w:sz w:val="20"/>
          <w:szCs w:val="20"/>
          <w:lang w:eastAsia="en-US"/>
        </w:rPr>
        <w:t>ed</w:t>
      </w:r>
      <w:r w:rsidRPr="006D6BC9">
        <w:rPr>
          <w:rFonts w:ascii="Arial" w:hAnsi="Arial" w:cs="Arial"/>
          <w:sz w:val="20"/>
          <w:szCs w:val="20"/>
          <w:lang w:eastAsia="en-US"/>
        </w:rPr>
        <w:t xml:space="preserve"> for project ideas by maturity level </w:t>
      </w:r>
      <w:r w:rsidR="00D0742E">
        <w:rPr>
          <w:rFonts w:ascii="Arial" w:hAnsi="Arial" w:cs="Arial"/>
          <w:sz w:val="20"/>
          <w:szCs w:val="20"/>
          <w:lang w:eastAsia="en-US"/>
        </w:rPr>
        <w:t>indicates</w:t>
      </w:r>
      <w:r w:rsidRPr="006D6BC9">
        <w:rPr>
          <w:rFonts w:ascii="Arial" w:hAnsi="Arial" w:cs="Arial"/>
          <w:sz w:val="20"/>
          <w:szCs w:val="20"/>
          <w:lang w:eastAsia="en-US"/>
        </w:rPr>
        <w:t xml:space="preserve"> that project ideas with medium maturity level</w:t>
      </w:r>
      <w:r w:rsidR="00D0742E">
        <w:rPr>
          <w:rFonts w:ascii="Arial" w:hAnsi="Arial" w:cs="Arial"/>
          <w:sz w:val="20"/>
          <w:szCs w:val="20"/>
          <w:lang w:eastAsia="en-US"/>
        </w:rPr>
        <w:t>s</w:t>
      </w:r>
      <w:r w:rsidRPr="006D6BC9">
        <w:rPr>
          <w:rFonts w:ascii="Arial" w:hAnsi="Arial" w:cs="Arial"/>
          <w:sz w:val="20"/>
          <w:szCs w:val="20"/>
          <w:lang w:eastAsia="en-US"/>
        </w:rPr>
        <w:t xml:space="preserve"> account for more than half of all project ideas (55%). </w:t>
      </w:r>
      <w:r w:rsidR="00D0742E">
        <w:rPr>
          <w:rFonts w:ascii="Arial" w:hAnsi="Arial" w:cs="Arial"/>
          <w:sz w:val="20"/>
          <w:szCs w:val="20"/>
          <w:lang w:eastAsia="en-US"/>
        </w:rPr>
        <w:t>This is</w:t>
      </w:r>
      <w:r w:rsidRPr="006D6BC9">
        <w:rPr>
          <w:rFonts w:ascii="Arial" w:hAnsi="Arial" w:cs="Arial"/>
          <w:sz w:val="20"/>
          <w:szCs w:val="20"/>
          <w:lang w:eastAsia="en-US"/>
        </w:rPr>
        <w:t xml:space="preserve"> because projects with comparatively high requested budgets have more detailed descriptions and goals.</w:t>
      </w:r>
    </w:p>
    <w:p w14:paraId="2DECB930" w14:textId="218CE6B7" w:rsidR="00423FA3" w:rsidRDefault="00423FA3" w:rsidP="00423FA3">
      <w:pPr>
        <w:pStyle w:val="Caption"/>
      </w:pPr>
      <w:bookmarkStart w:id="399" w:name="_Toc90727413"/>
      <w:r>
        <w:lastRenderedPageBreak/>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77</w:t>
      </w:r>
      <w:r w:rsidR="000B273D">
        <w:rPr>
          <w:noProof/>
        </w:rPr>
        <w:fldChar w:fldCharType="end"/>
      </w:r>
      <w:r>
        <w:t xml:space="preserve">: </w:t>
      </w:r>
      <w:r w:rsidRPr="00423FA3">
        <w:t>Breakdown of project ideas funds requests by maturity level</w:t>
      </w:r>
      <w:bookmarkEnd w:id="399"/>
    </w:p>
    <w:p w14:paraId="292EE9E2" w14:textId="2D748465" w:rsidR="00423FA3" w:rsidRDefault="00423FA3" w:rsidP="00810695">
      <w:pPr>
        <w:spacing w:after="120"/>
        <w:jc w:val="center"/>
        <w:rPr>
          <w:lang w:eastAsia="en-US"/>
        </w:rPr>
      </w:pPr>
      <w:r w:rsidRPr="00C977FD">
        <w:rPr>
          <w:noProof/>
          <w:lang w:val="en-US" w:eastAsia="en-US"/>
        </w:rPr>
        <w:drawing>
          <wp:inline distT="0" distB="0" distL="0" distR="0" wp14:anchorId="284B3C6B" wp14:editId="17270A70">
            <wp:extent cx="4572000" cy="2935224"/>
            <wp:effectExtent l="0" t="0" r="0" b="0"/>
            <wp:docPr id="61" name="Диаграмма 1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68418D2-1CFB-44B3-892C-1A1EC7336E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8"/>
              </a:graphicData>
            </a:graphic>
          </wp:inline>
        </w:drawing>
      </w:r>
    </w:p>
    <w:p w14:paraId="01FA6A2D" w14:textId="4A56B701" w:rsidR="00423FA3" w:rsidRDefault="00423FA3"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JTF </w:t>
      </w:r>
      <w:r w:rsidR="00D70148">
        <w:rPr>
          <w:rFonts w:ascii="Arial" w:hAnsi="Arial" w:cs="Arial"/>
          <w:sz w:val="20"/>
          <w:szCs w:val="20"/>
          <w:lang w:eastAsia="en-US"/>
        </w:rPr>
        <w:t xml:space="preserve">potential </w:t>
      </w:r>
      <w:r w:rsidRPr="006D6BC9">
        <w:rPr>
          <w:rFonts w:ascii="Arial" w:hAnsi="Arial" w:cs="Arial"/>
          <w:sz w:val="20"/>
          <w:szCs w:val="20"/>
          <w:lang w:eastAsia="en-US"/>
        </w:rPr>
        <w:t xml:space="preserve">eligibility assessment of the project ideas could </w:t>
      </w:r>
      <w:r w:rsidR="00D0742E">
        <w:rPr>
          <w:rFonts w:ascii="Arial" w:hAnsi="Arial" w:cs="Arial"/>
          <w:sz w:val="20"/>
          <w:szCs w:val="20"/>
          <w:lang w:eastAsia="en-US"/>
        </w:rPr>
        <w:t xml:space="preserve">only </w:t>
      </w:r>
      <w:r w:rsidRPr="006D6BC9">
        <w:rPr>
          <w:rFonts w:ascii="Arial" w:hAnsi="Arial" w:cs="Arial"/>
          <w:sz w:val="20"/>
          <w:szCs w:val="20"/>
          <w:lang w:eastAsia="en-US"/>
        </w:rPr>
        <w:t xml:space="preserve">be done </w:t>
      </w:r>
      <w:r w:rsidR="00D0742E">
        <w:rPr>
          <w:rFonts w:ascii="Arial" w:hAnsi="Arial" w:cs="Arial"/>
          <w:sz w:val="20"/>
          <w:szCs w:val="20"/>
          <w:lang w:eastAsia="en-US"/>
        </w:rPr>
        <w:t>at</w:t>
      </w:r>
      <w:r w:rsidRPr="006D6BC9">
        <w:rPr>
          <w:rFonts w:ascii="Arial" w:hAnsi="Arial" w:cs="Arial"/>
          <w:sz w:val="20"/>
          <w:szCs w:val="20"/>
          <w:lang w:eastAsia="en-US"/>
        </w:rPr>
        <w:t xml:space="preserve"> </w:t>
      </w:r>
      <w:r w:rsidR="00D0742E">
        <w:rPr>
          <w:rFonts w:ascii="Arial" w:hAnsi="Arial" w:cs="Arial"/>
          <w:sz w:val="20"/>
          <w:szCs w:val="20"/>
          <w:lang w:eastAsia="en-US"/>
        </w:rPr>
        <w:t>a</w:t>
      </w:r>
      <w:r w:rsidRPr="006D6BC9">
        <w:rPr>
          <w:rFonts w:ascii="Arial" w:hAnsi="Arial" w:cs="Arial"/>
          <w:sz w:val="20"/>
          <w:szCs w:val="20"/>
          <w:lang w:eastAsia="en-US"/>
        </w:rPr>
        <w:t xml:space="preserve"> high level because of the same reason as maturity assessment. A lot of project ideas could not be analy</w:t>
      </w:r>
      <w:r w:rsidR="00D0742E">
        <w:rPr>
          <w:rFonts w:ascii="Arial" w:hAnsi="Arial" w:cs="Arial"/>
          <w:sz w:val="20"/>
          <w:szCs w:val="20"/>
          <w:lang w:eastAsia="en-US"/>
        </w:rPr>
        <w:t>s</w:t>
      </w:r>
      <w:r w:rsidRPr="006D6BC9">
        <w:rPr>
          <w:rFonts w:ascii="Arial" w:hAnsi="Arial" w:cs="Arial"/>
          <w:sz w:val="20"/>
          <w:szCs w:val="20"/>
          <w:lang w:eastAsia="en-US"/>
        </w:rPr>
        <w:t xml:space="preserve">ed in detail because </w:t>
      </w:r>
      <w:r w:rsidR="00D0742E">
        <w:rPr>
          <w:rFonts w:ascii="Arial" w:hAnsi="Arial" w:cs="Arial"/>
          <w:sz w:val="20"/>
          <w:szCs w:val="20"/>
          <w:lang w:eastAsia="en-US"/>
        </w:rPr>
        <w:t xml:space="preserve">the </w:t>
      </w:r>
      <w:r w:rsidRPr="006D6BC9">
        <w:rPr>
          <w:rFonts w:ascii="Arial" w:hAnsi="Arial" w:cs="Arial"/>
          <w:sz w:val="20"/>
          <w:szCs w:val="20"/>
          <w:lang w:eastAsia="en-US"/>
        </w:rPr>
        <w:t xml:space="preserve">project idea goals are mixed. For example, grants for SMEs are mixed with investments in renewables and construction of new premises and facilities (see </w:t>
      </w:r>
      <w:r>
        <w:rPr>
          <w:rFonts w:ascii="Arial" w:hAnsi="Arial" w:cs="Arial"/>
          <w:sz w:val="20"/>
          <w:szCs w:val="20"/>
          <w:lang w:eastAsia="en-US"/>
        </w:rPr>
        <w:t>Graphs 7</w:t>
      </w:r>
      <w:r w:rsidR="00AC0119">
        <w:rPr>
          <w:rFonts w:ascii="Arial" w:hAnsi="Arial" w:cs="Arial"/>
          <w:sz w:val="20"/>
          <w:szCs w:val="20"/>
          <w:lang w:eastAsia="en-US"/>
        </w:rPr>
        <w:t>8</w:t>
      </w:r>
      <w:r>
        <w:rPr>
          <w:rFonts w:ascii="Arial" w:hAnsi="Arial" w:cs="Arial"/>
          <w:sz w:val="20"/>
          <w:szCs w:val="20"/>
          <w:lang w:eastAsia="en-US"/>
        </w:rPr>
        <w:t xml:space="preserve"> and 7</w:t>
      </w:r>
      <w:r w:rsidR="00AC0119">
        <w:rPr>
          <w:rFonts w:ascii="Arial" w:hAnsi="Arial" w:cs="Arial"/>
          <w:sz w:val="20"/>
          <w:szCs w:val="20"/>
          <w:lang w:eastAsia="en-US"/>
        </w:rPr>
        <w:t>9</w:t>
      </w:r>
      <w:r w:rsidRPr="006D6BC9">
        <w:rPr>
          <w:rFonts w:ascii="Arial" w:hAnsi="Arial" w:cs="Arial"/>
          <w:sz w:val="20"/>
          <w:szCs w:val="20"/>
          <w:lang w:eastAsia="en-US"/>
        </w:rPr>
        <w:t>).</w:t>
      </w:r>
    </w:p>
    <w:p w14:paraId="6E6DF2A9" w14:textId="77777777" w:rsidR="00423FA3" w:rsidRPr="00423FA3" w:rsidRDefault="00423FA3" w:rsidP="008D32D6">
      <w:pPr>
        <w:spacing w:after="120"/>
        <w:jc w:val="both"/>
        <w:rPr>
          <w:rFonts w:ascii="Arial" w:hAnsi="Arial" w:cs="Arial"/>
          <w:sz w:val="20"/>
          <w:szCs w:val="20"/>
          <w:lang w:eastAsia="en-US"/>
        </w:rPr>
      </w:pPr>
      <w:r w:rsidRPr="00423FA3">
        <w:rPr>
          <w:rFonts w:ascii="Arial" w:hAnsi="Arial" w:cs="Arial"/>
          <w:sz w:val="20"/>
          <w:szCs w:val="20"/>
          <w:lang w:eastAsia="en-US"/>
        </w:rPr>
        <w:t>Widespread not eligible project ideas:</w:t>
      </w:r>
    </w:p>
    <w:p w14:paraId="0B032C11" w14:textId="2FA3056E" w:rsidR="00423FA3" w:rsidRPr="006D6BC9" w:rsidRDefault="00423FA3" w:rsidP="00E42342">
      <w:pPr>
        <w:pStyle w:val="ListParagraph"/>
        <w:numPr>
          <w:ilvl w:val="0"/>
          <w:numId w:val="249"/>
        </w:numPr>
        <w:jc w:val="both"/>
        <w:rPr>
          <w:sz w:val="20"/>
          <w:szCs w:val="20"/>
        </w:rPr>
      </w:pPr>
      <w:r w:rsidRPr="006D6BC9">
        <w:rPr>
          <w:sz w:val="20"/>
          <w:szCs w:val="20"/>
        </w:rPr>
        <w:t>Regeneration of desertified or abandoned lands. Greening of lands and arrangement of parks;</w:t>
      </w:r>
    </w:p>
    <w:p w14:paraId="13BE4698" w14:textId="6925A7FB" w:rsidR="00423FA3" w:rsidRPr="006D6BC9" w:rsidRDefault="00423FA3" w:rsidP="00E42342">
      <w:pPr>
        <w:pStyle w:val="ListParagraph"/>
        <w:numPr>
          <w:ilvl w:val="0"/>
          <w:numId w:val="249"/>
        </w:numPr>
        <w:jc w:val="both"/>
        <w:rPr>
          <w:sz w:val="20"/>
          <w:szCs w:val="20"/>
        </w:rPr>
      </w:pPr>
      <w:r w:rsidRPr="006D6BC9">
        <w:rPr>
          <w:sz w:val="20"/>
          <w:szCs w:val="20"/>
        </w:rPr>
        <w:t>Construction of roads, bicycle routes, pedestrian areas</w:t>
      </w:r>
      <w:r w:rsidR="00D0742E">
        <w:rPr>
          <w:sz w:val="20"/>
          <w:szCs w:val="20"/>
        </w:rPr>
        <w:t>,</w:t>
      </w:r>
      <w:r w:rsidRPr="006D6BC9">
        <w:rPr>
          <w:sz w:val="20"/>
          <w:szCs w:val="20"/>
        </w:rPr>
        <w:t xml:space="preserve"> etc.</w:t>
      </w:r>
      <w:r w:rsidR="00D0742E">
        <w:rPr>
          <w:sz w:val="20"/>
          <w:szCs w:val="20"/>
        </w:rPr>
        <w:t>;</w:t>
      </w:r>
    </w:p>
    <w:p w14:paraId="05A6F476" w14:textId="5F232174" w:rsidR="00423FA3" w:rsidRPr="006D6BC9" w:rsidRDefault="00423FA3" w:rsidP="00E42342">
      <w:pPr>
        <w:pStyle w:val="ListParagraph"/>
        <w:numPr>
          <w:ilvl w:val="0"/>
          <w:numId w:val="249"/>
        </w:numPr>
        <w:jc w:val="both"/>
        <w:rPr>
          <w:sz w:val="20"/>
          <w:szCs w:val="20"/>
        </w:rPr>
      </w:pPr>
      <w:r w:rsidRPr="006D6BC9">
        <w:rPr>
          <w:sz w:val="20"/>
          <w:szCs w:val="20"/>
        </w:rPr>
        <w:t>Rehabilitation of water supply systems and sewage, buildings, without energy savings;</w:t>
      </w:r>
    </w:p>
    <w:p w14:paraId="70FD1207" w14:textId="3714D67D" w:rsidR="00423FA3" w:rsidRPr="006D6BC9" w:rsidRDefault="00423FA3" w:rsidP="00E42342">
      <w:pPr>
        <w:pStyle w:val="ListParagraph"/>
        <w:numPr>
          <w:ilvl w:val="0"/>
          <w:numId w:val="249"/>
        </w:numPr>
        <w:jc w:val="both"/>
        <w:rPr>
          <w:sz w:val="20"/>
          <w:szCs w:val="20"/>
        </w:rPr>
      </w:pPr>
      <w:r w:rsidRPr="006D6BC9">
        <w:rPr>
          <w:sz w:val="20"/>
          <w:szCs w:val="20"/>
        </w:rPr>
        <w:t>Construction of tourist transportation infrastructure (ways, signs etc.);</w:t>
      </w:r>
    </w:p>
    <w:p w14:paraId="37A99B77" w14:textId="16480F47" w:rsidR="00423FA3" w:rsidRPr="006D6BC9" w:rsidRDefault="00423FA3" w:rsidP="00E42342">
      <w:pPr>
        <w:pStyle w:val="ListParagraph"/>
        <w:numPr>
          <w:ilvl w:val="0"/>
          <w:numId w:val="249"/>
        </w:numPr>
        <w:jc w:val="both"/>
        <w:rPr>
          <w:sz w:val="20"/>
          <w:szCs w:val="20"/>
        </w:rPr>
      </w:pPr>
      <w:r w:rsidRPr="006D6BC9">
        <w:rPr>
          <w:sz w:val="20"/>
          <w:szCs w:val="20"/>
        </w:rPr>
        <w:t>Video surveillance, fire sensor and alarm systems</w:t>
      </w:r>
      <w:r w:rsidR="00D0742E">
        <w:rPr>
          <w:sz w:val="20"/>
          <w:szCs w:val="20"/>
        </w:rPr>
        <w:t>; and,</w:t>
      </w:r>
    </w:p>
    <w:p w14:paraId="00BE0711" w14:textId="6BA3C875" w:rsidR="00423FA3" w:rsidRPr="006D6BC9" w:rsidRDefault="00423FA3" w:rsidP="00E42342">
      <w:pPr>
        <w:pStyle w:val="ListParagraph"/>
        <w:numPr>
          <w:ilvl w:val="0"/>
          <w:numId w:val="249"/>
        </w:numPr>
        <w:jc w:val="both"/>
        <w:rPr>
          <w:sz w:val="20"/>
          <w:szCs w:val="20"/>
        </w:rPr>
      </w:pPr>
      <w:r w:rsidRPr="006D6BC9">
        <w:rPr>
          <w:sz w:val="20"/>
          <w:szCs w:val="20"/>
        </w:rPr>
        <w:t>Collection, separation, recycling of wastes.</w:t>
      </w:r>
    </w:p>
    <w:p w14:paraId="423A674F" w14:textId="77777777" w:rsidR="00423FA3" w:rsidRDefault="00423FA3" w:rsidP="00423FA3">
      <w:pPr>
        <w:jc w:val="both"/>
        <w:rPr>
          <w:rFonts w:ascii="Arial" w:hAnsi="Arial" w:cs="Arial"/>
          <w:sz w:val="20"/>
          <w:szCs w:val="20"/>
          <w:lang w:eastAsia="en-US"/>
        </w:rPr>
      </w:pPr>
    </w:p>
    <w:p w14:paraId="1521BAB2" w14:textId="52C3C7DE" w:rsidR="00423FA3" w:rsidRPr="00423FA3" w:rsidRDefault="00423FA3" w:rsidP="00D0742E">
      <w:pPr>
        <w:spacing w:after="120"/>
        <w:jc w:val="both"/>
        <w:rPr>
          <w:rFonts w:ascii="Arial" w:hAnsi="Arial" w:cs="Arial"/>
          <w:sz w:val="20"/>
          <w:szCs w:val="20"/>
          <w:lang w:eastAsia="en-US"/>
        </w:rPr>
      </w:pPr>
      <w:r w:rsidRPr="00423FA3">
        <w:rPr>
          <w:rFonts w:ascii="Arial" w:hAnsi="Arial" w:cs="Arial"/>
          <w:sz w:val="20"/>
          <w:szCs w:val="20"/>
          <w:lang w:eastAsia="en-US"/>
        </w:rPr>
        <w:t xml:space="preserve">Widespread </w:t>
      </w:r>
      <w:r w:rsidR="00284ABB">
        <w:rPr>
          <w:rFonts w:ascii="Arial" w:hAnsi="Arial" w:cs="Arial"/>
          <w:sz w:val="20"/>
          <w:szCs w:val="20"/>
          <w:lang w:eastAsia="en-US"/>
        </w:rPr>
        <w:t xml:space="preserve">potentially </w:t>
      </w:r>
      <w:r w:rsidRPr="00423FA3">
        <w:rPr>
          <w:rFonts w:ascii="Arial" w:hAnsi="Arial" w:cs="Arial"/>
          <w:sz w:val="20"/>
          <w:szCs w:val="20"/>
          <w:lang w:eastAsia="en-US"/>
        </w:rPr>
        <w:t>eligible project ideas:</w:t>
      </w:r>
    </w:p>
    <w:p w14:paraId="4A03F5E3" w14:textId="02358D9F" w:rsidR="00423FA3" w:rsidRPr="006D6BC9" w:rsidRDefault="00423FA3" w:rsidP="00E42342">
      <w:pPr>
        <w:pStyle w:val="ListParagraph"/>
        <w:numPr>
          <w:ilvl w:val="0"/>
          <w:numId w:val="250"/>
        </w:numPr>
        <w:jc w:val="both"/>
        <w:rPr>
          <w:sz w:val="20"/>
          <w:szCs w:val="20"/>
        </w:rPr>
      </w:pPr>
      <w:r w:rsidRPr="006D6BC9">
        <w:rPr>
          <w:sz w:val="20"/>
          <w:szCs w:val="20"/>
        </w:rPr>
        <w:t>Business ideas (car service, logistic centers, tourist pensions);</w:t>
      </w:r>
    </w:p>
    <w:p w14:paraId="14FCE5CA" w14:textId="7F6D1EF0" w:rsidR="00423FA3" w:rsidRPr="006D6BC9" w:rsidRDefault="00423FA3" w:rsidP="00E42342">
      <w:pPr>
        <w:pStyle w:val="ListParagraph"/>
        <w:numPr>
          <w:ilvl w:val="0"/>
          <w:numId w:val="250"/>
        </w:numPr>
        <w:jc w:val="both"/>
        <w:rPr>
          <w:sz w:val="20"/>
          <w:szCs w:val="20"/>
        </w:rPr>
      </w:pPr>
      <w:r w:rsidRPr="006D6BC9">
        <w:rPr>
          <w:sz w:val="20"/>
          <w:szCs w:val="20"/>
        </w:rPr>
        <w:t>Different medical care institutions (nursing homes, diagnostic centers etc.);</w:t>
      </w:r>
      <w:r w:rsidR="00D0742E">
        <w:rPr>
          <w:sz w:val="20"/>
          <w:szCs w:val="20"/>
        </w:rPr>
        <w:t xml:space="preserve"> and,</w:t>
      </w:r>
    </w:p>
    <w:p w14:paraId="61147A5F" w14:textId="05993525" w:rsidR="00423FA3" w:rsidRPr="006D6BC9" w:rsidRDefault="00423FA3" w:rsidP="00E42342">
      <w:pPr>
        <w:pStyle w:val="ListParagraph"/>
        <w:numPr>
          <w:ilvl w:val="0"/>
          <w:numId w:val="250"/>
        </w:numPr>
        <w:jc w:val="both"/>
        <w:rPr>
          <w:sz w:val="20"/>
          <w:szCs w:val="20"/>
        </w:rPr>
      </w:pPr>
      <w:r w:rsidRPr="006D6BC9">
        <w:rPr>
          <w:sz w:val="20"/>
          <w:szCs w:val="20"/>
        </w:rPr>
        <w:t>Investments in the deployment of technology and infrastructures for affordable clean energy, in greenhouse gas emission reduction, energy efficiency and renewable energy</w:t>
      </w:r>
      <w:r>
        <w:rPr>
          <w:sz w:val="20"/>
          <w:szCs w:val="20"/>
        </w:rPr>
        <w:t>.</w:t>
      </w:r>
    </w:p>
    <w:p w14:paraId="596949FF" w14:textId="04B14D9F" w:rsidR="00423FA3" w:rsidRDefault="00423FA3" w:rsidP="00423FA3">
      <w:pPr>
        <w:pStyle w:val="Caption"/>
      </w:pPr>
      <w:bookmarkStart w:id="400" w:name="_Toc90727414"/>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78</w:t>
      </w:r>
      <w:r w:rsidR="000B273D">
        <w:rPr>
          <w:noProof/>
        </w:rPr>
        <w:fldChar w:fldCharType="end"/>
      </w:r>
      <w:r>
        <w:t xml:space="preserve">: </w:t>
      </w:r>
      <w:r w:rsidRPr="00423FA3">
        <w:t>Breakdown of project ideas by JTF eligibility</w:t>
      </w:r>
      <w:bookmarkEnd w:id="400"/>
    </w:p>
    <w:p w14:paraId="20FB7FB7" w14:textId="256336DD" w:rsidR="00DF5BF1" w:rsidRPr="00DF5BF1" w:rsidRDefault="00DF5BF1" w:rsidP="00DF5BF1">
      <w:pPr>
        <w:jc w:val="center"/>
        <w:rPr>
          <w:lang w:eastAsia="en-US"/>
        </w:rPr>
      </w:pPr>
    </w:p>
    <w:p w14:paraId="288715E1" w14:textId="2353B82A" w:rsidR="0006090E" w:rsidRDefault="0006090E" w:rsidP="00A3342F">
      <w:pPr>
        <w:spacing w:after="120"/>
        <w:jc w:val="center"/>
        <w:rPr>
          <w:lang w:eastAsia="en-US"/>
        </w:rPr>
      </w:pPr>
      <w:r>
        <w:rPr>
          <w:noProof/>
          <w:lang w:val="en-US" w:eastAsia="en-US"/>
        </w:rPr>
        <w:lastRenderedPageBreak/>
        <w:drawing>
          <wp:inline distT="0" distB="0" distL="0" distR="0" wp14:anchorId="5DCCF800" wp14:editId="7819394F">
            <wp:extent cx="4572000" cy="2935224"/>
            <wp:effectExtent l="0" t="0" r="0" b="0"/>
            <wp:docPr id="2087055778" name="Chart 208705577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7300E3D-1C3F-4B5A-96C0-9BBAAA85F4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9"/>
              </a:graphicData>
            </a:graphic>
          </wp:inline>
        </w:drawing>
      </w:r>
    </w:p>
    <w:p w14:paraId="77302A03" w14:textId="69E87BD3" w:rsidR="00423FA3" w:rsidRPr="008764B4" w:rsidRDefault="00423FA3" w:rsidP="006D6BC9">
      <w:pPr>
        <w:jc w:val="both"/>
      </w:pPr>
      <w:r w:rsidRPr="006D6BC9">
        <w:rPr>
          <w:rFonts w:ascii="Arial" w:hAnsi="Arial" w:cs="Arial"/>
          <w:sz w:val="20"/>
          <w:szCs w:val="20"/>
        </w:rPr>
        <w:t xml:space="preserve">As </w:t>
      </w:r>
      <w:r w:rsidR="00D0742E">
        <w:rPr>
          <w:rFonts w:ascii="Arial" w:hAnsi="Arial" w:cs="Arial"/>
          <w:sz w:val="20"/>
          <w:szCs w:val="20"/>
        </w:rPr>
        <w:t>illustrated</w:t>
      </w:r>
      <w:r w:rsidRPr="006D6BC9">
        <w:rPr>
          <w:rFonts w:ascii="Arial" w:hAnsi="Arial" w:cs="Arial"/>
          <w:sz w:val="20"/>
          <w:szCs w:val="20"/>
        </w:rPr>
        <w:t xml:space="preserve"> in </w:t>
      </w:r>
      <w:r>
        <w:rPr>
          <w:rFonts w:ascii="Arial" w:hAnsi="Arial" w:cs="Arial"/>
          <w:sz w:val="20"/>
          <w:szCs w:val="20"/>
        </w:rPr>
        <w:t>Graphs 7</w:t>
      </w:r>
      <w:r w:rsidR="00AC0119">
        <w:rPr>
          <w:rFonts w:ascii="Arial" w:hAnsi="Arial" w:cs="Arial"/>
          <w:sz w:val="20"/>
          <w:szCs w:val="20"/>
        </w:rPr>
        <w:t>8</w:t>
      </w:r>
      <w:r>
        <w:rPr>
          <w:rFonts w:ascii="Arial" w:hAnsi="Arial" w:cs="Arial"/>
          <w:sz w:val="20"/>
          <w:szCs w:val="20"/>
        </w:rPr>
        <w:t xml:space="preserve"> and 7</w:t>
      </w:r>
      <w:r w:rsidR="00AC0119">
        <w:rPr>
          <w:rFonts w:ascii="Arial" w:hAnsi="Arial" w:cs="Arial"/>
          <w:sz w:val="20"/>
          <w:szCs w:val="20"/>
        </w:rPr>
        <w:t>9</w:t>
      </w:r>
      <w:r w:rsidRPr="006D6BC9">
        <w:rPr>
          <w:rFonts w:ascii="Arial" w:hAnsi="Arial" w:cs="Arial"/>
          <w:sz w:val="20"/>
          <w:szCs w:val="20"/>
        </w:rPr>
        <w:t xml:space="preserve">, 40% of project ideas with </w:t>
      </w:r>
      <w:r w:rsidR="00D0742E">
        <w:rPr>
          <w:rFonts w:ascii="Arial" w:hAnsi="Arial" w:cs="Arial"/>
          <w:sz w:val="20"/>
          <w:szCs w:val="20"/>
        </w:rPr>
        <w:t xml:space="preserve">a </w:t>
      </w:r>
      <w:r w:rsidRPr="006D6BC9">
        <w:rPr>
          <w:rFonts w:ascii="Arial" w:hAnsi="Arial" w:cs="Arial"/>
          <w:sz w:val="20"/>
          <w:szCs w:val="20"/>
        </w:rPr>
        <w:t>requested budget EUR 5,138,598,226 (49%) could be recogni</w:t>
      </w:r>
      <w:r w:rsidR="00D0742E">
        <w:rPr>
          <w:rFonts w:ascii="Arial" w:hAnsi="Arial" w:cs="Arial"/>
          <w:sz w:val="20"/>
          <w:szCs w:val="20"/>
        </w:rPr>
        <w:t>s</w:t>
      </w:r>
      <w:r w:rsidRPr="006D6BC9">
        <w:rPr>
          <w:rFonts w:ascii="Arial" w:hAnsi="Arial" w:cs="Arial"/>
          <w:sz w:val="20"/>
          <w:szCs w:val="20"/>
        </w:rPr>
        <w:t xml:space="preserve">ed as potentially eligible. </w:t>
      </w:r>
      <w:r w:rsidR="00D0742E">
        <w:rPr>
          <w:rFonts w:ascii="Arial" w:hAnsi="Arial" w:cs="Arial"/>
          <w:sz w:val="20"/>
          <w:szCs w:val="20"/>
        </w:rPr>
        <w:t>An a</w:t>
      </w:r>
      <w:r w:rsidRPr="006D6BC9">
        <w:rPr>
          <w:rFonts w:ascii="Arial" w:hAnsi="Arial" w:cs="Arial"/>
          <w:sz w:val="20"/>
          <w:szCs w:val="20"/>
        </w:rPr>
        <w:t xml:space="preserve">dditional 30% of project ideas need more detailed project description, clarifications etc. </w:t>
      </w:r>
      <w:r w:rsidR="00D0742E">
        <w:rPr>
          <w:rFonts w:ascii="Arial" w:hAnsi="Arial" w:cs="Arial"/>
          <w:sz w:val="20"/>
          <w:szCs w:val="20"/>
        </w:rPr>
        <w:t>Then,</w:t>
      </w:r>
      <w:r w:rsidRPr="006D6BC9">
        <w:rPr>
          <w:rFonts w:ascii="Arial" w:hAnsi="Arial" w:cs="Arial"/>
          <w:sz w:val="20"/>
          <w:szCs w:val="20"/>
        </w:rPr>
        <w:t xml:space="preserve"> their </w:t>
      </w:r>
      <w:r w:rsidR="00BD63A6">
        <w:rPr>
          <w:rFonts w:ascii="Arial" w:hAnsi="Arial" w:cs="Arial"/>
          <w:sz w:val="20"/>
          <w:szCs w:val="20"/>
        </w:rPr>
        <w:t xml:space="preserve">potential </w:t>
      </w:r>
      <w:r w:rsidRPr="006D6BC9">
        <w:rPr>
          <w:rFonts w:ascii="Arial" w:hAnsi="Arial" w:cs="Arial"/>
          <w:sz w:val="20"/>
          <w:szCs w:val="20"/>
        </w:rPr>
        <w:t>eligibility could be assessed.</w:t>
      </w:r>
    </w:p>
    <w:p w14:paraId="743BFE83" w14:textId="1D6B0576" w:rsidR="00423FA3" w:rsidRDefault="00423FA3" w:rsidP="00423FA3">
      <w:pPr>
        <w:pStyle w:val="Caption"/>
      </w:pPr>
      <w:bookmarkStart w:id="401" w:name="_Toc90727415"/>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79</w:t>
      </w:r>
      <w:r w:rsidR="000B273D">
        <w:rPr>
          <w:noProof/>
        </w:rPr>
        <w:fldChar w:fldCharType="end"/>
      </w:r>
      <w:r>
        <w:t xml:space="preserve">: </w:t>
      </w:r>
      <w:r w:rsidRPr="00423FA3">
        <w:t>Breakdown of project ideas by eligibility and requested funds</w:t>
      </w:r>
      <w:bookmarkEnd w:id="401"/>
    </w:p>
    <w:p w14:paraId="2DBD3392" w14:textId="62A66851" w:rsidR="00DF5BF1" w:rsidRPr="00DF5BF1" w:rsidRDefault="00DF5BF1" w:rsidP="00DF5BF1">
      <w:pPr>
        <w:jc w:val="center"/>
        <w:rPr>
          <w:lang w:eastAsia="en-US"/>
        </w:rPr>
      </w:pPr>
    </w:p>
    <w:p w14:paraId="08723DE5" w14:textId="3269D324" w:rsidR="001B6FDF" w:rsidRDefault="001B6FDF" w:rsidP="008A4AA5">
      <w:pPr>
        <w:spacing w:after="120"/>
        <w:jc w:val="center"/>
        <w:rPr>
          <w:lang w:eastAsia="en-US"/>
        </w:rPr>
      </w:pPr>
      <w:r>
        <w:rPr>
          <w:noProof/>
          <w:lang w:val="en-US" w:eastAsia="en-US"/>
        </w:rPr>
        <w:drawing>
          <wp:inline distT="0" distB="0" distL="0" distR="0" wp14:anchorId="20D5EBD7" wp14:editId="1036F3C1">
            <wp:extent cx="4572000" cy="2935224"/>
            <wp:effectExtent l="0" t="0" r="0" b="0"/>
            <wp:docPr id="2087055779" name="Chart 208705577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A2E652E-C7BF-4A65-92E2-9A436C1642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0"/>
              </a:graphicData>
            </a:graphic>
          </wp:inline>
        </w:drawing>
      </w:r>
    </w:p>
    <w:p w14:paraId="1C522DF2" w14:textId="225002FA" w:rsidR="00423FA3" w:rsidRDefault="00D0742E" w:rsidP="00402580">
      <w:pPr>
        <w:jc w:val="both"/>
        <w:rPr>
          <w:rFonts w:ascii="Arial" w:hAnsi="Arial" w:cs="Arial"/>
          <w:sz w:val="20"/>
          <w:szCs w:val="20"/>
          <w:lang w:eastAsia="en-US"/>
        </w:rPr>
      </w:pPr>
      <w:r>
        <w:rPr>
          <w:rFonts w:ascii="Arial" w:hAnsi="Arial" w:cs="Arial"/>
          <w:sz w:val="20"/>
          <w:szCs w:val="20"/>
          <w:lang w:eastAsia="en-US"/>
        </w:rPr>
        <w:t>A</w:t>
      </w:r>
      <w:r w:rsidR="00423FA3" w:rsidRPr="006D6BC9">
        <w:rPr>
          <w:rFonts w:ascii="Arial" w:hAnsi="Arial" w:cs="Arial"/>
          <w:sz w:val="20"/>
          <w:szCs w:val="20"/>
          <w:lang w:eastAsia="en-US"/>
        </w:rPr>
        <w:t>naly</w:t>
      </w:r>
      <w:r>
        <w:rPr>
          <w:rFonts w:ascii="Arial" w:hAnsi="Arial" w:cs="Arial"/>
          <w:sz w:val="20"/>
          <w:szCs w:val="20"/>
          <w:lang w:eastAsia="en-US"/>
        </w:rPr>
        <w:t>sing</w:t>
      </w:r>
      <w:r w:rsidR="00423FA3" w:rsidRPr="006D6BC9">
        <w:rPr>
          <w:rFonts w:ascii="Arial" w:hAnsi="Arial" w:cs="Arial"/>
          <w:sz w:val="20"/>
          <w:szCs w:val="20"/>
          <w:lang w:eastAsia="en-US"/>
        </w:rPr>
        <w:t xml:space="preserve"> JTS eligibility </w:t>
      </w:r>
      <w:r>
        <w:rPr>
          <w:rFonts w:ascii="Arial" w:hAnsi="Arial" w:cs="Arial"/>
          <w:sz w:val="20"/>
          <w:szCs w:val="20"/>
          <w:lang w:eastAsia="en-US"/>
        </w:rPr>
        <w:t>by</w:t>
      </w:r>
      <w:r w:rsidR="00423FA3" w:rsidRPr="006D6BC9">
        <w:rPr>
          <w:rFonts w:ascii="Arial" w:hAnsi="Arial" w:cs="Arial"/>
          <w:sz w:val="20"/>
          <w:szCs w:val="20"/>
          <w:lang w:eastAsia="en-US"/>
        </w:rPr>
        <w:t xml:space="preserve"> project idea</w:t>
      </w:r>
      <w:r>
        <w:rPr>
          <w:rFonts w:ascii="Arial" w:hAnsi="Arial" w:cs="Arial"/>
          <w:sz w:val="20"/>
          <w:szCs w:val="20"/>
          <w:lang w:eastAsia="en-US"/>
        </w:rPr>
        <w:t>s</w:t>
      </w:r>
      <w:r w:rsidR="00423FA3" w:rsidRPr="006D6BC9">
        <w:rPr>
          <w:rFonts w:ascii="Arial" w:hAnsi="Arial" w:cs="Arial"/>
          <w:sz w:val="20"/>
          <w:szCs w:val="20"/>
          <w:lang w:eastAsia="en-US"/>
        </w:rPr>
        <w:t xml:space="preserve"> and requested funds</w:t>
      </w:r>
      <w:r>
        <w:rPr>
          <w:rFonts w:ascii="Arial" w:hAnsi="Arial" w:cs="Arial"/>
          <w:sz w:val="20"/>
          <w:szCs w:val="20"/>
          <w:lang w:eastAsia="en-US"/>
        </w:rPr>
        <w:t xml:space="preserve"> can be seen in </w:t>
      </w:r>
      <w:r w:rsidR="00423FA3">
        <w:rPr>
          <w:rFonts w:ascii="Arial" w:hAnsi="Arial" w:cs="Arial"/>
          <w:sz w:val="20"/>
          <w:szCs w:val="20"/>
          <w:lang w:eastAsia="en-US"/>
        </w:rPr>
        <w:t xml:space="preserve">Graphs </w:t>
      </w:r>
      <w:r w:rsidR="00AC0119">
        <w:rPr>
          <w:rFonts w:ascii="Arial" w:hAnsi="Arial" w:cs="Arial"/>
          <w:sz w:val="20"/>
          <w:szCs w:val="20"/>
          <w:lang w:eastAsia="en-US"/>
        </w:rPr>
        <w:t>80</w:t>
      </w:r>
      <w:r w:rsidR="00423FA3">
        <w:rPr>
          <w:rFonts w:ascii="Arial" w:hAnsi="Arial" w:cs="Arial"/>
          <w:sz w:val="20"/>
          <w:szCs w:val="20"/>
          <w:lang w:eastAsia="en-US"/>
        </w:rPr>
        <w:t xml:space="preserve"> and </w:t>
      </w:r>
      <w:r w:rsidR="00AC0119">
        <w:rPr>
          <w:rFonts w:ascii="Arial" w:hAnsi="Arial" w:cs="Arial"/>
          <w:sz w:val="20"/>
          <w:szCs w:val="20"/>
          <w:lang w:eastAsia="en-US"/>
        </w:rPr>
        <w:t>81</w:t>
      </w:r>
      <w:r w:rsidR="00423FA3" w:rsidRPr="006D6BC9">
        <w:rPr>
          <w:rFonts w:ascii="Arial" w:hAnsi="Arial" w:cs="Arial"/>
          <w:sz w:val="20"/>
          <w:szCs w:val="20"/>
          <w:lang w:eastAsia="en-US"/>
        </w:rPr>
        <w:t xml:space="preserve">. </w:t>
      </w:r>
      <w:r>
        <w:rPr>
          <w:rFonts w:ascii="Arial" w:hAnsi="Arial" w:cs="Arial"/>
          <w:sz w:val="20"/>
          <w:szCs w:val="20"/>
          <w:lang w:eastAsia="en-US"/>
        </w:rPr>
        <w:t>T</w:t>
      </w:r>
      <w:r w:rsidR="00423FA3" w:rsidRPr="006D6BC9">
        <w:rPr>
          <w:rFonts w:ascii="Arial" w:hAnsi="Arial" w:cs="Arial"/>
          <w:sz w:val="20"/>
          <w:szCs w:val="20"/>
          <w:lang w:eastAsia="en-US"/>
        </w:rPr>
        <w:t xml:space="preserve">he largest </w:t>
      </w:r>
      <w:r w:rsidR="00792049" w:rsidRPr="006D6BC9">
        <w:rPr>
          <w:rFonts w:ascii="Arial" w:hAnsi="Arial" w:cs="Arial"/>
          <w:sz w:val="20"/>
          <w:szCs w:val="20"/>
          <w:lang w:eastAsia="en-US"/>
        </w:rPr>
        <w:t>number</w:t>
      </w:r>
      <w:r w:rsidR="00423FA3" w:rsidRPr="006D6BC9">
        <w:rPr>
          <w:rFonts w:ascii="Arial" w:hAnsi="Arial" w:cs="Arial"/>
          <w:sz w:val="20"/>
          <w:szCs w:val="20"/>
          <w:lang w:eastAsia="en-US"/>
        </w:rPr>
        <w:t xml:space="preserve"> of</w:t>
      </w:r>
      <w:r w:rsidR="00FD018E">
        <w:rPr>
          <w:rFonts w:ascii="Arial" w:hAnsi="Arial" w:cs="Arial"/>
          <w:sz w:val="20"/>
          <w:szCs w:val="20"/>
          <w:lang w:eastAsia="en-US"/>
        </w:rPr>
        <w:t xml:space="preserve"> potentially</w:t>
      </w:r>
      <w:r w:rsidR="00423FA3" w:rsidRPr="006D6BC9">
        <w:rPr>
          <w:rFonts w:ascii="Arial" w:hAnsi="Arial" w:cs="Arial"/>
          <w:sz w:val="20"/>
          <w:szCs w:val="20"/>
          <w:lang w:eastAsia="en-US"/>
        </w:rPr>
        <w:t xml:space="preserve"> eligible project</w:t>
      </w:r>
      <w:r>
        <w:rPr>
          <w:rFonts w:ascii="Arial" w:hAnsi="Arial" w:cs="Arial"/>
          <w:sz w:val="20"/>
          <w:szCs w:val="20"/>
          <w:lang w:eastAsia="en-US"/>
        </w:rPr>
        <w:t>s</w:t>
      </w:r>
      <w:r w:rsidR="00423FA3" w:rsidRPr="006D6BC9">
        <w:rPr>
          <w:rFonts w:ascii="Arial" w:hAnsi="Arial" w:cs="Arial"/>
          <w:sz w:val="20"/>
          <w:szCs w:val="20"/>
          <w:lang w:eastAsia="en-US"/>
        </w:rPr>
        <w:t xml:space="preserve"> is in Gorj and the largest amount of requested funds is in </w:t>
      </w:r>
      <w:r w:rsidR="003751DC">
        <w:rPr>
          <w:rFonts w:ascii="Arial" w:hAnsi="Arial" w:cs="Arial"/>
          <w:sz w:val="20"/>
          <w:szCs w:val="20"/>
          <w:lang w:eastAsia="en-US"/>
        </w:rPr>
        <w:t>Galați</w:t>
      </w:r>
      <w:r w:rsidR="00423FA3" w:rsidRPr="006D6BC9">
        <w:rPr>
          <w:rFonts w:ascii="Arial" w:hAnsi="Arial" w:cs="Arial"/>
          <w:sz w:val="20"/>
          <w:szCs w:val="20"/>
          <w:lang w:eastAsia="en-US"/>
        </w:rPr>
        <w:t>.</w:t>
      </w:r>
    </w:p>
    <w:p w14:paraId="6760832D" w14:textId="2DBE1ABF" w:rsidR="00423FA3" w:rsidRDefault="00423FA3" w:rsidP="00423FA3">
      <w:pPr>
        <w:pStyle w:val="Caption"/>
      </w:pPr>
      <w:bookmarkStart w:id="402" w:name="_Toc90727416"/>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80</w:t>
      </w:r>
      <w:r w:rsidR="000B273D">
        <w:rPr>
          <w:noProof/>
        </w:rPr>
        <w:fldChar w:fldCharType="end"/>
      </w:r>
      <w:r>
        <w:t xml:space="preserve">: </w:t>
      </w:r>
      <w:r w:rsidRPr="00423FA3">
        <w:t>Breakdown of requested funds by the project by regions and JTF eligibility</w:t>
      </w:r>
      <w:bookmarkEnd w:id="402"/>
    </w:p>
    <w:p w14:paraId="2F506A4E" w14:textId="075D8367" w:rsidR="00423FA3" w:rsidRDefault="00423FA3" w:rsidP="00810695">
      <w:pPr>
        <w:spacing w:after="120"/>
        <w:rPr>
          <w:lang w:eastAsia="en-US"/>
        </w:rPr>
      </w:pPr>
    </w:p>
    <w:p w14:paraId="33D81CFC" w14:textId="1C102AF3" w:rsidR="008A4AA5" w:rsidRDefault="008A4AA5" w:rsidP="00810695">
      <w:pPr>
        <w:spacing w:after="120"/>
        <w:rPr>
          <w:lang w:eastAsia="en-US"/>
        </w:rPr>
      </w:pPr>
      <w:r>
        <w:rPr>
          <w:noProof/>
          <w:lang w:val="en-US" w:eastAsia="en-US"/>
        </w:rPr>
        <w:lastRenderedPageBreak/>
        <w:drawing>
          <wp:inline distT="0" distB="0" distL="0" distR="0" wp14:anchorId="334C64B3" wp14:editId="71635B1D">
            <wp:extent cx="5676265" cy="3135630"/>
            <wp:effectExtent l="0" t="0" r="635" b="7620"/>
            <wp:docPr id="2087055587" name="Chart 208705558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D51EB6C-15BB-4BA9-87DF-69E96EB906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p w14:paraId="35843B0A" w14:textId="39E33699" w:rsidR="00423FA3" w:rsidRDefault="00423FA3" w:rsidP="00423FA3">
      <w:pPr>
        <w:pStyle w:val="Caption"/>
      </w:pPr>
      <w:bookmarkStart w:id="403" w:name="_Toc90727417"/>
      <w:r>
        <w:t xml:space="preserve">Graph </w:t>
      </w:r>
      <w:r w:rsidR="000B273D">
        <w:rPr>
          <w:noProof/>
        </w:rPr>
        <w:fldChar w:fldCharType="begin"/>
      </w:r>
      <w:r w:rsidR="000B273D">
        <w:rPr>
          <w:noProof/>
        </w:rPr>
        <w:instrText xml:space="preserve"> SEQ Graph \* ARABIC </w:instrText>
      </w:r>
      <w:r w:rsidR="000B273D">
        <w:rPr>
          <w:noProof/>
        </w:rPr>
        <w:fldChar w:fldCharType="separate"/>
      </w:r>
      <w:r w:rsidR="007E5B0B">
        <w:rPr>
          <w:noProof/>
        </w:rPr>
        <w:t>81</w:t>
      </w:r>
      <w:r w:rsidR="000B273D">
        <w:rPr>
          <w:noProof/>
        </w:rPr>
        <w:fldChar w:fldCharType="end"/>
      </w:r>
      <w:r>
        <w:t xml:space="preserve">: </w:t>
      </w:r>
      <w:r w:rsidRPr="00423FA3">
        <w:t>Breakdown of requested funds by the project by regions and JTF eligibility</w:t>
      </w:r>
      <w:bookmarkStart w:id="404" w:name="_Toc68871787"/>
      <w:bookmarkEnd w:id="403"/>
    </w:p>
    <w:p w14:paraId="1D0A334C" w14:textId="534C0569" w:rsidR="00423FA3" w:rsidRDefault="00423FA3" w:rsidP="00810695">
      <w:pPr>
        <w:spacing w:after="120"/>
        <w:rPr>
          <w:lang w:eastAsia="en-US"/>
        </w:rPr>
      </w:pPr>
    </w:p>
    <w:p w14:paraId="72D3893C" w14:textId="55CEC4A3" w:rsidR="0068011F" w:rsidRDefault="0068011F" w:rsidP="00810695">
      <w:pPr>
        <w:spacing w:after="120"/>
        <w:rPr>
          <w:lang w:eastAsia="en-US"/>
        </w:rPr>
      </w:pPr>
      <w:r>
        <w:rPr>
          <w:noProof/>
          <w:lang w:val="en-US" w:eastAsia="en-US"/>
        </w:rPr>
        <w:drawing>
          <wp:inline distT="0" distB="0" distL="0" distR="0" wp14:anchorId="785A931A" wp14:editId="1AD65BB1">
            <wp:extent cx="5676265" cy="3127375"/>
            <wp:effectExtent l="0" t="0" r="635" b="15875"/>
            <wp:docPr id="2087055588" name="Chart 20870555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737E79E-7355-4A2C-B3A6-1E17357EDB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2"/>
              </a:graphicData>
            </a:graphic>
          </wp:inline>
        </w:drawing>
      </w:r>
    </w:p>
    <w:p w14:paraId="27B2A26D" w14:textId="073ABFB4" w:rsidR="00423FA3" w:rsidRPr="006D6BC9" w:rsidRDefault="00423FA3" w:rsidP="008D32D6">
      <w:pPr>
        <w:spacing w:after="120"/>
        <w:jc w:val="both"/>
        <w:rPr>
          <w:rFonts w:ascii="Arial" w:hAnsi="Arial" w:cs="Arial"/>
          <w:sz w:val="20"/>
          <w:szCs w:val="20"/>
          <w:lang w:eastAsia="en-US"/>
        </w:rPr>
      </w:pPr>
      <w:r w:rsidRPr="006D6BC9">
        <w:rPr>
          <w:rFonts w:ascii="Arial" w:hAnsi="Arial" w:cs="Arial"/>
          <w:sz w:val="20"/>
          <w:szCs w:val="20"/>
          <w:lang w:eastAsia="en-US"/>
        </w:rPr>
        <w:t>Gorj has the largest amount of project ideas from SMEs, which have comparatively clear project idea</w:t>
      </w:r>
      <w:r w:rsidR="00FC1136">
        <w:rPr>
          <w:rFonts w:ascii="Arial" w:hAnsi="Arial" w:cs="Arial"/>
          <w:sz w:val="20"/>
          <w:szCs w:val="20"/>
          <w:lang w:eastAsia="en-US"/>
        </w:rPr>
        <w:t>s</w:t>
      </w:r>
      <w:r w:rsidRPr="006D6BC9">
        <w:rPr>
          <w:rFonts w:ascii="Arial" w:hAnsi="Arial" w:cs="Arial"/>
          <w:sz w:val="20"/>
          <w:szCs w:val="20"/>
          <w:lang w:eastAsia="en-US"/>
        </w:rPr>
        <w:t xml:space="preserve">. At the same time, </w:t>
      </w:r>
      <w:r w:rsidR="004F70E0">
        <w:rPr>
          <w:rFonts w:ascii="Arial" w:hAnsi="Arial" w:cs="Arial"/>
          <w:sz w:val="20"/>
          <w:szCs w:val="20"/>
          <w:lang w:eastAsia="en-US"/>
        </w:rPr>
        <w:t>Galați</w:t>
      </w:r>
      <w:r w:rsidRPr="006D6BC9">
        <w:rPr>
          <w:rFonts w:ascii="Arial" w:hAnsi="Arial" w:cs="Arial"/>
          <w:sz w:val="20"/>
          <w:szCs w:val="20"/>
          <w:lang w:eastAsia="en-US"/>
        </w:rPr>
        <w:t xml:space="preserve"> has two projects aimed on renewables, which have clear description</w:t>
      </w:r>
      <w:r w:rsidR="00FC1136">
        <w:rPr>
          <w:rFonts w:ascii="Arial" w:hAnsi="Arial" w:cs="Arial"/>
          <w:sz w:val="20"/>
          <w:szCs w:val="20"/>
          <w:lang w:eastAsia="en-US"/>
        </w:rPr>
        <w:t>s</w:t>
      </w:r>
      <w:r w:rsidRPr="006D6BC9">
        <w:rPr>
          <w:rFonts w:ascii="Arial" w:hAnsi="Arial" w:cs="Arial"/>
          <w:sz w:val="20"/>
          <w:szCs w:val="20"/>
          <w:lang w:eastAsia="en-US"/>
        </w:rPr>
        <w:t xml:space="preserve"> and are </w:t>
      </w:r>
      <w:r w:rsidR="00FC1136">
        <w:rPr>
          <w:rFonts w:ascii="Arial" w:hAnsi="Arial" w:cs="Arial"/>
          <w:sz w:val="20"/>
          <w:szCs w:val="20"/>
          <w:lang w:eastAsia="en-US"/>
        </w:rPr>
        <w:t xml:space="preserve">also </w:t>
      </w:r>
      <w:r w:rsidR="00FD018E">
        <w:rPr>
          <w:rFonts w:ascii="Arial" w:hAnsi="Arial" w:cs="Arial"/>
          <w:sz w:val="20"/>
          <w:szCs w:val="20"/>
          <w:lang w:eastAsia="en-US"/>
        </w:rPr>
        <w:t xml:space="preserve">potentially </w:t>
      </w:r>
      <w:r w:rsidRPr="006D6BC9">
        <w:rPr>
          <w:rFonts w:ascii="Arial" w:hAnsi="Arial" w:cs="Arial"/>
          <w:sz w:val="20"/>
          <w:szCs w:val="20"/>
          <w:lang w:eastAsia="en-US"/>
        </w:rPr>
        <w:t xml:space="preserve">eligible. </w:t>
      </w:r>
    </w:p>
    <w:p w14:paraId="31CF7EEB" w14:textId="0230D458" w:rsidR="00423FA3" w:rsidRPr="006D6BC9" w:rsidRDefault="00423FA3" w:rsidP="008D32D6">
      <w:pPr>
        <w:spacing w:after="120"/>
        <w:jc w:val="both"/>
        <w:rPr>
          <w:rFonts w:ascii="Arial" w:hAnsi="Arial" w:cs="Arial"/>
          <w:sz w:val="20"/>
          <w:szCs w:val="20"/>
          <w:lang w:eastAsia="en-US"/>
        </w:rPr>
      </w:pPr>
      <w:r w:rsidRPr="006D6BC9">
        <w:rPr>
          <w:rFonts w:ascii="Arial" w:hAnsi="Arial" w:cs="Arial"/>
          <w:sz w:val="20"/>
          <w:szCs w:val="20"/>
          <w:lang w:eastAsia="en-US"/>
        </w:rPr>
        <w:t xml:space="preserve">Hunedoara doesn’t provide </w:t>
      </w:r>
      <w:r w:rsidR="00FC1136">
        <w:rPr>
          <w:rFonts w:ascii="Arial" w:hAnsi="Arial" w:cs="Arial"/>
          <w:sz w:val="20"/>
          <w:szCs w:val="20"/>
          <w:lang w:eastAsia="en-US"/>
        </w:rPr>
        <w:t xml:space="preserve">a </w:t>
      </w:r>
      <w:r w:rsidRPr="006D6BC9">
        <w:rPr>
          <w:rFonts w:ascii="Arial" w:hAnsi="Arial" w:cs="Arial"/>
          <w:sz w:val="20"/>
          <w:szCs w:val="20"/>
          <w:lang w:eastAsia="en-US"/>
        </w:rPr>
        <w:t>project description. As a result – the largest amount of fund requests is in “Borderline/Unclear” category.</w:t>
      </w:r>
    </w:p>
    <w:p w14:paraId="3C960BA9" w14:textId="3D700F6A" w:rsidR="00423FA3" w:rsidRDefault="00FC1136" w:rsidP="008D32D6">
      <w:pPr>
        <w:spacing w:after="120"/>
        <w:jc w:val="both"/>
        <w:rPr>
          <w:rFonts w:ascii="Arial" w:hAnsi="Arial" w:cs="Arial"/>
          <w:sz w:val="20"/>
          <w:szCs w:val="20"/>
          <w:lang w:eastAsia="en-US"/>
        </w:rPr>
      </w:pPr>
      <w:r>
        <w:rPr>
          <w:rFonts w:ascii="Arial" w:hAnsi="Arial" w:cs="Arial"/>
          <w:sz w:val="20"/>
          <w:szCs w:val="20"/>
          <w:lang w:eastAsia="en-US"/>
        </w:rPr>
        <w:t>Finally</w:t>
      </w:r>
      <w:r w:rsidR="00423FA3" w:rsidRPr="00423FA3">
        <w:rPr>
          <w:rFonts w:ascii="Arial" w:hAnsi="Arial" w:cs="Arial"/>
          <w:sz w:val="20"/>
          <w:szCs w:val="20"/>
          <w:lang w:eastAsia="en-US"/>
        </w:rPr>
        <w:t>,</w:t>
      </w:r>
      <w:r>
        <w:rPr>
          <w:rFonts w:ascii="Arial" w:hAnsi="Arial" w:cs="Arial"/>
          <w:sz w:val="20"/>
          <w:szCs w:val="20"/>
          <w:lang w:eastAsia="en-US"/>
        </w:rPr>
        <w:t xml:space="preserve"> </w:t>
      </w:r>
      <w:r w:rsidR="00423FA3" w:rsidRPr="006D6BC9">
        <w:rPr>
          <w:rFonts w:ascii="Arial" w:hAnsi="Arial" w:cs="Arial"/>
          <w:sz w:val="20"/>
          <w:szCs w:val="20"/>
          <w:lang w:eastAsia="en-US"/>
        </w:rPr>
        <w:t>some potential duplicates among project ideas were found and have to be double-checked: Establishment of an intelligent natural gas distribution system in Simnicu de Sus (Gorj); Establishment of a factory for processing fruits, including berries (Gorj); Fitness and body care center + Sale of food supplements for sports activities (Gorj); Home for the elderly in Peștișani Commune (Gorj); Health system moderni</w:t>
      </w:r>
      <w:r>
        <w:rPr>
          <w:rFonts w:ascii="Arial" w:hAnsi="Arial" w:cs="Arial"/>
          <w:sz w:val="20"/>
          <w:szCs w:val="20"/>
          <w:lang w:eastAsia="en-US"/>
        </w:rPr>
        <w:t>s</w:t>
      </w:r>
      <w:r w:rsidR="00423FA3" w:rsidRPr="006D6BC9">
        <w:rPr>
          <w:rFonts w:ascii="Arial" w:hAnsi="Arial" w:cs="Arial"/>
          <w:sz w:val="20"/>
          <w:szCs w:val="20"/>
          <w:lang w:eastAsia="en-US"/>
        </w:rPr>
        <w:t>ation - Vulcan Municipality (Hunedoara). Potential duplicates were counted as “not eligible”</w:t>
      </w:r>
      <w:r w:rsidR="00423FA3">
        <w:rPr>
          <w:rFonts w:ascii="Arial" w:hAnsi="Arial" w:cs="Arial"/>
          <w:sz w:val="20"/>
          <w:szCs w:val="20"/>
          <w:lang w:eastAsia="en-US"/>
        </w:rPr>
        <w:t>.</w:t>
      </w:r>
    </w:p>
    <w:p w14:paraId="73188723" w14:textId="6AA7372D" w:rsidR="00423FA3" w:rsidRDefault="00423FA3" w:rsidP="00E42342">
      <w:pPr>
        <w:pStyle w:val="Heading2"/>
        <w:numPr>
          <w:ilvl w:val="0"/>
          <w:numId w:val="251"/>
        </w:numPr>
      </w:pPr>
      <w:bookmarkStart w:id="405" w:name="_Toc90725919"/>
      <w:r>
        <w:lastRenderedPageBreak/>
        <w:t>Main conclusions of the high-level assessment</w:t>
      </w:r>
      <w:bookmarkEnd w:id="405"/>
    </w:p>
    <w:p w14:paraId="1B417B5C" w14:textId="0F0C1F04" w:rsidR="00423FA3" w:rsidRPr="00423FA3" w:rsidRDefault="00423FA3" w:rsidP="008D32D6">
      <w:pPr>
        <w:spacing w:after="120"/>
        <w:jc w:val="both"/>
        <w:rPr>
          <w:rFonts w:ascii="Arial" w:hAnsi="Arial" w:cs="Arial"/>
          <w:sz w:val="20"/>
          <w:szCs w:val="20"/>
          <w:lang w:eastAsia="en-US"/>
        </w:rPr>
      </w:pPr>
      <w:r w:rsidRPr="00423FA3">
        <w:rPr>
          <w:rFonts w:ascii="Arial" w:hAnsi="Arial" w:cs="Arial"/>
          <w:sz w:val="20"/>
          <w:szCs w:val="20"/>
          <w:lang w:eastAsia="en-US"/>
        </w:rPr>
        <w:t xml:space="preserve">At this stage of project pooling, we </w:t>
      </w:r>
      <w:r w:rsidR="00FC1136">
        <w:rPr>
          <w:rFonts w:ascii="Arial" w:hAnsi="Arial" w:cs="Arial"/>
          <w:sz w:val="20"/>
          <w:szCs w:val="20"/>
          <w:lang w:eastAsia="en-US"/>
        </w:rPr>
        <w:t>offer the following preliminary results</w:t>
      </w:r>
      <w:r w:rsidRPr="00423FA3">
        <w:rPr>
          <w:rFonts w:ascii="Arial" w:hAnsi="Arial" w:cs="Arial"/>
          <w:sz w:val="20"/>
          <w:szCs w:val="20"/>
          <w:lang w:eastAsia="en-US"/>
        </w:rPr>
        <w:t>:</w:t>
      </w:r>
    </w:p>
    <w:p w14:paraId="3A263A0F" w14:textId="5F0E9732" w:rsidR="00423FA3" w:rsidRPr="006D6BC9" w:rsidRDefault="00FC1136" w:rsidP="00E42342">
      <w:pPr>
        <w:pStyle w:val="ListParagraph"/>
        <w:numPr>
          <w:ilvl w:val="0"/>
          <w:numId w:val="252"/>
        </w:numPr>
        <w:spacing w:after="120" w:line="240" w:lineRule="auto"/>
        <w:ind w:left="357" w:hanging="357"/>
        <w:contextualSpacing w:val="0"/>
        <w:jc w:val="both"/>
        <w:rPr>
          <w:sz w:val="20"/>
          <w:szCs w:val="20"/>
        </w:rPr>
      </w:pPr>
      <w:r>
        <w:rPr>
          <w:sz w:val="20"/>
          <w:szCs w:val="20"/>
        </w:rPr>
        <w:t>T</w:t>
      </w:r>
      <w:r w:rsidR="00423FA3" w:rsidRPr="006D6BC9">
        <w:rPr>
          <w:sz w:val="20"/>
          <w:szCs w:val="20"/>
        </w:rPr>
        <w:t>here is a difference among the regions by the funds requested;</w:t>
      </w:r>
    </w:p>
    <w:p w14:paraId="678E2FC8" w14:textId="1AFC5EEB" w:rsidR="00423FA3" w:rsidRPr="006D6BC9" w:rsidRDefault="00FC1136" w:rsidP="00E42342">
      <w:pPr>
        <w:pStyle w:val="ListParagraph"/>
        <w:numPr>
          <w:ilvl w:val="0"/>
          <w:numId w:val="252"/>
        </w:numPr>
        <w:spacing w:after="120" w:line="240" w:lineRule="auto"/>
        <w:ind w:left="357" w:hanging="357"/>
        <w:contextualSpacing w:val="0"/>
        <w:jc w:val="both"/>
        <w:rPr>
          <w:sz w:val="20"/>
          <w:szCs w:val="20"/>
        </w:rPr>
      </w:pPr>
      <w:r>
        <w:rPr>
          <w:sz w:val="20"/>
          <w:szCs w:val="20"/>
        </w:rPr>
        <w:t>T</w:t>
      </w:r>
      <w:r w:rsidR="00423FA3" w:rsidRPr="006D6BC9">
        <w:rPr>
          <w:sz w:val="20"/>
          <w:szCs w:val="20"/>
        </w:rPr>
        <w:t>here is a big difference in the fund requests between large and small projects. This requires additional attention or establishment of limit for requested funds, because high-budget project ideas may cannibali</w:t>
      </w:r>
      <w:r>
        <w:rPr>
          <w:sz w:val="20"/>
          <w:szCs w:val="20"/>
        </w:rPr>
        <w:t>s</w:t>
      </w:r>
      <w:r w:rsidR="00423FA3" w:rsidRPr="006D6BC9">
        <w:rPr>
          <w:sz w:val="20"/>
          <w:szCs w:val="20"/>
        </w:rPr>
        <w:t>e small project ideas</w:t>
      </w:r>
      <w:r>
        <w:rPr>
          <w:sz w:val="20"/>
          <w:szCs w:val="20"/>
        </w:rPr>
        <w:t>, which</w:t>
      </w:r>
      <w:r w:rsidR="00423FA3" w:rsidRPr="006D6BC9">
        <w:rPr>
          <w:sz w:val="20"/>
          <w:szCs w:val="20"/>
        </w:rPr>
        <w:t xml:space="preserve"> </w:t>
      </w:r>
      <w:r>
        <w:rPr>
          <w:sz w:val="20"/>
          <w:szCs w:val="20"/>
        </w:rPr>
        <w:t xml:space="preserve">in turn </w:t>
      </w:r>
      <w:r w:rsidR="00423FA3" w:rsidRPr="006D6BC9">
        <w:rPr>
          <w:sz w:val="20"/>
          <w:szCs w:val="20"/>
        </w:rPr>
        <w:t>may potentially negatively affect the number of created new jobs;</w:t>
      </w:r>
    </w:p>
    <w:p w14:paraId="54CBFFCB" w14:textId="5ED22CCB" w:rsidR="00423FA3" w:rsidRPr="006D6BC9" w:rsidRDefault="00FC1136" w:rsidP="00E42342">
      <w:pPr>
        <w:pStyle w:val="ListParagraph"/>
        <w:numPr>
          <w:ilvl w:val="0"/>
          <w:numId w:val="252"/>
        </w:numPr>
        <w:spacing w:after="120" w:line="240" w:lineRule="auto"/>
        <w:ind w:left="357" w:hanging="357"/>
        <w:contextualSpacing w:val="0"/>
        <w:jc w:val="both"/>
        <w:rPr>
          <w:sz w:val="20"/>
          <w:szCs w:val="20"/>
        </w:rPr>
      </w:pPr>
      <w:r>
        <w:rPr>
          <w:sz w:val="20"/>
          <w:szCs w:val="20"/>
        </w:rPr>
        <w:t xml:space="preserve">The </w:t>
      </w:r>
      <w:r w:rsidR="00423FA3" w:rsidRPr="006D6BC9">
        <w:rPr>
          <w:sz w:val="20"/>
          <w:szCs w:val="20"/>
        </w:rPr>
        <w:t>number of new direct jobs expected to be created (25,979) is not very high compared to the requested funds</w:t>
      </w:r>
      <w:r w:rsidR="00423FA3">
        <w:rPr>
          <w:rStyle w:val="FootnoteReference"/>
          <w:sz w:val="20"/>
          <w:szCs w:val="20"/>
        </w:rPr>
        <w:footnoteReference w:id="171"/>
      </w:r>
      <w:r w:rsidR="00423FA3" w:rsidRPr="006D6BC9">
        <w:rPr>
          <w:sz w:val="20"/>
          <w:szCs w:val="20"/>
        </w:rPr>
        <w:t xml:space="preserve">. It is recommended to establish a job creation cost limit for projects aimed </w:t>
      </w:r>
      <w:r>
        <w:rPr>
          <w:sz w:val="20"/>
          <w:szCs w:val="20"/>
        </w:rPr>
        <w:t>at</w:t>
      </w:r>
      <w:r w:rsidR="00423FA3" w:rsidRPr="006D6BC9">
        <w:rPr>
          <w:sz w:val="20"/>
          <w:szCs w:val="20"/>
        </w:rPr>
        <w:t xml:space="preserve"> </w:t>
      </w:r>
      <w:r>
        <w:rPr>
          <w:sz w:val="20"/>
          <w:szCs w:val="20"/>
        </w:rPr>
        <w:t>the “</w:t>
      </w:r>
      <w:r w:rsidR="00423FA3" w:rsidRPr="006D6BC9">
        <w:rPr>
          <w:sz w:val="20"/>
          <w:szCs w:val="20"/>
        </w:rPr>
        <w:t>Creation of new firms and Investments in SMEs</w:t>
      </w:r>
      <w:r>
        <w:rPr>
          <w:sz w:val="20"/>
          <w:szCs w:val="20"/>
        </w:rPr>
        <w:t>”</w:t>
      </w:r>
      <w:r w:rsidR="00423FA3" w:rsidRPr="006D6BC9">
        <w:rPr>
          <w:sz w:val="20"/>
          <w:szCs w:val="20"/>
        </w:rPr>
        <w:t>;</w:t>
      </w:r>
    </w:p>
    <w:p w14:paraId="3120FD6B" w14:textId="1FA296C7" w:rsidR="00423FA3" w:rsidRPr="006D6BC9" w:rsidRDefault="00FC1136" w:rsidP="00E42342">
      <w:pPr>
        <w:pStyle w:val="ListParagraph"/>
        <w:numPr>
          <w:ilvl w:val="0"/>
          <w:numId w:val="252"/>
        </w:numPr>
        <w:spacing w:after="120" w:line="240" w:lineRule="auto"/>
        <w:ind w:left="357" w:hanging="357"/>
        <w:contextualSpacing w:val="0"/>
        <w:jc w:val="both"/>
        <w:rPr>
          <w:sz w:val="20"/>
          <w:szCs w:val="20"/>
        </w:rPr>
      </w:pPr>
      <w:r>
        <w:rPr>
          <w:sz w:val="20"/>
          <w:szCs w:val="20"/>
        </w:rPr>
        <w:t>S</w:t>
      </w:r>
      <w:r w:rsidR="00423FA3" w:rsidRPr="006D6BC9">
        <w:rPr>
          <w:sz w:val="20"/>
          <w:szCs w:val="20"/>
        </w:rPr>
        <w:t xml:space="preserve">ome towns and communities (19) want to have a possibility for reallocation of </w:t>
      </w:r>
      <w:r w:rsidR="00E66308" w:rsidRPr="006D6BC9">
        <w:rPr>
          <w:sz w:val="20"/>
          <w:szCs w:val="20"/>
        </w:rPr>
        <w:t>JT</w:t>
      </w:r>
      <w:r w:rsidR="00E66308">
        <w:rPr>
          <w:sz w:val="20"/>
          <w:szCs w:val="20"/>
        </w:rPr>
        <w:t>F</w:t>
      </w:r>
      <w:r w:rsidR="00E66308" w:rsidRPr="006D6BC9">
        <w:rPr>
          <w:sz w:val="20"/>
          <w:szCs w:val="20"/>
        </w:rPr>
        <w:t xml:space="preserve"> </w:t>
      </w:r>
      <w:r w:rsidR="00423FA3" w:rsidRPr="006D6BC9">
        <w:rPr>
          <w:sz w:val="20"/>
          <w:szCs w:val="20"/>
        </w:rPr>
        <w:t xml:space="preserve">funds inside </w:t>
      </w:r>
      <w:r>
        <w:rPr>
          <w:sz w:val="20"/>
          <w:szCs w:val="20"/>
        </w:rPr>
        <w:t xml:space="preserve">the </w:t>
      </w:r>
      <w:r w:rsidR="00423FA3" w:rsidRPr="006D6BC9">
        <w:rPr>
          <w:sz w:val="20"/>
          <w:szCs w:val="20"/>
        </w:rPr>
        <w:t>community as a community grant scheme (wh</w:t>
      </w:r>
      <w:r>
        <w:rPr>
          <w:sz w:val="20"/>
          <w:szCs w:val="20"/>
        </w:rPr>
        <w:t>ich</w:t>
      </w:r>
      <w:r w:rsidR="00423FA3" w:rsidRPr="006D6BC9">
        <w:rPr>
          <w:sz w:val="20"/>
          <w:szCs w:val="20"/>
        </w:rPr>
        <w:t xml:space="preserve"> could be </w:t>
      </w:r>
      <w:r>
        <w:rPr>
          <w:sz w:val="20"/>
          <w:szCs w:val="20"/>
        </w:rPr>
        <w:t xml:space="preserve">a </w:t>
      </w:r>
      <w:r w:rsidR="00423FA3" w:rsidRPr="006D6BC9">
        <w:rPr>
          <w:sz w:val="20"/>
          <w:szCs w:val="20"/>
        </w:rPr>
        <w:t>source of corruption);</w:t>
      </w:r>
    </w:p>
    <w:p w14:paraId="59A6B036" w14:textId="7030073A" w:rsidR="00423FA3" w:rsidRPr="006D6BC9" w:rsidRDefault="00FC1136" w:rsidP="00E42342">
      <w:pPr>
        <w:pStyle w:val="ListParagraph"/>
        <w:numPr>
          <w:ilvl w:val="0"/>
          <w:numId w:val="252"/>
        </w:numPr>
        <w:spacing w:after="120" w:line="240" w:lineRule="auto"/>
        <w:ind w:left="357" w:hanging="357"/>
        <w:contextualSpacing w:val="0"/>
        <w:jc w:val="both"/>
        <w:rPr>
          <w:sz w:val="20"/>
          <w:szCs w:val="20"/>
        </w:rPr>
      </w:pPr>
      <w:r>
        <w:rPr>
          <w:sz w:val="20"/>
          <w:szCs w:val="20"/>
        </w:rPr>
        <w:t>Many</w:t>
      </w:r>
      <w:r w:rsidR="00423FA3" w:rsidRPr="006D6BC9">
        <w:rPr>
          <w:sz w:val="20"/>
          <w:szCs w:val="20"/>
        </w:rPr>
        <w:t xml:space="preserve"> applicants want to establish new enterprises with the use of JTF funds (without allocat</w:t>
      </w:r>
      <w:r>
        <w:rPr>
          <w:sz w:val="20"/>
          <w:szCs w:val="20"/>
        </w:rPr>
        <w:t>ing</w:t>
      </w:r>
      <w:r w:rsidR="00423FA3" w:rsidRPr="006D6BC9">
        <w:rPr>
          <w:sz w:val="20"/>
          <w:szCs w:val="20"/>
        </w:rPr>
        <w:t xml:space="preserve"> own funds or funds from other sources). </w:t>
      </w:r>
      <w:r>
        <w:rPr>
          <w:sz w:val="20"/>
          <w:szCs w:val="20"/>
        </w:rPr>
        <w:t>This</w:t>
      </w:r>
      <w:r w:rsidR="00423FA3" w:rsidRPr="006D6BC9">
        <w:rPr>
          <w:sz w:val="20"/>
          <w:szCs w:val="20"/>
        </w:rPr>
        <w:t xml:space="preserve"> kind of greenfield investment could lead to </w:t>
      </w:r>
      <w:r>
        <w:rPr>
          <w:sz w:val="20"/>
          <w:szCs w:val="20"/>
        </w:rPr>
        <w:t xml:space="preserve">a </w:t>
      </w:r>
      <w:r w:rsidR="00423FA3" w:rsidRPr="006D6BC9">
        <w:rPr>
          <w:sz w:val="20"/>
          <w:szCs w:val="20"/>
        </w:rPr>
        <w:t xml:space="preserve">potential risk of unproper usage of funds. It is recommended to establish a minimum share of own or borrowed funds for projects aimed on </w:t>
      </w:r>
      <w:r>
        <w:rPr>
          <w:sz w:val="20"/>
          <w:szCs w:val="20"/>
        </w:rPr>
        <w:t>“</w:t>
      </w:r>
      <w:r w:rsidR="00423FA3" w:rsidRPr="006D6BC9">
        <w:rPr>
          <w:sz w:val="20"/>
          <w:szCs w:val="20"/>
        </w:rPr>
        <w:t>Creation of new firms and Investments in SMEs</w:t>
      </w:r>
      <w:r>
        <w:rPr>
          <w:sz w:val="20"/>
          <w:szCs w:val="20"/>
        </w:rPr>
        <w:t>”</w:t>
      </w:r>
      <w:r w:rsidR="00423FA3" w:rsidRPr="006D6BC9">
        <w:rPr>
          <w:sz w:val="20"/>
          <w:szCs w:val="20"/>
        </w:rPr>
        <w:t xml:space="preserve">. This measure will raise </w:t>
      </w:r>
      <w:r>
        <w:rPr>
          <w:sz w:val="20"/>
          <w:szCs w:val="20"/>
        </w:rPr>
        <w:t xml:space="preserve">the </w:t>
      </w:r>
      <w:r w:rsidR="00423FA3" w:rsidRPr="006D6BC9">
        <w:rPr>
          <w:sz w:val="20"/>
          <w:szCs w:val="20"/>
        </w:rPr>
        <w:t xml:space="preserve">allocation of funds in </w:t>
      </w:r>
      <w:r>
        <w:rPr>
          <w:sz w:val="20"/>
          <w:szCs w:val="20"/>
        </w:rPr>
        <w:t xml:space="preserve">the </w:t>
      </w:r>
      <w:r w:rsidR="00423FA3" w:rsidRPr="006D6BC9">
        <w:rPr>
          <w:sz w:val="20"/>
          <w:szCs w:val="20"/>
        </w:rPr>
        <w:t>prevention of energy transition negative impact and cut off unscrupulous applicants;</w:t>
      </w:r>
      <w:r>
        <w:rPr>
          <w:sz w:val="20"/>
          <w:szCs w:val="20"/>
        </w:rPr>
        <w:t xml:space="preserve"> and,</w:t>
      </w:r>
    </w:p>
    <w:p w14:paraId="20861EAD" w14:textId="35F581E7" w:rsidR="00423FA3" w:rsidRPr="00810695" w:rsidRDefault="00FC1136" w:rsidP="00810695">
      <w:pPr>
        <w:pStyle w:val="ListParagraph"/>
        <w:numPr>
          <w:ilvl w:val="0"/>
          <w:numId w:val="252"/>
        </w:numPr>
        <w:spacing w:after="200" w:line="240" w:lineRule="auto"/>
        <w:contextualSpacing w:val="0"/>
        <w:jc w:val="both"/>
        <w:rPr>
          <w:sz w:val="20"/>
          <w:szCs w:val="20"/>
        </w:rPr>
      </w:pPr>
      <w:r>
        <w:rPr>
          <w:sz w:val="20"/>
          <w:szCs w:val="20"/>
        </w:rPr>
        <w:t xml:space="preserve">The </w:t>
      </w:r>
      <w:r w:rsidR="00423FA3" w:rsidRPr="006D6BC9">
        <w:rPr>
          <w:sz w:val="20"/>
          <w:szCs w:val="20"/>
        </w:rPr>
        <w:t>level of project ideas maturity is not high and require</w:t>
      </w:r>
      <w:r>
        <w:rPr>
          <w:sz w:val="20"/>
          <w:szCs w:val="20"/>
        </w:rPr>
        <w:t>s</w:t>
      </w:r>
      <w:r w:rsidR="00423FA3" w:rsidRPr="006D6BC9">
        <w:rPr>
          <w:sz w:val="20"/>
          <w:szCs w:val="20"/>
        </w:rPr>
        <w:t xml:space="preserve"> additional efforts to </w:t>
      </w:r>
      <w:r>
        <w:rPr>
          <w:sz w:val="20"/>
          <w:szCs w:val="20"/>
        </w:rPr>
        <w:t>further</w:t>
      </w:r>
      <w:r w:rsidR="00423FA3" w:rsidRPr="006D6BC9">
        <w:rPr>
          <w:sz w:val="20"/>
          <w:szCs w:val="20"/>
        </w:rPr>
        <w:t xml:space="preserve"> analy</w:t>
      </w:r>
      <w:r>
        <w:rPr>
          <w:sz w:val="20"/>
          <w:szCs w:val="20"/>
        </w:rPr>
        <w:t>s</w:t>
      </w:r>
      <w:r w:rsidR="00423FA3" w:rsidRPr="006D6BC9">
        <w:rPr>
          <w:sz w:val="20"/>
          <w:szCs w:val="20"/>
        </w:rPr>
        <w:t xml:space="preserve">e project idea </w:t>
      </w:r>
      <w:r w:rsidR="008E149C">
        <w:rPr>
          <w:sz w:val="20"/>
          <w:szCs w:val="20"/>
        </w:rPr>
        <w:t xml:space="preserve">potential </w:t>
      </w:r>
      <w:r w:rsidR="00423FA3" w:rsidRPr="006D6BC9">
        <w:rPr>
          <w:sz w:val="20"/>
          <w:szCs w:val="20"/>
        </w:rPr>
        <w:t>eligibility.</w:t>
      </w:r>
    </w:p>
    <w:p w14:paraId="3DBBBD5B" w14:textId="77777777" w:rsidR="00E71D29" w:rsidRPr="00792049" w:rsidRDefault="00E71D29" w:rsidP="00642014">
      <w:pPr>
        <w:pStyle w:val="Heading1"/>
        <w:numPr>
          <w:ilvl w:val="0"/>
          <w:numId w:val="110"/>
        </w:numPr>
        <w:spacing w:before="240"/>
        <w:ind w:left="562" w:hanging="562"/>
        <w:rPr>
          <w:color w:val="4F81BD" w:themeColor="accent1"/>
        </w:rPr>
      </w:pPr>
      <w:bookmarkStart w:id="406" w:name="_Toc90725920"/>
      <w:r w:rsidRPr="00792049">
        <w:rPr>
          <w:color w:val="4F81BD" w:themeColor="accent1"/>
        </w:rPr>
        <w:t>Monitoring and Evaluation</w:t>
      </w:r>
      <w:bookmarkEnd w:id="406"/>
    </w:p>
    <w:p w14:paraId="665C1077" w14:textId="77777777" w:rsidR="00E71D29" w:rsidRPr="003516DC" w:rsidRDefault="00E71D29" w:rsidP="00E42342">
      <w:pPr>
        <w:pStyle w:val="Heading2"/>
        <w:numPr>
          <w:ilvl w:val="0"/>
          <w:numId w:val="184"/>
        </w:numPr>
        <w:spacing w:before="240" w:line="240" w:lineRule="auto"/>
      </w:pPr>
      <w:bookmarkStart w:id="407" w:name="_Toc90725921"/>
      <w:r w:rsidRPr="003516DC">
        <w:t>Specific output and result indicators</w:t>
      </w:r>
      <w:bookmarkEnd w:id="407"/>
    </w:p>
    <w:p w14:paraId="1CE10DD0" w14:textId="73AF07BE" w:rsidR="00E71D29" w:rsidRPr="003516DC" w:rsidRDefault="00E71D29" w:rsidP="008D32D6">
      <w:pPr>
        <w:spacing w:after="120"/>
        <w:jc w:val="both"/>
        <w:rPr>
          <w:rFonts w:ascii="Arial" w:hAnsi="Arial" w:cs="Arial"/>
          <w:sz w:val="20"/>
          <w:szCs w:val="20"/>
        </w:rPr>
      </w:pPr>
      <w:r w:rsidRPr="003516DC">
        <w:rPr>
          <w:rFonts w:ascii="Arial" w:hAnsi="Arial" w:cs="Arial"/>
          <w:sz w:val="20"/>
          <w:szCs w:val="20"/>
        </w:rPr>
        <w:t>Based on the recommended priority needs and investments areas (Chapter 3 of this document)</w:t>
      </w:r>
      <w:r w:rsidR="00E66308">
        <w:rPr>
          <w:rFonts w:ascii="Arial" w:hAnsi="Arial" w:cs="Arial"/>
          <w:sz w:val="20"/>
          <w:szCs w:val="20"/>
        </w:rPr>
        <w:t>, on the analysis of the draft TJTPs and stakeholder consultations</w:t>
      </w:r>
      <w:r w:rsidRPr="003516DC">
        <w:rPr>
          <w:rFonts w:ascii="Arial" w:hAnsi="Arial" w:cs="Arial"/>
          <w:sz w:val="20"/>
          <w:szCs w:val="20"/>
        </w:rPr>
        <w:t xml:space="preserve">, we recommend focusing on the following indicators (see Table </w:t>
      </w:r>
      <w:r w:rsidR="001C68D2">
        <w:rPr>
          <w:rFonts w:ascii="Arial" w:hAnsi="Arial" w:cs="Arial"/>
          <w:sz w:val="20"/>
          <w:szCs w:val="20"/>
        </w:rPr>
        <w:t>83</w:t>
      </w:r>
      <w:r w:rsidRPr="003516DC">
        <w:rPr>
          <w:rFonts w:ascii="Arial" w:hAnsi="Arial" w:cs="Arial"/>
          <w:sz w:val="20"/>
          <w:szCs w:val="20"/>
        </w:rPr>
        <w:t>), following Annex III of the JTF Regulation.</w:t>
      </w:r>
    </w:p>
    <w:p w14:paraId="00DB9D96" w14:textId="77777777" w:rsidR="00E71D29" w:rsidRPr="003516DC" w:rsidRDefault="00E71D29" w:rsidP="008D32D6">
      <w:pPr>
        <w:spacing w:after="120"/>
        <w:jc w:val="both"/>
        <w:rPr>
          <w:rFonts w:ascii="Arial" w:hAnsi="Arial" w:cs="Arial"/>
          <w:sz w:val="20"/>
          <w:szCs w:val="20"/>
        </w:rPr>
      </w:pPr>
      <w:r w:rsidRPr="003516DC">
        <w:rPr>
          <w:rFonts w:ascii="Arial" w:hAnsi="Arial" w:cs="Arial"/>
          <w:sz w:val="20"/>
          <w:szCs w:val="20"/>
        </w:rPr>
        <w:t>In addition to the ones in the table below, GHG emissions indicators and energy intensity indicators should be monitored at county-level and used as key results within JTF supported operations at the county levels.</w:t>
      </w:r>
    </w:p>
    <w:p w14:paraId="04393FBD" w14:textId="1CC8FA90" w:rsidR="00E71D29" w:rsidRPr="003516DC" w:rsidRDefault="00E71D29" w:rsidP="004E2DCB">
      <w:pPr>
        <w:pStyle w:val="Caption"/>
        <w:spacing w:before="120"/>
        <w:ind w:left="1138" w:hanging="1138"/>
      </w:pPr>
      <w:bookmarkStart w:id="408" w:name="_Toc90726037"/>
      <w:bookmarkStart w:id="409" w:name="_Toc90727334"/>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83</w:t>
      </w:r>
      <w:r w:rsidRPr="003516DC">
        <w:rPr>
          <w:noProof/>
        </w:rPr>
        <w:fldChar w:fldCharType="end"/>
      </w:r>
      <w:r w:rsidRPr="003516DC">
        <w:t>: Recommended output and results indicators</w:t>
      </w:r>
      <w:bookmarkEnd w:id="408"/>
      <w:bookmarkEnd w:id="409"/>
    </w:p>
    <w:tbl>
      <w:tblPr>
        <w:tblStyle w:val="TableGrid"/>
        <w:tblW w:w="5000" w:type="pct"/>
        <w:tblLook w:val="04A0" w:firstRow="1" w:lastRow="0" w:firstColumn="1" w:lastColumn="0" w:noHBand="0" w:noVBand="1"/>
      </w:tblPr>
      <w:tblGrid>
        <w:gridCol w:w="4464"/>
        <w:gridCol w:w="4465"/>
      </w:tblGrid>
      <w:tr w:rsidR="00E71D29" w:rsidRPr="003516DC" w14:paraId="103EC450" w14:textId="77777777" w:rsidTr="00964831">
        <w:tc>
          <w:tcPr>
            <w:tcW w:w="2500" w:type="pct"/>
          </w:tcPr>
          <w:p w14:paraId="234EEAA3" w14:textId="77777777" w:rsidR="00E71D29" w:rsidRPr="003516DC" w:rsidRDefault="00E71D29" w:rsidP="00964831">
            <w:pPr>
              <w:rPr>
                <w:rFonts w:ascii="Arial" w:hAnsi="Arial" w:cs="Arial"/>
                <w:sz w:val="18"/>
                <w:szCs w:val="18"/>
              </w:rPr>
            </w:pPr>
            <w:r w:rsidRPr="003516DC">
              <w:rPr>
                <w:rFonts w:ascii="Arial" w:hAnsi="Arial" w:cs="Arial"/>
                <w:b/>
                <w:color w:val="000000"/>
                <w:sz w:val="18"/>
                <w:szCs w:val="18"/>
              </w:rPr>
              <w:t>Outputs</w:t>
            </w:r>
          </w:p>
        </w:tc>
        <w:tc>
          <w:tcPr>
            <w:tcW w:w="2500" w:type="pct"/>
          </w:tcPr>
          <w:p w14:paraId="258C3E4D" w14:textId="77777777" w:rsidR="00E71D29" w:rsidRPr="003516DC" w:rsidRDefault="00E71D29" w:rsidP="00964831">
            <w:pPr>
              <w:rPr>
                <w:rFonts w:ascii="Arial" w:hAnsi="Arial" w:cs="Arial"/>
                <w:sz w:val="18"/>
                <w:szCs w:val="18"/>
              </w:rPr>
            </w:pPr>
            <w:r w:rsidRPr="003516DC">
              <w:rPr>
                <w:rFonts w:ascii="Arial" w:hAnsi="Arial" w:cs="Arial"/>
                <w:b/>
                <w:color w:val="000000"/>
                <w:sz w:val="18"/>
                <w:szCs w:val="18"/>
              </w:rPr>
              <w:t>Results</w:t>
            </w:r>
          </w:p>
        </w:tc>
      </w:tr>
      <w:tr w:rsidR="00E71D29" w:rsidRPr="003516DC" w14:paraId="60504169" w14:textId="77777777" w:rsidTr="00964831">
        <w:tc>
          <w:tcPr>
            <w:tcW w:w="2500" w:type="pct"/>
          </w:tcPr>
          <w:p w14:paraId="52FDF2F6" w14:textId="77777777" w:rsidR="00E71D29" w:rsidRPr="00493276" w:rsidRDefault="00E71D29" w:rsidP="00964831">
            <w:pPr>
              <w:rPr>
                <w:rFonts w:ascii="Arial" w:hAnsi="Arial" w:cs="Arial"/>
                <w:sz w:val="18"/>
                <w:szCs w:val="18"/>
              </w:rPr>
            </w:pPr>
            <w:r w:rsidRPr="00493276">
              <w:rPr>
                <w:rFonts w:ascii="Arial" w:hAnsi="Arial" w:cs="Arial"/>
                <w:color w:val="000000"/>
                <w:sz w:val="18"/>
                <w:szCs w:val="18"/>
              </w:rPr>
              <w:t>RCO01 - Enterprises supported (of which: micro, small, medium, large)</w:t>
            </w:r>
            <w:r w:rsidRPr="00493276">
              <w:rPr>
                <w:rFonts w:ascii="Arial" w:hAnsi="Arial" w:cs="Arial"/>
                <w:color w:val="000000"/>
                <w:sz w:val="18"/>
                <w:szCs w:val="18"/>
              </w:rPr>
              <w:br/>
              <w:t>RCO 02 - Enterprises supported by grants</w:t>
            </w:r>
            <w:r w:rsidRPr="00493276">
              <w:rPr>
                <w:rFonts w:ascii="Arial" w:hAnsi="Arial" w:cs="Arial"/>
                <w:color w:val="000000"/>
                <w:sz w:val="18"/>
                <w:szCs w:val="18"/>
              </w:rPr>
              <w:br/>
              <w:t>RCO 03 - Enterprises supported by financial instruments</w:t>
            </w:r>
            <w:r w:rsidRPr="00493276">
              <w:rPr>
                <w:rFonts w:ascii="Arial" w:hAnsi="Arial" w:cs="Arial"/>
                <w:color w:val="000000"/>
                <w:sz w:val="18"/>
                <w:szCs w:val="18"/>
              </w:rPr>
              <w:br/>
              <w:t>RCO 05 - Start-ups supported</w:t>
            </w:r>
          </w:p>
        </w:tc>
        <w:tc>
          <w:tcPr>
            <w:tcW w:w="2500" w:type="pct"/>
          </w:tcPr>
          <w:p w14:paraId="735EAAE8" w14:textId="77777777" w:rsidR="00E71D29" w:rsidRPr="00493276" w:rsidRDefault="00E71D29" w:rsidP="00964831">
            <w:pPr>
              <w:rPr>
                <w:rFonts w:ascii="Arial" w:hAnsi="Arial" w:cs="Arial"/>
                <w:color w:val="000000"/>
                <w:sz w:val="18"/>
                <w:szCs w:val="18"/>
              </w:rPr>
            </w:pPr>
            <w:r w:rsidRPr="00493276">
              <w:rPr>
                <w:rFonts w:ascii="Arial" w:hAnsi="Arial" w:cs="Arial"/>
                <w:color w:val="000000"/>
                <w:sz w:val="18"/>
                <w:szCs w:val="18"/>
              </w:rPr>
              <w:t>RCR01 - Jobs created in supported entities</w:t>
            </w:r>
          </w:p>
          <w:p w14:paraId="78221A6E" w14:textId="77777777" w:rsidR="00E71D29" w:rsidRPr="00493276" w:rsidRDefault="00E71D29" w:rsidP="00964831">
            <w:pPr>
              <w:rPr>
                <w:rFonts w:ascii="Arial" w:hAnsi="Arial" w:cs="Arial"/>
                <w:color w:val="000000"/>
                <w:sz w:val="18"/>
                <w:szCs w:val="18"/>
              </w:rPr>
            </w:pPr>
            <w:r w:rsidRPr="00493276">
              <w:rPr>
                <w:rFonts w:ascii="Arial" w:hAnsi="Arial" w:cs="Arial"/>
                <w:color w:val="000000"/>
                <w:sz w:val="18"/>
                <w:szCs w:val="18"/>
              </w:rPr>
              <w:t>RCR 02 - Private investments matching public support (of which: grants, financial instruments)</w:t>
            </w:r>
          </w:p>
          <w:p w14:paraId="3CF9C52A" w14:textId="77777777" w:rsidR="009625F9" w:rsidRPr="00402580" w:rsidRDefault="009625F9" w:rsidP="009625F9">
            <w:pPr>
              <w:rPr>
                <w:rFonts w:ascii="Arial" w:eastAsia="Times New Roman" w:hAnsi="Arial" w:cs="Arial"/>
                <w:sz w:val="18"/>
                <w:szCs w:val="18"/>
              </w:rPr>
            </w:pPr>
            <w:r w:rsidRPr="00402580">
              <w:rPr>
                <w:rFonts w:ascii="Arial" w:eastAsia="Times New Roman" w:hAnsi="Arial" w:cs="Arial"/>
                <w:color w:val="000000"/>
                <w:sz w:val="18"/>
                <w:szCs w:val="18"/>
                <w:shd w:val="clear" w:color="auto" w:fill="FFFFFF"/>
              </w:rPr>
              <w:t>RCR 29 – Estimated greenhouse-gas emmissions from activities listed in Annex I to Directive 2003/87/EC in supported enterprises</w:t>
            </w:r>
          </w:p>
          <w:p w14:paraId="11CF7F38" w14:textId="77777777" w:rsidR="009625F9" w:rsidRPr="00493276" w:rsidRDefault="009625F9" w:rsidP="00964831">
            <w:pPr>
              <w:rPr>
                <w:rFonts w:ascii="Arial" w:hAnsi="Arial" w:cs="Arial"/>
                <w:sz w:val="18"/>
                <w:szCs w:val="18"/>
              </w:rPr>
            </w:pPr>
          </w:p>
        </w:tc>
      </w:tr>
      <w:tr w:rsidR="00E71D29" w:rsidRPr="003516DC" w14:paraId="5B04038C" w14:textId="77777777" w:rsidTr="00964831">
        <w:tc>
          <w:tcPr>
            <w:tcW w:w="2500" w:type="pct"/>
          </w:tcPr>
          <w:p w14:paraId="01EA5096"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RCO 13 - Digital services and products developed for enterprises</w:t>
            </w:r>
          </w:p>
        </w:tc>
        <w:tc>
          <w:tcPr>
            <w:tcW w:w="2500" w:type="pct"/>
          </w:tcPr>
          <w:p w14:paraId="15222C23"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RCR 11 - Users of new public digital services and applications</w:t>
            </w:r>
          </w:p>
        </w:tc>
      </w:tr>
      <w:tr w:rsidR="00E71D29" w:rsidRPr="003516DC" w14:paraId="382070C8" w14:textId="77777777" w:rsidTr="00964831">
        <w:tc>
          <w:tcPr>
            <w:tcW w:w="2500" w:type="pct"/>
          </w:tcPr>
          <w:p w14:paraId="4408F19E"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RCO 15 - Capacity of incubation created</w:t>
            </w:r>
          </w:p>
        </w:tc>
        <w:tc>
          <w:tcPr>
            <w:tcW w:w="2500" w:type="pct"/>
          </w:tcPr>
          <w:p w14:paraId="262A197C"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RCR 17 - 3-year-old enterprises surviving in the market</w:t>
            </w:r>
            <w:r w:rsidRPr="003516DC">
              <w:rPr>
                <w:rFonts w:ascii="Arial" w:hAnsi="Arial" w:cs="Arial"/>
                <w:color w:val="000000"/>
                <w:sz w:val="18"/>
                <w:szCs w:val="18"/>
              </w:rPr>
              <w:br/>
              <w:t>RCR 18 - SMEs using incubator services one year after the incubator creation</w:t>
            </w:r>
          </w:p>
        </w:tc>
      </w:tr>
      <w:tr w:rsidR="00E71D29" w:rsidRPr="003516DC" w14:paraId="2399C8EE" w14:textId="77777777" w:rsidTr="00964831">
        <w:tc>
          <w:tcPr>
            <w:tcW w:w="2500" w:type="pct"/>
          </w:tcPr>
          <w:p w14:paraId="4F936E1D" w14:textId="77777777" w:rsidR="00E71D29" w:rsidRPr="003516DC" w:rsidRDefault="00E71D29" w:rsidP="00964831">
            <w:pPr>
              <w:rPr>
                <w:rFonts w:ascii="Arial" w:hAnsi="Arial" w:cs="Arial"/>
                <w:color w:val="000000"/>
                <w:sz w:val="18"/>
                <w:szCs w:val="18"/>
              </w:rPr>
            </w:pPr>
            <w:r w:rsidRPr="003516DC">
              <w:rPr>
                <w:rFonts w:ascii="Arial" w:hAnsi="Arial" w:cs="Arial"/>
                <w:color w:val="000000"/>
                <w:sz w:val="18"/>
                <w:szCs w:val="18"/>
              </w:rPr>
              <w:t>RCO 22 - Additional production capacity for renewable energy  (of which: electricity, thermal)</w:t>
            </w:r>
          </w:p>
          <w:p w14:paraId="65F436FC" w14:textId="77777777" w:rsidR="00E71D29" w:rsidRPr="003516DC" w:rsidRDefault="00E71D29" w:rsidP="00964831">
            <w:pPr>
              <w:rPr>
                <w:rFonts w:ascii="Arial" w:hAnsi="Arial" w:cs="Arial"/>
                <w:sz w:val="18"/>
                <w:szCs w:val="18"/>
              </w:rPr>
            </w:pPr>
          </w:p>
        </w:tc>
        <w:tc>
          <w:tcPr>
            <w:tcW w:w="2500" w:type="pct"/>
          </w:tcPr>
          <w:p w14:paraId="64EE4354"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RCR 31 - Total renewable energy produced (of which: electricity, thermal)</w:t>
            </w:r>
            <w:r w:rsidRPr="003516DC">
              <w:rPr>
                <w:rFonts w:ascii="Arial" w:hAnsi="Arial" w:cs="Arial"/>
                <w:color w:val="000000"/>
                <w:sz w:val="18"/>
                <w:szCs w:val="18"/>
              </w:rPr>
              <w:br/>
              <w:t>RCR 32 – Renewable energy: Capacity connected to the grid (operational)</w:t>
            </w:r>
          </w:p>
        </w:tc>
      </w:tr>
      <w:tr w:rsidR="00E71D29" w:rsidRPr="003516DC" w14:paraId="0530CCA4" w14:textId="77777777" w:rsidTr="00964831">
        <w:tc>
          <w:tcPr>
            <w:tcW w:w="2500" w:type="pct"/>
          </w:tcPr>
          <w:p w14:paraId="5DBE1D03"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RCO 34 - Additional capacity for waste recycling</w:t>
            </w:r>
          </w:p>
        </w:tc>
        <w:tc>
          <w:tcPr>
            <w:tcW w:w="2500" w:type="pct"/>
          </w:tcPr>
          <w:p w14:paraId="616BF206"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 xml:space="preserve">RCR 48 - Recycled waste used as raw materials </w:t>
            </w:r>
            <w:r w:rsidRPr="003516DC">
              <w:rPr>
                <w:rFonts w:ascii="Arial" w:hAnsi="Arial" w:cs="Arial"/>
                <w:color w:val="000000"/>
                <w:sz w:val="18"/>
                <w:szCs w:val="18"/>
              </w:rPr>
              <w:br/>
              <w:t>RCR 49 - Waste recovered</w:t>
            </w:r>
          </w:p>
        </w:tc>
      </w:tr>
      <w:tr w:rsidR="00E71D29" w:rsidRPr="003516DC" w14:paraId="46CC3360" w14:textId="77777777" w:rsidTr="00964831">
        <w:tc>
          <w:tcPr>
            <w:tcW w:w="2500" w:type="pct"/>
          </w:tcPr>
          <w:p w14:paraId="3C2757BE"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RCO 38 - Surface area of rehabilitated land supported</w:t>
            </w:r>
          </w:p>
        </w:tc>
        <w:tc>
          <w:tcPr>
            <w:tcW w:w="2500" w:type="pct"/>
          </w:tcPr>
          <w:p w14:paraId="4C5DD549" w14:textId="77777777" w:rsidR="00E71D29" w:rsidRPr="003516DC" w:rsidRDefault="00E71D29" w:rsidP="00964831">
            <w:pPr>
              <w:rPr>
                <w:rFonts w:ascii="Arial" w:hAnsi="Arial" w:cs="Arial"/>
                <w:sz w:val="18"/>
                <w:szCs w:val="18"/>
              </w:rPr>
            </w:pPr>
            <w:r w:rsidRPr="003516DC">
              <w:rPr>
                <w:rFonts w:ascii="Arial" w:hAnsi="Arial" w:cs="Arial"/>
                <w:color w:val="000000"/>
                <w:sz w:val="18"/>
                <w:szCs w:val="18"/>
              </w:rPr>
              <w:t>RCR 52 - Rehabilitated land used for green areas, social housing, economic or community activities</w:t>
            </w:r>
          </w:p>
        </w:tc>
      </w:tr>
      <w:tr w:rsidR="00E71D29" w:rsidRPr="003516DC" w14:paraId="739E66B9" w14:textId="77777777" w:rsidTr="00964831">
        <w:tc>
          <w:tcPr>
            <w:tcW w:w="2500" w:type="pct"/>
          </w:tcPr>
          <w:p w14:paraId="22DBCC42" w14:textId="77777777" w:rsidR="00E71D29" w:rsidRPr="003516DC" w:rsidRDefault="00E71D29" w:rsidP="00964831">
            <w:pPr>
              <w:rPr>
                <w:rFonts w:ascii="Arial" w:hAnsi="Arial" w:cs="Arial"/>
                <w:sz w:val="18"/>
                <w:szCs w:val="18"/>
              </w:rPr>
            </w:pPr>
            <w:r w:rsidRPr="003516DC">
              <w:rPr>
                <w:rFonts w:ascii="Arial" w:hAnsi="Arial" w:cs="Arial"/>
                <w:sz w:val="18"/>
                <w:szCs w:val="18"/>
              </w:rPr>
              <w:lastRenderedPageBreak/>
              <w:t>Participation of population in upskilling/ reskilling classes broken down by gender, age, employment status and educational level</w:t>
            </w:r>
          </w:p>
        </w:tc>
        <w:tc>
          <w:tcPr>
            <w:tcW w:w="2500" w:type="pct"/>
          </w:tcPr>
          <w:p w14:paraId="6537C668" w14:textId="77777777" w:rsidR="00E71D29" w:rsidRPr="003516DC" w:rsidRDefault="00E71D29" w:rsidP="00964831">
            <w:pPr>
              <w:jc w:val="both"/>
              <w:textAlignment w:val="baseline"/>
              <w:rPr>
                <w:rFonts w:ascii="Arial" w:hAnsi="Arial" w:cs="Arial"/>
                <w:color w:val="000000"/>
                <w:sz w:val="18"/>
                <w:szCs w:val="18"/>
              </w:rPr>
            </w:pPr>
            <w:r w:rsidRPr="003516DC">
              <w:rPr>
                <w:rFonts w:ascii="Arial" w:hAnsi="Arial" w:cs="Arial"/>
                <w:color w:val="000000"/>
                <w:sz w:val="18"/>
                <w:szCs w:val="18"/>
                <w:bdr w:val="none" w:sz="0" w:space="0" w:color="auto" w:frame="1"/>
              </w:rPr>
              <w:t>RCR 200 - participants engaged in job searching upon leaving, </w:t>
            </w:r>
          </w:p>
          <w:p w14:paraId="27C37A18" w14:textId="77777777" w:rsidR="00E71D29" w:rsidRPr="003516DC" w:rsidRDefault="00E71D29" w:rsidP="00964831">
            <w:pPr>
              <w:jc w:val="both"/>
              <w:textAlignment w:val="baseline"/>
              <w:rPr>
                <w:rFonts w:ascii="Arial" w:hAnsi="Arial" w:cs="Arial"/>
                <w:color w:val="000000"/>
                <w:sz w:val="18"/>
                <w:szCs w:val="18"/>
              </w:rPr>
            </w:pPr>
            <w:r w:rsidRPr="003516DC">
              <w:rPr>
                <w:rFonts w:ascii="Arial" w:hAnsi="Arial" w:cs="Arial"/>
                <w:color w:val="000000"/>
                <w:sz w:val="18"/>
                <w:szCs w:val="18"/>
                <w:bdr w:val="none" w:sz="0" w:space="0" w:color="auto" w:frame="1"/>
              </w:rPr>
              <w:t>RCR 201 - participants in education or training upon leaving, </w:t>
            </w:r>
          </w:p>
          <w:p w14:paraId="112FBD4B" w14:textId="77777777" w:rsidR="00E71D29" w:rsidRPr="003516DC" w:rsidRDefault="00E71D29" w:rsidP="00964831">
            <w:pPr>
              <w:jc w:val="both"/>
              <w:textAlignment w:val="baseline"/>
              <w:rPr>
                <w:rFonts w:ascii="Arial" w:hAnsi="Arial" w:cs="Arial"/>
                <w:color w:val="000000"/>
                <w:sz w:val="18"/>
                <w:szCs w:val="18"/>
              </w:rPr>
            </w:pPr>
            <w:r w:rsidRPr="003516DC">
              <w:rPr>
                <w:rFonts w:ascii="Arial" w:hAnsi="Arial" w:cs="Arial"/>
                <w:color w:val="000000"/>
                <w:sz w:val="18"/>
                <w:szCs w:val="18"/>
                <w:bdr w:val="none" w:sz="0" w:space="0" w:color="auto" w:frame="1"/>
              </w:rPr>
              <w:t>RCR 202 - participants gaining a qualification upon leaving, </w:t>
            </w:r>
          </w:p>
          <w:p w14:paraId="6F7DA02A" w14:textId="77777777" w:rsidR="00E71D29" w:rsidRPr="003516DC" w:rsidRDefault="00E71D29" w:rsidP="00964831">
            <w:pPr>
              <w:jc w:val="both"/>
              <w:textAlignment w:val="baseline"/>
              <w:rPr>
                <w:rFonts w:ascii="Arial" w:hAnsi="Arial" w:cs="Arial"/>
                <w:color w:val="000000"/>
                <w:sz w:val="18"/>
                <w:szCs w:val="18"/>
              </w:rPr>
            </w:pPr>
            <w:r w:rsidRPr="003516DC">
              <w:rPr>
                <w:rFonts w:ascii="Arial" w:hAnsi="Arial" w:cs="Arial"/>
                <w:color w:val="000000"/>
                <w:sz w:val="18"/>
                <w:szCs w:val="18"/>
                <w:bdr w:val="none" w:sz="0" w:space="0" w:color="auto" w:frame="1"/>
              </w:rPr>
              <w:t>RCR 203 - participants in employment, including self-employment, upon leaving.</w:t>
            </w:r>
          </w:p>
          <w:p w14:paraId="417654C2" w14:textId="77777777" w:rsidR="00E71D29" w:rsidRPr="003516DC" w:rsidRDefault="00E71D29" w:rsidP="00964831">
            <w:pPr>
              <w:rPr>
                <w:rFonts w:ascii="Arial" w:hAnsi="Arial" w:cs="Arial"/>
                <w:sz w:val="18"/>
                <w:szCs w:val="18"/>
              </w:rPr>
            </w:pPr>
          </w:p>
        </w:tc>
      </w:tr>
      <w:tr w:rsidR="000F5514" w:rsidRPr="003516DC" w14:paraId="6DAF8004" w14:textId="77777777" w:rsidTr="00493276">
        <w:trPr>
          <w:trHeight w:val="157"/>
        </w:trPr>
        <w:tc>
          <w:tcPr>
            <w:tcW w:w="2500" w:type="pct"/>
          </w:tcPr>
          <w:p w14:paraId="0F2CEC14" w14:textId="77777777" w:rsidR="009625F9" w:rsidRPr="00402580" w:rsidRDefault="009625F9" w:rsidP="009625F9">
            <w:pPr>
              <w:rPr>
                <w:rFonts w:ascii="Arial" w:eastAsia="Times New Roman" w:hAnsi="Arial" w:cs="Arial"/>
                <w:sz w:val="18"/>
                <w:szCs w:val="18"/>
              </w:rPr>
            </w:pPr>
            <w:r w:rsidRPr="00402580">
              <w:rPr>
                <w:rFonts w:ascii="Arial" w:eastAsia="Times New Roman" w:hAnsi="Arial" w:cs="Arial"/>
                <w:color w:val="000000"/>
                <w:sz w:val="18"/>
                <w:szCs w:val="18"/>
                <w:shd w:val="clear" w:color="auto" w:fill="FFFFFF"/>
              </w:rPr>
              <w:t>RCO 22 - Additional production capacity for renewable energy (of which: electricity, thermal)</w:t>
            </w:r>
          </w:p>
          <w:p w14:paraId="43571DEA" w14:textId="77777777" w:rsidR="000F5514" w:rsidRPr="00402580" w:rsidRDefault="000F5514" w:rsidP="00964831">
            <w:pPr>
              <w:rPr>
                <w:rFonts w:ascii="Arial" w:hAnsi="Arial" w:cs="Arial"/>
                <w:sz w:val="18"/>
                <w:szCs w:val="18"/>
              </w:rPr>
            </w:pPr>
          </w:p>
        </w:tc>
        <w:tc>
          <w:tcPr>
            <w:tcW w:w="2500" w:type="pct"/>
          </w:tcPr>
          <w:p w14:paraId="18FB34B7" w14:textId="77777777" w:rsidR="009625F9" w:rsidRPr="00402580" w:rsidRDefault="009625F9" w:rsidP="009625F9">
            <w:pPr>
              <w:rPr>
                <w:rFonts w:ascii="Arial" w:eastAsia="Times New Roman" w:hAnsi="Arial" w:cs="Arial"/>
                <w:sz w:val="18"/>
                <w:szCs w:val="18"/>
              </w:rPr>
            </w:pPr>
            <w:r w:rsidRPr="00402580">
              <w:rPr>
                <w:rFonts w:ascii="Arial" w:eastAsia="Times New Roman" w:hAnsi="Arial" w:cs="Arial"/>
                <w:color w:val="000000"/>
                <w:sz w:val="18"/>
                <w:szCs w:val="18"/>
                <w:bdr w:val="none" w:sz="0" w:space="0" w:color="auto" w:frame="1"/>
              </w:rPr>
              <w:t>RCR 31 - Total renewable energy produced (of which: electricity, thermal)</w:t>
            </w:r>
            <w:r w:rsidRPr="00402580">
              <w:rPr>
                <w:rStyle w:val="apple-converted-space"/>
                <w:rFonts w:ascii="Arial" w:eastAsia="Times New Roman" w:hAnsi="Arial" w:cs="Arial"/>
                <w:color w:val="000000"/>
                <w:sz w:val="18"/>
                <w:szCs w:val="18"/>
                <w:bdr w:val="none" w:sz="0" w:space="0" w:color="auto" w:frame="1"/>
              </w:rPr>
              <w:t> </w:t>
            </w:r>
            <w:r w:rsidRPr="00402580">
              <w:rPr>
                <w:rFonts w:ascii="Arial" w:eastAsia="Times New Roman" w:hAnsi="Arial" w:cs="Arial"/>
                <w:color w:val="000000"/>
                <w:sz w:val="18"/>
                <w:szCs w:val="18"/>
                <w:bdr w:val="none" w:sz="0" w:space="0" w:color="auto" w:frame="1"/>
              </w:rPr>
              <w:br/>
              <w:t>RCR 32 – Renewable energy: Capacity connected to the grid</w:t>
            </w:r>
            <w:r w:rsidRPr="00402580">
              <w:rPr>
                <w:rStyle w:val="apple-converted-space"/>
                <w:rFonts w:ascii="Arial" w:eastAsia="Times New Roman" w:hAnsi="Arial" w:cs="Arial"/>
                <w:color w:val="000000"/>
                <w:sz w:val="18"/>
                <w:szCs w:val="18"/>
                <w:bdr w:val="none" w:sz="0" w:space="0" w:color="auto" w:frame="1"/>
              </w:rPr>
              <w:t> </w:t>
            </w:r>
            <w:r w:rsidRPr="00402580">
              <w:rPr>
                <w:rFonts w:ascii="Arial" w:eastAsia="Times New Roman" w:hAnsi="Arial" w:cs="Arial"/>
                <w:color w:val="000000"/>
                <w:sz w:val="18"/>
                <w:szCs w:val="18"/>
                <w:bdr w:val="none" w:sz="0" w:space="0" w:color="auto" w:frame="1"/>
              </w:rPr>
              <w:t>(operational)</w:t>
            </w:r>
          </w:p>
          <w:p w14:paraId="002384EF" w14:textId="77777777" w:rsidR="000F5514" w:rsidRPr="00402580" w:rsidRDefault="000F5514" w:rsidP="00964831">
            <w:pPr>
              <w:jc w:val="both"/>
              <w:textAlignment w:val="baseline"/>
              <w:rPr>
                <w:rFonts w:ascii="Arial" w:hAnsi="Arial" w:cs="Arial"/>
                <w:color w:val="000000"/>
                <w:sz w:val="18"/>
                <w:szCs w:val="18"/>
                <w:bdr w:val="none" w:sz="0" w:space="0" w:color="auto" w:frame="1"/>
              </w:rPr>
            </w:pPr>
          </w:p>
        </w:tc>
      </w:tr>
    </w:tbl>
    <w:p w14:paraId="1ED7B5A7" w14:textId="77777777" w:rsidR="00E71D29" w:rsidRPr="003516DC" w:rsidRDefault="00E71D29" w:rsidP="00E42342">
      <w:pPr>
        <w:pStyle w:val="Heading2"/>
        <w:numPr>
          <w:ilvl w:val="0"/>
          <w:numId w:val="185"/>
        </w:numPr>
        <w:spacing w:before="240" w:line="240" w:lineRule="auto"/>
      </w:pPr>
      <w:bookmarkStart w:id="410" w:name="_Toc90725922"/>
      <w:r w:rsidRPr="003516DC">
        <w:t>Risks, prevention and mitigation</w:t>
      </w:r>
      <w:bookmarkEnd w:id="410"/>
      <w:r w:rsidRPr="003516DC">
        <w:t xml:space="preserve"> </w:t>
      </w:r>
    </w:p>
    <w:p w14:paraId="18A55AF9" w14:textId="0FB38259" w:rsidR="00E71D29" w:rsidRPr="003516DC" w:rsidRDefault="00E71D29" w:rsidP="008D32D6">
      <w:pPr>
        <w:spacing w:after="120"/>
        <w:jc w:val="both"/>
        <w:rPr>
          <w:rFonts w:ascii="Arial" w:hAnsi="Arial" w:cs="Arial"/>
          <w:sz w:val="20"/>
          <w:szCs w:val="20"/>
        </w:rPr>
      </w:pPr>
      <w:r w:rsidRPr="003516DC">
        <w:rPr>
          <w:rFonts w:ascii="Arial" w:hAnsi="Arial" w:cs="Arial"/>
          <w:sz w:val="20"/>
          <w:szCs w:val="20"/>
        </w:rPr>
        <w:t>Distinguishing between the risks and potential prevention and mitigation measures during the TJTP elaboration process and the implementation of the OPJT is also of key importance.</w:t>
      </w:r>
    </w:p>
    <w:p w14:paraId="1A9FBC61" w14:textId="584E0A5B" w:rsidR="00E71D29" w:rsidRPr="003516DC" w:rsidRDefault="00E71D29" w:rsidP="00E71D29">
      <w:pPr>
        <w:rPr>
          <w:rFonts w:ascii="Arial" w:hAnsi="Arial" w:cs="Arial"/>
          <w:b/>
          <w:bCs/>
          <w:sz w:val="20"/>
          <w:szCs w:val="20"/>
          <w:u w:val="single"/>
        </w:rPr>
      </w:pPr>
      <w:r w:rsidRPr="003516DC">
        <w:rPr>
          <w:rFonts w:ascii="Arial" w:hAnsi="Arial" w:cs="Arial"/>
          <w:b/>
          <w:bCs/>
          <w:sz w:val="20"/>
          <w:szCs w:val="20"/>
        </w:rPr>
        <w:t xml:space="preserve">Table </w:t>
      </w:r>
      <w:r w:rsidR="004E2DCB">
        <w:rPr>
          <w:rFonts w:ascii="Arial" w:hAnsi="Arial" w:cs="Arial"/>
          <w:b/>
          <w:bCs/>
          <w:sz w:val="20"/>
          <w:szCs w:val="20"/>
        </w:rPr>
        <w:t>84</w:t>
      </w:r>
      <w:r w:rsidR="004E2DCB" w:rsidRPr="003516DC">
        <w:rPr>
          <w:rFonts w:ascii="Arial" w:hAnsi="Arial" w:cs="Arial"/>
          <w:b/>
          <w:bCs/>
          <w:sz w:val="20"/>
          <w:szCs w:val="20"/>
        </w:rPr>
        <w:t xml:space="preserve"> </w:t>
      </w:r>
      <w:r w:rsidRPr="003516DC">
        <w:rPr>
          <w:rFonts w:ascii="Arial" w:hAnsi="Arial" w:cs="Arial"/>
          <w:b/>
          <w:bCs/>
          <w:sz w:val="20"/>
          <w:szCs w:val="20"/>
        </w:rPr>
        <w:t xml:space="preserve">outlines key considerations during the </w:t>
      </w:r>
      <w:r w:rsidRPr="003516DC">
        <w:rPr>
          <w:rFonts w:ascii="Arial" w:hAnsi="Arial" w:cs="Arial"/>
          <w:b/>
          <w:bCs/>
          <w:sz w:val="20"/>
          <w:szCs w:val="20"/>
          <w:u w:val="single"/>
        </w:rPr>
        <w:t>TJTP elaboration process.</w:t>
      </w:r>
    </w:p>
    <w:p w14:paraId="7D0A985F" w14:textId="44F031DB" w:rsidR="00E71D29" w:rsidRPr="003516DC" w:rsidRDefault="00E71D29" w:rsidP="004E2DCB">
      <w:pPr>
        <w:pStyle w:val="Caption"/>
        <w:spacing w:before="120"/>
        <w:ind w:left="1138" w:hanging="1138"/>
        <w:rPr>
          <w:u w:val="single"/>
        </w:rPr>
      </w:pPr>
      <w:bookmarkStart w:id="411" w:name="_Toc90726038"/>
      <w:bookmarkStart w:id="412" w:name="_Toc90727335"/>
      <w:r w:rsidRPr="003516DC">
        <w:t xml:space="preserve">Table </w:t>
      </w:r>
      <w:r w:rsidRPr="003516DC">
        <w:rPr>
          <w:noProof/>
        </w:rPr>
        <w:fldChar w:fldCharType="begin"/>
      </w:r>
      <w:r w:rsidRPr="003516DC">
        <w:rPr>
          <w:noProof/>
        </w:rPr>
        <w:instrText xml:space="preserve"> SEQ Table \* ARABIC </w:instrText>
      </w:r>
      <w:r w:rsidRPr="003516DC">
        <w:rPr>
          <w:noProof/>
        </w:rPr>
        <w:fldChar w:fldCharType="separate"/>
      </w:r>
      <w:r w:rsidR="004E2DCB">
        <w:rPr>
          <w:noProof/>
        </w:rPr>
        <w:t>84</w:t>
      </w:r>
      <w:r w:rsidRPr="003516DC">
        <w:rPr>
          <w:noProof/>
        </w:rPr>
        <w:fldChar w:fldCharType="end"/>
      </w:r>
      <w:r w:rsidRPr="003516DC">
        <w:t>: Risk management concerning the TJTP elaboration process</w:t>
      </w:r>
      <w:bookmarkEnd w:id="411"/>
      <w:bookmarkEnd w:id="412"/>
    </w:p>
    <w:tbl>
      <w:tblPr>
        <w:tblStyle w:val="TableGrid"/>
        <w:tblW w:w="5000" w:type="pct"/>
        <w:tblLook w:val="04A0" w:firstRow="1" w:lastRow="0" w:firstColumn="1" w:lastColumn="0" w:noHBand="0" w:noVBand="1"/>
      </w:tblPr>
      <w:tblGrid>
        <w:gridCol w:w="2023"/>
        <w:gridCol w:w="3492"/>
        <w:gridCol w:w="3414"/>
      </w:tblGrid>
      <w:tr w:rsidR="00E71D29" w:rsidRPr="003516DC" w14:paraId="64E5CB1C" w14:textId="77777777" w:rsidTr="00964831">
        <w:tc>
          <w:tcPr>
            <w:tcW w:w="1132" w:type="pct"/>
            <w:shd w:val="clear" w:color="auto" w:fill="002060"/>
          </w:tcPr>
          <w:p w14:paraId="1A846B20" w14:textId="77777777" w:rsidR="00E71D29" w:rsidRPr="003516DC" w:rsidRDefault="00E71D29" w:rsidP="00964831">
            <w:pPr>
              <w:rPr>
                <w:rFonts w:ascii="Arial" w:hAnsi="Arial" w:cs="Arial"/>
                <w:b/>
                <w:sz w:val="20"/>
                <w:szCs w:val="20"/>
              </w:rPr>
            </w:pPr>
            <w:r w:rsidRPr="003516DC">
              <w:rPr>
                <w:rFonts w:ascii="Arial" w:hAnsi="Arial" w:cs="Arial"/>
                <w:b/>
                <w:sz w:val="20"/>
                <w:szCs w:val="20"/>
              </w:rPr>
              <w:t>Risk</w:t>
            </w:r>
          </w:p>
        </w:tc>
        <w:tc>
          <w:tcPr>
            <w:tcW w:w="1955" w:type="pct"/>
            <w:shd w:val="clear" w:color="auto" w:fill="002060"/>
          </w:tcPr>
          <w:p w14:paraId="650E72C7" w14:textId="77777777" w:rsidR="00E71D29" w:rsidRPr="003516DC" w:rsidRDefault="00E71D29" w:rsidP="00964831">
            <w:pPr>
              <w:rPr>
                <w:rFonts w:ascii="Arial" w:hAnsi="Arial" w:cs="Arial"/>
                <w:b/>
                <w:sz w:val="20"/>
                <w:szCs w:val="20"/>
              </w:rPr>
            </w:pPr>
            <w:r w:rsidRPr="003516DC">
              <w:rPr>
                <w:rFonts w:ascii="Arial" w:hAnsi="Arial" w:cs="Arial"/>
                <w:b/>
                <w:sz w:val="20"/>
                <w:szCs w:val="20"/>
              </w:rPr>
              <w:t>Prevention measure proposed</w:t>
            </w:r>
          </w:p>
        </w:tc>
        <w:tc>
          <w:tcPr>
            <w:tcW w:w="1912" w:type="pct"/>
            <w:shd w:val="clear" w:color="auto" w:fill="002060"/>
          </w:tcPr>
          <w:p w14:paraId="7656396C" w14:textId="77777777" w:rsidR="00E71D29" w:rsidRPr="003516DC" w:rsidRDefault="00E71D29" w:rsidP="00964831">
            <w:pPr>
              <w:rPr>
                <w:rFonts w:ascii="Arial" w:hAnsi="Arial" w:cs="Arial"/>
                <w:b/>
                <w:sz w:val="20"/>
                <w:szCs w:val="20"/>
              </w:rPr>
            </w:pPr>
            <w:r w:rsidRPr="003516DC">
              <w:rPr>
                <w:rFonts w:ascii="Arial" w:hAnsi="Arial" w:cs="Arial"/>
                <w:b/>
                <w:sz w:val="20"/>
                <w:szCs w:val="20"/>
              </w:rPr>
              <w:t>Mitigation measure proposed</w:t>
            </w:r>
          </w:p>
        </w:tc>
      </w:tr>
      <w:tr w:rsidR="00E71D29" w:rsidRPr="003516DC" w14:paraId="0511E5E3" w14:textId="77777777" w:rsidTr="00964831">
        <w:tc>
          <w:tcPr>
            <w:tcW w:w="1132" w:type="pct"/>
          </w:tcPr>
          <w:p w14:paraId="5EADDA25" w14:textId="77777777" w:rsidR="00E71D29" w:rsidRPr="003516DC" w:rsidRDefault="00E71D29" w:rsidP="00964831">
            <w:pPr>
              <w:rPr>
                <w:rFonts w:ascii="Arial" w:hAnsi="Arial" w:cs="Arial"/>
                <w:sz w:val="20"/>
                <w:szCs w:val="20"/>
              </w:rPr>
            </w:pPr>
            <w:r w:rsidRPr="003516DC">
              <w:rPr>
                <w:rFonts w:ascii="Arial" w:hAnsi="Arial" w:cs="Arial"/>
                <w:sz w:val="20"/>
                <w:szCs w:val="20"/>
              </w:rPr>
              <w:t>Low engagement of stakeholders</w:t>
            </w:r>
          </w:p>
        </w:tc>
        <w:tc>
          <w:tcPr>
            <w:tcW w:w="1955" w:type="pct"/>
          </w:tcPr>
          <w:p w14:paraId="4E96A9A3" w14:textId="77777777" w:rsidR="00E71D29" w:rsidRPr="003516DC" w:rsidRDefault="00E71D29" w:rsidP="00964831">
            <w:pPr>
              <w:rPr>
                <w:rFonts w:ascii="Arial" w:hAnsi="Arial" w:cs="Arial"/>
                <w:sz w:val="20"/>
                <w:szCs w:val="20"/>
              </w:rPr>
            </w:pPr>
            <w:r w:rsidRPr="003516DC">
              <w:rPr>
                <w:rFonts w:ascii="Arial" w:hAnsi="Arial" w:cs="Arial"/>
                <w:sz w:val="20"/>
                <w:szCs w:val="20"/>
              </w:rPr>
              <w:t>Dissemination of JTF information according to the Communication and Stakeholder Engagement Strategy recommended in Deliverable 2</w:t>
            </w:r>
          </w:p>
        </w:tc>
        <w:tc>
          <w:tcPr>
            <w:tcW w:w="1912" w:type="pct"/>
          </w:tcPr>
          <w:p w14:paraId="04F6B726" w14:textId="77777777" w:rsidR="00E71D29" w:rsidRPr="003516DC" w:rsidRDefault="00E71D29" w:rsidP="00964831">
            <w:pPr>
              <w:rPr>
                <w:rFonts w:ascii="Arial" w:hAnsi="Arial" w:cs="Arial"/>
                <w:sz w:val="20"/>
                <w:szCs w:val="20"/>
              </w:rPr>
            </w:pPr>
            <w:r w:rsidRPr="003516DC">
              <w:rPr>
                <w:rFonts w:ascii="Arial" w:hAnsi="Arial" w:cs="Arial"/>
                <w:sz w:val="20"/>
                <w:szCs w:val="20"/>
              </w:rPr>
              <w:t>Organising specific, targeted, small meetups between the local county authorities, consultants and sector-specific groups (e.g., SME representatives, NGOs, large businesses, youth organisations)</w:t>
            </w:r>
          </w:p>
          <w:p w14:paraId="07DCD39F" w14:textId="77777777" w:rsidR="00E71D29" w:rsidRPr="003516DC" w:rsidRDefault="00E71D29" w:rsidP="00964831">
            <w:pPr>
              <w:rPr>
                <w:rFonts w:ascii="Arial" w:hAnsi="Arial" w:cs="Arial"/>
                <w:sz w:val="20"/>
                <w:szCs w:val="20"/>
              </w:rPr>
            </w:pPr>
          </w:p>
          <w:p w14:paraId="3DAF31AF" w14:textId="77777777" w:rsidR="00E71D29" w:rsidRPr="003516DC" w:rsidRDefault="00E71D29" w:rsidP="00964831">
            <w:pPr>
              <w:rPr>
                <w:rFonts w:ascii="Arial" w:hAnsi="Arial" w:cs="Arial"/>
                <w:sz w:val="20"/>
                <w:szCs w:val="20"/>
              </w:rPr>
            </w:pPr>
            <w:r w:rsidRPr="003516DC">
              <w:rPr>
                <w:rFonts w:ascii="Arial" w:hAnsi="Arial" w:cs="Arial"/>
                <w:sz w:val="20"/>
                <w:szCs w:val="20"/>
              </w:rPr>
              <w:t>Collection of stakeholders’ perspectives via online questionnaires and polls disseminated by the County Councils</w:t>
            </w:r>
          </w:p>
        </w:tc>
      </w:tr>
      <w:tr w:rsidR="00E71D29" w:rsidRPr="003516DC" w14:paraId="472B47C3" w14:textId="77777777" w:rsidTr="00964831">
        <w:tc>
          <w:tcPr>
            <w:tcW w:w="1132" w:type="pct"/>
          </w:tcPr>
          <w:p w14:paraId="1AACEABE" w14:textId="77777777" w:rsidR="00E71D29" w:rsidRPr="003516DC" w:rsidRDefault="00E71D29" w:rsidP="00964831">
            <w:pPr>
              <w:rPr>
                <w:rFonts w:ascii="Arial" w:hAnsi="Arial" w:cs="Arial"/>
                <w:sz w:val="20"/>
                <w:szCs w:val="20"/>
              </w:rPr>
            </w:pPr>
            <w:r w:rsidRPr="003516DC">
              <w:rPr>
                <w:rFonts w:ascii="Arial" w:hAnsi="Arial" w:cs="Arial"/>
                <w:sz w:val="20"/>
                <w:szCs w:val="20"/>
              </w:rPr>
              <w:t>Low maturity of project pipeline</w:t>
            </w:r>
          </w:p>
        </w:tc>
        <w:tc>
          <w:tcPr>
            <w:tcW w:w="1955" w:type="pct"/>
          </w:tcPr>
          <w:p w14:paraId="76B6341E" w14:textId="1794775E" w:rsidR="00E71D29" w:rsidRPr="003516DC" w:rsidRDefault="00E71D29" w:rsidP="00964831">
            <w:pPr>
              <w:rPr>
                <w:rFonts w:ascii="Arial" w:hAnsi="Arial" w:cs="Arial"/>
                <w:sz w:val="20"/>
                <w:szCs w:val="20"/>
              </w:rPr>
            </w:pPr>
            <w:r w:rsidRPr="003516DC">
              <w:rPr>
                <w:rFonts w:ascii="Arial" w:hAnsi="Arial" w:cs="Arial"/>
                <w:sz w:val="20"/>
                <w:szCs w:val="20"/>
              </w:rPr>
              <w:t>Education and explanation on JTF possibilities by the consultants and M</w:t>
            </w:r>
            <w:r w:rsidR="003751DC">
              <w:rPr>
                <w:rFonts w:ascii="Arial" w:hAnsi="Arial" w:cs="Arial"/>
                <w:sz w:val="20"/>
                <w:szCs w:val="20"/>
              </w:rPr>
              <w:t>EIP</w:t>
            </w:r>
            <w:r w:rsidRPr="003516DC">
              <w:rPr>
                <w:rFonts w:ascii="Arial" w:hAnsi="Arial" w:cs="Arial"/>
                <w:sz w:val="20"/>
                <w:szCs w:val="20"/>
              </w:rPr>
              <w:t xml:space="preserve"> in stakeholder dialogues undertaken to inspire the generation of project ideas</w:t>
            </w:r>
          </w:p>
          <w:p w14:paraId="46FA4C79" w14:textId="77777777" w:rsidR="00E71D29" w:rsidRPr="003516DC" w:rsidRDefault="00E71D29" w:rsidP="00964831">
            <w:pPr>
              <w:rPr>
                <w:rFonts w:ascii="Arial" w:hAnsi="Arial" w:cs="Arial"/>
                <w:sz w:val="20"/>
                <w:szCs w:val="20"/>
              </w:rPr>
            </w:pPr>
          </w:p>
          <w:p w14:paraId="0B549541" w14:textId="77777777" w:rsidR="00E71D29" w:rsidRPr="003516DC" w:rsidRDefault="00E71D29" w:rsidP="00964831">
            <w:pPr>
              <w:rPr>
                <w:rFonts w:ascii="Arial" w:hAnsi="Arial" w:cs="Arial"/>
                <w:sz w:val="20"/>
                <w:szCs w:val="20"/>
              </w:rPr>
            </w:pPr>
            <w:r w:rsidRPr="003516DC">
              <w:rPr>
                <w:rFonts w:ascii="Arial" w:hAnsi="Arial" w:cs="Arial"/>
                <w:sz w:val="20"/>
                <w:szCs w:val="20"/>
              </w:rPr>
              <w:t>Sharing of just transition good practices from other countries in all project deliverables</w:t>
            </w:r>
          </w:p>
        </w:tc>
        <w:tc>
          <w:tcPr>
            <w:tcW w:w="1912" w:type="pct"/>
          </w:tcPr>
          <w:p w14:paraId="46EE832E" w14:textId="52BBDA14" w:rsidR="00E71D29" w:rsidRPr="003516DC" w:rsidRDefault="00E71D29" w:rsidP="00964831">
            <w:pPr>
              <w:rPr>
                <w:rFonts w:ascii="Arial" w:hAnsi="Arial" w:cs="Arial"/>
                <w:sz w:val="20"/>
                <w:szCs w:val="20"/>
              </w:rPr>
            </w:pPr>
            <w:r w:rsidRPr="003516DC">
              <w:rPr>
                <w:rFonts w:ascii="Arial" w:hAnsi="Arial" w:cs="Arial"/>
                <w:sz w:val="20"/>
                <w:szCs w:val="20"/>
              </w:rPr>
              <w:t>JASPERS technical assistance commissioned by M</w:t>
            </w:r>
            <w:r w:rsidR="003751DC">
              <w:rPr>
                <w:rFonts w:ascii="Arial" w:hAnsi="Arial" w:cs="Arial"/>
                <w:sz w:val="20"/>
                <w:szCs w:val="20"/>
              </w:rPr>
              <w:t>EIP</w:t>
            </w:r>
            <w:r w:rsidRPr="003516DC">
              <w:rPr>
                <w:rFonts w:ascii="Arial" w:hAnsi="Arial" w:cs="Arial"/>
                <w:sz w:val="20"/>
                <w:szCs w:val="20"/>
              </w:rPr>
              <w:t xml:space="preserve"> and knowledge transfer from our consultants’ team to JASPERS team</w:t>
            </w:r>
          </w:p>
        </w:tc>
      </w:tr>
      <w:tr w:rsidR="00E71D29" w:rsidRPr="003516DC" w14:paraId="2BE7D699" w14:textId="77777777" w:rsidTr="00964831">
        <w:tc>
          <w:tcPr>
            <w:tcW w:w="1132" w:type="pct"/>
          </w:tcPr>
          <w:p w14:paraId="626CEBB0" w14:textId="77777777" w:rsidR="00E71D29" w:rsidRPr="003516DC" w:rsidRDefault="00E71D29" w:rsidP="00964831">
            <w:pPr>
              <w:rPr>
                <w:rFonts w:ascii="Arial" w:hAnsi="Arial" w:cs="Arial"/>
                <w:sz w:val="20"/>
                <w:szCs w:val="20"/>
              </w:rPr>
            </w:pPr>
            <w:r w:rsidRPr="003516DC">
              <w:rPr>
                <w:rFonts w:ascii="Arial" w:hAnsi="Arial" w:cs="Arial"/>
                <w:sz w:val="20"/>
                <w:szCs w:val="20"/>
              </w:rPr>
              <w:t>Lack of data/ unreliable data (e.g., no definitive plans for the restructuring of coal-fired power plants)</w:t>
            </w:r>
          </w:p>
        </w:tc>
        <w:tc>
          <w:tcPr>
            <w:tcW w:w="1955" w:type="pct"/>
          </w:tcPr>
          <w:p w14:paraId="079AB5B4" w14:textId="77777777" w:rsidR="00E71D29" w:rsidRPr="003516DC" w:rsidRDefault="00E71D29" w:rsidP="00964831">
            <w:pPr>
              <w:rPr>
                <w:rFonts w:ascii="Arial" w:hAnsi="Arial" w:cs="Arial"/>
                <w:sz w:val="20"/>
                <w:szCs w:val="20"/>
              </w:rPr>
            </w:pPr>
            <w:r w:rsidRPr="003516DC">
              <w:rPr>
                <w:rFonts w:ascii="Arial" w:hAnsi="Arial" w:cs="Arial"/>
                <w:sz w:val="20"/>
                <w:szCs w:val="20"/>
              </w:rPr>
              <w:t>Soliciting data from multiple sources</w:t>
            </w:r>
          </w:p>
        </w:tc>
        <w:tc>
          <w:tcPr>
            <w:tcW w:w="1912" w:type="pct"/>
          </w:tcPr>
          <w:p w14:paraId="55396A0B" w14:textId="77777777" w:rsidR="00E71D29" w:rsidRPr="003516DC" w:rsidRDefault="00E71D29" w:rsidP="00964831">
            <w:pPr>
              <w:rPr>
                <w:rFonts w:ascii="Arial" w:hAnsi="Arial" w:cs="Arial"/>
                <w:sz w:val="20"/>
                <w:szCs w:val="20"/>
              </w:rPr>
            </w:pPr>
            <w:r w:rsidRPr="003516DC">
              <w:rPr>
                <w:rFonts w:ascii="Arial" w:hAnsi="Arial" w:cs="Arial"/>
                <w:sz w:val="20"/>
                <w:szCs w:val="20"/>
              </w:rPr>
              <w:t>Using proxy data/ modelling from Cambridge Economics</w:t>
            </w:r>
          </w:p>
          <w:p w14:paraId="16A615EB" w14:textId="77777777" w:rsidR="00E71D29" w:rsidRPr="003516DC" w:rsidRDefault="00E71D29" w:rsidP="00964831">
            <w:pPr>
              <w:rPr>
                <w:rFonts w:ascii="Arial" w:hAnsi="Arial" w:cs="Arial"/>
                <w:sz w:val="20"/>
                <w:szCs w:val="20"/>
              </w:rPr>
            </w:pPr>
          </w:p>
          <w:p w14:paraId="7CA39DC0" w14:textId="77777777" w:rsidR="00E71D29" w:rsidRPr="003516DC" w:rsidRDefault="00E71D29" w:rsidP="00964831">
            <w:pPr>
              <w:rPr>
                <w:rFonts w:ascii="Arial" w:hAnsi="Arial" w:cs="Arial"/>
                <w:sz w:val="20"/>
                <w:szCs w:val="20"/>
              </w:rPr>
            </w:pPr>
            <w:r w:rsidRPr="003516DC">
              <w:rPr>
                <w:rFonts w:ascii="Arial" w:hAnsi="Arial" w:cs="Arial"/>
                <w:sz w:val="20"/>
                <w:szCs w:val="20"/>
              </w:rPr>
              <w:t>Working with statistical trends at company level to make assessment of impact trajectories</w:t>
            </w:r>
          </w:p>
        </w:tc>
      </w:tr>
      <w:tr w:rsidR="00E71D29" w:rsidRPr="003516DC" w14:paraId="1CBA8FBE" w14:textId="77777777" w:rsidTr="00964831">
        <w:tc>
          <w:tcPr>
            <w:tcW w:w="1132" w:type="pct"/>
          </w:tcPr>
          <w:p w14:paraId="78206B31" w14:textId="77777777" w:rsidR="00E71D29" w:rsidRPr="003516DC" w:rsidRDefault="00E71D29" w:rsidP="00964831">
            <w:pPr>
              <w:rPr>
                <w:rFonts w:ascii="Arial" w:hAnsi="Arial" w:cs="Arial"/>
                <w:sz w:val="20"/>
                <w:szCs w:val="20"/>
              </w:rPr>
            </w:pPr>
            <w:r w:rsidRPr="003516DC">
              <w:rPr>
                <w:rFonts w:ascii="Arial" w:hAnsi="Arial" w:cs="Arial"/>
                <w:sz w:val="20"/>
                <w:szCs w:val="20"/>
              </w:rPr>
              <w:t>Lack of clarity on eligibility of certain areas of investment</w:t>
            </w:r>
          </w:p>
        </w:tc>
        <w:tc>
          <w:tcPr>
            <w:tcW w:w="1955" w:type="pct"/>
          </w:tcPr>
          <w:p w14:paraId="0EBD3F2C" w14:textId="6C8A059B" w:rsidR="00E71D29" w:rsidRPr="003516DC" w:rsidRDefault="00E71D29" w:rsidP="00964831">
            <w:pPr>
              <w:rPr>
                <w:rFonts w:ascii="Arial" w:hAnsi="Arial" w:cs="Arial"/>
                <w:sz w:val="20"/>
                <w:szCs w:val="20"/>
              </w:rPr>
            </w:pPr>
            <w:r w:rsidRPr="003516DC">
              <w:rPr>
                <w:rFonts w:ascii="Arial" w:hAnsi="Arial" w:cs="Arial"/>
                <w:sz w:val="20"/>
                <w:szCs w:val="20"/>
              </w:rPr>
              <w:t>Permanent dialogue with M</w:t>
            </w:r>
            <w:r w:rsidR="003751DC">
              <w:rPr>
                <w:rFonts w:ascii="Arial" w:hAnsi="Arial" w:cs="Arial"/>
                <w:sz w:val="20"/>
                <w:szCs w:val="20"/>
              </w:rPr>
              <w:t>EIP</w:t>
            </w:r>
            <w:r w:rsidRPr="003516DC">
              <w:rPr>
                <w:rFonts w:ascii="Arial" w:hAnsi="Arial" w:cs="Arial"/>
                <w:sz w:val="20"/>
                <w:szCs w:val="20"/>
              </w:rPr>
              <w:t xml:space="preserve"> and the European Commission</w:t>
            </w:r>
          </w:p>
        </w:tc>
        <w:tc>
          <w:tcPr>
            <w:tcW w:w="1912" w:type="pct"/>
          </w:tcPr>
          <w:p w14:paraId="0D2D44F1" w14:textId="77777777" w:rsidR="00E71D29" w:rsidRPr="003516DC" w:rsidRDefault="00E71D29" w:rsidP="00964831">
            <w:pPr>
              <w:rPr>
                <w:rFonts w:ascii="Arial" w:hAnsi="Arial" w:cs="Arial"/>
                <w:sz w:val="20"/>
                <w:szCs w:val="20"/>
              </w:rPr>
            </w:pPr>
            <w:r w:rsidRPr="003516DC">
              <w:rPr>
                <w:rFonts w:ascii="Arial" w:hAnsi="Arial" w:cs="Arial"/>
                <w:sz w:val="20"/>
                <w:szCs w:val="20"/>
              </w:rPr>
              <w:t>Comprehensively identifying the investment needs at the county level</w:t>
            </w:r>
          </w:p>
        </w:tc>
      </w:tr>
    </w:tbl>
    <w:p w14:paraId="3C293CB9" w14:textId="77777777" w:rsidR="00E71D29" w:rsidRPr="003516DC" w:rsidRDefault="00E71D29" w:rsidP="00E71D29">
      <w:pPr>
        <w:rPr>
          <w:rFonts w:ascii="Arial" w:hAnsi="Arial" w:cs="Arial"/>
          <w:u w:val="single"/>
        </w:rPr>
      </w:pPr>
    </w:p>
    <w:p w14:paraId="150B50BD" w14:textId="77777777" w:rsidR="00E71D29" w:rsidRPr="003516DC" w:rsidRDefault="00E71D29" w:rsidP="004E2DCB">
      <w:pPr>
        <w:keepNext/>
        <w:rPr>
          <w:rFonts w:ascii="Arial" w:hAnsi="Arial" w:cs="Arial"/>
          <w:b/>
          <w:sz w:val="20"/>
          <w:szCs w:val="20"/>
          <w:u w:val="single"/>
        </w:rPr>
      </w:pPr>
      <w:r w:rsidRPr="003516DC">
        <w:rPr>
          <w:rFonts w:ascii="Arial" w:hAnsi="Arial" w:cs="Arial"/>
          <w:b/>
          <w:sz w:val="20"/>
          <w:szCs w:val="20"/>
          <w:u w:val="single"/>
        </w:rPr>
        <w:t>During the OPJT implementation process:</w:t>
      </w:r>
    </w:p>
    <w:p w14:paraId="6E2519BB" w14:textId="77777777" w:rsidR="00E71D29" w:rsidRPr="003516DC" w:rsidRDefault="00E71D29" w:rsidP="00E71D29">
      <w:pPr>
        <w:rPr>
          <w:rFonts w:ascii="Arial" w:hAnsi="Arial" w:cs="Arial"/>
          <w:b/>
          <w:u w:val="single"/>
        </w:rPr>
      </w:pPr>
    </w:p>
    <w:p w14:paraId="12D4DB97" w14:textId="28401869" w:rsidR="00B62CC9" w:rsidRPr="00B62CC9" w:rsidRDefault="00E71D29" w:rsidP="00782BFD">
      <w:pPr>
        <w:spacing w:after="120"/>
        <w:jc w:val="both"/>
        <w:rPr>
          <w:rFonts w:ascii="Arial" w:hAnsi="Arial" w:cs="Arial"/>
          <w:sz w:val="20"/>
          <w:szCs w:val="20"/>
        </w:rPr>
      </w:pPr>
      <w:r w:rsidRPr="003516DC">
        <w:rPr>
          <w:rFonts w:ascii="Arial" w:hAnsi="Arial" w:cs="Arial"/>
          <w:sz w:val="20"/>
          <w:szCs w:val="20"/>
        </w:rPr>
        <w:t xml:space="preserve">The main risks during this stage are a lack of policy planning and monitoring capacity at the level of county authorities, a lack of awareness on climate and transition issues and a lack of understanding of the rationale and opportunities stemming from the just transition/green European policy, which could </w:t>
      </w:r>
      <w:r w:rsidRPr="003516DC">
        <w:rPr>
          <w:rFonts w:ascii="Arial" w:hAnsi="Arial" w:cs="Arial"/>
          <w:sz w:val="20"/>
          <w:szCs w:val="20"/>
        </w:rPr>
        <w:lastRenderedPageBreak/>
        <w:t>be mitigated through Technical Assistance, as detailed in Chapter 3.5. Another risk is lack of legal clarity and complex ownership cases, especially for the contaminated/degraded sites where land decontamination/repurposing investment areas can be delayed. A mitigation strategy on this topic is the early prioritisation of land repurposing/decontamination projects and an early start of political and administrative discussions regulating those sites on a case-by-case basis.</w:t>
      </w:r>
      <w:r w:rsidR="00A056B8">
        <w:rPr>
          <w:rFonts w:ascii="Arial" w:hAnsi="Arial" w:cs="Arial"/>
          <w:sz w:val="20"/>
          <w:szCs w:val="20"/>
        </w:rPr>
        <w:t xml:space="preserve"> </w:t>
      </w:r>
      <w:bookmarkStart w:id="413" w:name="_Hlk85565339"/>
      <w:r w:rsidR="00B62CC9" w:rsidRPr="00B62CC9">
        <w:rPr>
          <w:rFonts w:ascii="Arial" w:hAnsi="Arial" w:cs="Arial"/>
          <w:sz w:val="20"/>
          <w:szCs w:val="20"/>
        </w:rPr>
        <w:t>Furthermore, one major risk during the implementation process is the overlap of funding and “cannibalization” from management authorities over the mature projects. Namely different management authorities (e.g.</w:t>
      </w:r>
      <w:r w:rsidR="00B62CC9">
        <w:rPr>
          <w:rFonts w:ascii="Arial" w:hAnsi="Arial" w:cs="Arial"/>
          <w:sz w:val="20"/>
          <w:szCs w:val="20"/>
        </w:rPr>
        <w:t>,</w:t>
      </w:r>
      <w:r w:rsidR="00B62CC9" w:rsidRPr="00B62CC9">
        <w:rPr>
          <w:rFonts w:ascii="Arial" w:hAnsi="Arial" w:cs="Arial"/>
          <w:sz w:val="20"/>
          <w:szCs w:val="20"/>
        </w:rPr>
        <w:t xml:space="preserve"> MA for OP Sustainable Development, MA for RRP, MA for Regional Development, etc.) will try to insert the mature projects in their funding pipeline and avoid less mature projects for fear of lack of absorbtion capacity by the end of the OP implementation deadline. There are several solutions to mitigate this: technical assistance for RDAs/ MIPE to make a clear planning of which project ideas will be directed towards which lines of funding at the level of the six affected regions and technical assistance for project proponents to further scope their ideas/ do pre-feasibility, etc.</w:t>
      </w:r>
    </w:p>
    <w:p w14:paraId="098681EF" w14:textId="3DF5308A" w:rsidR="00B62CC9" w:rsidRPr="00B62CC9" w:rsidRDefault="00B62CC9" w:rsidP="00782BFD">
      <w:pPr>
        <w:spacing w:after="120"/>
        <w:jc w:val="both"/>
        <w:rPr>
          <w:rFonts w:ascii="Arial" w:hAnsi="Arial" w:cs="Arial"/>
          <w:sz w:val="20"/>
          <w:szCs w:val="20"/>
        </w:rPr>
      </w:pPr>
      <w:r w:rsidRPr="00B62CC9">
        <w:rPr>
          <w:rFonts w:ascii="Arial" w:hAnsi="Arial" w:cs="Arial"/>
          <w:sz w:val="20"/>
          <w:szCs w:val="20"/>
        </w:rPr>
        <w:t>Another significant risk stems from the lack of an implementation/ monitoring mechanism for carbon reduction at regional level (NUTS2 or NUTS3), in the form of a real tool/ dashboard to be used in real time to monitor the emissions reductions from various sources/ enterprises and in the form of a legal framework for sharing emissions obligations between various emitters at regional level – i.e. if county X is responsible for Y tonnes of carbone emitted and wants to reduce these emissions in half by 2030, then how much is the emission reduction effort for each installation/ emitting industry at the county level. The ETS mechanism – all the more since it is foreseen it will comprise buildings and sectors – arguably does that through the carbon pricing mechanism, but more transparency is needed with regards to the source of emissions at county level.</w:t>
      </w:r>
    </w:p>
    <w:p w14:paraId="360BD9F0" w14:textId="0253E10C" w:rsidR="00B62CC9" w:rsidRPr="00B62CC9" w:rsidRDefault="00B62CC9" w:rsidP="00782BFD">
      <w:pPr>
        <w:spacing w:after="120"/>
        <w:jc w:val="both"/>
        <w:rPr>
          <w:rFonts w:ascii="Arial" w:hAnsi="Arial" w:cs="Arial"/>
          <w:sz w:val="20"/>
          <w:szCs w:val="20"/>
        </w:rPr>
      </w:pPr>
      <w:r w:rsidRPr="00B62CC9">
        <w:rPr>
          <w:rFonts w:ascii="Arial" w:hAnsi="Arial" w:cs="Arial"/>
          <w:sz w:val="20"/>
          <w:szCs w:val="20"/>
        </w:rPr>
        <w:t>A significant interest is the lack of interest over pillars 2 and 3 given the abundancy of non-reimbursable funding available to Romania in the next years. A mitigation strategy, also described during the Capital Raising section of ths report, is for the Ministry of Finance, as leading authority over pillars 2 and 3 to rapidly define and scope the products to be issued under these two pillars together with the main stakeholders (commercial banks, etc.).</w:t>
      </w:r>
    </w:p>
    <w:p w14:paraId="5A620AC9" w14:textId="52E93A83" w:rsidR="00E71D29" w:rsidRDefault="00B62CC9" w:rsidP="00642014">
      <w:pPr>
        <w:spacing w:after="240"/>
        <w:jc w:val="both"/>
        <w:rPr>
          <w:rFonts w:ascii="Arial" w:hAnsi="Arial" w:cs="Arial"/>
          <w:sz w:val="20"/>
          <w:szCs w:val="20"/>
        </w:rPr>
      </w:pPr>
      <w:r w:rsidRPr="00B62CC9">
        <w:rPr>
          <w:rFonts w:ascii="Arial" w:hAnsi="Arial" w:cs="Arial"/>
          <w:sz w:val="20"/>
          <w:szCs w:val="20"/>
        </w:rPr>
        <w:t>Of course, one of the most significant implementation risks is lack of political stability, which may be mitigated by a rapid adoption of the OPJT, by adequate ministerial staffing and by clearly definining Romania’s energy transition trajectory at both national and county level.</w:t>
      </w:r>
      <w:bookmarkEnd w:id="413"/>
    </w:p>
    <w:p w14:paraId="0AF829EF" w14:textId="44BEABE4" w:rsidR="00E71D29" w:rsidRPr="00792049" w:rsidRDefault="00E71D29" w:rsidP="00E42342">
      <w:pPr>
        <w:pStyle w:val="Heading1"/>
        <w:numPr>
          <w:ilvl w:val="0"/>
          <w:numId w:val="110"/>
        </w:numPr>
        <w:ind w:left="567" w:hanging="567"/>
        <w:rPr>
          <w:color w:val="4F81BD" w:themeColor="accent1"/>
        </w:rPr>
      </w:pPr>
      <w:bookmarkStart w:id="414" w:name="_Toc90725923"/>
      <w:r w:rsidRPr="00792049">
        <w:rPr>
          <w:color w:val="4F81BD" w:themeColor="accent1"/>
        </w:rPr>
        <w:t>Conclusions and Final Considerations</w:t>
      </w:r>
      <w:bookmarkEnd w:id="414"/>
    </w:p>
    <w:p w14:paraId="1AD1F09C" w14:textId="77777777" w:rsidR="00E71D29" w:rsidRPr="003516DC" w:rsidRDefault="00E71D29" w:rsidP="00E42342">
      <w:pPr>
        <w:pStyle w:val="Heading2"/>
        <w:numPr>
          <w:ilvl w:val="0"/>
          <w:numId w:val="186"/>
        </w:numPr>
        <w:spacing w:before="240" w:line="240" w:lineRule="auto"/>
      </w:pPr>
      <w:bookmarkStart w:id="415" w:name="_Toc90725924"/>
      <w:r w:rsidRPr="003516DC">
        <w:t>Key steps and timelines</w:t>
      </w:r>
      <w:bookmarkEnd w:id="415"/>
    </w:p>
    <w:p w14:paraId="73080AFC" w14:textId="21FAA98F" w:rsidR="00E71D29" w:rsidRPr="003516DC" w:rsidRDefault="00E71D29" w:rsidP="008D32D6">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 xml:space="preserve">This </w:t>
      </w:r>
      <w:r w:rsidR="00091FE3">
        <w:rPr>
          <w:rFonts w:ascii="Arial" w:hAnsi="Arial" w:cs="Arial"/>
          <w:color w:val="000000"/>
          <w:sz w:val="20"/>
          <w:szCs w:val="20"/>
          <w:shd w:val="clear" w:color="auto" w:fill="FFFFFF"/>
        </w:rPr>
        <w:t>chapter</w:t>
      </w:r>
      <w:r w:rsidRPr="003516DC">
        <w:rPr>
          <w:rFonts w:ascii="Arial" w:hAnsi="Arial" w:cs="Arial"/>
          <w:color w:val="000000"/>
          <w:sz w:val="20"/>
          <w:szCs w:val="20"/>
          <w:shd w:val="clear" w:color="auto" w:fill="FFFFFF"/>
        </w:rPr>
        <w:t xml:space="preserve"> mak</w:t>
      </w:r>
      <w:r w:rsidR="00493276">
        <w:rPr>
          <w:rFonts w:ascii="Arial" w:hAnsi="Arial" w:cs="Arial"/>
          <w:color w:val="000000"/>
          <w:sz w:val="20"/>
          <w:szCs w:val="20"/>
          <w:shd w:val="clear" w:color="auto" w:fill="FFFFFF"/>
        </w:rPr>
        <w:t>es</w:t>
      </w:r>
      <w:r w:rsidRPr="003516DC">
        <w:rPr>
          <w:rFonts w:ascii="Arial" w:hAnsi="Arial" w:cs="Arial"/>
          <w:color w:val="000000"/>
          <w:sz w:val="20"/>
          <w:szCs w:val="20"/>
          <w:shd w:val="clear" w:color="auto" w:fill="FFFFFF"/>
        </w:rPr>
        <w:t xml:space="preserve"> a series of recommendations with respect to key steps that must happen in the second half of 2021</w:t>
      </w:r>
      <w:r w:rsidR="009625F9">
        <w:rPr>
          <w:rFonts w:ascii="Arial" w:hAnsi="Arial" w:cs="Arial"/>
          <w:color w:val="000000"/>
          <w:sz w:val="20"/>
          <w:szCs w:val="20"/>
          <w:shd w:val="clear" w:color="auto" w:fill="FFFFFF"/>
        </w:rPr>
        <w:t>/early 2022</w:t>
      </w:r>
      <w:r w:rsidRPr="003516DC">
        <w:rPr>
          <w:rFonts w:ascii="Arial" w:hAnsi="Arial" w:cs="Arial"/>
          <w:color w:val="000000"/>
          <w:sz w:val="20"/>
          <w:szCs w:val="20"/>
          <w:shd w:val="clear" w:color="auto" w:fill="FFFFFF"/>
        </w:rPr>
        <w:t xml:space="preserve"> for the TJTPs to be successfully finali</w:t>
      </w:r>
      <w:r w:rsidR="00493276">
        <w:rPr>
          <w:rFonts w:ascii="Arial" w:hAnsi="Arial" w:cs="Arial"/>
          <w:color w:val="000000"/>
          <w:sz w:val="20"/>
          <w:szCs w:val="20"/>
          <w:shd w:val="clear" w:color="auto" w:fill="FFFFFF"/>
        </w:rPr>
        <w:t>s</w:t>
      </w:r>
      <w:r w:rsidRPr="003516DC">
        <w:rPr>
          <w:rFonts w:ascii="Arial" w:hAnsi="Arial" w:cs="Arial"/>
          <w:color w:val="000000"/>
          <w:sz w:val="20"/>
          <w:szCs w:val="20"/>
          <w:shd w:val="clear" w:color="auto" w:fill="FFFFFF"/>
        </w:rPr>
        <w:t xml:space="preserve">ed and for the OPJT to be drafted. </w:t>
      </w:r>
      <w:r w:rsidR="00493276">
        <w:rPr>
          <w:rFonts w:ascii="Arial" w:hAnsi="Arial" w:cs="Arial"/>
          <w:color w:val="000000"/>
          <w:sz w:val="20"/>
          <w:szCs w:val="20"/>
          <w:shd w:val="clear" w:color="auto" w:fill="FFFFFF"/>
        </w:rPr>
        <w:t xml:space="preserve">The </w:t>
      </w:r>
      <w:r w:rsidR="00091FE3">
        <w:rPr>
          <w:rFonts w:ascii="Arial" w:hAnsi="Arial" w:cs="Arial"/>
          <w:color w:val="000000"/>
          <w:sz w:val="20"/>
          <w:szCs w:val="20"/>
          <w:shd w:val="clear" w:color="auto" w:fill="FFFFFF"/>
        </w:rPr>
        <w:t>chapter</w:t>
      </w:r>
      <w:r w:rsidRPr="003516DC">
        <w:rPr>
          <w:rFonts w:ascii="Arial" w:hAnsi="Arial" w:cs="Arial"/>
          <w:color w:val="000000"/>
          <w:sz w:val="20"/>
          <w:szCs w:val="20"/>
          <w:shd w:val="clear" w:color="auto" w:fill="FFFFFF"/>
        </w:rPr>
        <w:t xml:space="preserve"> also makes recommendations with respect to how </w:t>
      </w:r>
      <w:r w:rsidR="00493276">
        <w:rPr>
          <w:rFonts w:ascii="Arial" w:hAnsi="Arial" w:cs="Arial"/>
          <w:color w:val="000000"/>
          <w:sz w:val="20"/>
          <w:szCs w:val="20"/>
          <w:shd w:val="clear" w:color="auto" w:fill="FFFFFF"/>
        </w:rPr>
        <w:t xml:space="preserve">the </w:t>
      </w:r>
      <w:r w:rsidRPr="003516DC">
        <w:rPr>
          <w:rFonts w:ascii="Arial" w:hAnsi="Arial" w:cs="Arial"/>
          <w:color w:val="000000"/>
          <w:sz w:val="20"/>
          <w:szCs w:val="20"/>
          <w:shd w:val="clear" w:color="auto" w:fill="FFFFFF"/>
        </w:rPr>
        <w:t xml:space="preserve">competitive calls for projects </w:t>
      </w:r>
      <w:r w:rsidR="00493276">
        <w:rPr>
          <w:rFonts w:ascii="Arial" w:hAnsi="Arial" w:cs="Arial"/>
          <w:color w:val="000000"/>
          <w:sz w:val="20"/>
          <w:szCs w:val="20"/>
          <w:shd w:val="clear" w:color="auto" w:fill="FFFFFF"/>
        </w:rPr>
        <w:t>that will</w:t>
      </w:r>
      <w:r w:rsidRPr="003516DC">
        <w:rPr>
          <w:rFonts w:ascii="Arial" w:hAnsi="Arial" w:cs="Arial"/>
          <w:color w:val="000000"/>
          <w:sz w:val="20"/>
          <w:szCs w:val="20"/>
          <w:shd w:val="clear" w:color="auto" w:fill="FFFFFF"/>
        </w:rPr>
        <w:t xml:space="preserve"> be launched under the OPJT could be staged and sequenced.</w:t>
      </w:r>
    </w:p>
    <w:p w14:paraId="169A671A" w14:textId="567B7CD9" w:rsidR="00E71D29" w:rsidRPr="003516DC" w:rsidRDefault="00E71D29" w:rsidP="00E71D29">
      <w:pPr>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 xml:space="preserve">We suggest that several key steps should occur in 2021/early 2022 for counties, stakeholders and the public at large to be informed </w:t>
      </w:r>
      <w:r w:rsidR="00F246C8">
        <w:rPr>
          <w:rFonts w:ascii="Arial" w:hAnsi="Arial" w:cs="Arial"/>
          <w:color w:val="000000"/>
          <w:sz w:val="20"/>
          <w:szCs w:val="20"/>
          <w:shd w:val="clear" w:color="auto" w:fill="FFFFFF"/>
        </w:rPr>
        <w:t xml:space="preserve">of </w:t>
      </w:r>
      <w:r w:rsidRPr="003516DC">
        <w:rPr>
          <w:rFonts w:ascii="Arial" w:hAnsi="Arial" w:cs="Arial"/>
          <w:color w:val="000000"/>
          <w:sz w:val="20"/>
          <w:szCs w:val="20"/>
          <w:shd w:val="clear" w:color="auto" w:fill="FFFFFF"/>
        </w:rPr>
        <w:t xml:space="preserve">and </w:t>
      </w:r>
      <w:r w:rsidR="00F246C8">
        <w:rPr>
          <w:rFonts w:ascii="Arial" w:hAnsi="Arial" w:cs="Arial"/>
          <w:color w:val="000000"/>
          <w:sz w:val="20"/>
          <w:szCs w:val="20"/>
          <w:shd w:val="clear" w:color="auto" w:fill="FFFFFF"/>
        </w:rPr>
        <w:t xml:space="preserve">be </w:t>
      </w:r>
      <w:r w:rsidRPr="003516DC">
        <w:rPr>
          <w:rFonts w:ascii="Arial" w:hAnsi="Arial" w:cs="Arial"/>
          <w:color w:val="000000"/>
          <w:sz w:val="20"/>
          <w:szCs w:val="20"/>
          <w:shd w:val="clear" w:color="auto" w:fill="FFFFFF"/>
        </w:rPr>
        <w:t xml:space="preserve">able to contribute to the </w:t>
      </w:r>
      <w:r w:rsidR="00F246C8">
        <w:rPr>
          <w:rFonts w:ascii="Arial" w:hAnsi="Arial" w:cs="Arial"/>
          <w:color w:val="000000"/>
          <w:sz w:val="20"/>
          <w:szCs w:val="20"/>
          <w:shd w:val="clear" w:color="auto" w:fill="FFFFFF"/>
        </w:rPr>
        <w:t>J</w:t>
      </w:r>
      <w:r w:rsidRPr="003516DC">
        <w:rPr>
          <w:rFonts w:ascii="Arial" w:hAnsi="Arial" w:cs="Arial"/>
          <w:color w:val="000000"/>
          <w:sz w:val="20"/>
          <w:szCs w:val="20"/>
          <w:shd w:val="clear" w:color="auto" w:fill="FFFFFF"/>
        </w:rPr>
        <w:t xml:space="preserve">ust </w:t>
      </w:r>
      <w:r w:rsidR="00F246C8">
        <w:rPr>
          <w:rFonts w:ascii="Arial" w:hAnsi="Arial" w:cs="Arial"/>
          <w:color w:val="000000"/>
          <w:sz w:val="20"/>
          <w:szCs w:val="20"/>
          <w:shd w:val="clear" w:color="auto" w:fill="FFFFFF"/>
        </w:rPr>
        <w:t>T</w:t>
      </w:r>
      <w:r w:rsidRPr="003516DC">
        <w:rPr>
          <w:rFonts w:ascii="Arial" w:hAnsi="Arial" w:cs="Arial"/>
          <w:color w:val="000000"/>
          <w:sz w:val="20"/>
          <w:szCs w:val="20"/>
          <w:shd w:val="clear" w:color="auto" w:fill="FFFFFF"/>
        </w:rPr>
        <w:t>ransition agenda (which is a process and does</w:t>
      </w:r>
      <w:r w:rsidR="00F246C8">
        <w:rPr>
          <w:rFonts w:ascii="Arial" w:hAnsi="Arial" w:cs="Arial"/>
          <w:color w:val="000000"/>
          <w:sz w:val="20"/>
          <w:szCs w:val="20"/>
          <w:shd w:val="clear" w:color="auto" w:fill="FFFFFF"/>
        </w:rPr>
        <w:t xml:space="preserve"> not</w:t>
      </w:r>
      <w:r w:rsidRPr="003516DC">
        <w:rPr>
          <w:rFonts w:ascii="Arial" w:hAnsi="Arial" w:cs="Arial"/>
          <w:color w:val="000000"/>
          <w:sz w:val="20"/>
          <w:szCs w:val="20"/>
          <w:shd w:val="clear" w:color="auto" w:fill="FFFFFF"/>
        </w:rPr>
        <w:t xml:space="preserve"> stop with the approval of the TJTPs) and enable evidence-based decision-making:</w:t>
      </w:r>
    </w:p>
    <w:p w14:paraId="3C721D19" w14:textId="77777777" w:rsidR="00E71D29" w:rsidRPr="003516DC" w:rsidRDefault="00E71D29" w:rsidP="00E71D29">
      <w:pPr>
        <w:jc w:val="both"/>
        <w:rPr>
          <w:rFonts w:ascii="Arial" w:hAnsi="Arial" w:cs="Arial"/>
          <w:color w:val="000000"/>
          <w:sz w:val="8"/>
          <w:szCs w:val="8"/>
          <w:shd w:val="clear" w:color="auto" w:fill="FFFFFF"/>
        </w:rPr>
      </w:pPr>
    </w:p>
    <w:p w14:paraId="00D31AF5" w14:textId="24015B34"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Clarification of restructuring plans at the Hunedoara Energy Complex and the immediate inclusion of affected people in existing skilling/upskilling opportunities (including existing EU-funded opportunities and in close dialogue and cooperation with all existing employers locally), alongside financial compensation. Due to the financial situation at Hunedoara Energy Complex,</w:t>
      </w:r>
      <w:r w:rsidR="00F246C8">
        <w:rPr>
          <w:sz w:val="20"/>
          <w:szCs w:val="20"/>
        </w:rPr>
        <w:t xml:space="preserve"> already implemented</w:t>
      </w:r>
      <w:r w:rsidRPr="003516DC">
        <w:rPr>
          <w:sz w:val="20"/>
          <w:szCs w:val="20"/>
        </w:rPr>
        <w:t xml:space="preserve"> lay-offs</w:t>
      </w:r>
      <w:r w:rsidR="00F246C8">
        <w:rPr>
          <w:sz w:val="20"/>
          <w:szCs w:val="20"/>
        </w:rPr>
        <w:t xml:space="preserve"> </w:t>
      </w:r>
      <w:r w:rsidRPr="003516DC">
        <w:rPr>
          <w:sz w:val="20"/>
          <w:szCs w:val="20"/>
        </w:rPr>
        <w:t xml:space="preserve">are imminent in the </w:t>
      </w:r>
      <w:r w:rsidR="00F246C8">
        <w:rPr>
          <w:sz w:val="20"/>
          <w:szCs w:val="20"/>
        </w:rPr>
        <w:t>coming</w:t>
      </w:r>
      <w:r w:rsidRPr="003516DC">
        <w:rPr>
          <w:sz w:val="20"/>
          <w:szCs w:val="20"/>
        </w:rPr>
        <w:t xml:space="preserve"> years and the compensation payments must be accompanied at the earliest by skilling/ upskilling opportunities. In the absence of this, the success of the OPJT, once implemented, risks being compromised because the transition is not perceived by the local stakeholders as active inclusion, and national stakeholders may end up mistrusting the process even more</w:t>
      </w:r>
      <w:r w:rsidR="00F246C8">
        <w:rPr>
          <w:sz w:val="20"/>
          <w:szCs w:val="20"/>
        </w:rPr>
        <w:t xml:space="preserve"> severely</w:t>
      </w:r>
      <w:r w:rsidRPr="003516DC">
        <w:rPr>
          <w:sz w:val="20"/>
          <w:szCs w:val="20"/>
        </w:rPr>
        <w:t xml:space="preserve"> and confusing </w:t>
      </w:r>
      <w:r w:rsidR="00F246C8">
        <w:rPr>
          <w:sz w:val="20"/>
          <w:szCs w:val="20"/>
        </w:rPr>
        <w:t>the J</w:t>
      </w:r>
      <w:r w:rsidRPr="003516DC">
        <w:rPr>
          <w:sz w:val="20"/>
          <w:szCs w:val="20"/>
        </w:rPr>
        <w:t xml:space="preserve">ust </w:t>
      </w:r>
      <w:r w:rsidR="00F246C8">
        <w:rPr>
          <w:sz w:val="20"/>
          <w:szCs w:val="20"/>
        </w:rPr>
        <w:t>T</w:t>
      </w:r>
      <w:r w:rsidRPr="003516DC">
        <w:rPr>
          <w:sz w:val="20"/>
          <w:szCs w:val="20"/>
        </w:rPr>
        <w:t>ransition with hefty compensatory payments for laid-off workers, short-term solutions to buy social peace and not structural transformations. Further lay-offs may be expected before the operationali</w:t>
      </w:r>
      <w:r w:rsidR="00F246C8">
        <w:rPr>
          <w:sz w:val="20"/>
          <w:szCs w:val="20"/>
        </w:rPr>
        <w:t>s</w:t>
      </w:r>
      <w:r w:rsidRPr="003516DC">
        <w:rPr>
          <w:sz w:val="20"/>
          <w:szCs w:val="20"/>
        </w:rPr>
        <w:t xml:space="preserve">ation of the TJTPs and the OPJT implementation, which is why the restructuring plans before and after TJTP implementation must be complex and not </w:t>
      </w:r>
      <w:r w:rsidR="00F246C8">
        <w:rPr>
          <w:sz w:val="20"/>
          <w:szCs w:val="20"/>
        </w:rPr>
        <w:t>simply</w:t>
      </w:r>
      <w:r w:rsidRPr="003516DC">
        <w:rPr>
          <w:sz w:val="20"/>
          <w:szCs w:val="20"/>
        </w:rPr>
        <w:t xml:space="preserve"> </w:t>
      </w:r>
      <w:r w:rsidR="00F246C8">
        <w:rPr>
          <w:sz w:val="20"/>
          <w:szCs w:val="20"/>
        </w:rPr>
        <w:t xml:space="preserve">consist of </w:t>
      </w:r>
      <w:r w:rsidRPr="003516DC">
        <w:rPr>
          <w:sz w:val="20"/>
          <w:szCs w:val="20"/>
        </w:rPr>
        <w:t>compensatory payments.</w:t>
      </w:r>
    </w:p>
    <w:p w14:paraId="3DBDD86F" w14:textId="77777777" w:rsidR="00E71D29" w:rsidRPr="003516DC" w:rsidRDefault="00E71D29" w:rsidP="00E71D29">
      <w:pPr>
        <w:pStyle w:val="ListParagraph"/>
        <w:spacing w:line="240" w:lineRule="auto"/>
        <w:ind w:left="360"/>
        <w:jc w:val="both"/>
        <w:rPr>
          <w:sz w:val="8"/>
          <w:szCs w:val="8"/>
        </w:rPr>
      </w:pPr>
    </w:p>
    <w:p w14:paraId="3724F357" w14:textId="37AFB4FB"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lastRenderedPageBreak/>
        <w:t xml:space="preserve">Finalisation and approval of restructuring plans at the Oltenia Energy Complex – this will pave the </w:t>
      </w:r>
      <w:r w:rsidR="00F246C8">
        <w:rPr>
          <w:sz w:val="20"/>
          <w:szCs w:val="20"/>
        </w:rPr>
        <w:t>way</w:t>
      </w:r>
      <w:r w:rsidRPr="003516DC">
        <w:rPr>
          <w:sz w:val="20"/>
          <w:szCs w:val="20"/>
        </w:rPr>
        <w:t xml:space="preserve"> for a proper staging of the TJTP implementation in both Gorj and Dolj, once it will be clear how many people will be targeted by active labour inclusion measures, what their profiles are, etc.</w:t>
      </w:r>
    </w:p>
    <w:p w14:paraId="1F982DD2" w14:textId="77777777" w:rsidR="00E71D29" w:rsidRPr="00F246C8" w:rsidRDefault="00E71D29" w:rsidP="00F246C8">
      <w:pPr>
        <w:jc w:val="both"/>
        <w:rPr>
          <w:sz w:val="8"/>
          <w:szCs w:val="8"/>
        </w:rPr>
      </w:pPr>
    </w:p>
    <w:p w14:paraId="2C228345" w14:textId="40FD4A71"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Start prospective labour market studies in both Gorj and Dolj as it is</w:t>
      </w:r>
      <w:r w:rsidR="00F246C8">
        <w:rPr>
          <w:sz w:val="20"/>
          <w:szCs w:val="20"/>
        </w:rPr>
        <w:t xml:space="preserve"> currently</w:t>
      </w:r>
      <w:r w:rsidRPr="003516DC">
        <w:rPr>
          <w:sz w:val="20"/>
          <w:szCs w:val="20"/>
        </w:rPr>
        <w:t xml:space="preserve"> unclear which professions and skills are expected to be </w:t>
      </w:r>
      <w:r w:rsidR="00F246C8">
        <w:rPr>
          <w:sz w:val="20"/>
          <w:szCs w:val="20"/>
        </w:rPr>
        <w:t xml:space="preserve">highly </w:t>
      </w:r>
      <w:r w:rsidRPr="003516DC">
        <w:rPr>
          <w:sz w:val="20"/>
          <w:szCs w:val="20"/>
        </w:rPr>
        <w:t>demand</w:t>
      </w:r>
      <w:r w:rsidR="00F246C8">
        <w:rPr>
          <w:sz w:val="20"/>
          <w:szCs w:val="20"/>
        </w:rPr>
        <w:t>ed</w:t>
      </w:r>
      <w:r w:rsidRPr="003516DC">
        <w:rPr>
          <w:sz w:val="20"/>
          <w:szCs w:val="20"/>
        </w:rPr>
        <w:t xml:space="preserve"> by the regional labour markets, so that skilling and reskilling programmes could be targeted and designed early on</w:t>
      </w:r>
      <w:r w:rsidR="00F246C8">
        <w:rPr>
          <w:sz w:val="20"/>
          <w:szCs w:val="20"/>
        </w:rPr>
        <w:t>.</w:t>
      </w:r>
    </w:p>
    <w:p w14:paraId="4312A776" w14:textId="77777777" w:rsidR="00E71D29" w:rsidRPr="003516DC" w:rsidRDefault="00E71D29" w:rsidP="00E71D29">
      <w:pPr>
        <w:pStyle w:val="ListParagraph"/>
        <w:spacing w:line="240" w:lineRule="auto"/>
        <w:ind w:left="360"/>
        <w:jc w:val="both"/>
        <w:rPr>
          <w:sz w:val="8"/>
          <w:szCs w:val="8"/>
        </w:rPr>
      </w:pPr>
    </w:p>
    <w:p w14:paraId="3DAF38F4" w14:textId="205EF578"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 xml:space="preserve">Revision of the National Energy Strategy, to </w:t>
      </w:r>
      <w:r w:rsidR="00F246C8">
        <w:rPr>
          <w:sz w:val="20"/>
          <w:szCs w:val="20"/>
        </w:rPr>
        <w:t>consider</w:t>
      </w:r>
      <w:r w:rsidRPr="003516DC">
        <w:rPr>
          <w:sz w:val="20"/>
          <w:szCs w:val="20"/>
        </w:rPr>
        <w:t xml:space="preserve"> a realistic transition process and energy mix, bearing in mind the evolution of ETS prices, the delays in implementing several large energy projects, </w:t>
      </w:r>
      <w:r w:rsidR="009625F9">
        <w:rPr>
          <w:sz w:val="20"/>
          <w:szCs w:val="20"/>
        </w:rPr>
        <w:t xml:space="preserve">the commitments under the RRP, </w:t>
      </w:r>
      <w:r w:rsidRPr="003516DC">
        <w:rPr>
          <w:sz w:val="20"/>
          <w:szCs w:val="20"/>
        </w:rPr>
        <w:t>etc. – such a revision will lead to more clarity over the role of coal and gas in the energy mix of the future and thus will enable regions to make clear transition pathways and commitments.</w:t>
      </w:r>
    </w:p>
    <w:p w14:paraId="0628AF60" w14:textId="77777777" w:rsidR="00E71D29" w:rsidRPr="003516DC" w:rsidRDefault="00E71D29" w:rsidP="00E71D29">
      <w:pPr>
        <w:pStyle w:val="ListParagraph"/>
        <w:spacing w:line="240" w:lineRule="auto"/>
        <w:ind w:left="360"/>
        <w:jc w:val="both"/>
        <w:rPr>
          <w:sz w:val="8"/>
          <w:szCs w:val="8"/>
        </w:rPr>
      </w:pPr>
    </w:p>
    <w:p w14:paraId="61DCBB55" w14:textId="03AB95DF"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 xml:space="preserve">Establishment of </w:t>
      </w:r>
      <w:r w:rsidR="00F246C8">
        <w:rPr>
          <w:sz w:val="20"/>
          <w:szCs w:val="20"/>
        </w:rPr>
        <w:t>a</w:t>
      </w:r>
      <w:r w:rsidR="00F246C8" w:rsidRPr="003516DC">
        <w:rPr>
          <w:sz w:val="20"/>
          <w:szCs w:val="20"/>
        </w:rPr>
        <w:t xml:space="preserve"> </w:t>
      </w:r>
      <w:r w:rsidRPr="003516DC">
        <w:rPr>
          <w:sz w:val="20"/>
          <w:szCs w:val="20"/>
        </w:rPr>
        <w:t xml:space="preserve">National Coal Commission or a similar multistakeholder body, bringing together line ministries and local authorities, with the aim </w:t>
      </w:r>
      <w:r w:rsidR="00F246C8">
        <w:rPr>
          <w:sz w:val="20"/>
          <w:szCs w:val="20"/>
        </w:rPr>
        <w:t>of</w:t>
      </w:r>
      <w:r w:rsidRPr="003516DC">
        <w:rPr>
          <w:sz w:val="20"/>
          <w:szCs w:val="20"/>
        </w:rPr>
        <w:t xml:space="preserve"> identify</w:t>
      </w:r>
      <w:r w:rsidR="00F246C8">
        <w:rPr>
          <w:sz w:val="20"/>
          <w:szCs w:val="20"/>
        </w:rPr>
        <w:t>ing</w:t>
      </w:r>
      <w:r w:rsidRPr="003516DC">
        <w:rPr>
          <w:sz w:val="20"/>
          <w:szCs w:val="20"/>
        </w:rPr>
        <w:t xml:space="preserve"> the most relevant opportunities at </w:t>
      </w:r>
      <w:r w:rsidR="00F246C8">
        <w:rPr>
          <w:sz w:val="20"/>
          <w:szCs w:val="20"/>
        </w:rPr>
        <w:t xml:space="preserve">the </w:t>
      </w:r>
      <w:r w:rsidRPr="003516DC">
        <w:rPr>
          <w:sz w:val="20"/>
          <w:szCs w:val="20"/>
        </w:rPr>
        <w:t>local level (some investments/plans may need to be driven centrally/from other regions) to ensure a smooth and orderly transition and a clear coal phaseout process.</w:t>
      </w:r>
    </w:p>
    <w:p w14:paraId="6C0B9454" w14:textId="77777777" w:rsidR="00E71D29" w:rsidRPr="003516DC" w:rsidRDefault="00E71D29" w:rsidP="00E71D29">
      <w:pPr>
        <w:pStyle w:val="ListParagraph"/>
        <w:spacing w:line="240" w:lineRule="auto"/>
        <w:ind w:left="360"/>
        <w:jc w:val="both"/>
        <w:rPr>
          <w:sz w:val="8"/>
          <w:szCs w:val="8"/>
        </w:rPr>
      </w:pPr>
    </w:p>
    <w:p w14:paraId="13463C4D" w14:textId="77777777"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Commitment of firms towards carbon neutrality, especially large enterprises located in affected regions which have not yet committed via corporate strategy driven locally or by headquarters to climate neutrality.</w:t>
      </w:r>
    </w:p>
    <w:p w14:paraId="08840B1A" w14:textId="77777777" w:rsidR="00E71D29" w:rsidRPr="003516DC" w:rsidRDefault="00E71D29" w:rsidP="00E71D29">
      <w:pPr>
        <w:pStyle w:val="ListParagraph"/>
        <w:spacing w:line="240" w:lineRule="auto"/>
        <w:ind w:left="360"/>
        <w:jc w:val="both"/>
        <w:rPr>
          <w:sz w:val="8"/>
          <w:szCs w:val="8"/>
        </w:rPr>
      </w:pPr>
    </w:p>
    <w:p w14:paraId="4CAA8F9B" w14:textId="77777777"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Approval of the six TJTPs.</w:t>
      </w:r>
    </w:p>
    <w:p w14:paraId="4653F8C3" w14:textId="77777777" w:rsidR="00E71D29" w:rsidRPr="003516DC" w:rsidRDefault="00E71D29" w:rsidP="00E71D29">
      <w:pPr>
        <w:pStyle w:val="ListParagraph"/>
        <w:spacing w:line="240" w:lineRule="auto"/>
        <w:ind w:left="360"/>
        <w:jc w:val="both"/>
        <w:rPr>
          <w:sz w:val="8"/>
          <w:szCs w:val="8"/>
        </w:rPr>
      </w:pPr>
    </w:p>
    <w:p w14:paraId="1E7B274F" w14:textId="41B48796"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 xml:space="preserve">Approval of OP Just Transition and roadshows regarding </w:t>
      </w:r>
      <w:r w:rsidR="00F246C8">
        <w:rPr>
          <w:sz w:val="20"/>
          <w:szCs w:val="20"/>
        </w:rPr>
        <w:t>t</w:t>
      </w:r>
      <w:r w:rsidRPr="003516DC">
        <w:rPr>
          <w:sz w:val="20"/>
          <w:szCs w:val="20"/>
        </w:rPr>
        <w:t>he programme nationally and locally and defining the balanced governance arrangement.</w:t>
      </w:r>
    </w:p>
    <w:p w14:paraId="759FCCB3" w14:textId="77777777" w:rsidR="00E71D29" w:rsidRPr="003516DC" w:rsidRDefault="00E71D29" w:rsidP="00E71D29">
      <w:pPr>
        <w:pStyle w:val="ListParagraph"/>
        <w:spacing w:line="240" w:lineRule="auto"/>
        <w:ind w:left="360"/>
        <w:jc w:val="both"/>
        <w:rPr>
          <w:sz w:val="8"/>
          <w:szCs w:val="8"/>
        </w:rPr>
      </w:pPr>
    </w:p>
    <w:p w14:paraId="0E7CE86A" w14:textId="77777777" w:rsidR="00E71D29" w:rsidRPr="003516DC" w:rsidRDefault="00E71D29" w:rsidP="00E42342">
      <w:pPr>
        <w:pStyle w:val="ListParagraph"/>
        <w:numPr>
          <w:ilvl w:val="0"/>
          <w:numId w:val="95"/>
        </w:numPr>
        <w:spacing w:line="240" w:lineRule="auto"/>
        <w:jc w:val="both"/>
        <w:rPr>
          <w:sz w:val="20"/>
          <w:szCs w:val="20"/>
        </w:rPr>
      </w:pPr>
      <w:r w:rsidRPr="003516DC">
        <w:rPr>
          <w:sz w:val="20"/>
          <w:szCs w:val="20"/>
        </w:rPr>
        <w:t>Continuous iterations around TJTPs with local stakeholders and project preparation at the local level, benefitting from Jaspers Technical Support.</w:t>
      </w:r>
    </w:p>
    <w:p w14:paraId="68ECE7DF" w14:textId="77777777" w:rsidR="00E71D29" w:rsidRPr="003516DC" w:rsidRDefault="00E71D29" w:rsidP="00E71D29">
      <w:pPr>
        <w:pStyle w:val="ListParagraph"/>
        <w:spacing w:line="240" w:lineRule="auto"/>
        <w:ind w:left="360"/>
        <w:jc w:val="both"/>
        <w:rPr>
          <w:sz w:val="8"/>
          <w:szCs w:val="8"/>
        </w:rPr>
      </w:pPr>
    </w:p>
    <w:p w14:paraId="7F047D4C" w14:textId="008719C0" w:rsidR="00E71D29" w:rsidRPr="008D32D6" w:rsidRDefault="00E71D29" w:rsidP="00E42342">
      <w:pPr>
        <w:pStyle w:val="ListParagraph"/>
        <w:numPr>
          <w:ilvl w:val="0"/>
          <w:numId w:val="95"/>
        </w:numPr>
        <w:spacing w:line="240" w:lineRule="auto"/>
        <w:jc w:val="both"/>
        <w:rPr>
          <w:sz w:val="20"/>
          <w:szCs w:val="20"/>
        </w:rPr>
      </w:pPr>
      <w:r w:rsidRPr="003516DC">
        <w:rPr>
          <w:sz w:val="20"/>
          <w:szCs w:val="20"/>
        </w:rPr>
        <w:t>Further analysis of ETS installations and support to large enterprises.</w:t>
      </w:r>
    </w:p>
    <w:p w14:paraId="5F74FA23" w14:textId="59F37C04" w:rsidR="00E71D29" w:rsidRPr="003516DC" w:rsidRDefault="00E71D29" w:rsidP="008D32D6">
      <w:pPr>
        <w:spacing w:after="120"/>
        <w:jc w:val="both"/>
        <w:rPr>
          <w:rFonts w:ascii="Arial" w:hAnsi="Arial" w:cs="Arial"/>
          <w:color w:val="000000"/>
          <w:sz w:val="20"/>
          <w:szCs w:val="20"/>
          <w:shd w:val="clear" w:color="auto" w:fill="FFFFFF"/>
        </w:rPr>
      </w:pPr>
      <w:r w:rsidRPr="003516DC">
        <w:rPr>
          <w:rFonts w:ascii="Arial" w:hAnsi="Arial" w:cs="Arial"/>
          <w:color w:val="000000"/>
          <w:sz w:val="20"/>
          <w:szCs w:val="20"/>
          <w:shd w:val="clear" w:color="auto" w:fill="FFFFFF"/>
        </w:rPr>
        <w:t>In early 2022 (not in early 2023</w:t>
      </w:r>
      <w:r w:rsidR="00F246C8">
        <w:rPr>
          <w:rFonts w:ascii="Arial" w:hAnsi="Arial" w:cs="Arial"/>
          <w:color w:val="000000"/>
          <w:sz w:val="20"/>
          <w:szCs w:val="20"/>
          <w:shd w:val="clear" w:color="auto" w:fill="FFFFFF"/>
        </w:rPr>
        <w:t xml:space="preserve"> </w:t>
      </w:r>
      <w:r w:rsidRPr="003516DC">
        <w:rPr>
          <w:rFonts w:ascii="Arial" w:hAnsi="Arial" w:cs="Arial"/>
          <w:color w:val="000000"/>
          <w:sz w:val="20"/>
          <w:szCs w:val="20"/>
          <w:shd w:val="clear" w:color="auto" w:fill="FFFFFF"/>
        </w:rPr>
        <w:t>as stipulated in the current RRP submitted to the European Commission), a clear and detailed calendar for carbon neutrality and coal phase</w:t>
      </w:r>
      <w:r w:rsidR="00F246C8">
        <w:rPr>
          <w:rFonts w:ascii="Arial" w:hAnsi="Arial" w:cs="Arial"/>
          <w:color w:val="000000"/>
          <w:sz w:val="20"/>
          <w:szCs w:val="20"/>
          <w:shd w:val="clear" w:color="auto" w:fill="FFFFFF"/>
        </w:rPr>
        <w:t>-</w:t>
      </w:r>
      <w:r w:rsidRPr="003516DC">
        <w:rPr>
          <w:rFonts w:ascii="Arial" w:hAnsi="Arial" w:cs="Arial"/>
          <w:color w:val="000000"/>
          <w:sz w:val="20"/>
          <w:szCs w:val="20"/>
          <w:shd w:val="clear" w:color="auto" w:fill="FFFFFF"/>
        </w:rPr>
        <w:t>out, given the work of the Coal Commission, is to be adopted and publicly issued.</w:t>
      </w:r>
    </w:p>
    <w:p w14:paraId="25AD06F4" w14:textId="2ED6BC29" w:rsidR="00E71D29" w:rsidRPr="003516DC" w:rsidRDefault="00E71D29" w:rsidP="008D32D6">
      <w:pPr>
        <w:spacing w:after="120"/>
        <w:jc w:val="both"/>
        <w:rPr>
          <w:rFonts w:ascii="Arial" w:hAnsi="Arial" w:cs="Arial"/>
          <w:sz w:val="20"/>
          <w:szCs w:val="20"/>
        </w:rPr>
      </w:pPr>
      <w:r w:rsidRPr="003516DC">
        <w:rPr>
          <w:rFonts w:ascii="Arial" w:hAnsi="Arial" w:cs="Arial"/>
          <w:sz w:val="20"/>
          <w:szCs w:val="20"/>
        </w:rPr>
        <w:t xml:space="preserve">The first projects under the OPJT should arrive as early as winter 2021-2022, with immediate deployment of first actions in spring-summer 2022. </w:t>
      </w:r>
      <w:r w:rsidR="00F246C8">
        <w:rPr>
          <w:rFonts w:ascii="Arial" w:hAnsi="Arial" w:cs="Arial"/>
          <w:sz w:val="20"/>
          <w:szCs w:val="20"/>
        </w:rPr>
        <w:t>I</w:t>
      </w:r>
      <w:r w:rsidRPr="003516DC">
        <w:rPr>
          <w:rFonts w:ascii="Arial" w:hAnsi="Arial" w:cs="Arial"/>
          <w:sz w:val="20"/>
          <w:szCs w:val="20"/>
        </w:rPr>
        <w:t xml:space="preserve">n 2022, given the intervention logic of the transition and lengthy preparation times for some operations (e.g.: land decontamination and functional repurposing) </w:t>
      </w:r>
      <w:r w:rsidR="00F246C8">
        <w:rPr>
          <w:rFonts w:ascii="Arial" w:hAnsi="Arial" w:cs="Arial"/>
          <w:sz w:val="20"/>
          <w:szCs w:val="20"/>
        </w:rPr>
        <w:t>prio</w:t>
      </w:r>
      <w:r w:rsidR="00DB00EB">
        <w:rPr>
          <w:rFonts w:ascii="Arial" w:hAnsi="Arial" w:cs="Arial"/>
          <w:sz w:val="20"/>
          <w:szCs w:val="20"/>
        </w:rPr>
        <w:t>ri</w:t>
      </w:r>
      <w:r w:rsidR="00F246C8">
        <w:rPr>
          <w:rFonts w:ascii="Arial" w:hAnsi="Arial" w:cs="Arial"/>
          <w:sz w:val="20"/>
          <w:szCs w:val="20"/>
        </w:rPr>
        <w:t xml:space="preserve">ty </w:t>
      </w:r>
      <w:r w:rsidRPr="003516DC">
        <w:rPr>
          <w:rFonts w:ascii="Arial" w:hAnsi="Arial" w:cs="Arial"/>
          <w:sz w:val="20"/>
          <w:szCs w:val="20"/>
        </w:rPr>
        <w:t>should be given to:</w:t>
      </w:r>
    </w:p>
    <w:p w14:paraId="79F08A3D" w14:textId="77777777" w:rsidR="00E71D29" w:rsidRPr="00F246C8" w:rsidRDefault="00E71D29" w:rsidP="00E71D29">
      <w:pPr>
        <w:jc w:val="both"/>
        <w:rPr>
          <w:rFonts w:ascii="Arial" w:hAnsi="Arial" w:cs="Arial"/>
          <w:sz w:val="8"/>
          <w:szCs w:val="8"/>
        </w:rPr>
      </w:pPr>
    </w:p>
    <w:p w14:paraId="1BF450EE" w14:textId="77777777" w:rsidR="00E71D29" w:rsidRPr="003516DC" w:rsidRDefault="00E71D29" w:rsidP="00E42342">
      <w:pPr>
        <w:pStyle w:val="ListParagraph"/>
        <w:numPr>
          <w:ilvl w:val="0"/>
          <w:numId w:val="96"/>
        </w:numPr>
        <w:spacing w:line="240" w:lineRule="auto"/>
        <w:jc w:val="both"/>
        <w:rPr>
          <w:sz w:val="20"/>
          <w:szCs w:val="20"/>
        </w:rPr>
      </w:pPr>
      <w:r w:rsidRPr="003516DC">
        <w:rPr>
          <w:sz w:val="20"/>
          <w:szCs w:val="20"/>
        </w:rPr>
        <w:t>RES support, in the counties where appropriate.</w:t>
      </w:r>
    </w:p>
    <w:p w14:paraId="06D17D3A" w14:textId="77777777" w:rsidR="00E71D29" w:rsidRPr="003516DC" w:rsidRDefault="00E71D29" w:rsidP="00E71D29">
      <w:pPr>
        <w:pStyle w:val="ListParagraph"/>
        <w:spacing w:line="240" w:lineRule="auto"/>
        <w:ind w:left="360"/>
        <w:jc w:val="both"/>
        <w:rPr>
          <w:sz w:val="8"/>
          <w:szCs w:val="8"/>
        </w:rPr>
      </w:pPr>
    </w:p>
    <w:p w14:paraId="2DBDC77A" w14:textId="77777777" w:rsidR="00E71D29" w:rsidRPr="003516DC" w:rsidRDefault="00E71D29" w:rsidP="00E42342">
      <w:pPr>
        <w:pStyle w:val="ListParagraph"/>
        <w:numPr>
          <w:ilvl w:val="0"/>
          <w:numId w:val="96"/>
        </w:numPr>
        <w:spacing w:line="240" w:lineRule="auto"/>
        <w:jc w:val="both"/>
        <w:rPr>
          <w:sz w:val="20"/>
          <w:szCs w:val="20"/>
        </w:rPr>
      </w:pPr>
      <w:r w:rsidRPr="003516DC">
        <w:rPr>
          <w:sz w:val="20"/>
          <w:szCs w:val="20"/>
        </w:rPr>
        <w:t>Setting up innovative skilling/reskilling programmes in close synergy with the sectors/companies to be financed through the active measures on economic diversification (SME support, support to large enterprises, etc.).</w:t>
      </w:r>
    </w:p>
    <w:p w14:paraId="649A7001" w14:textId="77777777" w:rsidR="00E71D29" w:rsidRPr="003516DC" w:rsidRDefault="00E71D29" w:rsidP="00E71D29">
      <w:pPr>
        <w:pStyle w:val="ListParagraph"/>
        <w:spacing w:line="240" w:lineRule="auto"/>
        <w:ind w:left="360"/>
        <w:jc w:val="both"/>
        <w:rPr>
          <w:sz w:val="8"/>
          <w:szCs w:val="8"/>
        </w:rPr>
      </w:pPr>
    </w:p>
    <w:p w14:paraId="13C7CAA8" w14:textId="77777777" w:rsidR="00E71D29" w:rsidRPr="003516DC" w:rsidRDefault="00E71D29" w:rsidP="00E42342">
      <w:pPr>
        <w:pStyle w:val="ListParagraph"/>
        <w:numPr>
          <w:ilvl w:val="0"/>
          <w:numId w:val="96"/>
        </w:numPr>
        <w:spacing w:after="120" w:line="240" w:lineRule="auto"/>
        <w:jc w:val="both"/>
        <w:rPr>
          <w:sz w:val="20"/>
          <w:szCs w:val="20"/>
        </w:rPr>
      </w:pPr>
      <w:r w:rsidRPr="003516DC">
        <w:rPr>
          <w:sz w:val="20"/>
          <w:szCs w:val="20"/>
        </w:rPr>
        <w:t>Acceleration and financing programmes for new start-ups (in the counties where appropriate) and the promotion of the JTF opportunity for scale-up vis-a-vis existing SMEs, alongside technical assistance support for project development (help desks, etc).</w:t>
      </w:r>
    </w:p>
    <w:p w14:paraId="71D2E457" w14:textId="46F70300" w:rsidR="00E71D29" w:rsidRDefault="00E71D29" w:rsidP="008D32D6">
      <w:pPr>
        <w:spacing w:after="120"/>
        <w:jc w:val="both"/>
        <w:rPr>
          <w:rFonts w:ascii="Arial" w:hAnsi="Arial" w:cs="Arial"/>
          <w:sz w:val="20"/>
          <w:szCs w:val="20"/>
        </w:rPr>
      </w:pPr>
      <w:r w:rsidRPr="003516DC">
        <w:rPr>
          <w:rFonts w:ascii="Arial" w:hAnsi="Arial" w:cs="Arial"/>
          <w:sz w:val="20"/>
          <w:szCs w:val="20"/>
        </w:rPr>
        <w:t>Given the long</w:t>
      </w:r>
      <w:r w:rsidR="002B0D2A">
        <w:rPr>
          <w:rFonts w:ascii="Arial" w:hAnsi="Arial" w:cs="Arial"/>
          <w:sz w:val="20"/>
          <w:szCs w:val="20"/>
        </w:rPr>
        <w:t>-</w:t>
      </w:r>
      <w:r w:rsidR="00F246C8">
        <w:rPr>
          <w:rFonts w:ascii="Arial" w:hAnsi="Arial" w:cs="Arial"/>
          <w:sz w:val="20"/>
          <w:szCs w:val="20"/>
        </w:rPr>
        <w:t xml:space="preserve">time </w:t>
      </w:r>
      <w:r w:rsidRPr="003516DC">
        <w:rPr>
          <w:rFonts w:ascii="Arial" w:hAnsi="Arial" w:cs="Arial"/>
          <w:sz w:val="20"/>
          <w:szCs w:val="20"/>
        </w:rPr>
        <w:t>horizons for project preparation, land restoration, energy efficiency, and public infrastructure projects are not expected to come onboard before 2024.</w:t>
      </w:r>
    </w:p>
    <w:p w14:paraId="428ECE26" w14:textId="77777777" w:rsidR="00E71D29" w:rsidRPr="003516DC" w:rsidRDefault="00E71D29" w:rsidP="00E42342">
      <w:pPr>
        <w:pStyle w:val="Heading2"/>
        <w:numPr>
          <w:ilvl w:val="0"/>
          <w:numId w:val="187"/>
        </w:numPr>
        <w:spacing w:before="240" w:line="240" w:lineRule="auto"/>
      </w:pPr>
      <w:bookmarkStart w:id="416" w:name="_Toc90725925"/>
      <w:r w:rsidRPr="003516DC">
        <w:t>Contribution of JTF support based on absorption capacity, including allocations for technical assistance</w:t>
      </w:r>
      <w:bookmarkEnd w:id="416"/>
      <w:r w:rsidRPr="003516DC">
        <w:t xml:space="preserve"> </w:t>
      </w:r>
    </w:p>
    <w:p w14:paraId="12BCD3FF" w14:textId="4F5B0DAE" w:rsidR="00E71D29" w:rsidRPr="003516DC" w:rsidRDefault="00E71D29" w:rsidP="008D32D6">
      <w:pPr>
        <w:pStyle w:val="NormalWeb"/>
        <w:shd w:val="clear" w:color="auto" w:fill="FFFFFF"/>
        <w:spacing w:before="240" w:beforeAutospacing="0" w:after="120" w:afterAutospacing="0"/>
        <w:jc w:val="both"/>
        <w:rPr>
          <w:rFonts w:ascii="Arial" w:hAnsi="Arial" w:cs="Arial"/>
          <w:color w:val="000000"/>
          <w:sz w:val="20"/>
          <w:szCs w:val="20"/>
        </w:rPr>
      </w:pPr>
      <w:r w:rsidRPr="003516DC">
        <w:rPr>
          <w:rFonts w:ascii="Arial" w:hAnsi="Arial" w:cs="Arial"/>
          <w:color w:val="000000"/>
          <w:sz w:val="20"/>
          <w:szCs w:val="20"/>
        </w:rPr>
        <w:t>An analysis of the revenues of local authorities (county councils and municipalities) in the six affected regions compared to funds received from the EU and other donors between 2016 and 2019 reveals surprising strengths and weaknesses with respect to absorption capacity</w:t>
      </w:r>
      <w:r w:rsidR="009625F9">
        <w:rPr>
          <w:rFonts w:ascii="Arial" w:hAnsi="Arial" w:cs="Arial"/>
          <w:color w:val="000000"/>
          <w:sz w:val="20"/>
          <w:szCs w:val="20"/>
        </w:rPr>
        <w:t xml:space="preserve"> that could be taken into account when considering regional level allocations.</w:t>
      </w:r>
    </w:p>
    <w:p w14:paraId="18E439B9" w14:textId="7328B4BC"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The lowest ratio between the external funds received and own revenues is encountered in Prahova, where external funding was less than 4% the municipalities’ revenues, an indicator of both the high prosperity of the local economy and low absorption capacity in Prahova (local authorities from Prahova raised revenues in excess of RON 4 bn, while no other affected county raised more than RON 3 bn). </w:t>
      </w:r>
      <w:r w:rsidRPr="003516DC">
        <w:rPr>
          <w:rFonts w:ascii="Arial" w:hAnsi="Arial" w:cs="Arial"/>
          <w:color w:val="000000"/>
          <w:sz w:val="20"/>
          <w:szCs w:val="20"/>
        </w:rPr>
        <w:lastRenderedPageBreak/>
        <w:t>The lowest revenue was reported in Gorj with RON 1.4 bn. Dolj attracted the most external funding, where external funds represent 14% of local revenues. In this regard, Dolj outperforms all other counties by far, even when corrected for population. Its county councils and municipalities attracted RON 635/capita in external funding compared to RON 222/capita in Prahova, RON 510/capital in Hunedoara, and RON 389/capita</w:t>
      </w:r>
      <w:r w:rsidRPr="003516DC" w:rsidDel="001D7619">
        <w:rPr>
          <w:rFonts w:ascii="Arial" w:hAnsi="Arial" w:cs="Arial"/>
          <w:color w:val="000000"/>
          <w:sz w:val="20"/>
          <w:szCs w:val="20"/>
        </w:rPr>
        <w:t xml:space="preserve"> </w:t>
      </w:r>
      <w:r w:rsidRPr="003516DC">
        <w:rPr>
          <w:rFonts w:ascii="Arial" w:hAnsi="Arial" w:cs="Arial"/>
          <w:color w:val="000000"/>
          <w:sz w:val="20"/>
          <w:szCs w:val="20"/>
        </w:rPr>
        <w:t xml:space="preserve">in Gorj. </w:t>
      </w:r>
    </w:p>
    <w:p w14:paraId="0C03E724" w14:textId="7BAA790B"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Correlating these indicators with the growth profiles of local economies can also reveal interesting conclusions with respect to effectiveness: despite the high absorption capacity per capita, Hunedoara’s economy is stagnant, while Dolj’s is booming.</w:t>
      </w:r>
    </w:p>
    <w:p w14:paraId="4CAECFED" w14:textId="55F298CD"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Reducing the absorption capacity to the county council level, the top performer is the County Council of Galați, where external funding represents 32% of revenues. Mureș and Hunedoara County Councils could improve their absorption performance, which currently stand at 1.94% and 4.82% of revenues.</w:t>
      </w:r>
    </w:p>
    <w:p w14:paraId="5F679010" w14:textId="56DCC969"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For further details, see Annex 1.</w:t>
      </w:r>
    </w:p>
    <w:p w14:paraId="230EA9E1" w14:textId="77777777"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A clear technical capacity gap to implement the Territorial Just Transition Plans is the capacity of local public authorities (county councils, municipalities) to develop mature and investable projects, including projects that seek grant-based funding and public loans, where the lack of capacity for deal structuring will be a significant obstacle towards making use of all the JTM pillars. </w:t>
      </w:r>
    </w:p>
    <w:p w14:paraId="22AB28D5" w14:textId="6F27B249"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 xml:space="preserve">Through stakeholder interviews, it became clear that another area where assistance is needed across the board, with both public and private actors, is education in the area of sustainability, climate policies, green growth, etc. Stakeholders do not clearly understand the rationale for this transition, other that the fact it comes as an externally imposed target, and they cannot grasp the opportunities that the transition to a low-carbon economy can bring. Strategic planning aimed at correlating priority objectives, funding opportunities and local priorities is another TA needed across the board. The capacity of public authorities for strategic local territorial development is also needed. </w:t>
      </w:r>
    </w:p>
    <w:p w14:paraId="09A70FDE" w14:textId="60EF7EFF" w:rsidR="00E71D29" w:rsidRPr="003516DC"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Technical assistance to identify and develop cross-sectoral and cross-stakeholder development projects (e.g., support for productive investments correlated with active labour inclusion measures) is another needed area of development. The topic of circular economy and energy efficiency, including developing a healthy portfolio of feasible project ideas, is required. In addition, improving the capacity for data measurement and data interpretation can also increase the chances of successful implementation of the JTP.</w:t>
      </w:r>
    </w:p>
    <w:p w14:paraId="3C7931B1" w14:textId="49E7E4BF" w:rsidR="00E71D29" w:rsidRPr="008D32D6" w:rsidRDefault="00E71D29" w:rsidP="008D32D6">
      <w:pPr>
        <w:pStyle w:val="NormalWeb"/>
        <w:shd w:val="clear" w:color="auto" w:fill="FFFFFF"/>
        <w:spacing w:before="0" w:beforeAutospacing="0" w:after="120" w:afterAutospacing="0"/>
        <w:jc w:val="both"/>
        <w:rPr>
          <w:rFonts w:ascii="Arial" w:hAnsi="Arial" w:cs="Arial"/>
          <w:color w:val="000000"/>
          <w:sz w:val="20"/>
          <w:szCs w:val="20"/>
        </w:rPr>
      </w:pPr>
      <w:r w:rsidRPr="003516DC">
        <w:rPr>
          <w:rFonts w:ascii="Arial" w:hAnsi="Arial" w:cs="Arial"/>
          <w:color w:val="000000"/>
          <w:sz w:val="20"/>
          <w:szCs w:val="20"/>
        </w:rPr>
        <w:t>The recommendation of the consultant team regarding the financial (pre)allocation between regions and areas of investment, given the early stage of development of the TJTPs, but also the need to maintain standards of transparency, fairness and discrimination, is that no pre-allocation be made. Instead, the OPJT should be open to fully competitive awarding, with potential corrections along the way, including in the form of increased technical assistance for regions and priority investment needs that will show evidence of low absorption.</w:t>
      </w:r>
    </w:p>
    <w:p w14:paraId="10742F9E" w14:textId="635DAC78" w:rsidR="00E71D29" w:rsidRPr="003516DC" w:rsidRDefault="00E71D29" w:rsidP="00E42342">
      <w:pPr>
        <w:pStyle w:val="Heading2"/>
        <w:numPr>
          <w:ilvl w:val="0"/>
          <w:numId w:val="188"/>
        </w:numPr>
        <w:spacing w:before="240" w:after="240" w:line="240" w:lineRule="auto"/>
      </w:pPr>
      <w:bookmarkStart w:id="417" w:name="_Toc90725926"/>
      <w:r w:rsidRPr="003516DC">
        <w:t>Conclusions for identified investment needs</w:t>
      </w:r>
      <w:bookmarkEnd w:id="417"/>
    </w:p>
    <w:p w14:paraId="3D3893FF" w14:textId="603F5D42" w:rsidR="00E71D29" w:rsidRPr="003516DC" w:rsidRDefault="00E71D29" w:rsidP="008D32D6">
      <w:pPr>
        <w:spacing w:after="120"/>
        <w:jc w:val="both"/>
        <w:rPr>
          <w:rFonts w:ascii="Arial" w:hAnsi="Arial" w:cs="Arial"/>
          <w:sz w:val="20"/>
          <w:szCs w:val="20"/>
        </w:rPr>
      </w:pPr>
      <w:r w:rsidRPr="003516DC">
        <w:rPr>
          <w:rFonts w:ascii="Arial" w:hAnsi="Arial" w:cs="Arial"/>
          <w:sz w:val="20"/>
          <w:szCs w:val="20"/>
        </w:rPr>
        <w:t>While there are significant differences between the six affected regions, similarities have also emerged across identified investment needs (i.e., the past experiences of local stakeholders, including the impact of different economic diversification programmes funded through EU funds).</w:t>
      </w:r>
    </w:p>
    <w:p w14:paraId="11B6CF40" w14:textId="0D3AE23B" w:rsidR="00E71D29" w:rsidRDefault="00E71D29" w:rsidP="008D32D6">
      <w:pPr>
        <w:spacing w:after="120"/>
        <w:jc w:val="both"/>
        <w:rPr>
          <w:rFonts w:ascii="Arial" w:hAnsi="Arial" w:cs="Arial"/>
          <w:sz w:val="20"/>
          <w:szCs w:val="20"/>
        </w:rPr>
      </w:pPr>
      <w:r w:rsidRPr="003516DC">
        <w:rPr>
          <w:rFonts w:ascii="Arial" w:hAnsi="Arial" w:cs="Arial"/>
          <w:sz w:val="20"/>
          <w:szCs w:val="20"/>
        </w:rPr>
        <w:t xml:space="preserve">A </w:t>
      </w:r>
      <w:r w:rsidRPr="003516DC">
        <w:rPr>
          <w:rFonts w:ascii="Arial" w:hAnsi="Arial" w:cs="Arial"/>
          <w:b/>
          <w:sz w:val="20"/>
          <w:szCs w:val="20"/>
        </w:rPr>
        <w:t>cross-cutting investment need</w:t>
      </w:r>
      <w:r w:rsidRPr="003516DC">
        <w:rPr>
          <w:rFonts w:ascii="Arial" w:hAnsi="Arial" w:cs="Arial"/>
          <w:sz w:val="20"/>
          <w:szCs w:val="20"/>
        </w:rPr>
        <w:t xml:space="preserve"> identified in all six regions, and especially in Hunedoara, Gorj and Prahova is </w:t>
      </w:r>
      <w:r w:rsidRPr="003516DC">
        <w:rPr>
          <w:rFonts w:ascii="Arial" w:hAnsi="Arial" w:cs="Arial"/>
          <w:b/>
          <w:sz w:val="20"/>
          <w:szCs w:val="20"/>
        </w:rPr>
        <w:t>for land/site decontamination, brownfield redevelopment and land repurposing.</w:t>
      </w:r>
      <w:r w:rsidRPr="003516DC">
        <w:rPr>
          <w:rFonts w:ascii="Arial" w:hAnsi="Arial" w:cs="Arial"/>
          <w:sz w:val="20"/>
          <w:szCs w:val="20"/>
        </w:rPr>
        <w:t xml:space="preserve"> Unfortunately, due to a recently enacted legal framework that establishes contamination status (coupled with a series of adverse incentives), the official list of contaminated sites registered by the National Agency for Environmental Protection recognises only a few sites as contaminated sites within the six affected regions. Stakeholder interviews revealed that the situation on the ground is much more severe and complex than the national legal framework. Complexity in ownership regimes further prevents a coherent, results-oriented approach to land restoration and repurposing. The JTF mechanism, </w:t>
      </w:r>
      <w:r w:rsidR="00E66308">
        <w:rPr>
          <w:rFonts w:ascii="Arial" w:hAnsi="Arial" w:cs="Arial"/>
          <w:sz w:val="20"/>
          <w:szCs w:val="20"/>
        </w:rPr>
        <w:t xml:space="preserve">while respecting the </w:t>
      </w:r>
      <w:r w:rsidRPr="003516DC">
        <w:rPr>
          <w:rFonts w:ascii="Arial" w:hAnsi="Arial" w:cs="Arial"/>
          <w:sz w:val="20"/>
          <w:szCs w:val="20"/>
        </w:rPr>
        <w:t>polluter pays principle, should consider local realities and prioritise investments in land restoration and repurposing</w:t>
      </w:r>
      <w:r w:rsidR="00E66308">
        <w:rPr>
          <w:rFonts w:ascii="Arial" w:hAnsi="Arial" w:cs="Arial"/>
          <w:sz w:val="20"/>
          <w:szCs w:val="20"/>
        </w:rPr>
        <w:t>, in parallel to legislative or administrative initatives that would clarify ownership regime</w:t>
      </w:r>
      <w:r w:rsidRPr="003516DC">
        <w:rPr>
          <w:rFonts w:ascii="Arial" w:hAnsi="Arial" w:cs="Arial"/>
          <w:sz w:val="20"/>
          <w:szCs w:val="20"/>
        </w:rPr>
        <w:t xml:space="preserve">. This would not only create concrete opportunities for business and job creation (think of all the companies involved in such projects as service providers), but also – especially as far as inner-city degraded land is concerned – real estate development opportunities (which is important to attract new inhabitants as well as tax reasons), enhanced tourism potential, etc. </w:t>
      </w:r>
    </w:p>
    <w:p w14:paraId="6A8D0A52" w14:textId="20B0B801" w:rsidR="00B51A58" w:rsidRDefault="00B51A58" w:rsidP="008D32D6">
      <w:pPr>
        <w:spacing w:after="120"/>
        <w:jc w:val="both"/>
        <w:rPr>
          <w:rFonts w:ascii="Arial" w:hAnsi="Arial" w:cs="Arial"/>
          <w:sz w:val="20"/>
          <w:szCs w:val="20"/>
        </w:rPr>
      </w:pPr>
      <w:bookmarkStart w:id="418" w:name="_Hlk85565346"/>
      <w:r>
        <w:rPr>
          <w:rFonts w:ascii="Arial" w:hAnsi="Arial" w:cs="Arial"/>
          <w:sz w:val="20"/>
          <w:szCs w:val="20"/>
        </w:rPr>
        <w:lastRenderedPageBreak/>
        <w:t xml:space="preserve">The table below sums up the ownership regime of sites which are officially registered as contaminated </w:t>
      </w:r>
      <w:r w:rsidR="008E0677">
        <w:rPr>
          <w:rFonts w:ascii="Arial" w:hAnsi="Arial" w:cs="Arial"/>
          <w:sz w:val="20"/>
          <w:szCs w:val="20"/>
        </w:rPr>
        <w:t xml:space="preserve">and potentially contaminated </w:t>
      </w:r>
      <w:r>
        <w:rPr>
          <w:rFonts w:ascii="Arial" w:hAnsi="Arial" w:cs="Arial"/>
          <w:sz w:val="20"/>
          <w:szCs w:val="20"/>
        </w:rPr>
        <w:t>in each of the six affected counties (expressed both as percentage of the total surface of contaminated sites in the county and in number of sites under each type of ownership). We made this analysis based on data received from National Agency for Environment because, in many cases the sites which are in public ownership ha</w:t>
      </w:r>
      <w:r w:rsidR="008E0677">
        <w:rPr>
          <w:rFonts w:ascii="Arial" w:hAnsi="Arial" w:cs="Arial"/>
          <w:sz w:val="20"/>
          <w:szCs w:val="20"/>
        </w:rPr>
        <w:t>ve</w:t>
      </w:r>
      <w:r>
        <w:rPr>
          <w:rFonts w:ascii="Arial" w:hAnsi="Arial" w:cs="Arial"/>
          <w:sz w:val="20"/>
          <w:szCs w:val="20"/>
        </w:rPr>
        <w:t xml:space="preserve"> historical polluters that are no longer in existence (e.g.: defunct companies from the communist times). It ought to be noted, nonetheless, that there are countless former indus</w:t>
      </w:r>
      <w:r w:rsidR="008E0677">
        <w:rPr>
          <w:rFonts w:ascii="Arial" w:hAnsi="Arial" w:cs="Arial"/>
          <w:sz w:val="20"/>
          <w:szCs w:val="20"/>
        </w:rPr>
        <w:t>tr</w:t>
      </w:r>
      <w:r>
        <w:rPr>
          <w:rFonts w:ascii="Arial" w:hAnsi="Arial" w:cs="Arial"/>
          <w:sz w:val="20"/>
          <w:szCs w:val="20"/>
        </w:rPr>
        <w:t xml:space="preserve">rial sites in each of the affected regions which are polluted/ contaminated/ abandoned which are not listed in the official registry due to various reasons, especially the lengthy bureaucratic and administration process of registration and due to the incentive of </w:t>
      </w:r>
      <w:r w:rsidR="00E97148">
        <w:rPr>
          <w:rFonts w:ascii="Arial" w:hAnsi="Arial" w:cs="Arial"/>
          <w:sz w:val="20"/>
          <w:szCs w:val="20"/>
        </w:rPr>
        <w:t>avoiding having a certain site on the list, as it could legally trigger decontamination obligations for the current owner of the site.</w:t>
      </w:r>
    </w:p>
    <w:p w14:paraId="20578D9F" w14:textId="4DB56E82" w:rsidR="008E0677" w:rsidRDefault="008E0677" w:rsidP="004E2DCB">
      <w:pPr>
        <w:pStyle w:val="Caption"/>
        <w:spacing w:before="120"/>
        <w:ind w:left="1138" w:hanging="1138"/>
      </w:pPr>
      <w:bookmarkStart w:id="419" w:name="_Toc90726039"/>
      <w:bookmarkStart w:id="420" w:name="_Toc90727336"/>
      <w:bookmarkEnd w:id="418"/>
      <w:r>
        <w:t xml:space="preserve">Table </w:t>
      </w:r>
      <w:r w:rsidR="000B273D">
        <w:rPr>
          <w:noProof/>
        </w:rPr>
        <w:fldChar w:fldCharType="begin"/>
      </w:r>
      <w:r w:rsidR="000B273D">
        <w:rPr>
          <w:noProof/>
        </w:rPr>
        <w:instrText xml:space="preserve"> SEQ Table \* ARABIC </w:instrText>
      </w:r>
      <w:r w:rsidR="000B273D">
        <w:rPr>
          <w:noProof/>
        </w:rPr>
        <w:fldChar w:fldCharType="separate"/>
      </w:r>
      <w:r w:rsidR="004E2DCB">
        <w:rPr>
          <w:noProof/>
        </w:rPr>
        <w:t>85</w:t>
      </w:r>
      <w:r w:rsidR="000B273D">
        <w:rPr>
          <w:noProof/>
        </w:rPr>
        <w:fldChar w:fldCharType="end"/>
      </w:r>
      <w:r>
        <w:t>: List of contaminated and potentially contaminated sites in the six affected regions</w:t>
      </w:r>
      <w:bookmarkEnd w:id="419"/>
      <w:bookmarkEnd w:id="420"/>
    </w:p>
    <w:tbl>
      <w:tblPr>
        <w:tblStyle w:val="TableGrid"/>
        <w:tblW w:w="5000" w:type="pct"/>
        <w:tblLook w:val="04A0" w:firstRow="1" w:lastRow="0" w:firstColumn="1" w:lastColumn="0" w:noHBand="0" w:noVBand="1"/>
      </w:tblPr>
      <w:tblGrid>
        <w:gridCol w:w="1786"/>
        <w:gridCol w:w="820"/>
        <w:gridCol w:w="966"/>
        <w:gridCol w:w="743"/>
        <w:gridCol w:w="1043"/>
        <w:gridCol w:w="757"/>
        <w:gridCol w:w="1029"/>
        <w:gridCol w:w="771"/>
        <w:gridCol w:w="1014"/>
      </w:tblGrid>
      <w:tr w:rsidR="002B0D2A" w:rsidRPr="005A3FA9" w14:paraId="46BE1A7C" w14:textId="77777777" w:rsidTr="00190BA4">
        <w:trPr>
          <w:trHeight w:val="432"/>
        </w:trPr>
        <w:tc>
          <w:tcPr>
            <w:tcW w:w="1000" w:type="pct"/>
            <w:vMerge w:val="restart"/>
            <w:shd w:val="clear" w:color="auto" w:fill="002060"/>
            <w:vAlign w:val="center"/>
          </w:tcPr>
          <w:p w14:paraId="4DA2959D" w14:textId="77777777" w:rsidR="002B0D2A" w:rsidRPr="005A3FA9" w:rsidRDefault="002B0D2A" w:rsidP="00190BA4">
            <w:pPr>
              <w:rPr>
                <w:rFonts w:ascii="Arial" w:hAnsi="Arial" w:cs="Arial"/>
                <w:b/>
                <w:bCs/>
                <w:sz w:val="18"/>
                <w:szCs w:val="18"/>
                <w:lang w:eastAsia="en-US"/>
              </w:rPr>
            </w:pPr>
            <w:r w:rsidRPr="005A3FA9">
              <w:rPr>
                <w:rFonts w:ascii="Arial" w:hAnsi="Arial" w:cs="Arial"/>
                <w:b/>
                <w:bCs/>
                <w:sz w:val="18"/>
                <w:szCs w:val="18"/>
                <w:lang w:eastAsia="en-US"/>
              </w:rPr>
              <w:t>County</w:t>
            </w:r>
          </w:p>
        </w:tc>
        <w:tc>
          <w:tcPr>
            <w:tcW w:w="1000" w:type="pct"/>
            <w:gridSpan w:val="2"/>
            <w:shd w:val="clear" w:color="auto" w:fill="002060"/>
            <w:vAlign w:val="center"/>
          </w:tcPr>
          <w:p w14:paraId="715292F5" w14:textId="77777777" w:rsidR="002B0D2A" w:rsidRPr="005A3FA9" w:rsidRDefault="002B0D2A" w:rsidP="00190BA4">
            <w:pPr>
              <w:jc w:val="center"/>
              <w:rPr>
                <w:rFonts w:ascii="Arial" w:hAnsi="Arial" w:cs="Arial"/>
                <w:b/>
                <w:bCs/>
                <w:sz w:val="18"/>
                <w:szCs w:val="18"/>
                <w:lang w:eastAsia="en-US"/>
              </w:rPr>
            </w:pPr>
            <w:r w:rsidRPr="005A3FA9">
              <w:rPr>
                <w:rFonts w:ascii="Arial" w:hAnsi="Arial" w:cs="Arial"/>
                <w:b/>
                <w:bCs/>
                <w:sz w:val="18"/>
                <w:szCs w:val="18"/>
                <w:lang w:eastAsia="en-US"/>
              </w:rPr>
              <w:t>Public ownership</w:t>
            </w:r>
          </w:p>
        </w:tc>
        <w:tc>
          <w:tcPr>
            <w:tcW w:w="1000" w:type="pct"/>
            <w:gridSpan w:val="2"/>
            <w:shd w:val="clear" w:color="auto" w:fill="002060"/>
            <w:vAlign w:val="center"/>
          </w:tcPr>
          <w:p w14:paraId="07DCA290" w14:textId="77777777" w:rsidR="002B0D2A" w:rsidRPr="005A3FA9" w:rsidRDefault="002B0D2A" w:rsidP="00190BA4">
            <w:pPr>
              <w:jc w:val="center"/>
              <w:rPr>
                <w:rFonts w:ascii="Arial" w:hAnsi="Arial" w:cs="Arial"/>
                <w:b/>
                <w:bCs/>
                <w:sz w:val="18"/>
                <w:szCs w:val="18"/>
                <w:lang w:eastAsia="en-US"/>
              </w:rPr>
            </w:pPr>
            <w:r w:rsidRPr="005A3FA9">
              <w:rPr>
                <w:rFonts w:ascii="Arial" w:hAnsi="Arial" w:cs="Arial"/>
                <w:b/>
                <w:bCs/>
                <w:sz w:val="18"/>
                <w:szCs w:val="18"/>
                <w:lang w:eastAsia="en-US"/>
              </w:rPr>
              <w:t>Private ownership</w:t>
            </w:r>
          </w:p>
        </w:tc>
        <w:tc>
          <w:tcPr>
            <w:tcW w:w="1000" w:type="pct"/>
            <w:gridSpan w:val="2"/>
            <w:shd w:val="clear" w:color="auto" w:fill="002060"/>
            <w:vAlign w:val="center"/>
          </w:tcPr>
          <w:p w14:paraId="365534F9" w14:textId="77777777" w:rsidR="002B0D2A" w:rsidRPr="005A3FA9" w:rsidRDefault="002B0D2A" w:rsidP="00190BA4">
            <w:pPr>
              <w:jc w:val="center"/>
              <w:rPr>
                <w:rFonts w:ascii="Arial" w:hAnsi="Arial" w:cs="Arial"/>
                <w:b/>
                <w:bCs/>
                <w:sz w:val="18"/>
                <w:szCs w:val="18"/>
                <w:lang w:eastAsia="en-US"/>
              </w:rPr>
            </w:pPr>
            <w:r w:rsidRPr="005A3FA9">
              <w:rPr>
                <w:rFonts w:ascii="Arial" w:hAnsi="Arial" w:cs="Arial"/>
                <w:b/>
                <w:bCs/>
                <w:sz w:val="18"/>
                <w:szCs w:val="18"/>
                <w:lang w:eastAsia="en-US"/>
              </w:rPr>
              <w:t>Mixed ownership</w:t>
            </w:r>
          </w:p>
        </w:tc>
        <w:tc>
          <w:tcPr>
            <w:tcW w:w="1000" w:type="pct"/>
            <w:gridSpan w:val="2"/>
            <w:shd w:val="clear" w:color="auto" w:fill="002060"/>
            <w:vAlign w:val="center"/>
          </w:tcPr>
          <w:p w14:paraId="7DDDF2F2" w14:textId="77777777" w:rsidR="002B0D2A" w:rsidRPr="005A3FA9" w:rsidRDefault="002B0D2A" w:rsidP="00190BA4">
            <w:pPr>
              <w:jc w:val="center"/>
              <w:rPr>
                <w:rFonts w:ascii="Arial" w:hAnsi="Arial" w:cs="Arial"/>
                <w:b/>
                <w:bCs/>
                <w:sz w:val="18"/>
                <w:szCs w:val="18"/>
                <w:lang w:eastAsia="en-US"/>
              </w:rPr>
            </w:pPr>
            <w:r w:rsidRPr="005A3FA9">
              <w:rPr>
                <w:rFonts w:ascii="Arial" w:hAnsi="Arial" w:cs="Arial"/>
                <w:b/>
                <w:bCs/>
                <w:sz w:val="18"/>
                <w:szCs w:val="18"/>
                <w:lang w:eastAsia="en-US"/>
              </w:rPr>
              <w:t>Total</w:t>
            </w:r>
          </w:p>
        </w:tc>
      </w:tr>
      <w:tr w:rsidR="00E661C7" w:rsidRPr="005A3FA9" w14:paraId="3A9E2450" w14:textId="77777777" w:rsidTr="00190BA4">
        <w:trPr>
          <w:trHeight w:val="288"/>
        </w:trPr>
        <w:tc>
          <w:tcPr>
            <w:tcW w:w="1000" w:type="pct"/>
            <w:vMerge/>
            <w:vAlign w:val="center"/>
          </w:tcPr>
          <w:p w14:paraId="060AE888" w14:textId="77777777" w:rsidR="002B0D2A" w:rsidRPr="005A3FA9" w:rsidRDefault="002B0D2A" w:rsidP="00190BA4">
            <w:pPr>
              <w:rPr>
                <w:rFonts w:ascii="Arial" w:hAnsi="Arial" w:cs="Arial"/>
                <w:sz w:val="18"/>
                <w:szCs w:val="18"/>
                <w:lang w:eastAsia="en-US"/>
              </w:rPr>
            </w:pPr>
          </w:p>
        </w:tc>
        <w:tc>
          <w:tcPr>
            <w:tcW w:w="459" w:type="pct"/>
            <w:shd w:val="clear" w:color="auto" w:fill="B8CCE4" w:themeFill="accent1" w:themeFillTint="66"/>
            <w:vAlign w:val="center"/>
          </w:tcPr>
          <w:p w14:paraId="6B8768F1"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No.</w:t>
            </w:r>
          </w:p>
        </w:tc>
        <w:tc>
          <w:tcPr>
            <w:tcW w:w="541" w:type="pct"/>
            <w:shd w:val="clear" w:color="auto" w:fill="B8CCE4" w:themeFill="accent1" w:themeFillTint="66"/>
            <w:vAlign w:val="center"/>
          </w:tcPr>
          <w:p w14:paraId="44D1E6F4"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Area (%)</w:t>
            </w:r>
          </w:p>
        </w:tc>
        <w:tc>
          <w:tcPr>
            <w:tcW w:w="416" w:type="pct"/>
            <w:shd w:val="clear" w:color="auto" w:fill="B8CCE4" w:themeFill="accent1" w:themeFillTint="66"/>
            <w:vAlign w:val="center"/>
          </w:tcPr>
          <w:p w14:paraId="4395ECCA"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No.</w:t>
            </w:r>
          </w:p>
        </w:tc>
        <w:tc>
          <w:tcPr>
            <w:tcW w:w="584" w:type="pct"/>
            <w:shd w:val="clear" w:color="auto" w:fill="B8CCE4" w:themeFill="accent1" w:themeFillTint="66"/>
            <w:vAlign w:val="center"/>
          </w:tcPr>
          <w:p w14:paraId="69A9EC87"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Area (%)</w:t>
            </w:r>
          </w:p>
        </w:tc>
        <w:tc>
          <w:tcPr>
            <w:tcW w:w="424" w:type="pct"/>
            <w:shd w:val="clear" w:color="auto" w:fill="B8CCE4" w:themeFill="accent1" w:themeFillTint="66"/>
            <w:vAlign w:val="center"/>
          </w:tcPr>
          <w:p w14:paraId="36E3ED81"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No.</w:t>
            </w:r>
          </w:p>
        </w:tc>
        <w:tc>
          <w:tcPr>
            <w:tcW w:w="576" w:type="pct"/>
            <w:shd w:val="clear" w:color="auto" w:fill="B8CCE4" w:themeFill="accent1" w:themeFillTint="66"/>
            <w:vAlign w:val="center"/>
          </w:tcPr>
          <w:p w14:paraId="611B4E5F"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Area (%)</w:t>
            </w:r>
          </w:p>
        </w:tc>
        <w:tc>
          <w:tcPr>
            <w:tcW w:w="432" w:type="pct"/>
            <w:shd w:val="clear" w:color="auto" w:fill="B8CCE4" w:themeFill="accent1" w:themeFillTint="66"/>
            <w:vAlign w:val="center"/>
          </w:tcPr>
          <w:p w14:paraId="6F9A6A8D"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No.</w:t>
            </w:r>
          </w:p>
        </w:tc>
        <w:tc>
          <w:tcPr>
            <w:tcW w:w="568" w:type="pct"/>
            <w:shd w:val="clear" w:color="auto" w:fill="B8CCE4" w:themeFill="accent1" w:themeFillTint="66"/>
            <w:vAlign w:val="center"/>
          </w:tcPr>
          <w:p w14:paraId="11F68D79" w14:textId="77777777" w:rsidR="002B0D2A" w:rsidRPr="005A3FA9" w:rsidRDefault="002B0D2A" w:rsidP="00190BA4">
            <w:pPr>
              <w:jc w:val="center"/>
              <w:rPr>
                <w:rFonts w:ascii="Arial" w:hAnsi="Arial" w:cs="Arial"/>
                <w:sz w:val="18"/>
                <w:szCs w:val="18"/>
                <w:lang w:eastAsia="en-US"/>
              </w:rPr>
            </w:pPr>
            <w:r w:rsidRPr="005A3FA9">
              <w:rPr>
                <w:rFonts w:ascii="Arial" w:hAnsi="Arial" w:cs="Arial"/>
                <w:sz w:val="18"/>
                <w:szCs w:val="18"/>
                <w:lang w:eastAsia="en-US"/>
              </w:rPr>
              <w:t>Area (</w:t>
            </w:r>
            <w:r>
              <w:rPr>
                <w:rFonts w:ascii="Arial" w:hAnsi="Arial" w:cs="Arial"/>
                <w:sz w:val="18"/>
                <w:szCs w:val="18"/>
                <w:lang w:eastAsia="en-US"/>
              </w:rPr>
              <w:t>ha</w:t>
            </w:r>
            <w:r w:rsidRPr="005A3FA9">
              <w:rPr>
                <w:rFonts w:ascii="Arial" w:hAnsi="Arial" w:cs="Arial"/>
                <w:sz w:val="18"/>
                <w:szCs w:val="18"/>
                <w:lang w:eastAsia="en-US"/>
              </w:rPr>
              <w:t>)</w:t>
            </w:r>
          </w:p>
        </w:tc>
      </w:tr>
      <w:tr w:rsidR="005A7DDE" w:rsidRPr="005A3FA9" w14:paraId="100AE99F" w14:textId="77777777" w:rsidTr="00190BA4">
        <w:trPr>
          <w:trHeight w:val="288"/>
        </w:trPr>
        <w:tc>
          <w:tcPr>
            <w:tcW w:w="1000" w:type="pct"/>
            <w:vAlign w:val="center"/>
          </w:tcPr>
          <w:p w14:paraId="5FE3E43B" w14:textId="77777777" w:rsidR="002B0D2A" w:rsidRPr="005A3FA9" w:rsidRDefault="002B0D2A" w:rsidP="00190BA4">
            <w:pPr>
              <w:rPr>
                <w:rFonts w:ascii="Arial" w:hAnsi="Arial" w:cs="Arial"/>
                <w:sz w:val="18"/>
                <w:szCs w:val="18"/>
                <w:lang w:eastAsia="en-US"/>
              </w:rPr>
            </w:pPr>
            <w:r>
              <w:rPr>
                <w:rFonts w:ascii="Arial" w:hAnsi="Arial" w:cs="Arial"/>
                <w:sz w:val="18"/>
                <w:szCs w:val="18"/>
                <w:lang w:eastAsia="en-US"/>
              </w:rPr>
              <w:t>Hunedoara</w:t>
            </w:r>
          </w:p>
        </w:tc>
        <w:tc>
          <w:tcPr>
            <w:tcW w:w="459" w:type="pct"/>
            <w:vAlign w:val="center"/>
          </w:tcPr>
          <w:p w14:paraId="44B79D1A"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36</w:t>
            </w:r>
          </w:p>
        </w:tc>
        <w:tc>
          <w:tcPr>
            <w:tcW w:w="541" w:type="pct"/>
            <w:vAlign w:val="center"/>
          </w:tcPr>
          <w:p w14:paraId="5312B6FA"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86%</w:t>
            </w:r>
          </w:p>
        </w:tc>
        <w:tc>
          <w:tcPr>
            <w:tcW w:w="416" w:type="pct"/>
            <w:vAlign w:val="center"/>
          </w:tcPr>
          <w:p w14:paraId="1002681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5</w:t>
            </w:r>
          </w:p>
        </w:tc>
        <w:tc>
          <w:tcPr>
            <w:tcW w:w="584" w:type="pct"/>
            <w:vAlign w:val="center"/>
          </w:tcPr>
          <w:p w14:paraId="475F267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14%</w:t>
            </w:r>
          </w:p>
        </w:tc>
        <w:tc>
          <w:tcPr>
            <w:tcW w:w="424" w:type="pct"/>
            <w:vAlign w:val="center"/>
          </w:tcPr>
          <w:p w14:paraId="2852CE30"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576" w:type="pct"/>
            <w:vAlign w:val="center"/>
          </w:tcPr>
          <w:p w14:paraId="0BBCDB10"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432" w:type="pct"/>
            <w:vAlign w:val="center"/>
          </w:tcPr>
          <w:p w14:paraId="672C9D3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41</w:t>
            </w:r>
          </w:p>
        </w:tc>
        <w:tc>
          <w:tcPr>
            <w:tcW w:w="568" w:type="pct"/>
            <w:vAlign w:val="center"/>
          </w:tcPr>
          <w:p w14:paraId="359783B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702</w:t>
            </w:r>
          </w:p>
        </w:tc>
      </w:tr>
      <w:tr w:rsidR="005A7DDE" w:rsidRPr="005A3FA9" w14:paraId="5DF78FCC" w14:textId="77777777" w:rsidTr="00190BA4">
        <w:trPr>
          <w:trHeight w:val="288"/>
        </w:trPr>
        <w:tc>
          <w:tcPr>
            <w:tcW w:w="1000" w:type="pct"/>
            <w:vAlign w:val="center"/>
          </w:tcPr>
          <w:p w14:paraId="0265F70A" w14:textId="77777777" w:rsidR="002B0D2A" w:rsidRPr="005A3FA9" w:rsidRDefault="002B0D2A" w:rsidP="00190BA4">
            <w:pPr>
              <w:rPr>
                <w:rFonts w:ascii="Arial" w:hAnsi="Arial" w:cs="Arial"/>
                <w:sz w:val="18"/>
                <w:szCs w:val="18"/>
                <w:lang w:eastAsia="en-US"/>
              </w:rPr>
            </w:pPr>
            <w:r>
              <w:rPr>
                <w:rFonts w:ascii="Arial" w:hAnsi="Arial" w:cs="Arial"/>
                <w:sz w:val="18"/>
                <w:szCs w:val="18"/>
                <w:lang w:eastAsia="en-US"/>
              </w:rPr>
              <w:t>Dolj</w:t>
            </w:r>
          </w:p>
        </w:tc>
        <w:tc>
          <w:tcPr>
            <w:tcW w:w="459" w:type="pct"/>
            <w:vAlign w:val="center"/>
          </w:tcPr>
          <w:p w14:paraId="1CC2F681"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25</w:t>
            </w:r>
          </w:p>
        </w:tc>
        <w:tc>
          <w:tcPr>
            <w:tcW w:w="541" w:type="pct"/>
            <w:vAlign w:val="center"/>
          </w:tcPr>
          <w:p w14:paraId="7E776B5C"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3%</w:t>
            </w:r>
          </w:p>
        </w:tc>
        <w:tc>
          <w:tcPr>
            <w:tcW w:w="416" w:type="pct"/>
            <w:vAlign w:val="center"/>
          </w:tcPr>
          <w:p w14:paraId="465E979E"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6</w:t>
            </w:r>
          </w:p>
        </w:tc>
        <w:tc>
          <w:tcPr>
            <w:tcW w:w="584" w:type="pct"/>
            <w:vAlign w:val="center"/>
          </w:tcPr>
          <w:p w14:paraId="35EB5128"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97%</w:t>
            </w:r>
          </w:p>
        </w:tc>
        <w:tc>
          <w:tcPr>
            <w:tcW w:w="424" w:type="pct"/>
            <w:vAlign w:val="center"/>
          </w:tcPr>
          <w:p w14:paraId="1F952D5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576" w:type="pct"/>
            <w:vAlign w:val="center"/>
          </w:tcPr>
          <w:p w14:paraId="38F868B3"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432" w:type="pct"/>
            <w:vAlign w:val="center"/>
          </w:tcPr>
          <w:p w14:paraId="2CD56090"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31</w:t>
            </w:r>
          </w:p>
        </w:tc>
        <w:tc>
          <w:tcPr>
            <w:tcW w:w="568" w:type="pct"/>
            <w:vAlign w:val="center"/>
          </w:tcPr>
          <w:p w14:paraId="10E63D5F"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15,201</w:t>
            </w:r>
          </w:p>
        </w:tc>
      </w:tr>
      <w:tr w:rsidR="005A7DDE" w:rsidRPr="005A3FA9" w14:paraId="6AA5BFE5" w14:textId="77777777" w:rsidTr="00190BA4">
        <w:trPr>
          <w:trHeight w:val="288"/>
        </w:trPr>
        <w:tc>
          <w:tcPr>
            <w:tcW w:w="1000" w:type="pct"/>
            <w:vAlign w:val="center"/>
          </w:tcPr>
          <w:p w14:paraId="36D70CFD" w14:textId="77777777" w:rsidR="002B0D2A" w:rsidRPr="005A3FA9" w:rsidRDefault="002B0D2A" w:rsidP="00190BA4">
            <w:pPr>
              <w:rPr>
                <w:rFonts w:ascii="Arial" w:hAnsi="Arial" w:cs="Arial"/>
                <w:sz w:val="18"/>
                <w:szCs w:val="18"/>
                <w:lang w:eastAsia="en-US"/>
              </w:rPr>
            </w:pPr>
            <w:r>
              <w:rPr>
                <w:rFonts w:ascii="Arial" w:hAnsi="Arial" w:cs="Arial"/>
                <w:sz w:val="18"/>
                <w:szCs w:val="18"/>
                <w:lang w:eastAsia="en-US"/>
              </w:rPr>
              <w:t>Gorj</w:t>
            </w:r>
          </w:p>
        </w:tc>
        <w:tc>
          <w:tcPr>
            <w:tcW w:w="459" w:type="pct"/>
            <w:vAlign w:val="center"/>
          </w:tcPr>
          <w:p w14:paraId="731A0D04"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9</w:t>
            </w:r>
          </w:p>
        </w:tc>
        <w:tc>
          <w:tcPr>
            <w:tcW w:w="541" w:type="pct"/>
            <w:vAlign w:val="center"/>
          </w:tcPr>
          <w:p w14:paraId="49723AC1"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50%</w:t>
            </w:r>
          </w:p>
        </w:tc>
        <w:tc>
          <w:tcPr>
            <w:tcW w:w="416" w:type="pct"/>
            <w:vAlign w:val="center"/>
          </w:tcPr>
          <w:p w14:paraId="3E44D1F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4</w:t>
            </w:r>
          </w:p>
        </w:tc>
        <w:tc>
          <w:tcPr>
            <w:tcW w:w="584" w:type="pct"/>
            <w:vAlign w:val="center"/>
          </w:tcPr>
          <w:p w14:paraId="713787A8"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50%</w:t>
            </w:r>
          </w:p>
        </w:tc>
        <w:tc>
          <w:tcPr>
            <w:tcW w:w="424" w:type="pct"/>
            <w:vAlign w:val="center"/>
          </w:tcPr>
          <w:p w14:paraId="7A5C2832"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576" w:type="pct"/>
            <w:vAlign w:val="center"/>
          </w:tcPr>
          <w:p w14:paraId="3C7F0338"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432" w:type="pct"/>
            <w:vAlign w:val="center"/>
          </w:tcPr>
          <w:p w14:paraId="6FAB5B53"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13</w:t>
            </w:r>
          </w:p>
        </w:tc>
        <w:tc>
          <w:tcPr>
            <w:tcW w:w="568" w:type="pct"/>
            <w:vAlign w:val="center"/>
          </w:tcPr>
          <w:p w14:paraId="1BDB732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16.7</w:t>
            </w:r>
          </w:p>
        </w:tc>
      </w:tr>
      <w:tr w:rsidR="005A7DDE" w:rsidRPr="005A3FA9" w14:paraId="4995D458" w14:textId="77777777" w:rsidTr="00190BA4">
        <w:trPr>
          <w:trHeight w:val="288"/>
        </w:trPr>
        <w:tc>
          <w:tcPr>
            <w:tcW w:w="1000" w:type="pct"/>
            <w:vAlign w:val="center"/>
          </w:tcPr>
          <w:p w14:paraId="57414E25" w14:textId="77777777" w:rsidR="002B0D2A" w:rsidRPr="005A3FA9" w:rsidRDefault="002B0D2A" w:rsidP="00190BA4">
            <w:pPr>
              <w:rPr>
                <w:rFonts w:ascii="Arial" w:hAnsi="Arial" w:cs="Arial"/>
                <w:sz w:val="18"/>
                <w:szCs w:val="18"/>
                <w:lang w:eastAsia="en-US"/>
              </w:rPr>
            </w:pPr>
            <w:r>
              <w:rPr>
                <w:rFonts w:ascii="Arial" w:hAnsi="Arial" w:cs="Arial"/>
                <w:sz w:val="18"/>
                <w:szCs w:val="18"/>
                <w:lang w:eastAsia="en-US"/>
              </w:rPr>
              <w:t>Prahova</w:t>
            </w:r>
          </w:p>
        </w:tc>
        <w:tc>
          <w:tcPr>
            <w:tcW w:w="459" w:type="pct"/>
            <w:vAlign w:val="center"/>
          </w:tcPr>
          <w:p w14:paraId="7F5FBF53"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2</w:t>
            </w:r>
          </w:p>
        </w:tc>
        <w:tc>
          <w:tcPr>
            <w:tcW w:w="541" w:type="pct"/>
            <w:vAlign w:val="center"/>
          </w:tcPr>
          <w:p w14:paraId="173BC3D9"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40%</w:t>
            </w:r>
          </w:p>
        </w:tc>
        <w:tc>
          <w:tcPr>
            <w:tcW w:w="416" w:type="pct"/>
            <w:vAlign w:val="center"/>
          </w:tcPr>
          <w:p w14:paraId="6AD51680"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8</w:t>
            </w:r>
          </w:p>
        </w:tc>
        <w:tc>
          <w:tcPr>
            <w:tcW w:w="584" w:type="pct"/>
            <w:vAlign w:val="center"/>
          </w:tcPr>
          <w:p w14:paraId="0BCD0EF6"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57%</w:t>
            </w:r>
          </w:p>
        </w:tc>
        <w:tc>
          <w:tcPr>
            <w:tcW w:w="424" w:type="pct"/>
            <w:vAlign w:val="center"/>
          </w:tcPr>
          <w:p w14:paraId="54C39A8E"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10</w:t>
            </w:r>
          </w:p>
        </w:tc>
        <w:tc>
          <w:tcPr>
            <w:tcW w:w="576" w:type="pct"/>
            <w:vAlign w:val="center"/>
          </w:tcPr>
          <w:p w14:paraId="6F0D1359"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2%</w:t>
            </w:r>
          </w:p>
        </w:tc>
        <w:tc>
          <w:tcPr>
            <w:tcW w:w="432" w:type="pct"/>
            <w:vAlign w:val="center"/>
          </w:tcPr>
          <w:p w14:paraId="63AC2E66"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20</w:t>
            </w:r>
          </w:p>
        </w:tc>
        <w:tc>
          <w:tcPr>
            <w:tcW w:w="568" w:type="pct"/>
            <w:vAlign w:val="center"/>
          </w:tcPr>
          <w:p w14:paraId="5F7CDCA3"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86.7</w:t>
            </w:r>
          </w:p>
        </w:tc>
      </w:tr>
      <w:tr w:rsidR="005A7DDE" w:rsidRPr="005A3FA9" w14:paraId="7BA04896" w14:textId="77777777" w:rsidTr="00190BA4">
        <w:trPr>
          <w:trHeight w:val="288"/>
        </w:trPr>
        <w:tc>
          <w:tcPr>
            <w:tcW w:w="1000" w:type="pct"/>
            <w:vAlign w:val="center"/>
          </w:tcPr>
          <w:p w14:paraId="50979835" w14:textId="77777777" w:rsidR="002B0D2A" w:rsidRPr="005A3FA9" w:rsidRDefault="002B0D2A" w:rsidP="00190BA4">
            <w:pPr>
              <w:rPr>
                <w:rFonts w:ascii="Arial" w:hAnsi="Arial" w:cs="Arial"/>
                <w:sz w:val="18"/>
                <w:szCs w:val="18"/>
                <w:lang w:val="ro-RO" w:eastAsia="en-US"/>
              </w:rPr>
            </w:pPr>
            <w:r>
              <w:rPr>
                <w:rFonts w:ascii="Arial" w:hAnsi="Arial" w:cs="Arial"/>
                <w:sz w:val="18"/>
                <w:szCs w:val="18"/>
                <w:lang w:eastAsia="en-US"/>
              </w:rPr>
              <w:t>Mure</w:t>
            </w:r>
            <w:r>
              <w:rPr>
                <w:rFonts w:ascii="Arial" w:hAnsi="Arial" w:cs="Arial"/>
                <w:sz w:val="18"/>
                <w:szCs w:val="18"/>
                <w:lang w:val="ro-RO" w:eastAsia="en-US"/>
              </w:rPr>
              <w:t>ș</w:t>
            </w:r>
          </w:p>
        </w:tc>
        <w:tc>
          <w:tcPr>
            <w:tcW w:w="459" w:type="pct"/>
            <w:vAlign w:val="center"/>
          </w:tcPr>
          <w:p w14:paraId="62B70A36"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4</w:t>
            </w:r>
          </w:p>
        </w:tc>
        <w:tc>
          <w:tcPr>
            <w:tcW w:w="541" w:type="pct"/>
            <w:vAlign w:val="center"/>
          </w:tcPr>
          <w:p w14:paraId="230F951B"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94%</w:t>
            </w:r>
          </w:p>
        </w:tc>
        <w:tc>
          <w:tcPr>
            <w:tcW w:w="416" w:type="pct"/>
            <w:vAlign w:val="center"/>
          </w:tcPr>
          <w:p w14:paraId="27D7FE5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3</w:t>
            </w:r>
          </w:p>
        </w:tc>
        <w:tc>
          <w:tcPr>
            <w:tcW w:w="584" w:type="pct"/>
            <w:vAlign w:val="center"/>
          </w:tcPr>
          <w:p w14:paraId="2444CE5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6%</w:t>
            </w:r>
          </w:p>
        </w:tc>
        <w:tc>
          <w:tcPr>
            <w:tcW w:w="424" w:type="pct"/>
            <w:vAlign w:val="center"/>
          </w:tcPr>
          <w:p w14:paraId="7EAC6958"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576" w:type="pct"/>
            <w:vAlign w:val="center"/>
          </w:tcPr>
          <w:p w14:paraId="37524656"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432" w:type="pct"/>
            <w:vAlign w:val="center"/>
          </w:tcPr>
          <w:p w14:paraId="6A612456"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7</w:t>
            </w:r>
          </w:p>
        </w:tc>
        <w:tc>
          <w:tcPr>
            <w:tcW w:w="568" w:type="pct"/>
            <w:vAlign w:val="center"/>
          </w:tcPr>
          <w:p w14:paraId="2BBBE1F1"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114.8</w:t>
            </w:r>
          </w:p>
        </w:tc>
      </w:tr>
      <w:tr w:rsidR="005A7DDE" w:rsidRPr="005A3FA9" w14:paraId="2C0CD350" w14:textId="77777777" w:rsidTr="00190BA4">
        <w:trPr>
          <w:trHeight w:val="288"/>
        </w:trPr>
        <w:tc>
          <w:tcPr>
            <w:tcW w:w="1000" w:type="pct"/>
            <w:vAlign w:val="center"/>
          </w:tcPr>
          <w:p w14:paraId="293648C3" w14:textId="77777777" w:rsidR="002B0D2A" w:rsidRPr="005A3FA9" w:rsidRDefault="002B0D2A" w:rsidP="00190BA4">
            <w:pPr>
              <w:rPr>
                <w:rFonts w:ascii="Arial" w:hAnsi="Arial" w:cs="Arial"/>
                <w:sz w:val="18"/>
                <w:szCs w:val="18"/>
                <w:lang w:val="en-US" w:eastAsia="en-US"/>
              </w:rPr>
            </w:pPr>
            <w:r>
              <w:rPr>
                <w:rFonts w:ascii="Arial" w:hAnsi="Arial" w:cs="Arial"/>
                <w:sz w:val="18"/>
                <w:szCs w:val="18"/>
                <w:lang w:eastAsia="en-US"/>
              </w:rPr>
              <w:t>Galați</w:t>
            </w:r>
          </w:p>
        </w:tc>
        <w:tc>
          <w:tcPr>
            <w:tcW w:w="459" w:type="pct"/>
            <w:vAlign w:val="center"/>
          </w:tcPr>
          <w:p w14:paraId="229236A3"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5</w:t>
            </w:r>
          </w:p>
        </w:tc>
        <w:tc>
          <w:tcPr>
            <w:tcW w:w="541" w:type="pct"/>
            <w:vAlign w:val="center"/>
          </w:tcPr>
          <w:p w14:paraId="5E46BDDD"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8%</w:t>
            </w:r>
          </w:p>
        </w:tc>
        <w:tc>
          <w:tcPr>
            <w:tcW w:w="416" w:type="pct"/>
            <w:vAlign w:val="center"/>
          </w:tcPr>
          <w:p w14:paraId="5AEEBF6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25</w:t>
            </w:r>
          </w:p>
        </w:tc>
        <w:tc>
          <w:tcPr>
            <w:tcW w:w="584" w:type="pct"/>
            <w:vAlign w:val="center"/>
          </w:tcPr>
          <w:p w14:paraId="1431660D"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92%</w:t>
            </w:r>
          </w:p>
        </w:tc>
        <w:tc>
          <w:tcPr>
            <w:tcW w:w="424" w:type="pct"/>
            <w:vAlign w:val="center"/>
          </w:tcPr>
          <w:p w14:paraId="4624CAD4"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576" w:type="pct"/>
            <w:vAlign w:val="center"/>
          </w:tcPr>
          <w:p w14:paraId="0C85F32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w:t>
            </w:r>
          </w:p>
        </w:tc>
        <w:tc>
          <w:tcPr>
            <w:tcW w:w="432" w:type="pct"/>
            <w:vAlign w:val="center"/>
          </w:tcPr>
          <w:p w14:paraId="09CD9AE7"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30</w:t>
            </w:r>
          </w:p>
        </w:tc>
        <w:tc>
          <w:tcPr>
            <w:tcW w:w="568" w:type="pct"/>
            <w:vAlign w:val="center"/>
          </w:tcPr>
          <w:p w14:paraId="2FBC35D5" w14:textId="77777777" w:rsidR="002B0D2A" w:rsidRPr="005A3FA9" w:rsidRDefault="002B0D2A" w:rsidP="00190BA4">
            <w:pPr>
              <w:jc w:val="center"/>
              <w:rPr>
                <w:rFonts w:ascii="Arial" w:hAnsi="Arial" w:cs="Arial"/>
                <w:sz w:val="18"/>
                <w:szCs w:val="18"/>
                <w:lang w:eastAsia="en-US"/>
              </w:rPr>
            </w:pPr>
            <w:r>
              <w:rPr>
                <w:rFonts w:ascii="Arial" w:hAnsi="Arial" w:cs="Arial"/>
                <w:sz w:val="18"/>
                <w:szCs w:val="18"/>
                <w:lang w:eastAsia="en-US"/>
              </w:rPr>
              <w:t>190.9</w:t>
            </w:r>
          </w:p>
        </w:tc>
      </w:tr>
    </w:tbl>
    <w:p w14:paraId="2CF9FDEA" w14:textId="59F08420" w:rsidR="009E2958" w:rsidRPr="009E2958" w:rsidRDefault="009E2958" w:rsidP="009E2958">
      <w:pPr>
        <w:spacing w:after="120"/>
        <w:jc w:val="both"/>
        <w:rPr>
          <w:rFonts w:ascii="Arial" w:hAnsi="Arial" w:cs="Arial"/>
          <w:i/>
          <w:iCs/>
          <w:sz w:val="16"/>
          <w:szCs w:val="16"/>
        </w:rPr>
      </w:pPr>
      <w:r w:rsidRPr="009E2958">
        <w:rPr>
          <w:rFonts w:ascii="Arial" w:hAnsi="Arial" w:cs="Arial"/>
          <w:i/>
          <w:iCs/>
          <w:sz w:val="16"/>
          <w:szCs w:val="16"/>
        </w:rPr>
        <w:t>Source: Ministry of Environment</w:t>
      </w:r>
    </w:p>
    <w:p w14:paraId="106B47D3" w14:textId="05A884C4" w:rsidR="00E71D29" w:rsidRPr="008D32D6" w:rsidRDefault="00E71D29" w:rsidP="005A3FA9">
      <w:pPr>
        <w:spacing w:before="120" w:after="120"/>
        <w:jc w:val="both"/>
        <w:rPr>
          <w:rFonts w:ascii="Arial" w:hAnsi="Arial" w:cs="Arial"/>
          <w:b/>
          <w:sz w:val="20"/>
          <w:szCs w:val="20"/>
        </w:rPr>
      </w:pPr>
      <w:r w:rsidRPr="003516DC">
        <w:rPr>
          <w:rFonts w:ascii="Arial" w:hAnsi="Arial" w:cs="Arial"/>
          <w:sz w:val="20"/>
          <w:szCs w:val="20"/>
        </w:rPr>
        <w:t xml:space="preserve">With little transversal impact data on EU funds collected at the national level, let alone at the county level, stakeholder opinions </w:t>
      </w:r>
      <w:r w:rsidRPr="003516DC">
        <w:rPr>
          <w:rFonts w:ascii="Arial" w:hAnsi="Arial" w:cs="Arial"/>
          <w:b/>
          <w:sz w:val="20"/>
          <w:szCs w:val="20"/>
        </w:rPr>
        <w:t>maintain that entrepreneurship support programmes at the local level have generally delivered suboptimal results.</w:t>
      </w:r>
      <w:r w:rsidRPr="003516DC">
        <w:rPr>
          <w:rFonts w:ascii="Arial" w:hAnsi="Arial" w:cs="Arial"/>
          <w:sz w:val="20"/>
          <w:szCs w:val="20"/>
        </w:rPr>
        <w:t xml:space="preserve"> Enterprises did not survive beyond the period of grant support, funds were diverted from long-term business sustainability to short-term goals (e.g., renovating buildings, etc.) and capacity building programmes have often not been linked to financial instrument support. Furthermore, the incentive (at the local and national levels) to use the number of new enterprises established as a key indicator of success has led to the “artificial creation” of new enterprises across the board. Still, </w:t>
      </w:r>
      <w:r w:rsidRPr="003516DC">
        <w:rPr>
          <w:rFonts w:ascii="Arial" w:hAnsi="Arial" w:cs="Arial"/>
          <w:b/>
          <w:sz w:val="20"/>
          <w:szCs w:val="20"/>
        </w:rPr>
        <w:t xml:space="preserve">there is a large need for economic diversification and entrepreneurship support in all six affected regions, and in particular Gorj, Hunedoara and </w:t>
      </w:r>
      <w:r w:rsidR="003751DC">
        <w:rPr>
          <w:rFonts w:ascii="Arial" w:hAnsi="Arial" w:cs="Arial"/>
          <w:b/>
          <w:sz w:val="20"/>
          <w:szCs w:val="20"/>
        </w:rPr>
        <w:t>Galați</w:t>
      </w:r>
      <w:r w:rsidRPr="003516DC">
        <w:rPr>
          <w:rFonts w:ascii="Arial" w:hAnsi="Arial" w:cs="Arial"/>
          <w:b/>
          <w:sz w:val="20"/>
          <w:szCs w:val="20"/>
        </w:rPr>
        <w:t>.</w:t>
      </w:r>
      <w:r w:rsidRPr="003516DC">
        <w:rPr>
          <w:rFonts w:ascii="Arial" w:hAnsi="Arial" w:cs="Arial"/>
          <w:sz w:val="20"/>
          <w:szCs w:val="20"/>
        </w:rPr>
        <w:t xml:space="preserve"> This indicates that smarter start-up incubation programmes need to be developed. </w:t>
      </w:r>
      <w:r w:rsidR="00091FE3">
        <w:rPr>
          <w:rFonts w:ascii="Arial" w:hAnsi="Arial" w:cs="Arial"/>
          <w:sz w:val="20"/>
          <w:szCs w:val="20"/>
        </w:rPr>
        <w:t>Chapter</w:t>
      </w:r>
      <w:r w:rsidRPr="003516DC">
        <w:rPr>
          <w:rFonts w:ascii="Arial" w:hAnsi="Arial" w:cs="Arial"/>
          <w:sz w:val="20"/>
          <w:szCs w:val="20"/>
        </w:rPr>
        <w:t xml:space="preserve"> 3 makes several, county-tailored recommendations, but by and large it is about supporting existing start-ups/local and SMEs through technology transfer, access to investment capital, internationalisation and digitalisation support – which would all lead to the creation of new jobs rather than supporting the creation of new enterprises. Our demonstrative impact modelling also shows that this type of R&amp;D expenditure also creates the most value added in the long run. Furthermore, any incubation programme should come up with know-how/ consultancy support/skills development plus access to capital (stakeholders stressed the need to develop equal opportunities and gradually “wean off” the local business environment from grants-based funding). </w:t>
      </w:r>
      <w:r w:rsidRPr="003516DC">
        <w:rPr>
          <w:rFonts w:ascii="Arial" w:hAnsi="Arial" w:cs="Arial"/>
          <w:b/>
          <w:sz w:val="20"/>
          <w:szCs w:val="20"/>
        </w:rPr>
        <w:t>New start-up creation should be supported in a limited number of areas: high technology-intensive manufacturing, circular economy, environmental services, solar panel installations, energy efficiency services, etc.</w:t>
      </w:r>
    </w:p>
    <w:p w14:paraId="12DFFC3C" w14:textId="7984A970" w:rsidR="00430A5B" w:rsidRPr="008D32D6" w:rsidRDefault="00E71D29" w:rsidP="00642014">
      <w:pPr>
        <w:spacing w:after="240"/>
        <w:jc w:val="both"/>
        <w:rPr>
          <w:rFonts w:ascii="Arial" w:hAnsi="Arial" w:cs="Arial"/>
          <w:sz w:val="20"/>
          <w:szCs w:val="20"/>
        </w:rPr>
      </w:pPr>
      <w:r w:rsidRPr="003516DC">
        <w:rPr>
          <w:rFonts w:ascii="Arial" w:hAnsi="Arial" w:cs="Arial"/>
          <w:sz w:val="20"/>
          <w:szCs w:val="20"/>
        </w:rPr>
        <w:t xml:space="preserve">A key conclusion from </w:t>
      </w:r>
      <w:r w:rsidR="00091FE3">
        <w:rPr>
          <w:rFonts w:ascii="Arial" w:hAnsi="Arial" w:cs="Arial"/>
          <w:sz w:val="20"/>
          <w:szCs w:val="20"/>
        </w:rPr>
        <w:t>Chapter</w:t>
      </w:r>
      <w:r w:rsidRPr="003516DC">
        <w:rPr>
          <w:rFonts w:ascii="Arial" w:hAnsi="Arial" w:cs="Arial"/>
          <w:sz w:val="20"/>
          <w:szCs w:val="20"/>
        </w:rPr>
        <w:t xml:space="preserve"> 3 is </w:t>
      </w:r>
      <w:r w:rsidRPr="003516DC">
        <w:rPr>
          <w:rFonts w:ascii="Arial" w:hAnsi="Arial" w:cs="Arial"/>
          <w:b/>
          <w:sz w:val="20"/>
          <w:szCs w:val="20"/>
        </w:rPr>
        <w:t>the need for smart(er) reskilling and upskilling programmes than what has typically been supported so far in Romania.</w:t>
      </w:r>
      <w:r w:rsidRPr="003516DC">
        <w:rPr>
          <w:rFonts w:ascii="Arial" w:hAnsi="Arial" w:cs="Arial"/>
          <w:sz w:val="20"/>
          <w:szCs w:val="20"/>
        </w:rPr>
        <w:t xml:space="preserve"> To this end, and particularly in some counties (e.g., Dolj), job observatory programmes should be created to anticipate the needs of the fast-moving local business environment in as close to real time as possible. Furthermore, reskilling and upskilling investments should be tied to productive investments – either through funding that is accessed by public institutions (e.g., building renovations) or by private institutions. There are good practice examples in several EU countries of skilling/apprenticeship programmes tied to subsidies to certain industries and such a cross-institutional approach – despite its inherent administration difficulties – should be implemented in the affected regions.  </w:t>
      </w:r>
      <w:r w:rsidR="00493276">
        <w:rPr>
          <w:rFonts w:ascii="Arial" w:hAnsi="Arial" w:cs="Arial"/>
          <w:sz w:val="20"/>
          <w:szCs w:val="20"/>
        </w:rPr>
        <w:t>A</w:t>
      </w:r>
      <w:r w:rsidRPr="003516DC">
        <w:rPr>
          <w:rFonts w:ascii="Arial" w:hAnsi="Arial" w:cs="Arial"/>
          <w:sz w:val="20"/>
          <w:szCs w:val="20"/>
        </w:rPr>
        <w:t>ddition</w:t>
      </w:r>
      <w:r w:rsidR="00493276">
        <w:rPr>
          <w:rFonts w:ascii="Arial" w:hAnsi="Arial" w:cs="Arial"/>
          <w:sz w:val="20"/>
          <w:szCs w:val="20"/>
        </w:rPr>
        <w:t>ally,</w:t>
      </w:r>
      <w:r w:rsidRPr="003516DC">
        <w:rPr>
          <w:rFonts w:ascii="Arial" w:hAnsi="Arial" w:cs="Arial"/>
          <w:sz w:val="20"/>
          <w:szCs w:val="20"/>
        </w:rPr>
        <w:t xml:space="preserve"> given the demographic and socio-economic profile of the affected regions, another important area of support is represented by investments in active labour market policies and social infrastructure.</w:t>
      </w:r>
    </w:p>
    <w:p w14:paraId="00C0CD82" w14:textId="29963AE1" w:rsidR="00B436AF" w:rsidRPr="00792049" w:rsidRDefault="00B436AF" w:rsidP="00E42342">
      <w:pPr>
        <w:pStyle w:val="Heading1"/>
        <w:numPr>
          <w:ilvl w:val="0"/>
          <w:numId w:val="110"/>
        </w:numPr>
        <w:ind w:left="567" w:hanging="567"/>
        <w:rPr>
          <w:color w:val="4F81BD" w:themeColor="accent1"/>
        </w:rPr>
      </w:pPr>
      <w:bookmarkStart w:id="421" w:name="_Toc68871800"/>
      <w:bookmarkStart w:id="422" w:name="_Toc90725927"/>
      <w:bookmarkEnd w:id="404"/>
      <w:r w:rsidRPr="00792049">
        <w:rPr>
          <w:color w:val="4F81BD" w:themeColor="accent1"/>
        </w:rPr>
        <w:lastRenderedPageBreak/>
        <w:t>Annexes</w:t>
      </w:r>
      <w:bookmarkEnd w:id="421"/>
      <w:bookmarkEnd w:id="422"/>
    </w:p>
    <w:p w14:paraId="4121C65E" w14:textId="77777777" w:rsidR="002037BE" w:rsidRPr="003516DC" w:rsidRDefault="002037BE" w:rsidP="00E234FD">
      <w:pPr>
        <w:spacing w:before="120" w:after="240"/>
        <w:jc w:val="both"/>
        <w:rPr>
          <w:rFonts w:ascii="Arial" w:hAnsi="Arial" w:cs="Arial"/>
          <w:b/>
          <w:color w:val="5B9BD5"/>
        </w:rPr>
      </w:pPr>
      <w:bookmarkStart w:id="423" w:name="_206ipza" w:colFirst="0" w:colLast="0"/>
      <w:bookmarkEnd w:id="423"/>
      <w:r w:rsidRPr="003516DC">
        <w:rPr>
          <w:rFonts w:ascii="Arial" w:hAnsi="Arial" w:cs="Arial"/>
          <w:b/>
          <w:color w:val="5B9BD5"/>
        </w:rPr>
        <w:t>Index</w:t>
      </w:r>
    </w:p>
    <w:p w14:paraId="47C3D0F3" w14:textId="46BA4B0E" w:rsidR="002037BE" w:rsidRPr="00493276" w:rsidRDefault="002037BE" w:rsidP="00E234FD">
      <w:pPr>
        <w:spacing w:before="120" w:after="240"/>
        <w:jc w:val="both"/>
        <w:rPr>
          <w:rFonts w:ascii="Arial" w:hAnsi="Arial" w:cs="Arial"/>
          <w:sz w:val="20"/>
          <w:szCs w:val="20"/>
        </w:rPr>
      </w:pPr>
      <w:r w:rsidRPr="00493276">
        <w:rPr>
          <w:rFonts w:ascii="Arial" w:hAnsi="Arial" w:cs="Arial"/>
          <w:sz w:val="20"/>
          <w:szCs w:val="20"/>
        </w:rPr>
        <w:t xml:space="preserve">Annex 1: </w:t>
      </w:r>
      <w:r w:rsidR="002505DC" w:rsidRPr="00493276">
        <w:rPr>
          <w:rFonts w:ascii="Arial" w:hAnsi="Arial" w:cs="Arial"/>
          <w:sz w:val="20"/>
          <w:szCs w:val="20"/>
        </w:rPr>
        <w:t xml:space="preserve">Comparative analysis </w:t>
      </w:r>
      <w:r w:rsidR="00493276">
        <w:rPr>
          <w:rFonts w:ascii="Arial" w:hAnsi="Arial" w:cs="Arial"/>
          <w:sz w:val="20"/>
          <w:szCs w:val="20"/>
        </w:rPr>
        <w:t>of l</w:t>
      </w:r>
      <w:r w:rsidR="002505DC" w:rsidRPr="00493276">
        <w:rPr>
          <w:rFonts w:ascii="Arial" w:hAnsi="Arial" w:cs="Arial"/>
          <w:sz w:val="20"/>
          <w:szCs w:val="20"/>
        </w:rPr>
        <w:t xml:space="preserve">ocal budgets between 2019-2016 in the </w:t>
      </w:r>
      <w:r w:rsidR="00493276">
        <w:rPr>
          <w:rFonts w:ascii="Arial" w:hAnsi="Arial" w:cs="Arial"/>
          <w:sz w:val="20"/>
          <w:szCs w:val="20"/>
        </w:rPr>
        <w:t>six</w:t>
      </w:r>
      <w:r w:rsidR="002505DC" w:rsidRPr="00493276">
        <w:rPr>
          <w:rFonts w:ascii="Arial" w:hAnsi="Arial" w:cs="Arial"/>
          <w:sz w:val="20"/>
          <w:szCs w:val="20"/>
        </w:rPr>
        <w:t xml:space="preserve"> JTP counties</w:t>
      </w:r>
    </w:p>
    <w:p w14:paraId="3E33DB16" w14:textId="73DE3CC9" w:rsidR="002037BE" w:rsidRPr="00493276" w:rsidRDefault="002037BE" w:rsidP="00E234FD">
      <w:pPr>
        <w:spacing w:before="120" w:after="240"/>
        <w:jc w:val="both"/>
        <w:rPr>
          <w:rFonts w:ascii="Arial" w:hAnsi="Arial" w:cs="Arial"/>
          <w:sz w:val="20"/>
          <w:szCs w:val="20"/>
        </w:rPr>
      </w:pPr>
      <w:r w:rsidRPr="00493276">
        <w:rPr>
          <w:rFonts w:ascii="Arial" w:hAnsi="Arial" w:cs="Arial"/>
          <w:sz w:val="20"/>
          <w:szCs w:val="20"/>
        </w:rPr>
        <w:t xml:space="preserve">Annex 2: </w:t>
      </w:r>
      <w:r w:rsidR="002505DC" w:rsidRPr="00493276">
        <w:rPr>
          <w:rFonts w:ascii="Arial" w:hAnsi="Arial" w:cs="Arial"/>
          <w:sz w:val="20"/>
          <w:szCs w:val="20"/>
        </w:rPr>
        <w:t xml:space="preserve">Comparative analysis of employment in the </w:t>
      </w:r>
      <w:r w:rsidR="00493276">
        <w:rPr>
          <w:rFonts w:ascii="Arial" w:hAnsi="Arial" w:cs="Arial"/>
          <w:sz w:val="20"/>
          <w:szCs w:val="20"/>
        </w:rPr>
        <w:t>six</w:t>
      </w:r>
      <w:r w:rsidR="002505DC" w:rsidRPr="00493276">
        <w:rPr>
          <w:rFonts w:ascii="Arial" w:hAnsi="Arial" w:cs="Arial"/>
          <w:sz w:val="20"/>
          <w:szCs w:val="20"/>
        </w:rPr>
        <w:t xml:space="preserve"> JTP counties</w:t>
      </w:r>
    </w:p>
    <w:p w14:paraId="6668A88A" w14:textId="2FCEF005" w:rsidR="002037BE" w:rsidRPr="00493276" w:rsidRDefault="002037BE" w:rsidP="00E234FD">
      <w:pPr>
        <w:spacing w:before="120" w:after="240"/>
        <w:jc w:val="both"/>
        <w:rPr>
          <w:rFonts w:ascii="Arial" w:hAnsi="Arial" w:cs="Arial"/>
          <w:sz w:val="20"/>
          <w:szCs w:val="20"/>
        </w:rPr>
      </w:pPr>
      <w:r w:rsidRPr="00493276">
        <w:rPr>
          <w:rFonts w:ascii="Arial" w:hAnsi="Arial" w:cs="Arial"/>
          <w:sz w:val="20"/>
          <w:szCs w:val="20"/>
        </w:rPr>
        <w:t xml:space="preserve">Annex 3: </w:t>
      </w:r>
      <w:r w:rsidR="002505DC" w:rsidRPr="00493276">
        <w:rPr>
          <w:rFonts w:ascii="Arial" w:hAnsi="Arial" w:cs="Arial"/>
          <w:sz w:val="20"/>
          <w:szCs w:val="20"/>
        </w:rPr>
        <w:t xml:space="preserve">Comparative analysis of trends in manufacturing across the </w:t>
      </w:r>
      <w:r w:rsidR="00493276">
        <w:rPr>
          <w:rFonts w:ascii="Arial" w:hAnsi="Arial" w:cs="Arial"/>
          <w:sz w:val="20"/>
          <w:szCs w:val="20"/>
        </w:rPr>
        <w:t>six</w:t>
      </w:r>
      <w:r w:rsidR="002505DC" w:rsidRPr="00493276">
        <w:rPr>
          <w:rFonts w:ascii="Arial" w:hAnsi="Arial" w:cs="Arial"/>
          <w:sz w:val="20"/>
          <w:szCs w:val="20"/>
        </w:rPr>
        <w:t xml:space="preserve"> JTP counties</w:t>
      </w:r>
    </w:p>
    <w:p w14:paraId="5816B642" w14:textId="30DAB32E" w:rsidR="002037BE" w:rsidRPr="00493276" w:rsidRDefault="002037BE" w:rsidP="00402580">
      <w:pPr>
        <w:spacing w:before="120" w:after="240"/>
        <w:ind w:left="851" w:hanging="851"/>
        <w:jc w:val="both"/>
        <w:rPr>
          <w:rFonts w:ascii="Arial" w:hAnsi="Arial" w:cs="Arial"/>
          <w:sz w:val="20"/>
          <w:szCs w:val="20"/>
        </w:rPr>
      </w:pPr>
      <w:r w:rsidRPr="00493276">
        <w:rPr>
          <w:rFonts w:ascii="Arial" w:hAnsi="Arial" w:cs="Arial"/>
          <w:sz w:val="20"/>
          <w:szCs w:val="20"/>
        </w:rPr>
        <w:t xml:space="preserve">Annex 4: </w:t>
      </w:r>
      <w:r w:rsidR="002505DC" w:rsidRPr="00493276">
        <w:rPr>
          <w:rFonts w:ascii="Arial" w:hAnsi="Arial" w:cs="Arial"/>
          <w:sz w:val="20"/>
          <w:szCs w:val="20"/>
        </w:rPr>
        <w:t xml:space="preserve">Comparative analysis of high-tech industry and knowledge-intensive services (HTEC) in the </w:t>
      </w:r>
      <w:r w:rsidR="00493276">
        <w:rPr>
          <w:rFonts w:ascii="Arial" w:hAnsi="Arial" w:cs="Arial"/>
          <w:sz w:val="20"/>
          <w:szCs w:val="20"/>
        </w:rPr>
        <w:t>six</w:t>
      </w:r>
      <w:r w:rsidR="002505DC" w:rsidRPr="00493276">
        <w:rPr>
          <w:rFonts w:ascii="Arial" w:hAnsi="Arial" w:cs="Arial"/>
          <w:sz w:val="20"/>
          <w:szCs w:val="20"/>
        </w:rPr>
        <w:t xml:space="preserve"> JTP counties</w:t>
      </w:r>
    </w:p>
    <w:p w14:paraId="32834240" w14:textId="40946F72" w:rsidR="003A13DD" w:rsidRDefault="002037BE" w:rsidP="00402580">
      <w:pPr>
        <w:spacing w:before="120" w:after="240"/>
        <w:ind w:left="851" w:hanging="851"/>
        <w:jc w:val="both"/>
        <w:rPr>
          <w:rFonts w:ascii="Arial" w:hAnsi="Arial" w:cs="Arial"/>
          <w:sz w:val="20"/>
          <w:szCs w:val="20"/>
        </w:rPr>
      </w:pPr>
      <w:r w:rsidRPr="00493276">
        <w:rPr>
          <w:rFonts w:ascii="Arial" w:hAnsi="Arial" w:cs="Arial"/>
          <w:sz w:val="20"/>
          <w:szCs w:val="20"/>
        </w:rPr>
        <w:t xml:space="preserve">Annex 5: </w:t>
      </w:r>
      <w:r w:rsidR="002505DC" w:rsidRPr="00493276">
        <w:rPr>
          <w:rFonts w:ascii="Arial" w:hAnsi="Arial" w:cs="Arial"/>
          <w:sz w:val="20"/>
          <w:szCs w:val="20"/>
        </w:rPr>
        <w:t xml:space="preserve">Analysis of large and medium-sized companies by turnover and number of employees in the </w:t>
      </w:r>
      <w:r w:rsidR="00493276">
        <w:rPr>
          <w:rFonts w:ascii="Arial" w:hAnsi="Arial" w:cs="Arial"/>
          <w:sz w:val="20"/>
          <w:szCs w:val="20"/>
        </w:rPr>
        <w:t>six</w:t>
      </w:r>
      <w:r w:rsidR="002505DC" w:rsidRPr="00493276">
        <w:rPr>
          <w:rFonts w:ascii="Arial" w:hAnsi="Arial" w:cs="Arial"/>
          <w:sz w:val="20"/>
          <w:szCs w:val="20"/>
        </w:rPr>
        <w:t xml:space="preserve"> JTP counties</w:t>
      </w:r>
    </w:p>
    <w:p w14:paraId="198443E7" w14:textId="4BADA60A" w:rsidR="002B6BEC" w:rsidRPr="00493276" w:rsidRDefault="002B6BEC" w:rsidP="00402580">
      <w:pPr>
        <w:spacing w:before="120" w:after="240"/>
        <w:ind w:left="851" w:hanging="851"/>
        <w:jc w:val="both"/>
        <w:rPr>
          <w:rFonts w:ascii="Arial" w:hAnsi="Arial" w:cs="Arial"/>
          <w:sz w:val="20"/>
          <w:szCs w:val="20"/>
        </w:rPr>
      </w:pPr>
      <w:r>
        <w:rPr>
          <w:rFonts w:ascii="Arial" w:hAnsi="Arial" w:cs="Arial"/>
          <w:sz w:val="20"/>
          <w:szCs w:val="20"/>
        </w:rPr>
        <w:t>Annex 6: Analysis of project ideas submitted by large enterprises for JTF support in the six JTP counties</w:t>
      </w:r>
    </w:p>
    <w:p w14:paraId="35CEC9A5" w14:textId="66824E61" w:rsidR="00E234FD" w:rsidRPr="004025A2" w:rsidRDefault="004025A2" w:rsidP="004025A2">
      <w:pPr>
        <w:spacing w:before="120" w:after="240"/>
        <w:ind w:left="851" w:hanging="851"/>
        <w:jc w:val="both"/>
        <w:rPr>
          <w:rFonts w:ascii="Arial" w:hAnsi="Arial" w:cs="Arial"/>
          <w:sz w:val="20"/>
          <w:szCs w:val="20"/>
        </w:rPr>
      </w:pPr>
      <w:r w:rsidRPr="004025A2">
        <w:rPr>
          <w:rFonts w:ascii="Arial" w:hAnsi="Arial" w:cs="Arial"/>
          <w:sz w:val="20"/>
          <w:szCs w:val="20"/>
        </w:rPr>
        <w:t xml:space="preserve">Annex </w:t>
      </w:r>
      <w:r w:rsidR="002B6BEC">
        <w:rPr>
          <w:rFonts w:ascii="Arial" w:hAnsi="Arial" w:cs="Arial"/>
          <w:sz w:val="20"/>
          <w:szCs w:val="20"/>
        </w:rPr>
        <w:t>7</w:t>
      </w:r>
      <w:r w:rsidRPr="004025A2">
        <w:rPr>
          <w:rFonts w:ascii="Arial" w:hAnsi="Arial" w:cs="Arial"/>
          <w:sz w:val="20"/>
          <w:szCs w:val="20"/>
        </w:rPr>
        <w:t>: Analysis of value chain impact from the most representative large enterprises in the six JTP counties</w:t>
      </w:r>
    </w:p>
    <w:sectPr w:rsidR="00E234FD" w:rsidRPr="004025A2" w:rsidSect="00983DC7">
      <w:headerReference w:type="default" r:id="rId263"/>
      <w:pgSz w:w="11909" w:h="16834"/>
      <w:pgMar w:top="1440" w:right="1440" w:bottom="1440" w:left="153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3C9605" w14:textId="77777777" w:rsidR="000B273D" w:rsidRDefault="000B273D">
      <w:r>
        <w:separator/>
      </w:r>
    </w:p>
  </w:endnote>
  <w:endnote w:type="continuationSeparator" w:id="0">
    <w:p w14:paraId="16CE0F28" w14:textId="77777777" w:rsidR="000B273D" w:rsidRDefault="000B273D">
      <w:r>
        <w:continuationSeparator/>
      </w:r>
    </w:p>
  </w:endnote>
  <w:endnote w:type="continuationNotice" w:id="1">
    <w:p w14:paraId="74DAE476" w14:textId="77777777" w:rsidR="000B273D" w:rsidRDefault="000B27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E48FF" w14:textId="77777777" w:rsidR="00190BA4" w:rsidRDefault="00190BA4">
    <w:pPr>
      <w:widowControl w:val="0"/>
      <w:pBdr>
        <w:top w:val="nil"/>
        <w:left w:val="nil"/>
        <w:bottom w:val="nil"/>
        <w:right w:val="nil"/>
        <w:between w:val="nil"/>
      </w:pBdr>
      <w:rPr>
        <w:color w:val="000000"/>
        <w:sz w:val="20"/>
        <w:szCs w:val="20"/>
      </w:rPr>
    </w:pPr>
  </w:p>
  <w:tbl>
    <w:tblPr>
      <w:tblW w:w="8940" w:type="dxa"/>
      <w:tblLayout w:type="fixed"/>
      <w:tblCellMar>
        <w:left w:w="115" w:type="dxa"/>
        <w:right w:w="115" w:type="dxa"/>
      </w:tblCellMar>
      <w:tblLook w:val="0600" w:firstRow="0" w:lastRow="0" w:firstColumn="0" w:lastColumn="0" w:noHBand="1" w:noVBand="1"/>
    </w:tblPr>
    <w:tblGrid>
      <w:gridCol w:w="2980"/>
      <w:gridCol w:w="2980"/>
      <w:gridCol w:w="2980"/>
    </w:tblGrid>
    <w:tr w:rsidR="00190BA4" w14:paraId="58437494" w14:textId="77777777" w:rsidTr="00B769E3">
      <w:trPr>
        <w:trHeight w:val="80"/>
      </w:trPr>
      <w:tc>
        <w:tcPr>
          <w:tcW w:w="2980" w:type="dxa"/>
        </w:tcPr>
        <w:p w14:paraId="5EF34177" w14:textId="77777777" w:rsidR="00190BA4" w:rsidRDefault="00190BA4">
          <w:pPr>
            <w:pBdr>
              <w:top w:val="nil"/>
              <w:left w:val="nil"/>
              <w:bottom w:val="nil"/>
              <w:right w:val="nil"/>
              <w:between w:val="nil"/>
            </w:pBdr>
            <w:tabs>
              <w:tab w:val="center" w:pos="4680"/>
              <w:tab w:val="right" w:pos="9360"/>
            </w:tabs>
            <w:ind w:left="-115"/>
            <w:rPr>
              <w:color w:val="000000"/>
            </w:rPr>
          </w:pPr>
        </w:p>
      </w:tc>
      <w:tc>
        <w:tcPr>
          <w:tcW w:w="2980" w:type="dxa"/>
        </w:tcPr>
        <w:p w14:paraId="35236279" w14:textId="77777777" w:rsidR="00190BA4" w:rsidRDefault="00190BA4">
          <w:pPr>
            <w:pBdr>
              <w:top w:val="nil"/>
              <w:left w:val="nil"/>
              <w:bottom w:val="nil"/>
              <w:right w:val="nil"/>
              <w:between w:val="nil"/>
            </w:pBdr>
            <w:tabs>
              <w:tab w:val="center" w:pos="4680"/>
              <w:tab w:val="right" w:pos="9360"/>
            </w:tabs>
            <w:jc w:val="center"/>
            <w:rPr>
              <w:color w:val="000000"/>
            </w:rPr>
          </w:pPr>
        </w:p>
      </w:tc>
      <w:tc>
        <w:tcPr>
          <w:tcW w:w="2980" w:type="dxa"/>
        </w:tcPr>
        <w:p w14:paraId="2985998B" w14:textId="77777777" w:rsidR="00190BA4" w:rsidRDefault="00190BA4">
          <w:pPr>
            <w:pBdr>
              <w:top w:val="nil"/>
              <w:left w:val="nil"/>
              <w:bottom w:val="nil"/>
              <w:right w:val="nil"/>
              <w:between w:val="nil"/>
            </w:pBdr>
            <w:tabs>
              <w:tab w:val="center" w:pos="4680"/>
              <w:tab w:val="right" w:pos="9360"/>
            </w:tabs>
            <w:ind w:right="-115"/>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end"/>
          </w:r>
        </w:p>
        <w:p w14:paraId="05603E52" w14:textId="77777777" w:rsidR="00190BA4" w:rsidRDefault="00190BA4">
          <w:pPr>
            <w:pBdr>
              <w:top w:val="nil"/>
              <w:left w:val="nil"/>
              <w:bottom w:val="nil"/>
              <w:right w:val="nil"/>
              <w:between w:val="nil"/>
            </w:pBdr>
            <w:tabs>
              <w:tab w:val="center" w:pos="4680"/>
              <w:tab w:val="right" w:pos="9360"/>
            </w:tabs>
            <w:ind w:right="-115"/>
            <w:jc w:val="right"/>
            <w:rPr>
              <w:color w:val="000000"/>
            </w:rPr>
          </w:pPr>
        </w:p>
      </w:tc>
    </w:tr>
  </w:tbl>
  <w:p w14:paraId="2EDC32B9"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2648586"/>
      <w:docPartObj>
        <w:docPartGallery w:val="Page Numbers (Bottom of Page)"/>
        <w:docPartUnique/>
      </w:docPartObj>
    </w:sdtPr>
    <w:sdtEndPr>
      <w:rPr>
        <w:noProof/>
      </w:rPr>
    </w:sdtEndPr>
    <w:sdtContent>
      <w:p w14:paraId="048EF017" w14:textId="3D7300F6" w:rsidR="00190BA4" w:rsidRDefault="00190BA4" w:rsidP="009A3BAA">
        <w:pPr>
          <w:pStyle w:val="Footer"/>
          <w:tabs>
            <w:tab w:val="clear" w:pos="9360"/>
            <w:tab w:val="right" w:pos="8789"/>
            <w:tab w:val="left" w:pos="8931"/>
            <w:tab w:val="left" w:pos="9072"/>
          </w:tabs>
          <w:ind w:right="-363"/>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126</w:t>
        </w:r>
        <w:r w:rsidRPr="00175B54">
          <w:rPr>
            <w:noProof/>
            <w:sz w:val="20"/>
            <w:szCs w:val="20"/>
          </w:rPr>
          <w:fldChar w:fldCharType="end"/>
        </w:r>
      </w:p>
    </w:sdtContent>
  </w:sdt>
  <w:p w14:paraId="7A9D56A7"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2694436"/>
      <w:docPartObj>
        <w:docPartGallery w:val="Page Numbers (Bottom of Page)"/>
        <w:docPartUnique/>
      </w:docPartObj>
    </w:sdtPr>
    <w:sdtEndPr>
      <w:rPr>
        <w:noProof/>
      </w:rPr>
    </w:sdtEndPr>
    <w:sdtContent>
      <w:p w14:paraId="0CEC3573" w14:textId="09BBA596" w:rsidR="00190BA4" w:rsidRDefault="00190BA4" w:rsidP="009A3BAA">
        <w:pPr>
          <w:pStyle w:val="Footer"/>
          <w:tabs>
            <w:tab w:val="clear" w:pos="9360"/>
            <w:tab w:val="right" w:pos="8789"/>
            <w:tab w:val="left" w:pos="8931"/>
            <w:tab w:val="left" w:pos="9072"/>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154</w:t>
        </w:r>
        <w:r w:rsidRPr="00175B54">
          <w:rPr>
            <w:noProof/>
            <w:sz w:val="20"/>
            <w:szCs w:val="20"/>
          </w:rPr>
          <w:fldChar w:fldCharType="end"/>
        </w:r>
      </w:p>
    </w:sdtContent>
  </w:sdt>
  <w:p w14:paraId="5CCB39B1"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8069544"/>
      <w:docPartObj>
        <w:docPartGallery w:val="Page Numbers (Bottom of Page)"/>
        <w:docPartUnique/>
      </w:docPartObj>
    </w:sdtPr>
    <w:sdtEndPr>
      <w:rPr>
        <w:noProof/>
      </w:rPr>
    </w:sdtEndPr>
    <w:sdtContent>
      <w:p w14:paraId="167EF6FD" w14:textId="123F982E" w:rsidR="00190BA4" w:rsidRDefault="00190BA4" w:rsidP="009A3BAA">
        <w:pPr>
          <w:pStyle w:val="Footer"/>
          <w:tabs>
            <w:tab w:val="clear" w:pos="9360"/>
            <w:tab w:val="right" w:pos="8789"/>
            <w:tab w:val="left" w:pos="8931"/>
            <w:tab w:val="left" w:pos="9072"/>
          </w:tabs>
          <w:ind w:right="-363"/>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155</w:t>
        </w:r>
        <w:r w:rsidRPr="00175B54">
          <w:rPr>
            <w:noProof/>
            <w:sz w:val="20"/>
            <w:szCs w:val="20"/>
          </w:rPr>
          <w:fldChar w:fldCharType="end"/>
        </w:r>
      </w:p>
    </w:sdtContent>
  </w:sdt>
  <w:p w14:paraId="1FD60461"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0998766"/>
      <w:docPartObj>
        <w:docPartGallery w:val="Page Numbers (Bottom of Page)"/>
        <w:docPartUnique/>
      </w:docPartObj>
    </w:sdtPr>
    <w:sdtEndPr>
      <w:rPr>
        <w:noProof/>
      </w:rPr>
    </w:sdtEndPr>
    <w:sdtContent>
      <w:p w14:paraId="6AA0C7E4" w14:textId="15FFD0AD" w:rsidR="00190BA4" w:rsidRDefault="00190BA4" w:rsidP="00CD568F">
        <w:pPr>
          <w:pStyle w:val="Footer"/>
          <w:tabs>
            <w:tab w:val="clear" w:pos="9360"/>
            <w:tab w:val="right" w:pos="8789"/>
            <w:tab w:val="left" w:pos="8931"/>
            <w:tab w:val="left" w:pos="9072"/>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169</w:t>
        </w:r>
        <w:r w:rsidRPr="00175B54">
          <w:rPr>
            <w:noProof/>
            <w:sz w:val="20"/>
            <w:szCs w:val="20"/>
          </w:rPr>
          <w:fldChar w:fldCharType="end"/>
        </w:r>
      </w:p>
    </w:sdtContent>
  </w:sdt>
  <w:p w14:paraId="3521585C"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4242984"/>
      <w:docPartObj>
        <w:docPartGallery w:val="Page Numbers (Bottom of Page)"/>
        <w:docPartUnique/>
      </w:docPartObj>
    </w:sdtPr>
    <w:sdtEndPr>
      <w:rPr>
        <w:noProof/>
      </w:rPr>
    </w:sdtEndPr>
    <w:sdtContent>
      <w:p w14:paraId="315AE151" w14:textId="02ACBB64" w:rsidR="00190BA4" w:rsidRDefault="00190BA4" w:rsidP="00CD568F">
        <w:pPr>
          <w:pStyle w:val="Footer"/>
          <w:tabs>
            <w:tab w:val="clear" w:pos="9360"/>
            <w:tab w:val="right" w:pos="8789"/>
            <w:tab w:val="left" w:pos="8931"/>
            <w:tab w:val="left" w:pos="9072"/>
          </w:tabs>
          <w:ind w:right="-363"/>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188</w:t>
        </w:r>
        <w:r w:rsidRPr="00175B54">
          <w:rPr>
            <w:noProof/>
            <w:sz w:val="20"/>
            <w:szCs w:val="20"/>
          </w:rPr>
          <w:fldChar w:fldCharType="end"/>
        </w:r>
      </w:p>
    </w:sdtContent>
  </w:sdt>
  <w:p w14:paraId="0682AE6E"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540860"/>
      <w:docPartObj>
        <w:docPartGallery w:val="Page Numbers (Bottom of Page)"/>
        <w:docPartUnique/>
      </w:docPartObj>
    </w:sdtPr>
    <w:sdtEndPr>
      <w:rPr>
        <w:noProof/>
      </w:rPr>
    </w:sdtEndPr>
    <w:sdtContent>
      <w:p w14:paraId="6CF8E3FF" w14:textId="46601162" w:rsidR="00190BA4" w:rsidRDefault="00190BA4" w:rsidP="00CD568F">
        <w:pPr>
          <w:pStyle w:val="Footer"/>
          <w:tabs>
            <w:tab w:val="clear" w:pos="9360"/>
            <w:tab w:val="right" w:pos="8789"/>
            <w:tab w:val="left" w:pos="8931"/>
            <w:tab w:val="left" w:pos="9072"/>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215</w:t>
        </w:r>
        <w:r w:rsidRPr="00175B54">
          <w:rPr>
            <w:noProof/>
            <w:sz w:val="20"/>
            <w:szCs w:val="20"/>
          </w:rPr>
          <w:fldChar w:fldCharType="end"/>
        </w:r>
      </w:p>
    </w:sdtContent>
  </w:sdt>
  <w:p w14:paraId="234F9D95"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1130980"/>
      <w:docPartObj>
        <w:docPartGallery w:val="Page Numbers (Bottom of Page)"/>
        <w:docPartUnique/>
      </w:docPartObj>
    </w:sdtPr>
    <w:sdtEndPr>
      <w:rPr>
        <w:noProof/>
      </w:rPr>
    </w:sdtEndPr>
    <w:sdtContent>
      <w:p w14:paraId="00E2C2AB" w14:textId="35DA2FC0" w:rsidR="00190BA4" w:rsidRDefault="00190BA4" w:rsidP="00CD568F">
        <w:pPr>
          <w:pStyle w:val="Footer"/>
          <w:tabs>
            <w:tab w:val="clear" w:pos="9360"/>
            <w:tab w:val="right" w:pos="8789"/>
            <w:tab w:val="left" w:pos="8931"/>
            <w:tab w:val="left" w:pos="9072"/>
          </w:tabs>
          <w:ind w:right="-363"/>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216</w:t>
        </w:r>
        <w:r w:rsidRPr="00175B54">
          <w:rPr>
            <w:noProof/>
            <w:sz w:val="20"/>
            <w:szCs w:val="20"/>
          </w:rPr>
          <w:fldChar w:fldCharType="end"/>
        </w:r>
      </w:p>
    </w:sdtContent>
  </w:sdt>
  <w:p w14:paraId="1652DA7D"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759637"/>
      <w:docPartObj>
        <w:docPartGallery w:val="Page Numbers (Bottom of Page)"/>
        <w:docPartUnique/>
      </w:docPartObj>
    </w:sdtPr>
    <w:sdtEndPr>
      <w:rPr>
        <w:noProof/>
      </w:rPr>
    </w:sdtEndPr>
    <w:sdtContent>
      <w:p w14:paraId="6782740B" w14:textId="55BA76A0" w:rsidR="00190BA4" w:rsidRDefault="00190BA4" w:rsidP="00CD568F">
        <w:pPr>
          <w:pStyle w:val="Footer"/>
          <w:tabs>
            <w:tab w:val="clear" w:pos="9360"/>
            <w:tab w:val="left" w:pos="8647"/>
            <w:tab w:val="right" w:pos="8789"/>
            <w:tab w:val="left" w:pos="8931"/>
            <w:tab w:val="left" w:pos="9072"/>
            <w:tab w:val="left" w:pos="9214"/>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236</w:t>
        </w:r>
        <w:r w:rsidRPr="00175B54">
          <w:rPr>
            <w:noProof/>
            <w:sz w:val="20"/>
            <w:szCs w:val="20"/>
          </w:rPr>
          <w:fldChar w:fldCharType="end"/>
        </w:r>
      </w:p>
    </w:sdtContent>
  </w:sdt>
  <w:p w14:paraId="12AABA64"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6509808"/>
      <w:docPartObj>
        <w:docPartGallery w:val="Page Numbers (Bottom of Page)"/>
        <w:docPartUnique/>
      </w:docPartObj>
    </w:sdtPr>
    <w:sdtEndPr>
      <w:rPr>
        <w:noProof/>
        <w:sz w:val="20"/>
        <w:szCs w:val="20"/>
      </w:rPr>
    </w:sdtEndPr>
    <w:sdtContent>
      <w:p w14:paraId="1A9F9C31" w14:textId="3DECD49F" w:rsidR="00190BA4" w:rsidRPr="00495512" w:rsidRDefault="00190BA4">
        <w:pPr>
          <w:pStyle w:val="Footer"/>
          <w:jc w:val="right"/>
          <w:rPr>
            <w:sz w:val="20"/>
            <w:szCs w:val="20"/>
          </w:rPr>
        </w:pPr>
        <w:r w:rsidRPr="00495512">
          <w:rPr>
            <w:sz w:val="20"/>
            <w:szCs w:val="20"/>
          </w:rPr>
          <w:fldChar w:fldCharType="begin"/>
        </w:r>
        <w:r w:rsidRPr="00495512">
          <w:rPr>
            <w:sz w:val="20"/>
            <w:szCs w:val="20"/>
          </w:rPr>
          <w:instrText xml:space="preserve"> PAGE   \* MERGEFORMAT </w:instrText>
        </w:r>
        <w:r w:rsidRPr="00495512">
          <w:rPr>
            <w:sz w:val="20"/>
            <w:szCs w:val="20"/>
          </w:rPr>
          <w:fldChar w:fldCharType="separate"/>
        </w:r>
        <w:r w:rsidR="00C640EF">
          <w:rPr>
            <w:noProof/>
            <w:sz w:val="20"/>
            <w:szCs w:val="20"/>
          </w:rPr>
          <w:t>237</w:t>
        </w:r>
        <w:r w:rsidRPr="00495512">
          <w:rPr>
            <w:noProof/>
            <w:sz w:val="20"/>
            <w:szCs w:val="20"/>
          </w:rPr>
          <w:fldChar w:fldCharType="end"/>
        </w:r>
      </w:p>
    </w:sdtContent>
  </w:sdt>
  <w:p w14:paraId="14F281C1"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F314C" w14:textId="77777777" w:rsidR="00190BA4" w:rsidRPr="00CD34EE" w:rsidRDefault="00190BA4">
    <w:pPr>
      <w:pBdr>
        <w:top w:val="nil"/>
        <w:left w:val="nil"/>
        <w:bottom w:val="nil"/>
        <w:right w:val="nil"/>
        <w:between w:val="nil"/>
      </w:pBdr>
      <w:tabs>
        <w:tab w:val="center" w:pos="4680"/>
        <w:tab w:val="right" w:pos="9360"/>
      </w:tabs>
      <w:jc w:val="right"/>
      <w:rPr>
        <w:rFonts w:ascii="Arial" w:hAnsi="Arial" w:cs="Arial"/>
        <w:color w:val="000000"/>
      </w:rPr>
    </w:pPr>
  </w:p>
  <w:p w14:paraId="4B82FB9D" w14:textId="77777777" w:rsidR="00190BA4" w:rsidRPr="00CD34EE" w:rsidRDefault="00190BA4">
    <w:pPr>
      <w:pBdr>
        <w:top w:val="nil"/>
        <w:left w:val="nil"/>
        <w:bottom w:val="nil"/>
        <w:right w:val="nil"/>
        <w:between w:val="nil"/>
      </w:pBdr>
      <w:tabs>
        <w:tab w:val="center" w:pos="4680"/>
        <w:tab w:val="right" w:pos="9360"/>
      </w:tabs>
      <w:rPr>
        <w:rFonts w:ascii="Arial" w:hAnsi="Arial" w:cs="Arial"/>
        <w:color w:val="000000"/>
        <w:sz w:val="20"/>
        <w:szCs w:val="20"/>
      </w:rPr>
    </w:pPr>
    <w:r w:rsidRPr="00CD34EE">
      <w:rPr>
        <w:rFonts w:ascii="Arial" w:hAnsi="Arial" w:cs="Arial"/>
        <w:color w:val="000000"/>
        <w:sz w:val="20"/>
        <w:szCs w:val="20"/>
      </w:rPr>
      <w:t>This project is funded by the Structural Reform Support Programme of the European Union and implemented in cooperation with the AARC consortium and the European Commission</w:t>
    </w:r>
    <w:r w:rsidRPr="00CD34EE">
      <w:rPr>
        <w:rFonts w:ascii="Arial" w:hAnsi="Arial" w:cs="Arial"/>
        <w:color w:val="000000"/>
      </w:rPr>
      <w:t xml:space="preserve"> </w:t>
    </w:r>
    <w:r w:rsidRPr="00CD34EE">
      <w:rPr>
        <w:rFonts w:ascii="Arial" w:hAnsi="Arial" w:cs="Arial"/>
        <w:noProof/>
        <w:lang w:val="en-US" w:eastAsia="en-US"/>
      </w:rPr>
      <w:drawing>
        <wp:anchor distT="0" distB="0" distL="114300" distR="114300" simplePos="0" relativeHeight="251762688" behindDoc="0" locked="0" layoutInCell="1" hidden="0" allowOverlap="1" wp14:anchorId="4DFF3C64" wp14:editId="53BCB679">
          <wp:simplePos x="0" y="0"/>
          <wp:positionH relativeFrom="column">
            <wp:posOffset>5598189</wp:posOffset>
          </wp:positionH>
          <wp:positionV relativeFrom="paragraph">
            <wp:posOffset>12397</wp:posOffset>
          </wp:positionV>
          <wp:extent cx="473075" cy="311785"/>
          <wp:effectExtent l="0" t="0" r="0" b="0"/>
          <wp:wrapNone/>
          <wp:docPr id="2087055807" name="image2.png" descr="C:\Users\oemT440\AppData\Local\Microsoft\Windows\Temporary Internet Files\Content.MSO\4742B3EF.tmp"/>
          <wp:cNvGraphicFramePr/>
          <a:graphic xmlns:a="http://schemas.openxmlformats.org/drawingml/2006/main">
            <a:graphicData uri="http://schemas.openxmlformats.org/drawingml/2006/picture">
              <pic:pic xmlns:pic="http://schemas.openxmlformats.org/drawingml/2006/picture">
                <pic:nvPicPr>
                  <pic:cNvPr id="0" name="image2.png" descr="C:\Users\oemT440\AppData\Local\Microsoft\Windows\Temporary Internet Files\Content.MSO\4742B3EF.tmp"/>
                  <pic:cNvPicPr preferRelativeResize="0"/>
                </pic:nvPicPr>
                <pic:blipFill>
                  <a:blip r:embed="rId1"/>
                  <a:srcRect/>
                  <a:stretch>
                    <a:fillRect/>
                  </a:stretch>
                </pic:blipFill>
                <pic:spPr>
                  <a:xfrm>
                    <a:off x="0" y="0"/>
                    <a:ext cx="473075" cy="311785"/>
                  </a:xfrm>
                  <a:prstGeom prst="rect">
                    <a:avLst/>
                  </a:prstGeom>
                  <a:ln/>
                </pic:spPr>
              </pic:pic>
            </a:graphicData>
          </a:graphic>
        </wp:anchor>
      </w:drawing>
    </w:r>
    <w:r w:rsidRPr="00CD34EE">
      <w:rPr>
        <w:rFonts w:ascii="Arial" w:hAnsi="Arial" w:cs="Arial"/>
        <w:noProof/>
        <w:lang w:val="en-US" w:eastAsia="en-US"/>
      </w:rPr>
      <w:drawing>
        <wp:anchor distT="0" distB="0" distL="114300" distR="114300" simplePos="0" relativeHeight="251660288" behindDoc="0" locked="0" layoutInCell="1" hidden="0" allowOverlap="1" wp14:anchorId="4DFF3C64" wp14:editId="53BCB679">
          <wp:simplePos x="0" y="0"/>
          <wp:positionH relativeFrom="column">
            <wp:posOffset>5598189</wp:posOffset>
          </wp:positionH>
          <wp:positionV relativeFrom="paragraph">
            <wp:posOffset>12397</wp:posOffset>
          </wp:positionV>
          <wp:extent cx="473075" cy="311785"/>
          <wp:effectExtent l="0" t="0" r="0" b="0"/>
          <wp:wrapNone/>
          <wp:docPr id="2087055610" name="image2.png" descr="C:\Users\oemT440\AppData\Local\Microsoft\Windows\Temporary Internet Files\Content.MSO\4742B3EF.tmp"/>
          <wp:cNvGraphicFramePr/>
          <a:graphic xmlns:a="http://schemas.openxmlformats.org/drawingml/2006/main">
            <a:graphicData uri="http://schemas.openxmlformats.org/drawingml/2006/picture">
              <pic:pic xmlns:pic="http://schemas.openxmlformats.org/drawingml/2006/picture">
                <pic:nvPicPr>
                  <pic:cNvPr id="0" name="image2.png" descr="C:\Users\oemT440\AppData\Local\Microsoft\Windows\Temporary Internet Files\Content.MSO\4742B3EF.tmp"/>
                  <pic:cNvPicPr preferRelativeResize="0"/>
                </pic:nvPicPr>
                <pic:blipFill>
                  <a:blip r:embed="rId1"/>
                  <a:srcRect/>
                  <a:stretch>
                    <a:fillRect/>
                  </a:stretch>
                </pic:blipFill>
                <pic:spPr>
                  <a:xfrm>
                    <a:off x="0" y="0"/>
                    <a:ext cx="473075" cy="311785"/>
                  </a:xfrm>
                  <a:prstGeom prst="rect">
                    <a:avLst/>
                  </a:prstGeom>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56" w:type="dxa"/>
      <w:tblLayout w:type="fixed"/>
      <w:tblCellMar>
        <w:left w:w="115" w:type="dxa"/>
        <w:right w:w="115" w:type="dxa"/>
      </w:tblCellMar>
      <w:tblLook w:val="0600" w:firstRow="0" w:lastRow="0" w:firstColumn="0" w:lastColumn="0" w:noHBand="1" w:noVBand="1"/>
    </w:tblPr>
    <w:tblGrid>
      <w:gridCol w:w="2980"/>
      <w:gridCol w:w="2980"/>
      <w:gridCol w:w="3396"/>
    </w:tblGrid>
    <w:tr w:rsidR="00190BA4" w:rsidRPr="00CD34EE" w14:paraId="7E9450D9" w14:textId="77777777" w:rsidTr="00CD34EE">
      <w:trPr>
        <w:trHeight w:val="80"/>
      </w:trPr>
      <w:tc>
        <w:tcPr>
          <w:tcW w:w="2980" w:type="dxa"/>
        </w:tcPr>
        <w:p w14:paraId="3DB1BFE3" w14:textId="77777777" w:rsidR="00190BA4" w:rsidRDefault="00190BA4">
          <w:pPr>
            <w:pBdr>
              <w:top w:val="nil"/>
              <w:left w:val="nil"/>
              <w:bottom w:val="nil"/>
              <w:right w:val="nil"/>
              <w:between w:val="nil"/>
            </w:pBdr>
            <w:tabs>
              <w:tab w:val="center" w:pos="4680"/>
              <w:tab w:val="right" w:pos="9360"/>
            </w:tabs>
            <w:ind w:left="-115"/>
            <w:rPr>
              <w:color w:val="000000"/>
            </w:rPr>
          </w:pPr>
        </w:p>
      </w:tc>
      <w:tc>
        <w:tcPr>
          <w:tcW w:w="2980" w:type="dxa"/>
        </w:tcPr>
        <w:p w14:paraId="671B2F18" w14:textId="77777777" w:rsidR="00190BA4" w:rsidRDefault="00190BA4">
          <w:pPr>
            <w:pBdr>
              <w:top w:val="nil"/>
              <w:left w:val="nil"/>
              <w:bottom w:val="nil"/>
              <w:right w:val="nil"/>
              <w:between w:val="nil"/>
            </w:pBdr>
            <w:tabs>
              <w:tab w:val="center" w:pos="4680"/>
              <w:tab w:val="right" w:pos="9360"/>
            </w:tabs>
            <w:jc w:val="center"/>
            <w:rPr>
              <w:color w:val="000000"/>
            </w:rPr>
          </w:pPr>
        </w:p>
      </w:tc>
      <w:tc>
        <w:tcPr>
          <w:tcW w:w="3396" w:type="dxa"/>
        </w:tcPr>
        <w:p w14:paraId="18EA9E70" w14:textId="67193F94" w:rsidR="00190BA4" w:rsidRPr="00CD34EE" w:rsidRDefault="00190BA4" w:rsidP="001916C2">
          <w:pPr>
            <w:pBdr>
              <w:top w:val="nil"/>
              <w:left w:val="nil"/>
              <w:bottom w:val="nil"/>
              <w:right w:val="nil"/>
              <w:between w:val="nil"/>
            </w:pBdr>
            <w:tabs>
              <w:tab w:val="center" w:pos="4680"/>
              <w:tab w:val="right" w:pos="9360"/>
            </w:tabs>
            <w:ind w:right="309"/>
            <w:jc w:val="right"/>
            <w:rPr>
              <w:rFonts w:ascii="Arial" w:hAnsi="Arial" w:cs="Arial"/>
              <w:color w:val="000000"/>
              <w:sz w:val="20"/>
              <w:szCs w:val="20"/>
            </w:rPr>
          </w:pPr>
          <w:r w:rsidRPr="00CD34EE">
            <w:rPr>
              <w:rFonts w:ascii="Arial" w:hAnsi="Arial" w:cs="Arial"/>
              <w:color w:val="000000"/>
              <w:sz w:val="20"/>
              <w:szCs w:val="20"/>
            </w:rPr>
            <w:fldChar w:fldCharType="begin"/>
          </w:r>
          <w:r w:rsidRPr="00CD34EE">
            <w:rPr>
              <w:rFonts w:ascii="Arial" w:hAnsi="Arial" w:cs="Arial"/>
              <w:color w:val="000000"/>
              <w:sz w:val="20"/>
              <w:szCs w:val="20"/>
            </w:rPr>
            <w:instrText>PAGE</w:instrText>
          </w:r>
          <w:r w:rsidRPr="00CD34EE">
            <w:rPr>
              <w:rFonts w:ascii="Arial" w:hAnsi="Arial" w:cs="Arial"/>
              <w:color w:val="000000"/>
              <w:sz w:val="20"/>
              <w:szCs w:val="20"/>
            </w:rPr>
            <w:fldChar w:fldCharType="separate"/>
          </w:r>
          <w:r w:rsidR="00C640EF">
            <w:rPr>
              <w:rFonts w:ascii="Arial" w:hAnsi="Arial" w:cs="Arial"/>
              <w:noProof/>
              <w:color w:val="000000"/>
              <w:sz w:val="20"/>
              <w:szCs w:val="20"/>
            </w:rPr>
            <w:t>vii</w:t>
          </w:r>
          <w:r w:rsidRPr="00CD34EE">
            <w:rPr>
              <w:rFonts w:ascii="Arial" w:hAnsi="Arial" w:cs="Arial"/>
              <w:color w:val="000000"/>
              <w:sz w:val="20"/>
              <w:szCs w:val="20"/>
            </w:rPr>
            <w:fldChar w:fldCharType="end"/>
          </w:r>
        </w:p>
        <w:p w14:paraId="7BCCE5AE" w14:textId="77777777" w:rsidR="00190BA4" w:rsidRPr="00CD34EE" w:rsidRDefault="00190BA4" w:rsidP="00F5462F">
          <w:pPr>
            <w:pBdr>
              <w:top w:val="nil"/>
              <w:left w:val="nil"/>
              <w:bottom w:val="nil"/>
              <w:right w:val="nil"/>
              <w:between w:val="nil"/>
            </w:pBdr>
            <w:tabs>
              <w:tab w:val="center" w:pos="4680"/>
              <w:tab w:val="right" w:pos="9360"/>
            </w:tabs>
            <w:ind w:right="-115"/>
            <w:jc w:val="right"/>
            <w:rPr>
              <w:rFonts w:ascii="Arial" w:hAnsi="Arial" w:cs="Arial"/>
              <w:color w:val="000000"/>
            </w:rPr>
          </w:pPr>
        </w:p>
      </w:tc>
    </w:tr>
  </w:tbl>
  <w:p w14:paraId="1AEE92CA"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25AD2D" w14:textId="77777777" w:rsidR="00190BA4" w:rsidRDefault="00190BA4">
    <w:pPr>
      <w:pBdr>
        <w:top w:val="nil"/>
        <w:left w:val="nil"/>
        <w:bottom w:val="nil"/>
        <w:right w:val="nil"/>
        <w:between w:val="nil"/>
      </w:pBdr>
      <w:tabs>
        <w:tab w:val="center" w:pos="4680"/>
        <w:tab w:val="right" w:pos="9360"/>
      </w:tabs>
      <w:jc w:val="right"/>
      <w:rPr>
        <w:color w:val="00000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4985043"/>
      <w:docPartObj>
        <w:docPartGallery w:val="Page Numbers (Bottom of Page)"/>
        <w:docPartUnique/>
      </w:docPartObj>
    </w:sdtPr>
    <w:sdtEndPr>
      <w:rPr>
        <w:noProof/>
      </w:rPr>
    </w:sdtEndPr>
    <w:sdtContent>
      <w:p w14:paraId="51F05598" w14:textId="7C282B18" w:rsidR="00190BA4" w:rsidRDefault="00190BA4" w:rsidP="009A3BAA">
        <w:pPr>
          <w:pStyle w:val="Footer"/>
          <w:tabs>
            <w:tab w:val="clear" w:pos="9360"/>
            <w:tab w:val="right" w:pos="8789"/>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31</w:t>
        </w:r>
        <w:r w:rsidRPr="00175B54">
          <w:rPr>
            <w:noProof/>
            <w:sz w:val="20"/>
            <w:szCs w:val="20"/>
          </w:rPr>
          <w:fldChar w:fldCharType="end"/>
        </w:r>
      </w:p>
    </w:sdtContent>
  </w:sdt>
  <w:p w14:paraId="686C1F3D"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6437149"/>
      <w:docPartObj>
        <w:docPartGallery w:val="Page Numbers (Bottom of Page)"/>
        <w:docPartUnique/>
      </w:docPartObj>
    </w:sdtPr>
    <w:sdtEndPr>
      <w:rPr>
        <w:noProof/>
      </w:rPr>
    </w:sdtEndPr>
    <w:sdtContent>
      <w:p w14:paraId="361E1D74" w14:textId="471B5F58" w:rsidR="00190BA4" w:rsidRDefault="00190BA4" w:rsidP="009A3BAA">
        <w:pPr>
          <w:pStyle w:val="Footer"/>
          <w:tabs>
            <w:tab w:val="clear" w:pos="9360"/>
            <w:tab w:val="right" w:pos="8789"/>
          </w:tabs>
          <w:ind w:right="-221"/>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56</w:t>
        </w:r>
        <w:r w:rsidRPr="00175B54">
          <w:rPr>
            <w:noProof/>
            <w:sz w:val="20"/>
            <w:szCs w:val="20"/>
          </w:rPr>
          <w:fldChar w:fldCharType="end"/>
        </w:r>
      </w:p>
    </w:sdtContent>
  </w:sdt>
  <w:p w14:paraId="3C5CC787"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1398428"/>
      <w:docPartObj>
        <w:docPartGallery w:val="Page Numbers (Bottom of Page)"/>
        <w:docPartUnique/>
      </w:docPartObj>
    </w:sdtPr>
    <w:sdtEndPr>
      <w:rPr>
        <w:noProof/>
      </w:rPr>
    </w:sdtEndPr>
    <w:sdtContent>
      <w:p w14:paraId="29E20C5A" w14:textId="7DF737AC" w:rsidR="00190BA4" w:rsidRDefault="00190BA4" w:rsidP="009A3BAA">
        <w:pPr>
          <w:pStyle w:val="Footer"/>
          <w:tabs>
            <w:tab w:val="clear" w:pos="9360"/>
            <w:tab w:val="right" w:pos="8789"/>
            <w:tab w:val="left" w:pos="9072"/>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89</w:t>
        </w:r>
        <w:r w:rsidRPr="00175B54">
          <w:rPr>
            <w:noProof/>
            <w:sz w:val="20"/>
            <w:szCs w:val="20"/>
          </w:rPr>
          <w:fldChar w:fldCharType="end"/>
        </w:r>
      </w:p>
    </w:sdtContent>
  </w:sdt>
  <w:p w14:paraId="60009C6E"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41290907"/>
      <w:docPartObj>
        <w:docPartGallery w:val="Page Numbers (Bottom of Page)"/>
        <w:docPartUnique/>
      </w:docPartObj>
    </w:sdtPr>
    <w:sdtEndPr>
      <w:rPr>
        <w:noProof/>
      </w:rPr>
    </w:sdtEndPr>
    <w:sdtContent>
      <w:p w14:paraId="6659AD56" w14:textId="638AC30D" w:rsidR="00190BA4" w:rsidRDefault="00190BA4" w:rsidP="009A3BAA">
        <w:pPr>
          <w:pStyle w:val="Footer"/>
          <w:tabs>
            <w:tab w:val="clear" w:pos="9360"/>
            <w:tab w:val="right" w:pos="8789"/>
            <w:tab w:val="left" w:pos="9072"/>
          </w:tabs>
          <w:ind w:right="-505"/>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90</w:t>
        </w:r>
        <w:r w:rsidRPr="00175B54">
          <w:rPr>
            <w:noProof/>
            <w:sz w:val="20"/>
            <w:szCs w:val="20"/>
          </w:rPr>
          <w:fldChar w:fldCharType="end"/>
        </w:r>
      </w:p>
    </w:sdtContent>
  </w:sdt>
  <w:p w14:paraId="195BAF1C"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7275118"/>
      <w:docPartObj>
        <w:docPartGallery w:val="Page Numbers (Bottom of Page)"/>
        <w:docPartUnique/>
      </w:docPartObj>
    </w:sdtPr>
    <w:sdtEndPr>
      <w:rPr>
        <w:noProof/>
      </w:rPr>
    </w:sdtEndPr>
    <w:sdtContent>
      <w:p w14:paraId="0947C005" w14:textId="2790BB47" w:rsidR="00190BA4" w:rsidRDefault="00190BA4" w:rsidP="009A3BAA">
        <w:pPr>
          <w:pStyle w:val="Footer"/>
          <w:tabs>
            <w:tab w:val="clear" w:pos="9360"/>
            <w:tab w:val="right" w:pos="8789"/>
            <w:tab w:val="left" w:pos="8931"/>
            <w:tab w:val="left" w:pos="9072"/>
          </w:tabs>
          <w:ind w:right="8"/>
          <w:jc w:val="right"/>
        </w:pPr>
        <w:r w:rsidRPr="00175B54">
          <w:rPr>
            <w:sz w:val="20"/>
            <w:szCs w:val="20"/>
          </w:rPr>
          <w:fldChar w:fldCharType="begin"/>
        </w:r>
        <w:r w:rsidRPr="00175B54">
          <w:rPr>
            <w:sz w:val="20"/>
            <w:szCs w:val="20"/>
          </w:rPr>
          <w:instrText xml:space="preserve"> PAGE   \* MERGEFORMAT </w:instrText>
        </w:r>
        <w:r w:rsidRPr="00175B54">
          <w:rPr>
            <w:sz w:val="20"/>
            <w:szCs w:val="20"/>
          </w:rPr>
          <w:fldChar w:fldCharType="separate"/>
        </w:r>
        <w:r w:rsidR="00C640EF">
          <w:rPr>
            <w:noProof/>
            <w:sz w:val="20"/>
            <w:szCs w:val="20"/>
          </w:rPr>
          <w:t>91</w:t>
        </w:r>
        <w:r w:rsidRPr="00175B54">
          <w:rPr>
            <w:noProof/>
            <w:sz w:val="20"/>
            <w:szCs w:val="20"/>
          </w:rPr>
          <w:fldChar w:fldCharType="end"/>
        </w:r>
      </w:p>
    </w:sdtContent>
  </w:sdt>
  <w:p w14:paraId="209E3817" w14:textId="77777777" w:rsidR="00190BA4" w:rsidRDefault="00190BA4">
    <w:pPr>
      <w:pBdr>
        <w:top w:val="nil"/>
        <w:left w:val="nil"/>
        <w:bottom w:val="nil"/>
        <w:right w:val="nil"/>
        <w:between w:val="nil"/>
      </w:pBdr>
      <w:tabs>
        <w:tab w:val="center" w:pos="4680"/>
        <w:tab w:val="right" w:pos="9360"/>
      </w:tabs>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4E8A37" w14:textId="77777777" w:rsidR="000B273D" w:rsidRDefault="000B273D">
      <w:r>
        <w:separator/>
      </w:r>
    </w:p>
  </w:footnote>
  <w:footnote w:type="continuationSeparator" w:id="0">
    <w:p w14:paraId="5F00ED34" w14:textId="77777777" w:rsidR="000B273D" w:rsidRDefault="000B273D">
      <w:r>
        <w:continuationSeparator/>
      </w:r>
    </w:p>
  </w:footnote>
  <w:footnote w:type="continuationNotice" w:id="1">
    <w:p w14:paraId="1B93E208" w14:textId="77777777" w:rsidR="000B273D" w:rsidRDefault="000B273D"/>
  </w:footnote>
  <w:footnote w:id="2">
    <w:p w14:paraId="394469CD" w14:textId="277EEAC1" w:rsidR="00190BA4" w:rsidRPr="00D42389" w:rsidRDefault="00190BA4" w:rsidP="00782BFD">
      <w:pPr>
        <w:pStyle w:val="FootnoteText"/>
        <w:ind w:left="90" w:hanging="90"/>
        <w:rPr>
          <w:sz w:val="16"/>
          <w:szCs w:val="16"/>
        </w:rPr>
      </w:pPr>
      <w:r w:rsidRPr="00D42389">
        <w:rPr>
          <w:rStyle w:val="FootnoteReference"/>
          <w:sz w:val="16"/>
          <w:szCs w:val="16"/>
        </w:rPr>
        <w:footnoteRef/>
      </w:r>
      <w:r w:rsidRPr="00D42389">
        <w:rPr>
          <w:sz w:val="16"/>
          <w:szCs w:val="16"/>
        </w:rPr>
        <w:t xml:space="preserve"> </w:t>
      </w:r>
      <w:r>
        <w:rPr>
          <w:sz w:val="16"/>
          <w:szCs w:val="16"/>
        </w:rPr>
        <w:t>In addition to the National Energy and Climate Plan (NECP), t</w:t>
      </w:r>
      <w:r w:rsidRPr="00D42389">
        <w:rPr>
          <w:sz w:val="16"/>
          <w:szCs w:val="16"/>
        </w:rPr>
        <w:t>he following national strategy and policy documents were reviewed:</w:t>
      </w:r>
    </w:p>
    <w:p w14:paraId="62A0FC42" w14:textId="7F1E9B8E" w:rsidR="00190BA4" w:rsidRPr="00D42389" w:rsidRDefault="00190BA4" w:rsidP="00782BFD">
      <w:pPr>
        <w:pStyle w:val="FootnoteText"/>
        <w:ind w:left="90"/>
        <w:rPr>
          <w:sz w:val="16"/>
          <w:szCs w:val="16"/>
        </w:rPr>
      </w:pPr>
      <w:r w:rsidRPr="00D42389">
        <w:rPr>
          <w:sz w:val="16"/>
          <w:szCs w:val="16"/>
        </w:rPr>
        <w:t>- The National Strategy on Climate Change and Economic Growth Based on Low-Carbon Emissions for 2016-2020 (2016 revision and accompanying Action Plan)</w:t>
      </w:r>
    </w:p>
    <w:p w14:paraId="544285A1" w14:textId="4F06AAFA" w:rsidR="00190BA4" w:rsidRPr="00D42389" w:rsidRDefault="00190BA4" w:rsidP="00782BFD">
      <w:pPr>
        <w:pStyle w:val="FootnoteText"/>
        <w:ind w:left="90"/>
        <w:rPr>
          <w:sz w:val="16"/>
          <w:szCs w:val="16"/>
        </w:rPr>
      </w:pPr>
      <w:r w:rsidRPr="00D42389">
        <w:rPr>
          <w:sz w:val="16"/>
          <w:szCs w:val="16"/>
        </w:rPr>
        <w:t>- The 2020-2030 National Energy Strategy, with a 2050 Perspective (November 2018 version)</w:t>
      </w:r>
    </w:p>
    <w:p w14:paraId="4DDA0AF1" w14:textId="0BDC9EAF" w:rsidR="00190BA4" w:rsidRPr="00D42389" w:rsidRDefault="00190BA4" w:rsidP="00782BFD">
      <w:pPr>
        <w:pStyle w:val="FootnoteText"/>
        <w:ind w:left="90"/>
        <w:rPr>
          <w:lang w:val="en-US"/>
        </w:rPr>
      </w:pPr>
      <w:r w:rsidRPr="00D42389">
        <w:rPr>
          <w:sz w:val="16"/>
          <w:szCs w:val="16"/>
        </w:rPr>
        <w:t>- The Government</w:t>
      </w:r>
      <w:r>
        <w:rPr>
          <w:sz w:val="16"/>
          <w:szCs w:val="16"/>
        </w:rPr>
        <w:t xml:space="preserve"> </w:t>
      </w:r>
      <w:r w:rsidRPr="00D42389">
        <w:rPr>
          <w:sz w:val="16"/>
          <w:szCs w:val="16"/>
        </w:rPr>
        <w:t>Programme 2020-2024</w:t>
      </w:r>
    </w:p>
  </w:footnote>
  <w:footnote w:id="3">
    <w:p w14:paraId="33C12F92" w14:textId="53B3CDFE" w:rsidR="00190BA4" w:rsidRPr="00A44357" w:rsidRDefault="00190BA4" w:rsidP="00DA6B30">
      <w:pPr>
        <w:pStyle w:val="FootnoteText"/>
        <w:rPr>
          <w:sz w:val="16"/>
          <w:szCs w:val="16"/>
        </w:rPr>
      </w:pPr>
      <w:r w:rsidRPr="00A44357">
        <w:rPr>
          <w:rStyle w:val="FootnoteReference"/>
          <w:sz w:val="16"/>
          <w:szCs w:val="16"/>
        </w:rPr>
        <w:footnoteRef/>
      </w:r>
      <w:r w:rsidRPr="00A44357">
        <w:rPr>
          <w:sz w:val="16"/>
          <w:szCs w:val="16"/>
        </w:rPr>
        <w:t xml:space="preserve"> </w:t>
      </w:r>
      <w:r>
        <w:rPr>
          <w:sz w:val="16"/>
          <w:szCs w:val="16"/>
        </w:rPr>
        <w:t>D</w:t>
      </w:r>
      <w:r w:rsidRPr="00A44357">
        <w:rPr>
          <w:color w:val="000000"/>
          <w:sz w:val="16"/>
          <w:szCs w:val="16"/>
        </w:rPr>
        <w:t>espite the current lack of clarity and transparency over the transition plans of Hunedoara and Oltenia Energy Complex</w:t>
      </w:r>
    </w:p>
  </w:footnote>
  <w:footnote w:id="4">
    <w:p w14:paraId="5EFEEC37" w14:textId="56FEACE5" w:rsidR="00190BA4" w:rsidRPr="00BE58A2" w:rsidRDefault="00190BA4" w:rsidP="00782BFD">
      <w:pPr>
        <w:pStyle w:val="FootnoteText"/>
        <w:ind w:left="90" w:hanging="90"/>
        <w:rPr>
          <w:sz w:val="16"/>
          <w:szCs w:val="16"/>
          <w:lang w:val="en-US"/>
        </w:rPr>
      </w:pPr>
      <w:r w:rsidRPr="00BE58A2">
        <w:rPr>
          <w:rStyle w:val="FootnoteReference"/>
          <w:sz w:val="16"/>
          <w:szCs w:val="16"/>
        </w:rPr>
        <w:footnoteRef/>
      </w:r>
      <w:r w:rsidRPr="00BE58A2">
        <w:rPr>
          <w:sz w:val="16"/>
          <w:szCs w:val="16"/>
        </w:rPr>
        <w:t xml:space="preserve"> </w:t>
      </w:r>
      <w:hyperlink r:id="rId1" w:history="1">
        <w:r w:rsidRPr="00BE58A2">
          <w:rPr>
            <w:rStyle w:val="Hyperlink"/>
            <w:sz w:val="16"/>
            <w:szCs w:val="16"/>
          </w:rPr>
          <w:t>https://eurometal.net/liberty-galati-in-romania-to-raise-steel-output-50-this-year/?utm_source=dlvr.it&amp;utm_medium=twitter&amp;utm_campaign=liberty-galati-in-romania-to-raise-steel-output-50-this-year</w:t>
        </w:r>
      </w:hyperlink>
    </w:p>
  </w:footnote>
  <w:footnote w:id="5">
    <w:p w14:paraId="7A593A9D" w14:textId="24FFE1B0" w:rsidR="00190BA4" w:rsidRPr="00794E77" w:rsidRDefault="00190BA4">
      <w:pPr>
        <w:pStyle w:val="FootnoteText"/>
        <w:rPr>
          <w:sz w:val="16"/>
          <w:szCs w:val="16"/>
          <w:lang w:val="en-US"/>
        </w:rPr>
      </w:pPr>
      <w:r w:rsidRPr="00794E77">
        <w:rPr>
          <w:rStyle w:val="FootnoteReference"/>
          <w:sz w:val="16"/>
          <w:szCs w:val="16"/>
        </w:rPr>
        <w:footnoteRef/>
      </w:r>
      <w:r w:rsidRPr="00794E77">
        <w:rPr>
          <w:sz w:val="16"/>
          <w:szCs w:val="16"/>
        </w:rPr>
        <w:t xml:space="preserve"> </w:t>
      </w:r>
      <w:r w:rsidRPr="00794E77">
        <w:rPr>
          <w:color w:val="000000"/>
          <w:sz w:val="16"/>
          <w:szCs w:val="16"/>
          <w:shd w:val="clear" w:color="auto" w:fill="FFFFFF"/>
        </w:rPr>
        <w:t>The Environmental Implementation Review, 2019 Country Report Romania</w:t>
      </w:r>
    </w:p>
  </w:footnote>
  <w:footnote w:id="6">
    <w:p w14:paraId="56E1E2ED" w14:textId="530979C6" w:rsidR="00190BA4" w:rsidRPr="008210B7" w:rsidRDefault="00190BA4" w:rsidP="004B6689">
      <w:pPr>
        <w:pStyle w:val="FootnoteText"/>
        <w:ind w:left="142" w:hanging="142"/>
        <w:rPr>
          <w:sz w:val="16"/>
          <w:szCs w:val="16"/>
        </w:rPr>
      </w:pPr>
      <w:r w:rsidRPr="00E20D63">
        <w:rPr>
          <w:rStyle w:val="FootnoteReference"/>
          <w:sz w:val="16"/>
          <w:szCs w:val="16"/>
        </w:rPr>
        <w:footnoteRef/>
      </w:r>
      <w:r w:rsidRPr="00E20D63">
        <w:rPr>
          <w:sz w:val="16"/>
          <w:szCs w:val="16"/>
        </w:rPr>
        <w:t xml:space="preserve"> </w:t>
      </w:r>
      <w:hyperlink r:id="rId2" w:history="1">
        <w:r w:rsidRPr="00E20D63">
          <w:rPr>
            <w:rStyle w:val="Hyperlink"/>
            <w:sz w:val="16"/>
            <w:szCs w:val="16"/>
          </w:rPr>
          <w:t>https://muzeumslaskie.pl/en/about-us/</w:t>
        </w:r>
      </w:hyperlink>
      <w:r>
        <w:rPr>
          <w:rStyle w:val="Hyperlink"/>
          <w:sz w:val="16"/>
          <w:szCs w:val="16"/>
        </w:rPr>
        <w:t xml:space="preserve"> ; </w:t>
      </w:r>
      <w:hyperlink r:id="rId3" w:history="1">
        <w:r w:rsidRPr="003E291F">
          <w:rPr>
            <w:rStyle w:val="Hyperlink"/>
            <w:sz w:val="16"/>
            <w:szCs w:val="16"/>
          </w:rPr>
          <w:t>https://www.inyourpocket.com/katowice/silesian-museum_137651v</w:t>
        </w:r>
      </w:hyperlink>
      <w:r>
        <w:rPr>
          <w:rStyle w:val="Hyperlink"/>
          <w:sz w:val="16"/>
          <w:szCs w:val="16"/>
        </w:rPr>
        <w:t xml:space="preserve">; </w:t>
      </w:r>
      <w:hyperlink r:id="rId4" w:history="1">
        <w:r w:rsidRPr="00473586">
          <w:rPr>
            <w:rStyle w:val="Hyperlink"/>
            <w:sz w:val="16"/>
            <w:szCs w:val="16"/>
          </w:rPr>
          <w:t>https://culture.pl/en/article/a-mine-of-culture-the-new-silesian-museum</w:t>
        </w:r>
      </w:hyperlink>
    </w:p>
  </w:footnote>
  <w:footnote w:id="7">
    <w:p w14:paraId="32CB723E" w14:textId="77777777" w:rsidR="00190BA4" w:rsidRPr="000935F8" w:rsidRDefault="00190BA4" w:rsidP="004B6689">
      <w:pPr>
        <w:pStyle w:val="FootnoteText"/>
        <w:ind w:left="142" w:hanging="142"/>
        <w:rPr>
          <w:sz w:val="16"/>
          <w:szCs w:val="16"/>
          <w:lang w:val="en-US"/>
        </w:rPr>
      </w:pPr>
      <w:r w:rsidRPr="000935F8">
        <w:rPr>
          <w:rStyle w:val="FootnoteReference"/>
          <w:sz w:val="16"/>
          <w:szCs w:val="16"/>
        </w:rPr>
        <w:footnoteRef/>
      </w:r>
      <w:r w:rsidRPr="000935F8">
        <w:rPr>
          <w:sz w:val="16"/>
          <w:szCs w:val="16"/>
        </w:rPr>
        <w:t xml:space="preserve"> https://ec.europa.eu/energy/sites/default/files/documents/innovationcity_ruhr_model_city_bottrop_-_platform_for_coal_regions_in_transition.pdf</w:t>
      </w:r>
    </w:p>
  </w:footnote>
  <w:footnote w:id="8">
    <w:p w14:paraId="41EA8DB0" w14:textId="77777777" w:rsidR="00190BA4" w:rsidRPr="000935F8" w:rsidRDefault="00190BA4" w:rsidP="004B6689">
      <w:pPr>
        <w:pStyle w:val="FootnoteText"/>
        <w:ind w:left="142" w:hanging="142"/>
        <w:rPr>
          <w:lang w:val="en-US"/>
        </w:rPr>
      </w:pPr>
      <w:r w:rsidRPr="000935F8">
        <w:rPr>
          <w:rStyle w:val="FootnoteReference"/>
          <w:sz w:val="16"/>
          <w:szCs w:val="16"/>
        </w:rPr>
        <w:footnoteRef/>
      </w:r>
      <w:r w:rsidRPr="000935F8">
        <w:rPr>
          <w:sz w:val="16"/>
          <w:szCs w:val="16"/>
        </w:rPr>
        <w:t xml:space="preserve"> https://ec.europa.eu/energy/sites/default/files/documents/karlovy_vary_regional_profile_-_start_technical_assistance.pdf</w:t>
      </w:r>
    </w:p>
  </w:footnote>
  <w:footnote w:id="9">
    <w:p w14:paraId="5E4A789F" w14:textId="77777777" w:rsidR="00190BA4" w:rsidRPr="0046289F" w:rsidRDefault="00190BA4" w:rsidP="004B6689">
      <w:pPr>
        <w:pStyle w:val="FootnoteText"/>
        <w:ind w:left="142" w:hanging="142"/>
        <w:rPr>
          <w:lang w:val="en-US"/>
        </w:rPr>
      </w:pPr>
      <w:r w:rsidRPr="0046289F">
        <w:rPr>
          <w:rStyle w:val="FootnoteReference"/>
          <w:sz w:val="16"/>
          <w:szCs w:val="16"/>
        </w:rPr>
        <w:footnoteRef/>
      </w:r>
      <w:r w:rsidRPr="0046289F">
        <w:rPr>
          <w:sz w:val="16"/>
          <w:szCs w:val="16"/>
        </w:rPr>
        <w:t xml:space="preserve"> https://ec.europa.eu/energy/sites/default/files/documents/midlands_regional_profile_-_start.pdf</w:t>
      </w:r>
    </w:p>
  </w:footnote>
  <w:footnote w:id="10">
    <w:p w14:paraId="6A0243E0" w14:textId="77777777" w:rsidR="00190BA4" w:rsidRPr="00BF0481" w:rsidRDefault="00190BA4" w:rsidP="004B6689">
      <w:pPr>
        <w:pStyle w:val="FootnoteText"/>
        <w:ind w:left="142" w:hanging="142"/>
        <w:rPr>
          <w:lang w:val="en-US"/>
        </w:rPr>
      </w:pPr>
      <w:r w:rsidRPr="00BF0481">
        <w:rPr>
          <w:rStyle w:val="FootnoteReference"/>
          <w:sz w:val="16"/>
          <w:szCs w:val="16"/>
        </w:rPr>
        <w:footnoteRef/>
      </w:r>
      <w:r w:rsidRPr="00BF0481">
        <w:rPr>
          <w:sz w:val="16"/>
          <w:szCs w:val="16"/>
        </w:rPr>
        <w:t xml:space="preserve"> https://ec.europa.eu/energy/sites/default/files/documents/rebuilding_the_appalachian_economy_-_coalfield_development_usa.pdf</w:t>
      </w:r>
    </w:p>
  </w:footnote>
  <w:footnote w:id="11">
    <w:p w14:paraId="58F6B3C6" w14:textId="77777777" w:rsidR="00190BA4" w:rsidRPr="00794E77" w:rsidRDefault="00190BA4" w:rsidP="00E32B8E">
      <w:pPr>
        <w:pStyle w:val="FootnoteText"/>
        <w:rPr>
          <w:sz w:val="16"/>
          <w:szCs w:val="16"/>
          <w:lang w:val="en-US"/>
        </w:rPr>
      </w:pPr>
      <w:r w:rsidRPr="00794E77">
        <w:rPr>
          <w:rStyle w:val="FootnoteReference"/>
          <w:sz w:val="16"/>
          <w:szCs w:val="16"/>
        </w:rPr>
        <w:footnoteRef/>
      </w:r>
      <w:r w:rsidRPr="00794E77">
        <w:rPr>
          <w:sz w:val="16"/>
          <w:szCs w:val="16"/>
        </w:rPr>
        <w:t xml:space="preserve"> Bloomberg New Energy Finance, 2020</w:t>
      </w:r>
    </w:p>
  </w:footnote>
  <w:footnote w:id="12">
    <w:p w14:paraId="0B5B87D4" w14:textId="77777777" w:rsidR="00190BA4" w:rsidRPr="00E220BF" w:rsidRDefault="00190BA4" w:rsidP="00E32B8E">
      <w:pPr>
        <w:pStyle w:val="FootnoteText"/>
        <w:ind w:left="142" w:hanging="142"/>
        <w:rPr>
          <w:lang w:val="en-US"/>
        </w:rPr>
      </w:pPr>
      <w:r w:rsidRPr="00E220BF">
        <w:rPr>
          <w:rStyle w:val="FootnoteReference"/>
          <w:sz w:val="16"/>
          <w:szCs w:val="16"/>
        </w:rPr>
        <w:footnoteRef/>
      </w:r>
      <w:r w:rsidRPr="00E220BF">
        <w:rPr>
          <w:sz w:val="16"/>
          <w:szCs w:val="16"/>
        </w:rPr>
        <w:t xml:space="preserve"> https://www.irena.org/-/media/Files/IRENA/Agency/Publication/2017/IRENA_Cost-competitive_power_potential_SEE_2017.pdf</w:t>
      </w:r>
    </w:p>
  </w:footnote>
  <w:footnote w:id="13">
    <w:p w14:paraId="51767BC6" w14:textId="77777777" w:rsidR="00190BA4" w:rsidRPr="00E220BF" w:rsidRDefault="00190BA4" w:rsidP="00E32B8E">
      <w:pPr>
        <w:pStyle w:val="FootnoteText"/>
        <w:rPr>
          <w:lang w:val="en-US"/>
        </w:rPr>
      </w:pPr>
      <w:r w:rsidRPr="00E220BF">
        <w:rPr>
          <w:rStyle w:val="FootnoteReference"/>
          <w:sz w:val="16"/>
          <w:szCs w:val="16"/>
        </w:rPr>
        <w:footnoteRef/>
      </w:r>
      <w:r w:rsidRPr="00E220BF">
        <w:rPr>
          <w:sz w:val="16"/>
          <w:szCs w:val="16"/>
        </w:rPr>
        <w:t xml:space="preserve"> https://www.renewables.ninja/</w:t>
      </w:r>
    </w:p>
  </w:footnote>
  <w:footnote w:id="14">
    <w:p w14:paraId="497737C4" w14:textId="77777777" w:rsidR="00190BA4" w:rsidRPr="00E220BF" w:rsidRDefault="00190BA4" w:rsidP="00E32B8E">
      <w:pPr>
        <w:pStyle w:val="FootnoteText"/>
        <w:rPr>
          <w:lang w:val="en-US"/>
        </w:rPr>
      </w:pPr>
      <w:r w:rsidRPr="00E220BF">
        <w:rPr>
          <w:rStyle w:val="FootnoteReference"/>
          <w:sz w:val="16"/>
          <w:szCs w:val="16"/>
        </w:rPr>
        <w:footnoteRef/>
      </w:r>
      <w:r w:rsidRPr="00E220BF">
        <w:rPr>
          <w:sz w:val="16"/>
          <w:szCs w:val="16"/>
        </w:rPr>
        <w:t xml:space="preserve"> https://www.irena.org/publications/2020/Jun/Renewable-Power-Costs-in-2019</w:t>
      </w:r>
    </w:p>
  </w:footnote>
  <w:footnote w:id="15">
    <w:p w14:paraId="7DA33610" w14:textId="77777777" w:rsidR="00190BA4" w:rsidRPr="00402580" w:rsidRDefault="00190BA4" w:rsidP="00E32B8E">
      <w:pPr>
        <w:pStyle w:val="FootnoteText"/>
        <w:ind w:left="142" w:hanging="142"/>
        <w:rPr>
          <w:sz w:val="16"/>
          <w:szCs w:val="16"/>
          <w:lang w:val="es-ES"/>
        </w:rPr>
      </w:pPr>
      <w:r w:rsidRPr="00794E77">
        <w:rPr>
          <w:rStyle w:val="FootnoteReference"/>
          <w:sz w:val="16"/>
          <w:szCs w:val="16"/>
        </w:rPr>
        <w:footnoteRef/>
      </w:r>
      <w:r w:rsidRPr="00402580">
        <w:rPr>
          <w:sz w:val="16"/>
          <w:szCs w:val="16"/>
          <w:lang w:val="es-ES"/>
        </w:rPr>
        <w:t xml:space="preserve"> IRENA, 2019: https://www.irena.org/-/media/Files/IRENA/Agency/Publication/2020/Jun/IRENA_Power_Generation_Costs_2019.pdf</w:t>
      </w:r>
    </w:p>
  </w:footnote>
  <w:footnote w:id="16">
    <w:p w14:paraId="666F7D7B" w14:textId="77777777" w:rsidR="00190BA4" w:rsidRPr="008764B4" w:rsidRDefault="00190BA4" w:rsidP="005C2775">
      <w:pPr>
        <w:pStyle w:val="FootnoteText"/>
        <w:rPr>
          <w:sz w:val="16"/>
          <w:szCs w:val="16"/>
          <w:lang w:val="es-ES"/>
        </w:rPr>
      </w:pPr>
      <w:r w:rsidRPr="00794E77">
        <w:rPr>
          <w:rStyle w:val="FootnoteReference"/>
          <w:sz w:val="16"/>
          <w:szCs w:val="16"/>
        </w:rPr>
        <w:footnoteRef/>
      </w:r>
      <w:r w:rsidRPr="008764B4">
        <w:rPr>
          <w:sz w:val="16"/>
          <w:szCs w:val="16"/>
          <w:lang w:val="es-ES"/>
        </w:rPr>
        <w:t xml:space="preserve"> Sandbag.be</w:t>
      </w:r>
    </w:p>
  </w:footnote>
  <w:footnote w:id="17">
    <w:p w14:paraId="66722540" w14:textId="77777777" w:rsidR="00190BA4" w:rsidRPr="008764B4" w:rsidRDefault="00190BA4" w:rsidP="005C2775">
      <w:pPr>
        <w:pStyle w:val="FootnoteText"/>
        <w:rPr>
          <w:sz w:val="16"/>
          <w:szCs w:val="16"/>
          <w:lang w:val="es-ES"/>
        </w:rPr>
      </w:pPr>
      <w:r w:rsidRPr="00794E77">
        <w:rPr>
          <w:rStyle w:val="FootnoteReference"/>
          <w:sz w:val="16"/>
          <w:szCs w:val="16"/>
        </w:rPr>
        <w:footnoteRef/>
      </w:r>
      <w:r w:rsidRPr="008764B4">
        <w:rPr>
          <w:sz w:val="16"/>
          <w:szCs w:val="16"/>
          <w:lang w:val="es-ES"/>
        </w:rPr>
        <w:t xml:space="preserve"> https://www.bloomberg.com/news/articles/2021-04-01/the-eu-s-carbon-market-is-about-to-enter-its-turbulent-20s</w:t>
      </w:r>
    </w:p>
  </w:footnote>
  <w:footnote w:id="18">
    <w:p w14:paraId="440BED8E" w14:textId="77777777" w:rsidR="00190BA4" w:rsidRPr="008764B4" w:rsidRDefault="00190BA4" w:rsidP="005C2775">
      <w:pPr>
        <w:pStyle w:val="FootnoteText"/>
        <w:rPr>
          <w:sz w:val="16"/>
          <w:szCs w:val="16"/>
          <w:lang w:val="es-ES"/>
        </w:rPr>
      </w:pPr>
      <w:r w:rsidRPr="00794E77">
        <w:rPr>
          <w:rStyle w:val="FootnoteReference"/>
          <w:sz w:val="16"/>
          <w:szCs w:val="16"/>
        </w:rPr>
        <w:footnoteRef/>
      </w:r>
      <w:r w:rsidRPr="008764B4">
        <w:rPr>
          <w:sz w:val="16"/>
          <w:szCs w:val="16"/>
          <w:lang w:val="es-ES"/>
        </w:rPr>
        <w:t xml:space="preserve"> Idem</w:t>
      </w:r>
    </w:p>
  </w:footnote>
  <w:footnote w:id="19">
    <w:p w14:paraId="18A52A3E" w14:textId="77777777" w:rsidR="00190BA4" w:rsidRPr="008764B4" w:rsidRDefault="00190BA4" w:rsidP="004B6689">
      <w:pPr>
        <w:pStyle w:val="FootnoteText"/>
        <w:tabs>
          <w:tab w:val="left" w:pos="142"/>
        </w:tabs>
        <w:ind w:left="142" w:hanging="142"/>
        <w:rPr>
          <w:sz w:val="16"/>
          <w:szCs w:val="16"/>
          <w:lang w:val="es-ES"/>
        </w:rPr>
      </w:pPr>
      <w:r w:rsidRPr="00794E77">
        <w:rPr>
          <w:rStyle w:val="FootnoteReference"/>
          <w:sz w:val="16"/>
          <w:szCs w:val="16"/>
        </w:rPr>
        <w:footnoteRef/>
      </w:r>
      <w:r w:rsidRPr="008764B4">
        <w:rPr>
          <w:sz w:val="16"/>
          <w:szCs w:val="16"/>
          <w:lang w:val="es-ES"/>
        </w:rPr>
        <w:t xml:space="preserve"> https://economie.hotnews.ro/stiri-energie-24705592-ajutor-stat-aprobat-guvern-complexul-energetic-oltenia-primeste-inca-1-2-miliarde-lei.htm</w:t>
      </w:r>
    </w:p>
  </w:footnote>
  <w:footnote w:id="20">
    <w:p w14:paraId="217CA846" w14:textId="3A507B67" w:rsidR="00190BA4" w:rsidRPr="003F0B80" w:rsidRDefault="00190BA4">
      <w:pPr>
        <w:pStyle w:val="FootnoteText"/>
        <w:rPr>
          <w:sz w:val="16"/>
          <w:szCs w:val="16"/>
          <w:lang w:val="ro-RO"/>
        </w:rPr>
      </w:pPr>
      <w:r w:rsidRPr="003F0B80">
        <w:rPr>
          <w:rStyle w:val="FootnoteReference"/>
          <w:sz w:val="16"/>
          <w:szCs w:val="16"/>
        </w:rPr>
        <w:footnoteRef/>
      </w:r>
      <w:r w:rsidRPr="008764B4">
        <w:rPr>
          <w:sz w:val="16"/>
          <w:szCs w:val="16"/>
          <w:lang w:val="es-ES"/>
        </w:rPr>
        <w:t xml:space="preserve"> </w:t>
      </w:r>
      <w:r w:rsidRPr="003F0B80">
        <w:rPr>
          <w:sz w:val="16"/>
          <w:szCs w:val="16"/>
          <w:lang w:val="ro-RO"/>
        </w:rPr>
        <w:t>CarbonPulse, 2021</w:t>
      </w:r>
    </w:p>
  </w:footnote>
  <w:footnote w:id="21">
    <w:p w14:paraId="3043D904" w14:textId="61E1F4FE" w:rsidR="00190BA4" w:rsidRPr="00CD34EE" w:rsidRDefault="00190BA4">
      <w:pPr>
        <w:pStyle w:val="FootnoteText"/>
        <w:rPr>
          <w:sz w:val="16"/>
          <w:szCs w:val="16"/>
          <w:lang w:val="ro-RO"/>
        </w:rPr>
      </w:pPr>
      <w:r w:rsidRPr="000A7086">
        <w:rPr>
          <w:rStyle w:val="FootnoteReference"/>
          <w:sz w:val="16"/>
          <w:szCs w:val="16"/>
        </w:rPr>
        <w:footnoteRef/>
      </w:r>
      <w:r w:rsidRPr="00CD34EE">
        <w:rPr>
          <w:sz w:val="16"/>
          <w:szCs w:val="16"/>
          <w:lang w:val="ro-RO"/>
        </w:rPr>
        <w:t xml:space="preserve"> https://ec.europa.eu/info/sites/default/files/annex_d_crs_2020_en.pdf</w:t>
      </w:r>
    </w:p>
  </w:footnote>
  <w:footnote w:id="22">
    <w:p w14:paraId="6334BB37" w14:textId="19F0AC2F" w:rsidR="00190BA4" w:rsidRPr="00CD34EE" w:rsidRDefault="00190BA4">
      <w:pPr>
        <w:pStyle w:val="FootnoteText"/>
        <w:rPr>
          <w:sz w:val="16"/>
          <w:szCs w:val="16"/>
          <w:lang w:val="ro-RO"/>
        </w:rPr>
      </w:pPr>
      <w:r w:rsidRPr="000A7086">
        <w:rPr>
          <w:rStyle w:val="FootnoteReference"/>
          <w:sz w:val="16"/>
          <w:szCs w:val="16"/>
        </w:rPr>
        <w:footnoteRef/>
      </w:r>
      <w:r w:rsidRPr="00CD34EE">
        <w:rPr>
          <w:sz w:val="16"/>
          <w:szCs w:val="16"/>
          <w:lang w:val="ro-RO"/>
        </w:rPr>
        <w:t xml:space="preserve"> https://ec.europa.eu/clima/policies/eu-climate-action_en</w:t>
      </w:r>
    </w:p>
  </w:footnote>
  <w:footnote w:id="23">
    <w:p w14:paraId="4E746133" w14:textId="6A79CB55" w:rsidR="00190BA4" w:rsidRPr="00CD34EE" w:rsidRDefault="00190BA4">
      <w:pPr>
        <w:pStyle w:val="FootnoteText"/>
        <w:rPr>
          <w:sz w:val="16"/>
          <w:szCs w:val="16"/>
          <w:lang w:val="ro-RO"/>
        </w:rPr>
      </w:pPr>
      <w:r w:rsidRPr="000A7086">
        <w:rPr>
          <w:rStyle w:val="FootnoteReference"/>
          <w:sz w:val="16"/>
          <w:szCs w:val="16"/>
        </w:rPr>
        <w:footnoteRef/>
      </w:r>
      <w:r w:rsidRPr="00CD34EE">
        <w:rPr>
          <w:sz w:val="16"/>
          <w:szCs w:val="16"/>
          <w:lang w:val="ro-RO"/>
        </w:rPr>
        <w:t xml:space="preserve"> https://eur-lex.europa.eu/legal-content/EN/TXT/PDF/?uri=CELEX:32019R0331&amp;from=EN</w:t>
      </w:r>
    </w:p>
  </w:footnote>
  <w:footnote w:id="24">
    <w:p w14:paraId="235C6E09" w14:textId="77777777" w:rsidR="00190BA4" w:rsidRPr="00DB1CB5" w:rsidRDefault="00190BA4" w:rsidP="004B6689">
      <w:pPr>
        <w:pStyle w:val="FootnoteText"/>
        <w:tabs>
          <w:tab w:val="left" w:pos="142"/>
        </w:tabs>
        <w:ind w:left="142" w:hanging="142"/>
        <w:rPr>
          <w:lang w:val="en-US"/>
        </w:rPr>
      </w:pPr>
      <w:r w:rsidRPr="00DB1CB5">
        <w:rPr>
          <w:rStyle w:val="FootnoteReference"/>
          <w:sz w:val="16"/>
          <w:szCs w:val="16"/>
        </w:rPr>
        <w:footnoteRef/>
      </w:r>
      <w:r w:rsidRPr="00DB1CB5">
        <w:rPr>
          <w:sz w:val="16"/>
          <w:szCs w:val="16"/>
        </w:rPr>
        <w:t xml:space="preserve"> EU Energy Poverty Observatory</w:t>
      </w:r>
      <w:r>
        <w:rPr>
          <w:sz w:val="16"/>
          <w:szCs w:val="16"/>
        </w:rPr>
        <w:t>, 2019</w:t>
      </w:r>
      <w:r w:rsidRPr="00DB1CB5">
        <w:rPr>
          <w:sz w:val="16"/>
          <w:szCs w:val="16"/>
          <w:lang w:val="en-US"/>
        </w:rPr>
        <w:t>: https://www.energypoverty.eu/sites/default/files/downloads/publications/20-06/mj0420245enn.en_.pdf</w:t>
      </w:r>
    </w:p>
  </w:footnote>
  <w:footnote w:id="25">
    <w:p w14:paraId="1C78CAB4" w14:textId="77777777" w:rsidR="00190BA4" w:rsidRPr="001F0479" w:rsidRDefault="00190BA4" w:rsidP="00F6026A">
      <w:pPr>
        <w:pStyle w:val="FootnoteText"/>
        <w:rPr>
          <w:sz w:val="16"/>
          <w:szCs w:val="16"/>
        </w:rPr>
      </w:pPr>
      <w:r w:rsidRPr="001F0479">
        <w:rPr>
          <w:rStyle w:val="FootnoteReference"/>
          <w:sz w:val="16"/>
          <w:szCs w:val="16"/>
        </w:rPr>
        <w:footnoteRef/>
      </w:r>
      <w:r w:rsidRPr="001F0479">
        <w:rPr>
          <w:sz w:val="16"/>
          <w:szCs w:val="16"/>
        </w:rPr>
        <w:t xml:space="preserve"> </w:t>
      </w:r>
      <w:r>
        <w:rPr>
          <w:sz w:val="16"/>
          <w:szCs w:val="16"/>
        </w:rPr>
        <w:t>Usable heated area</w:t>
      </w:r>
      <w:r w:rsidRPr="001F0479">
        <w:rPr>
          <w:sz w:val="16"/>
          <w:szCs w:val="16"/>
        </w:rPr>
        <w:t xml:space="preserve"> = 74</w:t>
      </w:r>
      <w:r>
        <w:rPr>
          <w:sz w:val="16"/>
          <w:szCs w:val="16"/>
        </w:rPr>
        <w:t>.</w:t>
      </w:r>
      <w:r w:rsidRPr="001F0479">
        <w:rPr>
          <w:sz w:val="16"/>
          <w:szCs w:val="16"/>
        </w:rPr>
        <w:t xml:space="preserve">63 </w:t>
      </w:r>
      <w:r>
        <w:rPr>
          <w:sz w:val="16"/>
          <w:szCs w:val="16"/>
        </w:rPr>
        <w:t>sq m</w:t>
      </w:r>
    </w:p>
    <w:p w14:paraId="61052664" w14:textId="77777777" w:rsidR="00190BA4" w:rsidRPr="001F0479" w:rsidRDefault="00190BA4" w:rsidP="00F6026A">
      <w:pPr>
        <w:pStyle w:val="FootnoteText"/>
        <w:ind w:left="180"/>
        <w:rPr>
          <w:sz w:val="16"/>
          <w:szCs w:val="16"/>
        </w:rPr>
      </w:pPr>
      <w:r>
        <w:rPr>
          <w:sz w:val="16"/>
          <w:szCs w:val="16"/>
        </w:rPr>
        <w:t>Habitable area</w:t>
      </w:r>
      <w:r w:rsidRPr="001F0479">
        <w:rPr>
          <w:sz w:val="16"/>
          <w:szCs w:val="16"/>
        </w:rPr>
        <w:t xml:space="preserve"> = 48</w:t>
      </w:r>
      <w:r>
        <w:rPr>
          <w:sz w:val="16"/>
          <w:szCs w:val="16"/>
        </w:rPr>
        <w:t>.</w:t>
      </w:r>
      <w:r w:rsidRPr="001F0479">
        <w:rPr>
          <w:sz w:val="16"/>
          <w:szCs w:val="16"/>
        </w:rPr>
        <w:t xml:space="preserve">01 </w:t>
      </w:r>
      <w:r>
        <w:rPr>
          <w:sz w:val="16"/>
          <w:szCs w:val="16"/>
        </w:rPr>
        <w:t>sq m</w:t>
      </w:r>
      <w:r w:rsidRPr="001F0479">
        <w:rPr>
          <w:sz w:val="16"/>
          <w:szCs w:val="16"/>
        </w:rPr>
        <w:t xml:space="preserve"> (3 </w:t>
      </w:r>
      <w:r>
        <w:rPr>
          <w:sz w:val="16"/>
          <w:szCs w:val="16"/>
        </w:rPr>
        <w:t>people</w:t>
      </w:r>
      <w:r w:rsidRPr="001F0479">
        <w:rPr>
          <w:sz w:val="16"/>
          <w:szCs w:val="16"/>
        </w:rPr>
        <w:t>)</w:t>
      </w:r>
    </w:p>
    <w:p w14:paraId="1D9EC3B7" w14:textId="77777777" w:rsidR="00190BA4" w:rsidRPr="001F0479" w:rsidRDefault="00190BA4" w:rsidP="00F6026A">
      <w:pPr>
        <w:pStyle w:val="FootnoteText"/>
        <w:ind w:left="180"/>
        <w:rPr>
          <w:sz w:val="16"/>
          <w:szCs w:val="16"/>
        </w:rPr>
      </w:pPr>
      <w:r>
        <w:rPr>
          <w:sz w:val="16"/>
          <w:szCs w:val="16"/>
        </w:rPr>
        <w:t>Outside wall area</w:t>
      </w:r>
      <w:r w:rsidRPr="001F0479">
        <w:rPr>
          <w:sz w:val="16"/>
          <w:szCs w:val="16"/>
        </w:rPr>
        <w:t xml:space="preserve"> (</w:t>
      </w:r>
      <w:r>
        <w:rPr>
          <w:sz w:val="16"/>
          <w:szCs w:val="16"/>
        </w:rPr>
        <w:t>solid area</w:t>
      </w:r>
      <w:r w:rsidRPr="001F0479">
        <w:rPr>
          <w:sz w:val="16"/>
          <w:szCs w:val="16"/>
        </w:rPr>
        <w:t>) = 95</w:t>
      </w:r>
      <w:r>
        <w:rPr>
          <w:sz w:val="16"/>
          <w:szCs w:val="16"/>
        </w:rPr>
        <w:t>.</w:t>
      </w:r>
      <w:r w:rsidRPr="001F0479">
        <w:rPr>
          <w:sz w:val="16"/>
          <w:szCs w:val="16"/>
        </w:rPr>
        <w:t xml:space="preserve">93 </w:t>
      </w:r>
      <w:r>
        <w:rPr>
          <w:sz w:val="16"/>
          <w:szCs w:val="16"/>
        </w:rPr>
        <w:t xml:space="preserve">sq </w:t>
      </w:r>
      <w:r w:rsidRPr="001F0479">
        <w:rPr>
          <w:sz w:val="16"/>
          <w:szCs w:val="16"/>
        </w:rPr>
        <w:t>m</w:t>
      </w:r>
    </w:p>
    <w:p w14:paraId="6EC700D8" w14:textId="77777777" w:rsidR="00190BA4" w:rsidRPr="001F0479" w:rsidRDefault="00190BA4" w:rsidP="00F6026A">
      <w:pPr>
        <w:pStyle w:val="FootnoteText"/>
        <w:ind w:left="180"/>
        <w:rPr>
          <w:sz w:val="16"/>
          <w:szCs w:val="16"/>
        </w:rPr>
      </w:pPr>
      <w:r>
        <w:rPr>
          <w:sz w:val="16"/>
          <w:szCs w:val="16"/>
        </w:rPr>
        <w:t>Glazed area</w:t>
      </w:r>
      <w:r w:rsidRPr="001F0479">
        <w:rPr>
          <w:sz w:val="16"/>
          <w:szCs w:val="16"/>
        </w:rPr>
        <w:t xml:space="preserve"> (</w:t>
      </w:r>
      <w:r>
        <w:rPr>
          <w:sz w:val="16"/>
          <w:szCs w:val="16"/>
        </w:rPr>
        <w:t>doors, windows</w:t>
      </w:r>
      <w:r w:rsidRPr="001F0479">
        <w:rPr>
          <w:sz w:val="16"/>
          <w:szCs w:val="16"/>
        </w:rPr>
        <w:t>) = 12</w:t>
      </w:r>
      <w:r>
        <w:rPr>
          <w:sz w:val="16"/>
          <w:szCs w:val="16"/>
        </w:rPr>
        <w:t>.</w:t>
      </w:r>
      <w:r w:rsidRPr="001F0479">
        <w:rPr>
          <w:sz w:val="16"/>
          <w:szCs w:val="16"/>
        </w:rPr>
        <w:t xml:space="preserve">83 </w:t>
      </w:r>
      <w:r>
        <w:rPr>
          <w:sz w:val="16"/>
          <w:szCs w:val="16"/>
        </w:rPr>
        <w:t xml:space="preserve">sq </w:t>
      </w:r>
      <w:r w:rsidRPr="001F0479">
        <w:rPr>
          <w:sz w:val="16"/>
          <w:szCs w:val="16"/>
        </w:rPr>
        <w:t>m</w:t>
      </w:r>
    </w:p>
    <w:p w14:paraId="6378559A" w14:textId="77777777" w:rsidR="00190BA4" w:rsidRPr="001F0479" w:rsidRDefault="00190BA4" w:rsidP="00F6026A">
      <w:pPr>
        <w:pStyle w:val="FootnoteText"/>
        <w:ind w:left="180"/>
        <w:rPr>
          <w:sz w:val="16"/>
          <w:szCs w:val="16"/>
        </w:rPr>
      </w:pPr>
      <w:r>
        <w:rPr>
          <w:sz w:val="16"/>
          <w:szCs w:val="16"/>
        </w:rPr>
        <w:t>Floor area under the attic</w:t>
      </w:r>
      <w:r w:rsidRPr="001F0479">
        <w:rPr>
          <w:sz w:val="16"/>
          <w:szCs w:val="16"/>
        </w:rPr>
        <w:t xml:space="preserve"> = 80</w:t>
      </w:r>
      <w:r>
        <w:rPr>
          <w:sz w:val="16"/>
          <w:szCs w:val="16"/>
        </w:rPr>
        <w:t>.</w:t>
      </w:r>
      <w:r w:rsidRPr="001F0479">
        <w:rPr>
          <w:sz w:val="16"/>
          <w:szCs w:val="16"/>
        </w:rPr>
        <w:t xml:space="preserve">55 </w:t>
      </w:r>
      <w:r>
        <w:rPr>
          <w:sz w:val="16"/>
          <w:szCs w:val="16"/>
        </w:rPr>
        <w:t xml:space="preserve">sq </w:t>
      </w:r>
      <w:r w:rsidRPr="001F0479">
        <w:rPr>
          <w:sz w:val="16"/>
          <w:szCs w:val="16"/>
        </w:rPr>
        <w:t>m</w:t>
      </w:r>
    </w:p>
    <w:p w14:paraId="1A78EDF5" w14:textId="77777777" w:rsidR="00190BA4" w:rsidRPr="001F0479" w:rsidRDefault="00190BA4" w:rsidP="00F6026A">
      <w:pPr>
        <w:pStyle w:val="FootnoteText"/>
        <w:ind w:left="180"/>
        <w:rPr>
          <w:sz w:val="16"/>
          <w:szCs w:val="16"/>
        </w:rPr>
      </w:pPr>
      <w:r>
        <w:rPr>
          <w:sz w:val="16"/>
          <w:szCs w:val="16"/>
        </w:rPr>
        <w:t>Floor area over unheated basement</w:t>
      </w:r>
      <w:r w:rsidRPr="001F0479">
        <w:rPr>
          <w:sz w:val="16"/>
          <w:szCs w:val="16"/>
        </w:rPr>
        <w:t xml:space="preserve"> = 28</w:t>
      </w:r>
      <w:r>
        <w:rPr>
          <w:sz w:val="16"/>
          <w:szCs w:val="16"/>
        </w:rPr>
        <w:t>.</w:t>
      </w:r>
      <w:r w:rsidRPr="001F0479">
        <w:rPr>
          <w:sz w:val="16"/>
          <w:szCs w:val="16"/>
        </w:rPr>
        <w:t xml:space="preserve">24 </w:t>
      </w:r>
      <w:r>
        <w:rPr>
          <w:sz w:val="16"/>
          <w:szCs w:val="16"/>
        </w:rPr>
        <w:t xml:space="preserve">sq </w:t>
      </w:r>
      <w:r w:rsidRPr="001F0479">
        <w:rPr>
          <w:sz w:val="16"/>
          <w:szCs w:val="16"/>
        </w:rPr>
        <w:t>m</w:t>
      </w:r>
    </w:p>
    <w:p w14:paraId="2C4D90E5" w14:textId="77777777" w:rsidR="00190BA4" w:rsidRPr="001F0479" w:rsidRDefault="00190BA4" w:rsidP="00F6026A">
      <w:pPr>
        <w:pStyle w:val="FootnoteText"/>
        <w:ind w:left="180"/>
        <w:rPr>
          <w:sz w:val="16"/>
          <w:szCs w:val="16"/>
        </w:rPr>
      </w:pPr>
      <w:r>
        <w:rPr>
          <w:sz w:val="16"/>
          <w:szCs w:val="16"/>
        </w:rPr>
        <w:t>Ground slab area</w:t>
      </w:r>
      <w:r w:rsidRPr="001F0479">
        <w:rPr>
          <w:sz w:val="16"/>
          <w:szCs w:val="16"/>
        </w:rPr>
        <w:t xml:space="preserve"> = 52</w:t>
      </w:r>
      <w:r>
        <w:rPr>
          <w:sz w:val="16"/>
          <w:szCs w:val="16"/>
        </w:rPr>
        <w:t>.</w:t>
      </w:r>
      <w:r w:rsidRPr="001F0479">
        <w:rPr>
          <w:sz w:val="16"/>
          <w:szCs w:val="16"/>
        </w:rPr>
        <w:t xml:space="preserve">31 </w:t>
      </w:r>
      <w:r>
        <w:rPr>
          <w:sz w:val="16"/>
          <w:szCs w:val="16"/>
        </w:rPr>
        <w:t xml:space="preserve">sq </w:t>
      </w:r>
      <w:r w:rsidRPr="001F0479">
        <w:rPr>
          <w:sz w:val="16"/>
          <w:szCs w:val="16"/>
        </w:rPr>
        <w:t>m</w:t>
      </w:r>
    </w:p>
    <w:p w14:paraId="36BC6035" w14:textId="77777777" w:rsidR="00190BA4" w:rsidRDefault="00190BA4" w:rsidP="00F6026A">
      <w:pPr>
        <w:pStyle w:val="FootnoteText"/>
        <w:ind w:left="180"/>
      </w:pPr>
      <w:r w:rsidRPr="00860FB5">
        <w:rPr>
          <w:sz w:val="16"/>
          <w:szCs w:val="16"/>
        </w:rPr>
        <w:t>Stand-alone building, moderately sheltered (minimum 3 buildings nearby), high permeability level (exterior carpentry/joinery without sealing measures), partial basement + ground floor</w:t>
      </w:r>
    </w:p>
  </w:footnote>
  <w:footnote w:id="26">
    <w:p w14:paraId="69BBD2A0" w14:textId="2A95691E" w:rsidR="00190BA4" w:rsidRPr="00190BA4" w:rsidRDefault="00190BA4">
      <w:pPr>
        <w:pStyle w:val="FootnoteText"/>
        <w:rPr>
          <w:sz w:val="16"/>
          <w:szCs w:val="16"/>
          <w:lang w:val="en-US"/>
        </w:rPr>
      </w:pPr>
      <w:r w:rsidRPr="00190BA4">
        <w:rPr>
          <w:rStyle w:val="FootnoteReference"/>
          <w:sz w:val="16"/>
          <w:szCs w:val="16"/>
        </w:rPr>
        <w:footnoteRef/>
      </w:r>
      <w:r>
        <w:t xml:space="preserve"> </w:t>
      </w:r>
      <w:r w:rsidRPr="00190BA4">
        <w:rPr>
          <w:sz w:val="16"/>
          <w:szCs w:val="16"/>
        </w:rPr>
        <w:t>https://www.gds.ro/Local/2021-03-12/liber-la-debransare-ce-conditie-trebuie-sa-indeplineasca-locatarii/</w:t>
      </w:r>
    </w:p>
  </w:footnote>
  <w:footnote w:id="27">
    <w:p w14:paraId="066ADC7D" w14:textId="77777777" w:rsidR="00190BA4" w:rsidRPr="00874D3F" w:rsidRDefault="00190BA4" w:rsidP="0023524A">
      <w:pPr>
        <w:pStyle w:val="FootnoteText"/>
        <w:rPr>
          <w:sz w:val="16"/>
          <w:szCs w:val="16"/>
          <w:lang w:val="en-US"/>
        </w:rPr>
      </w:pPr>
      <w:r w:rsidRPr="00874D3F">
        <w:rPr>
          <w:rStyle w:val="FootnoteReference"/>
          <w:sz w:val="16"/>
          <w:szCs w:val="16"/>
        </w:rPr>
        <w:footnoteRef/>
      </w:r>
      <w:r w:rsidRPr="00874D3F">
        <w:rPr>
          <w:sz w:val="16"/>
          <w:szCs w:val="16"/>
        </w:rPr>
        <w:t xml:space="preserve"> </w:t>
      </w:r>
      <w:hyperlink r:id="rId5" w:history="1">
        <w:r w:rsidRPr="00874D3F">
          <w:rPr>
            <w:color w:val="1155CC"/>
            <w:sz w:val="16"/>
            <w:szCs w:val="16"/>
            <w:u w:val="single"/>
          </w:rPr>
          <w:t>https</w:t>
        </w:r>
      </w:hyperlink>
      <w:hyperlink r:id="rId6" w:history="1">
        <w:r w:rsidRPr="00874D3F">
          <w:rPr>
            <w:color w:val="1155CC"/>
            <w:sz w:val="16"/>
            <w:szCs w:val="16"/>
            <w:u w:val="single"/>
          </w:rPr>
          <w:t>://</w:t>
        </w:r>
      </w:hyperlink>
      <w:hyperlink r:id="rId7" w:history="1">
        <w:r w:rsidRPr="00874D3F">
          <w:rPr>
            <w:color w:val="1155CC"/>
            <w:sz w:val="16"/>
            <w:szCs w:val="16"/>
            <w:u w:val="single"/>
          </w:rPr>
          <w:t>www</w:t>
        </w:r>
      </w:hyperlink>
      <w:hyperlink r:id="rId8" w:history="1">
        <w:r w:rsidRPr="00874D3F">
          <w:rPr>
            <w:color w:val="1155CC"/>
            <w:sz w:val="16"/>
            <w:szCs w:val="16"/>
            <w:u w:val="single"/>
          </w:rPr>
          <w:t>.</w:t>
        </w:r>
      </w:hyperlink>
      <w:hyperlink r:id="rId9" w:history="1">
        <w:r w:rsidRPr="00874D3F">
          <w:rPr>
            <w:color w:val="1155CC"/>
            <w:sz w:val="16"/>
            <w:szCs w:val="16"/>
            <w:u w:val="single"/>
          </w:rPr>
          <w:t>mlpda</w:t>
        </w:r>
      </w:hyperlink>
      <w:hyperlink r:id="rId10" w:history="1">
        <w:r w:rsidRPr="00874D3F">
          <w:rPr>
            <w:color w:val="1155CC"/>
            <w:sz w:val="16"/>
            <w:szCs w:val="16"/>
            <w:u w:val="single"/>
          </w:rPr>
          <w:t>.</w:t>
        </w:r>
      </w:hyperlink>
      <w:hyperlink r:id="rId11" w:history="1">
        <w:r w:rsidRPr="00874D3F">
          <w:rPr>
            <w:color w:val="1155CC"/>
            <w:sz w:val="16"/>
            <w:szCs w:val="16"/>
            <w:u w:val="single"/>
          </w:rPr>
          <w:t>ro</w:t>
        </w:r>
      </w:hyperlink>
      <w:hyperlink r:id="rId12" w:history="1">
        <w:r w:rsidRPr="00874D3F">
          <w:rPr>
            <w:color w:val="1155CC"/>
            <w:sz w:val="16"/>
            <w:szCs w:val="16"/>
            <w:u w:val="single"/>
          </w:rPr>
          <w:t>/</w:t>
        </w:r>
      </w:hyperlink>
      <w:hyperlink r:id="rId13" w:history="1">
        <w:r w:rsidRPr="00874D3F">
          <w:rPr>
            <w:color w:val="1155CC"/>
            <w:sz w:val="16"/>
            <w:szCs w:val="16"/>
            <w:u w:val="single"/>
          </w:rPr>
          <w:t>userfiles</w:t>
        </w:r>
      </w:hyperlink>
      <w:hyperlink r:id="rId14" w:history="1">
        <w:r w:rsidRPr="00874D3F">
          <w:rPr>
            <w:color w:val="1155CC"/>
            <w:sz w:val="16"/>
            <w:szCs w:val="16"/>
            <w:u w:val="single"/>
          </w:rPr>
          <w:t>/</w:t>
        </w:r>
      </w:hyperlink>
      <w:hyperlink r:id="rId15" w:history="1">
        <w:r w:rsidRPr="00874D3F">
          <w:rPr>
            <w:color w:val="1155CC"/>
            <w:sz w:val="16"/>
            <w:szCs w:val="16"/>
            <w:u w:val="single"/>
          </w:rPr>
          <w:t>Strategie</w:t>
        </w:r>
      </w:hyperlink>
      <w:hyperlink r:id="rId16" w:history="1">
        <w:r w:rsidRPr="00874D3F">
          <w:rPr>
            <w:color w:val="1155CC"/>
            <w:sz w:val="16"/>
            <w:szCs w:val="16"/>
            <w:u w:val="single"/>
          </w:rPr>
          <w:t>_</w:t>
        </w:r>
      </w:hyperlink>
      <w:hyperlink r:id="rId17" w:history="1">
        <w:r w:rsidRPr="00874D3F">
          <w:rPr>
            <w:color w:val="1155CC"/>
            <w:sz w:val="16"/>
            <w:szCs w:val="16"/>
            <w:u w:val="single"/>
          </w:rPr>
          <w:t>renovare</w:t>
        </w:r>
      </w:hyperlink>
      <w:hyperlink r:id="rId18" w:history="1">
        <w:r w:rsidRPr="00874D3F">
          <w:rPr>
            <w:color w:val="1155CC"/>
            <w:sz w:val="16"/>
            <w:szCs w:val="16"/>
            <w:u w:val="single"/>
          </w:rPr>
          <w:t>_</w:t>
        </w:r>
      </w:hyperlink>
      <w:hyperlink r:id="rId19" w:history="1">
        <w:r w:rsidRPr="00874D3F">
          <w:rPr>
            <w:color w:val="1155CC"/>
            <w:sz w:val="16"/>
            <w:szCs w:val="16"/>
            <w:u w:val="single"/>
          </w:rPr>
          <w:t>cladiri</w:t>
        </w:r>
      </w:hyperlink>
      <w:hyperlink r:id="rId20" w:history="1">
        <w:r w:rsidRPr="00874D3F">
          <w:rPr>
            <w:color w:val="1155CC"/>
            <w:sz w:val="16"/>
            <w:szCs w:val="16"/>
            <w:u w:val="single"/>
          </w:rPr>
          <w:t>_2017%20</w:t>
        </w:r>
      </w:hyperlink>
      <w:hyperlink r:id="rId21" w:history="1">
        <w:r w:rsidRPr="00874D3F">
          <w:rPr>
            <w:color w:val="1155CC"/>
            <w:sz w:val="16"/>
            <w:szCs w:val="16"/>
            <w:u w:val="single"/>
          </w:rPr>
          <w:t>final</w:t>
        </w:r>
      </w:hyperlink>
      <w:hyperlink r:id="rId22" w:history="1">
        <w:r w:rsidRPr="00874D3F">
          <w:rPr>
            <w:color w:val="1155CC"/>
            <w:sz w:val="16"/>
            <w:szCs w:val="16"/>
            <w:u w:val="single"/>
          </w:rPr>
          <w:t>_23</w:t>
        </w:r>
      </w:hyperlink>
      <w:hyperlink r:id="rId23" w:history="1">
        <w:r w:rsidRPr="00874D3F">
          <w:rPr>
            <w:color w:val="1155CC"/>
            <w:sz w:val="16"/>
            <w:szCs w:val="16"/>
            <w:u w:val="single"/>
          </w:rPr>
          <w:t>octombrie</w:t>
        </w:r>
      </w:hyperlink>
      <w:hyperlink r:id="rId24" w:history="1">
        <w:r w:rsidRPr="00874D3F">
          <w:rPr>
            <w:color w:val="1155CC"/>
            <w:sz w:val="16"/>
            <w:szCs w:val="16"/>
            <w:u w:val="single"/>
          </w:rPr>
          <w:t>2017.</w:t>
        </w:r>
      </w:hyperlink>
      <w:hyperlink r:id="rId25" w:history="1">
        <w:r w:rsidRPr="00874D3F">
          <w:rPr>
            <w:color w:val="1155CC"/>
            <w:sz w:val="16"/>
            <w:szCs w:val="16"/>
            <w:u w:val="single"/>
          </w:rPr>
          <w:t>pdf</w:t>
        </w:r>
      </w:hyperlink>
    </w:p>
  </w:footnote>
  <w:footnote w:id="28">
    <w:p w14:paraId="4C9961A1" w14:textId="77777777" w:rsidR="00190BA4" w:rsidRPr="00794E77" w:rsidRDefault="00190BA4" w:rsidP="0023524A">
      <w:pPr>
        <w:pStyle w:val="FootnoteText"/>
        <w:ind w:left="142" w:hanging="142"/>
        <w:rPr>
          <w:sz w:val="16"/>
          <w:szCs w:val="16"/>
          <w:lang w:val="en-US"/>
        </w:rPr>
      </w:pPr>
      <w:r w:rsidRPr="00794E77">
        <w:rPr>
          <w:rStyle w:val="FootnoteReference"/>
          <w:sz w:val="16"/>
          <w:szCs w:val="16"/>
        </w:rPr>
        <w:footnoteRef/>
      </w:r>
      <w:r w:rsidRPr="00794E77">
        <w:rPr>
          <w:sz w:val="16"/>
          <w:szCs w:val="16"/>
        </w:rPr>
        <w:t xml:space="preserve"> </w:t>
      </w:r>
      <w:r w:rsidRPr="00794E77">
        <w:rPr>
          <w:sz w:val="16"/>
          <w:szCs w:val="16"/>
          <w:shd w:val="solid" w:color="FFFFFF" w:fill="FFFFFF"/>
        </w:rPr>
        <w:t>European Housing Partnership,</w:t>
      </w:r>
      <w:hyperlink r:id="rId26" w:history="1">
        <w:r w:rsidRPr="00794E77">
          <w:rPr>
            <w:sz w:val="16"/>
            <w:szCs w:val="16"/>
            <w:shd w:val="solid" w:color="FFFFFF" w:fill="FFFFFF"/>
          </w:rPr>
          <w:t xml:space="preserve"> </w:t>
        </w:r>
      </w:hyperlink>
      <w:hyperlink r:id="rId27" w:history="1">
        <w:r w:rsidRPr="00794E77">
          <w:rPr>
            <w:color w:val="1155CC"/>
            <w:sz w:val="16"/>
            <w:szCs w:val="16"/>
            <w:u w:val="single"/>
            <w:shd w:val="solid" w:color="FFFFFF" w:fill="FFFFFF"/>
          </w:rPr>
          <w:t>2017</w:t>
        </w:r>
      </w:hyperlink>
      <w:r w:rsidRPr="00794E77">
        <w:rPr>
          <w:color w:val="1155CC"/>
          <w:sz w:val="16"/>
          <w:szCs w:val="16"/>
          <w:u w:val="single"/>
          <w:shd w:val="solid" w:color="FFFFFF" w:fill="FFFFFF"/>
        </w:rPr>
        <w:t xml:space="preserve">: </w:t>
      </w:r>
      <w:r w:rsidRPr="00794E77">
        <w:rPr>
          <w:sz w:val="16"/>
          <w:szCs w:val="16"/>
        </w:rPr>
        <w:t>https://ec.europa.eu/futurium/en/system/files/ged/2018.10.22_affordable_housing_in_central_and_eastern_europe.pdf</w:t>
      </w:r>
    </w:p>
  </w:footnote>
  <w:footnote w:id="29">
    <w:p w14:paraId="01385FCB" w14:textId="77777777" w:rsidR="00190BA4" w:rsidRPr="005B6FF0" w:rsidRDefault="00190BA4" w:rsidP="00E755F8">
      <w:pPr>
        <w:pStyle w:val="FootnoteText"/>
        <w:rPr>
          <w:sz w:val="16"/>
          <w:lang w:val="it-IT"/>
        </w:rPr>
      </w:pPr>
      <w:r w:rsidRPr="00794E77">
        <w:rPr>
          <w:rStyle w:val="FootnoteReference"/>
          <w:sz w:val="16"/>
          <w:szCs w:val="16"/>
        </w:rPr>
        <w:footnoteRef/>
      </w:r>
      <w:r w:rsidRPr="005B6FF0">
        <w:rPr>
          <w:sz w:val="16"/>
          <w:lang w:val="it-IT"/>
        </w:rPr>
        <w:t xml:space="preserve"> CEDEFOP</w:t>
      </w:r>
      <w:r w:rsidRPr="002653D0">
        <w:rPr>
          <w:sz w:val="16"/>
          <w:lang w:val="pt-PT"/>
        </w:rPr>
        <w:t>,</w:t>
      </w:r>
      <w:r w:rsidRPr="005B6FF0">
        <w:rPr>
          <w:sz w:val="16"/>
          <w:lang w:val="it-IT"/>
        </w:rPr>
        <w:t xml:space="preserve"> 2020</w:t>
      </w:r>
    </w:p>
  </w:footnote>
  <w:footnote w:id="30">
    <w:p w14:paraId="6ABF940F" w14:textId="77777777" w:rsidR="00190BA4" w:rsidRPr="005B6FF0" w:rsidRDefault="00190BA4" w:rsidP="00E755F8">
      <w:pPr>
        <w:pStyle w:val="FootnoteText"/>
        <w:rPr>
          <w:sz w:val="16"/>
          <w:lang w:val="it-IT"/>
        </w:rPr>
      </w:pPr>
      <w:r w:rsidRPr="00794E77">
        <w:rPr>
          <w:rStyle w:val="FootnoteReference"/>
          <w:sz w:val="16"/>
          <w:szCs w:val="16"/>
        </w:rPr>
        <w:footnoteRef/>
      </w:r>
      <w:r w:rsidRPr="005B6FF0">
        <w:rPr>
          <w:sz w:val="16"/>
          <w:lang w:val="it-IT"/>
        </w:rPr>
        <w:t xml:space="preserve"> Palmer</w:t>
      </w:r>
      <w:r w:rsidRPr="002653D0">
        <w:rPr>
          <w:sz w:val="16"/>
          <w:lang w:val="pt-PT"/>
        </w:rPr>
        <w:t>,</w:t>
      </w:r>
      <w:r w:rsidRPr="005B6FF0">
        <w:rPr>
          <w:sz w:val="16"/>
          <w:lang w:val="it-IT"/>
        </w:rPr>
        <w:t xml:space="preserve"> 2018</w:t>
      </w:r>
    </w:p>
  </w:footnote>
  <w:footnote w:id="31">
    <w:p w14:paraId="529FEED2" w14:textId="77777777" w:rsidR="00190BA4" w:rsidRPr="005B6FF0" w:rsidRDefault="00190BA4" w:rsidP="00E755F8">
      <w:pPr>
        <w:pStyle w:val="FootnoteText"/>
        <w:rPr>
          <w:sz w:val="16"/>
          <w:lang w:val="it-IT"/>
        </w:rPr>
      </w:pPr>
      <w:r w:rsidRPr="00794E77">
        <w:rPr>
          <w:rStyle w:val="FootnoteReference"/>
          <w:sz w:val="16"/>
          <w:szCs w:val="16"/>
        </w:rPr>
        <w:footnoteRef/>
      </w:r>
      <w:r w:rsidRPr="005B6FF0">
        <w:rPr>
          <w:sz w:val="16"/>
          <w:lang w:val="it-IT"/>
        </w:rPr>
        <w:t xml:space="preserve"> CEDEFOP</w:t>
      </w:r>
      <w:r w:rsidRPr="002653D0">
        <w:rPr>
          <w:sz w:val="16"/>
          <w:lang w:val="pt-PT"/>
        </w:rPr>
        <w:t>,</w:t>
      </w:r>
      <w:r w:rsidRPr="005B6FF0">
        <w:rPr>
          <w:sz w:val="16"/>
          <w:lang w:val="it-IT"/>
        </w:rPr>
        <w:t xml:space="preserve"> 2020</w:t>
      </w:r>
    </w:p>
  </w:footnote>
  <w:footnote w:id="32">
    <w:p w14:paraId="5C99DEC1" w14:textId="77777777" w:rsidR="00190BA4" w:rsidRPr="005B6FF0" w:rsidRDefault="00190BA4" w:rsidP="00E755F8">
      <w:pPr>
        <w:pStyle w:val="FootnoteText"/>
        <w:rPr>
          <w:lang w:val="it-IT"/>
        </w:rPr>
      </w:pPr>
      <w:r w:rsidRPr="00794E77">
        <w:rPr>
          <w:rStyle w:val="FootnoteReference"/>
          <w:sz w:val="16"/>
          <w:szCs w:val="16"/>
        </w:rPr>
        <w:footnoteRef/>
      </w:r>
      <w:r w:rsidRPr="005B6FF0">
        <w:rPr>
          <w:sz w:val="16"/>
          <w:lang w:val="it-IT"/>
        </w:rPr>
        <w:t xml:space="preserve"> Cambridge Econometrics</w:t>
      </w:r>
      <w:r w:rsidRPr="00190BA4">
        <w:rPr>
          <w:sz w:val="16"/>
          <w:lang w:val="pt-PT"/>
        </w:rPr>
        <w:t>,</w:t>
      </w:r>
      <w:r w:rsidRPr="005B6FF0">
        <w:rPr>
          <w:sz w:val="16"/>
          <w:lang w:val="it-IT"/>
        </w:rPr>
        <w:t xml:space="preserve"> 2019</w:t>
      </w:r>
    </w:p>
  </w:footnote>
  <w:footnote w:id="33">
    <w:p w14:paraId="1603849B" w14:textId="77777777" w:rsidR="00190BA4" w:rsidRPr="00794E77" w:rsidRDefault="00190BA4" w:rsidP="00E755F8">
      <w:pPr>
        <w:pStyle w:val="FootnoteText"/>
        <w:rPr>
          <w:sz w:val="16"/>
          <w:szCs w:val="16"/>
          <w:lang w:val="en-US"/>
        </w:rPr>
      </w:pPr>
      <w:r w:rsidRPr="00794E77">
        <w:rPr>
          <w:rStyle w:val="FootnoteReference"/>
          <w:sz w:val="16"/>
          <w:szCs w:val="16"/>
        </w:rPr>
        <w:footnoteRef/>
      </w:r>
      <w:r w:rsidRPr="00794E77">
        <w:rPr>
          <w:sz w:val="16"/>
          <w:szCs w:val="16"/>
        </w:rPr>
        <w:t xml:space="preserve"> Mayor, López, and Pérez, 2007</w:t>
      </w:r>
    </w:p>
  </w:footnote>
  <w:footnote w:id="34">
    <w:p w14:paraId="2002F6C4" w14:textId="77777777" w:rsidR="00190BA4" w:rsidRPr="00794E77" w:rsidRDefault="00190BA4" w:rsidP="00E755F8">
      <w:pPr>
        <w:pStyle w:val="FootnoteText"/>
        <w:rPr>
          <w:sz w:val="16"/>
          <w:szCs w:val="16"/>
          <w:lang w:val="en-US"/>
        </w:rPr>
      </w:pPr>
      <w:r w:rsidRPr="00794E77">
        <w:rPr>
          <w:rStyle w:val="FootnoteReference"/>
          <w:sz w:val="16"/>
          <w:szCs w:val="16"/>
        </w:rPr>
        <w:footnoteRef/>
      </w:r>
      <w:r w:rsidRPr="00794E77">
        <w:rPr>
          <w:sz w:val="16"/>
          <w:szCs w:val="16"/>
        </w:rPr>
        <w:t xml:space="preserve"> </w:t>
      </w:r>
      <w:r>
        <w:rPr>
          <w:sz w:val="16"/>
          <w:szCs w:val="16"/>
        </w:rPr>
        <w:t>C</w:t>
      </w:r>
      <w:r w:rsidRPr="00967A57">
        <w:rPr>
          <w:sz w:val="16"/>
          <w:szCs w:val="16"/>
        </w:rPr>
        <w:t>EDEFOP, 2020</w:t>
      </w:r>
    </w:p>
  </w:footnote>
  <w:footnote w:id="35">
    <w:p w14:paraId="2CC1897B" w14:textId="77777777" w:rsidR="00190BA4" w:rsidRPr="00794E77" w:rsidRDefault="00190BA4" w:rsidP="00E755F8">
      <w:pPr>
        <w:pStyle w:val="FootnoteText"/>
        <w:rPr>
          <w:lang w:val="en-US"/>
        </w:rPr>
      </w:pPr>
      <w:r w:rsidRPr="00794E77">
        <w:rPr>
          <w:rStyle w:val="FootnoteReference"/>
          <w:sz w:val="16"/>
          <w:szCs w:val="16"/>
        </w:rPr>
        <w:footnoteRef/>
      </w:r>
      <w:r w:rsidRPr="00794E77">
        <w:rPr>
          <w:sz w:val="16"/>
          <w:szCs w:val="16"/>
        </w:rPr>
        <w:t xml:space="preserve"> </w:t>
      </w:r>
      <w:r w:rsidRPr="00794E77">
        <w:rPr>
          <w:sz w:val="16"/>
          <w:szCs w:val="16"/>
          <w:lang w:val="en-US"/>
        </w:rPr>
        <w:t>Idem</w:t>
      </w:r>
    </w:p>
  </w:footnote>
  <w:footnote w:id="36">
    <w:p w14:paraId="27087284" w14:textId="4DB532DF" w:rsidR="00190BA4" w:rsidRPr="00094C72" w:rsidRDefault="00190BA4" w:rsidP="00CF574C">
      <w:pPr>
        <w:pStyle w:val="FootnoteText"/>
        <w:ind w:left="142" w:hanging="142"/>
        <w:jc w:val="both"/>
        <w:rPr>
          <w:sz w:val="16"/>
          <w:szCs w:val="16"/>
          <w:lang w:val="en-US"/>
        </w:rPr>
      </w:pPr>
      <w:r w:rsidRPr="00094C72">
        <w:rPr>
          <w:rStyle w:val="FootnoteReference"/>
          <w:sz w:val="16"/>
          <w:szCs w:val="16"/>
        </w:rPr>
        <w:footnoteRef/>
      </w:r>
      <w:r w:rsidRPr="00094C72">
        <w:rPr>
          <w:sz w:val="16"/>
          <w:szCs w:val="16"/>
        </w:rPr>
        <w:t xml:space="preserve"> Expenditure of 100% of subsidies on investments (capital goods) by targeted SMEs is a simplification in the modelling. </w:t>
      </w:r>
      <w:r>
        <w:rPr>
          <w:sz w:val="16"/>
          <w:szCs w:val="16"/>
        </w:rPr>
        <w:t>Basically</w:t>
      </w:r>
      <w:r w:rsidRPr="00094C72">
        <w:rPr>
          <w:sz w:val="16"/>
          <w:szCs w:val="16"/>
        </w:rPr>
        <w:t>, what we state is that firms primarily spend the received transfers on investment, not on increasing wages or boosting their profits. We are not aware of detailed data available about how subsidies are actually spent within firms, but as several EU funded subsidy programs set requirements for the majority of the subsidy being spent on investment (e.g., ERDF financed competitiveness boosting programs) this is a somewhat reasonable assumption.</w:t>
      </w:r>
    </w:p>
  </w:footnote>
  <w:footnote w:id="37">
    <w:p w14:paraId="6D42E1F9" w14:textId="76279537" w:rsidR="00190BA4" w:rsidRPr="009A3BAA" w:rsidRDefault="00190BA4" w:rsidP="00CF574C">
      <w:pPr>
        <w:pStyle w:val="FootnoteText"/>
        <w:ind w:left="142" w:hanging="142"/>
        <w:jc w:val="both"/>
        <w:rPr>
          <w:sz w:val="16"/>
          <w:szCs w:val="16"/>
          <w:lang w:val="en-US"/>
        </w:rPr>
      </w:pPr>
      <w:r w:rsidRPr="009A3BAA">
        <w:rPr>
          <w:rStyle w:val="FootnoteReference"/>
          <w:sz w:val="16"/>
          <w:szCs w:val="16"/>
        </w:rPr>
        <w:footnoteRef/>
      </w:r>
      <w:r w:rsidRPr="009A3BAA">
        <w:rPr>
          <w:sz w:val="16"/>
          <w:szCs w:val="16"/>
        </w:rPr>
        <w:t xml:space="preserve"> Purchasing the capital goods within the region, is likely in the case of some capital goods (e.g., construction) and less likely in the case of others (e.g., heavy machinery). Nevertheless, there is no available data on how companies buy capital goods considering the spatial source), therefore </w:t>
      </w:r>
      <w:r>
        <w:rPr>
          <w:sz w:val="16"/>
          <w:szCs w:val="16"/>
        </w:rPr>
        <w:t>this is an</w:t>
      </w:r>
      <w:r w:rsidRPr="009A3BAA">
        <w:rPr>
          <w:sz w:val="16"/>
          <w:szCs w:val="16"/>
        </w:rPr>
        <w:t xml:space="preserve"> assumption. However, in the regional input-output tables we do have </w:t>
      </w:r>
      <w:r w:rsidRPr="009A3BAA">
        <w:rPr>
          <w:i/>
          <w:iCs/>
          <w:sz w:val="16"/>
          <w:szCs w:val="16"/>
        </w:rPr>
        <w:t>import</w:t>
      </w:r>
      <w:r w:rsidRPr="009A3BAA">
        <w:rPr>
          <w:sz w:val="16"/>
          <w:szCs w:val="16"/>
        </w:rPr>
        <w:t xml:space="preserve"> which can be within country (domestic) or foreign import. Therefore, even though we assume that firms buy capital goods in their own regions, we do consider that imports are needed to produce those capital goods.</w:t>
      </w:r>
    </w:p>
  </w:footnote>
  <w:footnote w:id="38">
    <w:p w14:paraId="646B0675" w14:textId="28AE694A" w:rsidR="00190BA4" w:rsidRPr="009A3BAA" w:rsidRDefault="00190BA4" w:rsidP="00CF574C">
      <w:pPr>
        <w:pStyle w:val="FootnoteText"/>
        <w:ind w:left="142" w:hanging="142"/>
        <w:jc w:val="both"/>
        <w:rPr>
          <w:sz w:val="16"/>
          <w:szCs w:val="16"/>
          <w:lang w:val="en-US"/>
        </w:rPr>
      </w:pPr>
      <w:r w:rsidRPr="009A3BAA">
        <w:rPr>
          <w:rStyle w:val="FootnoteReference"/>
          <w:sz w:val="16"/>
          <w:szCs w:val="16"/>
        </w:rPr>
        <w:footnoteRef/>
      </w:r>
      <w:r w:rsidRPr="009A3BAA">
        <w:rPr>
          <w:sz w:val="16"/>
          <w:szCs w:val="16"/>
        </w:rPr>
        <w:t xml:space="preserve"> Productivity growth is assumed in the recycling and waste management sector, which drives employment increases in the same sectors</w:t>
      </w:r>
    </w:p>
  </w:footnote>
  <w:footnote w:id="39">
    <w:p w14:paraId="7CE8977E" w14:textId="77777777" w:rsidR="00190BA4" w:rsidRPr="009C2D9B" w:rsidRDefault="00190BA4" w:rsidP="00D83F43">
      <w:pPr>
        <w:pStyle w:val="FootnoteText"/>
        <w:rPr>
          <w:sz w:val="16"/>
          <w:szCs w:val="16"/>
          <w:lang w:val="de-DE"/>
        </w:rPr>
      </w:pPr>
      <w:r w:rsidRPr="00794E77">
        <w:rPr>
          <w:rStyle w:val="FootnoteReference"/>
          <w:sz w:val="16"/>
          <w:szCs w:val="16"/>
        </w:rPr>
        <w:footnoteRef/>
      </w:r>
      <w:r w:rsidRPr="009C2D9B">
        <w:rPr>
          <w:sz w:val="16"/>
          <w:szCs w:val="16"/>
          <w:lang w:val="de-DE"/>
        </w:rPr>
        <w:t xml:space="preserve"> ten Raa 2006</w:t>
      </w:r>
    </w:p>
  </w:footnote>
  <w:footnote w:id="40">
    <w:p w14:paraId="0208BD48" w14:textId="77777777" w:rsidR="00190BA4" w:rsidRPr="009C2D9B" w:rsidRDefault="00190BA4" w:rsidP="00D83F43">
      <w:pPr>
        <w:pStyle w:val="FootnoteText"/>
        <w:rPr>
          <w:sz w:val="16"/>
          <w:szCs w:val="16"/>
          <w:lang w:val="de-DE"/>
        </w:rPr>
      </w:pPr>
      <w:r w:rsidRPr="00794E77">
        <w:rPr>
          <w:rStyle w:val="FootnoteReference"/>
          <w:sz w:val="16"/>
          <w:szCs w:val="16"/>
        </w:rPr>
        <w:footnoteRef/>
      </w:r>
      <w:r w:rsidRPr="009C2D9B">
        <w:rPr>
          <w:sz w:val="16"/>
          <w:szCs w:val="16"/>
          <w:lang w:val="de-DE"/>
        </w:rPr>
        <w:t xml:space="preserve"> Bíró and Bíró 2014</w:t>
      </w:r>
    </w:p>
  </w:footnote>
  <w:footnote w:id="41">
    <w:p w14:paraId="1463A8BC" w14:textId="196DFCD8" w:rsidR="00190BA4" w:rsidRPr="009A3BAA" w:rsidRDefault="00190BA4" w:rsidP="009A3BAA">
      <w:pPr>
        <w:pStyle w:val="FootnoteText"/>
        <w:ind w:left="142" w:hanging="142"/>
        <w:rPr>
          <w:sz w:val="16"/>
          <w:szCs w:val="16"/>
          <w:lang w:val="en-US"/>
        </w:rPr>
      </w:pPr>
      <w:r w:rsidRPr="009A3BAA">
        <w:rPr>
          <w:rStyle w:val="FootnoteReference"/>
          <w:sz w:val="16"/>
          <w:szCs w:val="16"/>
        </w:rPr>
        <w:footnoteRef/>
      </w:r>
      <w:r>
        <w:rPr>
          <w:sz w:val="16"/>
          <w:szCs w:val="16"/>
        </w:rPr>
        <w:t xml:space="preserve"> </w:t>
      </w:r>
      <w:r w:rsidRPr="009A3BAA">
        <w:rPr>
          <w:sz w:val="16"/>
          <w:szCs w:val="16"/>
        </w:rPr>
        <w:t>External costs (in particular environmental costs) are not taken into account. As it is noted in the text, the “circular economy” case is the only one that assumedly ha</w:t>
      </w:r>
      <w:r>
        <w:rPr>
          <w:sz w:val="16"/>
          <w:szCs w:val="16"/>
        </w:rPr>
        <w:t>s</w:t>
      </w:r>
      <w:r w:rsidRPr="009A3BAA">
        <w:rPr>
          <w:sz w:val="16"/>
          <w:szCs w:val="16"/>
        </w:rPr>
        <w:t xml:space="preserve"> direct positive environmental impacts. Nevertheless, the exact amount of these impacts is not quantified in the calculations. To quantify these outcomes assuming that a given tax</w:t>
      </w:r>
      <w:r>
        <w:rPr>
          <w:sz w:val="16"/>
          <w:szCs w:val="16"/>
        </w:rPr>
        <w:t xml:space="preserve"> (e.g., landfill/incineration tax)</w:t>
      </w:r>
      <w:r w:rsidRPr="009A3BAA">
        <w:rPr>
          <w:sz w:val="16"/>
          <w:szCs w:val="16"/>
        </w:rPr>
        <w:t xml:space="preserve"> is imposed is a possible solution, but it needs to be asked whether imposing such a tax in the target regions is feasible. Another possible solution would be to directly calculate certain environmental indicators (e.g., CO</w:t>
      </w:r>
      <w:r w:rsidRPr="00782BFD">
        <w:rPr>
          <w:sz w:val="16"/>
          <w:szCs w:val="16"/>
          <w:vertAlign w:val="subscript"/>
        </w:rPr>
        <w:t>2</w:t>
      </w:r>
      <w:r w:rsidRPr="009A3BAA">
        <w:rPr>
          <w:sz w:val="16"/>
          <w:szCs w:val="16"/>
        </w:rPr>
        <w:t xml:space="preserve"> emissions) based on the existing calculations. This can be the object of a subsequent TA/analysis process.</w:t>
      </w:r>
    </w:p>
  </w:footnote>
  <w:footnote w:id="42">
    <w:p w14:paraId="429F49E4" w14:textId="5BC7F1D3" w:rsidR="00190BA4" w:rsidRPr="009A3BAA" w:rsidRDefault="00190BA4" w:rsidP="009A3BAA">
      <w:pPr>
        <w:pStyle w:val="FootnoteText"/>
        <w:ind w:left="142" w:hanging="142"/>
        <w:rPr>
          <w:sz w:val="16"/>
          <w:szCs w:val="16"/>
          <w:lang w:val="en-US"/>
        </w:rPr>
      </w:pPr>
      <w:r w:rsidRPr="009A3BAA">
        <w:rPr>
          <w:rStyle w:val="FootnoteReference"/>
          <w:sz w:val="16"/>
          <w:szCs w:val="16"/>
        </w:rPr>
        <w:footnoteRef/>
      </w:r>
      <w:r w:rsidRPr="009A3BAA">
        <w:rPr>
          <w:sz w:val="16"/>
          <w:szCs w:val="16"/>
        </w:rPr>
        <w:t xml:space="preserve"> </w:t>
      </w:r>
      <w:r>
        <w:rPr>
          <w:sz w:val="16"/>
          <w:szCs w:val="16"/>
        </w:rPr>
        <w:t>T</w:t>
      </w:r>
      <w:r w:rsidRPr="009A3BAA">
        <w:rPr>
          <w:sz w:val="16"/>
          <w:szCs w:val="16"/>
        </w:rPr>
        <w:t xml:space="preserve">he methodology does not aim to provide an exact modelling of the Just Transition </w:t>
      </w:r>
      <w:r>
        <w:rPr>
          <w:sz w:val="16"/>
          <w:szCs w:val="16"/>
        </w:rPr>
        <w:t>Plans</w:t>
      </w:r>
      <w:r w:rsidRPr="009A3BAA">
        <w:rPr>
          <w:sz w:val="16"/>
          <w:szCs w:val="16"/>
        </w:rPr>
        <w:t>, it only intends to show how different policies can have impacts differing across regions (due to differences in economic structures) and across sectors (due to action mechanisms)</w:t>
      </w:r>
    </w:p>
  </w:footnote>
  <w:footnote w:id="43">
    <w:p w14:paraId="1234E2AA" w14:textId="77777777" w:rsidR="00190BA4" w:rsidRPr="008B3EF7" w:rsidRDefault="00190BA4" w:rsidP="00CF1AD9">
      <w:pPr>
        <w:pStyle w:val="FootnoteText"/>
        <w:ind w:left="180" w:hanging="180"/>
        <w:rPr>
          <w:sz w:val="16"/>
          <w:szCs w:val="16"/>
          <w:lang w:val="en-US"/>
        </w:rPr>
      </w:pPr>
      <w:r w:rsidRPr="008B3EF7">
        <w:rPr>
          <w:rStyle w:val="FootnoteReference"/>
          <w:sz w:val="16"/>
          <w:szCs w:val="16"/>
        </w:rPr>
        <w:footnoteRef/>
      </w:r>
      <w:r w:rsidRPr="008B3EF7">
        <w:rPr>
          <w:sz w:val="16"/>
          <w:szCs w:val="16"/>
        </w:rPr>
        <w:t xml:space="preserve"> absorption capacity means the level of new investment that a given sector, region can use without substantial loss to its productivity. If the absorption capacity is exceeded it could lead to a number of influences as described in the text.</w:t>
      </w:r>
    </w:p>
  </w:footnote>
  <w:footnote w:id="44">
    <w:p w14:paraId="03F2B968" w14:textId="2EF2E68E" w:rsidR="00190BA4" w:rsidRPr="005166AE" w:rsidRDefault="00190BA4">
      <w:pPr>
        <w:pStyle w:val="FootnoteText"/>
        <w:rPr>
          <w:sz w:val="16"/>
          <w:szCs w:val="16"/>
          <w:lang w:val="en-US"/>
        </w:rPr>
      </w:pPr>
      <w:r w:rsidRPr="005166AE">
        <w:rPr>
          <w:rStyle w:val="FootnoteReference"/>
          <w:sz w:val="16"/>
          <w:szCs w:val="16"/>
        </w:rPr>
        <w:footnoteRef/>
      </w:r>
      <w:r w:rsidRPr="005166AE">
        <w:rPr>
          <w:sz w:val="16"/>
          <w:szCs w:val="16"/>
        </w:rPr>
        <w:t xml:space="preserve"> Invited to attend the regional working session with large enterprises at county level</w:t>
      </w:r>
    </w:p>
  </w:footnote>
  <w:footnote w:id="45">
    <w:p w14:paraId="33D19C11" w14:textId="06A72C00" w:rsidR="00190BA4" w:rsidRPr="00CB7306" w:rsidRDefault="00190BA4" w:rsidP="001A3057">
      <w:pPr>
        <w:pStyle w:val="FootnoteText"/>
        <w:ind w:left="142" w:hanging="142"/>
        <w:rPr>
          <w:sz w:val="16"/>
          <w:szCs w:val="16"/>
          <w:lang w:val="en-US"/>
        </w:rPr>
      </w:pPr>
      <w:r w:rsidRPr="00CB7306">
        <w:rPr>
          <w:rStyle w:val="FootnoteReference"/>
          <w:sz w:val="16"/>
          <w:szCs w:val="16"/>
        </w:rPr>
        <w:footnoteRef/>
      </w:r>
      <w:r w:rsidRPr="00CB7306">
        <w:rPr>
          <w:sz w:val="16"/>
          <w:szCs w:val="16"/>
        </w:rPr>
        <w:t xml:space="preserve"> TUR102C - Capacity of tourist accommodation existing by types of tourist reception structures, counties and localities</w:t>
      </w:r>
    </w:p>
  </w:footnote>
  <w:footnote w:id="46">
    <w:p w14:paraId="007BC7B3" w14:textId="77777777" w:rsidR="00190BA4" w:rsidRPr="00CB7306" w:rsidRDefault="00190BA4" w:rsidP="001A3057">
      <w:pPr>
        <w:pStyle w:val="FootnoteText"/>
        <w:ind w:left="142" w:hanging="142"/>
        <w:rPr>
          <w:sz w:val="16"/>
          <w:szCs w:val="16"/>
          <w:lang w:val="en-US"/>
        </w:rPr>
      </w:pPr>
      <w:r w:rsidRPr="00CB7306">
        <w:rPr>
          <w:rStyle w:val="FootnoteReference"/>
          <w:sz w:val="16"/>
          <w:szCs w:val="16"/>
        </w:rPr>
        <w:footnoteRef/>
      </w:r>
      <w:r w:rsidRPr="00CB7306">
        <w:rPr>
          <w:sz w:val="16"/>
          <w:szCs w:val="16"/>
        </w:rPr>
        <w:t xml:space="preserve"> </w:t>
      </w:r>
      <w:r w:rsidRPr="00CB7306">
        <w:rPr>
          <w:color w:val="2A2A2A"/>
          <w:sz w:val="16"/>
          <w:szCs w:val="16"/>
          <w:shd w:val="clear" w:color="auto" w:fill="FFFFFF"/>
        </w:rPr>
        <w:t xml:space="preserve">TUR106C - Index of net using the touristic accommodation capacity in function by type of establishment and comfort category, monthly, </w:t>
      </w:r>
      <w:hyperlink r:id="rId28" w:anchor="/pages/tables/insse-table" w:history="1">
        <w:r w:rsidRPr="00CB7306">
          <w:rPr>
            <w:rStyle w:val="Hyperlink"/>
            <w:sz w:val="16"/>
            <w:szCs w:val="16"/>
          </w:rPr>
          <w:t>TEMPO Online (insse.ro)</w:t>
        </w:r>
      </w:hyperlink>
    </w:p>
  </w:footnote>
  <w:footnote w:id="47">
    <w:p w14:paraId="14676E62" w14:textId="3D5044DD" w:rsidR="00190BA4" w:rsidRPr="00CB7306" w:rsidRDefault="00190BA4" w:rsidP="001A3057">
      <w:pPr>
        <w:ind w:left="142" w:hanging="142"/>
        <w:rPr>
          <w:rFonts w:ascii="Arial" w:hAnsi="Arial" w:cs="Arial"/>
          <w:sz w:val="20"/>
          <w:szCs w:val="20"/>
        </w:rPr>
      </w:pPr>
      <w:r w:rsidRPr="00CB7306">
        <w:rPr>
          <w:rFonts w:ascii="Arial" w:hAnsi="Arial" w:cs="Arial"/>
          <w:sz w:val="16"/>
          <w:szCs w:val="16"/>
          <w:vertAlign w:val="superscript"/>
        </w:rPr>
        <w:footnoteRef/>
      </w:r>
      <w:r w:rsidRPr="00CB7306">
        <w:rPr>
          <w:rFonts w:ascii="Arial" w:hAnsi="Arial" w:cs="Arial"/>
          <w:sz w:val="16"/>
          <w:szCs w:val="16"/>
        </w:rPr>
        <w:t xml:space="preserve"> </w:t>
      </w:r>
      <w:bookmarkStart w:id="112" w:name="_Hlk68702101"/>
      <w:r w:rsidRPr="00CB7306">
        <w:rPr>
          <w:rFonts w:ascii="Arial" w:hAnsi="Arial" w:cs="Arial"/>
          <w:sz w:val="16"/>
          <w:szCs w:val="16"/>
        </w:rPr>
        <w:fldChar w:fldCharType="begin"/>
      </w:r>
      <w:r w:rsidRPr="00CB7306">
        <w:rPr>
          <w:rFonts w:ascii="Arial" w:hAnsi="Arial" w:cs="Arial"/>
          <w:sz w:val="16"/>
          <w:szCs w:val="16"/>
        </w:rPr>
        <w:instrText xml:space="preserve"> HYPERLINK "https://data.oecd.org/lprdty/labour-productivity-and-utilisation.htm" \l "indicator-chart" \h </w:instrText>
      </w:r>
      <w:r w:rsidRPr="00CB7306">
        <w:rPr>
          <w:rFonts w:ascii="Arial" w:hAnsi="Arial" w:cs="Arial"/>
          <w:sz w:val="16"/>
          <w:szCs w:val="16"/>
        </w:rPr>
        <w:fldChar w:fldCharType="separate"/>
      </w:r>
      <w:r w:rsidRPr="00CB7306">
        <w:rPr>
          <w:rFonts w:ascii="Arial" w:hAnsi="Arial" w:cs="Arial"/>
          <w:color w:val="1155CC"/>
          <w:sz w:val="16"/>
          <w:szCs w:val="16"/>
          <w:u w:val="single"/>
        </w:rPr>
        <w:t>Productivity - Labour productivity and utilisation - OECD Data</w:t>
      </w:r>
      <w:r w:rsidRPr="00CB7306">
        <w:rPr>
          <w:rFonts w:ascii="Arial" w:hAnsi="Arial" w:cs="Arial"/>
          <w:color w:val="1155CC"/>
          <w:sz w:val="16"/>
          <w:szCs w:val="16"/>
          <w:u w:val="single"/>
        </w:rPr>
        <w:fldChar w:fldCharType="end"/>
      </w:r>
      <w:bookmarkEnd w:id="112"/>
      <w:r w:rsidRPr="00CB7306">
        <w:rPr>
          <w:rFonts w:ascii="Arial" w:hAnsi="Arial" w:cs="Arial"/>
          <w:color w:val="1155CC"/>
          <w:sz w:val="16"/>
          <w:szCs w:val="16"/>
          <w:u w:val="single"/>
        </w:rPr>
        <w:t>: https://data.oecd.org/lprdty/labour-productivity-and-utilisation.htm#indicator-chart</w:t>
      </w:r>
    </w:p>
  </w:footnote>
  <w:footnote w:id="48">
    <w:p w14:paraId="5E7F1A74" w14:textId="77777777" w:rsidR="00190BA4" w:rsidRPr="00794E77" w:rsidRDefault="00190BA4" w:rsidP="001A3057">
      <w:pPr>
        <w:pStyle w:val="FootnoteText"/>
        <w:ind w:left="142" w:hanging="142"/>
        <w:rPr>
          <w:lang w:val="en-US"/>
        </w:rPr>
      </w:pPr>
      <w:r w:rsidRPr="00794E77">
        <w:rPr>
          <w:rStyle w:val="FootnoteReference"/>
          <w:sz w:val="16"/>
          <w:szCs w:val="16"/>
        </w:rPr>
        <w:footnoteRef/>
      </w:r>
      <w:r w:rsidRPr="00794E77">
        <w:rPr>
          <w:sz w:val="16"/>
          <w:szCs w:val="16"/>
        </w:rPr>
        <w:t xml:space="preserve"> Based on National Institute of Statistics data on resident population at 1st of Jan</w:t>
      </w:r>
      <w:r>
        <w:rPr>
          <w:sz w:val="16"/>
          <w:szCs w:val="16"/>
        </w:rPr>
        <w:t xml:space="preserve"> </w:t>
      </w:r>
      <w:r w:rsidRPr="00794E77">
        <w:rPr>
          <w:sz w:val="16"/>
          <w:szCs w:val="16"/>
        </w:rPr>
        <w:t>2019 (POP105A/INSSE Tempo)</w:t>
      </w:r>
    </w:p>
  </w:footnote>
  <w:footnote w:id="49">
    <w:p w14:paraId="07C3DF11" w14:textId="12A0CB6E" w:rsidR="00190BA4" w:rsidRPr="000A7086" w:rsidRDefault="00190BA4" w:rsidP="001A3057">
      <w:pPr>
        <w:pStyle w:val="FootnoteText"/>
        <w:ind w:left="142" w:hanging="142"/>
        <w:rPr>
          <w:sz w:val="16"/>
          <w:szCs w:val="16"/>
          <w:lang w:val="en-US"/>
        </w:rPr>
      </w:pPr>
      <w:r w:rsidRPr="000A7086">
        <w:rPr>
          <w:rStyle w:val="FootnoteReference"/>
          <w:sz w:val="16"/>
          <w:szCs w:val="16"/>
        </w:rPr>
        <w:footnoteRef/>
      </w:r>
      <w:r w:rsidRPr="000A7086">
        <w:rPr>
          <w:sz w:val="16"/>
          <w:szCs w:val="16"/>
        </w:rPr>
        <w:t xml:space="preserve"> SOM101F - </w:t>
      </w:r>
      <w:hyperlink r:id="rId29" w:history="1">
        <w:r w:rsidRPr="000A7086">
          <w:rPr>
            <w:rStyle w:val="Hyperlink"/>
            <w:color w:val="006699"/>
            <w:sz w:val="16"/>
            <w:szCs w:val="16"/>
          </w:rPr>
          <w:t>Share of registered unemployed in the total labor resources, by gender, counties and localities</w:t>
        </w:r>
      </w:hyperlink>
      <w:r>
        <w:rPr>
          <w:sz w:val="16"/>
          <w:szCs w:val="16"/>
        </w:rPr>
        <w:t>; ratio between the number of unemployed and the total population by domicile 18 – 62 years</w:t>
      </w:r>
    </w:p>
  </w:footnote>
  <w:footnote w:id="50">
    <w:p w14:paraId="0A459D3A" w14:textId="69B56AAD" w:rsidR="00190BA4" w:rsidRPr="000A7086" w:rsidRDefault="00190BA4" w:rsidP="001A3057">
      <w:pPr>
        <w:pStyle w:val="FootnoteText"/>
        <w:ind w:left="142" w:hanging="142"/>
        <w:rPr>
          <w:sz w:val="16"/>
          <w:szCs w:val="16"/>
          <w:lang w:val="en-US"/>
        </w:rPr>
      </w:pPr>
      <w:r w:rsidRPr="000A7086">
        <w:rPr>
          <w:rStyle w:val="FootnoteReference"/>
          <w:sz w:val="16"/>
          <w:szCs w:val="16"/>
        </w:rPr>
        <w:footnoteRef/>
      </w:r>
      <w:r w:rsidRPr="000A7086">
        <w:rPr>
          <w:sz w:val="16"/>
          <w:szCs w:val="16"/>
        </w:rPr>
        <w:t xml:space="preserve"> SOM103A - </w:t>
      </w:r>
      <w:hyperlink r:id="rId30" w:history="1">
        <w:r w:rsidRPr="000A7086">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51">
    <w:p w14:paraId="439B222E" w14:textId="65EA8189" w:rsidR="00190BA4" w:rsidRPr="00CB7306" w:rsidRDefault="00190BA4" w:rsidP="0094603F">
      <w:pPr>
        <w:pStyle w:val="FootnoteText"/>
        <w:ind w:left="142" w:hanging="142"/>
        <w:rPr>
          <w:sz w:val="16"/>
          <w:szCs w:val="16"/>
          <w:lang w:val="en-US"/>
        </w:rPr>
      </w:pPr>
      <w:r w:rsidRPr="00CB7306">
        <w:rPr>
          <w:rStyle w:val="FootnoteReference"/>
          <w:sz w:val="16"/>
          <w:szCs w:val="16"/>
        </w:rPr>
        <w:footnoteRef/>
      </w:r>
      <w:r w:rsidRPr="00CB7306">
        <w:rPr>
          <w:sz w:val="16"/>
          <w:szCs w:val="16"/>
        </w:rPr>
        <w:t xml:space="preserve"> University of Petrosani, 2019 Annual Report: https://www.upet.ro/documente/rapoarte/2020/Raport%20privind%20starea%20Universitatii%20din%20Petrosani%20in%20anul%202019.pdf</w:t>
      </w:r>
    </w:p>
  </w:footnote>
  <w:footnote w:id="52">
    <w:p w14:paraId="7F09DA5C" w14:textId="28A7B43B" w:rsidR="00190BA4" w:rsidRPr="00CB7306" w:rsidRDefault="00190BA4" w:rsidP="0094603F">
      <w:pPr>
        <w:pStyle w:val="FootnoteText"/>
        <w:ind w:left="142" w:hanging="142"/>
        <w:rPr>
          <w:sz w:val="16"/>
          <w:szCs w:val="16"/>
          <w:lang w:val="en-US"/>
        </w:rPr>
      </w:pPr>
      <w:r w:rsidRPr="00CB7306">
        <w:rPr>
          <w:rStyle w:val="FootnoteReference"/>
          <w:sz w:val="16"/>
          <w:szCs w:val="16"/>
        </w:rPr>
        <w:footnoteRef/>
      </w:r>
      <w:r w:rsidRPr="00CB7306">
        <w:rPr>
          <w:sz w:val="16"/>
          <w:szCs w:val="16"/>
        </w:rPr>
        <w:t xml:space="preserve"> Faculty of Engineering of Hunedoara, 2019 Annual Report: http://www.fih.upt.ro/v4/regulamente/raport_decan/raport_anual_stare_fih_2019.pdf</w:t>
      </w:r>
    </w:p>
  </w:footnote>
  <w:footnote w:id="53">
    <w:p w14:paraId="511379EE" w14:textId="17E3031F" w:rsidR="00190BA4" w:rsidRPr="009C2D9B" w:rsidRDefault="00190BA4" w:rsidP="0094603F">
      <w:pPr>
        <w:pStyle w:val="FootnoteText"/>
        <w:ind w:left="142" w:hanging="142"/>
        <w:rPr>
          <w:sz w:val="16"/>
          <w:szCs w:val="16"/>
        </w:rPr>
      </w:pPr>
      <w:r w:rsidRPr="00CB7306">
        <w:rPr>
          <w:rStyle w:val="FootnoteReference"/>
          <w:sz w:val="16"/>
          <w:szCs w:val="16"/>
        </w:rPr>
        <w:footnoteRef/>
      </w:r>
      <w:r w:rsidRPr="00CB7306">
        <w:rPr>
          <w:sz w:val="16"/>
          <w:szCs w:val="16"/>
        </w:rPr>
        <w:t xml:space="preserve"> National Institute of Statistics, Tempo online SCL103E</w:t>
      </w:r>
    </w:p>
  </w:footnote>
  <w:footnote w:id="54">
    <w:p w14:paraId="74E5F5F5" w14:textId="0EEECE91" w:rsidR="00190BA4" w:rsidRPr="00E273BF" w:rsidRDefault="00190BA4">
      <w:pPr>
        <w:pStyle w:val="FootnoteText"/>
        <w:rPr>
          <w:sz w:val="16"/>
          <w:szCs w:val="16"/>
          <w:lang w:val="en-US"/>
        </w:rPr>
      </w:pPr>
      <w:r w:rsidRPr="00E273BF">
        <w:rPr>
          <w:rStyle w:val="FootnoteReference"/>
          <w:sz w:val="16"/>
          <w:szCs w:val="16"/>
        </w:rPr>
        <w:footnoteRef/>
      </w:r>
      <w:r w:rsidRPr="00E273BF">
        <w:rPr>
          <w:sz w:val="16"/>
          <w:szCs w:val="16"/>
        </w:rPr>
        <w:t xml:space="preserve"> https://www.siiir.edu.ro/carto/</w:t>
      </w:r>
    </w:p>
  </w:footnote>
  <w:footnote w:id="55">
    <w:p w14:paraId="5E9588B5" w14:textId="7DA33A2B" w:rsidR="00190BA4" w:rsidRPr="009C2D9B" w:rsidRDefault="00190BA4" w:rsidP="0094603F">
      <w:pPr>
        <w:pStyle w:val="FootnoteText"/>
        <w:ind w:left="142" w:hanging="142"/>
        <w:rPr>
          <w:sz w:val="16"/>
          <w:szCs w:val="16"/>
        </w:rPr>
      </w:pPr>
      <w:r w:rsidRPr="00957C84">
        <w:rPr>
          <w:rStyle w:val="FootnoteReference"/>
          <w:sz w:val="16"/>
          <w:szCs w:val="16"/>
        </w:rPr>
        <w:footnoteRef/>
      </w:r>
      <w:r w:rsidRPr="009C2D9B">
        <w:rPr>
          <w:sz w:val="16"/>
          <w:szCs w:val="16"/>
        </w:rPr>
        <w:t xml:space="preserve"> </w:t>
      </w:r>
      <w:hyperlink r:id="rId31">
        <w:r w:rsidRPr="009C2D9B">
          <w:rPr>
            <w:color w:val="1155CC"/>
            <w:sz w:val="16"/>
            <w:szCs w:val="16"/>
            <w:u w:val="single"/>
          </w:rPr>
          <w:t>http://www.anpm.ro/documents/21661/0/propunere+PMCA+dezbatere+publica-+site.pdf/f27f3a6f-8c6c-45e0-9d16-9f1063122e0d</w:t>
        </w:r>
      </w:hyperlink>
    </w:p>
  </w:footnote>
  <w:footnote w:id="56">
    <w:p w14:paraId="4CE452E4" w14:textId="08713830" w:rsidR="00190BA4" w:rsidRPr="005B6C21" w:rsidRDefault="00190BA4" w:rsidP="0094603F">
      <w:pPr>
        <w:pStyle w:val="FootnoteText"/>
        <w:ind w:left="142" w:hanging="142"/>
        <w:rPr>
          <w:sz w:val="16"/>
          <w:szCs w:val="16"/>
          <w:lang w:val="en-US"/>
        </w:rPr>
      </w:pPr>
      <w:r w:rsidRPr="002D4B7B">
        <w:rPr>
          <w:rStyle w:val="FootnoteReference"/>
          <w:sz w:val="16"/>
          <w:szCs w:val="16"/>
        </w:rPr>
        <w:footnoteRef/>
      </w:r>
      <w:r w:rsidRPr="002D4B7B">
        <w:rPr>
          <w:sz w:val="16"/>
          <w:szCs w:val="16"/>
        </w:rPr>
        <w:t xml:space="preserve"> </w:t>
      </w:r>
      <w:r w:rsidRPr="00794E77">
        <w:rPr>
          <w:sz w:val="16"/>
          <w:szCs w:val="16"/>
        </w:rPr>
        <w:t>Ministry of Environment list of contaminated sites</w:t>
      </w:r>
    </w:p>
  </w:footnote>
  <w:footnote w:id="57">
    <w:p w14:paraId="2C55EADB" w14:textId="6EE452D4" w:rsidR="00190BA4" w:rsidRPr="008E70A9" w:rsidRDefault="00190BA4" w:rsidP="0094603F">
      <w:pPr>
        <w:pStyle w:val="FootnoteText"/>
        <w:ind w:left="142" w:hanging="142"/>
        <w:rPr>
          <w:sz w:val="16"/>
          <w:szCs w:val="16"/>
          <w:lang w:val="en-US"/>
        </w:rPr>
      </w:pPr>
      <w:r w:rsidRPr="002D4B7B">
        <w:rPr>
          <w:rStyle w:val="FootnoteReference"/>
          <w:sz w:val="16"/>
          <w:szCs w:val="16"/>
        </w:rPr>
        <w:footnoteRef/>
      </w:r>
      <w:r w:rsidRPr="002D4B7B">
        <w:rPr>
          <w:sz w:val="16"/>
          <w:szCs w:val="16"/>
        </w:rPr>
        <w:t xml:space="preserve"> </w:t>
      </w:r>
      <w:r w:rsidRPr="00794E77">
        <w:rPr>
          <w:sz w:val="16"/>
          <w:szCs w:val="16"/>
        </w:rPr>
        <w:t>Based on National Institute of Statistics data on resident population at 1st of Jan2019 (POP105A/INSSE Tempo)</w:t>
      </w:r>
    </w:p>
  </w:footnote>
  <w:footnote w:id="58">
    <w:p w14:paraId="3395CE01" w14:textId="0E61B49A" w:rsidR="00190BA4" w:rsidRPr="00782BFD" w:rsidRDefault="00190BA4">
      <w:pPr>
        <w:pStyle w:val="FootnoteText"/>
        <w:rPr>
          <w:lang w:val="it-IT"/>
        </w:rPr>
      </w:pPr>
      <w:r w:rsidRPr="008E70A9">
        <w:rPr>
          <w:rStyle w:val="FootnoteReference"/>
          <w:sz w:val="16"/>
          <w:szCs w:val="16"/>
        </w:rPr>
        <w:footnoteRef/>
      </w:r>
      <w:r w:rsidRPr="00782BFD">
        <w:rPr>
          <w:sz w:val="16"/>
          <w:lang w:val="it-IT"/>
        </w:rPr>
        <w:t xml:space="preserve"> Eurostat, unit Euro per inhabitant: </w:t>
      </w:r>
      <w:hyperlink r:id="rId32" w:history="1">
        <w:r w:rsidRPr="00782BFD">
          <w:rPr>
            <w:rStyle w:val="Hyperlink"/>
            <w:sz w:val="16"/>
            <w:lang w:val="it-IT"/>
          </w:rPr>
          <w:t>https://appsso.eurostat.ec.europa.eu/nui/show.do?dataset=rd_e_gerdreg&amp;lang=en</w:t>
        </w:r>
      </w:hyperlink>
    </w:p>
  </w:footnote>
  <w:footnote w:id="59">
    <w:p w14:paraId="349A14B8" w14:textId="1B07F7D7" w:rsidR="00190BA4" w:rsidRPr="00673267" w:rsidRDefault="00190BA4" w:rsidP="0094603F">
      <w:pPr>
        <w:pStyle w:val="FootnoteText"/>
        <w:ind w:left="142" w:hanging="142"/>
        <w:rPr>
          <w:sz w:val="16"/>
          <w:szCs w:val="16"/>
          <w:lang w:val="en-US"/>
        </w:rPr>
      </w:pPr>
      <w:r w:rsidRPr="00673267">
        <w:rPr>
          <w:rStyle w:val="FootnoteReference"/>
          <w:sz w:val="16"/>
          <w:szCs w:val="16"/>
        </w:rPr>
        <w:footnoteRef/>
      </w:r>
      <w:r w:rsidRPr="00673267">
        <w:rPr>
          <w:sz w:val="16"/>
          <w:szCs w:val="16"/>
        </w:rPr>
        <w:t xml:space="preserve"> World Bank poverty map for Romania based on 2011 Census</w:t>
      </w:r>
    </w:p>
  </w:footnote>
  <w:footnote w:id="60">
    <w:p w14:paraId="3B009683" w14:textId="5DBBDEA9" w:rsidR="00190BA4" w:rsidRPr="000A7086" w:rsidRDefault="00190BA4" w:rsidP="0094603F">
      <w:pPr>
        <w:ind w:left="142" w:hanging="142"/>
        <w:rPr>
          <w:rFonts w:ascii="Arial" w:hAnsi="Arial" w:cs="Arial"/>
          <w:sz w:val="16"/>
          <w:szCs w:val="16"/>
        </w:rPr>
      </w:pPr>
      <w:r w:rsidRPr="000A7086">
        <w:rPr>
          <w:rFonts w:ascii="Arial" w:hAnsi="Arial" w:cs="Arial"/>
          <w:sz w:val="16"/>
          <w:szCs w:val="16"/>
          <w:vertAlign w:val="superscript"/>
        </w:rPr>
        <w:footnoteRef/>
      </w:r>
      <w:r w:rsidRPr="000A7086">
        <w:rPr>
          <w:rFonts w:ascii="Arial" w:hAnsi="Arial" w:cs="Arial"/>
          <w:sz w:val="16"/>
          <w:szCs w:val="16"/>
        </w:rPr>
        <w:t xml:space="preserve"> Interview with Petrosani University representatives - Pilot requalification project in renewable energy sector </w:t>
      </w:r>
    </w:p>
  </w:footnote>
  <w:footnote w:id="61">
    <w:p w14:paraId="6330A1B9" w14:textId="680161DE" w:rsidR="00190BA4" w:rsidRPr="000A7086" w:rsidRDefault="00190BA4" w:rsidP="0094603F">
      <w:pPr>
        <w:pStyle w:val="FootnoteText"/>
        <w:ind w:left="142" w:hanging="142"/>
        <w:rPr>
          <w:sz w:val="16"/>
          <w:szCs w:val="16"/>
          <w:lang w:val="en-US"/>
        </w:rPr>
      </w:pPr>
      <w:r w:rsidRPr="00673267">
        <w:rPr>
          <w:rStyle w:val="FootnoteReference"/>
          <w:sz w:val="16"/>
          <w:szCs w:val="16"/>
        </w:rPr>
        <w:footnoteRef/>
      </w:r>
      <w:r w:rsidRPr="00673267">
        <w:rPr>
          <w:sz w:val="16"/>
          <w:szCs w:val="16"/>
        </w:rPr>
        <w:t xml:space="preserve"> NIS, JV Regional Profile - Report of Initiative for coal regions in transitions, 2018</w:t>
      </w:r>
    </w:p>
  </w:footnote>
  <w:footnote w:id="62">
    <w:p w14:paraId="4301FB3F" w14:textId="48DEC550" w:rsidR="00190BA4" w:rsidRPr="00782BFD" w:rsidRDefault="00190BA4" w:rsidP="0094603F">
      <w:pPr>
        <w:pStyle w:val="FootnoteText"/>
        <w:ind w:left="142" w:hanging="142"/>
        <w:rPr>
          <w:sz w:val="16"/>
          <w:lang w:val="it-IT"/>
        </w:rPr>
      </w:pPr>
      <w:r w:rsidRPr="000A7086">
        <w:rPr>
          <w:rStyle w:val="FootnoteReference"/>
          <w:sz w:val="16"/>
          <w:szCs w:val="16"/>
        </w:rPr>
        <w:footnoteRef/>
      </w:r>
      <w:r w:rsidRPr="00782BFD">
        <w:rPr>
          <w:sz w:val="16"/>
          <w:lang w:val="it-IT"/>
        </w:rPr>
        <w:t xml:space="preserve"> Eurostat, unit Euro per inhabitant: </w:t>
      </w:r>
      <w:hyperlink r:id="rId33" w:history="1">
        <w:r w:rsidRPr="00782BFD">
          <w:rPr>
            <w:rStyle w:val="Hyperlink"/>
            <w:sz w:val="16"/>
            <w:lang w:val="it-IT"/>
          </w:rPr>
          <w:t>https://appsso.eurostat.ec.europa.eu/nui/show.do?dataset=rd_e_gerdreg&amp;lang=en</w:t>
        </w:r>
      </w:hyperlink>
    </w:p>
  </w:footnote>
  <w:footnote w:id="63">
    <w:p w14:paraId="1F13934F" w14:textId="25648893" w:rsidR="00190BA4" w:rsidRPr="00CF1AD9" w:rsidRDefault="00190BA4" w:rsidP="00CF1AD9">
      <w:pPr>
        <w:pStyle w:val="FootnoteText"/>
        <w:ind w:left="180" w:hanging="180"/>
        <w:rPr>
          <w:sz w:val="16"/>
          <w:szCs w:val="16"/>
        </w:rPr>
      </w:pPr>
      <w:r w:rsidRPr="00CF1AD9">
        <w:rPr>
          <w:rStyle w:val="FootnoteReference"/>
          <w:sz w:val="16"/>
          <w:szCs w:val="16"/>
        </w:rPr>
        <w:footnoteRef/>
      </w:r>
      <w:r w:rsidRPr="00CF1AD9">
        <w:rPr>
          <w:sz w:val="16"/>
          <w:szCs w:val="16"/>
        </w:rPr>
        <w:t xml:space="preserve"> Training and Professional Reconversion Academy for Renewable Sources and Electricity Distribution, Cooperation Protocol, May 2019</w:t>
      </w:r>
    </w:p>
  </w:footnote>
  <w:footnote w:id="64">
    <w:p w14:paraId="0C1FC151" w14:textId="49DB83AE" w:rsidR="00190BA4" w:rsidRPr="00CF1AD9" w:rsidRDefault="00190BA4" w:rsidP="0094603F">
      <w:pPr>
        <w:pStyle w:val="FootnoteText"/>
        <w:ind w:left="142" w:hanging="142"/>
        <w:rPr>
          <w:sz w:val="16"/>
          <w:szCs w:val="16"/>
        </w:rPr>
      </w:pPr>
      <w:r w:rsidRPr="00CF1AD9">
        <w:rPr>
          <w:rStyle w:val="FootnoteReference"/>
          <w:sz w:val="16"/>
          <w:szCs w:val="16"/>
        </w:rPr>
        <w:footnoteRef/>
      </w:r>
      <w:r w:rsidRPr="00CF1AD9">
        <w:rPr>
          <w:sz w:val="16"/>
          <w:szCs w:val="16"/>
        </w:rPr>
        <w:t xml:space="preserve"> Transylvania Technical College Deva: </w:t>
      </w:r>
      <w:hyperlink r:id="rId34" w:history="1">
        <w:r w:rsidRPr="00CF1AD9">
          <w:rPr>
            <w:rStyle w:val="Hyperlink"/>
            <w:sz w:val="16"/>
            <w:szCs w:val="16"/>
          </w:rPr>
          <w:t>www.cttdeva.ro</w:t>
        </w:r>
      </w:hyperlink>
    </w:p>
  </w:footnote>
  <w:footnote w:id="65">
    <w:p w14:paraId="44EE7BA3" w14:textId="5EA11D92" w:rsidR="00190BA4" w:rsidRPr="00CF1AD9" w:rsidRDefault="00190BA4" w:rsidP="0094603F">
      <w:pPr>
        <w:ind w:left="142" w:hanging="142"/>
        <w:rPr>
          <w:rFonts w:ascii="Arial" w:hAnsi="Arial" w:cs="Arial"/>
          <w:color w:val="1155CC"/>
          <w:sz w:val="16"/>
          <w:szCs w:val="16"/>
          <w:u w:val="single"/>
          <w:lang w:val="es-ES"/>
        </w:rPr>
      </w:pPr>
      <w:r w:rsidRPr="00CF1AD9">
        <w:rPr>
          <w:rStyle w:val="FootnoteReference"/>
          <w:rFonts w:ascii="Arial" w:hAnsi="Arial" w:cs="Arial"/>
          <w:sz w:val="16"/>
          <w:szCs w:val="16"/>
        </w:rPr>
        <w:footnoteRef/>
      </w:r>
      <w:r w:rsidRPr="00CF1AD9">
        <w:rPr>
          <w:rFonts w:ascii="Arial" w:hAnsi="Arial" w:cs="Arial"/>
          <w:sz w:val="16"/>
          <w:szCs w:val="16"/>
          <w:lang w:val="es-ES"/>
        </w:rPr>
        <w:t xml:space="preserve"> </w:t>
      </w:r>
      <w:r w:rsidRPr="00CF1AD9">
        <w:rPr>
          <w:rFonts w:ascii="Arial" w:hAnsi="Arial" w:cs="Arial"/>
          <w:color w:val="1155CC"/>
          <w:sz w:val="16"/>
          <w:szCs w:val="16"/>
          <w:u w:val="single"/>
          <w:lang w:val="es-ES"/>
        </w:rPr>
        <w:t>Hermes Economic College Petrosani:colegiul-hermes-petrosani.ro)</w:t>
      </w:r>
    </w:p>
  </w:footnote>
  <w:footnote w:id="66">
    <w:p w14:paraId="7229BD7C" w14:textId="0C6AFDAE" w:rsidR="00190BA4" w:rsidRPr="00190BA4" w:rsidRDefault="00190BA4" w:rsidP="005402F1">
      <w:pPr>
        <w:pStyle w:val="FootnoteText"/>
        <w:rPr>
          <w:sz w:val="16"/>
          <w:szCs w:val="16"/>
          <w:lang w:val="pt-PT"/>
        </w:rPr>
      </w:pPr>
      <w:r w:rsidRPr="00CF1AD9">
        <w:rPr>
          <w:rStyle w:val="FootnoteReference"/>
          <w:sz w:val="16"/>
          <w:szCs w:val="16"/>
        </w:rPr>
        <w:footnoteRef/>
      </w:r>
      <w:r w:rsidRPr="00190BA4">
        <w:rPr>
          <w:sz w:val="16"/>
          <w:szCs w:val="16"/>
          <w:lang w:val="pt-PT"/>
        </w:rPr>
        <w:t xml:space="preserve"> </w:t>
      </w:r>
      <w:hyperlink r:id="rId35">
        <w:r w:rsidRPr="00190BA4">
          <w:rPr>
            <w:sz w:val="16"/>
            <w:szCs w:val="16"/>
            <w:lang w:val="pt-PT"/>
          </w:rPr>
          <w:t>Hunedoara</w:t>
        </w:r>
      </w:hyperlink>
      <w:r w:rsidRPr="00190BA4">
        <w:rPr>
          <w:sz w:val="16"/>
          <w:szCs w:val="16"/>
          <w:lang w:val="pt-PT"/>
        </w:rPr>
        <w:t xml:space="preserve"> Municipality:</w:t>
      </w:r>
      <w:r w:rsidRPr="00190BA4">
        <w:rPr>
          <w:sz w:val="16"/>
          <w:szCs w:val="16"/>
          <w:u w:val="single"/>
          <w:lang w:val="pt-PT"/>
        </w:rPr>
        <w:t xml:space="preserve"> </w:t>
      </w:r>
      <w:r w:rsidRPr="00190BA4">
        <w:rPr>
          <w:color w:val="1155CC"/>
          <w:sz w:val="16"/>
          <w:szCs w:val="16"/>
          <w:u w:val="single"/>
          <w:lang w:val="pt-PT"/>
        </w:rPr>
        <w:t>https://taxe.primariahunedoara.ro/</w:t>
      </w:r>
    </w:p>
  </w:footnote>
  <w:footnote w:id="67">
    <w:p w14:paraId="0778D25F" w14:textId="77777777" w:rsidR="00190BA4" w:rsidRPr="00CF1AD9" w:rsidRDefault="00190BA4" w:rsidP="00D934E4">
      <w:pPr>
        <w:pStyle w:val="FootnoteText"/>
        <w:ind w:left="142" w:hanging="142"/>
        <w:rPr>
          <w:sz w:val="16"/>
          <w:szCs w:val="16"/>
          <w:lang w:val="en-US"/>
        </w:rPr>
      </w:pPr>
      <w:r w:rsidRPr="00CF1AD9">
        <w:rPr>
          <w:rStyle w:val="FootnoteReference"/>
          <w:sz w:val="16"/>
          <w:szCs w:val="16"/>
        </w:rPr>
        <w:footnoteRef/>
      </w:r>
      <w:r w:rsidRPr="00CF1AD9">
        <w:rPr>
          <w:sz w:val="16"/>
          <w:szCs w:val="16"/>
        </w:rPr>
        <w:t xml:space="preserve"> Hunedoara County Council: https://cjhunedoara.ro/documente/2021/Sedinte/SEDINTA%2026%20FEBRUARIE/PH%20SUPLIMENTARE%2026%20feb/03%20PH%20ASOCIERE%20SUPLIMENTAR.pdf</w:t>
      </w:r>
    </w:p>
  </w:footnote>
  <w:footnote w:id="68">
    <w:p w14:paraId="2B51836B" w14:textId="3C61B817" w:rsidR="00190BA4" w:rsidRPr="00CF1AD9" w:rsidRDefault="00190BA4">
      <w:pPr>
        <w:pStyle w:val="FootnoteText"/>
        <w:rPr>
          <w:sz w:val="16"/>
          <w:szCs w:val="16"/>
        </w:rPr>
      </w:pPr>
      <w:r w:rsidRPr="00CF1AD9">
        <w:rPr>
          <w:rStyle w:val="FootnoteReference"/>
          <w:sz w:val="16"/>
          <w:szCs w:val="16"/>
        </w:rPr>
        <w:footnoteRef/>
      </w:r>
      <w:r w:rsidRPr="00CF1AD9">
        <w:rPr>
          <w:sz w:val="16"/>
          <w:szCs w:val="16"/>
        </w:rPr>
        <w:t xml:space="preserve"> </w:t>
      </w:r>
      <w:r w:rsidRPr="00CF1AD9">
        <w:rPr>
          <w:sz w:val="16"/>
          <w:szCs w:val="16"/>
          <w:shd w:val="clear" w:color="auto" w:fill="FFFFFF"/>
        </w:rPr>
        <w:t>Website: </w:t>
      </w:r>
      <w:hyperlink r:id="rId36" w:tooltip="https://www.interregeurope.eu/digitalregions/" w:history="1">
        <w:r w:rsidRPr="00CF1AD9">
          <w:rPr>
            <w:rStyle w:val="Hyperlink"/>
            <w:color w:val="0074DB"/>
            <w:sz w:val="16"/>
            <w:szCs w:val="16"/>
            <w:shd w:val="clear" w:color="auto" w:fill="FFFFFF"/>
          </w:rPr>
          <w:t>https://www.interregeurope.eu/digitalregions/</w:t>
        </w:r>
      </w:hyperlink>
    </w:p>
    <w:p w14:paraId="0BE01703" w14:textId="77777777" w:rsidR="00190BA4" w:rsidRPr="009118F7" w:rsidRDefault="00190BA4">
      <w:pPr>
        <w:pStyle w:val="FootnoteText"/>
        <w:rPr>
          <w:sz w:val="20"/>
          <w:szCs w:val="20"/>
          <w:lang w:val="en-US"/>
        </w:rPr>
      </w:pPr>
    </w:p>
  </w:footnote>
  <w:footnote w:id="69">
    <w:p w14:paraId="795DDC64" w14:textId="4EF65D6F" w:rsidR="00190BA4" w:rsidRPr="00794E77" w:rsidRDefault="00190BA4" w:rsidP="00CF1AD9">
      <w:pPr>
        <w:pStyle w:val="FootnoteText"/>
        <w:ind w:left="180" w:hanging="180"/>
        <w:rPr>
          <w:sz w:val="16"/>
          <w:szCs w:val="16"/>
          <w:lang w:val="en-US"/>
        </w:rPr>
      </w:pPr>
      <w:r w:rsidRPr="00794E77">
        <w:rPr>
          <w:rStyle w:val="FootnoteReference"/>
          <w:sz w:val="16"/>
          <w:szCs w:val="16"/>
        </w:rPr>
        <w:footnoteRef/>
      </w:r>
      <w:r w:rsidRPr="00794E77">
        <w:rPr>
          <w:sz w:val="16"/>
          <w:szCs w:val="16"/>
        </w:rPr>
        <w:t xml:space="preserve"> </w:t>
      </w:r>
      <w:r w:rsidRPr="00794E77">
        <w:rPr>
          <w:sz w:val="16"/>
          <w:szCs w:val="16"/>
          <w:lang w:val="en-US"/>
        </w:rPr>
        <w:t>To counteract this, we recommend greater coordination over funding overlaps in Hunedoara be ensured by a closer scrutiny from M</w:t>
      </w:r>
      <w:r>
        <w:rPr>
          <w:sz w:val="16"/>
          <w:szCs w:val="16"/>
          <w:lang w:val="en-US"/>
        </w:rPr>
        <w:t>EIP</w:t>
      </w:r>
      <w:r w:rsidRPr="00794E77">
        <w:rPr>
          <w:sz w:val="16"/>
          <w:szCs w:val="16"/>
          <w:lang w:val="en-US"/>
        </w:rPr>
        <w:t xml:space="preserve"> and, potentially, also from the center of government – General Secretariat of the Government, given the political sensitivity of coal transition in Hunedoara</w:t>
      </w:r>
    </w:p>
  </w:footnote>
  <w:footnote w:id="70">
    <w:p w14:paraId="01BC96EA" w14:textId="1381CB2A" w:rsidR="00190BA4" w:rsidRPr="002071AE" w:rsidRDefault="00190BA4" w:rsidP="00CF1AD9">
      <w:pPr>
        <w:pStyle w:val="FootnoteText"/>
        <w:ind w:left="180" w:hanging="180"/>
        <w:rPr>
          <w:sz w:val="16"/>
          <w:szCs w:val="16"/>
          <w:lang w:val="en-US"/>
        </w:rPr>
      </w:pPr>
      <w:r w:rsidRPr="002071AE">
        <w:rPr>
          <w:rStyle w:val="FootnoteReference"/>
          <w:sz w:val="16"/>
          <w:szCs w:val="16"/>
        </w:rPr>
        <w:footnoteRef/>
      </w:r>
      <w:r w:rsidRPr="002071AE">
        <w:rPr>
          <w:sz w:val="16"/>
          <w:szCs w:val="16"/>
        </w:rPr>
        <w:t xml:space="preserve"> Due to instabilities within the regional-sectoral modelling it is assumed that in the R&amp;D and SME cases energy &amp; utilities sectoral growth follows trends of the total growth, while in the case of the circular case it follows the estimated pathway taking sectoral composition (i.e., how the energy &amp; utilities sector is comprised of (1) mining, (2) energy, (3) water and (4) waste &amp; recycling) into account.</w:t>
      </w:r>
    </w:p>
  </w:footnote>
  <w:footnote w:id="71">
    <w:p w14:paraId="59BD3135" w14:textId="4C068A14" w:rsidR="00190BA4" w:rsidRPr="004F5558" w:rsidRDefault="00190BA4" w:rsidP="006E7A76">
      <w:pPr>
        <w:pStyle w:val="FootnoteText"/>
        <w:ind w:left="180" w:hanging="180"/>
        <w:jc w:val="both"/>
        <w:rPr>
          <w:sz w:val="16"/>
          <w:szCs w:val="16"/>
          <w:lang w:val="en-US"/>
        </w:rPr>
      </w:pPr>
      <w:r w:rsidRPr="004F5558">
        <w:rPr>
          <w:rStyle w:val="FootnoteReference"/>
          <w:sz w:val="16"/>
          <w:szCs w:val="16"/>
        </w:rPr>
        <w:footnoteRef/>
      </w:r>
      <w:r w:rsidRPr="004F5558">
        <w:rPr>
          <w:sz w:val="16"/>
          <w:szCs w:val="16"/>
        </w:rPr>
        <w:t xml:space="preserve"> </w:t>
      </w:r>
      <w:r w:rsidRPr="004F5558">
        <w:rPr>
          <w:sz w:val="16"/>
          <w:szCs w:val="16"/>
          <w:lang w:val="en-US"/>
        </w:rPr>
        <w:t xml:space="preserve">While many of these challenges are contextual and relevant for the overall process of development at the local level in </w:t>
      </w:r>
      <w:r>
        <w:rPr>
          <w:sz w:val="16"/>
          <w:szCs w:val="16"/>
          <w:lang w:val="en-US"/>
        </w:rPr>
        <w:t>Hunedoara</w:t>
      </w:r>
      <w:r w:rsidRPr="004F5558">
        <w:rPr>
          <w:sz w:val="16"/>
          <w:szCs w:val="16"/>
          <w:lang w:val="en-US"/>
        </w:rPr>
        <w:t xml:space="preserve">, there are some which are both contextual and transition-related, such as the </w:t>
      </w:r>
      <w:r w:rsidRPr="00723C05">
        <w:rPr>
          <w:sz w:val="16"/>
          <w:szCs w:val="16"/>
          <w:lang w:val="en-US"/>
        </w:rPr>
        <w:t xml:space="preserve">the coal-fired district heating in </w:t>
      </w:r>
      <w:r>
        <w:rPr>
          <w:sz w:val="16"/>
          <w:szCs w:val="16"/>
          <w:lang w:val="en-US"/>
        </w:rPr>
        <w:t>Deva</w:t>
      </w:r>
      <w:r w:rsidRPr="00723C05">
        <w:rPr>
          <w:sz w:val="16"/>
          <w:szCs w:val="16"/>
          <w:lang w:val="en-US"/>
        </w:rPr>
        <w:t xml:space="preserve"> (</w:t>
      </w:r>
      <w:r>
        <w:rPr>
          <w:sz w:val="16"/>
          <w:szCs w:val="16"/>
          <w:lang w:val="en-US"/>
        </w:rPr>
        <w:t>highly dependent on the Mintia Power Plant</w:t>
      </w:r>
      <w:r w:rsidRPr="00723C05">
        <w:rPr>
          <w:sz w:val="16"/>
          <w:szCs w:val="16"/>
          <w:lang w:val="en-US"/>
        </w:rPr>
        <w:t>)</w:t>
      </w:r>
      <w:r>
        <w:rPr>
          <w:sz w:val="16"/>
          <w:szCs w:val="16"/>
          <w:lang w:val="en-US"/>
        </w:rPr>
        <w:t xml:space="preserve"> combined with high energy poverty rates at the county level and the lack of a clear restructuring plan for Hunedoara Energy Complex.</w:t>
      </w:r>
    </w:p>
  </w:footnote>
  <w:footnote w:id="72">
    <w:p w14:paraId="213D7976" w14:textId="38A1992A" w:rsidR="00190BA4" w:rsidRPr="009E67D1" w:rsidRDefault="00190BA4" w:rsidP="00C97CC0">
      <w:pPr>
        <w:pStyle w:val="FootnoteText"/>
        <w:rPr>
          <w:sz w:val="16"/>
          <w:szCs w:val="16"/>
          <w:lang w:val="en-US"/>
        </w:rPr>
      </w:pPr>
      <w:r w:rsidRPr="00794E77">
        <w:rPr>
          <w:rStyle w:val="FootnoteReference"/>
          <w:sz w:val="16"/>
          <w:szCs w:val="16"/>
        </w:rPr>
        <w:footnoteRef/>
      </w:r>
      <w:r w:rsidRPr="00794E77">
        <w:rPr>
          <w:sz w:val="16"/>
          <w:szCs w:val="16"/>
        </w:rPr>
        <w:t xml:space="preserve"> National Trade Register Office data</w:t>
      </w:r>
    </w:p>
  </w:footnote>
  <w:footnote w:id="73">
    <w:p w14:paraId="7C968575" w14:textId="77777777" w:rsidR="00190BA4" w:rsidRPr="00251DF3" w:rsidRDefault="00190BA4" w:rsidP="009776B5">
      <w:pPr>
        <w:pStyle w:val="FootnoteText"/>
        <w:rPr>
          <w:sz w:val="16"/>
          <w:szCs w:val="16"/>
          <w:lang w:val="en-US"/>
        </w:rPr>
      </w:pPr>
      <w:r w:rsidRPr="00251DF3">
        <w:rPr>
          <w:rStyle w:val="FootnoteReference"/>
          <w:sz w:val="16"/>
          <w:szCs w:val="16"/>
        </w:rPr>
        <w:footnoteRef/>
      </w:r>
      <w:r w:rsidRPr="00251DF3">
        <w:rPr>
          <w:sz w:val="16"/>
          <w:szCs w:val="16"/>
        </w:rPr>
        <w:t xml:space="preserve"> Invited to attend the regional working session with large enterprises at county level</w:t>
      </w:r>
    </w:p>
  </w:footnote>
  <w:footnote w:id="74">
    <w:p w14:paraId="358AC780" w14:textId="77777777" w:rsidR="00190BA4" w:rsidRPr="00251DF3" w:rsidRDefault="00190BA4" w:rsidP="009776B5">
      <w:pPr>
        <w:pStyle w:val="FootnoteText"/>
        <w:rPr>
          <w:sz w:val="16"/>
          <w:szCs w:val="16"/>
          <w:lang w:val="en-US"/>
        </w:rPr>
      </w:pPr>
      <w:r w:rsidRPr="00251DF3">
        <w:rPr>
          <w:rStyle w:val="FootnoteReference"/>
          <w:sz w:val="16"/>
          <w:szCs w:val="16"/>
        </w:rPr>
        <w:footnoteRef/>
      </w:r>
      <w:r w:rsidRPr="00251DF3">
        <w:rPr>
          <w:sz w:val="16"/>
          <w:szCs w:val="16"/>
        </w:rPr>
        <w:t xml:space="preserve"> </w:t>
      </w:r>
      <w:r w:rsidRPr="00251DF3">
        <w:rPr>
          <w:sz w:val="16"/>
          <w:szCs w:val="16"/>
          <w:lang w:val="en-US"/>
        </w:rPr>
        <w:t>Ibidem</w:t>
      </w:r>
    </w:p>
  </w:footnote>
  <w:footnote w:id="75">
    <w:p w14:paraId="6AB36C32" w14:textId="77777777" w:rsidR="00190BA4" w:rsidRPr="0072648E" w:rsidRDefault="00190BA4" w:rsidP="006E7A76">
      <w:pPr>
        <w:pStyle w:val="FootnoteText"/>
        <w:ind w:left="180" w:hanging="180"/>
        <w:rPr>
          <w:sz w:val="16"/>
          <w:szCs w:val="16"/>
          <w:lang w:val="en-US"/>
        </w:rPr>
      </w:pPr>
      <w:r w:rsidRPr="0072648E">
        <w:rPr>
          <w:rStyle w:val="FootnoteReference"/>
          <w:sz w:val="16"/>
          <w:szCs w:val="16"/>
        </w:rPr>
        <w:footnoteRef/>
      </w:r>
      <w:r w:rsidRPr="0072648E">
        <w:rPr>
          <w:sz w:val="16"/>
          <w:szCs w:val="16"/>
        </w:rPr>
        <w:t xml:space="preserve"> SOM101F - </w:t>
      </w:r>
      <w:hyperlink r:id="rId37" w:history="1">
        <w:r w:rsidRPr="0072648E">
          <w:rPr>
            <w:rStyle w:val="Hyperlink"/>
            <w:color w:val="006699"/>
            <w:sz w:val="16"/>
            <w:szCs w:val="16"/>
          </w:rPr>
          <w:t>Share of registered unemployed in the total labor resources, by gender, counties and localities</w:t>
        </w:r>
      </w:hyperlink>
      <w:r>
        <w:rPr>
          <w:sz w:val="16"/>
          <w:szCs w:val="16"/>
        </w:rPr>
        <w:t>; ratio between the number of unemployed and the total population by domicile 18 – 62 years</w:t>
      </w:r>
    </w:p>
  </w:footnote>
  <w:footnote w:id="76">
    <w:p w14:paraId="004AB4AD" w14:textId="77777777" w:rsidR="00190BA4" w:rsidRPr="0072648E" w:rsidRDefault="00190BA4" w:rsidP="006E7A76">
      <w:pPr>
        <w:pStyle w:val="FootnoteText"/>
        <w:ind w:left="180" w:hanging="180"/>
        <w:rPr>
          <w:sz w:val="16"/>
          <w:szCs w:val="16"/>
          <w:lang w:val="en-US"/>
        </w:rPr>
      </w:pPr>
      <w:r w:rsidRPr="0072648E">
        <w:rPr>
          <w:rStyle w:val="FootnoteReference"/>
          <w:sz w:val="16"/>
          <w:szCs w:val="16"/>
        </w:rPr>
        <w:footnoteRef/>
      </w:r>
      <w:r w:rsidRPr="0072648E">
        <w:rPr>
          <w:sz w:val="16"/>
          <w:szCs w:val="16"/>
        </w:rPr>
        <w:t xml:space="preserve"> SOM103A - </w:t>
      </w:r>
      <w:hyperlink r:id="rId38" w:history="1">
        <w:r w:rsidRPr="0072648E">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77">
    <w:p w14:paraId="19DBE616" w14:textId="77777777" w:rsidR="00190BA4" w:rsidRPr="00E273BF" w:rsidRDefault="00190BA4" w:rsidP="0035231D">
      <w:pPr>
        <w:pStyle w:val="FootnoteText"/>
        <w:rPr>
          <w:sz w:val="16"/>
          <w:szCs w:val="16"/>
          <w:lang w:val="en-US"/>
        </w:rPr>
      </w:pPr>
      <w:r w:rsidRPr="00E273BF">
        <w:rPr>
          <w:rStyle w:val="FootnoteReference"/>
          <w:sz w:val="16"/>
          <w:szCs w:val="16"/>
        </w:rPr>
        <w:footnoteRef/>
      </w:r>
      <w:r w:rsidRPr="00E273BF">
        <w:rPr>
          <w:sz w:val="16"/>
          <w:szCs w:val="16"/>
        </w:rPr>
        <w:t xml:space="preserve"> https://www.siiir.edu.ro/carto/</w:t>
      </w:r>
    </w:p>
  </w:footnote>
  <w:footnote w:id="78">
    <w:p w14:paraId="29C723E3" w14:textId="77777777" w:rsidR="00190BA4" w:rsidRPr="004739DE" w:rsidRDefault="00190BA4" w:rsidP="00597139">
      <w:pPr>
        <w:pStyle w:val="FootnoteText"/>
        <w:ind w:left="142" w:hanging="142"/>
        <w:rPr>
          <w:sz w:val="16"/>
          <w:szCs w:val="16"/>
          <w:lang w:val="ro-RO"/>
        </w:rPr>
      </w:pPr>
      <w:r w:rsidRPr="004739DE">
        <w:rPr>
          <w:rStyle w:val="FootnoteReference"/>
          <w:sz w:val="16"/>
          <w:szCs w:val="16"/>
        </w:rPr>
        <w:footnoteRef/>
      </w:r>
      <w:r w:rsidRPr="004739DE">
        <w:rPr>
          <w:sz w:val="16"/>
          <w:szCs w:val="16"/>
        </w:rPr>
        <w:t xml:space="preserve"> Register of social service providers Web page of the ministry of labor http://mmuncii.ro/j33/index.php/ro/2014-domenii/familie/politici-familiale-incluziune-si-asistenta-sociala/4848).</w:t>
      </w:r>
    </w:p>
  </w:footnote>
  <w:footnote w:id="79">
    <w:p w14:paraId="57B88678" w14:textId="77777777" w:rsidR="00190BA4" w:rsidRPr="004739DE" w:rsidRDefault="00190BA4" w:rsidP="002529C0">
      <w:pPr>
        <w:pStyle w:val="FootnoteText"/>
        <w:rPr>
          <w:sz w:val="16"/>
          <w:szCs w:val="16"/>
          <w:lang w:val="ro-RO"/>
        </w:rPr>
      </w:pPr>
      <w:r w:rsidRPr="004739DE">
        <w:rPr>
          <w:rStyle w:val="FootnoteReference"/>
          <w:sz w:val="16"/>
          <w:szCs w:val="16"/>
        </w:rPr>
        <w:footnoteRef/>
      </w:r>
      <w:r w:rsidRPr="004739DE">
        <w:rPr>
          <w:sz w:val="16"/>
          <w:szCs w:val="16"/>
        </w:rPr>
        <w:t xml:space="preserve"> Oltenia southwestern regional development plan 2021-2027</w:t>
      </w:r>
    </w:p>
  </w:footnote>
  <w:footnote w:id="80">
    <w:p w14:paraId="7B92CE47" w14:textId="3A94BCE5" w:rsidR="00190BA4" w:rsidRPr="009E67D1" w:rsidRDefault="00190BA4">
      <w:pPr>
        <w:pStyle w:val="FootnoteText"/>
        <w:rPr>
          <w:sz w:val="16"/>
          <w:szCs w:val="16"/>
          <w:lang w:val="en-US"/>
        </w:rPr>
      </w:pPr>
      <w:r w:rsidRPr="009E67D1">
        <w:rPr>
          <w:rStyle w:val="FootnoteReference"/>
          <w:sz w:val="16"/>
          <w:szCs w:val="16"/>
        </w:rPr>
        <w:footnoteRef/>
      </w:r>
      <w:r w:rsidRPr="009E67D1">
        <w:rPr>
          <w:sz w:val="16"/>
          <w:szCs w:val="16"/>
        </w:rPr>
        <w:t xml:space="preserve"> Dolj County Land Improvement Plan, 2018</w:t>
      </w:r>
    </w:p>
  </w:footnote>
  <w:footnote w:id="81">
    <w:p w14:paraId="6C52CB04" w14:textId="4580CAE4" w:rsidR="00190BA4" w:rsidRPr="00302A01" w:rsidRDefault="00190BA4" w:rsidP="004E2DCB">
      <w:pPr>
        <w:pStyle w:val="FootnoteText"/>
        <w:ind w:left="180" w:hanging="180"/>
        <w:rPr>
          <w:sz w:val="16"/>
          <w:szCs w:val="16"/>
          <w:lang w:val="en-US"/>
        </w:rPr>
      </w:pPr>
      <w:r w:rsidRPr="00302A01">
        <w:rPr>
          <w:rStyle w:val="FootnoteReference"/>
          <w:sz w:val="16"/>
          <w:szCs w:val="16"/>
        </w:rPr>
        <w:footnoteRef/>
      </w:r>
      <w:r w:rsidRPr="00302A01">
        <w:rPr>
          <w:sz w:val="16"/>
          <w:szCs w:val="16"/>
        </w:rPr>
        <w:t xml:space="preserve"> </w:t>
      </w:r>
      <w:r w:rsidRPr="00302A01">
        <w:rPr>
          <w:color w:val="000000"/>
          <w:sz w:val="16"/>
          <w:szCs w:val="16"/>
        </w:rPr>
        <w:t>https://www.digi24.ro/stiri/sci-tech/natura-si-mediu/100-000-de-hectare-din-dolj-afectate-de-desertificare-alexe-viata-romanilor-din-oltenia-a-ajuns-o-loterie-1320868</w:t>
      </w:r>
    </w:p>
  </w:footnote>
  <w:footnote w:id="82">
    <w:p w14:paraId="14381E03" w14:textId="14432EB2" w:rsidR="00190BA4" w:rsidRPr="00A049A8" w:rsidRDefault="00190BA4">
      <w:pPr>
        <w:pStyle w:val="FootnoteText"/>
        <w:rPr>
          <w:sz w:val="16"/>
          <w:szCs w:val="16"/>
          <w:lang w:val="en-US"/>
        </w:rPr>
      </w:pPr>
      <w:r w:rsidRPr="001567E0">
        <w:rPr>
          <w:rStyle w:val="FootnoteReference"/>
          <w:sz w:val="16"/>
          <w:szCs w:val="16"/>
        </w:rPr>
        <w:footnoteRef/>
      </w:r>
      <w:r w:rsidRPr="001567E0">
        <w:rPr>
          <w:sz w:val="16"/>
          <w:szCs w:val="16"/>
        </w:rPr>
        <w:t xml:space="preserve"> </w:t>
      </w:r>
      <w:r w:rsidRPr="00794E77">
        <w:rPr>
          <w:sz w:val="16"/>
          <w:szCs w:val="16"/>
        </w:rPr>
        <w:t>http://www.dpfbl.mdrap.ro/DJ-MO-local.html</w:t>
      </w:r>
    </w:p>
  </w:footnote>
  <w:footnote w:id="83">
    <w:p w14:paraId="25266C05" w14:textId="77777777" w:rsidR="00190BA4" w:rsidRPr="0004162A" w:rsidRDefault="00190BA4" w:rsidP="00DD3E0A">
      <w:pPr>
        <w:pStyle w:val="FootnoteText"/>
        <w:ind w:left="180" w:hanging="180"/>
        <w:rPr>
          <w:sz w:val="16"/>
          <w:szCs w:val="16"/>
        </w:rPr>
      </w:pPr>
      <w:r w:rsidRPr="0004162A">
        <w:rPr>
          <w:rStyle w:val="FootnoteReference"/>
          <w:sz w:val="16"/>
          <w:szCs w:val="16"/>
        </w:rPr>
        <w:footnoteRef/>
      </w:r>
      <w:r w:rsidRPr="0004162A">
        <w:rPr>
          <w:sz w:val="16"/>
          <w:szCs w:val="16"/>
        </w:rPr>
        <w:t xml:space="preserve"> The “relative poverty” rate is defined as the share of poor people in the total population, where the “poor people” definition is the adult whose income is lower than the national threshold.  </w:t>
      </w:r>
    </w:p>
    <w:p w14:paraId="46A875FA" w14:textId="4E0ABCEE" w:rsidR="00190BA4" w:rsidRPr="0004162A" w:rsidRDefault="00190BA4" w:rsidP="00DD3E0A">
      <w:pPr>
        <w:pStyle w:val="FootnoteText"/>
        <w:ind w:left="180"/>
        <w:rPr>
          <w:lang w:val="ro-RO"/>
        </w:rPr>
      </w:pPr>
      <w:r w:rsidRPr="00A03682">
        <w:rPr>
          <w:sz w:val="16"/>
          <w:szCs w:val="16"/>
          <w:lang w:val="fr-FR"/>
        </w:rPr>
        <w:t>NSI  http://statistici.insse.ro:8077/tempo-online/#/pages/tables/insse-table</w:t>
      </w:r>
    </w:p>
  </w:footnote>
  <w:footnote w:id="84">
    <w:p w14:paraId="204D7513" w14:textId="39EEDABC" w:rsidR="00190BA4" w:rsidRPr="009C2D9B" w:rsidRDefault="00190BA4" w:rsidP="00DD3E0A">
      <w:pPr>
        <w:pStyle w:val="FootnoteText"/>
        <w:ind w:left="180" w:hanging="180"/>
        <w:rPr>
          <w:sz w:val="16"/>
          <w:szCs w:val="16"/>
        </w:rPr>
      </w:pPr>
      <w:r w:rsidRPr="00285EEF">
        <w:rPr>
          <w:rStyle w:val="FootnoteReference"/>
          <w:sz w:val="16"/>
          <w:szCs w:val="16"/>
        </w:rPr>
        <w:footnoteRef/>
      </w:r>
      <w:r w:rsidRPr="009C2D9B">
        <w:rPr>
          <w:sz w:val="16"/>
          <w:szCs w:val="16"/>
        </w:rPr>
        <w:t xml:space="preserve"> Ministry of Labour and Social Protection, POCA 2014-2020:</w:t>
      </w:r>
      <w:r w:rsidRPr="00285EEF">
        <w:t xml:space="preserve"> </w:t>
      </w:r>
      <w:r w:rsidRPr="009C2D9B">
        <w:rPr>
          <w:sz w:val="16"/>
          <w:szCs w:val="16"/>
        </w:rPr>
        <w:t>https://mmuncii.ro/j33/images/Documente/MMPS/Rapoarte_si_studii_MMPS/2019_-_Raport_grupuri_vulnerabile_final.pdf</w:t>
      </w:r>
      <w:r w:rsidRPr="009C2D9B" w:rsidDel="00285EEF">
        <w:rPr>
          <w:sz w:val="16"/>
          <w:szCs w:val="16"/>
        </w:rPr>
        <w:t xml:space="preserve"> </w:t>
      </w:r>
    </w:p>
  </w:footnote>
  <w:footnote w:id="85">
    <w:p w14:paraId="4FC5E871" w14:textId="5E45032C" w:rsidR="00190BA4" w:rsidRPr="007030C4" w:rsidRDefault="00190BA4">
      <w:pPr>
        <w:pStyle w:val="FootnoteText"/>
        <w:rPr>
          <w:lang w:val="en-US"/>
        </w:rPr>
      </w:pPr>
      <w:r w:rsidRPr="007030C4">
        <w:rPr>
          <w:rStyle w:val="FootnoteReference"/>
          <w:sz w:val="16"/>
          <w:szCs w:val="16"/>
        </w:rPr>
        <w:footnoteRef/>
      </w:r>
      <w:r w:rsidRPr="007030C4">
        <w:rPr>
          <w:sz w:val="16"/>
          <w:szCs w:val="16"/>
        </w:rPr>
        <w:t xml:space="preserve"> </w:t>
      </w:r>
      <w:r w:rsidRPr="00C6712C">
        <w:rPr>
          <w:sz w:val="16"/>
          <w:szCs w:val="16"/>
        </w:rPr>
        <w:t>World Bank poverty map for Romania based on 2011 Census</w:t>
      </w:r>
    </w:p>
  </w:footnote>
  <w:footnote w:id="86">
    <w:p w14:paraId="4422C793" w14:textId="0EFE53CE" w:rsidR="00190BA4" w:rsidRPr="007030C4" w:rsidRDefault="00190BA4">
      <w:pPr>
        <w:pStyle w:val="FootnoteText"/>
        <w:rPr>
          <w:sz w:val="16"/>
          <w:szCs w:val="16"/>
          <w:lang w:val="en-US"/>
        </w:rPr>
      </w:pPr>
      <w:r w:rsidRPr="007030C4">
        <w:rPr>
          <w:rStyle w:val="FootnoteReference"/>
          <w:sz w:val="16"/>
          <w:szCs w:val="16"/>
        </w:rPr>
        <w:footnoteRef/>
      </w:r>
      <w:r w:rsidRPr="007030C4">
        <w:rPr>
          <w:sz w:val="16"/>
          <w:szCs w:val="16"/>
        </w:rPr>
        <w:t xml:space="preserve"> List of active companies in Romania, 2018</w:t>
      </w:r>
    </w:p>
  </w:footnote>
  <w:footnote w:id="87">
    <w:p w14:paraId="16273C57" w14:textId="336CA9BC" w:rsidR="00190BA4" w:rsidRPr="007030C4" w:rsidRDefault="00190BA4">
      <w:pPr>
        <w:pStyle w:val="FootnoteText"/>
        <w:rPr>
          <w:sz w:val="16"/>
          <w:szCs w:val="16"/>
          <w:lang w:val="en-US"/>
        </w:rPr>
      </w:pPr>
      <w:r w:rsidRPr="00794E77">
        <w:rPr>
          <w:rStyle w:val="FootnoteReference"/>
          <w:sz w:val="16"/>
          <w:szCs w:val="16"/>
        </w:rPr>
        <w:footnoteRef/>
      </w:r>
      <w:r w:rsidRPr="00794E77">
        <w:rPr>
          <w:sz w:val="16"/>
          <w:szCs w:val="16"/>
        </w:rPr>
        <w:t xml:space="preserve"> </w:t>
      </w:r>
      <w:r w:rsidRPr="00285EEF">
        <w:rPr>
          <w:sz w:val="16"/>
          <w:szCs w:val="16"/>
        </w:rPr>
        <w:t>Dolj Re</w:t>
      </w:r>
      <w:r w:rsidRPr="00C56686">
        <w:rPr>
          <w:sz w:val="16"/>
          <w:szCs w:val="16"/>
        </w:rPr>
        <w:t>gional Center for</w:t>
      </w:r>
      <w:r w:rsidRPr="00B970EF">
        <w:rPr>
          <w:sz w:val="16"/>
          <w:szCs w:val="16"/>
        </w:rPr>
        <w:t xml:space="preserve"> Adult Vocational Training: </w:t>
      </w:r>
      <w:hyperlink r:id="rId39" w:history="1">
        <w:r w:rsidRPr="00794E77">
          <w:rPr>
            <w:rStyle w:val="Hyperlink"/>
            <w:sz w:val="16"/>
            <w:szCs w:val="16"/>
          </w:rPr>
          <w:t>http://sediu.crfpa-dolj.ro/</w:t>
        </w:r>
      </w:hyperlink>
    </w:p>
  </w:footnote>
  <w:footnote w:id="88">
    <w:p w14:paraId="20816EDD" w14:textId="77777777" w:rsidR="00190BA4" w:rsidRPr="00A03682" w:rsidRDefault="00190BA4" w:rsidP="005B45B2">
      <w:pPr>
        <w:jc w:val="both"/>
        <w:rPr>
          <w:rFonts w:ascii="Arial" w:hAnsi="Arial" w:cs="Arial"/>
          <w:sz w:val="16"/>
          <w:szCs w:val="16"/>
        </w:rPr>
      </w:pPr>
      <w:r w:rsidRPr="00A03682">
        <w:rPr>
          <w:rStyle w:val="FootnoteReference"/>
          <w:rFonts w:ascii="Arial" w:hAnsi="Arial" w:cs="Arial"/>
          <w:sz w:val="16"/>
          <w:szCs w:val="16"/>
        </w:rPr>
        <w:footnoteRef/>
      </w:r>
      <w:r w:rsidRPr="00A03682">
        <w:rPr>
          <w:rFonts w:ascii="Arial" w:hAnsi="Arial" w:cs="Arial"/>
          <w:sz w:val="16"/>
          <w:szCs w:val="16"/>
        </w:rPr>
        <w:t xml:space="preserve"> Data provided by CEO - Oltenia Energy Complex </w:t>
      </w:r>
    </w:p>
  </w:footnote>
  <w:footnote w:id="89">
    <w:p w14:paraId="6B84FDEF" w14:textId="0D251BCA" w:rsidR="00190BA4" w:rsidRPr="004F5558" w:rsidRDefault="00190BA4" w:rsidP="006E7A76">
      <w:pPr>
        <w:autoSpaceDE w:val="0"/>
        <w:autoSpaceDN w:val="0"/>
        <w:adjustRightInd w:val="0"/>
        <w:ind w:left="180" w:hanging="180"/>
        <w:jc w:val="both"/>
        <w:rPr>
          <w:rFonts w:ascii="Arial" w:hAnsi="Arial" w:cs="Arial"/>
          <w:sz w:val="16"/>
          <w:szCs w:val="16"/>
          <w:lang w:eastAsia="en-US"/>
        </w:rPr>
      </w:pPr>
      <w:r w:rsidRPr="004F5558">
        <w:rPr>
          <w:rStyle w:val="FootnoteReference"/>
          <w:rFonts w:ascii="Arial" w:hAnsi="Arial" w:cs="Arial"/>
          <w:sz w:val="16"/>
          <w:szCs w:val="16"/>
        </w:rPr>
        <w:footnoteRef/>
      </w:r>
      <w:r w:rsidRPr="004F5558">
        <w:rPr>
          <w:rFonts w:ascii="Arial" w:hAnsi="Arial" w:cs="Arial"/>
          <w:sz w:val="16"/>
          <w:szCs w:val="16"/>
        </w:rPr>
        <w:t xml:space="preserve"> </w:t>
      </w:r>
      <w:r w:rsidRPr="004F5558">
        <w:rPr>
          <w:rFonts w:ascii="Arial" w:hAnsi="Arial" w:cs="Arial"/>
          <w:sz w:val="16"/>
          <w:szCs w:val="16"/>
          <w:lang w:val="en-US"/>
        </w:rPr>
        <w:t>While many of these challenges are contextual and relevant for the overall process of development at the local level in Dolj, there are some which are both contextual and transition-related, such as the high and sticky long-term unemployment outside Craiova (because it will be aggravated by the layoffs at CE Oltenia and the public employment services do not seem to be well equipped to address it). the coal-fired district heating in Craiova (which serves 200,000 consumers and will be shut down due to the coal phase-out), and the exposure of the local automotive manufacturing to global supply chains.</w:t>
      </w:r>
    </w:p>
    <w:p w14:paraId="37047DEF" w14:textId="6FC21E4C" w:rsidR="00190BA4" w:rsidRPr="004F5558" w:rsidRDefault="00190BA4">
      <w:pPr>
        <w:pStyle w:val="FootnoteText"/>
        <w:rPr>
          <w:sz w:val="16"/>
          <w:szCs w:val="16"/>
          <w:lang w:val="en-US"/>
        </w:rPr>
      </w:pPr>
    </w:p>
  </w:footnote>
  <w:footnote w:id="90">
    <w:p w14:paraId="4B9881F0" w14:textId="2864435D" w:rsidR="00190BA4" w:rsidRDefault="00190BA4" w:rsidP="005C2CA2">
      <w:pPr>
        <w:pStyle w:val="FootnoteText"/>
        <w:rPr>
          <w:sz w:val="16"/>
          <w:szCs w:val="16"/>
          <w:lang w:val="ro-RO"/>
        </w:rPr>
      </w:pPr>
      <w:r>
        <w:rPr>
          <w:rStyle w:val="FootnoteReference"/>
          <w:sz w:val="16"/>
          <w:szCs w:val="16"/>
        </w:rPr>
        <w:footnoteRef/>
      </w:r>
      <w:r>
        <w:rPr>
          <w:sz w:val="16"/>
          <w:szCs w:val="16"/>
        </w:rPr>
        <w:t xml:space="preserve"> </w:t>
      </w:r>
      <w:bookmarkStart w:id="186" w:name="_Hlk85565137"/>
      <w:r>
        <w:rPr>
          <w:sz w:val="16"/>
          <w:szCs w:val="16"/>
        </w:rPr>
        <w:t>The robust business ecosystem in Dolj County has been disapproving the low level of digitisation of the public sector services, therefore stakeholders agreed that the modenisation and digitalisation of the local public services would be a conclusive factor for economic diversification and entrepreneurial support, contributing to the mitigation of transition impacts.</w:t>
      </w:r>
      <w:bookmarkEnd w:id="186"/>
    </w:p>
  </w:footnote>
  <w:footnote w:id="91">
    <w:p w14:paraId="21BFF3BD" w14:textId="77777777" w:rsidR="00190BA4" w:rsidRPr="00F84DF3" w:rsidRDefault="00190BA4" w:rsidP="00F84DF3">
      <w:pPr>
        <w:pStyle w:val="FootnoteText"/>
        <w:rPr>
          <w:sz w:val="16"/>
          <w:szCs w:val="16"/>
          <w:lang w:val="en-US"/>
        </w:rPr>
      </w:pPr>
      <w:r w:rsidRPr="00F84DF3">
        <w:rPr>
          <w:rStyle w:val="FootnoteReference"/>
          <w:sz w:val="16"/>
          <w:szCs w:val="16"/>
        </w:rPr>
        <w:footnoteRef/>
      </w:r>
      <w:r w:rsidRPr="00F84DF3">
        <w:rPr>
          <w:sz w:val="16"/>
          <w:szCs w:val="16"/>
        </w:rPr>
        <w:t xml:space="preserve"> Invited to attend the regional working session with large enterprises at county level</w:t>
      </w:r>
    </w:p>
    <w:p w14:paraId="038C04F1" w14:textId="5BF65DB2" w:rsidR="00190BA4" w:rsidRPr="00F84DF3" w:rsidRDefault="00190BA4">
      <w:pPr>
        <w:pStyle w:val="FootnoteText"/>
        <w:rPr>
          <w:lang w:val="en-US"/>
        </w:rPr>
      </w:pPr>
    </w:p>
  </w:footnote>
  <w:footnote w:id="92">
    <w:p w14:paraId="0EEB007D" w14:textId="77777777" w:rsidR="00190BA4" w:rsidRPr="0072648E" w:rsidRDefault="00190BA4" w:rsidP="006E7A76">
      <w:pPr>
        <w:pStyle w:val="FootnoteText"/>
        <w:ind w:left="180" w:hanging="180"/>
        <w:rPr>
          <w:sz w:val="16"/>
          <w:szCs w:val="16"/>
          <w:lang w:val="en-US"/>
        </w:rPr>
      </w:pPr>
      <w:r w:rsidRPr="0072648E">
        <w:rPr>
          <w:rStyle w:val="FootnoteReference"/>
          <w:sz w:val="16"/>
          <w:szCs w:val="16"/>
        </w:rPr>
        <w:footnoteRef/>
      </w:r>
      <w:r w:rsidRPr="0072648E">
        <w:rPr>
          <w:sz w:val="16"/>
          <w:szCs w:val="16"/>
        </w:rPr>
        <w:t xml:space="preserve"> SOM101F - </w:t>
      </w:r>
      <w:hyperlink r:id="rId40" w:history="1">
        <w:r w:rsidRPr="0072648E">
          <w:rPr>
            <w:rStyle w:val="Hyperlink"/>
            <w:color w:val="006699"/>
            <w:sz w:val="16"/>
            <w:szCs w:val="16"/>
          </w:rPr>
          <w:t>Share of registered unemployed in the total labor resources, by gender, counties and localities</w:t>
        </w:r>
      </w:hyperlink>
      <w:r>
        <w:rPr>
          <w:sz w:val="16"/>
          <w:szCs w:val="16"/>
        </w:rPr>
        <w:t>; ratio between the number of unemployed and the total population by domicile 18 – 62 years</w:t>
      </w:r>
    </w:p>
  </w:footnote>
  <w:footnote w:id="93">
    <w:p w14:paraId="687E6DFC" w14:textId="77777777" w:rsidR="00190BA4" w:rsidRPr="0072648E" w:rsidRDefault="00190BA4" w:rsidP="006E7A76">
      <w:pPr>
        <w:pStyle w:val="FootnoteText"/>
        <w:ind w:left="180" w:hanging="180"/>
        <w:rPr>
          <w:sz w:val="16"/>
          <w:szCs w:val="16"/>
          <w:lang w:val="en-US"/>
        </w:rPr>
      </w:pPr>
      <w:r w:rsidRPr="0072648E">
        <w:rPr>
          <w:rStyle w:val="FootnoteReference"/>
          <w:sz w:val="16"/>
          <w:szCs w:val="16"/>
        </w:rPr>
        <w:footnoteRef/>
      </w:r>
      <w:r w:rsidRPr="0072648E">
        <w:rPr>
          <w:sz w:val="16"/>
          <w:szCs w:val="16"/>
        </w:rPr>
        <w:t xml:space="preserve"> SOM103A - </w:t>
      </w:r>
      <w:hyperlink r:id="rId41" w:history="1">
        <w:r w:rsidRPr="0072648E">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94">
    <w:p w14:paraId="5D7A8EC2" w14:textId="77777777" w:rsidR="00190BA4" w:rsidRPr="00E273BF" w:rsidRDefault="00190BA4" w:rsidP="00283836">
      <w:pPr>
        <w:pStyle w:val="FootnoteText"/>
        <w:rPr>
          <w:sz w:val="16"/>
          <w:szCs w:val="16"/>
          <w:lang w:val="en-US"/>
        </w:rPr>
      </w:pPr>
      <w:r w:rsidRPr="00E273BF">
        <w:rPr>
          <w:rStyle w:val="FootnoteReference"/>
          <w:sz w:val="16"/>
          <w:szCs w:val="16"/>
        </w:rPr>
        <w:footnoteRef/>
      </w:r>
      <w:r w:rsidRPr="00E273BF">
        <w:rPr>
          <w:sz w:val="16"/>
          <w:szCs w:val="16"/>
        </w:rPr>
        <w:t xml:space="preserve"> https://www.siiir.edu.ro/carto/</w:t>
      </w:r>
    </w:p>
  </w:footnote>
  <w:footnote w:id="95">
    <w:p w14:paraId="4813A8EC" w14:textId="27C17C0A" w:rsidR="00190BA4" w:rsidRPr="00402580" w:rsidRDefault="00190BA4" w:rsidP="00BD034F">
      <w:pPr>
        <w:ind w:left="142" w:hanging="142"/>
        <w:rPr>
          <w:rFonts w:ascii="Arial" w:hAnsi="Arial" w:cs="Arial"/>
          <w:sz w:val="16"/>
          <w:szCs w:val="16"/>
          <w:lang w:val="ro-RO"/>
        </w:rPr>
      </w:pPr>
      <w:r w:rsidRPr="00402580">
        <w:rPr>
          <w:rFonts w:ascii="Arial" w:hAnsi="Arial" w:cs="Arial"/>
          <w:sz w:val="16"/>
          <w:szCs w:val="16"/>
          <w:vertAlign w:val="superscript"/>
        </w:rPr>
        <w:footnoteRef/>
      </w:r>
      <w:r w:rsidRPr="00402580">
        <w:rPr>
          <w:rFonts w:ascii="Arial" w:hAnsi="Arial" w:cs="Arial"/>
          <w:sz w:val="16"/>
          <w:szCs w:val="16"/>
          <w:lang w:val="ro-RO"/>
        </w:rPr>
        <w:t xml:space="preserve"> Gorj County database; For instance, some of the identified brownfields are:  ATU Leresti (7 hectares), ATU Branesti (12 hectares), ATU Schela (85 hectares), ATU Ticleni (21 hectares), ATU Balest (44 hectares), ATU Runcu (152 hectares), etc. </w:t>
      </w:r>
    </w:p>
  </w:footnote>
  <w:footnote w:id="96">
    <w:p w14:paraId="139E7DD5" w14:textId="3B7A6EE9" w:rsidR="00190BA4" w:rsidRPr="00391EC8" w:rsidRDefault="00190BA4">
      <w:pPr>
        <w:pStyle w:val="FootnoteText"/>
        <w:rPr>
          <w:sz w:val="16"/>
          <w:szCs w:val="16"/>
          <w:lang w:val="ro-RO"/>
        </w:rPr>
      </w:pPr>
      <w:r w:rsidRPr="00391EC8">
        <w:rPr>
          <w:rStyle w:val="FootnoteReference"/>
          <w:sz w:val="16"/>
          <w:szCs w:val="16"/>
        </w:rPr>
        <w:footnoteRef/>
      </w:r>
      <w:r w:rsidRPr="00391EC8">
        <w:rPr>
          <w:sz w:val="16"/>
          <w:szCs w:val="16"/>
        </w:rPr>
        <w:t xml:space="preserve"> World Bank poverty map for Romania based on 2011 Census</w:t>
      </w:r>
    </w:p>
  </w:footnote>
  <w:footnote w:id="97">
    <w:p w14:paraId="24D4F20F" w14:textId="77777777" w:rsidR="00190BA4" w:rsidRPr="00DD3E0A" w:rsidRDefault="00190BA4" w:rsidP="00BD034F">
      <w:pPr>
        <w:ind w:left="142" w:hanging="142"/>
        <w:rPr>
          <w:rFonts w:ascii="Arial" w:hAnsi="Arial" w:cs="Arial"/>
          <w:sz w:val="16"/>
          <w:szCs w:val="16"/>
        </w:rPr>
      </w:pPr>
      <w:r w:rsidRPr="00DD3E0A">
        <w:rPr>
          <w:rFonts w:ascii="Arial" w:hAnsi="Arial" w:cs="Arial"/>
          <w:sz w:val="16"/>
          <w:szCs w:val="16"/>
          <w:vertAlign w:val="superscript"/>
        </w:rPr>
        <w:footnoteRef/>
      </w:r>
      <w:r w:rsidRPr="00DD3E0A">
        <w:rPr>
          <w:rFonts w:ascii="Arial" w:hAnsi="Arial" w:cs="Arial"/>
          <w:sz w:val="16"/>
          <w:szCs w:val="16"/>
        </w:rPr>
        <w:t xml:space="preserve"> These figures are based on the Restructuring Plan of Oltenia Complex shared with the team of consultant in February 2021; we have been informed however by the County Council authorities that more recent data is available, as the Restructuring Plan has suffered changes due to discussions with the European Commission. The process is nonetheless ongoing and we will be incorporating the latest figures concerning restructuring in the redone version of D4.</w:t>
      </w:r>
    </w:p>
  </w:footnote>
  <w:footnote w:id="98">
    <w:p w14:paraId="3E55129A" w14:textId="1A2BCA2A" w:rsidR="00190BA4" w:rsidRPr="00654AE5" w:rsidRDefault="00190BA4" w:rsidP="00BD034F">
      <w:pPr>
        <w:ind w:left="142" w:hanging="142"/>
        <w:jc w:val="both"/>
        <w:rPr>
          <w:rFonts w:ascii="Arial" w:hAnsi="Arial" w:cs="Arial"/>
          <w:sz w:val="16"/>
          <w:szCs w:val="16"/>
        </w:rPr>
      </w:pPr>
      <w:r w:rsidRPr="00DD3E0A">
        <w:rPr>
          <w:rFonts w:ascii="Arial" w:hAnsi="Arial" w:cs="Arial"/>
          <w:sz w:val="16"/>
          <w:szCs w:val="16"/>
          <w:vertAlign w:val="superscript"/>
        </w:rPr>
        <w:footnoteRef/>
      </w:r>
      <w:r w:rsidRPr="00DD3E0A">
        <w:rPr>
          <w:rFonts w:ascii="Arial" w:hAnsi="Arial" w:cs="Arial"/>
          <w:sz w:val="16"/>
          <w:szCs w:val="16"/>
        </w:rPr>
        <w:t xml:space="preserve"> </w:t>
      </w:r>
      <w:bookmarkStart w:id="214" w:name="_Hlk69483173"/>
      <w:r w:rsidRPr="00DD3E0A">
        <w:rPr>
          <w:rFonts w:ascii="Arial" w:hAnsi="Arial" w:cs="Arial"/>
          <w:sz w:val="16"/>
          <w:szCs w:val="16"/>
        </w:rPr>
        <w:t>Gorj Chamber of Commerce and Industry (Târgu Jiu); Gorj Industrial Park SA (Bumbești-Jiu); Business Incubator- Gorj Business Center for SME Development (Târgu Jiu), Foundation for Social Dialogue - Center for Local Development (Târgu Jiu), Oltenia HUB (Târgu Jiu); Regional and local clusters: LAGs, Innovative Energy Management and Sustainable Development Cluster Association (Târgu Jiu), Transalpina - King's Road (Tourism, Agro-food), DOROTHY Urban Logistics Cluster (Logistics), Oltenia Tourism Competitiveness Pole - TurOlt InoTT (Sustainable and innovative tourism), TURINN Cluster (Tourism), INOVTRANS Pole (Mechanics).</w:t>
      </w:r>
      <w:bookmarkEnd w:id="214"/>
    </w:p>
  </w:footnote>
  <w:footnote w:id="99">
    <w:p w14:paraId="04422078" w14:textId="6112741C" w:rsidR="00190BA4" w:rsidRPr="0068147A" w:rsidRDefault="00190BA4" w:rsidP="00BD034F">
      <w:pPr>
        <w:pStyle w:val="FootnoteText"/>
        <w:ind w:left="142" w:hanging="142"/>
        <w:rPr>
          <w:lang w:val="ro-RO"/>
        </w:rPr>
      </w:pPr>
      <w:r w:rsidRPr="00654AE5">
        <w:rPr>
          <w:rStyle w:val="FootnoteReference"/>
          <w:sz w:val="16"/>
          <w:szCs w:val="16"/>
        </w:rPr>
        <w:footnoteRef/>
      </w:r>
      <w:r w:rsidRPr="00654AE5">
        <w:rPr>
          <w:sz w:val="16"/>
          <w:szCs w:val="16"/>
        </w:rPr>
        <w:t xml:space="preserve"> </w:t>
      </w:r>
      <w:r w:rsidRPr="00654AE5">
        <w:rPr>
          <w:color w:val="000000"/>
          <w:sz w:val="16"/>
          <w:szCs w:val="16"/>
        </w:rPr>
        <w:t>https://adevarul.ro/locale/targu-jiu/comuna-si-a-asigurat-independenta-energetica-primaria-vinde-energie-electrica-bursa-1_5e738e1a5163ec42710a2098/index.html</w:t>
      </w:r>
    </w:p>
  </w:footnote>
  <w:footnote w:id="100">
    <w:p w14:paraId="0A3ED769" w14:textId="34FA80AC" w:rsidR="00190BA4" w:rsidRPr="00D34DD4" w:rsidRDefault="00190BA4" w:rsidP="00D34DD4">
      <w:pPr>
        <w:pStyle w:val="FootnoteText"/>
        <w:jc w:val="both"/>
        <w:rPr>
          <w:sz w:val="16"/>
          <w:szCs w:val="16"/>
          <w:lang w:val="en-US"/>
        </w:rPr>
      </w:pPr>
      <w:r w:rsidRPr="00D34DD4">
        <w:rPr>
          <w:rStyle w:val="FootnoteReference"/>
          <w:sz w:val="16"/>
          <w:szCs w:val="16"/>
        </w:rPr>
        <w:footnoteRef/>
      </w:r>
      <w:r w:rsidRPr="00D34DD4">
        <w:rPr>
          <w:sz w:val="16"/>
          <w:szCs w:val="16"/>
        </w:rPr>
        <w:t xml:space="preserve"> </w:t>
      </w:r>
      <w:bookmarkStart w:id="228" w:name="_Hlk85565189"/>
      <w:r w:rsidRPr="00482216">
        <w:rPr>
          <w:sz w:val="16"/>
          <w:szCs w:val="16"/>
          <w:lang w:val="en-US"/>
        </w:rPr>
        <w:t xml:space="preserve">While many of these challenges are contextual and relevant for the overall process of development at the local level in </w:t>
      </w:r>
      <w:r>
        <w:rPr>
          <w:sz w:val="16"/>
          <w:szCs w:val="16"/>
          <w:lang w:val="en-US"/>
        </w:rPr>
        <w:t>Gorj</w:t>
      </w:r>
      <w:r w:rsidRPr="00482216">
        <w:rPr>
          <w:sz w:val="16"/>
          <w:szCs w:val="16"/>
          <w:lang w:val="en-US"/>
        </w:rPr>
        <w:t xml:space="preserve">, there are some which are both contextual and transition-related, such as the high </w:t>
      </w:r>
      <w:r>
        <w:rPr>
          <w:sz w:val="16"/>
          <w:szCs w:val="16"/>
          <w:lang w:val="en-US"/>
        </w:rPr>
        <w:t xml:space="preserve">concentration of economic activities around Oltenia Energy Complex and low economic diversification of related suppliers, as well as reskilling needs of laid-off staff from Oltenia Energy Complex in the context of a low-tech manufacturing sector, and the additional degraded land that will emerge following termination of lignite exploitation. </w:t>
      </w:r>
      <w:bookmarkEnd w:id="228"/>
    </w:p>
  </w:footnote>
  <w:footnote w:id="101">
    <w:p w14:paraId="487C77AF" w14:textId="5AB0794A" w:rsidR="00190BA4" w:rsidRPr="00A608C7" w:rsidRDefault="00190BA4" w:rsidP="00661D6F">
      <w:pPr>
        <w:ind w:left="270" w:hanging="270"/>
        <w:jc w:val="both"/>
        <w:rPr>
          <w:rFonts w:ascii="Arial" w:hAnsi="Arial" w:cs="Arial"/>
          <w:sz w:val="16"/>
          <w:szCs w:val="16"/>
        </w:rPr>
      </w:pPr>
      <w:r w:rsidRPr="00A608C7">
        <w:rPr>
          <w:rFonts w:ascii="Arial" w:hAnsi="Arial" w:cs="Arial"/>
          <w:sz w:val="16"/>
          <w:szCs w:val="16"/>
          <w:vertAlign w:val="superscript"/>
        </w:rPr>
        <w:footnoteRef/>
      </w:r>
      <w:r>
        <w:rPr>
          <w:rFonts w:ascii="Arial" w:hAnsi="Arial" w:cs="Arial"/>
          <w:sz w:val="16"/>
          <w:szCs w:val="16"/>
        </w:rPr>
        <w:t xml:space="preserve">  </w:t>
      </w:r>
      <w:r w:rsidRPr="00A608C7">
        <w:rPr>
          <w:rFonts w:ascii="Arial" w:hAnsi="Arial" w:cs="Arial"/>
          <w:sz w:val="16"/>
          <w:szCs w:val="16"/>
        </w:rPr>
        <w:t>Due to the rather drastic negative employment effects at county level in Gorj, as explained in D3, and due to the scarcity of large enterprises active at county level, the very few existing ones (active in food production, textile productive, manufacturing of seatbelts and other automotive components, construction, wood processing) should be supported to undertake productive investments that would lead to new jobs.</w:t>
      </w:r>
    </w:p>
  </w:footnote>
  <w:footnote w:id="102">
    <w:p w14:paraId="6A086351" w14:textId="36D699DE" w:rsidR="00190BA4" w:rsidRPr="00A608C7" w:rsidRDefault="00190BA4" w:rsidP="00661D6F">
      <w:pPr>
        <w:ind w:left="270" w:hanging="270"/>
        <w:jc w:val="both"/>
        <w:rPr>
          <w:rFonts w:ascii="Arial" w:hAnsi="Arial" w:cs="Arial"/>
          <w:sz w:val="18"/>
          <w:szCs w:val="18"/>
        </w:rPr>
      </w:pPr>
      <w:r w:rsidRPr="00A608C7">
        <w:rPr>
          <w:rFonts w:ascii="Arial" w:hAnsi="Arial" w:cs="Arial"/>
          <w:sz w:val="16"/>
          <w:szCs w:val="16"/>
          <w:vertAlign w:val="superscript"/>
        </w:rPr>
        <w:footnoteRef/>
      </w:r>
      <w:r>
        <w:rPr>
          <w:rFonts w:ascii="Arial" w:hAnsi="Arial" w:cs="Arial"/>
          <w:sz w:val="16"/>
          <w:szCs w:val="16"/>
        </w:rPr>
        <w:t xml:space="preserve">  </w:t>
      </w:r>
      <w:r w:rsidRPr="00A608C7">
        <w:rPr>
          <w:rFonts w:ascii="Arial" w:hAnsi="Arial" w:cs="Arial"/>
          <w:sz w:val="16"/>
          <w:szCs w:val="16"/>
        </w:rPr>
        <w:t>The digitali</w:t>
      </w:r>
      <w:r>
        <w:rPr>
          <w:rFonts w:ascii="Arial" w:hAnsi="Arial" w:cs="Arial"/>
          <w:sz w:val="16"/>
          <w:szCs w:val="16"/>
        </w:rPr>
        <w:t>sation</w:t>
      </w:r>
      <w:r w:rsidRPr="00A608C7">
        <w:rPr>
          <w:rFonts w:ascii="Arial" w:hAnsi="Arial" w:cs="Arial"/>
          <w:sz w:val="16"/>
          <w:szCs w:val="16"/>
        </w:rPr>
        <w:t xml:space="preserve"> of public services is low in most counties affected by the transition, and this hampers the development of the local business environment and discourages new investors from coming in. From this perspective, the team of consultants recommends the inclusion of such directions of actions in the Just Transition Plans, should it be considered an eligible area by the European Commission.</w:t>
      </w:r>
    </w:p>
  </w:footnote>
  <w:footnote w:id="103">
    <w:p w14:paraId="5ED70619" w14:textId="62B68E83" w:rsidR="00190BA4" w:rsidRPr="00DD715D" w:rsidRDefault="00190BA4" w:rsidP="006E7A76">
      <w:pPr>
        <w:ind w:left="180" w:hanging="180"/>
        <w:rPr>
          <w:sz w:val="16"/>
          <w:szCs w:val="16"/>
        </w:rPr>
      </w:pPr>
      <w:r w:rsidRPr="00A608C7">
        <w:rPr>
          <w:rFonts w:ascii="Arial" w:hAnsi="Arial" w:cs="Arial"/>
          <w:sz w:val="16"/>
          <w:szCs w:val="16"/>
          <w:vertAlign w:val="superscript"/>
        </w:rPr>
        <w:footnoteRef/>
      </w:r>
      <w:r w:rsidRPr="00A608C7">
        <w:rPr>
          <w:rFonts w:ascii="Arial" w:hAnsi="Arial" w:cs="Arial"/>
          <w:sz w:val="16"/>
          <w:szCs w:val="16"/>
        </w:rPr>
        <w:t xml:space="preserve"> The digitali</w:t>
      </w:r>
      <w:r>
        <w:rPr>
          <w:rFonts w:ascii="Arial" w:hAnsi="Arial" w:cs="Arial"/>
          <w:sz w:val="16"/>
          <w:szCs w:val="16"/>
        </w:rPr>
        <w:t>sation</w:t>
      </w:r>
      <w:r w:rsidRPr="00A608C7">
        <w:rPr>
          <w:rFonts w:ascii="Arial" w:hAnsi="Arial" w:cs="Arial"/>
          <w:sz w:val="16"/>
          <w:szCs w:val="16"/>
        </w:rPr>
        <w:t xml:space="preserve"> of tourism information and the promotion/ sales of integrated tourism offers can be a very attractive business at local level and is needed at Hunedoara level, but only a limited amount of actions in the tourism sector can be financed through the JTF.</w:t>
      </w:r>
    </w:p>
  </w:footnote>
  <w:footnote w:id="104">
    <w:p w14:paraId="7F374C19" w14:textId="1690F1BB" w:rsidR="00190BA4" w:rsidRPr="00AE77D9" w:rsidRDefault="00190BA4" w:rsidP="00BD034F">
      <w:pPr>
        <w:pStyle w:val="FootnoteText"/>
        <w:ind w:left="142" w:hanging="142"/>
        <w:rPr>
          <w:lang w:val="en-US"/>
        </w:rPr>
      </w:pPr>
      <w:r w:rsidRPr="00AE77D9">
        <w:rPr>
          <w:rStyle w:val="FootnoteReference"/>
          <w:sz w:val="16"/>
          <w:szCs w:val="16"/>
        </w:rPr>
        <w:footnoteRef/>
      </w:r>
      <w:r w:rsidRPr="00AE77D9">
        <w:rPr>
          <w:sz w:val="16"/>
          <w:szCs w:val="16"/>
        </w:rPr>
        <w:t xml:space="preserve"> Based on processing of local budget data published online by the Direction for Local Fiscal and Budgetary Policies</w:t>
      </w:r>
      <w:hyperlink r:id="rId42">
        <w:r w:rsidRPr="00AE77D9">
          <w:rPr>
            <w:sz w:val="16"/>
            <w:szCs w:val="16"/>
          </w:rPr>
          <w:t xml:space="preserve"> </w:t>
        </w:r>
      </w:hyperlink>
      <w:hyperlink r:id="rId43">
        <w:r w:rsidRPr="00AE77D9">
          <w:rPr>
            <w:color w:val="1155CC"/>
            <w:sz w:val="16"/>
            <w:szCs w:val="16"/>
            <w:u w:val="single"/>
          </w:rPr>
          <w:t>http://www.dpfbl.mdrap.ro/sit_ven_si_chelt_uat.html</w:t>
        </w:r>
      </w:hyperlink>
    </w:p>
  </w:footnote>
  <w:footnote w:id="105">
    <w:p w14:paraId="1D31B97F" w14:textId="77777777" w:rsidR="00190BA4" w:rsidRPr="00794E77" w:rsidRDefault="00190BA4" w:rsidP="00BD034F">
      <w:pPr>
        <w:pStyle w:val="FootnoteText"/>
        <w:ind w:left="142" w:hanging="142"/>
        <w:rPr>
          <w:sz w:val="16"/>
          <w:szCs w:val="16"/>
          <w:lang w:val="en-US"/>
        </w:rPr>
      </w:pPr>
      <w:r w:rsidRPr="00794E77">
        <w:rPr>
          <w:rStyle w:val="FootnoteReference"/>
          <w:sz w:val="16"/>
          <w:szCs w:val="16"/>
        </w:rPr>
        <w:footnoteRef/>
      </w:r>
      <w:r w:rsidRPr="00794E77">
        <w:rPr>
          <w:sz w:val="16"/>
          <w:szCs w:val="16"/>
        </w:rPr>
        <w:t xml:space="preserve"> https://www.g4media.ro/dosarul-de-coruptie-al-familiei-cosma-nu-va-fi-trimis-in-camera-preliminara-curtea-de-apel-ploiesti-dispune-continuarea-judecatii-dna-i-a-trimis-in-judecata-pe-fostul-sef-al-cj-prahova-si-pe.html</w:t>
      </w:r>
    </w:p>
  </w:footnote>
  <w:footnote w:id="106">
    <w:p w14:paraId="17A5EBE5" w14:textId="77777777" w:rsidR="00190BA4" w:rsidRPr="00496609" w:rsidRDefault="00190BA4" w:rsidP="00BD034F">
      <w:pPr>
        <w:pStyle w:val="FootnoteText"/>
        <w:ind w:left="142" w:hanging="142"/>
        <w:rPr>
          <w:lang w:val="en-US"/>
        </w:rPr>
      </w:pPr>
      <w:r w:rsidRPr="00496609">
        <w:rPr>
          <w:rStyle w:val="FootnoteReference"/>
          <w:sz w:val="16"/>
          <w:szCs w:val="16"/>
        </w:rPr>
        <w:footnoteRef/>
      </w:r>
      <w:r w:rsidRPr="00496609">
        <w:rPr>
          <w:sz w:val="16"/>
          <w:szCs w:val="16"/>
        </w:rPr>
        <w:t xml:space="preserve"> https://adevarul.ro/locale/ploiesti/iulian-badescu-fostul-primar-ploiestiului-condamnat-3-ani-inchisoare-mita-abuz-decizia-contestata-1_5762ac8b5ab6550cb8021436/index.html</w:t>
      </w:r>
    </w:p>
  </w:footnote>
  <w:footnote w:id="107">
    <w:p w14:paraId="535770DB" w14:textId="77777777" w:rsidR="00190BA4" w:rsidRPr="00BA3957" w:rsidRDefault="00190BA4" w:rsidP="00BD034F">
      <w:pPr>
        <w:pStyle w:val="FootnoteText"/>
        <w:ind w:left="142" w:hanging="142"/>
        <w:rPr>
          <w:lang w:val="en-US"/>
        </w:rPr>
      </w:pPr>
      <w:r w:rsidRPr="00BA3957">
        <w:rPr>
          <w:rStyle w:val="FootnoteReference"/>
          <w:sz w:val="16"/>
          <w:szCs w:val="16"/>
        </w:rPr>
        <w:footnoteRef/>
      </w:r>
      <w:r w:rsidRPr="00BA3957">
        <w:rPr>
          <w:sz w:val="16"/>
          <w:szCs w:val="16"/>
        </w:rPr>
        <w:t xml:space="preserve"> https://www.hotnews.ro/stiri-esential-23545099-fostul-primar-ploiestiului-andrei-volosevici-achitat-prima-instanta-intr-dosar-coruptie.htm</w:t>
      </w:r>
    </w:p>
  </w:footnote>
  <w:footnote w:id="108">
    <w:p w14:paraId="03EE7C1A" w14:textId="27BF3A33" w:rsidR="00190BA4" w:rsidRPr="00AE77D9" w:rsidRDefault="00190BA4">
      <w:pPr>
        <w:pStyle w:val="FootnoteText"/>
        <w:rPr>
          <w:lang w:val="en-US"/>
        </w:rPr>
      </w:pPr>
      <w:r w:rsidRPr="00AE77D9">
        <w:rPr>
          <w:rStyle w:val="FootnoteReference"/>
          <w:sz w:val="16"/>
          <w:szCs w:val="16"/>
        </w:rPr>
        <w:footnoteRef/>
      </w:r>
      <w:r w:rsidRPr="00AE77D9">
        <w:rPr>
          <w:sz w:val="16"/>
          <w:szCs w:val="16"/>
        </w:rPr>
        <w:t xml:space="preserve"> This includes Accommodation and food services (NACE 55-56) as well as </w:t>
      </w:r>
      <w:r w:rsidRPr="00794E77">
        <w:rPr>
          <w:sz w:val="16"/>
          <w:szCs w:val="16"/>
        </w:rPr>
        <w:t>support services (NACE 79), NTRO data</w:t>
      </w:r>
    </w:p>
  </w:footnote>
  <w:footnote w:id="109">
    <w:p w14:paraId="65A7D848" w14:textId="45FDE5B1" w:rsidR="00190BA4" w:rsidRPr="005736A7" w:rsidRDefault="00190BA4">
      <w:pPr>
        <w:pStyle w:val="FootnoteText"/>
        <w:rPr>
          <w:sz w:val="16"/>
          <w:szCs w:val="16"/>
          <w:lang w:val="en-US"/>
        </w:rPr>
      </w:pPr>
      <w:r w:rsidRPr="005736A7">
        <w:rPr>
          <w:rStyle w:val="FootnoteReference"/>
          <w:sz w:val="16"/>
          <w:szCs w:val="16"/>
        </w:rPr>
        <w:footnoteRef/>
      </w:r>
      <w:r w:rsidRPr="005736A7">
        <w:rPr>
          <w:sz w:val="16"/>
          <w:szCs w:val="16"/>
        </w:rPr>
        <w:t xml:space="preserve"> Invited to attend the regional working session with large enterprises at county level</w:t>
      </w:r>
    </w:p>
  </w:footnote>
  <w:footnote w:id="110">
    <w:p w14:paraId="551D4939" w14:textId="52A867DE" w:rsidR="00190BA4" w:rsidRPr="005736A7" w:rsidRDefault="00190BA4">
      <w:pPr>
        <w:pStyle w:val="FootnoteText"/>
        <w:rPr>
          <w:sz w:val="16"/>
          <w:szCs w:val="16"/>
          <w:lang w:val="en-US"/>
        </w:rPr>
      </w:pPr>
      <w:r w:rsidRPr="005736A7">
        <w:rPr>
          <w:rStyle w:val="FootnoteReference"/>
          <w:sz w:val="16"/>
          <w:szCs w:val="16"/>
        </w:rPr>
        <w:footnoteRef/>
      </w:r>
      <w:r w:rsidRPr="005736A7">
        <w:rPr>
          <w:sz w:val="16"/>
          <w:szCs w:val="16"/>
        </w:rPr>
        <w:t xml:space="preserve"> </w:t>
      </w:r>
      <w:r w:rsidRPr="005736A7">
        <w:rPr>
          <w:sz w:val="16"/>
          <w:szCs w:val="16"/>
          <w:lang w:val="en-US"/>
        </w:rPr>
        <w:t>Ibidem</w:t>
      </w:r>
    </w:p>
  </w:footnote>
  <w:footnote w:id="111">
    <w:p w14:paraId="4A763E1C" w14:textId="756FC78E" w:rsidR="00190BA4" w:rsidRPr="004E2DCB" w:rsidRDefault="00190BA4" w:rsidP="004E2DCB">
      <w:pPr>
        <w:pStyle w:val="FootnoteText"/>
        <w:ind w:left="180" w:hanging="180"/>
        <w:rPr>
          <w:sz w:val="16"/>
          <w:szCs w:val="16"/>
          <w:lang w:val="en-US"/>
        </w:rPr>
      </w:pPr>
      <w:r w:rsidRPr="004E2DCB">
        <w:rPr>
          <w:rStyle w:val="FootnoteReference"/>
          <w:sz w:val="16"/>
          <w:szCs w:val="16"/>
        </w:rPr>
        <w:footnoteRef/>
      </w:r>
      <w:r w:rsidRPr="004E2DCB">
        <w:rPr>
          <w:sz w:val="16"/>
          <w:szCs w:val="16"/>
        </w:rPr>
        <w:t xml:space="preserve"> SOM101F - </w:t>
      </w:r>
      <w:hyperlink r:id="rId44" w:history="1">
        <w:r w:rsidRPr="004E2DCB">
          <w:rPr>
            <w:rStyle w:val="Hyperlink"/>
            <w:color w:val="006699"/>
            <w:sz w:val="16"/>
            <w:szCs w:val="16"/>
          </w:rPr>
          <w:t>Share of registered unemployed in the total labor resources, by gender, counties and localities</w:t>
        </w:r>
      </w:hyperlink>
      <w:r w:rsidRPr="004E2DCB">
        <w:rPr>
          <w:sz w:val="16"/>
          <w:szCs w:val="16"/>
        </w:rPr>
        <w:t>; ratio between the number of unemployed and the total population by domicile 18 – 62 years</w:t>
      </w:r>
    </w:p>
  </w:footnote>
  <w:footnote w:id="112">
    <w:p w14:paraId="6F170111" w14:textId="7570E92A" w:rsidR="00190BA4" w:rsidRPr="0072648E" w:rsidRDefault="00190BA4" w:rsidP="004E2DCB">
      <w:pPr>
        <w:pStyle w:val="FootnoteText"/>
        <w:ind w:left="180" w:hanging="180"/>
        <w:rPr>
          <w:sz w:val="16"/>
          <w:szCs w:val="16"/>
          <w:lang w:val="en-US"/>
        </w:rPr>
      </w:pPr>
      <w:r w:rsidRPr="0072648E">
        <w:rPr>
          <w:rStyle w:val="FootnoteReference"/>
          <w:sz w:val="16"/>
          <w:szCs w:val="16"/>
        </w:rPr>
        <w:footnoteRef/>
      </w:r>
      <w:r w:rsidRPr="0072648E">
        <w:rPr>
          <w:sz w:val="16"/>
          <w:szCs w:val="16"/>
        </w:rPr>
        <w:t xml:space="preserve"> SOM103A - </w:t>
      </w:r>
      <w:hyperlink r:id="rId45" w:history="1">
        <w:r w:rsidRPr="0072648E">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113">
    <w:p w14:paraId="6429F571" w14:textId="520B24AB" w:rsidR="00190BA4" w:rsidRPr="00931AF2" w:rsidRDefault="00190BA4">
      <w:pPr>
        <w:pStyle w:val="FootnoteText"/>
        <w:rPr>
          <w:sz w:val="16"/>
          <w:szCs w:val="16"/>
          <w:lang w:val="en-US"/>
        </w:rPr>
      </w:pPr>
      <w:r w:rsidRPr="00931AF2">
        <w:rPr>
          <w:rStyle w:val="FootnoteReference"/>
          <w:sz w:val="16"/>
          <w:szCs w:val="16"/>
        </w:rPr>
        <w:footnoteRef/>
      </w:r>
      <w:r w:rsidRPr="00931AF2">
        <w:rPr>
          <w:sz w:val="16"/>
          <w:szCs w:val="16"/>
        </w:rPr>
        <w:t xml:space="preserve"> https://www.siiir.edu.ro/carto/</w:t>
      </w:r>
    </w:p>
  </w:footnote>
  <w:footnote w:id="114">
    <w:p w14:paraId="22D20D46" w14:textId="64855DB9" w:rsidR="00190BA4" w:rsidRPr="00AE77D9" w:rsidRDefault="00190BA4" w:rsidP="004E2DCB">
      <w:pPr>
        <w:pStyle w:val="FootnoteText"/>
        <w:ind w:left="270" w:hanging="270"/>
        <w:rPr>
          <w:lang w:val="en-US"/>
        </w:rPr>
      </w:pPr>
      <w:r w:rsidRPr="00AE77D9">
        <w:rPr>
          <w:rStyle w:val="FootnoteReference"/>
          <w:sz w:val="16"/>
          <w:szCs w:val="16"/>
        </w:rPr>
        <w:footnoteRef/>
      </w:r>
      <w:r w:rsidRPr="00AE77D9">
        <w:rPr>
          <w:sz w:val="16"/>
          <w:szCs w:val="16"/>
        </w:rPr>
        <w:t xml:space="preserve"> See protocol objectives and members published on Ploiești Municipality website here:</w:t>
      </w:r>
      <w:hyperlink r:id="rId46">
        <w:r w:rsidRPr="00AE77D9">
          <w:rPr>
            <w:sz w:val="16"/>
            <w:szCs w:val="16"/>
          </w:rPr>
          <w:t xml:space="preserve"> </w:t>
        </w:r>
      </w:hyperlink>
      <w:hyperlink r:id="rId47">
        <w:r w:rsidRPr="00AE77D9">
          <w:rPr>
            <w:color w:val="1155CC"/>
            <w:sz w:val="16"/>
            <w:szCs w:val="16"/>
            <w:u w:val="single"/>
          </w:rPr>
          <w:t>http://www.ploiesti.ro/descriere%20protocolul%20verde.php</w:t>
        </w:r>
      </w:hyperlink>
    </w:p>
  </w:footnote>
  <w:footnote w:id="115">
    <w:p w14:paraId="7F639410" w14:textId="279BB1A4" w:rsidR="00190BA4" w:rsidRPr="000F6984" w:rsidRDefault="00190BA4">
      <w:pPr>
        <w:pStyle w:val="FootnoteText"/>
        <w:rPr>
          <w:lang w:val="en-US"/>
        </w:rPr>
      </w:pPr>
      <w:r w:rsidRPr="000F6984">
        <w:rPr>
          <w:rStyle w:val="FootnoteReference"/>
          <w:sz w:val="16"/>
          <w:szCs w:val="16"/>
        </w:rPr>
        <w:footnoteRef/>
      </w:r>
      <w:r w:rsidRPr="000F6984">
        <w:rPr>
          <w:sz w:val="16"/>
          <w:szCs w:val="16"/>
        </w:rPr>
        <w:t xml:space="preserve"> See study available online at</w:t>
      </w:r>
      <w:hyperlink r:id="rId48">
        <w:r w:rsidRPr="000F6984">
          <w:rPr>
            <w:sz w:val="16"/>
            <w:szCs w:val="16"/>
          </w:rPr>
          <w:t xml:space="preserve"> </w:t>
        </w:r>
      </w:hyperlink>
      <w:hyperlink r:id="rId49">
        <w:r w:rsidRPr="000F6984">
          <w:rPr>
            <w:color w:val="1155CC"/>
            <w:sz w:val="16"/>
            <w:szCs w:val="16"/>
            <w:u w:val="single"/>
          </w:rPr>
          <w:t>http://www.ploiesti.ro/PUG/PUG%20ETAPA%201-%20STUDIU%201,2,4.pdf</w:t>
        </w:r>
      </w:hyperlink>
    </w:p>
  </w:footnote>
  <w:footnote w:id="116">
    <w:p w14:paraId="484DF099" w14:textId="6A224114" w:rsidR="00190BA4" w:rsidRPr="0089430A" w:rsidRDefault="00190BA4">
      <w:pPr>
        <w:pStyle w:val="FootnoteText"/>
        <w:rPr>
          <w:lang w:val="en-US"/>
        </w:rPr>
      </w:pPr>
      <w:r w:rsidRPr="0089430A">
        <w:rPr>
          <w:rStyle w:val="FootnoteReference"/>
          <w:sz w:val="16"/>
          <w:szCs w:val="16"/>
        </w:rPr>
        <w:footnoteRef/>
      </w:r>
      <w:r w:rsidRPr="0089430A">
        <w:rPr>
          <w:sz w:val="16"/>
          <w:szCs w:val="16"/>
        </w:rPr>
        <w:t xml:space="preserve"> See strategy available online at</w:t>
      </w:r>
      <w:hyperlink r:id="rId50">
        <w:r w:rsidRPr="0089430A">
          <w:rPr>
            <w:sz w:val="16"/>
            <w:szCs w:val="16"/>
          </w:rPr>
          <w:t xml:space="preserve"> </w:t>
        </w:r>
      </w:hyperlink>
      <w:hyperlink r:id="rId51">
        <w:r w:rsidRPr="0089430A">
          <w:rPr>
            <w:color w:val="1155CC"/>
            <w:sz w:val="16"/>
            <w:szCs w:val="16"/>
            <w:u w:val="single"/>
          </w:rPr>
          <w:t>http://www.ploiesti.ro/ploiesti_document.pdf</w:t>
        </w:r>
      </w:hyperlink>
    </w:p>
  </w:footnote>
  <w:footnote w:id="117">
    <w:p w14:paraId="5018DA28" w14:textId="13291F6C" w:rsidR="00190BA4" w:rsidRPr="00FF56AC" w:rsidRDefault="00190BA4">
      <w:pPr>
        <w:pStyle w:val="FootnoteText"/>
        <w:rPr>
          <w:sz w:val="16"/>
          <w:szCs w:val="16"/>
          <w:lang w:val="en-US"/>
        </w:rPr>
      </w:pPr>
      <w:r w:rsidRPr="00FF56AC">
        <w:rPr>
          <w:rStyle w:val="FootnoteReference"/>
          <w:sz w:val="16"/>
          <w:szCs w:val="16"/>
        </w:rPr>
        <w:footnoteRef/>
      </w:r>
      <w:r w:rsidRPr="00FF56AC">
        <w:rPr>
          <w:sz w:val="16"/>
          <w:szCs w:val="16"/>
        </w:rPr>
        <w:t xml:space="preserve"> Atlas of Disadvantaged Urban Areas</w:t>
      </w:r>
    </w:p>
  </w:footnote>
  <w:footnote w:id="118">
    <w:p w14:paraId="43A9EF8C" w14:textId="452650A2" w:rsidR="00190BA4" w:rsidRPr="002A3576" w:rsidRDefault="00190BA4" w:rsidP="006E7A76">
      <w:pPr>
        <w:pStyle w:val="FootnoteText"/>
        <w:ind w:left="180" w:hanging="180"/>
        <w:jc w:val="both"/>
        <w:rPr>
          <w:sz w:val="16"/>
          <w:szCs w:val="16"/>
          <w:lang w:val="en-US"/>
        </w:rPr>
      </w:pPr>
      <w:r w:rsidRPr="002B0D2A">
        <w:rPr>
          <w:rStyle w:val="FootnoteReference"/>
          <w:sz w:val="16"/>
          <w:szCs w:val="16"/>
        </w:rPr>
        <w:footnoteRef/>
      </w:r>
      <w:r w:rsidRPr="002A3576">
        <w:rPr>
          <w:sz w:val="16"/>
          <w:szCs w:val="16"/>
        </w:rPr>
        <w:t xml:space="preserve"> </w:t>
      </w:r>
      <w:r w:rsidRPr="000C7185">
        <w:rPr>
          <w:sz w:val="16"/>
          <w:szCs w:val="16"/>
          <w:lang w:val="en-US"/>
        </w:rPr>
        <w:t xml:space="preserve">While many of these challenges are contextual and relevant for the overall process of development at the local level in </w:t>
      </w:r>
      <w:r>
        <w:rPr>
          <w:sz w:val="16"/>
          <w:szCs w:val="16"/>
          <w:lang w:val="en-US"/>
        </w:rPr>
        <w:t>Prahova</w:t>
      </w:r>
      <w:r w:rsidRPr="000C7185">
        <w:rPr>
          <w:sz w:val="16"/>
          <w:szCs w:val="16"/>
          <w:lang w:val="en-US"/>
        </w:rPr>
        <w:t xml:space="preserve">, there are some which are both contextual and transition-related, such as the </w:t>
      </w:r>
      <w:r>
        <w:rPr>
          <w:sz w:val="16"/>
          <w:szCs w:val="16"/>
          <w:lang w:val="en-US"/>
        </w:rPr>
        <w:t>increasing unattractiveness of the local academic environment in the context of the transition that would require a high degree of adaptability to new opportunities.</w:t>
      </w:r>
    </w:p>
  </w:footnote>
  <w:footnote w:id="119">
    <w:p w14:paraId="4C3E5CCE" w14:textId="77777777" w:rsidR="00190BA4" w:rsidRPr="00920CBE" w:rsidRDefault="00190BA4" w:rsidP="00542C72">
      <w:pPr>
        <w:pStyle w:val="FootnoteText"/>
        <w:rPr>
          <w:sz w:val="16"/>
          <w:szCs w:val="16"/>
          <w:lang w:val="en-US"/>
        </w:rPr>
      </w:pPr>
      <w:r w:rsidRPr="00920CBE">
        <w:rPr>
          <w:rStyle w:val="FootnoteReference"/>
          <w:sz w:val="16"/>
          <w:szCs w:val="16"/>
        </w:rPr>
        <w:footnoteRef/>
      </w:r>
      <w:r w:rsidRPr="00920CBE">
        <w:rPr>
          <w:sz w:val="16"/>
          <w:szCs w:val="16"/>
        </w:rPr>
        <w:t xml:space="preserve"> SDOP brief available here: https://mfe.gov.ro/wp-content/uploads/2020/07/95c37097aeb9a00bcb5c2d5ddde31f38.pdf</w:t>
      </w:r>
    </w:p>
  </w:footnote>
  <w:footnote w:id="120">
    <w:p w14:paraId="588B1C93" w14:textId="77777777" w:rsidR="00190BA4" w:rsidRPr="001A6C85" w:rsidRDefault="00190BA4" w:rsidP="00BC0F67">
      <w:pPr>
        <w:pStyle w:val="FootnoteText"/>
        <w:rPr>
          <w:lang w:val="en-US"/>
        </w:rPr>
      </w:pPr>
      <w:r w:rsidRPr="001A6C85">
        <w:rPr>
          <w:rStyle w:val="FootnoteReference"/>
          <w:sz w:val="16"/>
          <w:szCs w:val="16"/>
        </w:rPr>
        <w:footnoteRef/>
      </w:r>
      <w:r w:rsidRPr="001A6C85">
        <w:rPr>
          <w:sz w:val="16"/>
          <w:szCs w:val="16"/>
        </w:rPr>
        <w:t xml:space="preserve"> </w:t>
      </w:r>
      <w:r w:rsidRPr="001A6C85">
        <w:rPr>
          <w:rFonts w:eastAsia="Calibri"/>
          <w:sz w:val="16"/>
          <w:szCs w:val="16"/>
        </w:rPr>
        <w:t>A brief of SDOP is available at: https://mfe.gov.ro/wp-content/uploads/2020/07/95c37097aeb9a00bcb5c2d5ddde31f38.pdf</w:t>
      </w:r>
    </w:p>
  </w:footnote>
  <w:footnote w:id="121">
    <w:p w14:paraId="444EBA42" w14:textId="777166A5" w:rsidR="00190BA4" w:rsidRPr="004E2DCB" w:rsidRDefault="00190BA4" w:rsidP="004E2DCB">
      <w:pPr>
        <w:pStyle w:val="FootnoteText"/>
        <w:ind w:left="180" w:hanging="180"/>
        <w:rPr>
          <w:sz w:val="16"/>
          <w:szCs w:val="16"/>
          <w:lang w:val="en-US"/>
        </w:rPr>
      </w:pPr>
      <w:r w:rsidRPr="004E2DCB">
        <w:rPr>
          <w:rStyle w:val="FootnoteReference"/>
          <w:sz w:val="16"/>
          <w:szCs w:val="16"/>
        </w:rPr>
        <w:footnoteRef/>
      </w:r>
      <w:r w:rsidRPr="004E2DCB">
        <w:rPr>
          <w:sz w:val="16"/>
          <w:szCs w:val="16"/>
        </w:rPr>
        <w:t xml:space="preserve"> </w:t>
      </w:r>
      <w:r w:rsidRPr="004E2DCB">
        <w:rPr>
          <w:rFonts w:eastAsia="Calibri"/>
          <w:sz w:val="16"/>
          <w:szCs w:val="16"/>
        </w:rPr>
        <w:t>Available in draft, online at:</w:t>
      </w:r>
      <w:hyperlink r:id="rId52">
        <w:r w:rsidRPr="004E2DCB">
          <w:rPr>
            <w:rFonts w:eastAsia="Calibri"/>
            <w:sz w:val="16"/>
            <w:szCs w:val="16"/>
          </w:rPr>
          <w:t xml:space="preserve"> </w:t>
        </w:r>
      </w:hyperlink>
      <w:hyperlink r:id="rId53">
        <w:r w:rsidRPr="004E2DCB">
          <w:rPr>
            <w:rFonts w:eastAsia="Calibri"/>
            <w:color w:val="1155CC"/>
            <w:sz w:val="16"/>
            <w:szCs w:val="16"/>
            <w:u w:val="single"/>
          </w:rPr>
          <w:t>https://www.adrmuntenia.ro/strategia-de-specializare-inteligenta-a-regiunii-sud--muntenia-post-2020/static/1351</w:t>
        </w:r>
      </w:hyperlink>
    </w:p>
  </w:footnote>
  <w:footnote w:id="122">
    <w:p w14:paraId="4A590141" w14:textId="7EFE8850" w:rsidR="00190BA4" w:rsidRPr="001A6C85" w:rsidRDefault="00190BA4" w:rsidP="004E2DCB">
      <w:pPr>
        <w:pStyle w:val="FootnoteText"/>
        <w:ind w:left="180" w:hanging="180"/>
        <w:rPr>
          <w:lang w:val="en-US"/>
        </w:rPr>
      </w:pPr>
      <w:r w:rsidRPr="001A6C85">
        <w:rPr>
          <w:rStyle w:val="FootnoteReference"/>
          <w:sz w:val="16"/>
          <w:szCs w:val="16"/>
        </w:rPr>
        <w:footnoteRef/>
      </w:r>
      <w:r w:rsidRPr="001A6C85">
        <w:rPr>
          <w:sz w:val="16"/>
          <w:szCs w:val="16"/>
        </w:rPr>
        <w:t xml:space="preserve"> </w:t>
      </w:r>
      <w:r w:rsidRPr="001A6C85">
        <w:rPr>
          <w:rFonts w:eastAsia="Calibri"/>
          <w:sz w:val="16"/>
          <w:szCs w:val="16"/>
        </w:rPr>
        <w:t>Available online at:</w:t>
      </w:r>
      <w:hyperlink r:id="rId54">
        <w:r w:rsidRPr="001A6C85">
          <w:rPr>
            <w:rFonts w:eastAsia="Calibri"/>
            <w:sz w:val="16"/>
            <w:szCs w:val="16"/>
          </w:rPr>
          <w:t xml:space="preserve"> </w:t>
        </w:r>
      </w:hyperlink>
      <w:hyperlink r:id="rId55">
        <w:r w:rsidRPr="001A6C85">
          <w:rPr>
            <w:rFonts w:eastAsia="Calibri"/>
            <w:color w:val="1155CC"/>
            <w:sz w:val="16"/>
            <w:szCs w:val="16"/>
            <w:u w:val="single"/>
          </w:rPr>
          <w:t>https://www.cjph.ro/files/Documente/Strategii-programe/Strategia-de-dezvoltare-durabila-a-Judetului-Prahova-pentru-perioada-2021-2027.pdf</w:t>
        </w:r>
      </w:hyperlink>
    </w:p>
  </w:footnote>
  <w:footnote w:id="123">
    <w:p w14:paraId="74AAAF07" w14:textId="219CF341" w:rsidR="00190BA4" w:rsidRPr="005E7D21" w:rsidRDefault="00190BA4" w:rsidP="006E7A76">
      <w:pPr>
        <w:pStyle w:val="FootnoteText"/>
        <w:ind w:left="270" w:hanging="270"/>
        <w:jc w:val="both"/>
        <w:rPr>
          <w:lang w:val="ro-RO"/>
        </w:rPr>
      </w:pPr>
      <w:r w:rsidRPr="005E7D21">
        <w:rPr>
          <w:rStyle w:val="FootnoteReference"/>
          <w:sz w:val="16"/>
          <w:szCs w:val="16"/>
        </w:rPr>
        <w:footnoteRef/>
      </w:r>
      <w:r w:rsidRPr="005E7D21">
        <w:rPr>
          <w:sz w:val="16"/>
          <w:szCs w:val="16"/>
        </w:rPr>
        <w:t xml:space="preserve"> </w:t>
      </w:r>
      <w:r w:rsidRPr="005E7D21">
        <w:rPr>
          <w:rFonts w:eastAsia="Calibri"/>
          <w:sz w:val="16"/>
          <w:szCs w:val="16"/>
        </w:rPr>
        <w:t xml:space="preserve">Based on processing of local budget data </w:t>
      </w:r>
      <w:r w:rsidRPr="00337232">
        <w:rPr>
          <w:rFonts w:eastAsia="Calibri"/>
          <w:sz w:val="16"/>
          <w:szCs w:val="16"/>
        </w:rPr>
        <w:t>published online by the Direction for Local Fiscal and Budgetary Policies</w:t>
      </w:r>
      <w:hyperlink r:id="rId56">
        <w:r w:rsidRPr="005E7D21">
          <w:rPr>
            <w:rFonts w:eastAsia="Calibri"/>
            <w:sz w:val="16"/>
            <w:szCs w:val="16"/>
          </w:rPr>
          <w:t xml:space="preserve"> </w:t>
        </w:r>
      </w:hyperlink>
      <w:hyperlink r:id="rId57" w:history="1">
        <w:r w:rsidRPr="00023E24">
          <w:rPr>
            <w:rStyle w:val="Hyperlink"/>
            <w:rFonts w:eastAsia="Calibri"/>
            <w:sz w:val="16"/>
            <w:szCs w:val="16"/>
          </w:rPr>
          <w:t>http://www.dpfbl.mdrap.ro/sit_ven_si_chelt_uat.html</w:t>
        </w:r>
      </w:hyperlink>
    </w:p>
  </w:footnote>
  <w:footnote w:id="124">
    <w:p w14:paraId="2AC9B94A" w14:textId="3023B0AC" w:rsidR="00190BA4" w:rsidRPr="00CE713C" w:rsidRDefault="00190BA4" w:rsidP="006E7A76">
      <w:pPr>
        <w:pStyle w:val="FootnoteText"/>
        <w:ind w:left="270" w:hanging="270"/>
        <w:jc w:val="both"/>
        <w:rPr>
          <w:sz w:val="16"/>
          <w:szCs w:val="16"/>
          <w:lang w:val="en-US"/>
        </w:rPr>
      </w:pPr>
      <w:r w:rsidRPr="005E7D21">
        <w:rPr>
          <w:rStyle w:val="FootnoteReference"/>
          <w:sz w:val="16"/>
          <w:szCs w:val="16"/>
        </w:rPr>
        <w:footnoteRef/>
      </w:r>
      <w:r w:rsidRPr="005E7D21">
        <w:rPr>
          <w:sz w:val="16"/>
          <w:szCs w:val="16"/>
        </w:rPr>
        <w:t xml:space="preserve"> Figures in this analysis refer to </w:t>
      </w:r>
      <w:r w:rsidRPr="00337232">
        <w:rPr>
          <w:sz w:val="16"/>
          <w:szCs w:val="16"/>
        </w:rPr>
        <w:t xml:space="preserve">actually absorbed amounts (Funds received from EU and other donors for made payments and pre-financing related to the 2014-2020 financial framework) and </w:t>
      </w:r>
      <w:r w:rsidRPr="00AE04B3">
        <w:rPr>
          <w:sz w:val="16"/>
          <w:szCs w:val="16"/>
        </w:rPr>
        <w:t xml:space="preserve">do not refer to the value of signed </w:t>
      </w:r>
      <w:r w:rsidRPr="00D920E3">
        <w:rPr>
          <w:sz w:val="16"/>
          <w:szCs w:val="16"/>
        </w:rPr>
        <w:t xml:space="preserve">financing </w:t>
      </w:r>
      <w:r w:rsidRPr="007E7ED4">
        <w:rPr>
          <w:sz w:val="16"/>
          <w:szCs w:val="16"/>
        </w:rPr>
        <w:t>agreements.</w:t>
      </w:r>
    </w:p>
  </w:footnote>
  <w:footnote w:id="125">
    <w:p w14:paraId="6FBA2941" w14:textId="0BA5469B" w:rsidR="00190BA4" w:rsidRPr="00337232" w:rsidRDefault="00190BA4" w:rsidP="006E7A76">
      <w:pPr>
        <w:pStyle w:val="FootnoteText"/>
        <w:ind w:left="270" w:hanging="270"/>
        <w:jc w:val="both"/>
        <w:rPr>
          <w:sz w:val="16"/>
          <w:szCs w:val="16"/>
          <w:lang w:val="ro-RO"/>
        </w:rPr>
      </w:pPr>
      <w:r w:rsidRPr="005E7D21">
        <w:rPr>
          <w:rStyle w:val="FootnoteReference"/>
          <w:sz w:val="16"/>
          <w:szCs w:val="16"/>
        </w:rPr>
        <w:footnoteRef/>
      </w:r>
      <w:r w:rsidRPr="005E7D21">
        <w:rPr>
          <w:sz w:val="16"/>
          <w:szCs w:val="16"/>
        </w:rPr>
        <w:t xml:space="preserve"> </w:t>
      </w:r>
      <w:r w:rsidRPr="003636E1">
        <w:rPr>
          <w:rFonts w:eastAsia="Calibri"/>
          <w:sz w:val="16"/>
          <w:szCs w:val="16"/>
          <w:lang w:val="en-US"/>
        </w:rPr>
        <w:t>Source</w:t>
      </w:r>
      <w:r w:rsidRPr="00337232">
        <w:rPr>
          <w:rFonts w:eastAsia="Calibri"/>
          <w:sz w:val="16"/>
          <w:szCs w:val="16"/>
        </w:rPr>
        <w:t>:</w:t>
      </w:r>
      <w:r w:rsidRPr="003636E1">
        <w:rPr>
          <w:rFonts w:eastAsia="Calibri"/>
          <w:sz w:val="16"/>
          <w:szCs w:val="16"/>
          <w:lang w:val="en-US"/>
        </w:rPr>
        <w:t xml:space="preserve"> </w:t>
      </w:r>
      <w:r>
        <w:rPr>
          <w:rFonts w:eastAsia="Calibri"/>
          <w:sz w:val="16"/>
          <w:szCs w:val="16"/>
          <w:lang w:val="en-US"/>
        </w:rPr>
        <w:t>Mureș</w:t>
      </w:r>
      <w:r w:rsidRPr="003636E1">
        <w:rPr>
          <w:rFonts w:eastAsia="Calibri"/>
          <w:sz w:val="16"/>
          <w:szCs w:val="16"/>
          <w:lang w:val="en-US"/>
        </w:rPr>
        <w:t xml:space="preserve"> County Clinical Hospital - https://spitaljudetean</w:t>
      </w:r>
      <w:r>
        <w:rPr>
          <w:rFonts w:eastAsia="Calibri"/>
          <w:sz w:val="16"/>
          <w:szCs w:val="16"/>
          <w:lang w:val="en-US"/>
        </w:rPr>
        <w:t>Mureș</w:t>
      </w:r>
      <w:r w:rsidRPr="003636E1">
        <w:rPr>
          <w:rFonts w:eastAsia="Calibri"/>
          <w:sz w:val="16"/>
          <w:szCs w:val="16"/>
          <w:lang w:val="en-US"/>
        </w:rPr>
        <w:t xml:space="preserve">.ro/scjm2/ and </w:t>
      </w:r>
      <w:r>
        <w:rPr>
          <w:rFonts w:eastAsia="Calibri"/>
          <w:sz w:val="16"/>
          <w:szCs w:val="16"/>
          <w:lang w:val="en-US"/>
        </w:rPr>
        <w:t>Mureș</w:t>
      </w:r>
      <w:r w:rsidRPr="003636E1">
        <w:rPr>
          <w:rFonts w:eastAsia="Calibri"/>
          <w:sz w:val="16"/>
          <w:szCs w:val="16"/>
          <w:lang w:val="en-US"/>
        </w:rPr>
        <w:t xml:space="preserve"> County Emergency Clinical Hospital - https://www.spital</w:t>
      </w:r>
      <w:r>
        <w:rPr>
          <w:rFonts w:eastAsia="Calibri"/>
          <w:sz w:val="16"/>
          <w:szCs w:val="16"/>
          <w:lang w:val="en-US"/>
        </w:rPr>
        <w:t>Mureș</w:t>
      </w:r>
      <w:r w:rsidRPr="003636E1">
        <w:rPr>
          <w:rFonts w:eastAsia="Calibri"/>
          <w:sz w:val="16"/>
          <w:szCs w:val="16"/>
          <w:lang w:val="en-US"/>
        </w:rPr>
        <w:t>.ro/</w:t>
      </w:r>
    </w:p>
  </w:footnote>
  <w:footnote w:id="126">
    <w:p w14:paraId="6E6F7E2F" w14:textId="426D6204" w:rsidR="00190BA4" w:rsidRPr="003636E1" w:rsidRDefault="00190BA4" w:rsidP="006E7A76">
      <w:pPr>
        <w:jc w:val="both"/>
        <w:rPr>
          <w:rFonts w:ascii="Arial" w:eastAsia="Calibri" w:hAnsi="Arial" w:cs="Arial"/>
          <w:sz w:val="20"/>
          <w:szCs w:val="20"/>
          <w:lang w:val="fr-FR"/>
        </w:rPr>
      </w:pPr>
      <w:r w:rsidRPr="003636E1">
        <w:rPr>
          <w:rFonts w:ascii="Arial" w:hAnsi="Arial" w:cs="Arial"/>
          <w:sz w:val="16"/>
          <w:szCs w:val="16"/>
          <w:vertAlign w:val="superscript"/>
        </w:rPr>
        <w:footnoteRef/>
      </w:r>
      <w:r w:rsidRPr="003636E1">
        <w:rPr>
          <w:rFonts w:ascii="Arial" w:eastAsia="Calibri" w:hAnsi="Arial" w:cs="Arial"/>
          <w:sz w:val="16"/>
          <w:szCs w:val="16"/>
          <w:lang w:val="fr-FR"/>
        </w:rPr>
        <w:t xml:space="preserve"> Source: </w:t>
      </w:r>
      <w:hyperlink r:id="rId58">
        <w:r w:rsidRPr="003636E1">
          <w:rPr>
            <w:rFonts w:ascii="Arial" w:eastAsia="Calibri" w:hAnsi="Arial" w:cs="Arial"/>
            <w:color w:val="0563C1"/>
            <w:sz w:val="16"/>
            <w:szCs w:val="16"/>
            <w:u w:val="single"/>
            <w:lang w:val="fr-FR"/>
          </w:rPr>
          <w:t>https://anmcs.gov.ro/web/harta-acreditarii/</w:t>
        </w:r>
      </w:hyperlink>
      <w:r w:rsidRPr="003636E1">
        <w:rPr>
          <w:rFonts w:ascii="Arial" w:eastAsia="Calibri" w:hAnsi="Arial" w:cs="Arial"/>
          <w:sz w:val="16"/>
          <w:szCs w:val="16"/>
          <w:lang w:val="fr-FR"/>
        </w:rPr>
        <w:t xml:space="preserve"> </w:t>
      </w:r>
    </w:p>
  </w:footnote>
  <w:footnote w:id="127">
    <w:p w14:paraId="41C94B2E" w14:textId="2C8CE4D2" w:rsidR="00190BA4" w:rsidRPr="00794E77" w:rsidRDefault="00190BA4" w:rsidP="006E7A76">
      <w:pPr>
        <w:pStyle w:val="FootnoteText"/>
        <w:jc w:val="both"/>
        <w:rPr>
          <w:sz w:val="16"/>
          <w:szCs w:val="16"/>
          <w:lang w:val="en-US"/>
        </w:rPr>
      </w:pPr>
      <w:r w:rsidRPr="005E7D21">
        <w:rPr>
          <w:rStyle w:val="FootnoteReference"/>
          <w:sz w:val="16"/>
          <w:szCs w:val="16"/>
        </w:rPr>
        <w:footnoteRef/>
      </w:r>
      <w:r w:rsidRPr="005E7D21">
        <w:rPr>
          <w:sz w:val="16"/>
          <w:szCs w:val="16"/>
        </w:rPr>
        <w:t xml:space="preserve"> </w:t>
      </w:r>
      <w:r w:rsidRPr="005E7D21">
        <w:rPr>
          <w:sz w:val="16"/>
          <w:szCs w:val="16"/>
          <w:lang w:val="en-US"/>
        </w:rPr>
        <w:t>National Institute of Statistics</w:t>
      </w:r>
    </w:p>
  </w:footnote>
  <w:footnote w:id="128">
    <w:p w14:paraId="0EF074F4" w14:textId="15A8F567" w:rsidR="00190BA4" w:rsidRPr="00B57724" w:rsidRDefault="00190BA4">
      <w:pPr>
        <w:pStyle w:val="FootnoteText"/>
        <w:rPr>
          <w:sz w:val="16"/>
          <w:szCs w:val="16"/>
          <w:lang w:val="en-US"/>
        </w:rPr>
      </w:pPr>
      <w:r w:rsidRPr="00B57724">
        <w:rPr>
          <w:rStyle w:val="FootnoteReference"/>
          <w:sz w:val="16"/>
          <w:szCs w:val="16"/>
        </w:rPr>
        <w:footnoteRef/>
      </w:r>
      <w:r w:rsidRPr="00B57724">
        <w:rPr>
          <w:sz w:val="16"/>
          <w:szCs w:val="16"/>
        </w:rPr>
        <w:t>Invited to attend the regional working session with large enterprises at county level</w:t>
      </w:r>
    </w:p>
  </w:footnote>
  <w:footnote w:id="129">
    <w:p w14:paraId="659ED017" w14:textId="77777777" w:rsidR="00190BA4" w:rsidRPr="000A7086" w:rsidRDefault="00190BA4" w:rsidP="006E7A76">
      <w:pPr>
        <w:pStyle w:val="FootnoteText"/>
        <w:ind w:left="270" w:hanging="270"/>
        <w:jc w:val="both"/>
        <w:rPr>
          <w:sz w:val="16"/>
          <w:szCs w:val="16"/>
          <w:lang w:val="en-US"/>
        </w:rPr>
      </w:pPr>
      <w:r w:rsidRPr="000A7086">
        <w:rPr>
          <w:rStyle w:val="FootnoteReference"/>
          <w:sz w:val="16"/>
          <w:szCs w:val="16"/>
        </w:rPr>
        <w:footnoteRef/>
      </w:r>
      <w:r w:rsidRPr="000A7086">
        <w:rPr>
          <w:sz w:val="16"/>
          <w:szCs w:val="16"/>
        </w:rPr>
        <w:t xml:space="preserve"> SOM101F - </w:t>
      </w:r>
      <w:hyperlink r:id="rId59" w:history="1">
        <w:r w:rsidRPr="000A7086">
          <w:rPr>
            <w:rStyle w:val="Hyperlink"/>
            <w:color w:val="006699"/>
            <w:sz w:val="16"/>
            <w:szCs w:val="16"/>
          </w:rPr>
          <w:t>Share of registered unemployed in the total labor resources, by gender, counties and localities</w:t>
        </w:r>
      </w:hyperlink>
      <w:r>
        <w:rPr>
          <w:sz w:val="16"/>
          <w:szCs w:val="16"/>
        </w:rPr>
        <w:t>; ratio between the number of unemployed and the total population by domicile 18 – 62 years</w:t>
      </w:r>
    </w:p>
  </w:footnote>
  <w:footnote w:id="130">
    <w:p w14:paraId="18A1EF74" w14:textId="77777777" w:rsidR="00190BA4" w:rsidRPr="000A7086" w:rsidRDefault="00190BA4" w:rsidP="006E7A76">
      <w:pPr>
        <w:pStyle w:val="FootnoteText"/>
        <w:ind w:left="270" w:hanging="270"/>
        <w:jc w:val="both"/>
        <w:rPr>
          <w:sz w:val="16"/>
          <w:szCs w:val="16"/>
          <w:lang w:val="en-US"/>
        </w:rPr>
      </w:pPr>
      <w:r w:rsidRPr="000A7086">
        <w:rPr>
          <w:rStyle w:val="FootnoteReference"/>
          <w:sz w:val="16"/>
          <w:szCs w:val="16"/>
        </w:rPr>
        <w:footnoteRef/>
      </w:r>
      <w:r w:rsidRPr="000A7086">
        <w:rPr>
          <w:sz w:val="16"/>
          <w:szCs w:val="16"/>
        </w:rPr>
        <w:t xml:space="preserve"> SOM103A - </w:t>
      </w:r>
      <w:hyperlink r:id="rId60" w:history="1">
        <w:r w:rsidRPr="000A7086">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131">
    <w:p w14:paraId="5DAA0AC9" w14:textId="3AACC2CC" w:rsidR="00190BA4" w:rsidRPr="000A7086" w:rsidRDefault="00190BA4">
      <w:pPr>
        <w:pStyle w:val="FootnoteText"/>
        <w:rPr>
          <w:sz w:val="16"/>
          <w:szCs w:val="16"/>
          <w:lang w:val="en-US"/>
        </w:rPr>
      </w:pPr>
      <w:r w:rsidRPr="000A7086">
        <w:rPr>
          <w:rStyle w:val="FootnoteReference"/>
          <w:sz w:val="16"/>
          <w:szCs w:val="16"/>
        </w:rPr>
        <w:footnoteRef/>
      </w:r>
      <w:r w:rsidRPr="000A7086">
        <w:rPr>
          <w:sz w:val="16"/>
          <w:szCs w:val="16"/>
        </w:rPr>
        <w:t xml:space="preserve"> </w:t>
      </w:r>
      <w:r w:rsidRPr="007E66E3">
        <w:rPr>
          <w:sz w:val="16"/>
          <w:szCs w:val="16"/>
        </w:rPr>
        <w:t>https://www.siiir.edu.ro/carto/</w:t>
      </w:r>
    </w:p>
  </w:footnote>
  <w:footnote w:id="132">
    <w:p w14:paraId="5CF8AC21" w14:textId="4449BA6E" w:rsidR="00190BA4" w:rsidRPr="009C2D9B" w:rsidRDefault="00190BA4">
      <w:pPr>
        <w:pStyle w:val="FootnoteText"/>
        <w:rPr>
          <w:sz w:val="16"/>
          <w:szCs w:val="16"/>
        </w:rPr>
      </w:pPr>
      <w:r w:rsidRPr="00DA40E6">
        <w:rPr>
          <w:rStyle w:val="FootnoteReference"/>
          <w:sz w:val="16"/>
          <w:szCs w:val="16"/>
        </w:rPr>
        <w:footnoteRef/>
      </w:r>
      <w:r w:rsidRPr="009C2D9B">
        <w:rPr>
          <w:sz w:val="16"/>
          <w:szCs w:val="16"/>
        </w:rPr>
        <w:t xml:space="preserve"> </w:t>
      </w:r>
      <w:r w:rsidRPr="009C2D9B">
        <w:rPr>
          <w:iCs/>
          <w:sz w:val="16"/>
          <w:szCs w:val="16"/>
        </w:rPr>
        <w:t>http://www.anpm.ro/web/apm-</w:t>
      </w:r>
      <w:r>
        <w:rPr>
          <w:iCs/>
          <w:sz w:val="16"/>
          <w:szCs w:val="16"/>
        </w:rPr>
        <w:t>Mureș</w:t>
      </w:r>
      <w:r w:rsidRPr="009C2D9B">
        <w:rPr>
          <w:iCs/>
          <w:sz w:val="16"/>
          <w:szCs w:val="16"/>
        </w:rPr>
        <w:t>/calitatea-aerului</w:t>
      </w:r>
    </w:p>
  </w:footnote>
  <w:footnote w:id="133">
    <w:p w14:paraId="1E9E47A0" w14:textId="765E66DA" w:rsidR="00190BA4" w:rsidRPr="00FF56AC" w:rsidRDefault="00190BA4">
      <w:pPr>
        <w:pStyle w:val="FootnoteText"/>
        <w:rPr>
          <w:sz w:val="16"/>
          <w:szCs w:val="16"/>
          <w:lang w:val="en-US"/>
        </w:rPr>
      </w:pPr>
      <w:r w:rsidRPr="00FF56AC">
        <w:rPr>
          <w:rStyle w:val="FootnoteReference"/>
          <w:sz w:val="16"/>
          <w:szCs w:val="16"/>
        </w:rPr>
        <w:footnoteRef/>
      </w:r>
      <w:r w:rsidRPr="00FF56AC">
        <w:rPr>
          <w:sz w:val="16"/>
          <w:szCs w:val="16"/>
        </w:rPr>
        <w:t xml:space="preserve"> </w:t>
      </w:r>
      <w:r w:rsidRPr="00FF56AC">
        <w:rPr>
          <w:sz w:val="16"/>
          <w:szCs w:val="16"/>
          <w:lang w:val="en-US"/>
        </w:rPr>
        <w:t>Mure</w:t>
      </w:r>
      <w:r w:rsidRPr="00FF56AC">
        <w:rPr>
          <w:sz w:val="16"/>
          <w:szCs w:val="16"/>
          <w:lang w:val="ro-RO"/>
        </w:rPr>
        <w:t xml:space="preserve">ș County </w:t>
      </w:r>
      <w:r>
        <w:rPr>
          <w:sz w:val="16"/>
          <w:szCs w:val="16"/>
          <w:lang w:val="ro-RO"/>
        </w:rPr>
        <w:t>TJTP draft</w:t>
      </w:r>
      <w:r w:rsidRPr="00FF56AC">
        <w:rPr>
          <w:sz w:val="16"/>
          <w:szCs w:val="16"/>
          <w:lang w:val="ro-RO"/>
        </w:rPr>
        <w:t xml:space="preserve"> Annex II</w:t>
      </w:r>
    </w:p>
  </w:footnote>
  <w:footnote w:id="134">
    <w:p w14:paraId="7B296029" w14:textId="2229865C" w:rsidR="00190BA4" w:rsidRPr="002A3576" w:rsidRDefault="00190BA4">
      <w:pPr>
        <w:pStyle w:val="FootnoteText"/>
        <w:rPr>
          <w:sz w:val="16"/>
          <w:szCs w:val="16"/>
          <w:lang w:val="en-US"/>
        </w:rPr>
      </w:pPr>
      <w:r w:rsidRPr="002A3576">
        <w:rPr>
          <w:rStyle w:val="FootnoteReference"/>
          <w:sz w:val="16"/>
          <w:szCs w:val="16"/>
        </w:rPr>
        <w:footnoteRef/>
      </w:r>
      <w:r w:rsidRPr="002A3576">
        <w:rPr>
          <w:sz w:val="16"/>
          <w:szCs w:val="16"/>
        </w:rPr>
        <w:t xml:space="preserve"> https://www.azomures.com/wp-content/uploads/2020/04/Ameropa-Brochure-A4-RO-WEB.pdf</w:t>
      </w:r>
    </w:p>
  </w:footnote>
  <w:footnote w:id="135">
    <w:p w14:paraId="3637471B" w14:textId="347E6B42" w:rsidR="00190BA4" w:rsidRPr="0064033D" w:rsidRDefault="00190BA4" w:rsidP="00AE4CCC">
      <w:pPr>
        <w:pStyle w:val="FootnoteText"/>
        <w:ind w:left="270" w:hanging="270"/>
        <w:jc w:val="both"/>
        <w:rPr>
          <w:sz w:val="16"/>
          <w:szCs w:val="16"/>
          <w:lang w:val="en-US"/>
        </w:rPr>
      </w:pPr>
      <w:r w:rsidRPr="0064033D">
        <w:rPr>
          <w:rStyle w:val="FootnoteReference"/>
          <w:sz w:val="16"/>
          <w:szCs w:val="16"/>
        </w:rPr>
        <w:footnoteRef/>
      </w:r>
      <w:r w:rsidRPr="0064033D">
        <w:rPr>
          <w:sz w:val="16"/>
          <w:szCs w:val="16"/>
        </w:rPr>
        <w:t xml:space="preserve"> These </w:t>
      </w:r>
      <w:r w:rsidRPr="0064033D">
        <w:rPr>
          <w:sz w:val="16"/>
          <w:szCs w:val="16"/>
          <w:lang w:val="en-US"/>
        </w:rPr>
        <w:t>planned emissions reductions have been advanced in the list of projects proposed by Azo</w:t>
      </w:r>
      <w:r>
        <w:rPr>
          <w:sz w:val="16"/>
          <w:szCs w:val="16"/>
          <w:lang w:val="en-US"/>
        </w:rPr>
        <w:t>Mureș</w:t>
      </w:r>
      <w:r w:rsidRPr="0064033D">
        <w:rPr>
          <w:sz w:val="16"/>
          <w:szCs w:val="16"/>
          <w:lang w:val="en-US"/>
        </w:rPr>
        <w:t xml:space="preserve"> and have not been audited/ verified; further feasibility assessment is needed to confirm both whether these investments qualify for JTF support and whether they actually lead to the claimed emissions reduction</w:t>
      </w:r>
    </w:p>
  </w:footnote>
  <w:footnote w:id="136">
    <w:p w14:paraId="1A0BDFDC" w14:textId="52B08F91" w:rsidR="00190BA4" w:rsidRPr="00451865" w:rsidRDefault="00190BA4" w:rsidP="00AE4CCC">
      <w:pPr>
        <w:pStyle w:val="FootnoteText"/>
        <w:ind w:left="180" w:hanging="180"/>
        <w:jc w:val="both"/>
        <w:rPr>
          <w:sz w:val="16"/>
          <w:szCs w:val="16"/>
          <w:lang w:val="en-US"/>
        </w:rPr>
      </w:pPr>
      <w:r w:rsidRPr="002B0D2A">
        <w:rPr>
          <w:rStyle w:val="FootnoteReference"/>
          <w:sz w:val="16"/>
          <w:szCs w:val="16"/>
        </w:rPr>
        <w:footnoteRef/>
      </w:r>
      <w:r w:rsidRPr="00451865">
        <w:rPr>
          <w:sz w:val="16"/>
          <w:szCs w:val="16"/>
        </w:rPr>
        <w:t xml:space="preserve"> </w:t>
      </w:r>
      <w:bookmarkStart w:id="315" w:name="_Hlk85565267"/>
      <w:r w:rsidRPr="00861ED1">
        <w:rPr>
          <w:sz w:val="16"/>
          <w:szCs w:val="16"/>
          <w:lang w:val="en-US"/>
        </w:rPr>
        <w:t xml:space="preserve">While many of these challenges are contextual and relevant for the overall process of development at the local level in </w:t>
      </w:r>
      <w:r>
        <w:rPr>
          <w:sz w:val="16"/>
          <w:szCs w:val="16"/>
          <w:lang w:val="en-US"/>
        </w:rPr>
        <w:t>Mure</w:t>
      </w:r>
      <w:r>
        <w:rPr>
          <w:sz w:val="16"/>
          <w:szCs w:val="16"/>
          <w:lang w:val="ro-RO"/>
        </w:rPr>
        <w:t>ș</w:t>
      </w:r>
      <w:r w:rsidRPr="00861ED1">
        <w:rPr>
          <w:sz w:val="16"/>
          <w:szCs w:val="16"/>
          <w:lang w:val="en-US"/>
        </w:rPr>
        <w:t xml:space="preserve">, there are some which are both contextual and transition-related, such as the </w:t>
      </w:r>
      <w:r>
        <w:rPr>
          <w:sz w:val="16"/>
          <w:szCs w:val="16"/>
          <w:lang w:val="en-US"/>
        </w:rPr>
        <w:t>high dependance on gas of the large local business actors merged with an unclear energy transition path at national level and a low RES potential at county level.</w:t>
      </w:r>
      <w:bookmarkEnd w:id="315"/>
    </w:p>
  </w:footnote>
  <w:footnote w:id="137">
    <w:p w14:paraId="24DD727B" w14:textId="77777777" w:rsidR="00190BA4" w:rsidRPr="00CC3D77" w:rsidRDefault="00190BA4" w:rsidP="00C76AFA">
      <w:pPr>
        <w:pStyle w:val="FootnoteText"/>
        <w:rPr>
          <w:sz w:val="16"/>
          <w:szCs w:val="16"/>
          <w:lang w:val="en-US"/>
        </w:rPr>
      </w:pPr>
      <w:r w:rsidRPr="00CC3D77">
        <w:rPr>
          <w:rStyle w:val="FootnoteReference"/>
          <w:sz w:val="16"/>
          <w:szCs w:val="16"/>
        </w:rPr>
        <w:footnoteRef/>
      </w:r>
      <w:r w:rsidRPr="00CC3D77">
        <w:rPr>
          <w:sz w:val="16"/>
          <w:szCs w:val="16"/>
        </w:rPr>
        <w:t xml:space="preserve"> SDOP brief available here: https://mfe.gov.ro/wp-content/uploads/2020/07/95c37097aeb9a00bcb5c2d5ddde31f38.pdf</w:t>
      </w:r>
    </w:p>
  </w:footnote>
  <w:footnote w:id="138">
    <w:p w14:paraId="03677024" w14:textId="77777777" w:rsidR="00190BA4" w:rsidRPr="00B0673E" w:rsidRDefault="00190BA4" w:rsidP="00AE4CCC">
      <w:pPr>
        <w:pStyle w:val="FootnoteText"/>
        <w:ind w:left="180" w:hanging="180"/>
        <w:rPr>
          <w:lang w:val="en-US"/>
        </w:rPr>
      </w:pPr>
      <w:r w:rsidRPr="00B0673E">
        <w:rPr>
          <w:rStyle w:val="FootnoteReference"/>
          <w:sz w:val="16"/>
          <w:szCs w:val="16"/>
        </w:rPr>
        <w:footnoteRef/>
      </w:r>
      <w:r w:rsidRPr="00B0673E">
        <w:rPr>
          <w:sz w:val="16"/>
          <w:szCs w:val="16"/>
        </w:rPr>
        <w:t xml:space="preserve"> </w:t>
      </w:r>
      <w:r w:rsidRPr="00B0673E">
        <w:rPr>
          <w:rFonts w:eastAsia="Calibri"/>
          <w:sz w:val="16"/>
          <w:szCs w:val="16"/>
        </w:rPr>
        <w:t>A brief of the ROP for the Central Region is available http://regio-adrcentru.ro/wp-content/uploads/2020/06/Prezentare-POR-Centru_2021-2027_IUNIE-2020.pdf</w:t>
      </w:r>
    </w:p>
  </w:footnote>
  <w:footnote w:id="139">
    <w:p w14:paraId="0130C5A9" w14:textId="77777777" w:rsidR="00190BA4" w:rsidRPr="0088065B" w:rsidRDefault="00190BA4" w:rsidP="004B3189">
      <w:pPr>
        <w:rPr>
          <w:rFonts w:ascii="Arial" w:eastAsia="Calibri" w:hAnsi="Arial" w:cs="Arial"/>
          <w:sz w:val="16"/>
          <w:szCs w:val="16"/>
        </w:rPr>
      </w:pPr>
      <w:r w:rsidRPr="0088065B">
        <w:rPr>
          <w:rFonts w:ascii="Arial" w:hAnsi="Arial" w:cs="Arial"/>
          <w:sz w:val="16"/>
          <w:szCs w:val="16"/>
          <w:vertAlign w:val="superscript"/>
        </w:rPr>
        <w:footnoteRef/>
      </w:r>
      <w:r w:rsidRPr="0088065B">
        <w:rPr>
          <w:rFonts w:ascii="Arial" w:eastAsia="Calibri" w:hAnsi="Arial" w:cs="Arial"/>
          <w:sz w:val="16"/>
          <w:szCs w:val="16"/>
        </w:rPr>
        <w:t xml:space="preserve"> Based on processing of local budget data published online by the Direction for Local Fiscal and Budgetary Policies </w:t>
      </w:r>
      <w:hyperlink r:id="rId61">
        <w:r w:rsidRPr="0088065B">
          <w:rPr>
            <w:rFonts w:ascii="Arial" w:eastAsia="Calibri" w:hAnsi="Arial" w:cs="Arial"/>
            <w:color w:val="0563C1"/>
            <w:sz w:val="16"/>
            <w:szCs w:val="16"/>
            <w:u w:val="single"/>
          </w:rPr>
          <w:t>http://www.dpfbl.mdrap.ro/sit_ven_si_chelt_uat.html</w:t>
        </w:r>
      </w:hyperlink>
      <w:r w:rsidRPr="0088065B">
        <w:rPr>
          <w:rFonts w:ascii="Arial" w:eastAsia="Calibri" w:hAnsi="Arial" w:cs="Arial"/>
          <w:sz w:val="16"/>
          <w:szCs w:val="16"/>
        </w:rPr>
        <w:t xml:space="preserve"> </w:t>
      </w:r>
    </w:p>
  </w:footnote>
  <w:footnote w:id="140">
    <w:p w14:paraId="625F96E4" w14:textId="20DBD289" w:rsidR="00190BA4" w:rsidRPr="004B3189" w:rsidRDefault="00190BA4">
      <w:pPr>
        <w:pStyle w:val="FootnoteText"/>
        <w:rPr>
          <w:sz w:val="16"/>
          <w:szCs w:val="16"/>
          <w:lang w:val="ro-RO"/>
        </w:rPr>
      </w:pPr>
      <w:r w:rsidRPr="0088065B">
        <w:rPr>
          <w:rStyle w:val="FootnoteReference"/>
          <w:sz w:val="16"/>
          <w:szCs w:val="16"/>
        </w:rPr>
        <w:footnoteRef/>
      </w:r>
      <w:r w:rsidRPr="0088065B">
        <w:rPr>
          <w:sz w:val="16"/>
          <w:szCs w:val="16"/>
        </w:rPr>
        <w:t xml:space="preserve"> </w:t>
      </w:r>
      <w:r w:rsidRPr="0088065B">
        <w:rPr>
          <w:rFonts w:eastAsia="Calibri"/>
          <w:sz w:val="16"/>
          <w:szCs w:val="16"/>
        </w:rPr>
        <w:t xml:space="preserve">Data based on NIS FOM103D data set “Civil employment population by activity of national economy at level of </w:t>
      </w:r>
      <w:r>
        <w:rPr>
          <w:rFonts w:eastAsia="Calibri"/>
          <w:sz w:val="16"/>
          <w:szCs w:val="16"/>
        </w:rPr>
        <w:t>NACE</w:t>
      </w:r>
      <w:r w:rsidRPr="0088065B">
        <w:rPr>
          <w:rFonts w:eastAsia="Calibri"/>
          <w:sz w:val="16"/>
          <w:szCs w:val="16"/>
        </w:rPr>
        <w:t xml:space="preserve"> Rev.2”</w:t>
      </w:r>
    </w:p>
  </w:footnote>
  <w:footnote w:id="141">
    <w:p w14:paraId="14DD5512" w14:textId="77777777" w:rsidR="00190BA4" w:rsidRPr="00AE4CCC" w:rsidRDefault="00190BA4" w:rsidP="004B3189">
      <w:pPr>
        <w:rPr>
          <w:rFonts w:ascii="Arial" w:eastAsia="Calibri" w:hAnsi="Arial" w:cs="Arial"/>
          <w:sz w:val="16"/>
          <w:szCs w:val="16"/>
        </w:rPr>
      </w:pPr>
      <w:r w:rsidRPr="00AE4CCC">
        <w:rPr>
          <w:rFonts w:ascii="Arial" w:hAnsi="Arial" w:cs="Arial"/>
          <w:sz w:val="16"/>
          <w:szCs w:val="16"/>
          <w:vertAlign w:val="superscript"/>
        </w:rPr>
        <w:footnoteRef/>
      </w:r>
      <w:r w:rsidRPr="00AE4CCC">
        <w:rPr>
          <w:rFonts w:ascii="Arial" w:eastAsia="Calibri" w:hAnsi="Arial" w:cs="Arial"/>
          <w:sz w:val="16"/>
          <w:szCs w:val="16"/>
        </w:rPr>
        <w:t xml:space="preserve"> More information available at: </w:t>
      </w:r>
      <w:hyperlink r:id="rId62">
        <w:r w:rsidRPr="00AE4CCC">
          <w:rPr>
            <w:rFonts w:ascii="Arial" w:eastAsia="Calibri" w:hAnsi="Arial" w:cs="Arial"/>
            <w:color w:val="0563C1"/>
            <w:sz w:val="16"/>
            <w:szCs w:val="16"/>
            <w:u w:val="single"/>
          </w:rPr>
          <w:t>https://navalcluster.ro/</w:t>
        </w:r>
      </w:hyperlink>
      <w:r w:rsidRPr="00AE4CCC">
        <w:rPr>
          <w:rFonts w:ascii="Arial" w:eastAsia="Calibri" w:hAnsi="Arial" w:cs="Arial"/>
          <w:sz w:val="16"/>
          <w:szCs w:val="16"/>
        </w:rPr>
        <w:t xml:space="preserve"> </w:t>
      </w:r>
    </w:p>
  </w:footnote>
  <w:footnote w:id="142">
    <w:p w14:paraId="2C6F9FC2" w14:textId="00616C52" w:rsidR="00190BA4" w:rsidRPr="00D932B6" w:rsidRDefault="00190BA4">
      <w:pPr>
        <w:pStyle w:val="FootnoteText"/>
        <w:rPr>
          <w:sz w:val="16"/>
          <w:szCs w:val="16"/>
          <w:lang w:val="en-US"/>
        </w:rPr>
      </w:pPr>
      <w:r w:rsidRPr="00D932B6">
        <w:rPr>
          <w:rStyle w:val="FootnoteReference"/>
          <w:sz w:val="16"/>
          <w:szCs w:val="16"/>
        </w:rPr>
        <w:footnoteRef/>
      </w:r>
      <w:r w:rsidRPr="00D932B6">
        <w:rPr>
          <w:sz w:val="16"/>
          <w:szCs w:val="16"/>
        </w:rPr>
        <w:t xml:space="preserve"> Invited to attend the regional working session with large enterprises at county level</w:t>
      </w:r>
    </w:p>
  </w:footnote>
  <w:footnote w:id="143">
    <w:p w14:paraId="30AF7555" w14:textId="77777777" w:rsidR="00190BA4" w:rsidRPr="000A7086" w:rsidRDefault="00190BA4" w:rsidP="00AE4CCC">
      <w:pPr>
        <w:pStyle w:val="FootnoteText"/>
        <w:ind w:left="270" w:hanging="270"/>
        <w:jc w:val="both"/>
        <w:rPr>
          <w:sz w:val="16"/>
          <w:szCs w:val="16"/>
          <w:lang w:val="en-US"/>
        </w:rPr>
      </w:pPr>
      <w:r w:rsidRPr="000A7086">
        <w:rPr>
          <w:rStyle w:val="FootnoteReference"/>
          <w:sz w:val="16"/>
          <w:szCs w:val="16"/>
        </w:rPr>
        <w:footnoteRef/>
      </w:r>
      <w:r w:rsidRPr="000A7086">
        <w:rPr>
          <w:sz w:val="16"/>
          <w:szCs w:val="16"/>
        </w:rPr>
        <w:t xml:space="preserve"> SOM101F - </w:t>
      </w:r>
      <w:hyperlink r:id="rId63" w:history="1">
        <w:r w:rsidRPr="000A7086">
          <w:rPr>
            <w:rStyle w:val="Hyperlink"/>
            <w:color w:val="006699"/>
            <w:sz w:val="16"/>
            <w:szCs w:val="16"/>
          </w:rPr>
          <w:t>Share of registered unemployed in the total labor resources, by gender, counties and localities</w:t>
        </w:r>
      </w:hyperlink>
      <w:r>
        <w:rPr>
          <w:sz w:val="16"/>
          <w:szCs w:val="16"/>
        </w:rPr>
        <w:t>; ratio between the number of unemployed and the total population by domicile 18 – 62 years</w:t>
      </w:r>
    </w:p>
  </w:footnote>
  <w:footnote w:id="144">
    <w:p w14:paraId="56350C1A" w14:textId="77777777" w:rsidR="00190BA4" w:rsidRPr="000A7086" w:rsidRDefault="00190BA4" w:rsidP="00AE4CCC">
      <w:pPr>
        <w:pStyle w:val="FootnoteText"/>
        <w:ind w:left="270" w:hanging="270"/>
        <w:jc w:val="both"/>
        <w:rPr>
          <w:sz w:val="16"/>
          <w:szCs w:val="16"/>
          <w:lang w:val="en-US"/>
        </w:rPr>
      </w:pPr>
      <w:r w:rsidRPr="000A7086">
        <w:rPr>
          <w:rStyle w:val="FootnoteReference"/>
          <w:sz w:val="16"/>
          <w:szCs w:val="16"/>
        </w:rPr>
        <w:footnoteRef/>
      </w:r>
      <w:r w:rsidRPr="000A7086">
        <w:rPr>
          <w:sz w:val="16"/>
          <w:szCs w:val="16"/>
        </w:rPr>
        <w:t xml:space="preserve"> SOM103A - </w:t>
      </w:r>
      <w:hyperlink r:id="rId64" w:history="1">
        <w:r w:rsidRPr="000A7086">
          <w:rPr>
            <w:rStyle w:val="Hyperlink"/>
            <w:color w:val="006699"/>
            <w:sz w:val="16"/>
            <w:szCs w:val="16"/>
          </w:rPr>
          <w:t>Unemployment rate by gender, macroregions, development regions and counties</w:t>
        </w:r>
      </w:hyperlink>
      <w:r>
        <w:rPr>
          <w:sz w:val="16"/>
          <w:szCs w:val="16"/>
        </w:rPr>
        <w:t xml:space="preserve">; </w:t>
      </w:r>
      <w:r w:rsidRPr="004B2DFC">
        <w:rPr>
          <w:sz w:val="16"/>
          <w:szCs w:val="16"/>
        </w:rPr>
        <w:t>ratio between the number of unemployed and the active civilian population</w:t>
      </w:r>
      <w:r>
        <w:rPr>
          <w:sz w:val="16"/>
          <w:szCs w:val="16"/>
        </w:rPr>
        <w:t xml:space="preserve"> 16 years and over </w:t>
      </w:r>
    </w:p>
  </w:footnote>
  <w:footnote w:id="145">
    <w:p w14:paraId="090C3DD8" w14:textId="77777777" w:rsidR="00190BA4" w:rsidRPr="00190BA4" w:rsidRDefault="00190BA4" w:rsidP="00711B40">
      <w:pPr>
        <w:pStyle w:val="FootnoteText"/>
        <w:rPr>
          <w:sz w:val="16"/>
          <w:lang w:val="pt-PT"/>
        </w:rPr>
      </w:pPr>
      <w:r w:rsidRPr="00F246C8">
        <w:rPr>
          <w:rStyle w:val="FootnoteReference"/>
          <w:sz w:val="16"/>
          <w:szCs w:val="16"/>
        </w:rPr>
        <w:footnoteRef/>
      </w:r>
      <w:r w:rsidRPr="00190BA4">
        <w:rPr>
          <w:sz w:val="16"/>
          <w:lang w:val="pt-PT"/>
        </w:rPr>
        <w:t xml:space="preserve"> Planul de Dezvoltare Regională Sud-Est 2021-2027</w:t>
      </w:r>
    </w:p>
  </w:footnote>
  <w:footnote w:id="146">
    <w:p w14:paraId="35AD40F1" w14:textId="77777777" w:rsidR="00190BA4" w:rsidRPr="00190BA4" w:rsidRDefault="00190BA4" w:rsidP="00711B40">
      <w:pPr>
        <w:pStyle w:val="FootnoteText"/>
        <w:rPr>
          <w:sz w:val="16"/>
          <w:lang w:val="pt-PT"/>
        </w:rPr>
      </w:pPr>
      <w:r w:rsidRPr="00F246C8">
        <w:rPr>
          <w:rStyle w:val="FootnoteReference"/>
          <w:sz w:val="16"/>
          <w:szCs w:val="16"/>
        </w:rPr>
        <w:footnoteRef/>
      </w:r>
      <w:r w:rsidRPr="00190BA4">
        <w:rPr>
          <w:sz w:val="16"/>
          <w:lang w:val="pt-PT"/>
        </w:rPr>
        <w:t xml:space="preserve"> http://mfe.gov.ro/minister/perioade-de-programare/perioada-2021-2027/</w:t>
      </w:r>
    </w:p>
  </w:footnote>
  <w:footnote w:id="147">
    <w:p w14:paraId="73EB9132" w14:textId="7449E927" w:rsidR="00190BA4" w:rsidRPr="00D81A28" w:rsidRDefault="00190BA4">
      <w:pPr>
        <w:pStyle w:val="FootnoteText"/>
        <w:rPr>
          <w:sz w:val="16"/>
          <w:szCs w:val="16"/>
          <w:lang w:val="en-US"/>
        </w:rPr>
      </w:pPr>
      <w:r w:rsidRPr="00D81A28">
        <w:rPr>
          <w:rStyle w:val="FootnoteReference"/>
          <w:sz w:val="16"/>
          <w:szCs w:val="16"/>
        </w:rPr>
        <w:footnoteRef/>
      </w:r>
      <w:r w:rsidRPr="00D81A28">
        <w:rPr>
          <w:sz w:val="16"/>
          <w:szCs w:val="16"/>
        </w:rPr>
        <w:t xml:space="preserve"> </w:t>
      </w:r>
      <w:r>
        <w:rPr>
          <w:sz w:val="16"/>
          <w:szCs w:val="16"/>
        </w:rPr>
        <w:t>A</w:t>
      </w:r>
      <w:r w:rsidRPr="00D81A28">
        <w:rPr>
          <w:sz w:val="16"/>
          <w:szCs w:val="16"/>
        </w:rPr>
        <w:t xml:space="preserve">s a result </w:t>
      </w:r>
      <w:r>
        <w:rPr>
          <w:sz w:val="16"/>
          <w:szCs w:val="16"/>
        </w:rPr>
        <w:t>of the</w:t>
      </w:r>
      <w:r w:rsidRPr="00D81A28">
        <w:rPr>
          <w:sz w:val="16"/>
          <w:szCs w:val="16"/>
        </w:rPr>
        <w:t xml:space="preserve"> questionnaire mentioned in H.G. no. 1408/2007</w:t>
      </w:r>
    </w:p>
  </w:footnote>
  <w:footnote w:id="148">
    <w:p w14:paraId="55566216" w14:textId="77777777" w:rsidR="00190BA4" w:rsidRPr="00794E77" w:rsidRDefault="00190BA4" w:rsidP="000574CB">
      <w:pPr>
        <w:pStyle w:val="FootnoteText"/>
        <w:rPr>
          <w:sz w:val="16"/>
          <w:szCs w:val="16"/>
          <w:lang w:val="en-US"/>
        </w:rPr>
      </w:pPr>
      <w:r w:rsidRPr="00794E77">
        <w:rPr>
          <w:rStyle w:val="FootnoteReference"/>
          <w:sz w:val="16"/>
          <w:szCs w:val="16"/>
        </w:rPr>
        <w:footnoteRef/>
      </w:r>
      <w:r w:rsidRPr="00794E77">
        <w:rPr>
          <w:sz w:val="16"/>
          <w:szCs w:val="16"/>
        </w:rPr>
        <w:t xml:space="preserve"> </w:t>
      </w:r>
      <w:hyperlink r:id="rId65" w:history="1">
        <w:r w:rsidRPr="00794E77">
          <w:rPr>
            <w:rStyle w:val="Hyperlink"/>
            <w:sz w:val="16"/>
            <w:szCs w:val="16"/>
          </w:rPr>
          <w:t>TheWindpower.net, 2021</w:t>
        </w:r>
      </w:hyperlink>
      <w:r w:rsidRPr="00794E77">
        <w:rPr>
          <w:rStyle w:val="Hyperlink"/>
          <w:sz w:val="16"/>
          <w:szCs w:val="16"/>
        </w:rPr>
        <w:t>: https://www.thewindpower.net/zones_en_44_1249.php</w:t>
      </w:r>
    </w:p>
  </w:footnote>
  <w:footnote w:id="149">
    <w:p w14:paraId="6DFDBA82" w14:textId="77777777" w:rsidR="00190BA4" w:rsidRPr="00190BA4" w:rsidRDefault="00190BA4" w:rsidP="000574CB">
      <w:pPr>
        <w:pStyle w:val="FootnoteText"/>
        <w:rPr>
          <w:sz w:val="16"/>
          <w:szCs w:val="16"/>
          <w:lang w:val="pt-PT"/>
        </w:rPr>
      </w:pPr>
      <w:r w:rsidRPr="00794E77">
        <w:rPr>
          <w:rStyle w:val="FootnoteReference"/>
          <w:sz w:val="16"/>
          <w:szCs w:val="16"/>
        </w:rPr>
        <w:footnoteRef/>
      </w:r>
      <w:r w:rsidRPr="00190BA4">
        <w:rPr>
          <w:sz w:val="16"/>
          <w:szCs w:val="16"/>
          <w:lang w:val="pt-PT"/>
        </w:rPr>
        <w:t xml:space="preserve"> Idem</w:t>
      </w:r>
    </w:p>
  </w:footnote>
  <w:footnote w:id="150">
    <w:p w14:paraId="3069D7B3" w14:textId="0C28AACF" w:rsidR="00190BA4" w:rsidRPr="00197494" w:rsidRDefault="00190BA4" w:rsidP="00AE4CCC">
      <w:pPr>
        <w:pStyle w:val="FootnoteText"/>
        <w:ind w:left="270" w:hanging="270"/>
        <w:rPr>
          <w:sz w:val="16"/>
          <w:szCs w:val="16"/>
          <w:lang w:val="pt-PT"/>
        </w:rPr>
      </w:pPr>
      <w:r w:rsidRPr="00CA6F73">
        <w:rPr>
          <w:rStyle w:val="FootnoteReference"/>
          <w:sz w:val="16"/>
          <w:szCs w:val="16"/>
        </w:rPr>
        <w:footnoteRef/>
      </w:r>
      <w:r w:rsidRPr="00197494">
        <w:rPr>
          <w:sz w:val="16"/>
          <w:szCs w:val="16"/>
          <w:lang w:val="pt-PT"/>
        </w:rPr>
        <w:t xml:space="preserve"> https://www.mediafax.ro/economic/cifra-de-afaceri-uriasa-pentru-liberty-galati-compania-a-anuntat-cele-mai-bune-rezultate-din-2008-si-pana-in-prezent-20224594</w:t>
      </w:r>
    </w:p>
  </w:footnote>
  <w:footnote w:id="151">
    <w:p w14:paraId="42D6B9E3" w14:textId="30D1BCF8" w:rsidR="00190BA4" w:rsidRPr="00197494" w:rsidRDefault="00190BA4">
      <w:pPr>
        <w:pStyle w:val="FootnoteText"/>
        <w:rPr>
          <w:sz w:val="16"/>
          <w:szCs w:val="16"/>
          <w:lang w:val="pt-PT"/>
        </w:rPr>
      </w:pPr>
      <w:r w:rsidRPr="008D5117">
        <w:rPr>
          <w:rStyle w:val="FootnoteReference"/>
          <w:sz w:val="16"/>
          <w:szCs w:val="16"/>
        </w:rPr>
        <w:footnoteRef/>
      </w:r>
      <w:r w:rsidRPr="00197494">
        <w:rPr>
          <w:sz w:val="16"/>
          <w:szCs w:val="16"/>
          <w:lang w:val="pt-PT"/>
        </w:rPr>
        <w:t xml:space="preserve"> https://libertysteelgroup.com/ro/company/vision/?lang=en</w:t>
      </w:r>
    </w:p>
  </w:footnote>
  <w:footnote w:id="152">
    <w:p w14:paraId="14934F4F" w14:textId="72564437" w:rsidR="00190BA4" w:rsidRPr="00197494" w:rsidRDefault="00190BA4" w:rsidP="00AE4CCC">
      <w:pPr>
        <w:pStyle w:val="FootnoteText"/>
        <w:ind w:left="270" w:hanging="270"/>
        <w:rPr>
          <w:sz w:val="16"/>
          <w:szCs w:val="16"/>
          <w:lang w:val="pt-PT"/>
        </w:rPr>
      </w:pPr>
      <w:r w:rsidRPr="008D5117">
        <w:rPr>
          <w:rStyle w:val="FootnoteReference"/>
          <w:sz w:val="16"/>
          <w:szCs w:val="16"/>
        </w:rPr>
        <w:footnoteRef/>
      </w:r>
      <w:r w:rsidRPr="00197494">
        <w:rPr>
          <w:sz w:val="16"/>
          <w:szCs w:val="16"/>
          <w:lang w:val="pt-PT"/>
        </w:rPr>
        <w:t xml:space="preserve"> https://eurometal.net/liberty-galati-in-romania-to-raise-steel-output-50-this-year/?utm_source=dlvr.it&amp;utm_medium=twitter&amp;utm_campaign=liberty-galati-in-romania-to-raise-steel-output-50-this-year</w:t>
      </w:r>
    </w:p>
  </w:footnote>
  <w:footnote w:id="153">
    <w:p w14:paraId="19DD7EAB" w14:textId="6923F62A" w:rsidR="00190BA4" w:rsidRPr="00046E6A" w:rsidRDefault="00190BA4">
      <w:pPr>
        <w:pStyle w:val="FootnoteText"/>
        <w:rPr>
          <w:sz w:val="16"/>
          <w:szCs w:val="16"/>
          <w:lang w:val="en-US"/>
        </w:rPr>
      </w:pPr>
      <w:r w:rsidRPr="008D5117">
        <w:rPr>
          <w:rStyle w:val="FootnoteReference"/>
          <w:sz w:val="16"/>
          <w:szCs w:val="16"/>
        </w:rPr>
        <w:footnoteRef/>
      </w:r>
      <w:r w:rsidRPr="008D5117">
        <w:rPr>
          <w:sz w:val="16"/>
          <w:szCs w:val="16"/>
        </w:rPr>
        <w:t xml:space="preserve"> I</w:t>
      </w:r>
      <w:r>
        <w:rPr>
          <w:sz w:val="16"/>
          <w:szCs w:val="16"/>
        </w:rPr>
        <w:t>dem</w:t>
      </w:r>
    </w:p>
  </w:footnote>
  <w:footnote w:id="154">
    <w:p w14:paraId="260AB013" w14:textId="21E457AC" w:rsidR="00190BA4" w:rsidRPr="0001186C" w:rsidRDefault="00190BA4" w:rsidP="004E2DCB">
      <w:pPr>
        <w:pStyle w:val="FootnoteText"/>
        <w:ind w:left="180" w:hanging="180"/>
        <w:jc w:val="both"/>
        <w:rPr>
          <w:lang w:val="en-US"/>
        </w:rPr>
      </w:pPr>
      <w:r w:rsidRPr="002B0D2A">
        <w:rPr>
          <w:rStyle w:val="FootnoteReference"/>
          <w:sz w:val="16"/>
          <w:szCs w:val="16"/>
        </w:rPr>
        <w:footnoteRef/>
      </w:r>
      <w:r w:rsidRPr="0001186C">
        <w:rPr>
          <w:sz w:val="16"/>
          <w:szCs w:val="16"/>
        </w:rPr>
        <w:t xml:space="preserve"> </w:t>
      </w:r>
      <w:bookmarkStart w:id="363" w:name="_Hlk85565315"/>
      <w:r w:rsidRPr="00805CA4">
        <w:rPr>
          <w:sz w:val="16"/>
          <w:szCs w:val="16"/>
          <w:lang w:val="en-US"/>
        </w:rPr>
        <w:t xml:space="preserve">While many of these challenges are contextual and relevant for the overall process of development at the local level in </w:t>
      </w:r>
      <w:r>
        <w:rPr>
          <w:sz w:val="16"/>
          <w:szCs w:val="16"/>
          <w:lang w:val="en-US"/>
        </w:rPr>
        <w:t>Gala</w:t>
      </w:r>
      <w:r>
        <w:rPr>
          <w:sz w:val="16"/>
          <w:szCs w:val="16"/>
          <w:lang w:val="ro-RO"/>
        </w:rPr>
        <w:t>ți</w:t>
      </w:r>
      <w:r w:rsidRPr="00805CA4">
        <w:rPr>
          <w:sz w:val="16"/>
          <w:szCs w:val="16"/>
          <w:lang w:val="en-US"/>
        </w:rPr>
        <w:t>, there are some which are both contextual and transition-related, such as the</w:t>
      </w:r>
      <w:r>
        <w:rPr>
          <w:sz w:val="16"/>
          <w:szCs w:val="16"/>
          <w:lang w:val="en-US"/>
        </w:rPr>
        <w:t xml:space="preserve"> increasing energy poverty rates considering the condition of energy efficiency in buildings and the collapse of the municipal district heating in Gala</w:t>
      </w:r>
      <w:r>
        <w:rPr>
          <w:sz w:val="16"/>
          <w:szCs w:val="16"/>
          <w:lang w:val="ro-RO"/>
        </w:rPr>
        <w:t>ți municipality.</w:t>
      </w:r>
      <w:bookmarkEnd w:id="363"/>
    </w:p>
  </w:footnote>
  <w:footnote w:id="155">
    <w:p w14:paraId="53DC30F9" w14:textId="77777777" w:rsidR="00190BA4" w:rsidRPr="00CC3D77" w:rsidRDefault="00190BA4" w:rsidP="00E534CF">
      <w:pPr>
        <w:pStyle w:val="FootnoteText"/>
        <w:rPr>
          <w:sz w:val="20"/>
          <w:szCs w:val="20"/>
          <w:lang w:val="en-US"/>
        </w:rPr>
      </w:pPr>
      <w:r w:rsidRPr="00CC3D77">
        <w:rPr>
          <w:rStyle w:val="FootnoteReference"/>
          <w:sz w:val="16"/>
          <w:szCs w:val="16"/>
        </w:rPr>
        <w:footnoteRef/>
      </w:r>
      <w:r w:rsidRPr="00CC3D77">
        <w:rPr>
          <w:sz w:val="16"/>
          <w:szCs w:val="16"/>
        </w:rPr>
        <w:t xml:space="preserve"> SDOP brief available here: https://mfe.gov.ro/wp-content/uploads/2020/07/95c37097aeb9a00bcb5c2d5ddde31f38.pdf</w:t>
      </w:r>
    </w:p>
  </w:footnote>
  <w:footnote w:id="156">
    <w:p w14:paraId="20A9A1CA" w14:textId="77777777" w:rsidR="00190BA4" w:rsidRPr="001A6C85" w:rsidRDefault="00190BA4" w:rsidP="00BC0F67">
      <w:pPr>
        <w:pStyle w:val="FootnoteText"/>
        <w:rPr>
          <w:sz w:val="16"/>
          <w:szCs w:val="16"/>
          <w:lang w:val="en-US"/>
        </w:rPr>
      </w:pPr>
      <w:r w:rsidRPr="001A6C85">
        <w:rPr>
          <w:rStyle w:val="FootnoteReference"/>
          <w:sz w:val="16"/>
          <w:szCs w:val="16"/>
        </w:rPr>
        <w:footnoteRef/>
      </w:r>
      <w:r w:rsidRPr="001A6C85">
        <w:rPr>
          <w:sz w:val="16"/>
          <w:szCs w:val="16"/>
        </w:rPr>
        <w:t xml:space="preserve"> </w:t>
      </w:r>
      <w:r w:rsidRPr="001A6C85">
        <w:rPr>
          <w:rFonts w:eastAsia="Calibri"/>
          <w:sz w:val="16"/>
          <w:szCs w:val="16"/>
        </w:rPr>
        <w:t>The ROP SER is available online, in draft version, here:</w:t>
      </w:r>
      <w:hyperlink r:id="rId66">
        <w:r w:rsidRPr="001A6C85">
          <w:rPr>
            <w:rFonts w:eastAsia="Calibri"/>
            <w:sz w:val="16"/>
            <w:szCs w:val="16"/>
          </w:rPr>
          <w:t xml:space="preserve"> </w:t>
        </w:r>
      </w:hyperlink>
      <w:hyperlink r:id="rId67">
        <w:r w:rsidRPr="001A6C85">
          <w:rPr>
            <w:rFonts w:eastAsia="Calibri"/>
            <w:color w:val="1155CC"/>
            <w:sz w:val="16"/>
            <w:szCs w:val="16"/>
            <w:u w:val="single"/>
          </w:rPr>
          <w:t>http://www.adrse.ro/POR_2021/POR_ADRSE.aspx</w:t>
        </w:r>
      </w:hyperlink>
    </w:p>
  </w:footnote>
  <w:footnote w:id="157">
    <w:p w14:paraId="26B08ED0" w14:textId="1BD07A35" w:rsidR="00190BA4" w:rsidRPr="001A6C85" w:rsidRDefault="00190BA4" w:rsidP="00AE4CCC">
      <w:pPr>
        <w:pStyle w:val="FootnoteText"/>
        <w:ind w:left="270" w:hanging="270"/>
        <w:jc w:val="both"/>
        <w:rPr>
          <w:sz w:val="16"/>
          <w:szCs w:val="16"/>
          <w:lang w:val="en-US"/>
        </w:rPr>
      </w:pPr>
      <w:r w:rsidRPr="001A6C85">
        <w:rPr>
          <w:rStyle w:val="FootnoteReference"/>
          <w:sz w:val="16"/>
          <w:szCs w:val="16"/>
        </w:rPr>
        <w:footnoteRef/>
      </w:r>
      <w:r w:rsidRPr="001A6C85">
        <w:rPr>
          <w:sz w:val="16"/>
          <w:szCs w:val="16"/>
        </w:rPr>
        <w:t xml:space="preserve"> </w:t>
      </w:r>
      <w:r w:rsidRPr="001A6C85">
        <w:rPr>
          <w:rFonts w:eastAsia="Calibri"/>
          <w:sz w:val="16"/>
          <w:szCs w:val="16"/>
        </w:rPr>
        <w:t>Available online at:</w:t>
      </w:r>
      <w:hyperlink r:id="rId68">
        <w:r w:rsidRPr="001A6C85">
          <w:rPr>
            <w:rFonts w:eastAsia="Calibri"/>
            <w:sz w:val="16"/>
            <w:szCs w:val="16"/>
          </w:rPr>
          <w:t xml:space="preserve"> </w:t>
        </w:r>
      </w:hyperlink>
      <w:hyperlink r:id="rId69">
        <w:r w:rsidRPr="001A6C85">
          <w:rPr>
            <w:rFonts w:eastAsia="Calibri"/>
            <w:color w:val="1155CC"/>
            <w:sz w:val="16"/>
            <w:szCs w:val="16"/>
            <w:u w:val="single"/>
          </w:rPr>
          <w:t>https://www.primaria</w:t>
        </w:r>
        <w:r>
          <w:rPr>
            <w:rFonts w:eastAsia="Calibri"/>
            <w:color w:val="1155CC"/>
            <w:sz w:val="16"/>
            <w:szCs w:val="16"/>
            <w:u w:val="single"/>
          </w:rPr>
          <w:t>Galați</w:t>
        </w:r>
        <w:r w:rsidRPr="001A6C85">
          <w:rPr>
            <w:rFonts w:eastAsia="Calibri"/>
            <w:color w:val="1155CC"/>
            <w:sz w:val="16"/>
            <w:szCs w:val="16"/>
            <w:u w:val="single"/>
          </w:rPr>
          <w:t>.ro/portal/</w:t>
        </w:r>
        <w:r>
          <w:rPr>
            <w:rFonts w:eastAsia="Calibri"/>
            <w:color w:val="1155CC"/>
            <w:sz w:val="16"/>
            <w:szCs w:val="16"/>
            <w:u w:val="single"/>
          </w:rPr>
          <w:t>Galați</w:t>
        </w:r>
        <w:r w:rsidRPr="001A6C85">
          <w:rPr>
            <w:rFonts w:eastAsia="Calibri"/>
            <w:color w:val="1155CC"/>
            <w:sz w:val="16"/>
            <w:szCs w:val="16"/>
            <w:u w:val="single"/>
          </w:rPr>
          <w:t>/portal.nsf/AllByUNID/strategia-de-dezvoltare-a-municipiului-</w:t>
        </w:r>
        <w:r>
          <w:rPr>
            <w:rFonts w:eastAsia="Calibri"/>
            <w:color w:val="1155CC"/>
            <w:sz w:val="16"/>
            <w:szCs w:val="16"/>
            <w:u w:val="single"/>
          </w:rPr>
          <w:t>Galați</w:t>
        </w:r>
        <w:r w:rsidRPr="001A6C85">
          <w:rPr>
            <w:rFonts w:eastAsia="Calibri"/>
            <w:color w:val="1155CC"/>
            <w:sz w:val="16"/>
            <w:szCs w:val="16"/>
            <w:u w:val="single"/>
          </w:rPr>
          <w:t>-2021--2027-0004a44e?OpenDocument</w:t>
        </w:r>
      </w:hyperlink>
    </w:p>
  </w:footnote>
  <w:footnote w:id="158">
    <w:p w14:paraId="3780DEF0" w14:textId="77777777" w:rsidR="00190BA4" w:rsidRPr="00493276" w:rsidRDefault="00190BA4" w:rsidP="004E2DCB">
      <w:pPr>
        <w:pStyle w:val="FootnoteText"/>
        <w:ind w:left="180" w:hanging="180"/>
        <w:jc w:val="both"/>
        <w:rPr>
          <w:sz w:val="16"/>
          <w:szCs w:val="16"/>
          <w:lang w:val="en-US"/>
        </w:rPr>
      </w:pPr>
      <w:r w:rsidRPr="008444F9">
        <w:rPr>
          <w:rStyle w:val="FootnoteReference"/>
          <w:sz w:val="16"/>
          <w:szCs w:val="16"/>
        </w:rPr>
        <w:footnoteRef/>
      </w:r>
      <w:r w:rsidRPr="008444F9">
        <w:rPr>
          <w:sz w:val="16"/>
          <w:szCs w:val="16"/>
        </w:rPr>
        <w:t xml:space="preserve"> </w:t>
      </w:r>
      <w:r w:rsidRPr="008444F9">
        <w:rPr>
          <w:sz w:val="16"/>
          <w:szCs w:val="16"/>
          <w:lang w:val="en-US"/>
        </w:rPr>
        <w:t>According to the RRP submitted by the Romanian Government to the European Commission, 280,000 enterprises in Romania have negative capital ratios; the RRP, as a matter of fact, proposes fiscal incentives for companies which improve their capital structure</w:t>
      </w:r>
    </w:p>
  </w:footnote>
  <w:footnote w:id="159">
    <w:p w14:paraId="65F56D49" w14:textId="77777777" w:rsidR="00190BA4" w:rsidRPr="008444F9" w:rsidRDefault="00190BA4" w:rsidP="004E2DCB">
      <w:pPr>
        <w:ind w:left="180" w:hanging="180"/>
        <w:jc w:val="both"/>
        <w:rPr>
          <w:rFonts w:ascii="Arial" w:eastAsia="Times New Roman" w:hAnsi="Arial" w:cs="Arial"/>
          <w:sz w:val="16"/>
          <w:szCs w:val="16"/>
        </w:rPr>
      </w:pPr>
      <w:r w:rsidRPr="008444F9">
        <w:rPr>
          <w:rStyle w:val="FootnoteReference"/>
          <w:rFonts w:ascii="Arial" w:hAnsi="Arial" w:cs="Arial"/>
          <w:sz w:val="16"/>
          <w:szCs w:val="16"/>
        </w:rPr>
        <w:footnoteRef/>
      </w:r>
      <w:r w:rsidRPr="008444F9">
        <w:rPr>
          <w:rFonts w:ascii="Arial" w:hAnsi="Arial" w:cs="Arial"/>
          <w:sz w:val="16"/>
          <w:szCs w:val="16"/>
        </w:rPr>
        <w:t xml:space="preserve"> </w:t>
      </w:r>
      <w:r w:rsidRPr="008444F9">
        <w:rPr>
          <w:rFonts w:ascii="Arial" w:hAnsi="Arial" w:cs="Arial"/>
          <w:sz w:val="16"/>
          <w:szCs w:val="16"/>
          <w:lang w:val="en-US"/>
        </w:rPr>
        <w:t>According to 2018 IMF estimates, Romania occupies the 4</w:t>
      </w:r>
      <w:r w:rsidRPr="00493276">
        <w:rPr>
          <w:rFonts w:ascii="Arial" w:hAnsi="Arial" w:cs="Arial"/>
          <w:sz w:val="16"/>
          <w:szCs w:val="16"/>
          <w:vertAlign w:val="superscript"/>
          <w:lang w:val="en-US"/>
        </w:rPr>
        <w:t>th</w:t>
      </w:r>
      <w:r w:rsidRPr="008444F9">
        <w:rPr>
          <w:rFonts w:ascii="Arial" w:hAnsi="Arial" w:cs="Arial"/>
          <w:sz w:val="16"/>
          <w:szCs w:val="16"/>
          <w:lang w:val="en-US"/>
        </w:rPr>
        <w:t xml:space="preserve"> position in the EU as far as underreported grey economy is concerned, with an average of 26.3% of the 2016 national GDP</w:t>
      </w:r>
    </w:p>
    <w:p w14:paraId="136E6A08" w14:textId="77777777" w:rsidR="00190BA4" w:rsidRPr="00493276" w:rsidRDefault="00190BA4" w:rsidP="00BD2604">
      <w:pPr>
        <w:pStyle w:val="FootnoteText"/>
        <w:rPr>
          <w:lang w:val="en-US"/>
        </w:rPr>
      </w:pPr>
    </w:p>
  </w:footnote>
  <w:footnote w:id="160">
    <w:p w14:paraId="0DE66696" w14:textId="77777777" w:rsidR="00190BA4" w:rsidRPr="00792049" w:rsidRDefault="00190BA4" w:rsidP="00AE4CCC">
      <w:pPr>
        <w:pStyle w:val="FootnoteText"/>
        <w:ind w:left="142" w:hanging="142"/>
        <w:jc w:val="both"/>
        <w:rPr>
          <w:sz w:val="16"/>
          <w:szCs w:val="16"/>
          <w:lang w:val="en-US"/>
        </w:rPr>
      </w:pPr>
      <w:r w:rsidRPr="00792049">
        <w:rPr>
          <w:rStyle w:val="FootnoteReference"/>
          <w:sz w:val="16"/>
          <w:szCs w:val="16"/>
        </w:rPr>
        <w:footnoteRef/>
      </w:r>
      <w:r w:rsidRPr="00792049">
        <w:rPr>
          <w:sz w:val="16"/>
          <w:szCs w:val="16"/>
        </w:rPr>
        <w:t xml:space="preserve"> Romanian Microcredit Association: Benchmarking the Romanian Microfinance sector 2016-2018 report</w:t>
      </w:r>
    </w:p>
  </w:footnote>
  <w:footnote w:id="161">
    <w:p w14:paraId="5AFA4C60" w14:textId="77777777" w:rsidR="00190BA4" w:rsidRPr="00792049" w:rsidRDefault="00190BA4" w:rsidP="00AE4CCC">
      <w:pPr>
        <w:pStyle w:val="FootnoteText"/>
        <w:ind w:left="142" w:hanging="142"/>
        <w:jc w:val="both"/>
        <w:rPr>
          <w:lang w:val="en-US"/>
        </w:rPr>
      </w:pPr>
      <w:r w:rsidRPr="00792049">
        <w:rPr>
          <w:rStyle w:val="FootnoteReference"/>
          <w:sz w:val="16"/>
          <w:szCs w:val="16"/>
        </w:rPr>
        <w:footnoteRef/>
      </w:r>
      <w:r w:rsidRPr="00792049">
        <w:rPr>
          <w:sz w:val="16"/>
          <w:szCs w:val="16"/>
        </w:rPr>
        <w:t xml:space="preserve"> EaSI WS: “Tradition and innovation in social and economic inclusion; Romanian CUs experience in financing revenue-generating and professional activities” Romanian November 2020</w:t>
      </w:r>
    </w:p>
  </w:footnote>
  <w:footnote w:id="162">
    <w:p w14:paraId="4F50EE71" w14:textId="77777777" w:rsidR="00190BA4" w:rsidRPr="00792049" w:rsidRDefault="00190BA4" w:rsidP="00AE4CCC">
      <w:pPr>
        <w:pStyle w:val="FootnoteText"/>
        <w:ind w:left="142" w:hanging="142"/>
        <w:jc w:val="both"/>
        <w:rPr>
          <w:sz w:val="16"/>
          <w:szCs w:val="16"/>
          <w:lang w:val="en-US"/>
        </w:rPr>
      </w:pPr>
      <w:r w:rsidRPr="00792049">
        <w:rPr>
          <w:rStyle w:val="FootnoteReference"/>
          <w:sz w:val="16"/>
          <w:szCs w:val="16"/>
        </w:rPr>
        <w:footnoteRef/>
      </w:r>
      <w:r w:rsidRPr="00792049">
        <w:rPr>
          <w:sz w:val="16"/>
          <w:szCs w:val="16"/>
        </w:rPr>
        <w:t xml:space="preserve"> EU funded microfinance and SMEs development programs: JASMINE (</w:t>
      </w:r>
      <w:r w:rsidRPr="00792049">
        <w:rPr>
          <w:sz w:val="16"/>
          <w:szCs w:val="16"/>
          <w:highlight w:val="white"/>
        </w:rPr>
        <w:t>Joint Action to Support Microfinance Institutions 2007-2013); EaSI (Employment and</w:t>
      </w:r>
      <w:r w:rsidRPr="00792049">
        <w:rPr>
          <w:sz w:val="16"/>
          <w:szCs w:val="16"/>
        </w:rPr>
        <w:t xml:space="preserve"> Social Innovation 2014-2020) , EFSI ( European Plan for Strategic Investments, </w:t>
      </w:r>
      <w:r w:rsidRPr="00792049">
        <w:rPr>
          <w:sz w:val="16"/>
          <w:szCs w:val="16"/>
          <w:highlight w:val="white"/>
        </w:rPr>
        <w:t>also known as the Juncker Plan, COSME (Competitiveness of Enterprises and SMEs)</w:t>
      </w:r>
    </w:p>
  </w:footnote>
  <w:footnote w:id="163">
    <w:p w14:paraId="7B9AC3D9" w14:textId="10D69934" w:rsidR="00190BA4" w:rsidRPr="00792049" w:rsidRDefault="00190BA4" w:rsidP="00AE4CCC">
      <w:pPr>
        <w:ind w:left="142" w:hanging="142"/>
        <w:jc w:val="both"/>
        <w:rPr>
          <w:rFonts w:ascii="Arial" w:hAnsi="Arial" w:cs="Arial"/>
          <w:sz w:val="16"/>
          <w:szCs w:val="16"/>
        </w:rPr>
      </w:pPr>
      <w:r w:rsidRPr="00792049">
        <w:rPr>
          <w:rStyle w:val="FootnoteReference"/>
          <w:rFonts w:ascii="Arial" w:hAnsi="Arial" w:cs="Arial"/>
          <w:sz w:val="16"/>
          <w:szCs w:val="16"/>
        </w:rPr>
        <w:footnoteRef/>
      </w:r>
      <w:r w:rsidRPr="00792049">
        <w:rPr>
          <w:rFonts w:ascii="Arial" w:hAnsi="Arial" w:cs="Arial"/>
          <w:sz w:val="16"/>
          <w:szCs w:val="16"/>
        </w:rPr>
        <w:t xml:space="preserve"> List of awarded microfinance institutions December 2020 https://ec.europa.eu/social/main.jsp?catId=1482&amp;langId=en</w:t>
      </w:r>
    </w:p>
  </w:footnote>
  <w:footnote w:id="164">
    <w:p w14:paraId="7B584A0C" w14:textId="50E7659A" w:rsidR="00190BA4" w:rsidRPr="008444F9" w:rsidRDefault="00190BA4" w:rsidP="00AE4CCC">
      <w:pPr>
        <w:ind w:left="270" w:hanging="270"/>
        <w:jc w:val="both"/>
        <w:rPr>
          <w:rFonts w:ascii="Arial" w:eastAsia="Times New Roman" w:hAnsi="Arial" w:cs="Arial"/>
          <w:sz w:val="16"/>
          <w:szCs w:val="16"/>
        </w:rPr>
      </w:pPr>
      <w:r w:rsidRPr="008444F9">
        <w:rPr>
          <w:rStyle w:val="FootnoteReference"/>
          <w:rFonts w:ascii="Arial" w:hAnsi="Arial" w:cs="Arial"/>
          <w:sz w:val="16"/>
          <w:szCs w:val="16"/>
        </w:rPr>
        <w:footnoteRef/>
      </w:r>
      <w:r w:rsidRPr="008444F9">
        <w:rPr>
          <w:rFonts w:ascii="Arial" w:hAnsi="Arial" w:cs="Arial"/>
          <w:sz w:val="16"/>
          <w:szCs w:val="16"/>
        </w:rPr>
        <w:t xml:space="preserve"> </w:t>
      </w:r>
      <w:r w:rsidRPr="008444F9">
        <w:rPr>
          <w:rFonts w:ascii="Arial" w:eastAsia="Times New Roman" w:hAnsi="Arial" w:cs="Arial"/>
          <w:b/>
          <w:bCs/>
          <w:color w:val="404040"/>
          <w:sz w:val="16"/>
          <w:szCs w:val="16"/>
          <w:bdr w:val="none" w:sz="0" w:space="0" w:color="auto" w:frame="1"/>
        </w:rPr>
        <w:t>GapMinder</w:t>
      </w:r>
      <w:r w:rsidRPr="008444F9">
        <w:rPr>
          <w:rFonts w:ascii="Arial" w:eastAsia="Times New Roman" w:hAnsi="Arial" w:cs="Arial"/>
          <w:color w:val="404040"/>
          <w:sz w:val="16"/>
          <w:szCs w:val="16"/>
          <w:shd w:val="clear" w:color="auto" w:fill="FFFFFF"/>
        </w:rPr>
        <w:t xml:space="preserve"> is a </w:t>
      </w:r>
      <w:r w:rsidRPr="008444F9">
        <w:rPr>
          <w:rFonts w:ascii="Arial" w:eastAsia="Times New Roman" w:hAnsi="Arial" w:cs="Arial"/>
          <w:b/>
          <w:bCs/>
          <w:color w:val="404040"/>
          <w:sz w:val="16"/>
          <w:szCs w:val="16"/>
          <w:bdr w:val="none" w:sz="0" w:space="0" w:color="auto" w:frame="1"/>
        </w:rPr>
        <w:t>venture capital fund</w:t>
      </w:r>
      <w:r w:rsidRPr="008444F9">
        <w:rPr>
          <w:rStyle w:val="apple-converted-space"/>
          <w:rFonts w:ascii="Arial" w:eastAsia="Times New Roman" w:hAnsi="Arial" w:cs="Arial"/>
          <w:color w:val="404040"/>
          <w:sz w:val="16"/>
          <w:szCs w:val="16"/>
          <w:shd w:val="clear" w:color="auto" w:fill="FFFFFF"/>
        </w:rPr>
        <w:t> </w:t>
      </w:r>
      <w:r w:rsidRPr="008444F9">
        <w:rPr>
          <w:rFonts w:ascii="Arial" w:eastAsia="Times New Roman" w:hAnsi="Arial" w:cs="Arial"/>
          <w:color w:val="404040"/>
          <w:sz w:val="16"/>
          <w:szCs w:val="16"/>
          <w:shd w:val="clear" w:color="auto" w:fill="FFFFFF"/>
        </w:rPr>
        <w:t>targeting innovative</w:t>
      </w:r>
      <w:r w:rsidRPr="008444F9">
        <w:rPr>
          <w:rStyle w:val="apple-converted-space"/>
          <w:rFonts w:ascii="Arial" w:eastAsia="Times New Roman" w:hAnsi="Arial" w:cs="Arial"/>
          <w:color w:val="404040"/>
          <w:sz w:val="16"/>
          <w:szCs w:val="16"/>
          <w:shd w:val="clear" w:color="auto" w:fill="FFFFFF"/>
        </w:rPr>
        <w:t> </w:t>
      </w:r>
      <w:r w:rsidRPr="008444F9">
        <w:rPr>
          <w:rFonts w:ascii="Arial" w:eastAsia="Times New Roman" w:hAnsi="Arial" w:cs="Arial"/>
          <w:b/>
          <w:bCs/>
          <w:color w:val="404040"/>
          <w:sz w:val="16"/>
          <w:szCs w:val="16"/>
          <w:bdr w:val="none" w:sz="0" w:space="0" w:color="auto" w:frame="1"/>
        </w:rPr>
        <w:t>tech start-ups</w:t>
      </w:r>
      <w:r w:rsidRPr="008444F9">
        <w:rPr>
          <w:rStyle w:val="apple-converted-space"/>
          <w:rFonts w:ascii="Arial" w:eastAsia="Times New Roman" w:hAnsi="Arial" w:cs="Arial"/>
          <w:color w:val="404040"/>
          <w:sz w:val="16"/>
          <w:szCs w:val="16"/>
          <w:shd w:val="clear" w:color="auto" w:fill="FFFFFF"/>
        </w:rPr>
        <w:t> </w:t>
      </w:r>
      <w:r w:rsidRPr="008444F9">
        <w:rPr>
          <w:rFonts w:ascii="Arial" w:eastAsia="Times New Roman" w:hAnsi="Arial" w:cs="Arial"/>
          <w:color w:val="404040"/>
          <w:sz w:val="16"/>
          <w:szCs w:val="16"/>
          <w:shd w:val="clear" w:color="auto" w:fill="FFFFFF"/>
        </w:rPr>
        <w:t>in Romania, with an initial budget of € 26 million. It is the first venture capital fund created following the selection made by the European Investment Fund, being mostly financed via Competitiveness Operational Program 2014 – 2020 and co-financed by The European Fund for Regional Development</w:t>
      </w:r>
    </w:p>
    <w:p w14:paraId="051DB60F" w14:textId="77777777" w:rsidR="00190BA4" w:rsidRPr="006D6BC9" w:rsidRDefault="00190BA4" w:rsidP="00BD2604">
      <w:pPr>
        <w:pStyle w:val="FootnoteText"/>
        <w:rPr>
          <w:lang w:val="en-US"/>
        </w:rPr>
      </w:pPr>
    </w:p>
  </w:footnote>
  <w:footnote w:id="165">
    <w:p w14:paraId="1B96BFF2" w14:textId="7B9828A6" w:rsidR="00190BA4" w:rsidRPr="000346A7" w:rsidRDefault="00190BA4" w:rsidP="004E2DCB">
      <w:pPr>
        <w:pStyle w:val="FootnoteText"/>
        <w:ind w:left="284" w:hanging="284"/>
        <w:jc w:val="both"/>
        <w:rPr>
          <w:sz w:val="16"/>
          <w:szCs w:val="16"/>
          <w:lang w:val="en-US"/>
        </w:rPr>
      </w:pPr>
      <w:r w:rsidRPr="000346A7">
        <w:rPr>
          <w:rStyle w:val="FootnoteReference"/>
          <w:sz w:val="16"/>
          <w:szCs w:val="16"/>
        </w:rPr>
        <w:footnoteRef/>
      </w:r>
      <w:r w:rsidRPr="000346A7">
        <w:rPr>
          <w:sz w:val="16"/>
          <w:szCs w:val="16"/>
        </w:rPr>
        <w:t xml:space="preserve"> </w:t>
      </w:r>
      <w:r w:rsidRPr="000346A7">
        <w:rPr>
          <w:sz w:val="16"/>
          <w:szCs w:val="16"/>
          <w:lang w:val="en-US"/>
        </w:rPr>
        <w:t>Cut-off date for collected applications 28 May 2021</w:t>
      </w:r>
    </w:p>
  </w:footnote>
  <w:footnote w:id="166">
    <w:p w14:paraId="04CC6EBC" w14:textId="67AFEBC5" w:rsidR="00190BA4" w:rsidRPr="000346A7" w:rsidRDefault="00190BA4" w:rsidP="004E2DCB">
      <w:pPr>
        <w:pStyle w:val="FootnoteText"/>
        <w:ind w:left="180" w:hanging="180"/>
        <w:jc w:val="both"/>
        <w:rPr>
          <w:sz w:val="16"/>
          <w:szCs w:val="16"/>
          <w:lang w:val="en-US"/>
        </w:rPr>
      </w:pPr>
      <w:r w:rsidRPr="000346A7">
        <w:rPr>
          <w:rStyle w:val="FootnoteReference"/>
          <w:sz w:val="16"/>
          <w:szCs w:val="16"/>
        </w:rPr>
        <w:footnoteRef/>
      </w:r>
      <w:r w:rsidRPr="000346A7">
        <w:rPr>
          <w:sz w:val="16"/>
          <w:szCs w:val="16"/>
        </w:rPr>
        <w:t xml:space="preserve"> </w:t>
      </w:r>
      <w:r w:rsidRPr="00AE04B3">
        <w:rPr>
          <w:sz w:val="16"/>
          <w:szCs w:val="16"/>
          <w:lang w:val="en-US"/>
        </w:rPr>
        <w:t xml:space="preserve">There are two smaller applications of EUR 200 and EUR 250, which are potentially mistaken application (both of the same kind from the same applicant). There are two of </w:t>
      </w:r>
      <w:r w:rsidRPr="00D920E3">
        <w:rPr>
          <w:sz w:val="16"/>
          <w:szCs w:val="16"/>
          <w:lang w:val="en-US"/>
        </w:rPr>
        <w:t>the same kind from the same applicant. Thus, we can say, that minimum requested amount of funds is EUR 5,000.</w:t>
      </w:r>
    </w:p>
  </w:footnote>
  <w:footnote w:id="167">
    <w:p w14:paraId="6EAF140E" w14:textId="77777777" w:rsidR="00190BA4" w:rsidRPr="006D6BC9" w:rsidRDefault="00190BA4" w:rsidP="0012524D">
      <w:pPr>
        <w:pStyle w:val="FootnoteText"/>
        <w:rPr>
          <w:sz w:val="16"/>
          <w:szCs w:val="16"/>
          <w:lang w:val="en-US"/>
        </w:rPr>
      </w:pPr>
      <w:r w:rsidRPr="006D6BC9">
        <w:rPr>
          <w:rStyle w:val="FootnoteReference"/>
          <w:sz w:val="16"/>
          <w:szCs w:val="16"/>
        </w:rPr>
        <w:footnoteRef/>
      </w:r>
      <w:r w:rsidRPr="006D6BC9">
        <w:rPr>
          <w:sz w:val="16"/>
          <w:szCs w:val="16"/>
        </w:rPr>
        <w:t xml:space="preserve"> </w:t>
      </w:r>
      <w:r w:rsidRPr="00211FDD">
        <w:rPr>
          <w:sz w:val="16"/>
          <w:szCs w:val="16"/>
          <w:lang w:val="en-US"/>
        </w:rPr>
        <w:t>https://blogs.worldbank.org/jobs/how-much-does-it-cost-create-job</w:t>
      </w:r>
    </w:p>
  </w:footnote>
  <w:footnote w:id="168">
    <w:p w14:paraId="18228FB0" w14:textId="77777777" w:rsidR="00190BA4" w:rsidRPr="00211FDD" w:rsidRDefault="00190BA4" w:rsidP="00CE713C">
      <w:pPr>
        <w:pStyle w:val="FootnoteText"/>
        <w:rPr>
          <w:sz w:val="16"/>
          <w:szCs w:val="16"/>
          <w:lang w:val="en-US"/>
        </w:rPr>
      </w:pPr>
      <w:r w:rsidRPr="006D6BC9">
        <w:rPr>
          <w:rStyle w:val="FootnoteReference"/>
          <w:sz w:val="16"/>
          <w:szCs w:val="16"/>
        </w:rPr>
        <w:footnoteRef/>
      </w:r>
      <w:r w:rsidRPr="006D6BC9">
        <w:rPr>
          <w:sz w:val="16"/>
          <w:szCs w:val="16"/>
        </w:rPr>
        <w:t xml:space="preserve"> </w:t>
      </w:r>
      <w:r w:rsidRPr="00211FDD">
        <w:rPr>
          <w:sz w:val="16"/>
          <w:szCs w:val="16"/>
          <w:lang w:val="en-US"/>
        </w:rPr>
        <w:t>Retraining of the workers engaged in operating the existing furnace</w:t>
      </w:r>
    </w:p>
  </w:footnote>
  <w:footnote w:id="169">
    <w:p w14:paraId="21573067" w14:textId="0E198054" w:rsidR="00190BA4" w:rsidRPr="006D6BC9" w:rsidRDefault="00190BA4" w:rsidP="00AE4CCC">
      <w:pPr>
        <w:pStyle w:val="FootnoteText"/>
        <w:ind w:left="270" w:hanging="270"/>
        <w:jc w:val="both"/>
        <w:rPr>
          <w:sz w:val="16"/>
          <w:szCs w:val="16"/>
          <w:lang w:val="en-US"/>
        </w:rPr>
      </w:pPr>
      <w:r w:rsidRPr="006D6BC9">
        <w:rPr>
          <w:rStyle w:val="FootnoteReference"/>
          <w:sz w:val="16"/>
          <w:szCs w:val="16"/>
        </w:rPr>
        <w:footnoteRef/>
      </w:r>
      <w:r w:rsidRPr="006D6BC9">
        <w:rPr>
          <w:sz w:val="16"/>
          <w:szCs w:val="16"/>
        </w:rPr>
        <w:t xml:space="preserve"> </w:t>
      </w:r>
      <w:r w:rsidRPr="00211FDD">
        <w:rPr>
          <w:sz w:val="16"/>
          <w:szCs w:val="16"/>
          <w:lang w:val="en-US"/>
        </w:rPr>
        <w:t>The total number of projects by types is higher than the total number of project ideas – 795. Because many project ideas can be classified in several types</w:t>
      </w:r>
    </w:p>
  </w:footnote>
  <w:footnote w:id="170">
    <w:p w14:paraId="61A8CDFF" w14:textId="2AA5BEB4" w:rsidR="00190BA4" w:rsidRPr="006D6BC9" w:rsidRDefault="00190BA4" w:rsidP="00AC0119">
      <w:pPr>
        <w:pStyle w:val="FootnoteText"/>
        <w:ind w:left="270" w:hanging="270"/>
        <w:rPr>
          <w:sz w:val="16"/>
          <w:szCs w:val="16"/>
          <w:lang w:val="en-US"/>
        </w:rPr>
      </w:pPr>
      <w:r w:rsidRPr="006D6BC9">
        <w:rPr>
          <w:rStyle w:val="FootnoteReference"/>
          <w:sz w:val="16"/>
          <w:szCs w:val="16"/>
        </w:rPr>
        <w:footnoteRef/>
      </w:r>
      <w:r w:rsidRPr="006D6BC9">
        <w:rPr>
          <w:sz w:val="16"/>
          <w:szCs w:val="16"/>
        </w:rPr>
        <w:t xml:space="preserve"> </w:t>
      </w:r>
      <w:r w:rsidRPr="0063743F">
        <w:rPr>
          <w:sz w:val="16"/>
          <w:szCs w:val="16"/>
          <w:lang w:val="en-US"/>
        </w:rPr>
        <w:t xml:space="preserve">The definition of SME is based on staff headcount. SME is an enterprise with less than 250 employees. Source: </w:t>
      </w:r>
      <w:hyperlink r:id="rId70" w:history="1">
        <w:r w:rsidRPr="0063743F">
          <w:rPr>
            <w:rStyle w:val="Hyperlink"/>
            <w:sz w:val="16"/>
            <w:szCs w:val="16"/>
            <w:lang w:val="en-US"/>
          </w:rPr>
          <w:t>https://ec.europa.eu/growth/smes/sme-definition_en</w:t>
        </w:r>
      </w:hyperlink>
    </w:p>
  </w:footnote>
  <w:footnote w:id="171">
    <w:p w14:paraId="3C94FBAF" w14:textId="526EF32C" w:rsidR="00190BA4" w:rsidRPr="00493276" w:rsidRDefault="00190BA4">
      <w:pPr>
        <w:pStyle w:val="FootnoteText"/>
        <w:rPr>
          <w:sz w:val="16"/>
          <w:szCs w:val="16"/>
          <w:lang w:val="en-US"/>
        </w:rPr>
      </w:pPr>
      <w:r w:rsidRPr="00493276">
        <w:rPr>
          <w:rStyle w:val="FootnoteReference"/>
          <w:sz w:val="16"/>
          <w:szCs w:val="16"/>
        </w:rPr>
        <w:footnoteRef/>
      </w:r>
      <w:r w:rsidRPr="00493276">
        <w:rPr>
          <w:sz w:val="16"/>
          <w:szCs w:val="16"/>
        </w:rPr>
        <w:t xml:space="preserve"> </w:t>
      </w:r>
      <w:r w:rsidRPr="00423FA3">
        <w:rPr>
          <w:sz w:val="16"/>
          <w:szCs w:val="16"/>
          <w:lang w:val="en-US"/>
        </w:rPr>
        <w:t>The project ideas are focused rather on energy efficiency and renewables than on job creation.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9E735" w14:textId="77777777" w:rsidR="00190BA4" w:rsidRDefault="00190BA4">
    <w:r>
      <w:rPr>
        <w:noProof/>
        <w:lang w:val="en-US" w:eastAsia="en-US"/>
      </w:rPr>
      <w:drawing>
        <wp:anchor distT="0" distB="0" distL="114300" distR="114300" simplePos="0" relativeHeight="251658240" behindDoc="0" locked="0" layoutInCell="1" hidden="0" allowOverlap="1" wp14:anchorId="6EBC8341" wp14:editId="51043FAF">
          <wp:simplePos x="0" y="0"/>
          <wp:positionH relativeFrom="column">
            <wp:posOffset>4000500</wp:posOffset>
          </wp:positionH>
          <wp:positionV relativeFrom="paragraph">
            <wp:posOffset>-236854</wp:posOffset>
          </wp:positionV>
          <wp:extent cx="1816100" cy="547370"/>
          <wp:effectExtent l="0" t="0" r="0" b="0"/>
          <wp:wrapSquare wrapText="bothSides" distT="0" distB="0" distL="114300" distR="114300"/>
          <wp:docPr id="208705560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8BABA" w14:textId="77777777" w:rsidR="00190BA4" w:rsidRDefault="00190BA4">
    <w:r>
      <w:rPr>
        <w:noProof/>
        <w:lang w:val="en-US" w:eastAsia="en-US"/>
      </w:rPr>
      <w:drawing>
        <wp:anchor distT="0" distB="0" distL="114300" distR="114300" simplePos="0" relativeHeight="251779072" behindDoc="0" locked="0" layoutInCell="1" hidden="0" allowOverlap="1" wp14:anchorId="42304650" wp14:editId="454C7049">
          <wp:simplePos x="0" y="0"/>
          <wp:positionH relativeFrom="column">
            <wp:posOffset>7245350</wp:posOffset>
          </wp:positionH>
          <wp:positionV relativeFrom="paragraph">
            <wp:posOffset>-233045</wp:posOffset>
          </wp:positionV>
          <wp:extent cx="1816100" cy="547370"/>
          <wp:effectExtent l="0" t="0" r="0" b="5080"/>
          <wp:wrapSquare wrapText="bothSides" distT="0" distB="0" distL="114300" distR="114300"/>
          <wp:docPr id="208705561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86912" behindDoc="0" locked="0" layoutInCell="1" hidden="0" allowOverlap="1" wp14:anchorId="42304650" wp14:editId="454C7049">
          <wp:simplePos x="0" y="0"/>
          <wp:positionH relativeFrom="column">
            <wp:posOffset>7245350</wp:posOffset>
          </wp:positionH>
          <wp:positionV relativeFrom="paragraph">
            <wp:posOffset>-233045</wp:posOffset>
          </wp:positionV>
          <wp:extent cx="1816100" cy="547370"/>
          <wp:effectExtent l="0" t="0" r="0" b="5080"/>
          <wp:wrapSquare wrapText="bothSides" distT="0" distB="0" distL="114300" distR="114300"/>
          <wp:docPr id="208705580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AA64EA" w14:textId="77777777" w:rsidR="00190BA4" w:rsidRDefault="00190BA4">
    <w:r>
      <w:rPr>
        <w:noProof/>
        <w:lang w:val="en-US" w:eastAsia="en-US"/>
      </w:rPr>
      <w:drawing>
        <wp:anchor distT="0" distB="0" distL="114300" distR="114300" simplePos="0" relativeHeight="251781120" behindDoc="0" locked="0" layoutInCell="1" hidden="0" allowOverlap="1" wp14:anchorId="13EE2EE4" wp14:editId="121ECB43">
          <wp:simplePos x="0" y="0"/>
          <wp:positionH relativeFrom="column">
            <wp:posOffset>4025900</wp:posOffset>
          </wp:positionH>
          <wp:positionV relativeFrom="paragraph">
            <wp:posOffset>-233045</wp:posOffset>
          </wp:positionV>
          <wp:extent cx="1816100" cy="547370"/>
          <wp:effectExtent l="0" t="0" r="0" b="5080"/>
          <wp:wrapSquare wrapText="bothSides" distT="0" distB="0" distL="114300" distR="114300"/>
          <wp:docPr id="208705580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88960" behindDoc="0" locked="0" layoutInCell="1" hidden="0" allowOverlap="1" wp14:anchorId="13EE2EE4" wp14:editId="121ECB43">
          <wp:simplePos x="0" y="0"/>
          <wp:positionH relativeFrom="column">
            <wp:posOffset>4025900</wp:posOffset>
          </wp:positionH>
          <wp:positionV relativeFrom="paragraph">
            <wp:posOffset>-233045</wp:posOffset>
          </wp:positionV>
          <wp:extent cx="1816100" cy="547370"/>
          <wp:effectExtent l="0" t="0" r="0" b="5080"/>
          <wp:wrapSquare wrapText="bothSides" distT="0" distB="0" distL="114300" distR="114300"/>
          <wp:docPr id="20870558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5B9B76" w14:textId="77777777" w:rsidR="00190BA4" w:rsidRDefault="00190BA4">
    <w:r>
      <w:rPr>
        <w:noProof/>
        <w:lang w:val="en-US" w:eastAsia="en-US"/>
      </w:rPr>
      <w:drawing>
        <wp:anchor distT="0" distB="0" distL="114300" distR="114300" simplePos="0" relativeHeight="251783168" behindDoc="0" locked="0" layoutInCell="1" hidden="0" allowOverlap="1" wp14:anchorId="0467EA71" wp14:editId="6F04C93A">
          <wp:simplePos x="0" y="0"/>
          <wp:positionH relativeFrom="column">
            <wp:posOffset>7416800</wp:posOffset>
          </wp:positionH>
          <wp:positionV relativeFrom="paragraph">
            <wp:posOffset>-223520</wp:posOffset>
          </wp:positionV>
          <wp:extent cx="1816100" cy="547370"/>
          <wp:effectExtent l="0" t="0" r="0" b="5080"/>
          <wp:wrapSquare wrapText="bothSides" distT="0" distB="0" distL="114300" distR="114300"/>
          <wp:docPr id="20870558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91008" behindDoc="0" locked="0" layoutInCell="1" hidden="0" allowOverlap="1" wp14:anchorId="0467EA71" wp14:editId="6F04C93A">
          <wp:simplePos x="0" y="0"/>
          <wp:positionH relativeFrom="column">
            <wp:posOffset>7416800</wp:posOffset>
          </wp:positionH>
          <wp:positionV relativeFrom="paragraph">
            <wp:posOffset>-223520</wp:posOffset>
          </wp:positionV>
          <wp:extent cx="1816100" cy="547370"/>
          <wp:effectExtent l="0" t="0" r="0" b="5080"/>
          <wp:wrapSquare wrapText="bothSides" distT="0" distB="0" distL="114300" distR="114300"/>
          <wp:docPr id="208705581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E16DF" w14:textId="77777777" w:rsidR="00190BA4" w:rsidRDefault="00190BA4">
    <w:r>
      <w:rPr>
        <w:noProof/>
        <w:lang w:val="en-US" w:eastAsia="en-US"/>
      </w:rPr>
      <w:drawing>
        <wp:anchor distT="0" distB="0" distL="114300" distR="114300" simplePos="0" relativeHeight="251785216" behindDoc="0" locked="0" layoutInCell="1" hidden="0" allowOverlap="1" wp14:anchorId="38E051C3" wp14:editId="19404C66">
          <wp:simplePos x="0" y="0"/>
          <wp:positionH relativeFrom="column">
            <wp:posOffset>4083050</wp:posOffset>
          </wp:positionH>
          <wp:positionV relativeFrom="paragraph">
            <wp:posOffset>-223520</wp:posOffset>
          </wp:positionV>
          <wp:extent cx="1816100" cy="547370"/>
          <wp:effectExtent l="0" t="0" r="0" b="5080"/>
          <wp:wrapSquare wrapText="bothSides" distT="0" distB="0" distL="114300" distR="114300"/>
          <wp:docPr id="20870558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93056" behindDoc="0" locked="0" layoutInCell="1" hidden="0" allowOverlap="1" wp14:anchorId="38E051C3" wp14:editId="19404C66">
          <wp:simplePos x="0" y="0"/>
          <wp:positionH relativeFrom="column">
            <wp:posOffset>4083050</wp:posOffset>
          </wp:positionH>
          <wp:positionV relativeFrom="paragraph">
            <wp:posOffset>-223520</wp:posOffset>
          </wp:positionV>
          <wp:extent cx="1816100" cy="547370"/>
          <wp:effectExtent l="0" t="0" r="0" b="5080"/>
          <wp:wrapSquare wrapText="bothSides" distT="0" distB="0" distL="114300" distR="114300"/>
          <wp:docPr id="20870558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0DB2F5" w14:textId="77777777" w:rsidR="00190BA4" w:rsidRDefault="00190BA4">
    <w:r>
      <w:rPr>
        <w:noProof/>
        <w:lang w:val="en-US" w:eastAsia="en-US"/>
      </w:rPr>
      <w:drawing>
        <wp:anchor distT="0" distB="0" distL="114300" distR="114300" simplePos="0" relativeHeight="251787264" behindDoc="0" locked="0" layoutInCell="1" hidden="0" allowOverlap="1" wp14:anchorId="4F97446F" wp14:editId="4C82DD55">
          <wp:simplePos x="0" y="0"/>
          <wp:positionH relativeFrom="column">
            <wp:posOffset>7445375</wp:posOffset>
          </wp:positionH>
          <wp:positionV relativeFrom="paragraph">
            <wp:posOffset>-223520</wp:posOffset>
          </wp:positionV>
          <wp:extent cx="1816100" cy="547370"/>
          <wp:effectExtent l="0" t="0" r="0" b="5080"/>
          <wp:wrapSquare wrapText="bothSides" distT="0" distB="0" distL="114300" distR="114300"/>
          <wp:docPr id="208705581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95104" behindDoc="0" locked="0" layoutInCell="1" hidden="0" allowOverlap="1" wp14:anchorId="4F97446F" wp14:editId="4C82DD55">
          <wp:simplePos x="0" y="0"/>
          <wp:positionH relativeFrom="column">
            <wp:posOffset>7445375</wp:posOffset>
          </wp:positionH>
          <wp:positionV relativeFrom="paragraph">
            <wp:posOffset>-223520</wp:posOffset>
          </wp:positionV>
          <wp:extent cx="1816100" cy="547370"/>
          <wp:effectExtent l="0" t="0" r="0" b="5080"/>
          <wp:wrapSquare wrapText="bothSides" distT="0" distB="0" distL="114300" distR="114300"/>
          <wp:docPr id="208705581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D05FF" w14:textId="77777777" w:rsidR="00190BA4" w:rsidRDefault="00190BA4">
    <w:r>
      <w:rPr>
        <w:noProof/>
        <w:lang w:val="en-US" w:eastAsia="en-US"/>
      </w:rPr>
      <w:drawing>
        <wp:anchor distT="0" distB="0" distL="114300" distR="114300" simplePos="0" relativeHeight="251789312" behindDoc="0" locked="0" layoutInCell="1" hidden="0" allowOverlap="1" wp14:anchorId="65EBE42C" wp14:editId="1D85E2C9">
          <wp:simplePos x="0" y="0"/>
          <wp:positionH relativeFrom="column">
            <wp:posOffset>4197350</wp:posOffset>
          </wp:positionH>
          <wp:positionV relativeFrom="paragraph">
            <wp:posOffset>-223520</wp:posOffset>
          </wp:positionV>
          <wp:extent cx="1816100" cy="547370"/>
          <wp:effectExtent l="0" t="0" r="0" b="5080"/>
          <wp:wrapSquare wrapText="bothSides" distT="0" distB="0" distL="114300" distR="114300"/>
          <wp:docPr id="20870558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97152" behindDoc="0" locked="0" layoutInCell="1" hidden="0" allowOverlap="1" wp14:anchorId="65EBE42C" wp14:editId="1D85E2C9">
          <wp:simplePos x="0" y="0"/>
          <wp:positionH relativeFrom="column">
            <wp:posOffset>4197350</wp:posOffset>
          </wp:positionH>
          <wp:positionV relativeFrom="paragraph">
            <wp:posOffset>-223520</wp:posOffset>
          </wp:positionV>
          <wp:extent cx="1816100" cy="547370"/>
          <wp:effectExtent l="0" t="0" r="0" b="5080"/>
          <wp:wrapSquare wrapText="bothSides" distT="0" distB="0" distL="114300" distR="114300"/>
          <wp:docPr id="20870558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2C87B5" w14:textId="3539AD17" w:rsidR="00190BA4" w:rsidRDefault="00190BA4">
    <w:r>
      <w:rPr>
        <w:noProof/>
        <w:lang w:val="en-US" w:eastAsia="en-US"/>
      </w:rPr>
      <w:drawing>
        <wp:anchor distT="0" distB="0" distL="114300" distR="114300" simplePos="0" relativeHeight="251791360" behindDoc="0" locked="0" layoutInCell="1" hidden="0" allowOverlap="1" wp14:anchorId="7C5EF7ED" wp14:editId="7633E27D">
          <wp:simplePos x="0" y="0"/>
          <wp:positionH relativeFrom="column">
            <wp:posOffset>7245350</wp:posOffset>
          </wp:positionH>
          <wp:positionV relativeFrom="paragraph">
            <wp:posOffset>-175895</wp:posOffset>
          </wp:positionV>
          <wp:extent cx="1816100" cy="547370"/>
          <wp:effectExtent l="0" t="0" r="0" b="5080"/>
          <wp:wrapSquare wrapText="bothSides" distT="0" distB="0" distL="114300" distR="114300"/>
          <wp:docPr id="20870558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99200" behindDoc="0" locked="0" layoutInCell="1" hidden="0" allowOverlap="1" wp14:anchorId="7C5EF7ED" wp14:editId="7633E27D">
          <wp:simplePos x="0" y="0"/>
          <wp:positionH relativeFrom="column">
            <wp:posOffset>7245350</wp:posOffset>
          </wp:positionH>
          <wp:positionV relativeFrom="paragraph">
            <wp:posOffset>-175895</wp:posOffset>
          </wp:positionV>
          <wp:extent cx="1816100" cy="547370"/>
          <wp:effectExtent l="0" t="0" r="0" b="5080"/>
          <wp:wrapSquare wrapText="bothSides" distT="0" distB="0" distL="114300" distR="114300"/>
          <wp:docPr id="20870558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EB9105" w14:textId="77777777" w:rsidR="00190BA4" w:rsidRDefault="00190BA4">
    <w:r>
      <w:rPr>
        <w:noProof/>
        <w:lang w:val="en-US" w:eastAsia="en-US"/>
      </w:rPr>
      <w:drawing>
        <wp:anchor distT="0" distB="0" distL="114300" distR="114300" simplePos="0" relativeHeight="251793408" behindDoc="0" locked="0" layoutInCell="1" hidden="0" allowOverlap="1" wp14:anchorId="56273AF7" wp14:editId="0328DC62">
          <wp:simplePos x="0" y="0"/>
          <wp:positionH relativeFrom="column">
            <wp:posOffset>3987800</wp:posOffset>
          </wp:positionH>
          <wp:positionV relativeFrom="paragraph">
            <wp:posOffset>-175895</wp:posOffset>
          </wp:positionV>
          <wp:extent cx="1816100" cy="547370"/>
          <wp:effectExtent l="0" t="0" r="0" b="5080"/>
          <wp:wrapSquare wrapText="bothSides" distT="0" distB="0" distL="114300" distR="114300"/>
          <wp:docPr id="20870558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01248" behindDoc="0" locked="0" layoutInCell="1" hidden="0" allowOverlap="1" wp14:anchorId="56273AF7" wp14:editId="0328DC62">
          <wp:simplePos x="0" y="0"/>
          <wp:positionH relativeFrom="column">
            <wp:posOffset>3987800</wp:posOffset>
          </wp:positionH>
          <wp:positionV relativeFrom="paragraph">
            <wp:posOffset>-175895</wp:posOffset>
          </wp:positionV>
          <wp:extent cx="1816100" cy="547370"/>
          <wp:effectExtent l="0" t="0" r="0" b="5080"/>
          <wp:wrapSquare wrapText="bothSides" distT="0" distB="0" distL="114300" distR="114300"/>
          <wp:docPr id="20870558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06FC72" w14:textId="77777777" w:rsidR="00190BA4" w:rsidRDefault="00190BA4">
    <w:r>
      <w:rPr>
        <w:noProof/>
        <w:lang w:val="en-US" w:eastAsia="en-US"/>
      </w:rPr>
      <w:drawing>
        <wp:anchor distT="0" distB="0" distL="114300" distR="114300" simplePos="0" relativeHeight="251795456" behindDoc="0" locked="0" layoutInCell="1" hidden="0" allowOverlap="1" wp14:anchorId="280F98A0" wp14:editId="5F70D911">
          <wp:simplePos x="0" y="0"/>
          <wp:positionH relativeFrom="column">
            <wp:posOffset>7292975</wp:posOffset>
          </wp:positionH>
          <wp:positionV relativeFrom="paragraph">
            <wp:posOffset>-128270</wp:posOffset>
          </wp:positionV>
          <wp:extent cx="1816100" cy="547370"/>
          <wp:effectExtent l="0" t="0" r="0" b="5080"/>
          <wp:wrapSquare wrapText="bothSides" distT="0" distB="0" distL="114300" distR="114300"/>
          <wp:docPr id="20870558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03296" behindDoc="0" locked="0" layoutInCell="1" hidden="0" allowOverlap="1" wp14:anchorId="280F98A0" wp14:editId="5F70D911">
          <wp:simplePos x="0" y="0"/>
          <wp:positionH relativeFrom="column">
            <wp:posOffset>7292975</wp:posOffset>
          </wp:positionH>
          <wp:positionV relativeFrom="paragraph">
            <wp:posOffset>-128270</wp:posOffset>
          </wp:positionV>
          <wp:extent cx="1816100" cy="547370"/>
          <wp:effectExtent l="0" t="0" r="0" b="5080"/>
          <wp:wrapSquare wrapText="bothSides" distT="0" distB="0" distL="114300" distR="114300"/>
          <wp:docPr id="208705582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EFEF29" w14:textId="77777777" w:rsidR="00190BA4" w:rsidRDefault="00190BA4">
    <w:r>
      <w:rPr>
        <w:noProof/>
        <w:lang w:val="en-US" w:eastAsia="en-US"/>
      </w:rPr>
      <w:drawing>
        <wp:anchor distT="0" distB="0" distL="114300" distR="114300" simplePos="0" relativeHeight="251797504" behindDoc="0" locked="0" layoutInCell="1" hidden="0" allowOverlap="1" wp14:anchorId="57B6E6F0" wp14:editId="58761DDC">
          <wp:simplePos x="0" y="0"/>
          <wp:positionH relativeFrom="column">
            <wp:posOffset>4025900</wp:posOffset>
          </wp:positionH>
          <wp:positionV relativeFrom="paragraph">
            <wp:posOffset>-213995</wp:posOffset>
          </wp:positionV>
          <wp:extent cx="1816100" cy="547370"/>
          <wp:effectExtent l="0" t="0" r="0" b="5080"/>
          <wp:wrapSquare wrapText="bothSides" distT="0" distB="0" distL="114300" distR="114300"/>
          <wp:docPr id="208705582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05344" behindDoc="0" locked="0" layoutInCell="1" hidden="0" allowOverlap="1" wp14:anchorId="57B6E6F0" wp14:editId="58761DDC">
          <wp:simplePos x="0" y="0"/>
          <wp:positionH relativeFrom="column">
            <wp:posOffset>4025900</wp:posOffset>
          </wp:positionH>
          <wp:positionV relativeFrom="paragraph">
            <wp:posOffset>-213995</wp:posOffset>
          </wp:positionV>
          <wp:extent cx="1816100" cy="547370"/>
          <wp:effectExtent l="0" t="0" r="0" b="5080"/>
          <wp:wrapSquare wrapText="bothSides" distT="0" distB="0" distL="114300" distR="114300"/>
          <wp:docPr id="208705582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AA8430" w14:textId="77777777" w:rsidR="00190BA4" w:rsidRDefault="00190BA4">
    <w:pPr>
      <w:pBdr>
        <w:top w:val="nil"/>
        <w:left w:val="nil"/>
        <w:bottom w:val="nil"/>
        <w:right w:val="nil"/>
        <w:between w:val="nil"/>
      </w:pBdr>
      <w:tabs>
        <w:tab w:val="center" w:pos="4680"/>
        <w:tab w:val="right" w:pos="9360"/>
      </w:tabs>
      <w:rPr>
        <w:color w:val="000000"/>
      </w:rPr>
    </w:pPr>
    <w:r>
      <w:rPr>
        <w:noProof/>
        <w:lang w:val="en-US" w:eastAsia="en-US"/>
      </w:rPr>
      <w:drawing>
        <wp:anchor distT="0" distB="0" distL="114300" distR="114300" simplePos="0" relativeHeight="251760640" behindDoc="0" locked="0" layoutInCell="1" hidden="0" allowOverlap="1" wp14:anchorId="2B0C0C25" wp14:editId="083AACAE">
          <wp:simplePos x="0" y="0"/>
          <wp:positionH relativeFrom="column">
            <wp:posOffset>4502150</wp:posOffset>
          </wp:positionH>
          <wp:positionV relativeFrom="paragraph">
            <wp:posOffset>-234949</wp:posOffset>
          </wp:positionV>
          <wp:extent cx="1816100" cy="547370"/>
          <wp:effectExtent l="0" t="0" r="0" b="0"/>
          <wp:wrapSquare wrapText="bothSides" distT="0" distB="0" distL="114300" distR="114300"/>
          <wp:docPr id="20870558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59264" behindDoc="0" locked="0" layoutInCell="1" hidden="0" allowOverlap="1" wp14:anchorId="2B0C0C25" wp14:editId="083AACAE">
          <wp:simplePos x="0" y="0"/>
          <wp:positionH relativeFrom="column">
            <wp:posOffset>4502150</wp:posOffset>
          </wp:positionH>
          <wp:positionV relativeFrom="paragraph">
            <wp:posOffset>-234949</wp:posOffset>
          </wp:positionV>
          <wp:extent cx="1816100" cy="547370"/>
          <wp:effectExtent l="0" t="0" r="0" b="0"/>
          <wp:wrapSquare wrapText="bothSides" distT="0" distB="0" distL="114300" distR="114300"/>
          <wp:docPr id="208705560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0E770" w14:textId="77777777" w:rsidR="00190BA4" w:rsidRDefault="00190BA4">
    <w:r>
      <w:rPr>
        <w:noProof/>
        <w:lang w:val="en-US" w:eastAsia="en-US"/>
      </w:rPr>
      <w:drawing>
        <wp:anchor distT="0" distB="0" distL="114300" distR="114300" simplePos="0" relativeHeight="251799552" behindDoc="0" locked="0" layoutInCell="1" hidden="0" allowOverlap="1" wp14:anchorId="11FB9339" wp14:editId="7B9AB5B8">
          <wp:simplePos x="0" y="0"/>
          <wp:positionH relativeFrom="column">
            <wp:posOffset>7350125</wp:posOffset>
          </wp:positionH>
          <wp:positionV relativeFrom="paragraph">
            <wp:posOffset>-213995</wp:posOffset>
          </wp:positionV>
          <wp:extent cx="1816100" cy="547370"/>
          <wp:effectExtent l="0" t="0" r="0" b="5080"/>
          <wp:wrapSquare wrapText="bothSides" distT="0" distB="0" distL="114300" distR="114300"/>
          <wp:docPr id="208705582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07392" behindDoc="0" locked="0" layoutInCell="1" hidden="0" allowOverlap="1" wp14:anchorId="11FB9339" wp14:editId="7B9AB5B8">
          <wp:simplePos x="0" y="0"/>
          <wp:positionH relativeFrom="column">
            <wp:posOffset>7350125</wp:posOffset>
          </wp:positionH>
          <wp:positionV relativeFrom="paragraph">
            <wp:posOffset>-213995</wp:posOffset>
          </wp:positionV>
          <wp:extent cx="1816100" cy="547370"/>
          <wp:effectExtent l="0" t="0" r="0" b="5080"/>
          <wp:wrapSquare wrapText="bothSides" distT="0" distB="0" distL="114300" distR="114300"/>
          <wp:docPr id="208705582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D3F774" w14:textId="77777777" w:rsidR="00190BA4" w:rsidRDefault="00190BA4">
    <w:r>
      <w:rPr>
        <w:noProof/>
        <w:lang w:val="en-US" w:eastAsia="en-US"/>
      </w:rPr>
      <w:drawing>
        <wp:anchor distT="0" distB="0" distL="114300" distR="114300" simplePos="0" relativeHeight="251801600" behindDoc="0" locked="0" layoutInCell="1" hidden="0" allowOverlap="1" wp14:anchorId="05C91062" wp14:editId="76939C2F">
          <wp:simplePos x="0" y="0"/>
          <wp:positionH relativeFrom="column">
            <wp:posOffset>4054475</wp:posOffset>
          </wp:positionH>
          <wp:positionV relativeFrom="paragraph">
            <wp:posOffset>-213995</wp:posOffset>
          </wp:positionV>
          <wp:extent cx="1816100" cy="547370"/>
          <wp:effectExtent l="0" t="0" r="0" b="5080"/>
          <wp:wrapSquare wrapText="bothSides" distT="0" distB="0" distL="114300" distR="114300"/>
          <wp:docPr id="208705582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09440" behindDoc="0" locked="0" layoutInCell="1" hidden="0" allowOverlap="1" wp14:anchorId="05C91062" wp14:editId="76939C2F">
          <wp:simplePos x="0" y="0"/>
          <wp:positionH relativeFrom="column">
            <wp:posOffset>4054475</wp:posOffset>
          </wp:positionH>
          <wp:positionV relativeFrom="paragraph">
            <wp:posOffset>-213995</wp:posOffset>
          </wp:positionV>
          <wp:extent cx="1816100" cy="547370"/>
          <wp:effectExtent l="0" t="0" r="0" b="5080"/>
          <wp:wrapSquare wrapText="bothSides" distT="0" distB="0" distL="114300" distR="114300"/>
          <wp:docPr id="208705583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ECB502" w14:textId="77777777" w:rsidR="00190BA4" w:rsidRDefault="00190BA4">
    <w:r>
      <w:rPr>
        <w:noProof/>
        <w:lang w:val="en-US" w:eastAsia="en-US"/>
      </w:rPr>
      <w:drawing>
        <wp:anchor distT="0" distB="0" distL="114300" distR="114300" simplePos="0" relativeHeight="251803648" behindDoc="0" locked="0" layoutInCell="1" hidden="0" allowOverlap="1" wp14:anchorId="64E8CCF7" wp14:editId="2E245BED">
          <wp:simplePos x="0" y="0"/>
          <wp:positionH relativeFrom="column">
            <wp:posOffset>7635875</wp:posOffset>
          </wp:positionH>
          <wp:positionV relativeFrom="paragraph">
            <wp:posOffset>-213995</wp:posOffset>
          </wp:positionV>
          <wp:extent cx="1816100" cy="547370"/>
          <wp:effectExtent l="0" t="0" r="0" b="5080"/>
          <wp:wrapSquare wrapText="bothSides" distT="0" distB="0" distL="114300" distR="114300"/>
          <wp:docPr id="208705583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11488" behindDoc="0" locked="0" layoutInCell="1" hidden="0" allowOverlap="1" wp14:anchorId="64E8CCF7" wp14:editId="2E245BED">
          <wp:simplePos x="0" y="0"/>
          <wp:positionH relativeFrom="column">
            <wp:posOffset>7635875</wp:posOffset>
          </wp:positionH>
          <wp:positionV relativeFrom="paragraph">
            <wp:posOffset>-213995</wp:posOffset>
          </wp:positionV>
          <wp:extent cx="1816100" cy="547370"/>
          <wp:effectExtent l="0" t="0" r="0" b="5080"/>
          <wp:wrapSquare wrapText="bothSides" distT="0" distB="0" distL="114300" distR="114300"/>
          <wp:docPr id="208705583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09F71A" w14:textId="77777777" w:rsidR="00190BA4" w:rsidRDefault="00190BA4">
    <w:r>
      <w:rPr>
        <w:noProof/>
        <w:lang w:val="en-US" w:eastAsia="en-US"/>
      </w:rPr>
      <w:drawing>
        <wp:anchor distT="0" distB="0" distL="114300" distR="114300" simplePos="0" relativeHeight="251805696" behindDoc="0" locked="0" layoutInCell="1" hidden="0" allowOverlap="1" wp14:anchorId="57597497" wp14:editId="5344FB26">
          <wp:simplePos x="0" y="0"/>
          <wp:positionH relativeFrom="column">
            <wp:posOffset>4178300</wp:posOffset>
          </wp:positionH>
          <wp:positionV relativeFrom="paragraph">
            <wp:posOffset>-213995</wp:posOffset>
          </wp:positionV>
          <wp:extent cx="1816100" cy="547370"/>
          <wp:effectExtent l="0" t="0" r="0" b="5080"/>
          <wp:wrapSquare wrapText="bothSides" distT="0" distB="0" distL="114300" distR="114300"/>
          <wp:docPr id="208705583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13536" behindDoc="0" locked="0" layoutInCell="1" hidden="0" allowOverlap="1" wp14:anchorId="57597497" wp14:editId="5344FB26">
          <wp:simplePos x="0" y="0"/>
          <wp:positionH relativeFrom="column">
            <wp:posOffset>4178300</wp:posOffset>
          </wp:positionH>
          <wp:positionV relativeFrom="paragraph">
            <wp:posOffset>-213995</wp:posOffset>
          </wp:positionV>
          <wp:extent cx="1816100" cy="547370"/>
          <wp:effectExtent l="0" t="0" r="0" b="5080"/>
          <wp:wrapSquare wrapText="bothSides" distT="0" distB="0" distL="114300" distR="114300"/>
          <wp:docPr id="208705583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437EE" w14:textId="77777777" w:rsidR="00190BA4" w:rsidRDefault="00190BA4">
    <w:r>
      <w:rPr>
        <w:noProof/>
        <w:lang w:val="en-US" w:eastAsia="en-US"/>
      </w:rPr>
      <w:drawing>
        <wp:anchor distT="0" distB="0" distL="114300" distR="114300" simplePos="0" relativeHeight="251807744" behindDoc="0" locked="0" layoutInCell="1" hidden="0" allowOverlap="1" wp14:anchorId="0E127138" wp14:editId="579D236A">
          <wp:simplePos x="0" y="0"/>
          <wp:positionH relativeFrom="column">
            <wp:posOffset>7188200</wp:posOffset>
          </wp:positionH>
          <wp:positionV relativeFrom="paragraph">
            <wp:posOffset>-213995</wp:posOffset>
          </wp:positionV>
          <wp:extent cx="1816100" cy="547370"/>
          <wp:effectExtent l="0" t="0" r="0" b="5080"/>
          <wp:wrapSquare wrapText="bothSides" distT="0" distB="0" distL="114300" distR="114300"/>
          <wp:docPr id="20870558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15584" behindDoc="0" locked="0" layoutInCell="1" hidden="0" allowOverlap="1" wp14:anchorId="0E127138" wp14:editId="579D236A">
          <wp:simplePos x="0" y="0"/>
          <wp:positionH relativeFrom="column">
            <wp:posOffset>7188200</wp:posOffset>
          </wp:positionH>
          <wp:positionV relativeFrom="paragraph">
            <wp:posOffset>-213995</wp:posOffset>
          </wp:positionV>
          <wp:extent cx="1816100" cy="547370"/>
          <wp:effectExtent l="0" t="0" r="0" b="5080"/>
          <wp:wrapSquare wrapText="bothSides" distT="0" distB="0" distL="114300" distR="114300"/>
          <wp:docPr id="208705584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F77F7D" w14:textId="77777777" w:rsidR="00190BA4" w:rsidRDefault="00190BA4">
    <w:r>
      <w:rPr>
        <w:noProof/>
        <w:lang w:val="en-US" w:eastAsia="en-US"/>
      </w:rPr>
      <w:drawing>
        <wp:anchor distT="0" distB="0" distL="114300" distR="114300" simplePos="0" relativeHeight="251809792" behindDoc="0" locked="0" layoutInCell="1" hidden="0" allowOverlap="1" wp14:anchorId="6BE28C30" wp14:editId="356458EC">
          <wp:simplePos x="0" y="0"/>
          <wp:positionH relativeFrom="column">
            <wp:posOffset>7435850</wp:posOffset>
          </wp:positionH>
          <wp:positionV relativeFrom="paragraph">
            <wp:posOffset>-213995</wp:posOffset>
          </wp:positionV>
          <wp:extent cx="1816100" cy="547370"/>
          <wp:effectExtent l="0" t="0" r="0" b="5080"/>
          <wp:wrapSquare wrapText="bothSides" distT="0" distB="0" distL="114300" distR="114300"/>
          <wp:docPr id="208705587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17632" behindDoc="0" locked="0" layoutInCell="1" hidden="0" allowOverlap="1" wp14:anchorId="6BE28C30" wp14:editId="356458EC">
          <wp:simplePos x="0" y="0"/>
          <wp:positionH relativeFrom="column">
            <wp:posOffset>7435850</wp:posOffset>
          </wp:positionH>
          <wp:positionV relativeFrom="paragraph">
            <wp:posOffset>-213995</wp:posOffset>
          </wp:positionV>
          <wp:extent cx="1816100" cy="547370"/>
          <wp:effectExtent l="0" t="0" r="0" b="5080"/>
          <wp:wrapSquare wrapText="bothSides" distT="0" distB="0" distL="114300" distR="114300"/>
          <wp:docPr id="208705587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F8523" w14:textId="77777777" w:rsidR="00190BA4" w:rsidRDefault="00190BA4">
    <w:r>
      <w:rPr>
        <w:noProof/>
        <w:lang w:val="en-US" w:eastAsia="en-US"/>
      </w:rPr>
      <w:drawing>
        <wp:anchor distT="0" distB="0" distL="114300" distR="114300" simplePos="0" relativeHeight="251811840" behindDoc="0" locked="0" layoutInCell="1" hidden="0" allowOverlap="1" wp14:anchorId="65D3552C" wp14:editId="06FD48BE">
          <wp:simplePos x="0" y="0"/>
          <wp:positionH relativeFrom="column">
            <wp:posOffset>4178300</wp:posOffset>
          </wp:positionH>
          <wp:positionV relativeFrom="paragraph">
            <wp:posOffset>-213995</wp:posOffset>
          </wp:positionV>
          <wp:extent cx="1816100" cy="547370"/>
          <wp:effectExtent l="0" t="0" r="0" b="5080"/>
          <wp:wrapSquare wrapText="bothSides" distT="0" distB="0" distL="114300" distR="114300"/>
          <wp:docPr id="208705587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19680" behindDoc="0" locked="0" layoutInCell="1" hidden="0" allowOverlap="1" wp14:anchorId="65D3552C" wp14:editId="06FD48BE">
          <wp:simplePos x="0" y="0"/>
          <wp:positionH relativeFrom="column">
            <wp:posOffset>4178300</wp:posOffset>
          </wp:positionH>
          <wp:positionV relativeFrom="paragraph">
            <wp:posOffset>-213995</wp:posOffset>
          </wp:positionV>
          <wp:extent cx="1816100" cy="547370"/>
          <wp:effectExtent l="0" t="0" r="0" b="5080"/>
          <wp:wrapSquare wrapText="bothSides" distT="0" distB="0" distL="114300" distR="114300"/>
          <wp:docPr id="208705587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6C9EF4" w14:textId="77777777" w:rsidR="00190BA4" w:rsidRDefault="00190BA4">
    <w:r>
      <w:rPr>
        <w:noProof/>
        <w:lang w:val="en-US" w:eastAsia="en-US"/>
      </w:rPr>
      <w:drawing>
        <wp:anchor distT="0" distB="0" distL="114300" distR="114300" simplePos="0" relativeHeight="251813888" behindDoc="0" locked="0" layoutInCell="1" hidden="0" allowOverlap="1" wp14:anchorId="111AEA09" wp14:editId="211317B9">
          <wp:simplePos x="0" y="0"/>
          <wp:positionH relativeFrom="column">
            <wp:posOffset>7626350</wp:posOffset>
          </wp:positionH>
          <wp:positionV relativeFrom="paragraph">
            <wp:posOffset>-213995</wp:posOffset>
          </wp:positionV>
          <wp:extent cx="1816100" cy="547370"/>
          <wp:effectExtent l="0" t="0" r="0" b="5080"/>
          <wp:wrapSquare wrapText="bothSides" distT="0" distB="0" distL="114300" distR="114300"/>
          <wp:docPr id="208705587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21728" behindDoc="0" locked="0" layoutInCell="1" hidden="0" allowOverlap="1" wp14:anchorId="111AEA09" wp14:editId="211317B9">
          <wp:simplePos x="0" y="0"/>
          <wp:positionH relativeFrom="column">
            <wp:posOffset>7626350</wp:posOffset>
          </wp:positionH>
          <wp:positionV relativeFrom="paragraph">
            <wp:posOffset>-213995</wp:posOffset>
          </wp:positionV>
          <wp:extent cx="1816100" cy="547370"/>
          <wp:effectExtent l="0" t="0" r="0" b="5080"/>
          <wp:wrapSquare wrapText="bothSides" distT="0" distB="0" distL="114300" distR="114300"/>
          <wp:docPr id="208705588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13349" w14:textId="77777777" w:rsidR="00190BA4" w:rsidRDefault="00190BA4">
    <w:r>
      <w:rPr>
        <w:noProof/>
        <w:lang w:val="en-US" w:eastAsia="en-US"/>
      </w:rPr>
      <w:drawing>
        <wp:anchor distT="0" distB="0" distL="114300" distR="114300" simplePos="0" relativeHeight="251815936" behindDoc="0" locked="0" layoutInCell="1" hidden="0" allowOverlap="1" wp14:anchorId="54591D0F" wp14:editId="5D75BCC2">
          <wp:simplePos x="0" y="0"/>
          <wp:positionH relativeFrom="column">
            <wp:posOffset>4121150</wp:posOffset>
          </wp:positionH>
          <wp:positionV relativeFrom="paragraph">
            <wp:posOffset>-213995</wp:posOffset>
          </wp:positionV>
          <wp:extent cx="1816100" cy="547370"/>
          <wp:effectExtent l="0" t="0" r="0" b="5080"/>
          <wp:wrapSquare wrapText="bothSides" distT="0" distB="0" distL="114300" distR="114300"/>
          <wp:docPr id="20870558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23776" behindDoc="0" locked="0" layoutInCell="1" hidden="0" allowOverlap="1" wp14:anchorId="54591D0F" wp14:editId="5D75BCC2">
          <wp:simplePos x="0" y="0"/>
          <wp:positionH relativeFrom="column">
            <wp:posOffset>4121150</wp:posOffset>
          </wp:positionH>
          <wp:positionV relativeFrom="paragraph">
            <wp:posOffset>-213995</wp:posOffset>
          </wp:positionV>
          <wp:extent cx="1816100" cy="547370"/>
          <wp:effectExtent l="0" t="0" r="0" b="5080"/>
          <wp:wrapSquare wrapText="bothSides" distT="0" distB="0" distL="114300" distR="114300"/>
          <wp:docPr id="208705588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075AB3" w14:textId="77777777" w:rsidR="00190BA4" w:rsidRDefault="00190BA4">
    <w:r>
      <w:rPr>
        <w:noProof/>
        <w:lang w:val="en-US" w:eastAsia="en-US"/>
      </w:rPr>
      <w:drawing>
        <wp:anchor distT="0" distB="0" distL="114300" distR="114300" simplePos="0" relativeHeight="251817984" behindDoc="0" locked="0" layoutInCell="1" hidden="0" allowOverlap="1" wp14:anchorId="0B2F543B" wp14:editId="7C60C8CE">
          <wp:simplePos x="0" y="0"/>
          <wp:positionH relativeFrom="column">
            <wp:posOffset>7292975</wp:posOffset>
          </wp:positionH>
          <wp:positionV relativeFrom="paragraph">
            <wp:posOffset>-213995</wp:posOffset>
          </wp:positionV>
          <wp:extent cx="1816100" cy="547370"/>
          <wp:effectExtent l="0" t="0" r="0" b="5080"/>
          <wp:wrapSquare wrapText="bothSides" distT="0" distB="0" distL="114300" distR="114300"/>
          <wp:docPr id="208705588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25824" behindDoc="0" locked="0" layoutInCell="1" hidden="0" allowOverlap="1" wp14:anchorId="0B2F543B" wp14:editId="7C60C8CE">
          <wp:simplePos x="0" y="0"/>
          <wp:positionH relativeFrom="column">
            <wp:posOffset>7292975</wp:posOffset>
          </wp:positionH>
          <wp:positionV relativeFrom="paragraph">
            <wp:posOffset>-213995</wp:posOffset>
          </wp:positionV>
          <wp:extent cx="1816100" cy="547370"/>
          <wp:effectExtent l="0" t="0" r="0" b="5080"/>
          <wp:wrapSquare wrapText="bothSides" distT="0" distB="0" distL="114300" distR="114300"/>
          <wp:docPr id="208705588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C5C1D1" w14:textId="77777777" w:rsidR="00190BA4" w:rsidRDefault="00190BA4">
    <w:r>
      <w:rPr>
        <w:noProof/>
        <w:lang w:val="en-US" w:eastAsia="en-US"/>
      </w:rPr>
      <w:drawing>
        <wp:anchor distT="0" distB="0" distL="114300" distR="114300" simplePos="0" relativeHeight="251764736" behindDoc="0" locked="0" layoutInCell="1" hidden="0" allowOverlap="1" wp14:anchorId="09B11A40" wp14:editId="6A48B801">
          <wp:simplePos x="0" y="0"/>
          <wp:positionH relativeFrom="column">
            <wp:posOffset>4000500</wp:posOffset>
          </wp:positionH>
          <wp:positionV relativeFrom="paragraph">
            <wp:posOffset>-236854</wp:posOffset>
          </wp:positionV>
          <wp:extent cx="1816100" cy="547370"/>
          <wp:effectExtent l="0" t="0" r="0" b="0"/>
          <wp:wrapSquare wrapText="bothSides" distT="0" distB="0" distL="114300" distR="114300"/>
          <wp:docPr id="208705558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61312" behindDoc="0" locked="0" layoutInCell="1" hidden="0" allowOverlap="1" wp14:anchorId="09B11A40" wp14:editId="6A48B801">
          <wp:simplePos x="0" y="0"/>
          <wp:positionH relativeFrom="column">
            <wp:posOffset>4000500</wp:posOffset>
          </wp:positionH>
          <wp:positionV relativeFrom="paragraph">
            <wp:posOffset>-236854</wp:posOffset>
          </wp:positionV>
          <wp:extent cx="1816100" cy="547370"/>
          <wp:effectExtent l="0" t="0" r="0" b="0"/>
          <wp:wrapSquare wrapText="bothSides" distT="0" distB="0" distL="114300" distR="114300"/>
          <wp:docPr id="20870556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FE4D08" w14:textId="77777777" w:rsidR="00190BA4" w:rsidRDefault="00190BA4">
    <w:r>
      <w:rPr>
        <w:noProof/>
        <w:lang w:val="en-US" w:eastAsia="en-US"/>
      </w:rPr>
      <w:drawing>
        <wp:anchor distT="0" distB="0" distL="114300" distR="114300" simplePos="0" relativeHeight="251820032" behindDoc="0" locked="0" layoutInCell="1" hidden="0" allowOverlap="1" wp14:anchorId="5FDE0B37" wp14:editId="327A6C44">
          <wp:simplePos x="0" y="0"/>
          <wp:positionH relativeFrom="column">
            <wp:posOffset>4073525</wp:posOffset>
          </wp:positionH>
          <wp:positionV relativeFrom="paragraph">
            <wp:posOffset>-213995</wp:posOffset>
          </wp:positionV>
          <wp:extent cx="1816100" cy="547370"/>
          <wp:effectExtent l="0" t="0" r="0" b="5080"/>
          <wp:wrapSquare wrapText="bothSides" distT="0" distB="0" distL="114300" distR="114300"/>
          <wp:docPr id="208705588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27872" behindDoc="0" locked="0" layoutInCell="1" hidden="0" allowOverlap="1" wp14:anchorId="5FDE0B37" wp14:editId="327A6C44">
          <wp:simplePos x="0" y="0"/>
          <wp:positionH relativeFrom="column">
            <wp:posOffset>4073525</wp:posOffset>
          </wp:positionH>
          <wp:positionV relativeFrom="paragraph">
            <wp:posOffset>-213995</wp:posOffset>
          </wp:positionV>
          <wp:extent cx="1816100" cy="547370"/>
          <wp:effectExtent l="0" t="0" r="0" b="5080"/>
          <wp:wrapSquare wrapText="bothSides" distT="0" distB="0" distL="114300" distR="114300"/>
          <wp:docPr id="208705588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CB8EC6" w14:textId="77777777" w:rsidR="00190BA4" w:rsidRDefault="00190BA4">
    <w:r>
      <w:rPr>
        <w:noProof/>
        <w:lang w:val="en-US" w:eastAsia="en-US"/>
      </w:rPr>
      <w:drawing>
        <wp:anchor distT="0" distB="0" distL="114300" distR="114300" simplePos="0" relativeHeight="251822080" behindDoc="0" locked="0" layoutInCell="1" hidden="0" allowOverlap="1" wp14:anchorId="6F3138C3" wp14:editId="3AC9BEFC">
          <wp:simplePos x="0" y="0"/>
          <wp:positionH relativeFrom="column">
            <wp:posOffset>7473950</wp:posOffset>
          </wp:positionH>
          <wp:positionV relativeFrom="paragraph">
            <wp:posOffset>-166370</wp:posOffset>
          </wp:positionV>
          <wp:extent cx="1816100" cy="547370"/>
          <wp:effectExtent l="0" t="0" r="0" b="5080"/>
          <wp:wrapSquare wrapText="bothSides" distT="0" distB="0" distL="114300" distR="114300"/>
          <wp:docPr id="208705588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29920" behindDoc="0" locked="0" layoutInCell="1" hidden="0" allowOverlap="1" wp14:anchorId="6F3138C3" wp14:editId="3AC9BEFC">
          <wp:simplePos x="0" y="0"/>
          <wp:positionH relativeFrom="column">
            <wp:posOffset>7473950</wp:posOffset>
          </wp:positionH>
          <wp:positionV relativeFrom="paragraph">
            <wp:posOffset>-166370</wp:posOffset>
          </wp:positionV>
          <wp:extent cx="1816100" cy="547370"/>
          <wp:effectExtent l="0" t="0" r="0" b="5080"/>
          <wp:wrapSquare wrapText="bothSides" distT="0" distB="0" distL="114300" distR="114300"/>
          <wp:docPr id="208705588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5A8E55" w14:textId="77777777" w:rsidR="00190BA4" w:rsidRDefault="00190BA4">
    <w:r>
      <w:rPr>
        <w:noProof/>
        <w:lang w:val="en-US" w:eastAsia="en-US"/>
      </w:rPr>
      <w:drawing>
        <wp:anchor distT="0" distB="0" distL="114300" distR="114300" simplePos="0" relativeHeight="251824128" behindDoc="0" locked="0" layoutInCell="1" hidden="0" allowOverlap="1" wp14:anchorId="54132E97" wp14:editId="4B9EC4AC">
          <wp:simplePos x="0" y="0"/>
          <wp:positionH relativeFrom="column">
            <wp:posOffset>4121150</wp:posOffset>
          </wp:positionH>
          <wp:positionV relativeFrom="paragraph">
            <wp:posOffset>-213995</wp:posOffset>
          </wp:positionV>
          <wp:extent cx="1816100" cy="547370"/>
          <wp:effectExtent l="0" t="0" r="0" b="5080"/>
          <wp:wrapSquare wrapText="bothSides" distT="0" distB="0" distL="114300" distR="114300"/>
          <wp:docPr id="208705588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31968" behindDoc="0" locked="0" layoutInCell="1" hidden="0" allowOverlap="1" wp14:anchorId="54132E97" wp14:editId="4B9EC4AC">
          <wp:simplePos x="0" y="0"/>
          <wp:positionH relativeFrom="column">
            <wp:posOffset>4121150</wp:posOffset>
          </wp:positionH>
          <wp:positionV relativeFrom="paragraph">
            <wp:posOffset>-213995</wp:posOffset>
          </wp:positionV>
          <wp:extent cx="1816100" cy="547370"/>
          <wp:effectExtent l="0" t="0" r="0" b="5080"/>
          <wp:wrapSquare wrapText="bothSides" distT="0" distB="0" distL="114300" distR="114300"/>
          <wp:docPr id="208705589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EE6E20" w14:textId="77777777" w:rsidR="00190BA4" w:rsidRDefault="00190BA4">
    <w:r>
      <w:rPr>
        <w:noProof/>
        <w:lang w:val="en-US" w:eastAsia="en-US"/>
      </w:rPr>
      <w:drawing>
        <wp:anchor distT="0" distB="0" distL="114300" distR="114300" simplePos="0" relativeHeight="251826176" behindDoc="0" locked="0" layoutInCell="1" hidden="0" allowOverlap="1" wp14:anchorId="7F038D26" wp14:editId="160FE825">
          <wp:simplePos x="0" y="0"/>
          <wp:positionH relativeFrom="column">
            <wp:posOffset>7645400</wp:posOffset>
          </wp:positionH>
          <wp:positionV relativeFrom="paragraph">
            <wp:posOffset>-223520</wp:posOffset>
          </wp:positionV>
          <wp:extent cx="1816100" cy="547370"/>
          <wp:effectExtent l="0" t="0" r="0" b="5080"/>
          <wp:wrapSquare wrapText="bothSides" distT="0" distB="0" distL="114300" distR="114300"/>
          <wp:docPr id="208705589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14:sizeRelV relativeFrom="margin">
            <wp14:pctHeight>0</wp14:pctHeight>
          </wp14:sizeRelV>
        </wp:anchor>
      </w:drawing>
    </w:r>
    <w:r>
      <w:rPr>
        <w:noProof/>
        <w:lang w:val="en-US" w:eastAsia="en-US"/>
      </w:rPr>
      <w:drawing>
        <wp:anchor distT="0" distB="0" distL="114300" distR="114300" simplePos="0" relativeHeight="251734016" behindDoc="0" locked="0" layoutInCell="1" hidden="0" allowOverlap="1" wp14:anchorId="7F038D26" wp14:editId="160FE825">
          <wp:simplePos x="0" y="0"/>
          <wp:positionH relativeFrom="column">
            <wp:posOffset>7645400</wp:posOffset>
          </wp:positionH>
          <wp:positionV relativeFrom="paragraph">
            <wp:posOffset>-223520</wp:posOffset>
          </wp:positionV>
          <wp:extent cx="1816100" cy="547370"/>
          <wp:effectExtent l="0" t="0" r="0" b="5080"/>
          <wp:wrapSquare wrapText="bothSides" distT="0" distB="0" distL="114300" distR="114300"/>
          <wp:docPr id="208705589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14:sizeRelV relativeFrom="margin">
            <wp14:pctHeight>0</wp14:pctHeight>
          </wp14:sizeRelV>
        </wp:anchor>
      </w:drawing>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5CA146" w14:textId="77777777" w:rsidR="00190BA4" w:rsidRDefault="00190BA4">
    <w:r>
      <w:rPr>
        <w:noProof/>
        <w:lang w:val="en-US" w:eastAsia="en-US"/>
      </w:rPr>
      <w:drawing>
        <wp:anchor distT="0" distB="0" distL="114300" distR="114300" simplePos="0" relativeHeight="251828224" behindDoc="0" locked="0" layoutInCell="1" hidden="0" allowOverlap="1" wp14:anchorId="01A3CD9B" wp14:editId="4F9A8DCA">
          <wp:simplePos x="0" y="0"/>
          <wp:positionH relativeFrom="column">
            <wp:posOffset>4178300</wp:posOffset>
          </wp:positionH>
          <wp:positionV relativeFrom="paragraph">
            <wp:posOffset>-223520</wp:posOffset>
          </wp:positionV>
          <wp:extent cx="1816100" cy="547370"/>
          <wp:effectExtent l="0" t="0" r="0" b="5080"/>
          <wp:wrapSquare wrapText="bothSides" distT="0" distB="0" distL="114300" distR="114300"/>
          <wp:docPr id="208705589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36064" behindDoc="0" locked="0" layoutInCell="1" hidden="0" allowOverlap="1" wp14:anchorId="01A3CD9B" wp14:editId="4F9A8DCA">
          <wp:simplePos x="0" y="0"/>
          <wp:positionH relativeFrom="column">
            <wp:posOffset>4178300</wp:posOffset>
          </wp:positionH>
          <wp:positionV relativeFrom="paragraph">
            <wp:posOffset>-223520</wp:posOffset>
          </wp:positionV>
          <wp:extent cx="1816100" cy="547370"/>
          <wp:effectExtent l="0" t="0" r="0" b="5080"/>
          <wp:wrapSquare wrapText="bothSides" distT="0" distB="0" distL="114300" distR="114300"/>
          <wp:docPr id="208705589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8ED40" w14:textId="77777777" w:rsidR="00190BA4" w:rsidRDefault="00190BA4">
    <w:r>
      <w:rPr>
        <w:noProof/>
        <w:lang w:val="en-US" w:eastAsia="en-US"/>
      </w:rPr>
      <w:drawing>
        <wp:anchor distT="0" distB="0" distL="114300" distR="114300" simplePos="0" relativeHeight="251830272" behindDoc="0" locked="0" layoutInCell="1" hidden="0" allowOverlap="1" wp14:anchorId="3AA25EB5" wp14:editId="3B494C7F">
          <wp:simplePos x="0" y="0"/>
          <wp:positionH relativeFrom="column">
            <wp:posOffset>7264400</wp:posOffset>
          </wp:positionH>
          <wp:positionV relativeFrom="paragraph">
            <wp:posOffset>-223520</wp:posOffset>
          </wp:positionV>
          <wp:extent cx="1816100" cy="547370"/>
          <wp:effectExtent l="0" t="0" r="0" b="5080"/>
          <wp:wrapSquare wrapText="bothSides" distT="0" distB="0" distL="114300" distR="114300"/>
          <wp:docPr id="208705589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38112" behindDoc="0" locked="0" layoutInCell="1" hidden="0" allowOverlap="1" wp14:anchorId="3AA25EB5" wp14:editId="3B494C7F">
          <wp:simplePos x="0" y="0"/>
          <wp:positionH relativeFrom="column">
            <wp:posOffset>7264400</wp:posOffset>
          </wp:positionH>
          <wp:positionV relativeFrom="paragraph">
            <wp:posOffset>-223520</wp:posOffset>
          </wp:positionV>
          <wp:extent cx="1816100" cy="547370"/>
          <wp:effectExtent l="0" t="0" r="0" b="5080"/>
          <wp:wrapSquare wrapText="bothSides" distT="0" distB="0" distL="114300" distR="114300"/>
          <wp:docPr id="208705589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38547B" w14:textId="77777777" w:rsidR="00190BA4" w:rsidRDefault="00190BA4">
    <w:r>
      <w:rPr>
        <w:noProof/>
        <w:lang w:val="en-US" w:eastAsia="en-US"/>
      </w:rPr>
      <w:drawing>
        <wp:anchor distT="0" distB="0" distL="114300" distR="114300" simplePos="0" relativeHeight="251832320" behindDoc="0" locked="0" layoutInCell="1" hidden="0" allowOverlap="1" wp14:anchorId="060DC5DC" wp14:editId="02605F14">
          <wp:simplePos x="0" y="0"/>
          <wp:positionH relativeFrom="column">
            <wp:posOffset>4130675</wp:posOffset>
          </wp:positionH>
          <wp:positionV relativeFrom="paragraph">
            <wp:posOffset>-223520</wp:posOffset>
          </wp:positionV>
          <wp:extent cx="1816100" cy="547370"/>
          <wp:effectExtent l="0" t="0" r="0" b="5080"/>
          <wp:wrapSquare wrapText="bothSides" distT="0" distB="0" distL="114300" distR="114300"/>
          <wp:docPr id="208705589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40160" behindDoc="0" locked="0" layoutInCell="1" hidden="0" allowOverlap="1" wp14:anchorId="060DC5DC" wp14:editId="02605F14">
          <wp:simplePos x="0" y="0"/>
          <wp:positionH relativeFrom="column">
            <wp:posOffset>4130675</wp:posOffset>
          </wp:positionH>
          <wp:positionV relativeFrom="paragraph">
            <wp:posOffset>-223520</wp:posOffset>
          </wp:positionV>
          <wp:extent cx="1816100" cy="547370"/>
          <wp:effectExtent l="0" t="0" r="0" b="5080"/>
          <wp:wrapSquare wrapText="bothSides" distT="0" distB="0" distL="114300" distR="114300"/>
          <wp:docPr id="208705589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2D354A" w14:textId="77777777" w:rsidR="00190BA4" w:rsidRDefault="00190BA4">
    <w:r>
      <w:rPr>
        <w:noProof/>
        <w:lang w:val="en-US" w:eastAsia="en-US"/>
      </w:rPr>
      <w:drawing>
        <wp:anchor distT="0" distB="0" distL="114300" distR="114300" simplePos="0" relativeHeight="251834368" behindDoc="0" locked="0" layoutInCell="1" hidden="0" allowOverlap="1" wp14:anchorId="69622D13" wp14:editId="00612599">
          <wp:simplePos x="0" y="0"/>
          <wp:positionH relativeFrom="column">
            <wp:posOffset>4083050</wp:posOffset>
          </wp:positionH>
          <wp:positionV relativeFrom="paragraph">
            <wp:posOffset>-223520</wp:posOffset>
          </wp:positionV>
          <wp:extent cx="1816100" cy="547370"/>
          <wp:effectExtent l="0" t="0" r="0" b="5080"/>
          <wp:wrapSquare wrapText="bothSides" distT="0" distB="0" distL="114300" distR="114300"/>
          <wp:docPr id="208705589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42208" behindDoc="0" locked="0" layoutInCell="1" hidden="0" allowOverlap="1" wp14:anchorId="69622D13" wp14:editId="00612599">
          <wp:simplePos x="0" y="0"/>
          <wp:positionH relativeFrom="column">
            <wp:posOffset>4083050</wp:posOffset>
          </wp:positionH>
          <wp:positionV relativeFrom="paragraph">
            <wp:posOffset>-223520</wp:posOffset>
          </wp:positionV>
          <wp:extent cx="1816100" cy="547370"/>
          <wp:effectExtent l="0" t="0" r="0" b="5080"/>
          <wp:wrapSquare wrapText="bothSides" distT="0" distB="0" distL="114300" distR="114300"/>
          <wp:docPr id="208705590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4418DF" w14:textId="77777777" w:rsidR="00190BA4" w:rsidRDefault="00190BA4">
    <w:r>
      <w:rPr>
        <w:noProof/>
        <w:lang w:val="en-US" w:eastAsia="en-US"/>
      </w:rPr>
      <w:drawing>
        <wp:anchor distT="0" distB="0" distL="114300" distR="114300" simplePos="0" relativeHeight="251836416" behindDoc="0" locked="0" layoutInCell="1" hidden="0" allowOverlap="1" wp14:anchorId="187B0ACA" wp14:editId="1BE590A4">
          <wp:simplePos x="0" y="0"/>
          <wp:positionH relativeFrom="column">
            <wp:posOffset>4073525</wp:posOffset>
          </wp:positionH>
          <wp:positionV relativeFrom="paragraph">
            <wp:posOffset>-147320</wp:posOffset>
          </wp:positionV>
          <wp:extent cx="1816100" cy="547370"/>
          <wp:effectExtent l="0" t="0" r="0" b="5080"/>
          <wp:wrapSquare wrapText="bothSides" distT="0" distB="0" distL="114300" distR="114300"/>
          <wp:docPr id="208705590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44256" behindDoc="0" locked="0" layoutInCell="1" hidden="0" allowOverlap="1" wp14:anchorId="187B0ACA" wp14:editId="1BE590A4">
          <wp:simplePos x="0" y="0"/>
          <wp:positionH relativeFrom="column">
            <wp:posOffset>4073525</wp:posOffset>
          </wp:positionH>
          <wp:positionV relativeFrom="paragraph">
            <wp:posOffset>-147320</wp:posOffset>
          </wp:positionV>
          <wp:extent cx="1816100" cy="547370"/>
          <wp:effectExtent l="0" t="0" r="0" b="5080"/>
          <wp:wrapSquare wrapText="bothSides" distT="0" distB="0" distL="114300" distR="114300"/>
          <wp:docPr id="208705590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B8117" w14:textId="77777777" w:rsidR="00190BA4" w:rsidRDefault="00190BA4">
    <w:r>
      <w:rPr>
        <w:noProof/>
        <w:lang w:val="en-US" w:eastAsia="en-US"/>
      </w:rPr>
      <w:drawing>
        <wp:anchor distT="0" distB="0" distL="114300" distR="114300" simplePos="0" relativeHeight="251838464" behindDoc="0" locked="0" layoutInCell="1" hidden="0" allowOverlap="1" wp14:anchorId="64041D94" wp14:editId="1F88F6D5">
          <wp:simplePos x="0" y="0"/>
          <wp:positionH relativeFrom="column">
            <wp:posOffset>7616825</wp:posOffset>
          </wp:positionH>
          <wp:positionV relativeFrom="paragraph">
            <wp:posOffset>-147320</wp:posOffset>
          </wp:positionV>
          <wp:extent cx="1816100" cy="547370"/>
          <wp:effectExtent l="0" t="0" r="0" b="5080"/>
          <wp:wrapSquare wrapText="bothSides" distT="0" distB="0" distL="114300" distR="114300"/>
          <wp:docPr id="208705590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46304" behindDoc="0" locked="0" layoutInCell="1" hidden="0" allowOverlap="1" wp14:anchorId="64041D94" wp14:editId="1F88F6D5">
          <wp:simplePos x="0" y="0"/>
          <wp:positionH relativeFrom="column">
            <wp:posOffset>7616825</wp:posOffset>
          </wp:positionH>
          <wp:positionV relativeFrom="paragraph">
            <wp:posOffset>-147320</wp:posOffset>
          </wp:positionV>
          <wp:extent cx="1816100" cy="547370"/>
          <wp:effectExtent l="0" t="0" r="0" b="5080"/>
          <wp:wrapSquare wrapText="bothSides" distT="0" distB="0" distL="114300" distR="114300"/>
          <wp:docPr id="19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8AD18" w14:textId="77777777" w:rsidR="00190BA4" w:rsidRDefault="00190BA4">
    <w:pPr>
      <w:pBdr>
        <w:top w:val="nil"/>
        <w:left w:val="nil"/>
        <w:bottom w:val="nil"/>
        <w:right w:val="nil"/>
        <w:between w:val="nil"/>
      </w:pBdr>
      <w:tabs>
        <w:tab w:val="center" w:pos="4680"/>
        <w:tab w:val="right" w:pos="9360"/>
      </w:tabs>
      <w:rPr>
        <w:color w:val="000000"/>
      </w:rPr>
    </w:pPr>
    <w:r>
      <w:rPr>
        <w:noProof/>
        <w:lang w:val="en-US" w:eastAsia="en-US"/>
      </w:rPr>
      <w:drawing>
        <wp:anchor distT="0" distB="0" distL="114300" distR="114300" simplePos="0" relativeHeight="251766784" behindDoc="0" locked="0" layoutInCell="1" hidden="0" allowOverlap="1" wp14:anchorId="02C7E565" wp14:editId="49B7FDCD">
          <wp:simplePos x="0" y="0"/>
          <wp:positionH relativeFrom="column">
            <wp:posOffset>4502150</wp:posOffset>
          </wp:positionH>
          <wp:positionV relativeFrom="paragraph">
            <wp:posOffset>-234949</wp:posOffset>
          </wp:positionV>
          <wp:extent cx="1816100" cy="547370"/>
          <wp:effectExtent l="0" t="0" r="0" b="0"/>
          <wp:wrapSquare wrapText="bothSides" distT="0" distB="0" distL="114300" distR="114300"/>
          <wp:docPr id="208705558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62336" behindDoc="0" locked="0" layoutInCell="1" hidden="0" allowOverlap="1" wp14:anchorId="02C7E565" wp14:editId="49B7FDCD">
          <wp:simplePos x="0" y="0"/>
          <wp:positionH relativeFrom="column">
            <wp:posOffset>4502150</wp:posOffset>
          </wp:positionH>
          <wp:positionV relativeFrom="paragraph">
            <wp:posOffset>-234949</wp:posOffset>
          </wp:positionV>
          <wp:extent cx="1816100" cy="547370"/>
          <wp:effectExtent l="0" t="0" r="0" b="0"/>
          <wp:wrapSquare wrapText="bothSides" distT="0" distB="0" distL="114300" distR="114300"/>
          <wp:docPr id="208705561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549AEE" w14:textId="77777777" w:rsidR="00190BA4" w:rsidRDefault="00190BA4">
    <w:r>
      <w:rPr>
        <w:noProof/>
        <w:lang w:val="en-US" w:eastAsia="en-US"/>
      </w:rPr>
      <w:drawing>
        <wp:anchor distT="0" distB="0" distL="114300" distR="114300" simplePos="0" relativeHeight="251840512" behindDoc="0" locked="0" layoutInCell="1" hidden="0" allowOverlap="1" wp14:anchorId="55C89EAF" wp14:editId="04F4A370">
          <wp:simplePos x="0" y="0"/>
          <wp:positionH relativeFrom="column">
            <wp:posOffset>4130675</wp:posOffset>
          </wp:positionH>
          <wp:positionV relativeFrom="paragraph">
            <wp:posOffset>-147320</wp:posOffset>
          </wp:positionV>
          <wp:extent cx="1816100" cy="547370"/>
          <wp:effectExtent l="0" t="0" r="0" b="5080"/>
          <wp:wrapSquare wrapText="bothSides" distT="0" distB="0" distL="114300" distR="114300"/>
          <wp:docPr id="19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48352" behindDoc="0" locked="0" layoutInCell="1" hidden="0" allowOverlap="1" wp14:anchorId="55C89EAF" wp14:editId="04F4A370">
          <wp:simplePos x="0" y="0"/>
          <wp:positionH relativeFrom="column">
            <wp:posOffset>4130675</wp:posOffset>
          </wp:positionH>
          <wp:positionV relativeFrom="paragraph">
            <wp:posOffset>-147320</wp:posOffset>
          </wp:positionV>
          <wp:extent cx="1816100" cy="547370"/>
          <wp:effectExtent l="0" t="0" r="0" b="5080"/>
          <wp:wrapSquare wrapText="bothSides" distT="0" distB="0" distL="114300" distR="114300"/>
          <wp:docPr id="19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38470" w14:textId="77777777" w:rsidR="00190BA4" w:rsidRDefault="00190BA4">
    <w:r>
      <w:rPr>
        <w:noProof/>
        <w:lang w:val="en-US" w:eastAsia="en-US"/>
      </w:rPr>
      <w:drawing>
        <wp:anchor distT="0" distB="0" distL="114300" distR="114300" simplePos="0" relativeHeight="251842560" behindDoc="0" locked="0" layoutInCell="1" hidden="0" allowOverlap="1" wp14:anchorId="504CA270" wp14:editId="373CFCC5">
          <wp:simplePos x="0" y="0"/>
          <wp:positionH relativeFrom="column">
            <wp:posOffset>7312025</wp:posOffset>
          </wp:positionH>
          <wp:positionV relativeFrom="paragraph">
            <wp:posOffset>-147320</wp:posOffset>
          </wp:positionV>
          <wp:extent cx="1816100" cy="547370"/>
          <wp:effectExtent l="0" t="0" r="0" b="5080"/>
          <wp:wrapSquare wrapText="bothSides" distT="0" distB="0" distL="114300" distR="114300"/>
          <wp:docPr id="19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50400" behindDoc="0" locked="0" layoutInCell="1" hidden="0" allowOverlap="1" wp14:anchorId="504CA270" wp14:editId="373CFCC5">
          <wp:simplePos x="0" y="0"/>
          <wp:positionH relativeFrom="column">
            <wp:posOffset>7312025</wp:posOffset>
          </wp:positionH>
          <wp:positionV relativeFrom="paragraph">
            <wp:posOffset>-147320</wp:posOffset>
          </wp:positionV>
          <wp:extent cx="1816100" cy="547370"/>
          <wp:effectExtent l="0" t="0" r="0" b="5080"/>
          <wp:wrapSquare wrapText="bothSides" distT="0" distB="0" distL="114300" distR="114300"/>
          <wp:docPr id="2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7F7C7" w14:textId="77777777" w:rsidR="00190BA4" w:rsidRDefault="00190BA4">
    <w:r>
      <w:rPr>
        <w:noProof/>
        <w:lang w:val="en-US" w:eastAsia="en-US"/>
      </w:rPr>
      <w:drawing>
        <wp:anchor distT="0" distB="0" distL="114300" distR="114300" simplePos="0" relativeHeight="251844608" behindDoc="0" locked="0" layoutInCell="1" hidden="0" allowOverlap="1" wp14:anchorId="5A398AB9" wp14:editId="2B4D59F3">
          <wp:simplePos x="0" y="0"/>
          <wp:positionH relativeFrom="column">
            <wp:posOffset>4025900</wp:posOffset>
          </wp:positionH>
          <wp:positionV relativeFrom="paragraph">
            <wp:posOffset>-204470</wp:posOffset>
          </wp:positionV>
          <wp:extent cx="1816100" cy="547370"/>
          <wp:effectExtent l="0" t="0" r="0" b="5080"/>
          <wp:wrapSquare wrapText="bothSides" distT="0" distB="0" distL="114300" distR="114300"/>
          <wp:docPr id="2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52448" behindDoc="0" locked="0" layoutInCell="1" hidden="0" allowOverlap="1" wp14:anchorId="5A398AB9" wp14:editId="2B4D59F3">
          <wp:simplePos x="0" y="0"/>
          <wp:positionH relativeFrom="column">
            <wp:posOffset>4025900</wp:posOffset>
          </wp:positionH>
          <wp:positionV relativeFrom="paragraph">
            <wp:posOffset>-204470</wp:posOffset>
          </wp:positionV>
          <wp:extent cx="1816100" cy="547370"/>
          <wp:effectExtent l="0" t="0" r="0" b="5080"/>
          <wp:wrapSquare wrapText="bothSides" distT="0" distB="0" distL="114300" distR="114300"/>
          <wp:docPr id="208705568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9764C" w14:textId="77777777" w:rsidR="00190BA4" w:rsidRDefault="00190BA4">
    <w:r>
      <w:rPr>
        <w:noProof/>
        <w:lang w:val="en-US" w:eastAsia="en-US"/>
      </w:rPr>
      <w:drawing>
        <wp:anchor distT="0" distB="0" distL="114300" distR="114300" simplePos="0" relativeHeight="251846656" behindDoc="0" locked="0" layoutInCell="1" hidden="0" allowOverlap="1" wp14:anchorId="6E8C008C" wp14:editId="47B7A9FD">
          <wp:simplePos x="0" y="0"/>
          <wp:positionH relativeFrom="column">
            <wp:posOffset>7302500</wp:posOffset>
          </wp:positionH>
          <wp:positionV relativeFrom="paragraph">
            <wp:posOffset>-204470</wp:posOffset>
          </wp:positionV>
          <wp:extent cx="1816100" cy="547370"/>
          <wp:effectExtent l="0" t="0" r="0" b="5080"/>
          <wp:wrapSquare wrapText="bothSides" distT="0" distB="0" distL="114300" distR="114300"/>
          <wp:docPr id="208705568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54496" behindDoc="0" locked="0" layoutInCell="1" hidden="0" allowOverlap="1" wp14:anchorId="6E8C008C" wp14:editId="47B7A9FD">
          <wp:simplePos x="0" y="0"/>
          <wp:positionH relativeFrom="column">
            <wp:posOffset>7302500</wp:posOffset>
          </wp:positionH>
          <wp:positionV relativeFrom="paragraph">
            <wp:posOffset>-204470</wp:posOffset>
          </wp:positionV>
          <wp:extent cx="1816100" cy="547370"/>
          <wp:effectExtent l="0" t="0" r="0" b="5080"/>
          <wp:wrapSquare wrapText="bothSides" distT="0" distB="0" distL="114300" distR="114300"/>
          <wp:docPr id="208705568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4276EB" w14:textId="036188F0" w:rsidR="00190BA4" w:rsidRDefault="00190BA4">
    <w:r>
      <w:rPr>
        <w:noProof/>
        <w:lang w:val="en-US" w:eastAsia="en-US"/>
      </w:rPr>
      <w:drawing>
        <wp:anchor distT="0" distB="0" distL="114300" distR="114300" simplePos="0" relativeHeight="251848704" behindDoc="0" locked="0" layoutInCell="1" hidden="0" allowOverlap="1" wp14:anchorId="00D8D404" wp14:editId="5B28137C">
          <wp:simplePos x="0" y="0"/>
          <wp:positionH relativeFrom="column">
            <wp:posOffset>3784600</wp:posOffset>
          </wp:positionH>
          <wp:positionV relativeFrom="paragraph">
            <wp:posOffset>-267970</wp:posOffset>
          </wp:positionV>
          <wp:extent cx="1816100" cy="547370"/>
          <wp:effectExtent l="0" t="0" r="0" b="0"/>
          <wp:wrapSquare wrapText="bothSides" distT="0" distB="0" distL="114300" distR="114300"/>
          <wp:docPr id="208705568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70528" behindDoc="0" locked="0" layoutInCell="1" hidden="0" allowOverlap="1" wp14:anchorId="00D8D404" wp14:editId="5B28137C">
          <wp:simplePos x="0" y="0"/>
          <wp:positionH relativeFrom="column">
            <wp:posOffset>3784600</wp:posOffset>
          </wp:positionH>
          <wp:positionV relativeFrom="paragraph">
            <wp:posOffset>-267970</wp:posOffset>
          </wp:positionV>
          <wp:extent cx="1816100" cy="547370"/>
          <wp:effectExtent l="0" t="0" r="0" b="0"/>
          <wp:wrapSquare wrapText="bothSides" distT="0" distB="0" distL="114300" distR="114300"/>
          <wp:docPr id="208705569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8E3FD" w14:textId="77777777" w:rsidR="00190BA4" w:rsidRDefault="00190BA4">
    <w:r>
      <w:rPr>
        <w:noProof/>
        <w:lang w:val="en-US" w:eastAsia="en-US"/>
      </w:rPr>
      <w:drawing>
        <wp:anchor distT="0" distB="0" distL="114300" distR="114300" simplePos="0" relativeHeight="251850752" behindDoc="0" locked="0" layoutInCell="1" hidden="0" allowOverlap="1" wp14:anchorId="1C1F3416" wp14:editId="5C36F652">
          <wp:simplePos x="0" y="0"/>
          <wp:positionH relativeFrom="column">
            <wp:posOffset>7346950</wp:posOffset>
          </wp:positionH>
          <wp:positionV relativeFrom="paragraph">
            <wp:posOffset>-201295</wp:posOffset>
          </wp:positionV>
          <wp:extent cx="1816100" cy="547370"/>
          <wp:effectExtent l="0" t="0" r="0" b="0"/>
          <wp:wrapSquare wrapText="bothSides" distT="0" distB="0" distL="114300" distR="114300"/>
          <wp:docPr id="208705569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56544" behindDoc="0" locked="0" layoutInCell="1" hidden="0" allowOverlap="1" wp14:anchorId="1C1F3416" wp14:editId="5C36F652">
          <wp:simplePos x="0" y="0"/>
          <wp:positionH relativeFrom="column">
            <wp:posOffset>7346950</wp:posOffset>
          </wp:positionH>
          <wp:positionV relativeFrom="paragraph">
            <wp:posOffset>-201295</wp:posOffset>
          </wp:positionV>
          <wp:extent cx="1816100" cy="547370"/>
          <wp:effectExtent l="0" t="0" r="0" b="0"/>
          <wp:wrapSquare wrapText="bothSides" distT="0" distB="0" distL="114300" distR="114300"/>
          <wp:docPr id="208705569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EF6178" w14:textId="77777777" w:rsidR="00190BA4" w:rsidRDefault="00190BA4">
    <w:r>
      <w:rPr>
        <w:noProof/>
        <w:lang w:val="en-US" w:eastAsia="en-US"/>
      </w:rPr>
      <w:drawing>
        <wp:anchor distT="0" distB="0" distL="114300" distR="114300" simplePos="0" relativeHeight="251852800" behindDoc="0" locked="0" layoutInCell="1" hidden="0" allowOverlap="1" wp14:anchorId="437B1881" wp14:editId="00F37B7F">
          <wp:simplePos x="0" y="0"/>
          <wp:positionH relativeFrom="column">
            <wp:posOffset>4108450</wp:posOffset>
          </wp:positionH>
          <wp:positionV relativeFrom="paragraph">
            <wp:posOffset>-201295</wp:posOffset>
          </wp:positionV>
          <wp:extent cx="1816100" cy="547370"/>
          <wp:effectExtent l="0" t="0" r="0" b="0"/>
          <wp:wrapSquare wrapText="bothSides" distT="0" distB="0" distL="114300" distR="114300"/>
          <wp:docPr id="208705583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758592" behindDoc="0" locked="0" layoutInCell="1" hidden="0" allowOverlap="1" wp14:anchorId="437B1881" wp14:editId="00F37B7F">
          <wp:simplePos x="0" y="0"/>
          <wp:positionH relativeFrom="column">
            <wp:posOffset>4108450</wp:posOffset>
          </wp:positionH>
          <wp:positionV relativeFrom="paragraph">
            <wp:posOffset>-201295</wp:posOffset>
          </wp:positionV>
          <wp:extent cx="1816100" cy="547370"/>
          <wp:effectExtent l="0" t="0" r="0" b="0"/>
          <wp:wrapSquare wrapText="bothSides" distT="0" distB="0" distL="114300" distR="114300"/>
          <wp:docPr id="19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5700D0" w14:textId="77777777" w:rsidR="00190BA4" w:rsidRDefault="00190BA4">
    <w:r>
      <w:rPr>
        <w:noProof/>
        <w:lang w:val="en-US" w:eastAsia="en-US"/>
      </w:rPr>
      <w:drawing>
        <wp:anchor distT="0" distB="0" distL="114300" distR="114300" simplePos="0" relativeHeight="251768832" behindDoc="0" locked="0" layoutInCell="1" hidden="0" allowOverlap="1" wp14:anchorId="2AFA9B55" wp14:editId="38DCB1DF">
          <wp:simplePos x="0" y="0"/>
          <wp:positionH relativeFrom="column">
            <wp:posOffset>4025900</wp:posOffset>
          </wp:positionH>
          <wp:positionV relativeFrom="paragraph">
            <wp:posOffset>-242570</wp:posOffset>
          </wp:positionV>
          <wp:extent cx="1816100" cy="547370"/>
          <wp:effectExtent l="0" t="0" r="0" b="0"/>
          <wp:wrapSquare wrapText="bothSides" distT="0" distB="0" distL="114300" distR="114300"/>
          <wp:docPr id="208705559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76672" behindDoc="0" locked="0" layoutInCell="1" hidden="0" allowOverlap="1" wp14:anchorId="2AFA9B55" wp14:editId="38DCB1DF">
          <wp:simplePos x="0" y="0"/>
          <wp:positionH relativeFrom="column">
            <wp:posOffset>4025900</wp:posOffset>
          </wp:positionH>
          <wp:positionV relativeFrom="paragraph">
            <wp:posOffset>-242570</wp:posOffset>
          </wp:positionV>
          <wp:extent cx="1816100" cy="547370"/>
          <wp:effectExtent l="0" t="0" r="0" b="0"/>
          <wp:wrapSquare wrapText="bothSides" distT="0" distB="0" distL="114300" distR="114300"/>
          <wp:docPr id="208705559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8E69A" w14:textId="77777777" w:rsidR="00190BA4" w:rsidRDefault="00190BA4">
    <w:r>
      <w:rPr>
        <w:noProof/>
        <w:lang w:val="en-US" w:eastAsia="en-US"/>
      </w:rPr>
      <w:drawing>
        <wp:anchor distT="0" distB="0" distL="114300" distR="114300" simplePos="0" relativeHeight="251770880" behindDoc="0" locked="0" layoutInCell="1" hidden="0" allowOverlap="1" wp14:anchorId="22437E2F" wp14:editId="5D882D91">
          <wp:simplePos x="0" y="0"/>
          <wp:positionH relativeFrom="column">
            <wp:posOffset>7788275</wp:posOffset>
          </wp:positionH>
          <wp:positionV relativeFrom="paragraph">
            <wp:posOffset>-242570</wp:posOffset>
          </wp:positionV>
          <wp:extent cx="1816100" cy="547370"/>
          <wp:effectExtent l="0" t="0" r="0" b="5080"/>
          <wp:wrapSquare wrapText="bothSides" distT="0" distB="0" distL="114300" distR="114300"/>
          <wp:docPr id="208705559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78720" behindDoc="0" locked="0" layoutInCell="1" hidden="0" allowOverlap="1" wp14:anchorId="22437E2F" wp14:editId="5D882D91">
          <wp:simplePos x="0" y="0"/>
          <wp:positionH relativeFrom="column">
            <wp:posOffset>7788275</wp:posOffset>
          </wp:positionH>
          <wp:positionV relativeFrom="paragraph">
            <wp:posOffset>-242570</wp:posOffset>
          </wp:positionV>
          <wp:extent cx="1816100" cy="547370"/>
          <wp:effectExtent l="0" t="0" r="0" b="5080"/>
          <wp:wrapSquare wrapText="bothSides" distT="0" distB="0" distL="114300" distR="114300"/>
          <wp:docPr id="208705559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777200" w14:textId="77777777" w:rsidR="00190BA4" w:rsidRDefault="00190BA4">
    <w:r>
      <w:rPr>
        <w:noProof/>
        <w:lang w:val="en-US" w:eastAsia="en-US"/>
      </w:rPr>
      <w:drawing>
        <wp:anchor distT="0" distB="0" distL="114300" distR="114300" simplePos="0" relativeHeight="251772928" behindDoc="0" locked="0" layoutInCell="1" hidden="0" allowOverlap="1" wp14:anchorId="095D3D2D" wp14:editId="3131CB1F">
          <wp:simplePos x="0" y="0"/>
          <wp:positionH relativeFrom="column">
            <wp:posOffset>4044950</wp:posOffset>
          </wp:positionH>
          <wp:positionV relativeFrom="paragraph">
            <wp:posOffset>-252095</wp:posOffset>
          </wp:positionV>
          <wp:extent cx="1816100" cy="547370"/>
          <wp:effectExtent l="0" t="0" r="0" b="5080"/>
          <wp:wrapSquare wrapText="bothSides" distT="0" distB="0" distL="114300" distR="114300"/>
          <wp:docPr id="208705560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80768" behindDoc="0" locked="0" layoutInCell="1" hidden="0" allowOverlap="1" wp14:anchorId="095D3D2D" wp14:editId="3131CB1F">
          <wp:simplePos x="0" y="0"/>
          <wp:positionH relativeFrom="column">
            <wp:posOffset>4044950</wp:posOffset>
          </wp:positionH>
          <wp:positionV relativeFrom="paragraph">
            <wp:posOffset>-252095</wp:posOffset>
          </wp:positionV>
          <wp:extent cx="1816100" cy="547370"/>
          <wp:effectExtent l="0" t="0" r="0" b="5080"/>
          <wp:wrapSquare wrapText="bothSides" distT="0" distB="0" distL="114300" distR="114300"/>
          <wp:docPr id="208705560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B8C75" w14:textId="77777777" w:rsidR="00190BA4" w:rsidRDefault="00190BA4">
    <w:r>
      <w:rPr>
        <w:noProof/>
        <w:lang w:val="en-US" w:eastAsia="en-US"/>
      </w:rPr>
      <w:drawing>
        <wp:anchor distT="0" distB="0" distL="114300" distR="114300" simplePos="0" relativeHeight="251774976" behindDoc="0" locked="0" layoutInCell="1" hidden="0" allowOverlap="1" wp14:anchorId="56182730" wp14:editId="4D1BCB2F">
          <wp:simplePos x="0" y="0"/>
          <wp:positionH relativeFrom="column">
            <wp:posOffset>7197725</wp:posOffset>
          </wp:positionH>
          <wp:positionV relativeFrom="paragraph">
            <wp:posOffset>-166370</wp:posOffset>
          </wp:positionV>
          <wp:extent cx="1816100" cy="547370"/>
          <wp:effectExtent l="0" t="0" r="0" b="5080"/>
          <wp:wrapSquare wrapText="bothSides" distT="0" distB="0" distL="114300" distR="114300"/>
          <wp:docPr id="208705560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82816" behindDoc="0" locked="0" layoutInCell="1" hidden="0" allowOverlap="1" wp14:anchorId="56182730" wp14:editId="4D1BCB2F">
          <wp:simplePos x="0" y="0"/>
          <wp:positionH relativeFrom="column">
            <wp:posOffset>7197725</wp:posOffset>
          </wp:positionH>
          <wp:positionV relativeFrom="paragraph">
            <wp:posOffset>-166370</wp:posOffset>
          </wp:positionV>
          <wp:extent cx="1816100" cy="547370"/>
          <wp:effectExtent l="0" t="0" r="0" b="5080"/>
          <wp:wrapSquare wrapText="bothSides" distT="0" distB="0" distL="114300" distR="114300"/>
          <wp:docPr id="208705560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6EBCE" w14:textId="77777777" w:rsidR="00190BA4" w:rsidRDefault="00190BA4">
    <w:r>
      <w:rPr>
        <w:noProof/>
        <w:lang w:val="en-US" w:eastAsia="en-US"/>
      </w:rPr>
      <w:drawing>
        <wp:anchor distT="0" distB="0" distL="114300" distR="114300" simplePos="0" relativeHeight="251777024" behindDoc="0" locked="0" layoutInCell="1" hidden="0" allowOverlap="1" wp14:anchorId="10010073" wp14:editId="47DA6C7C">
          <wp:simplePos x="0" y="0"/>
          <wp:positionH relativeFrom="column">
            <wp:posOffset>3968750</wp:posOffset>
          </wp:positionH>
          <wp:positionV relativeFrom="paragraph">
            <wp:posOffset>-233045</wp:posOffset>
          </wp:positionV>
          <wp:extent cx="1816100" cy="547370"/>
          <wp:effectExtent l="0" t="0" r="0" b="5080"/>
          <wp:wrapSquare wrapText="bothSides" distT="0" distB="0" distL="114300" distR="114300"/>
          <wp:docPr id="20870556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r>
      <w:rPr>
        <w:noProof/>
        <w:lang w:val="en-US" w:eastAsia="en-US"/>
      </w:rPr>
      <w:drawing>
        <wp:anchor distT="0" distB="0" distL="114300" distR="114300" simplePos="0" relativeHeight="251684864" behindDoc="0" locked="0" layoutInCell="1" hidden="0" allowOverlap="1" wp14:anchorId="10010073" wp14:editId="47DA6C7C">
          <wp:simplePos x="0" y="0"/>
          <wp:positionH relativeFrom="column">
            <wp:posOffset>3968750</wp:posOffset>
          </wp:positionH>
          <wp:positionV relativeFrom="paragraph">
            <wp:posOffset>-233045</wp:posOffset>
          </wp:positionV>
          <wp:extent cx="1816100" cy="547370"/>
          <wp:effectExtent l="0" t="0" r="0" b="5080"/>
          <wp:wrapSquare wrapText="bothSides" distT="0" distB="0" distL="114300" distR="114300"/>
          <wp:docPr id="20870556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1816100" cy="54737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4F7CC062"/>
    <w:lvl w:ilvl="0">
      <w:start w:val="1"/>
      <w:numFmt w:val="bullet"/>
      <w:lvlText w:val=""/>
      <w:lvlJc w:val="left"/>
      <w:pPr>
        <w:tabs>
          <w:tab w:val="num" w:pos="-142"/>
        </w:tabs>
        <w:ind w:left="218" w:hanging="360"/>
      </w:pPr>
      <w:rPr>
        <w:rFonts w:ascii="Symbol" w:hAnsi="Symbol" w:hint="default"/>
        <w:u w:val="none"/>
      </w:rPr>
    </w:lvl>
    <w:lvl w:ilvl="1">
      <w:start w:val="1"/>
      <w:numFmt w:val="bullet"/>
      <w:lvlText w:val="-"/>
      <w:lvlJc w:val="left"/>
      <w:pPr>
        <w:tabs>
          <w:tab w:val="num" w:pos="578"/>
        </w:tabs>
        <w:ind w:left="938" w:hanging="360"/>
      </w:pPr>
      <w:rPr>
        <w:u w:val="none"/>
      </w:rPr>
    </w:lvl>
    <w:lvl w:ilvl="2">
      <w:start w:val="1"/>
      <w:numFmt w:val="bullet"/>
      <w:lvlText w:val="-"/>
      <w:lvlJc w:val="left"/>
      <w:pPr>
        <w:tabs>
          <w:tab w:val="num" w:pos="1298"/>
        </w:tabs>
        <w:ind w:left="1658" w:hanging="180"/>
      </w:pPr>
      <w:rPr>
        <w:u w:val="none"/>
      </w:rPr>
    </w:lvl>
    <w:lvl w:ilvl="3">
      <w:start w:val="1"/>
      <w:numFmt w:val="bullet"/>
      <w:lvlText w:val="-"/>
      <w:lvlJc w:val="left"/>
      <w:pPr>
        <w:tabs>
          <w:tab w:val="num" w:pos="2018"/>
        </w:tabs>
        <w:ind w:left="2378" w:hanging="360"/>
      </w:pPr>
      <w:rPr>
        <w:u w:val="none"/>
      </w:rPr>
    </w:lvl>
    <w:lvl w:ilvl="4">
      <w:start w:val="1"/>
      <w:numFmt w:val="bullet"/>
      <w:lvlText w:val="-"/>
      <w:lvlJc w:val="left"/>
      <w:pPr>
        <w:tabs>
          <w:tab w:val="num" w:pos="2738"/>
        </w:tabs>
        <w:ind w:left="3098" w:hanging="360"/>
      </w:pPr>
      <w:rPr>
        <w:u w:val="none"/>
      </w:rPr>
    </w:lvl>
    <w:lvl w:ilvl="5">
      <w:start w:val="1"/>
      <w:numFmt w:val="bullet"/>
      <w:lvlText w:val="-"/>
      <w:lvlJc w:val="left"/>
      <w:pPr>
        <w:tabs>
          <w:tab w:val="num" w:pos="3458"/>
        </w:tabs>
        <w:ind w:left="3818" w:hanging="180"/>
      </w:pPr>
      <w:rPr>
        <w:u w:val="none"/>
      </w:rPr>
    </w:lvl>
    <w:lvl w:ilvl="6">
      <w:start w:val="1"/>
      <w:numFmt w:val="bullet"/>
      <w:lvlText w:val="-"/>
      <w:lvlJc w:val="left"/>
      <w:pPr>
        <w:tabs>
          <w:tab w:val="num" w:pos="4178"/>
        </w:tabs>
        <w:ind w:left="4538" w:hanging="360"/>
      </w:pPr>
      <w:rPr>
        <w:u w:val="none"/>
      </w:rPr>
    </w:lvl>
    <w:lvl w:ilvl="7">
      <w:start w:val="1"/>
      <w:numFmt w:val="bullet"/>
      <w:lvlText w:val="-"/>
      <w:lvlJc w:val="left"/>
      <w:pPr>
        <w:tabs>
          <w:tab w:val="num" w:pos="4898"/>
        </w:tabs>
        <w:ind w:left="5258" w:hanging="360"/>
      </w:pPr>
      <w:rPr>
        <w:u w:val="none"/>
      </w:rPr>
    </w:lvl>
    <w:lvl w:ilvl="8">
      <w:start w:val="1"/>
      <w:numFmt w:val="bullet"/>
      <w:lvlText w:val="-"/>
      <w:lvlJc w:val="left"/>
      <w:pPr>
        <w:tabs>
          <w:tab w:val="num" w:pos="5618"/>
        </w:tabs>
        <w:ind w:left="5978" w:hanging="180"/>
      </w:pPr>
      <w:rPr>
        <w:u w:val="none"/>
      </w:rPr>
    </w:lvl>
  </w:abstractNum>
  <w:abstractNum w:abstractNumId="1" w15:restartNumberingAfterBreak="0">
    <w:nsid w:val="00000002"/>
    <w:multiLevelType w:val="multilevel"/>
    <w:tmpl w:val="00000002"/>
    <w:lvl w:ilvl="0">
      <w:start w:val="1"/>
      <w:numFmt w:val="bullet"/>
      <w:lvlText w:val="-"/>
      <w:lvlJc w:val="left"/>
      <w:pPr>
        <w:tabs>
          <w:tab w:val="num" w:pos="360"/>
        </w:tabs>
        <w:ind w:left="720" w:hanging="360"/>
      </w:pPr>
      <w:rPr>
        <w:u w:val="none"/>
      </w:rPr>
    </w:lvl>
    <w:lvl w:ilvl="1">
      <w:start w:val="1"/>
      <w:numFmt w:val="bullet"/>
      <w:lvlText w:val="-"/>
      <w:lvlJc w:val="left"/>
      <w:pPr>
        <w:tabs>
          <w:tab w:val="num" w:pos="1080"/>
        </w:tabs>
        <w:ind w:left="1440" w:hanging="360"/>
      </w:pPr>
      <w:rPr>
        <w:u w:val="none"/>
      </w:rPr>
    </w:lvl>
    <w:lvl w:ilvl="2">
      <w:start w:val="1"/>
      <w:numFmt w:val="bullet"/>
      <w:lvlText w:val="-"/>
      <w:lvlJc w:val="left"/>
      <w:pPr>
        <w:tabs>
          <w:tab w:val="num" w:pos="1800"/>
        </w:tabs>
        <w:ind w:left="2160" w:hanging="180"/>
      </w:pPr>
      <w:rPr>
        <w:u w:val="none"/>
      </w:rPr>
    </w:lvl>
    <w:lvl w:ilvl="3">
      <w:start w:val="1"/>
      <w:numFmt w:val="bullet"/>
      <w:lvlText w:val="-"/>
      <w:lvlJc w:val="left"/>
      <w:pPr>
        <w:tabs>
          <w:tab w:val="num" w:pos="2520"/>
        </w:tabs>
        <w:ind w:left="2880" w:hanging="360"/>
      </w:pPr>
      <w:rPr>
        <w:u w:val="none"/>
      </w:rPr>
    </w:lvl>
    <w:lvl w:ilvl="4">
      <w:start w:val="1"/>
      <w:numFmt w:val="bullet"/>
      <w:lvlText w:val="-"/>
      <w:lvlJc w:val="left"/>
      <w:pPr>
        <w:tabs>
          <w:tab w:val="num" w:pos="3240"/>
        </w:tabs>
        <w:ind w:left="3600" w:hanging="360"/>
      </w:pPr>
      <w:rPr>
        <w:u w:val="none"/>
      </w:rPr>
    </w:lvl>
    <w:lvl w:ilvl="5">
      <w:start w:val="1"/>
      <w:numFmt w:val="bullet"/>
      <w:lvlText w:val="-"/>
      <w:lvlJc w:val="left"/>
      <w:pPr>
        <w:tabs>
          <w:tab w:val="num" w:pos="3960"/>
        </w:tabs>
        <w:ind w:left="4320" w:hanging="180"/>
      </w:pPr>
      <w:rPr>
        <w:u w:val="none"/>
      </w:rPr>
    </w:lvl>
    <w:lvl w:ilvl="6">
      <w:start w:val="1"/>
      <w:numFmt w:val="bullet"/>
      <w:lvlText w:val="-"/>
      <w:lvlJc w:val="left"/>
      <w:pPr>
        <w:tabs>
          <w:tab w:val="num" w:pos="4680"/>
        </w:tabs>
        <w:ind w:left="5040" w:hanging="360"/>
      </w:pPr>
      <w:rPr>
        <w:u w:val="none"/>
      </w:rPr>
    </w:lvl>
    <w:lvl w:ilvl="7">
      <w:start w:val="1"/>
      <w:numFmt w:val="bullet"/>
      <w:lvlText w:val="-"/>
      <w:lvlJc w:val="left"/>
      <w:pPr>
        <w:tabs>
          <w:tab w:val="num" w:pos="5400"/>
        </w:tabs>
        <w:ind w:left="5760" w:hanging="360"/>
      </w:pPr>
      <w:rPr>
        <w:u w:val="none"/>
      </w:rPr>
    </w:lvl>
    <w:lvl w:ilvl="8">
      <w:start w:val="1"/>
      <w:numFmt w:val="bullet"/>
      <w:lvlText w:val="-"/>
      <w:lvlJc w:val="left"/>
      <w:pPr>
        <w:tabs>
          <w:tab w:val="num" w:pos="6120"/>
        </w:tabs>
        <w:ind w:left="6480" w:hanging="180"/>
      </w:pPr>
      <w:rPr>
        <w:u w:val="none"/>
      </w:rPr>
    </w:lvl>
  </w:abstractNum>
  <w:abstractNum w:abstractNumId="2" w15:restartNumberingAfterBreak="0">
    <w:nsid w:val="01A83D84"/>
    <w:multiLevelType w:val="hybridMultilevel"/>
    <w:tmpl w:val="512A3942"/>
    <w:lvl w:ilvl="0" w:tplc="F6C8FE64">
      <w:start w:val="7"/>
      <w:numFmt w:val="decimal"/>
      <w:lvlText w:val="%1.3"/>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313955"/>
    <w:multiLevelType w:val="hybridMultilevel"/>
    <w:tmpl w:val="778248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2B93533"/>
    <w:multiLevelType w:val="hybridMultilevel"/>
    <w:tmpl w:val="4392C8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FE01BC"/>
    <w:multiLevelType w:val="multilevel"/>
    <w:tmpl w:val="68505A1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03DA7030"/>
    <w:multiLevelType w:val="hybridMultilevel"/>
    <w:tmpl w:val="56402B0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3F57B4F"/>
    <w:multiLevelType w:val="hybridMultilevel"/>
    <w:tmpl w:val="C1EE426C"/>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5D0515"/>
    <w:multiLevelType w:val="hybridMultilevel"/>
    <w:tmpl w:val="2B6EA060"/>
    <w:lvl w:ilvl="0" w:tplc="0B98065E">
      <w:start w:val="2"/>
      <w:numFmt w:val="decimal"/>
      <w:lvlText w:val="4.%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47E154D"/>
    <w:multiLevelType w:val="multilevel"/>
    <w:tmpl w:val="CD84BDB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04990229"/>
    <w:multiLevelType w:val="hybridMultilevel"/>
    <w:tmpl w:val="1D80322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05071EF7"/>
    <w:multiLevelType w:val="hybridMultilevel"/>
    <w:tmpl w:val="CD4A2080"/>
    <w:lvl w:ilvl="0" w:tplc="74AEA176">
      <w:start w:val="1"/>
      <w:numFmt w:val="decimal"/>
      <w:lvlText w:val="7.2.%1.8"/>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152D79"/>
    <w:multiLevelType w:val="hybridMultilevel"/>
    <w:tmpl w:val="056448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5AA7AEE"/>
    <w:multiLevelType w:val="hybridMultilevel"/>
    <w:tmpl w:val="CB96D3BA"/>
    <w:lvl w:ilvl="0" w:tplc="DDE66602">
      <w:start w:val="1"/>
      <w:numFmt w:val="decimal"/>
      <w:lvlText w:val="5.2.%1.9"/>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5B05DC1"/>
    <w:multiLevelType w:val="hybridMultilevel"/>
    <w:tmpl w:val="1618FD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5ED1527"/>
    <w:multiLevelType w:val="multilevel"/>
    <w:tmpl w:val="71F8A53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06232D1B"/>
    <w:multiLevelType w:val="multilevel"/>
    <w:tmpl w:val="71F8A53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06DA03D8"/>
    <w:multiLevelType w:val="hybridMultilevel"/>
    <w:tmpl w:val="40241026"/>
    <w:lvl w:ilvl="0" w:tplc="70B66918">
      <w:start w:val="1"/>
      <w:numFmt w:val="decimal"/>
      <w:lvlText w:val="8.2.%1.6"/>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6FC2766"/>
    <w:multiLevelType w:val="hybridMultilevel"/>
    <w:tmpl w:val="3BBAD2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709235D"/>
    <w:multiLevelType w:val="hybridMultilevel"/>
    <w:tmpl w:val="D29054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71F6E04"/>
    <w:multiLevelType w:val="hybridMultilevel"/>
    <w:tmpl w:val="6A2475B4"/>
    <w:lvl w:ilvl="0" w:tplc="8168F706">
      <w:start w:val="2"/>
      <w:numFmt w:val="decimal"/>
      <w:lvlText w:val="%1.3"/>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364AD9"/>
    <w:multiLevelType w:val="hybridMultilevel"/>
    <w:tmpl w:val="6DE090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7AC7C6B"/>
    <w:multiLevelType w:val="hybridMultilevel"/>
    <w:tmpl w:val="CBA4F54C"/>
    <w:lvl w:ilvl="0" w:tplc="7D467580">
      <w:start w:val="5"/>
      <w:numFmt w:val="decimal"/>
      <w:lvlText w:val="%1.3"/>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07C30725"/>
    <w:multiLevelType w:val="hybridMultilevel"/>
    <w:tmpl w:val="92A2CCB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F07D0F"/>
    <w:multiLevelType w:val="multilevel"/>
    <w:tmpl w:val="FFA8647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A242A91"/>
    <w:multiLevelType w:val="hybridMultilevel"/>
    <w:tmpl w:val="8A26471A"/>
    <w:lvl w:ilvl="0" w:tplc="DAD81092">
      <w:start w:val="9"/>
      <w:numFmt w:val="decimal"/>
      <w:lvlText w:val="%1.3"/>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A272175"/>
    <w:multiLevelType w:val="hybridMultilevel"/>
    <w:tmpl w:val="C7989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0A853441"/>
    <w:multiLevelType w:val="hybridMultilevel"/>
    <w:tmpl w:val="C890F4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AF62028"/>
    <w:multiLevelType w:val="hybridMultilevel"/>
    <w:tmpl w:val="77FA2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B445AC3"/>
    <w:multiLevelType w:val="hybridMultilevel"/>
    <w:tmpl w:val="359A9EA6"/>
    <w:lvl w:ilvl="0" w:tplc="EE4C7DD0">
      <w:start w:val="1"/>
      <w:numFmt w:val="decimal"/>
      <w:lvlText w:val="4.2.%1.9"/>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D659F"/>
    <w:multiLevelType w:val="multilevel"/>
    <w:tmpl w:val="71F8A53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0C23414E"/>
    <w:multiLevelType w:val="hybridMultilevel"/>
    <w:tmpl w:val="ABC09010"/>
    <w:lvl w:ilvl="0" w:tplc="F5F2EB76">
      <w:start w:val="1"/>
      <w:numFmt w:val="decimal"/>
      <w:lvlText w:val="7.2.%1.2"/>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D0B1E6F"/>
    <w:multiLevelType w:val="hybridMultilevel"/>
    <w:tmpl w:val="663CA26A"/>
    <w:lvl w:ilvl="0" w:tplc="22B014EC">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DD35781"/>
    <w:multiLevelType w:val="singleLevel"/>
    <w:tmpl w:val="0DD35781"/>
    <w:lvl w:ilvl="0">
      <w:start w:val="1"/>
      <w:numFmt w:val="bullet"/>
      <w:lvlText w:val=""/>
      <w:lvlJc w:val="left"/>
      <w:pPr>
        <w:tabs>
          <w:tab w:val="left" w:pos="420"/>
        </w:tabs>
        <w:ind w:left="420" w:hanging="420"/>
      </w:pPr>
      <w:rPr>
        <w:rFonts w:ascii="Wingdings" w:hAnsi="Wingdings" w:hint="default"/>
      </w:rPr>
    </w:lvl>
  </w:abstractNum>
  <w:abstractNum w:abstractNumId="34" w15:restartNumberingAfterBreak="0">
    <w:nsid w:val="0E23150E"/>
    <w:multiLevelType w:val="hybridMultilevel"/>
    <w:tmpl w:val="CC6A9D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E8B1E1A"/>
    <w:multiLevelType w:val="hybridMultilevel"/>
    <w:tmpl w:val="49D49A7E"/>
    <w:lvl w:ilvl="0" w:tplc="2206B264">
      <w:start w:val="1"/>
      <w:numFmt w:val="decimal"/>
      <w:lvlText w:val="7.2.%1.6"/>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F8C24B5"/>
    <w:multiLevelType w:val="hybridMultilevel"/>
    <w:tmpl w:val="B5004214"/>
    <w:lvl w:ilvl="0" w:tplc="6F0CC306">
      <w:start w:val="2"/>
      <w:numFmt w:val="decimal"/>
      <w:lvlText w:val="5.%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0FC11A2F"/>
    <w:multiLevelType w:val="hybridMultilevel"/>
    <w:tmpl w:val="86F61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0135EFE"/>
    <w:multiLevelType w:val="hybridMultilevel"/>
    <w:tmpl w:val="1716FE9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107F1407"/>
    <w:multiLevelType w:val="hybridMultilevel"/>
    <w:tmpl w:val="06B6F5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09305E6"/>
    <w:multiLevelType w:val="hybridMultilevel"/>
    <w:tmpl w:val="E3469BD2"/>
    <w:lvl w:ilvl="0" w:tplc="826CE13A">
      <w:start w:val="9"/>
      <w:numFmt w:val="decimal"/>
      <w:lvlText w:val="%1.4"/>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0BA753C"/>
    <w:multiLevelType w:val="multilevel"/>
    <w:tmpl w:val="9E3CE368"/>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12C73E5"/>
    <w:multiLevelType w:val="hybridMultilevel"/>
    <w:tmpl w:val="F614DD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113672EB"/>
    <w:multiLevelType w:val="hybridMultilevel"/>
    <w:tmpl w:val="EB082528"/>
    <w:lvl w:ilvl="0" w:tplc="BB6216C6">
      <w:start w:val="8"/>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1D71A46"/>
    <w:multiLevelType w:val="hybridMultilevel"/>
    <w:tmpl w:val="4BB85E5A"/>
    <w:lvl w:ilvl="0" w:tplc="04090005">
      <w:start w:val="1"/>
      <w:numFmt w:val="bullet"/>
      <w:lvlText w:val=""/>
      <w:lvlJc w:val="left"/>
      <w:pPr>
        <w:ind w:left="360" w:hanging="360"/>
      </w:pPr>
      <w:rPr>
        <w:rFonts w:ascii="Wingdings" w:hAnsi="Wingdings"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127D09C9"/>
    <w:multiLevelType w:val="hybridMultilevel"/>
    <w:tmpl w:val="3A44AD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E22CA1"/>
    <w:multiLevelType w:val="hybridMultilevel"/>
    <w:tmpl w:val="B63220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12EE789B"/>
    <w:multiLevelType w:val="multilevel"/>
    <w:tmpl w:val="526EC4DE"/>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8" w15:restartNumberingAfterBreak="0">
    <w:nsid w:val="13096552"/>
    <w:multiLevelType w:val="hybridMultilevel"/>
    <w:tmpl w:val="1E60BA76"/>
    <w:lvl w:ilvl="0" w:tplc="E5F46BCC">
      <w:start w:val="8"/>
      <w:numFmt w:val="decimal"/>
      <w:lvlText w:val="2.%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33A4CF8"/>
    <w:multiLevelType w:val="hybridMultilevel"/>
    <w:tmpl w:val="4122181E"/>
    <w:lvl w:ilvl="0" w:tplc="BACCB8E8">
      <w:start w:val="1"/>
      <w:numFmt w:val="decimal"/>
      <w:lvlText w:val="8.2.%1.8"/>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3AB49D1"/>
    <w:multiLevelType w:val="hybridMultilevel"/>
    <w:tmpl w:val="8CE833BC"/>
    <w:lvl w:ilvl="0" w:tplc="39CA7E12">
      <w:start w:val="2"/>
      <w:numFmt w:val="decimal"/>
      <w:lvlText w:val="4.%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1449682C"/>
    <w:multiLevelType w:val="hybridMultilevel"/>
    <w:tmpl w:val="5308B2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54B7FAE"/>
    <w:multiLevelType w:val="hybridMultilevel"/>
    <w:tmpl w:val="19C28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560265C"/>
    <w:multiLevelType w:val="hybridMultilevel"/>
    <w:tmpl w:val="A5AAE1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56736AD"/>
    <w:multiLevelType w:val="hybridMultilevel"/>
    <w:tmpl w:val="9BCEDB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99217C"/>
    <w:multiLevelType w:val="hybridMultilevel"/>
    <w:tmpl w:val="129EAB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D52A27"/>
    <w:multiLevelType w:val="hybridMultilevel"/>
    <w:tmpl w:val="B9744B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6D816DF"/>
    <w:multiLevelType w:val="hybridMultilevel"/>
    <w:tmpl w:val="801C5452"/>
    <w:lvl w:ilvl="0" w:tplc="2EF49ABA">
      <w:start w:val="1"/>
      <w:numFmt w:val="decimal"/>
      <w:lvlText w:val="8.2.%1.3"/>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77D5E11"/>
    <w:multiLevelType w:val="hybridMultilevel"/>
    <w:tmpl w:val="D68C3B54"/>
    <w:lvl w:ilvl="0" w:tplc="F8BAA4C2">
      <w:start w:val="3"/>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78F0318"/>
    <w:multiLevelType w:val="hybridMultilevel"/>
    <w:tmpl w:val="5928D73E"/>
    <w:lvl w:ilvl="0" w:tplc="D45ECEBA">
      <w:start w:val="1"/>
      <w:numFmt w:val="decimal"/>
      <w:lvlText w:val="8.2.%1.5"/>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7B8305F"/>
    <w:multiLevelType w:val="hybridMultilevel"/>
    <w:tmpl w:val="E1204B02"/>
    <w:lvl w:ilvl="0" w:tplc="662E787E">
      <w:start w:val="1"/>
      <w:numFmt w:val="decimal"/>
      <w:lvlText w:val="7.2.%1.5"/>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80524D0"/>
    <w:multiLevelType w:val="hybridMultilevel"/>
    <w:tmpl w:val="23247E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070266"/>
    <w:multiLevelType w:val="hybridMultilevel"/>
    <w:tmpl w:val="FE86E5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18D976D2"/>
    <w:multiLevelType w:val="hybridMultilevel"/>
    <w:tmpl w:val="3E906E86"/>
    <w:lvl w:ilvl="0" w:tplc="4E9AF53A">
      <w:start w:val="1"/>
      <w:numFmt w:val="decimal"/>
      <w:lvlText w:val="8.2.%1.10"/>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95B74A7"/>
    <w:multiLevelType w:val="hybridMultilevel"/>
    <w:tmpl w:val="2BD855A6"/>
    <w:lvl w:ilvl="0" w:tplc="DFB0F784">
      <w:start w:val="1"/>
      <w:numFmt w:val="decimal"/>
      <w:lvlText w:val="8.2.%1.7"/>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19C00DE4"/>
    <w:multiLevelType w:val="hybridMultilevel"/>
    <w:tmpl w:val="0668266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9C729A9"/>
    <w:multiLevelType w:val="hybridMultilevel"/>
    <w:tmpl w:val="C48CE5A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Courier New"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Courier New" w:hint="default"/>
      </w:rPr>
    </w:lvl>
    <w:lvl w:ilvl="8" w:tplc="04090005">
      <w:start w:val="1"/>
      <w:numFmt w:val="bullet"/>
      <w:lvlText w:val=""/>
      <w:lvlJc w:val="left"/>
      <w:pPr>
        <w:ind w:left="5760" w:hanging="360"/>
      </w:pPr>
      <w:rPr>
        <w:rFonts w:ascii="Wingdings" w:hAnsi="Wingdings" w:hint="default"/>
      </w:rPr>
    </w:lvl>
  </w:abstractNum>
  <w:abstractNum w:abstractNumId="67" w15:restartNumberingAfterBreak="0">
    <w:nsid w:val="1A4A2C7F"/>
    <w:multiLevelType w:val="hybridMultilevel"/>
    <w:tmpl w:val="8D06C56C"/>
    <w:lvl w:ilvl="0" w:tplc="6F406D44">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A4A2E7A"/>
    <w:multiLevelType w:val="hybridMultilevel"/>
    <w:tmpl w:val="AD844264"/>
    <w:lvl w:ilvl="0" w:tplc="79DEA33C">
      <w:start w:val="2"/>
      <w:numFmt w:val="decimal"/>
      <w:lvlText w:val="8.%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1AEF6DC7"/>
    <w:multiLevelType w:val="hybridMultilevel"/>
    <w:tmpl w:val="1E2E196A"/>
    <w:lvl w:ilvl="0" w:tplc="373EAA90">
      <w:start w:val="2"/>
      <w:numFmt w:val="decimal"/>
      <w:lvlText w:val="6.%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1B096087"/>
    <w:multiLevelType w:val="hybridMultilevel"/>
    <w:tmpl w:val="7A465202"/>
    <w:lvl w:ilvl="0" w:tplc="8FAC39B0">
      <w:start w:val="8"/>
      <w:numFmt w:val="decimal"/>
      <w:lvlText w:val="2.%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BE01B85"/>
    <w:multiLevelType w:val="hybridMultilevel"/>
    <w:tmpl w:val="A4E0D4D4"/>
    <w:lvl w:ilvl="0" w:tplc="65A49AFE">
      <w:start w:val="2"/>
      <w:numFmt w:val="decimal"/>
      <w:lvlText w:val="8.%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1C325054"/>
    <w:multiLevelType w:val="hybridMultilevel"/>
    <w:tmpl w:val="F9F4CE8C"/>
    <w:lvl w:ilvl="0" w:tplc="5ECC249E">
      <w:start w:val="7"/>
      <w:numFmt w:val="decimal"/>
      <w:lvlText w:val="2.%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C7D2401"/>
    <w:multiLevelType w:val="hybridMultilevel"/>
    <w:tmpl w:val="FA7CF9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1CE252B5"/>
    <w:multiLevelType w:val="hybridMultilevel"/>
    <w:tmpl w:val="0038B566"/>
    <w:lvl w:ilvl="0" w:tplc="E3E44F48">
      <w:start w:val="1"/>
      <w:numFmt w:val="decimal"/>
      <w:lvlText w:val="5.2.%1.7"/>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DC24408"/>
    <w:multiLevelType w:val="hybridMultilevel"/>
    <w:tmpl w:val="0A607420"/>
    <w:lvl w:ilvl="0" w:tplc="62500456">
      <w:start w:val="2"/>
      <w:numFmt w:val="decimal"/>
      <w:lvlText w:val="3.%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1E112FFC"/>
    <w:multiLevelType w:val="hybridMultilevel"/>
    <w:tmpl w:val="34C6E28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1E695823"/>
    <w:multiLevelType w:val="hybridMultilevel"/>
    <w:tmpl w:val="4456EA6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1E891A73"/>
    <w:multiLevelType w:val="hybridMultilevel"/>
    <w:tmpl w:val="C9DA66B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1E9A2F33"/>
    <w:multiLevelType w:val="hybridMultilevel"/>
    <w:tmpl w:val="BA2A8AA2"/>
    <w:lvl w:ilvl="0" w:tplc="0D38659E">
      <w:start w:val="7"/>
      <w:numFmt w:val="decimal"/>
      <w:lvlText w:val="2.%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EC94CC1"/>
    <w:multiLevelType w:val="hybridMultilevel"/>
    <w:tmpl w:val="7AD014A4"/>
    <w:lvl w:ilvl="0" w:tplc="1B1C6E50">
      <w:start w:val="1"/>
      <w:numFmt w:val="decimal"/>
      <w:lvlText w:val="%1.2"/>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F2F0B56"/>
    <w:multiLevelType w:val="hybridMultilevel"/>
    <w:tmpl w:val="2CC4DB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1F942E00"/>
    <w:multiLevelType w:val="multilevel"/>
    <w:tmpl w:val="00CC0566"/>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0004FBC"/>
    <w:multiLevelType w:val="hybridMultilevel"/>
    <w:tmpl w:val="5DD64B7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2038391A"/>
    <w:multiLevelType w:val="hybridMultilevel"/>
    <w:tmpl w:val="A73EA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1014C02"/>
    <w:multiLevelType w:val="hybridMultilevel"/>
    <w:tmpl w:val="5148CC6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21462EA4"/>
    <w:multiLevelType w:val="multilevel"/>
    <w:tmpl w:val="E8081D2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7" w15:restartNumberingAfterBreak="0">
    <w:nsid w:val="21E34367"/>
    <w:multiLevelType w:val="hybridMultilevel"/>
    <w:tmpl w:val="F9C6AB1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1EE4D0E"/>
    <w:multiLevelType w:val="hybridMultilevel"/>
    <w:tmpl w:val="D1E0248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2083291"/>
    <w:multiLevelType w:val="hybridMultilevel"/>
    <w:tmpl w:val="D4729F84"/>
    <w:lvl w:ilvl="0" w:tplc="0040D6E0">
      <w:start w:val="2"/>
      <w:numFmt w:val="decimal"/>
      <w:lvlText w:val="6.%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2223D9F"/>
    <w:multiLevelType w:val="hybridMultilevel"/>
    <w:tmpl w:val="89C265BA"/>
    <w:lvl w:ilvl="0" w:tplc="DD86DE12">
      <w:start w:val="1"/>
      <w:numFmt w:val="decimal"/>
      <w:lvlText w:val="%1.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26E001C"/>
    <w:multiLevelType w:val="hybridMultilevel"/>
    <w:tmpl w:val="A6E64030"/>
    <w:lvl w:ilvl="0" w:tplc="F822EC3A">
      <w:start w:val="2"/>
      <w:numFmt w:val="decimal"/>
      <w:lvlText w:val="5.%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29E52CA"/>
    <w:multiLevelType w:val="hybridMultilevel"/>
    <w:tmpl w:val="AFB2D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36E7C93"/>
    <w:multiLevelType w:val="hybridMultilevel"/>
    <w:tmpl w:val="3432E5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239674C9"/>
    <w:multiLevelType w:val="hybridMultilevel"/>
    <w:tmpl w:val="657A55F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41C07DB"/>
    <w:multiLevelType w:val="hybridMultilevel"/>
    <w:tmpl w:val="0C987E6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243E1518"/>
    <w:multiLevelType w:val="hybridMultilevel"/>
    <w:tmpl w:val="E0CCAD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2507280C"/>
    <w:multiLevelType w:val="hybridMultilevel"/>
    <w:tmpl w:val="9942F8AA"/>
    <w:lvl w:ilvl="0" w:tplc="3AC4E112">
      <w:start w:val="1"/>
      <w:numFmt w:val="decimal"/>
      <w:lvlText w:val="5.2.%1.1"/>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15:restartNumberingAfterBreak="0">
    <w:nsid w:val="263F0BAC"/>
    <w:multiLevelType w:val="hybridMultilevel"/>
    <w:tmpl w:val="E138C23E"/>
    <w:lvl w:ilvl="0" w:tplc="06D47148">
      <w:start w:val="3"/>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266C2547"/>
    <w:multiLevelType w:val="hybridMultilevel"/>
    <w:tmpl w:val="9C88BCF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6856C11"/>
    <w:multiLevelType w:val="hybridMultilevel"/>
    <w:tmpl w:val="4AE825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276809E3"/>
    <w:multiLevelType w:val="hybridMultilevel"/>
    <w:tmpl w:val="CFFEFD6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76B6416"/>
    <w:multiLevelType w:val="hybridMultilevel"/>
    <w:tmpl w:val="C80E535C"/>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3" w15:restartNumberingAfterBreak="0">
    <w:nsid w:val="277569B5"/>
    <w:multiLevelType w:val="hybridMultilevel"/>
    <w:tmpl w:val="1E2A8B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801734C"/>
    <w:multiLevelType w:val="hybridMultilevel"/>
    <w:tmpl w:val="BF907E08"/>
    <w:lvl w:ilvl="0" w:tplc="73F60BA6">
      <w:start w:val="8"/>
      <w:numFmt w:val="decimal"/>
      <w:lvlText w:val="2.%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86867EE"/>
    <w:multiLevelType w:val="hybridMultilevel"/>
    <w:tmpl w:val="B18E02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8C95496"/>
    <w:multiLevelType w:val="hybridMultilevel"/>
    <w:tmpl w:val="7382C0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28F14CE4"/>
    <w:multiLevelType w:val="hybridMultilevel"/>
    <w:tmpl w:val="8E1E7774"/>
    <w:lvl w:ilvl="0" w:tplc="221A8C98">
      <w:start w:val="2"/>
      <w:numFmt w:val="decimal"/>
      <w:lvlText w:val="6.%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297C2D98"/>
    <w:multiLevelType w:val="hybridMultilevel"/>
    <w:tmpl w:val="0206F55A"/>
    <w:lvl w:ilvl="0" w:tplc="3DE4DBE8">
      <w:start w:val="2"/>
      <w:numFmt w:val="decimal"/>
      <w:lvlText w:val="%1.8"/>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A3976A5"/>
    <w:multiLevelType w:val="hybridMultilevel"/>
    <w:tmpl w:val="61F09ED0"/>
    <w:lvl w:ilvl="0" w:tplc="1F58EEC4">
      <w:start w:val="2"/>
      <w:numFmt w:val="decimal"/>
      <w:lvlText w:val="%1.6"/>
      <w:lvlJc w:val="left"/>
      <w:pPr>
        <w:ind w:left="36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2A9F42F0"/>
    <w:multiLevelType w:val="hybridMultilevel"/>
    <w:tmpl w:val="81FE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2BA16FE6"/>
    <w:multiLevelType w:val="hybridMultilevel"/>
    <w:tmpl w:val="1488E2E0"/>
    <w:lvl w:ilvl="0" w:tplc="263633BE">
      <w:start w:val="4"/>
      <w:numFmt w:val="decimal"/>
      <w:lvlText w:val="%1.7"/>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BCF5B74"/>
    <w:multiLevelType w:val="hybridMultilevel"/>
    <w:tmpl w:val="11F08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2C016FFF"/>
    <w:multiLevelType w:val="hybridMultilevel"/>
    <w:tmpl w:val="6A0E11C8"/>
    <w:lvl w:ilvl="0" w:tplc="906E76F2">
      <w:start w:val="2"/>
      <w:numFmt w:val="decimal"/>
      <w:lvlText w:val="5.%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2C1D096A"/>
    <w:multiLevelType w:val="hybridMultilevel"/>
    <w:tmpl w:val="6466319E"/>
    <w:lvl w:ilvl="0" w:tplc="ADBCB000">
      <w:start w:val="1"/>
      <w:numFmt w:val="decimal"/>
      <w:lvlText w:val="6.2.%1.3"/>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C5D3101"/>
    <w:multiLevelType w:val="hybridMultilevel"/>
    <w:tmpl w:val="8FCC10DA"/>
    <w:lvl w:ilvl="0" w:tplc="A66AD0D8">
      <w:start w:val="2"/>
      <w:numFmt w:val="decimal"/>
      <w:lvlText w:val="%1.4"/>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CB3195F"/>
    <w:multiLevelType w:val="hybridMultilevel"/>
    <w:tmpl w:val="0AB8A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2CB43C61"/>
    <w:multiLevelType w:val="hybridMultilevel"/>
    <w:tmpl w:val="1B8639B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2F103FBB"/>
    <w:multiLevelType w:val="hybridMultilevel"/>
    <w:tmpl w:val="54D4B54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2F772577"/>
    <w:multiLevelType w:val="hybridMultilevel"/>
    <w:tmpl w:val="01FA39F8"/>
    <w:lvl w:ilvl="0" w:tplc="DE74BCD8">
      <w:start w:val="3"/>
      <w:numFmt w:val="decimal"/>
      <w:lvlText w:val="%1.7"/>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F9657FF"/>
    <w:multiLevelType w:val="hybridMultilevel"/>
    <w:tmpl w:val="13AE7FB8"/>
    <w:lvl w:ilvl="0" w:tplc="83583CCA">
      <w:start w:val="2"/>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2FC009A4"/>
    <w:multiLevelType w:val="hybridMultilevel"/>
    <w:tmpl w:val="290E61A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2FD3014B"/>
    <w:multiLevelType w:val="hybridMultilevel"/>
    <w:tmpl w:val="92A89D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2FEE0A70"/>
    <w:multiLevelType w:val="hybridMultilevel"/>
    <w:tmpl w:val="44A49A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300D0E34"/>
    <w:multiLevelType w:val="hybridMultilevel"/>
    <w:tmpl w:val="1F6242B6"/>
    <w:lvl w:ilvl="0" w:tplc="A48AE05C">
      <w:start w:val="2"/>
      <w:numFmt w:val="decimal"/>
      <w:lvlText w:val="5.%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30EF76D2"/>
    <w:multiLevelType w:val="hybridMultilevel"/>
    <w:tmpl w:val="8C96E1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31251729"/>
    <w:multiLevelType w:val="hybridMultilevel"/>
    <w:tmpl w:val="681EC38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1541B71"/>
    <w:multiLevelType w:val="multilevel"/>
    <w:tmpl w:val="0C9634A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8" w15:restartNumberingAfterBreak="0">
    <w:nsid w:val="31892079"/>
    <w:multiLevelType w:val="hybridMultilevel"/>
    <w:tmpl w:val="EF6483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31CA42C0"/>
    <w:multiLevelType w:val="hybridMultilevel"/>
    <w:tmpl w:val="3D0672E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31D72FC1"/>
    <w:multiLevelType w:val="hybridMultilevel"/>
    <w:tmpl w:val="A6884040"/>
    <w:lvl w:ilvl="0" w:tplc="73D4E820">
      <w:start w:val="2"/>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1ED15C2"/>
    <w:multiLevelType w:val="hybridMultilevel"/>
    <w:tmpl w:val="F0C2E61A"/>
    <w:lvl w:ilvl="0" w:tplc="CB9A805A">
      <w:start w:val="5"/>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15:restartNumberingAfterBreak="0">
    <w:nsid w:val="324B2B9B"/>
    <w:multiLevelType w:val="hybridMultilevel"/>
    <w:tmpl w:val="829E4F82"/>
    <w:lvl w:ilvl="0" w:tplc="A0345F9C">
      <w:start w:val="3"/>
      <w:numFmt w:val="decimal"/>
      <w:lvlText w:val="%1.8"/>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326920AB"/>
    <w:multiLevelType w:val="hybridMultilevel"/>
    <w:tmpl w:val="A988796A"/>
    <w:lvl w:ilvl="0" w:tplc="7F206BF2">
      <w:start w:val="1"/>
      <w:numFmt w:val="decimal"/>
      <w:lvlText w:val="7.2.%1.10"/>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32B75741"/>
    <w:multiLevelType w:val="hybridMultilevel"/>
    <w:tmpl w:val="282EE3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2FB0058"/>
    <w:multiLevelType w:val="hybridMultilevel"/>
    <w:tmpl w:val="A26EEAF8"/>
    <w:lvl w:ilvl="0" w:tplc="76DEC37E">
      <w:start w:val="7"/>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3602A25"/>
    <w:multiLevelType w:val="hybridMultilevel"/>
    <w:tmpl w:val="52FC0D4E"/>
    <w:lvl w:ilvl="0" w:tplc="77DE186C">
      <w:start w:val="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15:restartNumberingAfterBreak="0">
    <w:nsid w:val="339464FA"/>
    <w:multiLevelType w:val="hybridMultilevel"/>
    <w:tmpl w:val="4CB2CB1E"/>
    <w:lvl w:ilvl="0" w:tplc="27CC0822">
      <w:start w:val="5"/>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339A4BEA"/>
    <w:multiLevelType w:val="hybridMultilevel"/>
    <w:tmpl w:val="6B96BDFC"/>
    <w:lvl w:ilvl="0" w:tplc="219017C8">
      <w:start w:val="3"/>
      <w:numFmt w:val="decimal"/>
      <w:lvlText w:val="1.%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15:restartNumberingAfterBreak="0">
    <w:nsid w:val="344A2DAD"/>
    <w:multiLevelType w:val="hybridMultilevel"/>
    <w:tmpl w:val="EA5EBB1C"/>
    <w:lvl w:ilvl="0" w:tplc="0038E182">
      <w:start w:val="1"/>
      <w:numFmt w:val="decimal"/>
      <w:lvlText w:val="6.2.%1.9"/>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34DF0B73"/>
    <w:multiLevelType w:val="hybridMultilevel"/>
    <w:tmpl w:val="E3C6E0B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35D31F60"/>
    <w:multiLevelType w:val="hybridMultilevel"/>
    <w:tmpl w:val="A420F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6466678"/>
    <w:multiLevelType w:val="hybridMultilevel"/>
    <w:tmpl w:val="CAE403C0"/>
    <w:lvl w:ilvl="0" w:tplc="39C83B90">
      <w:start w:val="9"/>
      <w:numFmt w:val="decimal"/>
      <w:lvlText w:val="%1.2"/>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366B55BB"/>
    <w:multiLevelType w:val="hybridMultilevel"/>
    <w:tmpl w:val="63922E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37421559"/>
    <w:multiLevelType w:val="hybridMultilevel"/>
    <w:tmpl w:val="6B56480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Courier New"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Courier New" w:hint="default"/>
      </w:rPr>
    </w:lvl>
    <w:lvl w:ilvl="8" w:tplc="04090005">
      <w:start w:val="1"/>
      <w:numFmt w:val="bullet"/>
      <w:lvlText w:val=""/>
      <w:lvlJc w:val="left"/>
      <w:pPr>
        <w:ind w:left="5760" w:hanging="360"/>
      </w:pPr>
      <w:rPr>
        <w:rFonts w:ascii="Wingdings" w:hAnsi="Wingdings" w:hint="default"/>
      </w:rPr>
    </w:lvl>
  </w:abstractNum>
  <w:abstractNum w:abstractNumId="145" w15:restartNumberingAfterBreak="0">
    <w:nsid w:val="37EC0D4E"/>
    <w:multiLevelType w:val="hybridMultilevel"/>
    <w:tmpl w:val="5774960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3892035D"/>
    <w:multiLevelType w:val="hybridMultilevel"/>
    <w:tmpl w:val="8E2E15C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8CF2CFE"/>
    <w:multiLevelType w:val="hybridMultilevel"/>
    <w:tmpl w:val="9406564C"/>
    <w:lvl w:ilvl="0" w:tplc="ECDEC7E6">
      <w:start w:val="11"/>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390F3276"/>
    <w:multiLevelType w:val="hybridMultilevel"/>
    <w:tmpl w:val="13DC423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39135A3A"/>
    <w:multiLevelType w:val="hybridMultilevel"/>
    <w:tmpl w:val="3FC82B72"/>
    <w:lvl w:ilvl="0" w:tplc="C99AD82A">
      <w:start w:val="6"/>
      <w:numFmt w:val="decimal"/>
      <w:lvlText w:val="%1.7"/>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9385794"/>
    <w:multiLevelType w:val="hybridMultilevel"/>
    <w:tmpl w:val="3BBC24B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39E96529"/>
    <w:multiLevelType w:val="hybridMultilevel"/>
    <w:tmpl w:val="2708BF60"/>
    <w:lvl w:ilvl="0" w:tplc="84FAFE94">
      <w:start w:val="1"/>
      <w:numFmt w:val="decimal"/>
      <w:lvlText w:val="4.2.%1.4"/>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A2E41DF"/>
    <w:multiLevelType w:val="hybridMultilevel"/>
    <w:tmpl w:val="9A7CFEDE"/>
    <w:lvl w:ilvl="0" w:tplc="0409000B">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3BBA7DC0"/>
    <w:multiLevelType w:val="hybridMultilevel"/>
    <w:tmpl w:val="E808139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3C2F054D"/>
    <w:multiLevelType w:val="hybridMultilevel"/>
    <w:tmpl w:val="29E0FDDC"/>
    <w:lvl w:ilvl="0" w:tplc="551A54E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C5E23D6"/>
    <w:multiLevelType w:val="hybridMultilevel"/>
    <w:tmpl w:val="0B82C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C86212F"/>
    <w:multiLevelType w:val="hybridMultilevel"/>
    <w:tmpl w:val="37BC75F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3CD9161F"/>
    <w:multiLevelType w:val="multilevel"/>
    <w:tmpl w:val="9DCACBC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8" w15:restartNumberingAfterBreak="0">
    <w:nsid w:val="3D133F0C"/>
    <w:multiLevelType w:val="hybridMultilevel"/>
    <w:tmpl w:val="5B7636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3D9C4A69"/>
    <w:multiLevelType w:val="hybridMultilevel"/>
    <w:tmpl w:val="D0BE8FA8"/>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3E2259E2"/>
    <w:multiLevelType w:val="hybridMultilevel"/>
    <w:tmpl w:val="6BE47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3E3C5119"/>
    <w:multiLevelType w:val="hybridMultilevel"/>
    <w:tmpl w:val="E9B8CC0E"/>
    <w:lvl w:ilvl="0" w:tplc="5A5CCCF6">
      <w:start w:val="12"/>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3E7252C5"/>
    <w:multiLevelType w:val="hybridMultilevel"/>
    <w:tmpl w:val="3DB6DA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3E8D7451"/>
    <w:multiLevelType w:val="hybridMultilevel"/>
    <w:tmpl w:val="52B672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3F2A6C52"/>
    <w:multiLevelType w:val="hybridMultilevel"/>
    <w:tmpl w:val="69D0BBEC"/>
    <w:lvl w:ilvl="0" w:tplc="F21EEF86">
      <w:start w:val="1"/>
      <w:numFmt w:val="decimal"/>
      <w:lvlText w:val="7.2.%1.4"/>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F600371"/>
    <w:multiLevelType w:val="hybridMultilevel"/>
    <w:tmpl w:val="5D0E5A7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3FFB3664"/>
    <w:multiLevelType w:val="hybridMultilevel"/>
    <w:tmpl w:val="A3241CFA"/>
    <w:lvl w:ilvl="0" w:tplc="04090001">
      <w:start w:val="1"/>
      <w:numFmt w:val="bullet"/>
      <w:lvlText w:val=""/>
      <w:lvlJc w:val="left"/>
      <w:pPr>
        <w:ind w:left="516" w:hanging="360"/>
      </w:pPr>
      <w:rPr>
        <w:rFonts w:ascii="Symbol" w:hAnsi="Symbol" w:hint="default"/>
      </w:rPr>
    </w:lvl>
    <w:lvl w:ilvl="1" w:tplc="04090003">
      <w:start w:val="1"/>
      <w:numFmt w:val="bullet"/>
      <w:lvlText w:val="o"/>
      <w:lvlJc w:val="left"/>
      <w:pPr>
        <w:ind w:left="1236" w:hanging="360"/>
      </w:pPr>
      <w:rPr>
        <w:rFonts w:ascii="Courier New" w:hAnsi="Courier New" w:cs="Courier New" w:hint="default"/>
      </w:rPr>
    </w:lvl>
    <w:lvl w:ilvl="2" w:tplc="04090005">
      <w:start w:val="1"/>
      <w:numFmt w:val="bullet"/>
      <w:lvlText w:val=""/>
      <w:lvlJc w:val="left"/>
      <w:pPr>
        <w:ind w:left="1956" w:hanging="360"/>
      </w:pPr>
      <w:rPr>
        <w:rFonts w:ascii="Wingdings" w:hAnsi="Wingdings" w:hint="default"/>
      </w:rPr>
    </w:lvl>
    <w:lvl w:ilvl="3" w:tplc="04090001">
      <w:start w:val="1"/>
      <w:numFmt w:val="bullet"/>
      <w:lvlText w:val=""/>
      <w:lvlJc w:val="left"/>
      <w:pPr>
        <w:ind w:left="2676" w:hanging="360"/>
      </w:pPr>
      <w:rPr>
        <w:rFonts w:ascii="Symbol" w:hAnsi="Symbol" w:hint="default"/>
      </w:rPr>
    </w:lvl>
    <w:lvl w:ilvl="4" w:tplc="04090003">
      <w:start w:val="1"/>
      <w:numFmt w:val="bullet"/>
      <w:lvlText w:val="o"/>
      <w:lvlJc w:val="left"/>
      <w:pPr>
        <w:ind w:left="3396" w:hanging="360"/>
      </w:pPr>
      <w:rPr>
        <w:rFonts w:ascii="Courier New" w:hAnsi="Courier New" w:cs="Courier New" w:hint="default"/>
      </w:rPr>
    </w:lvl>
    <w:lvl w:ilvl="5" w:tplc="04090005">
      <w:start w:val="1"/>
      <w:numFmt w:val="bullet"/>
      <w:lvlText w:val=""/>
      <w:lvlJc w:val="left"/>
      <w:pPr>
        <w:ind w:left="4116" w:hanging="360"/>
      </w:pPr>
      <w:rPr>
        <w:rFonts w:ascii="Wingdings" w:hAnsi="Wingdings" w:hint="default"/>
      </w:rPr>
    </w:lvl>
    <w:lvl w:ilvl="6" w:tplc="04090001">
      <w:start w:val="1"/>
      <w:numFmt w:val="bullet"/>
      <w:lvlText w:val=""/>
      <w:lvlJc w:val="left"/>
      <w:pPr>
        <w:ind w:left="4836" w:hanging="360"/>
      </w:pPr>
      <w:rPr>
        <w:rFonts w:ascii="Symbol" w:hAnsi="Symbol" w:hint="default"/>
      </w:rPr>
    </w:lvl>
    <w:lvl w:ilvl="7" w:tplc="04090003">
      <w:start w:val="1"/>
      <w:numFmt w:val="bullet"/>
      <w:lvlText w:val="o"/>
      <w:lvlJc w:val="left"/>
      <w:pPr>
        <w:ind w:left="5556" w:hanging="360"/>
      </w:pPr>
      <w:rPr>
        <w:rFonts w:ascii="Courier New" w:hAnsi="Courier New" w:cs="Courier New" w:hint="default"/>
      </w:rPr>
    </w:lvl>
    <w:lvl w:ilvl="8" w:tplc="04090005">
      <w:start w:val="1"/>
      <w:numFmt w:val="bullet"/>
      <w:lvlText w:val=""/>
      <w:lvlJc w:val="left"/>
      <w:pPr>
        <w:ind w:left="6276" w:hanging="360"/>
      </w:pPr>
      <w:rPr>
        <w:rFonts w:ascii="Wingdings" w:hAnsi="Wingdings" w:hint="default"/>
      </w:rPr>
    </w:lvl>
  </w:abstractNum>
  <w:abstractNum w:abstractNumId="167" w15:restartNumberingAfterBreak="0">
    <w:nsid w:val="400656A2"/>
    <w:multiLevelType w:val="hybridMultilevel"/>
    <w:tmpl w:val="4EAEF2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4019453E"/>
    <w:multiLevelType w:val="hybridMultilevel"/>
    <w:tmpl w:val="22880AA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403155FE"/>
    <w:multiLevelType w:val="hybridMultilevel"/>
    <w:tmpl w:val="5804F8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1411E42"/>
    <w:multiLevelType w:val="hybridMultilevel"/>
    <w:tmpl w:val="CAEAF75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41714CCE"/>
    <w:multiLevelType w:val="hybridMultilevel"/>
    <w:tmpl w:val="07A6DD9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41936518"/>
    <w:multiLevelType w:val="hybridMultilevel"/>
    <w:tmpl w:val="51E2D5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41C44380"/>
    <w:multiLevelType w:val="hybridMultilevel"/>
    <w:tmpl w:val="E722BD3A"/>
    <w:lvl w:ilvl="0" w:tplc="103E655C">
      <w:start w:val="1"/>
      <w:numFmt w:val="decimal"/>
      <w:lvlText w:val="4.2.%1.8"/>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1F92393"/>
    <w:multiLevelType w:val="hybridMultilevel"/>
    <w:tmpl w:val="D79C1A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41FC2552"/>
    <w:multiLevelType w:val="hybridMultilevel"/>
    <w:tmpl w:val="94A4CDB8"/>
    <w:lvl w:ilvl="0" w:tplc="8BE4424A">
      <w:start w:val="10"/>
      <w:numFmt w:val="decimal"/>
      <w:lvlText w:val="%1.3"/>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2F569ED"/>
    <w:multiLevelType w:val="hybridMultilevel"/>
    <w:tmpl w:val="F906E9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430B40C5"/>
    <w:multiLevelType w:val="hybridMultilevel"/>
    <w:tmpl w:val="9674605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8" w15:restartNumberingAfterBreak="0">
    <w:nsid w:val="43294742"/>
    <w:multiLevelType w:val="hybridMultilevel"/>
    <w:tmpl w:val="DDC8F2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432D5F96"/>
    <w:multiLevelType w:val="hybridMultilevel"/>
    <w:tmpl w:val="9E24452A"/>
    <w:lvl w:ilvl="0" w:tplc="86DE7A34">
      <w:start w:val="9"/>
      <w:numFmt w:val="decimal"/>
      <w:lvlText w:val="%1.5"/>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3624ED5"/>
    <w:multiLevelType w:val="hybridMultilevel"/>
    <w:tmpl w:val="C060C52C"/>
    <w:lvl w:ilvl="0" w:tplc="313AE07E">
      <w:start w:val="1"/>
      <w:numFmt w:val="decimal"/>
      <w:lvlText w:val="5.2.%1.8"/>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43903639"/>
    <w:multiLevelType w:val="hybridMultilevel"/>
    <w:tmpl w:val="BB30945A"/>
    <w:lvl w:ilvl="0" w:tplc="44A8529C">
      <w:start w:val="6"/>
      <w:numFmt w:val="decimal"/>
      <w:lvlText w:val="%1.3"/>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43C50DB1"/>
    <w:multiLevelType w:val="hybridMultilevel"/>
    <w:tmpl w:val="7752142A"/>
    <w:lvl w:ilvl="0" w:tplc="982EAF1C">
      <w:start w:val="2"/>
      <w:numFmt w:val="decimal"/>
      <w:lvlText w:val="%1.6"/>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50F0C74"/>
    <w:multiLevelType w:val="hybridMultilevel"/>
    <w:tmpl w:val="4E709446"/>
    <w:lvl w:ilvl="0" w:tplc="C4045FF2">
      <w:start w:val="7"/>
      <w:numFmt w:val="decimal"/>
      <w:lvlText w:val="2.%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56C7048"/>
    <w:multiLevelType w:val="hybridMultilevel"/>
    <w:tmpl w:val="B290D4E0"/>
    <w:lvl w:ilvl="0" w:tplc="2BA26F3A">
      <w:start w:val="2"/>
      <w:numFmt w:val="decimal"/>
      <w:lvlText w:val="3.%1.2"/>
      <w:lvlJc w:val="left"/>
      <w:pPr>
        <w:ind w:left="-285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2130" w:hanging="360"/>
      </w:pPr>
    </w:lvl>
    <w:lvl w:ilvl="2" w:tplc="0409001B" w:tentative="1">
      <w:start w:val="1"/>
      <w:numFmt w:val="lowerRoman"/>
      <w:lvlText w:val="%3."/>
      <w:lvlJc w:val="right"/>
      <w:pPr>
        <w:ind w:left="-1410" w:hanging="180"/>
      </w:pPr>
    </w:lvl>
    <w:lvl w:ilvl="3" w:tplc="0409000F" w:tentative="1">
      <w:start w:val="1"/>
      <w:numFmt w:val="decimal"/>
      <w:lvlText w:val="%4."/>
      <w:lvlJc w:val="left"/>
      <w:pPr>
        <w:ind w:left="-690" w:hanging="360"/>
      </w:pPr>
    </w:lvl>
    <w:lvl w:ilvl="4" w:tplc="04090019" w:tentative="1">
      <w:start w:val="1"/>
      <w:numFmt w:val="lowerLetter"/>
      <w:lvlText w:val="%5."/>
      <w:lvlJc w:val="left"/>
      <w:pPr>
        <w:ind w:left="30" w:hanging="360"/>
      </w:pPr>
    </w:lvl>
    <w:lvl w:ilvl="5" w:tplc="0409001B" w:tentative="1">
      <w:start w:val="1"/>
      <w:numFmt w:val="lowerRoman"/>
      <w:lvlText w:val="%6."/>
      <w:lvlJc w:val="right"/>
      <w:pPr>
        <w:ind w:left="750" w:hanging="180"/>
      </w:pPr>
    </w:lvl>
    <w:lvl w:ilvl="6" w:tplc="0409000F" w:tentative="1">
      <w:start w:val="1"/>
      <w:numFmt w:val="decimal"/>
      <w:lvlText w:val="%7."/>
      <w:lvlJc w:val="left"/>
      <w:pPr>
        <w:ind w:left="1470" w:hanging="360"/>
      </w:pPr>
    </w:lvl>
    <w:lvl w:ilvl="7" w:tplc="04090019" w:tentative="1">
      <w:start w:val="1"/>
      <w:numFmt w:val="lowerLetter"/>
      <w:lvlText w:val="%8."/>
      <w:lvlJc w:val="left"/>
      <w:pPr>
        <w:ind w:left="2190" w:hanging="360"/>
      </w:pPr>
    </w:lvl>
    <w:lvl w:ilvl="8" w:tplc="0409001B" w:tentative="1">
      <w:start w:val="1"/>
      <w:numFmt w:val="lowerRoman"/>
      <w:lvlText w:val="%9."/>
      <w:lvlJc w:val="right"/>
      <w:pPr>
        <w:ind w:left="2910" w:hanging="180"/>
      </w:pPr>
    </w:lvl>
  </w:abstractNum>
  <w:abstractNum w:abstractNumId="185" w15:restartNumberingAfterBreak="0">
    <w:nsid w:val="459E0ABF"/>
    <w:multiLevelType w:val="hybridMultilevel"/>
    <w:tmpl w:val="4DDA1ED2"/>
    <w:lvl w:ilvl="0" w:tplc="C9101498">
      <w:start w:val="12"/>
      <w:numFmt w:val="decimal"/>
      <w:lvlText w:val="%1.3"/>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45BB6197"/>
    <w:multiLevelType w:val="hybridMultilevel"/>
    <w:tmpl w:val="C9F2D972"/>
    <w:lvl w:ilvl="0" w:tplc="72CECAF2">
      <w:start w:val="2"/>
      <w:numFmt w:val="decimal"/>
      <w:lvlText w:val="4.%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45BD2A8F"/>
    <w:multiLevelType w:val="hybridMultilevel"/>
    <w:tmpl w:val="D5687116"/>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5CD03A5"/>
    <w:multiLevelType w:val="hybridMultilevel"/>
    <w:tmpl w:val="05002B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4604482C"/>
    <w:multiLevelType w:val="hybridMultilevel"/>
    <w:tmpl w:val="282801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61017F6"/>
    <w:multiLevelType w:val="multilevel"/>
    <w:tmpl w:val="DB4C7458"/>
    <w:lvl w:ilvl="0">
      <w:start w:val="1"/>
      <w:numFmt w:val="bullet"/>
      <w:lvlText w:val=""/>
      <w:lvlJc w:val="left"/>
      <w:pPr>
        <w:ind w:left="720" w:hanging="360"/>
      </w:pPr>
      <w:rPr>
        <w:rFonts w:ascii="Wingdings" w:hAnsi="Wingdings" w:hint="default"/>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1" w15:restartNumberingAfterBreak="0">
    <w:nsid w:val="47147BB9"/>
    <w:multiLevelType w:val="hybridMultilevel"/>
    <w:tmpl w:val="50EE50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47640F2C"/>
    <w:multiLevelType w:val="hybridMultilevel"/>
    <w:tmpl w:val="8D2C7C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478D30CE"/>
    <w:multiLevelType w:val="hybridMultilevel"/>
    <w:tmpl w:val="09706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7D9173B"/>
    <w:multiLevelType w:val="hybridMultilevel"/>
    <w:tmpl w:val="C6DC87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7F83ABD"/>
    <w:multiLevelType w:val="hybridMultilevel"/>
    <w:tmpl w:val="6C0CA1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484960C3"/>
    <w:multiLevelType w:val="hybridMultilevel"/>
    <w:tmpl w:val="BF3AB23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5">
      <w:start w:val="1"/>
      <w:numFmt w:val="bullet"/>
      <w:lvlText w:val=""/>
      <w:lvlJc w:val="left"/>
      <w:pPr>
        <w:ind w:left="2160" w:hanging="360"/>
      </w:pPr>
      <w:rPr>
        <w:rFonts w:ascii="Wingdings" w:hAnsi="Wingdings" w:hint="default"/>
      </w:rPr>
    </w:lvl>
    <w:lvl w:ilvl="4" w:tplc="04090003">
      <w:start w:val="1"/>
      <w:numFmt w:val="bullet"/>
      <w:lvlText w:val="o"/>
      <w:lvlJc w:val="left"/>
      <w:pPr>
        <w:ind w:left="2880" w:hanging="360"/>
      </w:pPr>
      <w:rPr>
        <w:rFonts w:ascii="Courier New" w:hAnsi="Courier New" w:cs="Courier New"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Courier New" w:hint="default"/>
      </w:rPr>
    </w:lvl>
    <w:lvl w:ilvl="8" w:tplc="04090005">
      <w:start w:val="1"/>
      <w:numFmt w:val="bullet"/>
      <w:lvlText w:val=""/>
      <w:lvlJc w:val="left"/>
      <w:pPr>
        <w:ind w:left="5760" w:hanging="360"/>
      </w:pPr>
      <w:rPr>
        <w:rFonts w:ascii="Wingdings" w:hAnsi="Wingdings" w:hint="default"/>
      </w:rPr>
    </w:lvl>
  </w:abstractNum>
  <w:abstractNum w:abstractNumId="197" w15:restartNumberingAfterBreak="0">
    <w:nsid w:val="48F80B73"/>
    <w:multiLevelType w:val="hybridMultilevel"/>
    <w:tmpl w:val="B93CDEB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48FA6EAD"/>
    <w:multiLevelType w:val="hybridMultilevel"/>
    <w:tmpl w:val="11EE1E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4910217A"/>
    <w:multiLevelType w:val="hybridMultilevel"/>
    <w:tmpl w:val="20CEDC84"/>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start w:val="1"/>
      <w:numFmt w:val="bullet"/>
      <w:lvlText w:val="o"/>
      <w:lvlJc w:val="left"/>
      <w:pPr>
        <w:ind w:left="2880" w:hanging="360"/>
      </w:pPr>
      <w:rPr>
        <w:rFonts w:ascii="Courier New" w:hAnsi="Courier New" w:cs="Courier New" w:hint="default"/>
      </w:rPr>
    </w:lvl>
    <w:lvl w:ilvl="5" w:tplc="04090005">
      <w:start w:val="1"/>
      <w:numFmt w:val="bullet"/>
      <w:lvlText w:val=""/>
      <w:lvlJc w:val="left"/>
      <w:pPr>
        <w:ind w:left="3600" w:hanging="360"/>
      </w:pPr>
      <w:rPr>
        <w:rFonts w:ascii="Wingdings" w:hAnsi="Wingdings" w:hint="default"/>
      </w:rPr>
    </w:lvl>
    <w:lvl w:ilvl="6" w:tplc="04090001">
      <w:start w:val="1"/>
      <w:numFmt w:val="bullet"/>
      <w:lvlText w:val=""/>
      <w:lvlJc w:val="left"/>
      <w:pPr>
        <w:ind w:left="4320" w:hanging="360"/>
      </w:pPr>
      <w:rPr>
        <w:rFonts w:ascii="Symbol" w:hAnsi="Symbol" w:hint="default"/>
      </w:rPr>
    </w:lvl>
    <w:lvl w:ilvl="7" w:tplc="04090003">
      <w:start w:val="1"/>
      <w:numFmt w:val="bullet"/>
      <w:lvlText w:val="o"/>
      <w:lvlJc w:val="left"/>
      <w:pPr>
        <w:ind w:left="5040" w:hanging="360"/>
      </w:pPr>
      <w:rPr>
        <w:rFonts w:ascii="Courier New" w:hAnsi="Courier New" w:cs="Courier New" w:hint="default"/>
      </w:rPr>
    </w:lvl>
    <w:lvl w:ilvl="8" w:tplc="04090005">
      <w:start w:val="1"/>
      <w:numFmt w:val="bullet"/>
      <w:lvlText w:val=""/>
      <w:lvlJc w:val="left"/>
      <w:pPr>
        <w:ind w:left="5760" w:hanging="360"/>
      </w:pPr>
      <w:rPr>
        <w:rFonts w:ascii="Wingdings" w:hAnsi="Wingdings" w:hint="default"/>
      </w:rPr>
    </w:lvl>
  </w:abstractNum>
  <w:abstractNum w:abstractNumId="200" w15:restartNumberingAfterBreak="0">
    <w:nsid w:val="4944006E"/>
    <w:multiLevelType w:val="hybridMultilevel"/>
    <w:tmpl w:val="6F3830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49CC4962"/>
    <w:multiLevelType w:val="hybridMultilevel"/>
    <w:tmpl w:val="02A84318"/>
    <w:lvl w:ilvl="0" w:tplc="71BA524E">
      <w:start w:val="1"/>
      <w:numFmt w:val="decimal"/>
      <w:lvlText w:val="5.2.%1.5"/>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A6412CD"/>
    <w:multiLevelType w:val="hybridMultilevel"/>
    <w:tmpl w:val="B9B003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4AB94E90"/>
    <w:multiLevelType w:val="hybridMultilevel"/>
    <w:tmpl w:val="27E60A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4B6E0D34"/>
    <w:multiLevelType w:val="hybridMultilevel"/>
    <w:tmpl w:val="DA823BAE"/>
    <w:lvl w:ilvl="0" w:tplc="AB686130">
      <w:start w:val="1"/>
      <w:numFmt w:val="decimal"/>
      <w:lvlText w:val="5.2.%1.3"/>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4BA4127B"/>
    <w:multiLevelType w:val="hybridMultilevel"/>
    <w:tmpl w:val="460004D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4BCC0EB3"/>
    <w:multiLevelType w:val="hybridMultilevel"/>
    <w:tmpl w:val="1E2003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BF53F17"/>
    <w:multiLevelType w:val="hybridMultilevel"/>
    <w:tmpl w:val="88C8DE72"/>
    <w:lvl w:ilvl="0" w:tplc="9EA25A4C">
      <w:start w:val="1"/>
      <w:numFmt w:val="decimal"/>
      <w:lvlText w:val="%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4D962A95"/>
    <w:multiLevelType w:val="multilevel"/>
    <w:tmpl w:val="8DD6D29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9" w15:restartNumberingAfterBreak="0">
    <w:nsid w:val="4E38025B"/>
    <w:multiLevelType w:val="hybridMultilevel"/>
    <w:tmpl w:val="4EB84E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4E5F49DA"/>
    <w:multiLevelType w:val="hybridMultilevel"/>
    <w:tmpl w:val="F8F45108"/>
    <w:lvl w:ilvl="0" w:tplc="7D7A4F46">
      <w:start w:val="3"/>
      <w:numFmt w:val="decimal"/>
      <w:lvlText w:val="%1.5"/>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4E7812E7"/>
    <w:multiLevelType w:val="hybridMultilevel"/>
    <w:tmpl w:val="7320FB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4FF644E8"/>
    <w:multiLevelType w:val="hybridMultilevel"/>
    <w:tmpl w:val="7128805A"/>
    <w:lvl w:ilvl="0" w:tplc="54A6CC3C">
      <w:start w:val="3"/>
      <w:numFmt w:val="decimal"/>
      <w:lvlText w:val="%1.6"/>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00F284D"/>
    <w:multiLevelType w:val="hybridMultilevel"/>
    <w:tmpl w:val="9CFE66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501320CB"/>
    <w:multiLevelType w:val="hybridMultilevel"/>
    <w:tmpl w:val="4BB4A026"/>
    <w:lvl w:ilvl="0" w:tplc="D9541D7A">
      <w:start w:val="1"/>
      <w:numFmt w:val="decimal"/>
      <w:lvlText w:val="7.2.%1.1"/>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0953D73"/>
    <w:multiLevelType w:val="hybridMultilevel"/>
    <w:tmpl w:val="8C52944A"/>
    <w:lvl w:ilvl="0" w:tplc="636478D0">
      <w:start w:val="1"/>
      <w:numFmt w:val="decimal"/>
      <w:lvlText w:val="7.2.%1.7"/>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0AC0C6F"/>
    <w:multiLevelType w:val="hybridMultilevel"/>
    <w:tmpl w:val="41269A76"/>
    <w:lvl w:ilvl="0" w:tplc="B72486F0">
      <w:start w:val="1"/>
      <w:numFmt w:val="decimal"/>
      <w:lvlText w:val="4.2.%1.3"/>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50CB46B0"/>
    <w:multiLevelType w:val="hybridMultilevel"/>
    <w:tmpl w:val="347A8F94"/>
    <w:lvl w:ilvl="0" w:tplc="42E4A74A">
      <w:start w:val="1"/>
      <w:numFmt w:val="decimal"/>
      <w:lvlText w:val="6.2.%1.10"/>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50FA3AD2"/>
    <w:multiLevelType w:val="hybridMultilevel"/>
    <w:tmpl w:val="B0289976"/>
    <w:lvl w:ilvl="0" w:tplc="B1020E8E">
      <w:start w:val="9"/>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15:restartNumberingAfterBreak="0">
    <w:nsid w:val="519223DE"/>
    <w:multiLevelType w:val="hybridMultilevel"/>
    <w:tmpl w:val="917A5EC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1D475B5"/>
    <w:multiLevelType w:val="hybridMultilevel"/>
    <w:tmpl w:val="E00A76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52B82FAC"/>
    <w:multiLevelType w:val="hybridMultilevel"/>
    <w:tmpl w:val="EB944BBE"/>
    <w:lvl w:ilvl="0" w:tplc="2522EB8C">
      <w:start w:val="1"/>
      <w:numFmt w:val="decimal"/>
      <w:lvlText w:val="4.2.%1.6"/>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52DC1020"/>
    <w:multiLevelType w:val="hybridMultilevel"/>
    <w:tmpl w:val="B186FB2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53176047"/>
    <w:multiLevelType w:val="hybridMultilevel"/>
    <w:tmpl w:val="A5B4766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53B03B60"/>
    <w:multiLevelType w:val="hybridMultilevel"/>
    <w:tmpl w:val="119A91AC"/>
    <w:lvl w:ilvl="0" w:tplc="E370F8E8">
      <w:start w:val="8"/>
      <w:numFmt w:val="decimal"/>
      <w:lvlText w:val="2.%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53CB5286"/>
    <w:multiLevelType w:val="hybridMultilevel"/>
    <w:tmpl w:val="2B165526"/>
    <w:lvl w:ilvl="0" w:tplc="27286F2E">
      <w:start w:val="4"/>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543716FD"/>
    <w:multiLevelType w:val="hybridMultilevel"/>
    <w:tmpl w:val="22603680"/>
    <w:lvl w:ilvl="0" w:tplc="AA46BFB8">
      <w:start w:val="3"/>
      <w:numFmt w:val="decimal"/>
      <w:lvlText w:val="%1.3"/>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54F46D7A"/>
    <w:multiLevelType w:val="hybridMultilevel"/>
    <w:tmpl w:val="DEB6A692"/>
    <w:lvl w:ilvl="0" w:tplc="E0BE797A">
      <w:start w:val="1"/>
      <w:numFmt w:val="decimal"/>
      <w:lvlText w:val="4.2.%1.5"/>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54FC18FB"/>
    <w:multiLevelType w:val="hybridMultilevel"/>
    <w:tmpl w:val="1A3A823A"/>
    <w:lvl w:ilvl="0" w:tplc="750CD63A">
      <w:start w:val="1"/>
      <w:numFmt w:val="decimal"/>
      <w:lvlText w:val="6.2.%1.8"/>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55304A67"/>
    <w:multiLevelType w:val="hybridMultilevel"/>
    <w:tmpl w:val="37120E10"/>
    <w:lvl w:ilvl="0" w:tplc="4D26203A">
      <w:start w:val="4"/>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0" w15:restartNumberingAfterBreak="0">
    <w:nsid w:val="553C3824"/>
    <w:multiLevelType w:val="hybridMultilevel"/>
    <w:tmpl w:val="E500B2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557C37EA"/>
    <w:multiLevelType w:val="hybridMultilevel"/>
    <w:tmpl w:val="B3DC9D3E"/>
    <w:lvl w:ilvl="0" w:tplc="6F406D44">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55875784"/>
    <w:multiLevelType w:val="hybridMultilevel"/>
    <w:tmpl w:val="BB5EB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55A60CF8"/>
    <w:multiLevelType w:val="hybridMultilevel"/>
    <w:tmpl w:val="8854A9A4"/>
    <w:lvl w:ilvl="0" w:tplc="60226C7E">
      <w:start w:val="11"/>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15:restartNumberingAfterBreak="0">
    <w:nsid w:val="563564D3"/>
    <w:multiLevelType w:val="hybridMultilevel"/>
    <w:tmpl w:val="95CC4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564616B1"/>
    <w:multiLevelType w:val="hybridMultilevel"/>
    <w:tmpl w:val="0672AF2A"/>
    <w:lvl w:ilvl="0" w:tplc="AF864978">
      <w:start w:val="1"/>
      <w:numFmt w:val="decimal"/>
      <w:lvlText w:val="4.2.%1.2"/>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56844E9F"/>
    <w:multiLevelType w:val="multilevel"/>
    <w:tmpl w:val="C17089C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7" w15:restartNumberingAfterBreak="0">
    <w:nsid w:val="5694317C"/>
    <w:multiLevelType w:val="hybridMultilevel"/>
    <w:tmpl w:val="3198F606"/>
    <w:lvl w:ilvl="0" w:tplc="1EE82DB4">
      <w:start w:val="8"/>
      <w:numFmt w:val="decimal"/>
      <w:lvlText w:val="%1.3"/>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8" w15:restartNumberingAfterBreak="0">
    <w:nsid w:val="56DE47A1"/>
    <w:multiLevelType w:val="hybridMultilevel"/>
    <w:tmpl w:val="E3A845EA"/>
    <w:lvl w:ilvl="0" w:tplc="2884D75E">
      <w:start w:val="1"/>
      <w:numFmt w:val="decimal"/>
      <w:lvlText w:val="7.2.%1.3"/>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583D63A3"/>
    <w:multiLevelType w:val="hybridMultilevel"/>
    <w:tmpl w:val="730283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58C95690"/>
    <w:multiLevelType w:val="hybridMultilevel"/>
    <w:tmpl w:val="506C90E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1" w15:restartNumberingAfterBreak="0">
    <w:nsid w:val="58E33BB3"/>
    <w:multiLevelType w:val="hybridMultilevel"/>
    <w:tmpl w:val="6518C780"/>
    <w:lvl w:ilvl="0" w:tplc="FAF2AEA8">
      <w:start w:val="2"/>
      <w:numFmt w:val="decimal"/>
      <w:lvlText w:val="7.%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15:restartNumberingAfterBreak="0">
    <w:nsid w:val="590B56F7"/>
    <w:multiLevelType w:val="hybridMultilevel"/>
    <w:tmpl w:val="493E60E8"/>
    <w:lvl w:ilvl="0" w:tplc="3802F5DC">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15:restartNumberingAfterBreak="0">
    <w:nsid w:val="59671E74"/>
    <w:multiLevelType w:val="hybridMultilevel"/>
    <w:tmpl w:val="4D1A59EE"/>
    <w:lvl w:ilvl="0" w:tplc="51E06738">
      <w:start w:val="2"/>
      <w:numFmt w:val="decimal"/>
      <w:lvlText w:val="7.%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4" w15:restartNumberingAfterBreak="0">
    <w:nsid w:val="59AD0D33"/>
    <w:multiLevelType w:val="hybridMultilevel"/>
    <w:tmpl w:val="3288F7FA"/>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5A0A0D56"/>
    <w:multiLevelType w:val="hybridMultilevel"/>
    <w:tmpl w:val="8E56F706"/>
    <w:lvl w:ilvl="0" w:tplc="4EAA491E">
      <w:start w:val="2"/>
      <w:numFmt w:val="decimal"/>
      <w:lvlText w:val="%1.7"/>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5A8D1FBB"/>
    <w:multiLevelType w:val="hybridMultilevel"/>
    <w:tmpl w:val="856AC62E"/>
    <w:lvl w:ilvl="0" w:tplc="60A04634">
      <w:start w:val="1"/>
      <w:numFmt w:val="decimal"/>
      <w:lvlText w:val="6.2.%1.6"/>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5B5E7BB8"/>
    <w:multiLevelType w:val="hybridMultilevel"/>
    <w:tmpl w:val="F4FE4F88"/>
    <w:lvl w:ilvl="0" w:tplc="5516A3A8">
      <w:start w:val="1"/>
      <w:numFmt w:val="decimal"/>
      <w:lvlText w:val="5.2.%1.6"/>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5C31180F"/>
    <w:multiLevelType w:val="hybridMultilevel"/>
    <w:tmpl w:val="5B38DE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C8410C2"/>
    <w:multiLevelType w:val="hybridMultilevel"/>
    <w:tmpl w:val="14903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5CE92A65"/>
    <w:multiLevelType w:val="multilevel"/>
    <w:tmpl w:val="5866BD6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1" w15:restartNumberingAfterBreak="0">
    <w:nsid w:val="5D99794A"/>
    <w:multiLevelType w:val="hybridMultilevel"/>
    <w:tmpl w:val="B1129B6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5DA84225"/>
    <w:multiLevelType w:val="hybridMultilevel"/>
    <w:tmpl w:val="41084494"/>
    <w:lvl w:ilvl="0" w:tplc="72302F88">
      <w:start w:val="2"/>
      <w:numFmt w:val="decimal"/>
      <w:lvlText w:val="4.%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5E007D09"/>
    <w:multiLevelType w:val="hybridMultilevel"/>
    <w:tmpl w:val="E78EC32A"/>
    <w:lvl w:ilvl="0" w:tplc="F0FECB62">
      <w:start w:val="1"/>
      <w:numFmt w:val="decimal"/>
      <w:pStyle w:val="Heading4"/>
      <w:lvlText w:val="3.2.1.%1"/>
      <w:lvlJc w:val="left"/>
      <w:pPr>
        <w:ind w:left="360" w:hanging="360"/>
      </w:pPr>
      <w:rPr>
        <w:rFonts w:hint="default"/>
        <w:b w:val="0"/>
        <w:bCs w:val="0"/>
        <w:i w:val="0"/>
        <w:iCs w:val="0"/>
        <w:caps w:val="0"/>
        <w:smallCaps w:val="0"/>
        <w:strike w:val="0"/>
        <w:dstrike w:val="0"/>
        <w:noProof w:val="0"/>
        <w:vanish w:val="0"/>
        <w:color w:val="4F81BD" w:themeColor="accent1"/>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15:restartNumberingAfterBreak="0">
    <w:nsid w:val="5E1E7A42"/>
    <w:multiLevelType w:val="hybridMultilevel"/>
    <w:tmpl w:val="9B243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5E263504"/>
    <w:multiLevelType w:val="hybridMultilevel"/>
    <w:tmpl w:val="FA542E44"/>
    <w:lvl w:ilvl="0" w:tplc="354E3F5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5E38555F"/>
    <w:multiLevelType w:val="hybridMultilevel"/>
    <w:tmpl w:val="6ECE36BA"/>
    <w:lvl w:ilvl="0" w:tplc="D8549FAE">
      <w:start w:val="1"/>
      <w:numFmt w:val="decimal"/>
      <w:lvlText w:val="6.2.%1.4"/>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5E3D1828"/>
    <w:multiLevelType w:val="multilevel"/>
    <w:tmpl w:val="DB4C7458"/>
    <w:lvl w:ilvl="0">
      <w:start w:val="1"/>
      <w:numFmt w:val="bullet"/>
      <w:lvlText w:val=""/>
      <w:lvlJc w:val="left"/>
      <w:pPr>
        <w:ind w:left="360" w:hanging="360"/>
      </w:pPr>
      <w:rPr>
        <w:rFonts w:ascii="Wingdings" w:hAnsi="Wingdings" w:hint="default"/>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258" w15:restartNumberingAfterBreak="0">
    <w:nsid w:val="5E4545C6"/>
    <w:multiLevelType w:val="hybridMultilevel"/>
    <w:tmpl w:val="634CF4CE"/>
    <w:lvl w:ilvl="0" w:tplc="3CF4EE1C">
      <w:start w:val="2"/>
      <w:numFmt w:val="decimal"/>
      <w:lvlText w:val="6.%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9" w15:restartNumberingAfterBreak="0">
    <w:nsid w:val="5E7042DB"/>
    <w:multiLevelType w:val="hybridMultilevel"/>
    <w:tmpl w:val="FA66C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EEC477F"/>
    <w:multiLevelType w:val="hybridMultilevel"/>
    <w:tmpl w:val="82348436"/>
    <w:lvl w:ilvl="0" w:tplc="F4482764">
      <w:start w:val="1"/>
      <w:numFmt w:val="decimal"/>
      <w:lvlText w:val="5.2.%1.2"/>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5EF7051C"/>
    <w:multiLevelType w:val="hybridMultilevel"/>
    <w:tmpl w:val="1402D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5F551207"/>
    <w:multiLevelType w:val="hybridMultilevel"/>
    <w:tmpl w:val="110AF1E2"/>
    <w:lvl w:ilvl="0" w:tplc="2A80EC98">
      <w:start w:val="1"/>
      <w:numFmt w:val="decimal"/>
      <w:lvlText w:val="8.2.%1.9"/>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F674505"/>
    <w:multiLevelType w:val="hybridMultilevel"/>
    <w:tmpl w:val="11D45C0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5F8A6D3E"/>
    <w:multiLevelType w:val="hybridMultilevel"/>
    <w:tmpl w:val="516E6A48"/>
    <w:lvl w:ilvl="0" w:tplc="98F67FC6">
      <w:start w:val="1"/>
      <w:numFmt w:val="decimal"/>
      <w:lvlText w:val="6.2.%1.2"/>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FE64A65"/>
    <w:multiLevelType w:val="multilevel"/>
    <w:tmpl w:val="A1107DF2"/>
    <w:lvl w:ilvl="0">
      <w:start w:val="1"/>
      <w:numFmt w:val="bullet"/>
      <w:lvlText w:val=""/>
      <w:lvlJc w:val="left"/>
      <w:pPr>
        <w:ind w:left="360" w:hanging="360"/>
      </w:pPr>
      <w:rPr>
        <w:rFonts w:ascii="Wingdings" w:hAnsi="Wingdings" w:hint="default"/>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266" w15:restartNumberingAfterBreak="0">
    <w:nsid w:val="601A0C88"/>
    <w:multiLevelType w:val="hybridMultilevel"/>
    <w:tmpl w:val="98F811AA"/>
    <w:lvl w:ilvl="0" w:tplc="F83803FE">
      <w:start w:val="1"/>
      <w:numFmt w:val="decimal"/>
      <w:lvlText w:val="5.2.%1.10"/>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61856DDB"/>
    <w:multiLevelType w:val="hybridMultilevel"/>
    <w:tmpl w:val="7E027E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61F25328"/>
    <w:multiLevelType w:val="hybridMultilevel"/>
    <w:tmpl w:val="64CC45AE"/>
    <w:lvl w:ilvl="0" w:tplc="08090019">
      <w:start w:val="1"/>
      <w:numFmt w:val="lowerLetter"/>
      <w:lvlText w:val="%1."/>
      <w:lvlJc w:val="left"/>
      <w:pPr>
        <w:ind w:left="372" w:hanging="360"/>
      </w:pPr>
      <w:rPr>
        <w:rFonts w:hint="default"/>
      </w:rPr>
    </w:lvl>
    <w:lvl w:ilvl="1" w:tplc="08090019" w:tentative="1">
      <w:start w:val="1"/>
      <w:numFmt w:val="lowerLetter"/>
      <w:lvlText w:val="%2."/>
      <w:lvlJc w:val="left"/>
      <w:pPr>
        <w:ind w:left="1092" w:hanging="360"/>
      </w:pPr>
    </w:lvl>
    <w:lvl w:ilvl="2" w:tplc="0809001B" w:tentative="1">
      <w:start w:val="1"/>
      <w:numFmt w:val="lowerRoman"/>
      <w:lvlText w:val="%3."/>
      <w:lvlJc w:val="right"/>
      <w:pPr>
        <w:ind w:left="1812" w:hanging="180"/>
      </w:pPr>
    </w:lvl>
    <w:lvl w:ilvl="3" w:tplc="0809000F" w:tentative="1">
      <w:start w:val="1"/>
      <w:numFmt w:val="decimal"/>
      <w:lvlText w:val="%4."/>
      <w:lvlJc w:val="left"/>
      <w:pPr>
        <w:ind w:left="2532" w:hanging="360"/>
      </w:pPr>
    </w:lvl>
    <w:lvl w:ilvl="4" w:tplc="08090019" w:tentative="1">
      <w:start w:val="1"/>
      <w:numFmt w:val="lowerLetter"/>
      <w:lvlText w:val="%5."/>
      <w:lvlJc w:val="left"/>
      <w:pPr>
        <w:ind w:left="3252" w:hanging="360"/>
      </w:pPr>
    </w:lvl>
    <w:lvl w:ilvl="5" w:tplc="0809001B" w:tentative="1">
      <w:start w:val="1"/>
      <w:numFmt w:val="lowerRoman"/>
      <w:lvlText w:val="%6."/>
      <w:lvlJc w:val="right"/>
      <w:pPr>
        <w:ind w:left="3972" w:hanging="180"/>
      </w:pPr>
    </w:lvl>
    <w:lvl w:ilvl="6" w:tplc="0809000F" w:tentative="1">
      <w:start w:val="1"/>
      <w:numFmt w:val="decimal"/>
      <w:lvlText w:val="%7."/>
      <w:lvlJc w:val="left"/>
      <w:pPr>
        <w:ind w:left="4692" w:hanging="360"/>
      </w:pPr>
    </w:lvl>
    <w:lvl w:ilvl="7" w:tplc="08090019" w:tentative="1">
      <w:start w:val="1"/>
      <w:numFmt w:val="lowerLetter"/>
      <w:lvlText w:val="%8."/>
      <w:lvlJc w:val="left"/>
      <w:pPr>
        <w:ind w:left="5412" w:hanging="360"/>
      </w:pPr>
    </w:lvl>
    <w:lvl w:ilvl="8" w:tplc="0809001B" w:tentative="1">
      <w:start w:val="1"/>
      <w:numFmt w:val="lowerRoman"/>
      <w:lvlText w:val="%9."/>
      <w:lvlJc w:val="right"/>
      <w:pPr>
        <w:ind w:left="6132" w:hanging="180"/>
      </w:pPr>
    </w:lvl>
  </w:abstractNum>
  <w:abstractNum w:abstractNumId="269" w15:restartNumberingAfterBreak="0">
    <w:nsid w:val="62B05464"/>
    <w:multiLevelType w:val="hybridMultilevel"/>
    <w:tmpl w:val="32A2E50E"/>
    <w:lvl w:ilvl="0" w:tplc="2CE22B1C">
      <w:start w:val="1"/>
      <w:numFmt w:val="decimal"/>
      <w:lvlText w:val="6.2.%1.1"/>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63114A2C"/>
    <w:multiLevelType w:val="hybridMultilevel"/>
    <w:tmpl w:val="8A8EEC0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330636D"/>
    <w:multiLevelType w:val="hybridMultilevel"/>
    <w:tmpl w:val="9C4A5D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633A61B8"/>
    <w:multiLevelType w:val="hybridMultilevel"/>
    <w:tmpl w:val="47AE2C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6392186D"/>
    <w:multiLevelType w:val="hybridMultilevel"/>
    <w:tmpl w:val="7444E218"/>
    <w:lvl w:ilvl="0" w:tplc="952420E8">
      <w:start w:val="6"/>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64794B80"/>
    <w:multiLevelType w:val="hybridMultilevel"/>
    <w:tmpl w:val="F95838B8"/>
    <w:lvl w:ilvl="0" w:tplc="72E8BFD6">
      <w:start w:val="1"/>
      <w:numFmt w:val="decimal"/>
      <w:lvlText w:val="8.2.%1.4"/>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663D6C64"/>
    <w:multiLevelType w:val="hybridMultilevel"/>
    <w:tmpl w:val="2402E5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66400226"/>
    <w:multiLevelType w:val="hybridMultilevel"/>
    <w:tmpl w:val="7EB8DC84"/>
    <w:lvl w:ilvl="0" w:tplc="971CA71A">
      <w:start w:val="1"/>
      <w:numFmt w:val="decimal"/>
      <w:lvlText w:val="6.2.%1.5"/>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15:restartNumberingAfterBreak="0">
    <w:nsid w:val="666755BA"/>
    <w:multiLevelType w:val="hybridMultilevel"/>
    <w:tmpl w:val="F5AA091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68D6A2D"/>
    <w:multiLevelType w:val="hybridMultilevel"/>
    <w:tmpl w:val="CDD86EC0"/>
    <w:lvl w:ilvl="0" w:tplc="96BE9252">
      <w:start w:val="1"/>
      <w:numFmt w:val="decimal"/>
      <w:lvlText w:val="%1.4"/>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672A14D2"/>
    <w:multiLevelType w:val="hybridMultilevel"/>
    <w:tmpl w:val="D19CE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15:restartNumberingAfterBreak="0">
    <w:nsid w:val="676132D6"/>
    <w:multiLevelType w:val="hybridMultilevel"/>
    <w:tmpl w:val="0B147D6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15:restartNumberingAfterBreak="0">
    <w:nsid w:val="67905312"/>
    <w:multiLevelType w:val="multilevel"/>
    <w:tmpl w:val="2A9C12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2" w15:restartNumberingAfterBreak="0">
    <w:nsid w:val="67CE236B"/>
    <w:multiLevelType w:val="multilevel"/>
    <w:tmpl w:val="F2009EC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3" w15:restartNumberingAfterBreak="0">
    <w:nsid w:val="68A13D0F"/>
    <w:multiLevelType w:val="hybridMultilevel"/>
    <w:tmpl w:val="57EC4C7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68C813EF"/>
    <w:multiLevelType w:val="hybridMultilevel"/>
    <w:tmpl w:val="E12005BC"/>
    <w:lvl w:ilvl="0" w:tplc="1CC4117A">
      <w:start w:val="12"/>
      <w:numFmt w:val="decimal"/>
      <w:lvlText w:val="%1.2"/>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68E84780"/>
    <w:multiLevelType w:val="hybridMultilevel"/>
    <w:tmpl w:val="90A450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6" w15:restartNumberingAfterBreak="0">
    <w:nsid w:val="68EF777B"/>
    <w:multiLevelType w:val="hybridMultilevel"/>
    <w:tmpl w:val="09E28C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68F54EBA"/>
    <w:multiLevelType w:val="hybridMultilevel"/>
    <w:tmpl w:val="D8A0021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691C2B33"/>
    <w:multiLevelType w:val="hybridMultilevel"/>
    <w:tmpl w:val="15EC77D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9" w15:restartNumberingAfterBreak="0">
    <w:nsid w:val="698B4D7F"/>
    <w:multiLevelType w:val="hybridMultilevel"/>
    <w:tmpl w:val="1D4AE6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0" w15:restartNumberingAfterBreak="0">
    <w:nsid w:val="69E673F6"/>
    <w:multiLevelType w:val="hybridMultilevel"/>
    <w:tmpl w:val="5FC0CB0C"/>
    <w:lvl w:ilvl="0" w:tplc="F170F430">
      <w:start w:val="6"/>
      <w:numFmt w:val="decimal"/>
      <w:pStyle w:val="Heading5"/>
      <w:lvlText w:val="1.%1.1"/>
      <w:lvlJc w:val="left"/>
      <w:pPr>
        <w:ind w:left="720" w:hanging="360"/>
      </w:pPr>
      <w:rPr>
        <w:rFonts w:hint="default"/>
        <w:b w:val="0"/>
        <w:bCs w:val="0"/>
        <w:i w:val="0"/>
        <w:iCs/>
        <w:caps w:val="0"/>
        <w:smallCaps w:val="0"/>
        <w:strike w:val="0"/>
        <w:dstrike w:val="0"/>
        <w:vanish w:val="0"/>
        <w:color w:val="000000"/>
        <w:spacing w:val="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A580FA7"/>
    <w:multiLevelType w:val="hybridMultilevel"/>
    <w:tmpl w:val="61429EF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15:restartNumberingAfterBreak="0">
    <w:nsid w:val="6A644372"/>
    <w:multiLevelType w:val="hybridMultilevel"/>
    <w:tmpl w:val="630EADE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3" w15:restartNumberingAfterBreak="0">
    <w:nsid w:val="6ACD09BF"/>
    <w:multiLevelType w:val="hybridMultilevel"/>
    <w:tmpl w:val="06B4659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AD1263C"/>
    <w:multiLevelType w:val="hybridMultilevel"/>
    <w:tmpl w:val="BC4C5712"/>
    <w:lvl w:ilvl="0" w:tplc="ADE47130">
      <w:start w:val="2"/>
      <w:numFmt w:val="decimal"/>
      <w:lvlText w:val="7.%1.1"/>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5" w15:restartNumberingAfterBreak="0">
    <w:nsid w:val="6B0314EE"/>
    <w:multiLevelType w:val="hybridMultilevel"/>
    <w:tmpl w:val="38A683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6B4465AA"/>
    <w:multiLevelType w:val="hybridMultilevel"/>
    <w:tmpl w:val="CD84CEEA"/>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7" w15:restartNumberingAfterBreak="0">
    <w:nsid w:val="6BE87277"/>
    <w:multiLevelType w:val="hybridMultilevel"/>
    <w:tmpl w:val="043E3C8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8" w15:restartNumberingAfterBreak="0">
    <w:nsid w:val="6C216FE4"/>
    <w:multiLevelType w:val="multilevel"/>
    <w:tmpl w:val="BC14BB10"/>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15:restartNumberingAfterBreak="0">
    <w:nsid w:val="6C89074E"/>
    <w:multiLevelType w:val="hybridMultilevel"/>
    <w:tmpl w:val="CA720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0" w15:restartNumberingAfterBreak="0">
    <w:nsid w:val="6D0478A7"/>
    <w:multiLevelType w:val="hybridMultilevel"/>
    <w:tmpl w:val="C0D2C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6DF35CDC"/>
    <w:multiLevelType w:val="hybridMultilevel"/>
    <w:tmpl w:val="597A3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E493BEC"/>
    <w:multiLevelType w:val="hybridMultilevel"/>
    <w:tmpl w:val="2B0CDBF4"/>
    <w:lvl w:ilvl="0" w:tplc="6F406D44">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F3052F5"/>
    <w:multiLevelType w:val="hybridMultilevel"/>
    <w:tmpl w:val="EEDAC504"/>
    <w:lvl w:ilvl="0" w:tplc="65307C74">
      <w:start w:val="1"/>
      <w:numFmt w:val="decimal"/>
      <w:lvlText w:val="7.2.%1.9"/>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6F820E55"/>
    <w:multiLevelType w:val="hybridMultilevel"/>
    <w:tmpl w:val="DD70B25A"/>
    <w:lvl w:ilvl="0" w:tplc="22822154">
      <w:start w:val="10"/>
      <w:numFmt w:val="decimal"/>
      <w:lvlText w:val="%1.2"/>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5" w15:restartNumberingAfterBreak="0">
    <w:nsid w:val="6FAD21D0"/>
    <w:multiLevelType w:val="hybridMultilevel"/>
    <w:tmpl w:val="5A56053C"/>
    <w:lvl w:ilvl="0" w:tplc="1C6CDEF8">
      <w:start w:val="2"/>
      <w:numFmt w:val="decimal"/>
      <w:lvlText w:val="%1.5"/>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70960155"/>
    <w:multiLevelType w:val="hybridMultilevel"/>
    <w:tmpl w:val="7974DDFE"/>
    <w:lvl w:ilvl="0" w:tplc="6F406D4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15:restartNumberingAfterBreak="0">
    <w:nsid w:val="71050F20"/>
    <w:multiLevelType w:val="hybridMultilevel"/>
    <w:tmpl w:val="7D6896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8" w15:restartNumberingAfterBreak="0">
    <w:nsid w:val="7112142A"/>
    <w:multiLevelType w:val="hybridMultilevel"/>
    <w:tmpl w:val="EA1A66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9" w15:restartNumberingAfterBreak="0">
    <w:nsid w:val="714D7861"/>
    <w:multiLevelType w:val="hybridMultilevel"/>
    <w:tmpl w:val="D4D6D2F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15:restartNumberingAfterBreak="0">
    <w:nsid w:val="71A21149"/>
    <w:multiLevelType w:val="hybridMultilevel"/>
    <w:tmpl w:val="776CDFFA"/>
    <w:lvl w:ilvl="0" w:tplc="779898E8">
      <w:start w:val="1"/>
      <w:numFmt w:val="decimal"/>
      <w:lvlText w:val="6.2.%1.7"/>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7235194C"/>
    <w:multiLevelType w:val="hybridMultilevel"/>
    <w:tmpl w:val="7BAE31C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2" w15:restartNumberingAfterBreak="0">
    <w:nsid w:val="738341B1"/>
    <w:multiLevelType w:val="hybridMultilevel"/>
    <w:tmpl w:val="ED84A806"/>
    <w:lvl w:ilvl="0" w:tplc="D3C6E422">
      <w:start w:val="10"/>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3" w15:restartNumberingAfterBreak="0">
    <w:nsid w:val="73C52AB8"/>
    <w:multiLevelType w:val="hybridMultilevel"/>
    <w:tmpl w:val="B9B2822E"/>
    <w:lvl w:ilvl="0" w:tplc="56989CD2">
      <w:start w:val="1"/>
      <w:numFmt w:val="decimal"/>
      <w:lvlText w:val="4.2.%1.7"/>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74007799"/>
    <w:multiLevelType w:val="hybridMultilevel"/>
    <w:tmpl w:val="EFCADE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5" w15:restartNumberingAfterBreak="0">
    <w:nsid w:val="74746115"/>
    <w:multiLevelType w:val="hybridMultilevel"/>
    <w:tmpl w:val="56CEA39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6" w15:restartNumberingAfterBreak="0">
    <w:nsid w:val="748F5861"/>
    <w:multiLevelType w:val="hybridMultilevel"/>
    <w:tmpl w:val="B2088C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7" w15:restartNumberingAfterBreak="0">
    <w:nsid w:val="765606F0"/>
    <w:multiLevelType w:val="hybridMultilevel"/>
    <w:tmpl w:val="F90AA756"/>
    <w:lvl w:ilvl="0" w:tplc="0736FBF8">
      <w:start w:val="2"/>
      <w:numFmt w:val="decimal"/>
      <w:lvlText w:val="3.%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15:restartNumberingAfterBreak="0">
    <w:nsid w:val="7730357E"/>
    <w:multiLevelType w:val="hybridMultilevel"/>
    <w:tmpl w:val="BE9E2B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9" w15:restartNumberingAfterBreak="0">
    <w:nsid w:val="774A1BBC"/>
    <w:multiLevelType w:val="hybridMultilevel"/>
    <w:tmpl w:val="71E023A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0" w15:restartNumberingAfterBreak="0">
    <w:nsid w:val="776074BC"/>
    <w:multiLevelType w:val="hybridMultilevel"/>
    <w:tmpl w:val="5F743896"/>
    <w:lvl w:ilvl="0" w:tplc="1CDCA266">
      <w:start w:val="3"/>
      <w:numFmt w:val="decimal"/>
      <w:lvlText w:val="1.%1.1"/>
      <w:lvlJc w:val="left"/>
      <w:pPr>
        <w:ind w:left="-612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1800" w:hanging="360"/>
      </w:pPr>
    </w:lvl>
    <w:lvl w:ilvl="7" w:tplc="04090019" w:tentative="1">
      <w:start w:val="1"/>
      <w:numFmt w:val="lowerLetter"/>
      <w:lvlText w:val="%8."/>
      <w:lvlJc w:val="left"/>
      <w:pPr>
        <w:ind w:left="-1080" w:hanging="360"/>
      </w:pPr>
    </w:lvl>
    <w:lvl w:ilvl="8" w:tplc="0409001B" w:tentative="1">
      <w:start w:val="1"/>
      <w:numFmt w:val="lowerRoman"/>
      <w:lvlText w:val="%9."/>
      <w:lvlJc w:val="right"/>
      <w:pPr>
        <w:ind w:left="-360" w:hanging="180"/>
      </w:pPr>
    </w:lvl>
  </w:abstractNum>
  <w:abstractNum w:abstractNumId="321" w15:restartNumberingAfterBreak="0">
    <w:nsid w:val="776B0ABA"/>
    <w:multiLevelType w:val="hybridMultilevel"/>
    <w:tmpl w:val="778A644C"/>
    <w:lvl w:ilvl="0" w:tplc="C3D8E864">
      <w:start w:val="5"/>
      <w:numFmt w:val="decimal"/>
      <w:lvlText w:val="%1.7"/>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77891C54"/>
    <w:multiLevelType w:val="hybridMultilevel"/>
    <w:tmpl w:val="402C4898"/>
    <w:lvl w:ilvl="0" w:tplc="29CCCC4E">
      <w:start w:val="1"/>
      <w:numFmt w:val="decimal"/>
      <w:lvlText w:val="8.2.%1.1"/>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7792001A"/>
    <w:multiLevelType w:val="hybridMultilevel"/>
    <w:tmpl w:val="F3E2B9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79C79BC"/>
    <w:multiLevelType w:val="hybridMultilevel"/>
    <w:tmpl w:val="C7301DC4"/>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7B824AF"/>
    <w:multiLevelType w:val="hybridMultilevel"/>
    <w:tmpl w:val="2078F7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6" w15:restartNumberingAfterBreak="0">
    <w:nsid w:val="783E2767"/>
    <w:multiLevelType w:val="hybridMultilevel"/>
    <w:tmpl w:val="6F8E2A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7" w15:restartNumberingAfterBreak="0">
    <w:nsid w:val="79690AA7"/>
    <w:multiLevelType w:val="hybridMultilevel"/>
    <w:tmpl w:val="81E252C2"/>
    <w:lvl w:ilvl="0" w:tplc="6FF440C6">
      <w:start w:val="1"/>
      <w:numFmt w:val="decimal"/>
      <w:lvlText w:val="4.2.%1.1"/>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B536424"/>
    <w:multiLevelType w:val="hybridMultilevel"/>
    <w:tmpl w:val="397A5B0E"/>
    <w:lvl w:ilvl="0" w:tplc="8034D72A">
      <w:start w:val="2"/>
      <w:numFmt w:val="decimal"/>
      <w:lvlText w:val="7.%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9" w15:restartNumberingAfterBreak="0">
    <w:nsid w:val="7B78750D"/>
    <w:multiLevelType w:val="hybridMultilevel"/>
    <w:tmpl w:val="71DC9DC6"/>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B94417D"/>
    <w:multiLevelType w:val="hybridMultilevel"/>
    <w:tmpl w:val="C038AE08"/>
    <w:lvl w:ilvl="0" w:tplc="045EC49A">
      <w:start w:val="1"/>
      <w:numFmt w:val="bullet"/>
      <w:lvlText w:val=""/>
      <w:lvlJc w:val="left"/>
      <w:pPr>
        <w:ind w:left="360" w:hanging="360"/>
      </w:pPr>
      <w:rPr>
        <w:rFonts w:ascii="Symbol" w:hAnsi="Symbol" w:hint="default"/>
        <w:sz w:val="14"/>
        <w:szCs w:val="1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1" w15:restartNumberingAfterBreak="0">
    <w:nsid w:val="7C0F2501"/>
    <w:multiLevelType w:val="hybridMultilevel"/>
    <w:tmpl w:val="894EDCA4"/>
    <w:lvl w:ilvl="0" w:tplc="C764DD1C">
      <w:start w:val="3"/>
      <w:numFmt w:val="decimal"/>
      <w:lvlText w:val="%1.4"/>
      <w:lvlJc w:val="left"/>
      <w:pPr>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7C245036"/>
    <w:multiLevelType w:val="hybridMultilevel"/>
    <w:tmpl w:val="880CD722"/>
    <w:lvl w:ilvl="0" w:tplc="8982ABC8">
      <w:start w:val="1"/>
      <w:numFmt w:val="decimal"/>
      <w:lvlText w:val="%1.3"/>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7C326A0F"/>
    <w:multiLevelType w:val="hybridMultilevel"/>
    <w:tmpl w:val="2794B02C"/>
    <w:lvl w:ilvl="0" w:tplc="3F669FD4">
      <w:start w:val="8"/>
      <w:numFmt w:val="decimal"/>
      <w:lvlText w:val="%1.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4" w15:restartNumberingAfterBreak="0">
    <w:nsid w:val="7C7E538A"/>
    <w:multiLevelType w:val="hybridMultilevel"/>
    <w:tmpl w:val="3FD4FB0C"/>
    <w:lvl w:ilvl="0" w:tplc="A32A13FC">
      <w:start w:val="2"/>
      <w:numFmt w:val="decimal"/>
      <w:lvlText w:val="8.%1.3"/>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5" w15:restartNumberingAfterBreak="0">
    <w:nsid w:val="7CA81157"/>
    <w:multiLevelType w:val="hybridMultilevel"/>
    <w:tmpl w:val="78A03280"/>
    <w:lvl w:ilvl="0" w:tplc="E8F0C45C">
      <w:start w:val="1"/>
      <w:numFmt w:val="decimal"/>
      <w:lvlText w:val="5.2.%1.4"/>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CD12656"/>
    <w:multiLevelType w:val="hybridMultilevel"/>
    <w:tmpl w:val="6084096E"/>
    <w:lvl w:ilvl="0" w:tplc="803AC2D8">
      <w:start w:val="1"/>
      <w:numFmt w:val="decimal"/>
      <w:lvlText w:val="4.2.%1.10"/>
      <w:lvlJc w:val="left"/>
      <w:pPr>
        <w:ind w:left="360" w:hanging="360"/>
      </w:pPr>
      <w:rPr>
        <w:rFonts w:hint="default"/>
        <w:b w:val="0"/>
        <w:bCs w:val="0"/>
        <w:i w:val="0"/>
        <w:iCs w:val="0"/>
        <w:caps w:val="0"/>
        <w:strike w:val="0"/>
        <w:dstrike w:val="0"/>
        <w:outline w:val="0"/>
        <w:shadow w:val="0"/>
        <w:emboss w:val="0"/>
        <w:imprint w:val="0"/>
        <w:vanish w:val="0"/>
        <w:color w:val="4F81BD" w:themeColor="accent1"/>
        <w:spacing w:val="0"/>
        <w:kern w:val="0"/>
        <w:position w:val="0"/>
        <w:sz w:val="20"/>
        <w:szCs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7D83634C"/>
    <w:multiLevelType w:val="hybridMultilevel"/>
    <w:tmpl w:val="64F6C80A"/>
    <w:lvl w:ilvl="0" w:tplc="CA98A346">
      <w:start w:val="2"/>
      <w:numFmt w:val="decimal"/>
      <w:lvlText w:val="3.%1.4"/>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7DB0106D"/>
    <w:multiLevelType w:val="hybridMultilevel"/>
    <w:tmpl w:val="853022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15:restartNumberingAfterBreak="0">
    <w:nsid w:val="7E346933"/>
    <w:multiLevelType w:val="hybridMultilevel"/>
    <w:tmpl w:val="39A624E6"/>
    <w:lvl w:ilvl="0" w:tplc="E724F8BA">
      <w:start w:val="2"/>
      <w:numFmt w:val="decimal"/>
      <w:lvlText w:val="8.%1.2"/>
      <w:lvlJc w:val="left"/>
      <w:pPr>
        <w:ind w:left="360" w:hanging="360"/>
      </w:pPr>
      <w:rPr>
        <w:rFonts w:hint="default"/>
        <w:b w:val="0"/>
        <w:bCs w:val="0"/>
        <w:i w:val="0"/>
        <w:iCs/>
        <w:strike w:val="0"/>
        <w:dstrike w:val="0"/>
        <w:vanish w:val="0"/>
        <w:color w:val="4F81BD" w:themeColor="accent1"/>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0" w15:restartNumberingAfterBreak="0">
    <w:nsid w:val="7E4A318D"/>
    <w:multiLevelType w:val="hybridMultilevel"/>
    <w:tmpl w:val="47C025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1" w15:restartNumberingAfterBreak="0">
    <w:nsid w:val="7E567D8F"/>
    <w:multiLevelType w:val="hybridMultilevel"/>
    <w:tmpl w:val="1CD696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2" w15:restartNumberingAfterBreak="0">
    <w:nsid w:val="7E8B7CAC"/>
    <w:multiLevelType w:val="hybridMultilevel"/>
    <w:tmpl w:val="622C91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3" w15:restartNumberingAfterBreak="0">
    <w:nsid w:val="7EAB3C92"/>
    <w:multiLevelType w:val="hybridMultilevel"/>
    <w:tmpl w:val="D0D2C10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4" w15:restartNumberingAfterBreak="0">
    <w:nsid w:val="7EB10D73"/>
    <w:multiLevelType w:val="hybridMultilevel"/>
    <w:tmpl w:val="3D64B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F2451EE"/>
    <w:multiLevelType w:val="hybridMultilevel"/>
    <w:tmpl w:val="52CA8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81"/>
  </w:num>
  <w:num w:numId="2">
    <w:abstractNumId w:val="197"/>
  </w:num>
  <w:num w:numId="3">
    <w:abstractNumId w:val="41"/>
  </w:num>
  <w:num w:numId="4">
    <w:abstractNumId w:val="24"/>
  </w:num>
  <w:num w:numId="5">
    <w:abstractNumId w:val="82"/>
  </w:num>
  <w:num w:numId="6">
    <w:abstractNumId w:val="298"/>
  </w:num>
  <w:num w:numId="7">
    <w:abstractNumId w:val="54"/>
  </w:num>
  <w:num w:numId="8">
    <w:abstractNumId w:val="56"/>
  </w:num>
  <w:num w:numId="9">
    <w:abstractNumId w:val="134"/>
  </w:num>
  <w:num w:numId="10">
    <w:abstractNumId w:val="222"/>
  </w:num>
  <w:num w:numId="11">
    <w:abstractNumId w:val="169"/>
  </w:num>
  <w:num w:numId="12">
    <w:abstractNumId w:val="206"/>
  </w:num>
  <w:num w:numId="13">
    <w:abstractNumId w:val="116"/>
  </w:num>
  <w:num w:numId="14">
    <w:abstractNumId w:val="34"/>
  </w:num>
  <w:num w:numId="15">
    <w:abstractNumId w:val="162"/>
  </w:num>
  <w:num w:numId="16">
    <w:abstractNumId w:val="100"/>
  </w:num>
  <w:num w:numId="17">
    <w:abstractNumId w:val="200"/>
  </w:num>
  <w:num w:numId="18">
    <w:abstractNumId w:val="12"/>
  </w:num>
  <w:num w:numId="19">
    <w:abstractNumId w:val="211"/>
  </w:num>
  <w:num w:numId="20">
    <w:abstractNumId w:val="21"/>
  </w:num>
  <w:num w:numId="21">
    <w:abstractNumId w:val="249"/>
  </w:num>
  <w:num w:numId="22">
    <w:abstractNumId w:val="195"/>
  </w:num>
  <w:num w:numId="23">
    <w:abstractNumId w:val="37"/>
  </w:num>
  <w:num w:numId="24">
    <w:abstractNumId w:val="18"/>
  </w:num>
  <w:num w:numId="25">
    <w:abstractNumId w:val="176"/>
  </w:num>
  <w:num w:numId="26">
    <w:abstractNumId w:val="286"/>
  </w:num>
  <w:num w:numId="27">
    <w:abstractNumId w:val="52"/>
  </w:num>
  <w:num w:numId="28">
    <w:abstractNumId w:val="51"/>
  </w:num>
  <w:num w:numId="29">
    <w:abstractNumId w:val="110"/>
  </w:num>
  <w:num w:numId="30">
    <w:abstractNumId w:val="53"/>
  </w:num>
  <w:num w:numId="31">
    <w:abstractNumId w:val="172"/>
  </w:num>
  <w:num w:numId="32">
    <w:abstractNumId w:val="55"/>
  </w:num>
  <w:num w:numId="33">
    <w:abstractNumId w:val="203"/>
  </w:num>
  <w:num w:numId="34">
    <w:abstractNumId w:val="46"/>
  </w:num>
  <w:num w:numId="35">
    <w:abstractNumId w:val="279"/>
  </w:num>
  <w:num w:numId="36">
    <w:abstractNumId w:val="26"/>
  </w:num>
  <w:num w:numId="37">
    <w:abstractNumId w:val="209"/>
  </w:num>
  <w:num w:numId="38">
    <w:abstractNumId w:val="158"/>
  </w:num>
  <w:num w:numId="39">
    <w:abstractNumId w:val="202"/>
  </w:num>
  <w:num w:numId="40">
    <w:abstractNumId w:val="271"/>
  </w:num>
  <w:num w:numId="41">
    <w:abstractNumId w:val="308"/>
  </w:num>
  <w:num w:numId="42">
    <w:abstractNumId w:val="326"/>
  </w:num>
  <w:num w:numId="43">
    <w:abstractNumId w:val="239"/>
  </w:num>
  <w:num w:numId="44">
    <w:abstractNumId w:val="143"/>
  </w:num>
  <w:num w:numId="45">
    <w:abstractNumId w:val="45"/>
  </w:num>
  <w:num w:numId="46">
    <w:abstractNumId w:val="28"/>
  </w:num>
  <w:num w:numId="47">
    <w:abstractNumId w:val="112"/>
  </w:num>
  <w:num w:numId="48">
    <w:abstractNumId w:val="84"/>
  </w:num>
  <w:num w:numId="49">
    <w:abstractNumId w:val="125"/>
  </w:num>
  <w:num w:numId="50">
    <w:abstractNumId w:val="61"/>
  </w:num>
  <w:num w:numId="51">
    <w:abstractNumId w:val="232"/>
  </w:num>
  <w:num w:numId="52">
    <w:abstractNumId w:val="152"/>
  </w:num>
  <w:num w:numId="53">
    <w:abstractNumId w:val="76"/>
  </w:num>
  <w:num w:numId="54">
    <w:abstractNumId w:val="86"/>
  </w:num>
  <w:num w:numId="55">
    <w:abstractNumId w:val="282"/>
  </w:num>
  <w:num w:numId="56">
    <w:abstractNumId w:val="15"/>
  </w:num>
  <w:num w:numId="57">
    <w:abstractNumId w:val="5"/>
  </w:num>
  <w:num w:numId="58">
    <w:abstractNumId w:val="250"/>
  </w:num>
  <w:num w:numId="59">
    <w:abstractNumId w:val="103"/>
  </w:num>
  <w:num w:numId="60">
    <w:abstractNumId w:val="295"/>
  </w:num>
  <w:num w:numId="61">
    <w:abstractNumId w:val="289"/>
  </w:num>
  <w:num w:numId="62">
    <w:abstractNumId w:val="234"/>
  </w:num>
  <w:num w:numId="63">
    <w:abstractNumId w:val="272"/>
  </w:num>
  <w:num w:numId="64">
    <w:abstractNumId w:val="345"/>
  </w:num>
  <w:num w:numId="65">
    <w:abstractNumId w:val="338"/>
  </w:num>
  <w:num w:numId="66">
    <w:abstractNumId w:val="92"/>
  </w:num>
  <w:num w:numId="67">
    <w:abstractNumId w:val="93"/>
  </w:num>
  <w:num w:numId="68">
    <w:abstractNumId w:val="65"/>
  </w:num>
  <w:num w:numId="69">
    <w:abstractNumId w:val="4"/>
  </w:num>
  <w:num w:numId="70">
    <w:abstractNumId w:val="145"/>
  </w:num>
  <w:num w:numId="71">
    <w:abstractNumId w:val="171"/>
  </w:num>
  <w:num w:numId="72">
    <w:abstractNumId w:val="94"/>
  </w:num>
  <w:num w:numId="73">
    <w:abstractNumId w:val="83"/>
  </w:num>
  <w:num w:numId="74">
    <w:abstractNumId w:val="343"/>
  </w:num>
  <w:num w:numId="75">
    <w:abstractNumId w:val="170"/>
  </w:num>
  <w:num w:numId="76">
    <w:abstractNumId w:val="129"/>
  </w:num>
  <w:num w:numId="77">
    <w:abstractNumId w:val="62"/>
  </w:num>
  <w:num w:numId="78">
    <w:abstractNumId w:val="291"/>
  </w:num>
  <w:num w:numId="79">
    <w:abstractNumId w:val="156"/>
  </w:num>
  <w:num w:numId="80">
    <w:abstractNumId w:val="117"/>
  </w:num>
  <w:num w:numId="81">
    <w:abstractNumId w:val="248"/>
  </w:num>
  <w:num w:numId="82">
    <w:abstractNumId w:val="38"/>
  </w:num>
  <w:num w:numId="83">
    <w:abstractNumId w:val="78"/>
  </w:num>
  <w:num w:numId="84">
    <w:abstractNumId w:val="159"/>
  </w:num>
  <w:num w:numId="85">
    <w:abstractNumId w:val="280"/>
  </w:num>
  <w:num w:numId="86">
    <w:abstractNumId w:val="150"/>
  </w:num>
  <w:num w:numId="87">
    <w:abstractNumId w:val="148"/>
  </w:num>
  <w:num w:numId="88">
    <w:abstractNumId w:val="242"/>
  </w:num>
  <w:num w:numId="89">
    <w:abstractNumId w:val="6"/>
  </w:num>
  <w:num w:numId="90">
    <w:abstractNumId w:val="283"/>
  </w:num>
  <w:num w:numId="91">
    <w:abstractNumId w:val="194"/>
  </w:num>
  <w:num w:numId="92">
    <w:abstractNumId w:val="153"/>
  </w:num>
  <w:num w:numId="93">
    <w:abstractNumId w:val="251"/>
  </w:num>
  <w:num w:numId="94">
    <w:abstractNumId w:val="140"/>
  </w:num>
  <w:num w:numId="95">
    <w:abstractNumId w:val="192"/>
  </w:num>
  <w:num w:numId="96">
    <w:abstractNumId w:val="128"/>
  </w:num>
  <w:num w:numId="97">
    <w:abstractNumId w:val="307"/>
  </w:num>
  <w:num w:numId="98">
    <w:abstractNumId w:val="341"/>
  </w:num>
  <w:num w:numId="99">
    <w:abstractNumId w:val="160"/>
  </w:num>
  <w:num w:numId="100">
    <w:abstractNumId w:val="344"/>
  </w:num>
  <w:num w:numId="101">
    <w:abstractNumId w:val="0"/>
  </w:num>
  <w:num w:numId="102">
    <w:abstractNumId w:val="1"/>
  </w:num>
  <w:num w:numId="103">
    <w:abstractNumId w:val="16"/>
  </w:num>
  <w:num w:numId="104">
    <w:abstractNumId w:val="30"/>
  </w:num>
  <w:num w:numId="105">
    <w:abstractNumId w:val="27"/>
  </w:num>
  <w:num w:numId="106">
    <w:abstractNumId w:val="189"/>
  </w:num>
  <w:num w:numId="107">
    <w:abstractNumId w:val="167"/>
  </w:num>
  <w:num w:numId="108">
    <w:abstractNumId w:val="259"/>
  </w:num>
  <w:num w:numId="109">
    <w:abstractNumId w:val="253"/>
  </w:num>
  <w:num w:numId="110">
    <w:abstractNumId w:val="32"/>
  </w:num>
  <w:num w:numId="111">
    <w:abstractNumId w:val="80"/>
  </w:num>
  <w:num w:numId="112">
    <w:abstractNumId w:val="90"/>
  </w:num>
  <w:num w:numId="113">
    <w:abstractNumId w:val="332"/>
  </w:num>
  <w:num w:numId="114">
    <w:abstractNumId w:val="323"/>
  </w:num>
  <w:num w:numId="115">
    <w:abstractNumId w:val="301"/>
  </w:num>
  <w:num w:numId="116">
    <w:abstractNumId w:val="193"/>
  </w:num>
  <w:num w:numId="117">
    <w:abstractNumId w:val="275"/>
  </w:num>
  <w:num w:numId="118">
    <w:abstractNumId w:val="155"/>
  </w:num>
  <w:num w:numId="119">
    <w:abstractNumId w:val="141"/>
  </w:num>
  <w:num w:numId="120">
    <w:abstractNumId w:val="219"/>
  </w:num>
  <w:num w:numId="121">
    <w:abstractNumId w:val="33"/>
  </w:num>
  <w:num w:numId="122">
    <w:abstractNumId w:val="207"/>
  </w:num>
  <w:num w:numId="123">
    <w:abstractNumId w:val="296"/>
  </w:num>
  <w:num w:numId="124">
    <w:abstractNumId w:val="268"/>
  </w:num>
  <w:num w:numId="125">
    <w:abstractNumId w:val="320"/>
  </w:num>
  <w:num w:numId="126">
    <w:abstractNumId w:val="138"/>
  </w:num>
  <w:num w:numId="127">
    <w:abstractNumId w:val="278"/>
  </w:num>
  <w:num w:numId="128">
    <w:abstractNumId w:val="290"/>
  </w:num>
  <w:num w:numId="129">
    <w:abstractNumId w:val="75"/>
  </w:num>
  <w:num w:numId="130">
    <w:abstractNumId w:val="184"/>
  </w:num>
  <w:num w:numId="131">
    <w:abstractNumId w:val="317"/>
  </w:num>
  <w:num w:numId="132">
    <w:abstractNumId w:val="337"/>
  </w:num>
  <w:num w:numId="133">
    <w:abstractNumId w:val="252"/>
  </w:num>
  <w:num w:numId="134">
    <w:abstractNumId w:val="8"/>
  </w:num>
  <w:num w:numId="135">
    <w:abstractNumId w:val="50"/>
  </w:num>
  <w:num w:numId="136">
    <w:abstractNumId w:val="186"/>
  </w:num>
  <w:num w:numId="137">
    <w:abstractNumId w:val="91"/>
  </w:num>
  <w:num w:numId="138">
    <w:abstractNumId w:val="113"/>
  </w:num>
  <w:num w:numId="139">
    <w:abstractNumId w:val="36"/>
  </w:num>
  <w:num w:numId="140">
    <w:abstractNumId w:val="124"/>
  </w:num>
  <w:num w:numId="141">
    <w:abstractNumId w:val="69"/>
  </w:num>
  <w:num w:numId="142">
    <w:abstractNumId w:val="107"/>
  </w:num>
  <w:num w:numId="143">
    <w:abstractNumId w:val="258"/>
  </w:num>
  <w:num w:numId="144">
    <w:abstractNumId w:val="89"/>
  </w:num>
  <w:num w:numId="145">
    <w:abstractNumId w:val="294"/>
  </w:num>
  <w:num w:numId="146">
    <w:abstractNumId w:val="328"/>
  </w:num>
  <w:num w:numId="147">
    <w:abstractNumId w:val="241"/>
  </w:num>
  <w:num w:numId="148">
    <w:abstractNumId w:val="243"/>
  </w:num>
  <w:num w:numId="149">
    <w:abstractNumId w:val="68"/>
  </w:num>
  <w:num w:numId="150">
    <w:abstractNumId w:val="339"/>
  </w:num>
  <w:num w:numId="151">
    <w:abstractNumId w:val="334"/>
  </w:num>
  <w:num w:numId="152">
    <w:abstractNumId w:val="71"/>
  </w:num>
  <w:num w:numId="153">
    <w:abstractNumId w:val="88"/>
  </w:num>
  <w:num w:numId="154">
    <w:abstractNumId w:val="130"/>
  </w:num>
  <w:num w:numId="155">
    <w:abstractNumId w:val="20"/>
  </w:num>
  <w:num w:numId="156">
    <w:abstractNumId w:val="120"/>
  </w:num>
  <w:num w:numId="157">
    <w:abstractNumId w:val="115"/>
  </w:num>
  <w:num w:numId="158">
    <w:abstractNumId w:val="305"/>
  </w:num>
  <w:num w:numId="159">
    <w:abstractNumId w:val="182"/>
  </w:num>
  <w:num w:numId="160">
    <w:abstractNumId w:val="98"/>
  </w:num>
  <w:num w:numId="161">
    <w:abstractNumId w:val="58"/>
  </w:num>
  <w:num w:numId="162">
    <w:abstractNumId w:val="226"/>
  </w:num>
  <w:num w:numId="163">
    <w:abstractNumId w:val="331"/>
  </w:num>
  <w:num w:numId="164">
    <w:abstractNumId w:val="210"/>
  </w:num>
  <w:num w:numId="165">
    <w:abstractNumId w:val="212"/>
  </w:num>
  <w:num w:numId="166">
    <w:abstractNumId w:val="119"/>
  </w:num>
  <w:num w:numId="167">
    <w:abstractNumId w:val="229"/>
  </w:num>
  <w:num w:numId="168">
    <w:abstractNumId w:val="225"/>
  </w:num>
  <w:num w:numId="169">
    <w:abstractNumId w:val="131"/>
  </w:num>
  <w:num w:numId="170">
    <w:abstractNumId w:val="137"/>
  </w:num>
  <w:num w:numId="171">
    <w:abstractNumId w:val="22"/>
  </w:num>
  <w:num w:numId="172">
    <w:abstractNumId w:val="273"/>
  </w:num>
  <w:num w:numId="173">
    <w:abstractNumId w:val="181"/>
  </w:num>
  <w:num w:numId="174">
    <w:abstractNumId w:val="135"/>
  </w:num>
  <w:num w:numId="175">
    <w:abstractNumId w:val="2"/>
  </w:num>
  <w:num w:numId="176">
    <w:abstractNumId w:val="333"/>
  </w:num>
  <w:num w:numId="177">
    <w:abstractNumId w:val="43"/>
  </w:num>
  <w:num w:numId="178">
    <w:abstractNumId w:val="237"/>
  </w:num>
  <w:num w:numId="179">
    <w:abstractNumId w:val="218"/>
  </w:num>
  <w:num w:numId="180">
    <w:abstractNumId w:val="142"/>
  </w:num>
  <w:num w:numId="181">
    <w:abstractNumId w:val="25"/>
  </w:num>
  <w:num w:numId="182">
    <w:abstractNumId w:val="40"/>
  </w:num>
  <w:num w:numId="183">
    <w:abstractNumId w:val="179"/>
  </w:num>
  <w:num w:numId="184">
    <w:abstractNumId w:val="233"/>
  </w:num>
  <w:num w:numId="185">
    <w:abstractNumId w:val="147"/>
  </w:num>
  <w:num w:numId="186">
    <w:abstractNumId w:val="161"/>
  </w:num>
  <w:num w:numId="187">
    <w:abstractNumId w:val="284"/>
  </w:num>
  <w:num w:numId="188">
    <w:abstractNumId w:val="185"/>
  </w:num>
  <w:num w:numId="189">
    <w:abstractNumId w:val="263"/>
  </w:num>
  <w:num w:numId="190">
    <w:abstractNumId w:val="95"/>
  </w:num>
  <w:num w:numId="191">
    <w:abstractNumId w:val="293"/>
  </w:num>
  <w:num w:numId="192">
    <w:abstractNumId w:val="315"/>
  </w:num>
  <w:num w:numId="193">
    <w:abstractNumId w:val="101"/>
  </w:num>
  <w:num w:numId="194">
    <w:abstractNumId w:val="297"/>
  </w:num>
  <w:num w:numId="195">
    <w:abstractNumId w:val="205"/>
  </w:num>
  <w:num w:numId="196">
    <w:abstractNumId w:val="309"/>
  </w:num>
  <w:num w:numId="197">
    <w:abstractNumId w:val="126"/>
  </w:num>
  <w:num w:numId="198">
    <w:abstractNumId w:val="99"/>
  </w:num>
  <w:num w:numId="199">
    <w:abstractNumId w:val="220"/>
  </w:num>
  <w:num w:numId="200">
    <w:abstractNumId w:val="319"/>
  </w:num>
  <w:num w:numId="201">
    <w:abstractNumId w:val="87"/>
  </w:num>
  <w:num w:numId="202">
    <w:abstractNumId w:val="85"/>
  </w:num>
  <w:num w:numId="203">
    <w:abstractNumId w:val="121"/>
  </w:num>
  <w:num w:numId="204">
    <w:abstractNumId w:val="292"/>
  </w:num>
  <w:num w:numId="205">
    <w:abstractNumId w:val="245"/>
  </w:num>
  <w:num w:numId="206">
    <w:abstractNumId w:val="72"/>
  </w:num>
  <w:num w:numId="207">
    <w:abstractNumId w:val="183"/>
  </w:num>
  <w:num w:numId="208">
    <w:abstractNumId w:val="79"/>
  </w:num>
  <w:num w:numId="209">
    <w:abstractNumId w:val="108"/>
  </w:num>
  <w:num w:numId="210">
    <w:abstractNumId w:val="104"/>
  </w:num>
  <w:num w:numId="211">
    <w:abstractNumId w:val="48"/>
  </w:num>
  <w:num w:numId="212">
    <w:abstractNumId w:val="224"/>
  </w:num>
  <w:num w:numId="213">
    <w:abstractNumId w:val="70"/>
  </w:num>
  <w:num w:numId="214">
    <w:abstractNumId w:val="132"/>
  </w:num>
  <w:num w:numId="215">
    <w:abstractNumId w:val="191"/>
  </w:num>
  <w:num w:numId="216">
    <w:abstractNumId w:val="81"/>
  </w:num>
  <w:num w:numId="217">
    <w:abstractNumId w:val="163"/>
  </w:num>
  <w:num w:numId="218">
    <w:abstractNumId w:val="111"/>
  </w:num>
  <w:num w:numId="219">
    <w:abstractNumId w:val="73"/>
  </w:num>
  <w:num w:numId="220">
    <w:abstractNumId w:val="265"/>
  </w:num>
  <w:num w:numId="221">
    <w:abstractNumId w:val="122"/>
  </w:num>
  <w:num w:numId="222">
    <w:abstractNumId w:val="321"/>
  </w:num>
  <w:num w:numId="223">
    <w:abstractNumId w:val="208"/>
  </w:num>
  <w:num w:numId="224">
    <w:abstractNumId w:val="157"/>
  </w:num>
  <w:num w:numId="225">
    <w:abstractNumId w:val="223"/>
  </w:num>
  <w:num w:numId="226">
    <w:abstractNumId w:val="9"/>
  </w:num>
  <w:num w:numId="227">
    <w:abstractNumId w:val="47"/>
  </w:num>
  <w:num w:numId="228">
    <w:abstractNumId w:val="127"/>
  </w:num>
  <w:num w:numId="229">
    <w:abstractNumId w:val="314"/>
  </w:num>
  <w:num w:numId="230">
    <w:abstractNumId w:val="236"/>
  </w:num>
  <w:num w:numId="231">
    <w:abstractNumId w:val="255"/>
  </w:num>
  <w:num w:numId="232">
    <w:abstractNumId w:val="149"/>
  </w:num>
  <w:num w:numId="233">
    <w:abstractNumId w:val="106"/>
  </w:num>
  <w:num w:numId="234">
    <w:abstractNumId w:val="14"/>
  </w:num>
  <w:num w:numId="235">
    <w:abstractNumId w:val="316"/>
  </w:num>
  <w:num w:numId="236">
    <w:abstractNumId w:val="165"/>
  </w:num>
  <w:num w:numId="237">
    <w:abstractNumId w:val="190"/>
  </w:num>
  <w:num w:numId="238">
    <w:abstractNumId w:val="257"/>
  </w:num>
  <w:num w:numId="239">
    <w:abstractNumId w:val="188"/>
  </w:num>
  <w:num w:numId="240">
    <w:abstractNumId w:val="96"/>
  </w:num>
  <w:num w:numId="241">
    <w:abstractNumId w:val="213"/>
  </w:num>
  <w:num w:numId="242">
    <w:abstractNumId w:val="312"/>
  </w:num>
  <w:num w:numId="243">
    <w:abstractNumId w:val="304"/>
  </w:num>
  <w:num w:numId="244">
    <w:abstractNumId w:val="154"/>
  </w:num>
  <w:num w:numId="245">
    <w:abstractNumId w:val="300"/>
  </w:num>
  <w:num w:numId="246">
    <w:abstractNumId w:val="19"/>
  </w:num>
  <w:num w:numId="247">
    <w:abstractNumId w:val="340"/>
  </w:num>
  <w:num w:numId="248">
    <w:abstractNumId w:val="3"/>
  </w:num>
  <w:num w:numId="249">
    <w:abstractNumId w:val="230"/>
  </w:num>
  <w:num w:numId="250">
    <w:abstractNumId w:val="174"/>
  </w:num>
  <w:num w:numId="251">
    <w:abstractNumId w:val="175"/>
  </w:num>
  <w:num w:numId="252">
    <w:abstractNumId w:val="168"/>
  </w:num>
  <w:num w:numId="253">
    <w:abstractNumId w:val="240"/>
  </w:num>
  <w:num w:numId="254">
    <w:abstractNumId w:val="196"/>
  </w:num>
  <w:num w:numId="255">
    <w:abstractNumId w:val="136"/>
  </w:num>
  <w:num w:numId="256">
    <w:abstractNumId w:val="177"/>
  </w:num>
  <w:num w:numId="257">
    <w:abstractNumId w:val="342"/>
  </w:num>
  <w:num w:numId="258">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166"/>
  </w:num>
  <w:num w:numId="26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44"/>
  </w:num>
  <w:num w:numId="262">
    <w:abstractNumId w:val="105"/>
  </w:num>
  <w:num w:numId="263">
    <w:abstractNumId w:val="267"/>
  </w:num>
  <w:num w:numId="264">
    <w:abstractNumId w:val="325"/>
  </w:num>
  <w:num w:numId="265">
    <w:abstractNumId w:val="327"/>
  </w:num>
  <w:num w:numId="266">
    <w:abstractNumId w:val="235"/>
  </w:num>
  <w:num w:numId="267">
    <w:abstractNumId w:val="216"/>
  </w:num>
  <w:num w:numId="268">
    <w:abstractNumId w:val="151"/>
  </w:num>
  <w:num w:numId="269">
    <w:abstractNumId w:val="227"/>
  </w:num>
  <w:num w:numId="270">
    <w:abstractNumId w:val="221"/>
  </w:num>
  <w:num w:numId="271">
    <w:abstractNumId w:val="313"/>
  </w:num>
  <w:num w:numId="272">
    <w:abstractNumId w:val="173"/>
  </w:num>
  <w:num w:numId="273">
    <w:abstractNumId w:val="29"/>
  </w:num>
  <w:num w:numId="274">
    <w:abstractNumId w:val="336"/>
  </w:num>
  <w:num w:numId="275">
    <w:abstractNumId w:val="97"/>
  </w:num>
  <w:num w:numId="276">
    <w:abstractNumId w:val="260"/>
  </w:num>
  <w:num w:numId="277">
    <w:abstractNumId w:val="204"/>
  </w:num>
  <w:num w:numId="278">
    <w:abstractNumId w:val="335"/>
  </w:num>
  <w:num w:numId="279">
    <w:abstractNumId w:val="201"/>
  </w:num>
  <w:num w:numId="280">
    <w:abstractNumId w:val="247"/>
  </w:num>
  <w:num w:numId="281">
    <w:abstractNumId w:val="74"/>
  </w:num>
  <w:num w:numId="282">
    <w:abstractNumId w:val="180"/>
  </w:num>
  <w:num w:numId="283">
    <w:abstractNumId w:val="13"/>
  </w:num>
  <w:num w:numId="284">
    <w:abstractNumId w:val="266"/>
  </w:num>
  <w:num w:numId="285">
    <w:abstractNumId w:val="269"/>
  </w:num>
  <w:num w:numId="286">
    <w:abstractNumId w:val="264"/>
  </w:num>
  <w:num w:numId="287">
    <w:abstractNumId w:val="114"/>
  </w:num>
  <w:num w:numId="288">
    <w:abstractNumId w:val="256"/>
  </w:num>
  <w:num w:numId="289">
    <w:abstractNumId w:val="276"/>
  </w:num>
  <w:num w:numId="290">
    <w:abstractNumId w:val="246"/>
  </w:num>
  <w:num w:numId="291">
    <w:abstractNumId w:val="310"/>
  </w:num>
  <w:num w:numId="292">
    <w:abstractNumId w:val="228"/>
  </w:num>
  <w:num w:numId="293">
    <w:abstractNumId w:val="139"/>
  </w:num>
  <w:num w:numId="294">
    <w:abstractNumId w:val="217"/>
  </w:num>
  <w:num w:numId="295">
    <w:abstractNumId w:val="214"/>
  </w:num>
  <w:num w:numId="296">
    <w:abstractNumId w:val="31"/>
  </w:num>
  <w:num w:numId="297">
    <w:abstractNumId w:val="238"/>
  </w:num>
  <w:num w:numId="298">
    <w:abstractNumId w:val="164"/>
  </w:num>
  <w:num w:numId="299">
    <w:abstractNumId w:val="60"/>
  </w:num>
  <w:num w:numId="300">
    <w:abstractNumId w:val="35"/>
  </w:num>
  <w:num w:numId="301">
    <w:abstractNumId w:val="215"/>
  </w:num>
  <w:num w:numId="302">
    <w:abstractNumId w:val="11"/>
  </w:num>
  <w:num w:numId="303">
    <w:abstractNumId w:val="303"/>
  </w:num>
  <w:num w:numId="304">
    <w:abstractNumId w:val="133"/>
  </w:num>
  <w:num w:numId="305">
    <w:abstractNumId w:val="322"/>
  </w:num>
  <w:num w:numId="306">
    <w:abstractNumId w:val="57"/>
  </w:num>
  <w:num w:numId="307">
    <w:abstractNumId w:val="274"/>
  </w:num>
  <w:num w:numId="308">
    <w:abstractNumId w:val="59"/>
  </w:num>
  <w:num w:numId="309">
    <w:abstractNumId w:val="17"/>
  </w:num>
  <w:num w:numId="310">
    <w:abstractNumId w:val="64"/>
  </w:num>
  <w:num w:numId="311">
    <w:abstractNumId w:val="49"/>
  </w:num>
  <w:num w:numId="312">
    <w:abstractNumId w:val="262"/>
  </w:num>
  <w:num w:numId="313">
    <w:abstractNumId w:val="63"/>
  </w:num>
  <w:num w:numId="314">
    <w:abstractNumId w:val="39"/>
  </w:num>
  <w:num w:numId="315">
    <w:abstractNumId w:val="285"/>
  </w:num>
  <w:num w:numId="316">
    <w:abstractNumId w:val="42"/>
  </w:num>
  <w:num w:numId="317">
    <w:abstractNumId w:val="306"/>
  </w:num>
  <w:num w:numId="318">
    <w:abstractNumId w:val="244"/>
  </w:num>
  <w:num w:numId="319">
    <w:abstractNumId w:val="329"/>
  </w:num>
  <w:num w:numId="320">
    <w:abstractNumId w:val="23"/>
  </w:num>
  <w:num w:numId="321">
    <w:abstractNumId w:val="7"/>
  </w:num>
  <w:num w:numId="322">
    <w:abstractNumId w:val="277"/>
  </w:num>
  <w:num w:numId="323">
    <w:abstractNumId w:val="67"/>
  </w:num>
  <w:num w:numId="324">
    <w:abstractNumId w:val="302"/>
  </w:num>
  <w:num w:numId="325">
    <w:abstractNumId w:val="231"/>
  </w:num>
  <w:num w:numId="326">
    <w:abstractNumId w:val="324"/>
  </w:num>
  <w:num w:numId="327">
    <w:abstractNumId w:val="146"/>
  </w:num>
  <w:num w:numId="328">
    <w:abstractNumId w:val="187"/>
  </w:num>
  <w:num w:numId="329">
    <w:abstractNumId w:val="270"/>
  </w:num>
  <w:num w:numId="330">
    <w:abstractNumId w:val="10"/>
  </w:num>
  <w:num w:numId="331">
    <w:abstractNumId w:val="288"/>
  </w:num>
  <w:num w:numId="332">
    <w:abstractNumId w:val="261"/>
  </w:num>
  <w:num w:numId="333">
    <w:abstractNumId w:val="77"/>
  </w:num>
  <w:num w:numId="334">
    <w:abstractNumId w:val="123"/>
  </w:num>
  <w:num w:numId="335">
    <w:abstractNumId w:val="330"/>
  </w:num>
  <w:num w:numId="336">
    <w:abstractNumId w:val="118"/>
  </w:num>
  <w:num w:numId="337">
    <w:abstractNumId w:val="144"/>
  </w:num>
  <w:num w:numId="338">
    <w:abstractNumId w:val="199"/>
  </w:num>
  <w:num w:numId="339">
    <w:abstractNumId w:val="66"/>
  </w:num>
  <w:num w:numId="340">
    <w:abstractNumId w:val="287"/>
  </w:num>
  <w:num w:numId="341">
    <w:abstractNumId w:val="311"/>
  </w:num>
  <w:num w:numId="342">
    <w:abstractNumId w:val="118"/>
  </w:num>
  <w:num w:numId="343">
    <w:abstractNumId w:val="287"/>
  </w:num>
  <w:num w:numId="344">
    <w:abstractNumId w:val="311"/>
  </w:num>
  <w:num w:numId="345">
    <w:abstractNumId w:val="129"/>
  </w:num>
  <w:num w:numId="346">
    <w:abstractNumId w:val="156"/>
  </w:num>
  <w:num w:numId="347">
    <w:abstractNumId w:val="102"/>
  </w:num>
  <w:num w:numId="348">
    <w:abstractNumId w:val="178"/>
  </w:num>
  <w:num w:numId="349">
    <w:abstractNumId w:val="198"/>
  </w:num>
  <w:num w:numId="350">
    <w:abstractNumId w:val="299"/>
  </w:num>
  <w:num w:numId="351">
    <w:abstractNumId w:val="109"/>
  </w:num>
  <w:num w:numId="352">
    <w:abstractNumId w:val="254"/>
  </w:num>
  <w:numIdMacAtCleanup w:val="3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4"/>
  <w:hideSpellingErrors/>
  <w:activeWritingStyle w:appName="MSWord" w:lang="de-DE" w:vendorID="64" w:dllVersion="6" w:nlCheck="1" w:checkStyle="0"/>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s-ES" w:vendorID="64" w:dllVersion="6" w:nlCheck="1" w:checkStyle="0"/>
  <w:activeWritingStyle w:appName="MSWord" w:lang="fr-BE"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fr-BE" w:vendorID="64" w:dllVersion="4096" w:nlCheck="1" w:checkStyle="0"/>
  <w:activeWritingStyle w:appName="MSWord" w:lang="pt-BR" w:vendorID="64" w:dllVersion="6" w:nlCheck="1" w:checkStyle="0"/>
  <w:activeWritingStyle w:appName="MSWord" w:lang="en-GB" w:vendorID="64" w:dllVersion="0" w:nlCheck="1" w:checkStyle="0"/>
  <w:activeWritingStyle w:appName="MSWord" w:lang="fr-BE"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s-ES" w:vendorID="64" w:dllVersion="0" w:nlCheck="1" w:checkStyle="0"/>
  <w:activeWritingStyle w:appName="MSWord" w:lang="pt-BR" w:vendorID="64" w:dllVersion="0" w:nlCheck="1" w:checkStyle="0"/>
  <w:activeWritingStyle w:appName="MSWord" w:lang="fr-CH" w:vendorID="64" w:dllVersion="0" w:nlCheck="1" w:checkStyle="0"/>
  <w:activeWritingStyle w:appName="MSWord" w:lang="fr-CH" w:vendorID="64" w:dllVersion="4096" w:nlCheck="1" w:checkStyle="0"/>
  <w:activeWritingStyle w:appName="MSWord" w:lang="fr-CH" w:vendorID="64" w:dllVersion="6" w:nlCheck="1" w:checkStyle="0"/>
  <w:activeWritingStyle w:appName="MSWord" w:lang="it-IT" w:vendorID="64" w:dllVersion="0" w:nlCheck="1" w:checkStyle="0"/>
  <w:activeWritingStyle w:appName="MSWord" w:lang="cs-CZ" w:vendorID="64" w:dllVersion="0" w:nlCheck="1" w:checkStyle="0"/>
  <w:activeWritingStyle w:appName="MSWord" w:lang="pt-PT" w:vendorID="64" w:dllVersion="0" w:nlCheck="1" w:checkStyle="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13DD"/>
    <w:rsid w:val="00001309"/>
    <w:rsid w:val="0000347A"/>
    <w:rsid w:val="00004085"/>
    <w:rsid w:val="000041A4"/>
    <w:rsid w:val="000041F3"/>
    <w:rsid w:val="00004216"/>
    <w:rsid w:val="00005F9C"/>
    <w:rsid w:val="000068BB"/>
    <w:rsid w:val="00007A9F"/>
    <w:rsid w:val="00010488"/>
    <w:rsid w:val="000105EB"/>
    <w:rsid w:val="0001104D"/>
    <w:rsid w:val="00011632"/>
    <w:rsid w:val="0001186C"/>
    <w:rsid w:val="00012519"/>
    <w:rsid w:val="00012CCA"/>
    <w:rsid w:val="00013114"/>
    <w:rsid w:val="000136D7"/>
    <w:rsid w:val="000140B0"/>
    <w:rsid w:val="00017181"/>
    <w:rsid w:val="00020274"/>
    <w:rsid w:val="000205D9"/>
    <w:rsid w:val="00020913"/>
    <w:rsid w:val="00020DB5"/>
    <w:rsid w:val="00022626"/>
    <w:rsid w:val="00022699"/>
    <w:rsid w:val="0002271A"/>
    <w:rsid w:val="00022F8F"/>
    <w:rsid w:val="000230A3"/>
    <w:rsid w:val="00024313"/>
    <w:rsid w:val="00024D48"/>
    <w:rsid w:val="00024FE3"/>
    <w:rsid w:val="0002501B"/>
    <w:rsid w:val="00025439"/>
    <w:rsid w:val="00025711"/>
    <w:rsid w:val="0002619C"/>
    <w:rsid w:val="00026371"/>
    <w:rsid w:val="00027253"/>
    <w:rsid w:val="00027516"/>
    <w:rsid w:val="0002767D"/>
    <w:rsid w:val="000325C0"/>
    <w:rsid w:val="00033403"/>
    <w:rsid w:val="00033727"/>
    <w:rsid w:val="00033941"/>
    <w:rsid w:val="000344B8"/>
    <w:rsid w:val="000346A7"/>
    <w:rsid w:val="00035588"/>
    <w:rsid w:val="00035B8C"/>
    <w:rsid w:val="000365AA"/>
    <w:rsid w:val="000369D2"/>
    <w:rsid w:val="000375BB"/>
    <w:rsid w:val="00037776"/>
    <w:rsid w:val="00037875"/>
    <w:rsid w:val="00037887"/>
    <w:rsid w:val="00037895"/>
    <w:rsid w:val="00037C3E"/>
    <w:rsid w:val="00040760"/>
    <w:rsid w:val="00040796"/>
    <w:rsid w:val="00040FFF"/>
    <w:rsid w:val="00041575"/>
    <w:rsid w:val="000415EE"/>
    <w:rsid w:val="0004162A"/>
    <w:rsid w:val="0004166A"/>
    <w:rsid w:val="000435EE"/>
    <w:rsid w:val="00043E63"/>
    <w:rsid w:val="00044894"/>
    <w:rsid w:val="00045359"/>
    <w:rsid w:val="0004545C"/>
    <w:rsid w:val="00045A46"/>
    <w:rsid w:val="00045C51"/>
    <w:rsid w:val="00045D57"/>
    <w:rsid w:val="0004606C"/>
    <w:rsid w:val="00046976"/>
    <w:rsid w:val="00046E6A"/>
    <w:rsid w:val="0005070E"/>
    <w:rsid w:val="00053650"/>
    <w:rsid w:val="00054202"/>
    <w:rsid w:val="0005420B"/>
    <w:rsid w:val="000543C0"/>
    <w:rsid w:val="000543F1"/>
    <w:rsid w:val="00054CD4"/>
    <w:rsid w:val="00054ED0"/>
    <w:rsid w:val="00054F38"/>
    <w:rsid w:val="00054F87"/>
    <w:rsid w:val="00056842"/>
    <w:rsid w:val="000572A4"/>
    <w:rsid w:val="000574CB"/>
    <w:rsid w:val="00057737"/>
    <w:rsid w:val="000579EF"/>
    <w:rsid w:val="0006090E"/>
    <w:rsid w:val="000613C9"/>
    <w:rsid w:val="00061794"/>
    <w:rsid w:val="00061853"/>
    <w:rsid w:val="00062272"/>
    <w:rsid w:val="00062BC6"/>
    <w:rsid w:val="00064D33"/>
    <w:rsid w:val="00064FB1"/>
    <w:rsid w:val="00065997"/>
    <w:rsid w:val="00066341"/>
    <w:rsid w:val="00066ABC"/>
    <w:rsid w:val="000670BF"/>
    <w:rsid w:val="00067D98"/>
    <w:rsid w:val="00067F0A"/>
    <w:rsid w:val="000702AF"/>
    <w:rsid w:val="00070902"/>
    <w:rsid w:val="0007256B"/>
    <w:rsid w:val="0007271A"/>
    <w:rsid w:val="00072972"/>
    <w:rsid w:val="000735CA"/>
    <w:rsid w:val="00073E80"/>
    <w:rsid w:val="0007423A"/>
    <w:rsid w:val="00074573"/>
    <w:rsid w:val="00074B0B"/>
    <w:rsid w:val="00074CF6"/>
    <w:rsid w:val="00074F03"/>
    <w:rsid w:val="000760C7"/>
    <w:rsid w:val="00076502"/>
    <w:rsid w:val="00076F5E"/>
    <w:rsid w:val="000778B5"/>
    <w:rsid w:val="00077DFD"/>
    <w:rsid w:val="00080001"/>
    <w:rsid w:val="00080273"/>
    <w:rsid w:val="000804AC"/>
    <w:rsid w:val="000808A7"/>
    <w:rsid w:val="00080A53"/>
    <w:rsid w:val="00080DBB"/>
    <w:rsid w:val="000821CC"/>
    <w:rsid w:val="000827AB"/>
    <w:rsid w:val="00082EDD"/>
    <w:rsid w:val="0008308A"/>
    <w:rsid w:val="00083631"/>
    <w:rsid w:val="000839D4"/>
    <w:rsid w:val="00084502"/>
    <w:rsid w:val="0008583D"/>
    <w:rsid w:val="000860A2"/>
    <w:rsid w:val="000861FD"/>
    <w:rsid w:val="00086C94"/>
    <w:rsid w:val="00087280"/>
    <w:rsid w:val="000873EF"/>
    <w:rsid w:val="00087A7F"/>
    <w:rsid w:val="000905E4"/>
    <w:rsid w:val="000909B8"/>
    <w:rsid w:val="00090AAF"/>
    <w:rsid w:val="00091075"/>
    <w:rsid w:val="00091FE3"/>
    <w:rsid w:val="00092255"/>
    <w:rsid w:val="000928B1"/>
    <w:rsid w:val="0009295C"/>
    <w:rsid w:val="00093683"/>
    <w:rsid w:val="00093784"/>
    <w:rsid w:val="00094C30"/>
    <w:rsid w:val="000953A3"/>
    <w:rsid w:val="0009621B"/>
    <w:rsid w:val="00096EBB"/>
    <w:rsid w:val="00097129"/>
    <w:rsid w:val="00097612"/>
    <w:rsid w:val="000977CC"/>
    <w:rsid w:val="0009782B"/>
    <w:rsid w:val="000A12F0"/>
    <w:rsid w:val="000A1FE4"/>
    <w:rsid w:val="000A2175"/>
    <w:rsid w:val="000A25F5"/>
    <w:rsid w:val="000A27E4"/>
    <w:rsid w:val="000A2937"/>
    <w:rsid w:val="000A2AF3"/>
    <w:rsid w:val="000A2BF4"/>
    <w:rsid w:val="000A323F"/>
    <w:rsid w:val="000A380E"/>
    <w:rsid w:val="000A3DF5"/>
    <w:rsid w:val="000A4125"/>
    <w:rsid w:val="000A422C"/>
    <w:rsid w:val="000A502F"/>
    <w:rsid w:val="000A508F"/>
    <w:rsid w:val="000A5245"/>
    <w:rsid w:val="000A559A"/>
    <w:rsid w:val="000A5B00"/>
    <w:rsid w:val="000A5CA6"/>
    <w:rsid w:val="000A5F0B"/>
    <w:rsid w:val="000A6745"/>
    <w:rsid w:val="000A7086"/>
    <w:rsid w:val="000A72D1"/>
    <w:rsid w:val="000A75EA"/>
    <w:rsid w:val="000A7689"/>
    <w:rsid w:val="000A7FE0"/>
    <w:rsid w:val="000B027E"/>
    <w:rsid w:val="000B1FB0"/>
    <w:rsid w:val="000B2330"/>
    <w:rsid w:val="000B273D"/>
    <w:rsid w:val="000B2F16"/>
    <w:rsid w:val="000B338F"/>
    <w:rsid w:val="000B3715"/>
    <w:rsid w:val="000B385A"/>
    <w:rsid w:val="000B3A02"/>
    <w:rsid w:val="000B3BB7"/>
    <w:rsid w:val="000B413F"/>
    <w:rsid w:val="000B4E4C"/>
    <w:rsid w:val="000B5D73"/>
    <w:rsid w:val="000B6AA1"/>
    <w:rsid w:val="000B6CA1"/>
    <w:rsid w:val="000B6CE2"/>
    <w:rsid w:val="000B6CEA"/>
    <w:rsid w:val="000C02E5"/>
    <w:rsid w:val="000C07F4"/>
    <w:rsid w:val="000C083F"/>
    <w:rsid w:val="000C0EA0"/>
    <w:rsid w:val="000C22E6"/>
    <w:rsid w:val="000C2BF6"/>
    <w:rsid w:val="000C493A"/>
    <w:rsid w:val="000C4F52"/>
    <w:rsid w:val="000C55DA"/>
    <w:rsid w:val="000C6794"/>
    <w:rsid w:val="000C6EC1"/>
    <w:rsid w:val="000C6FE2"/>
    <w:rsid w:val="000C7126"/>
    <w:rsid w:val="000C7185"/>
    <w:rsid w:val="000C76CA"/>
    <w:rsid w:val="000C7DB1"/>
    <w:rsid w:val="000D01C4"/>
    <w:rsid w:val="000D0D22"/>
    <w:rsid w:val="000D2777"/>
    <w:rsid w:val="000D40F1"/>
    <w:rsid w:val="000D5018"/>
    <w:rsid w:val="000D5E76"/>
    <w:rsid w:val="000D6235"/>
    <w:rsid w:val="000D6D38"/>
    <w:rsid w:val="000D7043"/>
    <w:rsid w:val="000D7338"/>
    <w:rsid w:val="000D75F3"/>
    <w:rsid w:val="000D7BA2"/>
    <w:rsid w:val="000E145E"/>
    <w:rsid w:val="000E1B95"/>
    <w:rsid w:val="000E1C70"/>
    <w:rsid w:val="000E26BB"/>
    <w:rsid w:val="000E2A95"/>
    <w:rsid w:val="000E3635"/>
    <w:rsid w:val="000E4232"/>
    <w:rsid w:val="000E5228"/>
    <w:rsid w:val="000E5673"/>
    <w:rsid w:val="000E580A"/>
    <w:rsid w:val="000E5954"/>
    <w:rsid w:val="000E5FCB"/>
    <w:rsid w:val="000E6428"/>
    <w:rsid w:val="000E6E64"/>
    <w:rsid w:val="000E71B8"/>
    <w:rsid w:val="000E74BF"/>
    <w:rsid w:val="000E75E6"/>
    <w:rsid w:val="000E7A8A"/>
    <w:rsid w:val="000F02F8"/>
    <w:rsid w:val="000F04F3"/>
    <w:rsid w:val="000F1FD6"/>
    <w:rsid w:val="000F23D9"/>
    <w:rsid w:val="000F54CB"/>
    <w:rsid w:val="000F5514"/>
    <w:rsid w:val="000F5AF0"/>
    <w:rsid w:val="000F5D28"/>
    <w:rsid w:val="000F6931"/>
    <w:rsid w:val="000F6984"/>
    <w:rsid w:val="000F6FBB"/>
    <w:rsid w:val="000F71CB"/>
    <w:rsid w:val="000F7A63"/>
    <w:rsid w:val="0010008F"/>
    <w:rsid w:val="001000FB"/>
    <w:rsid w:val="0010117A"/>
    <w:rsid w:val="00101417"/>
    <w:rsid w:val="0010196A"/>
    <w:rsid w:val="00102470"/>
    <w:rsid w:val="00102C7B"/>
    <w:rsid w:val="0010381D"/>
    <w:rsid w:val="00103C69"/>
    <w:rsid w:val="001047E3"/>
    <w:rsid w:val="00105917"/>
    <w:rsid w:val="00106417"/>
    <w:rsid w:val="001072B9"/>
    <w:rsid w:val="00110943"/>
    <w:rsid w:val="00110A47"/>
    <w:rsid w:val="00110B0D"/>
    <w:rsid w:val="00111757"/>
    <w:rsid w:val="0011265F"/>
    <w:rsid w:val="00113067"/>
    <w:rsid w:val="001146B6"/>
    <w:rsid w:val="0011490E"/>
    <w:rsid w:val="00115051"/>
    <w:rsid w:val="0011575B"/>
    <w:rsid w:val="001166FC"/>
    <w:rsid w:val="00116AC8"/>
    <w:rsid w:val="00116C0A"/>
    <w:rsid w:val="00116CB8"/>
    <w:rsid w:val="00116DF3"/>
    <w:rsid w:val="001173AA"/>
    <w:rsid w:val="001176B6"/>
    <w:rsid w:val="00117785"/>
    <w:rsid w:val="001204E1"/>
    <w:rsid w:val="00120DBA"/>
    <w:rsid w:val="00120F5A"/>
    <w:rsid w:val="00121118"/>
    <w:rsid w:val="00121A31"/>
    <w:rsid w:val="00121B47"/>
    <w:rsid w:val="0012286B"/>
    <w:rsid w:val="00122FED"/>
    <w:rsid w:val="001239C9"/>
    <w:rsid w:val="00124032"/>
    <w:rsid w:val="0012524D"/>
    <w:rsid w:val="00125D49"/>
    <w:rsid w:val="00126ABB"/>
    <w:rsid w:val="00130873"/>
    <w:rsid w:val="00131789"/>
    <w:rsid w:val="00131D9A"/>
    <w:rsid w:val="00132401"/>
    <w:rsid w:val="00133249"/>
    <w:rsid w:val="00133DD1"/>
    <w:rsid w:val="0013413D"/>
    <w:rsid w:val="00135228"/>
    <w:rsid w:val="00136218"/>
    <w:rsid w:val="00136443"/>
    <w:rsid w:val="00137257"/>
    <w:rsid w:val="0013750E"/>
    <w:rsid w:val="00137D98"/>
    <w:rsid w:val="001417B5"/>
    <w:rsid w:val="00141896"/>
    <w:rsid w:val="00141F2C"/>
    <w:rsid w:val="00142D27"/>
    <w:rsid w:val="00143135"/>
    <w:rsid w:val="00143C75"/>
    <w:rsid w:val="00143E5E"/>
    <w:rsid w:val="00144134"/>
    <w:rsid w:val="00144549"/>
    <w:rsid w:val="00145D82"/>
    <w:rsid w:val="00146078"/>
    <w:rsid w:val="0014640D"/>
    <w:rsid w:val="001468FA"/>
    <w:rsid w:val="00146B99"/>
    <w:rsid w:val="00147B1F"/>
    <w:rsid w:val="00147FBA"/>
    <w:rsid w:val="0015104E"/>
    <w:rsid w:val="001515C9"/>
    <w:rsid w:val="00151F8B"/>
    <w:rsid w:val="00153143"/>
    <w:rsid w:val="00153B4F"/>
    <w:rsid w:val="00154053"/>
    <w:rsid w:val="001547EE"/>
    <w:rsid w:val="00155236"/>
    <w:rsid w:val="001552CD"/>
    <w:rsid w:val="00155A3B"/>
    <w:rsid w:val="0015677D"/>
    <w:rsid w:val="001567E0"/>
    <w:rsid w:val="00156E0F"/>
    <w:rsid w:val="00157561"/>
    <w:rsid w:val="00157D74"/>
    <w:rsid w:val="00161423"/>
    <w:rsid w:val="00161E80"/>
    <w:rsid w:val="00162F47"/>
    <w:rsid w:val="00163587"/>
    <w:rsid w:val="001636D0"/>
    <w:rsid w:val="001638BA"/>
    <w:rsid w:val="00163CDF"/>
    <w:rsid w:val="00163D39"/>
    <w:rsid w:val="00163E42"/>
    <w:rsid w:val="00165AC6"/>
    <w:rsid w:val="0016624C"/>
    <w:rsid w:val="0016629A"/>
    <w:rsid w:val="00166D57"/>
    <w:rsid w:val="00167468"/>
    <w:rsid w:val="00170317"/>
    <w:rsid w:val="00170718"/>
    <w:rsid w:val="00170A6F"/>
    <w:rsid w:val="00170BE2"/>
    <w:rsid w:val="00170CB0"/>
    <w:rsid w:val="00171422"/>
    <w:rsid w:val="001717A7"/>
    <w:rsid w:val="00171BB2"/>
    <w:rsid w:val="00171D87"/>
    <w:rsid w:val="00173A02"/>
    <w:rsid w:val="00175371"/>
    <w:rsid w:val="00175B54"/>
    <w:rsid w:val="00176E38"/>
    <w:rsid w:val="00176E9A"/>
    <w:rsid w:val="00177883"/>
    <w:rsid w:val="00182FC7"/>
    <w:rsid w:val="00183858"/>
    <w:rsid w:val="00184161"/>
    <w:rsid w:val="00184458"/>
    <w:rsid w:val="00184759"/>
    <w:rsid w:val="00185E4B"/>
    <w:rsid w:val="001865A3"/>
    <w:rsid w:val="00187281"/>
    <w:rsid w:val="00187430"/>
    <w:rsid w:val="00187441"/>
    <w:rsid w:val="0018747C"/>
    <w:rsid w:val="00187F66"/>
    <w:rsid w:val="00190013"/>
    <w:rsid w:val="00190483"/>
    <w:rsid w:val="001905AE"/>
    <w:rsid w:val="00190BA4"/>
    <w:rsid w:val="00191224"/>
    <w:rsid w:val="001916C2"/>
    <w:rsid w:val="001927EE"/>
    <w:rsid w:val="00192838"/>
    <w:rsid w:val="001935F6"/>
    <w:rsid w:val="00193F74"/>
    <w:rsid w:val="00194B87"/>
    <w:rsid w:val="00194BF2"/>
    <w:rsid w:val="00195F19"/>
    <w:rsid w:val="00196C76"/>
    <w:rsid w:val="00196CBD"/>
    <w:rsid w:val="00197494"/>
    <w:rsid w:val="001974D0"/>
    <w:rsid w:val="00197966"/>
    <w:rsid w:val="00197D5A"/>
    <w:rsid w:val="001A044F"/>
    <w:rsid w:val="001A10B5"/>
    <w:rsid w:val="001A1A9F"/>
    <w:rsid w:val="001A3057"/>
    <w:rsid w:val="001A3C84"/>
    <w:rsid w:val="001A4CED"/>
    <w:rsid w:val="001A4DC0"/>
    <w:rsid w:val="001A52A3"/>
    <w:rsid w:val="001A5C61"/>
    <w:rsid w:val="001A611D"/>
    <w:rsid w:val="001A6B62"/>
    <w:rsid w:val="001A6C85"/>
    <w:rsid w:val="001A7A04"/>
    <w:rsid w:val="001B0277"/>
    <w:rsid w:val="001B0F14"/>
    <w:rsid w:val="001B1411"/>
    <w:rsid w:val="001B1505"/>
    <w:rsid w:val="001B2243"/>
    <w:rsid w:val="001B271E"/>
    <w:rsid w:val="001B2726"/>
    <w:rsid w:val="001B2909"/>
    <w:rsid w:val="001B3092"/>
    <w:rsid w:val="001B3EE0"/>
    <w:rsid w:val="001B4088"/>
    <w:rsid w:val="001B428B"/>
    <w:rsid w:val="001B42EF"/>
    <w:rsid w:val="001B4971"/>
    <w:rsid w:val="001B4D0F"/>
    <w:rsid w:val="001B4DA3"/>
    <w:rsid w:val="001B5F77"/>
    <w:rsid w:val="001B60B5"/>
    <w:rsid w:val="001B62C0"/>
    <w:rsid w:val="001B6A55"/>
    <w:rsid w:val="001B6FDF"/>
    <w:rsid w:val="001B76D9"/>
    <w:rsid w:val="001B7999"/>
    <w:rsid w:val="001C013F"/>
    <w:rsid w:val="001C0651"/>
    <w:rsid w:val="001C2A07"/>
    <w:rsid w:val="001C2E52"/>
    <w:rsid w:val="001C5037"/>
    <w:rsid w:val="001C590E"/>
    <w:rsid w:val="001C5B16"/>
    <w:rsid w:val="001C6170"/>
    <w:rsid w:val="001C68D2"/>
    <w:rsid w:val="001C6921"/>
    <w:rsid w:val="001C6A06"/>
    <w:rsid w:val="001C6B72"/>
    <w:rsid w:val="001C6EAA"/>
    <w:rsid w:val="001C7238"/>
    <w:rsid w:val="001C79A9"/>
    <w:rsid w:val="001C7B6D"/>
    <w:rsid w:val="001C7F56"/>
    <w:rsid w:val="001D01DC"/>
    <w:rsid w:val="001D01FF"/>
    <w:rsid w:val="001D03D5"/>
    <w:rsid w:val="001D1A1B"/>
    <w:rsid w:val="001D2C2F"/>
    <w:rsid w:val="001D36ED"/>
    <w:rsid w:val="001D3FED"/>
    <w:rsid w:val="001D4049"/>
    <w:rsid w:val="001D4EBF"/>
    <w:rsid w:val="001D5258"/>
    <w:rsid w:val="001D561A"/>
    <w:rsid w:val="001D57EC"/>
    <w:rsid w:val="001D5EEF"/>
    <w:rsid w:val="001D6545"/>
    <w:rsid w:val="001D6CF1"/>
    <w:rsid w:val="001D70E4"/>
    <w:rsid w:val="001D7619"/>
    <w:rsid w:val="001D7F86"/>
    <w:rsid w:val="001E012A"/>
    <w:rsid w:val="001E10D1"/>
    <w:rsid w:val="001E13DF"/>
    <w:rsid w:val="001E152C"/>
    <w:rsid w:val="001E156F"/>
    <w:rsid w:val="001E1903"/>
    <w:rsid w:val="001E1C88"/>
    <w:rsid w:val="001E1EB9"/>
    <w:rsid w:val="001E2504"/>
    <w:rsid w:val="001E286E"/>
    <w:rsid w:val="001E2A6E"/>
    <w:rsid w:val="001E2DDF"/>
    <w:rsid w:val="001E2FAE"/>
    <w:rsid w:val="001E356B"/>
    <w:rsid w:val="001E3712"/>
    <w:rsid w:val="001E37C1"/>
    <w:rsid w:val="001E39CA"/>
    <w:rsid w:val="001E531C"/>
    <w:rsid w:val="001E5325"/>
    <w:rsid w:val="001E54BA"/>
    <w:rsid w:val="001E573D"/>
    <w:rsid w:val="001E5AAD"/>
    <w:rsid w:val="001E5FC6"/>
    <w:rsid w:val="001E66A2"/>
    <w:rsid w:val="001E66F6"/>
    <w:rsid w:val="001E6718"/>
    <w:rsid w:val="001E7F14"/>
    <w:rsid w:val="001F0479"/>
    <w:rsid w:val="001F074B"/>
    <w:rsid w:val="001F083C"/>
    <w:rsid w:val="001F0DEE"/>
    <w:rsid w:val="001F217C"/>
    <w:rsid w:val="001F2C7F"/>
    <w:rsid w:val="001F3235"/>
    <w:rsid w:val="001F3398"/>
    <w:rsid w:val="001F39C6"/>
    <w:rsid w:val="001F438C"/>
    <w:rsid w:val="001F49CF"/>
    <w:rsid w:val="001F50DC"/>
    <w:rsid w:val="001F564D"/>
    <w:rsid w:val="001F5A33"/>
    <w:rsid w:val="001F72DB"/>
    <w:rsid w:val="00200444"/>
    <w:rsid w:val="0020068E"/>
    <w:rsid w:val="002007F5"/>
    <w:rsid w:val="00200858"/>
    <w:rsid w:val="00200D32"/>
    <w:rsid w:val="00202217"/>
    <w:rsid w:val="0020229E"/>
    <w:rsid w:val="0020259E"/>
    <w:rsid w:val="00202A5A"/>
    <w:rsid w:val="00202BD5"/>
    <w:rsid w:val="002037BE"/>
    <w:rsid w:val="00203C4B"/>
    <w:rsid w:val="00203EAF"/>
    <w:rsid w:val="00204211"/>
    <w:rsid w:val="0020506C"/>
    <w:rsid w:val="00205991"/>
    <w:rsid w:val="002066B6"/>
    <w:rsid w:val="00206F01"/>
    <w:rsid w:val="0020707D"/>
    <w:rsid w:val="002071AE"/>
    <w:rsid w:val="00207276"/>
    <w:rsid w:val="0020777B"/>
    <w:rsid w:val="00207A4F"/>
    <w:rsid w:val="00207B64"/>
    <w:rsid w:val="00207F31"/>
    <w:rsid w:val="002100F3"/>
    <w:rsid w:val="00210754"/>
    <w:rsid w:val="002112FA"/>
    <w:rsid w:val="002114BC"/>
    <w:rsid w:val="00211CAB"/>
    <w:rsid w:val="00211FDD"/>
    <w:rsid w:val="00212706"/>
    <w:rsid w:val="002135DC"/>
    <w:rsid w:val="002138F8"/>
    <w:rsid w:val="002139AC"/>
    <w:rsid w:val="00213A83"/>
    <w:rsid w:val="00213CED"/>
    <w:rsid w:val="00214281"/>
    <w:rsid w:val="00214AC6"/>
    <w:rsid w:val="00214C27"/>
    <w:rsid w:val="00215070"/>
    <w:rsid w:val="00215792"/>
    <w:rsid w:val="00216523"/>
    <w:rsid w:val="00216B50"/>
    <w:rsid w:val="00216BFE"/>
    <w:rsid w:val="00220934"/>
    <w:rsid w:val="00221B1F"/>
    <w:rsid w:val="002224D5"/>
    <w:rsid w:val="002228DF"/>
    <w:rsid w:val="00222D67"/>
    <w:rsid w:val="00223EEE"/>
    <w:rsid w:val="00224234"/>
    <w:rsid w:val="00224284"/>
    <w:rsid w:val="00224B0F"/>
    <w:rsid w:val="00224EA1"/>
    <w:rsid w:val="00225221"/>
    <w:rsid w:val="0022522F"/>
    <w:rsid w:val="002253D1"/>
    <w:rsid w:val="0022547A"/>
    <w:rsid w:val="00225FDC"/>
    <w:rsid w:val="00226175"/>
    <w:rsid w:val="00226614"/>
    <w:rsid w:val="00226806"/>
    <w:rsid w:val="0022767E"/>
    <w:rsid w:val="00230620"/>
    <w:rsid w:val="0023199F"/>
    <w:rsid w:val="00231D14"/>
    <w:rsid w:val="00232A02"/>
    <w:rsid w:val="00232D27"/>
    <w:rsid w:val="00233015"/>
    <w:rsid w:val="002334ED"/>
    <w:rsid w:val="002338C9"/>
    <w:rsid w:val="002346B7"/>
    <w:rsid w:val="0023500C"/>
    <w:rsid w:val="0023524A"/>
    <w:rsid w:val="00235E91"/>
    <w:rsid w:val="00235FAB"/>
    <w:rsid w:val="00236015"/>
    <w:rsid w:val="00237C80"/>
    <w:rsid w:val="0024034F"/>
    <w:rsid w:val="00240781"/>
    <w:rsid w:val="002409D0"/>
    <w:rsid w:val="00241010"/>
    <w:rsid w:val="00243182"/>
    <w:rsid w:val="00243E75"/>
    <w:rsid w:val="002449FF"/>
    <w:rsid w:val="00244D04"/>
    <w:rsid w:val="00245078"/>
    <w:rsid w:val="00246284"/>
    <w:rsid w:val="002463BD"/>
    <w:rsid w:val="002505DC"/>
    <w:rsid w:val="002516DF"/>
    <w:rsid w:val="002519D6"/>
    <w:rsid w:val="00251DF3"/>
    <w:rsid w:val="002521E1"/>
    <w:rsid w:val="002526BC"/>
    <w:rsid w:val="002529C0"/>
    <w:rsid w:val="0025330B"/>
    <w:rsid w:val="0025356D"/>
    <w:rsid w:val="0025448B"/>
    <w:rsid w:val="00254AD9"/>
    <w:rsid w:val="00254E56"/>
    <w:rsid w:val="002552C7"/>
    <w:rsid w:val="00257287"/>
    <w:rsid w:val="00257C95"/>
    <w:rsid w:val="00257E6B"/>
    <w:rsid w:val="00260384"/>
    <w:rsid w:val="00261C07"/>
    <w:rsid w:val="00262897"/>
    <w:rsid w:val="00262B03"/>
    <w:rsid w:val="00262CD2"/>
    <w:rsid w:val="002631CD"/>
    <w:rsid w:val="002640C3"/>
    <w:rsid w:val="00264DD3"/>
    <w:rsid w:val="00264F34"/>
    <w:rsid w:val="00264F38"/>
    <w:rsid w:val="002653D0"/>
    <w:rsid w:val="00265741"/>
    <w:rsid w:val="00266180"/>
    <w:rsid w:val="002668D9"/>
    <w:rsid w:val="00266DD5"/>
    <w:rsid w:val="00270047"/>
    <w:rsid w:val="00271874"/>
    <w:rsid w:val="00271CA2"/>
    <w:rsid w:val="00272B7F"/>
    <w:rsid w:val="002739E2"/>
    <w:rsid w:val="00273B2B"/>
    <w:rsid w:val="002740D4"/>
    <w:rsid w:val="00275E29"/>
    <w:rsid w:val="00280796"/>
    <w:rsid w:val="00280F28"/>
    <w:rsid w:val="00281D37"/>
    <w:rsid w:val="00282130"/>
    <w:rsid w:val="002823CE"/>
    <w:rsid w:val="00282A87"/>
    <w:rsid w:val="00282DD7"/>
    <w:rsid w:val="00283836"/>
    <w:rsid w:val="002838FE"/>
    <w:rsid w:val="00284061"/>
    <w:rsid w:val="00284ABB"/>
    <w:rsid w:val="00285170"/>
    <w:rsid w:val="00285EEF"/>
    <w:rsid w:val="00285FBB"/>
    <w:rsid w:val="002862AD"/>
    <w:rsid w:val="0028631A"/>
    <w:rsid w:val="00286707"/>
    <w:rsid w:val="00286E85"/>
    <w:rsid w:val="0028725A"/>
    <w:rsid w:val="002872B5"/>
    <w:rsid w:val="00287A8E"/>
    <w:rsid w:val="00287C5A"/>
    <w:rsid w:val="00287F78"/>
    <w:rsid w:val="002900A0"/>
    <w:rsid w:val="00290334"/>
    <w:rsid w:val="00290EB9"/>
    <w:rsid w:val="00291DCB"/>
    <w:rsid w:val="00292DB9"/>
    <w:rsid w:val="0029316E"/>
    <w:rsid w:val="0029327F"/>
    <w:rsid w:val="00293A7F"/>
    <w:rsid w:val="002941A8"/>
    <w:rsid w:val="002948F2"/>
    <w:rsid w:val="00294E3E"/>
    <w:rsid w:val="00294F61"/>
    <w:rsid w:val="0029638B"/>
    <w:rsid w:val="00297019"/>
    <w:rsid w:val="002978A5"/>
    <w:rsid w:val="00297AD1"/>
    <w:rsid w:val="00297CE8"/>
    <w:rsid w:val="00297DB3"/>
    <w:rsid w:val="00297EB1"/>
    <w:rsid w:val="002A0AE0"/>
    <w:rsid w:val="002A0FC1"/>
    <w:rsid w:val="002A3387"/>
    <w:rsid w:val="002A3576"/>
    <w:rsid w:val="002A4A34"/>
    <w:rsid w:val="002A57CC"/>
    <w:rsid w:val="002A7509"/>
    <w:rsid w:val="002A7F2F"/>
    <w:rsid w:val="002A7FC0"/>
    <w:rsid w:val="002A7FD4"/>
    <w:rsid w:val="002B026E"/>
    <w:rsid w:val="002B0D2A"/>
    <w:rsid w:val="002B1957"/>
    <w:rsid w:val="002B1AD4"/>
    <w:rsid w:val="002B247C"/>
    <w:rsid w:val="002B2929"/>
    <w:rsid w:val="002B31B7"/>
    <w:rsid w:val="002B45D6"/>
    <w:rsid w:val="002B4856"/>
    <w:rsid w:val="002B4D1E"/>
    <w:rsid w:val="002B5276"/>
    <w:rsid w:val="002B587C"/>
    <w:rsid w:val="002B60B5"/>
    <w:rsid w:val="002B6BEC"/>
    <w:rsid w:val="002B6E0C"/>
    <w:rsid w:val="002B752B"/>
    <w:rsid w:val="002B75CD"/>
    <w:rsid w:val="002B7CBA"/>
    <w:rsid w:val="002C085A"/>
    <w:rsid w:val="002C0A08"/>
    <w:rsid w:val="002C1000"/>
    <w:rsid w:val="002C1B72"/>
    <w:rsid w:val="002C2BE9"/>
    <w:rsid w:val="002C2E37"/>
    <w:rsid w:val="002C3B82"/>
    <w:rsid w:val="002C3CD2"/>
    <w:rsid w:val="002C444F"/>
    <w:rsid w:val="002C4CF9"/>
    <w:rsid w:val="002C53F0"/>
    <w:rsid w:val="002C5B80"/>
    <w:rsid w:val="002C5B9E"/>
    <w:rsid w:val="002C639B"/>
    <w:rsid w:val="002C7776"/>
    <w:rsid w:val="002C7EC6"/>
    <w:rsid w:val="002D015F"/>
    <w:rsid w:val="002D0EF7"/>
    <w:rsid w:val="002D1DC8"/>
    <w:rsid w:val="002D24E9"/>
    <w:rsid w:val="002D2FEC"/>
    <w:rsid w:val="002D3E59"/>
    <w:rsid w:val="002D45AB"/>
    <w:rsid w:val="002D490C"/>
    <w:rsid w:val="002D4B7B"/>
    <w:rsid w:val="002D4CC8"/>
    <w:rsid w:val="002D51B4"/>
    <w:rsid w:val="002D5976"/>
    <w:rsid w:val="002D63C2"/>
    <w:rsid w:val="002D6C72"/>
    <w:rsid w:val="002D72E0"/>
    <w:rsid w:val="002E0968"/>
    <w:rsid w:val="002E0B40"/>
    <w:rsid w:val="002E0E0C"/>
    <w:rsid w:val="002E1407"/>
    <w:rsid w:val="002E165A"/>
    <w:rsid w:val="002E25B9"/>
    <w:rsid w:val="002E27C8"/>
    <w:rsid w:val="002E32CD"/>
    <w:rsid w:val="002E3678"/>
    <w:rsid w:val="002E458B"/>
    <w:rsid w:val="002E46D5"/>
    <w:rsid w:val="002E5127"/>
    <w:rsid w:val="002E526F"/>
    <w:rsid w:val="002E605D"/>
    <w:rsid w:val="002E6226"/>
    <w:rsid w:val="002E65CB"/>
    <w:rsid w:val="002E69AC"/>
    <w:rsid w:val="002E7540"/>
    <w:rsid w:val="002E7E47"/>
    <w:rsid w:val="002E7FC5"/>
    <w:rsid w:val="002E7FE8"/>
    <w:rsid w:val="002F024C"/>
    <w:rsid w:val="002F0335"/>
    <w:rsid w:val="002F0723"/>
    <w:rsid w:val="002F0CA0"/>
    <w:rsid w:val="002F0F02"/>
    <w:rsid w:val="002F2151"/>
    <w:rsid w:val="002F280C"/>
    <w:rsid w:val="002F2EE5"/>
    <w:rsid w:val="002F3993"/>
    <w:rsid w:val="002F39D9"/>
    <w:rsid w:val="002F453B"/>
    <w:rsid w:val="002F4899"/>
    <w:rsid w:val="002F555F"/>
    <w:rsid w:val="002F68E8"/>
    <w:rsid w:val="002F7507"/>
    <w:rsid w:val="002F75FC"/>
    <w:rsid w:val="002F781E"/>
    <w:rsid w:val="003003C2"/>
    <w:rsid w:val="00300DE6"/>
    <w:rsid w:val="00301A6D"/>
    <w:rsid w:val="0030216E"/>
    <w:rsid w:val="00302A01"/>
    <w:rsid w:val="00302A0B"/>
    <w:rsid w:val="003033D6"/>
    <w:rsid w:val="00303906"/>
    <w:rsid w:val="00303C22"/>
    <w:rsid w:val="00304494"/>
    <w:rsid w:val="0030558F"/>
    <w:rsid w:val="003056C0"/>
    <w:rsid w:val="003058EB"/>
    <w:rsid w:val="00306231"/>
    <w:rsid w:val="00306262"/>
    <w:rsid w:val="0030646F"/>
    <w:rsid w:val="003068D6"/>
    <w:rsid w:val="00306CC7"/>
    <w:rsid w:val="00307614"/>
    <w:rsid w:val="00310155"/>
    <w:rsid w:val="0031085A"/>
    <w:rsid w:val="003109EA"/>
    <w:rsid w:val="00310BBE"/>
    <w:rsid w:val="003115AB"/>
    <w:rsid w:val="003116C6"/>
    <w:rsid w:val="003123CA"/>
    <w:rsid w:val="003126D3"/>
    <w:rsid w:val="003129CA"/>
    <w:rsid w:val="00312AEA"/>
    <w:rsid w:val="00312B8A"/>
    <w:rsid w:val="00313168"/>
    <w:rsid w:val="00314707"/>
    <w:rsid w:val="003147FE"/>
    <w:rsid w:val="00314C60"/>
    <w:rsid w:val="00315546"/>
    <w:rsid w:val="00315FCF"/>
    <w:rsid w:val="00316E2E"/>
    <w:rsid w:val="00316E7A"/>
    <w:rsid w:val="003173A1"/>
    <w:rsid w:val="00317CF7"/>
    <w:rsid w:val="00320AA6"/>
    <w:rsid w:val="00320AC2"/>
    <w:rsid w:val="00320B4A"/>
    <w:rsid w:val="0032124C"/>
    <w:rsid w:val="00321460"/>
    <w:rsid w:val="0032277A"/>
    <w:rsid w:val="00322D7F"/>
    <w:rsid w:val="0032319C"/>
    <w:rsid w:val="003232E8"/>
    <w:rsid w:val="00323684"/>
    <w:rsid w:val="00323FD1"/>
    <w:rsid w:val="00324088"/>
    <w:rsid w:val="003249D6"/>
    <w:rsid w:val="003250F9"/>
    <w:rsid w:val="003275B2"/>
    <w:rsid w:val="00327C15"/>
    <w:rsid w:val="00327D3D"/>
    <w:rsid w:val="00327E67"/>
    <w:rsid w:val="00330CE3"/>
    <w:rsid w:val="00331056"/>
    <w:rsid w:val="00331111"/>
    <w:rsid w:val="0033148E"/>
    <w:rsid w:val="00331E90"/>
    <w:rsid w:val="00331F10"/>
    <w:rsid w:val="00332F06"/>
    <w:rsid w:val="00332FB6"/>
    <w:rsid w:val="003333B0"/>
    <w:rsid w:val="00333B86"/>
    <w:rsid w:val="00334886"/>
    <w:rsid w:val="00334DF2"/>
    <w:rsid w:val="003357FF"/>
    <w:rsid w:val="0033588C"/>
    <w:rsid w:val="00335B41"/>
    <w:rsid w:val="00337232"/>
    <w:rsid w:val="00337330"/>
    <w:rsid w:val="00337C18"/>
    <w:rsid w:val="00337F75"/>
    <w:rsid w:val="00340572"/>
    <w:rsid w:val="00340A1A"/>
    <w:rsid w:val="003416BF"/>
    <w:rsid w:val="003416D2"/>
    <w:rsid w:val="003436D3"/>
    <w:rsid w:val="003441C4"/>
    <w:rsid w:val="003446A1"/>
    <w:rsid w:val="0034479D"/>
    <w:rsid w:val="003451C9"/>
    <w:rsid w:val="00345CF4"/>
    <w:rsid w:val="00345D6C"/>
    <w:rsid w:val="00346333"/>
    <w:rsid w:val="00346340"/>
    <w:rsid w:val="00346420"/>
    <w:rsid w:val="003470DF"/>
    <w:rsid w:val="00350AA9"/>
    <w:rsid w:val="00351469"/>
    <w:rsid w:val="003516DC"/>
    <w:rsid w:val="0035176B"/>
    <w:rsid w:val="00351B45"/>
    <w:rsid w:val="00351F41"/>
    <w:rsid w:val="00352078"/>
    <w:rsid w:val="0035231D"/>
    <w:rsid w:val="00352410"/>
    <w:rsid w:val="00352AB7"/>
    <w:rsid w:val="00353D85"/>
    <w:rsid w:val="00353E44"/>
    <w:rsid w:val="00355050"/>
    <w:rsid w:val="00355188"/>
    <w:rsid w:val="00355AF5"/>
    <w:rsid w:val="00355C08"/>
    <w:rsid w:val="00356698"/>
    <w:rsid w:val="003566A2"/>
    <w:rsid w:val="0036074E"/>
    <w:rsid w:val="0036170E"/>
    <w:rsid w:val="00361B25"/>
    <w:rsid w:val="003621A3"/>
    <w:rsid w:val="0036239E"/>
    <w:rsid w:val="0036244A"/>
    <w:rsid w:val="00362B84"/>
    <w:rsid w:val="00362E5F"/>
    <w:rsid w:val="00363602"/>
    <w:rsid w:val="003636E1"/>
    <w:rsid w:val="003641DF"/>
    <w:rsid w:val="003648D5"/>
    <w:rsid w:val="00364D43"/>
    <w:rsid w:val="00364DAB"/>
    <w:rsid w:val="00364E17"/>
    <w:rsid w:val="00364E85"/>
    <w:rsid w:val="00365253"/>
    <w:rsid w:val="00365E25"/>
    <w:rsid w:val="00365FDB"/>
    <w:rsid w:val="00366F12"/>
    <w:rsid w:val="00367450"/>
    <w:rsid w:val="003704FE"/>
    <w:rsid w:val="00372891"/>
    <w:rsid w:val="00372C63"/>
    <w:rsid w:val="003730D4"/>
    <w:rsid w:val="00373C7F"/>
    <w:rsid w:val="003751DC"/>
    <w:rsid w:val="00375510"/>
    <w:rsid w:val="00375CE8"/>
    <w:rsid w:val="003772A8"/>
    <w:rsid w:val="003774E7"/>
    <w:rsid w:val="00377784"/>
    <w:rsid w:val="003807E9"/>
    <w:rsid w:val="0038097B"/>
    <w:rsid w:val="00380AE5"/>
    <w:rsid w:val="00380C9D"/>
    <w:rsid w:val="0038187D"/>
    <w:rsid w:val="00381BF9"/>
    <w:rsid w:val="00382420"/>
    <w:rsid w:val="00382650"/>
    <w:rsid w:val="003836D9"/>
    <w:rsid w:val="00383739"/>
    <w:rsid w:val="00383E48"/>
    <w:rsid w:val="003847A7"/>
    <w:rsid w:val="00385013"/>
    <w:rsid w:val="00385083"/>
    <w:rsid w:val="00385354"/>
    <w:rsid w:val="0038598E"/>
    <w:rsid w:val="00385A60"/>
    <w:rsid w:val="0038609B"/>
    <w:rsid w:val="003862FE"/>
    <w:rsid w:val="00386AD0"/>
    <w:rsid w:val="00386AD6"/>
    <w:rsid w:val="00390184"/>
    <w:rsid w:val="00390B4A"/>
    <w:rsid w:val="00391773"/>
    <w:rsid w:val="00391EC8"/>
    <w:rsid w:val="00393070"/>
    <w:rsid w:val="00393A60"/>
    <w:rsid w:val="00394069"/>
    <w:rsid w:val="00394A36"/>
    <w:rsid w:val="003954A2"/>
    <w:rsid w:val="003954CE"/>
    <w:rsid w:val="003955C3"/>
    <w:rsid w:val="003957FE"/>
    <w:rsid w:val="00396A6C"/>
    <w:rsid w:val="00396B13"/>
    <w:rsid w:val="003978DE"/>
    <w:rsid w:val="00397E9B"/>
    <w:rsid w:val="003A0A31"/>
    <w:rsid w:val="003A13DD"/>
    <w:rsid w:val="003A1895"/>
    <w:rsid w:val="003A2178"/>
    <w:rsid w:val="003A257F"/>
    <w:rsid w:val="003A2F0D"/>
    <w:rsid w:val="003A30E2"/>
    <w:rsid w:val="003A4C1F"/>
    <w:rsid w:val="003A5BE8"/>
    <w:rsid w:val="003A5EB4"/>
    <w:rsid w:val="003B03D5"/>
    <w:rsid w:val="003B0569"/>
    <w:rsid w:val="003B0583"/>
    <w:rsid w:val="003B07AB"/>
    <w:rsid w:val="003B13D7"/>
    <w:rsid w:val="003B15DF"/>
    <w:rsid w:val="003B1A95"/>
    <w:rsid w:val="003B1F9A"/>
    <w:rsid w:val="003B3ECC"/>
    <w:rsid w:val="003B42E8"/>
    <w:rsid w:val="003B4474"/>
    <w:rsid w:val="003B4614"/>
    <w:rsid w:val="003B4DCE"/>
    <w:rsid w:val="003B5B5E"/>
    <w:rsid w:val="003B6D4C"/>
    <w:rsid w:val="003B70BC"/>
    <w:rsid w:val="003B7360"/>
    <w:rsid w:val="003B7A85"/>
    <w:rsid w:val="003C09D3"/>
    <w:rsid w:val="003C11A5"/>
    <w:rsid w:val="003C1640"/>
    <w:rsid w:val="003C2334"/>
    <w:rsid w:val="003C2661"/>
    <w:rsid w:val="003C2FB8"/>
    <w:rsid w:val="003C2FFE"/>
    <w:rsid w:val="003C40E7"/>
    <w:rsid w:val="003C4561"/>
    <w:rsid w:val="003C49C5"/>
    <w:rsid w:val="003C4CDB"/>
    <w:rsid w:val="003C4D00"/>
    <w:rsid w:val="003C5353"/>
    <w:rsid w:val="003C58BC"/>
    <w:rsid w:val="003C5D34"/>
    <w:rsid w:val="003C6A30"/>
    <w:rsid w:val="003C70D9"/>
    <w:rsid w:val="003C756A"/>
    <w:rsid w:val="003C7E3B"/>
    <w:rsid w:val="003D2716"/>
    <w:rsid w:val="003D2830"/>
    <w:rsid w:val="003D3492"/>
    <w:rsid w:val="003D3766"/>
    <w:rsid w:val="003D3D63"/>
    <w:rsid w:val="003D3FCA"/>
    <w:rsid w:val="003D40F7"/>
    <w:rsid w:val="003D4141"/>
    <w:rsid w:val="003D4C67"/>
    <w:rsid w:val="003D4EED"/>
    <w:rsid w:val="003D5D24"/>
    <w:rsid w:val="003D60E5"/>
    <w:rsid w:val="003D624C"/>
    <w:rsid w:val="003D6698"/>
    <w:rsid w:val="003D7280"/>
    <w:rsid w:val="003D76D2"/>
    <w:rsid w:val="003E111B"/>
    <w:rsid w:val="003E1914"/>
    <w:rsid w:val="003E19DA"/>
    <w:rsid w:val="003E2644"/>
    <w:rsid w:val="003E29F9"/>
    <w:rsid w:val="003E3176"/>
    <w:rsid w:val="003E336C"/>
    <w:rsid w:val="003E3C19"/>
    <w:rsid w:val="003E3C4E"/>
    <w:rsid w:val="003E40B4"/>
    <w:rsid w:val="003E4F7B"/>
    <w:rsid w:val="003E54A3"/>
    <w:rsid w:val="003E74A9"/>
    <w:rsid w:val="003E7E68"/>
    <w:rsid w:val="003F0016"/>
    <w:rsid w:val="003F0B80"/>
    <w:rsid w:val="003F0D33"/>
    <w:rsid w:val="003F0E9A"/>
    <w:rsid w:val="003F334A"/>
    <w:rsid w:val="003F3605"/>
    <w:rsid w:val="003F3F12"/>
    <w:rsid w:val="003F42E5"/>
    <w:rsid w:val="003F46A0"/>
    <w:rsid w:val="003F52C1"/>
    <w:rsid w:val="003F5A31"/>
    <w:rsid w:val="003F5FF8"/>
    <w:rsid w:val="003F69B5"/>
    <w:rsid w:val="003F6D5E"/>
    <w:rsid w:val="003F7351"/>
    <w:rsid w:val="003F7367"/>
    <w:rsid w:val="003F7DD3"/>
    <w:rsid w:val="004003FB"/>
    <w:rsid w:val="0040113B"/>
    <w:rsid w:val="0040188D"/>
    <w:rsid w:val="00401A40"/>
    <w:rsid w:val="00402580"/>
    <w:rsid w:val="004025A2"/>
    <w:rsid w:val="00402BE1"/>
    <w:rsid w:val="0040363E"/>
    <w:rsid w:val="00403652"/>
    <w:rsid w:val="00403699"/>
    <w:rsid w:val="00403A30"/>
    <w:rsid w:val="00403DE3"/>
    <w:rsid w:val="00403EFE"/>
    <w:rsid w:val="004043A6"/>
    <w:rsid w:val="004045AB"/>
    <w:rsid w:val="00404BFD"/>
    <w:rsid w:val="00404ED1"/>
    <w:rsid w:val="004050B9"/>
    <w:rsid w:val="004052A7"/>
    <w:rsid w:val="00405C56"/>
    <w:rsid w:val="00406342"/>
    <w:rsid w:val="00406561"/>
    <w:rsid w:val="004066C2"/>
    <w:rsid w:val="004066FD"/>
    <w:rsid w:val="00406944"/>
    <w:rsid w:val="00406A37"/>
    <w:rsid w:val="00407EFF"/>
    <w:rsid w:val="00410DA8"/>
    <w:rsid w:val="00410E6D"/>
    <w:rsid w:val="004110AD"/>
    <w:rsid w:val="0041188B"/>
    <w:rsid w:val="00411D7A"/>
    <w:rsid w:val="004121C3"/>
    <w:rsid w:val="00412BC6"/>
    <w:rsid w:val="00413297"/>
    <w:rsid w:val="00415B97"/>
    <w:rsid w:val="00415FBA"/>
    <w:rsid w:val="00416095"/>
    <w:rsid w:val="0041647C"/>
    <w:rsid w:val="004164AB"/>
    <w:rsid w:val="00420489"/>
    <w:rsid w:val="004206EF"/>
    <w:rsid w:val="00420E94"/>
    <w:rsid w:val="004214A4"/>
    <w:rsid w:val="004218B7"/>
    <w:rsid w:val="0042193D"/>
    <w:rsid w:val="00421F8D"/>
    <w:rsid w:val="0042266E"/>
    <w:rsid w:val="00422CE4"/>
    <w:rsid w:val="00423208"/>
    <w:rsid w:val="00423341"/>
    <w:rsid w:val="00423544"/>
    <w:rsid w:val="0042398B"/>
    <w:rsid w:val="00423FA3"/>
    <w:rsid w:val="00425603"/>
    <w:rsid w:val="00425A95"/>
    <w:rsid w:val="00425BFC"/>
    <w:rsid w:val="00425DE9"/>
    <w:rsid w:val="004262DC"/>
    <w:rsid w:val="0042633B"/>
    <w:rsid w:val="00426383"/>
    <w:rsid w:val="00426BBF"/>
    <w:rsid w:val="00426C31"/>
    <w:rsid w:val="004279BB"/>
    <w:rsid w:val="0043074C"/>
    <w:rsid w:val="00430A5B"/>
    <w:rsid w:val="00430FCE"/>
    <w:rsid w:val="00431A6B"/>
    <w:rsid w:val="0043213F"/>
    <w:rsid w:val="00432AC6"/>
    <w:rsid w:val="00432EC3"/>
    <w:rsid w:val="0043333A"/>
    <w:rsid w:val="00434D75"/>
    <w:rsid w:val="00435820"/>
    <w:rsid w:val="00435B2D"/>
    <w:rsid w:val="004369A5"/>
    <w:rsid w:val="00436AA3"/>
    <w:rsid w:val="0043777F"/>
    <w:rsid w:val="004401A2"/>
    <w:rsid w:val="004423BB"/>
    <w:rsid w:val="0044268C"/>
    <w:rsid w:val="004427E3"/>
    <w:rsid w:val="00442887"/>
    <w:rsid w:val="00443A53"/>
    <w:rsid w:val="00443F46"/>
    <w:rsid w:val="004452A2"/>
    <w:rsid w:val="004454A1"/>
    <w:rsid w:val="0044553F"/>
    <w:rsid w:val="004463BA"/>
    <w:rsid w:val="00446740"/>
    <w:rsid w:val="00446D8C"/>
    <w:rsid w:val="004478A1"/>
    <w:rsid w:val="00447E6F"/>
    <w:rsid w:val="00451000"/>
    <w:rsid w:val="00451865"/>
    <w:rsid w:val="004525FC"/>
    <w:rsid w:val="00452DEB"/>
    <w:rsid w:val="004532EB"/>
    <w:rsid w:val="00453DBE"/>
    <w:rsid w:val="0045605E"/>
    <w:rsid w:val="00456534"/>
    <w:rsid w:val="00457854"/>
    <w:rsid w:val="0045798F"/>
    <w:rsid w:val="0046018D"/>
    <w:rsid w:val="0046093C"/>
    <w:rsid w:val="0046130A"/>
    <w:rsid w:val="00461347"/>
    <w:rsid w:val="004614D0"/>
    <w:rsid w:val="0046159D"/>
    <w:rsid w:val="00461E19"/>
    <w:rsid w:val="00462DFB"/>
    <w:rsid w:val="004640D4"/>
    <w:rsid w:val="004648A6"/>
    <w:rsid w:val="00464B80"/>
    <w:rsid w:val="00464C87"/>
    <w:rsid w:val="004652AD"/>
    <w:rsid w:val="0046635C"/>
    <w:rsid w:val="00467132"/>
    <w:rsid w:val="00467B85"/>
    <w:rsid w:val="00470B61"/>
    <w:rsid w:val="00471119"/>
    <w:rsid w:val="00471406"/>
    <w:rsid w:val="00471823"/>
    <w:rsid w:val="00471B89"/>
    <w:rsid w:val="00472E96"/>
    <w:rsid w:val="004739DE"/>
    <w:rsid w:val="00474960"/>
    <w:rsid w:val="00474D5A"/>
    <w:rsid w:val="00475BF1"/>
    <w:rsid w:val="00476D48"/>
    <w:rsid w:val="00477363"/>
    <w:rsid w:val="004778B3"/>
    <w:rsid w:val="004805A0"/>
    <w:rsid w:val="00480A1F"/>
    <w:rsid w:val="00481651"/>
    <w:rsid w:val="00481734"/>
    <w:rsid w:val="00481D8B"/>
    <w:rsid w:val="004821C9"/>
    <w:rsid w:val="00482216"/>
    <w:rsid w:val="00482292"/>
    <w:rsid w:val="00482418"/>
    <w:rsid w:val="0048310F"/>
    <w:rsid w:val="00483E90"/>
    <w:rsid w:val="00484485"/>
    <w:rsid w:val="00484FA7"/>
    <w:rsid w:val="004853E0"/>
    <w:rsid w:val="00485A19"/>
    <w:rsid w:val="00485CDE"/>
    <w:rsid w:val="0048676D"/>
    <w:rsid w:val="00486C40"/>
    <w:rsid w:val="00486CFD"/>
    <w:rsid w:val="004870AD"/>
    <w:rsid w:val="00487292"/>
    <w:rsid w:val="004902E8"/>
    <w:rsid w:val="0049044F"/>
    <w:rsid w:val="00491223"/>
    <w:rsid w:val="00491528"/>
    <w:rsid w:val="004929F7"/>
    <w:rsid w:val="00493276"/>
    <w:rsid w:val="0049379B"/>
    <w:rsid w:val="004939B6"/>
    <w:rsid w:val="00494417"/>
    <w:rsid w:val="004949DC"/>
    <w:rsid w:val="00494E45"/>
    <w:rsid w:val="00494F00"/>
    <w:rsid w:val="0049541A"/>
    <w:rsid w:val="00495512"/>
    <w:rsid w:val="00495548"/>
    <w:rsid w:val="00495C76"/>
    <w:rsid w:val="00496245"/>
    <w:rsid w:val="00497C62"/>
    <w:rsid w:val="004A14E7"/>
    <w:rsid w:val="004A16E9"/>
    <w:rsid w:val="004A232B"/>
    <w:rsid w:val="004A2645"/>
    <w:rsid w:val="004A2DBC"/>
    <w:rsid w:val="004A2FC1"/>
    <w:rsid w:val="004A3560"/>
    <w:rsid w:val="004A3C36"/>
    <w:rsid w:val="004A4405"/>
    <w:rsid w:val="004A4999"/>
    <w:rsid w:val="004A5DE7"/>
    <w:rsid w:val="004A626A"/>
    <w:rsid w:val="004A7AB8"/>
    <w:rsid w:val="004A7C96"/>
    <w:rsid w:val="004A7E08"/>
    <w:rsid w:val="004B0089"/>
    <w:rsid w:val="004B086D"/>
    <w:rsid w:val="004B1638"/>
    <w:rsid w:val="004B1E1F"/>
    <w:rsid w:val="004B1FEB"/>
    <w:rsid w:val="004B20DE"/>
    <w:rsid w:val="004B2A8B"/>
    <w:rsid w:val="004B2DFC"/>
    <w:rsid w:val="004B3136"/>
    <w:rsid w:val="004B3189"/>
    <w:rsid w:val="004B3BC3"/>
    <w:rsid w:val="004B451E"/>
    <w:rsid w:val="004B49BC"/>
    <w:rsid w:val="004B5084"/>
    <w:rsid w:val="004B59FB"/>
    <w:rsid w:val="004B5BC3"/>
    <w:rsid w:val="004B5DD5"/>
    <w:rsid w:val="004B6689"/>
    <w:rsid w:val="004B7980"/>
    <w:rsid w:val="004B7A44"/>
    <w:rsid w:val="004C07DA"/>
    <w:rsid w:val="004C08EE"/>
    <w:rsid w:val="004C0D70"/>
    <w:rsid w:val="004C1551"/>
    <w:rsid w:val="004C164C"/>
    <w:rsid w:val="004C1D1E"/>
    <w:rsid w:val="004C2E3A"/>
    <w:rsid w:val="004C40CC"/>
    <w:rsid w:val="004C4811"/>
    <w:rsid w:val="004C4BC7"/>
    <w:rsid w:val="004C59CA"/>
    <w:rsid w:val="004C6BE7"/>
    <w:rsid w:val="004C7A4F"/>
    <w:rsid w:val="004C7D79"/>
    <w:rsid w:val="004D0156"/>
    <w:rsid w:val="004D01C3"/>
    <w:rsid w:val="004D0989"/>
    <w:rsid w:val="004D09E2"/>
    <w:rsid w:val="004D0B59"/>
    <w:rsid w:val="004D0B73"/>
    <w:rsid w:val="004D0B85"/>
    <w:rsid w:val="004D166A"/>
    <w:rsid w:val="004D1DD9"/>
    <w:rsid w:val="004D2D79"/>
    <w:rsid w:val="004D3C74"/>
    <w:rsid w:val="004D3D37"/>
    <w:rsid w:val="004D40F6"/>
    <w:rsid w:val="004D4110"/>
    <w:rsid w:val="004D451E"/>
    <w:rsid w:val="004D4F5E"/>
    <w:rsid w:val="004D5CF5"/>
    <w:rsid w:val="004D74F4"/>
    <w:rsid w:val="004D7A45"/>
    <w:rsid w:val="004E14E0"/>
    <w:rsid w:val="004E16B2"/>
    <w:rsid w:val="004E18AB"/>
    <w:rsid w:val="004E24DE"/>
    <w:rsid w:val="004E2DB8"/>
    <w:rsid w:val="004E2DCB"/>
    <w:rsid w:val="004E2E3F"/>
    <w:rsid w:val="004E3B1F"/>
    <w:rsid w:val="004E4C6B"/>
    <w:rsid w:val="004E5412"/>
    <w:rsid w:val="004E7031"/>
    <w:rsid w:val="004E7248"/>
    <w:rsid w:val="004E76CA"/>
    <w:rsid w:val="004E7B5A"/>
    <w:rsid w:val="004E7B64"/>
    <w:rsid w:val="004E7ED4"/>
    <w:rsid w:val="004F02ED"/>
    <w:rsid w:val="004F0C02"/>
    <w:rsid w:val="004F0C04"/>
    <w:rsid w:val="004F1210"/>
    <w:rsid w:val="004F2653"/>
    <w:rsid w:val="004F2AF0"/>
    <w:rsid w:val="004F3B4F"/>
    <w:rsid w:val="004F41E3"/>
    <w:rsid w:val="004F421C"/>
    <w:rsid w:val="004F45E4"/>
    <w:rsid w:val="004F53E1"/>
    <w:rsid w:val="004F5558"/>
    <w:rsid w:val="004F70E0"/>
    <w:rsid w:val="004F7390"/>
    <w:rsid w:val="0050018D"/>
    <w:rsid w:val="005013B9"/>
    <w:rsid w:val="005019B0"/>
    <w:rsid w:val="005022D8"/>
    <w:rsid w:val="005028AE"/>
    <w:rsid w:val="00502F53"/>
    <w:rsid w:val="0050411F"/>
    <w:rsid w:val="00504AD3"/>
    <w:rsid w:val="00504D77"/>
    <w:rsid w:val="00505064"/>
    <w:rsid w:val="00505883"/>
    <w:rsid w:val="00505B25"/>
    <w:rsid w:val="005068F2"/>
    <w:rsid w:val="00506F19"/>
    <w:rsid w:val="00507ECF"/>
    <w:rsid w:val="00510593"/>
    <w:rsid w:val="00510831"/>
    <w:rsid w:val="00510E4B"/>
    <w:rsid w:val="005113C2"/>
    <w:rsid w:val="0051236B"/>
    <w:rsid w:val="00512C27"/>
    <w:rsid w:val="00512EB3"/>
    <w:rsid w:val="00513108"/>
    <w:rsid w:val="00513547"/>
    <w:rsid w:val="00513A56"/>
    <w:rsid w:val="00513D3B"/>
    <w:rsid w:val="00513DFC"/>
    <w:rsid w:val="00514ACD"/>
    <w:rsid w:val="00514CA8"/>
    <w:rsid w:val="00514E98"/>
    <w:rsid w:val="00515A39"/>
    <w:rsid w:val="00516102"/>
    <w:rsid w:val="00516631"/>
    <w:rsid w:val="005166AE"/>
    <w:rsid w:val="00516981"/>
    <w:rsid w:val="00516F5A"/>
    <w:rsid w:val="00517484"/>
    <w:rsid w:val="0052065A"/>
    <w:rsid w:val="00521C61"/>
    <w:rsid w:val="00521E55"/>
    <w:rsid w:val="005223C8"/>
    <w:rsid w:val="005225A9"/>
    <w:rsid w:val="005232E1"/>
    <w:rsid w:val="00523449"/>
    <w:rsid w:val="00523A88"/>
    <w:rsid w:val="00524741"/>
    <w:rsid w:val="00525225"/>
    <w:rsid w:val="00525B61"/>
    <w:rsid w:val="005266C1"/>
    <w:rsid w:val="0052690A"/>
    <w:rsid w:val="005276FB"/>
    <w:rsid w:val="00527EEB"/>
    <w:rsid w:val="00530D12"/>
    <w:rsid w:val="00531119"/>
    <w:rsid w:val="00531403"/>
    <w:rsid w:val="005319A3"/>
    <w:rsid w:val="005322FB"/>
    <w:rsid w:val="0053337C"/>
    <w:rsid w:val="005334B3"/>
    <w:rsid w:val="005357CE"/>
    <w:rsid w:val="005361DC"/>
    <w:rsid w:val="00536430"/>
    <w:rsid w:val="00536AB4"/>
    <w:rsid w:val="00536B58"/>
    <w:rsid w:val="00537461"/>
    <w:rsid w:val="00537495"/>
    <w:rsid w:val="00537950"/>
    <w:rsid w:val="00540172"/>
    <w:rsid w:val="005402F1"/>
    <w:rsid w:val="00540790"/>
    <w:rsid w:val="005418B5"/>
    <w:rsid w:val="00542C72"/>
    <w:rsid w:val="00542CD2"/>
    <w:rsid w:val="00542E75"/>
    <w:rsid w:val="00542F63"/>
    <w:rsid w:val="005435A1"/>
    <w:rsid w:val="00543BC5"/>
    <w:rsid w:val="00543E4F"/>
    <w:rsid w:val="0054479A"/>
    <w:rsid w:val="00545C5A"/>
    <w:rsid w:val="005473ED"/>
    <w:rsid w:val="00550C24"/>
    <w:rsid w:val="00550F2A"/>
    <w:rsid w:val="00551229"/>
    <w:rsid w:val="00551B42"/>
    <w:rsid w:val="00553747"/>
    <w:rsid w:val="005538B9"/>
    <w:rsid w:val="00554053"/>
    <w:rsid w:val="00554A1C"/>
    <w:rsid w:val="00555559"/>
    <w:rsid w:val="005555F5"/>
    <w:rsid w:val="00555754"/>
    <w:rsid w:val="00555B6C"/>
    <w:rsid w:val="00555DF1"/>
    <w:rsid w:val="00556695"/>
    <w:rsid w:val="005574C0"/>
    <w:rsid w:val="00557B41"/>
    <w:rsid w:val="00557CCE"/>
    <w:rsid w:val="00557DAF"/>
    <w:rsid w:val="00560771"/>
    <w:rsid w:val="00560DD4"/>
    <w:rsid w:val="00561310"/>
    <w:rsid w:val="00561380"/>
    <w:rsid w:val="005624EE"/>
    <w:rsid w:val="005630A9"/>
    <w:rsid w:val="005630C1"/>
    <w:rsid w:val="005634AC"/>
    <w:rsid w:val="00563A27"/>
    <w:rsid w:val="00564AC0"/>
    <w:rsid w:val="00564E5A"/>
    <w:rsid w:val="00564EC8"/>
    <w:rsid w:val="005655DB"/>
    <w:rsid w:val="0056567F"/>
    <w:rsid w:val="005659DD"/>
    <w:rsid w:val="00565C73"/>
    <w:rsid w:val="005660F1"/>
    <w:rsid w:val="005667C3"/>
    <w:rsid w:val="005677F6"/>
    <w:rsid w:val="005700A1"/>
    <w:rsid w:val="005702CA"/>
    <w:rsid w:val="005709A6"/>
    <w:rsid w:val="00570C97"/>
    <w:rsid w:val="00570E31"/>
    <w:rsid w:val="005711EE"/>
    <w:rsid w:val="005725D2"/>
    <w:rsid w:val="00572C17"/>
    <w:rsid w:val="00573190"/>
    <w:rsid w:val="0057324B"/>
    <w:rsid w:val="005732C7"/>
    <w:rsid w:val="00573348"/>
    <w:rsid w:val="005736A7"/>
    <w:rsid w:val="005740C5"/>
    <w:rsid w:val="0057444A"/>
    <w:rsid w:val="00574BF4"/>
    <w:rsid w:val="005751DF"/>
    <w:rsid w:val="00575331"/>
    <w:rsid w:val="00576573"/>
    <w:rsid w:val="00576A53"/>
    <w:rsid w:val="0057797D"/>
    <w:rsid w:val="00580E38"/>
    <w:rsid w:val="0058164E"/>
    <w:rsid w:val="00581D6C"/>
    <w:rsid w:val="00582726"/>
    <w:rsid w:val="005829E8"/>
    <w:rsid w:val="00582B1A"/>
    <w:rsid w:val="00582C9A"/>
    <w:rsid w:val="005831D0"/>
    <w:rsid w:val="005836E7"/>
    <w:rsid w:val="00583800"/>
    <w:rsid w:val="005840F0"/>
    <w:rsid w:val="00584CC4"/>
    <w:rsid w:val="005853EF"/>
    <w:rsid w:val="00586B4E"/>
    <w:rsid w:val="00587706"/>
    <w:rsid w:val="005902AD"/>
    <w:rsid w:val="00590406"/>
    <w:rsid w:val="00590895"/>
    <w:rsid w:val="0059142A"/>
    <w:rsid w:val="00591993"/>
    <w:rsid w:val="005923A7"/>
    <w:rsid w:val="005923CF"/>
    <w:rsid w:val="0059279C"/>
    <w:rsid w:val="00593A48"/>
    <w:rsid w:val="00594205"/>
    <w:rsid w:val="005955DD"/>
    <w:rsid w:val="005962C5"/>
    <w:rsid w:val="00597139"/>
    <w:rsid w:val="005973A7"/>
    <w:rsid w:val="00597E77"/>
    <w:rsid w:val="005A05B6"/>
    <w:rsid w:val="005A0DA7"/>
    <w:rsid w:val="005A1B4D"/>
    <w:rsid w:val="005A1FA6"/>
    <w:rsid w:val="005A3289"/>
    <w:rsid w:val="005A3631"/>
    <w:rsid w:val="005A3FA9"/>
    <w:rsid w:val="005A41CD"/>
    <w:rsid w:val="005A4657"/>
    <w:rsid w:val="005A50C0"/>
    <w:rsid w:val="005A51A6"/>
    <w:rsid w:val="005A631A"/>
    <w:rsid w:val="005A6F35"/>
    <w:rsid w:val="005A7142"/>
    <w:rsid w:val="005A7DDE"/>
    <w:rsid w:val="005B0B1C"/>
    <w:rsid w:val="005B0FFF"/>
    <w:rsid w:val="005B1E9F"/>
    <w:rsid w:val="005B2421"/>
    <w:rsid w:val="005B3800"/>
    <w:rsid w:val="005B39ED"/>
    <w:rsid w:val="005B3DDF"/>
    <w:rsid w:val="005B3F8C"/>
    <w:rsid w:val="005B42AB"/>
    <w:rsid w:val="005B45B2"/>
    <w:rsid w:val="005B4DA7"/>
    <w:rsid w:val="005B552E"/>
    <w:rsid w:val="005B57F8"/>
    <w:rsid w:val="005B58DB"/>
    <w:rsid w:val="005B5C11"/>
    <w:rsid w:val="005B642C"/>
    <w:rsid w:val="005B64B2"/>
    <w:rsid w:val="005B6C21"/>
    <w:rsid w:val="005B6E86"/>
    <w:rsid w:val="005B6FF0"/>
    <w:rsid w:val="005C0F46"/>
    <w:rsid w:val="005C1209"/>
    <w:rsid w:val="005C1454"/>
    <w:rsid w:val="005C206C"/>
    <w:rsid w:val="005C2775"/>
    <w:rsid w:val="005C2BED"/>
    <w:rsid w:val="005C2CA2"/>
    <w:rsid w:val="005C2E41"/>
    <w:rsid w:val="005C3687"/>
    <w:rsid w:val="005C38BB"/>
    <w:rsid w:val="005C3D0A"/>
    <w:rsid w:val="005C3D3F"/>
    <w:rsid w:val="005C46FD"/>
    <w:rsid w:val="005C5395"/>
    <w:rsid w:val="005C540B"/>
    <w:rsid w:val="005C6336"/>
    <w:rsid w:val="005C6B17"/>
    <w:rsid w:val="005D0842"/>
    <w:rsid w:val="005D0BAE"/>
    <w:rsid w:val="005D14F9"/>
    <w:rsid w:val="005D1D34"/>
    <w:rsid w:val="005D261D"/>
    <w:rsid w:val="005D2AEA"/>
    <w:rsid w:val="005D2F5C"/>
    <w:rsid w:val="005D3A9C"/>
    <w:rsid w:val="005D4932"/>
    <w:rsid w:val="005D4DFA"/>
    <w:rsid w:val="005D52D3"/>
    <w:rsid w:val="005D647B"/>
    <w:rsid w:val="005D696F"/>
    <w:rsid w:val="005D7ABC"/>
    <w:rsid w:val="005D7AF1"/>
    <w:rsid w:val="005D7BA3"/>
    <w:rsid w:val="005D7C27"/>
    <w:rsid w:val="005D7D20"/>
    <w:rsid w:val="005E03B4"/>
    <w:rsid w:val="005E07B4"/>
    <w:rsid w:val="005E0CC8"/>
    <w:rsid w:val="005E0FFC"/>
    <w:rsid w:val="005E12C0"/>
    <w:rsid w:val="005E1D53"/>
    <w:rsid w:val="005E21F8"/>
    <w:rsid w:val="005E2449"/>
    <w:rsid w:val="005E24B3"/>
    <w:rsid w:val="005E2760"/>
    <w:rsid w:val="005E30C6"/>
    <w:rsid w:val="005E3209"/>
    <w:rsid w:val="005E332A"/>
    <w:rsid w:val="005E52B2"/>
    <w:rsid w:val="005E558F"/>
    <w:rsid w:val="005E5D4C"/>
    <w:rsid w:val="005E6414"/>
    <w:rsid w:val="005E64C0"/>
    <w:rsid w:val="005E6938"/>
    <w:rsid w:val="005E74B1"/>
    <w:rsid w:val="005E7A88"/>
    <w:rsid w:val="005E7D21"/>
    <w:rsid w:val="005F0F0A"/>
    <w:rsid w:val="005F14EF"/>
    <w:rsid w:val="005F21D9"/>
    <w:rsid w:val="005F2239"/>
    <w:rsid w:val="005F2D38"/>
    <w:rsid w:val="005F3128"/>
    <w:rsid w:val="005F32EA"/>
    <w:rsid w:val="005F3D44"/>
    <w:rsid w:val="005F3D56"/>
    <w:rsid w:val="005F463C"/>
    <w:rsid w:val="005F4BAD"/>
    <w:rsid w:val="005F5074"/>
    <w:rsid w:val="005F5C35"/>
    <w:rsid w:val="005F6E51"/>
    <w:rsid w:val="005F6F13"/>
    <w:rsid w:val="005F7560"/>
    <w:rsid w:val="005F75B0"/>
    <w:rsid w:val="005F7E70"/>
    <w:rsid w:val="00600698"/>
    <w:rsid w:val="0060152F"/>
    <w:rsid w:val="00601D9A"/>
    <w:rsid w:val="00602988"/>
    <w:rsid w:val="00602F6F"/>
    <w:rsid w:val="0060368C"/>
    <w:rsid w:val="006039AF"/>
    <w:rsid w:val="00603DD6"/>
    <w:rsid w:val="00603DEF"/>
    <w:rsid w:val="00603F61"/>
    <w:rsid w:val="00605399"/>
    <w:rsid w:val="006053C1"/>
    <w:rsid w:val="00605809"/>
    <w:rsid w:val="0060597B"/>
    <w:rsid w:val="00605CB0"/>
    <w:rsid w:val="00606190"/>
    <w:rsid w:val="006063F9"/>
    <w:rsid w:val="00606741"/>
    <w:rsid w:val="006073AD"/>
    <w:rsid w:val="006077D9"/>
    <w:rsid w:val="00607FA6"/>
    <w:rsid w:val="00610168"/>
    <w:rsid w:val="00610AC0"/>
    <w:rsid w:val="006114BB"/>
    <w:rsid w:val="0061188C"/>
    <w:rsid w:val="0061213B"/>
    <w:rsid w:val="0061236B"/>
    <w:rsid w:val="0061269E"/>
    <w:rsid w:val="00612C71"/>
    <w:rsid w:val="00612D46"/>
    <w:rsid w:val="006132A8"/>
    <w:rsid w:val="006135AC"/>
    <w:rsid w:val="00613689"/>
    <w:rsid w:val="00613FC9"/>
    <w:rsid w:val="00614350"/>
    <w:rsid w:val="0061453F"/>
    <w:rsid w:val="00614CD0"/>
    <w:rsid w:val="00614D19"/>
    <w:rsid w:val="00615F45"/>
    <w:rsid w:val="006161BD"/>
    <w:rsid w:val="006167EE"/>
    <w:rsid w:val="00616A03"/>
    <w:rsid w:val="00616B4A"/>
    <w:rsid w:val="00616CC3"/>
    <w:rsid w:val="006209ED"/>
    <w:rsid w:val="00620B33"/>
    <w:rsid w:val="006211BD"/>
    <w:rsid w:val="00621580"/>
    <w:rsid w:val="00622738"/>
    <w:rsid w:val="00622BD9"/>
    <w:rsid w:val="006237F5"/>
    <w:rsid w:val="00623E7E"/>
    <w:rsid w:val="00625025"/>
    <w:rsid w:val="00625BB9"/>
    <w:rsid w:val="00625E86"/>
    <w:rsid w:val="00626359"/>
    <w:rsid w:val="006272F1"/>
    <w:rsid w:val="00630035"/>
    <w:rsid w:val="00631390"/>
    <w:rsid w:val="00631C29"/>
    <w:rsid w:val="00632625"/>
    <w:rsid w:val="00632A9A"/>
    <w:rsid w:val="00632D9C"/>
    <w:rsid w:val="00633102"/>
    <w:rsid w:val="006333A7"/>
    <w:rsid w:val="00633B4B"/>
    <w:rsid w:val="0063468F"/>
    <w:rsid w:val="006349A9"/>
    <w:rsid w:val="00634AE8"/>
    <w:rsid w:val="006350B7"/>
    <w:rsid w:val="00635A28"/>
    <w:rsid w:val="00636411"/>
    <w:rsid w:val="00636D4C"/>
    <w:rsid w:val="00636E0B"/>
    <w:rsid w:val="00636F9F"/>
    <w:rsid w:val="0063743F"/>
    <w:rsid w:val="0064033D"/>
    <w:rsid w:val="00640822"/>
    <w:rsid w:val="0064084A"/>
    <w:rsid w:val="0064139C"/>
    <w:rsid w:val="0064153A"/>
    <w:rsid w:val="00642014"/>
    <w:rsid w:val="0064249C"/>
    <w:rsid w:val="006425D2"/>
    <w:rsid w:val="0064272F"/>
    <w:rsid w:val="006427AD"/>
    <w:rsid w:val="00642CB9"/>
    <w:rsid w:val="00642E8F"/>
    <w:rsid w:val="0064349E"/>
    <w:rsid w:val="006438B8"/>
    <w:rsid w:val="00644267"/>
    <w:rsid w:val="00644AF6"/>
    <w:rsid w:val="00645A1C"/>
    <w:rsid w:val="00645E7F"/>
    <w:rsid w:val="00646663"/>
    <w:rsid w:val="006469C9"/>
    <w:rsid w:val="006472C7"/>
    <w:rsid w:val="00647A4C"/>
    <w:rsid w:val="00647B86"/>
    <w:rsid w:val="00647C06"/>
    <w:rsid w:val="00647DBE"/>
    <w:rsid w:val="00647E42"/>
    <w:rsid w:val="00650640"/>
    <w:rsid w:val="00650836"/>
    <w:rsid w:val="00650FC3"/>
    <w:rsid w:val="00651082"/>
    <w:rsid w:val="006510F8"/>
    <w:rsid w:val="00651201"/>
    <w:rsid w:val="00651F0A"/>
    <w:rsid w:val="00652050"/>
    <w:rsid w:val="0065233D"/>
    <w:rsid w:val="00652531"/>
    <w:rsid w:val="006529A6"/>
    <w:rsid w:val="006536F5"/>
    <w:rsid w:val="00653A81"/>
    <w:rsid w:val="00653ABE"/>
    <w:rsid w:val="00653FAE"/>
    <w:rsid w:val="00654646"/>
    <w:rsid w:val="00654AE5"/>
    <w:rsid w:val="00654DB8"/>
    <w:rsid w:val="00654E4F"/>
    <w:rsid w:val="00654F76"/>
    <w:rsid w:val="00655904"/>
    <w:rsid w:val="00655B4A"/>
    <w:rsid w:val="0065705B"/>
    <w:rsid w:val="00657431"/>
    <w:rsid w:val="00657DD5"/>
    <w:rsid w:val="00657E8E"/>
    <w:rsid w:val="00661272"/>
    <w:rsid w:val="00661530"/>
    <w:rsid w:val="00661D6F"/>
    <w:rsid w:val="00663E7A"/>
    <w:rsid w:val="00663EB4"/>
    <w:rsid w:val="00664745"/>
    <w:rsid w:val="00664C68"/>
    <w:rsid w:val="00664D75"/>
    <w:rsid w:val="006662A7"/>
    <w:rsid w:val="0066783A"/>
    <w:rsid w:val="006703DC"/>
    <w:rsid w:val="006704F7"/>
    <w:rsid w:val="00671557"/>
    <w:rsid w:val="00671F06"/>
    <w:rsid w:val="00672398"/>
    <w:rsid w:val="006725F4"/>
    <w:rsid w:val="00672EC1"/>
    <w:rsid w:val="00673267"/>
    <w:rsid w:val="00673D12"/>
    <w:rsid w:val="00674539"/>
    <w:rsid w:val="00674779"/>
    <w:rsid w:val="006749ED"/>
    <w:rsid w:val="00675851"/>
    <w:rsid w:val="00675B17"/>
    <w:rsid w:val="00675BA2"/>
    <w:rsid w:val="00675E7D"/>
    <w:rsid w:val="006768E4"/>
    <w:rsid w:val="0067703A"/>
    <w:rsid w:val="00677104"/>
    <w:rsid w:val="00677354"/>
    <w:rsid w:val="006777C0"/>
    <w:rsid w:val="006779FF"/>
    <w:rsid w:val="0068011F"/>
    <w:rsid w:val="006802C1"/>
    <w:rsid w:val="006808E3"/>
    <w:rsid w:val="00680AEC"/>
    <w:rsid w:val="00680D30"/>
    <w:rsid w:val="0068147A"/>
    <w:rsid w:val="00681676"/>
    <w:rsid w:val="00682098"/>
    <w:rsid w:val="0068273F"/>
    <w:rsid w:val="00682A55"/>
    <w:rsid w:val="00682C5B"/>
    <w:rsid w:val="00683428"/>
    <w:rsid w:val="00683970"/>
    <w:rsid w:val="00683C6A"/>
    <w:rsid w:val="0068530C"/>
    <w:rsid w:val="006854F6"/>
    <w:rsid w:val="0068552C"/>
    <w:rsid w:val="0068576C"/>
    <w:rsid w:val="00685C56"/>
    <w:rsid w:val="0068645B"/>
    <w:rsid w:val="00687575"/>
    <w:rsid w:val="0068759F"/>
    <w:rsid w:val="00687D55"/>
    <w:rsid w:val="00687E83"/>
    <w:rsid w:val="00690B18"/>
    <w:rsid w:val="00690D45"/>
    <w:rsid w:val="00691581"/>
    <w:rsid w:val="00691A1B"/>
    <w:rsid w:val="00691CFD"/>
    <w:rsid w:val="00692262"/>
    <w:rsid w:val="00692333"/>
    <w:rsid w:val="00692746"/>
    <w:rsid w:val="00693298"/>
    <w:rsid w:val="00693625"/>
    <w:rsid w:val="0069386A"/>
    <w:rsid w:val="006955E3"/>
    <w:rsid w:val="00695CFD"/>
    <w:rsid w:val="00695EBD"/>
    <w:rsid w:val="006976E9"/>
    <w:rsid w:val="006A03F1"/>
    <w:rsid w:val="006A1565"/>
    <w:rsid w:val="006A1D4B"/>
    <w:rsid w:val="006A25FB"/>
    <w:rsid w:val="006A4C87"/>
    <w:rsid w:val="006A5615"/>
    <w:rsid w:val="006A56B4"/>
    <w:rsid w:val="006A56B8"/>
    <w:rsid w:val="006A5F6B"/>
    <w:rsid w:val="006A648B"/>
    <w:rsid w:val="006A72B9"/>
    <w:rsid w:val="006A76DB"/>
    <w:rsid w:val="006B0A53"/>
    <w:rsid w:val="006B0F74"/>
    <w:rsid w:val="006B1A78"/>
    <w:rsid w:val="006B2145"/>
    <w:rsid w:val="006B32F7"/>
    <w:rsid w:val="006B3324"/>
    <w:rsid w:val="006B373B"/>
    <w:rsid w:val="006B379F"/>
    <w:rsid w:val="006B3E42"/>
    <w:rsid w:val="006B3EF6"/>
    <w:rsid w:val="006B453A"/>
    <w:rsid w:val="006B4BC1"/>
    <w:rsid w:val="006B56D1"/>
    <w:rsid w:val="006B587F"/>
    <w:rsid w:val="006B6AD5"/>
    <w:rsid w:val="006C0ECD"/>
    <w:rsid w:val="006C1285"/>
    <w:rsid w:val="006C209F"/>
    <w:rsid w:val="006C2140"/>
    <w:rsid w:val="006C3CDC"/>
    <w:rsid w:val="006C3E20"/>
    <w:rsid w:val="006C46BA"/>
    <w:rsid w:val="006C46E5"/>
    <w:rsid w:val="006C5041"/>
    <w:rsid w:val="006C5447"/>
    <w:rsid w:val="006C6659"/>
    <w:rsid w:val="006C674D"/>
    <w:rsid w:val="006C695D"/>
    <w:rsid w:val="006C6BD4"/>
    <w:rsid w:val="006C793F"/>
    <w:rsid w:val="006C7CE4"/>
    <w:rsid w:val="006C7D5A"/>
    <w:rsid w:val="006D0415"/>
    <w:rsid w:val="006D0865"/>
    <w:rsid w:val="006D0A97"/>
    <w:rsid w:val="006D1159"/>
    <w:rsid w:val="006D214A"/>
    <w:rsid w:val="006D2AB9"/>
    <w:rsid w:val="006D32ED"/>
    <w:rsid w:val="006D3A64"/>
    <w:rsid w:val="006D3E3E"/>
    <w:rsid w:val="006D423B"/>
    <w:rsid w:val="006D4336"/>
    <w:rsid w:val="006D59D0"/>
    <w:rsid w:val="006D6AAB"/>
    <w:rsid w:val="006D6BC9"/>
    <w:rsid w:val="006D6C99"/>
    <w:rsid w:val="006D7359"/>
    <w:rsid w:val="006D7ED9"/>
    <w:rsid w:val="006E0394"/>
    <w:rsid w:val="006E069D"/>
    <w:rsid w:val="006E0B43"/>
    <w:rsid w:val="006E1E71"/>
    <w:rsid w:val="006E2698"/>
    <w:rsid w:val="006E329E"/>
    <w:rsid w:val="006E3E50"/>
    <w:rsid w:val="006E4BDD"/>
    <w:rsid w:val="006E50AC"/>
    <w:rsid w:val="006E5657"/>
    <w:rsid w:val="006E5783"/>
    <w:rsid w:val="006E60A3"/>
    <w:rsid w:val="006E64F6"/>
    <w:rsid w:val="006E7A76"/>
    <w:rsid w:val="006E7EB9"/>
    <w:rsid w:val="006F072D"/>
    <w:rsid w:val="006F0C69"/>
    <w:rsid w:val="006F1182"/>
    <w:rsid w:val="006F18A6"/>
    <w:rsid w:val="006F2518"/>
    <w:rsid w:val="006F344C"/>
    <w:rsid w:val="006F39F5"/>
    <w:rsid w:val="006F3A71"/>
    <w:rsid w:val="006F3D24"/>
    <w:rsid w:val="006F3D3F"/>
    <w:rsid w:val="006F3F56"/>
    <w:rsid w:val="006F402E"/>
    <w:rsid w:val="006F4F28"/>
    <w:rsid w:val="006F5C7D"/>
    <w:rsid w:val="006F5C8F"/>
    <w:rsid w:val="006F5F7C"/>
    <w:rsid w:val="006F7176"/>
    <w:rsid w:val="007012C4"/>
    <w:rsid w:val="0070144D"/>
    <w:rsid w:val="007019B8"/>
    <w:rsid w:val="00702457"/>
    <w:rsid w:val="00702880"/>
    <w:rsid w:val="007030C4"/>
    <w:rsid w:val="00703E3F"/>
    <w:rsid w:val="00703F6A"/>
    <w:rsid w:val="0070434B"/>
    <w:rsid w:val="0070472B"/>
    <w:rsid w:val="0070478A"/>
    <w:rsid w:val="00705BA4"/>
    <w:rsid w:val="00706654"/>
    <w:rsid w:val="00707E4A"/>
    <w:rsid w:val="00710249"/>
    <w:rsid w:val="007108A8"/>
    <w:rsid w:val="0071134A"/>
    <w:rsid w:val="007119CE"/>
    <w:rsid w:val="00711A61"/>
    <w:rsid w:val="00711B40"/>
    <w:rsid w:val="00711B42"/>
    <w:rsid w:val="00711CDA"/>
    <w:rsid w:val="00711D11"/>
    <w:rsid w:val="00712EB3"/>
    <w:rsid w:val="00713365"/>
    <w:rsid w:val="007135B1"/>
    <w:rsid w:val="007140C7"/>
    <w:rsid w:val="00714813"/>
    <w:rsid w:val="00714D8B"/>
    <w:rsid w:val="00715DD6"/>
    <w:rsid w:val="00717010"/>
    <w:rsid w:val="00717263"/>
    <w:rsid w:val="00717CBE"/>
    <w:rsid w:val="00717FE4"/>
    <w:rsid w:val="00720181"/>
    <w:rsid w:val="00721172"/>
    <w:rsid w:val="007211A0"/>
    <w:rsid w:val="0072170C"/>
    <w:rsid w:val="007217F6"/>
    <w:rsid w:val="00721883"/>
    <w:rsid w:val="00722DA4"/>
    <w:rsid w:val="007234ED"/>
    <w:rsid w:val="007237DD"/>
    <w:rsid w:val="00723C05"/>
    <w:rsid w:val="00724693"/>
    <w:rsid w:val="00725218"/>
    <w:rsid w:val="00725589"/>
    <w:rsid w:val="0072648E"/>
    <w:rsid w:val="00726C38"/>
    <w:rsid w:val="00727320"/>
    <w:rsid w:val="007275CD"/>
    <w:rsid w:val="0072761E"/>
    <w:rsid w:val="00727633"/>
    <w:rsid w:val="0073003E"/>
    <w:rsid w:val="007304E6"/>
    <w:rsid w:val="00731566"/>
    <w:rsid w:val="0073163F"/>
    <w:rsid w:val="00732782"/>
    <w:rsid w:val="00732811"/>
    <w:rsid w:val="00733BEF"/>
    <w:rsid w:val="00733FC0"/>
    <w:rsid w:val="007341C1"/>
    <w:rsid w:val="00734504"/>
    <w:rsid w:val="007347EA"/>
    <w:rsid w:val="0073532B"/>
    <w:rsid w:val="007355E7"/>
    <w:rsid w:val="00735AB3"/>
    <w:rsid w:val="00735C0F"/>
    <w:rsid w:val="0074327E"/>
    <w:rsid w:val="0074546B"/>
    <w:rsid w:val="00745933"/>
    <w:rsid w:val="00745D31"/>
    <w:rsid w:val="0074613C"/>
    <w:rsid w:val="00746BF5"/>
    <w:rsid w:val="00746E1C"/>
    <w:rsid w:val="00751136"/>
    <w:rsid w:val="007512E1"/>
    <w:rsid w:val="007514D6"/>
    <w:rsid w:val="0075159A"/>
    <w:rsid w:val="00751B4E"/>
    <w:rsid w:val="00752B00"/>
    <w:rsid w:val="007541D1"/>
    <w:rsid w:val="00754B9F"/>
    <w:rsid w:val="007562B2"/>
    <w:rsid w:val="00756428"/>
    <w:rsid w:val="00757FB7"/>
    <w:rsid w:val="007612A2"/>
    <w:rsid w:val="00761657"/>
    <w:rsid w:val="007623AB"/>
    <w:rsid w:val="007625A8"/>
    <w:rsid w:val="00762CA4"/>
    <w:rsid w:val="007636E2"/>
    <w:rsid w:val="00763F46"/>
    <w:rsid w:val="00764AEB"/>
    <w:rsid w:val="00765583"/>
    <w:rsid w:val="00765727"/>
    <w:rsid w:val="00765841"/>
    <w:rsid w:val="007664C2"/>
    <w:rsid w:val="0076655F"/>
    <w:rsid w:val="00766BD1"/>
    <w:rsid w:val="0076714A"/>
    <w:rsid w:val="00770800"/>
    <w:rsid w:val="0077087E"/>
    <w:rsid w:val="00770B28"/>
    <w:rsid w:val="007710D1"/>
    <w:rsid w:val="00771234"/>
    <w:rsid w:val="007714F5"/>
    <w:rsid w:val="007722E7"/>
    <w:rsid w:val="007738D9"/>
    <w:rsid w:val="0077460E"/>
    <w:rsid w:val="00774CC7"/>
    <w:rsid w:val="00774F4D"/>
    <w:rsid w:val="007751AC"/>
    <w:rsid w:val="00775E44"/>
    <w:rsid w:val="00775EF7"/>
    <w:rsid w:val="00776039"/>
    <w:rsid w:val="0077626C"/>
    <w:rsid w:val="007762B7"/>
    <w:rsid w:val="0077704C"/>
    <w:rsid w:val="0077744E"/>
    <w:rsid w:val="00777554"/>
    <w:rsid w:val="00777D06"/>
    <w:rsid w:val="007802FF"/>
    <w:rsid w:val="00780CDF"/>
    <w:rsid w:val="00781305"/>
    <w:rsid w:val="00781D78"/>
    <w:rsid w:val="00782488"/>
    <w:rsid w:val="00782BFD"/>
    <w:rsid w:val="007839D0"/>
    <w:rsid w:val="00783C1E"/>
    <w:rsid w:val="0078437C"/>
    <w:rsid w:val="00784D1D"/>
    <w:rsid w:val="007861B3"/>
    <w:rsid w:val="007864E8"/>
    <w:rsid w:val="00786CA1"/>
    <w:rsid w:val="007877C1"/>
    <w:rsid w:val="00787940"/>
    <w:rsid w:val="00787AB3"/>
    <w:rsid w:val="00787B5B"/>
    <w:rsid w:val="007910B6"/>
    <w:rsid w:val="007911A6"/>
    <w:rsid w:val="00791C3D"/>
    <w:rsid w:val="00791E0F"/>
    <w:rsid w:val="00792049"/>
    <w:rsid w:val="00793B26"/>
    <w:rsid w:val="00793C2D"/>
    <w:rsid w:val="00793CF0"/>
    <w:rsid w:val="007942AE"/>
    <w:rsid w:val="00794E77"/>
    <w:rsid w:val="00795317"/>
    <w:rsid w:val="00796077"/>
    <w:rsid w:val="007961E8"/>
    <w:rsid w:val="00797C81"/>
    <w:rsid w:val="00797F3F"/>
    <w:rsid w:val="007A0F3D"/>
    <w:rsid w:val="007A1375"/>
    <w:rsid w:val="007A18D7"/>
    <w:rsid w:val="007A215C"/>
    <w:rsid w:val="007A2616"/>
    <w:rsid w:val="007A26EF"/>
    <w:rsid w:val="007A3DE7"/>
    <w:rsid w:val="007A43D7"/>
    <w:rsid w:val="007A4BB7"/>
    <w:rsid w:val="007A4C40"/>
    <w:rsid w:val="007A4D65"/>
    <w:rsid w:val="007A525E"/>
    <w:rsid w:val="007A52A8"/>
    <w:rsid w:val="007A56C8"/>
    <w:rsid w:val="007A5AD1"/>
    <w:rsid w:val="007A64F0"/>
    <w:rsid w:val="007A77A0"/>
    <w:rsid w:val="007B0496"/>
    <w:rsid w:val="007B05D9"/>
    <w:rsid w:val="007B1714"/>
    <w:rsid w:val="007B2480"/>
    <w:rsid w:val="007B2791"/>
    <w:rsid w:val="007B2919"/>
    <w:rsid w:val="007B2AE8"/>
    <w:rsid w:val="007B3DF4"/>
    <w:rsid w:val="007B4786"/>
    <w:rsid w:val="007B4C19"/>
    <w:rsid w:val="007B4C2A"/>
    <w:rsid w:val="007B51A3"/>
    <w:rsid w:val="007B53A3"/>
    <w:rsid w:val="007B5477"/>
    <w:rsid w:val="007B5525"/>
    <w:rsid w:val="007B5926"/>
    <w:rsid w:val="007B6D3C"/>
    <w:rsid w:val="007B71E6"/>
    <w:rsid w:val="007B7D8E"/>
    <w:rsid w:val="007B7EF3"/>
    <w:rsid w:val="007C0773"/>
    <w:rsid w:val="007C0AA6"/>
    <w:rsid w:val="007C0B09"/>
    <w:rsid w:val="007C0E15"/>
    <w:rsid w:val="007C11E8"/>
    <w:rsid w:val="007C15C8"/>
    <w:rsid w:val="007C28F7"/>
    <w:rsid w:val="007C340B"/>
    <w:rsid w:val="007C3495"/>
    <w:rsid w:val="007C4748"/>
    <w:rsid w:val="007C4803"/>
    <w:rsid w:val="007C4E35"/>
    <w:rsid w:val="007C61E5"/>
    <w:rsid w:val="007C62FC"/>
    <w:rsid w:val="007C6DB1"/>
    <w:rsid w:val="007D0A15"/>
    <w:rsid w:val="007D0C9C"/>
    <w:rsid w:val="007D1A01"/>
    <w:rsid w:val="007D1C25"/>
    <w:rsid w:val="007D1E8C"/>
    <w:rsid w:val="007D228D"/>
    <w:rsid w:val="007D32F2"/>
    <w:rsid w:val="007D3EEC"/>
    <w:rsid w:val="007D46CC"/>
    <w:rsid w:val="007D47AB"/>
    <w:rsid w:val="007D4809"/>
    <w:rsid w:val="007D4DD7"/>
    <w:rsid w:val="007D538D"/>
    <w:rsid w:val="007D55CF"/>
    <w:rsid w:val="007D5997"/>
    <w:rsid w:val="007D5ECC"/>
    <w:rsid w:val="007D6663"/>
    <w:rsid w:val="007D6838"/>
    <w:rsid w:val="007D6EEC"/>
    <w:rsid w:val="007D76CF"/>
    <w:rsid w:val="007E07EE"/>
    <w:rsid w:val="007E0AA8"/>
    <w:rsid w:val="007E103E"/>
    <w:rsid w:val="007E1288"/>
    <w:rsid w:val="007E1684"/>
    <w:rsid w:val="007E1EC9"/>
    <w:rsid w:val="007E2E6F"/>
    <w:rsid w:val="007E33AE"/>
    <w:rsid w:val="007E33EA"/>
    <w:rsid w:val="007E5B0B"/>
    <w:rsid w:val="007E5BDF"/>
    <w:rsid w:val="007E5DDF"/>
    <w:rsid w:val="007E60B3"/>
    <w:rsid w:val="007E66E3"/>
    <w:rsid w:val="007E67D5"/>
    <w:rsid w:val="007E79E6"/>
    <w:rsid w:val="007E7ED4"/>
    <w:rsid w:val="007F016E"/>
    <w:rsid w:val="007F093F"/>
    <w:rsid w:val="007F0BCA"/>
    <w:rsid w:val="007F0F43"/>
    <w:rsid w:val="007F19ED"/>
    <w:rsid w:val="007F22FD"/>
    <w:rsid w:val="007F27AC"/>
    <w:rsid w:val="007F2833"/>
    <w:rsid w:val="007F2932"/>
    <w:rsid w:val="007F2D1E"/>
    <w:rsid w:val="007F2EAB"/>
    <w:rsid w:val="007F3360"/>
    <w:rsid w:val="007F35D0"/>
    <w:rsid w:val="007F3B93"/>
    <w:rsid w:val="007F3D89"/>
    <w:rsid w:val="007F4143"/>
    <w:rsid w:val="007F41D7"/>
    <w:rsid w:val="007F5984"/>
    <w:rsid w:val="007F6D88"/>
    <w:rsid w:val="007F6FAA"/>
    <w:rsid w:val="007F7291"/>
    <w:rsid w:val="007F792A"/>
    <w:rsid w:val="007F7F90"/>
    <w:rsid w:val="00800978"/>
    <w:rsid w:val="0080129F"/>
    <w:rsid w:val="00801ABE"/>
    <w:rsid w:val="00801C38"/>
    <w:rsid w:val="00801D50"/>
    <w:rsid w:val="00803F9B"/>
    <w:rsid w:val="008049B0"/>
    <w:rsid w:val="0080567E"/>
    <w:rsid w:val="00805CA4"/>
    <w:rsid w:val="00806466"/>
    <w:rsid w:val="00806F97"/>
    <w:rsid w:val="00807090"/>
    <w:rsid w:val="00807FB1"/>
    <w:rsid w:val="0081021C"/>
    <w:rsid w:val="0081048E"/>
    <w:rsid w:val="00810695"/>
    <w:rsid w:val="00810AB6"/>
    <w:rsid w:val="00811103"/>
    <w:rsid w:val="00811841"/>
    <w:rsid w:val="00811A5F"/>
    <w:rsid w:val="00811E28"/>
    <w:rsid w:val="00812525"/>
    <w:rsid w:val="0081263B"/>
    <w:rsid w:val="00812DD9"/>
    <w:rsid w:val="00812E4C"/>
    <w:rsid w:val="008131A1"/>
    <w:rsid w:val="00813620"/>
    <w:rsid w:val="00813D29"/>
    <w:rsid w:val="008141BF"/>
    <w:rsid w:val="00814C57"/>
    <w:rsid w:val="008150E1"/>
    <w:rsid w:val="00815965"/>
    <w:rsid w:val="00815CDC"/>
    <w:rsid w:val="0081665E"/>
    <w:rsid w:val="00816D61"/>
    <w:rsid w:val="0081703E"/>
    <w:rsid w:val="008205E6"/>
    <w:rsid w:val="00821017"/>
    <w:rsid w:val="00821E67"/>
    <w:rsid w:val="00821F30"/>
    <w:rsid w:val="0082261E"/>
    <w:rsid w:val="00822B61"/>
    <w:rsid w:val="008231AD"/>
    <w:rsid w:val="008248AC"/>
    <w:rsid w:val="00824982"/>
    <w:rsid w:val="0082551E"/>
    <w:rsid w:val="00825752"/>
    <w:rsid w:val="00826356"/>
    <w:rsid w:val="008264FF"/>
    <w:rsid w:val="0082682D"/>
    <w:rsid w:val="008269A2"/>
    <w:rsid w:val="00826AB0"/>
    <w:rsid w:val="00826D4A"/>
    <w:rsid w:val="00827372"/>
    <w:rsid w:val="00827547"/>
    <w:rsid w:val="008279BF"/>
    <w:rsid w:val="00830199"/>
    <w:rsid w:val="00830D36"/>
    <w:rsid w:val="00830E36"/>
    <w:rsid w:val="00832A34"/>
    <w:rsid w:val="00833956"/>
    <w:rsid w:val="00834A29"/>
    <w:rsid w:val="00834A4F"/>
    <w:rsid w:val="00834BCA"/>
    <w:rsid w:val="00835B84"/>
    <w:rsid w:val="00835F07"/>
    <w:rsid w:val="0083786A"/>
    <w:rsid w:val="00837AB3"/>
    <w:rsid w:val="00837EEE"/>
    <w:rsid w:val="008401D5"/>
    <w:rsid w:val="0084027F"/>
    <w:rsid w:val="008405A6"/>
    <w:rsid w:val="0084090A"/>
    <w:rsid w:val="00840C73"/>
    <w:rsid w:val="00841093"/>
    <w:rsid w:val="00841518"/>
    <w:rsid w:val="00842E0C"/>
    <w:rsid w:val="008433AE"/>
    <w:rsid w:val="008434DC"/>
    <w:rsid w:val="00843526"/>
    <w:rsid w:val="008444F9"/>
    <w:rsid w:val="00844AC7"/>
    <w:rsid w:val="00844B51"/>
    <w:rsid w:val="008475C1"/>
    <w:rsid w:val="00847646"/>
    <w:rsid w:val="00847FE6"/>
    <w:rsid w:val="00850588"/>
    <w:rsid w:val="00850AB0"/>
    <w:rsid w:val="00850D92"/>
    <w:rsid w:val="008510FB"/>
    <w:rsid w:val="00851E8E"/>
    <w:rsid w:val="00852B03"/>
    <w:rsid w:val="008537F2"/>
    <w:rsid w:val="00853BEA"/>
    <w:rsid w:val="00854A6F"/>
    <w:rsid w:val="00855121"/>
    <w:rsid w:val="00855BB2"/>
    <w:rsid w:val="00855E8B"/>
    <w:rsid w:val="00855F91"/>
    <w:rsid w:val="008569D7"/>
    <w:rsid w:val="00856D7E"/>
    <w:rsid w:val="00857079"/>
    <w:rsid w:val="0085754D"/>
    <w:rsid w:val="0085792C"/>
    <w:rsid w:val="00857F84"/>
    <w:rsid w:val="008604AA"/>
    <w:rsid w:val="00860EE1"/>
    <w:rsid w:val="00860FB5"/>
    <w:rsid w:val="0086140D"/>
    <w:rsid w:val="008618AD"/>
    <w:rsid w:val="00861ED1"/>
    <w:rsid w:val="00861F2E"/>
    <w:rsid w:val="0086260E"/>
    <w:rsid w:val="00862F77"/>
    <w:rsid w:val="00864A4C"/>
    <w:rsid w:val="0086568C"/>
    <w:rsid w:val="00865D0C"/>
    <w:rsid w:val="00865DC9"/>
    <w:rsid w:val="00865E5E"/>
    <w:rsid w:val="00866001"/>
    <w:rsid w:val="00867222"/>
    <w:rsid w:val="008673C1"/>
    <w:rsid w:val="00867866"/>
    <w:rsid w:val="00867E93"/>
    <w:rsid w:val="00871AE9"/>
    <w:rsid w:val="008726FB"/>
    <w:rsid w:val="008729DF"/>
    <w:rsid w:val="00872D0A"/>
    <w:rsid w:val="008732E1"/>
    <w:rsid w:val="00874422"/>
    <w:rsid w:val="008744AD"/>
    <w:rsid w:val="00874D3F"/>
    <w:rsid w:val="008754A1"/>
    <w:rsid w:val="00875B85"/>
    <w:rsid w:val="008764B4"/>
    <w:rsid w:val="00876735"/>
    <w:rsid w:val="00876743"/>
    <w:rsid w:val="00876B34"/>
    <w:rsid w:val="00876EB6"/>
    <w:rsid w:val="0087729D"/>
    <w:rsid w:val="008777D8"/>
    <w:rsid w:val="00877CA4"/>
    <w:rsid w:val="0088065B"/>
    <w:rsid w:val="00882006"/>
    <w:rsid w:val="008824B5"/>
    <w:rsid w:val="008825BD"/>
    <w:rsid w:val="008826A6"/>
    <w:rsid w:val="00882B54"/>
    <w:rsid w:val="00883661"/>
    <w:rsid w:val="008838C7"/>
    <w:rsid w:val="00883F9B"/>
    <w:rsid w:val="00884BE5"/>
    <w:rsid w:val="00885F6C"/>
    <w:rsid w:val="00886516"/>
    <w:rsid w:val="008872BB"/>
    <w:rsid w:val="00887424"/>
    <w:rsid w:val="00887A12"/>
    <w:rsid w:val="00887F81"/>
    <w:rsid w:val="008900E7"/>
    <w:rsid w:val="0089031B"/>
    <w:rsid w:val="008906A8"/>
    <w:rsid w:val="0089182E"/>
    <w:rsid w:val="00891A92"/>
    <w:rsid w:val="00891AB3"/>
    <w:rsid w:val="00892317"/>
    <w:rsid w:val="00892BF5"/>
    <w:rsid w:val="00892CAB"/>
    <w:rsid w:val="0089326B"/>
    <w:rsid w:val="00893A7A"/>
    <w:rsid w:val="00893C7D"/>
    <w:rsid w:val="00893CDA"/>
    <w:rsid w:val="0089430A"/>
    <w:rsid w:val="00894A2A"/>
    <w:rsid w:val="00894AB0"/>
    <w:rsid w:val="00895600"/>
    <w:rsid w:val="008959FA"/>
    <w:rsid w:val="00896B03"/>
    <w:rsid w:val="00896ECB"/>
    <w:rsid w:val="008970F1"/>
    <w:rsid w:val="00897BB6"/>
    <w:rsid w:val="00897C65"/>
    <w:rsid w:val="00897CE6"/>
    <w:rsid w:val="00897E64"/>
    <w:rsid w:val="008A0AA9"/>
    <w:rsid w:val="008A14A7"/>
    <w:rsid w:val="008A2127"/>
    <w:rsid w:val="008A24AD"/>
    <w:rsid w:val="008A2C17"/>
    <w:rsid w:val="008A2E66"/>
    <w:rsid w:val="008A3421"/>
    <w:rsid w:val="008A420F"/>
    <w:rsid w:val="008A4AA5"/>
    <w:rsid w:val="008A514E"/>
    <w:rsid w:val="008A5199"/>
    <w:rsid w:val="008A54F7"/>
    <w:rsid w:val="008A5E2D"/>
    <w:rsid w:val="008A61A4"/>
    <w:rsid w:val="008A67DC"/>
    <w:rsid w:val="008A6891"/>
    <w:rsid w:val="008A7922"/>
    <w:rsid w:val="008A7F75"/>
    <w:rsid w:val="008B1141"/>
    <w:rsid w:val="008B146B"/>
    <w:rsid w:val="008B16A4"/>
    <w:rsid w:val="008B18C0"/>
    <w:rsid w:val="008B1A61"/>
    <w:rsid w:val="008B257A"/>
    <w:rsid w:val="008B2C2C"/>
    <w:rsid w:val="008B3EF7"/>
    <w:rsid w:val="008B4381"/>
    <w:rsid w:val="008B47EB"/>
    <w:rsid w:val="008B493D"/>
    <w:rsid w:val="008B4C9D"/>
    <w:rsid w:val="008B5914"/>
    <w:rsid w:val="008B6516"/>
    <w:rsid w:val="008B6C24"/>
    <w:rsid w:val="008B72BB"/>
    <w:rsid w:val="008C03BC"/>
    <w:rsid w:val="008C09CE"/>
    <w:rsid w:val="008C0F17"/>
    <w:rsid w:val="008C126E"/>
    <w:rsid w:val="008C27A3"/>
    <w:rsid w:val="008C2AAC"/>
    <w:rsid w:val="008C2E0B"/>
    <w:rsid w:val="008C3237"/>
    <w:rsid w:val="008C4D02"/>
    <w:rsid w:val="008C52B6"/>
    <w:rsid w:val="008C54BB"/>
    <w:rsid w:val="008C5648"/>
    <w:rsid w:val="008C695D"/>
    <w:rsid w:val="008C6DC4"/>
    <w:rsid w:val="008C6E7F"/>
    <w:rsid w:val="008C734C"/>
    <w:rsid w:val="008D024F"/>
    <w:rsid w:val="008D03A1"/>
    <w:rsid w:val="008D079B"/>
    <w:rsid w:val="008D231E"/>
    <w:rsid w:val="008D2DB1"/>
    <w:rsid w:val="008D32D6"/>
    <w:rsid w:val="008D337B"/>
    <w:rsid w:val="008D387B"/>
    <w:rsid w:val="008D3E47"/>
    <w:rsid w:val="008D3EF1"/>
    <w:rsid w:val="008D3FAC"/>
    <w:rsid w:val="008D4D22"/>
    <w:rsid w:val="008D5117"/>
    <w:rsid w:val="008E0677"/>
    <w:rsid w:val="008E0960"/>
    <w:rsid w:val="008E149C"/>
    <w:rsid w:val="008E228D"/>
    <w:rsid w:val="008E24EE"/>
    <w:rsid w:val="008E27A5"/>
    <w:rsid w:val="008E403E"/>
    <w:rsid w:val="008E4F49"/>
    <w:rsid w:val="008E6A3D"/>
    <w:rsid w:val="008E6D0A"/>
    <w:rsid w:val="008E6F91"/>
    <w:rsid w:val="008E70A9"/>
    <w:rsid w:val="008F0AD7"/>
    <w:rsid w:val="008F0CD4"/>
    <w:rsid w:val="008F2465"/>
    <w:rsid w:val="008F2D03"/>
    <w:rsid w:val="008F2D97"/>
    <w:rsid w:val="008F33A8"/>
    <w:rsid w:val="008F3DA8"/>
    <w:rsid w:val="008F401B"/>
    <w:rsid w:val="008F5F95"/>
    <w:rsid w:val="008F6B31"/>
    <w:rsid w:val="008F717E"/>
    <w:rsid w:val="008F7E93"/>
    <w:rsid w:val="0090072A"/>
    <w:rsid w:val="0090185D"/>
    <w:rsid w:val="009029AB"/>
    <w:rsid w:val="00902E6A"/>
    <w:rsid w:val="00903249"/>
    <w:rsid w:val="009037AE"/>
    <w:rsid w:val="0090398C"/>
    <w:rsid w:val="009040D4"/>
    <w:rsid w:val="009041BD"/>
    <w:rsid w:val="0090442A"/>
    <w:rsid w:val="009044F3"/>
    <w:rsid w:val="00904795"/>
    <w:rsid w:val="00904AA7"/>
    <w:rsid w:val="00904CD7"/>
    <w:rsid w:val="00905087"/>
    <w:rsid w:val="00905330"/>
    <w:rsid w:val="00905554"/>
    <w:rsid w:val="009055E4"/>
    <w:rsid w:val="00905BB5"/>
    <w:rsid w:val="00906BD2"/>
    <w:rsid w:val="009070FC"/>
    <w:rsid w:val="0090726F"/>
    <w:rsid w:val="009072CF"/>
    <w:rsid w:val="0090745E"/>
    <w:rsid w:val="00910B29"/>
    <w:rsid w:val="00910E80"/>
    <w:rsid w:val="00911535"/>
    <w:rsid w:val="009116D4"/>
    <w:rsid w:val="009118F7"/>
    <w:rsid w:val="009136AB"/>
    <w:rsid w:val="00913E52"/>
    <w:rsid w:val="00913F5C"/>
    <w:rsid w:val="00914482"/>
    <w:rsid w:val="0091476D"/>
    <w:rsid w:val="0091529C"/>
    <w:rsid w:val="00915391"/>
    <w:rsid w:val="009169F1"/>
    <w:rsid w:val="00916BE5"/>
    <w:rsid w:val="00916C55"/>
    <w:rsid w:val="00917068"/>
    <w:rsid w:val="0091733D"/>
    <w:rsid w:val="009174F2"/>
    <w:rsid w:val="00917868"/>
    <w:rsid w:val="009178CA"/>
    <w:rsid w:val="00917ACD"/>
    <w:rsid w:val="00920160"/>
    <w:rsid w:val="0092017A"/>
    <w:rsid w:val="00920AEC"/>
    <w:rsid w:val="00920CBE"/>
    <w:rsid w:val="009229A5"/>
    <w:rsid w:val="00922EE6"/>
    <w:rsid w:val="0092423C"/>
    <w:rsid w:val="00925381"/>
    <w:rsid w:val="00925512"/>
    <w:rsid w:val="00925A0C"/>
    <w:rsid w:val="00925A10"/>
    <w:rsid w:val="00926145"/>
    <w:rsid w:val="00927776"/>
    <w:rsid w:val="00927B21"/>
    <w:rsid w:val="00927C05"/>
    <w:rsid w:val="00927E5C"/>
    <w:rsid w:val="00930B06"/>
    <w:rsid w:val="00930D2B"/>
    <w:rsid w:val="00931AF2"/>
    <w:rsid w:val="00931CA8"/>
    <w:rsid w:val="009320BC"/>
    <w:rsid w:val="00932803"/>
    <w:rsid w:val="009328C5"/>
    <w:rsid w:val="00932AAB"/>
    <w:rsid w:val="009335E2"/>
    <w:rsid w:val="0093379D"/>
    <w:rsid w:val="0093389C"/>
    <w:rsid w:val="00933AE1"/>
    <w:rsid w:val="00933B1E"/>
    <w:rsid w:val="00933F3A"/>
    <w:rsid w:val="00934529"/>
    <w:rsid w:val="00934534"/>
    <w:rsid w:val="00934A08"/>
    <w:rsid w:val="00935462"/>
    <w:rsid w:val="00935466"/>
    <w:rsid w:val="009364A5"/>
    <w:rsid w:val="0093654E"/>
    <w:rsid w:val="0093679A"/>
    <w:rsid w:val="00936A51"/>
    <w:rsid w:val="009371B7"/>
    <w:rsid w:val="00937208"/>
    <w:rsid w:val="009372B2"/>
    <w:rsid w:val="00940B47"/>
    <w:rsid w:val="009414FE"/>
    <w:rsid w:val="009417D4"/>
    <w:rsid w:val="00941AD0"/>
    <w:rsid w:val="009424F3"/>
    <w:rsid w:val="00942ECE"/>
    <w:rsid w:val="009438C8"/>
    <w:rsid w:val="00945678"/>
    <w:rsid w:val="009456B9"/>
    <w:rsid w:val="00946014"/>
    <w:rsid w:val="0094603F"/>
    <w:rsid w:val="009460CF"/>
    <w:rsid w:val="0094678E"/>
    <w:rsid w:val="00946A6B"/>
    <w:rsid w:val="00946EC6"/>
    <w:rsid w:val="00947616"/>
    <w:rsid w:val="009479A2"/>
    <w:rsid w:val="00947B8C"/>
    <w:rsid w:val="009503D4"/>
    <w:rsid w:val="00950E5F"/>
    <w:rsid w:val="009515D0"/>
    <w:rsid w:val="00952FE3"/>
    <w:rsid w:val="0095313C"/>
    <w:rsid w:val="00953B53"/>
    <w:rsid w:val="009542BA"/>
    <w:rsid w:val="009549F4"/>
    <w:rsid w:val="00954CD3"/>
    <w:rsid w:val="0095567F"/>
    <w:rsid w:val="009564FA"/>
    <w:rsid w:val="00956A6B"/>
    <w:rsid w:val="009575A2"/>
    <w:rsid w:val="009579E3"/>
    <w:rsid w:val="00957C84"/>
    <w:rsid w:val="00957CF2"/>
    <w:rsid w:val="009606AC"/>
    <w:rsid w:val="009609F0"/>
    <w:rsid w:val="009619F1"/>
    <w:rsid w:val="00961EFA"/>
    <w:rsid w:val="00962047"/>
    <w:rsid w:val="009625F9"/>
    <w:rsid w:val="0096312C"/>
    <w:rsid w:val="009631CD"/>
    <w:rsid w:val="009635F2"/>
    <w:rsid w:val="00964206"/>
    <w:rsid w:val="0096421F"/>
    <w:rsid w:val="00964611"/>
    <w:rsid w:val="00964831"/>
    <w:rsid w:val="009655AE"/>
    <w:rsid w:val="009655C6"/>
    <w:rsid w:val="0096607E"/>
    <w:rsid w:val="009670A7"/>
    <w:rsid w:val="00967A57"/>
    <w:rsid w:val="00970F18"/>
    <w:rsid w:val="00970F47"/>
    <w:rsid w:val="00971B0A"/>
    <w:rsid w:val="00971EA2"/>
    <w:rsid w:val="0097286A"/>
    <w:rsid w:val="00972A6D"/>
    <w:rsid w:val="00973153"/>
    <w:rsid w:val="0097327F"/>
    <w:rsid w:val="00973D75"/>
    <w:rsid w:val="00973EBB"/>
    <w:rsid w:val="00974872"/>
    <w:rsid w:val="00974B12"/>
    <w:rsid w:val="00975A91"/>
    <w:rsid w:val="009772E9"/>
    <w:rsid w:val="009776B5"/>
    <w:rsid w:val="009778EE"/>
    <w:rsid w:val="00977B89"/>
    <w:rsid w:val="00977F1C"/>
    <w:rsid w:val="00977F71"/>
    <w:rsid w:val="00980075"/>
    <w:rsid w:val="00980885"/>
    <w:rsid w:val="0098265D"/>
    <w:rsid w:val="00983DC7"/>
    <w:rsid w:val="00984347"/>
    <w:rsid w:val="009845C3"/>
    <w:rsid w:val="00984C24"/>
    <w:rsid w:val="00984E57"/>
    <w:rsid w:val="0098504C"/>
    <w:rsid w:val="00985606"/>
    <w:rsid w:val="0098580B"/>
    <w:rsid w:val="00985A75"/>
    <w:rsid w:val="0098600E"/>
    <w:rsid w:val="0098643D"/>
    <w:rsid w:val="00986A66"/>
    <w:rsid w:val="00986B33"/>
    <w:rsid w:val="00986C27"/>
    <w:rsid w:val="00987248"/>
    <w:rsid w:val="009872C9"/>
    <w:rsid w:val="00987598"/>
    <w:rsid w:val="00987C55"/>
    <w:rsid w:val="00987D50"/>
    <w:rsid w:val="009901CB"/>
    <w:rsid w:val="00990431"/>
    <w:rsid w:val="00990649"/>
    <w:rsid w:val="00990A8C"/>
    <w:rsid w:val="009914F4"/>
    <w:rsid w:val="0099177E"/>
    <w:rsid w:val="00991793"/>
    <w:rsid w:val="009931E4"/>
    <w:rsid w:val="0099408E"/>
    <w:rsid w:val="0099444E"/>
    <w:rsid w:val="009949C8"/>
    <w:rsid w:val="00995180"/>
    <w:rsid w:val="009956F3"/>
    <w:rsid w:val="00995D91"/>
    <w:rsid w:val="00996107"/>
    <w:rsid w:val="009967C0"/>
    <w:rsid w:val="00996B05"/>
    <w:rsid w:val="00997298"/>
    <w:rsid w:val="00997726"/>
    <w:rsid w:val="00997AC1"/>
    <w:rsid w:val="009A0053"/>
    <w:rsid w:val="009A04C7"/>
    <w:rsid w:val="009A0B90"/>
    <w:rsid w:val="009A14D9"/>
    <w:rsid w:val="009A2871"/>
    <w:rsid w:val="009A36B9"/>
    <w:rsid w:val="009A36C3"/>
    <w:rsid w:val="009A3B4F"/>
    <w:rsid w:val="009A3BAA"/>
    <w:rsid w:val="009A3E64"/>
    <w:rsid w:val="009A3ECC"/>
    <w:rsid w:val="009A3F4C"/>
    <w:rsid w:val="009A4069"/>
    <w:rsid w:val="009A4BA4"/>
    <w:rsid w:val="009A4C98"/>
    <w:rsid w:val="009A5090"/>
    <w:rsid w:val="009A547A"/>
    <w:rsid w:val="009A55FB"/>
    <w:rsid w:val="009A5DDF"/>
    <w:rsid w:val="009A5EF2"/>
    <w:rsid w:val="009A6C01"/>
    <w:rsid w:val="009A6CED"/>
    <w:rsid w:val="009A7D46"/>
    <w:rsid w:val="009A7D9F"/>
    <w:rsid w:val="009B00A1"/>
    <w:rsid w:val="009B10A2"/>
    <w:rsid w:val="009B1284"/>
    <w:rsid w:val="009B1694"/>
    <w:rsid w:val="009B16C9"/>
    <w:rsid w:val="009B1824"/>
    <w:rsid w:val="009B19E0"/>
    <w:rsid w:val="009B2F58"/>
    <w:rsid w:val="009B306C"/>
    <w:rsid w:val="009B3545"/>
    <w:rsid w:val="009B361E"/>
    <w:rsid w:val="009B489D"/>
    <w:rsid w:val="009B49A3"/>
    <w:rsid w:val="009B4C88"/>
    <w:rsid w:val="009B4E29"/>
    <w:rsid w:val="009B5762"/>
    <w:rsid w:val="009B6580"/>
    <w:rsid w:val="009B6C34"/>
    <w:rsid w:val="009B76BE"/>
    <w:rsid w:val="009B783A"/>
    <w:rsid w:val="009B7AB8"/>
    <w:rsid w:val="009C012B"/>
    <w:rsid w:val="009C0617"/>
    <w:rsid w:val="009C0FCC"/>
    <w:rsid w:val="009C2A79"/>
    <w:rsid w:val="009C2B88"/>
    <w:rsid w:val="009C2D9B"/>
    <w:rsid w:val="009C2E0D"/>
    <w:rsid w:val="009C4CD3"/>
    <w:rsid w:val="009C56F0"/>
    <w:rsid w:val="009C5A9E"/>
    <w:rsid w:val="009C5DF0"/>
    <w:rsid w:val="009C6FF6"/>
    <w:rsid w:val="009C74F2"/>
    <w:rsid w:val="009C7B02"/>
    <w:rsid w:val="009D00D7"/>
    <w:rsid w:val="009D02BB"/>
    <w:rsid w:val="009D0AFC"/>
    <w:rsid w:val="009D0C99"/>
    <w:rsid w:val="009D131A"/>
    <w:rsid w:val="009D17BE"/>
    <w:rsid w:val="009D182D"/>
    <w:rsid w:val="009D22A9"/>
    <w:rsid w:val="009D232E"/>
    <w:rsid w:val="009D25C8"/>
    <w:rsid w:val="009D2D30"/>
    <w:rsid w:val="009D36EF"/>
    <w:rsid w:val="009D3D5E"/>
    <w:rsid w:val="009D3DE0"/>
    <w:rsid w:val="009D422F"/>
    <w:rsid w:val="009D44AB"/>
    <w:rsid w:val="009D4CA6"/>
    <w:rsid w:val="009D61D5"/>
    <w:rsid w:val="009D6687"/>
    <w:rsid w:val="009D6994"/>
    <w:rsid w:val="009D7500"/>
    <w:rsid w:val="009D767E"/>
    <w:rsid w:val="009D76E2"/>
    <w:rsid w:val="009D77B6"/>
    <w:rsid w:val="009E03E0"/>
    <w:rsid w:val="009E0520"/>
    <w:rsid w:val="009E0F2B"/>
    <w:rsid w:val="009E10D0"/>
    <w:rsid w:val="009E10F2"/>
    <w:rsid w:val="009E12CF"/>
    <w:rsid w:val="009E20EC"/>
    <w:rsid w:val="009E2958"/>
    <w:rsid w:val="009E2A70"/>
    <w:rsid w:val="009E312B"/>
    <w:rsid w:val="009E3C41"/>
    <w:rsid w:val="009E3C5F"/>
    <w:rsid w:val="009E3DB1"/>
    <w:rsid w:val="009E42CD"/>
    <w:rsid w:val="009E4CA8"/>
    <w:rsid w:val="009E536D"/>
    <w:rsid w:val="009E55AD"/>
    <w:rsid w:val="009E6489"/>
    <w:rsid w:val="009E67D1"/>
    <w:rsid w:val="009E67FB"/>
    <w:rsid w:val="009E6FEA"/>
    <w:rsid w:val="009E78E0"/>
    <w:rsid w:val="009F0B40"/>
    <w:rsid w:val="009F0E97"/>
    <w:rsid w:val="009F10A6"/>
    <w:rsid w:val="009F1E8D"/>
    <w:rsid w:val="009F1F99"/>
    <w:rsid w:val="009F2C15"/>
    <w:rsid w:val="009F381A"/>
    <w:rsid w:val="009F42CA"/>
    <w:rsid w:val="009F4F6D"/>
    <w:rsid w:val="009F5E24"/>
    <w:rsid w:val="009F5F79"/>
    <w:rsid w:val="009F67F0"/>
    <w:rsid w:val="009F6C6F"/>
    <w:rsid w:val="009F7592"/>
    <w:rsid w:val="009F7803"/>
    <w:rsid w:val="00A00261"/>
    <w:rsid w:val="00A01341"/>
    <w:rsid w:val="00A01F80"/>
    <w:rsid w:val="00A02403"/>
    <w:rsid w:val="00A03073"/>
    <w:rsid w:val="00A03682"/>
    <w:rsid w:val="00A03B56"/>
    <w:rsid w:val="00A03DA1"/>
    <w:rsid w:val="00A049A8"/>
    <w:rsid w:val="00A056B8"/>
    <w:rsid w:val="00A05E16"/>
    <w:rsid w:val="00A062AF"/>
    <w:rsid w:val="00A0641E"/>
    <w:rsid w:val="00A06918"/>
    <w:rsid w:val="00A06BD4"/>
    <w:rsid w:val="00A07689"/>
    <w:rsid w:val="00A07B0C"/>
    <w:rsid w:val="00A10970"/>
    <w:rsid w:val="00A11CA4"/>
    <w:rsid w:val="00A11D35"/>
    <w:rsid w:val="00A1226D"/>
    <w:rsid w:val="00A129AC"/>
    <w:rsid w:val="00A12C9D"/>
    <w:rsid w:val="00A13AE9"/>
    <w:rsid w:val="00A14B5F"/>
    <w:rsid w:val="00A14D3A"/>
    <w:rsid w:val="00A14E66"/>
    <w:rsid w:val="00A15100"/>
    <w:rsid w:val="00A159FD"/>
    <w:rsid w:val="00A17393"/>
    <w:rsid w:val="00A17A5A"/>
    <w:rsid w:val="00A17D22"/>
    <w:rsid w:val="00A17FB8"/>
    <w:rsid w:val="00A2016E"/>
    <w:rsid w:val="00A203B8"/>
    <w:rsid w:val="00A20EE1"/>
    <w:rsid w:val="00A21B4D"/>
    <w:rsid w:val="00A22EE9"/>
    <w:rsid w:val="00A2362B"/>
    <w:rsid w:val="00A23BB0"/>
    <w:rsid w:val="00A23C21"/>
    <w:rsid w:val="00A23F4A"/>
    <w:rsid w:val="00A24B92"/>
    <w:rsid w:val="00A24CAD"/>
    <w:rsid w:val="00A2528D"/>
    <w:rsid w:val="00A25530"/>
    <w:rsid w:val="00A25C4B"/>
    <w:rsid w:val="00A26615"/>
    <w:rsid w:val="00A309D0"/>
    <w:rsid w:val="00A30CFF"/>
    <w:rsid w:val="00A32AE9"/>
    <w:rsid w:val="00A33290"/>
    <w:rsid w:val="00A3342F"/>
    <w:rsid w:val="00A34DAC"/>
    <w:rsid w:val="00A3599B"/>
    <w:rsid w:val="00A359A6"/>
    <w:rsid w:val="00A35C21"/>
    <w:rsid w:val="00A36694"/>
    <w:rsid w:val="00A36785"/>
    <w:rsid w:val="00A36949"/>
    <w:rsid w:val="00A36CA3"/>
    <w:rsid w:val="00A37312"/>
    <w:rsid w:val="00A37A6C"/>
    <w:rsid w:val="00A40634"/>
    <w:rsid w:val="00A41ECC"/>
    <w:rsid w:val="00A41F65"/>
    <w:rsid w:val="00A4223D"/>
    <w:rsid w:val="00A42D59"/>
    <w:rsid w:val="00A42FBA"/>
    <w:rsid w:val="00A44E55"/>
    <w:rsid w:val="00A450B9"/>
    <w:rsid w:val="00A45EC3"/>
    <w:rsid w:val="00A467C3"/>
    <w:rsid w:val="00A46C9C"/>
    <w:rsid w:val="00A473A6"/>
    <w:rsid w:val="00A47504"/>
    <w:rsid w:val="00A501A2"/>
    <w:rsid w:val="00A5047C"/>
    <w:rsid w:val="00A506DF"/>
    <w:rsid w:val="00A50FEC"/>
    <w:rsid w:val="00A51865"/>
    <w:rsid w:val="00A51E95"/>
    <w:rsid w:val="00A51F36"/>
    <w:rsid w:val="00A5237C"/>
    <w:rsid w:val="00A52D16"/>
    <w:rsid w:val="00A5312E"/>
    <w:rsid w:val="00A53558"/>
    <w:rsid w:val="00A53ACC"/>
    <w:rsid w:val="00A53AED"/>
    <w:rsid w:val="00A53EDC"/>
    <w:rsid w:val="00A54FA1"/>
    <w:rsid w:val="00A554F1"/>
    <w:rsid w:val="00A558BD"/>
    <w:rsid w:val="00A55E93"/>
    <w:rsid w:val="00A56309"/>
    <w:rsid w:val="00A566A8"/>
    <w:rsid w:val="00A56B62"/>
    <w:rsid w:val="00A56E67"/>
    <w:rsid w:val="00A5713C"/>
    <w:rsid w:val="00A575B4"/>
    <w:rsid w:val="00A60228"/>
    <w:rsid w:val="00A608C7"/>
    <w:rsid w:val="00A619FC"/>
    <w:rsid w:val="00A61C24"/>
    <w:rsid w:val="00A61F41"/>
    <w:rsid w:val="00A61F5C"/>
    <w:rsid w:val="00A63367"/>
    <w:rsid w:val="00A641DE"/>
    <w:rsid w:val="00A646C8"/>
    <w:rsid w:val="00A64776"/>
    <w:rsid w:val="00A65294"/>
    <w:rsid w:val="00A65C75"/>
    <w:rsid w:val="00A65EED"/>
    <w:rsid w:val="00A660C7"/>
    <w:rsid w:val="00A666FD"/>
    <w:rsid w:val="00A668A9"/>
    <w:rsid w:val="00A66D35"/>
    <w:rsid w:val="00A70070"/>
    <w:rsid w:val="00A701D1"/>
    <w:rsid w:val="00A70335"/>
    <w:rsid w:val="00A70D82"/>
    <w:rsid w:val="00A70DDF"/>
    <w:rsid w:val="00A71A74"/>
    <w:rsid w:val="00A72A01"/>
    <w:rsid w:val="00A72F4B"/>
    <w:rsid w:val="00A733C8"/>
    <w:rsid w:val="00A73B47"/>
    <w:rsid w:val="00A73F74"/>
    <w:rsid w:val="00A74620"/>
    <w:rsid w:val="00A746B6"/>
    <w:rsid w:val="00A74890"/>
    <w:rsid w:val="00A748EB"/>
    <w:rsid w:val="00A74B01"/>
    <w:rsid w:val="00A74EEC"/>
    <w:rsid w:val="00A7536E"/>
    <w:rsid w:val="00A75570"/>
    <w:rsid w:val="00A755E4"/>
    <w:rsid w:val="00A760CB"/>
    <w:rsid w:val="00A76187"/>
    <w:rsid w:val="00A76481"/>
    <w:rsid w:val="00A76BD4"/>
    <w:rsid w:val="00A76D11"/>
    <w:rsid w:val="00A76E90"/>
    <w:rsid w:val="00A7700F"/>
    <w:rsid w:val="00A776E4"/>
    <w:rsid w:val="00A77759"/>
    <w:rsid w:val="00A77BFC"/>
    <w:rsid w:val="00A80181"/>
    <w:rsid w:val="00A80BBC"/>
    <w:rsid w:val="00A83AE4"/>
    <w:rsid w:val="00A83E9C"/>
    <w:rsid w:val="00A84CEF"/>
    <w:rsid w:val="00A857C8"/>
    <w:rsid w:val="00A85AA1"/>
    <w:rsid w:val="00A85EC7"/>
    <w:rsid w:val="00A86668"/>
    <w:rsid w:val="00A8671C"/>
    <w:rsid w:val="00A86822"/>
    <w:rsid w:val="00A86F49"/>
    <w:rsid w:val="00A87A4B"/>
    <w:rsid w:val="00A9010B"/>
    <w:rsid w:val="00A90CB8"/>
    <w:rsid w:val="00A91EC4"/>
    <w:rsid w:val="00A921F7"/>
    <w:rsid w:val="00A92B58"/>
    <w:rsid w:val="00A93D55"/>
    <w:rsid w:val="00A93D89"/>
    <w:rsid w:val="00A93FEA"/>
    <w:rsid w:val="00A94882"/>
    <w:rsid w:val="00A94BD6"/>
    <w:rsid w:val="00A94CB3"/>
    <w:rsid w:val="00A95078"/>
    <w:rsid w:val="00A95D09"/>
    <w:rsid w:val="00A96974"/>
    <w:rsid w:val="00A97478"/>
    <w:rsid w:val="00A975A0"/>
    <w:rsid w:val="00A97A9E"/>
    <w:rsid w:val="00A97AB9"/>
    <w:rsid w:val="00A97B3F"/>
    <w:rsid w:val="00A97C07"/>
    <w:rsid w:val="00A97F72"/>
    <w:rsid w:val="00AA06F6"/>
    <w:rsid w:val="00AA0D12"/>
    <w:rsid w:val="00AA1427"/>
    <w:rsid w:val="00AA17AE"/>
    <w:rsid w:val="00AA1D05"/>
    <w:rsid w:val="00AA1F44"/>
    <w:rsid w:val="00AA260D"/>
    <w:rsid w:val="00AA2F32"/>
    <w:rsid w:val="00AA3C0D"/>
    <w:rsid w:val="00AA3C4D"/>
    <w:rsid w:val="00AA41F2"/>
    <w:rsid w:val="00AA51DB"/>
    <w:rsid w:val="00AA5B52"/>
    <w:rsid w:val="00AA6E81"/>
    <w:rsid w:val="00AA6EEF"/>
    <w:rsid w:val="00AA7276"/>
    <w:rsid w:val="00AA7D11"/>
    <w:rsid w:val="00AB0234"/>
    <w:rsid w:val="00AB0379"/>
    <w:rsid w:val="00AB0880"/>
    <w:rsid w:val="00AB0B17"/>
    <w:rsid w:val="00AB100A"/>
    <w:rsid w:val="00AB13B0"/>
    <w:rsid w:val="00AB1794"/>
    <w:rsid w:val="00AB18BB"/>
    <w:rsid w:val="00AB21D8"/>
    <w:rsid w:val="00AB392C"/>
    <w:rsid w:val="00AB3B26"/>
    <w:rsid w:val="00AB4723"/>
    <w:rsid w:val="00AB4B3E"/>
    <w:rsid w:val="00AB4B45"/>
    <w:rsid w:val="00AB4C33"/>
    <w:rsid w:val="00AB5421"/>
    <w:rsid w:val="00AB5885"/>
    <w:rsid w:val="00AB6158"/>
    <w:rsid w:val="00AB70BB"/>
    <w:rsid w:val="00AB77E8"/>
    <w:rsid w:val="00AC00FD"/>
    <w:rsid w:val="00AC0119"/>
    <w:rsid w:val="00AC01CB"/>
    <w:rsid w:val="00AC0678"/>
    <w:rsid w:val="00AC0800"/>
    <w:rsid w:val="00AC1903"/>
    <w:rsid w:val="00AC1E38"/>
    <w:rsid w:val="00AC2295"/>
    <w:rsid w:val="00AC2437"/>
    <w:rsid w:val="00AC27B9"/>
    <w:rsid w:val="00AC2D01"/>
    <w:rsid w:val="00AC2E33"/>
    <w:rsid w:val="00AC376E"/>
    <w:rsid w:val="00AC439A"/>
    <w:rsid w:val="00AC48F5"/>
    <w:rsid w:val="00AC57C2"/>
    <w:rsid w:val="00AC5827"/>
    <w:rsid w:val="00AC5C21"/>
    <w:rsid w:val="00AC6781"/>
    <w:rsid w:val="00AC6C54"/>
    <w:rsid w:val="00AC713C"/>
    <w:rsid w:val="00AC7398"/>
    <w:rsid w:val="00AC740A"/>
    <w:rsid w:val="00AC7451"/>
    <w:rsid w:val="00AC74AF"/>
    <w:rsid w:val="00AC770A"/>
    <w:rsid w:val="00AC7B69"/>
    <w:rsid w:val="00AC7CA5"/>
    <w:rsid w:val="00AD0499"/>
    <w:rsid w:val="00AD121E"/>
    <w:rsid w:val="00AD1818"/>
    <w:rsid w:val="00AD28CE"/>
    <w:rsid w:val="00AD29B0"/>
    <w:rsid w:val="00AD2ABC"/>
    <w:rsid w:val="00AD2C9F"/>
    <w:rsid w:val="00AD2F4A"/>
    <w:rsid w:val="00AD33E8"/>
    <w:rsid w:val="00AD373E"/>
    <w:rsid w:val="00AD441A"/>
    <w:rsid w:val="00AD4788"/>
    <w:rsid w:val="00AD48C8"/>
    <w:rsid w:val="00AD4C82"/>
    <w:rsid w:val="00AD56EF"/>
    <w:rsid w:val="00AD608E"/>
    <w:rsid w:val="00AD6CEB"/>
    <w:rsid w:val="00AE044D"/>
    <w:rsid w:val="00AE04B3"/>
    <w:rsid w:val="00AE0A09"/>
    <w:rsid w:val="00AE0AA3"/>
    <w:rsid w:val="00AE120D"/>
    <w:rsid w:val="00AE14F9"/>
    <w:rsid w:val="00AE169B"/>
    <w:rsid w:val="00AE1D73"/>
    <w:rsid w:val="00AE21C0"/>
    <w:rsid w:val="00AE22F9"/>
    <w:rsid w:val="00AE2387"/>
    <w:rsid w:val="00AE2EFE"/>
    <w:rsid w:val="00AE30C2"/>
    <w:rsid w:val="00AE3101"/>
    <w:rsid w:val="00AE33A5"/>
    <w:rsid w:val="00AE3573"/>
    <w:rsid w:val="00AE3D3A"/>
    <w:rsid w:val="00AE4225"/>
    <w:rsid w:val="00AE42AB"/>
    <w:rsid w:val="00AE4770"/>
    <w:rsid w:val="00AE4C12"/>
    <w:rsid w:val="00AE4CCC"/>
    <w:rsid w:val="00AE4EE3"/>
    <w:rsid w:val="00AE4FE5"/>
    <w:rsid w:val="00AE557F"/>
    <w:rsid w:val="00AE5887"/>
    <w:rsid w:val="00AE65F0"/>
    <w:rsid w:val="00AE66B0"/>
    <w:rsid w:val="00AE70AB"/>
    <w:rsid w:val="00AE77D9"/>
    <w:rsid w:val="00AE7903"/>
    <w:rsid w:val="00AF00FE"/>
    <w:rsid w:val="00AF043F"/>
    <w:rsid w:val="00AF0CE5"/>
    <w:rsid w:val="00AF0FF7"/>
    <w:rsid w:val="00AF14E8"/>
    <w:rsid w:val="00AF184F"/>
    <w:rsid w:val="00AF1AAA"/>
    <w:rsid w:val="00AF221B"/>
    <w:rsid w:val="00AF33DB"/>
    <w:rsid w:val="00AF38AD"/>
    <w:rsid w:val="00AF4F1D"/>
    <w:rsid w:val="00AF51EE"/>
    <w:rsid w:val="00AF52C7"/>
    <w:rsid w:val="00AF5AAB"/>
    <w:rsid w:val="00AF62F1"/>
    <w:rsid w:val="00AF65DC"/>
    <w:rsid w:val="00AF6814"/>
    <w:rsid w:val="00AF6826"/>
    <w:rsid w:val="00AF6E6D"/>
    <w:rsid w:val="00AF72E4"/>
    <w:rsid w:val="00B002A3"/>
    <w:rsid w:val="00B012C9"/>
    <w:rsid w:val="00B013BC"/>
    <w:rsid w:val="00B0162E"/>
    <w:rsid w:val="00B017A4"/>
    <w:rsid w:val="00B018F2"/>
    <w:rsid w:val="00B024FD"/>
    <w:rsid w:val="00B0255C"/>
    <w:rsid w:val="00B02CB1"/>
    <w:rsid w:val="00B03323"/>
    <w:rsid w:val="00B03DE9"/>
    <w:rsid w:val="00B03F19"/>
    <w:rsid w:val="00B045C3"/>
    <w:rsid w:val="00B04936"/>
    <w:rsid w:val="00B052C3"/>
    <w:rsid w:val="00B0579F"/>
    <w:rsid w:val="00B05D07"/>
    <w:rsid w:val="00B0673E"/>
    <w:rsid w:val="00B067DE"/>
    <w:rsid w:val="00B067FE"/>
    <w:rsid w:val="00B069B7"/>
    <w:rsid w:val="00B06C19"/>
    <w:rsid w:val="00B073AA"/>
    <w:rsid w:val="00B076E9"/>
    <w:rsid w:val="00B07DBB"/>
    <w:rsid w:val="00B107D6"/>
    <w:rsid w:val="00B10924"/>
    <w:rsid w:val="00B10D15"/>
    <w:rsid w:val="00B10E89"/>
    <w:rsid w:val="00B11A28"/>
    <w:rsid w:val="00B11C2B"/>
    <w:rsid w:val="00B11DDC"/>
    <w:rsid w:val="00B11EDA"/>
    <w:rsid w:val="00B1231C"/>
    <w:rsid w:val="00B1294D"/>
    <w:rsid w:val="00B12A28"/>
    <w:rsid w:val="00B12CFC"/>
    <w:rsid w:val="00B136ED"/>
    <w:rsid w:val="00B1378E"/>
    <w:rsid w:val="00B14A1E"/>
    <w:rsid w:val="00B17935"/>
    <w:rsid w:val="00B17E3A"/>
    <w:rsid w:val="00B17EDE"/>
    <w:rsid w:val="00B203FC"/>
    <w:rsid w:val="00B217EE"/>
    <w:rsid w:val="00B237AB"/>
    <w:rsid w:val="00B248C3"/>
    <w:rsid w:val="00B24D57"/>
    <w:rsid w:val="00B2500D"/>
    <w:rsid w:val="00B25010"/>
    <w:rsid w:val="00B25A26"/>
    <w:rsid w:val="00B26BB1"/>
    <w:rsid w:val="00B300D1"/>
    <w:rsid w:val="00B30395"/>
    <w:rsid w:val="00B307A7"/>
    <w:rsid w:val="00B31A5F"/>
    <w:rsid w:val="00B324D3"/>
    <w:rsid w:val="00B32751"/>
    <w:rsid w:val="00B331E9"/>
    <w:rsid w:val="00B33819"/>
    <w:rsid w:val="00B33FE4"/>
    <w:rsid w:val="00B344B9"/>
    <w:rsid w:val="00B358B5"/>
    <w:rsid w:val="00B35AB0"/>
    <w:rsid w:val="00B3661E"/>
    <w:rsid w:val="00B36FEC"/>
    <w:rsid w:val="00B37213"/>
    <w:rsid w:val="00B3765B"/>
    <w:rsid w:val="00B379A3"/>
    <w:rsid w:val="00B41D76"/>
    <w:rsid w:val="00B42117"/>
    <w:rsid w:val="00B42160"/>
    <w:rsid w:val="00B43341"/>
    <w:rsid w:val="00B436AF"/>
    <w:rsid w:val="00B44539"/>
    <w:rsid w:val="00B446DD"/>
    <w:rsid w:val="00B446F0"/>
    <w:rsid w:val="00B446FE"/>
    <w:rsid w:val="00B44CA5"/>
    <w:rsid w:val="00B4506F"/>
    <w:rsid w:val="00B45591"/>
    <w:rsid w:val="00B461CC"/>
    <w:rsid w:val="00B469A1"/>
    <w:rsid w:val="00B4789F"/>
    <w:rsid w:val="00B501C2"/>
    <w:rsid w:val="00B50445"/>
    <w:rsid w:val="00B50738"/>
    <w:rsid w:val="00B50CA8"/>
    <w:rsid w:val="00B50CCD"/>
    <w:rsid w:val="00B512AA"/>
    <w:rsid w:val="00B51A58"/>
    <w:rsid w:val="00B51EEB"/>
    <w:rsid w:val="00B5243B"/>
    <w:rsid w:val="00B52B68"/>
    <w:rsid w:val="00B52C37"/>
    <w:rsid w:val="00B53031"/>
    <w:rsid w:val="00B53310"/>
    <w:rsid w:val="00B540DF"/>
    <w:rsid w:val="00B54952"/>
    <w:rsid w:val="00B54A34"/>
    <w:rsid w:val="00B555EB"/>
    <w:rsid w:val="00B55C57"/>
    <w:rsid w:val="00B57185"/>
    <w:rsid w:val="00B57724"/>
    <w:rsid w:val="00B600CE"/>
    <w:rsid w:val="00B60451"/>
    <w:rsid w:val="00B606A8"/>
    <w:rsid w:val="00B607EC"/>
    <w:rsid w:val="00B609EF"/>
    <w:rsid w:val="00B60AB2"/>
    <w:rsid w:val="00B61A9E"/>
    <w:rsid w:val="00B61BA9"/>
    <w:rsid w:val="00B62CC9"/>
    <w:rsid w:val="00B63408"/>
    <w:rsid w:val="00B63558"/>
    <w:rsid w:val="00B6412D"/>
    <w:rsid w:val="00B6426B"/>
    <w:rsid w:val="00B642D5"/>
    <w:rsid w:val="00B64342"/>
    <w:rsid w:val="00B6435D"/>
    <w:rsid w:val="00B651DB"/>
    <w:rsid w:val="00B65956"/>
    <w:rsid w:val="00B65AD5"/>
    <w:rsid w:val="00B65BFA"/>
    <w:rsid w:val="00B65C44"/>
    <w:rsid w:val="00B66960"/>
    <w:rsid w:val="00B66CA5"/>
    <w:rsid w:val="00B701C1"/>
    <w:rsid w:val="00B7072F"/>
    <w:rsid w:val="00B718C0"/>
    <w:rsid w:val="00B71DFF"/>
    <w:rsid w:val="00B71E47"/>
    <w:rsid w:val="00B72D47"/>
    <w:rsid w:val="00B736FB"/>
    <w:rsid w:val="00B74949"/>
    <w:rsid w:val="00B756D7"/>
    <w:rsid w:val="00B769E3"/>
    <w:rsid w:val="00B774ED"/>
    <w:rsid w:val="00B775F5"/>
    <w:rsid w:val="00B77C42"/>
    <w:rsid w:val="00B77DC7"/>
    <w:rsid w:val="00B80009"/>
    <w:rsid w:val="00B802C3"/>
    <w:rsid w:val="00B804A6"/>
    <w:rsid w:val="00B804FF"/>
    <w:rsid w:val="00B808C0"/>
    <w:rsid w:val="00B8154A"/>
    <w:rsid w:val="00B81627"/>
    <w:rsid w:val="00B81A73"/>
    <w:rsid w:val="00B81FC5"/>
    <w:rsid w:val="00B8217F"/>
    <w:rsid w:val="00B836D6"/>
    <w:rsid w:val="00B837BB"/>
    <w:rsid w:val="00B83D86"/>
    <w:rsid w:val="00B843D9"/>
    <w:rsid w:val="00B84582"/>
    <w:rsid w:val="00B8476F"/>
    <w:rsid w:val="00B84C7A"/>
    <w:rsid w:val="00B858FF"/>
    <w:rsid w:val="00B85AF6"/>
    <w:rsid w:val="00B85B33"/>
    <w:rsid w:val="00B86F23"/>
    <w:rsid w:val="00B87E88"/>
    <w:rsid w:val="00B90FDC"/>
    <w:rsid w:val="00B91F56"/>
    <w:rsid w:val="00B91F88"/>
    <w:rsid w:val="00B92866"/>
    <w:rsid w:val="00B92A3F"/>
    <w:rsid w:val="00B931F1"/>
    <w:rsid w:val="00B94E14"/>
    <w:rsid w:val="00B94ED9"/>
    <w:rsid w:val="00B959D0"/>
    <w:rsid w:val="00B96EB0"/>
    <w:rsid w:val="00B970EF"/>
    <w:rsid w:val="00BA00E5"/>
    <w:rsid w:val="00BA03C6"/>
    <w:rsid w:val="00BA0E82"/>
    <w:rsid w:val="00BA16DA"/>
    <w:rsid w:val="00BA1C18"/>
    <w:rsid w:val="00BA21DE"/>
    <w:rsid w:val="00BA2F3E"/>
    <w:rsid w:val="00BA2F7F"/>
    <w:rsid w:val="00BA3AA0"/>
    <w:rsid w:val="00BA4A53"/>
    <w:rsid w:val="00BA4B51"/>
    <w:rsid w:val="00BA4D0D"/>
    <w:rsid w:val="00BA4ED6"/>
    <w:rsid w:val="00BA561A"/>
    <w:rsid w:val="00BA6F62"/>
    <w:rsid w:val="00BA73B2"/>
    <w:rsid w:val="00BA7CC9"/>
    <w:rsid w:val="00BA7E0B"/>
    <w:rsid w:val="00BB03AA"/>
    <w:rsid w:val="00BB03E4"/>
    <w:rsid w:val="00BB0BFE"/>
    <w:rsid w:val="00BB0CAE"/>
    <w:rsid w:val="00BB31C9"/>
    <w:rsid w:val="00BB40A8"/>
    <w:rsid w:val="00BB40B7"/>
    <w:rsid w:val="00BB4544"/>
    <w:rsid w:val="00BB58CA"/>
    <w:rsid w:val="00BB61ED"/>
    <w:rsid w:val="00BB6AB1"/>
    <w:rsid w:val="00BB6AB5"/>
    <w:rsid w:val="00BB6C48"/>
    <w:rsid w:val="00BB716C"/>
    <w:rsid w:val="00BB7469"/>
    <w:rsid w:val="00BB7B05"/>
    <w:rsid w:val="00BB7BCF"/>
    <w:rsid w:val="00BB7E51"/>
    <w:rsid w:val="00BC04F1"/>
    <w:rsid w:val="00BC061B"/>
    <w:rsid w:val="00BC0636"/>
    <w:rsid w:val="00BC0CA5"/>
    <w:rsid w:val="00BC0F67"/>
    <w:rsid w:val="00BC1883"/>
    <w:rsid w:val="00BC1FB0"/>
    <w:rsid w:val="00BC2690"/>
    <w:rsid w:val="00BC2BC3"/>
    <w:rsid w:val="00BC33FA"/>
    <w:rsid w:val="00BC49C5"/>
    <w:rsid w:val="00BC4DFE"/>
    <w:rsid w:val="00BC4E9D"/>
    <w:rsid w:val="00BC4FCB"/>
    <w:rsid w:val="00BC54C4"/>
    <w:rsid w:val="00BC59D2"/>
    <w:rsid w:val="00BC5D4C"/>
    <w:rsid w:val="00BC6A57"/>
    <w:rsid w:val="00BC7082"/>
    <w:rsid w:val="00BC778A"/>
    <w:rsid w:val="00BC782B"/>
    <w:rsid w:val="00BC7B01"/>
    <w:rsid w:val="00BC7BA7"/>
    <w:rsid w:val="00BD034F"/>
    <w:rsid w:val="00BD068B"/>
    <w:rsid w:val="00BD0A85"/>
    <w:rsid w:val="00BD0F71"/>
    <w:rsid w:val="00BD1151"/>
    <w:rsid w:val="00BD1355"/>
    <w:rsid w:val="00BD2604"/>
    <w:rsid w:val="00BD2C97"/>
    <w:rsid w:val="00BD3275"/>
    <w:rsid w:val="00BD347B"/>
    <w:rsid w:val="00BD3E2D"/>
    <w:rsid w:val="00BD46A2"/>
    <w:rsid w:val="00BD5B9F"/>
    <w:rsid w:val="00BD5C87"/>
    <w:rsid w:val="00BD6173"/>
    <w:rsid w:val="00BD63A6"/>
    <w:rsid w:val="00BD6573"/>
    <w:rsid w:val="00BD6D57"/>
    <w:rsid w:val="00BD6FDC"/>
    <w:rsid w:val="00BD770E"/>
    <w:rsid w:val="00BD77FF"/>
    <w:rsid w:val="00BD7D13"/>
    <w:rsid w:val="00BD7D72"/>
    <w:rsid w:val="00BD7E11"/>
    <w:rsid w:val="00BD7EC0"/>
    <w:rsid w:val="00BD7F45"/>
    <w:rsid w:val="00BE079C"/>
    <w:rsid w:val="00BE0CD3"/>
    <w:rsid w:val="00BE0D56"/>
    <w:rsid w:val="00BE1D4D"/>
    <w:rsid w:val="00BE381D"/>
    <w:rsid w:val="00BE3AFB"/>
    <w:rsid w:val="00BE43BF"/>
    <w:rsid w:val="00BE52AE"/>
    <w:rsid w:val="00BE58A2"/>
    <w:rsid w:val="00BE599C"/>
    <w:rsid w:val="00BE5A63"/>
    <w:rsid w:val="00BE61F1"/>
    <w:rsid w:val="00BE706B"/>
    <w:rsid w:val="00BE77A4"/>
    <w:rsid w:val="00BE7D8D"/>
    <w:rsid w:val="00BE7F81"/>
    <w:rsid w:val="00BF12DA"/>
    <w:rsid w:val="00BF1FE2"/>
    <w:rsid w:val="00BF25BC"/>
    <w:rsid w:val="00BF2FEF"/>
    <w:rsid w:val="00BF31CE"/>
    <w:rsid w:val="00BF3811"/>
    <w:rsid w:val="00BF41A5"/>
    <w:rsid w:val="00BF45E0"/>
    <w:rsid w:val="00BF4D22"/>
    <w:rsid w:val="00BF4F1F"/>
    <w:rsid w:val="00BF5729"/>
    <w:rsid w:val="00BF59E3"/>
    <w:rsid w:val="00BF6648"/>
    <w:rsid w:val="00BF6E9C"/>
    <w:rsid w:val="00BF7223"/>
    <w:rsid w:val="00BF72D8"/>
    <w:rsid w:val="00BF731E"/>
    <w:rsid w:val="00BF75E4"/>
    <w:rsid w:val="00BF7974"/>
    <w:rsid w:val="00BF7C8A"/>
    <w:rsid w:val="00C0007F"/>
    <w:rsid w:val="00C00D0E"/>
    <w:rsid w:val="00C014C1"/>
    <w:rsid w:val="00C018DC"/>
    <w:rsid w:val="00C01DD0"/>
    <w:rsid w:val="00C0204D"/>
    <w:rsid w:val="00C030A9"/>
    <w:rsid w:val="00C03527"/>
    <w:rsid w:val="00C0372A"/>
    <w:rsid w:val="00C04455"/>
    <w:rsid w:val="00C048DF"/>
    <w:rsid w:val="00C04CF7"/>
    <w:rsid w:val="00C053F8"/>
    <w:rsid w:val="00C05954"/>
    <w:rsid w:val="00C05DB2"/>
    <w:rsid w:val="00C06B6F"/>
    <w:rsid w:val="00C06DA4"/>
    <w:rsid w:val="00C07552"/>
    <w:rsid w:val="00C108D5"/>
    <w:rsid w:val="00C10E00"/>
    <w:rsid w:val="00C111F6"/>
    <w:rsid w:val="00C12198"/>
    <w:rsid w:val="00C12BA7"/>
    <w:rsid w:val="00C1387B"/>
    <w:rsid w:val="00C143AF"/>
    <w:rsid w:val="00C14C56"/>
    <w:rsid w:val="00C14C72"/>
    <w:rsid w:val="00C15591"/>
    <w:rsid w:val="00C1583A"/>
    <w:rsid w:val="00C160CD"/>
    <w:rsid w:val="00C1682D"/>
    <w:rsid w:val="00C1772C"/>
    <w:rsid w:val="00C20CF5"/>
    <w:rsid w:val="00C20DFA"/>
    <w:rsid w:val="00C211B0"/>
    <w:rsid w:val="00C2197E"/>
    <w:rsid w:val="00C21A0D"/>
    <w:rsid w:val="00C23460"/>
    <w:rsid w:val="00C237C4"/>
    <w:rsid w:val="00C2448B"/>
    <w:rsid w:val="00C245BD"/>
    <w:rsid w:val="00C26C05"/>
    <w:rsid w:val="00C279C9"/>
    <w:rsid w:val="00C30D04"/>
    <w:rsid w:val="00C3133B"/>
    <w:rsid w:val="00C31996"/>
    <w:rsid w:val="00C31CFC"/>
    <w:rsid w:val="00C31DE5"/>
    <w:rsid w:val="00C31DE8"/>
    <w:rsid w:val="00C3258F"/>
    <w:rsid w:val="00C328CD"/>
    <w:rsid w:val="00C32B78"/>
    <w:rsid w:val="00C33218"/>
    <w:rsid w:val="00C34113"/>
    <w:rsid w:val="00C34861"/>
    <w:rsid w:val="00C35540"/>
    <w:rsid w:val="00C35C98"/>
    <w:rsid w:val="00C3605D"/>
    <w:rsid w:val="00C3606C"/>
    <w:rsid w:val="00C370C6"/>
    <w:rsid w:val="00C40138"/>
    <w:rsid w:val="00C40C69"/>
    <w:rsid w:val="00C40EE8"/>
    <w:rsid w:val="00C412F4"/>
    <w:rsid w:val="00C4143E"/>
    <w:rsid w:val="00C4199A"/>
    <w:rsid w:val="00C42DB8"/>
    <w:rsid w:val="00C43979"/>
    <w:rsid w:val="00C4669B"/>
    <w:rsid w:val="00C46AE0"/>
    <w:rsid w:val="00C4709D"/>
    <w:rsid w:val="00C47842"/>
    <w:rsid w:val="00C47997"/>
    <w:rsid w:val="00C47AD3"/>
    <w:rsid w:val="00C5087A"/>
    <w:rsid w:val="00C50C9F"/>
    <w:rsid w:val="00C50EBF"/>
    <w:rsid w:val="00C510BD"/>
    <w:rsid w:val="00C5259E"/>
    <w:rsid w:val="00C52CD2"/>
    <w:rsid w:val="00C52DC0"/>
    <w:rsid w:val="00C5301D"/>
    <w:rsid w:val="00C53880"/>
    <w:rsid w:val="00C53B58"/>
    <w:rsid w:val="00C53E8D"/>
    <w:rsid w:val="00C5465A"/>
    <w:rsid w:val="00C54776"/>
    <w:rsid w:val="00C556A6"/>
    <w:rsid w:val="00C5571D"/>
    <w:rsid w:val="00C564F0"/>
    <w:rsid w:val="00C56686"/>
    <w:rsid w:val="00C56F38"/>
    <w:rsid w:val="00C575FA"/>
    <w:rsid w:val="00C606EE"/>
    <w:rsid w:val="00C6089F"/>
    <w:rsid w:val="00C60DC4"/>
    <w:rsid w:val="00C61E09"/>
    <w:rsid w:val="00C61F63"/>
    <w:rsid w:val="00C62AFB"/>
    <w:rsid w:val="00C63297"/>
    <w:rsid w:val="00C636B9"/>
    <w:rsid w:val="00C637DE"/>
    <w:rsid w:val="00C63867"/>
    <w:rsid w:val="00C63D59"/>
    <w:rsid w:val="00C63F7E"/>
    <w:rsid w:val="00C640EF"/>
    <w:rsid w:val="00C662F0"/>
    <w:rsid w:val="00C66559"/>
    <w:rsid w:val="00C6712C"/>
    <w:rsid w:val="00C67943"/>
    <w:rsid w:val="00C67ACC"/>
    <w:rsid w:val="00C70AB5"/>
    <w:rsid w:val="00C70FEA"/>
    <w:rsid w:val="00C71495"/>
    <w:rsid w:val="00C71593"/>
    <w:rsid w:val="00C716D6"/>
    <w:rsid w:val="00C71787"/>
    <w:rsid w:val="00C717AF"/>
    <w:rsid w:val="00C721D3"/>
    <w:rsid w:val="00C72304"/>
    <w:rsid w:val="00C72920"/>
    <w:rsid w:val="00C736EA"/>
    <w:rsid w:val="00C737D3"/>
    <w:rsid w:val="00C73AE9"/>
    <w:rsid w:val="00C73F64"/>
    <w:rsid w:val="00C74648"/>
    <w:rsid w:val="00C754C8"/>
    <w:rsid w:val="00C7596F"/>
    <w:rsid w:val="00C764BF"/>
    <w:rsid w:val="00C76AFA"/>
    <w:rsid w:val="00C80C6C"/>
    <w:rsid w:val="00C8130D"/>
    <w:rsid w:val="00C8225B"/>
    <w:rsid w:val="00C839E8"/>
    <w:rsid w:val="00C83A82"/>
    <w:rsid w:val="00C83C44"/>
    <w:rsid w:val="00C84AEC"/>
    <w:rsid w:val="00C85267"/>
    <w:rsid w:val="00C86044"/>
    <w:rsid w:val="00C86CD6"/>
    <w:rsid w:val="00C8708A"/>
    <w:rsid w:val="00C8756E"/>
    <w:rsid w:val="00C90B03"/>
    <w:rsid w:val="00C90D1A"/>
    <w:rsid w:val="00C90F4F"/>
    <w:rsid w:val="00C90FD0"/>
    <w:rsid w:val="00C91203"/>
    <w:rsid w:val="00C91697"/>
    <w:rsid w:val="00C91FA8"/>
    <w:rsid w:val="00C92436"/>
    <w:rsid w:val="00C93386"/>
    <w:rsid w:val="00C94695"/>
    <w:rsid w:val="00C94720"/>
    <w:rsid w:val="00C95417"/>
    <w:rsid w:val="00C96230"/>
    <w:rsid w:val="00C96D15"/>
    <w:rsid w:val="00C97CC0"/>
    <w:rsid w:val="00CA18F7"/>
    <w:rsid w:val="00CA2B40"/>
    <w:rsid w:val="00CA2D7E"/>
    <w:rsid w:val="00CA379C"/>
    <w:rsid w:val="00CA3B03"/>
    <w:rsid w:val="00CA3B43"/>
    <w:rsid w:val="00CA4D6E"/>
    <w:rsid w:val="00CA4E24"/>
    <w:rsid w:val="00CA57D3"/>
    <w:rsid w:val="00CA5EF9"/>
    <w:rsid w:val="00CA61A1"/>
    <w:rsid w:val="00CA6F73"/>
    <w:rsid w:val="00CA72BD"/>
    <w:rsid w:val="00CA792B"/>
    <w:rsid w:val="00CA7B3C"/>
    <w:rsid w:val="00CB0346"/>
    <w:rsid w:val="00CB0451"/>
    <w:rsid w:val="00CB13FA"/>
    <w:rsid w:val="00CB1639"/>
    <w:rsid w:val="00CB20DD"/>
    <w:rsid w:val="00CB299F"/>
    <w:rsid w:val="00CB2C05"/>
    <w:rsid w:val="00CB326D"/>
    <w:rsid w:val="00CB3385"/>
    <w:rsid w:val="00CB35F7"/>
    <w:rsid w:val="00CB4F0E"/>
    <w:rsid w:val="00CB5241"/>
    <w:rsid w:val="00CB52FB"/>
    <w:rsid w:val="00CB5446"/>
    <w:rsid w:val="00CB5668"/>
    <w:rsid w:val="00CB6890"/>
    <w:rsid w:val="00CB6FF6"/>
    <w:rsid w:val="00CB7306"/>
    <w:rsid w:val="00CB7D59"/>
    <w:rsid w:val="00CC1A6B"/>
    <w:rsid w:val="00CC2577"/>
    <w:rsid w:val="00CC2BB2"/>
    <w:rsid w:val="00CC35D2"/>
    <w:rsid w:val="00CC35F1"/>
    <w:rsid w:val="00CC3C84"/>
    <w:rsid w:val="00CC3D77"/>
    <w:rsid w:val="00CC3E59"/>
    <w:rsid w:val="00CC4016"/>
    <w:rsid w:val="00CC4657"/>
    <w:rsid w:val="00CC51C5"/>
    <w:rsid w:val="00CC51FC"/>
    <w:rsid w:val="00CC5365"/>
    <w:rsid w:val="00CC5C90"/>
    <w:rsid w:val="00CC6D23"/>
    <w:rsid w:val="00CC7655"/>
    <w:rsid w:val="00CD1271"/>
    <w:rsid w:val="00CD1AA4"/>
    <w:rsid w:val="00CD2300"/>
    <w:rsid w:val="00CD2C08"/>
    <w:rsid w:val="00CD2D28"/>
    <w:rsid w:val="00CD34EE"/>
    <w:rsid w:val="00CD37E4"/>
    <w:rsid w:val="00CD3B73"/>
    <w:rsid w:val="00CD3D02"/>
    <w:rsid w:val="00CD4531"/>
    <w:rsid w:val="00CD4711"/>
    <w:rsid w:val="00CD498F"/>
    <w:rsid w:val="00CD568F"/>
    <w:rsid w:val="00CD5981"/>
    <w:rsid w:val="00CD5FCE"/>
    <w:rsid w:val="00CD5FFC"/>
    <w:rsid w:val="00CD641B"/>
    <w:rsid w:val="00CD6503"/>
    <w:rsid w:val="00CD65A9"/>
    <w:rsid w:val="00CD68FD"/>
    <w:rsid w:val="00CD6E79"/>
    <w:rsid w:val="00CD7527"/>
    <w:rsid w:val="00CD7969"/>
    <w:rsid w:val="00CD7AF7"/>
    <w:rsid w:val="00CE003B"/>
    <w:rsid w:val="00CE06BF"/>
    <w:rsid w:val="00CE08B7"/>
    <w:rsid w:val="00CE0B5D"/>
    <w:rsid w:val="00CE19DA"/>
    <w:rsid w:val="00CE1C25"/>
    <w:rsid w:val="00CE1EED"/>
    <w:rsid w:val="00CE2284"/>
    <w:rsid w:val="00CE2E34"/>
    <w:rsid w:val="00CE3AAF"/>
    <w:rsid w:val="00CE3E80"/>
    <w:rsid w:val="00CE41C8"/>
    <w:rsid w:val="00CE4A6B"/>
    <w:rsid w:val="00CE4AE0"/>
    <w:rsid w:val="00CE5725"/>
    <w:rsid w:val="00CE60B9"/>
    <w:rsid w:val="00CE6489"/>
    <w:rsid w:val="00CE64B2"/>
    <w:rsid w:val="00CE6ADB"/>
    <w:rsid w:val="00CE6D7E"/>
    <w:rsid w:val="00CE713C"/>
    <w:rsid w:val="00CE752E"/>
    <w:rsid w:val="00CE7987"/>
    <w:rsid w:val="00CF061A"/>
    <w:rsid w:val="00CF1AD9"/>
    <w:rsid w:val="00CF20BE"/>
    <w:rsid w:val="00CF43AA"/>
    <w:rsid w:val="00CF559C"/>
    <w:rsid w:val="00CF574C"/>
    <w:rsid w:val="00CF6003"/>
    <w:rsid w:val="00CF63CA"/>
    <w:rsid w:val="00CF6738"/>
    <w:rsid w:val="00CF6BA7"/>
    <w:rsid w:val="00CF709A"/>
    <w:rsid w:val="00CF78DE"/>
    <w:rsid w:val="00D00230"/>
    <w:rsid w:val="00D00972"/>
    <w:rsid w:val="00D00A3D"/>
    <w:rsid w:val="00D015ED"/>
    <w:rsid w:val="00D01908"/>
    <w:rsid w:val="00D01A9E"/>
    <w:rsid w:val="00D02033"/>
    <w:rsid w:val="00D021AF"/>
    <w:rsid w:val="00D02763"/>
    <w:rsid w:val="00D0386A"/>
    <w:rsid w:val="00D03894"/>
    <w:rsid w:val="00D0428D"/>
    <w:rsid w:val="00D04F3B"/>
    <w:rsid w:val="00D05D11"/>
    <w:rsid w:val="00D060B1"/>
    <w:rsid w:val="00D06D67"/>
    <w:rsid w:val="00D0742E"/>
    <w:rsid w:val="00D074B8"/>
    <w:rsid w:val="00D07640"/>
    <w:rsid w:val="00D07740"/>
    <w:rsid w:val="00D07B7E"/>
    <w:rsid w:val="00D07D5C"/>
    <w:rsid w:val="00D1020A"/>
    <w:rsid w:val="00D1034B"/>
    <w:rsid w:val="00D10E4A"/>
    <w:rsid w:val="00D11428"/>
    <w:rsid w:val="00D116FA"/>
    <w:rsid w:val="00D12486"/>
    <w:rsid w:val="00D1267D"/>
    <w:rsid w:val="00D12839"/>
    <w:rsid w:val="00D13C0E"/>
    <w:rsid w:val="00D140EF"/>
    <w:rsid w:val="00D142A0"/>
    <w:rsid w:val="00D14DC5"/>
    <w:rsid w:val="00D14FBD"/>
    <w:rsid w:val="00D15092"/>
    <w:rsid w:val="00D1555A"/>
    <w:rsid w:val="00D1593D"/>
    <w:rsid w:val="00D1601A"/>
    <w:rsid w:val="00D163D9"/>
    <w:rsid w:val="00D169EC"/>
    <w:rsid w:val="00D170FA"/>
    <w:rsid w:val="00D17364"/>
    <w:rsid w:val="00D206E5"/>
    <w:rsid w:val="00D20B66"/>
    <w:rsid w:val="00D20DF8"/>
    <w:rsid w:val="00D21551"/>
    <w:rsid w:val="00D21D7A"/>
    <w:rsid w:val="00D21DCB"/>
    <w:rsid w:val="00D22426"/>
    <w:rsid w:val="00D22B41"/>
    <w:rsid w:val="00D233FF"/>
    <w:rsid w:val="00D2389F"/>
    <w:rsid w:val="00D238A2"/>
    <w:rsid w:val="00D23A44"/>
    <w:rsid w:val="00D23EAA"/>
    <w:rsid w:val="00D24BE8"/>
    <w:rsid w:val="00D24FAC"/>
    <w:rsid w:val="00D257F9"/>
    <w:rsid w:val="00D27B0D"/>
    <w:rsid w:val="00D27C86"/>
    <w:rsid w:val="00D302C1"/>
    <w:rsid w:val="00D302C2"/>
    <w:rsid w:val="00D303F9"/>
    <w:rsid w:val="00D3050B"/>
    <w:rsid w:val="00D306CB"/>
    <w:rsid w:val="00D309D3"/>
    <w:rsid w:val="00D30D54"/>
    <w:rsid w:val="00D30EB7"/>
    <w:rsid w:val="00D30EF2"/>
    <w:rsid w:val="00D32780"/>
    <w:rsid w:val="00D32FC4"/>
    <w:rsid w:val="00D33463"/>
    <w:rsid w:val="00D338E3"/>
    <w:rsid w:val="00D33B17"/>
    <w:rsid w:val="00D34894"/>
    <w:rsid w:val="00D34DD4"/>
    <w:rsid w:val="00D3547F"/>
    <w:rsid w:val="00D3556F"/>
    <w:rsid w:val="00D35786"/>
    <w:rsid w:val="00D36346"/>
    <w:rsid w:val="00D37785"/>
    <w:rsid w:val="00D37820"/>
    <w:rsid w:val="00D37DF2"/>
    <w:rsid w:val="00D4062A"/>
    <w:rsid w:val="00D4082C"/>
    <w:rsid w:val="00D40D45"/>
    <w:rsid w:val="00D42342"/>
    <w:rsid w:val="00D42389"/>
    <w:rsid w:val="00D42578"/>
    <w:rsid w:val="00D4260C"/>
    <w:rsid w:val="00D45859"/>
    <w:rsid w:val="00D45F17"/>
    <w:rsid w:val="00D4667B"/>
    <w:rsid w:val="00D4669A"/>
    <w:rsid w:val="00D471DB"/>
    <w:rsid w:val="00D479D9"/>
    <w:rsid w:val="00D5053A"/>
    <w:rsid w:val="00D50A2B"/>
    <w:rsid w:val="00D51151"/>
    <w:rsid w:val="00D5148C"/>
    <w:rsid w:val="00D516B3"/>
    <w:rsid w:val="00D51AEC"/>
    <w:rsid w:val="00D52385"/>
    <w:rsid w:val="00D5246F"/>
    <w:rsid w:val="00D52A76"/>
    <w:rsid w:val="00D530BB"/>
    <w:rsid w:val="00D53644"/>
    <w:rsid w:val="00D539C7"/>
    <w:rsid w:val="00D5670F"/>
    <w:rsid w:val="00D56C5D"/>
    <w:rsid w:val="00D56F24"/>
    <w:rsid w:val="00D6091A"/>
    <w:rsid w:val="00D60C7C"/>
    <w:rsid w:val="00D60D49"/>
    <w:rsid w:val="00D60E24"/>
    <w:rsid w:val="00D60FDE"/>
    <w:rsid w:val="00D61520"/>
    <w:rsid w:val="00D61BF8"/>
    <w:rsid w:val="00D61DDC"/>
    <w:rsid w:val="00D62087"/>
    <w:rsid w:val="00D624B5"/>
    <w:rsid w:val="00D628FC"/>
    <w:rsid w:val="00D6330F"/>
    <w:rsid w:val="00D63F33"/>
    <w:rsid w:val="00D643D1"/>
    <w:rsid w:val="00D64596"/>
    <w:rsid w:val="00D64756"/>
    <w:rsid w:val="00D65EBF"/>
    <w:rsid w:val="00D66B8B"/>
    <w:rsid w:val="00D66C0F"/>
    <w:rsid w:val="00D67034"/>
    <w:rsid w:val="00D67E88"/>
    <w:rsid w:val="00D700EF"/>
    <w:rsid w:val="00D70148"/>
    <w:rsid w:val="00D703FA"/>
    <w:rsid w:val="00D70C60"/>
    <w:rsid w:val="00D71982"/>
    <w:rsid w:val="00D71A60"/>
    <w:rsid w:val="00D71DEA"/>
    <w:rsid w:val="00D73A5F"/>
    <w:rsid w:val="00D73ACD"/>
    <w:rsid w:val="00D74C9E"/>
    <w:rsid w:val="00D75665"/>
    <w:rsid w:val="00D756E2"/>
    <w:rsid w:val="00D76220"/>
    <w:rsid w:val="00D76C98"/>
    <w:rsid w:val="00D77012"/>
    <w:rsid w:val="00D77335"/>
    <w:rsid w:val="00D77CB1"/>
    <w:rsid w:val="00D77DBD"/>
    <w:rsid w:val="00D80773"/>
    <w:rsid w:val="00D80E63"/>
    <w:rsid w:val="00D8166E"/>
    <w:rsid w:val="00D81A28"/>
    <w:rsid w:val="00D81D8C"/>
    <w:rsid w:val="00D821C0"/>
    <w:rsid w:val="00D82796"/>
    <w:rsid w:val="00D82C9F"/>
    <w:rsid w:val="00D82EC0"/>
    <w:rsid w:val="00D83A2F"/>
    <w:rsid w:val="00D83F43"/>
    <w:rsid w:val="00D8463D"/>
    <w:rsid w:val="00D85A73"/>
    <w:rsid w:val="00D86A8D"/>
    <w:rsid w:val="00D909FC"/>
    <w:rsid w:val="00D90E11"/>
    <w:rsid w:val="00D90FA7"/>
    <w:rsid w:val="00D910C3"/>
    <w:rsid w:val="00D91D35"/>
    <w:rsid w:val="00D920E3"/>
    <w:rsid w:val="00D9263B"/>
    <w:rsid w:val="00D932B6"/>
    <w:rsid w:val="00D933DE"/>
    <w:rsid w:val="00D934E4"/>
    <w:rsid w:val="00D9445D"/>
    <w:rsid w:val="00D94E07"/>
    <w:rsid w:val="00D95A3E"/>
    <w:rsid w:val="00D963B9"/>
    <w:rsid w:val="00D9658C"/>
    <w:rsid w:val="00D9682A"/>
    <w:rsid w:val="00D96B00"/>
    <w:rsid w:val="00D9709B"/>
    <w:rsid w:val="00D9753D"/>
    <w:rsid w:val="00DA0CAF"/>
    <w:rsid w:val="00DA17F4"/>
    <w:rsid w:val="00DA1D8B"/>
    <w:rsid w:val="00DA233E"/>
    <w:rsid w:val="00DA2D0C"/>
    <w:rsid w:val="00DA2DA8"/>
    <w:rsid w:val="00DA2ECB"/>
    <w:rsid w:val="00DA2FE4"/>
    <w:rsid w:val="00DA34FE"/>
    <w:rsid w:val="00DA386E"/>
    <w:rsid w:val="00DA3B02"/>
    <w:rsid w:val="00DA3D1B"/>
    <w:rsid w:val="00DA40E6"/>
    <w:rsid w:val="00DA42CC"/>
    <w:rsid w:val="00DA4676"/>
    <w:rsid w:val="00DA483C"/>
    <w:rsid w:val="00DA49EC"/>
    <w:rsid w:val="00DA6B30"/>
    <w:rsid w:val="00DA6D75"/>
    <w:rsid w:val="00DA7158"/>
    <w:rsid w:val="00DA7849"/>
    <w:rsid w:val="00DB00EB"/>
    <w:rsid w:val="00DB0213"/>
    <w:rsid w:val="00DB1B0E"/>
    <w:rsid w:val="00DB1CB5"/>
    <w:rsid w:val="00DB1E5D"/>
    <w:rsid w:val="00DB2C83"/>
    <w:rsid w:val="00DB2E24"/>
    <w:rsid w:val="00DB347C"/>
    <w:rsid w:val="00DB385A"/>
    <w:rsid w:val="00DB3DC5"/>
    <w:rsid w:val="00DB4210"/>
    <w:rsid w:val="00DB4372"/>
    <w:rsid w:val="00DB52CF"/>
    <w:rsid w:val="00DB5BE5"/>
    <w:rsid w:val="00DB5DEF"/>
    <w:rsid w:val="00DB666B"/>
    <w:rsid w:val="00DC0E90"/>
    <w:rsid w:val="00DC1825"/>
    <w:rsid w:val="00DC1D4D"/>
    <w:rsid w:val="00DC41B2"/>
    <w:rsid w:val="00DC445F"/>
    <w:rsid w:val="00DC47B5"/>
    <w:rsid w:val="00DC599B"/>
    <w:rsid w:val="00DC5AB5"/>
    <w:rsid w:val="00DC61EE"/>
    <w:rsid w:val="00DC61F4"/>
    <w:rsid w:val="00DC66DF"/>
    <w:rsid w:val="00DC6942"/>
    <w:rsid w:val="00DC696F"/>
    <w:rsid w:val="00DC6A37"/>
    <w:rsid w:val="00DC6BB0"/>
    <w:rsid w:val="00DC7562"/>
    <w:rsid w:val="00DD03C5"/>
    <w:rsid w:val="00DD0490"/>
    <w:rsid w:val="00DD05E6"/>
    <w:rsid w:val="00DD0A0D"/>
    <w:rsid w:val="00DD0E6C"/>
    <w:rsid w:val="00DD174F"/>
    <w:rsid w:val="00DD1EAE"/>
    <w:rsid w:val="00DD23DB"/>
    <w:rsid w:val="00DD267E"/>
    <w:rsid w:val="00DD2D9D"/>
    <w:rsid w:val="00DD30E0"/>
    <w:rsid w:val="00DD3E0A"/>
    <w:rsid w:val="00DD3E4E"/>
    <w:rsid w:val="00DD4102"/>
    <w:rsid w:val="00DD4762"/>
    <w:rsid w:val="00DD48A4"/>
    <w:rsid w:val="00DD4C6E"/>
    <w:rsid w:val="00DD5715"/>
    <w:rsid w:val="00DD5B84"/>
    <w:rsid w:val="00DD68ED"/>
    <w:rsid w:val="00DD715D"/>
    <w:rsid w:val="00DD7D5B"/>
    <w:rsid w:val="00DE0161"/>
    <w:rsid w:val="00DE1EAC"/>
    <w:rsid w:val="00DE2344"/>
    <w:rsid w:val="00DE2577"/>
    <w:rsid w:val="00DE2D4D"/>
    <w:rsid w:val="00DE33A3"/>
    <w:rsid w:val="00DE395B"/>
    <w:rsid w:val="00DE47F7"/>
    <w:rsid w:val="00DE4B19"/>
    <w:rsid w:val="00DE6337"/>
    <w:rsid w:val="00DE6648"/>
    <w:rsid w:val="00DE6B54"/>
    <w:rsid w:val="00DE6C98"/>
    <w:rsid w:val="00DE75C4"/>
    <w:rsid w:val="00DE7D8D"/>
    <w:rsid w:val="00DF18B7"/>
    <w:rsid w:val="00DF1B43"/>
    <w:rsid w:val="00DF1CE8"/>
    <w:rsid w:val="00DF224A"/>
    <w:rsid w:val="00DF2512"/>
    <w:rsid w:val="00DF31AB"/>
    <w:rsid w:val="00DF39EF"/>
    <w:rsid w:val="00DF3BEA"/>
    <w:rsid w:val="00DF3D41"/>
    <w:rsid w:val="00DF4B81"/>
    <w:rsid w:val="00DF4EBE"/>
    <w:rsid w:val="00DF5158"/>
    <w:rsid w:val="00DF5538"/>
    <w:rsid w:val="00DF5BF1"/>
    <w:rsid w:val="00DF6634"/>
    <w:rsid w:val="00DF6792"/>
    <w:rsid w:val="00DF6B15"/>
    <w:rsid w:val="00DF6E4E"/>
    <w:rsid w:val="00E01FD6"/>
    <w:rsid w:val="00E026E8"/>
    <w:rsid w:val="00E03049"/>
    <w:rsid w:val="00E0348D"/>
    <w:rsid w:val="00E034CE"/>
    <w:rsid w:val="00E0374B"/>
    <w:rsid w:val="00E04823"/>
    <w:rsid w:val="00E04E50"/>
    <w:rsid w:val="00E05164"/>
    <w:rsid w:val="00E064E0"/>
    <w:rsid w:val="00E066D9"/>
    <w:rsid w:val="00E068C0"/>
    <w:rsid w:val="00E06B0D"/>
    <w:rsid w:val="00E06B89"/>
    <w:rsid w:val="00E06EC7"/>
    <w:rsid w:val="00E070E9"/>
    <w:rsid w:val="00E10284"/>
    <w:rsid w:val="00E10AC1"/>
    <w:rsid w:val="00E10ADE"/>
    <w:rsid w:val="00E10AFB"/>
    <w:rsid w:val="00E10E1B"/>
    <w:rsid w:val="00E12DC1"/>
    <w:rsid w:val="00E12E30"/>
    <w:rsid w:val="00E13602"/>
    <w:rsid w:val="00E13E47"/>
    <w:rsid w:val="00E13F11"/>
    <w:rsid w:val="00E145DA"/>
    <w:rsid w:val="00E14BA0"/>
    <w:rsid w:val="00E150BE"/>
    <w:rsid w:val="00E15886"/>
    <w:rsid w:val="00E1675B"/>
    <w:rsid w:val="00E169AB"/>
    <w:rsid w:val="00E16F6F"/>
    <w:rsid w:val="00E17087"/>
    <w:rsid w:val="00E1710D"/>
    <w:rsid w:val="00E17707"/>
    <w:rsid w:val="00E17B9A"/>
    <w:rsid w:val="00E17BBA"/>
    <w:rsid w:val="00E17EA8"/>
    <w:rsid w:val="00E17F0B"/>
    <w:rsid w:val="00E2046C"/>
    <w:rsid w:val="00E20949"/>
    <w:rsid w:val="00E20A27"/>
    <w:rsid w:val="00E21B80"/>
    <w:rsid w:val="00E220BF"/>
    <w:rsid w:val="00E222F9"/>
    <w:rsid w:val="00E22C11"/>
    <w:rsid w:val="00E22E25"/>
    <w:rsid w:val="00E234FD"/>
    <w:rsid w:val="00E2350D"/>
    <w:rsid w:val="00E2360A"/>
    <w:rsid w:val="00E23E8A"/>
    <w:rsid w:val="00E242F4"/>
    <w:rsid w:val="00E25D6A"/>
    <w:rsid w:val="00E2619A"/>
    <w:rsid w:val="00E2620D"/>
    <w:rsid w:val="00E263A3"/>
    <w:rsid w:val="00E271BC"/>
    <w:rsid w:val="00E273BF"/>
    <w:rsid w:val="00E27DF1"/>
    <w:rsid w:val="00E31C12"/>
    <w:rsid w:val="00E31F36"/>
    <w:rsid w:val="00E32A4D"/>
    <w:rsid w:val="00E32B4F"/>
    <w:rsid w:val="00E32B8E"/>
    <w:rsid w:val="00E32FE2"/>
    <w:rsid w:val="00E3360B"/>
    <w:rsid w:val="00E341BB"/>
    <w:rsid w:val="00E346F0"/>
    <w:rsid w:val="00E34738"/>
    <w:rsid w:val="00E35307"/>
    <w:rsid w:val="00E357AA"/>
    <w:rsid w:val="00E357D9"/>
    <w:rsid w:val="00E3621E"/>
    <w:rsid w:val="00E36796"/>
    <w:rsid w:val="00E36E37"/>
    <w:rsid w:val="00E37218"/>
    <w:rsid w:val="00E37376"/>
    <w:rsid w:val="00E41B7B"/>
    <w:rsid w:val="00E42342"/>
    <w:rsid w:val="00E423D3"/>
    <w:rsid w:val="00E4285D"/>
    <w:rsid w:val="00E42E90"/>
    <w:rsid w:val="00E431A5"/>
    <w:rsid w:val="00E43221"/>
    <w:rsid w:val="00E440FE"/>
    <w:rsid w:val="00E445C4"/>
    <w:rsid w:val="00E44889"/>
    <w:rsid w:val="00E44E93"/>
    <w:rsid w:val="00E45B2D"/>
    <w:rsid w:val="00E4728F"/>
    <w:rsid w:val="00E475BD"/>
    <w:rsid w:val="00E47963"/>
    <w:rsid w:val="00E51519"/>
    <w:rsid w:val="00E5181F"/>
    <w:rsid w:val="00E5200C"/>
    <w:rsid w:val="00E52868"/>
    <w:rsid w:val="00E528C1"/>
    <w:rsid w:val="00E528FF"/>
    <w:rsid w:val="00E534CF"/>
    <w:rsid w:val="00E537FE"/>
    <w:rsid w:val="00E54141"/>
    <w:rsid w:val="00E5489F"/>
    <w:rsid w:val="00E5506A"/>
    <w:rsid w:val="00E552DB"/>
    <w:rsid w:val="00E55326"/>
    <w:rsid w:val="00E5630B"/>
    <w:rsid w:val="00E5678F"/>
    <w:rsid w:val="00E56E74"/>
    <w:rsid w:val="00E57704"/>
    <w:rsid w:val="00E57822"/>
    <w:rsid w:val="00E57C2C"/>
    <w:rsid w:val="00E60667"/>
    <w:rsid w:val="00E60938"/>
    <w:rsid w:val="00E60B60"/>
    <w:rsid w:val="00E60C95"/>
    <w:rsid w:val="00E6142D"/>
    <w:rsid w:val="00E614F2"/>
    <w:rsid w:val="00E61934"/>
    <w:rsid w:val="00E621CA"/>
    <w:rsid w:val="00E624F0"/>
    <w:rsid w:val="00E627DC"/>
    <w:rsid w:val="00E637A2"/>
    <w:rsid w:val="00E641B6"/>
    <w:rsid w:val="00E649E2"/>
    <w:rsid w:val="00E65594"/>
    <w:rsid w:val="00E65FF8"/>
    <w:rsid w:val="00E661C7"/>
    <w:rsid w:val="00E66308"/>
    <w:rsid w:val="00E66687"/>
    <w:rsid w:val="00E6725C"/>
    <w:rsid w:val="00E673A0"/>
    <w:rsid w:val="00E70407"/>
    <w:rsid w:val="00E7091A"/>
    <w:rsid w:val="00E71D29"/>
    <w:rsid w:val="00E71D5B"/>
    <w:rsid w:val="00E71E72"/>
    <w:rsid w:val="00E72351"/>
    <w:rsid w:val="00E728E6"/>
    <w:rsid w:val="00E72E7B"/>
    <w:rsid w:val="00E7365C"/>
    <w:rsid w:val="00E73DED"/>
    <w:rsid w:val="00E755F8"/>
    <w:rsid w:val="00E7649F"/>
    <w:rsid w:val="00E7739A"/>
    <w:rsid w:val="00E778F2"/>
    <w:rsid w:val="00E77A1F"/>
    <w:rsid w:val="00E77A2B"/>
    <w:rsid w:val="00E77A89"/>
    <w:rsid w:val="00E77EA3"/>
    <w:rsid w:val="00E8053A"/>
    <w:rsid w:val="00E809F8"/>
    <w:rsid w:val="00E82DEA"/>
    <w:rsid w:val="00E83033"/>
    <w:rsid w:val="00E831EE"/>
    <w:rsid w:val="00E8364F"/>
    <w:rsid w:val="00E836A6"/>
    <w:rsid w:val="00E841FF"/>
    <w:rsid w:val="00E84467"/>
    <w:rsid w:val="00E8489B"/>
    <w:rsid w:val="00E84DD1"/>
    <w:rsid w:val="00E84FB1"/>
    <w:rsid w:val="00E855FC"/>
    <w:rsid w:val="00E8563B"/>
    <w:rsid w:val="00E85E46"/>
    <w:rsid w:val="00E85F0F"/>
    <w:rsid w:val="00E86474"/>
    <w:rsid w:val="00E868B0"/>
    <w:rsid w:val="00E87976"/>
    <w:rsid w:val="00E909F2"/>
    <w:rsid w:val="00E91CBF"/>
    <w:rsid w:val="00E92550"/>
    <w:rsid w:val="00E934EF"/>
    <w:rsid w:val="00E93D73"/>
    <w:rsid w:val="00E94D2E"/>
    <w:rsid w:val="00E9544E"/>
    <w:rsid w:val="00E957BA"/>
    <w:rsid w:val="00E95B7A"/>
    <w:rsid w:val="00E9609E"/>
    <w:rsid w:val="00E96274"/>
    <w:rsid w:val="00E963A3"/>
    <w:rsid w:val="00E964C0"/>
    <w:rsid w:val="00E966AA"/>
    <w:rsid w:val="00E97148"/>
    <w:rsid w:val="00EA06D5"/>
    <w:rsid w:val="00EA106B"/>
    <w:rsid w:val="00EA11AF"/>
    <w:rsid w:val="00EA21F3"/>
    <w:rsid w:val="00EA2AD5"/>
    <w:rsid w:val="00EA2FBC"/>
    <w:rsid w:val="00EA3610"/>
    <w:rsid w:val="00EA3E89"/>
    <w:rsid w:val="00EA42B0"/>
    <w:rsid w:val="00EA459F"/>
    <w:rsid w:val="00EA4B41"/>
    <w:rsid w:val="00EA4ED4"/>
    <w:rsid w:val="00EA57AE"/>
    <w:rsid w:val="00EA5A69"/>
    <w:rsid w:val="00EA5F81"/>
    <w:rsid w:val="00EA6045"/>
    <w:rsid w:val="00EA6484"/>
    <w:rsid w:val="00EA7759"/>
    <w:rsid w:val="00EA7C29"/>
    <w:rsid w:val="00EB0180"/>
    <w:rsid w:val="00EB15AD"/>
    <w:rsid w:val="00EB3293"/>
    <w:rsid w:val="00EB40D2"/>
    <w:rsid w:val="00EB4BC6"/>
    <w:rsid w:val="00EB6329"/>
    <w:rsid w:val="00EB6FAA"/>
    <w:rsid w:val="00EB7332"/>
    <w:rsid w:val="00EC0134"/>
    <w:rsid w:val="00EC01E4"/>
    <w:rsid w:val="00EC03D6"/>
    <w:rsid w:val="00EC07BA"/>
    <w:rsid w:val="00EC0801"/>
    <w:rsid w:val="00EC126C"/>
    <w:rsid w:val="00EC14EF"/>
    <w:rsid w:val="00EC1AE4"/>
    <w:rsid w:val="00EC2D6A"/>
    <w:rsid w:val="00EC35CA"/>
    <w:rsid w:val="00EC3A48"/>
    <w:rsid w:val="00EC42D5"/>
    <w:rsid w:val="00EC49E0"/>
    <w:rsid w:val="00EC5708"/>
    <w:rsid w:val="00EC70E8"/>
    <w:rsid w:val="00EC7775"/>
    <w:rsid w:val="00EC7956"/>
    <w:rsid w:val="00ED18E6"/>
    <w:rsid w:val="00ED2082"/>
    <w:rsid w:val="00ED25F1"/>
    <w:rsid w:val="00ED29F2"/>
    <w:rsid w:val="00ED2A87"/>
    <w:rsid w:val="00ED2CE3"/>
    <w:rsid w:val="00ED3003"/>
    <w:rsid w:val="00ED3B99"/>
    <w:rsid w:val="00ED4BE8"/>
    <w:rsid w:val="00ED4CA3"/>
    <w:rsid w:val="00ED4FF9"/>
    <w:rsid w:val="00ED506B"/>
    <w:rsid w:val="00ED5FD7"/>
    <w:rsid w:val="00ED687F"/>
    <w:rsid w:val="00ED6F68"/>
    <w:rsid w:val="00ED7C9C"/>
    <w:rsid w:val="00EE02DE"/>
    <w:rsid w:val="00EE1274"/>
    <w:rsid w:val="00EE1501"/>
    <w:rsid w:val="00EE15C4"/>
    <w:rsid w:val="00EE18F4"/>
    <w:rsid w:val="00EE2BB0"/>
    <w:rsid w:val="00EE44B0"/>
    <w:rsid w:val="00EE4E0E"/>
    <w:rsid w:val="00EE6491"/>
    <w:rsid w:val="00EE6930"/>
    <w:rsid w:val="00EE6B26"/>
    <w:rsid w:val="00EE6C33"/>
    <w:rsid w:val="00EE6F1C"/>
    <w:rsid w:val="00EE7155"/>
    <w:rsid w:val="00EE7413"/>
    <w:rsid w:val="00EE786F"/>
    <w:rsid w:val="00EE7B91"/>
    <w:rsid w:val="00EF0246"/>
    <w:rsid w:val="00EF09AF"/>
    <w:rsid w:val="00EF1399"/>
    <w:rsid w:val="00EF1EDE"/>
    <w:rsid w:val="00EF2925"/>
    <w:rsid w:val="00EF3503"/>
    <w:rsid w:val="00EF3E00"/>
    <w:rsid w:val="00EF41AB"/>
    <w:rsid w:val="00EF4FFC"/>
    <w:rsid w:val="00EF5DB1"/>
    <w:rsid w:val="00EF6456"/>
    <w:rsid w:val="00EF64AB"/>
    <w:rsid w:val="00EF65E0"/>
    <w:rsid w:val="00EF6969"/>
    <w:rsid w:val="00EF69BE"/>
    <w:rsid w:val="00EF7789"/>
    <w:rsid w:val="00EF779F"/>
    <w:rsid w:val="00F00127"/>
    <w:rsid w:val="00F0070A"/>
    <w:rsid w:val="00F00AD7"/>
    <w:rsid w:val="00F025B8"/>
    <w:rsid w:val="00F02B7D"/>
    <w:rsid w:val="00F032BA"/>
    <w:rsid w:val="00F04713"/>
    <w:rsid w:val="00F0549A"/>
    <w:rsid w:val="00F05E49"/>
    <w:rsid w:val="00F0610A"/>
    <w:rsid w:val="00F06907"/>
    <w:rsid w:val="00F0747D"/>
    <w:rsid w:val="00F077E6"/>
    <w:rsid w:val="00F07D11"/>
    <w:rsid w:val="00F115C2"/>
    <w:rsid w:val="00F11C42"/>
    <w:rsid w:val="00F1267B"/>
    <w:rsid w:val="00F12B67"/>
    <w:rsid w:val="00F131C4"/>
    <w:rsid w:val="00F135A9"/>
    <w:rsid w:val="00F138D0"/>
    <w:rsid w:val="00F13AD9"/>
    <w:rsid w:val="00F14034"/>
    <w:rsid w:val="00F140B0"/>
    <w:rsid w:val="00F140EB"/>
    <w:rsid w:val="00F149DA"/>
    <w:rsid w:val="00F1595D"/>
    <w:rsid w:val="00F15B36"/>
    <w:rsid w:val="00F164E8"/>
    <w:rsid w:val="00F16E23"/>
    <w:rsid w:val="00F17A42"/>
    <w:rsid w:val="00F20257"/>
    <w:rsid w:val="00F20EAF"/>
    <w:rsid w:val="00F21609"/>
    <w:rsid w:val="00F224C7"/>
    <w:rsid w:val="00F22C2C"/>
    <w:rsid w:val="00F23449"/>
    <w:rsid w:val="00F242A2"/>
    <w:rsid w:val="00F24373"/>
    <w:rsid w:val="00F246C8"/>
    <w:rsid w:val="00F25056"/>
    <w:rsid w:val="00F253A6"/>
    <w:rsid w:val="00F25C8F"/>
    <w:rsid w:val="00F25CC5"/>
    <w:rsid w:val="00F260FF"/>
    <w:rsid w:val="00F26629"/>
    <w:rsid w:val="00F273CC"/>
    <w:rsid w:val="00F2745D"/>
    <w:rsid w:val="00F27D34"/>
    <w:rsid w:val="00F27D4F"/>
    <w:rsid w:val="00F27EE8"/>
    <w:rsid w:val="00F30DDB"/>
    <w:rsid w:val="00F3113C"/>
    <w:rsid w:val="00F31656"/>
    <w:rsid w:val="00F32471"/>
    <w:rsid w:val="00F3251C"/>
    <w:rsid w:val="00F33301"/>
    <w:rsid w:val="00F334E8"/>
    <w:rsid w:val="00F33739"/>
    <w:rsid w:val="00F33846"/>
    <w:rsid w:val="00F34399"/>
    <w:rsid w:val="00F35276"/>
    <w:rsid w:val="00F355FB"/>
    <w:rsid w:val="00F361E0"/>
    <w:rsid w:val="00F3641C"/>
    <w:rsid w:val="00F364A2"/>
    <w:rsid w:val="00F36BC1"/>
    <w:rsid w:val="00F37B51"/>
    <w:rsid w:val="00F402DF"/>
    <w:rsid w:val="00F41337"/>
    <w:rsid w:val="00F413BD"/>
    <w:rsid w:val="00F41780"/>
    <w:rsid w:val="00F41BD2"/>
    <w:rsid w:val="00F422CD"/>
    <w:rsid w:val="00F43E34"/>
    <w:rsid w:val="00F44834"/>
    <w:rsid w:val="00F44CB4"/>
    <w:rsid w:val="00F44EF5"/>
    <w:rsid w:val="00F45416"/>
    <w:rsid w:val="00F46472"/>
    <w:rsid w:val="00F46807"/>
    <w:rsid w:val="00F46FC3"/>
    <w:rsid w:val="00F479F6"/>
    <w:rsid w:val="00F50219"/>
    <w:rsid w:val="00F505D3"/>
    <w:rsid w:val="00F516C5"/>
    <w:rsid w:val="00F51D28"/>
    <w:rsid w:val="00F52E81"/>
    <w:rsid w:val="00F532A9"/>
    <w:rsid w:val="00F53BAD"/>
    <w:rsid w:val="00F5462F"/>
    <w:rsid w:val="00F547BC"/>
    <w:rsid w:val="00F558BB"/>
    <w:rsid w:val="00F55E19"/>
    <w:rsid w:val="00F57476"/>
    <w:rsid w:val="00F574E5"/>
    <w:rsid w:val="00F6026A"/>
    <w:rsid w:val="00F606CD"/>
    <w:rsid w:val="00F607DB"/>
    <w:rsid w:val="00F61B54"/>
    <w:rsid w:val="00F61F0F"/>
    <w:rsid w:val="00F651C1"/>
    <w:rsid w:val="00F66939"/>
    <w:rsid w:val="00F66FCD"/>
    <w:rsid w:val="00F671EE"/>
    <w:rsid w:val="00F67784"/>
    <w:rsid w:val="00F67FA0"/>
    <w:rsid w:val="00F67FB2"/>
    <w:rsid w:val="00F700CD"/>
    <w:rsid w:val="00F709D7"/>
    <w:rsid w:val="00F70EEA"/>
    <w:rsid w:val="00F715F6"/>
    <w:rsid w:val="00F71F4F"/>
    <w:rsid w:val="00F731D4"/>
    <w:rsid w:val="00F732CD"/>
    <w:rsid w:val="00F73853"/>
    <w:rsid w:val="00F73CCC"/>
    <w:rsid w:val="00F73E9C"/>
    <w:rsid w:val="00F7522F"/>
    <w:rsid w:val="00F75555"/>
    <w:rsid w:val="00F7569A"/>
    <w:rsid w:val="00F763EA"/>
    <w:rsid w:val="00F76746"/>
    <w:rsid w:val="00F77450"/>
    <w:rsid w:val="00F80E89"/>
    <w:rsid w:val="00F81687"/>
    <w:rsid w:val="00F81AEA"/>
    <w:rsid w:val="00F830F4"/>
    <w:rsid w:val="00F8348C"/>
    <w:rsid w:val="00F83670"/>
    <w:rsid w:val="00F83821"/>
    <w:rsid w:val="00F84064"/>
    <w:rsid w:val="00F841A2"/>
    <w:rsid w:val="00F84515"/>
    <w:rsid w:val="00F84DF3"/>
    <w:rsid w:val="00F84EA6"/>
    <w:rsid w:val="00F84F7D"/>
    <w:rsid w:val="00F851B0"/>
    <w:rsid w:val="00F86115"/>
    <w:rsid w:val="00F86186"/>
    <w:rsid w:val="00F8634F"/>
    <w:rsid w:val="00F86490"/>
    <w:rsid w:val="00F86DA7"/>
    <w:rsid w:val="00F87203"/>
    <w:rsid w:val="00F87E2C"/>
    <w:rsid w:val="00F87FA6"/>
    <w:rsid w:val="00F90025"/>
    <w:rsid w:val="00F903A3"/>
    <w:rsid w:val="00F903A5"/>
    <w:rsid w:val="00F90D2B"/>
    <w:rsid w:val="00F90DC9"/>
    <w:rsid w:val="00F91C0B"/>
    <w:rsid w:val="00F91DED"/>
    <w:rsid w:val="00F9231F"/>
    <w:rsid w:val="00F935FA"/>
    <w:rsid w:val="00F93946"/>
    <w:rsid w:val="00F948F6"/>
    <w:rsid w:val="00F94C73"/>
    <w:rsid w:val="00F94CFB"/>
    <w:rsid w:val="00F94D6D"/>
    <w:rsid w:val="00F95050"/>
    <w:rsid w:val="00F9558C"/>
    <w:rsid w:val="00F95B70"/>
    <w:rsid w:val="00F95D54"/>
    <w:rsid w:val="00F96305"/>
    <w:rsid w:val="00F968DD"/>
    <w:rsid w:val="00F96C7E"/>
    <w:rsid w:val="00F97278"/>
    <w:rsid w:val="00FA00AD"/>
    <w:rsid w:val="00FA034B"/>
    <w:rsid w:val="00FA186A"/>
    <w:rsid w:val="00FA1943"/>
    <w:rsid w:val="00FA23FC"/>
    <w:rsid w:val="00FA3750"/>
    <w:rsid w:val="00FA3826"/>
    <w:rsid w:val="00FA4B2F"/>
    <w:rsid w:val="00FA4F06"/>
    <w:rsid w:val="00FA556C"/>
    <w:rsid w:val="00FA5924"/>
    <w:rsid w:val="00FA5A8B"/>
    <w:rsid w:val="00FA5D26"/>
    <w:rsid w:val="00FA7754"/>
    <w:rsid w:val="00FB03F1"/>
    <w:rsid w:val="00FB07A4"/>
    <w:rsid w:val="00FB081A"/>
    <w:rsid w:val="00FB0F87"/>
    <w:rsid w:val="00FB152C"/>
    <w:rsid w:val="00FB2CF4"/>
    <w:rsid w:val="00FB3464"/>
    <w:rsid w:val="00FB44EC"/>
    <w:rsid w:val="00FB57E7"/>
    <w:rsid w:val="00FB59D2"/>
    <w:rsid w:val="00FB6C30"/>
    <w:rsid w:val="00FB792F"/>
    <w:rsid w:val="00FC00C8"/>
    <w:rsid w:val="00FC08AF"/>
    <w:rsid w:val="00FC1136"/>
    <w:rsid w:val="00FC1569"/>
    <w:rsid w:val="00FC29CC"/>
    <w:rsid w:val="00FC2D82"/>
    <w:rsid w:val="00FC2F10"/>
    <w:rsid w:val="00FC31FE"/>
    <w:rsid w:val="00FC3ABA"/>
    <w:rsid w:val="00FC3E74"/>
    <w:rsid w:val="00FC40AC"/>
    <w:rsid w:val="00FC449C"/>
    <w:rsid w:val="00FC4BBF"/>
    <w:rsid w:val="00FC4D24"/>
    <w:rsid w:val="00FC4F26"/>
    <w:rsid w:val="00FC51F9"/>
    <w:rsid w:val="00FC5224"/>
    <w:rsid w:val="00FC57FE"/>
    <w:rsid w:val="00FC5E08"/>
    <w:rsid w:val="00FC5EF9"/>
    <w:rsid w:val="00FC5EFB"/>
    <w:rsid w:val="00FC6757"/>
    <w:rsid w:val="00FC6999"/>
    <w:rsid w:val="00FC69E9"/>
    <w:rsid w:val="00FC797C"/>
    <w:rsid w:val="00FC79A4"/>
    <w:rsid w:val="00FD018E"/>
    <w:rsid w:val="00FD096C"/>
    <w:rsid w:val="00FD0C1E"/>
    <w:rsid w:val="00FD12DB"/>
    <w:rsid w:val="00FD1F0C"/>
    <w:rsid w:val="00FD2036"/>
    <w:rsid w:val="00FD28AE"/>
    <w:rsid w:val="00FD2C53"/>
    <w:rsid w:val="00FD3901"/>
    <w:rsid w:val="00FD3AD3"/>
    <w:rsid w:val="00FD3AF6"/>
    <w:rsid w:val="00FD408D"/>
    <w:rsid w:val="00FD4DD7"/>
    <w:rsid w:val="00FD4E15"/>
    <w:rsid w:val="00FD587B"/>
    <w:rsid w:val="00FD5A32"/>
    <w:rsid w:val="00FD5F9E"/>
    <w:rsid w:val="00FD686C"/>
    <w:rsid w:val="00FD6909"/>
    <w:rsid w:val="00FD6C8C"/>
    <w:rsid w:val="00FD7456"/>
    <w:rsid w:val="00FD76A6"/>
    <w:rsid w:val="00FE008A"/>
    <w:rsid w:val="00FE094C"/>
    <w:rsid w:val="00FE0B3C"/>
    <w:rsid w:val="00FE12FA"/>
    <w:rsid w:val="00FE196E"/>
    <w:rsid w:val="00FE1D40"/>
    <w:rsid w:val="00FE208A"/>
    <w:rsid w:val="00FE245E"/>
    <w:rsid w:val="00FE24D3"/>
    <w:rsid w:val="00FE2B35"/>
    <w:rsid w:val="00FE2F00"/>
    <w:rsid w:val="00FE318B"/>
    <w:rsid w:val="00FE31F4"/>
    <w:rsid w:val="00FE35C5"/>
    <w:rsid w:val="00FE3BCD"/>
    <w:rsid w:val="00FE3E42"/>
    <w:rsid w:val="00FE43B3"/>
    <w:rsid w:val="00FE50BB"/>
    <w:rsid w:val="00FE6270"/>
    <w:rsid w:val="00FE6BBD"/>
    <w:rsid w:val="00FE6DF6"/>
    <w:rsid w:val="00FE6E3D"/>
    <w:rsid w:val="00FE72B6"/>
    <w:rsid w:val="00FE7372"/>
    <w:rsid w:val="00FE7D7C"/>
    <w:rsid w:val="00FF013C"/>
    <w:rsid w:val="00FF148D"/>
    <w:rsid w:val="00FF199B"/>
    <w:rsid w:val="00FF1CDD"/>
    <w:rsid w:val="00FF1EB2"/>
    <w:rsid w:val="00FF2B9B"/>
    <w:rsid w:val="00FF34FD"/>
    <w:rsid w:val="00FF5193"/>
    <w:rsid w:val="00FF5410"/>
    <w:rsid w:val="00FF56AC"/>
    <w:rsid w:val="00FF59C9"/>
    <w:rsid w:val="00FF617B"/>
    <w:rsid w:val="00FF6382"/>
    <w:rsid w:val="00FF66F6"/>
    <w:rsid w:val="00FF68F2"/>
    <w:rsid w:val="00FF6A35"/>
    <w:rsid w:val="00FF6C21"/>
    <w:rsid w:val="00FF7D0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B3DE86"/>
  <w15:docId w15:val="{ED016A33-5AE0-48AE-99E6-64A31A2FB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544E"/>
    <w:pPr>
      <w:spacing w:line="240" w:lineRule="auto"/>
    </w:pPr>
    <w:rPr>
      <w:rFonts w:ascii="Times New Roman" w:hAnsi="Times New Roman" w:cs="Times New Roman"/>
      <w:sz w:val="24"/>
      <w:szCs w:val="24"/>
      <w:lang w:eastAsia="en-GB"/>
    </w:rPr>
  </w:style>
  <w:style w:type="paragraph" w:styleId="Heading1">
    <w:name w:val="heading 1"/>
    <w:basedOn w:val="Normal"/>
    <w:next w:val="Normal"/>
    <w:link w:val="Heading1Char"/>
    <w:uiPriority w:val="9"/>
    <w:qFormat/>
    <w:rsid w:val="00056842"/>
    <w:pPr>
      <w:keepNext/>
      <w:keepLines/>
      <w:pBdr>
        <w:top w:val="nil"/>
        <w:left w:val="nil"/>
        <w:bottom w:val="nil"/>
        <w:right w:val="nil"/>
        <w:between w:val="nil"/>
      </w:pBdr>
      <w:spacing w:before="60"/>
      <w:jc w:val="both"/>
      <w:outlineLvl w:val="0"/>
    </w:pPr>
    <w:rPr>
      <w:rFonts w:ascii="Arial" w:hAnsi="Arial" w:cs="Arial"/>
      <w:b/>
      <w:smallCaps/>
      <w:color w:val="000000"/>
      <w:sz w:val="32"/>
      <w:szCs w:val="32"/>
      <w:lang w:eastAsia="en-US"/>
    </w:rPr>
  </w:style>
  <w:style w:type="paragraph" w:styleId="Heading2">
    <w:name w:val="heading 2"/>
    <w:basedOn w:val="Normal"/>
    <w:next w:val="Normal"/>
    <w:link w:val="Heading2Char"/>
    <w:uiPriority w:val="9"/>
    <w:unhideWhenUsed/>
    <w:qFormat/>
    <w:rsid w:val="00997726"/>
    <w:pPr>
      <w:keepNext/>
      <w:keepLines/>
      <w:spacing w:before="360" w:after="120" w:line="276" w:lineRule="auto"/>
      <w:outlineLvl w:val="1"/>
    </w:pPr>
    <w:rPr>
      <w:rFonts w:ascii="Arial" w:hAnsi="Arial" w:cs="Arial"/>
      <w:b/>
      <w:color w:val="4F81BD" w:themeColor="accent1"/>
      <w:lang w:eastAsia="en-US"/>
    </w:rPr>
  </w:style>
  <w:style w:type="paragraph" w:styleId="Heading3">
    <w:name w:val="heading 3"/>
    <w:basedOn w:val="Normal"/>
    <w:next w:val="Normal"/>
    <w:link w:val="Heading3Char"/>
    <w:uiPriority w:val="9"/>
    <w:unhideWhenUsed/>
    <w:qFormat/>
    <w:rsid w:val="00056842"/>
    <w:pPr>
      <w:keepNext/>
      <w:keepLines/>
      <w:spacing w:before="240" w:after="240" w:line="276" w:lineRule="auto"/>
      <w:outlineLvl w:val="2"/>
    </w:pPr>
    <w:rPr>
      <w:rFonts w:ascii="Arial" w:hAnsi="Arial" w:cs="Arial"/>
      <w:b/>
      <w:color w:val="4F81BD" w:themeColor="accent1"/>
      <w:lang w:eastAsia="en-US"/>
    </w:rPr>
  </w:style>
  <w:style w:type="paragraph" w:styleId="Heading4">
    <w:name w:val="heading 4"/>
    <w:basedOn w:val="Normal"/>
    <w:next w:val="Normal"/>
    <w:link w:val="Heading4Char"/>
    <w:uiPriority w:val="9"/>
    <w:unhideWhenUsed/>
    <w:qFormat/>
    <w:rsid w:val="00337330"/>
    <w:pPr>
      <w:keepNext/>
      <w:keepLines/>
      <w:numPr>
        <w:numId w:val="109"/>
      </w:numPr>
      <w:spacing w:before="280" w:after="80" w:line="276" w:lineRule="auto"/>
      <w:outlineLvl w:val="3"/>
    </w:pPr>
    <w:rPr>
      <w:rFonts w:ascii="Arial" w:hAnsi="Arial" w:cs="Arial"/>
      <w:color w:val="4F81BD"/>
      <w:lang w:eastAsia="en-US"/>
    </w:rPr>
  </w:style>
  <w:style w:type="paragraph" w:styleId="Heading5">
    <w:name w:val="heading 5"/>
    <w:basedOn w:val="Normal"/>
    <w:next w:val="Normal"/>
    <w:uiPriority w:val="9"/>
    <w:unhideWhenUsed/>
    <w:qFormat/>
    <w:rsid w:val="002D015F"/>
    <w:pPr>
      <w:keepNext/>
      <w:keepLines/>
      <w:numPr>
        <w:numId w:val="128"/>
      </w:numPr>
      <w:spacing w:before="240" w:after="80" w:line="276" w:lineRule="auto"/>
      <w:outlineLvl w:val="4"/>
    </w:pPr>
    <w:rPr>
      <w:rFonts w:ascii="Arial" w:hAnsi="Arial" w:cs="Arial"/>
      <w:color w:val="4F81BD"/>
      <w:sz w:val="22"/>
      <w:szCs w:val="22"/>
      <w:lang w:eastAsia="en-US"/>
    </w:rPr>
  </w:style>
  <w:style w:type="paragraph" w:styleId="Heading6">
    <w:name w:val="heading 6"/>
    <w:basedOn w:val="Normal"/>
    <w:next w:val="Normal"/>
    <w:uiPriority w:val="9"/>
    <w:semiHidden/>
    <w:unhideWhenUsed/>
    <w:qFormat/>
    <w:pPr>
      <w:keepNext/>
      <w:keepLines/>
      <w:numPr>
        <w:ilvl w:val="5"/>
        <w:numId w:val="1"/>
      </w:numPr>
      <w:spacing w:before="240" w:after="80" w:line="276" w:lineRule="auto"/>
      <w:outlineLvl w:val="5"/>
    </w:pPr>
    <w:rPr>
      <w:rFonts w:ascii="Arial" w:hAnsi="Arial" w:cs="Arial"/>
      <w:i/>
      <w:color w:val="666666"/>
      <w:sz w:val="22"/>
      <w:szCs w:val="22"/>
      <w:lang w:eastAsia="en-US"/>
    </w:rPr>
  </w:style>
  <w:style w:type="paragraph" w:styleId="Heading7">
    <w:name w:val="heading 7"/>
    <w:basedOn w:val="Normal"/>
    <w:next w:val="Normal"/>
    <w:link w:val="Heading7Char"/>
    <w:uiPriority w:val="9"/>
    <w:semiHidden/>
    <w:unhideWhenUsed/>
    <w:qFormat/>
    <w:rsid w:val="00056842"/>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05684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5684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line="276" w:lineRule="auto"/>
    </w:pPr>
    <w:rPr>
      <w:rFonts w:ascii="Arial" w:hAnsi="Arial" w:cs="Arial"/>
      <w:sz w:val="52"/>
      <w:szCs w:val="52"/>
      <w:lang w:eastAsia="en-US"/>
    </w:rPr>
  </w:style>
  <w:style w:type="paragraph" w:styleId="Subtitle">
    <w:name w:val="Subtitle"/>
    <w:basedOn w:val="Normal"/>
    <w:next w:val="Normal"/>
    <w:uiPriority w:val="11"/>
    <w:qFormat/>
    <w:pPr>
      <w:keepNext/>
      <w:keepLines/>
      <w:spacing w:after="320" w:line="276" w:lineRule="auto"/>
    </w:pPr>
    <w:rPr>
      <w:rFonts w:ascii="Arial" w:hAnsi="Arial" w:cs="Arial"/>
      <w:color w:val="666666"/>
      <w:sz w:val="30"/>
      <w:szCs w:val="30"/>
      <w:lang w:eastAsia="en-US"/>
    </w:rPr>
  </w:style>
  <w:style w:type="table" w:customStyle="1" w:styleId="16">
    <w:name w:val="16"/>
    <w:basedOn w:val="TableNormal"/>
    <w:tblPr>
      <w:tblStyleRowBandSize w:val="1"/>
      <w:tblStyleColBandSize w:val="1"/>
      <w:tblCellMar>
        <w:left w:w="115" w:type="dxa"/>
        <w:right w:w="115" w:type="dxa"/>
      </w:tblCellMar>
    </w:tblPr>
  </w:style>
  <w:style w:type="table" w:customStyle="1" w:styleId="15">
    <w:name w:val="15"/>
    <w:basedOn w:val="TableNormal"/>
    <w:tblPr>
      <w:tblStyleRowBandSize w:val="1"/>
      <w:tblStyleColBandSize w:val="1"/>
      <w:tblCellMar>
        <w:top w:w="100" w:type="dxa"/>
        <w:left w:w="100" w:type="dxa"/>
        <w:bottom w:w="100" w:type="dxa"/>
        <w:right w:w="100" w:type="dxa"/>
      </w:tblCellMar>
    </w:tblPr>
  </w:style>
  <w:style w:type="table" w:customStyle="1" w:styleId="14">
    <w:name w:val="14"/>
    <w:basedOn w:val="TableNormal"/>
    <w:pPr>
      <w:spacing w:line="240" w:lineRule="auto"/>
    </w:pPr>
    <w:rPr>
      <w:rFonts w:ascii="Cambria" w:eastAsia="Cambria" w:hAnsi="Cambria" w:cs="Cambria"/>
    </w:rPr>
    <w:tblPr>
      <w:tblStyleRowBandSize w:val="1"/>
      <w:tblStyleColBandSize w:val="1"/>
      <w:tblCellMar>
        <w:left w:w="58" w:type="dxa"/>
        <w:right w:w="58" w:type="dxa"/>
      </w:tblCellMar>
    </w:tblPr>
  </w:style>
  <w:style w:type="table" w:customStyle="1" w:styleId="13">
    <w:name w:val="13"/>
    <w:basedOn w:val="TableNormal"/>
    <w:pPr>
      <w:spacing w:line="240" w:lineRule="auto"/>
    </w:pPr>
    <w:rPr>
      <w:rFonts w:ascii="Cambria" w:eastAsia="Cambria" w:hAnsi="Cambria" w:cs="Cambria"/>
    </w:rPr>
    <w:tblPr>
      <w:tblStyleRowBandSize w:val="1"/>
      <w:tblStyleColBandSize w:val="1"/>
    </w:tblPr>
  </w:style>
  <w:style w:type="table" w:customStyle="1" w:styleId="12">
    <w:name w:val="12"/>
    <w:basedOn w:val="TableNormal"/>
    <w:pPr>
      <w:spacing w:line="240" w:lineRule="auto"/>
    </w:pPr>
    <w:rPr>
      <w:rFonts w:ascii="Cambria" w:eastAsia="Cambria" w:hAnsi="Cambria" w:cs="Cambria"/>
    </w:rPr>
    <w:tblPr>
      <w:tblStyleRowBandSize w:val="1"/>
      <w:tblStyleColBandSize w:val="1"/>
    </w:tblPr>
  </w:style>
  <w:style w:type="table" w:customStyle="1" w:styleId="11">
    <w:name w:val="11"/>
    <w:basedOn w:val="TableNormal"/>
    <w:pPr>
      <w:spacing w:line="240" w:lineRule="auto"/>
    </w:pPr>
    <w:rPr>
      <w:rFonts w:ascii="Cambria" w:eastAsia="Cambria" w:hAnsi="Cambria" w:cs="Cambria"/>
    </w:rPr>
    <w:tblPr>
      <w:tblStyleRowBandSize w:val="1"/>
      <w:tblStyleColBandSize w:val="1"/>
    </w:tblPr>
  </w:style>
  <w:style w:type="table" w:customStyle="1" w:styleId="10">
    <w:name w:val="10"/>
    <w:basedOn w:val="TableNormal"/>
    <w:pPr>
      <w:spacing w:line="240" w:lineRule="auto"/>
    </w:pPr>
    <w:rPr>
      <w:rFonts w:ascii="Cambria" w:eastAsia="Cambria" w:hAnsi="Cambria" w:cs="Cambria"/>
    </w:rPr>
    <w:tblPr>
      <w:tblStyleRowBandSize w:val="1"/>
      <w:tblStyleColBandSize w:val="1"/>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pPr>
      <w:spacing w:line="240" w:lineRule="auto"/>
    </w:pPr>
    <w:rPr>
      <w:rFonts w:ascii="Cambria" w:eastAsia="Cambria" w:hAnsi="Cambria" w:cs="Cambria"/>
    </w:rPr>
    <w:tblPr>
      <w:tblStyleRowBandSize w:val="1"/>
      <w:tblStyleColBandSize w:val="1"/>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line="240" w:lineRule="auto"/>
    </w:pPr>
    <w:rPr>
      <w:rFonts w:ascii="Cambria" w:eastAsia="Cambria" w:hAnsi="Cambria" w:cs="Cambria"/>
    </w:rPr>
    <w:tblPr>
      <w:tblStyleRowBandSize w:val="1"/>
      <w:tblStyleColBandSize w:val="1"/>
    </w:tblPr>
  </w:style>
  <w:style w:type="table" w:customStyle="1" w:styleId="5">
    <w:name w:val="5"/>
    <w:basedOn w:val="TableNormal"/>
    <w:pPr>
      <w:spacing w:line="240" w:lineRule="auto"/>
    </w:pPr>
    <w:rPr>
      <w:rFonts w:ascii="Cambria" w:eastAsia="Cambria" w:hAnsi="Cambria" w:cs="Cambria"/>
    </w:rPr>
    <w:tblPr>
      <w:tblStyleRowBandSize w:val="1"/>
      <w:tblStyleColBandSize w:val="1"/>
    </w:tblPr>
  </w:style>
  <w:style w:type="table" w:customStyle="1" w:styleId="4">
    <w:name w:val="4"/>
    <w:basedOn w:val="TableNormal"/>
    <w:tblPr>
      <w:tblStyleRowBandSize w:val="1"/>
      <w:tblStyleColBandSize w:val="1"/>
      <w:tblCellMar>
        <w:top w:w="100" w:type="dxa"/>
        <w:left w:w="100" w:type="dxa"/>
        <w:bottom w:w="100" w:type="dxa"/>
        <w:right w:w="100" w:type="dxa"/>
      </w:tblCellMar>
    </w:tblPr>
  </w:style>
  <w:style w:type="table" w:customStyle="1" w:styleId="3">
    <w:name w:val="3"/>
    <w:basedOn w:val="TableNormal"/>
    <w:tblPr>
      <w:tblStyleRowBandSize w:val="1"/>
      <w:tblStyleColBandSize w:val="1"/>
      <w:tblCellMar>
        <w:top w:w="100" w:type="dxa"/>
        <w:left w:w="100" w:type="dxa"/>
        <w:bottom w:w="100" w:type="dxa"/>
        <w:right w:w="100"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rFonts w:ascii="Arial" w:hAnsi="Arial" w:cs="Arial"/>
      <w:sz w:val="20"/>
      <w:szCs w:val="20"/>
      <w:lang w:eastAsia="en-US"/>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3648D5"/>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3648D5"/>
    <w:rPr>
      <w:rFonts w:ascii="Segoe UI" w:hAnsi="Segoe UI" w:cs="Segoe UI"/>
      <w:sz w:val="18"/>
      <w:szCs w:val="18"/>
    </w:rPr>
  </w:style>
  <w:style w:type="paragraph" w:styleId="ListParagraph">
    <w:name w:val="List Paragraph"/>
    <w:aliases w:val="IBL List Paragraph,Indent Paragraph,Citation List,List Paragraph Char Char,List Paragraph1,Graphic,Table of contents numbered,Resume Title,Lapis Bulleted List,List Paragraph (numbered (a)),Bullet Points,Liste Paragraf,AJ- List1,Ha,Bullet1"/>
    <w:basedOn w:val="Normal"/>
    <w:link w:val="ListParagraphChar"/>
    <w:uiPriority w:val="34"/>
    <w:qFormat/>
    <w:rsid w:val="00B012C9"/>
    <w:pPr>
      <w:spacing w:line="276" w:lineRule="auto"/>
      <w:ind w:left="720"/>
      <w:contextualSpacing/>
    </w:pPr>
    <w:rPr>
      <w:rFonts w:ascii="Arial" w:hAnsi="Arial" w:cs="Arial"/>
      <w:sz w:val="22"/>
      <w:szCs w:val="22"/>
      <w:lang w:eastAsia="en-US"/>
    </w:rPr>
  </w:style>
  <w:style w:type="character" w:customStyle="1" w:styleId="ListParagraphChar">
    <w:name w:val="List Paragraph Char"/>
    <w:aliases w:val="IBL List Paragraph Char,Indent Paragraph Char,Citation List Char,List Paragraph Char Char Char,List Paragraph1 Char,Graphic Char,Table of contents numbered Char,Resume Title Char,Lapis Bulleted List Char,Bullet Points Char,Ha Char"/>
    <w:link w:val="ListParagraph"/>
    <w:uiPriority w:val="34"/>
    <w:qFormat/>
    <w:locked/>
    <w:rsid w:val="00B03DE9"/>
  </w:style>
  <w:style w:type="paragraph" w:styleId="CommentSubject">
    <w:name w:val="annotation subject"/>
    <w:basedOn w:val="CommentText"/>
    <w:next w:val="CommentText"/>
    <w:link w:val="CommentSubjectChar"/>
    <w:uiPriority w:val="99"/>
    <w:semiHidden/>
    <w:unhideWhenUsed/>
    <w:rsid w:val="00B03DE9"/>
    <w:rPr>
      <w:b/>
      <w:bCs/>
    </w:rPr>
  </w:style>
  <w:style w:type="character" w:customStyle="1" w:styleId="CommentSubjectChar">
    <w:name w:val="Comment Subject Char"/>
    <w:basedOn w:val="CommentTextChar"/>
    <w:link w:val="CommentSubject"/>
    <w:uiPriority w:val="99"/>
    <w:semiHidden/>
    <w:rsid w:val="00B03DE9"/>
    <w:rPr>
      <w:b/>
      <w:bCs/>
      <w:sz w:val="20"/>
      <w:szCs w:val="20"/>
    </w:rPr>
  </w:style>
  <w:style w:type="table" w:customStyle="1" w:styleId="Tabellenraster1">
    <w:name w:val="Tabellenraster1"/>
    <w:basedOn w:val="TableNormal"/>
    <w:next w:val="TableGrid"/>
    <w:uiPriority w:val="39"/>
    <w:rsid w:val="00D32FC4"/>
    <w:pPr>
      <w:keepNext/>
      <w:suppressAutoHyphens/>
      <w:spacing w:before="120" w:line="240" w:lineRule="auto"/>
      <w:jc w:val="both"/>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 1,Test,TabelEcorys"/>
    <w:basedOn w:val="TableNormal"/>
    <w:uiPriority w:val="39"/>
    <w:rsid w:val="00D32FC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ft,Footnote Text Char1,Footnote Text Char2 Char,Footnote Text Char1 Char Char,Footnote Text Char2 Char Char Char,Footnote Text Char1 Char Char Char Char,Footnote Text Char2 Char Char Char Char Char,ALTS FOOTNOTE,Fußnotentextf"/>
    <w:basedOn w:val="Normal"/>
    <w:link w:val="FootnoteTextChar"/>
    <w:uiPriority w:val="99"/>
    <w:unhideWhenUsed/>
    <w:qFormat/>
    <w:rsid w:val="00282A87"/>
    <w:rPr>
      <w:rFonts w:ascii="Arial" w:hAnsi="Arial" w:cs="Arial"/>
    </w:rPr>
  </w:style>
  <w:style w:type="character" w:customStyle="1" w:styleId="FootnoteTextChar">
    <w:name w:val="Footnote Text Char"/>
    <w:aliases w:val="single space Char,ft Char,Footnote Text Char1 Char,Footnote Text Char2 Char Char,Footnote Text Char1 Char Char Char,Footnote Text Char2 Char Char Char Char,Footnote Text Char1 Char Char Char Char Char,ALTS FOOTNOTE Char"/>
    <w:basedOn w:val="DefaultParagraphFont"/>
    <w:link w:val="FootnoteText"/>
    <w:uiPriority w:val="99"/>
    <w:qFormat/>
    <w:rsid w:val="00282A87"/>
    <w:rPr>
      <w:sz w:val="24"/>
      <w:szCs w:val="24"/>
      <w:lang w:eastAsia="en-GB"/>
    </w:rPr>
  </w:style>
  <w:style w:type="character" w:styleId="FootnoteReference">
    <w:name w:val="footnote reference"/>
    <w:aliases w:val="Odwołanie przypisu,Знак сноски 1,ftref,Знак сноски-FN,16 Point,Superscript 6 Point,Footnote Reference Superscript,Footnote symbol,???? ??????-FN,Footnote Reference Number,Footnote Reference_LVL6,Footnote Reference_LVL61,Ref,fr,R"/>
    <w:basedOn w:val="DefaultParagraphFont"/>
    <w:link w:val="ftrefCharCharChar"/>
    <w:uiPriority w:val="99"/>
    <w:unhideWhenUsed/>
    <w:qFormat/>
    <w:rsid w:val="00282A87"/>
    <w:rPr>
      <w:vertAlign w:val="superscript"/>
    </w:rPr>
  </w:style>
  <w:style w:type="paragraph" w:styleId="Header">
    <w:name w:val="header"/>
    <w:basedOn w:val="Normal"/>
    <w:link w:val="HeaderChar"/>
    <w:uiPriority w:val="99"/>
    <w:unhideWhenUsed/>
    <w:rsid w:val="000C6FE2"/>
    <w:pPr>
      <w:tabs>
        <w:tab w:val="center" w:pos="4680"/>
        <w:tab w:val="right" w:pos="9360"/>
      </w:tabs>
    </w:pPr>
    <w:rPr>
      <w:rFonts w:ascii="Arial" w:hAnsi="Arial" w:cs="Arial"/>
      <w:sz w:val="22"/>
      <w:szCs w:val="22"/>
      <w:lang w:eastAsia="en-US"/>
    </w:rPr>
  </w:style>
  <w:style w:type="character" w:customStyle="1" w:styleId="HeaderChar">
    <w:name w:val="Header Char"/>
    <w:basedOn w:val="DefaultParagraphFont"/>
    <w:link w:val="Header"/>
    <w:uiPriority w:val="99"/>
    <w:rsid w:val="000C6FE2"/>
  </w:style>
  <w:style w:type="paragraph" w:styleId="Footer">
    <w:name w:val="footer"/>
    <w:basedOn w:val="Normal"/>
    <w:link w:val="FooterChar"/>
    <w:uiPriority w:val="99"/>
    <w:unhideWhenUsed/>
    <w:rsid w:val="000C6FE2"/>
    <w:pPr>
      <w:tabs>
        <w:tab w:val="center" w:pos="4680"/>
        <w:tab w:val="right" w:pos="9360"/>
      </w:tabs>
    </w:pPr>
    <w:rPr>
      <w:rFonts w:ascii="Arial" w:hAnsi="Arial" w:cs="Arial"/>
      <w:sz w:val="22"/>
      <w:szCs w:val="22"/>
      <w:lang w:eastAsia="en-US"/>
    </w:rPr>
  </w:style>
  <w:style w:type="character" w:customStyle="1" w:styleId="FooterChar">
    <w:name w:val="Footer Char"/>
    <w:basedOn w:val="DefaultParagraphFont"/>
    <w:link w:val="Footer"/>
    <w:uiPriority w:val="99"/>
    <w:rsid w:val="000C6FE2"/>
  </w:style>
  <w:style w:type="character" w:styleId="Hyperlink">
    <w:name w:val="Hyperlink"/>
    <w:basedOn w:val="DefaultParagraphFont"/>
    <w:uiPriority w:val="99"/>
    <w:unhideWhenUsed/>
    <w:rsid w:val="00166D57"/>
    <w:rPr>
      <w:color w:val="0000FF" w:themeColor="hyperlink"/>
      <w:u w:val="single"/>
    </w:rPr>
  </w:style>
  <w:style w:type="character" w:customStyle="1" w:styleId="UnresolvedMention1">
    <w:name w:val="Unresolved Mention1"/>
    <w:basedOn w:val="DefaultParagraphFont"/>
    <w:uiPriority w:val="99"/>
    <w:semiHidden/>
    <w:unhideWhenUsed/>
    <w:rsid w:val="00166D57"/>
    <w:rPr>
      <w:color w:val="605E5C"/>
      <w:shd w:val="clear" w:color="auto" w:fill="E1DFDD"/>
    </w:rPr>
  </w:style>
  <w:style w:type="paragraph" w:styleId="TOC1">
    <w:name w:val="toc 1"/>
    <w:basedOn w:val="Normal"/>
    <w:next w:val="Normal"/>
    <w:autoRedefine/>
    <w:uiPriority w:val="39"/>
    <w:unhideWhenUsed/>
    <w:rsid w:val="001C7238"/>
    <w:pPr>
      <w:tabs>
        <w:tab w:val="left" w:pos="567"/>
        <w:tab w:val="right" w:leader="dot" w:pos="9350"/>
      </w:tabs>
      <w:spacing w:before="240" w:after="120"/>
      <w:ind w:left="567" w:hanging="567"/>
    </w:pPr>
    <w:rPr>
      <w:rFonts w:ascii="Arial" w:hAnsi="Arial" w:cs="Arial"/>
      <w:b/>
      <w:noProof/>
      <w:sz w:val="22"/>
      <w:szCs w:val="22"/>
      <w:lang w:eastAsia="en-US"/>
    </w:rPr>
  </w:style>
  <w:style w:type="paragraph" w:styleId="TOC2">
    <w:name w:val="toc 2"/>
    <w:basedOn w:val="Normal"/>
    <w:next w:val="Normal"/>
    <w:autoRedefine/>
    <w:uiPriority w:val="39"/>
    <w:unhideWhenUsed/>
    <w:rsid w:val="004E2DCB"/>
    <w:pPr>
      <w:tabs>
        <w:tab w:val="left" w:pos="1134"/>
        <w:tab w:val="right" w:leader="dot" w:pos="9350"/>
      </w:tabs>
      <w:spacing w:before="120" w:after="120"/>
      <w:ind w:left="1134" w:hanging="567"/>
    </w:pPr>
    <w:rPr>
      <w:rFonts w:ascii="Arial" w:hAnsi="Arial" w:cs="Arial"/>
      <w:sz w:val="22"/>
      <w:szCs w:val="22"/>
      <w:lang w:eastAsia="en-US"/>
    </w:rPr>
  </w:style>
  <w:style w:type="paragraph" w:customStyle="1" w:styleId="ftrefCharCharChar">
    <w:name w:val="ftref Char Char Char"/>
    <w:aliases w:val="BVI fnr Char Char Char,BVI fnr Car Car Char Char Char,BVI fnr Car Char Char Char,BVI fnr Car Car Car Car Char Char Char Char Char"/>
    <w:basedOn w:val="Normal"/>
    <w:next w:val="Normal"/>
    <w:link w:val="FootnoteReference"/>
    <w:uiPriority w:val="99"/>
    <w:qFormat/>
    <w:rsid w:val="00FF199B"/>
    <w:pPr>
      <w:spacing w:after="160" w:line="240" w:lineRule="exact"/>
      <w:ind w:left="1080" w:hanging="360"/>
    </w:pPr>
    <w:rPr>
      <w:rFonts w:ascii="Arial" w:hAnsi="Arial" w:cs="Arial"/>
      <w:sz w:val="22"/>
      <w:szCs w:val="22"/>
      <w:vertAlign w:val="superscript"/>
      <w:lang w:eastAsia="en-US"/>
    </w:rPr>
  </w:style>
  <w:style w:type="table" w:customStyle="1" w:styleId="Gitternetztabelle4Akzent51">
    <w:name w:val="Gitternetztabelle 4 – Akzent 51"/>
    <w:basedOn w:val="TableNormal"/>
    <w:next w:val="GridTable4-Accent51"/>
    <w:uiPriority w:val="49"/>
    <w:rsid w:val="001B1411"/>
    <w:pPr>
      <w:spacing w:line="240" w:lineRule="auto"/>
    </w:pPr>
    <w:rPr>
      <w:rFonts w:ascii="Calibri" w:eastAsia="Calibri" w:hAnsi="Calibri"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TableNormal"/>
    <w:uiPriority w:val="49"/>
    <w:rsid w:val="001B1411"/>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Briefingtext">
    <w:name w:val="Briefing text"/>
    <w:basedOn w:val="Normal"/>
    <w:link w:val="BriefingtextChar"/>
    <w:qFormat/>
    <w:rsid w:val="00BE0D56"/>
    <w:pPr>
      <w:spacing w:after="240"/>
      <w:jc w:val="both"/>
    </w:pPr>
    <w:rPr>
      <w:rFonts w:ascii="Arial" w:eastAsia="Times New Roman" w:hAnsi="Arial" w:cs="Arial"/>
      <w:sz w:val="22"/>
      <w:lang w:eastAsia="en-US"/>
    </w:rPr>
  </w:style>
  <w:style w:type="character" w:customStyle="1" w:styleId="BriefingtextChar">
    <w:name w:val="Briefing text Char"/>
    <w:link w:val="Briefingtext"/>
    <w:qFormat/>
    <w:rsid w:val="00BE0D56"/>
    <w:rPr>
      <w:rFonts w:eastAsia="Times New Roman"/>
      <w:szCs w:val="24"/>
    </w:rPr>
  </w:style>
  <w:style w:type="character" w:styleId="FollowedHyperlink">
    <w:name w:val="FollowedHyperlink"/>
    <w:basedOn w:val="DefaultParagraphFont"/>
    <w:uiPriority w:val="99"/>
    <w:semiHidden/>
    <w:unhideWhenUsed/>
    <w:rsid w:val="005A1B4D"/>
    <w:rPr>
      <w:color w:val="800080" w:themeColor="followedHyperlink"/>
      <w:u w:val="single"/>
    </w:rPr>
  </w:style>
  <w:style w:type="paragraph" w:styleId="Caption">
    <w:name w:val="caption"/>
    <w:basedOn w:val="Normal"/>
    <w:next w:val="Normal"/>
    <w:uiPriority w:val="35"/>
    <w:unhideWhenUsed/>
    <w:qFormat/>
    <w:rsid w:val="005659DD"/>
    <w:pPr>
      <w:keepNext/>
      <w:spacing w:before="240" w:after="120"/>
      <w:ind w:left="1134" w:hanging="1134"/>
    </w:pPr>
    <w:rPr>
      <w:rFonts w:ascii="Arial" w:hAnsi="Arial" w:cs="Arial"/>
      <w:b/>
      <w:iCs/>
      <w:color w:val="4F81BD"/>
      <w:sz w:val="20"/>
      <w:szCs w:val="20"/>
      <w:lang w:eastAsia="en-US"/>
    </w:rPr>
  </w:style>
  <w:style w:type="character" w:customStyle="1" w:styleId="Heading7Char">
    <w:name w:val="Heading 7 Char"/>
    <w:basedOn w:val="DefaultParagraphFont"/>
    <w:link w:val="Heading7"/>
    <w:uiPriority w:val="9"/>
    <w:semiHidden/>
    <w:rsid w:val="00056842"/>
    <w:rPr>
      <w:rFonts w:asciiTheme="majorHAnsi" w:eastAsiaTheme="majorEastAsia" w:hAnsiTheme="majorHAnsi" w:cstheme="majorBidi"/>
      <w:i/>
      <w:iCs/>
      <w:color w:val="243F60" w:themeColor="accent1" w:themeShade="7F"/>
      <w:sz w:val="24"/>
      <w:szCs w:val="24"/>
      <w:lang w:eastAsia="en-GB"/>
    </w:rPr>
  </w:style>
  <w:style w:type="paragraph" w:styleId="TableofFigures">
    <w:name w:val="table of figures"/>
    <w:basedOn w:val="Normal"/>
    <w:next w:val="Normal"/>
    <w:uiPriority w:val="99"/>
    <w:unhideWhenUsed/>
    <w:rsid w:val="00D8166E"/>
    <w:pPr>
      <w:tabs>
        <w:tab w:val="left" w:pos="1134"/>
        <w:tab w:val="right" w:leader="dot" w:pos="9072"/>
      </w:tabs>
      <w:spacing w:before="120"/>
      <w:ind w:left="1134" w:hanging="1134"/>
    </w:pPr>
    <w:rPr>
      <w:rFonts w:ascii="Arial" w:hAnsi="Arial" w:cs="Arial"/>
      <w:sz w:val="20"/>
      <w:szCs w:val="22"/>
      <w:lang w:eastAsia="en-US"/>
    </w:rPr>
  </w:style>
  <w:style w:type="character" w:customStyle="1" w:styleId="Heading8Char">
    <w:name w:val="Heading 8 Char"/>
    <w:basedOn w:val="DefaultParagraphFont"/>
    <w:link w:val="Heading8"/>
    <w:uiPriority w:val="9"/>
    <w:semiHidden/>
    <w:rsid w:val="0005684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056842"/>
    <w:rPr>
      <w:rFonts w:asciiTheme="majorHAnsi" w:eastAsiaTheme="majorEastAsia" w:hAnsiTheme="majorHAnsi" w:cstheme="majorBidi"/>
      <w:i/>
      <w:iCs/>
      <w:color w:val="272727" w:themeColor="text1" w:themeTint="D8"/>
      <w:sz w:val="21"/>
      <w:szCs w:val="21"/>
      <w:lang w:eastAsia="en-GB"/>
    </w:rPr>
  </w:style>
  <w:style w:type="character" w:customStyle="1" w:styleId="Heading3Char">
    <w:name w:val="Heading 3 Char"/>
    <w:basedOn w:val="DefaultParagraphFont"/>
    <w:link w:val="Heading3"/>
    <w:uiPriority w:val="9"/>
    <w:rsid w:val="007304E6"/>
    <w:rPr>
      <w:b/>
      <w:color w:val="4F81BD" w:themeColor="accent1"/>
      <w:sz w:val="24"/>
      <w:szCs w:val="24"/>
    </w:rPr>
  </w:style>
  <w:style w:type="character" w:customStyle="1" w:styleId="Heading2Char">
    <w:name w:val="Heading 2 Char"/>
    <w:basedOn w:val="DefaultParagraphFont"/>
    <w:link w:val="Heading2"/>
    <w:uiPriority w:val="9"/>
    <w:rsid w:val="00A5713C"/>
    <w:rPr>
      <w:b/>
      <w:color w:val="4F81BD" w:themeColor="accent1"/>
      <w:sz w:val="24"/>
      <w:szCs w:val="24"/>
    </w:rPr>
  </w:style>
  <w:style w:type="character" w:customStyle="1" w:styleId="Heading1Char">
    <w:name w:val="Heading 1 Char"/>
    <w:basedOn w:val="DefaultParagraphFont"/>
    <w:link w:val="Heading1"/>
    <w:uiPriority w:val="9"/>
    <w:rsid w:val="00B436AF"/>
    <w:rPr>
      <w:b/>
      <w:smallCaps/>
      <w:color w:val="000000"/>
      <w:sz w:val="32"/>
      <w:szCs w:val="32"/>
    </w:rPr>
  </w:style>
  <w:style w:type="paragraph" w:styleId="NormalWeb">
    <w:name w:val="Normal (Web)"/>
    <w:basedOn w:val="Normal"/>
    <w:uiPriority w:val="99"/>
    <w:unhideWhenUsed/>
    <w:rsid w:val="00F334E8"/>
    <w:pPr>
      <w:spacing w:before="100" w:beforeAutospacing="1" w:after="100" w:afterAutospacing="1"/>
    </w:pPr>
    <w:rPr>
      <w:rFonts w:eastAsia="Times New Roman"/>
    </w:rPr>
  </w:style>
  <w:style w:type="paragraph" w:customStyle="1" w:styleId="Footnote">
    <w:name w:val="Footnote"/>
    <w:basedOn w:val="FootnoteText"/>
    <w:next w:val="FootnoteText"/>
    <w:autoRedefine/>
    <w:qFormat/>
    <w:rsid w:val="008A14A7"/>
    <w:pPr>
      <w:widowControl w:val="0"/>
      <w:ind w:left="284" w:hanging="284"/>
      <w:jc w:val="center"/>
    </w:pPr>
    <w:rPr>
      <w:rFonts w:eastAsia="Calibri"/>
      <w:bCs/>
      <w:color w:val="000000" w:themeColor="text1"/>
      <w:sz w:val="20"/>
      <w:szCs w:val="20"/>
    </w:rPr>
  </w:style>
  <w:style w:type="character" w:customStyle="1" w:styleId="UnresolvedMention2">
    <w:name w:val="Unresolved Mention2"/>
    <w:basedOn w:val="DefaultParagraphFont"/>
    <w:uiPriority w:val="99"/>
    <w:semiHidden/>
    <w:unhideWhenUsed/>
    <w:rsid w:val="008E70A9"/>
    <w:rPr>
      <w:color w:val="605E5C"/>
      <w:shd w:val="clear" w:color="auto" w:fill="E1DFDD"/>
    </w:rPr>
  </w:style>
  <w:style w:type="character" w:styleId="Strong">
    <w:name w:val="Strong"/>
    <w:basedOn w:val="DefaultParagraphFont"/>
    <w:uiPriority w:val="22"/>
    <w:qFormat/>
    <w:rsid w:val="00362E5F"/>
    <w:rPr>
      <w:b/>
      <w:bCs/>
    </w:rPr>
  </w:style>
  <w:style w:type="paragraph" w:styleId="Revision">
    <w:name w:val="Revision"/>
    <w:hidden/>
    <w:uiPriority w:val="99"/>
    <w:semiHidden/>
    <w:rsid w:val="00F715F6"/>
    <w:pPr>
      <w:spacing w:line="240" w:lineRule="auto"/>
    </w:pPr>
  </w:style>
  <w:style w:type="character" w:customStyle="1" w:styleId="UnresolvedMention3">
    <w:name w:val="Unresolved Mention3"/>
    <w:basedOn w:val="DefaultParagraphFont"/>
    <w:uiPriority w:val="99"/>
    <w:rsid w:val="007237DD"/>
    <w:rPr>
      <w:color w:val="605E5C"/>
      <w:shd w:val="clear" w:color="auto" w:fill="E1DFDD"/>
    </w:rPr>
  </w:style>
  <w:style w:type="paragraph" w:customStyle="1" w:styleId="Heading21">
    <w:name w:val="Heading 21"/>
    <w:basedOn w:val="Normal"/>
    <w:next w:val="Normal"/>
    <w:uiPriority w:val="9"/>
    <w:unhideWhenUsed/>
    <w:qFormat/>
    <w:rsid w:val="00406A37"/>
    <w:pPr>
      <w:keepNext/>
      <w:keepLines/>
      <w:spacing w:before="360" w:after="120" w:line="276" w:lineRule="auto"/>
      <w:ind w:left="1467" w:hanging="567"/>
      <w:outlineLvl w:val="1"/>
    </w:pPr>
    <w:rPr>
      <w:rFonts w:ascii="Arial" w:hAnsi="Arial" w:cs="Arial"/>
      <w:b/>
      <w:color w:val="4F81BD"/>
      <w:lang w:eastAsia="en-US"/>
    </w:rPr>
  </w:style>
  <w:style w:type="paragraph" w:customStyle="1" w:styleId="Heading31">
    <w:name w:val="Heading 31"/>
    <w:basedOn w:val="Normal"/>
    <w:next w:val="Normal"/>
    <w:uiPriority w:val="9"/>
    <w:unhideWhenUsed/>
    <w:qFormat/>
    <w:rsid w:val="00406A37"/>
    <w:pPr>
      <w:keepNext/>
      <w:keepLines/>
      <w:spacing w:before="240" w:after="240" w:line="276" w:lineRule="auto"/>
      <w:ind w:left="1135" w:hanging="851"/>
      <w:outlineLvl w:val="2"/>
    </w:pPr>
    <w:rPr>
      <w:rFonts w:ascii="Arial" w:hAnsi="Arial" w:cs="Arial"/>
      <w:b/>
      <w:color w:val="4F81BD"/>
      <w:lang w:eastAsia="en-US"/>
    </w:rPr>
  </w:style>
  <w:style w:type="table" w:customStyle="1" w:styleId="CEnumberstable">
    <w:name w:val="CE numbers table"/>
    <w:basedOn w:val="TableNormal"/>
    <w:uiPriority w:val="99"/>
    <w:rsid w:val="00406A37"/>
    <w:pPr>
      <w:spacing w:line="240" w:lineRule="auto"/>
    </w:pPr>
    <w:rPr>
      <w:rFonts w:eastAsia="Times New Roman" w:cs="Times New Roman"/>
      <w:color w:val="002060"/>
      <w:sz w:val="18"/>
      <w:szCs w:val="20"/>
      <w:lang w:eastAsia="en-GB"/>
    </w:rPr>
    <w:tblPr>
      <w:tblStyleRowBandSize w:val="1"/>
      <w:tblBorders>
        <w:top w:val="single" w:sz="4" w:space="0" w:color="0085C0"/>
        <w:left w:val="single" w:sz="4" w:space="0" w:color="0085C0"/>
        <w:bottom w:val="single" w:sz="4" w:space="0" w:color="0085C0"/>
        <w:right w:val="single" w:sz="4" w:space="0" w:color="0085C0"/>
      </w:tblBorders>
    </w:tblPr>
    <w:tblStylePr w:type="firstRow">
      <w:pPr>
        <w:jc w:val="right"/>
      </w:pPr>
      <w:rPr>
        <w:rFonts w:ascii="Arial" w:hAnsi="Arial"/>
        <w:color w:val="FFFFFF"/>
        <w:sz w:val="18"/>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006398"/>
      </w:tcPr>
    </w:tblStylePr>
    <w:tblStylePr w:type="lastRow">
      <w:rPr>
        <w:color w:val="auto"/>
      </w:rPr>
      <w:tblPr/>
      <w:tcPr>
        <w:tcBorders>
          <w:bottom w:val="single" w:sz="4" w:space="0" w:color="006398"/>
        </w:tcBorders>
      </w:tcPr>
    </w:tblStylePr>
    <w:tblStylePr w:type="firstCol">
      <w:pPr>
        <w:jc w:val="left"/>
      </w:pPr>
      <w:rPr>
        <w:rFonts w:ascii="Arial" w:hAnsi="Arial"/>
        <w:color w:val="FFFFFF"/>
        <w:sz w:val="18"/>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006398"/>
      </w:tcPr>
    </w:tblStylePr>
    <w:tblStylePr w:type="lastCol">
      <w:tblPr/>
      <w:tcPr>
        <w:tcBorders>
          <w:right w:val="nil"/>
        </w:tcBorders>
      </w:tcPr>
    </w:tblStylePr>
    <w:tblStylePr w:type="band1Horz">
      <w:pPr>
        <w:jc w:val="right"/>
      </w:pPr>
      <w:rPr>
        <w:rFonts w:ascii="Arial" w:hAnsi="Arial"/>
        <w:color w:val="auto"/>
        <w:sz w:val="18"/>
      </w:rPr>
    </w:tblStylePr>
    <w:tblStylePr w:type="band2Horz">
      <w:pPr>
        <w:jc w:val="right"/>
      </w:pPr>
      <w:rPr>
        <w:color w:val="000000"/>
      </w:rPr>
    </w:tblStylePr>
  </w:style>
  <w:style w:type="character" w:customStyle="1" w:styleId="UnresolvedMention4">
    <w:name w:val="Unresolved Mention4"/>
    <w:basedOn w:val="DefaultParagraphFont"/>
    <w:uiPriority w:val="99"/>
    <w:rsid w:val="002D4B7B"/>
    <w:rPr>
      <w:color w:val="605E5C"/>
      <w:shd w:val="clear" w:color="auto" w:fill="E1DFDD"/>
    </w:rPr>
  </w:style>
  <w:style w:type="paragraph" w:styleId="TOCHeading">
    <w:name w:val="TOC Heading"/>
    <w:basedOn w:val="Heading1"/>
    <w:next w:val="Normal"/>
    <w:uiPriority w:val="39"/>
    <w:unhideWhenUsed/>
    <w:qFormat/>
    <w:rsid w:val="00B4789F"/>
    <w:pPr>
      <w:pBdr>
        <w:top w:val="none" w:sz="0" w:space="0" w:color="auto"/>
        <w:left w:val="none" w:sz="0" w:space="0" w:color="auto"/>
        <w:bottom w:val="none" w:sz="0" w:space="0" w:color="auto"/>
        <w:right w:val="none" w:sz="0" w:space="0" w:color="auto"/>
        <w:between w:val="none" w:sz="0" w:space="0" w:color="auto"/>
      </w:pBdr>
      <w:spacing w:before="240" w:line="259" w:lineRule="auto"/>
      <w:jc w:val="left"/>
      <w:outlineLvl w:val="9"/>
    </w:pPr>
    <w:rPr>
      <w:rFonts w:asciiTheme="majorHAnsi" w:eastAsiaTheme="majorEastAsia" w:hAnsiTheme="majorHAnsi" w:cstheme="majorBidi"/>
      <w:b w:val="0"/>
      <w:smallCaps w:val="0"/>
      <w:color w:val="365F91" w:themeColor="accent1" w:themeShade="BF"/>
      <w:lang w:val="en-US"/>
    </w:rPr>
  </w:style>
  <w:style w:type="paragraph" w:styleId="TOC3">
    <w:name w:val="toc 3"/>
    <w:basedOn w:val="Normal"/>
    <w:next w:val="Normal"/>
    <w:autoRedefine/>
    <w:uiPriority w:val="39"/>
    <w:unhideWhenUsed/>
    <w:rsid w:val="00B4789F"/>
    <w:pPr>
      <w:spacing w:after="100" w:line="276" w:lineRule="auto"/>
      <w:ind w:left="440"/>
    </w:pPr>
    <w:rPr>
      <w:rFonts w:ascii="Arial" w:hAnsi="Arial" w:cs="Arial"/>
      <w:sz w:val="22"/>
      <w:szCs w:val="22"/>
      <w:lang w:eastAsia="en-US"/>
    </w:rPr>
  </w:style>
  <w:style w:type="paragraph" w:styleId="HTMLPreformatted">
    <w:name w:val="HTML Preformatted"/>
    <w:basedOn w:val="Normal"/>
    <w:link w:val="HTMLPreformattedChar"/>
    <w:uiPriority w:val="99"/>
    <w:unhideWhenUsed/>
    <w:qFormat/>
    <w:rsid w:val="009A3F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eastAsia="zh-CN"/>
    </w:rPr>
  </w:style>
  <w:style w:type="character" w:customStyle="1" w:styleId="HTMLPreformattedChar">
    <w:name w:val="HTML Preformatted Char"/>
    <w:basedOn w:val="DefaultParagraphFont"/>
    <w:link w:val="HTMLPreformatted"/>
    <w:uiPriority w:val="99"/>
    <w:rsid w:val="009A3F4C"/>
    <w:rPr>
      <w:rFonts w:ascii="Courier New" w:eastAsia="Times New Roman" w:hAnsi="Courier New" w:cs="Courier New"/>
      <w:sz w:val="20"/>
      <w:szCs w:val="20"/>
      <w:lang w:val="en-US" w:eastAsia="zh-CN"/>
    </w:rPr>
  </w:style>
  <w:style w:type="character" w:customStyle="1" w:styleId="y2iqfc">
    <w:name w:val="y2iqfc"/>
    <w:basedOn w:val="DefaultParagraphFont"/>
    <w:qFormat/>
    <w:rsid w:val="009A3F4C"/>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uiPriority w:val="99"/>
    <w:rsid w:val="00AC1903"/>
    <w:pPr>
      <w:spacing w:before="110" w:after="160" w:line="240" w:lineRule="exact"/>
      <w:jc w:val="both"/>
    </w:pPr>
    <w:rPr>
      <w:rFonts w:asciiTheme="minorHAnsi" w:eastAsiaTheme="minorHAnsi" w:hAnsiTheme="minorHAnsi" w:cstheme="minorBidi"/>
      <w:b/>
      <w:sz w:val="22"/>
      <w:szCs w:val="22"/>
      <w:vertAlign w:val="superscript"/>
      <w:lang w:val="en-US" w:eastAsia="en-US"/>
    </w:rPr>
  </w:style>
  <w:style w:type="character" w:customStyle="1" w:styleId="apple-converted-space">
    <w:name w:val="apple-converted-space"/>
    <w:basedOn w:val="DefaultParagraphFont"/>
    <w:rsid w:val="000F04F3"/>
  </w:style>
  <w:style w:type="character" w:customStyle="1" w:styleId="UnresolvedMention5">
    <w:name w:val="Unresolved Mention5"/>
    <w:basedOn w:val="DefaultParagraphFont"/>
    <w:uiPriority w:val="99"/>
    <w:rsid w:val="00F50219"/>
    <w:rPr>
      <w:color w:val="605E5C"/>
      <w:shd w:val="clear" w:color="auto" w:fill="E1DFDD"/>
    </w:rPr>
  </w:style>
  <w:style w:type="character" w:customStyle="1" w:styleId="Heading4Char">
    <w:name w:val="Heading 4 Char"/>
    <w:basedOn w:val="DefaultParagraphFont"/>
    <w:link w:val="Heading4"/>
    <w:uiPriority w:val="9"/>
    <w:rsid w:val="00D83F43"/>
    <w:rPr>
      <w:color w:val="4F81BD"/>
      <w:sz w:val="24"/>
      <w:szCs w:val="24"/>
    </w:rPr>
  </w:style>
  <w:style w:type="character" w:customStyle="1" w:styleId="UnresolvedMention6">
    <w:name w:val="Unresolved Mention6"/>
    <w:basedOn w:val="DefaultParagraphFont"/>
    <w:uiPriority w:val="99"/>
    <w:rsid w:val="00931AF2"/>
    <w:rPr>
      <w:color w:val="605E5C"/>
      <w:shd w:val="clear" w:color="auto" w:fill="E1DFDD"/>
    </w:rPr>
  </w:style>
  <w:style w:type="paragraph" w:styleId="TOC4">
    <w:name w:val="toc 4"/>
    <w:basedOn w:val="Normal"/>
    <w:next w:val="Normal"/>
    <w:autoRedefine/>
    <w:uiPriority w:val="39"/>
    <w:unhideWhenUsed/>
    <w:rsid w:val="000A7086"/>
    <w:pPr>
      <w:spacing w:after="100" w:line="259" w:lineRule="auto"/>
      <w:ind w:left="660"/>
    </w:pPr>
    <w:rPr>
      <w:rFonts w:asciiTheme="minorHAnsi" w:eastAsiaTheme="minorEastAsia" w:hAnsiTheme="minorHAnsi" w:cstheme="minorBidi"/>
      <w:sz w:val="22"/>
      <w:szCs w:val="22"/>
      <w:lang w:val="en-US" w:eastAsia="en-US"/>
    </w:rPr>
  </w:style>
  <w:style w:type="paragraph" w:styleId="TOC5">
    <w:name w:val="toc 5"/>
    <w:basedOn w:val="Normal"/>
    <w:next w:val="Normal"/>
    <w:autoRedefine/>
    <w:uiPriority w:val="39"/>
    <w:unhideWhenUsed/>
    <w:rsid w:val="000A7086"/>
    <w:pPr>
      <w:spacing w:after="100" w:line="259" w:lineRule="auto"/>
      <w:ind w:left="880"/>
    </w:pPr>
    <w:rPr>
      <w:rFonts w:asciiTheme="minorHAnsi" w:eastAsiaTheme="minorEastAsia" w:hAnsiTheme="minorHAnsi" w:cstheme="minorBidi"/>
      <w:sz w:val="22"/>
      <w:szCs w:val="22"/>
      <w:lang w:val="en-US" w:eastAsia="en-US"/>
    </w:rPr>
  </w:style>
  <w:style w:type="paragraph" w:styleId="TOC6">
    <w:name w:val="toc 6"/>
    <w:basedOn w:val="Normal"/>
    <w:next w:val="Normal"/>
    <w:autoRedefine/>
    <w:uiPriority w:val="39"/>
    <w:unhideWhenUsed/>
    <w:rsid w:val="000A7086"/>
    <w:pPr>
      <w:spacing w:after="100" w:line="259" w:lineRule="auto"/>
      <w:ind w:left="1100"/>
    </w:pPr>
    <w:rPr>
      <w:rFonts w:asciiTheme="minorHAnsi" w:eastAsiaTheme="minorEastAsia" w:hAnsiTheme="minorHAnsi" w:cstheme="minorBidi"/>
      <w:sz w:val="22"/>
      <w:szCs w:val="22"/>
      <w:lang w:val="en-US" w:eastAsia="en-US"/>
    </w:rPr>
  </w:style>
  <w:style w:type="paragraph" w:styleId="TOC7">
    <w:name w:val="toc 7"/>
    <w:basedOn w:val="Normal"/>
    <w:next w:val="Normal"/>
    <w:autoRedefine/>
    <w:uiPriority w:val="39"/>
    <w:unhideWhenUsed/>
    <w:rsid w:val="000A7086"/>
    <w:pPr>
      <w:spacing w:after="100" w:line="259" w:lineRule="auto"/>
      <w:ind w:left="1320"/>
    </w:pPr>
    <w:rPr>
      <w:rFonts w:asciiTheme="minorHAnsi" w:eastAsiaTheme="minorEastAsia" w:hAnsiTheme="minorHAnsi" w:cstheme="minorBidi"/>
      <w:sz w:val="22"/>
      <w:szCs w:val="22"/>
      <w:lang w:val="en-US" w:eastAsia="en-US"/>
    </w:rPr>
  </w:style>
  <w:style w:type="paragraph" w:styleId="TOC8">
    <w:name w:val="toc 8"/>
    <w:basedOn w:val="Normal"/>
    <w:next w:val="Normal"/>
    <w:autoRedefine/>
    <w:uiPriority w:val="39"/>
    <w:unhideWhenUsed/>
    <w:rsid w:val="000A7086"/>
    <w:pPr>
      <w:spacing w:after="100" w:line="259" w:lineRule="auto"/>
      <w:ind w:left="1540"/>
    </w:pPr>
    <w:rPr>
      <w:rFonts w:asciiTheme="minorHAnsi" w:eastAsiaTheme="minorEastAsia" w:hAnsiTheme="minorHAnsi" w:cstheme="minorBidi"/>
      <w:sz w:val="22"/>
      <w:szCs w:val="22"/>
      <w:lang w:val="en-US" w:eastAsia="en-US"/>
    </w:rPr>
  </w:style>
  <w:style w:type="paragraph" w:styleId="TOC9">
    <w:name w:val="toc 9"/>
    <w:basedOn w:val="Normal"/>
    <w:next w:val="Normal"/>
    <w:autoRedefine/>
    <w:uiPriority w:val="39"/>
    <w:unhideWhenUsed/>
    <w:rsid w:val="000A7086"/>
    <w:pPr>
      <w:spacing w:after="100" w:line="259" w:lineRule="auto"/>
      <w:ind w:left="1760"/>
    </w:pPr>
    <w:rPr>
      <w:rFonts w:asciiTheme="minorHAnsi" w:eastAsiaTheme="minorEastAsia" w:hAnsiTheme="minorHAnsi" w:cstheme="minorBidi"/>
      <w:sz w:val="22"/>
      <w:szCs w:val="22"/>
      <w:lang w:val="en-US" w:eastAsia="en-US"/>
    </w:rPr>
  </w:style>
  <w:style w:type="character" w:customStyle="1" w:styleId="UnresolvedMention">
    <w:name w:val="Unresolved Mention"/>
    <w:basedOn w:val="DefaultParagraphFont"/>
    <w:uiPriority w:val="99"/>
    <w:semiHidden/>
    <w:unhideWhenUsed/>
    <w:rsid w:val="006E7A76"/>
    <w:rPr>
      <w:color w:val="605E5C"/>
      <w:shd w:val="clear" w:color="auto" w:fill="E1DFDD"/>
    </w:rPr>
  </w:style>
  <w:style w:type="table" w:customStyle="1" w:styleId="TableGrid1">
    <w:name w:val="Table Grid1"/>
    <w:basedOn w:val="TableNormal"/>
    <w:next w:val="TableGrid"/>
    <w:uiPriority w:val="39"/>
    <w:rsid w:val="00116C0A"/>
    <w:pPr>
      <w:spacing w:line="240" w:lineRule="auto"/>
    </w:pPr>
    <w:rPr>
      <w:rFonts w:ascii="Calibri" w:eastAsia="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187768">
      <w:bodyDiv w:val="1"/>
      <w:marLeft w:val="0"/>
      <w:marRight w:val="0"/>
      <w:marTop w:val="0"/>
      <w:marBottom w:val="0"/>
      <w:divBdr>
        <w:top w:val="none" w:sz="0" w:space="0" w:color="auto"/>
        <w:left w:val="none" w:sz="0" w:space="0" w:color="auto"/>
        <w:bottom w:val="none" w:sz="0" w:space="0" w:color="auto"/>
        <w:right w:val="none" w:sz="0" w:space="0" w:color="auto"/>
      </w:divBdr>
    </w:div>
    <w:div w:id="43527658">
      <w:bodyDiv w:val="1"/>
      <w:marLeft w:val="0"/>
      <w:marRight w:val="0"/>
      <w:marTop w:val="0"/>
      <w:marBottom w:val="0"/>
      <w:divBdr>
        <w:top w:val="none" w:sz="0" w:space="0" w:color="auto"/>
        <w:left w:val="none" w:sz="0" w:space="0" w:color="auto"/>
        <w:bottom w:val="none" w:sz="0" w:space="0" w:color="auto"/>
        <w:right w:val="none" w:sz="0" w:space="0" w:color="auto"/>
      </w:divBdr>
    </w:div>
    <w:div w:id="65230771">
      <w:bodyDiv w:val="1"/>
      <w:marLeft w:val="0"/>
      <w:marRight w:val="0"/>
      <w:marTop w:val="0"/>
      <w:marBottom w:val="0"/>
      <w:divBdr>
        <w:top w:val="none" w:sz="0" w:space="0" w:color="auto"/>
        <w:left w:val="none" w:sz="0" w:space="0" w:color="auto"/>
        <w:bottom w:val="none" w:sz="0" w:space="0" w:color="auto"/>
        <w:right w:val="none" w:sz="0" w:space="0" w:color="auto"/>
      </w:divBdr>
    </w:div>
    <w:div w:id="96681652">
      <w:bodyDiv w:val="1"/>
      <w:marLeft w:val="0"/>
      <w:marRight w:val="0"/>
      <w:marTop w:val="0"/>
      <w:marBottom w:val="0"/>
      <w:divBdr>
        <w:top w:val="none" w:sz="0" w:space="0" w:color="auto"/>
        <w:left w:val="none" w:sz="0" w:space="0" w:color="auto"/>
        <w:bottom w:val="none" w:sz="0" w:space="0" w:color="auto"/>
        <w:right w:val="none" w:sz="0" w:space="0" w:color="auto"/>
      </w:divBdr>
    </w:div>
    <w:div w:id="97215615">
      <w:bodyDiv w:val="1"/>
      <w:marLeft w:val="0"/>
      <w:marRight w:val="0"/>
      <w:marTop w:val="0"/>
      <w:marBottom w:val="0"/>
      <w:divBdr>
        <w:top w:val="none" w:sz="0" w:space="0" w:color="auto"/>
        <w:left w:val="none" w:sz="0" w:space="0" w:color="auto"/>
        <w:bottom w:val="none" w:sz="0" w:space="0" w:color="auto"/>
        <w:right w:val="none" w:sz="0" w:space="0" w:color="auto"/>
      </w:divBdr>
    </w:div>
    <w:div w:id="127476746">
      <w:bodyDiv w:val="1"/>
      <w:marLeft w:val="0"/>
      <w:marRight w:val="0"/>
      <w:marTop w:val="0"/>
      <w:marBottom w:val="0"/>
      <w:divBdr>
        <w:top w:val="none" w:sz="0" w:space="0" w:color="auto"/>
        <w:left w:val="none" w:sz="0" w:space="0" w:color="auto"/>
        <w:bottom w:val="none" w:sz="0" w:space="0" w:color="auto"/>
        <w:right w:val="none" w:sz="0" w:space="0" w:color="auto"/>
      </w:divBdr>
    </w:div>
    <w:div w:id="128860111">
      <w:bodyDiv w:val="1"/>
      <w:marLeft w:val="0"/>
      <w:marRight w:val="0"/>
      <w:marTop w:val="0"/>
      <w:marBottom w:val="0"/>
      <w:divBdr>
        <w:top w:val="none" w:sz="0" w:space="0" w:color="auto"/>
        <w:left w:val="none" w:sz="0" w:space="0" w:color="auto"/>
        <w:bottom w:val="none" w:sz="0" w:space="0" w:color="auto"/>
        <w:right w:val="none" w:sz="0" w:space="0" w:color="auto"/>
      </w:divBdr>
    </w:div>
    <w:div w:id="132408287">
      <w:bodyDiv w:val="1"/>
      <w:marLeft w:val="0"/>
      <w:marRight w:val="0"/>
      <w:marTop w:val="0"/>
      <w:marBottom w:val="0"/>
      <w:divBdr>
        <w:top w:val="none" w:sz="0" w:space="0" w:color="auto"/>
        <w:left w:val="none" w:sz="0" w:space="0" w:color="auto"/>
        <w:bottom w:val="none" w:sz="0" w:space="0" w:color="auto"/>
        <w:right w:val="none" w:sz="0" w:space="0" w:color="auto"/>
      </w:divBdr>
    </w:div>
    <w:div w:id="202525442">
      <w:bodyDiv w:val="1"/>
      <w:marLeft w:val="0"/>
      <w:marRight w:val="0"/>
      <w:marTop w:val="0"/>
      <w:marBottom w:val="0"/>
      <w:divBdr>
        <w:top w:val="none" w:sz="0" w:space="0" w:color="auto"/>
        <w:left w:val="none" w:sz="0" w:space="0" w:color="auto"/>
        <w:bottom w:val="none" w:sz="0" w:space="0" w:color="auto"/>
        <w:right w:val="none" w:sz="0" w:space="0" w:color="auto"/>
      </w:divBdr>
    </w:div>
    <w:div w:id="209341010">
      <w:bodyDiv w:val="1"/>
      <w:marLeft w:val="0"/>
      <w:marRight w:val="0"/>
      <w:marTop w:val="0"/>
      <w:marBottom w:val="0"/>
      <w:divBdr>
        <w:top w:val="none" w:sz="0" w:space="0" w:color="auto"/>
        <w:left w:val="none" w:sz="0" w:space="0" w:color="auto"/>
        <w:bottom w:val="none" w:sz="0" w:space="0" w:color="auto"/>
        <w:right w:val="none" w:sz="0" w:space="0" w:color="auto"/>
      </w:divBdr>
    </w:div>
    <w:div w:id="218176338">
      <w:bodyDiv w:val="1"/>
      <w:marLeft w:val="0"/>
      <w:marRight w:val="0"/>
      <w:marTop w:val="0"/>
      <w:marBottom w:val="0"/>
      <w:divBdr>
        <w:top w:val="none" w:sz="0" w:space="0" w:color="auto"/>
        <w:left w:val="none" w:sz="0" w:space="0" w:color="auto"/>
        <w:bottom w:val="none" w:sz="0" w:space="0" w:color="auto"/>
        <w:right w:val="none" w:sz="0" w:space="0" w:color="auto"/>
      </w:divBdr>
    </w:div>
    <w:div w:id="265697175">
      <w:bodyDiv w:val="1"/>
      <w:marLeft w:val="0"/>
      <w:marRight w:val="0"/>
      <w:marTop w:val="0"/>
      <w:marBottom w:val="0"/>
      <w:divBdr>
        <w:top w:val="none" w:sz="0" w:space="0" w:color="auto"/>
        <w:left w:val="none" w:sz="0" w:space="0" w:color="auto"/>
        <w:bottom w:val="none" w:sz="0" w:space="0" w:color="auto"/>
        <w:right w:val="none" w:sz="0" w:space="0" w:color="auto"/>
      </w:divBdr>
    </w:div>
    <w:div w:id="317270256">
      <w:bodyDiv w:val="1"/>
      <w:marLeft w:val="0"/>
      <w:marRight w:val="0"/>
      <w:marTop w:val="0"/>
      <w:marBottom w:val="0"/>
      <w:divBdr>
        <w:top w:val="none" w:sz="0" w:space="0" w:color="auto"/>
        <w:left w:val="none" w:sz="0" w:space="0" w:color="auto"/>
        <w:bottom w:val="none" w:sz="0" w:space="0" w:color="auto"/>
        <w:right w:val="none" w:sz="0" w:space="0" w:color="auto"/>
      </w:divBdr>
    </w:div>
    <w:div w:id="341859125">
      <w:bodyDiv w:val="1"/>
      <w:marLeft w:val="0"/>
      <w:marRight w:val="0"/>
      <w:marTop w:val="0"/>
      <w:marBottom w:val="0"/>
      <w:divBdr>
        <w:top w:val="none" w:sz="0" w:space="0" w:color="auto"/>
        <w:left w:val="none" w:sz="0" w:space="0" w:color="auto"/>
        <w:bottom w:val="none" w:sz="0" w:space="0" w:color="auto"/>
        <w:right w:val="none" w:sz="0" w:space="0" w:color="auto"/>
      </w:divBdr>
    </w:div>
    <w:div w:id="350110334">
      <w:bodyDiv w:val="1"/>
      <w:marLeft w:val="0"/>
      <w:marRight w:val="0"/>
      <w:marTop w:val="0"/>
      <w:marBottom w:val="0"/>
      <w:divBdr>
        <w:top w:val="none" w:sz="0" w:space="0" w:color="auto"/>
        <w:left w:val="none" w:sz="0" w:space="0" w:color="auto"/>
        <w:bottom w:val="none" w:sz="0" w:space="0" w:color="auto"/>
        <w:right w:val="none" w:sz="0" w:space="0" w:color="auto"/>
      </w:divBdr>
    </w:div>
    <w:div w:id="367687666">
      <w:bodyDiv w:val="1"/>
      <w:marLeft w:val="0"/>
      <w:marRight w:val="0"/>
      <w:marTop w:val="0"/>
      <w:marBottom w:val="0"/>
      <w:divBdr>
        <w:top w:val="none" w:sz="0" w:space="0" w:color="auto"/>
        <w:left w:val="none" w:sz="0" w:space="0" w:color="auto"/>
        <w:bottom w:val="none" w:sz="0" w:space="0" w:color="auto"/>
        <w:right w:val="none" w:sz="0" w:space="0" w:color="auto"/>
      </w:divBdr>
    </w:div>
    <w:div w:id="372777671">
      <w:bodyDiv w:val="1"/>
      <w:marLeft w:val="0"/>
      <w:marRight w:val="0"/>
      <w:marTop w:val="0"/>
      <w:marBottom w:val="0"/>
      <w:divBdr>
        <w:top w:val="none" w:sz="0" w:space="0" w:color="auto"/>
        <w:left w:val="none" w:sz="0" w:space="0" w:color="auto"/>
        <w:bottom w:val="none" w:sz="0" w:space="0" w:color="auto"/>
        <w:right w:val="none" w:sz="0" w:space="0" w:color="auto"/>
      </w:divBdr>
    </w:div>
    <w:div w:id="432868210">
      <w:bodyDiv w:val="1"/>
      <w:marLeft w:val="0"/>
      <w:marRight w:val="0"/>
      <w:marTop w:val="0"/>
      <w:marBottom w:val="0"/>
      <w:divBdr>
        <w:top w:val="none" w:sz="0" w:space="0" w:color="auto"/>
        <w:left w:val="none" w:sz="0" w:space="0" w:color="auto"/>
        <w:bottom w:val="none" w:sz="0" w:space="0" w:color="auto"/>
        <w:right w:val="none" w:sz="0" w:space="0" w:color="auto"/>
      </w:divBdr>
    </w:div>
    <w:div w:id="455149074">
      <w:bodyDiv w:val="1"/>
      <w:marLeft w:val="0"/>
      <w:marRight w:val="0"/>
      <w:marTop w:val="0"/>
      <w:marBottom w:val="0"/>
      <w:divBdr>
        <w:top w:val="none" w:sz="0" w:space="0" w:color="auto"/>
        <w:left w:val="none" w:sz="0" w:space="0" w:color="auto"/>
        <w:bottom w:val="none" w:sz="0" w:space="0" w:color="auto"/>
        <w:right w:val="none" w:sz="0" w:space="0" w:color="auto"/>
      </w:divBdr>
    </w:div>
    <w:div w:id="462817931">
      <w:bodyDiv w:val="1"/>
      <w:marLeft w:val="0"/>
      <w:marRight w:val="0"/>
      <w:marTop w:val="0"/>
      <w:marBottom w:val="0"/>
      <w:divBdr>
        <w:top w:val="none" w:sz="0" w:space="0" w:color="auto"/>
        <w:left w:val="none" w:sz="0" w:space="0" w:color="auto"/>
        <w:bottom w:val="none" w:sz="0" w:space="0" w:color="auto"/>
        <w:right w:val="none" w:sz="0" w:space="0" w:color="auto"/>
      </w:divBdr>
    </w:div>
    <w:div w:id="472794984">
      <w:bodyDiv w:val="1"/>
      <w:marLeft w:val="0"/>
      <w:marRight w:val="0"/>
      <w:marTop w:val="0"/>
      <w:marBottom w:val="0"/>
      <w:divBdr>
        <w:top w:val="none" w:sz="0" w:space="0" w:color="auto"/>
        <w:left w:val="none" w:sz="0" w:space="0" w:color="auto"/>
        <w:bottom w:val="none" w:sz="0" w:space="0" w:color="auto"/>
        <w:right w:val="none" w:sz="0" w:space="0" w:color="auto"/>
      </w:divBdr>
    </w:div>
    <w:div w:id="519465334">
      <w:bodyDiv w:val="1"/>
      <w:marLeft w:val="0"/>
      <w:marRight w:val="0"/>
      <w:marTop w:val="0"/>
      <w:marBottom w:val="0"/>
      <w:divBdr>
        <w:top w:val="none" w:sz="0" w:space="0" w:color="auto"/>
        <w:left w:val="none" w:sz="0" w:space="0" w:color="auto"/>
        <w:bottom w:val="none" w:sz="0" w:space="0" w:color="auto"/>
        <w:right w:val="none" w:sz="0" w:space="0" w:color="auto"/>
      </w:divBdr>
    </w:div>
    <w:div w:id="534847938">
      <w:bodyDiv w:val="1"/>
      <w:marLeft w:val="0"/>
      <w:marRight w:val="0"/>
      <w:marTop w:val="0"/>
      <w:marBottom w:val="0"/>
      <w:divBdr>
        <w:top w:val="none" w:sz="0" w:space="0" w:color="auto"/>
        <w:left w:val="none" w:sz="0" w:space="0" w:color="auto"/>
        <w:bottom w:val="none" w:sz="0" w:space="0" w:color="auto"/>
        <w:right w:val="none" w:sz="0" w:space="0" w:color="auto"/>
      </w:divBdr>
    </w:div>
    <w:div w:id="551305335">
      <w:bodyDiv w:val="1"/>
      <w:marLeft w:val="0"/>
      <w:marRight w:val="0"/>
      <w:marTop w:val="0"/>
      <w:marBottom w:val="0"/>
      <w:divBdr>
        <w:top w:val="none" w:sz="0" w:space="0" w:color="auto"/>
        <w:left w:val="none" w:sz="0" w:space="0" w:color="auto"/>
        <w:bottom w:val="none" w:sz="0" w:space="0" w:color="auto"/>
        <w:right w:val="none" w:sz="0" w:space="0" w:color="auto"/>
      </w:divBdr>
    </w:div>
    <w:div w:id="568922979">
      <w:bodyDiv w:val="1"/>
      <w:marLeft w:val="0"/>
      <w:marRight w:val="0"/>
      <w:marTop w:val="0"/>
      <w:marBottom w:val="0"/>
      <w:divBdr>
        <w:top w:val="none" w:sz="0" w:space="0" w:color="auto"/>
        <w:left w:val="none" w:sz="0" w:space="0" w:color="auto"/>
        <w:bottom w:val="none" w:sz="0" w:space="0" w:color="auto"/>
        <w:right w:val="none" w:sz="0" w:space="0" w:color="auto"/>
      </w:divBdr>
    </w:div>
    <w:div w:id="590699694">
      <w:bodyDiv w:val="1"/>
      <w:marLeft w:val="0"/>
      <w:marRight w:val="0"/>
      <w:marTop w:val="0"/>
      <w:marBottom w:val="0"/>
      <w:divBdr>
        <w:top w:val="none" w:sz="0" w:space="0" w:color="auto"/>
        <w:left w:val="none" w:sz="0" w:space="0" w:color="auto"/>
        <w:bottom w:val="none" w:sz="0" w:space="0" w:color="auto"/>
        <w:right w:val="none" w:sz="0" w:space="0" w:color="auto"/>
      </w:divBdr>
    </w:div>
    <w:div w:id="652105405">
      <w:bodyDiv w:val="1"/>
      <w:marLeft w:val="0"/>
      <w:marRight w:val="0"/>
      <w:marTop w:val="0"/>
      <w:marBottom w:val="0"/>
      <w:divBdr>
        <w:top w:val="none" w:sz="0" w:space="0" w:color="auto"/>
        <w:left w:val="none" w:sz="0" w:space="0" w:color="auto"/>
        <w:bottom w:val="none" w:sz="0" w:space="0" w:color="auto"/>
        <w:right w:val="none" w:sz="0" w:space="0" w:color="auto"/>
      </w:divBdr>
      <w:divsChild>
        <w:div w:id="620304259">
          <w:marLeft w:val="547"/>
          <w:marRight w:val="0"/>
          <w:marTop w:val="0"/>
          <w:marBottom w:val="0"/>
          <w:divBdr>
            <w:top w:val="none" w:sz="0" w:space="0" w:color="auto"/>
            <w:left w:val="none" w:sz="0" w:space="0" w:color="auto"/>
            <w:bottom w:val="none" w:sz="0" w:space="0" w:color="auto"/>
            <w:right w:val="none" w:sz="0" w:space="0" w:color="auto"/>
          </w:divBdr>
        </w:div>
        <w:div w:id="1285845491">
          <w:marLeft w:val="547"/>
          <w:marRight w:val="0"/>
          <w:marTop w:val="0"/>
          <w:marBottom w:val="0"/>
          <w:divBdr>
            <w:top w:val="none" w:sz="0" w:space="0" w:color="auto"/>
            <w:left w:val="none" w:sz="0" w:space="0" w:color="auto"/>
            <w:bottom w:val="none" w:sz="0" w:space="0" w:color="auto"/>
            <w:right w:val="none" w:sz="0" w:space="0" w:color="auto"/>
          </w:divBdr>
        </w:div>
        <w:div w:id="1975986438">
          <w:marLeft w:val="547"/>
          <w:marRight w:val="0"/>
          <w:marTop w:val="0"/>
          <w:marBottom w:val="0"/>
          <w:divBdr>
            <w:top w:val="none" w:sz="0" w:space="0" w:color="auto"/>
            <w:left w:val="none" w:sz="0" w:space="0" w:color="auto"/>
            <w:bottom w:val="none" w:sz="0" w:space="0" w:color="auto"/>
            <w:right w:val="none" w:sz="0" w:space="0" w:color="auto"/>
          </w:divBdr>
        </w:div>
      </w:divsChild>
    </w:div>
    <w:div w:id="659622284">
      <w:bodyDiv w:val="1"/>
      <w:marLeft w:val="0"/>
      <w:marRight w:val="0"/>
      <w:marTop w:val="0"/>
      <w:marBottom w:val="0"/>
      <w:divBdr>
        <w:top w:val="none" w:sz="0" w:space="0" w:color="auto"/>
        <w:left w:val="none" w:sz="0" w:space="0" w:color="auto"/>
        <w:bottom w:val="none" w:sz="0" w:space="0" w:color="auto"/>
        <w:right w:val="none" w:sz="0" w:space="0" w:color="auto"/>
      </w:divBdr>
    </w:div>
    <w:div w:id="659817153">
      <w:bodyDiv w:val="1"/>
      <w:marLeft w:val="0"/>
      <w:marRight w:val="0"/>
      <w:marTop w:val="0"/>
      <w:marBottom w:val="0"/>
      <w:divBdr>
        <w:top w:val="none" w:sz="0" w:space="0" w:color="auto"/>
        <w:left w:val="none" w:sz="0" w:space="0" w:color="auto"/>
        <w:bottom w:val="none" w:sz="0" w:space="0" w:color="auto"/>
        <w:right w:val="none" w:sz="0" w:space="0" w:color="auto"/>
      </w:divBdr>
    </w:div>
    <w:div w:id="689722909">
      <w:bodyDiv w:val="1"/>
      <w:marLeft w:val="0"/>
      <w:marRight w:val="0"/>
      <w:marTop w:val="0"/>
      <w:marBottom w:val="0"/>
      <w:divBdr>
        <w:top w:val="none" w:sz="0" w:space="0" w:color="auto"/>
        <w:left w:val="none" w:sz="0" w:space="0" w:color="auto"/>
        <w:bottom w:val="none" w:sz="0" w:space="0" w:color="auto"/>
        <w:right w:val="none" w:sz="0" w:space="0" w:color="auto"/>
      </w:divBdr>
    </w:div>
    <w:div w:id="693532465">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
    <w:div w:id="754782004">
      <w:bodyDiv w:val="1"/>
      <w:marLeft w:val="0"/>
      <w:marRight w:val="0"/>
      <w:marTop w:val="0"/>
      <w:marBottom w:val="0"/>
      <w:divBdr>
        <w:top w:val="none" w:sz="0" w:space="0" w:color="auto"/>
        <w:left w:val="none" w:sz="0" w:space="0" w:color="auto"/>
        <w:bottom w:val="none" w:sz="0" w:space="0" w:color="auto"/>
        <w:right w:val="none" w:sz="0" w:space="0" w:color="auto"/>
      </w:divBdr>
    </w:div>
    <w:div w:id="779110797">
      <w:bodyDiv w:val="1"/>
      <w:marLeft w:val="0"/>
      <w:marRight w:val="0"/>
      <w:marTop w:val="0"/>
      <w:marBottom w:val="0"/>
      <w:divBdr>
        <w:top w:val="none" w:sz="0" w:space="0" w:color="auto"/>
        <w:left w:val="none" w:sz="0" w:space="0" w:color="auto"/>
        <w:bottom w:val="none" w:sz="0" w:space="0" w:color="auto"/>
        <w:right w:val="none" w:sz="0" w:space="0" w:color="auto"/>
      </w:divBdr>
    </w:div>
    <w:div w:id="841553034">
      <w:bodyDiv w:val="1"/>
      <w:marLeft w:val="0"/>
      <w:marRight w:val="0"/>
      <w:marTop w:val="0"/>
      <w:marBottom w:val="0"/>
      <w:divBdr>
        <w:top w:val="none" w:sz="0" w:space="0" w:color="auto"/>
        <w:left w:val="none" w:sz="0" w:space="0" w:color="auto"/>
        <w:bottom w:val="none" w:sz="0" w:space="0" w:color="auto"/>
        <w:right w:val="none" w:sz="0" w:space="0" w:color="auto"/>
      </w:divBdr>
    </w:div>
    <w:div w:id="855656352">
      <w:bodyDiv w:val="1"/>
      <w:marLeft w:val="0"/>
      <w:marRight w:val="0"/>
      <w:marTop w:val="0"/>
      <w:marBottom w:val="0"/>
      <w:divBdr>
        <w:top w:val="none" w:sz="0" w:space="0" w:color="auto"/>
        <w:left w:val="none" w:sz="0" w:space="0" w:color="auto"/>
        <w:bottom w:val="none" w:sz="0" w:space="0" w:color="auto"/>
        <w:right w:val="none" w:sz="0" w:space="0" w:color="auto"/>
      </w:divBdr>
      <w:divsChild>
        <w:div w:id="30030568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9980679">
              <w:marLeft w:val="0"/>
              <w:marRight w:val="0"/>
              <w:marTop w:val="0"/>
              <w:marBottom w:val="0"/>
              <w:divBdr>
                <w:top w:val="none" w:sz="0" w:space="0" w:color="auto"/>
                <w:left w:val="none" w:sz="0" w:space="0" w:color="auto"/>
                <w:bottom w:val="none" w:sz="0" w:space="0" w:color="auto"/>
                <w:right w:val="none" w:sz="0" w:space="0" w:color="auto"/>
              </w:divBdr>
              <w:divsChild>
                <w:div w:id="686296604">
                  <w:marLeft w:val="0"/>
                  <w:marRight w:val="0"/>
                  <w:marTop w:val="0"/>
                  <w:marBottom w:val="0"/>
                  <w:divBdr>
                    <w:top w:val="none" w:sz="0" w:space="0" w:color="auto"/>
                    <w:left w:val="none" w:sz="0" w:space="0" w:color="auto"/>
                    <w:bottom w:val="none" w:sz="0" w:space="0" w:color="auto"/>
                    <w:right w:val="none" w:sz="0" w:space="0" w:color="auto"/>
                  </w:divBdr>
                  <w:divsChild>
                    <w:div w:id="11671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5121530">
      <w:bodyDiv w:val="1"/>
      <w:marLeft w:val="0"/>
      <w:marRight w:val="0"/>
      <w:marTop w:val="0"/>
      <w:marBottom w:val="0"/>
      <w:divBdr>
        <w:top w:val="none" w:sz="0" w:space="0" w:color="auto"/>
        <w:left w:val="none" w:sz="0" w:space="0" w:color="auto"/>
        <w:bottom w:val="none" w:sz="0" w:space="0" w:color="auto"/>
        <w:right w:val="none" w:sz="0" w:space="0" w:color="auto"/>
      </w:divBdr>
    </w:div>
    <w:div w:id="892813214">
      <w:bodyDiv w:val="1"/>
      <w:marLeft w:val="0"/>
      <w:marRight w:val="0"/>
      <w:marTop w:val="0"/>
      <w:marBottom w:val="0"/>
      <w:divBdr>
        <w:top w:val="none" w:sz="0" w:space="0" w:color="auto"/>
        <w:left w:val="none" w:sz="0" w:space="0" w:color="auto"/>
        <w:bottom w:val="none" w:sz="0" w:space="0" w:color="auto"/>
        <w:right w:val="none" w:sz="0" w:space="0" w:color="auto"/>
      </w:divBdr>
    </w:div>
    <w:div w:id="912861199">
      <w:bodyDiv w:val="1"/>
      <w:marLeft w:val="0"/>
      <w:marRight w:val="0"/>
      <w:marTop w:val="0"/>
      <w:marBottom w:val="0"/>
      <w:divBdr>
        <w:top w:val="none" w:sz="0" w:space="0" w:color="auto"/>
        <w:left w:val="none" w:sz="0" w:space="0" w:color="auto"/>
        <w:bottom w:val="none" w:sz="0" w:space="0" w:color="auto"/>
        <w:right w:val="none" w:sz="0" w:space="0" w:color="auto"/>
      </w:divBdr>
    </w:div>
    <w:div w:id="929242175">
      <w:bodyDiv w:val="1"/>
      <w:marLeft w:val="0"/>
      <w:marRight w:val="0"/>
      <w:marTop w:val="0"/>
      <w:marBottom w:val="0"/>
      <w:divBdr>
        <w:top w:val="none" w:sz="0" w:space="0" w:color="auto"/>
        <w:left w:val="none" w:sz="0" w:space="0" w:color="auto"/>
        <w:bottom w:val="none" w:sz="0" w:space="0" w:color="auto"/>
        <w:right w:val="none" w:sz="0" w:space="0" w:color="auto"/>
      </w:divBdr>
    </w:div>
    <w:div w:id="958989868">
      <w:bodyDiv w:val="1"/>
      <w:marLeft w:val="0"/>
      <w:marRight w:val="0"/>
      <w:marTop w:val="0"/>
      <w:marBottom w:val="0"/>
      <w:divBdr>
        <w:top w:val="none" w:sz="0" w:space="0" w:color="auto"/>
        <w:left w:val="none" w:sz="0" w:space="0" w:color="auto"/>
        <w:bottom w:val="none" w:sz="0" w:space="0" w:color="auto"/>
        <w:right w:val="none" w:sz="0" w:space="0" w:color="auto"/>
      </w:divBdr>
    </w:div>
    <w:div w:id="990913883">
      <w:bodyDiv w:val="1"/>
      <w:marLeft w:val="0"/>
      <w:marRight w:val="0"/>
      <w:marTop w:val="0"/>
      <w:marBottom w:val="0"/>
      <w:divBdr>
        <w:top w:val="none" w:sz="0" w:space="0" w:color="auto"/>
        <w:left w:val="none" w:sz="0" w:space="0" w:color="auto"/>
        <w:bottom w:val="none" w:sz="0" w:space="0" w:color="auto"/>
        <w:right w:val="none" w:sz="0" w:space="0" w:color="auto"/>
      </w:divBdr>
    </w:div>
    <w:div w:id="995648585">
      <w:bodyDiv w:val="1"/>
      <w:marLeft w:val="0"/>
      <w:marRight w:val="0"/>
      <w:marTop w:val="0"/>
      <w:marBottom w:val="0"/>
      <w:divBdr>
        <w:top w:val="none" w:sz="0" w:space="0" w:color="auto"/>
        <w:left w:val="none" w:sz="0" w:space="0" w:color="auto"/>
        <w:bottom w:val="none" w:sz="0" w:space="0" w:color="auto"/>
        <w:right w:val="none" w:sz="0" w:space="0" w:color="auto"/>
      </w:divBdr>
    </w:div>
    <w:div w:id="999969909">
      <w:bodyDiv w:val="1"/>
      <w:marLeft w:val="0"/>
      <w:marRight w:val="0"/>
      <w:marTop w:val="0"/>
      <w:marBottom w:val="0"/>
      <w:divBdr>
        <w:top w:val="none" w:sz="0" w:space="0" w:color="auto"/>
        <w:left w:val="none" w:sz="0" w:space="0" w:color="auto"/>
        <w:bottom w:val="none" w:sz="0" w:space="0" w:color="auto"/>
        <w:right w:val="none" w:sz="0" w:space="0" w:color="auto"/>
      </w:divBdr>
    </w:div>
    <w:div w:id="1025903251">
      <w:bodyDiv w:val="1"/>
      <w:marLeft w:val="0"/>
      <w:marRight w:val="0"/>
      <w:marTop w:val="0"/>
      <w:marBottom w:val="0"/>
      <w:divBdr>
        <w:top w:val="none" w:sz="0" w:space="0" w:color="auto"/>
        <w:left w:val="none" w:sz="0" w:space="0" w:color="auto"/>
        <w:bottom w:val="none" w:sz="0" w:space="0" w:color="auto"/>
        <w:right w:val="none" w:sz="0" w:space="0" w:color="auto"/>
      </w:divBdr>
    </w:div>
    <w:div w:id="1139151112">
      <w:bodyDiv w:val="1"/>
      <w:marLeft w:val="0"/>
      <w:marRight w:val="0"/>
      <w:marTop w:val="0"/>
      <w:marBottom w:val="0"/>
      <w:divBdr>
        <w:top w:val="none" w:sz="0" w:space="0" w:color="auto"/>
        <w:left w:val="none" w:sz="0" w:space="0" w:color="auto"/>
        <w:bottom w:val="none" w:sz="0" w:space="0" w:color="auto"/>
        <w:right w:val="none" w:sz="0" w:space="0" w:color="auto"/>
      </w:divBdr>
    </w:div>
    <w:div w:id="1139493660">
      <w:bodyDiv w:val="1"/>
      <w:marLeft w:val="0"/>
      <w:marRight w:val="0"/>
      <w:marTop w:val="0"/>
      <w:marBottom w:val="0"/>
      <w:divBdr>
        <w:top w:val="none" w:sz="0" w:space="0" w:color="auto"/>
        <w:left w:val="none" w:sz="0" w:space="0" w:color="auto"/>
        <w:bottom w:val="none" w:sz="0" w:space="0" w:color="auto"/>
        <w:right w:val="none" w:sz="0" w:space="0" w:color="auto"/>
      </w:divBdr>
    </w:div>
    <w:div w:id="1207764892">
      <w:bodyDiv w:val="1"/>
      <w:marLeft w:val="0"/>
      <w:marRight w:val="0"/>
      <w:marTop w:val="0"/>
      <w:marBottom w:val="0"/>
      <w:divBdr>
        <w:top w:val="none" w:sz="0" w:space="0" w:color="auto"/>
        <w:left w:val="none" w:sz="0" w:space="0" w:color="auto"/>
        <w:bottom w:val="none" w:sz="0" w:space="0" w:color="auto"/>
        <w:right w:val="none" w:sz="0" w:space="0" w:color="auto"/>
      </w:divBdr>
    </w:div>
    <w:div w:id="1246106996">
      <w:bodyDiv w:val="1"/>
      <w:marLeft w:val="0"/>
      <w:marRight w:val="0"/>
      <w:marTop w:val="0"/>
      <w:marBottom w:val="0"/>
      <w:divBdr>
        <w:top w:val="none" w:sz="0" w:space="0" w:color="auto"/>
        <w:left w:val="none" w:sz="0" w:space="0" w:color="auto"/>
        <w:bottom w:val="none" w:sz="0" w:space="0" w:color="auto"/>
        <w:right w:val="none" w:sz="0" w:space="0" w:color="auto"/>
      </w:divBdr>
    </w:div>
    <w:div w:id="1264267555">
      <w:bodyDiv w:val="1"/>
      <w:marLeft w:val="0"/>
      <w:marRight w:val="0"/>
      <w:marTop w:val="0"/>
      <w:marBottom w:val="0"/>
      <w:divBdr>
        <w:top w:val="none" w:sz="0" w:space="0" w:color="auto"/>
        <w:left w:val="none" w:sz="0" w:space="0" w:color="auto"/>
        <w:bottom w:val="none" w:sz="0" w:space="0" w:color="auto"/>
        <w:right w:val="none" w:sz="0" w:space="0" w:color="auto"/>
      </w:divBdr>
    </w:div>
    <w:div w:id="1297685398">
      <w:bodyDiv w:val="1"/>
      <w:marLeft w:val="0"/>
      <w:marRight w:val="0"/>
      <w:marTop w:val="0"/>
      <w:marBottom w:val="0"/>
      <w:divBdr>
        <w:top w:val="none" w:sz="0" w:space="0" w:color="auto"/>
        <w:left w:val="none" w:sz="0" w:space="0" w:color="auto"/>
        <w:bottom w:val="none" w:sz="0" w:space="0" w:color="auto"/>
        <w:right w:val="none" w:sz="0" w:space="0" w:color="auto"/>
      </w:divBdr>
    </w:div>
    <w:div w:id="1315377141">
      <w:bodyDiv w:val="1"/>
      <w:marLeft w:val="0"/>
      <w:marRight w:val="0"/>
      <w:marTop w:val="0"/>
      <w:marBottom w:val="0"/>
      <w:divBdr>
        <w:top w:val="none" w:sz="0" w:space="0" w:color="auto"/>
        <w:left w:val="none" w:sz="0" w:space="0" w:color="auto"/>
        <w:bottom w:val="none" w:sz="0" w:space="0" w:color="auto"/>
        <w:right w:val="none" w:sz="0" w:space="0" w:color="auto"/>
      </w:divBdr>
    </w:div>
    <w:div w:id="1316031824">
      <w:bodyDiv w:val="1"/>
      <w:marLeft w:val="0"/>
      <w:marRight w:val="0"/>
      <w:marTop w:val="0"/>
      <w:marBottom w:val="0"/>
      <w:divBdr>
        <w:top w:val="none" w:sz="0" w:space="0" w:color="auto"/>
        <w:left w:val="none" w:sz="0" w:space="0" w:color="auto"/>
        <w:bottom w:val="none" w:sz="0" w:space="0" w:color="auto"/>
        <w:right w:val="none" w:sz="0" w:space="0" w:color="auto"/>
      </w:divBdr>
    </w:div>
    <w:div w:id="1339387845">
      <w:bodyDiv w:val="1"/>
      <w:marLeft w:val="0"/>
      <w:marRight w:val="0"/>
      <w:marTop w:val="0"/>
      <w:marBottom w:val="0"/>
      <w:divBdr>
        <w:top w:val="none" w:sz="0" w:space="0" w:color="auto"/>
        <w:left w:val="none" w:sz="0" w:space="0" w:color="auto"/>
        <w:bottom w:val="none" w:sz="0" w:space="0" w:color="auto"/>
        <w:right w:val="none" w:sz="0" w:space="0" w:color="auto"/>
      </w:divBdr>
    </w:div>
    <w:div w:id="1343623978">
      <w:bodyDiv w:val="1"/>
      <w:marLeft w:val="0"/>
      <w:marRight w:val="0"/>
      <w:marTop w:val="0"/>
      <w:marBottom w:val="0"/>
      <w:divBdr>
        <w:top w:val="none" w:sz="0" w:space="0" w:color="auto"/>
        <w:left w:val="none" w:sz="0" w:space="0" w:color="auto"/>
        <w:bottom w:val="none" w:sz="0" w:space="0" w:color="auto"/>
        <w:right w:val="none" w:sz="0" w:space="0" w:color="auto"/>
      </w:divBdr>
    </w:div>
    <w:div w:id="1404378681">
      <w:bodyDiv w:val="1"/>
      <w:marLeft w:val="0"/>
      <w:marRight w:val="0"/>
      <w:marTop w:val="0"/>
      <w:marBottom w:val="0"/>
      <w:divBdr>
        <w:top w:val="none" w:sz="0" w:space="0" w:color="auto"/>
        <w:left w:val="none" w:sz="0" w:space="0" w:color="auto"/>
        <w:bottom w:val="none" w:sz="0" w:space="0" w:color="auto"/>
        <w:right w:val="none" w:sz="0" w:space="0" w:color="auto"/>
      </w:divBdr>
    </w:div>
    <w:div w:id="1423914744">
      <w:bodyDiv w:val="1"/>
      <w:marLeft w:val="0"/>
      <w:marRight w:val="0"/>
      <w:marTop w:val="0"/>
      <w:marBottom w:val="0"/>
      <w:divBdr>
        <w:top w:val="none" w:sz="0" w:space="0" w:color="auto"/>
        <w:left w:val="none" w:sz="0" w:space="0" w:color="auto"/>
        <w:bottom w:val="none" w:sz="0" w:space="0" w:color="auto"/>
        <w:right w:val="none" w:sz="0" w:space="0" w:color="auto"/>
      </w:divBdr>
    </w:div>
    <w:div w:id="1447043163">
      <w:bodyDiv w:val="1"/>
      <w:marLeft w:val="0"/>
      <w:marRight w:val="0"/>
      <w:marTop w:val="0"/>
      <w:marBottom w:val="0"/>
      <w:divBdr>
        <w:top w:val="none" w:sz="0" w:space="0" w:color="auto"/>
        <w:left w:val="none" w:sz="0" w:space="0" w:color="auto"/>
        <w:bottom w:val="none" w:sz="0" w:space="0" w:color="auto"/>
        <w:right w:val="none" w:sz="0" w:space="0" w:color="auto"/>
      </w:divBdr>
    </w:div>
    <w:div w:id="1454405368">
      <w:bodyDiv w:val="1"/>
      <w:marLeft w:val="0"/>
      <w:marRight w:val="0"/>
      <w:marTop w:val="0"/>
      <w:marBottom w:val="0"/>
      <w:divBdr>
        <w:top w:val="none" w:sz="0" w:space="0" w:color="auto"/>
        <w:left w:val="none" w:sz="0" w:space="0" w:color="auto"/>
        <w:bottom w:val="none" w:sz="0" w:space="0" w:color="auto"/>
        <w:right w:val="none" w:sz="0" w:space="0" w:color="auto"/>
      </w:divBdr>
    </w:div>
    <w:div w:id="1455323895">
      <w:bodyDiv w:val="1"/>
      <w:marLeft w:val="0"/>
      <w:marRight w:val="0"/>
      <w:marTop w:val="0"/>
      <w:marBottom w:val="0"/>
      <w:divBdr>
        <w:top w:val="none" w:sz="0" w:space="0" w:color="auto"/>
        <w:left w:val="none" w:sz="0" w:space="0" w:color="auto"/>
        <w:bottom w:val="none" w:sz="0" w:space="0" w:color="auto"/>
        <w:right w:val="none" w:sz="0" w:space="0" w:color="auto"/>
      </w:divBdr>
    </w:div>
    <w:div w:id="1604918867">
      <w:bodyDiv w:val="1"/>
      <w:marLeft w:val="0"/>
      <w:marRight w:val="0"/>
      <w:marTop w:val="0"/>
      <w:marBottom w:val="0"/>
      <w:divBdr>
        <w:top w:val="none" w:sz="0" w:space="0" w:color="auto"/>
        <w:left w:val="none" w:sz="0" w:space="0" w:color="auto"/>
        <w:bottom w:val="none" w:sz="0" w:space="0" w:color="auto"/>
        <w:right w:val="none" w:sz="0" w:space="0" w:color="auto"/>
      </w:divBdr>
    </w:div>
    <w:div w:id="1628661271">
      <w:bodyDiv w:val="1"/>
      <w:marLeft w:val="0"/>
      <w:marRight w:val="0"/>
      <w:marTop w:val="0"/>
      <w:marBottom w:val="0"/>
      <w:divBdr>
        <w:top w:val="none" w:sz="0" w:space="0" w:color="auto"/>
        <w:left w:val="none" w:sz="0" w:space="0" w:color="auto"/>
        <w:bottom w:val="none" w:sz="0" w:space="0" w:color="auto"/>
        <w:right w:val="none" w:sz="0" w:space="0" w:color="auto"/>
      </w:divBdr>
    </w:div>
    <w:div w:id="1666547046">
      <w:bodyDiv w:val="1"/>
      <w:marLeft w:val="0"/>
      <w:marRight w:val="0"/>
      <w:marTop w:val="0"/>
      <w:marBottom w:val="0"/>
      <w:divBdr>
        <w:top w:val="none" w:sz="0" w:space="0" w:color="auto"/>
        <w:left w:val="none" w:sz="0" w:space="0" w:color="auto"/>
        <w:bottom w:val="none" w:sz="0" w:space="0" w:color="auto"/>
        <w:right w:val="none" w:sz="0" w:space="0" w:color="auto"/>
      </w:divBdr>
    </w:div>
    <w:div w:id="1677728991">
      <w:bodyDiv w:val="1"/>
      <w:marLeft w:val="0"/>
      <w:marRight w:val="0"/>
      <w:marTop w:val="0"/>
      <w:marBottom w:val="0"/>
      <w:divBdr>
        <w:top w:val="none" w:sz="0" w:space="0" w:color="auto"/>
        <w:left w:val="none" w:sz="0" w:space="0" w:color="auto"/>
        <w:bottom w:val="none" w:sz="0" w:space="0" w:color="auto"/>
        <w:right w:val="none" w:sz="0" w:space="0" w:color="auto"/>
      </w:divBdr>
    </w:div>
    <w:div w:id="1685744033">
      <w:bodyDiv w:val="1"/>
      <w:marLeft w:val="0"/>
      <w:marRight w:val="0"/>
      <w:marTop w:val="0"/>
      <w:marBottom w:val="0"/>
      <w:divBdr>
        <w:top w:val="none" w:sz="0" w:space="0" w:color="auto"/>
        <w:left w:val="none" w:sz="0" w:space="0" w:color="auto"/>
        <w:bottom w:val="none" w:sz="0" w:space="0" w:color="auto"/>
        <w:right w:val="none" w:sz="0" w:space="0" w:color="auto"/>
      </w:divBdr>
    </w:div>
    <w:div w:id="1687824002">
      <w:bodyDiv w:val="1"/>
      <w:marLeft w:val="0"/>
      <w:marRight w:val="0"/>
      <w:marTop w:val="0"/>
      <w:marBottom w:val="0"/>
      <w:divBdr>
        <w:top w:val="none" w:sz="0" w:space="0" w:color="auto"/>
        <w:left w:val="none" w:sz="0" w:space="0" w:color="auto"/>
        <w:bottom w:val="none" w:sz="0" w:space="0" w:color="auto"/>
        <w:right w:val="none" w:sz="0" w:space="0" w:color="auto"/>
      </w:divBdr>
    </w:div>
    <w:div w:id="1693800423">
      <w:bodyDiv w:val="1"/>
      <w:marLeft w:val="0"/>
      <w:marRight w:val="0"/>
      <w:marTop w:val="0"/>
      <w:marBottom w:val="0"/>
      <w:divBdr>
        <w:top w:val="none" w:sz="0" w:space="0" w:color="auto"/>
        <w:left w:val="none" w:sz="0" w:space="0" w:color="auto"/>
        <w:bottom w:val="none" w:sz="0" w:space="0" w:color="auto"/>
        <w:right w:val="none" w:sz="0" w:space="0" w:color="auto"/>
      </w:divBdr>
    </w:div>
    <w:div w:id="1696273639">
      <w:bodyDiv w:val="1"/>
      <w:marLeft w:val="0"/>
      <w:marRight w:val="0"/>
      <w:marTop w:val="0"/>
      <w:marBottom w:val="0"/>
      <w:divBdr>
        <w:top w:val="none" w:sz="0" w:space="0" w:color="auto"/>
        <w:left w:val="none" w:sz="0" w:space="0" w:color="auto"/>
        <w:bottom w:val="none" w:sz="0" w:space="0" w:color="auto"/>
        <w:right w:val="none" w:sz="0" w:space="0" w:color="auto"/>
      </w:divBdr>
    </w:div>
    <w:div w:id="1708947949">
      <w:bodyDiv w:val="1"/>
      <w:marLeft w:val="0"/>
      <w:marRight w:val="0"/>
      <w:marTop w:val="0"/>
      <w:marBottom w:val="0"/>
      <w:divBdr>
        <w:top w:val="none" w:sz="0" w:space="0" w:color="auto"/>
        <w:left w:val="none" w:sz="0" w:space="0" w:color="auto"/>
        <w:bottom w:val="none" w:sz="0" w:space="0" w:color="auto"/>
        <w:right w:val="none" w:sz="0" w:space="0" w:color="auto"/>
      </w:divBdr>
    </w:div>
    <w:div w:id="1732726177">
      <w:bodyDiv w:val="1"/>
      <w:marLeft w:val="0"/>
      <w:marRight w:val="0"/>
      <w:marTop w:val="0"/>
      <w:marBottom w:val="0"/>
      <w:divBdr>
        <w:top w:val="none" w:sz="0" w:space="0" w:color="auto"/>
        <w:left w:val="none" w:sz="0" w:space="0" w:color="auto"/>
        <w:bottom w:val="none" w:sz="0" w:space="0" w:color="auto"/>
        <w:right w:val="none" w:sz="0" w:space="0" w:color="auto"/>
      </w:divBdr>
    </w:div>
    <w:div w:id="1733382972">
      <w:bodyDiv w:val="1"/>
      <w:marLeft w:val="0"/>
      <w:marRight w:val="0"/>
      <w:marTop w:val="0"/>
      <w:marBottom w:val="0"/>
      <w:divBdr>
        <w:top w:val="none" w:sz="0" w:space="0" w:color="auto"/>
        <w:left w:val="none" w:sz="0" w:space="0" w:color="auto"/>
        <w:bottom w:val="none" w:sz="0" w:space="0" w:color="auto"/>
        <w:right w:val="none" w:sz="0" w:space="0" w:color="auto"/>
      </w:divBdr>
    </w:div>
    <w:div w:id="1749229641">
      <w:bodyDiv w:val="1"/>
      <w:marLeft w:val="0"/>
      <w:marRight w:val="0"/>
      <w:marTop w:val="0"/>
      <w:marBottom w:val="0"/>
      <w:divBdr>
        <w:top w:val="none" w:sz="0" w:space="0" w:color="auto"/>
        <w:left w:val="none" w:sz="0" w:space="0" w:color="auto"/>
        <w:bottom w:val="none" w:sz="0" w:space="0" w:color="auto"/>
        <w:right w:val="none" w:sz="0" w:space="0" w:color="auto"/>
      </w:divBdr>
    </w:div>
    <w:div w:id="1755321734">
      <w:bodyDiv w:val="1"/>
      <w:marLeft w:val="0"/>
      <w:marRight w:val="0"/>
      <w:marTop w:val="0"/>
      <w:marBottom w:val="0"/>
      <w:divBdr>
        <w:top w:val="none" w:sz="0" w:space="0" w:color="auto"/>
        <w:left w:val="none" w:sz="0" w:space="0" w:color="auto"/>
        <w:bottom w:val="none" w:sz="0" w:space="0" w:color="auto"/>
        <w:right w:val="none" w:sz="0" w:space="0" w:color="auto"/>
      </w:divBdr>
    </w:div>
    <w:div w:id="1759986509">
      <w:bodyDiv w:val="1"/>
      <w:marLeft w:val="0"/>
      <w:marRight w:val="0"/>
      <w:marTop w:val="0"/>
      <w:marBottom w:val="0"/>
      <w:divBdr>
        <w:top w:val="none" w:sz="0" w:space="0" w:color="auto"/>
        <w:left w:val="none" w:sz="0" w:space="0" w:color="auto"/>
        <w:bottom w:val="none" w:sz="0" w:space="0" w:color="auto"/>
        <w:right w:val="none" w:sz="0" w:space="0" w:color="auto"/>
      </w:divBdr>
    </w:div>
    <w:div w:id="1770854261">
      <w:bodyDiv w:val="1"/>
      <w:marLeft w:val="0"/>
      <w:marRight w:val="0"/>
      <w:marTop w:val="0"/>
      <w:marBottom w:val="0"/>
      <w:divBdr>
        <w:top w:val="none" w:sz="0" w:space="0" w:color="auto"/>
        <w:left w:val="none" w:sz="0" w:space="0" w:color="auto"/>
        <w:bottom w:val="none" w:sz="0" w:space="0" w:color="auto"/>
        <w:right w:val="none" w:sz="0" w:space="0" w:color="auto"/>
      </w:divBdr>
    </w:div>
    <w:div w:id="1786077278">
      <w:bodyDiv w:val="1"/>
      <w:marLeft w:val="0"/>
      <w:marRight w:val="0"/>
      <w:marTop w:val="0"/>
      <w:marBottom w:val="0"/>
      <w:divBdr>
        <w:top w:val="none" w:sz="0" w:space="0" w:color="auto"/>
        <w:left w:val="none" w:sz="0" w:space="0" w:color="auto"/>
        <w:bottom w:val="none" w:sz="0" w:space="0" w:color="auto"/>
        <w:right w:val="none" w:sz="0" w:space="0" w:color="auto"/>
      </w:divBdr>
    </w:div>
    <w:div w:id="1794863709">
      <w:bodyDiv w:val="1"/>
      <w:marLeft w:val="0"/>
      <w:marRight w:val="0"/>
      <w:marTop w:val="0"/>
      <w:marBottom w:val="0"/>
      <w:divBdr>
        <w:top w:val="none" w:sz="0" w:space="0" w:color="auto"/>
        <w:left w:val="none" w:sz="0" w:space="0" w:color="auto"/>
        <w:bottom w:val="none" w:sz="0" w:space="0" w:color="auto"/>
        <w:right w:val="none" w:sz="0" w:space="0" w:color="auto"/>
      </w:divBdr>
    </w:div>
    <w:div w:id="1806661055">
      <w:bodyDiv w:val="1"/>
      <w:marLeft w:val="0"/>
      <w:marRight w:val="0"/>
      <w:marTop w:val="0"/>
      <w:marBottom w:val="0"/>
      <w:divBdr>
        <w:top w:val="none" w:sz="0" w:space="0" w:color="auto"/>
        <w:left w:val="none" w:sz="0" w:space="0" w:color="auto"/>
        <w:bottom w:val="none" w:sz="0" w:space="0" w:color="auto"/>
        <w:right w:val="none" w:sz="0" w:space="0" w:color="auto"/>
      </w:divBdr>
      <w:divsChild>
        <w:div w:id="2095468742">
          <w:marLeft w:val="0"/>
          <w:marRight w:val="0"/>
          <w:marTop w:val="0"/>
          <w:marBottom w:val="0"/>
          <w:divBdr>
            <w:top w:val="none" w:sz="0" w:space="0" w:color="auto"/>
            <w:left w:val="none" w:sz="0" w:space="0" w:color="auto"/>
            <w:bottom w:val="none" w:sz="0" w:space="0" w:color="auto"/>
            <w:right w:val="none" w:sz="0" w:space="0" w:color="auto"/>
          </w:divBdr>
          <w:divsChild>
            <w:div w:id="449280001">
              <w:marLeft w:val="0"/>
              <w:marRight w:val="0"/>
              <w:marTop w:val="0"/>
              <w:marBottom w:val="0"/>
              <w:divBdr>
                <w:top w:val="none" w:sz="0" w:space="0" w:color="auto"/>
                <w:left w:val="none" w:sz="0" w:space="0" w:color="auto"/>
                <w:bottom w:val="none" w:sz="0" w:space="0" w:color="auto"/>
                <w:right w:val="none" w:sz="0" w:space="0" w:color="auto"/>
              </w:divBdr>
              <w:divsChild>
                <w:div w:id="24912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925611">
      <w:bodyDiv w:val="1"/>
      <w:marLeft w:val="0"/>
      <w:marRight w:val="0"/>
      <w:marTop w:val="0"/>
      <w:marBottom w:val="0"/>
      <w:divBdr>
        <w:top w:val="none" w:sz="0" w:space="0" w:color="auto"/>
        <w:left w:val="none" w:sz="0" w:space="0" w:color="auto"/>
        <w:bottom w:val="none" w:sz="0" w:space="0" w:color="auto"/>
        <w:right w:val="none" w:sz="0" w:space="0" w:color="auto"/>
      </w:divBdr>
    </w:div>
    <w:div w:id="1863861933">
      <w:bodyDiv w:val="1"/>
      <w:marLeft w:val="0"/>
      <w:marRight w:val="0"/>
      <w:marTop w:val="0"/>
      <w:marBottom w:val="0"/>
      <w:divBdr>
        <w:top w:val="none" w:sz="0" w:space="0" w:color="auto"/>
        <w:left w:val="none" w:sz="0" w:space="0" w:color="auto"/>
        <w:bottom w:val="none" w:sz="0" w:space="0" w:color="auto"/>
        <w:right w:val="none" w:sz="0" w:space="0" w:color="auto"/>
      </w:divBdr>
    </w:div>
    <w:div w:id="1866870060">
      <w:bodyDiv w:val="1"/>
      <w:marLeft w:val="0"/>
      <w:marRight w:val="0"/>
      <w:marTop w:val="0"/>
      <w:marBottom w:val="0"/>
      <w:divBdr>
        <w:top w:val="none" w:sz="0" w:space="0" w:color="auto"/>
        <w:left w:val="none" w:sz="0" w:space="0" w:color="auto"/>
        <w:bottom w:val="none" w:sz="0" w:space="0" w:color="auto"/>
        <w:right w:val="none" w:sz="0" w:space="0" w:color="auto"/>
      </w:divBdr>
    </w:div>
    <w:div w:id="1872110540">
      <w:bodyDiv w:val="1"/>
      <w:marLeft w:val="0"/>
      <w:marRight w:val="0"/>
      <w:marTop w:val="0"/>
      <w:marBottom w:val="0"/>
      <w:divBdr>
        <w:top w:val="none" w:sz="0" w:space="0" w:color="auto"/>
        <w:left w:val="none" w:sz="0" w:space="0" w:color="auto"/>
        <w:bottom w:val="none" w:sz="0" w:space="0" w:color="auto"/>
        <w:right w:val="none" w:sz="0" w:space="0" w:color="auto"/>
      </w:divBdr>
    </w:div>
    <w:div w:id="1887259321">
      <w:bodyDiv w:val="1"/>
      <w:marLeft w:val="0"/>
      <w:marRight w:val="0"/>
      <w:marTop w:val="0"/>
      <w:marBottom w:val="0"/>
      <w:divBdr>
        <w:top w:val="none" w:sz="0" w:space="0" w:color="auto"/>
        <w:left w:val="none" w:sz="0" w:space="0" w:color="auto"/>
        <w:bottom w:val="none" w:sz="0" w:space="0" w:color="auto"/>
        <w:right w:val="none" w:sz="0" w:space="0" w:color="auto"/>
      </w:divBdr>
    </w:div>
    <w:div w:id="1888103532">
      <w:bodyDiv w:val="1"/>
      <w:marLeft w:val="0"/>
      <w:marRight w:val="0"/>
      <w:marTop w:val="0"/>
      <w:marBottom w:val="0"/>
      <w:divBdr>
        <w:top w:val="none" w:sz="0" w:space="0" w:color="auto"/>
        <w:left w:val="none" w:sz="0" w:space="0" w:color="auto"/>
        <w:bottom w:val="none" w:sz="0" w:space="0" w:color="auto"/>
        <w:right w:val="none" w:sz="0" w:space="0" w:color="auto"/>
      </w:divBdr>
    </w:div>
    <w:div w:id="1899971032">
      <w:bodyDiv w:val="1"/>
      <w:marLeft w:val="0"/>
      <w:marRight w:val="0"/>
      <w:marTop w:val="0"/>
      <w:marBottom w:val="0"/>
      <w:divBdr>
        <w:top w:val="none" w:sz="0" w:space="0" w:color="auto"/>
        <w:left w:val="none" w:sz="0" w:space="0" w:color="auto"/>
        <w:bottom w:val="none" w:sz="0" w:space="0" w:color="auto"/>
        <w:right w:val="none" w:sz="0" w:space="0" w:color="auto"/>
      </w:divBdr>
    </w:div>
    <w:div w:id="1906718291">
      <w:bodyDiv w:val="1"/>
      <w:marLeft w:val="0"/>
      <w:marRight w:val="0"/>
      <w:marTop w:val="0"/>
      <w:marBottom w:val="0"/>
      <w:divBdr>
        <w:top w:val="none" w:sz="0" w:space="0" w:color="auto"/>
        <w:left w:val="none" w:sz="0" w:space="0" w:color="auto"/>
        <w:bottom w:val="none" w:sz="0" w:space="0" w:color="auto"/>
        <w:right w:val="none" w:sz="0" w:space="0" w:color="auto"/>
      </w:divBdr>
    </w:div>
    <w:div w:id="1908764889">
      <w:bodyDiv w:val="1"/>
      <w:marLeft w:val="0"/>
      <w:marRight w:val="0"/>
      <w:marTop w:val="0"/>
      <w:marBottom w:val="0"/>
      <w:divBdr>
        <w:top w:val="none" w:sz="0" w:space="0" w:color="auto"/>
        <w:left w:val="none" w:sz="0" w:space="0" w:color="auto"/>
        <w:bottom w:val="none" w:sz="0" w:space="0" w:color="auto"/>
        <w:right w:val="none" w:sz="0" w:space="0" w:color="auto"/>
      </w:divBdr>
    </w:div>
    <w:div w:id="1944485854">
      <w:bodyDiv w:val="1"/>
      <w:marLeft w:val="0"/>
      <w:marRight w:val="0"/>
      <w:marTop w:val="0"/>
      <w:marBottom w:val="0"/>
      <w:divBdr>
        <w:top w:val="none" w:sz="0" w:space="0" w:color="auto"/>
        <w:left w:val="none" w:sz="0" w:space="0" w:color="auto"/>
        <w:bottom w:val="none" w:sz="0" w:space="0" w:color="auto"/>
        <w:right w:val="none" w:sz="0" w:space="0" w:color="auto"/>
      </w:divBdr>
    </w:div>
    <w:div w:id="2001814062">
      <w:bodyDiv w:val="1"/>
      <w:marLeft w:val="0"/>
      <w:marRight w:val="0"/>
      <w:marTop w:val="0"/>
      <w:marBottom w:val="0"/>
      <w:divBdr>
        <w:top w:val="none" w:sz="0" w:space="0" w:color="auto"/>
        <w:left w:val="none" w:sz="0" w:space="0" w:color="auto"/>
        <w:bottom w:val="none" w:sz="0" w:space="0" w:color="auto"/>
        <w:right w:val="none" w:sz="0" w:space="0" w:color="auto"/>
      </w:divBdr>
    </w:div>
    <w:div w:id="2013989036">
      <w:bodyDiv w:val="1"/>
      <w:marLeft w:val="0"/>
      <w:marRight w:val="0"/>
      <w:marTop w:val="0"/>
      <w:marBottom w:val="0"/>
      <w:divBdr>
        <w:top w:val="none" w:sz="0" w:space="0" w:color="auto"/>
        <w:left w:val="none" w:sz="0" w:space="0" w:color="auto"/>
        <w:bottom w:val="none" w:sz="0" w:space="0" w:color="auto"/>
        <w:right w:val="none" w:sz="0" w:space="0" w:color="auto"/>
      </w:divBdr>
    </w:div>
    <w:div w:id="2033068310">
      <w:bodyDiv w:val="1"/>
      <w:marLeft w:val="0"/>
      <w:marRight w:val="0"/>
      <w:marTop w:val="0"/>
      <w:marBottom w:val="0"/>
      <w:divBdr>
        <w:top w:val="none" w:sz="0" w:space="0" w:color="auto"/>
        <w:left w:val="none" w:sz="0" w:space="0" w:color="auto"/>
        <w:bottom w:val="none" w:sz="0" w:space="0" w:color="auto"/>
        <w:right w:val="none" w:sz="0" w:space="0" w:color="auto"/>
      </w:divBdr>
    </w:div>
    <w:div w:id="2051416151">
      <w:bodyDiv w:val="1"/>
      <w:marLeft w:val="0"/>
      <w:marRight w:val="0"/>
      <w:marTop w:val="0"/>
      <w:marBottom w:val="0"/>
      <w:divBdr>
        <w:top w:val="none" w:sz="0" w:space="0" w:color="auto"/>
        <w:left w:val="none" w:sz="0" w:space="0" w:color="auto"/>
        <w:bottom w:val="none" w:sz="0" w:space="0" w:color="auto"/>
        <w:right w:val="none" w:sz="0" w:space="0" w:color="auto"/>
      </w:divBdr>
    </w:div>
    <w:div w:id="2075004558">
      <w:bodyDiv w:val="1"/>
      <w:marLeft w:val="0"/>
      <w:marRight w:val="0"/>
      <w:marTop w:val="0"/>
      <w:marBottom w:val="0"/>
      <w:divBdr>
        <w:top w:val="none" w:sz="0" w:space="0" w:color="auto"/>
        <w:left w:val="none" w:sz="0" w:space="0" w:color="auto"/>
        <w:bottom w:val="none" w:sz="0" w:space="0" w:color="auto"/>
        <w:right w:val="none" w:sz="0" w:space="0" w:color="auto"/>
      </w:divBdr>
    </w:div>
    <w:div w:id="2075199799">
      <w:bodyDiv w:val="1"/>
      <w:marLeft w:val="0"/>
      <w:marRight w:val="0"/>
      <w:marTop w:val="0"/>
      <w:marBottom w:val="0"/>
      <w:divBdr>
        <w:top w:val="none" w:sz="0" w:space="0" w:color="auto"/>
        <w:left w:val="none" w:sz="0" w:space="0" w:color="auto"/>
        <w:bottom w:val="none" w:sz="0" w:space="0" w:color="auto"/>
        <w:right w:val="none" w:sz="0" w:space="0" w:color="auto"/>
      </w:divBdr>
    </w:div>
    <w:div w:id="21468507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1.xml"/><Relationship Id="rId21" Type="http://schemas.openxmlformats.org/officeDocument/2006/relationships/hyperlink" Target="https://ec.europa.eu/energy/sites/ener/files/documents/ro_final_necp_main_en.pdf" TargetMode="External"/><Relationship Id="rId42" Type="http://schemas.openxmlformats.org/officeDocument/2006/relationships/chart" Target="charts/chart5.xml"/><Relationship Id="rId63" Type="http://schemas.openxmlformats.org/officeDocument/2006/relationships/image" Target="media/image23.png"/><Relationship Id="rId84" Type="http://schemas.openxmlformats.org/officeDocument/2006/relationships/header" Target="header13.xml"/><Relationship Id="rId138" Type="http://schemas.openxmlformats.org/officeDocument/2006/relationships/image" Target="media/image52.png"/><Relationship Id="rId159" Type="http://schemas.openxmlformats.org/officeDocument/2006/relationships/hyperlink" Target="https://goo.gl/maps/WPbwb2JLdY31xunp9" TargetMode="External"/><Relationship Id="rId170" Type="http://schemas.openxmlformats.org/officeDocument/2006/relationships/image" Target="media/image82.svg"/><Relationship Id="rId191" Type="http://schemas.openxmlformats.org/officeDocument/2006/relationships/hyperlink" Target="https://ec.europa.eu/eurostat/statistics-explained/index.php/Glossary:High-tech" TargetMode="External"/><Relationship Id="rId205" Type="http://schemas.openxmlformats.org/officeDocument/2006/relationships/header" Target="header36.xml"/><Relationship Id="rId226" Type="http://schemas.openxmlformats.org/officeDocument/2006/relationships/hyperlink" Target="https://www.renewables.ninja/" TargetMode="External"/><Relationship Id="rId247" Type="http://schemas.openxmlformats.org/officeDocument/2006/relationships/chart" Target="charts/chart23.xml"/><Relationship Id="rId107" Type="http://schemas.openxmlformats.org/officeDocument/2006/relationships/image" Target="media/image40.png"/><Relationship Id="rId11" Type="http://schemas.openxmlformats.org/officeDocument/2006/relationships/header" Target="header2.xml"/><Relationship Id="rId32" Type="http://schemas.openxmlformats.org/officeDocument/2006/relationships/image" Target="media/image12.png"/><Relationship Id="rId53" Type="http://schemas.openxmlformats.org/officeDocument/2006/relationships/header" Target="header7.xml"/><Relationship Id="rId74" Type="http://schemas.openxmlformats.org/officeDocument/2006/relationships/image" Target="media/image27.png"/><Relationship Id="rId128" Type="http://schemas.openxmlformats.org/officeDocument/2006/relationships/hyperlink" Target="https://ec.europa.eu/eurostat/statistics-explained/index.php/Glossary:High-tech" TargetMode="External"/><Relationship Id="rId149" Type="http://schemas.openxmlformats.org/officeDocument/2006/relationships/header" Target="header28.xml"/><Relationship Id="rId5" Type="http://schemas.openxmlformats.org/officeDocument/2006/relationships/webSettings" Target="webSettings.xml"/><Relationship Id="rId95" Type="http://schemas.openxmlformats.org/officeDocument/2006/relationships/hyperlink" Target="https://ec.europa.eu/eurostat/statistics-explained/index.php/Glossary:High-tech" TargetMode="External"/><Relationship Id="rId160" Type="http://schemas.openxmlformats.org/officeDocument/2006/relationships/hyperlink" Target="https://ec.europa.eu/eurostat/statistics-explained/index.php/Glossary:High-tech" TargetMode="External"/><Relationship Id="rId181" Type="http://schemas.openxmlformats.org/officeDocument/2006/relationships/footer" Target="footer14.xml"/><Relationship Id="rId216" Type="http://schemas.openxmlformats.org/officeDocument/2006/relationships/header" Target="header41.xml"/><Relationship Id="rId237" Type="http://schemas.openxmlformats.org/officeDocument/2006/relationships/header" Target="header42.xml"/><Relationship Id="rId258" Type="http://schemas.openxmlformats.org/officeDocument/2006/relationships/chart" Target="charts/chart34.xml"/><Relationship Id="rId22" Type="http://schemas.openxmlformats.org/officeDocument/2006/relationships/image" Target="media/image6.png"/><Relationship Id="rId43" Type="http://schemas.openxmlformats.org/officeDocument/2006/relationships/chart" Target="charts/chart6.xml"/><Relationship Id="rId64" Type="http://schemas.openxmlformats.org/officeDocument/2006/relationships/image" Target="media/image24.png"/><Relationship Id="rId118" Type="http://schemas.openxmlformats.org/officeDocument/2006/relationships/image" Target="media/image45.png"/><Relationship Id="rId139" Type="http://schemas.openxmlformats.org/officeDocument/2006/relationships/image" Target="media/image65.svg"/><Relationship Id="rId85" Type="http://schemas.openxmlformats.org/officeDocument/2006/relationships/header" Target="header14.xml"/><Relationship Id="rId150" Type="http://schemas.openxmlformats.org/officeDocument/2006/relationships/footer" Target="footer13.xml"/><Relationship Id="rId171" Type="http://schemas.openxmlformats.org/officeDocument/2006/relationships/image" Target="media/image67.png"/><Relationship Id="rId192" Type="http://schemas.openxmlformats.org/officeDocument/2006/relationships/hyperlink" Target="https://ec.europa.eu/eurostat/statistics-explained/index.php/Glossary:High-tech" TargetMode="External"/><Relationship Id="rId206" Type="http://schemas.openxmlformats.org/officeDocument/2006/relationships/header" Target="header37.xml"/><Relationship Id="rId227" Type="http://schemas.openxmlformats.org/officeDocument/2006/relationships/image" Target="media/image88.png"/><Relationship Id="rId248" Type="http://schemas.openxmlformats.org/officeDocument/2006/relationships/chart" Target="charts/chart24.xml"/><Relationship Id="rId12" Type="http://schemas.openxmlformats.org/officeDocument/2006/relationships/footer" Target="footer2.xml"/><Relationship Id="rId33" Type="http://schemas.openxmlformats.org/officeDocument/2006/relationships/image" Target="media/image13.png"/><Relationship Id="rId108" Type="http://schemas.openxmlformats.org/officeDocument/2006/relationships/image" Target="media/image49.svg"/><Relationship Id="rId129" Type="http://schemas.openxmlformats.org/officeDocument/2006/relationships/hyperlink" Target="https://ec.europa.eu/eurostat/statistics-explained/index.php/Glossary:Knowledge-intensive_services_(KIS)" TargetMode="External"/><Relationship Id="rId54" Type="http://schemas.openxmlformats.org/officeDocument/2006/relationships/footer" Target="footer7.xml"/><Relationship Id="rId75" Type="http://schemas.openxmlformats.org/officeDocument/2006/relationships/image" Target="media/image31.svg"/><Relationship Id="rId96" Type="http://schemas.openxmlformats.org/officeDocument/2006/relationships/hyperlink" Target="https://ec.europa.eu/eurostat/statistics-explained/index.php/Glossary:Knowledge-intensive_services_(KIS)" TargetMode="External"/><Relationship Id="rId140" Type="http://schemas.openxmlformats.org/officeDocument/2006/relationships/header" Target="header25.xml"/><Relationship Id="rId161" Type="http://schemas.openxmlformats.org/officeDocument/2006/relationships/hyperlink" Target="https://ec.europa.eu/eurostat/statistics-explained/index.php/Glossary:High-tech" TargetMode="External"/><Relationship Id="rId182" Type="http://schemas.openxmlformats.org/officeDocument/2006/relationships/image" Target="media/image72.png"/><Relationship Id="rId217"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39.xml"/><Relationship Id="rId233" Type="http://schemas.openxmlformats.org/officeDocument/2006/relationships/image" Target="media/image92.png"/><Relationship Id="rId238" Type="http://schemas.openxmlformats.org/officeDocument/2006/relationships/header" Target="header43.xml"/><Relationship Id="rId254" Type="http://schemas.openxmlformats.org/officeDocument/2006/relationships/chart" Target="charts/chart30.xml"/><Relationship Id="rId259" Type="http://schemas.openxmlformats.org/officeDocument/2006/relationships/chart" Target="charts/chart35.xml"/><Relationship Id="rId23" Type="http://schemas.openxmlformats.org/officeDocument/2006/relationships/hyperlink" Target="https://data.bloomberglp.com/professional/sites/24/BNEF-white-paper-EU-coal-transition-Final-6-July.pdf" TargetMode="External"/><Relationship Id="rId28" Type="http://schemas.openxmlformats.org/officeDocument/2006/relationships/image" Target="media/image8.png"/><Relationship Id="rId49" Type="http://schemas.openxmlformats.org/officeDocument/2006/relationships/footer" Target="footer5.xml"/><Relationship Id="rId114" Type="http://schemas.openxmlformats.org/officeDocument/2006/relationships/image" Target="media/image43.jpg"/><Relationship Id="rId119" Type="http://schemas.openxmlformats.org/officeDocument/2006/relationships/header" Target="header22.xml"/><Relationship Id="rId44" Type="http://schemas.openxmlformats.org/officeDocument/2006/relationships/chart" Target="charts/chart7.xml"/><Relationship Id="rId60" Type="http://schemas.openxmlformats.org/officeDocument/2006/relationships/hyperlink" Target="https://ec.europa.eu/eurostat/statistics-explained/index.php/Glossary:High-tech" TargetMode="External"/><Relationship Id="rId81" Type="http://schemas.openxmlformats.org/officeDocument/2006/relationships/image" Target="media/image30.jpg"/><Relationship Id="rId86" Type="http://schemas.openxmlformats.org/officeDocument/2006/relationships/footer" Target="footer8.xml"/><Relationship Id="rId130" Type="http://schemas.openxmlformats.org/officeDocument/2006/relationships/hyperlink" Target="https://ec.europa.eu/eurostat/statistics-explained/index.php/Glossary:Knowledge-intensive_services_(KIS)" TargetMode="External"/><Relationship Id="rId135" Type="http://schemas.openxmlformats.org/officeDocument/2006/relationships/image" Target="media/image61.svg"/><Relationship Id="rId151" Type="http://schemas.openxmlformats.org/officeDocument/2006/relationships/header" Target="header29.xml"/><Relationship Id="rId156" Type="http://schemas.openxmlformats.org/officeDocument/2006/relationships/image" Target="media/image61.png"/><Relationship Id="rId177" Type="http://schemas.openxmlformats.org/officeDocument/2006/relationships/image" Target="media/image70.jpg"/><Relationship Id="rId198" Type="http://schemas.openxmlformats.org/officeDocument/2006/relationships/image" Target="media/image95.svg"/><Relationship Id="rId172" Type="http://schemas.openxmlformats.org/officeDocument/2006/relationships/image" Target="media/image84.svg"/><Relationship Id="rId193" Type="http://schemas.openxmlformats.org/officeDocument/2006/relationships/chart" Target="charts/chart15.xml"/><Relationship Id="rId202" Type="http://schemas.openxmlformats.org/officeDocument/2006/relationships/image" Target="media/image99.svg"/><Relationship Id="rId207" Type="http://schemas.openxmlformats.org/officeDocument/2006/relationships/image" Target="media/image81.jpg"/><Relationship Id="rId223" Type="http://schemas.openxmlformats.org/officeDocument/2006/relationships/hyperlink" Target="https://ec.europa.eu/eurostat/statistics-explained/index.php/Glossary:High-tech" TargetMode="External"/><Relationship Id="rId228" Type="http://schemas.openxmlformats.org/officeDocument/2006/relationships/image" Target="media/image89.png"/><Relationship Id="rId244" Type="http://schemas.openxmlformats.org/officeDocument/2006/relationships/chart" Target="charts/chart20.xml"/><Relationship Id="rId249" Type="http://schemas.openxmlformats.org/officeDocument/2006/relationships/chart" Target="charts/chart25.xml"/><Relationship Id="rId13" Type="http://schemas.openxmlformats.org/officeDocument/2006/relationships/image" Target="media/image3.png"/><Relationship Id="rId18" Type="http://schemas.openxmlformats.org/officeDocument/2006/relationships/image" Target="media/image4.jpeg"/><Relationship Id="rId39" Type="http://schemas.openxmlformats.org/officeDocument/2006/relationships/image" Target="media/image17.jpg"/><Relationship Id="rId109" Type="http://schemas.openxmlformats.org/officeDocument/2006/relationships/header" Target="header17.xml"/><Relationship Id="rId260" Type="http://schemas.openxmlformats.org/officeDocument/2006/relationships/chart" Target="charts/chart36.xml"/><Relationship Id="rId265" Type="http://schemas.openxmlformats.org/officeDocument/2006/relationships/theme" Target="theme/theme1.xml"/><Relationship Id="rId34" Type="http://schemas.openxmlformats.org/officeDocument/2006/relationships/chart" Target="charts/chart3.xml"/><Relationship Id="rId50" Type="http://schemas.openxmlformats.org/officeDocument/2006/relationships/image" Target="media/image20.png"/><Relationship Id="rId55" Type="http://schemas.openxmlformats.org/officeDocument/2006/relationships/header" Target="header8.xml"/><Relationship Id="rId76" Type="http://schemas.openxmlformats.org/officeDocument/2006/relationships/header" Target="header9.xml"/><Relationship Id="rId97" Type="http://schemas.openxmlformats.org/officeDocument/2006/relationships/hyperlink" Target="https://ec.europa.eu/eurostat/statistics-explained/index.php/Glossary:Knowledge-intensive_services_(KIS)" TargetMode="External"/><Relationship Id="rId104" Type="http://schemas.openxmlformats.org/officeDocument/2006/relationships/image" Target="media/image45.svg"/><Relationship Id="rId120" Type="http://schemas.openxmlformats.org/officeDocument/2006/relationships/footer" Target="footer10.xml"/><Relationship Id="rId125" Type="http://schemas.openxmlformats.org/officeDocument/2006/relationships/image" Target="media/image46.jpeg"/><Relationship Id="rId141" Type="http://schemas.openxmlformats.org/officeDocument/2006/relationships/image" Target="media/image53.jpg"/><Relationship Id="rId146" Type="http://schemas.openxmlformats.org/officeDocument/2006/relationships/header" Target="header27.xml"/><Relationship Id="rId167" Type="http://schemas.openxmlformats.org/officeDocument/2006/relationships/image" Target="media/image65.png"/><Relationship Id="rId188"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image" Target="media/image27.svg"/><Relationship Id="rId92" Type="http://schemas.openxmlformats.org/officeDocument/2006/relationships/image" Target="media/image33.jpeg"/><Relationship Id="rId162" Type="http://schemas.openxmlformats.org/officeDocument/2006/relationships/hyperlink" Target="https://ec.europa.eu/eurostat/statistics-explained/index.php/Glossary:Knowledge-intensive_services_(KIS)" TargetMode="External"/><Relationship Id="rId183" Type="http://schemas.openxmlformats.org/officeDocument/2006/relationships/header" Target="header34.xml"/><Relationship Id="rId213" Type="http://schemas.openxmlformats.org/officeDocument/2006/relationships/footer" Target="footer16.xml"/><Relationship Id="rId218" Type="http://schemas.openxmlformats.org/officeDocument/2006/relationships/image" Target="media/image85.jpeg"/><Relationship Id="rId234" Type="http://schemas.openxmlformats.org/officeDocument/2006/relationships/image" Target="media/image116.svg"/><Relationship Id="rId239" Type="http://schemas.openxmlformats.org/officeDocument/2006/relationships/header" Target="header44.xml"/><Relationship Id="rId2" Type="http://schemas.openxmlformats.org/officeDocument/2006/relationships/numbering" Target="numbering.xml"/><Relationship Id="rId29" Type="http://schemas.openxmlformats.org/officeDocument/2006/relationships/image" Target="media/image9.png"/><Relationship Id="rId250" Type="http://schemas.openxmlformats.org/officeDocument/2006/relationships/chart" Target="charts/chart26.xml"/><Relationship Id="rId255" Type="http://schemas.openxmlformats.org/officeDocument/2006/relationships/chart" Target="charts/chart31.xml"/><Relationship Id="rId24" Type="http://schemas.openxmlformats.org/officeDocument/2006/relationships/hyperlink" Target="https://www.renewables.ninja/" TargetMode="External"/><Relationship Id="rId40" Type="http://schemas.openxmlformats.org/officeDocument/2006/relationships/image" Target="media/image18.jpg"/><Relationship Id="rId45" Type="http://schemas.openxmlformats.org/officeDocument/2006/relationships/hyperlink" Target="https://democracycenter.ro/romana/publicatii/rapoarte-de-cercetare/oportunitatea-gazelor-naturale-sectorul-rezidential-din-romania" TargetMode="External"/><Relationship Id="rId87" Type="http://schemas.openxmlformats.org/officeDocument/2006/relationships/image" Target="media/image32.png"/><Relationship Id="rId110" Type="http://schemas.openxmlformats.org/officeDocument/2006/relationships/header" Target="header18.xml"/><Relationship Id="rId115" Type="http://schemas.openxmlformats.org/officeDocument/2006/relationships/image" Target="media/image44.jpg"/><Relationship Id="rId131" Type="http://schemas.openxmlformats.org/officeDocument/2006/relationships/image" Target="media/image48.png"/><Relationship Id="rId136" Type="http://schemas.openxmlformats.org/officeDocument/2006/relationships/image" Target="media/image51.png"/><Relationship Id="rId157" Type="http://schemas.openxmlformats.org/officeDocument/2006/relationships/image" Target="media/image62.png"/><Relationship Id="rId178" Type="http://schemas.openxmlformats.org/officeDocument/2006/relationships/image" Target="media/image71.jpg"/><Relationship Id="rId61" Type="http://schemas.openxmlformats.org/officeDocument/2006/relationships/hyperlink" Target="https://ec.europa.eu/eurostat/statistics-explained/index.php/Glossary:Knowledge-intensive_services_(KIS)" TargetMode="External"/><Relationship Id="rId82" Type="http://schemas.openxmlformats.org/officeDocument/2006/relationships/image" Target="media/image31.jpg"/><Relationship Id="rId152" Type="http://schemas.openxmlformats.org/officeDocument/2006/relationships/chart" Target="charts/chart13.xml"/><Relationship Id="rId173" Type="http://schemas.openxmlformats.org/officeDocument/2006/relationships/header" Target="header30.xml"/><Relationship Id="rId194" Type="http://schemas.openxmlformats.org/officeDocument/2006/relationships/image" Target="media/image75.png"/><Relationship Id="rId199" Type="http://schemas.openxmlformats.org/officeDocument/2006/relationships/image" Target="media/image78.png"/><Relationship Id="rId203" Type="http://schemas.openxmlformats.org/officeDocument/2006/relationships/image" Target="media/image80.png"/><Relationship Id="rId208" Type="http://schemas.openxmlformats.org/officeDocument/2006/relationships/image" Target="media/image82.jpg"/><Relationship Id="rId229" Type="http://schemas.openxmlformats.org/officeDocument/2006/relationships/image" Target="media/image90.png"/><Relationship Id="rId19" Type="http://schemas.openxmlformats.org/officeDocument/2006/relationships/image" Target="media/image5.jpeg"/><Relationship Id="rId224" Type="http://schemas.openxmlformats.org/officeDocument/2006/relationships/hyperlink" Target="https://ec.europa.eu/eurostat/statistics-explained/index.php/Glossary:High-tech" TargetMode="External"/><Relationship Id="rId240" Type="http://schemas.openxmlformats.org/officeDocument/2006/relationships/footer" Target="footer18.xml"/><Relationship Id="rId245" Type="http://schemas.openxmlformats.org/officeDocument/2006/relationships/chart" Target="charts/chart21.xml"/><Relationship Id="rId261" Type="http://schemas.openxmlformats.org/officeDocument/2006/relationships/chart" Target="charts/chart37.xml"/><Relationship Id="rId14" Type="http://schemas.openxmlformats.org/officeDocument/2006/relationships/header" Target="header3.xml"/><Relationship Id="rId30" Type="http://schemas.openxmlformats.org/officeDocument/2006/relationships/image" Target="media/image10.emf"/><Relationship Id="rId35" Type="http://schemas.openxmlformats.org/officeDocument/2006/relationships/image" Target="media/image14.png"/><Relationship Id="rId56" Type="http://schemas.openxmlformats.org/officeDocument/2006/relationships/chart" Target="charts/chart10.xml"/><Relationship Id="rId77" Type="http://schemas.openxmlformats.org/officeDocument/2006/relationships/header" Target="header10.xml"/><Relationship Id="rId100" Type="http://schemas.openxmlformats.org/officeDocument/2006/relationships/image" Target="media/image41.svg"/><Relationship Id="rId105" Type="http://schemas.openxmlformats.org/officeDocument/2006/relationships/image" Target="media/image39.png"/><Relationship Id="rId126" Type="http://schemas.openxmlformats.org/officeDocument/2006/relationships/image" Target="media/image47.png"/><Relationship Id="rId147" Type="http://schemas.openxmlformats.org/officeDocument/2006/relationships/footer" Target="footer12.xml"/><Relationship Id="rId168" Type="http://schemas.openxmlformats.org/officeDocument/2006/relationships/image" Target="media/image80.svg"/><Relationship Id="rId8" Type="http://schemas.openxmlformats.org/officeDocument/2006/relationships/image" Target="media/image1.png"/><Relationship Id="rId51" Type="http://schemas.openxmlformats.org/officeDocument/2006/relationships/header" Target="header6.xml"/><Relationship Id="rId72" Type="http://schemas.openxmlformats.org/officeDocument/2006/relationships/image" Target="media/image26.png"/><Relationship Id="rId93" Type="http://schemas.openxmlformats.org/officeDocument/2006/relationships/image" Target="media/image34.png"/><Relationship Id="rId98" Type="http://schemas.openxmlformats.org/officeDocument/2006/relationships/image" Target="media/image35.png"/><Relationship Id="rId121" Type="http://schemas.openxmlformats.org/officeDocument/2006/relationships/header" Target="header23.xml"/><Relationship Id="rId142" Type="http://schemas.openxmlformats.org/officeDocument/2006/relationships/image" Target="media/image54.jpg"/><Relationship Id="rId163" Type="http://schemas.openxmlformats.org/officeDocument/2006/relationships/hyperlink" Target="https://ec.europa.eu/eurostat/statistics-explained/index.php/Glossary:Knowledge-intensive_services_(KIS)" TargetMode="External"/><Relationship Id="rId184" Type="http://schemas.openxmlformats.org/officeDocument/2006/relationships/footer" Target="footer15.xml"/><Relationship Id="rId189" Type="http://schemas.openxmlformats.org/officeDocument/2006/relationships/hyperlink" Target="https://ec.europa.eu/eurostat/statistics-explained/index.php/Glossary:Knowledge-intensive_services_(KIS)" TargetMode="External"/><Relationship Id="rId219" Type="http://schemas.openxmlformats.org/officeDocument/2006/relationships/image" Target="media/image86.png"/><Relationship Id="rId3" Type="http://schemas.openxmlformats.org/officeDocument/2006/relationships/styles" Target="styles.xml"/><Relationship Id="rId214" Type="http://schemas.openxmlformats.org/officeDocument/2006/relationships/header" Target="header40.xml"/><Relationship Id="rId230" Type="http://schemas.openxmlformats.org/officeDocument/2006/relationships/image" Target="media/image112.svg"/><Relationship Id="rId235" Type="http://schemas.openxmlformats.org/officeDocument/2006/relationships/image" Target="media/image93.png"/><Relationship Id="rId251" Type="http://schemas.openxmlformats.org/officeDocument/2006/relationships/chart" Target="charts/chart27.xml"/><Relationship Id="rId256" Type="http://schemas.openxmlformats.org/officeDocument/2006/relationships/chart" Target="charts/chart32.xml"/><Relationship Id="rId25" Type="http://schemas.openxmlformats.org/officeDocument/2006/relationships/chart" Target="charts/chart2.xml"/><Relationship Id="rId46" Type="http://schemas.openxmlformats.org/officeDocument/2006/relationships/chart" Target="charts/chart8.xml"/><Relationship Id="rId116" Type="http://schemas.openxmlformats.org/officeDocument/2006/relationships/header" Target="header20.xml"/><Relationship Id="rId137" Type="http://schemas.openxmlformats.org/officeDocument/2006/relationships/image" Target="media/image63.svg"/><Relationship Id="rId158" Type="http://schemas.openxmlformats.org/officeDocument/2006/relationships/hyperlink" Target="https://goo.gl/maps/WPbwb2JLdY31xunp9" TargetMode="External"/><Relationship Id="rId20" Type="http://schemas.openxmlformats.org/officeDocument/2006/relationships/chart" Target="charts/chart1.xml"/><Relationship Id="rId41" Type="http://schemas.openxmlformats.org/officeDocument/2006/relationships/image" Target="media/image19.jpg"/><Relationship Id="rId62" Type="http://schemas.openxmlformats.org/officeDocument/2006/relationships/hyperlink" Target="https://ec.europa.eu/eurostat/statistics-explained/index.php/Glossary:Knowledge-intensive_services_(KIS)" TargetMode="External"/><Relationship Id="rId83" Type="http://schemas.openxmlformats.org/officeDocument/2006/relationships/header" Target="header12.xml"/><Relationship Id="rId88" Type="http://schemas.openxmlformats.org/officeDocument/2006/relationships/header" Target="header15.xml"/><Relationship Id="rId111" Type="http://schemas.openxmlformats.org/officeDocument/2006/relationships/header" Target="header19.xml"/><Relationship Id="rId132" Type="http://schemas.openxmlformats.org/officeDocument/2006/relationships/image" Target="media/image49.png"/><Relationship Id="rId153" Type="http://schemas.openxmlformats.org/officeDocument/2006/relationships/image" Target="media/image58.jpeg"/><Relationship Id="rId174" Type="http://schemas.openxmlformats.org/officeDocument/2006/relationships/header" Target="header31.xml"/><Relationship Id="rId179" Type="http://schemas.openxmlformats.org/officeDocument/2006/relationships/header" Target="header32.xml"/><Relationship Id="rId195" Type="http://schemas.openxmlformats.org/officeDocument/2006/relationships/hyperlink" Target="https://www.azomures.com/wp-content/uploads/2021/04/RO_Raport_sustenabilitate_2020_Ameropa_Romania.pdf" TargetMode="External"/><Relationship Id="rId209" Type="http://schemas.openxmlformats.org/officeDocument/2006/relationships/image" Target="media/image83.jpg"/><Relationship Id="rId190" Type="http://schemas.openxmlformats.org/officeDocument/2006/relationships/hyperlink" Target="https://ec.europa.eu/eurostat/statistics-explained/index.php/Glossary:Knowledge-intensive_services_(KIS)" TargetMode="External"/><Relationship Id="rId204" Type="http://schemas.openxmlformats.org/officeDocument/2006/relationships/image" Target="media/image101.svg"/><Relationship Id="rId220" Type="http://schemas.openxmlformats.org/officeDocument/2006/relationships/image" Target="media/image87.png"/><Relationship Id="rId225" Type="http://schemas.openxmlformats.org/officeDocument/2006/relationships/chart" Target="charts/chart17.xml"/><Relationship Id="rId241" Type="http://schemas.openxmlformats.org/officeDocument/2006/relationships/header" Target="header45.xml"/><Relationship Id="rId246" Type="http://schemas.openxmlformats.org/officeDocument/2006/relationships/chart" Target="charts/chart22.xml"/><Relationship Id="rId15" Type="http://schemas.openxmlformats.org/officeDocument/2006/relationships/footer" Target="footer3.xml"/><Relationship Id="rId36" Type="http://schemas.openxmlformats.org/officeDocument/2006/relationships/image" Target="media/image15.png"/><Relationship Id="rId57" Type="http://schemas.openxmlformats.org/officeDocument/2006/relationships/image" Target="media/image21.jpeg"/><Relationship Id="rId106" Type="http://schemas.openxmlformats.org/officeDocument/2006/relationships/image" Target="media/image47.svg"/><Relationship Id="rId127" Type="http://schemas.openxmlformats.org/officeDocument/2006/relationships/hyperlink" Target="https://ec.europa.eu/eurostat/statistics-explained/index.php/Glossary:High-tech" TargetMode="External"/><Relationship Id="rId262" Type="http://schemas.openxmlformats.org/officeDocument/2006/relationships/chart" Target="charts/chart38.xml"/><Relationship Id="rId10" Type="http://schemas.openxmlformats.org/officeDocument/2006/relationships/footer" Target="footer1.xml"/><Relationship Id="rId31" Type="http://schemas.openxmlformats.org/officeDocument/2006/relationships/image" Target="media/image11.png"/><Relationship Id="rId52" Type="http://schemas.openxmlformats.org/officeDocument/2006/relationships/footer" Target="footer6.xml"/><Relationship Id="rId73" Type="http://schemas.openxmlformats.org/officeDocument/2006/relationships/image" Target="media/image29.svg"/><Relationship Id="rId78" Type="http://schemas.openxmlformats.org/officeDocument/2006/relationships/header" Target="header11.xml"/><Relationship Id="rId94" Type="http://schemas.openxmlformats.org/officeDocument/2006/relationships/hyperlink" Target="https://ec.europa.eu/eurostat/statistics-explained/index.php/Glossary:High-tech" TargetMode="External"/><Relationship Id="rId99" Type="http://schemas.openxmlformats.org/officeDocument/2006/relationships/image" Target="media/image36.png"/><Relationship Id="rId101" Type="http://schemas.openxmlformats.org/officeDocument/2006/relationships/image" Target="media/image37.png"/><Relationship Id="rId122" Type="http://schemas.openxmlformats.org/officeDocument/2006/relationships/footer" Target="footer11.xml"/><Relationship Id="rId143" Type="http://schemas.openxmlformats.org/officeDocument/2006/relationships/image" Target="media/image55.jpg"/><Relationship Id="rId148" Type="http://schemas.openxmlformats.org/officeDocument/2006/relationships/image" Target="media/image57.png"/><Relationship Id="rId164" Type="http://schemas.openxmlformats.org/officeDocument/2006/relationships/image" Target="media/image63.png"/><Relationship Id="rId169" Type="http://schemas.openxmlformats.org/officeDocument/2006/relationships/image" Target="media/image66.png"/><Relationship Id="rId185" Type="http://schemas.openxmlformats.org/officeDocument/2006/relationships/header" Target="header35.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eader" Target="header33.xml"/><Relationship Id="rId210" Type="http://schemas.openxmlformats.org/officeDocument/2006/relationships/header" Target="header38.xml"/><Relationship Id="rId215" Type="http://schemas.openxmlformats.org/officeDocument/2006/relationships/footer" Target="footer17.xml"/><Relationship Id="rId236" Type="http://schemas.openxmlformats.org/officeDocument/2006/relationships/image" Target="media/image118.svg"/><Relationship Id="rId257" Type="http://schemas.openxmlformats.org/officeDocument/2006/relationships/chart" Target="charts/chart33.xml"/><Relationship Id="rId26" Type="http://schemas.openxmlformats.org/officeDocument/2006/relationships/hyperlink" Target="https://www.renewables.ninja/" TargetMode="External"/><Relationship Id="rId231" Type="http://schemas.openxmlformats.org/officeDocument/2006/relationships/image" Target="media/image91.png"/><Relationship Id="rId252" Type="http://schemas.openxmlformats.org/officeDocument/2006/relationships/chart" Target="charts/chart28.xml"/><Relationship Id="rId47" Type="http://schemas.openxmlformats.org/officeDocument/2006/relationships/chart" Target="charts/chart9.xml"/><Relationship Id="rId89" Type="http://schemas.openxmlformats.org/officeDocument/2006/relationships/footer" Target="footer9.xml"/><Relationship Id="rId112" Type="http://schemas.openxmlformats.org/officeDocument/2006/relationships/image" Target="media/image41.jpg"/><Relationship Id="rId133" Type="http://schemas.openxmlformats.org/officeDocument/2006/relationships/image" Target="media/image59.svg"/><Relationship Id="rId154" Type="http://schemas.openxmlformats.org/officeDocument/2006/relationships/image" Target="media/image59.png"/><Relationship Id="rId175" Type="http://schemas.openxmlformats.org/officeDocument/2006/relationships/image" Target="media/image68.jpg"/><Relationship Id="rId196" Type="http://schemas.openxmlformats.org/officeDocument/2006/relationships/image" Target="media/image76.png"/><Relationship Id="rId200" Type="http://schemas.openxmlformats.org/officeDocument/2006/relationships/image" Target="media/image97.svg"/><Relationship Id="rId16" Type="http://schemas.openxmlformats.org/officeDocument/2006/relationships/header" Target="header4.xml"/><Relationship Id="rId221" Type="http://schemas.openxmlformats.org/officeDocument/2006/relationships/hyperlink" Target="https://ec.europa.eu/eurostat/statistics-explained/index.php/Glossary:Knowledge-intensive_services_(KIS)" TargetMode="External"/><Relationship Id="rId242" Type="http://schemas.openxmlformats.org/officeDocument/2006/relationships/chart" Target="charts/chart18.xml"/><Relationship Id="rId263" Type="http://schemas.openxmlformats.org/officeDocument/2006/relationships/header" Target="header46.xml"/><Relationship Id="rId37" Type="http://schemas.openxmlformats.org/officeDocument/2006/relationships/image" Target="media/image16.png"/><Relationship Id="rId58" Type="http://schemas.openxmlformats.org/officeDocument/2006/relationships/image" Target="media/image22.png"/><Relationship Id="rId79" Type="http://schemas.openxmlformats.org/officeDocument/2006/relationships/image" Target="media/image28.jpg"/><Relationship Id="rId102" Type="http://schemas.openxmlformats.org/officeDocument/2006/relationships/image" Target="media/image43.svg"/><Relationship Id="rId123" Type="http://schemas.openxmlformats.org/officeDocument/2006/relationships/header" Target="header24.xml"/><Relationship Id="rId144" Type="http://schemas.openxmlformats.org/officeDocument/2006/relationships/image" Target="media/image56.jpg"/><Relationship Id="rId90" Type="http://schemas.openxmlformats.org/officeDocument/2006/relationships/header" Target="header16.xml"/><Relationship Id="rId165" Type="http://schemas.openxmlformats.org/officeDocument/2006/relationships/image" Target="media/image64.png"/><Relationship Id="rId186" Type="http://schemas.openxmlformats.org/officeDocument/2006/relationships/chart" Target="charts/chart14.xml"/><Relationship Id="rId211" Type="http://schemas.openxmlformats.org/officeDocument/2006/relationships/image" Target="media/image84.png"/><Relationship Id="rId232" Type="http://schemas.openxmlformats.org/officeDocument/2006/relationships/image" Target="media/image114.svg"/><Relationship Id="rId253" Type="http://schemas.openxmlformats.org/officeDocument/2006/relationships/chart" Target="charts/chart29.xml"/><Relationship Id="rId27" Type="http://schemas.openxmlformats.org/officeDocument/2006/relationships/image" Target="media/image7.png"/><Relationship Id="rId48" Type="http://schemas.openxmlformats.org/officeDocument/2006/relationships/header" Target="header5.xml"/><Relationship Id="rId69" Type="http://schemas.openxmlformats.org/officeDocument/2006/relationships/image" Target="media/image25.svg"/><Relationship Id="rId113" Type="http://schemas.openxmlformats.org/officeDocument/2006/relationships/image" Target="media/image42.jpg"/><Relationship Id="rId134" Type="http://schemas.openxmlformats.org/officeDocument/2006/relationships/image" Target="media/image50.png"/><Relationship Id="rId80" Type="http://schemas.openxmlformats.org/officeDocument/2006/relationships/image" Target="media/image29.jpg"/><Relationship Id="rId155" Type="http://schemas.openxmlformats.org/officeDocument/2006/relationships/image" Target="media/image60.png"/><Relationship Id="rId176" Type="http://schemas.openxmlformats.org/officeDocument/2006/relationships/image" Target="media/image69.jpg"/><Relationship Id="rId197" Type="http://schemas.openxmlformats.org/officeDocument/2006/relationships/image" Target="media/image77.png"/><Relationship Id="rId201" Type="http://schemas.openxmlformats.org/officeDocument/2006/relationships/image" Target="media/image79.png"/><Relationship Id="rId222" Type="http://schemas.openxmlformats.org/officeDocument/2006/relationships/hyperlink" Target="https://ec.europa.eu/eurostat/statistics-explained/index.php/Glossary:Knowledge-intensive_services_(KIS)" TargetMode="External"/><Relationship Id="rId243" Type="http://schemas.openxmlformats.org/officeDocument/2006/relationships/chart" Target="charts/chart19.xml"/><Relationship Id="rId264" Type="http://schemas.openxmlformats.org/officeDocument/2006/relationships/fontTable" Target="fontTable.xml"/><Relationship Id="rId17" Type="http://schemas.openxmlformats.org/officeDocument/2006/relationships/footer" Target="footer4.xml"/><Relationship Id="rId38" Type="http://schemas.openxmlformats.org/officeDocument/2006/relationships/chart" Target="charts/chart4.xml"/><Relationship Id="rId59" Type="http://schemas.openxmlformats.org/officeDocument/2006/relationships/hyperlink" Target="https://ec.europa.eu/eurostat/statistics-explained/index.php/Glossary:High-tech" TargetMode="External"/><Relationship Id="rId103" Type="http://schemas.openxmlformats.org/officeDocument/2006/relationships/image" Target="media/image38.png"/><Relationship Id="rId124" Type="http://schemas.openxmlformats.org/officeDocument/2006/relationships/chart" Target="charts/chart12.xml"/><Relationship Id="rId70" Type="http://schemas.openxmlformats.org/officeDocument/2006/relationships/image" Target="media/image25.png"/><Relationship Id="rId91" Type="http://schemas.openxmlformats.org/officeDocument/2006/relationships/chart" Target="charts/chart11.xml"/><Relationship Id="rId145" Type="http://schemas.openxmlformats.org/officeDocument/2006/relationships/header" Target="header26.xml"/><Relationship Id="rId166" Type="http://schemas.openxmlformats.org/officeDocument/2006/relationships/image" Target="media/image78.svg"/><Relationship Id="rId187" Type="http://schemas.openxmlformats.org/officeDocument/2006/relationships/image" Target="media/image73.jpe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3" Type="http://schemas.openxmlformats.org/officeDocument/2006/relationships/hyperlink" Target="https://www.mlpda.ro/userfiles/Strategie_renovare_cladiri_2017%20final_23octombrie2017.pdf?fbclid=IwAR22mgWbzh_aLTMK1ktGUzfhbO-H3ZpKqW2RpYfnu4ISgHZ4mjsNgWuILJI" TargetMode="External"/><Relationship Id="rId18" Type="http://schemas.openxmlformats.org/officeDocument/2006/relationships/hyperlink" Target="https://www.mlpda.ro/userfiles/Strategie_renovare_cladiri_2017%20final_23octombrie2017.pdf?fbclid=IwAR22mgWbzh_aLTMK1ktGUzfhbO-H3ZpKqW2RpYfnu4ISgHZ4mjsNgWuILJI" TargetMode="External"/><Relationship Id="rId26" Type="http://schemas.openxmlformats.org/officeDocument/2006/relationships/hyperlink" Target="https://ec.europa.eu/futurium/en/system/files/ged/2018.10.22_affordable_housing_in_central_and_eastern_europe.pdf" TargetMode="External"/><Relationship Id="rId39" Type="http://schemas.openxmlformats.org/officeDocument/2006/relationships/hyperlink" Target="http://sediu.crfpa-dolj.ro/" TargetMode="External"/><Relationship Id="rId21" Type="http://schemas.openxmlformats.org/officeDocument/2006/relationships/hyperlink" Target="https://www.mlpda.ro/userfiles/Strategie_renovare_cladiri_2017%20final_23octombrie2017.pdf?fbclid=IwAR22mgWbzh_aLTMK1ktGUzfhbO-H3ZpKqW2RpYfnu4ISgHZ4mjsNgWuILJI" TargetMode="External"/><Relationship Id="rId34" Type="http://schemas.openxmlformats.org/officeDocument/2006/relationships/hyperlink" Target="http://www.cttdeva.ro" TargetMode="External"/><Relationship Id="rId42" Type="http://schemas.openxmlformats.org/officeDocument/2006/relationships/hyperlink" Target="http://www.dpfbl.mdrap.ro/sit_ven_si_chelt_uat.html" TargetMode="External"/><Relationship Id="rId47" Type="http://schemas.openxmlformats.org/officeDocument/2006/relationships/hyperlink" Target="http://www.ploiesti.ro/descriere%20protocolul%20verde.php" TargetMode="External"/><Relationship Id="rId50" Type="http://schemas.openxmlformats.org/officeDocument/2006/relationships/hyperlink" Target="http://www.ploiesti.ro/ploiesti_document.pdf" TargetMode="External"/><Relationship Id="rId55" Type="http://schemas.openxmlformats.org/officeDocument/2006/relationships/hyperlink" Target="https://www.cjph.ro/files/Documente/Strategii-programe/Strategia-de-dezvoltare-durabila-a-Judetului-Prahova-pentru-perioada-2021-2027.pdf" TargetMode="External"/><Relationship Id="rId63" Type="http://schemas.openxmlformats.org/officeDocument/2006/relationships/hyperlink" Target="http://statistici.insse.ro/shop/index.jsp?page=tempo3&amp;lang=en&amp;ind=SOM101F" TargetMode="External"/><Relationship Id="rId68" Type="http://schemas.openxmlformats.org/officeDocument/2006/relationships/hyperlink" Target="https://www.primariagalati.ro/portal/galati/portal.nsf/AllByUNID/strategia-de-dezvoltare-a-municipiului-galati-2021--2027-0004a44e?OpenDocument" TargetMode="External"/><Relationship Id="rId7" Type="http://schemas.openxmlformats.org/officeDocument/2006/relationships/hyperlink" Target="https://www.mlpda.ro/userfiles/Strategie_renovare_cladiri_2017%20final_23octombrie2017.pdf?fbclid=IwAR22mgWbzh_aLTMK1ktGUzfhbO-H3ZpKqW2RpYfnu4ISgHZ4mjsNgWuILJI" TargetMode="External"/><Relationship Id="rId2" Type="http://schemas.openxmlformats.org/officeDocument/2006/relationships/hyperlink" Target="https://muzeumslaskie.pl/en/about-us/" TargetMode="External"/><Relationship Id="rId16" Type="http://schemas.openxmlformats.org/officeDocument/2006/relationships/hyperlink" Target="https://www.mlpda.ro/userfiles/Strategie_renovare_cladiri_2017%20final_23octombrie2017.pdf?fbclid=IwAR22mgWbzh_aLTMK1ktGUzfhbO-H3ZpKqW2RpYfnu4ISgHZ4mjsNgWuILJI" TargetMode="External"/><Relationship Id="rId29" Type="http://schemas.openxmlformats.org/officeDocument/2006/relationships/hyperlink" Target="http://statistici.insse.ro/shop/index.jsp?page=tempo3&amp;lang=en&amp;ind=SOM101F" TargetMode="External"/><Relationship Id="rId1" Type="http://schemas.openxmlformats.org/officeDocument/2006/relationships/hyperlink" Target="https://eurometal.net/liberty-galati-in-romania-to-raise-steel-output-50-this-year/?utm_source=dlvr.it&amp;utm_medium=twitter&amp;utm_campaign=liberty-galati-in-romania-to-raise-steel-output-50-this-year" TargetMode="External"/><Relationship Id="rId6" Type="http://schemas.openxmlformats.org/officeDocument/2006/relationships/hyperlink" Target="https://www.mlpda.ro/userfiles/Strategie_renovare_cladiri_2017%20final_23octombrie2017.pdf?fbclid=IwAR22mgWbzh_aLTMK1ktGUzfhbO-H3ZpKqW2RpYfnu4ISgHZ4mjsNgWuILJI" TargetMode="External"/><Relationship Id="rId11" Type="http://schemas.openxmlformats.org/officeDocument/2006/relationships/hyperlink" Target="https://www.mlpda.ro/userfiles/Strategie_renovare_cladiri_2017%20final_23octombrie2017.pdf?fbclid=IwAR22mgWbzh_aLTMK1ktGUzfhbO-H3ZpKqW2RpYfnu4ISgHZ4mjsNgWuILJI" TargetMode="External"/><Relationship Id="rId24" Type="http://schemas.openxmlformats.org/officeDocument/2006/relationships/hyperlink" Target="https://www.mlpda.ro/userfiles/Strategie_renovare_cladiri_2017%20final_23octombrie2017.pdf?fbclid=IwAR22mgWbzh_aLTMK1ktGUzfhbO-H3ZpKqW2RpYfnu4ISgHZ4mjsNgWuILJI" TargetMode="External"/><Relationship Id="rId32" Type="http://schemas.openxmlformats.org/officeDocument/2006/relationships/hyperlink" Target="https://appsso.eurostat.ec.europa.eu/nui/show.do?dataset=rd_e_gerdreg&amp;lang=en" TargetMode="External"/><Relationship Id="rId37" Type="http://schemas.openxmlformats.org/officeDocument/2006/relationships/hyperlink" Target="http://statistici.insse.ro/shop/index.jsp?page=tempo3&amp;lang=en&amp;ind=SOM101F" TargetMode="External"/><Relationship Id="rId40" Type="http://schemas.openxmlformats.org/officeDocument/2006/relationships/hyperlink" Target="http://statistici.insse.ro/shop/index.jsp?page=tempo3&amp;lang=en&amp;ind=SOM101F" TargetMode="External"/><Relationship Id="rId45" Type="http://schemas.openxmlformats.org/officeDocument/2006/relationships/hyperlink" Target="http://statistici.insse.ro/shop/index.jsp?page=tempo3&amp;lang=en&amp;ind=SOM103A" TargetMode="External"/><Relationship Id="rId53" Type="http://schemas.openxmlformats.org/officeDocument/2006/relationships/hyperlink" Target="https://www.adrmuntenia.ro/strategia-de-specializare-inteligenta-a-regiunii-sud--muntenia-post-2020/static/1351" TargetMode="External"/><Relationship Id="rId58" Type="http://schemas.openxmlformats.org/officeDocument/2006/relationships/hyperlink" Target="https://anmcs.gov.ro/web/harta-acreditarii/" TargetMode="External"/><Relationship Id="rId66" Type="http://schemas.openxmlformats.org/officeDocument/2006/relationships/hyperlink" Target="http://www.adrse.ro/POR_2021/POR_ADRSE.aspx" TargetMode="External"/><Relationship Id="rId5" Type="http://schemas.openxmlformats.org/officeDocument/2006/relationships/hyperlink" Target="https://www.mlpda.ro/userfiles/Strategie_renovare_cladiri_2017%20final_23octombrie2017.pdf?fbclid=IwAR22mgWbzh_aLTMK1ktGUzfhbO-H3ZpKqW2RpYfnu4ISgHZ4mjsNgWuILJI" TargetMode="External"/><Relationship Id="rId15" Type="http://schemas.openxmlformats.org/officeDocument/2006/relationships/hyperlink" Target="https://www.mlpda.ro/userfiles/Strategie_renovare_cladiri_2017%20final_23octombrie2017.pdf?fbclid=IwAR22mgWbzh_aLTMK1ktGUzfhbO-H3ZpKqW2RpYfnu4ISgHZ4mjsNgWuILJI" TargetMode="External"/><Relationship Id="rId23" Type="http://schemas.openxmlformats.org/officeDocument/2006/relationships/hyperlink" Target="https://www.mlpda.ro/userfiles/Strategie_renovare_cladiri_2017%20final_23octombrie2017.pdf?fbclid=IwAR22mgWbzh_aLTMK1ktGUzfhbO-H3ZpKqW2RpYfnu4ISgHZ4mjsNgWuILJI" TargetMode="External"/><Relationship Id="rId28" Type="http://schemas.openxmlformats.org/officeDocument/2006/relationships/hyperlink" Target="http://statistici.insse.ro:8077/tempo-online/" TargetMode="External"/><Relationship Id="rId36" Type="http://schemas.openxmlformats.org/officeDocument/2006/relationships/hyperlink" Target="https://www.interregeurope.eu/digitalregions/" TargetMode="External"/><Relationship Id="rId49" Type="http://schemas.openxmlformats.org/officeDocument/2006/relationships/hyperlink" Target="http://www.ploiesti.ro/PUG/PUG%20ETAPA%201-%20STUDIU%201,2,4.pdf" TargetMode="External"/><Relationship Id="rId57" Type="http://schemas.openxmlformats.org/officeDocument/2006/relationships/hyperlink" Target="http://www.dpfbl.mdrap.ro/sit_ven_si_chelt_uat.html" TargetMode="External"/><Relationship Id="rId61" Type="http://schemas.openxmlformats.org/officeDocument/2006/relationships/hyperlink" Target="http://www.dpfbl.mdrap.ro/sit_ven_si_chelt_uat.html" TargetMode="External"/><Relationship Id="rId10" Type="http://schemas.openxmlformats.org/officeDocument/2006/relationships/hyperlink" Target="https://www.mlpda.ro/userfiles/Strategie_renovare_cladiri_2017%20final_23octombrie2017.pdf?fbclid=IwAR22mgWbzh_aLTMK1ktGUzfhbO-H3ZpKqW2RpYfnu4ISgHZ4mjsNgWuILJI" TargetMode="External"/><Relationship Id="rId19" Type="http://schemas.openxmlformats.org/officeDocument/2006/relationships/hyperlink" Target="https://www.mlpda.ro/userfiles/Strategie_renovare_cladiri_2017%20final_23octombrie2017.pdf?fbclid=IwAR22mgWbzh_aLTMK1ktGUzfhbO-H3ZpKqW2RpYfnu4ISgHZ4mjsNgWuILJI" TargetMode="External"/><Relationship Id="rId31" Type="http://schemas.openxmlformats.org/officeDocument/2006/relationships/hyperlink" Target="http://www.anpm.ro/documents/21661/0/propunere+PMCA+dezbatere+publica-+site.pdf/f27f3a6f-8c6c-45e0-9d16-9f1063122e0d" TargetMode="External"/><Relationship Id="rId44" Type="http://schemas.openxmlformats.org/officeDocument/2006/relationships/hyperlink" Target="http://statistici.insse.ro/shop/index.jsp?page=tempo3&amp;lang=en&amp;ind=SOM101F" TargetMode="External"/><Relationship Id="rId52" Type="http://schemas.openxmlformats.org/officeDocument/2006/relationships/hyperlink" Target="https://www.adrmuntenia.ro/strategia-de-specializare-inteligenta-a-regiunii-sud--muntenia-post-2020/static/1351" TargetMode="External"/><Relationship Id="rId60" Type="http://schemas.openxmlformats.org/officeDocument/2006/relationships/hyperlink" Target="http://statistici.insse.ro/shop/index.jsp?page=tempo3&amp;lang=en&amp;ind=SOM103A" TargetMode="External"/><Relationship Id="rId65" Type="http://schemas.openxmlformats.org/officeDocument/2006/relationships/hyperlink" Target="https://www.thewindpower.net/zones_en_44_1249.php" TargetMode="External"/><Relationship Id="rId4" Type="http://schemas.openxmlformats.org/officeDocument/2006/relationships/hyperlink" Target="https://culture.pl/en/article/a-mine-of-culture-the-new-silesian-museum" TargetMode="External"/><Relationship Id="rId9" Type="http://schemas.openxmlformats.org/officeDocument/2006/relationships/hyperlink" Target="https://www.mlpda.ro/userfiles/Strategie_renovare_cladiri_2017%20final_23octombrie2017.pdf?fbclid=IwAR22mgWbzh_aLTMK1ktGUzfhbO-H3ZpKqW2RpYfnu4ISgHZ4mjsNgWuILJI" TargetMode="External"/><Relationship Id="rId14" Type="http://schemas.openxmlformats.org/officeDocument/2006/relationships/hyperlink" Target="https://www.mlpda.ro/userfiles/Strategie_renovare_cladiri_2017%20final_23octombrie2017.pdf?fbclid=IwAR22mgWbzh_aLTMK1ktGUzfhbO-H3ZpKqW2RpYfnu4ISgHZ4mjsNgWuILJI" TargetMode="External"/><Relationship Id="rId22" Type="http://schemas.openxmlformats.org/officeDocument/2006/relationships/hyperlink" Target="https://www.mlpda.ro/userfiles/Strategie_renovare_cladiri_2017%20final_23octombrie2017.pdf?fbclid=IwAR22mgWbzh_aLTMK1ktGUzfhbO-H3ZpKqW2RpYfnu4ISgHZ4mjsNgWuILJI" TargetMode="External"/><Relationship Id="rId27" Type="http://schemas.openxmlformats.org/officeDocument/2006/relationships/hyperlink" Target="https://ec.europa.eu/futurium/en/system/files/ged/2018.10.22_affordable_housing_in_central_and_eastern_europe.pdf" TargetMode="External"/><Relationship Id="rId30" Type="http://schemas.openxmlformats.org/officeDocument/2006/relationships/hyperlink" Target="http://statistici.insse.ro/shop/index.jsp?page=tempo3&amp;lang=en&amp;ind=SOM103A" TargetMode="External"/><Relationship Id="rId35" Type="http://schemas.openxmlformats.org/officeDocument/2006/relationships/hyperlink" Target="https://taxe.primariahunedoara.ro/taxe/index.php" TargetMode="External"/><Relationship Id="rId43" Type="http://schemas.openxmlformats.org/officeDocument/2006/relationships/hyperlink" Target="http://www.dpfbl.mdrap.ro/sit_ven_si_chelt_uat.html" TargetMode="External"/><Relationship Id="rId48" Type="http://schemas.openxmlformats.org/officeDocument/2006/relationships/hyperlink" Target="http://www.ploiesti.ro/PUG/PUG%20ETAPA%201-%20STUDIU%201,2,4.pdf" TargetMode="External"/><Relationship Id="rId56" Type="http://schemas.openxmlformats.org/officeDocument/2006/relationships/hyperlink" Target="http://www.dpfbl.mdrap.ro/sit_ven_si_chelt_uat.html" TargetMode="External"/><Relationship Id="rId64" Type="http://schemas.openxmlformats.org/officeDocument/2006/relationships/hyperlink" Target="http://statistici.insse.ro/shop/index.jsp?page=tempo3&amp;lang=en&amp;ind=SOM103A" TargetMode="External"/><Relationship Id="rId69" Type="http://schemas.openxmlformats.org/officeDocument/2006/relationships/hyperlink" Target="https://www.primariagalati.ro/portal/galati/portal.nsf/AllByUNID/strategia-de-dezvoltare-a-municipiului-galati-2021--2027-0004a44e?OpenDocument" TargetMode="External"/><Relationship Id="rId8" Type="http://schemas.openxmlformats.org/officeDocument/2006/relationships/hyperlink" Target="https://www.mlpda.ro/userfiles/Strategie_renovare_cladiri_2017%20final_23octombrie2017.pdf?fbclid=IwAR22mgWbzh_aLTMK1ktGUzfhbO-H3ZpKqW2RpYfnu4ISgHZ4mjsNgWuILJI" TargetMode="External"/><Relationship Id="rId51" Type="http://schemas.openxmlformats.org/officeDocument/2006/relationships/hyperlink" Target="http://www.ploiesti.ro/ploiesti_document.pdf" TargetMode="External"/><Relationship Id="rId3" Type="http://schemas.openxmlformats.org/officeDocument/2006/relationships/hyperlink" Target="https://www.inyourpocket.com/katowice/silesian-museum_137651v" TargetMode="External"/><Relationship Id="rId12" Type="http://schemas.openxmlformats.org/officeDocument/2006/relationships/hyperlink" Target="https://www.mlpda.ro/userfiles/Strategie_renovare_cladiri_2017%20final_23octombrie2017.pdf?fbclid=IwAR22mgWbzh_aLTMK1ktGUzfhbO-H3ZpKqW2RpYfnu4ISgHZ4mjsNgWuILJI" TargetMode="External"/><Relationship Id="rId17" Type="http://schemas.openxmlformats.org/officeDocument/2006/relationships/hyperlink" Target="https://www.mlpda.ro/userfiles/Strategie_renovare_cladiri_2017%20final_23octombrie2017.pdf?fbclid=IwAR22mgWbzh_aLTMK1ktGUzfhbO-H3ZpKqW2RpYfnu4ISgHZ4mjsNgWuILJI" TargetMode="External"/><Relationship Id="rId25" Type="http://schemas.openxmlformats.org/officeDocument/2006/relationships/hyperlink" Target="https://www.mlpda.ro/userfiles/Strategie_renovare_cladiri_2017%20final_23octombrie2017.pdf?fbclid=IwAR22mgWbzh_aLTMK1ktGUzfhbO-H3ZpKqW2RpYfnu4ISgHZ4mjsNgWuILJI" TargetMode="External"/><Relationship Id="rId33" Type="http://schemas.openxmlformats.org/officeDocument/2006/relationships/hyperlink" Target="https://appsso.eurostat.ec.europa.eu/nui/show.do?dataset=rd_e_gerdreg&amp;lang=en" TargetMode="External"/><Relationship Id="rId38" Type="http://schemas.openxmlformats.org/officeDocument/2006/relationships/hyperlink" Target="http://statistici.insse.ro/shop/index.jsp?page=tempo3&amp;lang=en&amp;ind=SOM103A" TargetMode="External"/><Relationship Id="rId46" Type="http://schemas.openxmlformats.org/officeDocument/2006/relationships/hyperlink" Target="http://www.ploiesti.ro/descriere%20protocolul%20verde.php" TargetMode="External"/><Relationship Id="rId59" Type="http://schemas.openxmlformats.org/officeDocument/2006/relationships/hyperlink" Target="http://statistici.insse.ro/shop/index.jsp?page=tempo3&amp;lang=en&amp;ind=SOM101F" TargetMode="External"/><Relationship Id="rId67" Type="http://schemas.openxmlformats.org/officeDocument/2006/relationships/hyperlink" Target="http://www.adrse.ro/POR_2021/POR_ADRSE.aspx" TargetMode="External"/><Relationship Id="rId20" Type="http://schemas.openxmlformats.org/officeDocument/2006/relationships/hyperlink" Target="https://www.mlpda.ro/userfiles/Strategie_renovare_cladiri_2017%20final_23octombrie2017.pdf?fbclid=IwAR22mgWbzh_aLTMK1ktGUzfhbO-H3ZpKqW2RpYfnu4ISgHZ4mjsNgWuILJI" TargetMode="External"/><Relationship Id="rId41" Type="http://schemas.openxmlformats.org/officeDocument/2006/relationships/hyperlink" Target="http://statistici.insse.ro/shop/index.jsp?page=tempo3&amp;lang=en&amp;ind=SOM103A" TargetMode="External"/><Relationship Id="rId54" Type="http://schemas.openxmlformats.org/officeDocument/2006/relationships/hyperlink" Target="https://www.cjph.ro/files/Documente/Strategii-programe/Strategia-de-dezvoltare-durabila-a-Judetului-Prahova-pentru-perioada-2021-2027.pdf" TargetMode="External"/><Relationship Id="rId62" Type="http://schemas.openxmlformats.org/officeDocument/2006/relationships/hyperlink" Target="https://navalcluster.ro/" TargetMode="External"/><Relationship Id="rId70" Type="http://schemas.openxmlformats.org/officeDocument/2006/relationships/hyperlink" Target="https://ec.europa.eu/growth/smes/sme-definition_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16.xml.rels><?xml version="1.0" encoding="UTF-8" standalone="yes"?>
<Relationships xmlns="http://schemas.openxmlformats.org/package/2006/relationships"><Relationship Id="rId1" Type="http://schemas.openxmlformats.org/officeDocument/2006/relationships/image" Target="media/image2.png"/></Relationships>
</file>

<file path=word/_rels/header17.xml.rels><?xml version="1.0" encoding="UTF-8" standalone="yes"?>
<Relationships xmlns="http://schemas.openxmlformats.org/package/2006/relationships"><Relationship Id="rId1" Type="http://schemas.openxmlformats.org/officeDocument/2006/relationships/image" Target="media/image2.png"/></Relationships>
</file>

<file path=word/_rels/header18.xml.rels><?xml version="1.0" encoding="UTF-8" standalone="yes"?>
<Relationships xmlns="http://schemas.openxmlformats.org/package/2006/relationships"><Relationship Id="rId1" Type="http://schemas.openxmlformats.org/officeDocument/2006/relationships/image" Target="media/image2.png"/></Relationships>
</file>

<file path=word/_rels/header19.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20.xml.rels><?xml version="1.0" encoding="UTF-8" standalone="yes"?>
<Relationships xmlns="http://schemas.openxmlformats.org/package/2006/relationships"><Relationship Id="rId1" Type="http://schemas.openxmlformats.org/officeDocument/2006/relationships/image" Target="media/image2.png"/></Relationships>
</file>

<file path=word/_rels/header21.xml.rels><?xml version="1.0" encoding="UTF-8" standalone="yes"?>
<Relationships xmlns="http://schemas.openxmlformats.org/package/2006/relationships"><Relationship Id="rId1" Type="http://schemas.openxmlformats.org/officeDocument/2006/relationships/image" Target="media/image2.png"/></Relationships>
</file>

<file path=word/_rels/header22.xml.rels><?xml version="1.0" encoding="UTF-8" standalone="yes"?>
<Relationships xmlns="http://schemas.openxmlformats.org/package/2006/relationships"><Relationship Id="rId1" Type="http://schemas.openxmlformats.org/officeDocument/2006/relationships/image" Target="media/image2.png"/></Relationships>
</file>

<file path=word/_rels/header23.xml.rels><?xml version="1.0" encoding="UTF-8" standalone="yes"?>
<Relationships xmlns="http://schemas.openxmlformats.org/package/2006/relationships"><Relationship Id="rId1" Type="http://schemas.openxmlformats.org/officeDocument/2006/relationships/image" Target="media/image2.png"/></Relationships>
</file>

<file path=word/_rels/header24.xml.rels><?xml version="1.0" encoding="UTF-8" standalone="yes"?>
<Relationships xmlns="http://schemas.openxmlformats.org/package/2006/relationships"><Relationship Id="rId1" Type="http://schemas.openxmlformats.org/officeDocument/2006/relationships/image" Target="media/image2.png"/></Relationships>
</file>

<file path=word/_rels/header25.xml.rels><?xml version="1.0" encoding="UTF-8" standalone="yes"?>
<Relationships xmlns="http://schemas.openxmlformats.org/package/2006/relationships"><Relationship Id="rId1" Type="http://schemas.openxmlformats.org/officeDocument/2006/relationships/image" Target="media/image2.png"/></Relationships>
</file>

<file path=word/_rels/header26.xml.rels><?xml version="1.0" encoding="UTF-8" standalone="yes"?>
<Relationships xmlns="http://schemas.openxmlformats.org/package/2006/relationships"><Relationship Id="rId1" Type="http://schemas.openxmlformats.org/officeDocument/2006/relationships/image" Target="media/image2.png"/></Relationships>
</file>

<file path=word/_rels/header27.xml.rels><?xml version="1.0" encoding="UTF-8" standalone="yes"?>
<Relationships xmlns="http://schemas.openxmlformats.org/package/2006/relationships"><Relationship Id="rId1" Type="http://schemas.openxmlformats.org/officeDocument/2006/relationships/image" Target="media/image2.png"/></Relationships>
</file>

<file path=word/_rels/header28.xml.rels><?xml version="1.0" encoding="UTF-8" standalone="yes"?>
<Relationships xmlns="http://schemas.openxmlformats.org/package/2006/relationships"><Relationship Id="rId1" Type="http://schemas.openxmlformats.org/officeDocument/2006/relationships/image" Target="media/image2.png"/></Relationships>
</file>

<file path=word/_rels/header29.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30.xml.rels><?xml version="1.0" encoding="UTF-8" standalone="yes"?>
<Relationships xmlns="http://schemas.openxmlformats.org/package/2006/relationships"><Relationship Id="rId1" Type="http://schemas.openxmlformats.org/officeDocument/2006/relationships/image" Target="media/image2.png"/></Relationships>
</file>

<file path=word/_rels/header31.xml.rels><?xml version="1.0" encoding="UTF-8" standalone="yes"?>
<Relationships xmlns="http://schemas.openxmlformats.org/package/2006/relationships"><Relationship Id="rId1" Type="http://schemas.openxmlformats.org/officeDocument/2006/relationships/image" Target="media/image2.png"/></Relationships>
</file>

<file path=word/_rels/header32.xml.rels><?xml version="1.0" encoding="UTF-8" standalone="yes"?>
<Relationships xmlns="http://schemas.openxmlformats.org/package/2006/relationships"><Relationship Id="rId1" Type="http://schemas.openxmlformats.org/officeDocument/2006/relationships/image" Target="media/image2.png"/></Relationships>
</file>

<file path=word/_rels/header33.xml.rels><?xml version="1.0" encoding="UTF-8" standalone="yes"?>
<Relationships xmlns="http://schemas.openxmlformats.org/package/2006/relationships"><Relationship Id="rId1" Type="http://schemas.openxmlformats.org/officeDocument/2006/relationships/image" Target="media/image2.png"/></Relationships>
</file>

<file path=word/_rels/header34.xml.rels><?xml version="1.0" encoding="UTF-8" standalone="yes"?>
<Relationships xmlns="http://schemas.openxmlformats.org/package/2006/relationships"><Relationship Id="rId1" Type="http://schemas.openxmlformats.org/officeDocument/2006/relationships/image" Target="media/image2.png"/></Relationships>
</file>

<file path=word/_rels/header35.xml.rels><?xml version="1.0" encoding="UTF-8" standalone="yes"?>
<Relationships xmlns="http://schemas.openxmlformats.org/package/2006/relationships"><Relationship Id="rId1" Type="http://schemas.openxmlformats.org/officeDocument/2006/relationships/image" Target="media/image2.png"/></Relationships>
</file>

<file path=word/_rels/header36.xml.rels><?xml version="1.0" encoding="UTF-8" standalone="yes"?>
<Relationships xmlns="http://schemas.openxmlformats.org/package/2006/relationships"><Relationship Id="rId1" Type="http://schemas.openxmlformats.org/officeDocument/2006/relationships/image" Target="media/image2.png"/></Relationships>
</file>

<file path=word/_rels/header37.xml.rels><?xml version="1.0" encoding="UTF-8" standalone="yes"?>
<Relationships xmlns="http://schemas.openxmlformats.org/package/2006/relationships"><Relationship Id="rId1" Type="http://schemas.openxmlformats.org/officeDocument/2006/relationships/image" Target="media/image2.png"/></Relationships>
</file>

<file path=word/_rels/header38.xml.rels><?xml version="1.0" encoding="UTF-8" standalone="yes"?>
<Relationships xmlns="http://schemas.openxmlformats.org/package/2006/relationships"><Relationship Id="rId1" Type="http://schemas.openxmlformats.org/officeDocument/2006/relationships/image" Target="media/image2.png"/></Relationships>
</file>

<file path=word/_rels/header39.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40.xml.rels><?xml version="1.0" encoding="UTF-8" standalone="yes"?>
<Relationships xmlns="http://schemas.openxmlformats.org/package/2006/relationships"><Relationship Id="rId1" Type="http://schemas.openxmlformats.org/officeDocument/2006/relationships/image" Target="media/image2.png"/></Relationships>
</file>

<file path=word/_rels/header41.xml.rels><?xml version="1.0" encoding="UTF-8" standalone="yes"?>
<Relationships xmlns="http://schemas.openxmlformats.org/package/2006/relationships"><Relationship Id="rId1" Type="http://schemas.openxmlformats.org/officeDocument/2006/relationships/image" Target="media/image2.png"/></Relationships>
</file>

<file path=word/_rels/header42.xml.rels><?xml version="1.0" encoding="UTF-8" standalone="yes"?>
<Relationships xmlns="http://schemas.openxmlformats.org/package/2006/relationships"><Relationship Id="rId1" Type="http://schemas.openxmlformats.org/officeDocument/2006/relationships/image" Target="media/image2.png"/></Relationships>
</file>

<file path=word/_rels/header43.xml.rels><?xml version="1.0" encoding="UTF-8" standalone="yes"?>
<Relationships xmlns="http://schemas.openxmlformats.org/package/2006/relationships"><Relationship Id="rId1" Type="http://schemas.openxmlformats.org/officeDocument/2006/relationships/image" Target="media/image2.png"/></Relationships>
</file>

<file path=word/_rels/header44.xml.rels><?xml version="1.0" encoding="UTF-8" standalone="yes"?>
<Relationships xmlns="http://schemas.openxmlformats.org/package/2006/relationships"><Relationship Id="rId1" Type="http://schemas.openxmlformats.org/officeDocument/2006/relationships/image" Target="media/image2.png"/></Relationships>
</file>

<file path=word/_rels/header45.xml.rels><?xml version="1.0" encoding="UTF-8" standalone="yes"?>
<Relationships xmlns="http://schemas.openxmlformats.org/package/2006/relationships"><Relationship Id="rId1" Type="http://schemas.openxmlformats.org/officeDocument/2006/relationships/image" Target="media/image2.png"/></Relationships>
</file>

<file path=word/_rels/header46.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coman\Downloads\Timeline%20graph_AI_01172021.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2.xml"/><Relationship Id="rId1" Type="http://schemas.microsoft.com/office/2011/relationships/chartStyle" Target="style2.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3.xml"/><Relationship Id="rId1" Type="http://schemas.microsoft.com/office/2011/relationships/chartStyle" Target="style3.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4.xml"/><Relationship Id="rId1" Type="http://schemas.microsoft.com/office/2011/relationships/chartStyle" Target="style4.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5.xml"/><Relationship Id="rId1" Type="http://schemas.microsoft.com/office/2011/relationships/chartStyle" Target="style5.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6.xml"/><Relationship Id="rId1" Type="http://schemas.microsoft.com/office/2011/relationships/chartStyle" Target="style6.xml"/></Relationships>
</file>

<file path=word/charts/_rels/chart1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7.xml"/><Relationship Id="rId1" Type="http://schemas.microsoft.com/office/2011/relationships/chartStyle" Target="style7.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oman\Desktop\D4\Revised\Experts\George\Copy%20of%20somaj.xlsx" TargetMode="External"/><Relationship Id="rId2" Type="http://schemas.microsoft.com/office/2011/relationships/chartColorStyle" Target="colors8.xml"/><Relationship Id="rId1" Type="http://schemas.microsoft.com/office/2011/relationships/chartStyle" Target="style8.xml"/></Relationships>
</file>

<file path=word/charts/_rels/chart17.xml.rels><?xml version="1.0" encoding="UTF-8" standalone="yes"?>
<Relationships xmlns="http://schemas.openxmlformats.org/package/2006/relationships"><Relationship Id="rId1" Type="http://schemas.openxmlformats.org/officeDocument/2006/relationships/oleObject" Target="file:///C:\Users\coman\Desktop\D4\Experts\Andrei_RE%20LCOE%20Romani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coman\Desktop\D4\Experts\Maria_Grafice_Tablele%20MFIs%20agencies%202019.xlsx" TargetMode="External"/></Relationships>
</file>

<file path=word/charts/_rels/chart19.xml.rels><?xml version="1.0" encoding="UTF-8" standalone="yes"?>
<Relationships xmlns="http://schemas.openxmlformats.org/package/2006/relationships"><Relationship Id="rId3" Type="http://schemas.openxmlformats.org/officeDocument/2006/relationships/oleObject" Target="file:///C:\Users\Rosen\Desktop\Project%20application%20assessment.xlsx" TargetMode="External"/><Relationship Id="rId2" Type="http://schemas.microsoft.com/office/2011/relationships/chartColorStyle" Target="colors9.xml"/><Relationship Id="rId1" Type="http://schemas.microsoft.com/office/2011/relationships/chartStyle" Target="style9.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coman\Desktop\D4\Experts\Andrei_RE%20LCOE%20Romania.xlsx" TargetMode="External"/></Relationships>
</file>

<file path=word/charts/_rels/chart20.xml.rels><?xml version="1.0" encoding="UTF-8" standalone="yes"?>
<Relationships xmlns="http://schemas.openxmlformats.org/package/2006/relationships"><Relationship Id="rId3" Type="http://schemas.openxmlformats.org/officeDocument/2006/relationships/oleObject" Target="file:///C:\Users\Rosen\Desktop\Project%20application%20assessment.xlsx" TargetMode="External"/><Relationship Id="rId2" Type="http://schemas.microsoft.com/office/2011/relationships/chartColorStyle" Target="colors10.xml"/><Relationship Id="rId1" Type="http://schemas.microsoft.com/office/2011/relationships/chartStyle" Target="style1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Rosen\Desktop\Project%20application%20assessment.xlsx" TargetMode="External"/><Relationship Id="rId2" Type="http://schemas.microsoft.com/office/2011/relationships/chartColorStyle" Target="colors11.xml"/><Relationship Id="rId1" Type="http://schemas.microsoft.com/office/2011/relationships/chartStyle" Target="style1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Rosen\Desktop\Project%20application%20assessment.xlsx" TargetMode="External"/><Relationship Id="rId2" Type="http://schemas.microsoft.com/office/2011/relationships/chartColorStyle" Target="colors12.xml"/><Relationship Id="rId1" Type="http://schemas.microsoft.com/office/2011/relationships/chartStyle" Target="style12.xml"/></Relationships>
</file>

<file path=word/charts/_rels/chart23.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19.06.xlsx" TargetMode="External"/><Relationship Id="rId2" Type="http://schemas.microsoft.com/office/2011/relationships/chartColorStyle" Target="colors13.xml"/><Relationship Id="rId1" Type="http://schemas.microsoft.com/office/2011/relationships/chartStyle" Target="style13.xml"/></Relationships>
</file>

<file path=word/charts/_rels/chart24.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19.06.xlsx" TargetMode="External"/><Relationship Id="rId2" Type="http://schemas.microsoft.com/office/2011/relationships/chartColorStyle" Target="colors14.xml"/><Relationship Id="rId1" Type="http://schemas.microsoft.com/office/2011/relationships/chartStyle" Target="style14.xml"/></Relationships>
</file>

<file path=word/charts/_rels/chart25.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6.06.xlsx" TargetMode="External"/><Relationship Id="rId2" Type="http://schemas.microsoft.com/office/2011/relationships/chartColorStyle" Target="colors15.xml"/><Relationship Id="rId1" Type="http://schemas.microsoft.com/office/2011/relationships/chartStyle" Target="style15.xml"/></Relationships>
</file>

<file path=word/charts/_rels/chart26.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19.06.xlsx" TargetMode="External"/><Relationship Id="rId2" Type="http://schemas.microsoft.com/office/2011/relationships/chartColorStyle" Target="colors16.xml"/><Relationship Id="rId1" Type="http://schemas.microsoft.com/office/2011/relationships/chartStyle" Target="style16.xml"/></Relationships>
</file>

<file path=word/charts/_rels/chart27.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17.xml"/><Relationship Id="rId1" Type="http://schemas.microsoft.com/office/2011/relationships/chartStyle" Target="style17.xml"/></Relationships>
</file>

<file path=word/charts/_rels/chart28.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18.xml"/><Relationship Id="rId1" Type="http://schemas.microsoft.com/office/2011/relationships/chartStyle" Target="style18.xml"/></Relationships>
</file>

<file path=word/charts/_rels/chart29.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19.xml"/><Relationship Id="rId1" Type="http://schemas.microsoft.com/office/2011/relationships/chartStyle" Target="style1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30.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20.xml"/><Relationship Id="rId1" Type="http://schemas.microsoft.com/office/2011/relationships/chartStyle" Target="style20.xml"/></Relationships>
</file>

<file path=word/charts/_rels/chart31.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21.xml"/><Relationship Id="rId1" Type="http://schemas.microsoft.com/office/2011/relationships/chartStyle" Target="style21.xml"/></Relationships>
</file>

<file path=word/charts/_rels/chart32.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19.06.xlsx" TargetMode="External"/><Relationship Id="rId2" Type="http://schemas.microsoft.com/office/2011/relationships/chartColorStyle" Target="colors22.xml"/><Relationship Id="rId1" Type="http://schemas.microsoft.com/office/2011/relationships/chartStyle" Target="style22.xml"/></Relationships>
</file>

<file path=word/charts/_rels/chart33.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23.xml"/><Relationship Id="rId1" Type="http://schemas.microsoft.com/office/2011/relationships/chartStyle" Target="style23.xml"/></Relationships>
</file>

<file path=word/charts/_rels/chart34.xml.rels><?xml version="1.0" encoding="UTF-8" standalone="yes"?>
<Relationships xmlns="http://schemas.openxmlformats.org/package/2006/relationships"><Relationship Id="rId3" Type="http://schemas.openxmlformats.org/officeDocument/2006/relationships/oleObject" Target="file:///D:\Rosen\Frankfurt%20School\Just%20Transition%20Plans\JTP%20Romania\Report\Project%20applications%20assessment%2021.06.xlsx" TargetMode="External"/><Relationship Id="rId2" Type="http://schemas.microsoft.com/office/2011/relationships/chartColorStyle" Target="colors24.xml"/><Relationship Id="rId1" Type="http://schemas.microsoft.com/office/2011/relationships/chartStyle" Target="style24.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coman\Desktop\Romania\D4\Revised%20x%202\Project%20applications%20assessment%2026.06.21.xlsx" TargetMode="External"/><Relationship Id="rId2" Type="http://schemas.microsoft.com/office/2011/relationships/chartColorStyle" Target="colors25.xml"/><Relationship Id="rId1" Type="http://schemas.microsoft.com/office/2011/relationships/chartStyle" Target="style25.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coman\Desktop\Romania\D4\Revised%20x%202\Project%20applications%20assessment%2026.06.21.xlsx" TargetMode="External"/><Relationship Id="rId2" Type="http://schemas.microsoft.com/office/2011/relationships/chartColorStyle" Target="colors26.xml"/><Relationship Id="rId1" Type="http://schemas.microsoft.com/office/2011/relationships/chartStyle" Target="style26.xml"/></Relationships>
</file>

<file path=word/charts/_rels/chart37.xml.rels><?xml version="1.0" encoding="UTF-8" standalone="yes"?>
<Relationships xmlns="http://schemas.openxmlformats.org/package/2006/relationships"><Relationship Id="rId3" Type="http://schemas.openxmlformats.org/officeDocument/2006/relationships/oleObject" Target="file:///C:\Users\coman\Desktop\Romania\D4\Revised%20x%202\Project%20applications%20assessment%2026.06.21.xlsx" TargetMode="External"/><Relationship Id="rId2" Type="http://schemas.microsoft.com/office/2011/relationships/chartColorStyle" Target="colors27.xml"/><Relationship Id="rId1" Type="http://schemas.microsoft.com/office/2011/relationships/chartStyle" Target="style27.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coman\Desktop\Romania\D4\Revised%20x%202\Project%20applications%20assessment%2026.06.21.xlsx" TargetMode="External"/><Relationship Id="rId2" Type="http://schemas.microsoft.com/office/2011/relationships/chartColorStyle" Target="colors28.xml"/><Relationship Id="rId1" Type="http://schemas.microsoft.com/office/2011/relationships/chartStyle" Target="style28.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coman\Desktop\D4\Experts\George_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'[Timeline graph_AI_01172021.xlsx]Timeline_NECP'!$D$35</c:f>
              <c:strCache>
                <c:ptCount val="1"/>
                <c:pt idx="0">
                  <c:v>Emission Reduction Non ETS (from 2005 baseline)</c:v>
                </c:pt>
              </c:strCache>
            </c:strRef>
          </c:tx>
          <c:spPr>
            <a:ln w="28575" cap="rnd">
              <a:solidFill>
                <a:schemeClr val="accent1"/>
              </a:solidFill>
              <a:round/>
            </a:ln>
            <a:effectLst/>
          </c:spPr>
          <c:marker>
            <c:symbol val="none"/>
          </c:marker>
          <c:dLbls>
            <c:dLbl>
              <c:idx val="0"/>
              <c:layout>
                <c:manualLayout>
                  <c:x val="-4.2998980223013503E-2"/>
                  <c:y val="-6.325053290990570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634-42B9-9E9E-37F00D379B9B}"/>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'[Timeline graph_AI_01172021.xlsx]Timeline_NECP'!$C$36:$C$38</c:f>
              <c:numCache>
                <c:formatCode>General</c:formatCode>
                <c:ptCount val="3"/>
                <c:pt idx="0">
                  <c:v>2020</c:v>
                </c:pt>
                <c:pt idx="1">
                  <c:v>2025</c:v>
                </c:pt>
                <c:pt idx="2">
                  <c:v>2030</c:v>
                </c:pt>
              </c:numCache>
            </c:numRef>
          </c:cat>
          <c:val>
            <c:numRef>
              <c:f>'[Timeline graph_AI_01172021.xlsx]Timeline_NECP'!$D$36:$D$38</c:f>
              <c:numCache>
                <c:formatCode>0.0%</c:formatCode>
                <c:ptCount val="3"/>
                <c:pt idx="0">
                  <c:v>-5.3999999999999999E-2</c:v>
                </c:pt>
                <c:pt idx="1">
                  <c:v>-1.2999999999999999E-2</c:v>
                </c:pt>
                <c:pt idx="2">
                  <c:v>-0.02</c:v>
                </c:pt>
              </c:numCache>
            </c:numRef>
          </c:val>
          <c:smooth val="0"/>
          <c:extLst xmlns:c16r2="http://schemas.microsoft.com/office/drawing/2015/06/chart">
            <c:ext xmlns:c16="http://schemas.microsoft.com/office/drawing/2014/chart" uri="{C3380CC4-5D6E-409C-BE32-E72D297353CC}">
              <c16:uniqueId val="{00000001-3634-42B9-9E9E-37F00D379B9B}"/>
            </c:ext>
          </c:extLst>
        </c:ser>
        <c:ser>
          <c:idx val="1"/>
          <c:order val="1"/>
          <c:tx>
            <c:strRef>
              <c:f>'[Timeline graph_AI_01172021.xlsx]Timeline_NECP'!$E$35</c:f>
              <c:strCache>
                <c:ptCount val="1"/>
                <c:pt idx="0">
                  <c:v>Emission Reduction ETS (from 2005 baseline)</c:v>
                </c:pt>
              </c:strCache>
            </c:strRef>
          </c:tx>
          <c:spPr>
            <a:ln w="28575" cap="rnd">
              <a:solidFill>
                <a:schemeClr val="accent2"/>
              </a:solidFill>
              <a:round/>
            </a:ln>
            <a:effectLst/>
          </c:spPr>
          <c:marker>
            <c:symbol val="none"/>
          </c:marker>
          <c:dLbls>
            <c:dLbl>
              <c:idx val="0"/>
              <c:layout>
                <c:manualLayout>
                  <c:x val="-3.5782581218407397E-2"/>
                  <c:y val="2.32470276364439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634-42B9-9E9E-37F00D379B9B}"/>
                </c:ext>
                <c:ext xmlns:c15="http://schemas.microsoft.com/office/drawing/2012/chart" uri="{CE6537A1-D6FC-4f65-9D91-7224C49458BB}"/>
              </c:extLst>
            </c:dLbl>
            <c:dLbl>
              <c:idx val="1"/>
              <c:layout>
                <c:manualLayout>
                  <c:x val="-3.263755644948E-2"/>
                  <c:y val="3.641444733436460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634-42B9-9E9E-37F00D379B9B}"/>
                </c:ext>
                <c:ext xmlns:c15="http://schemas.microsoft.com/office/drawing/2012/chart" uri="{CE6537A1-D6FC-4f65-9D91-7224C49458BB}"/>
              </c:extLst>
            </c:dLbl>
            <c:dLbl>
              <c:idx val="2"/>
              <c:layout>
                <c:manualLayout>
                  <c:x val="-3.7355093602871002E-2"/>
                  <c:y val="2.851399551561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634-42B9-9E9E-37F00D379B9B}"/>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'[Timeline graph_AI_01172021.xlsx]Timeline_NECP'!$C$36:$C$38</c:f>
              <c:numCache>
                <c:formatCode>General</c:formatCode>
                <c:ptCount val="3"/>
                <c:pt idx="0">
                  <c:v>2020</c:v>
                </c:pt>
                <c:pt idx="1">
                  <c:v>2025</c:v>
                </c:pt>
                <c:pt idx="2">
                  <c:v>2030</c:v>
                </c:pt>
              </c:numCache>
            </c:numRef>
          </c:cat>
          <c:val>
            <c:numRef>
              <c:f>'[Timeline graph_AI_01172021.xlsx]Timeline_NECP'!$E$36:$E$38</c:f>
              <c:numCache>
                <c:formatCode>0.0%</c:formatCode>
                <c:ptCount val="3"/>
                <c:pt idx="0">
                  <c:v>-0.34699999999999998</c:v>
                </c:pt>
                <c:pt idx="1">
                  <c:v>-0.34399999999999997</c:v>
                </c:pt>
                <c:pt idx="2">
                  <c:v>-0.439</c:v>
                </c:pt>
              </c:numCache>
            </c:numRef>
          </c:val>
          <c:smooth val="0"/>
          <c:extLst xmlns:c16r2="http://schemas.microsoft.com/office/drawing/2015/06/chart">
            <c:ext xmlns:c16="http://schemas.microsoft.com/office/drawing/2014/chart" uri="{C3380CC4-5D6E-409C-BE32-E72D297353CC}">
              <c16:uniqueId val="{00000005-3634-42B9-9E9E-37F00D379B9B}"/>
            </c:ext>
          </c:extLst>
        </c:ser>
        <c:ser>
          <c:idx val="2"/>
          <c:order val="2"/>
          <c:tx>
            <c:strRef>
              <c:f>'[Timeline graph_AI_01172021.xlsx]Timeline_NECP'!$F$35</c:f>
              <c:strCache>
                <c:ptCount val="1"/>
                <c:pt idx="0">
                  <c:v>RES share in the final energy consumption</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'[Timeline graph_AI_01172021.xlsx]Timeline_NECP'!$C$36:$C$38</c:f>
              <c:numCache>
                <c:formatCode>General</c:formatCode>
                <c:ptCount val="3"/>
                <c:pt idx="0">
                  <c:v>2020</c:v>
                </c:pt>
                <c:pt idx="1">
                  <c:v>2025</c:v>
                </c:pt>
                <c:pt idx="2">
                  <c:v>2030</c:v>
                </c:pt>
              </c:numCache>
            </c:numRef>
          </c:cat>
          <c:val>
            <c:numRef>
              <c:f>'[Timeline graph_AI_01172021.xlsx]Timeline_NECP'!$F$36:$F$38</c:f>
              <c:numCache>
                <c:formatCode>0.0%</c:formatCode>
                <c:ptCount val="3"/>
                <c:pt idx="0">
                  <c:v>0.24399999999999999</c:v>
                </c:pt>
                <c:pt idx="1">
                  <c:v>0.27400000000000002</c:v>
                </c:pt>
                <c:pt idx="2">
                  <c:v>0.307</c:v>
                </c:pt>
              </c:numCache>
            </c:numRef>
          </c:val>
          <c:smooth val="0"/>
          <c:extLst xmlns:c16r2="http://schemas.microsoft.com/office/drawing/2015/06/chart">
            <c:ext xmlns:c16="http://schemas.microsoft.com/office/drawing/2014/chart" uri="{C3380CC4-5D6E-409C-BE32-E72D297353CC}">
              <c16:uniqueId val="{00000006-3634-42B9-9E9E-37F00D379B9B}"/>
            </c:ext>
          </c:extLst>
        </c:ser>
        <c:ser>
          <c:idx val="3"/>
          <c:order val="3"/>
          <c:tx>
            <c:strRef>
              <c:f>'[Timeline graph_AI_01172021.xlsx]Timeline_NECP'!$G$35</c:f>
              <c:strCache>
                <c:ptCount val="1"/>
                <c:pt idx="0">
                  <c:v>Final Energy Consumption</c:v>
                </c:pt>
              </c:strCache>
            </c:strRef>
          </c:tx>
          <c:spPr>
            <a:ln w="28575" cap="rnd">
              <a:solidFill>
                <a:schemeClr val="accent4"/>
              </a:solidFill>
              <a:round/>
            </a:ln>
            <a:effectLst/>
          </c:spPr>
          <c:marker>
            <c:symbol val="none"/>
          </c:marker>
          <c:dLbls>
            <c:dLbl>
              <c:idx val="0"/>
              <c:layout>
                <c:manualLayout>
                  <c:x val="-5.6987020199301297E-2"/>
                  <c:y val="-3.571082740870980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3634-42B9-9E9E-37F00D379B9B}"/>
                </c:ext>
                <c:ext xmlns:c15="http://schemas.microsoft.com/office/drawing/2012/chart" uri="{CE6537A1-D6FC-4f65-9D91-7224C49458BB}"/>
              </c:extLst>
            </c:dLbl>
            <c:dLbl>
              <c:idx val="1"/>
              <c:layout>
                <c:manualLayout>
                  <c:x val="-3.5782581218407397E-2"/>
                  <c:y val="-4.785703873232789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3634-42B9-9E9E-37F00D379B9B}"/>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'[Timeline graph_AI_01172021.xlsx]Timeline_NECP'!$C$36:$C$38</c:f>
              <c:numCache>
                <c:formatCode>General</c:formatCode>
                <c:ptCount val="3"/>
                <c:pt idx="0">
                  <c:v>2020</c:v>
                </c:pt>
                <c:pt idx="1">
                  <c:v>2025</c:v>
                </c:pt>
                <c:pt idx="2">
                  <c:v>2030</c:v>
                </c:pt>
              </c:numCache>
            </c:numRef>
          </c:cat>
          <c:val>
            <c:numRef>
              <c:f>'[Timeline graph_AI_01172021.xlsx]Timeline_NECP'!$G$36:$G$38</c:f>
              <c:numCache>
                <c:formatCode>0.0%</c:formatCode>
                <c:ptCount val="3"/>
                <c:pt idx="0">
                  <c:v>-0.311</c:v>
                </c:pt>
                <c:pt idx="1">
                  <c:v>-0.34</c:v>
                </c:pt>
                <c:pt idx="2">
                  <c:v>-0.40400000000000003</c:v>
                </c:pt>
              </c:numCache>
            </c:numRef>
          </c:val>
          <c:smooth val="0"/>
          <c:extLst xmlns:c16r2="http://schemas.microsoft.com/office/drawing/2015/06/chart">
            <c:ext xmlns:c16="http://schemas.microsoft.com/office/drawing/2014/chart" uri="{C3380CC4-5D6E-409C-BE32-E72D297353CC}">
              <c16:uniqueId val="{00000009-3634-42B9-9E9E-37F00D379B9B}"/>
            </c:ext>
          </c:extLst>
        </c:ser>
        <c:dLbls>
          <c:dLblPos val="t"/>
          <c:showLegendKey val="0"/>
          <c:showVal val="1"/>
          <c:showCatName val="0"/>
          <c:showSerName val="0"/>
          <c:showPercent val="0"/>
          <c:showBubbleSize val="0"/>
        </c:dLbls>
        <c:smooth val="0"/>
        <c:axId val="415015128"/>
        <c:axId val="415015520"/>
      </c:lineChart>
      <c:catAx>
        <c:axId val="41501512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15015520"/>
        <c:crosses val="autoZero"/>
        <c:auto val="1"/>
        <c:lblAlgn val="ctr"/>
        <c:lblOffset val="100"/>
        <c:noMultiLvlLbl val="0"/>
      </c:catAx>
      <c:valAx>
        <c:axId val="415015520"/>
        <c:scaling>
          <c:orientation val="minMax"/>
          <c:max val="0.6"/>
          <c:min val="-0.6"/>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15015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Sheet1!$A$5</c:f>
              <c:strCache>
                <c:ptCount val="1"/>
                <c:pt idx="0">
                  <c:v>Hunedoara</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Sheet1!$B$5:$L$5</c:f>
              <c:numCache>
                <c:formatCode>General</c:formatCode>
                <c:ptCount val="11"/>
                <c:pt idx="0">
                  <c:v>5</c:v>
                </c:pt>
                <c:pt idx="1">
                  <c:v>3.4</c:v>
                </c:pt>
                <c:pt idx="2">
                  <c:v>4</c:v>
                </c:pt>
                <c:pt idx="3">
                  <c:v>4.5999999999999996</c:v>
                </c:pt>
                <c:pt idx="4">
                  <c:v>4</c:v>
                </c:pt>
                <c:pt idx="5">
                  <c:v>3.7</c:v>
                </c:pt>
                <c:pt idx="6">
                  <c:v>3.5</c:v>
                </c:pt>
                <c:pt idx="7">
                  <c:v>2.6</c:v>
                </c:pt>
                <c:pt idx="8">
                  <c:v>2</c:v>
                </c:pt>
                <c:pt idx="9">
                  <c:v>1.8</c:v>
                </c:pt>
                <c:pt idx="10">
                  <c:v>2</c:v>
                </c:pt>
              </c:numCache>
            </c:numRef>
          </c:val>
          <c:smooth val="0"/>
          <c:extLst xmlns:c16r2="http://schemas.microsoft.com/office/drawing/2015/06/chart">
            <c:ext xmlns:c16="http://schemas.microsoft.com/office/drawing/2014/chart" uri="{C3380CC4-5D6E-409C-BE32-E72D297353CC}">
              <c16:uniqueId val="{00000000-276E-4010-BF94-0CA2ADF9F369}"/>
            </c:ext>
          </c:extLst>
        </c:ser>
        <c:dLbls>
          <c:dLblPos val="t"/>
          <c:showLegendKey val="0"/>
          <c:showVal val="1"/>
          <c:showCatName val="0"/>
          <c:showSerName val="0"/>
          <c:showPercent val="0"/>
          <c:showBubbleSize val="0"/>
        </c:dLbls>
        <c:smooth val="0"/>
        <c:axId val="596969664"/>
        <c:axId val="596971624"/>
      </c:lineChart>
      <c:catAx>
        <c:axId val="596969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71624"/>
        <c:crosses val="autoZero"/>
        <c:auto val="1"/>
        <c:lblAlgn val="ctr"/>
        <c:lblOffset val="100"/>
        <c:noMultiLvlLbl val="0"/>
      </c:catAx>
      <c:valAx>
        <c:axId val="5969716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69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Sheet1!$A$3</c:f>
              <c:strCache>
                <c:ptCount val="1"/>
                <c:pt idx="0">
                  <c:v>Dolj</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Sheet1!$B$3:$L$3</c:f>
              <c:numCache>
                <c:formatCode>General</c:formatCode>
                <c:ptCount val="11"/>
                <c:pt idx="0">
                  <c:v>6.4</c:v>
                </c:pt>
                <c:pt idx="1">
                  <c:v>5.6</c:v>
                </c:pt>
                <c:pt idx="2">
                  <c:v>6.1</c:v>
                </c:pt>
                <c:pt idx="3">
                  <c:v>6.3</c:v>
                </c:pt>
                <c:pt idx="4">
                  <c:v>6</c:v>
                </c:pt>
                <c:pt idx="5">
                  <c:v>5.9</c:v>
                </c:pt>
                <c:pt idx="6">
                  <c:v>5.9</c:v>
                </c:pt>
                <c:pt idx="7">
                  <c:v>5.3</c:v>
                </c:pt>
                <c:pt idx="8">
                  <c:v>4.5999999999999996</c:v>
                </c:pt>
                <c:pt idx="9">
                  <c:v>4.2</c:v>
                </c:pt>
                <c:pt idx="10">
                  <c:v>4.4000000000000004</c:v>
                </c:pt>
              </c:numCache>
            </c:numRef>
          </c:val>
          <c:smooth val="0"/>
          <c:extLst xmlns:c16r2="http://schemas.microsoft.com/office/drawing/2015/06/chart">
            <c:ext xmlns:c16="http://schemas.microsoft.com/office/drawing/2014/chart" uri="{C3380CC4-5D6E-409C-BE32-E72D297353CC}">
              <c16:uniqueId val="{00000000-E89B-40AD-990C-CF476FA5CBF2}"/>
            </c:ext>
          </c:extLst>
        </c:ser>
        <c:dLbls>
          <c:dLblPos val="t"/>
          <c:showLegendKey val="0"/>
          <c:showVal val="1"/>
          <c:showCatName val="0"/>
          <c:showSerName val="0"/>
          <c:showPercent val="0"/>
          <c:showBubbleSize val="0"/>
        </c:dLbls>
        <c:smooth val="0"/>
        <c:axId val="596970840"/>
        <c:axId val="596970448"/>
      </c:lineChart>
      <c:catAx>
        <c:axId val="596970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70448"/>
        <c:crosses val="autoZero"/>
        <c:auto val="1"/>
        <c:lblAlgn val="ctr"/>
        <c:lblOffset val="100"/>
        <c:noMultiLvlLbl val="0"/>
      </c:catAx>
      <c:valAx>
        <c:axId val="5969704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70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Sheet1!$A$4</c:f>
              <c:strCache>
                <c:ptCount val="1"/>
                <c:pt idx="0">
                  <c:v>Gorj</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Sheet1!$B$4:$L$4</c:f>
              <c:numCache>
                <c:formatCode>General</c:formatCode>
                <c:ptCount val="11"/>
                <c:pt idx="0">
                  <c:v>6</c:v>
                </c:pt>
                <c:pt idx="1">
                  <c:v>4.5999999999999996</c:v>
                </c:pt>
                <c:pt idx="2">
                  <c:v>4.5999999999999996</c:v>
                </c:pt>
                <c:pt idx="3">
                  <c:v>4.9000000000000004</c:v>
                </c:pt>
                <c:pt idx="4">
                  <c:v>4.3</c:v>
                </c:pt>
                <c:pt idx="5">
                  <c:v>4.3</c:v>
                </c:pt>
                <c:pt idx="6">
                  <c:v>4.2</c:v>
                </c:pt>
                <c:pt idx="7">
                  <c:v>3.6</c:v>
                </c:pt>
                <c:pt idx="8">
                  <c:v>2.5</c:v>
                </c:pt>
                <c:pt idx="9">
                  <c:v>2</c:v>
                </c:pt>
                <c:pt idx="10">
                  <c:v>2.2999999999999998</c:v>
                </c:pt>
              </c:numCache>
            </c:numRef>
          </c:val>
          <c:smooth val="0"/>
          <c:extLst xmlns:c16r2="http://schemas.microsoft.com/office/drawing/2015/06/chart">
            <c:ext xmlns:c16="http://schemas.microsoft.com/office/drawing/2014/chart" uri="{C3380CC4-5D6E-409C-BE32-E72D297353CC}">
              <c16:uniqueId val="{00000000-8CCF-48D5-A731-36D2CD1C4B20}"/>
            </c:ext>
          </c:extLst>
        </c:ser>
        <c:dLbls>
          <c:dLblPos val="t"/>
          <c:showLegendKey val="0"/>
          <c:showVal val="1"/>
          <c:showCatName val="0"/>
          <c:showSerName val="0"/>
          <c:showPercent val="0"/>
          <c:showBubbleSize val="0"/>
        </c:dLbls>
        <c:smooth val="0"/>
        <c:axId val="596972016"/>
        <c:axId val="596972408"/>
      </c:lineChart>
      <c:catAx>
        <c:axId val="596972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72408"/>
        <c:crosses val="autoZero"/>
        <c:auto val="1"/>
        <c:lblAlgn val="ctr"/>
        <c:lblOffset val="100"/>
        <c:noMultiLvlLbl val="0"/>
      </c:catAx>
      <c:valAx>
        <c:axId val="59697240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720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Sheet1!$A$7</c:f>
              <c:strCache>
                <c:ptCount val="1"/>
                <c:pt idx="0">
                  <c:v>Prahova</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Sheet1!$B$7:$L$7</c:f>
              <c:numCache>
                <c:formatCode>General</c:formatCode>
                <c:ptCount val="11"/>
                <c:pt idx="0">
                  <c:v>5</c:v>
                </c:pt>
                <c:pt idx="1">
                  <c:v>3.2</c:v>
                </c:pt>
                <c:pt idx="2">
                  <c:v>3.2</c:v>
                </c:pt>
                <c:pt idx="3">
                  <c:v>3.4</c:v>
                </c:pt>
                <c:pt idx="4">
                  <c:v>3</c:v>
                </c:pt>
                <c:pt idx="5">
                  <c:v>2.4</c:v>
                </c:pt>
                <c:pt idx="6">
                  <c:v>2.5</c:v>
                </c:pt>
                <c:pt idx="7">
                  <c:v>1.8</c:v>
                </c:pt>
                <c:pt idx="8">
                  <c:v>1.6</c:v>
                </c:pt>
                <c:pt idx="9">
                  <c:v>1.4</c:v>
                </c:pt>
                <c:pt idx="10">
                  <c:v>1.8</c:v>
                </c:pt>
              </c:numCache>
            </c:numRef>
          </c:val>
          <c:smooth val="0"/>
          <c:extLst xmlns:c16r2="http://schemas.microsoft.com/office/drawing/2015/06/chart">
            <c:ext xmlns:c16="http://schemas.microsoft.com/office/drawing/2014/chart" uri="{C3380CC4-5D6E-409C-BE32-E72D297353CC}">
              <c16:uniqueId val="{00000000-ADD3-48C2-80A5-172425CF1422}"/>
            </c:ext>
          </c:extLst>
        </c:ser>
        <c:dLbls>
          <c:dLblPos val="t"/>
          <c:showLegendKey val="0"/>
          <c:showVal val="1"/>
          <c:showCatName val="0"/>
          <c:showSerName val="0"/>
          <c:showPercent val="0"/>
          <c:showBubbleSize val="0"/>
        </c:dLbls>
        <c:smooth val="0"/>
        <c:axId val="596968880"/>
        <c:axId val="594401600"/>
      </c:lineChart>
      <c:catAx>
        <c:axId val="596968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4401600"/>
        <c:crosses val="autoZero"/>
        <c:auto val="1"/>
        <c:lblAlgn val="ctr"/>
        <c:lblOffset val="100"/>
        <c:noMultiLvlLbl val="0"/>
      </c:catAx>
      <c:valAx>
        <c:axId val="5944016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69688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Sheet1!$A$6</c:f>
              <c:strCache>
                <c:ptCount val="1"/>
                <c:pt idx="0">
                  <c:v>Mureș</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Sheet1!$B$6:$L$6</c:f>
              <c:numCache>
                <c:formatCode>General</c:formatCode>
                <c:ptCount val="11"/>
                <c:pt idx="0">
                  <c:v>5.0999999999999996</c:v>
                </c:pt>
                <c:pt idx="1">
                  <c:v>3.8</c:v>
                </c:pt>
                <c:pt idx="2">
                  <c:v>4</c:v>
                </c:pt>
                <c:pt idx="3">
                  <c:v>3.6</c:v>
                </c:pt>
                <c:pt idx="4">
                  <c:v>3.7</c:v>
                </c:pt>
                <c:pt idx="5">
                  <c:v>3</c:v>
                </c:pt>
                <c:pt idx="6">
                  <c:v>2.9</c:v>
                </c:pt>
                <c:pt idx="7">
                  <c:v>2.5</c:v>
                </c:pt>
                <c:pt idx="8">
                  <c:v>1.9</c:v>
                </c:pt>
                <c:pt idx="9">
                  <c:v>1.8</c:v>
                </c:pt>
                <c:pt idx="10">
                  <c:v>1.8</c:v>
                </c:pt>
              </c:numCache>
            </c:numRef>
          </c:val>
          <c:smooth val="0"/>
          <c:extLst xmlns:c16r2="http://schemas.microsoft.com/office/drawing/2015/06/chart">
            <c:ext xmlns:c16="http://schemas.microsoft.com/office/drawing/2014/chart" uri="{C3380CC4-5D6E-409C-BE32-E72D297353CC}">
              <c16:uniqueId val="{00000000-5E93-42C4-A8C7-3371DE3033EC}"/>
            </c:ext>
          </c:extLst>
        </c:ser>
        <c:dLbls>
          <c:dLblPos val="t"/>
          <c:showLegendKey val="0"/>
          <c:showVal val="1"/>
          <c:showCatName val="0"/>
          <c:showSerName val="0"/>
          <c:showPercent val="0"/>
          <c:showBubbleSize val="0"/>
        </c:dLbls>
        <c:smooth val="0"/>
        <c:axId val="594401208"/>
        <c:axId val="594401992"/>
      </c:lineChart>
      <c:catAx>
        <c:axId val="594401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4401992"/>
        <c:crosses val="autoZero"/>
        <c:auto val="1"/>
        <c:lblAlgn val="ctr"/>
        <c:lblOffset val="100"/>
        <c:noMultiLvlLbl val="0"/>
      </c:catAx>
      <c:valAx>
        <c:axId val="5944019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44012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US" sz="1050"/>
              <a:t>Azo</a:t>
            </a:r>
            <a:r>
              <a:rPr lang="en-US" sz="1050" b="0" i="0" u="none" strike="noStrike" kern="1200" spc="0" baseline="0">
                <a:solidFill>
                  <a:sysClr val="windowText" lastClr="000000"/>
                </a:solidFill>
                <a:latin typeface="Arial" panose="020B0604020202020204" pitchFamily="34" charset="0"/>
                <a:ea typeface="+mn-ea"/>
                <a:cs typeface="Arial" panose="020B0604020202020204" pitchFamily="34" charset="0"/>
              </a:rPr>
              <a:t>mureș</a:t>
            </a:r>
            <a:endParaRPr lang="ro-RO" sz="1050"/>
          </a:p>
        </c:rich>
      </c:tx>
      <c:overlay val="0"/>
      <c:spPr>
        <a:noFill/>
        <a:ln>
          <a:noFill/>
        </a:ln>
        <a:effectLst/>
      </c:spPr>
      <c:txPr>
        <a:bodyPr rot="0" spcFirstLastPara="1" vertOverflow="ellipsis" vert="horz" wrap="square" anchor="ctr" anchorCtr="1"/>
        <a:lstStyle/>
        <a:p>
          <a:pPr>
            <a:defRPr sz="11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Azomures!$B$1</c:f>
              <c:strCache>
                <c:ptCount val="1"/>
                <c:pt idx="0">
                  <c:v>Verified Emissions</c:v>
                </c:pt>
              </c:strCache>
            </c:strRef>
          </c:tx>
          <c:spPr>
            <a:ln w="28575" cap="rnd">
              <a:solidFill>
                <a:schemeClr val="accent1"/>
              </a:solidFill>
              <a:round/>
            </a:ln>
            <a:effectLst/>
          </c:spPr>
          <c:marker>
            <c:symbol val="none"/>
          </c:marker>
          <c:cat>
            <c:numRef>
              <c:f>Azomures!$A$2:$A$13</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Azomures!$B$2:$B$13</c:f>
              <c:numCache>
                <c:formatCode>#,##0</c:formatCode>
                <c:ptCount val="12"/>
                <c:pt idx="0">
                  <c:v>1127005</c:v>
                </c:pt>
                <c:pt idx="1">
                  <c:v>973434</c:v>
                </c:pt>
                <c:pt idx="2">
                  <c:v>1197811</c:v>
                </c:pt>
                <c:pt idx="3">
                  <c:v>1342662</c:v>
                </c:pt>
                <c:pt idx="4">
                  <c:v>1232852</c:v>
                </c:pt>
                <c:pt idx="5">
                  <c:v>1854955</c:v>
                </c:pt>
                <c:pt idx="6">
                  <c:v>1743061</c:v>
                </c:pt>
                <c:pt idx="7">
                  <c:v>1807951</c:v>
                </c:pt>
                <c:pt idx="8">
                  <c:v>1792963</c:v>
                </c:pt>
                <c:pt idx="9">
                  <c:v>1792293</c:v>
                </c:pt>
                <c:pt idx="10">
                  <c:v>2028357</c:v>
                </c:pt>
                <c:pt idx="11">
                  <c:v>1578627</c:v>
                </c:pt>
              </c:numCache>
            </c:numRef>
          </c:val>
          <c:smooth val="0"/>
          <c:extLst xmlns:c16r2="http://schemas.microsoft.com/office/drawing/2015/06/chart">
            <c:ext xmlns:c16="http://schemas.microsoft.com/office/drawing/2014/chart" uri="{C3380CC4-5D6E-409C-BE32-E72D297353CC}">
              <c16:uniqueId val="{00000000-A9AB-4E95-B4CD-0759C3B7E64A}"/>
            </c:ext>
          </c:extLst>
        </c:ser>
        <c:ser>
          <c:idx val="1"/>
          <c:order val="1"/>
          <c:tx>
            <c:strRef>
              <c:f>Azomures!$C$1</c:f>
              <c:strCache>
                <c:ptCount val="1"/>
                <c:pt idx="0">
                  <c:v>Allocation</c:v>
                </c:pt>
              </c:strCache>
            </c:strRef>
          </c:tx>
          <c:spPr>
            <a:ln w="28575" cap="rnd">
              <a:solidFill>
                <a:schemeClr val="accent2"/>
              </a:solidFill>
              <a:round/>
            </a:ln>
            <a:effectLst/>
          </c:spPr>
          <c:marker>
            <c:symbol val="none"/>
          </c:marker>
          <c:cat>
            <c:numRef>
              <c:f>Azomures!$A$2:$A$13</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Azomures!$C$2:$C$13</c:f>
              <c:numCache>
                <c:formatCode>#,##0</c:formatCode>
                <c:ptCount val="12"/>
                <c:pt idx="0">
                  <c:v>1069609</c:v>
                </c:pt>
                <c:pt idx="1">
                  <c:v>1069609</c:v>
                </c:pt>
                <c:pt idx="2">
                  <c:v>1069609</c:v>
                </c:pt>
                <c:pt idx="3">
                  <c:v>1069609</c:v>
                </c:pt>
                <c:pt idx="4">
                  <c:v>1069609</c:v>
                </c:pt>
                <c:pt idx="5">
                  <c:v>1188061</c:v>
                </c:pt>
                <c:pt idx="6">
                  <c:v>1167426</c:v>
                </c:pt>
                <c:pt idx="7">
                  <c:v>1146547</c:v>
                </c:pt>
                <c:pt idx="8">
                  <c:v>1125451</c:v>
                </c:pt>
                <c:pt idx="9">
                  <c:v>1104129</c:v>
                </c:pt>
                <c:pt idx="10">
                  <c:v>1091712</c:v>
                </c:pt>
                <c:pt idx="11">
                  <c:v>1154037</c:v>
                </c:pt>
              </c:numCache>
            </c:numRef>
          </c:val>
          <c:smooth val="0"/>
          <c:extLst xmlns:c16r2="http://schemas.microsoft.com/office/drawing/2015/06/chart">
            <c:ext xmlns:c16="http://schemas.microsoft.com/office/drawing/2014/chart" uri="{C3380CC4-5D6E-409C-BE32-E72D297353CC}">
              <c16:uniqueId val="{00000001-A9AB-4E95-B4CD-0759C3B7E64A}"/>
            </c:ext>
          </c:extLst>
        </c:ser>
        <c:dLbls>
          <c:showLegendKey val="0"/>
          <c:showVal val="0"/>
          <c:showCatName val="0"/>
          <c:showSerName val="0"/>
          <c:showPercent val="0"/>
          <c:showBubbleSize val="0"/>
        </c:dLbls>
        <c:smooth val="0"/>
        <c:axId val="594400032"/>
        <c:axId val="594400424"/>
      </c:lineChart>
      <c:catAx>
        <c:axId val="59440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94400424"/>
        <c:crosses val="autoZero"/>
        <c:auto val="1"/>
        <c:lblAlgn val="ctr"/>
        <c:lblOffset val="100"/>
        <c:noMultiLvlLbl val="0"/>
      </c:catAx>
      <c:valAx>
        <c:axId val="5944004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94400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Sheet1!$A$2</c:f>
              <c:strCache>
                <c:ptCount val="1"/>
                <c:pt idx="0">
                  <c:v>Galați</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Sheet1!$B$1:$L$1</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Sheet1!$B$2:$L$2</c:f>
              <c:numCache>
                <c:formatCode>General</c:formatCode>
                <c:ptCount val="11"/>
                <c:pt idx="0">
                  <c:v>5</c:v>
                </c:pt>
                <c:pt idx="1">
                  <c:v>3.7</c:v>
                </c:pt>
                <c:pt idx="2">
                  <c:v>4.3</c:v>
                </c:pt>
                <c:pt idx="3">
                  <c:v>4.5</c:v>
                </c:pt>
                <c:pt idx="4">
                  <c:v>4.5999999999999996</c:v>
                </c:pt>
                <c:pt idx="5">
                  <c:v>4.3</c:v>
                </c:pt>
                <c:pt idx="6">
                  <c:v>4.5999999999999996</c:v>
                </c:pt>
                <c:pt idx="7">
                  <c:v>3.7</c:v>
                </c:pt>
                <c:pt idx="8">
                  <c:v>2.9</c:v>
                </c:pt>
                <c:pt idx="9">
                  <c:v>2.6</c:v>
                </c:pt>
                <c:pt idx="10">
                  <c:v>3</c:v>
                </c:pt>
              </c:numCache>
            </c:numRef>
          </c:val>
          <c:smooth val="0"/>
          <c:extLst xmlns:c16r2="http://schemas.microsoft.com/office/drawing/2015/06/chart">
            <c:ext xmlns:c16="http://schemas.microsoft.com/office/drawing/2014/chart" uri="{C3380CC4-5D6E-409C-BE32-E72D297353CC}">
              <c16:uniqueId val="{00000000-1B7A-40E2-B291-4A654263C0F6}"/>
            </c:ext>
          </c:extLst>
        </c:ser>
        <c:dLbls>
          <c:dLblPos val="t"/>
          <c:showLegendKey val="0"/>
          <c:showVal val="1"/>
          <c:showCatName val="0"/>
          <c:showSerName val="0"/>
          <c:showPercent val="0"/>
          <c:showBubbleSize val="0"/>
        </c:dLbls>
        <c:smooth val="0"/>
        <c:axId val="594399640"/>
        <c:axId val="594400816"/>
      </c:lineChart>
      <c:catAx>
        <c:axId val="594399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4400816"/>
        <c:crosses val="autoZero"/>
        <c:auto val="1"/>
        <c:lblAlgn val="ctr"/>
        <c:lblOffset val="100"/>
        <c:noMultiLvlLbl val="0"/>
      </c:catAx>
      <c:valAx>
        <c:axId val="59440081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43996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'MS_supply curve'!$F$29</c:f>
              <c:strCache>
                <c:ptCount val="1"/>
                <c:pt idx="0">
                  <c:v>Galati</c:v>
                </c:pt>
              </c:strCache>
            </c:strRef>
          </c:tx>
          <c:spPr>
            <a:ln w="28575" cap="rnd">
              <a:solidFill>
                <a:schemeClr val="accent6">
                  <a:lumMod val="75000"/>
                </a:scheme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'MS_supply curve'!$B$30:$B$35</c:f>
              <c:numCache>
                <c:formatCode>General</c:formatCode>
                <c:ptCount val="6"/>
                <c:pt idx="0">
                  <c:v>100</c:v>
                </c:pt>
                <c:pt idx="1">
                  <c:v>100</c:v>
                </c:pt>
                <c:pt idx="2">
                  <c:v>100</c:v>
                </c:pt>
                <c:pt idx="3">
                  <c:v>100</c:v>
                </c:pt>
                <c:pt idx="4">
                  <c:v>100</c:v>
                </c:pt>
                <c:pt idx="5">
                  <c:v>100</c:v>
                </c:pt>
              </c:numCache>
            </c:numRef>
          </c:cat>
          <c:val>
            <c:numRef>
              <c:f>'MS_supply curve'!$F$30:$F$35</c:f>
              <c:numCache>
                <c:formatCode>0.0</c:formatCode>
                <c:ptCount val="6"/>
                <c:pt idx="0">
                  <c:v>37.65827755576705</c:v>
                </c:pt>
                <c:pt idx="1">
                  <c:v>39.295593971235185</c:v>
                </c:pt>
                <c:pt idx="2">
                  <c:v>40.932910386703313</c:v>
                </c:pt>
                <c:pt idx="3">
                  <c:v>42.570226802171447</c:v>
                </c:pt>
                <c:pt idx="4">
                  <c:v>44.207543217639575</c:v>
                </c:pt>
                <c:pt idx="5">
                  <c:v>45.84485963310771</c:v>
                </c:pt>
              </c:numCache>
            </c:numRef>
          </c:val>
          <c:smooth val="0"/>
          <c:extLst xmlns:c16r2="http://schemas.microsoft.com/office/drawing/2015/06/chart">
            <c:ext xmlns:c16="http://schemas.microsoft.com/office/drawing/2014/chart" uri="{C3380CC4-5D6E-409C-BE32-E72D297353CC}">
              <c16:uniqueId val="{00000000-485B-463C-9216-4315CB8A81A8}"/>
            </c:ext>
          </c:extLst>
        </c:ser>
        <c:dLbls>
          <c:dLblPos val="t"/>
          <c:showLegendKey val="0"/>
          <c:showVal val="1"/>
          <c:showCatName val="0"/>
          <c:showSerName val="0"/>
          <c:showPercent val="0"/>
          <c:showBubbleSize val="0"/>
        </c:dLbls>
        <c:smooth val="0"/>
        <c:axId val="588432400"/>
        <c:axId val="588432792"/>
      </c:lineChart>
      <c:catAx>
        <c:axId val="588432400"/>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MW</a:t>
                </a:r>
                <a:endParaRPr lang="ro-RO"/>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88432792"/>
        <c:crosses val="autoZero"/>
        <c:auto val="1"/>
        <c:lblAlgn val="ctr"/>
        <c:lblOffset val="100"/>
        <c:noMultiLvlLbl val="0"/>
      </c:catAx>
      <c:valAx>
        <c:axId val="588432792"/>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EUR/MWh</a:t>
                </a:r>
                <a:endParaRPr lang="ro-RO"/>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88432400"/>
        <c:crosses val="autoZero"/>
        <c:crossBetween val="between"/>
        <c:majorUnit val="5"/>
      </c:valAx>
      <c:spPr>
        <a:noFill/>
        <a:ln>
          <a:noFill/>
        </a:ln>
        <a:effectLst/>
      </c:spPr>
    </c:plotArea>
    <c:legend>
      <c:legendPos val="r"/>
      <c:overlay val="0"/>
      <c:spPr>
        <a:noFill/>
        <a:ln>
          <a:solidFill>
            <a:schemeClr val="accent6">
              <a:lumMod val="75000"/>
            </a:schemeClr>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b="0"/>
              <a:t>Number of MFIs offices/agencies per County - 2019</a:t>
            </a:r>
          </a:p>
        </c:rich>
      </c:tx>
      <c:overlay val="0"/>
    </c:title>
    <c:autoTitleDeleted val="0"/>
    <c:plotArea>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MFIs!$D$16:$D$21</c:f>
              <c:strCache>
                <c:ptCount val="6"/>
                <c:pt idx="0">
                  <c:v>Galati</c:v>
                </c:pt>
                <c:pt idx="1">
                  <c:v>Prahova</c:v>
                </c:pt>
                <c:pt idx="2">
                  <c:v>Mures</c:v>
                </c:pt>
                <c:pt idx="3">
                  <c:v>Dolj</c:v>
                </c:pt>
                <c:pt idx="4">
                  <c:v>Gorj</c:v>
                </c:pt>
                <c:pt idx="5">
                  <c:v>Hunedoara</c:v>
                </c:pt>
              </c:strCache>
            </c:strRef>
          </c:cat>
          <c:val>
            <c:numRef>
              <c:f>MFIs!$E$16:$E$21</c:f>
              <c:numCache>
                <c:formatCode>General</c:formatCode>
                <c:ptCount val="6"/>
                <c:pt idx="0">
                  <c:v>1</c:v>
                </c:pt>
                <c:pt idx="1">
                  <c:v>3</c:v>
                </c:pt>
                <c:pt idx="2">
                  <c:v>7</c:v>
                </c:pt>
                <c:pt idx="3">
                  <c:v>8</c:v>
                </c:pt>
                <c:pt idx="4">
                  <c:v>10</c:v>
                </c:pt>
                <c:pt idx="5">
                  <c:v>56</c:v>
                </c:pt>
              </c:numCache>
            </c:numRef>
          </c:val>
          <c:extLst xmlns:c16r2="http://schemas.microsoft.com/office/drawing/2015/06/chart">
            <c:ext xmlns:c16="http://schemas.microsoft.com/office/drawing/2014/chart" uri="{C3380CC4-5D6E-409C-BE32-E72D297353CC}">
              <c16:uniqueId val="{00000000-AAA3-4224-910B-CA278E518AD9}"/>
            </c:ext>
          </c:extLst>
        </c:ser>
        <c:dLbls>
          <c:showLegendKey val="0"/>
          <c:showVal val="1"/>
          <c:showCatName val="0"/>
          <c:showSerName val="0"/>
          <c:showPercent val="0"/>
          <c:showBubbleSize val="0"/>
        </c:dLbls>
        <c:gapWidth val="150"/>
        <c:overlap val="-25"/>
        <c:axId val="588433184"/>
        <c:axId val="588433576"/>
      </c:barChart>
      <c:catAx>
        <c:axId val="588433184"/>
        <c:scaling>
          <c:orientation val="maxMin"/>
        </c:scaling>
        <c:delete val="0"/>
        <c:axPos val="l"/>
        <c:numFmt formatCode="General" sourceLinked="0"/>
        <c:majorTickMark val="none"/>
        <c:minorTickMark val="none"/>
        <c:tickLblPos val="nextTo"/>
        <c:crossAx val="588433576"/>
        <c:crosses val="autoZero"/>
        <c:auto val="1"/>
        <c:lblAlgn val="ctr"/>
        <c:lblOffset val="100"/>
        <c:noMultiLvlLbl val="0"/>
      </c:catAx>
      <c:valAx>
        <c:axId val="588433576"/>
        <c:scaling>
          <c:orientation val="minMax"/>
        </c:scaling>
        <c:delete val="1"/>
        <c:axPos val="t"/>
        <c:numFmt formatCode="General" sourceLinked="1"/>
        <c:majorTickMark val="out"/>
        <c:minorTickMark val="none"/>
        <c:tickLblPos val="nextTo"/>
        <c:crossAx val="588433184"/>
        <c:crosses val="autoZero"/>
        <c:crossBetween val="between"/>
      </c:valAx>
    </c:plotArea>
    <c:plotVisOnly val="1"/>
    <c:dispBlanksAs val="gap"/>
    <c:showDLblsOverMax val="0"/>
  </c:chart>
  <c:spPr>
    <a:ln w="3175">
      <a:solidFill>
        <a:schemeClr val="bg1">
          <a:lumMod val="85000"/>
        </a:schemeClr>
      </a:solid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68F-4C38-A6BB-F4A41C4B56A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68F-4C38-A6BB-F4A41C4B56A3}"/>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68F-4C38-A6BB-F4A41C4B56A3}"/>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68F-4C38-A6BB-F4A41C4B56A3}"/>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868F-4C38-A6BB-F4A41C4B56A3}"/>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868F-4C38-A6BB-F4A41C4B56A3}"/>
              </c:ext>
            </c:extLst>
          </c:dPt>
          <c:dLbls>
            <c:dLbl>
              <c:idx val="0"/>
              <c:tx>
                <c:rich>
                  <a:bodyPr/>
                  <a:lstStyle/>
                  <a:p>
                    <a:fld id="{B3ABEB08-69F0-43C7-BA05-4B159299B40D}" type="VALUE">
                      <a:rPr lang="en-US"/>
                      <a:pPr/>
                      <a:t>[VALUE]</a:t>
                    </a:fld>
                    <a:endParaRPr lang="en-US"/>
                  </a:p>
                  <a:p>
                    <a:endParaRPr lang="en-US" baseline="0"/>
                  </a:p>
                  <a:p>
                    <a:fld id="{F415658B-E258-43F3-9BE4-E9268C5E9453}"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868F-4C38-A6BB-F4A41C4B56A3}"/>
                </c:ext>
                <c:ext xmlns:c15="http://schemas.microsoft.com/office/drawing/2012/chart" uri="{CE6537A1-D6FC-4f65-9D91-7224C49458BB}">
                  <c15:dlblFieldTable/>
                  <c15:showDataLabelsRange val="0"/>
                </c:ext>
              </c:extLst>
            </c:dLbl>
            <c:dLbl>
              <c:idx val="1"/>
              <c:layout>
                <c:manualLayout>
                  <c:x val="-8.7795002755632776E-2"/>
                  <c:y val="5.9326942138274975E-2"/>
                </c:manualLayout>
              </c:layout>
              <c:tx>
                <c:rich>
                  <a:bodyPr/>
                  <a:lstStyle/>
                  <a:p>
                    <a:fld id="{8C58021D-B0DB-46D6-890E-2A937DA24844}" type="VALUE">
                      <a:rPr lang="en-US"/>
                      <a:pPr/>
                      <a:t>[VALUE]</a:t>
                    </a:fld>
                    <a:endParaRPr lang="en-US"/>
                  </a:p>
                  <a:p>
                    <a:endParaRPr lang="en-US" baseline="0"/>
                  </a:p>
                  <a:p>
                    <a:fld id="{734949C6-8502-473C-B5F8-A064635CC5F4}" type="PERCENTAGE">
                      <a:rPr lang="en-US"/>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868F-4C38-A6BB-F4A41C4B56A3}"/>
                </c:ext>
                <c:ext xmlns:c15="http://schemas.microsoft.com/office/drawing/2012/chart" uri="{CE6537A1-D6FC-4f65-9D91-7224C49458BB}">
                  <c15:layout>
                    <c:manualLayout>
                      <c:w val="5.2682021815880088E-2"/>
                      <c:h val="0.20557921196406337"/>
                    </c:manualLayout>
                  </c15:layout>
                  <c15:dlblFieldTable/>
                  <c15:showDataLabelsRange val="0"/>
                </c:ext>
              </c:extLst>
            </c:dLbl>
            <c:dLbl>
              <c:idx val="2"/>
              <c:tx>
                <c:rich>
                  <a:bodyPr/>
                  <a:lstStyle/>
                  <a:p>
                    <a:fld id="{F5167C50-EE2C-40BD-AD54-495E3105262A}" type="VALUE">
                      <a:rPr lang="en-US"/>
                      <a:pPr/>
                      <a:t>[VALUE]</a:t>
                    </a:fld>
                    <a:endParaRPr lang="en-US"/>
                  </a:p>
                  <a:p>
                    <a:endParaRPr lang="en-US" baseline="0"/>
                  </a:p>
                  <a:p>
                    <a:fld id="{199A7D4C-B45F-4A31-A059-ACB4C3FD94CD}"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868F-4C38-A6BB-F4A41C4B56A3}"/>
                </c:ext>
                <c:ext xmlns:c15="http://schemas.microsoft.com/office/drawing/2012/chart" uri="{CE6537A1-D6FC-4f65-9D91-7224C49458BB}">
                  <c15:dlblFieldTable/>
                  <c15:showDataLabelsRange val="0"/>
                </c:ext>
              </c:extLst>
            </c:dLbl>
            <c:dLbl>
              <c:idx val="3"/>
              <c:tx>
                <c:rich>
                  <a:bodyPr/>
                  <a:lstStyle/>
                  <a:p>
                    <a:fld id="{2D631357-BF79-4D4D-8885-C88E9EF1CE9B}" type="VALUE">
                      <a:rPr lang="en-US"/>
                      <a:pPr/>
                      <a:t>[VALUE]</a:t>
                    </a:fld>
                    <a:endParaRPr lang="en-US"/>
                  </a:p>
                  <a:p>
                    <a:endParaRPr lang="en-US" baseline="0"/>
                  </a:p>
                  <a:p>
                    <a:fld id="{EA487322-163C-4C7C-B875-0A9B73FECD8D}"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7-868F-4C38-A6BB-F4A41C4B56A3}"/>
                </c:ext>
                <c:ext xmlns:c15="http://schemas.microsoft.com/office/drawing/2012/chart" uri="{CE6537A1-D6FC-4f65-9D91-7224C49458BB}">
                  <c15:dlblFieldTable/>
                  <c15:showDataLabelsRange val="0"/>
                </c:ext>
              </c:extLst>
            </c:dLbl>
            <c:dLbl>
              <c:idx val="4"/>
              <c:tx>
                <c:rich>
                  <a:bodyPr/>
                  <a:lstStyle/>
                  <a:p>
                    <a:fld id="{7572868D-1A78-45E7-BFE2-E0DB9CC91DDB}" type="VALUE">
                      <a:rPr lang="en-US"/>
                      <a:pPr/>
                      <a:t>[VALUE]</a:t>
                    </a:fld>
                    <a:endParaRPr lang="en-US"/>
                  </a:p>
                  <a:p>
                    <a:endParaRPr lang="en-US" baseline="0"/>
                  </a:p>
                  <a:p>
                    <a:fld id="{E88C45A4-701C-4218-9A2D-77457AEC62D6}"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9-868F-4C38-A6BB-F4A41C4B56A3}"/>
                </c:ext>
                <c:ext xmlns:c15="http://schemas.microsoft.com/office/drawing/2012/chart" uri="{CE6537A1-D6FC-4f65-9D91-7224C49458BB}">
                  <c15:dlblFieldTable/>
                  <c15:showDataLabelsRange val="0"/>
                </c:ext>
              </c:extLst>
            </c:dLbl>
            <c:dLbl>
              <c:idx val="5"/>
              <c:layout>
                <c:manualLayout>
                  <c:x val="2.9669596913691403E-2"/>
                  <c:y val="4.410606529168748E-2"/>
                </c:manualLayout>
              </c:layout>
              <c:tx>
                <c:rich>
                  <a:bodyPr/>
                  <a:lstStyle/>
                  <a:p>
                    <a:fld id="{AC5A76E6-83C7-45F8-A8E8-30F9DB382692}" type="VALUE">
                      <a:rPr lang="en-US"/>
                      <a:pPr/>
                      <a:t>[VALUE]</a:t>
                    </a:fld>
                    <a:endParaRPr lang="en-US"/>
                  </a:p>
                  <a:p>
                    <a:endParaRPr lang="en-US" baseline="0"/>
                  </a:p>
                  <a:p>
                    <a:fld id="{2286C329-487A-43C2-B694-112C1725CE30}" type="PERCENTAGE">
                      <a:rPr lang="en-US"/>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B-868F-4C38-A6BB-F4A41C4B56A3}"/>
                </c:ext>
                <c:ext xmlns:c15="http://schemas.microsoft.com/office/drawing/2012/chart" uri="{CE6537A1-D6FC-4f65-9D91-7224C49458BB}">
                  <c15:layout>
                    <c:manualLayout>
                      <c:w val="5.2682021815880088E-2"/>
                      <c:h val="0.19752281720071996"/>
                    </c:manualLayout>
                  </c15:layout>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Diagrams!$B$4:$B$9</c:f>
              <c:strCache>
                <c:ptCount val="6"/>
                <c:pt idx="0">
                  <c:v>Dolj</c:v>
                </c:pt>
                <c:pt idx="1">
                  <c:v>Galati</c:v>
                </c:pt>
                <c:pt idx="2">
                  <c:v>Gorj</c:v>
                </c:pt>
                <c:pt idx="3">
                  <c:v>Hunedoara</c:v>
                </c:pt>
                <c:pt idx="4">
                  <c:v>Mures</c:v>
                </c:pt>
                <c:pt idx="5">
                  <c:v>Prahova</c:v>
                </c:pt>
              </c:strCache>
            </c:strRef>
          </c:cat>
          <c:val>
            <c:numRef>
              <c:f>Diagrams!$C$4:$C$9</c:f>
              <c:numCache>
                <c:formatCode>General</c:formatCode>
                <c:ptCount val="6"/>
                <c:pt idx="0">
                  <c:v>120</c:v>
                </c:pt>
                <c:pt idx="1">
                  <c:v>73</c:v>
                </c:pt>
                <c:pt idx="2">
                  <c:v>268</c:v>
                </c:pt>
                <c:pt idx="3">
                  <c:v>205</c:v>
                </c:pt>
                <c:pt idx="4">
                  <c:v>90</c:v>
                </c:pt>
                <c:pt idx="5">
                  <c:v>39</c:v>
                </c:pt>
              </c:numCache>
            </c:numRef>
          </c:val>
          <c:extLst xmlns:c16r2="http://schemas.microsoft.com/office/drawing/2015/06/chart">
            <c:ext xmlns:c16="http://schemas.microsoft.com/office/drawing/2014/chart" uri="{C3380CC4-5D6E-409C-BE32-E72D297353CC}">
              <c16:uniqueId val="{0000000C-868F-4C38-A6BB-F4A41C4B56A3}"/>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'MS_supply curve'!$A$8</c:f>
              <c:strCache>
                <c:ptCount val="1"/>
                <c:pt idx="0">
                  <c:v>Galati</c:v>
                </c:pt>
              </c:strCache>
            </c:strRef>
          </c:tx>
          <c:spPr>
            <a:ln w="28575" cap="rnd">
              <a:solidFill>
                <a:schemeClr val="accent2"/>
              </a:solidFill>
              <a:round/>
            </a:ln>
            <a:effectLst/>
          </c:spPr>
          <c:marker>
            <c:symbol val="none"/>
          </c:marker>
          <c:cat>
            <c:numRef>
              <c:f>'MS_supply curve'!$B$4:$B$7</c:f>
              <c:numCache>
                <c:formatCode>General</c:formatCode>
                <c:ptCount val="4"/>
                <c:pt idx="0">
                  <c:v>100</c:v>
                </c:pt>
                <c:pt idx="1">
                  <c:v>100</c:v>
                </c:pt>
                <c:pt idx="2">
                  <c:v>100</c:v>
                </c:pt>
                <c:pt idx="3">
                  <c:v>100</c:v>
                </c:pt>
              </c:numCache>
            </c:numRef>
          </c:cat>
          <c:val>
            <c:numRef>
              <c:f>'MS_supply curve'!$F$8:$F$11</c:f>
              <c:numCache>
                <c:formatCode>0.0</c:formatCode>
                <c:ptCount val="4"/>
                <c:pt idx="0">
                  <c:v>38.80968071245109</c:v>
                </c:pt>
                <c:pt idx="1">
                  <c:v>42.337833504492103</c:v>
                </c:pt>
                <c:pt idx="2">
                  <c:v>45.865986296533116</c:v>
                </c:pt>
                <c:pt idx="3">
                  <c:v>49.394139088574114</c:v>
                </c:pt>
              </c:numCache>
            </c:numRef>
          </c:val>
          <c:smooth val="0"/>
          <c:extLst xmlns:c16r2="http://schemas.microsoft.com/office/drawing/2015/06/chart">
            <c:ext xmlns:c16="http://schemas.microsoft.com/office/drawing/2014/chart" uri="{C3380CC4-5D6E-409C-BE32-E72D297353CC}">
              <c16:uniqueId val="{00000000-1D79-4640-B59C-779B3AE806FA}"/>
            </c:ext>
          </c:extLst>
        </c:ser>
        <c:ser>
          <c:idx val="0"/>
          <c:order val="1"/>
          <c:tx>
            <c:strRef>
              <c:f>'MS_supply curve'!$A$4</c:f>
              <c:strCache>
                <c:ptCount val="1"/>
                <c:pt idx="0">
                  <c:v>Mures</c:v>
                </c:pt>
              </c:strCache>
            </c:strRef>
          </c:tx>
          <c:spPr>
            <a:ln w="28575" cap="rnd">
              <a:solidFill>
                <a:schemeClr val="accent1"/>
              </a:solidFill>
              <a:round/>
            </a:ln>
            <a:effectLst/>
          </c:spPr>
          <c:marker>
            <c:symbol val="none"/>
          </c:marker>
          <c:val>
            <c:numRef>
              <c:f>'MS_supply curve'!$F$4:$F$7</c:f>
              <c:numCache>
                <c:formatCode>0.0</c:formatCode>
                <c:ptCount val="4"/>
                <c:pt idx="0">
                  <c:v>39.575661252828418</c:v>
                </c:pt>
                <c:pt idx="1">
                  <c:v>43.173448639449184</c:v>
                </c:pt>
                <c:pt idx="2">
                  <c:v>46.77123602606995</c:v>
                </c:pt>
                <c:pt idx="3">
                  <c:v>50.369023412690709</c:v>
                </c:pt>
              </c:numCache>
            </c:numRef>
          </c:val>
          <c:smooth val="0"/>
          <c:extLst xmlns:c16r2="http://schemas.microsoft.com/office/drawing/2015/06/chart">
            <c:ext xmlns:c16="http://schemas.microsoft.com/office/drawing/2014/chart" uri="{C3380CC4-5D6E-409C-BE32-E72D297353CC}">
              <c16:uniqueId val="{00000001-1D79-4640-B59C-779B3AE806FA}"/>
            </c:ext>
          </c:extLst>
        </c:ser>
        <c:ser>
          <c:idx val="2"/>
          <c:order val="2"/>
          <c:tx>
            <c:strRef>
              <c:f>'MS_supply curve'!$A$12</c:f>
              <c:strCache>
                <c:ptCount val="1"/>
                <c:pt idx="0">
                  <c:v>Prahova</c:v>
                </c:pt>
              </c:strCache>
            </c:strRef>
          </c:tx>
          <c:spPr>
            <a:ln w="28575" cap="rnd">
              <a:solidFill>
                <a:schemeClr val="accent3"/>
              </a:solidFill>
              <a:round/>
            </a:ln>
            <a:effectLst/>
          </c:spPr>
          <c:marker>
            <c:symbol val="none"/>
          </c:marker>
          <c:val>
            <c:numRef>
              <c:f>'MS_supply curve'!$F$12:$F$15</c:f>
              <c:numCache>
                <c:formatCode>0.0</c:formatCode>
                <c:ptCount val="4"/>
                <c:pt idx="0">
                  <c:v>38.072788040695691</c:v>
                </c:pt>
                <c:pt idx="1">
                  <c:v>41.533950589849852</c:v>
                </c:pt>
                <c:pt idx="2">
                  <c:v>44.995113139004005</c:v>
                </c:pt>
                <c:pt idx="3">
                  <c:v>48.456275688158151</c:v>
                </c:pt>
              </c:numCache>
            </c:numRef>
          </c:val>
          <c:smooth val="0"/>
          <c:extLst xmlns:c16r2="http://schemas.microsoft.com/office/drawing/2015/06/chart">
            <c:ext xmlns:c16="http://schemas.microsoft.com/office/drawing/2014/chart" uri="{C3380CC4-5D6E-409C-BE32-E72D297353CC}">
              <c16:uniqueId val="{00000002-1D79-4640-B59C-779B3AE806FA}"/>
            </c:ext>
          </c:extLst>
        </c:ser>
        <c:ser>
          <c:idx val="3"/>
          <c:order val="3"/>
          <c:tx>
            <c:strRef>
              <c:f>'MS_supply curve'!$A$16</c:f>
              <c:strCache>
                <c:ptCount val="1"/>
                <c:pt idx="0">
                  <c:v>Dolj</c:v>
                </c:pt>
              </c:strCache>
            </c:strRef>
          </c:tx>
          <c:spPr>
            <a:ln w="28575" cap="rnd">
              <a:solidFill>
                <a:schemeClr val="accent4"/>
              </a:solidFill>
              <a:round/>
            </a:ln>
            <a:effectLst/>
          </c:spPr>
          <c:marker>
            <c:symbol val="none"/>
          </c:marker>
          <c:val>
            <c:numRef>
              <c:f>'MS_supply curve'!$F$16:$F$19</c:f>
              <c:numCache>
                <c:formatCode>0.0</c:formatCode>
                <c:ptCount val="4"/>
                <c:pt idx="0">
                  <c:v>37.132719200184681</c:v>
                </c:pt>
                <c:pt idx="1">
                  <c:v>40.50842094565602</c:v>
                </c:pt>
                <c:pt idx="2">
                  <c:v>43.884122691127352</c:v>
                </c:pt>
                <c:pt idx="3">
                  <c:v>47.259824436598684</c:v>
                </c:pt>
              </c:numCache>
            </c:numRef>
          </c:val>
          <c:smooth val="0"/>
          <c:extLst xmlns:c16r2="http://schemas.microsoft.com/office/drawing/2015/06/chart">
            <c:ext xmlns:c16="http://schemas.microsoft.com/office/drawing/2014/chart" uri="{C3380CC4-5D6E-409C-BE32-E72D297353CC}">
              <c16:uniqueId val="{00000003-1D79-4640-B59C-779B3AE806FA}"/>
            </c:ext>
          </c:extLst>
        </c:ser>
        <c:ser>
          <c:idx val="4"/>
          <c:order val="4"/>
          <c:tx>
            <c:strRef>
              <c:f>'MS_supply curve'!$A$20</c:f>
              <c:strCache>
                <c:ptCount val="1"/>
                <c:pt idx="0">
                  <c:v>Gorj</c:v>
                </c:pt>
              </c:strCache>
            </c:strRef>
          </c:tx>
          <c:spPr>
            <a:ln w="28575" cap="rnd">
              <a:solidFill>
                <a:schemeClr val="accent5"/>
              </a:solidFill>
              <a:round/>
            </a:ln>
            <a:effectLst/>
          </c:spPr>
          <c:marker>
            <c:symbol val="none"/>
          </c:marker>
          <c:val>
            <c:numRef>
              <c:f>'MS_supply curve'!$F$20:$F$23</c:f>
              <c:numCache>
                <c:formatCode>0.0</c:formatCode>
                <c:ptCount val="4"/>
                <c:pt idx="0">
                  <c:v>37.596878190186992</c:v>
                </c:pt>
                <c:pt idx="1">
                  <c:v>41.014776207476721</c:v>
                </c:pt>
                <c:pt idx="2">
                  <c:v>44.432674224766444</c:v>
                </c:pt>
                <c:pt idx="3">
                  <c:v>47.850572242056167</c:v>
                </c:pt>
              </c:numCache>
            </c:numRef>
          </c:val>
          <c:smooth val="0"/>
          <c:extLst xmlns:c16r2="http://schemas.microsoft.com/office/drawing/2015/06/chart">
            <c:ext xmlns:c16="http://schemas.microsoft.com/office/drawing/2014/chart" uri="{C3380CC4-5D6E-409C-BE32-E72D297353CC}">
              <c16:uniqueId val="{00000004-1D79-4640-B59C-779B3AE806FA}"/>
            </c:ext>
          </c:extLst>
        </c:ser>
        <c:ser>
          <c:idx val="5"/>
          <c:order val="5"/>
          <c:tx>
            <c:strRef>
              <c:f>'MS_supply curve'!$A$24</c:f>
              <c:strCache>
                <c:ptCount val="1"/>
                <c:pt idx="0">
                  <c:v>Hunedoara</c:v>
                </c:pt>
              </c:strCache>
            </c:strRef>
          </c:tx>
          <c:spPr>
            <a:ln w="28575" cap="rnd">
              <a:solidFill>
                <a:schemeClr val="accent6"/>
              </a:solidFill>
              <a:round/>
            </a:ln>
            <a:effectLst/>
          </c:spPr>
          <c:marker>
            <c:symbol val="none"/>
          </c:marker>
          <c:val>
            <c:numRef>
              <c:f>'MS_supply curve'!$F$24:$F$27</c:f>
              <c:numCache>
                <c:formatCode>0.0</c:formatCode>
                <c:ptCount val="4"/>
                <c:pt idx="0">
                  <c:v>38.315289875349805</c:v>
                </c:pt>
                <c:pt idx="1">
                  <c:v>41.798498045836148</c:v>
                </c:pt>
                <c:pt idx="2">
                  <c:v>45.281706216322497</c:v>
                </c:pt>
                <c:pt idx="3">
                  <c:v>48.76491438680884</c:v>
                </c:pt>
              </c:numCache>
            </c:numRef>
          </c:val>
          <c:smooth val="0"/>
          <c:extLst xmlns:c16r2="http://schemas.microsoft.com/office/drawing/2015/06/chart">
            <c:ext xmlns:c16="http://schemas.microsoft.com/office/drawing/2014/chart" uri="{C3380CC4-5D6E-409C-BE32-E72D297353CC}">
              <c16:uniqueId val="{00000005-1D79-4640-B59C-779B3AE806FA}"/>
            </c:ext>
          </c:extLst>
        </c:ser>
        <c:dLbls>
          <c:showLegendKey val="0"/>
          <c:showVal val="0"/>
          <c:showCatName val="0"/>
          <c:showSerName val="0"/>
          <c:showPercent val="0"/>
          <c:showBubbleSize val="0"/>
        </c:dLbls>
        <c:smooth val="0"/>
        <c:axId val="328938264"/>
        <c:axId val="328934736"/>
      </c:lineChart>
      <c:catAx>
        <c:axId val="328938264"/>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MW</a:t>
                </a:r>
                <a:endParaRPr lang="ro-RO"/>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328934736"/>
        <c:crosses val="autoZero"/>
        <c:auto val="1"/>
        <c:lblAlgn val="ctr"/>
        <c:lblOffset val="100"/>
        <c:noMultiLvlLbl val="0"/>
      </c:catAx>
      <c:valAx>
        <c:axId val="328934736"/>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EUR/MWh</a:t>
                </a:r>
                <a:endParaRPr lang="ro-RO"/>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32893826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2D0-4F0B-AD5B-83F6F2E62D05}"/>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2D0-4F0B-AD5B-83F6F2E62D0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2D0-4F0B-AD5B-83F6F2E62D05}"/>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C2D0-4F0B-AD5B-83F6F2E62D05}"/>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C2D0-4F0B-AD5B-83F6F2E62D05}"/>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C2D0-4F0B-AD5B-83F6F2E62D05}"/>
              </c:ext>
            </c:extLst>
          </c:dPt>
          <c:dLbls>
            <c:dLbl>
              <c:idx val="5"/>
              <c:tx>
                <c:rich>
                  <a:bodyPr/>
                  <a:lstStyle/>
                  <a:p>
                    <a:fld id="{3B51AFC3-D4CC-4709-8FF9-A44E1F887D37}" type="VALUE">
                      <a:rPr lang="en-US"/>
                      <a:pPr/>
                      <a:t>[VALUE]</a:t>
                    </a:fld>
                    <a:endParaRPr lang="en-US"/>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2D0-4F0B-AD5B-83F6F2E62D05}"/>
                </c:ext>
                <c:ext xmlns:c15="http://schemas.microsoft.com/office/drawing/2012/chart" uri="{CE6537A1-D6FC-4f65-9D91-7224C49458BB}">
                  <c15:dlblFieldTable/>
                  <c15:showDataLabelsRange val="0"/>
                </c:ext>
              </c:extLst>
            </c:dLbl>
            <c:numFmt formatCode="\€\ #,##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Diagrams!$B$4:$B$9</c:f>
              <c:strCache>
                <c:ptCount val="6"/>
                <c:pt idx="0">
                  <c:v>Dolj</c:v>
                </c:pt>
                <c:pt idx="1">
                  <c:v>Galati</c:v>
                </c:pt>
                <c:pt idx="2">
                  <c:v>Gorj</c:v>
                </c:pt>
                <c:pt idx="3">
                  <c:v>Hunedoara</c:v>
                </c:pt>
                <c:pt idx="4">
                  <c:v>Mures</c:v>
                </c:pt>
                <c:pt idx="5">
                  <c:v>Prahova</c:v>
                </c:pt>
              </c:strCache>
            </c:strRef>
          </c:cat>
          <c:val>
            <c:numRef>
              <c:f>Diagrams!$D$4:$D$9</c:f>
              <c:numCache>
                <c:formatCode>[$€-2]\ #\ ##0</c:formatCode>
                <c:ptCount val="6"/>
                <c:pt idx="0">
                  <c:v>1243508768.6199999</c:v>
                </c:pt>
                <c:pt idx="1">
                  <c:v>3254064440</c:v>
                </c:pt>
                <c:pt idx="2">
                  <c:v>1064029356</c:v>
                </c:pt>
                <c:pt idx="3">
                  <c:v>2429702063</c:v>
                </c:pt>
                <c:pt idx="4">
                  <c:v>1447696384.3099999</c:v>
                </c:pt>
                <c:pt idx="5">
                  <c:v>1044596404</c:v>
                </c:pt>
              </c:numCache>
            </c:numRef>
          </c:val>
          <c:extLst xmlns:c16r2="http://schemas.microsoft.com/office/drawing/2015/06/chart">
            <c:ext xmlns:c16="http://schemas.microsoft.com/office/drawing/2014/chart" uri="{C3380CC4-5D6E-409C-BE32-E72D297353CC}">
              <c16:uniqueId val="{0000000C-C2D0-4F0B-AD5B-83F6F2E62D0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numFmt formatCode="\€\ #,##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Diagrams!$B$4:$B$9</c:f>
              <c:strCache>
                <c:ptCount val="6"/>
                <c:pt idx="0">
                  <c:v>Dolj</c:v>
                </c:pt>
                <c:pt idx="1">
                  <c:v>Galati</c:v>
                </c:pt>
                <c:pt idx="2">
                  <c:v>Gorj</c:v>
                </c:pt>
                <c:pt idx="3">
                  <c:v>Hunedoara</c:v>
                </c:pt>
                <c:pt idx="4">
                  <c:v>Mures</c:v>
                </c:pt>
                <c:pt idx="5">
                  <c:v>Prahova</c:v>
                </c:pt>
              </c:strCache>
            </c:strRef>
          </c:cat>
          <c:val>
            <c:numRef>
              <c:f>Diagrams!$G$4:$G$9</c:f>
              <c:numCache>
                <c:formatCode>[$€-2]\ #\ ##0</c:formatCode>
                <c:ptCount val="6"/>
                <c:pt idx="0">
                  <c:v>1882.552515229871</c:v>
                </c:pt>
                <c:pt idx="1">
                  <c:v>6069.1248062637196</c:v>
                </c:pt>
                <c:pt idx="2">
                  <c:v>3114.894746394843</c:v>
                </c:pt>
                <c:pt idx="3">
                  <c:v>5804.8381087764146</c:v>
                </c:pt>
                <c:pt idx="4">
                  <c:v>2628.1326982677551</c:v>
                </c:pt>
                <c:pt idx="5">
                  <c:v>1369.269332508396</c:v>
                </c:pt>
              </c:numCache>
            </c:numRef>
          </c:val>
          <c:extLst xmlns:c16r2="http://schemas.microsoft.com/office/drawing/2015/06/chart">
            <c:ext xmlns:c16="http://schemas.microsoft.com/office/drawing/2014/chart" uri="{C3380CC4-5D6E-409C-BE32-E72D297353CC}">
              <c16:uniqueId val="{00000000-DD49-47DB-B19B-4C6DE52A44C0}"/>
            </c:ext>
          </c:extLst>
        </c:ser>
        <c:dLbls>
          <c:showLegendKey val="0"/>
          <c:showVal val="0"/>
          <c:showCatName val="0"/>
          <c:showSerName val="0"/>
          <c:showPercent val="0"/>
          <c:showBubbleSize val="0"/>
        </c:dLbls>
        <c:gapWidth val="219"/>
        <c:overlap val="-27"/>
        <c:axId val="588435928"/>
        <c:axId val="588434752"/>
      </c:barChart>
      <c:catAx>
        <c:axId val="588435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4752"/>
        <c:crosses val="autoZero"/>
        <c:auto val="1"/>
        <c:lblAlgn val="ctr"/>
        <c:lblOffset val="100"/>
        <c:noMultiLvlLbl val="0"/>
      </c:catAx>
      <c:valAx>
        <c:axId val="588434752"/>
        <c:scaling>
          <c:orientation val="minMax"/>
        </c:scaling>
        <c:delete val="0"/>
        <c:axPos val="l"/>
        <c:majorGridlines>
          <c:spPr>
            <a:ln w="9525" cap="flat" cmpd="sng" algn="ctr">
              <a:solidFill>
                <a:schemeClr val="tx1">
                  <a:lumMod val="15000"/>
                  <a:lumOff val="85000"/>
                </a:schemeClr>
              </a:solidFill>
              <a:round/>
            </a:ln>
            <a:effectLst/>
          </c:spPr>
        </c:majorGridlines>
        <c:numFmt formatCode="\€\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592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966-460D-AFF8-AE3270423FD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966-460D-AFF8-AE3270423FD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966-460D-AFF8-AE3270423FD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A966-460D-AFF8-AE3270423FDF}"/>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A966-460D-AFF8-AE3270423FDF}"/>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Diagrams!$B$14:$B$18</c:f>
              <c:strCache>
                <c:ptCount val="5"/>
                <c:pt idx="0">
                  <c:v>&lt; 1 mio</c:v>
                </c:pt>
                <c:pt idx="1">
                  <c:v>1-10 mio</c:v>
                </c:pt>
                <c:pt idx="2">
                  <c:v>10-50 mio</c:v>
                </c:pt>
                <c:pt idx="3">
                  <c:v>50-100 mio</c:v>
                </c:pt>
                <c:pt idx="4">
                  <c:v>&gt; 100 mio</c:v>
                </c:pt>
              </c:strCache>
            </c:strRef>
          </c:cat>
          <c:val>
            <c:numRef>
              <c:f>Diagrams!$D$14:$D$18</c:f>
              <c:numCache>
                <c:formatCode>[$€-2]\ #\ ##0</c:formatCode>
                <c:ptCount val="5"/>
                <c:pt idx="0">
                  <c:v>136223225</c:v>
                </c:pt>
                <c:pt idx="1">
                  <c:v>1217619245</c:v>
                </c:pt>
                <c:pt idx="2">
                  <c:v>2531926760</c:v>
                </c:pt>
                <c:pt idx="3">
                  <c:v>1071113386</c:v>
                </c:pt>
                <c:pt idx="4">
                  <c:v>5526714800</c:v>
                </c:pt>
              </c:numCache>
            </c:numRef>
          </c:val>
          <c:extLst xmlns:c16r2="http://schemas.microsoft.com/office/drawing/2015/06/chart">
            <c:ext xmlns:c16="http://schemas.microsoft.com/office/drawing/2014/chart" uri="{C3380CC4-5D6E-409C-BE32-E72D297353CC}">
              <c16:uniqueId val="{0000000A-A966-460D-AFF8-AE3270423FD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Лист4!$E$1</c:f>
              <c:strCache>
                <c:ptCount val="1"/>
                <c:pt idx="0">
                  <c:v>Dolj</c:v>
                </c:pt>
              </c:strCache>
            </c:strRef>
          </c:tx>
          <c:spPr>
            <a:solidFill>
              <a:schemeClr val="accent1"/>
            </a:solidFill>
            <a:ln>
              <a:noFill/>
            </a:ln>
            <a:effectLst/>
          </c:spPr>
          <c:invertIfNegative val="0"/>
          <c:dLbls>
            <c:dLbl>
              <c:idx val="3"/>
              <c:layout>
                <c:manualLayout>
                  <c:x val="-1.5748031496062999E-2"/>
                  <c:y val="-8.106666666666670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3EE-483F-AF32-D5C22DE49E53}"/>
                </c:ext>
                <c:ext xmlns:c15="http://schemas.microsoft.com/office/drawing/2012/chart" uri="{CE6537A1-D6FC-4f65-9D91-7224C49458BB}"/>
              </c:extLst>
            </c:dLbl>
            <c:dLbl>
              <c:idx val="4"/>
              <c:layout>
                <c:manualLayout>
                  <c:x val="-1.0498687664042E-2"/>
                  <c:y val="-7.040000000000000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Лист4!$E$2:$E$6</c:f>
              <c:numCache>
                <c:formatCode>General</c:formatCode>
                <c:ptCount val="5"/>
                <c:pt idx="0">
                  <c:v>61</c:v>
                </c:pt>
                <c:pt idx="1">
                  <c:v>36</c:v>
                </c:pt>
                <c:pt idx="2">
                  <c:v>17</c:v>
                </c:pt>
                <c:pt idx="3">
                  <c:v>5</c:v>
                </c:pt>
                <c:pt idx="4">
                  <c:v>1</c:v>
                </c:pt>
              </c:numCache>
            </c:numRef>
          </c:val>
          <c:extLst xmlns:c16r2="http://schemas.microsoft.com/office/drawing/2015/06/chart">
            <c:ext xmlns:c16="http://schemas.microsoft.com/office/drawing/2014/chart" uri="{C3380CC4-5D6E-409C-BE32-E72D297353CC}">
              <c16:uniqueId val="{00000002-43EE-483F-AF32-D5C22DE49E53}"/>
            </c:ext>
          </c:extLst>
        </c:ser>
        <c:ser>
          <c:idx val="1"/>
          <c:order val="1"/>
          <c:tx>
            <c:strRef>
              <c:f>Лист4!$F$1</c:f>
              <c:strCache>
                <c:ptCount val="1"/>
                <c:pt idx="0">
                  <c:v>Galati</c:v>
                </c:pt>
              </c:strCache>
            </c:strRef>
          </c:tx>
          <c:spPr>
            <a:solidFill>
              <a:schemeClr val="accent2"/>
            </a:solidFill>
            <a:ln>
              <a:noFill/>
            </a:ln>
            <a:effectLst/>
          </c:spPr>
          <c:invertIfNegative val="0"/>
          <c:dLbls>
            <c:dLbl>
              <c:idx val="3"/>
              <c:layout>
                <c:manualLayout>
                  <c:x val="-1.31233595800525E-3"/>
                  <c:y val="-8.106666666666670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3EE-483F-AF32-D5C22DE49E53}"/>
                </c:ext>
                <c:ext xmlns:c15="http://schemas.microsoft.com/office/drawing/2012/chart" uri="{CE6537A1-D6FC-4f65-9D91-7224C49458BB}"/>
              </c:extLst>
            </c:dLbl>
            <c:dLbl>
              <c:idx val="4"/>
              <c:layout>
                <c:manualLayout>
                  <c:x val="0"/>
                  <c:y val="-7.4666666666666701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Лист4!$F$2:$F$6</c:f>
              <c:numCache>
                <c:formatCode>General</c:formatCode>
                <c:ptCount val="5"/>
                <c:pt idx="0">
                  <c:v>16</c:v>
                </c:pt>
                <c:pt idx="1">
                  <c:v>36</c:v>
                </c:pt>
                <c:pt idx="2">
                  <c:v>10</c:v>
                </c:pt>
                <c:pt idx="3">
                  <c:v>1</c:v>
                </c:pt>
                <c:pt idx="4">
                  <c:v>7</c:v>
                </c:pt>
              </c:numCache>
            </c:numRef>
          </c:val>
          <c:extLst xmlns:c16r2="http://schemas.microsoft.com/office/drawing/2015/06/chart">
            <c:ext xmlns:c16="http://schemas.microsoft.com/office/drawing/2014/chart" uri="{C3380CC4-5D6E-409C-BE32-E72D297353CC}">
              <c16:uniqueId val="{00000005-43EE-483F-AF32-D5C22DE49E53}"/>
            </c:ext>
          </c:extLst>
        </c:ser>
        <c:ser>
          <c:idx val="2"/>
          <c:order val="2"/>
          <c:tx>
            <c:strRef>
              <c:f>Лист4!$G$1</c:f>
              <c:strCache>
                <c:ptCount val="1"/>
                <c:pt idx="0">
                  <c:v>Gorj</c:v>
                </c:pt>
              </c:strCache>
            </c:strRef>
          </c:tx>
          <c:spPr>
            <a:solidFill>
              <a:schemeClr val="accent3"/>
            </a:solidFill>
            <a:ln>
              <a:noFill/>
            </a:ln>
            <a:effectLst/>
          </c:spPr>
          <c:invertIfNegative val="0"/>
          <c:dLbls>
            <c:dLbl>
              <c:idx val="3"/>
              <c:layout>
                <c:manualLayout>
                  <c:x val="2.23097112860892E-2"/>
                  <c:y val="-8.106666666666670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3EE-483F-AF32-D5C22DE49E53}"/>
                </c:ext>
                <c:ext xmlns:c15="http://schemas.microsoft.com/office/drawing/2012/chart" uri="{CE6537A1-D6FC-4f65-9D91-7224C49458BB}"/>
              </c:extLst>
            </c:dLbl>
            <c:dLbl>
              <c:idx val="4"/>
              <c:layout>
                <c:manualLayout>
                  <c:x val="1.9685039370078702E-2"/>
                  <c:y val="-7.4666666666666701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Лист4!$G$2:$G$6</c:f>
              <c:numCache>
                <c:formatCode>General</c:formatCode>
                <c:ptCount val="5"/>
                <c:pt idx="0">
                  <c:v>175</c:v>
                </c:pt>
                <c:pt idx="1">
                  <c:v>63</c:v>
                </c:pt>
                <c:pt idx="2">
                  <c:v>28</c:v>
                </c:pt>
                <c:pt idx="3">
                  <c:v>0</c:v>
                </c:pt>
                <c:pt idx="4">
                  <c:v>0</c:v>
                </c:pt>
              </c:numCache>
            </c:numRef>
          </c:val>
          <c:extLst xmlns:c16r2="http://schemas.microsoft.com/office/drawing/2015/06/chart">
            <c:ext xmlns:c16="http://schemas.microsoft.com/office/drawing/2014/chart" uri="{C3380CC4-5D6E-409C-BE32-E72D297353CC}">
              <c16:uniqueId val="{00000008-43EE-483F-AF32-D5C22DE49E53}"/>
            </c:ext>
          </c:extLst>
        </c:ser>
        <c:ser>
          <c:idx val="3"/>
          <c:order val="3"/>
          <c:tx>
            <c:strRef>
              <c:f>Лист4!$H$1</c:f>
              <c:strCache>
                <c:ptCount val="1"/>
                <c:pt idx="0">
                  <c:v>Hunedoara</c:v>
                </c:pt>
              </c:strCache>
            </c:strRef>
          </c:tx>
          <c:spPr>
            <a:solidFill>
              <a:schemeClr val="accent4"/>
            </a:solidFill>
            <a:ln>
              <a:noFill/>
            </a:ln>
            <a:effectLst/>
          </c:spPr>
          <c:invertIfNegative val="0"/>
          <c:dLbls>
            <c:dLbl>
              <c:idx val="3"/>
              <c:layout>
                <c:manualLayout>
                  <c:x val="5.1181102362204703E-2"/>
                  <c:y val="-8.106666666666670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3EE-483F-AF32-D5C22DE49E53}"/>
                </c:ext>
                <c:ext xmlns:c15="http://schemas.microsoft.com/office/drawing/2012/chart" uri="{CE6537A1-D6FC-4f65-9D91-7224C49458BB}"/>
              </c:extLst>
            </c:dLbl>
            <c:dLbl>
              <c:idx val="4"/>
              <c:layout>
                <c:manualLayout>
                  <c:x val="4.4619422572178498E-2"/>
                  <c:y val="-7.4666666666666701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Лист4!$H$2:$H$6</c:f>
              <c:numCache>
                <c:formatCode>General</c:formatCode>
                <c:ptCount val="5"/>
                <c:pt idx="0">
                  <c:v>66</c:v>
                </c:pt>
                <c:pt idx="1">
                  <c:v>96</c:v>
                </c:pt>
                <c:pt idx="2">
                  <c:v>27</c:v>
                </c:pt>
                <c:pt idx="3">
                  <c:v>5</c:v>
                </c:pt>
                <c:pt idx="4">
                  <c:v>5</c:v>
                </c:pt>
              </c:numCache>
            </c:numRef>
          </c:val>
          <c:extLst xmlns:c16r2="http://schemas.microsoft.com/office/drawing/2015/06/chart">
            <c:ext xmlns:c16="http://schemas.microsoft.com/office/drawing/2014/chart" uri="{C3380CC4-5D6E-409C-BE32-E72D297353CC}">
              <c16:uniqueId val="{0000000B-43EE-483F-AF32-D5C22DE49E53}"/>
            </c:ext>
          </c:extLst>
        </c:ser>
        <c:ser>
          <c:idx val="4"/>
          <c:order val="4"/>
          <c:tx>
            <c:strRef>
              <c:f>Лист4!$I$1</c:f>
              <c:strCache>
                <c:ptCount val="1"/>
                <c:pt idx="0">
                  <c:v>Mures</c:v>
                </c:pt>
              </c:strCache>
            </c:strRef>
          </c:tx>
          <c:spPr>
            <a:solidFill>
              <a:schemeClr val="accent5"/>
            </a:solidFill>
            <a:ln>
              <a:noFill/>
            </a:ln>
            <a:effectLst/>
          </c:spPr>
          <c:invertIfNegative val="0"/>
          <c:dLbls>
            <c:dLbl>
              <c:idx val="3"/>
              <c:layout>
                <c:manualLayout>
                  <c:x val="7.6115485564304503E-2"/>
                  <c:y val="-6.613333333333329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43EE-483F-AF32-D5C22DE49E53}"/>
                </c:ext>
                <c:ext xmlns:c15="http://schemas.microsoft.com/office/drawing/2012/chart" uri="{CE6537A1-D6FC-4f65-9D91-7224C49458BB}"/>
              </c:extLst>
            </c:dLbl>
            <c:dLbl>
              <c:idx val="4"/>
              <c:layout>
                <c:manualLayout>
                  <c:x val="7.0866141732283394E-2"/>
                  <c:y val="-6.613333333333329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Лист4!$I$2:$I$6</c:f>
              <c:numCache>
                <c:formatCode>General</c:formatCode>
                <c:ptCount val="5"/>
                <c:pt idx="0">
                  <c:v>32</c:v>
                </c:pt>
                <c:pt idx="1">
                  <c:v>36</c:v>
                </c:pt>
                <c:pt idx="2">
                  <c:v>16</c:v>
                </c:pt>
                <c:pt idx="3">
                  <c:v>1</c:v>
                </c:pt>
                <c:pt idx="4">
                  <c:v>3</c:v>
                </c:pt>
              </c:numCache>
            </c:numRef>
          </c:val>
          <c:extLst xmlns:c16r2="http://schemas.microsoft.com/office/drawing/2015/06/chart">
            <c:ext xmlns:c16="http://schemas.microsoft.com/office/drawing/2014/chart" uri="{C3380CC4-5D6E-409C-BE32-E72D297353CC}">
              <c16:uniqueId val="{0000000E-43EE-483F-AF32-D5C22DE49E53}"/>
            </c:ext>
          </c:extLst>
        </c:ser>
        <c:ser>
          <c:idx val="5"/>
          <c:order val="5"/>
          <c:tx>
            <c:strRef>
              <c:f>Лист4!$J$1</c:f>
              <c:strCache>
                <c:ptCount val="1"/>
                <c:pt idx="0">
                  <c:v>Prahova</c:v>
                </c:pt>
              </c:strCache>
            </c:strRef>
          </c:tx>
          <c:spPr>
            <a:solidFill>
              <a:schemeClr val="accent6"/>
            </a:solidFill>
            <a:ln>
              <a:noFill/>
            </a:ln>
            <a:effectLst/>
          </c:spPr>
          <c:invertIfNegative val="0"/>
          <c:dLbls>
            <c:dLbl>
              <c:idx val="3"/>
              <c:layout>
                <c:manualLayout>
                  <c:x val="7.2178477690288706E-2"/>
                  <c:y val="-2.9866666666666701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43EE-483F-AF32-D5C22DE49E53}"/>
                </c:ext>
                <c:ext xmlns:c15="http://schemas.microsoft.com/office/drawing/2012/chart" uri="{CE6537A1-D6FC-4f65-9D91-7224C49458BB}"/>
              </c:extLst>
            </c:dLbl>
            <c:dLbl>
              <c:idx val="4"/>
              <c:layout>
                <c:manualLayout>
                  <c:x val="6.4304461942257196E-2"/>
                  <c:y val="-3.41333333333333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43EE-483F-AF32-D5C22DE49E53}"/>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Лист4!$C$2:$D$6</c:f>
              <c:strCache>
                <c:ptCount val="5"/>
                <c:pt idx="0">
                  <c:v>&lt; 1 mio</c:v>
                </c:pt>
                <c:pt idx="1">
                  <c:v>1-10 mio</c:v>
                </c:pt>
                <c:pt idx="2">
                  <c:v>10-50 mio</c:v>
                </c:pt>
                <c:pt idx="3">
                  <c:v>50-100 mio</c:v>
                </c:pt>
                <c:pt idx="4">
                  <c:v>&gt; 100 mio</c:v>
                </c:pt>
              </c:strCache>
            </c:strRef>
          </c:cat>
          <c:val>
            <c:numRef>
              <c:f>Лист4!$J$2:$J$6</c:f>
              <c:numCache>
                <c:formatCode>General</c:formatCode>
                <c:ptCount val="5"/>
                <c:pt idx="0">
                  <c:v>15</c:v>
                </c:pt>
                <c:pt idx="1">
                  <c:v>13</c:v>
                </c:pt>
                <c:pt idx="2">
                  <c:v>4</c:v>
                </c:pt>
                <c:pt idx="3">
                  <c:v>3</c:v>
                </c:pt>
                <c:pt idx="4">
                  <c:v>4</c:v>
                </c:pt>
              </c:numCache>
            </c:numRef>
          </c:val>
          <c:extLst xmlns:c16r2="http://schemas.microsoft.com/office/drawing/2015/06/chart">
            <c:ext xmlns:c16="http://schemas.microsoft.com/office/drawing/2014/chart" uri="{C3380CC4-5D6E-409C-BE32-E72D297353CC}">
              <c16:uniqueId val="{00000011-43EE-483F-AF32-D5C22DE49E53}"/>
            </c:ext>
          </c:extLst>
        </c:ser>
        <c:dLbls>
          <c:showLegendKey val="0"/>
          <c:showVal val="0"/>
          <c:showCatName val="0"/>
          <c:showSerName val="0"/>
          <c:showPercent val="0"/>
          <c:showBubbleSize val="0"/>
        </c:dLbls>
        <c:gapWidth val="150"/>
        <c:overlap val="100"/>
        <c:axId val="588439064"/>
        <c:axId val="588434360"/>
      </c:barChart>
      <c:catAx>
        <c:axId val="588439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4360"/>
        <c:crosses val="autoZero"/>
        <c:auto val="1"/>
        <c:lblAlgn val="ctr"/>
        <c:lblOffset val="100"/>
        <c:noMultiLvlLbl val="0"/>
      </c:catAx>
      <c:valAx>
        <c:axId val="5884343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9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Лист4!$E$12</c:f>
              <c:strCache>
                <c:ptCount val="1"/>
                <c:pt idx="0">
                  <c:v>Dolj</c:v>
                </c:pt>
              </c:strCache>
            </c:strRef>
          </c:tx>
          <c:spPr>
            <a:solidFill>
              <a:schemeClr val="accent1"/>
            </a:solidFill>
            <a:ln>
              <a:noFill/>
            </a:ln>
            <a:effectLst/>
          </c:spPr>
          <c:invertIfNegative val="0"/>
          <c:dLbls>
            <c:dLbl>
              <c:idx val="0"/>
              <c:layout>
                <c:manualLayout>
                  <c:x val="3.37552742616034E-2"/>
                  <c:y val="-9.661835748792270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6253-42F7-A3D3-ED432D819D6A}"/>
                </c:ext>
                <c:ext xmlns:c15="http://schemas.microsoft.com/office/drawing/2012/chart" uri="{CE6537A1-D6FC-4f65-9D91-7224C49458BB}"/>
              </c:extLst>
            </c:dLbl>
            <c:dLbl>
              <c:idx val="1"/>
              <c:layout>
                <c:manualLayout>
                  <c:x val="2.2070756247971401E-2"/>
                  <c:y val="-8.158883521202360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253-42F7-A3D3-ED432D819D6A}"/>
                </c:ext>
                <c:ext xmlns:c15="http://schemas.microsoft.com/office/drawing/2012/chart" uri="{CE6537A1-D6FC-4f65-9D91-7224C49458BB}"/>
              </c:extLst>
            </c:dLbl>
            <c:dLbl>
              <c:idx val="2"/>
              <c:layout>
                <c:manualLayout>
                  <c:x val="9.0879584550470505E-3"/>
                  <c:y val="-7.72946859903382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253-42F7-A3D3-ED432D819D6A}"/>
                </c:ext>
                <c:ext xmlns:c15="http://schemas.microsoft.com/office/drawing/2012/chart" uri="{CE6537A1-D6FC-4f65-9D91-7224C49458BB}"/>
              </c:extLst>
            </c:dLbl>
            <c:dLbl>
              <c:idx val="3"/>
              <c:layout>
                <c:manualLayout>
                  <c:x val="6.4913988964621899E-3"/>
                  <c:y val="-8.80300590445518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253-42F7-A3D3-ED432D819D6A}"/>
                </c:ext>
                <c:ext xmlns:c15="http://schemas.microsoft.com/office/drawing/2012/chart" uri="{CE6537A1-D6FC-4f65-9D91-7224C49458BB}"/>
              </c:extLst>
            </c:dLbl>
            <c:dLbl>
              <c:idx val="4"/>
              <c:layout>
                <c:manualLayout>
                  <c:x val="9.0879584550470505E-3"/>
                  <c:y val="-7.085346215780999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253-42F7-A3D3-ED432D819D6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Лист4!$E$13:$E$17</c:f>
              <c:numCache>
                <c:formatCode>[$€-2]\ #,##0</c:formatCode>
                <c:ptCount val="5"/>
                <c:pt idx="0">
                  <c:v>24097845</c:v>
                </c:pt>
                <c:pt idx="1">
                  <c:v>142355724</c:v>
                </c:pt>
                <c:pt idx="2">
                  <c:v>355297700</c:v>
                </c:pt>
                <c:pt idx="3">
                  <c:v>374210000</c:v>
                </c:pt>
                <c:pt idx="4">
                  <c:v>347547500</c:v>
                </c:pt>
              </c:numCache>
            </c:numRef>
          </c:val>
          <c:extLst xmlns:c16r2="http://schemas.microsoft.com/office/drawing/2015/06/chart">
            <c:ext xmlns:c16="http://schemas.microsoft.com/office/drawing/2014/chart" uri="{C3380CC4-5D6E-409C-BE32-E72D297353CC}">
              <c16:uniqueId val="{00000005-6253-42F7-A3D3-ED432D819D6A}"/>
            </c:ext>
          </c:extLst>
        </c:ser>
        <c:ser>
          <c:idx val="1"/>
          <c:order val="1"/>
          <c:tx>
            <c:strRef>
              <c:f>Лист4!$F$12</c:f>
              <c:strCache>
                <c:ptCount val="1"/>
                <c:pt idx="0">
                  <c:v>Galati</c:v>
                </c:pt>
              </c:strCache>
            </c:strRef>
          </c:tx>
          <c:spPr>
            <a:solidFill>
              <a:schemeClr val="accent2"/>
            </a:solidFill>
            <a:ln>
              <a:noFill/>
            </a:ln>
            <a:effectLst/>
          </c:spPr>
          <c:invertIfNegative val="0"/>
          <c:dLbls>
            <c:dLbl>
              <c:idx val="0"/>
              <c:layout>
                <c:manualLayout>
                  <c:x val="0.144109055501461"/>
                  <c:y val="-0.1052066559312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6253-42F7-A3D3-ED432D819D6A}"/>
                </c:ext>
                <c:ext xmlns:c15="http://schemas.microsoft.com/office/drawing/2012/chart" uri="{CE6537A1-D6FC-4f65-9D91-7224C49458BB}"/>
              </c:extLst>
            </c:dLbl>
            <c:dLbl>
              <c:idx val="1"/>
              <c:layout>
                <c:manualLayout>
                  <c:x val="6.6545166584012508E-2"/>
                  <c:y val="-5.860909477468131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253-42F7-A3D3-ED432D819D6A}"/>
                </c:ext>
                <c:ext xmlns:c15="http://schemas.microsoft.com/office/drawing/2012/chart" uri="{CE6537A1-D6FC-4f65-9D91-7224C49458BB}"/>
              </c:extLst>
            </c:dLbl>
            <c:dLbl>
              <c:idx val="2"/>
              <c:layout>
                <c:manualLayout>
                  <c:x val="6.8808828302499195E-2"/>
                  <c:y val="-7.72946859903382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253-42F7-A3D3-ED432D819D6A}"/>
                </c:ext>
                <c:ext xmlns:c15="http://schemas.microsoft.com/office/drawing/2012/chart" uri="{CE6537A1-D6FC-4f65-9D91-7224C49458BB}"/>
              </c:extLst>
            </c:dLbl>
            <c:dLbl>
              <c:idx val="3"/>
              <c:layout>
                <c:manualLayout>
                  <c:x val="7.7896786757546299E-2"/>
                  <c:y val="-9.23242082662373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253-42F7-A3D3-ED432D819D6A}"/>
                </c:ext>
                <c:ext xmlns:c15="http://schemas.microsoft.com/office/drawing/2012/chart" uri="{CE6537A1-D6FC-4f65-9D91-7224C49458BB}"/>
              </c:extLst>
            </c:dLbl>
            <c:dLbl>
              <c:idx val="4"/>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Лист4!$F$13:$F$17</c:f>
              <c:numCache>
                <c:formatCode>[$€-2]\ #,##0</c:formatCode>
                <c:ptCount val="5"/>
                <c:pt idx="0">
                  <c:v>7025000</c:v>
                </c:pt>
                <c:pt idx="1">
                  <c:v>163831140</c:v>
                </c:pt>
                <c:pt idx="2">
                  <c:v>292300000</c:v>
                </c:pt>
                <c:pt idx="3">
                  <c:v>60908300</c:v>
                </c:pt>
                <c:pt idx="4">
                  <c:v>2730000000</c:v>
                </c:pt>
              </c:numCache>
            </c:numRef>
          </c:val>
          <c:extLst xmlns:c16r2="http://schemas.microsoft.com/office/drawing/2015/06/chart">
            <c:ext xmlns:c16="http://schemas.microsoft.com/office/drawing/2014/chart" uri="{C3380CC4-5D6E-409C-BE32-E72D297353CC}">
              <c16:uniqueId val="{0000000A-6253-42F7-A3D3-ED432D819D6A}"/>
            </c:ext>
          </c:extLst>
        </c:ser>
        <c:ser>
          <c:idx val="2"/>
          <c:order val="2"/>
          <c:tx>
            <c:strRef>
              <c:f>Лист4!$G$12</c:f>
              <c:strCache>
                <c:ptCount val="1"/>
                <c:pt idx="0">
                  <c:v>Gorj</c:v>
                </c:pt>
              </c:strCache>
            </c:strRef>
          </c:tx>
          <c:spPr>
            <a:solidFill>
              <a:schemeClr val="accent3"/>
            </a:solidFill>
            <a:ln>
              <a:noFill/>
            </a:ln>
            <a:effectLst/>
          </c:spPr>
          <c:invertIfNegative val="0"/>
          <c:dLbls>
            <c:dLbl>
              <c:idx val="1"/>
              <c:layout>
                <c:manualLayout>
                  <c:x val="9.9721736035932082E-2"/>
                  <c:y val="-8.0428954423592561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E72-4839-8392-7BE7A6FED88E}"/>
                </c:ext>
                <c:ext xmlns:c15="http://schemas.microsoft.com/office/drawing/2012/chart" uri="{CE6537A1-D6FC-4f65-9D91-7224C49458BB}"/>
              </c:extLst>
            </c:dLbl>
            <c:dLbl>
              <c:idx val="2"/>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E72-4839-8392-7BE7A6FED88E}"/>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Лист4!$G$13:$G$17</c:f>
              <c:numCache>
                <c:formatCode>[$€-2]\ #,##0</c:formatCode>
                <c:ptCount val="5"/>
                <c:pt idx="0">
                  <c:v>58980450</c:v>
                </c:pt>
                <c:pt idx="1">
                  <c:v>307898906</c:v>
                </c:pt>
                <c:pt idx="2">
                  <c:v>697150000</c:v>
                </c:pt>
                <c:pt idx="3">
                  <c:v>0</c:v>
                </c:pt>
                <c:pt idx="4">
                  <c:v>0</c:v>
                </c:pt>
              </c:numCache>
            </c:numRef>
          </c:val>
          <c:extLst xmlns:c16r2="http://schemas.microsoft.com/office/drawing/2015/06/chart">
            <c:ext xmlns:c16="http://schemas.microsoft.com/office/drawing/2014/chart" uri="{C3380CC4-5D6E-409C-BE32-E72D297353CC}">
              <c16:uniqueId val="{0000000B-6253-42F7-A3D3-ED432D819D6A}"/>
            </c:ext>
          </c:extLst>
        </c:ser>
        <c:ser>
          <c:idx val="3"/>
          <c:order val="3"/>
          <c:tx>
            <c:strRef>
              <c:f>Лист4!$H$12</c:f>
              <c:strCache>
                <c:ptCount val="1"/>
                <c:pt idx="0">
                  <c:v>Hunedoara</c:v>
                </c:pt>
              </c:strCache>
            </c:strRef>
          </c:tx>
          <c:spPr>
            <a:solidFill>
              <a:schemeClr val="accent4"/>
            </a:solidFill>
            <a:ln>
              <a:noFill/>
            </a:ln>
            <a:effectLst/>
          </c:spPr>
          <c:invertIfNegative val="0"/>
          <c:dLbls>
            <c:dLbl>
              <c:idx val="0"/>
              <c:layout>
                <c:manualLayout>
                  <c:x val="0.13502109704641299"/>
                  <c:y val="-7.30005367686527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6253-42F7-A3D3-ED432D819D6A}"/>
                </c:ext>
                <c:ext xmlns:c15="http://schemas.microsoft.com/office/drawing/2012/chart" uri="{CE6537A1-D6FC-4f65-9D91-7224C49458BB}"/>
              </c:extLst>
            </c:dLbl>
            <c:dLbl>
              <c:idx val="1"/>
              <c:layout>
                <c:manualLayout>
                  <c:x val="0.167478091528724"/>
                  <c:y val="-8.588298443370899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6253-42F7-A3D3-ED432D819D6A}"/>
                </c:ext>
                <c:ext xmlns:c15="http://schemas.microsoft.com/office/drawing/2012/chart" uri="{CE6537A1-D6FC-4f65-9D91-7224C49458BB}"/>
              </c:extLst>
            </c:dLbl>
            <c:dLbl>
              <c:idx val="2"/>
              <c:layout>
                <c:manualLayout>
                  <c:x val="0.232392080493346"/>
                  <c:y val="-8.803005904455189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6253-42F7-A3D3-ED432D819D6A}"/>
                </c:ext>
                <c:ext xmlns:c15="http://schemas.microsoft.com/office/drawing/2012/chart" uri="{CE6537A1-D6FC-4f65-9D91-7224C49458BB}"/>
              </c:extLst>
            </c:dLbl>
            <c:dLbl>
              <c:idx val="3"/>
              <c:layout>
                <c:manualLayout>
                  <c:x val="0.16228497241155501"/>
                  <c:y val="-8.80300590445518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6253-42F7-A3D3-ED432D819D6A}"/>
                </c:ext>
                <c:ext xmlns:c15="http://schemas.microsoft.com/office/drawing/2012/chart" uri="{CE6537A1-D6FC-4f65-9D91-7224C49458BB}"/>
              </c:extLst>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Лист4!$H$13:$H$17</c:f>
              <c:numCache>
                <c:formatCode>[$€-2]\ #,##0</c:formatCode>
                <c:ptCount val="5"/>
                <c:pt idx="0">
                  <c:v>28394900</c:v>
                </c:pt>
                <c:pt idx="1">
                  <c:v>417911023</c:v>
                </c:pt>
                <c:pt idx="2">
                  <c:v>515151060</c:v>
                </c:pt>
                <c:pt idx="3">
                  <c:v>348245080</c:v>
                </c:pt>
                <c:pt idx="4">
                  <c:v>1120000000</c:v>
                </c:pt>
              </c:numCache>
            </c:numRef>
          </c:val>
          <c:extLst xmlns:c16r2="http://schemas.microsoft.com/office/drawing/2015/06/chart">
            <c:ext xmlns:c16="http://schemas.microsoft.com/office/drawing/2014/chart" uri="{C3380CC4-5D6E-409C-BE32-E72D297353CC}">
              <c16:uniqueId val="{00000010-6253-42F7-A3D3-ED432D819D6A}"/>
            </c:ext>
          </c:extLst>
        </c:ser>
        <c:ser>
          <c:idx val="4"/>
          <c:order val="4"/>
          <c:tx>
            <c:strRef>
              <c:f>Лист4!$I$12</c:f>
              <c:strCache>
                <c:ptCount val="1"/>
                <c:pt idx="0">
                  <c:v>Mures</c:v>
                </c:pt>
              </c:strCache>
            </c:strRef>
          </c:tx>
          <c:spPr>
            <a:solidFill>
              <a:schemeClr val="accent5"/>
            </a:solidFill>
            <a:ln>
              <a:noFill/>
            </a:ln>
            <a:effectLst/>
          </c:spPr>
          <c:invertIfNegative val="0"/>
          <c:dLbls>
            <c:dLbl>
              <c:idx val="0"/>
              <c:layout>
                <c:manualLayout>
                  <c:x val="0.131126257708536"/>
                  <c:y val="-3.86473429951691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6253-42F7-A3D3-ED432D819D6A}"/>
                </c:ext>
                <c:ext xmlns:c15="http://schemas.microsoft.com/office/drawing/2012/chart" uri="{CE6537A1-D6FC-4f65-9D91-7224C49458BB}"/>
              </c:extLst>
            </c:dLbl>
            <c:dLbl>
              <c:idx val="1"/>
              <c:layout>
                <c:manualLayout>
                  <c:x val="0.129827977929244"/>
                  <c:y val="-4.93827160493826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6253-42F7-A3D3-ED432D819D6A}"/>
                </c:ext>
                <c:ext xmlns:c15="http://schemas.microsoft.com/office/drawing/2012/chart" uri="{CE6537A1-D6FC-4f65-9D91-7224C49458BB}"/>
              </c:extLst>
            </c:dLbl>
            <c:dLbl>
              <c:idx val="2"/>
              <c:layout>
                <c:manualLayout>
                  <c:x val="0.15449529373580001"/>
                  <c:y val="-5.152979066022549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6253-42F7-A3D3-ED432D819D6A}"/>
                </c:ext>
                <c:ext xmlns:c15="http://schemas.microsoft.com/office/drawing/2012/chart" uri="{CE6537A1-D6FC-4f65-9D91-7224C49458BB}"/>
              </c:extLst>
            </c:dLbl>
            <c:dLbl>
              <c:idx val="3"/>
              <c:layout>
                <c:manualLayout>
                  <c:x val="0.129827977929244"/>
                  <c:y val="-5.79710144927536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6253-42F7-A3D3-ED432D819D6A}"/>
                </c:ext>
                <c:ext xmlns:c15="http://schemas.microsoft.com/office/drawing/2012/chart" uri="{CE6537A1-D6FC-4f65-9D91-7224C49458BB}"/>
              </c:extLst>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Лист4!$I$13:$I$17</c:f>
              <c:numCache>
                <c:formatCode>[$€-2]\ #,##0</c:formatCode>
                <c:ptCount val="5"/>
                <c:pt idx="0">
                  <c:v>11309930</c:v>
                </c:pt>
                <c:pt idx="1">
                  <c:v>140358455</c:v>
                </c:pt>
                <c:pt idx="2">
                  <c:v>532028000</c:v>
                </c:pt>
                <c:pt idx="3">
                  <c:v>100000000</c:v>
                </c:pt>
                <c:pt idx="4">
                  <c:v>664000000</c:v>
                </c:pt>
              </c:numCache>
            </c:numRef>
          </c:val>
          <c:extLst xmlns:c16r2="http://schemas.microsoft.com/office/drawing/2015/06/chart">
            <c:ext xmlns:c16="http://schemas.microsoft.com/office/drawing/2014/chart" uri="{C3380CC4-5D6E-409C-BE32-E72D297353CC}">
              <c16:uniqueId val="{00000015-6253-42F7-A3D3-ED432D819D6A}"/>
            </c:ext>
          </c:extLst>
        </c:ser>
        <c:ser>
          <c:idx val="5"/>
          <c:order val="5"/>
          <c:tx>
            <c:strRef>
              <c:f>Лист4!$J$12</c:f>
              <c:strCache>
                <c:ptCount val="1"/>
                <c:pt idx="0">
                  <c:v>Prahova</c:v>
                </c:pt>
              </c:strCache>
            </c:strRef>
          </c:tx>
          <c:spPr>
            <a:solidFill>
              <a:schemeClr val="accent6"/>
            </a:solidFill>
            <a:ln>
              <a:noFill/>
            </a:ln>
            <a:effectLst/>
          </c:spPr>
          <c:invertIfNegative val="0"/>
          <c:dLbls>
            <c:dLbl>
              <c:idx val="0"/>
              <c:layout>
                <c:manualLayout>
                  <c:x val="0.12723141837065899"/>
                  <c:y val="-4.294149221685450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6253-42F7-A3D3-ED432D819D6A}"/>
                </c:ext>
                <c:ext xmlns:c15="http://schemas.microsoft.com/office/drawing/2012/chart" uri="{CE6537A1-D6FC-4f65-9D91-7224C49458BB}"/>
              </c:extLst>
            </c:dLbl>
            <c:dLbl>
              <c:idx val="1"/>
              <c:layout>
                <c:manualLayout>
                  <c:x val="0.112950340798442"/>
                  <c:y val="-1.073537305421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6253-42F7-A3D3-ED432D819D6A}"/>
                </c:ext>
                <c:ext xmlns:c15="http://schemas.microsoft.com/office/drawing/2012/chart" uri="{CE6537A1-D6FC-4f65-9D91-7224C49458BB}"/>
              </c:extLst>
            </c:dLbl>
            <c:dLbl>
              <c:idx val="2"/>
              <c:layout>
                <c:manualLayout>
                  <c:x val="0.105160662122687"/>
                  <c:y val="-1.50295222758991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6253-42F7-A3D3-ED432D819D6A}"/>
                </c:ext>
                <c:ext xmlns:c15="http://schemas.microsoft.com/office/drawing/2012/chart" uri="{CE6537A1-D6FC-4f65-9D91-7224C49458BB}"/>
              </c:extLst>
            </c:dLbl>
            <c:dLbl>
              <c:idx val="3"/>
              <c:layout>
                <c:manualLayout>
                  <c:x val="0.107757221681272"/>
                  <c:y val="-2.14707461084273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6253-42F7-A3D3-ED432D819D6A}"/>
                </c:ext>
                <c:ext xmlns:c15="http://schemas.microsoft.com/office/drawing/2012/chart" uri="{CE6537A1-D6FC-4f65-9D91-7224C49458BB}"/>
              </c:extLst>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Лист4!$C$13:$D$17</c:f>
              <c:strCache>
                <c:ptCount val="5"/>
                <c:pt idx="0">
                  <c:v>&lt; 1 mio</c:v>
                </c:pt>
                <c:pt idx="1">
                  <c:v>1-10 mio</c:v>
                </c:pt>
                <c:pt idx="2">
                  <c:v>10-50 mio</c:v>
                </c:pt>
                <c:pt idx="3">
                  <c:v>50-100 mio</c:v>
                </c:pt>
                <c:pt idx="4">
                  <c:v>&gt; 100 mio</c:v>
                </c:pt>
              </c:strCache>
            </c:strRef>
          </c:cat>
          <c:val>
            <c:numRef>
              <c:f>Лист4!$J$13:$J$17</c:f>
              <c:numCache>
                <c:formatCode>[$€-2]\ #,##0</c:formatCode>
                <c:ptCount val="5"/>
                <c:pt idx="0">
                  <c:v>6415104</c:v>
                </c:pt>
                <c:pt idx="1">
                  <c:v>45264000</c:v>
                </c:pt>
                <c:pt idx="2">
                  <c:v>140000000</c:v>
                </c:pt>
                <c:pt idx="3">
                  <c:v>187750000</c:v>
                </c:pt>
                <c:pt idx="4">
                  <c:v>665167300</c:v>
                </c:pt>
              </c:numCache>
            </c:numRef>
          </c:val>
          <c:extLst xmlns:c16r2="http://schemas.microsoft.com/office/drawing/2015/06/chart">
            <c:ext xmlns:c16="http://schemas.microsoft.com/office/drawing/2014/chart" uri="{C3380CC4-5D6E-409C-BE32-E72D297353CC}">
              <c16:uniqueId val="{0000001A-6253-42F7-A3D3-ED432D819D6A}"/>
            </c:ext>
          </c:extLst>
        </c:ser>
        <c:dLbls>
          <c:showLegendKey val="0"/>
          <c:showVal val="0"/>
          <c:showCatName val="0"/>
          <c:showSerName val="0"/>
          <c:showPercent val="0"/>
          <c:showBubbleSize val="0"/>
        </c:dLbls>
        <c:gapWidth val="150"/>
        <c:overlap val="100"/>
        <c:axId val="588435536"/>
        <c:axId val="588438280"/>
      </c:barChart>
      <c:catAx>
        <c:axId val="5884355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8280"/>
        <c:crosses val="autoZero"/>
        <c:auto val="1"/>
        <c:lblAlgn val="ctr"/>
        <c:lblOffset val="100"/>
        <c:noMultiLvlLbl val="0"/>
      </c:catAx>
      <c:valAx>
        <c:axId val="588438280"/>
        <c:scaling>
          <c:orientation val="minMax"/>
        </c:scaling>
        <c:delete val="0"/>
        <c:axPos val="b"/>
        <c:majorGridlines>
          <c:spPr>
            <a:ln w="9525" cap="flat" cmpd="sng" algn="ctr">
              <a:solidFill>
                <a:schemeClr val="tx1">
                  <a:lumMod val="15000"/>
                  <a:lumOff val="85000"/>
                </a:schemeClr>
              </a:solidFill>
              <a:round/>
            </a:ln>
            <a:effectLst/>
          </c:spPr>
        </c:majorGridlines>
        <c:numFmt formatCode="\€\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5536"/>
        <c:crosses val="autoZero"/>
        <c:crossBetween val="between"/>
        <c:dispUnits>
          <c:builtInUnit val="millions"/>
          <c:dispUnitsLbl>
            <c:layout>
              <c:manualLayout>
                <c:xMode val="edge"/>
                <c:yMode val="edge"/>
                <c:x val="0.85287508599404716"/>
                <c:y val="0.82976052256202559"/>
              </c:manualLayout>
            </c:layout>
            <c:spPr>
              <a:noFill/>
              <a:ln>
                <a:noFill/>
              </a:ln>
              <a:effectLst/>
            </c:spPr>
            <c:txPr>
              <a:bodyPr rot="0" spcFirstLastPara="1" vertOverflow="ellipsis" vert="horz" wrap="square" anchor="ctr" anchorCtr="0"/>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2"/>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3"/>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4"/>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5"/>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6"/>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7"/>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8"/>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9"/>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1"/>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activity'!$B$30:$B$41</c:f>
              <c:strCache>
                <c:ptCount val="12"/>
                <c:pt idx="0">
                  <c:v>Investments in SMEs</c:v>
                </c:pt>
                <c:pt idx="1">
                  <c:v>Creation of new firms</c:v>
                </c:pt>
                <c:pt idx="2">
                  <c:v>Research and innovation</c:v>
                </c:pt>
                <c:pt idx="3">
                  <c:v>GHG emission reduction, EE&amp;RE</c:v>
                </c:pt>
                <c:pt idx="4">
                  <c:v>Digitalisation</c:v>
                </c:pt>
                <c:pt idx="5">
                  <c:v>Decontamination of sites</c:v>
                </c:pt>
                <c:pt idx="6">
                  <c:v>Circular economy</c:v>
                </c:pt>
                <c:pt idx="7">
                  <c:v>Upskilling and reskilling</c:v>
                </c:pt>
                <c:pt idx="8">
                  <c:v>Job-search assistance</c:v>
                </c:pt>
                <c:pt idx="9">
                  <c:v>Inclusion of jobseekers</c:v>
                </c:pt>
                <c:pt idx="10">
                  <c:v>Technical assistance</c:v>
                </c:pt>
                <c:pt idx="11">
                  <c:v>Not eligible</c:v>
                </c:pt>
              </c:strCache>
            </c:strRef>
          </c:cat>
          <c:val>
            <c:numRef>
              <c:f>'Project activity'!$C$30:$C$41</c:f>
              <c:numCache>
                <c:formatCode>General</c:formatCode>
                <c:ptCount val="12"/>
                <c:pt idx="0">
                  <c:v>143</c:v>
                </c:pt>
                <c:pt idx="1">
                  <c:v>163</c:v>
                </c:pt>
                <c:pt idx="2">
                  <c:v>19</c:v>
                </c:pt>
                <c:pt idx="3">
                  <c:v>244</c:v>
                </c:pt>
                <c:pt idx="4">
                  <c:v>45</c:v>
                </c:pt>
                <c:pt idx="5">
                  <c:v>15</c:v>
                </c:pt>
                <c:pt idx="6">
                  <c:v>4</c:v>
                </c:pt>
                <c:pt idx="7">
                  <c:v>33</c:v>
                </c:pt>
                <c:pt idx="8">
                  <c:v>11</c:v>
                </c:pt>
                <c:pt idx="9">
                  <c:v>12</c:v>
                </c:pt>
                <c:pt idx="10">
                  <c:v>6</c:v>
                </c:pt>
                <c:pt idx="11">
                  <c:v>189</c:v>
                </c:pt>
              </c:numCache>
            </c:numRef>
          </c:val>
          <c:extLst xmlns:c16r2="http://schemas.microsoft.com/office/drawing/2015/06/chart">
            <c:ext xmlns:c16="http://schemas.microsoft.com/office/drawing/2014/chart" uri="{C3380CC4-5D6E-409C-BE32-E72D297353CC}">
              <c16:uniqueId val="{00000000-057B-48FA-8B8F-CE35F1F2E158}"/>
            </c:ext>
          </c:extLst>
        </c:ser>
        <c:dLbls>
          <c:showLegendKey val="0"/>
          <c:showVal val="0"/>
          <c:showCatName val="0"/>
          <c:showSerName val="0"/>
          <c:showPercent val="0"/>
          <c:showBubbleSize val="0"/>
        </c:dLbls>
        <c:gapWidth val="219"/>
        <c:overlap val="-27"/>
        <c:axId val="588438672"/>
        <c:axId val="641074208"/>
      </c:barChart>
      <c:catAx>
        <c:axId val="588438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74208"/>
        <c:crosses val="autoZero"/>
        <c:auto val="1"/>
        <c:lblAlgn val="ctr"/>
        <c:lblOffset val="100"/>
        <c:noMultiLvlLbl val="0"/>
      </c:catAx>
      <c:valAx>
        <c:axId val="6410742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84386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246-4BAE-A109-C64CC8D36678}"/>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246-4BAE-A109-C64CC8D36678}"/>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246-4BAE-A109-C64CC8D36678}"/>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246-4BAE-A109-C64CC8D36678}"/>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7246-4BAE-A109-C64CC8D36678}"/>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7246-4BAE-A109-C64CC8D36678}"/>
              </c:ext>
            </c:extLst>
          </c:dPt>
          <c:dLbls>
            <c:dLbl>
              <c:idx val="0"/>
              <c:layout>
                <c:manualLayout>
                  <c:x val="-7.1937664041994753E-2"/>
                  <c:y val="0.13730242053076699"/>
                </c:manualLayout>
              </c:layout>
              <c:tx>
                <c:rich>
                  <a:bodyPr/>
                  <a:lstStyle/>
                  <a:p>
                    <a:fld id="{50F79FC6-615B-4E2B-A8A6-E02A883849D3}" type="VALUE">
                      <a:rPr lang="en-US"/>
                      <a:pPr/>
                      <a:t>[VALUE]</a:t>
                    </a:fld>
                    <a:r>
                      <a:rPr lang="en-US" baseline="0"/>
                      <a:t> </a:t>
                    </a:r>
                  </a:p>
                  <a:p>
                    <a:endParaRPr lang="en-US" baseline="0"/>
                  </a:p>
                  <a:p>
                    <a:fld id="{C3B7E4C6-6B77-402B-8A82-83FA14AB9DDD}" type="PERCENTAGE">
                      <a:rPr lang="en-US" baseline="0"/>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7246-4BAE-A109-C64CC8D36678}"/>
                </c:ext>
                <c:ext xmlns:c15="http://schemas.microsoft.com/office/drawing/2012/chart" uri="{CE6537A1-D6FC-4f65-9D91-7224C49458BB}">
                  <c15:dlblFieldTable/>
                  <c15:showDataLabelsRange val="0"/>
                </c:ext>
              </c:extLst>
            </c:dLbl>
            <c:dLbl>
              <c:idx val="1"/>
              <c:layout>
                <c:manualLayout>
                  <c:x val="-0.10340310586176728"/>
                  <c:y val="6.7684091571886845E-2"/>
                </c:manualLayout>
              </c:layout>
              <c:tx>
                <c:rich>
                  <a:bodyPr/>
                  <a:lstStyle/>
                  <a:p>
                    <a:fld id="{C13B387C-0195-4F2D-A9AD-46C9BF2B6A64}" type="VALUE">
                      <a:rPr lang="en-US"/>
                      <a:pPr/>
                      <a:t>[VALUE]</a:t>
                    </a:fld>
                    <a:endParaRPr lang="en-US"/>
                  </a:p>
                  <a:p>
                    <a:r>
                      <a:rPr lang="en-US" baseline="0"/>
                      <a:t> </a:t>
                    </a:r>
                  </a:p>
                  <a:p>
                    <a:fld id="{1BFCB03F-D2D5-4280-BADF-A1BBC5CA2BCC}" type="PERCENTAGE">
                      <a:rPr lang="en-US" baseline="0"/>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7246-4BAE-A109-C64CC8D36678}"/>
                </c:ext>
                <c:ext xmlns:c15="http://schemas.microsoft.com/office/drawing/2012/chart" uri="{CE6537A1-D6FC-4f65-9D91-7224C49458BB}">
                  <c15:dlblFieldTable/>
                  <c15:showDataLabelsRange val="0"/>
                </c:ext>
              </c:extLst>
            </c:dLbl>
            <c:dLbl>
              <c:idx val="2"/>
              <c:layout>
                <c:manualLayout>
                  <c:x val="-0.11199671916010509"/>
                  <c:y val="-0.22997885680956548"/>
                </c:manualLayout>
              </c:layout>
              <c:tx>
                <c:rich>
                  <a:bodyPr/>
                  <a:lstStyle/>
                  <a:p>
                    <a:fld id="{CD011DD2-AA00-4DBE-BD88-41DAA4C22615}" type="VALUE">
                      <a:rPr lang="en-US"/>
                      <a:pPr/>
                      <a:t>[VALUE]</a:t>
                    </a:fld>
                    <a:r>
                      <a:rPr lang="en-US" baseline="0"/>
                      <a:t> </a:t>
                    </a:r>
                  </a:p>
                  <a:p>
                    <a:endParaRPr lang="en-US" baseline="0"/>
                  </a:p>
                  <a:p>
                    <a:fld id="{45F45C77-D19B-4ED8-AB2E-10BA8CAD1BCE}" type="PERCENTAGE">
                      <a:rPr lang="en-US" baseline="0"/>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7246-4BAE-A109-C64CC8D36678}"/>
                </c:ext>
                <c:ext xmlns:c15="http://schemas.microsoft.com/office/drawing/2012/chart" uri="{CE6537A1-D6FC-4f65-9D91-7224C49458BB}">
                  <c15:dlblFieldTable/>
                  <c15:showDataLabelsRange val="0"/>
                </c:ext>
              </c:extLst>
            </c:dLbl>
            <c:dLbl>
              <c:idx val="3"/>
              <c:tx>
                <c:rich>
                  <a:bodyPr/>
                  <a:lstStyle/>
                  <a:p>
                    <a:fld id="{56AC7F8F-76B3-44C4-85A9-C2EB9C7866C4}" type="VALUE">
                      <a:rPr lang="en-US"/>
                      <a:pPr/>
                      <a:t>[VALUE]</a:t>
                    </a:fld>
                    <a:r>
                      <a:rPr lang="en-US" baseline="0"/>
                      <a:t> </a:t>
                    </a:r>
                  </a:p>
                  <a:p>
                    <a:endParaRPr lang="en-US" baseline="0"/>
                  </a:p>
                  <a:p>
                    <a:fld id="{ABFC0DC0-6D7B-41E3-8B9A-A26C5B6232FF}" type="PERCENTAGE">
                      <a:rPr lang="en-US" baseline="0"/>
                      <a:pPr/>
                      <a:t>[PERCENTAGE]</a:t>
                    </a:fld>
                    <a:endParaRPr lang="en-US"/>
                  </a:p>
                </c:rich>
              </c:tx>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7-7246-4BAE-A109-C64CC8D36678}"/>
                </c:ext>
                <c:ext xmlns:c15="http://schemas.microsoft.com/office/drawing/2012/chart" uri="{CE6537A1-D6FC-4f65-9D91-7224C49458BB}">
                  <c15:dlblFieldTable/>
                  <c15:showDataLabelsRange val="0"/>
                </c:ext>
              </c:extLst>
            </c:dLbl>
            <c:dLbl>
              <c:idx val="4"/>
              <c:layout>
                <c:manualLayout>
                  <c:x val="0.10737051618547681"/>
                  <c:y val="0.14962416156313793"/>
                </c:manualLayout>
              </c:layout>
              <c:tx>
                <c:rich>
                  <a:bodyPr/>
                  <a:lstStyle/>
                  <a:p>
                    <a:fld id="{1A6983E6-DF64-4605-95E5-175D2AA21F08}" type="VALUE">
                      <a:rPr lang="en-US"/>
                      <a:pPr/>
                      <a:t>[VALUE]</a:t>
                    </a:fld>
                    <a:r>
                      <a:rPr lang="en-US" baseline="0"/>
                      <a:t> </a:t>
                    </a:r>
                  </a:p>
                  <a:p>
                    <a:endParaRPr lang="en-US" baseline="0"/>
                  </a:p>
                  <a:p>
                    <a:fld id="{1ECAD7EC-80E0-40CD-AA94-496A5E95E9EF}" type="PERCENTAGE">
                      <a:rPr lang="en-US" baseline="0"/>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9-7246-4BAE-A109-C64CC8D36678}"/>
                </c:ext>
                <c:ext xmlns:c15="http://schemas.microsoft.com/office/drawing/2012/chart" uri="{CE6537A1-D6FC-4f65-9D91-7224C49458BB}">
                  <c15:dlblFieldTable/>
                  <c15:showDataLabelsRange val="0"/>
                </c:ext>
              </c:extLst>
            </c:dLbl>
            <c:dLbl>
              <c:idx val="5"/>
              <c:delete val="1"/>
              <c:extLst xmlns:c16r2="http://schemas.microsoft.com/office/drawing/2015/06/chart">
                <c:ext xmlns:c16="http://schemas.microsoft.com/office/drawing/2014/chart" uri="{C3380CC4-5D6E-409C-BE32-E72D297353CC}">
                  <c16:uniqueId val="{0000000B-7246-4BAE-A109-C64CC8D36678}"/>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Diagrams!$B$61:$B$66</c:f>
              <c:strCache>
                <c:ptCount val="6"/>
                <c:pt idx="0">
                  <c:v>Dolj</c:v>
                </c:pt>
                <c:pt idx="1">
                  <c:v>Galati</c:v>
                </c:pt>
                <c:pt idx="2">
                  <c:v>Gorj</c:v>
                </c:pt>
                <c:pt idx="3">
                  <c:v>Hunedoara</c:v>
                </c:pt>
                <c:pt idx="4">
                  <c:v>Mures</c:v>
                </c:pt>
                <c:pt idx="5">
                  <c:v>Prahova</c:v>
                </c:pt>
              </c:strCache>
            </c:strRef>
          </c:cat>
          <c:val>
            <c:numRef>
              <c:f>Diagrams!$E$61:$E$66</c:f>
              <c:numCache>
                <c:formatCode>_-* #,##0_-;\-* #,##0_-;_-* "-"??_-;_-@_-</c:formatCode>
                <c:ptCount val="6"/>
                <c:pt idx="0">
                  <c:v>3812</c:v>
                </c:pt>
                <c:pt idx="1">
                  <c:v>2418</c:v>
                </c:pt>
                <c:pt idx="2">
                  <c:v>8399</c:v>
                </c:pt>
                <c:pt idx="3">
                  <c:v>7192</c:v>
                </c:pt>
                <c:pt idx="4">
                  <c:v>4158</c:v>
                </c:pt>
                <c:pt idx="5" formatCode="General">
                  <c:v>0</c:v>
                </c:pt>
              </c:numCache>
            </c:numRef>
          </c:val>
          <c:extLst xmlns:c16r2="http://schemas.microsoft.com/office/drawing/2015/06/chart">
            <c:ext xmlns:c16="http://schemas.microsoft.com/office/drawing/2014/chart" uri="{C3380CC4-5D6E-409C-BE32-E72D297353CC}">
              <c16:uniqueId val="{0000000C-7246-4BAE-A109-C64CC8D3667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Proponents!$C$71</c:f>
              <c:strCache>
                <c:ptCount val="1"/>
                <c:pt idx="0">
                  <c:v>Public institutions</c:v>
                </c:pt>
              </c:strCache>
            </c:strRef>
          </c:tx>
          <c:spPr>
            <a:solidFill>
              <a:schemeClr val="accent1"/>
            </a:solidFill>
            <a:ln>
              <a:noFill/>
            </a:ln>
            <a:effectLst/>
          </c:spPr>
          <c:invertIfNegative val="0"/>
          <c:dLbls>
            <c:dLbl>
              <c:idx val="5"/>
              <c:layout>
                <c:manualLayout>
                  <c:x val="2.5917923627384598E-2"/>
                  <c:y val="-5.3181370607751202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9E5-4078-B751-952C42AA91EA}"/>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Proponents!$D$70:$I$70</c:f>
              <c:strCache>
                <c:ptCount val="6"/>
                <c:pt idx="0">
                  <c:v>Dolj</c:v>
                </c:pt>
                <c:pt idx="1">
                  <c:v>Galati</c:v>
                </c:pt>
                <c:pt idx="2">
                  <c:v>Gorj</c:v>
                </c:pt>
                <c:pt idx="3">
                  <c:v>Hunedoara</c:v>
                </c:pt>
                <c:pt idx="4">
                  <c:v>Mures</c:v>
                </c:pt>
                <c:pt idx="5">
                  <c:v>Prahova</c:v>
                </c:pt>
              </c:strCache>
            </c:strRef>
          </c:cat>
          <c:val>
            <c:numRef>
              <c:f>Proponents!$D$71:$I$71</c:f>
              <c:numCache>
                <c:formatCode>General</c:formatCode>
                <c:ptCount val="6"/>
                <c:pt idx="0">
                  <c:v>71</c:v>
                </c:pt>
                <c:pt idx="1">
                  <c:v>24</c:v>
                </c:pt>
                <c:pt idx="2">
                  <c:v>34</c:v>
                </c:pt>
                <c:pt idx="3">
                  <c:v>162</c:v>
                </c:pt>
                <c:pt idx="4">
                  <c:v>32</c:v>
                </c:pt>
                <c:pt idx="5">
                  <c:v>0</c:v>
                </c:pt>
              </c:numCache>
            </c:numRef>
          </c:val>
          <c:extLst xmlns:c16r2="http://schemas.microsoft.com/office/drawing/2015/06/chart">
            <c:ext xmlns:c16="http://schemas.microsoft.com/office/drawing/2014/chart" uri="{C3380CC4-5D6E-409C-BE32-E72D297353CC}">
              <c16:uniqueId val="{00000001-29E5-4078-B751-952C42AA91EA}"/>
            </c:ext>
          </c:extLst>
        </c:ser>
        <c:ser>
          <c:idx val="1"/>
          <c:order val="1"/>
          <c:tx>
            <c:strRef>
              <c:f>Proponents!$C$72</c:f>
              <c:strCache>
                <c:ptCount val="1"/>
                <c:pt idx="0">
                  <c:v>Large enterprises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Proponents!$D$70:$I$70</c:f>
              <c:strCache>
                <c:ptCount val="6"/>
                <c:pt idx="0">
                  <c:v>Dolj</c:v>
                </c:pt>
                <c:pt idx="1">
                  <c:v>Galati</c:v>
                </c:pt>
                <c:pt idx="2">
                  <c:v>Gorj</c:v>
                </c:pt>
                <c:pt idx="3">
                  <c:v>Hunedoara</c:v>
                </c:pt>
                <c:pt idx="4">
                  <c:v>Mures</c:v>
                </c:pt>
                <c:pt idx="5">
                  <c:v>Prahova</c:v>
                </c:pt>
              </c:strCache>
            </c:strRef>
          </c:cat>
          <c:val>
            <c:numRef>
              <c:f>Proponents!$D$72:$I$72</c:f>
              <c:numCache>
                <c:formatCode>General</c:formatCode>
                <c:ptCount val="6"/>
                <c:pt idx="0">
                  <c:v>11</c:v>
                </c:pt>
                <c:pt idx="1">
                  <c:v>15</c:v>
                </c:pt>
                <c:pt idx="2">
                  <c:v>6</c:v>
                </c:pt>
                <c:pt idx="3">
                  <c:v>6</c:v>
                </c:pt>
                <c:pt idx="4">
                  <c:v>18</c:v>
                </c:pt>
                <c:pt idx="5">
                  <c:v>38</c:v>
                </c:pt>
              </c:numCache>
            </c:numRef>
          </c:val>
          <c:extLst xmlns:c16r2="http://schemas.microsoft.com/office/drawing/2015/06/chart">
            <c:ext xmlns:c16="http://schemas.microsoft.com/office/drawing/2014/chart" uri="{C3380CC4-5D6E-409C-BE32-E72D297353CC}">
              <c16:uniqueId val="{00000002-29E5-4078-B751-952C42AA91EA}"/>
            </c:ext>
          </c:extLst>
        </c:ser>
        <c:ser>
          <c:idx val="2"/>
          <c:order val="2"/>
          <c:tx>
            <c:strRef>
              <c:f>Proponents!$C$73</c:f>
              <c:strCache>
                <c:ptCount val="1"/>
                <c:pt idx="0">
                  <c:v>Small enterprises</c:v>
                </c:pt>
              </c:strCache>
            </c:strRef>
          </c:tx>
          <c:spPr>
            <a:solidFill>
              <a:schemeClr val="accent3"/>
            </a:solidFill>
            <a:ln>
              <a:noFill/>
            </a:ln>
            <a:effectLst/>
          </c:spPr>
          <c:invertIfNegative val="0"/>
          <c:dLbls>
            <c:dLbl>
              <c:idx val="5"/>
              <c:layout>
                <c:manualLayout>
                  <c:x val="3.7437000795111107E-2"/>
                  <c:y val="-4.8116478168917752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9E5-4078-B751-952C42AA91EA}"/>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Proponents!$D$70:$I$70</c:f>
              <c:strCache>
                <c:ptCount val="6"/>
                <c:pt idx="0">
                  <c:v>Dolj</c:v>
                </c:pt>
                <c:pt idx="1">
                  <c:v>Galati</c:v>
                </c:pt>
                <c:pt idx="2">
                  <c:v>Gorj</c:v>
                </c:pt>
                <c:pt idx="3">
                  <c:v>Hunedoara</c:v>
                </c:pt>
                <c:pt idx="4">
                  <c:v>Mures</c:v>
                </c:pt>
                <c:pt idx="5">
                  <c:v>Prahova</c:v>
                </c:pt>
              </c:strCache>
            </c:strRef>
          </c:cat>
          <c:val>
            <c:numRef>
              <c:f>Proponents!$D$73:$I$73</c:f>
              <c:numCache>
                <c:formatCode>General</c:formatCode>
                <c:ptCount val="6"/>
                <c:pt idx="0">
                  <c:v>32</c:v>
                </c:pt>
                <c:pt idx="1">
                  <c:v>20</c:v>
                </c:pt>
                <c:pt idx="2">
                  <c:v>227</c:v>
                </c:pt>
                <c:pt idx="3">
                  <c:v>32</c:v>
                </c:pt>
                <c:pt idx="4">
                  <c:v>36</c:v>
                </c:pt>
                <c:pt idx="5">
                  <c:v>1</c:v>
                </c:pt>
              </c:numCache>
            </c:numRef>
          </c:val>
          <c:extLst xmlns:c16r2="http://schemas.microsoft.com/office/drawing/2015/06/chart">
            <c:ext xmlns:c16="http://schemas.microsoft.com/office/drawing/2014/chart" uri="{C3380CC4-5D6E-409C-BE32-E72D297353CC}">
              <c16:uniqueId val="{00000004-29E5-4078-B751-952C42AA91EA}"/>
            </c:ext>
          </c:extLst>
        </c:ser>
        <c:ser>
          <c:idx val="3"/>
          <c:order val="3"/>
          <c:tx>
            <c:strRef>
              <c:f>Proponents!$C$74</c:f>
              <c:strCache>
                <c:ptCount val="1"/>
                <c:pt idx="0">
                  <c:v>Educational institutions</c:v>
                </c:pt>
              </c:strCache>
            </c:strRef>
          </c:tx>
          <c:spPr>
            <a:solidFill>
              <a:schemeClr val="accent4"/>
            </a:solidFill>
            <a:ln>
              <a:noFill/>
            </a:ln>
            <a:effectLst/>
          </c:spPr>
          <c:invertIfNegative val="0"/>
          <c:dLbls>
            <c:dLbl>
              <c:idx val="2"/>
              <c:layout>
                <c:manualLayout>
                  <c:x val="8.6393078757948695E-3"/>
                  <c:y val="-6.0778709266001464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9E5-4078-B751-952C42AA91EA}"/>
                </c:ext>
                <c:ext xmlns:c15="http://schemas.microsoft.com/office/drawing/2012/chart" uri="{CE6537A1-D6FC-4f65-9D91-7224C49458BB}"/>
              </c:extLst>
            </c:dLbl>
            <c:dLbl>
              <c:idx val="5"/>
              <c:layout>
                <c:manualLayout>
                  <c:x val="-2.7357808273350447E-2"/>
                  <c:y val="-5.3181370607751202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29E5-4078-B751-952C42AA91EA}"/>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Proponents!$D$70:$I$70</c:f>
              <c:strCache>
                <c:ptCount val="6"/>
                <c:pt idx="0">
                  <c:v>Dolj</c:v>
                </c:pt>
                <c:pt idx="1">
                  <c:v>Galati</c:v>
                </c:pt>
                <c:pt idx="2">
                  <c:v>Gorj</c:v>
                </c:pt>
                <c:pt idx="3">
                  <c:v>Hunedoara</c:v>
                </c:pt>
                <c:pt idx="4">
                  <c:v>Mures</c:v>
                </c:pt>
                <c:pt idx="5">
                  <c:v>Prahova</c:v>
                </c:pt>
              </c:strCache>
            </c:strRef>
          </c:cat>
          <c:val>
            <c:numRef>
              <c:f>Proponents!$D$74:$I$74</c:f>
              <c:numCache>
                <c:formatCode>General</c:formatCode>
                <c:ptCount val="6"/>
                <c:pt idx="0">
                  <c:v>6</c:v>
                </c:pt>
                <c:pt idx="1">
                  <c:v>14</c:v>
                </c:pt>
                <c:pt idx="2">
                  <c:v>1</c:v>
                </c:pt>
                <c:pt idx="3">
                  <c:v>5</c:v>
                </c:pt>
                <c:pt idx="4">
                  <c:v>4</c:v>
                </c:pt>
                <c:pt idx="5">
                  <c:v>0</c:v>
                </c:pt>
              </c:numCache>
            </c:numRef>
          </c:val>
          <c:extLst xmlns:c16r2="http://schemas.microsoft.com/office/drawing/2015/06/chart">
            <c:ext xmlns:c16="http://schemas.microsoft.com/office/drawing/2014/chart" uri="{C3380CC4-5D6E-409C-BE32-E72D297353CC}">
              <c16:uniqueId val="{00000007-29E5-4078-B751-952C42AA91EA}"/>
            </c:ext>
          </c:extLst>
        </c:ser>
        <c:dLbls>
          <c:showLegendKey val="0"/>
          <c:showVal val="0"/>
          <c:showCatName val="0"/>
          <c:showSerName val="0"/>
          <c:showPercent val="0"/>
          <c:showBubbleSize val="0"/>
        </c:dLbls>
        <c:gapWidth val="150"/>
        <c:overlap val="100"/>
        <c:axId val="641074992"/>
        <c:axId val="641073816"/>
      </c:barChart>
      <c:catAx>
        <c:axId val="6410749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73816"/>
        <c:crosses val="autoZero"/>
        <c:auto val="1"/>
        <c:lblAlgn val="ctr"/>
        <c:lblOffset val="100"/>
        <c:noMultiLvlLbl val="0"/>
      </c:catAx>
      <c:valAx>
        <c:axId val="641073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74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Proponents!$C$81</c:f>
              <c:strCache>
                <c:ptCount val="1"/>
                <c:pt idx="0">
                  <c:v>Public institutions</c:v>
                </c:pt>
              </c:strCache>
            </c:strRef>
          </c:tx>
          <c:spPr>
            <a:solidFill>
              <a:schemeClr val="accent1"/>
            </a:solidFill>
            <a:ln>
              <a:noFill/>
            </a:ln>
            <a:effectLst/>
          </c:spPr>
          <c:invertIfNegative val="0"/>
          <c:dLbls>
            <c:dLbl>
              <c:idx val="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
              <c:layout>
                <c:manualLayout>
                  <c:x val="5.5525596496992298E-2"/>
                  <c:y val="-6.36740275205679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7EF-4664-AC92-9B2525A90D5C}"/>
                </c:ext>
                <c:ext xmlns:c15="http://schemas.microsoft.com/office/drawing/2012/chart" uri="{CE6537A1-D6FC-4f65-9D91-7224C49458BB}"/>
              </c:extLst>
            </c:dLbl>
            <c:dLbl>
              <c:idx val="2"/>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3"/>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5"/>
              <c:layout>
                <c:manualLayout>
                  <c:x val="8.6767895878524948E-3"/>
                  <c:y val="-5.858005241921979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7EF-4664-AC92-9B2525A90D5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Proponents!$D$80:$I$80</c:f>
              <c:strCache>
                <c:ptCount val="6"/>
                <c:pt idx="0">
                  <c:v>Dolj</c:v>
                </c:pt>
                <c:pt idx="1">
                  <c:v>Galati</c:v>
                </c:pt>
                <c:pt idx="2">
                  <c:v>Gorj</c:v>
                </c:pt>
                <c:pt idx="3">
                  <c:v>Hunedoara</c:v>
                </c:pt>
                <c:pt idx="4">
                  <c:v>Mures</c:v>
                </c:pt>
                <c:pt idx="5">
                  <c:v>Prahova</c:v>
                </c:pt>
              </c:strCache>
            </c:strRef>
          </c:cat>
          <c:val>
            <c:numRef>
              <c:f>Proponents!$D$81:$I$81</c:f>
              <c:numCache>
                <c:formatCode>[$€-2]\ #\ ##0</c:formatCode>
                <c:ptCount val="6"/>
                <c:pt idx="0">
                  <c:v>558825383</c:v>
                </c:pt>
                <c:pt idx="1">
                  <c:v>131982560</c:v>
                </c:pt>
                <c:pt idx="2">
                  <c:v>620850000</c:v>
                </c:pt>
                <c:pt idx="3">
                  <c:v>1823501584</c:v>
                </c:pt>
                <c:pt idx="4">
                  <c:v>607592957</c:v>
                </c:pt>
                <c:pt idx="5">
                  <c:v>0</c:v>
                </c:pt>
              </c:numCache>
            </c:numRef>
          </c:val>
          <c:extLst xmlns:c16r2="http://schemas.microsoft.com/office/drawing/2015/06/chart">
            <c:ext xmlns:c16="http://schemas.microsoft.com/office/drawing/2014/chart" uri="{C3380CC4-5D6E-409C-BE32-E72D297353CC}">
              <c16:uniqueId val="{00000002-D7EF-4664-AC92-9B2525A90D5C}"/>
            </c:ext>
          </c:extLst>
        </c:ser>
        <c:ser>
          <c:idx val="1"/>
          <c:order val="1"/>
          <c:tx>
            <c:strRef>
              <c:f>Proponents!$C$82</c:f>
              <c:strCache>
                <c:ptCount val="1"/>
                <c:pt idx="0">
                  <c:v>Large enterprises</c:v>
                </c:pt>
              </c:strCache>
            </c:strRef>
          </c:tx>
          <c:spPr>
            <a:solidFill>
              <a:schemeClr val="accent2"/>
            </a:solidFill>
            <a:ln>
              <a:noFill/>
            </a:ln>
            <a:effectLst/>
          </c:spPr>
          <c:invertIfNegative val="0"/>
          <c:dLbls>
            <c:dLbl>
              <c:idx val="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2"/>
              <c:layout>
                <c:manualLayout>
                  <c:x val="6.7968185104844536E-2"/>
                  <c:y val="-6.36739700208910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7EF-4664-AC92-9B2525A90D5C}"/>
                </c:ext>
                <c:ext xmlns:c15="http://schemas.microsoft.com/office/drawing/2012/chart" uri="{CE6537A1-D6FC-4f65-9D91-7224C49458BB}"/>
              </c:extLst>
            </c:dLbl>
            <c:dLbl>
              <c:idx val="3"/>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4"/>
              <c:layout>
                <c:manualLayout>
                  <c:x val="-5.0614605929139606E-2"/>
                  <c:y val="-7.13148464233980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7EF-4664-AC92-9B2525A90D5C}"/>
                </c:ext>
                <c:ext xmlns:c15="http://schemas.microsoft.com/office/drawing/2012/chart" uri="{CE6537A1-D6FC-4f65-9D91-7224C49458BB}"/>
              </c:extLst>
            </c:dLbl>
            <c:dLbl>
              <c:idx val="5"/>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Proponents!$D$80:$I$80</c:f>
              <c:strCache>
                <c:ptCount val="6"/>
                <c:pt idx="0">
                  <c:v>Dolj</c:v>
                </c:pt>
                <c:pt idx="1">
                  <c:v>Galati</c:v>
                </c:pt>
                <c:pt idx="2">
                  <c:v>Gorj</c:v>
                </c:pt>
                <c:pt idx="3">
                  <c:v>Hunedoara</c:v>
                </c:pt>
                <c:pt idx="4">
                  <c:v>Mures</c:v>
                </c:pt>
                <c:pt idx="5">
                  <c:v>Prahova</c:v>
                </c:pt>
              </c:strCache>
            </c:strRef>
          </c:cat>
          <c:val>
            <c:numRef>
              <c:f>Proponents!$D$82:$I$82</c:f>
              <c:numCache>
                <c:formatCode>[$€-2]\ #\ ##0</c:formatCode>
                <c:ptCount val="6"/>
                <c:pt idx="0">
                  <c:v>494487500</c:v>
                </c:pt>
                <c:pt idx="1">
                  <c:v>1909544630</c:v>
                </c:pt>
                <c:pt idx="2">
                  <c:v>29698906</c:v>
                </c:pt>
                <c:pt idx="3">
                  <c:v>13050000</c:v>
                </c:pt>
                <c:pt idx="4">
                  <c:v>458885549</c:v>
                </c:pt>
                <c:pt idx="5">
                  <c:v>929429104</c:v>
                </c:pt>
              </c:numCache>
            </c:numRef>
          </c:val>
          <c:extLst xmlns:c16r2="http://schemas.microsoft.com/office/drawing/2015/06/chart">
            <c:ext xmlns:c16="http://schemas.microsoft.com/office/drawing/2014/chart" uri="{C3380CC4-5D6E-409C-BE32-E72D297353CC}">
              <c16:uniqueId val="{00000005-D7EF-4664-AC92-9B2525A90D5C}"/>
            </c:ext>
          </c:extLst>
        </c:ser>
        <c:ser>
          <c:idx val="2"/>
          <c:order val="2"/>
          <c:tx>
            <c:strRef>
              <c:f>Proponents!$C$83</c:f>
              <c:strCache>
                <c:ptCount val="1"/>
                <c:pt idx="0">
                  <c:v>Small enterprises</c:v>
                </c:pt>
              </c:strCache>
            </c:strRef>
          </c:tx>
          <c:spPr>
            <a:solidFill>
              <a:schemeClr val="accent3"/>
            </a:solidFill>
            <a:ln>
              <a:noFill/>
            </a:ln>
            <a:effectLst/>
          </c:spPr>
          <c:invertIfNegative val="0"/>
          <c:dLbls>
            <c:dLbl>
              <c:idx val="0"/>
              <c:layout>
                <c:manualLayout>
                  <c:x val="4.6276211135213303E-2"/>
                  <c:y val="-5.603309361838424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7EF-4664-AC92-9B2525A90D5C}"/>
                </c:ext>
                <c:ext xmlns:c15="http://schemas.microsoft.com/office/drawing/2012/chart" uri="{CE6537A1-D6FC-4f65-9D91-7224C49458BB}"/>
              </c:extLst>
            </c:dLbl>
            <c:dLbl>
              <c:idx val="1"/>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2"/>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3"/>
              <c:layout>
                <c:manualLayout>
                  <c:x val="2.3138105567606652E-2"/>
                  <c:y val="-7.38618052242336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7EF-4664-AC92-9B2525A90D5C}"/>
                </c:ext>
                <c:ext xmlns:c15="http://schemas.microsoft.com/office/drawing/2012/chart" uri="{CE6537A1-D6FC-4f65-9D91-7224C49458BB}"/>
              </c:extLst>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5"/>
              <c:layout>
                <c:manualLayout>
                  <c:x val="-1.4461315979754157E-2"/>
                  <c:y val="-5.603309361838414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7EF-4664-AC92-9B2525A90D5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Proponents!$D$80:$I$80</c:f>
              <c:strCache>
                <c:ptCount val="6"/>
                <c:pt idx="0">
                  <c:v>Dolj</c:v>
                </c:pt>
                <c:pt idx="1">
                  <c:v>Galati</c:v>
                </c:pt>
                <c:pt idx="2">
                  <c:v>Gorj</c:v>
                </c:pt>
                <c:pt idx="3">
                  <c:v>Hunedoara</c:v>
                </c:pt>
                <c:pt idx="4">
                  <c:v>Mures</c:v>
                </c:pt>
                <c:pt idx="5">
                  <c:v>Prahova</c:v>
                </c:pt>
              </c:strCache>
            </c:strRef>
          </c:cat>
          <c:val>
            <c:numRef>
              <c:f>Proponents!$D$83:$I$83</c:f>
              <c:numCache>
                <c:formatCode>[$€-2]\ #\ ##0</c:formatCode>
                <c:ptCount val="6"/>
                <c:pt idx="0">
                  <c:v>50678186</c:v>
                </c:pt>
                <c:pt idx="1">
                  <c:v>1138037250</c:v>
                </c:pt>
                <c:pt idx="2">
                  <c:v>413180450</c:v>
                </c:pt>
                <c:pt idx="3">
                  <c:v>172759738</c:v>
                </c:pt>
                <c:pt idx="4">
                  <c:v>358170121</c:v>
                </c:pt>
                <c:pt idx="5">
                  <c:v>115167300</c:v>
                </c:pt>
              </c:numCache>
            </c:numRef>
          </c:val>
          <c:extLst xmlns:c16r2="http://schemas.microsoft.com/office/drawing/2015/06/chart">
            <c:ext xmlns:c16="http://schemas.microsoft.com/office/drawing/2014/chart" uri="{C3380CC4-5D6E-409C-BE32-E72D297353CC}">
              <c16:uniqueId val="{00000009-D7EF-4664-AC92-9B2525A90D5C}"/>
            </c:ext>
          </c:extLst>
        </c:ser>
        <c:ser>
          <c:idx val="3"/>
          <c:order val="3"/>
          <c:tx>
            <c:strRef>
              <c:f>Proponents!$C$84</c:f>
              <c:strCache>
                <c:ptCount val="1"/>
                <c:pt idx="0">
                  <c:v>Educational institutions</c:v>
                </c:pt>
              </c:strCache>
            </c:strRef>
          </c:tx>
          <c:spPr>
            <a:solidFill>
              <a:schemeClr val="accent4"/>
            </a:solidFill>
            <a:ln>
              <a:noFill/>
            </a:ln>
            <a:effectLst/>
          </c:spPr>
          <c:invertIfNegative val="0"/>
          <c:dLbls>
            <c:dLbl>
              <c:idx val="0"/>
              <c:layout>
                <c:manualLayout>
                  <c:x val="0.11279826464208242"/>
                  <c:y val="-5.603309361838424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7EF-4664-AC92-9B2525A90D5C}"/>
                </c:ext>
                <c:ext xmlns:c15="http://schemas.microsoft.com/office/drawing/2012/chart" uri="{CE6537A1-D6FC-4f65-9D91-7224C49458BB}"/>
              </c:extLst>
            </c:dLbl>
            <c:dLbl>
              <c:idx val="1"/>
              <c:layout>
                <c:manualLayout>
                  <c:x val="1.3015184381778741E-2"/>
                  <c:y val="-6.622092882172672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D7EF-4664-AC92-9B2525A90D5C}"/>
                </c:ext>
                <c:ext xmlns:c15="http://schemas.microsoft.com/office/drawing/2012/chart" uri="{CE6537A1-D6FC-4f65-9D91-7224C49458BB}"/>
              </c:extLst>
            </c:dLbl>
            <c:dLbl>
              <c:idx val="2"/>
              <c:layout>
                <c:manualLayout>
                  <c:x val="8.8214027476500367E-2"/>
                  <c:y val="-6.112701122005543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7EF-4664-AC92-9B2525A90D5C}"/>
                </c:ext>
                <c:ext xmlns:c15="http://schemas.microsoft.com/office/drawing/2012/chart" uri="{CE6537A1-D6FC-4f65-9D91-7224C49458BB}"/>
              </c:extLst>
            </c:dLbl>
            <c:dLbl>
              <c:idx val="3"/>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4"/>
              <c:layout>
                <c:manualLayout>
                  <c:x val="6.7968185104844536E-2"/>
                  <c:y val="-2.801654680919212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7EF-4664-AC92-9B2525A90D5C}"/>
                </c:ext>
                <c:ext xmlns:c15="http://schemas.microsoft.com/office/drawing/2012/chart" uri="{CE6537A1-D6FC-4f65-9D91-7224C49458BB}"/>
              </c:extLst>
            </c:dLbl>
            <c:dLbl>
              <c:idx val="5"/>
              <c:layout>
                <c:manualLayout>
                  <c:x val="6.2183658712942881E-2"/>
                  <c:y val="-5.348613481754850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7EF-4664-AC92-9B2525A90D5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Proponents!$D$80:$I$80</c:f>
              <c:strCache>
                <c:ptCount val="6"/>
                <c:pt idx="0">
                  <c:v>Dolj</c:v>
                </c:pt>
                <c:pt idx="1">
                  <c:v>Galati</c:v>
                </c:pt>
                <c:pt idx="2">
                  <c:v>Gorj</c:v>
                </c:pt>
                <c:pt idx="3">
                  <c:v>Hunedoara</c:v>
                </c:pt>
                <c:pt idx="4">
                  <c:v>Mures</c:v>
                </c:pt>
                <c:pt idx="5">
                  <c:v>Prahova</c:v>
                </c:pt>
              </c:strCache>
            </c:strRef>
          </c:cat>
          <c:val>
            <c:numRef>
              <c:f>Proponents!$D$84:$I$84</c:f>
              <c:numCache>
                <c:formatCode>[$€-2]\ #\ ##0</c:formatCode>
                <c:ptCount val="6"/>
                <c:pt idx="0">
                  <c:v>139517700</c:v>
                </c:pt>
                <c:pt idx="1">
                  <c:v>74500000</c:v>
                </c:pt>
                <c:pt idx="2">
                  <c:v>300000</c:v>
                </c:pt>
                <c:pt idx="3">
                  <c:v>420390741</c:v>
                </c:pt>
                <c:pt idx="4">
                  <c:v>23050757</c:v>
                </c:pt>
                <c:pt idx="5">
                  <c:v>0</c:v>
                </c:pt>
              </c:numCache>
            </c:numRef>
          </c:val>
          <c:extLst xmlns:c16r2="http://schemas.microsoft.com/office/drawing/2015/06/chart">
            <c:ext xmlns:c16="http://schemas.microsoft.com/office/drawing/2014/chart" uri="{C3380CC4-5D6E-409C-BE32-E72D297353CC}">
              <c16:uniqueId val="{0000000F-D7EF-4664-AC92-9B2525A90D5C}"/>
            </c:ext>
          </c:extLst>
        </c:ser>
        <c:dLbls>
          <c:showLegendKey val="0"/>
          <c:showVal val="0"/>
          <c:showCatName val="0"/>
          <c:showSerName val="0"/>
          <c:showPercent val="0"/>
          <c:showBubbleSize val="0"/>
        </c:dLbls>
        <c:gapWidth val="150"/>
        <c:overlap val="100"/>
        <c:axId val="641074600"/>
        <c:axId val="641080872"/>
      </c:barChart>
      <c:catAx>
        <c:axId val="641074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80872"/>
        <c:crosses val="autoZero"/>
        <c:auto val="1"/>
        <c:lblAlgn val="ctr"/>
        <c:lblOffset val="100"/>
        <c:noMultiLvlLbl val="0"/>
      </c:catAx>
      <c:valAx>
        <c:axId val="641080872"/>
        <c:scaling>
          <c:orientation val="minMax"/>
        </c:scaling>
        <c:delete val="0"/>
        <c:axPos val="b"/>
        <c:majorGridlines>
          <c:spPr>
            <a:ln w="9525" cap="flat" cmpd="sng" algn="ctr">
              <a:solidFill>
                <a:schemeClr val="tx1">
                  <a:lumMod val="15000"/>
                  <a:lumOff val="85000"/>
                </a:schemeClr>
              </a:solidFill>
              <a:round/>
            </a:ln>
            <a:effectLst/>
          </c:spPr>
        </c:majorGridlines>
        <c:numFmt formatCode="[$€-2]\ #\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74600"/>
        <c:crosses val="autoZero"/>
        <c:crossBetween val="between"/>
        <c:dispUnits>
          <c:builtInUnit val="millions"/>
          <c:dispUnitsLbl>
            <c:layout>
              <c:manualLayout>
                <c:xMode val="edge"/>
                <c:yMode val="edge"/>
                <c:x val="0.85824481415155918"/>
                <c:y val="0.81809650159457514"/>
              </c:manualLayout>
            </c:layout>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de-DE"/>
                    <a:t>Million</a:t>
                  </a:r>
                </a:p>
              </c:rich>
            </c:tx>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8302-4570-ADC6-17271C43C1E6}"/>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8302-4570-ADC6-17271C43C1E6}"/>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8302-4570-ADC6-17271C43C1E6}"/>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8302-4570-ADC6-17271C43C1E6}"/>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8302-4570-ADC6-17271C43C1E6}"/>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8302-4570-ADC6-17271C43C1E6}"/>
              </c:ext>
            </c:extLst>
          </c:dPt>
          <c:dLbls>
            <c:dLbl>
              <c:idx val="0"/>
              <c:layout>
                <c:manualLayout>
                  <c:x val="5.2777777777777778E-2"/>
                  <c:y val="-1.3888888888888888E-2"/>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8302-4570-ADC6-17271C43C1E6}"/>
                </c:ext>
                <c:ext xmlns:c15="http://schemas.microsoft.com/office/drawing/2012/chart" uri="{CE6537A1-D6FC-4f65-9D91-7224C49458BB}"/>
              </c:extLst>
            </c:dLbl>
            <c:dLbl>
              <c:idx val="1"/>
              <c:layout>
                <c:manualLayout>
                  <c:x val="7.4999999999999997E-2"/>
                  <c:y val="0"/>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9F41F378-A0A0-45F2-8B74-D85C8EC2151D}" type="VALUE">
                      <a:rPr lang="en-US"/>
                      <a:pPr>
                        <a:defRPr b="0"/>
                      </a:pPr>
                      <a:t>[VALUE]</a:t>
                    </a:fld>
                    <a:endParaRPr lang="en-US"/>
                  </a:p>
                  <a:p>
                    <a:pPr>
                      <a:defRPr b="0"/>
                    </a:pPr>
                    <a:endParaRPr lang="en-US" baseline="0"/>
                  </a:p>
                  <a:p>
                    <a:pPr>
                      <a:defRPr b="0"/>
                    </a:pPr>
                    <a:fld id="{E1C8316B-90C7-412F-B60B-18F65475E888}" type="PERCENTAGE">
                      <a:rPr lang="en-US"/>
                      <a:pPr>
                        <a:defRPr b="0"/>
                      </a:pPr>
                      <a:t>[PERCENTAGE]</a:t>
                    </a:fld>
                    <a:endParaRPr lang="en-US"/>
                  </a:p>
                </c:rich>
              </c:tx>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8302-4570-ADC6-17271C43C1E6}"/>
                </c:ext>
                <c:ext xmlns:c15="http://schemas.microsoft.com/office/drawing/2012/chart" uri="{CE6537A1-D6FC-4f65-9D91-7224C49458BB}">
                  <c15:dlblFieldTable/>
                  <c15:showDataLabelsRange val="0"/>
                </c:ext>
              </c:extLst>
            </c:dLbl>
            <c:dLbl>
              <c:idx val="2"/>
              <c:layout>
                <c:manualLayout>
                  <c:x val="5.5555555555554534E-3"/>
                  <c:y val="-0.24537037037037046"/>
                </c:manualLayout>
              </c:layout>
              <c:tx>
                <c:rich>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fld id="{B243B1EF-CB55-46DA-8D4F-F01A1E600615}" type="VALUE">
                      <a:rPr lang="en-US" b="1">
                        <a:solidFill>
                          <a:schemeClr val="bg1"/>
                        </a:solidFill>
                      </a:rPr>
                      <a:pPr>
                        <a:defRPr>
                          <a:solidFill>
                            <a:schemeClr val="bg1"/>
                          </a:solidFill>
                        </a:defRPr>
                      </a:pPr>
                      <a:t>[VALUE]</a:t>
                    </a:fld>
                    <a:endParaRPr lang="en-US" b="1">
                      <a:solidFill>
                        <a:schemeClr val="bg1"/>
                      </a:solidFill>
                    </a:endParaRPr>
                  </a:p>
                  <a:p>
                    <a:pPr>
                      <a:defRPr>
                        <a:solidFill>
                          <a:schemeClr val="bg1"/>
                        </a:solidFill>
                      </a:defRPr>
                    </a:pPr>
                    <a:endParaRPr lang="en-US" b="1" baseline="0">
                      <a:solidFill>
                        <a:schemeClr val="bg1"/>
                      </a:solidFill>
                    </a:endParaRPr>
                  </a:p>
                  <a:p>
                    <a:pPr>
                      <a:defRPr>
                        <a:solidFill>
                          <a:schemeClr val="bg1"/>
                        </a:solidFill>
                      </a:defRPr>
                    </a:pPr>
                    <a:fld id="{A1DB98A4-C0D3-4C22-814C-58F05A5063F5}" type="PERCENTAGE">
                      <a:rPr lang="en-US" b="1">
                        <a:solidFill>
                          <a:schemeClr val="bg1"/>
                        </a:solidFill>
                      </a:rPr>
                      <a:pPr>
                        <a:defRPr>
                          <a:solidFill>
                            <a:schemeClr val="bg1"/>
                          </a:solidFill>
                        </a:defRPr>
                      </a:pPr>
                      <a:t>[PERCENTAGE]</a:t>
                    </a:fld>
                    <a:endParaRPr lang="en-US"/>
                  </a:p>
                </c:rich>
              </c:tx>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8302-4570-ADC6-17271C43C1E6}"/>
                </c:ext>
                <c:ext xmlns:c15="http://schemas.microsoft.com/office/drawing/2012/chart" uri="{CE6537A1-D6FC-4f65-9D91-7224C49458BB}">
                  <c15:dlblFieldTable/>
                  <c15:showDataLabelsRange val="0"/>
                </c:ext>
              </c:extLst>
            </c:dLbl>
            <c:dLbl>
              <c:idx val="3"/>
              <c:layout>
                <c:manualLayout>
                  <c:x val="-0.11111111111111113"/>
                  <c:y val="4.1666666666666644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A784A57B-8850-40AF-94AE-433DC826C234}" type="VALUE">
                      <a:rPr lang="en-US" b="0"/>
                      <a:pPr>
                        <a:defRPr b="0"/>
                      </a:pPr>
                      <a:t>[VALUE]</a:t>
                    </a:fld>
                    <a:endParaRPr lang="en-US" b="0"/>
                  </a:p>
                  <a:p>
                    <a:pPr>
                      <a:defRPr b="0"/>
                    </a:pPr>
                    <a:endParaRPr lang="en-US" b="0" baseline="0"/>
                  </a:p>
                  <a:p>
                    <a:pPr>
                      <a:defRPr b="0"/>
                    </a:pPr>
                    <a:fld id="{9002FAC8-77A8-4AAB-A616-BF0D5747DA34}" type="PERCENTAGE">
                      <a:rPr lang="en-US" b="0"/>
                      <a:pPr>
                        <a:defRPr b="0"/>
                      </a:pPr>
                      <a:t>[PERCENTAGE]</a:t>
                    </a:fld>
                    <a:endParaRPr lang="en-US"/>
                  </a:p>
                </c:rich>
              </c:tx>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7-8302-4570-ADC6-17271C43C1E6}"/>
                </c:ext>
                <c:ext xmlns:c15="http://schemas.microsoft.com/office/drawing/2012/chart" uri="{CE6537A1-D6FC-4f65-9D91-7224C49458BB}">
                  <c15:dlblFieldTable/>
                  <c15:showDataLabelsRange val="0"/>
                </c:ext>
              </c:extLst>
            </c:dLbl>
            <c:dLbl>
              <c:idx val="4"/>
              <c:layout>
                <c:manualLayout>
                  <c:x val="-0.1361111111111111"/>
                  <c:y val="1.3888888888888888E-2"/>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D2FF47DF-BE42-4C1A-A533-2AF507A54960}" type="VALUE">
                      <a:rPr lang="en-US" b="0"/>
                      <a:pPr>
                        <a:defRPr b="0"/>
                      </a:pPr>
                      <a:t>[VALUE]</a:t>
                    </a:fld>
                    <a:endParaRPr lang="en-US" b="0"/>
                  </a:p>
                  <a:p>
                    <a:pPr>
                      <a:defRPr b="0"/>
                    </a:pPr>
                    <a:endParaRPr lang="en-US" b="0" baseline="0"/>
                  </a:p>
                  <a:p>
                    <a:pPr>
                      <a:defRPr b="0"/>
                    </a:pPr>
                    <a:fld id="{1FA02AEA-FB59-4CEF-8CF8-9CD42BF0B767}" type="PERCENTAGE">
                      <a:rPr lang="en-US" b="0"/>
                      <a:pPr>
                        <a:defRPr b="0"/>
                      </a:pPr>
                      <a:t>[PERCENTAGE]</a:t>
                    </a:fld>
                    <a:endParaRPr lang="en-US"/>
                  </a:p>
                </c:rich>
              </c:tx>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9-8302-4570-ADC6-17271C43C1E6}"/>
                </c:ext>
                <c:ext xmlns:c15="http://schemas.microsoft.com/office/drawing/2012/chart" uri="{CE6537A1-D6FC-4f65-9D91-7224C49458BB}">
                  <c15:dlblFieldTable/>
                  <c15:showDataLabelsRange val="0"/>
                </c:ext>
              </c:extLst>
            </c:dLbl>
            <c:dLbl>
              <c:idx val="5"/>
              <c:layout>
                <c:manualLayout>
                  <c:x val="-8.6111111111111166E-2"/>
                  <c:y val="-4.629629629629632E-3"/>
                </c:manualLayout>
              </c:layout>
              <c:tx>
                <c:rich>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FE3E4975-0292-4811-9384-23F79067B136}" type="VALUE">
                      <a:rPr lang="en-US" b="0"/>
                      <a:pPr>
                        <a:defRPr b="0"/>
                      </a:pPr>
                      <a:t>[VALUE]</a:t>
                    </a:fld>
                    <a:endParaRPr lang="en-US" b="0" baseline="0"/>
                  </a:p>
                  <a:p>
                    <a:pPr>
                      <a:defRPr b="0"/>
                    </a:pPr>
                    <a:fld id="{19E8B28F-7567-458E-B622-A6992C39C6D1}" type="PERCENTAGE">
                      <a:rPr lang="en-US" b="0"/>
                      <a:pPr>
                        <a:defRPr b="0"/>
                      </a:pPr>
                      <a:t>[PERCENTAGE]</a:t>
                    </a:fld>
                    <a:endParaRPr lang="en-US" b="0"/>
                  </a:p>
                  <a:p>
                    <a:pPr>
                      <a:defRPr b="0"/>
                    </a:pPr>
                    <a:endParaRPr lang="en-US"/>
                  </a:p>
                </c:rich>
              </c:tx>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B-8302-4570-ADC6-17271C43C1E6}"/>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Diagrams!$B$113:$B$118</c:f>
              <c:strCache>
                <c:ptCount val="6"/>
                <c:pt idx="0">
                  <c:v>Dolj</c:v>
                </c:pt>
                <c:pt idx="1">
                  <c:v>Galati</c:v>
                </c:pt>
                <c:pt idx="2">
                  <c:v>Gorj</c:v>
                </c:pt>
                <c:pt idx="3">
                  <c:v>Hunedoara</c:v>
                </c:pt>
                <c:pt idx="4">
                  <c:v>Mures</c:v>
                </c:pt>
                <c:pt idx="5">
                  <c:v>Prahova</c:v>
                </c:pt>
              </c:strCache>
            </c:strRef>
          </c:cat>
          <c:val>
            <c:numRef>
              <c:f>Diagrams!$E$113:$E$118</c:f>
              <c:numCache>
                <c:formatCode>General</c:formatCode>
                <c:ptCount val="6"/>
                <c:pt idx="0">
                  <c:v>32</c:v>
                </c:pt>
                <c:pt idx="1">
                  <c:v>20</c:v>
                </c:pt>
                <c:pt idx="2">
                  <c:v>227</c:v>
                </c:pt>
                <c:pt idx="3">
                  <c:v>32</c:v>
                </c:pt>
                <c:pt idx="4">
                  <c:v>36</c:v>
                </c:pt>
                <c:pt idx="5">
                  <c:v>1</c:v>
                </c:pt>
              </c:numCache>
            </c:numRef>
          </c:val>
          <c:extLst xmlns:c16r2="http://schemas.microsoft.com/office/drawing/2015/06/chart">
            <c:ext xmlns:c16="http://schemas.microsoft.com/office/drawing/2014/chart" uri="{C3380CC4-5D6E-409C-BE32-E72D297353CC}">
              <c16:uniqueId val="{0000000C-8302-4570-ADC6-17271C43C1E6}"/>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barChart>
        <c:barDir val="col"/>
        <c:grouping val="clustered"/>
        <c:varyColors val="0"/>
        <c:ser>
          <c:idx val="0"/>
          <c:order val="0"/>
          <c:tx>
            <c:strRef>
              <c:f>Sheet1!$B$1</c:f>
              <c:strCache>
                <c:ptCount val="1"/>
                <c:pt idx="0">
                  <c:v>Benchmark value (allowances/t) for 2021-2025</c:v>
                </c:pt>
              </c:strCache>
            </c:strRef>
          </c:tx>
          <c:spPr>
            <a:solidFill>
              <a:schemeClr val="accent1"/>
            </a:solidFill>
            <a:ln>
              <a:noFill/>
            </a:ln>
            <a:effectLst/>
          </c:spPr>
          <c:invertIfNegative val="0"/>
          <c:cat>
            <c:strRef>
              <c:f>Sheet1!$A$2:$A$52</c:f>
              <c:strCache>
                <c:ptCount val="51"/>
                <c:pt idx="0">
                  <c:v>Hydrogen</c:v>
                </c:pt>
                <c:pt idx="1">
                  <c:v>Adipic acid</c:v>
                </c:pt>
                <c:pt idx="2">
                  <c:v>Ammonia</c:v>
                </c:pt>
                <c:pt idx="3">
                  <c:v>Carbon black</c:v>
                </c:pt>
                <c:pt idx="4">
                  <c:v>Aluminium</c:v>
                </c:pt>
                <c:pt idx="5">
                  <c:v>Sintered dolime</c:v>
                </c:pt>
                <c:pt idx="6">
                  <c:v>Hot metal</c:v>
                </c:pt>
                <c:pt idx="7">
                  <c:v>White cement clinker</c:v>
                </c:pt>
                <c:pt idx="8">
                  <c:v>Dolime</c:v>
                </c:pt>
                <c:pt idx="9">
                  <c:v>Lime</c:v>
                </c:pt>
                <c:pt idx="10">
                  <c:v>Grey cement clinker</c:v>
                </c:pt>
                <c:pt idx="11">
                  <c:v>Steam cracking</c:v>
                </c:pt>
                <c:pt idx="12">
                  <c:v>Soda ash</c:v>
                </c:pt>
                <c:pt idx="13">
                  <c:v>Mineral wool</c:v>
                </c:pt>
                <c:pt idx="14">
                  <c:v>Styrene</c:v>
                </c:pt>
                <c:pt idx="15">
                  <c:v>Float glass</c:v>
                </c:pt>
                <c:pt idx="16">
                  <c:v>Ethylene oxide/ethylene glycols</c:v>
                </c:pt>
                <c:pt idx="17">
                  <c:v>Pre-bake anode</c:v>
                </c:pt>
                <c:pt idx="18">
                  <c:v>Continuous filament glass fibre products</c:v>
                </c:pt>
                <c:pt idx="19">
                  <c:v>Bottles and jars of colourless glass</c:v>
                </c:pt>
                <c:pt idx="20">
                  <c:v>Iron casting</c:v>
                </c:pt>
                <c:pt idx="21">
                  <c:v>EAF high alloy steel</c:v>
                </c:pt>
                <c:pt idx="22">
                  <c:v>Tissue</c:v>
                </c:pt>
                <c:pt idx="23">
                  <c:v>Uncoated fine paper</c:v>
                </c:pt>
                <c:pt idx="24">
                  <c:v>Coated fine paper</c:v>
                </c:pt>
                <c:pt idx="25">
                  <c:v>Bottles and jars of coloured glass</c:v>
                </c:pt>
                <c:pt idx="26">
                  <c:v>Nitric acid</c:v>
                </c:pt>
                <c:pt idx="27">
                  <c:v>Newsprint</c:v>
                </c:pt>
                <c:pt idx="28">
                  <c:v>Coke</c:v>
                </c:pt>
                <c:pt idx="29">
                  <c:v>EAF carbon steel</c:v>
                </c:pt>
                <c:pt idx="30">
                  <c:v>Coated carton board</c:v>
                </c:pt>
                <c:pt idx="31">
                  <c:v>Phenol/acetone</c:v>
                </c:pt>
                <c:pt idx="32">
                  <c:v>Testliner and fluting</c:v>
                </c:pt>
                <c:pt idx="33">
                  <c:v>Synthesis gas (syngas)</c:v>
                </c:pt>
                <c:pt idx="34">
                  <c:v>E-PVC</c:v>
                </c:pt>
                <c:pt idx="35">
                  <c:v>Uncoated carton board</c:v>
                </c:pt>
                <c:pt idx="36">
                  <c:v>Sintered ore</c:v>
                </c:pt>
                <c:pt idx="37">
                  <c:v>Vinyl chloride monomer (VCM)</c:v>
                </c:pt>
                <c:pt idx="38">
                  <c:v>Pavers</c:v>
                </c:pt>
                <c:pt idx="39">
                  <c:v>Roof tiles</c:v>
                </c:pt>
                <c:pt idx="40">
                  <c:v>Facing bricks</c:v>
                </c:pt>
                <c:pt idx="41">
                  <c:v>Short fibre kraft pulp</c:v>
                </c:pt>
                <c:pt idx="42">
                  <c:v>S-PVC</c:v>
                </c:pt>
                <c:pt idx="43">
                  <c:v>Spray-dried powder</c:v>
                </c:pt>
                <c:pt idx="44">
                  <c:v>Long fibre kraft pulp</c:v>
                </c:pt>
                <c:pt idx="45">
                  <c:v>Plaster</c:v>
                </c:pt>
                <c:pt idx="46">
                  <c:v>Recovered paper pulp</c:v>
                </c:pt>
                <c:pt idx="47">
                  <c:v>Refinery products</c:v>
                </c:pt>
                <c:pt idx="48">
                  <c:v>Aromatics</c:v>
                </c:pt>
                <c:pt idx="49">
                  <c:v>Sulphite pulp, thermo-mechanical and mechanical pulp</c:v>
                </c:pt>
                <c:pt idx="50">
                  <c:v>Dried secondary gypsum</c:v>
                </c:pt>
              </c:strCache>
            </c:strRef>
          </c:cat>
          <c:val>
            <c:numRef>
              <c:f>Sheet1!$B$2:$B$52</c:f>
              <c:numCache>
                <c:formatCode>0.000</c:formatCode>
                <c:ptCount val="51"/>
                <c:pt idx="0">
                  <c:v>6.73</c:v>
                </c:pt>
                <c:pt idx="1">
                  <c:v>2.12</c:v>
                </c:pt>
                <c:pt idx="2">
                  <c:v>1.57</c:v>
                </c:pt>
                <c:pt idx="3">
                  <c:v>1.4850000000000001</c:v>
                </c:pt>
                <c:pt idx="4">
                  <c:v>1.4430000000000001</c:v>
                </c:pt>
                <c:pt idx="5">
                  <c:v>1.4059999999999999</c:v>
                </c:pt>
                <c:pt idx="6">
                  <c:v>1.288</c:v>
                </c:pt>
                <c:pt idx="7">
                  <c:v>0.95699999999999996</c:v>
                </c:pt>
                <c:pt idx="8">
                  <c:v>0.81499999999999995</c:v>
                </c:pt>
                <c:pt idx="9">
                  <c:v>0.72499999999999998</c:v>
                </c:pt>
                <c:pt idx="10">
                  <c:v>0.69199999999999995</c:v>
                </c:pt>
                <c:pt idx="11">
                  <c:v>0.68100000000000005</c:v>
                </c:pt>
                <c:pt idx="12">
                  <c:v>0.64100000000000001</c:v>
                </c:pt>
                <c:pt idx="13">
                  <c:v>0.53100000000000003</c:v>
                </c:pt>
                <c:pt idx="14">
                  <c:v>0.40100000000000002</c:v>
                </c:pt>
                <c:pt idx="15">
                  <c:v>0.39900000000000002</c:v>
                </c:pt>
                <c:pt idx="16">
                  <c:v>0.38900000000000001</c:v>
                </c:pt>
                <c:pt idx="17">
                  <c:v>0.312</c:v>
                </c:pt>
                <c:pt idx="18">
                  <c:v>0.309</c:v>
                </c:pt>
                <c:pt idx="19">
                  <c:v>0.28999999999999998</c:v>
                </c:pt>
                <c:pt idx="20">
                  <c:v>0.27500000000000002</c:v>
                </c:pt>
                <c:pt idx="21">
                  <c:v>0.26800000000000002</c:v>
                </c:pt>
                <c:pt idx="22">
                  <c:v>0.254</c:v>
                </c:pt>
                <c:pt idx="23">
                  <c:v>0.24199999999999999</c:v>
                </c:pt>
                <c:pt idx="24">
                  <c:v>0.24199999999999999</c:v>
                </c:pt>
                <c:pt idx="25">
                  <c:v>0.23699999999999999</c:v>
                </c:pt>
                <c:pt idx="26">
                  <c:v>0.23</c:v>
                </c:pt>
                <c:pt idx="27">
                  <c:v>0.22600000000000001</c:v>
                </c:pt>
                <c:pt idx="28">
                  <c:v>0.217</c:v>
                </c:pt>
                <c:pt idx="29">
                  <c:v>0.215</c:v>
                </c:pt>
                <c:pt idx="30">
                  <c:v>0.20699999999999999</c:v>
                </c:pt>
                <c:pt idx="31">
                  <c:v>0.20200000000000001</c:v>
                </c:pt>
                <c:pt idx="32">
                  <c:v>0.188</c:v>
                </c:pt>
                <c:pt idx="33">
                  <c:v>0.184</c:v>
                </c:pt>
                <c:pt idx="34">
                  <c:v>0.18099999999999999</c:v>
                </c:pt>
                <c:pt idx="35">
                  <c:v>0.18</c:v>
                </c:pt>
                <c:pt idx="36">
                  <c:v>0.157</c:v>
                </c:pt>
                <c:pt idx="37">
                  <c:v>0.155</c:v>
                </c:pt>
                <c:pt idx="38">
                  <c:v>0.14599999999999999</c:v>
                </c:pt>
                <c:pt idx="39">
                  <c:v>0.121</c:v>
                </c:pt>
                <c:pt idx="40">
                  <c:v>0.106</c:v>
                </c:pt>
                <c:pt idx="41">
                  <c:v>9.0999999999999998E-2</c:v>
                </c:pt>
                <c:pt idx="42">
                  <c:v>6.6000000000000003E-2</c:v>
                </c:pt>
                <c:pt idx="43">
                  <c:v>5.8000000000000003E-2</c:v>
                </c:pt>
                <c:pt idx="44">
                  <c:v>4.5999999999999999E-2</c:v>
                </c:pt>
                <c:pt idx="45">
                  <c:v>0.04</c:v>
                </c:pt>
                <c:pt idx="46">
                  <c:v>0.03</c:v>
                </c:pt>
                <c:pt idx="47">
                  <c:v>2.24E-2</c:v>
                </c:pt>
                <c:pt idx="48">
                  <c:v>2.24E-2</c:v>
                </c:pt>
                <c:pt idx="49">
                  <c:v>1.4999999999999999E-2</c:v>
                </c:pt>
                <c:pt idx="50">
                  <c:v>1.2999999999999999E-2</c:v>
                </c:pt>
              </c:numCache>
            </c:numRef>
          </c:val>
          <c:extLst xmlns:c16r2="http://schemas.microsoft.com/office/drawing/2015/06/chart">
            <c:ext xmlns:c16="http://schemas.microsoft.com/office/drawing/2014/chart" uri="{C3380CC4-5D6E-409C-BE32-E72D297353CC}">
              <c16:uniqueId val="{00000000-D699-45BB-8E64-5A0B9B5489DC}"/>
            </c:ext>
          </c:extLst>
        </c:ser>
        <c:dLbls>
          <c:showLegendKey val="0"/>
          <c:showVal val="0"/>
          <c:showCatName val="0"/>
          <c:showSerName val="0"/>
          <c:showPercent val="0"/>
          <c:showBubbleSize val="0"/>
        </c:dLbls>
        <c:gapWidth val="219"/>
        <c:overlap val="-27"/>
        <c:axId val="328937872"/>
        <c:axId val="328936696"/>
      </c:barChart>
      <c:catAx>
        <c:axId val="328937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328936696"/>
        <c:crosses val="autoZero"/>
        <c:auto val="1"/>
        <c:lblAlgn val="ctr"/>
        <c:lblOffset val="100"/>
        <c:noMultiLvlLbl val="0"/>
      </c:catAx>
      <c:valAx>
        <c:axId val="3289366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CO2 Allowance/t</a:t>
                </a:r>
                <a:endParaRPr lang="ro-RO"/>
              </a:p>
            </c:rich>
          </c:tx>
          <c:layout>
            <c:manualLayout>
              <c:xMode val="edge"/>
              <c:yMode val="edge"/>
              <c:x val="1.2212994626282364E-2"/>
              <c:y val="0.1944073207065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328937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5B5A-460E-9383-A602315D474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5B5A-460E-9383-A602315D474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5B5A-460E-9383-A602315D474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5B5A-460E-9383-A602315D4749}"/>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5B5A-460E-9383-A602315D4749}"/>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5B5A-460E-9383-A602315D4749}"/>
              </c:ext>
            </c:extLst>
          </c:dPt>
          <c:dLbls>
            <c:dLbl>
              <c:idx val="0"/>
              <c:layout>
                <c:manualLayout>
                  <c:x val="0.10555555555555556"/>
                  <c:y val="-5.3047226700083302E-18"/>
                </c:manualLayout>
              </c:layout>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1-5B5A-460E-9383-A602315D4749}"/>
                </c:ext>
                <c:ext xmlns:c15="http://schemas.microsoft.com/office/drawing/2012/chart" uri="{CE6537A1-D6FC-4f65-9D91-7224C49458BB}"/>
              </c:extLst>
            </c:dLbl>
            <c:dLbl>
              <c:idx val="1"/>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5B5A-460E-9383-A602315D4749}"/>
                </c:ext>
                <c:ext xmlns:c15="http://schemas.microsoft.com/office/drawing/2012/chart" uri="{CE6537A1-D6FC-4f65-9D91-7224C49458BB}"/>
              </c:extLst>
            </c:dLbl>
            <c:dLbl>
              <c:idx val="2"/>
              <c:layout>
                <c:manualLayout>
                  <c:x val="0"/>
                  <c:y val="4.1666666666666581E-2"/>
                </c:manualLayout>
              </c:layout>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5-5B5A-460E-9383-A602315D4749}"/>
                </c:ext>
                <c:ext xmlns:c15="http://schemas.microsoft.com/office/drawing/2012/chart" uri="{CE6537A1-D6FC-4f65-9D91-7224C49458BB}"/>
              </c:extLst>
            </c:dLbl>
            <c:dLbl>
              <c:idx val="3"/>
              <c:layout>
                <c:manualLayout>
                  <c:x val="-0.10138888888888892"/>
                  <c:y val="0.15277777777777779"/>
                </c:manualLayout>
              </c:layout>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7-5B5A-460E-9383-A602315D4749}"/>
                </c:ext>
                <c:ext xmlns:c15="http://schemas.microsoft.com/office/drawing/2012/chart" uri="{CE6537A1-D6FC-4f65-9D91-7224C49458BB}">
                  <c15:layout>
                    <c:manualLayout>
                      <c:w val="0.19458333333333333"/>
                      <c:h val="0.10967592592592593"/>
                    </c:manualLayout>
                  </c15:layout>
                </c:ext>
              </c:extLst>
            </c:dLbl>
            <c:dLbl>
              <c:idx val="4"/>
              <c:layout>
                <c:manualLayout>
                  <c:x val="-0.14444444444444443"/>
                  <c:y val="0.12037037037037036"/>
                </c:manualLayout>
              </c:layout>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9-5B5A-460E-9383-A602315D4749}"/>
                </c:ext>
                <c:ext xmlns:c15="http://schemas.microsoft.com/office/drawing/2012/chart" uri="{CE6537A1-D6FC-4f65-9D91-7224C49458BB}"/>
              </c:extLst>
            </c:dLbl>
            <c:dLbl>
              <c:idx val="5"/>
              <c:layout>
                <c:manualLayout>
                  <c:x val="-0.25"/>
                  <c:y val="2.7777777777777766E-2"/>
                </c:manualLayout>
              </c:layout>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B-5B5A-460E-9383-A602315D4749}"/>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Diagrams!$B$113:$B$118</c:f>
              <c:strCache>
                <c:ptCount val="6"/>
                <c:pt idx="0">
                  <c:v>Dolj</c:v>
                </c:pt>
                <c:pt idx="1">
                  <c:v>Galati</c:v>
                </c:pt>
                <c:pt idx="2">
                  <c:v>Gorj</c:v>
                </c:pt>
                <c:pt idx="3">
                  <c:v>Hunedoara</c:v>
                </c:pt>
                <c:pt idx="4">
                  <c:v>Mures</c:v>
                </c:pt>
                <c:pt idx="5">
                  <c:v>Prahova</c:v>
                </c:pt>
              </c:strCache>
            </c:strRef>
          </c:cat>
          <c:val>
            <c:numRef>
              <c:f>Diagrams!$F$113:$F$118</c:f>
              <c:numCache>
                <c:formatCode>[$€-2]\ #\ ##0</c:formatCode>
                <c:ptCount val="6"/>
                <c:pt idx="0">
                  <c:v>50678186</c:v>
                </c:pt>
                <c:pt idx="1">
                  <c:v>1138037250</c:v>
                </c:pt>
                <c:pt idx="2">
                  <c:v>413180450</c:v>
                </c:pt>
                <c:pt idx="3">
                  <c:v>172759738</c:v>
                </c:pt>
                <c:pt idx="4">
                  <c:v>358170121</c:v>
                </c:pt>
                <c:pt idx="5">
                  <c:v>115167300</c:v>
                </c:pt>
              </c:numCache>
            </c:numRef>
          </c:val>
          <c:extLst xmlns:c16r2="http://schemas.microsoft.com/office/drawing/2015/06/chart">
            <c:ext xmlns:c16="http://schemas.microsoft.com/office/drawing/2014/chart" uri="{C3380CC4-5D6E-409C-BE32-E72D297353CC}">
              <c16:uniqueId val="{0000000C-5B5A-460E-9383-A602315D474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CA4-445E-BA1D-758C35681A75}"/>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CA4-445E-BA1D-758C35681A7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CA4-445E-BA1D-758C35681A75}"/>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CA4-445E-BA1D-758C35681A75}"/>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9CA4-445E-BA1D-758C35681A75}"/>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9CA4-445E-BA1D-758C35681A75}"/>
              </c:ext>
            </c:extLst>
          </c:dPt>
          <c:dLbls>
            <c:dLbl>
              <c:idx val="0"/>
              <c:layout>
                <c:manualLayout>
                  <c:x val="-7.966174540682415E-2"/>
                  <c:y val="0.10750637941090695"/>
                </c:manualLayout>
              </c:layout>
              <c:tx>
                <c:rich>
                  <a:bodyPr/>
                  <a:lstStyle/>
                  <a:p>
                    <a:fld id="{481AD269-AE7C-4118-BE6E-B4452DD660D0}" type="VALUE">
                      <a:rPr lang="en-US"/>
                      <a:pPr/>
                      <a:t>[VALUE]</a:t>
                    </a:fld>
                    <a:endParaRPr lang="en-US"/>
                  </a:p>
                  <a:p>
                    <a:endParaRPr lang="en-US" baseline="0"/>
                  </a:p>
                  <a:p>
                    <a:fld id="{D0C204E4-759F-4E64-A0A1-FD9C63AB32F1}" type="PERCENTAGE">
                      <a:rPr lang="en-US"/>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9CA4-445E-BA1D-758C35681A75}"/>
                </c:ext>
                <c:ext xmlns:c15="http://schemas.microsoft.com/office/drawing/2012/chart" uri="{CE6537A1-D6FC-4f65-9D91-7224C49458BB}">
                  <c15:layout>
                    <c:manualLayout>
                      <c:w val="6.6694444444444431E-2"/>
                      <c:h val="0.18837962962962962"/>
                    </c:manualLayout>
                  </c15:layout>
                  <c15:dlblFieldTable/>
                  <c15:showDataLabelsRange val="0"/>
                </c:ext>
              </c:extLst>
            </c:dLbl>
            <c:dLbl>
              <c:idx val="1"/>
              <c:tx>
                <c:rich>
                  <a:bodyPr/>
                  <a:lstStyle/>
                  <a:p>
                    <a:fld id="{DCBDD771-6FE7-47AC-BF0C-D269CDB8DEDA}" type="VALUE">
                      <a:rPr lang="en-US"/>
                      <a:pPr/>
                      <a:t>[VALUE]</a:t>
                    </a:fld>
                    <a:endParaRPr lang="en-US"/>
                  </a:p>
                  <a:p>
                    <a:endParaRPr lang="en-US" baseline="0"/>
                  </a:p>
                  <a:p>
                    <a:fld id="{77BCE708-A43A-47A2-8CBE-EA4AAF8FFF75}"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9CA4-445E-BA1D-758C35681A75}"/>
                </c:ext>
                <c:ext xmlns:c15="http://schemas.microsoft.com/office/drawing/2012/chart" uri="{CE6537A1-D6FC-4f65-9D91-7224C49458BB}">
                  <c15:dlblFieldTable/>
                  <c15:showDataLabelsRange val="0"/>
                </c:ext>
              </c:extLst>
            </c:dLbl>
            <c:dLbl>
              <c:idx val="4"/>
              <c:layout>
                <c:manualLayout>
                  <c:x val="0"/>
                  <c:y val="-0.24136956838728502"/>
                </c:manualLayout>
              </c:layout>
              <c:tx>
                <c:rich>
                  <a:bodyPr/>
                  <a:lstStyle/>
                  <a:p>
                    <a:fld id="{3F3989E0-EEE6-424E-A7FC-0350576DBE62}" type="VALUE">
                      <a:rPr lang="en-US"/>
                      <a:pPr/>
                      <a:t>[VALUE]</a:t>
                    </a:fld>
                    <a:endParaRPr lang="en-US"/>
                  </a:p>
                  <a:p>
                    <a:endParaRPr lang="en-US" baseline="0"/>
                  </a:p>
                  <a:p>
                    <a:fld id="{4EC03888-EE12-4373-9D55-DA2A1F874E4C}" type="PERCENTAGE">
                      <a:rPr lang="en-US"/>
                      <a:pPr/>
                      <a:t>[PERCENTAGE]</a:t>
                    </a:fld>
                    <a:endParaRPr lang="en-US"/>
                  </a:p>
                </c:rich>
              </c:tx>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9-9CA4-445E-BA1D-758C35681A75}"/>
                </c:ext>
                <c:ext xmlns:c15="http://schemas.microsoft.com/office/drawing/2012/chart" uri="{CE6537A1-D6FC-4f65-9D91-7224C49458BB}">
                  <c15:dlblFieldTable/>
                  <c15:showDataLabelsRange val="0"/>
                </c:ext>
              </c:extLst>
            </c:dLbl>
            <c:dLbl>
              <c:idx val="5"/>
              <c:tx>
                <c:rich>
                  <a:bodyPr/>
                  <a:lstStyle/>
                  <a:p>
                    <a:fld id="{6E1530D8-2E67-459B-ACBB-D85422DBF7C9}" type="VALUE">
                      <a:rPr lang="en-US"/>
                      <a:pPr/>
                      <a:t>[VALUE]</a:t>
                    </a:fld>
                    <a:endParaRPr lang="en-US"/>
                  </a:p>
                  <a:p>
                    <a:endParaRPr lang="en-US" baseline="0"/>
                  </a:p>
                  <a:p>
                    <a:fld id="{141617AE-C627-408F-AD45-63D9B1277B69}" type="PERCENTAGE">
                      <a:rPr lang="en-US"/>
                      <a:pPr/>
                      <a:t>[PERCENTAGE]</a:t>
                    </a:fld>
                    <a:endParaRPr lang="en-US"/>
                  </a:p>
                </c:rich>
              </c:tx>
              <c:dLblPos val="inEnd"/>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B-9CA4-445E-BA1D-758C35681A7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Diagrams!$B$87:$B$92</c:f>
              <c:strCache>
                <c:ptCount val="6"/>
                <c:pt idx="0">
                  <c:v>Dolj</c:v>
                </c:pt>
                <c:pt idx="1">
                  <c:v>Galati</c:v>
                </c:pt>
                <c:pt idx="2">
                  <c:v>Gorj</c:v>
                </c:pt>
                <c:pt idx="3">
                  <c:v>Hunedoara</c:v>
                </c:pt>
                <c:pt idx="4">
                  <c:v>Mures</c:v>
                </c:pt>
                <c:pt idx="5">
                  <c:v>Prahova</c:v>
                </c:pt>
              </c:strCache>
            </c:strRef>
          </c:cat>
          <c:val>
            <c:numRef>
              <c:f>Diagrams!$E$87:$E$92</c:f>
              <c:numCache>
                <c:formatCode>General</c:formatCode>
                <c:ptCount val="6"/>
                <c:pt idx="0">
                  <c:v>11</c:v>
                </c:pt>
                <c:pt idx="1">
                  <c:v>15</c:v>
                </c:pt>
                <c:pt idx="2">
                  <c:v>6</c:v>
                </c:pt>
                <c:pt idx="3">
                  <c:v>6</c:v>
                </c:pt>
                <c:pt idx="4">
                  <c:v>18</c:v>
                </c:pt>
                <c:pt idx="5">
                  <c:v>38</c:v>
                </c:pt>
              </c:numCache>
            </c:numRef>
          </c:val>
          <c:extLst xmlns:c16r2="http://schemas.microsoft.com/office/drawing/2015/06/chart">
            <c:ext xmlns:c16="http://schemas.microsoft.com/office/drawing/2014/chart" uri="{C3380CC4-5D6E-409C-BE32-E72D297353CC}">
              <c16:uniqueId val="{0000000C-9CA4-445E-BA1D-758C35681A7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99F-4C64-B892-A3686BA5BA0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99F-4C64-B892-A3686BA5BA0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99F-4C64-B892-A3686BA5BA07}"/>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99F-4C64-B892-A3686BA5BA07}"/>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099F-4C64-B892-A3686BA5BA07}"/>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099F-4C64-B892-A3686BA5BA07}"/>
              </c:ext>
            </c:extLst>
          </c:dPt>
          <c:dLbls>
            <c:dLbl>
              <c:idx val="0"/>
              <c:layout>
                <c:manualLayout>
                  <c:x val="3.6111111111111108E-2"/>
                  <c:y val="2.7777777777777776E-2"/>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099F-4C64-B892-A3686BA5BA07}"/>
                </c:ext>
                <c:ext xmlns:c15="http://schemas.microsoft.com/office/drawing/2012/chart" uri="{CE6537A1-D6FC-4f65-9D91-7224C49458BB}"/>
              </c:extLst>
            </c:dLbl>
            <c:dLbl>
              <c:idx val="1"/>
              <c:layout>
                <c:manualLayout>
                  <c:x val="6.3888888888888787E-2"/>
                  <c:y val="-0.21759259259259259"/>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099F-4C64-B892-A3686BA5BA07}"/>
                </c:ext>
                <c:ext xmlns:c15="http://schemas.microsoft.com/office/drawing/2012/chart" uri="{CE6537A1-D6FC-4f65-9D91-7224C49458BB}"/>
              </c:extLst>
            </c:dLbl>
            <c:dLbl>
              <c:idx val="2"/>
              <c:layout>
                <c:manualLayout>
                  <c:x val="-6.3888888888888898E-2"/>
                  <c:y val="8.3333333333333301E-2"/>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099F-4C64-B892-A3686BA5BA07}"/>
                </c:ext>
                <c:ext xmlns:c15="http://schemas.microsoft.com/office/drawing/2012/chart" uri="{CE6537A1-D6FC-4f65-9D91-7224C49458BB}"/>
              </c:extLst>
            </c:dLbl>
            <c:dLbl>
              <c:idx val="3"/>
              <c:layout>
                <c:manualLayout>
                  <c:x val="-0.14166666666666666"/>
                  <c:y val="-0.10185185185185194"/>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7-099F-4C64-B892-A3686BA5BA07}"/>
                </c:ext>
                <c:ext xmlns:c15="http://schemas.microsoft.com/office/drawing/2012/chart" uri="{CE6537A1-D6FC-4f65-9D91-7224C49458BB}"/>
              </c:extLst>
            </c:dLbl>
            <c:dLbl>
              <c:idx val="4"/>
              <c:layout>
                <c:manualLayout>
                  <c:x val="-9.1666666666666674E-2"/>
                  <c:y val="-0.15277777777777779"/>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9-099F-4C64-B892-A3686BA5BA07}"/>
                </c:ext>
                <c:ext xmlns:c15="http://schemas.microsoft.com/office/drawing/2012/chart" uri="{CE6537A1-D6FC-4f65-9D91-7224C49458BB}"/>
              </c:extLst>
            </c:dLbl>
            <c:dLbl>
              <c:idx val="5"/>
              <c:layout>
                <c:manualLayout>
                  <c:x val="5.8333333333333286E-2"/>
                  <c:y val="-3.7037037037037049E-2"/>
                </c:manualLayout>
              </c:layout>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B-099F-4C64-B892-A3686BA5BA07}"/>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Diagrams!$B$87:$B$92</c:f>
              <c:strCache>
                <c:ptCount val="6"/>
                <c:pt idx="0">
                  <c:v>Dolj</c:v>
                </c:pt>
                <c:pt idx="1">
                  <c:v>Galati</c:v>
                </c:pt>
                <c:pt idx="2">
                  <c:v>Gorj</c:v>
                </c:pt>
                <c:pt idx="3">
                  <c:v>Hunedoara</c:v>
                </c:pt>
                <c:pt idx="4">
                  <c:v>Mures</c:v>
                </c:pt>
                <c:pt idx="5">
                  <c:v>Prahova</c:v>
                </c:pt>
              </c:strCache>
            </c:strRef>
          </c:cat>
          <c:val>
            <c:numRef>
              <c:f>Diagrams!$F$87:$F$92</c:f>
              <c:numCache>
                <c:formatCode>[$€-2]\ #,##0</c:formatCode>
                <c:ptCount val="6"/>
                <c:pt idx="0">
                  <c:v>494487500</c:v>
                </c:pt>
                <c:pt idx="1">
                  <c:v>1909544630</c:v>
                </c:pt>
                <c:pt idx="2">
                  <c:v>29698906</c:v>
                </c:pt>
                <c:pt idx="3">
                  <c:v>13050000</c:v>
                </c:pt>
                <c:pt idx="4">
                  <c:v>458882549</c:v>
                </c:pt>
                <c:pt idx="5">
                  <c:v>929429104</c:v>
                </c:pt>
              </c:numCache>
            </c:numRef>
          </c:val>
          <c:extLst xmlns:c16r2="http://schemas.microsoft.com/office/drawing/2015/06/chart">
            <c:ext xmlns:c16="http://schemas.microsoft.com/office/drawing/2014/chart" uri="{C3380CC4-5D6E-409C-BE32-E72D297353CC}">
              <c16:uniqueId val="{0000000C-099F-4C64-B892-A3686BA5BA07}"/>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A11A-4B2D-88F3-9BE1A3369E95}"/>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A11A-4B2D-88F3-9BE1A3369E9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A11A-4B2D-88F3-9BE1A3369E95}"/>
              </c:ext>
            </c:extLst>
          </c:dPt>
          <c:dLbls>
            <c:dLbl>
              <c:idx val="0"/>
              <c:layout>
                <c:manualLayout>
                  <c:x val="0.15"/>
                  <c:y val="2.7777777777777776E-2"/>
                </c:manualLayout>
              </c:layout>
              <c:tx>
                <c:rich>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fld id="{453CB042-E2B0-4723-8548-D1C047F290DA}" type="VALUE">
                      <a:rPr lang="en-US" b="1"/>
                      <a:pPr>
                        <a:defRPr/>
                      </a:pPr>
                      <a:t>[VALUE]</a:t>
                    </a:fld>
                    <a:endParaRPr lang="en-US" b="1"/>
                  </a:p>
                  <a:p>
                    <a:pPr>
                      <a:defRPr/>
                    </a:pPr>
                    <a:endParaRPr lang="en-US" b="1" baseline="0"/>
                  </a:p>
                  <a:p>
                    <a:pPr>
                      <a:defRPr/>
                    </a:pPr>
                    <a:fld id="{63D015BC-1104-4AE1-BE8B-E8054F759185}" type="PERCENTAGE">
                      <a:rPr lang="en-US" b="1"/>
                      <a:pPr>
                        <a:defRPr/>
                      </a:pPr>
                      <a:t>[PERCENTAGE]</a:t>
                    </a:fld>
                    <a:endParaRPr lang="en-US"/>
                  </a:p>
                </c:rich>
              </c:tx>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A11A-4B2D-88F3-9BE1A3369E95}"/>
                </c:ext>
                <c:ext xmlns:c15="http://schemas.microsoft.com/office/drawing/2012/chart" uri="{CE6537A1-D6FC-4f65-9D91-7224C49458BB}">
                  <c15:dlblFieldTable/>
                  <c15:showDataLabelsRange val="0"/>
                </c:ext>
              </c:extLst>
            </c:dLbl>
            <c:dLbl>
              <c:idx val="1"/>
              <c:tx>
                <c:rich>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fld id="{BCB99D1A-C96B-4521-B402-CA754378457A}" type="VALUE">
                      <a:rPr lang="en-US" b="1">
                        <a:solidFill>
                          <a:schemeClr val="bg1"/>
                        </a:solidFill>
                      </a:rPr>
                      <a:pPr>
                        <a:defRPr>
                          <a:solidFill>
                            <a:schemeClr val="bg1"/>
                          </a:solidFill>
                        </a:defRPr>
                      </a:pPr>
                      <a:t>[VALUE]</a:t>
                    </a:fld>
                    <a:endParaRPr lang="en-US" b="1">
                      <a:solidFill>
                        <a:schemeClr val="bg1"/>
                      </a:solidFill>
                    </a:endParaRPr>
                  </a:p>
                  <a:p>
                    <a:pPr>
                      <a:defRPr>
                        <a:solidFill>
                          <a:schemeClr val="bg1"/>
                        </a:solidFill>
                      </a:defRPr>
                    </a:pPr>
                    <a:endParaRPr lang="en-US" b="1" baseline="0">
                      <a:solidFill>
                        <a:schemeClr val="bg1"/>
                      </a:solidFill>
                    </a:endParaRPr>
                  </a:p>
                  <a:p>
                    <a:pPr>
                      <a:defRPr>
                        <a:solidFill>
                          <a:schemeClr val="bg1"/>
                        </a:solidFill>
                      </a:defRPr>
                    </a:pPr>
                    <a:fld id="{E6C02B2B-0BEF-4071-8EE9-89FF46A7B67A}" type="PERCENTAGE">
                      <a:rPr lang="en-US" b="1">
                        <a:solidFill>
                          <a:schemeClr val="bg1"/>
                        </a:solidFill>
                      </a:rPr>
                      <a:pPr>
                        <a:defRPr>
                          <a:solidFill>
                            <a:schemeClr val="bg1"/>
                          </a:solidFill>
                        </a:defRPr>
                      </a:pPr>
                      <a:t>[PERCENTAGE]</a:t>
                    </a:fld>
                    <a:endParaRPr lang="en-US"/>
                  </a:p>
                </c:rich>
              </c:tx>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A11A-4B2D-88F3-9BE1A3369E95}"/>
                </c:ext>
                <c:ext xmlns:c15="http://schemas.microsoft.com/office/drawing/2012/chart" uri="{CE6537A1-D6FC-4f65-9D91-7224C49458BB}">
                  <c15:dlblFieldTable/>
                  <c15:showDataLabelsRange val="0"/>
                </c:ext>
              </c:extLst>
            </c:dLbl>
            <c:dLbl>
              <c:idx val="2"/>
              <c:tx>
                <c:rich>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fld id="{8A8C5C94-52A5-47C6-8944-E8422F89F55A}" type="VALUE">
                      <a:rPr lang="en-US" b="1">
                        <a:solidFill>
                          <a:schemeClr val="bg1"/>
                        </a:solidFill>
                      </a:rPr>
                      <a:pPr>
                        <a:defRPr>
                          <a:solidFill>
                            <a:schemeClr val="bg1"/>
                          </a:solidFill>
                        </a:defRPr>
                      </a:pPr>
                      <a:t>[VALUE]</a:t>
                    </a:fld>
                    <a:endParaRPr lang="en-US" b="1">
                      <a:solidFill>
                        <a:schemeClr val="bg1"/>
                      </a:solidFill>
                    </a:endParaRPr>
                  </a:p>
                  <a:p>
                    <a:pPr>
                      <a:defRPr>
                        <a:solidFill>
                          <a:schemeClr val="bg1"/>
                        </a:solidFill>
                      </a:defRPr>
                    </a:pPr>
                    <a:endParaRPr lang="en-US" b="1" baseline="0">
                      <a:solidFill>
                        <a:schemeClr val="bg1"/>
                      </a:solidFill>
                    </a:endParaRPr>
                  </a:p>
                  <a:p>
                    <a:pPr>
                      <a:defRPr>
                        <a:solidFill>
                          <a:schemeClr val="bg1"/>
                        </a:solidFill>
                      </a:defRPr>
                    </a:pPr>
                    <a:fld id="{840BAB3C-C615-4334-B3EF-A8FFE9464ABA}" type="PERCENTAGE">
                      <a:rPr lang="en-US" b="1">
                        <a:solidFill>
                          <a:schemeClr val="bg1"/>
                        </a:solidFill>
                      </a:rPr>
                      <a:pPr>
                        <a:defRPr>
                          <a:solidFill>
                            <a:schemeClr val="bg1"/>
                          </a:solidFill>
                        </a:defRPr>
                      </a:pPr>
                      <a:t>[PERCENTAGE]</a:t>
                    </a:fld>
                    <a:endParaRPr lang="en-US"/>
                  </a:p>
                </c:rich>
              </c:tx>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A11A-4B2D-88F3-9BE1A3369E95}"/>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Diagrams!$B$139:$B$141</c:f>
              <c:strCache>
                <c:ptCount val="3"/>
                <c:pt idx="0">
                  <c:v>High</c:v>
                </c:pt>
                <c:pt idx="1">
                  <c:v>Medium</c:v>
                </c:pt>
                <c:pt idx="2">
                  <c:v>Low</c:v>
                </c:pt>
              </c:strCache>
            </c:strRef>
          </c:cat>
          <c:val>
            <c:numRef>
              <c:f>Diagrams!$C$139:$C$141</c:f>
              <c:numCache>
                <c:formatCode>General</c:formatCode>
                <c:ptCount val="3"/>
                <c:pt idx="0">
                  <c:v>23</c:v>
                </c:pt>
                <c:pt idx="1">
                  <c:v>300</c:v>
                </c:pt>
                <c:pt idx="2">
                  <c:v>472</c:v>
                </c:pt>
              </c:numCache>
            </c:numRef>
          </c:val>
          <c:extLst xmlns:c16r2="http://schemas.microsoft.com/office/drawing/2015/06/chart">
            <c:ext xmlns:c16="http://schemas.microsoft.com/office/drawing/2014/chart" uri="{C3380CC4-5D6E-409C-BE32-E72D297353CC}">
              <c16:uniqueId val="{00000006-A11A-4B2D-88F3-9BE1A3369E95}"/>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FFC5-4B8B-9172-5CC705EA0B8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FFC5-4B8B-9172-5CC705EA0B8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FFC5-4B8B-9172-5CC705EA0B8A}"/>
              </c:ext>
            </c:extLst>
          </c:dPt>
          <c:dLbls>
            <c:dLbl>
              <c:idx val="0"/>
              <c:layout>
                <c:manualLayout>
                  <c:x val="0.10555555555555556"/>
                  <c:y val="0"/>
                </c:manualLayout>
              </c:layout>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1-FFC5-4B8B-9172-5CC705EA0B8A}"/>
                </c:ext>
                <c:ext xmlns:c15="http://schemas.microsoft.com/office/drawing/2012/chart" uri="{CE6537A1-D6FC-4f65-9D91-7224C49458BB}"/>
              </c:extLst>
            </c:dLbl>
            <c:dLbl>
              <c:idx val="1"/>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FFC5-4B8B-9172-5CC705EA0B8A}"/>
                </c:ext>
                <c:ext xmlns:c15="http://schemas.microsoft.com/office/drawing/2012/chart" uri="{CE6537A1-D6FC-4f65-9D91-7224C49458BB}"/>
              </c:extLst>
            </c:dLbl>
            <c:dLbl>
              <c:idx val="2"/>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5-FFC5-4B8B-9172-5CC705EA0B8A}"/>
                </c:ext>
                <c:ext xmlns:c15="http://schemas.microsoft.com/office/drawing/2012/chart" uri="{CE6537A1-D6FC-4f65-9D91-7224C49458BB}"/>
              </c:extLst>
            </c:d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Diagrams!$B$139:$B$141</c:f>
              <c:strCache>
                <c:ptCount val="3"/>
                <c:pt idx="0">
                  <c:v>High</c:v>
                </c:pt>
                <c:pt idx="1">
                  <c:v>Medium</c:v>
                </c:pt>
                <c:pt idx="2">
                  <c:v>Low</c:v>
                </c:pt>
              </c:strCache>
            </c:strRef>
          </c:cat>
          <c:val>
            <c:numRef>
              <c:f>Diagrams!$D$139:$D$141</c:f>
              <c:numCache>
                <c:formatCode>_-* #\ ##0_-;\-* #\ ##0_-;_-* "-"??_-;_-@_-</c:formatCode>
                <c:ptCount val="3"/>
                <c:pt idx="0">
                  <c:v>482548922</c:v>
                </c:pt>
                <c:pt idx="1">
                  <c:v>5726016692</c:v>
                </c:pt>
                <c:pt idx="2">
                  <c:v>4275031802</c:v>
                </c:pt>
              </c:numCache>
            </c:numRef>
          </c:val>
          <c:extLst xmlns:c16r2="http://schemas.microsoft.com/office/drawing/2015/06/chart">
            <c:ext xmlns:c16="http://schemas.microsoft.com/office/drawing/2014/chart" uri="{C3380CC4-5D6E-409C-BE32-E72D297353CC}">
              <c16:uniqueId val="{00000006-FFC5-4B8B-9172-5CC705EA0B8A}"/>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044-440A-9D0E-6309DAF6D200}"/>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044-440A-9D0E-6309DAF6D200}"/>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C044-440A-9D0E-6309DAF6D200}"/>
              </c:ext>
            </c:extLst>
          </c:dPt>
          <c:dLbls>
            <c:dLbl>
              <c:idx val="0"/>
              <c:tx>
                <c:rich>
                  <a:bodyPr/>
                  <a:lstStyle/>
                  <a:p>
                    <a:fld id="{6541ECDE-5A93-4FD8-81F7-96CB417B8B54}" type="VALUE">
                      <a:rPr lang="en-US"/>
                      <a:pPr/>
                      <a:t>[VALUE]</a:t>
                    </a:fld>
                    <a:endParaRPr lang="en-US"/>
                  </a:p>
                  <a:p>
                    <a:endParaRPr lang="en-US" baseline="0"/>
                  </a:p>
                  <a:p>
                    <a:fld id="{38134B43-CA96-45E8-930A-9A4297910459}" type="PERCENTAGE">
                      <a:rPr lang="en-US"/>
                      <a:pPr/>
                      <a:t>[PERCENTAGE]</a:t>
                    </a:fld>
                    <a:endParaRPr lang="en-US"/>
                  </a:p>
                </c:rich>
              </c:tx>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C044-440A-9D0E-6309DAF6D200}"/>
                </c:ext>
                <c:ext xmlns:c15="http://schemas.microsoft.com/office/drawing/2012/chart" uri="{CE6537A1-D6FC-4f65-9D91-7224C49458BB}">
                  <c15:dlblFieldTable/>
                  <c15:showDataLabelsRange val="0"/>
                </c:ext>
              </c:extLst>
            </c:dLbl>
            <c:dLbl>
              <c:idx val="1"/>
              <c:tx>
                <c:rich>
                  <a:bodyPr/>
                  <a:lstStyle/>
                  <a:p>
                    <a:fld id="{F42B590D-FBAA-4199-AA2F-7E068C8B7C56}" type="VALUE">
                      <a:rPr lang="en-US"/>
                      <a:pPr/>
                      <a:t>[VALUE]</a:t>
                    </a:fld>
                    <a:endParaRPr lang="en-US"/>
                  </a:p>
                  <a:p>
                    <a:endParaRPr lang="en-US" baseline="0"/>
                  </a:p>
                  <a:p>
                    <a:fld id="{A824431C-71F9-4682-AD7F-4281ED0DFE89}" type="PERCENTAGE">
                      <a:rPr lang="en-US"/>
                      <a:pPr/>
                      <a:t>[PERCENTAGE]</a:t>
                    </a:fld>
                    <a:endParaRPr lang="en-US"/>
                  </a:p>
                </c:rich>
              </c:tx>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3-C044-440A-9D0E-6309DAF6D200}"/>
                </c:ext>
                <c:ext xmlns:c15="http://schemas.microsoft.com/office/drawing/2012/chart" uri="{CE6537A1-D6FC-4f65-9D91-7224C49458BB}">
                  <c15:dlblFieldTable/>
                  <c15:showDataLabelsRange val="0"/>
                </c:ext>
              </c:extLst>
            </c:dLbl>
            <c:dLbl>
              <c:idx val="2"/>
              <c:tx>
                <c:rich>
                  <a:bodyPr/>
                  <a:lstStyle/>
                  <a:p>
                    <a:fld id="{A1FD6F5F-108C-4826-9C8A-A0FE935838E5}" type="VALUE">
                      <a:rPr lang="en-US"/>
                      <a:pPr/>
                      <a:t>[VALUE]</a:t>
                    </a:fld>
                    <a:endParaRPr lang="en-US"/>
                  </a:p>
                  <a:p>
                    <a:endParaRPr lang="en-US" baseline="0"/>
                  </a:p>
                  <a:p>
                    <a:fld id="{91E8C8E1-B25D-4D42-9D23-A608163E1943}" type="PERCENTAGE">
                      <a:rPr lang="en-US"/>
                      <a:pPr/>
                      <a:t>[PERCENTAGE]</a:t>
                    </a:fld>
                    <a:endParaRPr lang="en-US"/>
                  </a:p>
                </c:rich>
              </c:tx>
              <c:dLblPos val="ctr"/>
              <c:showLegendKey val="0"/>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5-C044-440A-9D0E-6309DAF6D200}"/>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'Project eligibility'!$C$5:$C$7</c:f>
              <c:strCache>
                <c:ptCount val="3"/>
                <c:pt idx="0">
                  <c:v>Potentially eligible</c:v>
                </c:pt>
                <c:pt idx="1">
                  <c:v>Borderline/Unclear</c:v>
                </c:pt>
                <c:pt idx="2">
                  <c:v>Not eligible</c:v>
                </c:pt>
              </c:strCache>
            </c:strRef>
          </c:cat>
          <c:val>
            <c:numRef>
              <c:f>'Project eligibility'!$J$5:$J$7</c:f>
              <c:numCache>
                <c:formatCode>General</c:formatCode>
                <c:ptCount val="3"/>
                <c:pt idx="0">
                  <c:v>317</c:v>
                </c:pt>
                <c:pt idx="1">
                  <c:v>232</c:v>
                </c:pt>
                <c:pt idx="2">
                  <c:v>246</c:v>
                </c:pt>
              </c:numCache>
            </c:numRef>
          </c:val>
          <c:extLst xmlns:c16r2="http://schemas.microsoft.com/office/drawing/2015/06/chart">
            <c:ext xmlns:c16="http://schemas.microsoft.com/office/drawing/2014/chart" uri="{C3380CC4-5D6E-409C-BE32-E72D297353CC}">
              <c16:uniqueId val="{00000006-C044-440A-9D0E-6309DAF6D20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D2D7-4CDA-BD9F-DDFA5567F8C7}"/>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D2D7-4CDA-BD9F-DDFA5567F8C7}"/>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D2D7-4CDA-BD9F-DDFA5567F8C7}"/>
              </c:ext>
            </c:extLst>
          </c:dPt>
          <c:dLbls>
            <c:dLbl>
              <c:idx val="2"/>
              <c:layout>
                <c:manualLayout>
                  <c:x val="0.15084208223971998"/>
                  <c:y val="0.20334551971570403"/>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D2D7-4CDA-BD9F-DDFA5567F8C7}"/>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'Project eligibility'!$C$13:$C$15</c:f>
              <c:strCache>
                <c:ptCount val="3"/>
                <c:pt idx="0">
                  <c:v>Potentially eligible</c:v>
                </c:pt>
                <c:pt idx="1">
                  <c:v>Borderline/Unclear</c:v>
                </c:pt>
                <c:pt idx="2">
                  <c:v>Not eligible</c:v>
                </c:pt>
              </c:strCache>
            </c:strRef>
          </c:cat>
          <c:val>
            <c:numRef>
              <c:f>'Project eligibility'!$J$13:$J$15</c:f>
              <c:numCache>
                <c:formatCode>[$€-2]\ #,##0</c:formatCode>
                <c:ptCount val="3"/>
                <c:pt idx="0">
                  <c:v>5138598226</c:v>
                </c:pt>
                <c:pt idx="1">
                  <c:v>3186207211</c:v>
                </c:pt>
                <c:pt idx="2">
                  <c:v>2158791978</c:v>
                </c:pt>
              </c:numCache>
            </c:numRef>
          </c:val>
          <c:extLst xmlns:c16r2="http://schemas.microsoft.com/office/drawing/2015/06/chart">
            <c:ext xmlns:c16="http://schemas.microsoft.com/office/drawing/2014/chart" uri="{C3380CC4-5D6E-409C-BE32-E72D297353CC}">
              <c16:uniqueId val="{00000006-D2D7-4CDA-BD9F-DDFA5567F8C7}"/>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'Project eligibility'!$C$5</c:f>
              <c:strCache>
                <c:ptCount val="1"/>
                <c:pt idx="0">
                  <c:v>Potentially eligible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eligibility'!$D$4:$I$4</c:f>
              <c:strCache>
                <c:ptCount val="6"/>
                <c:pt idx="0">
                  <c:v>Dolj</c:v>
                </c:pt>
                <c:pt idx="1">
                  <c:v>Galati</c:v>
                </c:pt>
                <c:pt idx="2">
                  <c:v>Gorj</c:v>
                </c:pt>
                <c:pt idx="3">
                  <c:v>Hunedoara</c:v>
                </c:pt>
                <c:pt idx="4">
                  <c:v>Mures</c:v>
                </c:pt>
                <c:pt idx="5">
                  <c:v>Prahova</c:v>
                </c:pt>
              </c:strCache>
            </c:strRef>
          </c:cat>
          <c:val>
            <c:numRef>
              <c:f>'Project eligibility'!$D$5:$I$5</c:f>
              <c:numCache>
                <c:formatCode>General</c:formatCode>
                <c:ptCount val="6"/>
                <c:pt idx="0">
                  <c:v>49</c:v>
                </c:pt>
                <c:pt idx="1">
                  <c:v>32</c:v>
                </c:pt>
                <c:pt idx="2">
                  <c:v>150</c:v>
                </c:pt>
                <c:pt idx="3">
                  <c:v>39</c:v>
                </c:pt>
                <c:pt idx="4">
                  <c:v>29</c:v>
                </c:pt>
                <c:pt idx="5">
                  <c:v>18</c:v>
                </c:pt>
              </c:numCache>
            </c:numRef>
          </c:val>
          <c:extLst xmlns:c16r2="http://schemas.microsoft.com/office/drawing/2015/06/chart">
            <c:ext xmlns:c16="http://schemas.microsoft.com/office/drawing/2014/chart" uri="{C3380CC4-5D6E-409C-BE32-E72D297353CC}">
              <c16:uniqueId val="{00000000-A49A-42C2-BACF-9EA7EEB878B3}"/>
            </c:ext>
          </c:extLst>
        </c:ser>
        <c:ser>
          <c:idx val="1"/>
          <c:order val="1"/>
          <c:tx>
            <c:strRef>
              <c:f>'Project eligibility'!$C$6</c:f>
              <c:strCache>
                <c:ptCount val="1"/>
                <c:pt idx="0">
                  <c:v>Borderline/Unclear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eligibility'!$D$4:$I$4</c:f>
              <c:strCache>
                <c:ptCount val="6"/>
                <c:pt idx="0">
                  <c:v>Dolj</c:v>
                </c:pt>
                <c:pt idx="1">
                  <c:v>Galati</c:v>
                </c:pt>
                <c:pt idx="2">
                  <c:v>Gorj</c:v>
                </c:pt>
                <c:pt idx="3">
                  <c:v>Hunedoara</c:v>
                </c:pt>
                <c:pt idx="4">
                  <c:v>Mures</c:v>
                </c:pt>
                <c:pt idx="5">
                  <c:v>Prahova</c:v>
                </c:pt>
              </c:strCache>
            </c:strRef>
          </c:cat>
          <c:val>
            <c:numRef>
              <c:f>'Project eligibility'!$D$6:$I$6</c:f>
              <c:numCache>
                <c:formatCode>General</c:formatCode>
                <c:ptCount val="6"/>
                <c:pt idx="0">
                  <c:v>42</c:v>
                </c:pt>
                <c:pt idx="1">
                  <c:v>13</c:v>
                </c:pt>
                <c:pt idx="2">
                  <c:v>73</c:v>
                </c:pt>
                <c:pt idx="3">
                  <c:v>69</c:v>
                </c:pt>
                <c:pt idx="4">
                  <c:v>32</c:v>
                </c:pt>
                <c:pt idx="5">
                  <c:v>3</c:v>
                </c:pt>
              </c:numCache>
            </c:numRef>
          </c:val>
          <c:extLst xmlns:c16r2="http://schemas.microsoft.com/office/drawing/2015/06/chart">
            <c:ext xmlns:c16="http://schemas.microsoft.com/office/drawing/2014/chart" uri="{C3380CC4-5D6E-409C-BE32-E72D297353CC}">
              <c16:uniqueId val="{00000001-A49A-42C2-BACF-9EA7EEB878B3}"/>
            </c:ext>
          </c:extLst>
        </c:ser>
        <c:ser>
          <c:idx val="2"/>
          <c:order val="2"/>
          <c:tx>
            <c:strRef>
              <c:f>'Project eligibility'!$C$7</c:f>
              <c:strCache>
                <c:ptCount val="1"/>
                <c:pt idx="0">
                  <c:v>Not eligible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eligibility'!$D$4:$I$4</c:f>
              <c:strCache>
                <c:ptCount val="6"/>
                <c:pt idx="0">
                  <c:v>Dolj</c:v>
                </c:pt>
                <c:pt idx="1">
                  <c:v>Galati</c:v>
                </c:pt>
                <c:pt idx="2">
                  <c:v>Gorj</c:v>
                </c:pt>
                <c:pt idx="3">
                  <c:v>Hunedoara</c:v>
                </c:pt>
                <c:pt idx="4">
                  <c:v>Mures</c:v>
                </c:pt>
                <c:pt idx="5">
                  <c:v>Prahova</c:v>
                </c:pt>
              </c:strCache>
            </c:strRef>
          </c:cat>
          <c:val>
            <c:numRef>
              <c:f>'Project eligibility'!$D$7:$I$7</c:f>
              <c:numCache>
                <c:formatCode>General</c:formatCode>
                <c:ptCount val="6"/>
                <c:pt idx="0">
                  <c:v>29</c:v>
                </c:pt>
                <c:pt idx="1">
                  <c:v>28</c:v>
                </c:pt>
                <c:pt idx="2">
                  <c:v>45</c:v>
                </c:pt>
                <c:pt idx="3">
                  <c:v>97</c:v>
                </c:pt>
                <c:pt idx="4">
                  <c:v>29</c:v>
                </c:pt>
                <c:pt idx="5">
                  <c:v>18</c:v>
                </c:pt>
              </c:numCache>
            </c:numRef>
          </c:val>
          <c:extLst xmlns:c16r2="http://schemas.microsoft.com/office/drawing/2015/06/chart">
            <c:ext xmlns:c16="http://schemas.microsoft.com/office/drawing/2014/chart" uri="{C3380CC4-5D6E-409C-BE32-E72D297353CC}">
              <c16:uniqueId val="{00000002-A49A-42C2-BACF-9EA7EEB878B3}"/>
            </c:ext>
          </c:extLst>
        </c:ser>
        <c:dLbls>
          <c:showLegendKey val="0"/>
          <c:showVal val="0"/>
          <c:showCatName val="0"/>
          <c:showSerName val="0"/>
          <c:showPercent val="0"/>
          <c:showBubbleSize val="0"/>
        </c:dLbls>
        <c:gapWidth val="150"/>
        <c:overlap val="100"/>
        <c:axId val="641080480"/>
        <c:axId val="641077344"/>
      </c:barChart>
      <c:catAx>
        <c:axId val="641080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77344"/>
        <c:crosses val="autoZero"/>
        <c:auto val="1"/>
        <c:lblAlgn val="ctr"/>
        <c:lblOffset val="100"/>
        <c:noMultiLvlLbl val="0"/>
      </c:catAx>
      <c:valAx>
        <c:axId val="641077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1080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'Project eligibility'!$C$13</c:f>
              <c:strCache>
                <c:ptCount val="1"/>
                <c:pt idx="0">
                  <c:v>Potentially eligible</c:v>
                </c:pt>
              </c:strCache>
            </c:strRef>
          </c:tx>
          <c:spPr>
            <a:solidFill>
              <a:schemeClr val="accent1"/>
            </a:solidFill>
            <a:ln>
              <a:noFill/>
            </a:ln>
            <a:effectLst/>
          </c:spPr>
          <c:invertIfNegative val="0"/>
          <c:dLbls>
            <c:dLbl>
              <c:idx val="0"/>
              <c:layout>
                <c:manualLayout>
                  <c:x val="1.3157894736842092E-2"/>
                  <c:y val="-7.16417685926999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F49-4C2F-8937-E8EDB8AD5135}"/>
                </c:ext>
                <c:ext xmlns:c15="http://schemas.microsoft.com/office/drawing/2012/chart" uri="{CE6537A1-D6FC-4f65-9D91-7224C49458BB}"/>
              </c:extLst>
            </c:dLbl>
            <c:dLbl>
              <c:idx val="1"/>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2"/>
              <c:layout>
                <c:manualLayout>
                  <c:x val="4.3859649122807015E-3"/>
                  <c:y val="-6.36815720823999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F49-4C2F-8937-E8EDB8AD5135}"/>
                </c:ext>
                <c:ext xmlns:c15="http://schemas.microsoft.com/office/drawing/2012/chart" uri="{CE6537A1-D6FC-4f65-9D91-7224C49458BB}"/>
              </c:extLst>
            </c:dLbl>
            <c:dLbl>
              <c:idx val="3"/>
              <c:layout>
                <c:manualLayout>
                  <c:x val="2.6315789473684209E-2"/>
                  <c:y val="-6.633497091916665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F49-4C2F-8937-E8EDB8AD5135}"/>
                </c:ext>
                <c:ext xmlns:c15="http://schemas.microsoft.com/office/drawing/2012/chart" uri="{CE6537A1-D6FC-4f65-9D91-7224C49458BB}"/>
              </c:extLst>
            </c:dLbl>
            <c:dLbl>
              <c:idx val="4"/>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5"/>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eligibility'!$D$12:$I$12</c:f>
              <c:strCache>
                <c:ptCount val="6"/>
                <c:pt idx="0">
                  <c:v>Dolj</c:v>
                </c:pt>
                <c:pt idx="1">
                  <c:v>Galati</c:v>
                </c:pt>
                <c:pt idx="2">
                  <c:v>Gorj</c:v>
                </c:pt>
                <c:pt idx="3">
                  <c:v>Hunedoara</c:v>
                </c:pt>
                <c:pt idx="4">
                  <c:v>Mures</c:v>
                </c:pt>
                <c:pt idx="5">
                  <c:v>Prahova</c:v>
                </c:pt>
              </c:strCache>
            </c:strRef>
          </c:cat>
          <c:val>
            <c:numRef>
              <c:f>'Project eligibility'!$D$13:$I$13</c:f>
              <c:numCache>
                <c:formatCode>[$€-2]\ #,##0</c:formatCode>
                <c:ptCount val="6"/>
                <c:pt idx="0">
                  <c:v>237364675</c:v>
                </c:pt>
                <c:pt idx="1">
                  <c:v>2988129070</c:v>
                </c:pt>
                <c:pt idx="2">
                  <c:v>259228906</c:v>
                </c:pt>
                <c:pt idx="3">
                  <c:v>126966145</c:v>
                </c:pt>
                <c:pt idx="4">
                  <c:v>754642130</c:v>
                </c:pt>
                <c:pt idx="5">
                  <c:v>772267300</c:v>
                </c:pt>
              </c:numCache>
            </c:numRef>
          </c:val>
          <c:extLst xmlns:c16r2="http://schemas.microsoft.com/office/drawing/2015/06/chart">
            <c:ext xmlns:c16="http://schemas.microsoft.com/office/drawing/2014/chart" uri="{C3380CC4-5D6E-409C-BE32-E72D297353CC}">
              <c16:uniqueId val="{00000003-FF49-4C2F-8937-E8EDB8AD5135}"/>
            </c:ext>
          </c:extLst>
        </c:ser>
        <c:ser>
          <c:idx val="1"/>
          <c:order val="1"/>
          <c:tx>
            <c:strRef>
              <c:f>'Project eligibility'!$C$14</c:f>
              <c:strCache>
                <c:ptCount val="1"/>
                <c:pt idx="0">
                  <c:v>Borderline/Unclear</c:v>
                </c:pt>
              </c:strCache>
            </c:strRef>
          </c:tx>
          <c:spPr>
            <a:solidFill>
              <a:schemeClr val="accent2"/>
            </a:solidFill>
            <a:ln>
              <a:noFill/>
            </a:ln>
            <a:effectLst/>
          </c:spPr>
          <c:invertIfNegative val="0"/>
          <c:dLbls>
            <c:dLbl>
              <c:idx val="1"/>
              <c:layout>
                <c:manualLayout>
                  <c:x val="1.6081871345029239E-2"/>
                  <c:y val="-7.1641768592700036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F49-4C2F-8937-E8EDB8AD5135}"/>
                </c:ext>
                <c:ext xmlns:c15="http://schemas.microsoft.com/office/drawing/2012/chart" uri="{CE6537A1-D6FC-4f65-9D91-7224C49458BB}"/>
              </c:extLst>
            </c:dLbl>
            <c:dLbl>
              <c:idx val="5"/>
              <c:layout>
                <c:manualLayout>
                  <c:x val="1.1009352100368816E-2"/>
                  <c:y val="-7.1965146488668613E-2"/>
                </c:manualLayout>
              </c:layout>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FF49-4C2F-8937-E8EDB8AD5135}"/>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eligibility'!$D$12:$I$12</c:f>
              <c:strCache>
                <c:ptCount val="6"/>
                <c:pt idx="0">
                  <c:v>Dolj</c:v>
                </c:pt>
                <c:pt idx="1">
                  <c:v>Galati</c:v>
                </c:pt>
                <c:pt idx="2">
                  <c:v>Gorj</c:v>
                </c:pt>
                <c:pt idx="3">
                  <c:v>Hunedoara</c:v>
                </c:pt>
                <c:pt idx="4">
                  <c:v>Mures</c:v>
                </c:pt>
                <c:pt idx="5">
                  <c:v>Prahova</c:v>
                </c:pt>
              </c:strCache>
            </c:strRef>
          </c:cat>
          <c:val>
            <c:numRef>
              <c:f>'Project eligibility'!$D$14:$I$14</c:f>
              <c:numCache>
                <c:formatCode>[$€-2]\ #,##0</c:formatCode>
                <c:ptCount val="6"/>
                <c:pt idx="0">
                  <c:v>591760403</c:v>
                </c:pt>
                <c:pt idx="1">
                  <c:v>49095370</c:v>
                </c:pt>
                <c:pt idx="2">
                  <c:v>673790000</c:v>
                </c:pt>
                <c:pt idx="3">
                  <c:v>1370699695</c:v>
                </c:pt>
                <c:pt idx="4">
                  <c:v>492904743</c:v>
                </c:pt>
                <c:pt idx="5">
                  <c:v>7957000</c:v>
                </c:pt>
              </c:numCache>
            </c:numRef>
          </c:val>
          <c:extLst xmlns:c16r2="http://schemas.microsoft.com/office/drawing/2015/06/chart">
            <c:ext xmlns:c16="http://schemas.microsoft.com/office/drawing/2014/chart" uri="{C3380CC4-5D6E-409C-BE32-E72D297353CC}">
              <c16:uniqueId val="{00000006-FF49-4C2F-8937-E8EDB8AD5135}"/>
            </c:ext>
          </c:extLst>
        </c:ser>
        <c:ser>
          <c:idx val="2"/>
          <c:order val="2"/>
          <c:tx>
            <c:strRef>
              <c:f>'Project eligibility'!$C$15</c:f>
              <c:strCache>
                <c:ptCount val="1"/>
                <c:pt idx="0">
                  <c:v>Not eligible</c:v>
                </c:pt>
              </c:strCache>
            </c:strRef>
          </c:tx>
          <c:spPr>
            <a:solidFill>
              <a:schemeClr val="accent3"/>
            </a:solidFill>
            <a:ln>
              <a:noFill/>
            </a:ln>
            <a:effectLst/>
          </c:spPr>
          <c:invertIfNegative val="0"/>
          <c:dLbls>
            <c:dLbl>
              <c:idx val="0"/>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1"/>
              <c:layout>
                <c:manualLayout>
                  <c:x val="7.4561403508771926E-2"/>
                  <c:y val="-7.16417685927000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F49-4C2F-8937-E8EDB8AD5135}"/>
                </c:ext>
                <c:ext xmlns:c15="http://schemas.microsoft.com/office/drawing/2012/chart" uri="{CE6537A1-D6FC-4f65-9D91-7224C49458BB}"/>
              </c:extLst>
            </c:dLbl>
            <c:dLbl>
              <c:idx val="2"/>
              <c:layout>
                <c:manualLayout>
                  <c:x val="5.4093567251461985E-2"/>
                  <c:y val="-6.10281732456332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F49-4C2F-8937-E8EDB8AD5135}"/>
                </c:ext>
                <c:ext xmlns:c15="http://schemas.microsoft.com/office/drawing/2012/chart" uri="{CE6537A1-D6FC-4f65-9D91-7224C49458BB}"/>
              </c:extLst>
            </c:dLbl>
            <c:dLbl>
              <c:idx val="3"/>
              <c:numFmt formatCode="\€#,##0" sourceLinked="0"/>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dLbl>
            <c:dLbl>
              <c:idx val="4"/>
              <c:layout>
                <c:manualLayout>
                  <c:x val="6.43274853801169E-2"/>
                  <c:y val="-5.83747744088666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F49-4C2F-8937-E8EDB8AD5135}"/>
                </c:ext>
                <c:ext xmlns:c15="http://schemas.microsoft.com/office/drawing/2012/chart" uri="{CE6537A1-D6FC-4f65-9D91-7224C49458BB}"/>
              </c:extLst>
            </c:dLbl>
            <c:dLbl>
              <c:idx val="5"/>
              <c:layout>
                <c:manualLayout>
                  <c:x val="0.10818713450292397"/>
                  <c:y val="-3.18407860411999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FF49-4C2F-8937-E8EDB8AD5135}"/>
                </c:ext>
                <c:ext xmlns:c15="http://schemas.microsoft.com/office/drawing/2012/chart" uri="{CE6537A1-D6FC-4f65-9D91-7224C49458BB}"/>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'Project eligibility'!$D$12:$I$12</c:f>
              <c:strCache>
                <c:ptCount val="6"/>
                <c:pt idx="0">
                  <c:v>Dolj</c:v>
                </c:pt>
                <c:pt idx="1">
                  <c:v>Galati</c:v>
                </c:pt>
                <c:pt idx="2">
                  <c:v>Gorj</c:v>
                </c:pt>
                <c:pt idx="3">
                  <c:v>Hunedoara</c:v>
                </c:pt>
                <c:pt idx="4">
                  <c:v>Mures</c:v>
                </c:pt>
                <c:pt idx="5">
                  <c:v>Prahova</c:v>
                </c:pt>
              </c:strCache>
            </c:strRef>
          </c:cat>
          <c:val>
            <c:numRef>
              <c:f>'Project eligibility'!$D$15:$I$15</c:f>
              <c:numCache>
                <c:formatCode>[$€-2]\ #,##0</c:formatCode>
                <c:ptCount val="6"/>
                <c:pt idx="0">
                  <c:v>414383690</c:v>
                </c:pt>
                <c:pt idx="1">
                  <c:v>216840000</c:v>
                </c:pt>
                <c:pt idx="2">
                  <c:v>131010450</c:v>
                </c:pt>
                <c:pt idx="3">
                  <c:v>932036223</c:v>
                </c:pt>
                <c:pt idx="4">
                  <c:v>200149511</c:v>
                </c:pt>
                <c:pt idx="5">
                  <c:v>264372104</c:v>
                </c:pt>
              </c:numCache>
            </c:numRef>
          </c:val>
          <c:extLst xmlns:c16r2="http://schemas.microsoft.com/office/drawing/2015/06/chart">
            <c:ext xmlns:c16="http://schemas.microsoft.com/office/drawing/2014/chart" uri="{C3380CC4-5D6E-409C-BE32-E72D297353CC}">
              <c16:uniqueId val="{0000000B-FF49-4C2F-8937-E8EDB8AD5135}"/>
            </c:ext>
          </c:extLst>
        </c:ser>
        <c:dLbls>
          <c:showLegendKey val="0"/>
          <c:showVal val="0"/>
          <c:showCatName val="0"/>
          <c:showSerName val="0"/>
          <c:showPercent val="0"/>
          <c:showBubbleSize val="0"/>
        </c:dLbls>
        <c:gapWidth val="150"/>
        <c:overlap val="100"/>
        <c:axId val="639584064"/>
        <c:axId val="639585240"/>
      </c:barChart>
      <c:catAx>
        <c:axId val="639584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9585240"/>
        <c:crosses val="autoZero"/>
        <c:auto val="1"/>
        <c:lblAlgn val="ctr"/>
        <c:lblOffset val="100"/>
        <c:noMultiLvlLbl val="0"/>
      </c:catAx>
      <c:valAx>
        <c:axId val="6395852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9584064"/>
        <c:crosses val="autoZero"/>
        <c:crossBetween val="between"/>
        <c:dispUnits>
          <c:builtInUnit val="millions"/>
          <c:dispUnitsLbl>
            <c:layout>
              <c:manualLayout>
                <c:xMode val="edge"/>
                <c:yMode val="edge"/>
                <c:x val="0.85617514333809297"/>
                <c:y val="0.82418449978016706"/>
              </c:manualLayout>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'General data on unemployment ra'!$C$2</c:f>
              <c:strCache>
                <c:ptCount val="1"/>
                <c:pt idx="0">
                  <c:v>Unemployment rate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data on unemployment ra'!$B$3:$B$8</c:f>
              <c:strCache>
                <c:ptCount val="6"/>
                <c:pt idx="0">
                  <c:v> Galați  </c:v>
                </c:pt>
                <c:pt idx="1">
                  <c:v> Mureș </c:v>
                </c:pt>
                <c:pt idx="2">
                  <c:v> Prahova </c:v>
                </c:pt>
                <c:pt idx="3">
                  <c:v> Hunedoara </c:v>
                </c:pt>
                <c:pt idx="4">
                  <c:v> Gorj </c:v>
                </c:pt>
                <c:pt idx="5">
                  <c:v> Dolj </c:v>
                </c:pt>
              </c:strCache>
            </c:strRef>
          </c:cat>
          <c:val>
            <c:numRef>
              <c:f>'General data on unemployment ra'!$C$3:$C$8</c:f>
              <c:numCache>
                <c:formatCode>0.00%</c:formatCode>
                <c:ptCount val="6"/>
                <c:pt idx="0">
                  <c:v>5.7000000000000002E-2</c:v>
                </c:pt>
                <c:pt idx="1">
                  <c:v>2.3E-2</c:v>
                </c:pt>
                <c:pt idx="2">
                  <c:v>2.7E-2</c:v>
                </c:pt>
                <c:pt idx="3">
                  <c:v>3.6999999999999998E-2</c:v>
                </c:pt>
                <c:pt idx="4">
                  <c:v>3.1E-2</c:v>
                </c:pt>
                <c:pt idx="5">
                  <c:v>7.0999999999999994E-2</c:v>
                </c:pt>
              </c:numCache>
            </c:numRef>
          </c:val>
          <c:extLst xmlns:c16r2="http://schemas.microsoft.com/office/drawing/2015/06/chart">
            <c:ext xmlns:c16="http://schemas.microsoft.com/office/drawing/2014/chart" uri="{C3380CC4-5D6E-409C-BE32-E72D297353CC}">
              <c16:uniqueId val="{00000000-FDC3-B343-9C15-CE5FAB4BA6F5}"/>
            </c:ext>
          </c:extLst>
        </c:ser>
        <c:dLbls>
          <c:showLegendKey val="0"/>
          <c:showVal val="0"/>
          <c:showCatName val="0"/>
          <c:showSerName val="0"/>
          <c:showPercent val="0"/>
          <c:showBubbleSize val="0"/>
        </c:dLbls>
        <c:gapWidth val="100"/>
        <c:overlap val="-27"/>
        <c:axId val="328936304"/>
        <c:axId val="536276176"/>
      </c:barChart>
      <c:catAx>
        <c:axId val="328936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276176"/>
        <c:crosses val="autoZero"/>
        <c:auto val="1"/>
        <c:lblAlgn val="ctr"/>
        <c:lblOffset val="100"/>
        <c:noMultiLvlLbl val="0"/>
      </c:catAx>
      <c:valAx>
        <c:axId val="5362761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289363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'General statistics on populatio'!$G$12</c:f>
              <c:strCache>
                <c:ptCount val="1"/>
                <c:pt idx="0">
                  <c:v>Rural population (percent from county population)</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statistics on populatio'!$F$13:$F$18</c:f>
              <c:strCache>
                <c:ptCount val="6"/>
                <c:pt idx="0">
                  <c:v> Galați  </c:v>
                </c:pt>
                <c:pt idx="1">
                  <c:v> Mureș </c:v>
                </c:pt>
                <c:pt idx="2">
                  <c:v> Prahova </c:v>
                </c:pt>
                <c:pt idx="3">
                  <c:v> Hunedoara </c:v>
                </c:pt>
                <c:pt idx="4">
                  <c:v> Gorj </c:v>
                </c:pt>
                <c:pt idx="5">
                  <c:v> Dolj </c:v>
                </c:pt>
              </c:strCache>
            </c:strRef>
          </c:cat>
          <c:val>
            <c:numRef>
              <c:f>'General statistics on populatio'!$G$13:$G$18</c:f>
              <c:numCache>
                <c:formatCode>0%</c:formatCode>
                <c:ptCount val="6"/>
                <c:pt idx="0">
                  <c:v>0.4259</c:v>
                </c:pt>
                <c:pt idx="1">
                  <c:v>0.47949999999999998</c:v>
                </c:pt>
                <c:pt idx="2">
                  <c:v>0.49130000000000001</c:v>
                </c:pt>
                <c:pt idx="3">
                  <c:v>0.222</c:v>
                </c:pt>
                <c:pt idx="4">
                  <c:v>0.53600000000000003</c:v>
                </c:pt>
                <c:pt idx="5">
                  <c:v>0.44700000000000001</c:v>
                </c:pt>
              </c:numCache>
            </c:numRef>
          </c:val>
          <c:extLst xmlns:c16r2="http://schemas.microsoft.com/office/drawing/2015/06/chart">
            <c:ext xmlns:c16="http://schemas.microsoft.com/office/drawing/2014/chart" uri="{C3380CC4-5D6E-409C-BE32-E72D297353CC}">
              <c16:uniqueId val="{00000000-8CAF-8F4C-852C-CE0014805AF0}"/>
            </c:ext>
          </c:extLst>
        </c:ser>
        <c:ser>
          <c:idx val="1"/>
          <c:order val="1"/>
          <c:tx>
            <c:strRef>
              <c:f>'General statistics on populatio'!$H$12</c:f>
              <c:strCache>
                <c:ptCount val="1"/>
                <c:pt idx="0">
                  <c:v>Urban population (percent from county population)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statistics on populatio'!$F$13:$F$18</c:f>
              <c:strCache>
                <c:ptCount val="6"/>
                <c:pt idx="0">
                  <c:v> Galați  </c:v>
                </c:pt>
                <c:pt idx="1">
                  <c:v> Mureș </c:v>
                </c:pt>
                <c:pt idx="2">
                  <c:v> Prahova </c:v>
                </c:pt>
                <c:pt idx="3">
                  <c:v> Hunedoara </c:v>
                </c:pt>
                <c:pt idx="4">
                  <c:v> Gorj </c:v>
                </c:pt>
                <c:pt idx="5">
                  <c:v> Dolj </c:v>
                </c:pt>
              </c:strCache>
            </c:strRef>
          </c:cat>
          <c:val>
            <c:numRef>
              <c:f>'General statistics on populatio'!$H$13:$H$18</c:f>
              <c:numCache>
                <c:formatCode>0%</c:formatCode>
                <c:ptCount val="6"/>
                <c:pt idx="0">
                  <c:v>0.57499999999999996</c:v>
                </c:pt>
                <c:pt idx="1">
                  <c:v>0.52039999999999997</c:v>
                </c:pt>
                <c:pt idx="2">
                  <c:v>0.50800000000000001</c:v>
                </c:pt>
                <c:pt idx="3">
                  <c:v>0.77700000000000002</c:v>
                </c:pt>
                <c:pt idx="4">
                  <c:v>0.46300000000000002</c:v>
                </c:pt>
                <c:pt idx="5">
                  <c:v>0.55200000000000005</c:v>
                </c:pt>
              </c:numCache>
            </c:numRef>
          </c:val>
          <c:extLst xmlns:c16r2="http://schemas.microsoft.com/office/drawing/2015/06/chart">
            <c:ext xmlns:c16="http://schemas.microsoft.com/office/drawing/2014/chart" uri="{C3380CC4-5D6E-409C-BE32-E72D297353CC}">
              <c16:uniqueId val="{00000001-8CAF-8F4C-852C-CE0014805AF0}"/>
            </c:ext>
          </c:extLst>
        </c:ser>
        <c:dLbls>
          <c:showLegendKey val="0"/>
          <c:showVal val="0"/>
          <c:showCatName val="0"/>
          <c:showSerName val="0"/>
          <c:showPercent val="0"/>
          <c:showBubbleSize val="0"/>
        </c:dLbls>
        <c:gapWidth val="150"/>
        <c:overlap val="100"/>
        <c:axId val="536275784"/>
        <c:axId val="536273040"/>
      </c:barChart>
      <c:catAx>
        <c:axId val="536275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273040"/>
        <c:crosses val="autoZero"/>
        <c:auto val="1"/>
        <c:lblAlgn val="ctr"/>
        <c:lblOffset val="100"/>
        <c:noMultiLvlLbl val="0"/>
      </c:catAx>
      <c:valAx>
        <c:axId val="53627304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275784"/>
        <c:crosses val="autoZero"/>
        <c:crossBetween val="between"/>
      </c:valAx>
      <c:spPr>
        <a:noFill/>
        <a:ln>
          <a:noFill/>
        </a:ln>
        <a:effectLst/>
      </c:spPr>
    </c:plotArea>
    <c:legend>
      <c:legendPos val="b"/>
      <c:layout>
        <c:manualLayout>
          <c:xMode val="edge"/>
          <c:yMode val="edge"/>
          <c:x val="2.0815386487285099E-2"/>
          <c:y val="0.84494545210602701"/>
          <c:w val="0.95174671046913795"/>
          <c:h val="0.129495442462663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'General data on connection to g'!$C$4</c:f>
              <c:strCache>
                <c:ptCount val="1"/>
                <c:pt idx="0">
                  <c:v> Percent of population without gas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data on connection to g'!$B$5:$B$10</c:f>
              <c:strCache>
                <c:ptCount val="6"/>
                <c:pt idx="0">
                  <c:v> Galați  </c:v>
                </c:pt>
                <c:pt idx="1">
                  <c:v> Mureș </c:v>
                </c:pt>
                <c:pt idx="2">
                  <c:v> Prahova </c:v>
                </c:pt>
                <c:pt idx="3">
                  <c:v> Hunedoara </c:v>
                </c:pt>
                <c:pt idx="4">
                  <c:v> Gorj </c:v>
                </c:pt>
                <c:pt idx="5">
                  <c:v> Dolj </c:v>
                </c:pt>
              </c:strCache>
            </c:strRef>
          </c:cat>
          <c:val>
            <c:numRef>
              <c:f>'General data on connection to g'!$C$5:$C$10</c:f>
              <c:numCache>
                <c:formatCode>0.00%</c:formatCode>
                <c:ptCount val="6"/>
                <c:pt idx="0">
                  <c:v>0.37730000000000002</c:v>
                </c:pt>
                <c:pt idx="1">
                  <c:v>8.43E-2</c:v>
                </c:pt>
                <c:pt idx="2">
                  <c:v>0.21060000000000001</c:v>
                </c:pt>
                <c:pt idx="3">
                  <c:v>0.2087</c:v>
                </c:pt>
                <c:pt idx="4">
                  <c:v>0.35360000000000003</c:v>
                </c:pt>
                <c:pt idx="5">
                  <c:v>0.47399999999999998</c:v>
                </c:pt>
              </c:numCache>
            </c:numRef>
          </c:val>
          <c:extLst xmlns:c16r2="http://schemas.microsoft.com/office/drawing/2015/06/chart">
            <c:ext xmlns:c16="http://schemas.microsoft.com/office/drawing/2014/chart" uri="{C3380CC4-5D6E-409C-BE32-E72D297353CC}">
              <c16:uniqueId val="{00000000-CA23-DE4C-8DF4-140B2A1DE88D}"/>
            </c:ext>
          </c:extLst>
        </c:ser>
        <c:dLbls>
          <c:dLblPos val="ctr"/>
          <c:showLegendKey val="0"/>
          <c:showVal val="1"/>
          <c:showCatName val="0"/>
          <c:showSerName val="0"/>
          <c:showPercent val="0"/>
          <c:showBubbleSize val="0"/>
        </c:dLbls>
        <c:gapWidth val="108"/>
        <c:overlap val="-27"/>
        <c:axId val="417916224"/>
        <c:axId val="534872472"/>
      </c:barChart>
      <c:catAx>
        <c:axId val="41791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4872472"/>
        <c:crosses val="autoZero"/>
        <c:auto val="1"/>
        <c:lblAlgn val="ctr"/>
        <c:lblOffset val="100"/>
        <c:noMultiLvlLbl val="0"/>
      </c:catAx>
      <c:valAx>
        <c:axId val="5348724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1791622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'General data on connection to g'!$F$21</c:f>
              <c:strCache>
                <c:ptCount val="1"/>
                <c:pt idx="0">
                  <c:v> Percent of urban population without gas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data on connection to g'!$E$22:$E$27</c:f>
              <c:strCache>
                <c:ptCount val="6"/>
                <c:pt idx="0">
                  <c:v> Galați  </c:v>
                </c:pt>
                <c:pt idx="1">
                  <c:v> Mureș </c:v>
                </c:pt>
                <c:pt idx="2">
                  <c:v> Prahova </c:v>
                </c:pt>
                <c:pt idx="3">
                  <c:v> Hunedoara </c:v>
                </c:pt>
                <c:pt idx="4">
                  <c:v> Gorj </c:v>
                </c:pt>
                <c:pt idx="5">
                  <c:v> Dolj </c:v>
                </c:pt>
              </c:strCache>
            </c:strRef>
          </c:cat>
          <c:val>
            <c:numRef>
              <c:f>'General data on connection to g'!$F$22:$F$27</c:f>
              <c:numCache>
                <c:formatCode>0.00%</c:formatCode>
                <c:ptCount val="6"/>
                <c:pt idx="0">
                  <c:v>2.86E-2</c:v>
                </c:pt>
                <c:pt idx="1">
                  <c:v>0</c:v>
                </c:pt>
                <c:pt idx="2">
                  <c:v>1.37E-2</c:v>
                </c:pt>
                <c:pt idx="3">
                  <c:v>4.3400000000000001E-2</c:v>
                </c:pt>
                <c:pt idx="4">
                  <c:v>2.7699999999999999E-2</c:v>
                </c:pt>
                <c:pt idx="5">
                  <c:v>0.16070000000000001</c:v>
                </c:pt>
              </c:numCache>
            </c:numRef>
          </c:val>
          <c:extLst xmlns:c16r2="http://schemas.microsoft.com/office/drawing/2015/06/chart">
            <c:ext xmlns:c16="http://schemas.microsoft.com/office/drawing/2014/chart" uri="{C3380CC4-5D6E-409C-BE32-E72D297353CC}">
              <c16:uniqueId val="{00000000-CA43-AF4A-AEA9-28DF58C506C6}"/>
            </c:ext>
          </c:extLst>
        </c:ser>
        <c:ser>
          <c:idx val="1"/>
          <c:order val="1"/>
          <c:tx>
            <c:strRef>
              <c:f>'General data on connection to g'!$G$21</c:f>
              <c:strCache>
                <c:ptCount val="1"/>
                <c:pt idx="0">
                  <c:v> Percent of rural population without gas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 data on connection to g'!$E$22:$E$27</c:f>
              <c:strCache>
                <c:ptCount val="6"/>
                <c:pt idx="0">
                  <c:v> Galați  </c:v>
                </c:pt>
                <c:pt idx="1">
                  <c:v> Mureș </c:v>
                </c:pt>
                <c:pt idx="2">
                  <c:v> Prahova </c:v>
                </c:pt>
                <c:pt idx="3">
                  <c:v> Hunedoara </c:v>
                </c:pt>
                <c:pt idx="4">
                  <c:v> Gorj </c:v>
                </c:pt>
                <c:pt idx="5">
                  <c:v> Dolj </c:v>
                </c:pt>
              </c:strCache>
            </c:strRef>
          </c:cat>
          <c:val>
            <c:numRef>
              <c:f>'General data on connection to g'!$G$22:$G$27</c:f>
              <c:numCache>
                <c:formatCode>0.00%</c:formatCode>
                <c:ptCount val="6"/>
                <c:pt idx="0">
                  <c:v>0.84689999999999999</c:v>
                </c:pt>
                <c:pt idx="1">
                  <c:v>0.17580000000000001</c:v>
                </c:pt>
                <c:pt idx="2">
                  <c:v>0.41439999999999999</c:v>
                </c:pt>
                <c:pt idx="3">
                  <c:v>0.78569999999999995</c:v>
                </c:pt>
                <c:pt idx="4">
                  <c:v>0.59330000000000005</c:v>
                </c:pt>
                <c:pt idx="5">
                  <c:v>0.86029999999999995</c:v>
                </c:pt>
              </c:numCache>
            </c:numRef>
          </c:val>
          <c:extLst xmlns:c16r2="http://schemas.microsoft.com/office/drawing/2015/06/chart">
            <c:ext xmlns:c16="http://schemas.microsoft.com/office/drawing/2014/chart" uri="{C3380CC4-5D6E-409C-BE32-E72D297353CC}">
              <c16:uniqueId val="{00000001-CA43-AF4A-AEA9-28DF58C506C6}"/>
            </c:ext>
          </c:extLst>
        </c:ser>
        <c:dLbls>
          <c:showLegendKey val="0"/>
          <c:showVal val="0"/>
          <c:showCatName val="0"/>
          <c:showSerName val="0"/>
          <c:showPercent val="0"/>
          <c:showBubbleSize val="0"/>
        </c:dLbls>
        <c:gapWidth val="50"/>
        <c:overlap val="-27"/>
        <c:axId val="536609928"/>
        <c:axId val="536611104"/>
      </c:barChart>
      <c:catAx>
        <c:axId val="536609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11104"/>
        <c:crosses val="autoZero"/>
        <c:auto val="1"/>
        <c:lblAlgn val="ctr"/>
        <c:lblOffset val="100"/>
        <c:noMultiLvlLbl val="0"/>
      </c:catAx>
      <c:valAx>
        <c:axId val="536611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09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'Energy poverty rates '!$D$9</c:f>
              <c:strCache>
                <c:ptCount val="1"/>
                <c:pt idx="0">
                  <c:v>Households in private properties in urban areas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'Energy poverty rates '!$C$10:$C$15</c:f>
              <c:strCache>
                <c:ptCount val="6"/>
                <c:pt idx="0">
                  <c:v> Galați  </c:v>
                </c:pt>
                <c:pt idx="1">
                  <c:v> Mureș </c:v>
                </c:pt>
                <c:pt idx="2">
                  <c:v> Prahova </c:v>
                </c:pt>
                <c:pt idx="3">
                  <c:v> Hunedoara </c:v>
                </c:pt>
                <c:pt idx="4">
                  <c:v> Gorj </c:v>
                </c:pt>
                <c:pt idx="5">
                  <c:v> Dolj </c:v>
                </c:pt>
              </c:strCache>
            </c:strRef>
          </c:cat>
          <c:val>
            <c:numRef>
              <c:f>'Energy poverty rates '!$D$10:$D$15</c:f>
              <c:numCache>
                <c:formatCode>General</c:formatCode>
                <c:ptCount val="6"/>
                <c:pt idx="0">
                  <c:v>97.57</c:v>
                </c:pt>
                <c:pt idx="1">
                  <c:v>98.43</c:v>
                </c:pt>
                <c:pt idx="2">
                  <c:v>99.36</c:v>
                </c:pt>
                <c:pt idx="3">
                  <c:v>96.59</c:v>
                </c:pt>
                <c:pt idx="4">
                  <c:v>96.33</c:v>
                </c:pt>
                <c:pt idx="5">
                  <c:v>97.69</c:v>
                </c:pt>
              </c:numCache>
            </c:numRef>
          </c:val>
          <c:extLst xmlns:c16r2="http://schemas.microsoft.com/office/drawing/2015/06/chart">
            <c:ext xmlns:c16="http://schemas.microsoft.com/office/drawing/2014/chart" uri="{C3380CC4-5D6E-409C-BE32-E72D297353CC}">
              <c16:uniqueId val="{00000000-441E-4C7F-B0B4-09FBF4086954}"/>
            </c:ext>
          </c:extLst>
        </c:ser>
        <c:dLbls>
          <c:showLegendKey val="0"/>
          <c:showVal val="0"/>
          <c:showCatName val="0"/>
          <c:showSerName val="0"/>
          <c:showPercent val="0"/>
          <c:showBubbleSize val="0"/>
        </c:dLbls>
        <c:gapWidth val="100"/>
        <c:overlap val="-27"/>
        <c:axId val="536610712"/>
        <c:axId val="536611496"/>
      </c:barChart>
      <c:catAx>
        <c:axId val="536610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11496"/>
        <c:crosses val="autoZero"/>
        <c:auto val="1"/>
        <c:lblAlgn val="ctr"/>
        <c:lblOffset val="100"/>
        <c:noMultiLvlLbl val="0"/>
      </c:catAx>
      <c:valAx>
        <c:axId val="536611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107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v>State property in urban areas</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Housing!$E$15:$E$20</c:f>
              <c:strCache>
                <c:ptCount val="6"/>
                <c:pt idx="0">
                  <c:v> Galați  </c:v>
                </c:pt>
                <c:pt idx="1">
                  <c:v> Mureș </c:v>
                </c:pt>
                <c:pt idx="2">
                  <c:v> Prahova </c:v>
                </c:pt>
                <c:pt idx="3">
                  <c:v> Hunedoara </c:v>
                </c:pt>
                <c:pt idx="4">
                  <c:v> Gorj </c:v>
                </c:pt>
                <c:pt idx="5">
                  <c:v> Dolj </c:v>
                </c:pt>
              </c:strCache>
            </c:strRef>
          </c:cat>
          <c:val>
            <c:numRef>
              <c:f>Housing!$F$15:$F$20</c:f>
              <c:numCache>
                <c:formatCode>_(* #,##0_);_(* \(#,##0\);_(* "-"??_);_(@_)</c:formatCode>
                <c:ptCount val="6"/>
                <c:pt idx="0">
                  <c:v>244</c:v>
                </c:pt>
                <c:pt idx="1">
                  <c:v>578</c:v>
                </c:pt>
                <c:pt idx="2">
                  <c:v>419</c:v>
                </c:pt>
                <c:pt idx="3">
                  <c:v>808</c:v>
                </c:pt>
                <c:pt idx="4">
                  <c:v>1533</c:v>
                </c:pt>
                <c:pt idx="5">
                  <c:v>311</c:v>
                </c:pt>
              </c:numCache>
            </c:numRef>
          </c:val>
          <c:extLst xmlns:c16r2="http://schemas.microsoft.com/office/drawing/2015/06/chart">
            <c:ext xmlns:c16="http://schemas.microsoft.com/office/drawing/2014/chart" uri="{C3380CC4-5D6E-409C-BE32-E72D297353CC}">
              <c16:uniqueId val="{00000000-7F6B-4A50-91B9-D9480EE11FC8}"/>
            </c:ext>
          </c:extLst>
        </c:ser>
        <c:ser>
          <c:idx val="1"/>
          <c:order val="1"/>
          <c:tx>
            <c:v>State property in rural areas</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Housing!$E$15:$E$20</c:f>
              <c:strCache>
                <c:ptCount val="6"/>
                <c:pt idx="0">
                  <c:v> Galați  </c:v>
                </c:pt>
                <c:pt idx="1">
                  <c:v> Mureș </c:v>
                </c:pt>
                <c:pt idx="2">
                  <c:v> Prahova </c:v>
                </c:pt>
                <c:pt idx="3">
                  <c:v> Hunedoara </c:v>
                </c:pt>
                <c:pt idx="4">
                  <c:v> Gorj </c:v>
                </c:pt>
                <c:pt idx="5">
                  <c:v> Dolj </c:v>
                </c:pt>
              </c:strCache>
            </c:strRef>
          </c:cat>
          <c:val>
            <c:numRef>
              <c:f>Housing!$G$15:$G$20</c:f>
              <c:numCache>
                <c:formatCode>_(* #,##0_);_(* \(#,##0\);_(* "-"??_);_(@_)</c:formatCode>
                <c:ptCount val="6"/>
                <c:pt idx="0">
                  <c:v>3243</c:v>
                </c:pt>
                <c:pt idx="1">
                  <c:v>2836</c:v>
                </c:pt>
                <c:pt idx="2">
                  <c:v>2614</c:v>
                </c:pt>
                <c:pt idx="3">
                  <c:v>5554</c:v>
                </c:pt>
                <c:pt idx="4">
                  <c:v>2363</c:v>
                </c:pt>
                <c:pt idx="5">
                  <c:v>897</c:v>
                </c:pt>
              </c:numCache>
            </c:numRef>
          </c:val>
          <c:extLst xmlns:c16r2="http://schemas.microsoft.com/office/drawing/2015/06/chart">
            <c:ext xmlns:c16="http://schemas.microsoft.com/office/drawing/2014/chart" uri="{C3380CC4-5D6E-409C-BE32-E72D297353CC}">
              <c16:uniqueId val="{00000001-7F6B-4A50-91B9-D9480EE11FC8}"/>
            </c:ext>
          </c:extLst>
        </c:ser>
        <c:dLbls>
          <c:dLblPos val="ctr"/>
          <c:showLegendKey val="0"/>
          <c:showVal val="1"/>
          <c:showCatName val="0"/>
          <c:showSerName val="0"/>
          <c:showPercent val="0"/>
          <c:showBubbleSize val="0"/>
        </c:dLbls>
        <c:gapWidth val="50"/>
        <c:overlap val="100"/>
        <c:axId val="536612672"/>
        <c:axId val="536609144"/>
      </c:barChart>
      <c:lineChart>
        <c:grouping val="standard"/>
        <c:varyColors val="0"/>
        <c:ser>
          <c:idx val="2"/>
          <c:order val="2"/>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Housing!$E$15:$E$20</c:f>
              <c:strCache>
                <c:ptCount val="6"/>
                <c:pt idx="0">
                  <c:v> Galați  </c:v>
                </c:pt>
                <c:pt idx="1">
                  <c:v> Mureș </c:v>
                </c:pt>
                <c:pt idx="2">
                  <c:v> Prahova </c:v>
                </c:pt>
                <c:pt idx="3">
                  <c:v> Hunedoara </c:v>
                </c:pt>
                <c:pt idx="4">
                  <c:v> Gorj </c:v>
                </c:pt>
                <c:pt idx="5">
                  <c:v> Dolj </c:v>
                </c:pt>
              </c:strCache>
            </c:strRef>
          </c:cat>
          <c:val>
            <c:numRef>
              <c:f>Housing!$H$15:$H$20</c:f>
              <c:numCache>
                <c:formatCode>_(* #,##0_);_(* \(#,##0\);_(* "-"??_);_(@_)</c:formatCode>
                <c:ptCount val="6"/>
                <c:pt idx="0">
                  <c:v>3487</c:v>
                </c:pt>
                <c:pt idx="1">
                  <c:v>3414</c:v>
                </c:pt>
                <c:pt idx="2">
                  <c:v>3033</c:v>
                </c:pt>
                <c:pt idx="3">
                  <c:v>6362</c:v>
                </c:pt>
                <c:pt idx="4">
                  <c:v>3896</c:v>
                </c:pt>
                <c:pt idx="5">
                  <c:v>1208</c:v>
                </c:pt>
              </c:numCache>
            </c:numRef>
          </c:val>
          <c:smooth val="0"/>
          <c:extLst xmlns:c16r2="http://schemas.microsoft.com/office/drawing/2015/06/chart">
            <c:ext xmlns:c16="http://schemas.microsoft.com/office/drawing/2014/chart" uri="{C3380CC4-5D6E-409C-BE32-E72D297353CC}">
              <c16:uniqueId val="{00000002-7F6B-4A50-91B9-D9480EE11FC8}"/>
            </c:ext>
          </c:extLst>
        </c:ser>
        <c:dLbls>
          <c:showLegendKey val="0"/>
          <c:showVal val="0"/>
          <c:showCatName val="0"/>
          <c:showSerName val="0"/>
          <c:showPercent val="0"/>
          <c:showBubbleSize val="0"/>
        </c:dLbls>
        <c:marker val="1"/>
        <c:smooth val="0"/>
        <c:axId val="536612672"/>
        <c:axId val="536609144"/>
      </c:lineChart>
      <c:catAx>
        <c:axId val="536612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09144"/>
        <c:crosses val="autoZero"/>
        <c:auto val="1"/>
        <c:lblAlgn val="ctr"/>
        <c:lblOffset val="100"/>
        <c:noMultiLvlLbl val="0"/>
      </c:catAx>
      <c:valAx>
        <c:axId val="5366091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6612672"/>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758F3-A14B-4B71-8D1D-E13ECE888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285</Pages>
  <Words>122017</Words>
  <Characters>695498</Characters>
  <Application>Microsoft Office Word</Application>
  <DocSecurity>0</DocSecurity>
  <Lines>5795</Lines>
  <Paragraphs>1631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815884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Drucks, Carolin</dc:creator>
  <cp:lastModifiedBy>Traian Moisa</cp:lastModifiedBy>
  <cp:revision>2</cp:revision>
  <cp:lastPrinted>2021-10-28T10:49:00Z</cp:lastPrinted>
  <dcterms:created xsi:type="dcterms:W3CDTF">2022-04-18T20:42:00Z</dcterms:created>
  <dcterms:modified xsi:type="dcterms:W3CDTF">2022-04-18T20:42:00Z</dcterms:modified>
</cp:coreProperties>
</file>